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6A3B44B5"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D51E6A">
            <w:t>SCE17LG105</w:t>
          </w:r>
        </w:sdtContent>
      </w:sdt>
    </w:p>
    <w:bookmarkEnd w:id="0"/>
    <w:p w14:paraId="7601CE2F" w14:textId="0B00E429" w:rsidR="00DA690B" w:rsidRPr="00500C4E" w:rsidRDefault="001D491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D51E6A">
            <w:rPr>
              <w:rStyle w:val="CaptionChar"/>
              <w:rFonts w:asciiTheme="minorHAnsi" w:hAnsiTheme="minorHAnsi" w:cstheme="minorHAnsi"/>
              <w:b/>
              <w:bCs w:val="0"/>
              <w:sz w:val="48"/>
              <w:szCs w:val="48"/>
            </w:rPr>
            <w:t>Revision 0</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1D491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185EF0A" w:rsidR="00DA690B" w:rsidRPr="00500C4E" w:rsidRDefault="000F7802" w:rsidP="00DA690B">
      <w:pPr>
        <w:rPr>
          <w:rFonts w:cstheme="minorHAnsi"/>
          <w:b/>
          <w:sz w:val="72"/>
          <w:szCs w:val="72"/>
        </w:rPr>
      </w:pPr>
      <w:r>
        <w:rPr>
          <w:rFonts w:cstheme="minorHAnsi"/>
          <w:b/>
          <w:sz w:val="72"/>
          <w:szCs w:val="72"/>
        </w:rPr>
        <w:t>LED Exterior La</w:t>
      </w:r>
      <w:r w:rsidR="00FC19A1">
        <w:rPr>
          <w:rFonts w:cstheme="minorHAnsi"/>
          <w:b/>
          <w:sz w:val="72"/>
          <w:szCs w:val="72"/>
        </w:rPr>
        <w:t>ndscape Lighting Fixture</w:t>
      </w:r>
    </w:p>
    <w:p w14:paraId="185110D1" w14:textId="066BE61B" w:rsidR="00EF4E6B" w:rsidRDefault="00EF4E6B" w:rsidP="00E76B31">
      <w:pPr>
        <w:pStyle w:val="Reminders"/>
        <w:rPr>
          <w:rFonts w:asciiTheme="minorHAnsi" w:hAnsiTheme="minorHAnsi" w:cstheme="minorHAnsi"/>
          <w:b/>
          <w:i w:val="0"/>
          <w:sz w:val="32"/>
          <w:szCs w:val="22"/>
        </w:rPr>
      </w:pPr>
    </w:p>
    <w:p w14:paraId="74674424" w14:textId="38AE0AF8" w:rsidR="000B049B" w:rsidRDefault="000B049B" w:rsidP="00E76B31">
      <w:pPr>
        <w:pStyle w:val="Reminders"/>
        <w:rPr>
          <w:rFonts w:asciiTheme="minorHAnsi" w:hAnsiTheme="minorHAnsi" w:cstheme="minorHAnsi"/>
          <w:b/>
          <w:i w:val="0"/>
          <w:sz w:val="32"/>
          <w:szCs w:val="22"/>
        </w:rPr>
      </w:pPr>
    </w:p>
    <w:p w14:paraId="07E7A988" w14:textId="77777777" w:rsidR="000B049B" w:rsidRPr="00500C4E" w:rsidRDefault="000B049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19507E05" w:rsidR="00AC5309" w:rsidRPr="00500C4E" w:rsidRDefault="00FC19A1">
            <w:pPr>
              <w:rPr>
                <w:rFonts w:cs="Arial"/>
                <w:bCs/>
                <w:color w:val="FF0000"/>
                <w:szCs w:val="20"/>
              </w:rPr>
            </w:pPr>
            <w:r w:rsidRPr="00204E92">
              <w:rPr>
                <w:rFonts w:cs="Arial"/>
                <w:szCs w:val="20"/>
              </w:rPr>
              <w:t>LT-27373, LT-54834, LT-28343</w:t>
            </w:r>
            <w:r w:rsidR="000C70A8">
              <w:rPr>
                <w:rFonts w:cs="Arial"/>
                <w:szCs w:val="20"/>
              </w:rPr>
              <w:t xml:space="preserve">, </w:t>
            </w:r>
            <w:bookmarkStart w:id="8" w:name="OLE_LINK1"/>
            <w:r w:rsidR="000C70A8">
              <w:rPr>
                <w:rFonts w:cs="Arial"/>
                <w:szCs w:val="20"/>
              </w:rPr>
              <w:t>LT-</w:t>
            </w:r>
            <w:r w:rsidR="008143C1">
              <w:rPr>
                <w:rFonts w:cs="Arial"/>
                <w:szCs w:val="20"/>
              </w:rPr>
              <w:t xml:space="preserve"> 18927</w:t>
            </w:r>
            <w:bookmarkEnd w:id="8"/>
            <w:r w:rsidR="008143C1">
              <w:rPr>
                <w:rFonts w:cs="Arial"/>
                <w:szCs w:val="20"/>
              </w:rPr>
              <w:t xml:space="preserve">, </w:t>
            </w:r>
            <w:bookmarkStart w:id="9" w:name="OLE_LINK2"/>
            <w:r w:rsidR="008143C1">
              <w:rPr>
                <w:rFonts w:cs="Arial"/>
                <w:szCs w:val="20"/>
              </w:rPr>
              <w:t>LT-18928</w:t>
            </w:r>
            <w:bookmarkEnd w:id="9"/>
            <w:r w:rsidR="008143C1">
              <w:rPr>
                <w:rFonts w:cs="Arial"/>
                <w:szCs w:val="20"/>
              </w:rPr>
              <w:t xml:space="preserve">, and </w:t>
            </w:r>
            <w:bookmarkStart w:id="10" w:name="OLE_LINK3"/>
            <w:r w:rsidR="008143C1">
              <w:rPr>
                <w:rFonts w:cs="Arial"/>
                <w:szCs w:val="20"/>
              </w:rPr>
              <w:t>LT-18929</w:t>
            </w:r>
            <w:bookmarkEnd w:id="10"/>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701A7FA7" w:rsidR="00290ED8" w:rsidRPr="00500C4E" w:rsidRDefault="00FC19A1">
            <w:pPr>
              <w:rPr>
                <w:rFonts w:cs="Arial"/>
                <w:color w:val="FF0000"/>
                <w:szCs w:val="20"/>
              </w:rPr>
            </w:pPr>
            <w:r w:rsidRPr="00204E92">
              <w:rPr>
                <w:rFonts w:cs="Arial"/>
                <w:szCs w:val="20"/>
              </w:rPr>
              <w:t>LED Landscape Lighting Fixture</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2C1F6D8" w:rsidR="00290ED8" w:rsidRPr="00500C4E" w:rsidRDefault="00FC19A1">
            <w:pPr>
              <w:rPr>
                <w:rFonts w:cs="Arial"/>
                <w:color w:val="FF0000"/>
                <w:szCs w:val="20"/>
              </w:rPr>
            </w:pPr>
            <w:r w:rsidRPr="00204E92">
              <w:rPr>
                <w:rFonts w:cs="Arial"/>
                <w:szCs w:val="20"/>
              </w:rPr>
              <w:t>Halogen Landscape Lighting Fixture</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54359CFC" w:rsidR="00D36798" w:rsidRPr="00500C4E" w:rsidRDefault="00FC19A1">
            <w:pPr>
              <w:rPr>
                <w:rFonts w:cs="Arial"/>
                <w:color w:val="FF0000"/>
                <w:szCs w:val="20"/>
              </w:rPr>
            </w:pPr>
            <w:r w:rsidRPr="00204E92">
              <w:rPr>
                <w:rFonts w:cs="Arial"/>
                <w:szCs w:val="20"/>
              </w:rPr>
              <w:t>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D63F56" w:rsidRDefault="00B4065F">
            <w:pPr>
              <w:rPr>
                <w:rStyle w:val="Strong"/>
                <w:rFonts w:asciiTheme="minorHAnsi" w:hAnsiTheme="minorHAnsi"/>
                <w:sz w:val="20"/>
                <w:szCs w:val="20"/>
              </w:rPr>
            </w:pPr>
            <w:r w:rsidRPr="00D63F56">
              <w:rPr>
                <w:rStyle w:val="Strong"/>
                <w:rFonts w:asciiTheme="minorHAnsi" w:hAnsiTheme="minorHAnsi"/>
                <w:sz w:val="20"/>
                <w:szCs w:val="20"/>
              </w:rPr>
              <w:t>Effective Useful Life</w:t>
            </w:r>
          </w:p>
        </w:tc>
        <w:tc>
          <w:tcPr>
            <w:tcW w:w="3125" w:type="pct"/>
          </w:tcPr>
          <w:p w14:paraId="70DC1712" w14:textId="2D0A56C4" w:rsidR="00290ED8" w:rsidRPr="00D63F56" w:rsidRDefault="00D63F56">
            <w:pPr>
              <w:rPr>
                <w:rFonts w:cs="Arial"/>
                <w:szCs w:val="20"/>
              </w:rPr>
            </w:pPr>
            <w:r w:rsidRPr="00D63F56">
              <w:rPr>
                <w:rFonts w:cs="Arial"/>
                <w:szCs w:val="20"/>
              </w:rPr>
              <w:t>50,000/HOU</w:t>
            </w:r>
            <w:r w:rsidR="001C1338" w:rsidRPr="00D63F56">
              <w:rPr>
                <w:rFonts w:cs="Arial"/>
                <w:szCs w:val="20"/>
              </w:rPr>
              <w:t xml:space="preserve"> years (</w:t>
            </w:r>
            <w:r w:rsidRPr="00D63F56">
              <w:rPr>
                <w:szCs w:val="20"/>
              </w:rPr>
              <w:t>OLtg-Com-LED-50000hr</w:t>
            </w:r>
            <w:r w:rsidR="001C1338" w:rsidRPr="00D63F56">
              <w:rPr>
                <w:rFonts w:cs="Arial"/>
                <w:szCs w:val="20"/>
              </w:rPr>
              <w:t>)</w:t>
            </w:r>
            <w:r w:rsidR="000C70A8">
              <w:rPr>
                <w:rFonts w:cs="Arial"/>
                <w:szCs w:val="20"/>
              </w:rPr>
              <w:t xml:space="preserve"> and </w:t>
            </w:r>
            <w:r w:rsidR="000C70A8" w:rsidRPr="00942F60">
              <w:rPr>
                <w:szCs w:val="20"/>
              </w:rPr>
              <w:t>OLtg-Res-LED-50000hr</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4E170753" w:rsidR="00290ED8" w:rsidRPr="00500C4E" w:rsidRDefault="001C1338" w:rsidP="00FC19A1">
            <w:pPr>
              <w:rPr>
                <w:rFonts w:cs="Arial"/>
                <w:color w:val="FF0000"/>
                <w:szCs w:val="20"/>
              </w:rPr>
            </w:pPr>
            <w:r w:rsidRPr="00321AB4">
              <w:rPr>
                <w:szCs w:val="20"/>
              </w:rPr>
              <w:t>Replac</w:t>
            </w:r>
            <w:r w:rsidR="00D63F56" w:rsidRPr="00321AB4">
              <w:rPr>
                <w:szCs w:val="20"/>
              </w:rPr>
              <w:t>e on Burnout (ROB)</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2F638464" w14:textId="77777777" w:rsidR="00290ED8" w:rsidRPr="00321AB4" w:rsidRDefault="001C1338">
            <w:pPr>
              <w:rPr>
                <w:szCs w:val="20"/>
              </w:rPr>
            </w:pPr>
            <w:r w:rsidRPr="00321AB4">
              <w:rPr>
                <w:rFonts w:cs="Arial"/>
                <w:szCs w:val="20"/>
              </w:rPr>
              <w:t xml:space="preserve">0.6 (DEER NTGR ID: </w:t>
            </w:r>
            <w:r w:rsidRPr="00321AB4">
              <w:rPr>
                <w:szCs w:val="20"/>
              </w:rPr>
              <w:t>Com-Default&gt;2yrs)</w:t>
            </w:r>
          </w:p>
          <w:p w14:paraId="40A9016A" w14:textId="5D53E560" w:rsidR="00321AB4" w:rsidRPr="00500C4E" w:rsidRDefault="00321AB4" w:rsidP="00321AB4">
            <w:pPr>
              <w:rPr>
                <w:rFonts w:cs="Arial"/>
                <w:color w:val="FF0000"/>
                <w:szCs w:val="20"/>
              </w:rPr>
            </w:pPr>
            <w:r w:rsidRPr="00321AB4">
              <w:rPr>
                <w:rFonts w:cs="Arial"/>
                <w:szCs w:val="20"/>
              </w:rPr>
              <w:t xml:space="preserve">0.55 (DEER NTGR ID: </w:t>
            </w:r>
            <w:r w:rsidRPr="00321AB4">
              <w:rPr>
                <w:szCs w:val="20"/>
              </w:rPr>
              <w:t>Res-Default&gt;2)</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79"/>
        <w:gridCol w:w="1377"/>
        <w:gridCol w:w="6470"/>
      </w:tblGrid>
      <w:tr w:rsidR="003845E5" w:rsidRPr="00500C4E" w14:paraId="5AFD7FBC" w14:textId="77777777" w:rsidTr="00C151F5">
        <w:trPr>
          <w:trHeight w:val="20"/>
        </w:trPr>
        <w:tc>
          <w:tcPr>
            <w:tcW w:w="279"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59"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B35643" w:rsidRPr="00500C4E" w14:paraId="0F8D645E" w14:textId="77777777" w:rsidTr="00C151F5">
        <w:trPr>
          <w:trHeight w:val="20"/>
        </w:trPr>
        <w:tc>
          <w:tcPr>
            <w:tcW w:w="279" w:type="pct"/>
          </w:tcPr>
          <w:p w14:paraId="4A1A2996" w14:textId="09F0CC79" w:rsidR="00B35643" w:rsidRPr="00920905" w:rsidRDefault="00B35643" w:rsidP="00B35643">
            <w:pPr>
              <w:rPr>
                <w:rFonts w:cstheme="minorHAnsi"/>
                <w:color w:val="FF0000"/>
                <w:szCs w:val="20"/>
              </w:rPr>
            </w:pPr>
            <w:r w:rsidRPr="00033E17">
              <w:rPr>
                <w:rFonts w:cstheme="minorHAnsi"/>
                <w:szCs w:val="20"/>
              </w:rPr>
              <w:t>0</w:t>
            </w:r>
          </w:p>
        </w:tc>
        <w:tc>
          <w:tcPr>
            <w:tcW w:w="524" w:type="pct"/>
          </w:tcPr>
          <w:p w14:paraId="68BA349C" w14:textId="5491DEDA" w:rsidR="00B35643" w:rsidRPr="00920905" w:rsidRDefault="00B35643" w:rsidP="00B35643">
            <w:pPr>
              <w:rPr>
                <w:rFonts w:cstheme="minorHAnsi"/>
                <w:color w:val="FF0000"/>
                <w:szCs w:val="20"/>
              </w:rPr>
            </w:pPr>
            <w:r>
              <w:rPr>
                <w:rFonts w:cstheme="minorHAnsi"/>
                <w:szCs w:val="20"/>
              </w:rPr>
              <w:t>11/18/16</w:t>
            </w:r>
          </w:p>
        </w:tc>
        <w:tc>
          <w:tcPr>
            <w:tcW w:w="737" w:type="pct"/>
          </w:tcPr>
          <w:p w14:paraId="4A812BB3" w14:textId="79662009" w:rsidR="00B35643" w:rsidRPr="00920905" w:rsidRDefault="00B35643" w:rsidP="00B35643">
            <w:pPr>
              <w:rPr>
                <w:rFonts w:cstheme="minorHAnsi"/>
                <w:color w:val="FF0000"/>
                <w:szCs w:val="20"/>
              </w:rPr>
            </w:pPr>
            <w:r>
              <w:rPr>
                <w:rFonts w:cstheme="minorHAnsi"/>
                <w:szCs w:val="20"/>
              </w:rPr>
              <w:t>Chad Sisco</w:t>
            </w:r>
            <w:r w:rsidRPr="00033E17">
              <w:rPr>
                <w:rFonts w:cstheme="minorHAnsi"/>
                <w:szCs w:val="20"/>
              </w:rPr>
              <w:t xml:space="preserve"> (SCE)</w:t>
            </w:r>
          </w:p>
        </w:tc>
        <w:tc>
          <w:tcPr>
            <w:tcW w:w="3459" w:type="pct"/>
          </w:tcPr>
          <w:p w14:paraId="021F3312" w14:textId="73C2FD43" w:rsidR="00B35643" w:rsidRPr="00B35643" w:rsidRDefault="00CF07EE" w:rsidP="00B35643">
            <w:pPr>
              <w:pStyle w:val="ListParagraph"/>
              <w:numPr>
                <w:ilvl w:val="0"/>
                <w:numId w:val="41"/>
              </w:numPr>
              <w:rPr>
                <w:rFonts w:cstheme="minorHAnsi"/>
                <w:szCs w:val="20"/>
              </w:rPr>
            </w:pPr>
            <w:r>
              <w:rPr>
                <w:rFonts w:cstheme="minorHAnsi"/>
                <w:bCs/>
                <w:szCs w:val="20"/>
              </w:rPr>
              <w:t>Updated to SCE17LG105.0</w:t>
            </w:r>
            <w:r w:rsidR="00B35643" w:rsidRPr="00F92ED0">
              <w:t xml:space="preserve"> from </w:t>
            </w:r>
            <w:r w:rsidR="00B35643">
              <w:t>WPSCE13LG105.3</w:t>
            </w:r>
            <w:r>
              <w:t>.</w:t>
            </w:r>
          </w:p>
          <w:p w14:paraId="5B3A5BA2" w14:textId="7F719614" w:rsidR="00B35643" w:rsidRPr="00CF07EE" w:rsidRDefault="00CF07EE" w:rsidP="00B35643">
            <w:pPr>
              <w:pStyle w:val="ListParagraph"/>
              <w:numPr>
                <w:ilvl w:val="0"/>
                <w:numId w:val="41"/>
              </w:numPr>
              <w:rPr>
                <w:rFonts w:cstheme="minorHAnsi"/>
                <w:szCs w:val="20"/>
              </w:rPr>
            </w:pPr>
            <w:r>
              <w:rPr>
                <w:rFonts w:cstheme="minorHAnsi"/>
                <w:szCs w:val="20"/>
              </w:rPr>
              <w:t>Updated Costs.</w:t>
            </w:r>
          </w:p>
          <w:p w14:paraId="34F0A8ED" w14:textId="41F55B6C" w:rsidR="007B2275" w:rsidRPr="007B2275" w:rsidRDefault="00CF07EE" w:rsidP="007B2275">
            <w:pPr>
              <w:pStyle w:val="ListParagraph"/>
              <w:numPr>
                <w:ilvl w:val="0"/>
                <w:numId w:val="41"/>
              </w:numPr>
              <w:rPr>
                <w:rFonts w:cstheme="minorHAnsi"/>
                <w:szCs w:val="20"/>
              </w:rPr>
            </w:pPr>
            <w:r>
              <w:rPr>
                <w:rFonts w:cstheme="minorHAnsi"/>
                <w:bCs/>
                <w:szCs w:val="20"/>
              </w:rPr>
              <w:t xml:space="preserve">Added Solution Codes </w:t>
            </w:r>
            <w:r w:rsidR="00136CD5">
              <w:rPr>
                <w:rFonts w:cs="Arial"/>
                <w:szCs w:val="20"/>
              </w:rPr>
              <w:t>LT-</w:t>
            </w:r>
            <w:r>
              <w:rPr>
                <w:rFonts w:cs="Arial"/>
                <w:szCs w:val="20"/>
              </w:rPr>
              <w:t>18927, LT-18928, and LT-18929 for Residential Building Types.</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4558C1DF" w:rsidR="008877AF" w:rsidRPr="00EE4120" w:rsidRDefault="008877AF" w:rsidP="00A84BF9">
            <w:pPr>
              <w:rPr>
                <w:bCs/>
                <w:color w:val="FF0000"/>
              </w:rPr>
            </w:pPr>
          </w:p>
        </w:tc>
        <w:tc>
          <w:tcPr>
            <w:tcW w:w="351" w:type="pct"/>
          </w:tcPr>
          <w:p w14:paraId="23988046" w14:textId="62A74040" w:rsidR="008877AF" w:rsidRPr="00EE4120" w:rsidRDefault="008877AF" w:rsidP="00A84BF9">
            <w:pPr>
              <w:rPr>
                <w:bCs/>
                <w:color w:val="FF0000"/>
                <w:szCs w:val="20"/>
              </w:rPr>
            </w:pPr>
          </w:p>
        </w:tc>
        <w:tc>
          <w:tcPr>
            <w:tcW w:w="548" w:type="pct"/>
          </w:tcPr>
          <w:p w14:paraId="4AB37DB0" w14:textId="1C040E59" w:rsidR="008877AF" w:rsidRPr="00EE4120" w:rsidRDefault="008877AF" w:rsidP="00A84BF9">
            <w:pPr>
              <w:rPr>
                <w:bCs/>
                <w:color w:val="FF0000"/>
                <w:szCs w:val="20"/>
              </w:rPr>
            </w:pPr>
          </w:p>
        </w:tc>
        <w:tc>
          <w:tcPr>
            <w:tcW w:w="552" w:type="pct"/>
          </w:tcPr>
          <w:p w14:paraId="62E998F6" w14:textId="4015B66B" w:rsidR="008877AF" w:rsidRPr="00EE4120" w:rsidRDefault="008877AF" w:rsidP="00A84BF9">
            <w:pPr>
              <w:rPr>
                <w:bCs/>
                <w:color w:val="FF0000"/>
                <w:szCs w:val="20"/>
              </w:rPr>
            </w:pPr>
          </w:p>
        </w:tc>
        <w:tc>
          <w:tcPr>
            <w:tcW w:w="1634" w:type="pct"/>
          </w:tcPr>
          <w:p w14:paraId="369DEEE8" w14:textId="6AA7BD4A" w:rsidR="008877AF" w:rsidRPr="003B77D3" w:rsidRDefault="008877AF" w:rsidP="003B77D3">
            <w:pPr>
              <w:rPr>
                <w:bCs/>
                <w:color w:val="FF0000"/>
                <w:szCs w:val="20"/>
              </w:rPr>
            </w:pPr>
          </w:p>
        </w:tc>
        <w:tc>
          <w:tcPr>
            <w:tcW w:w="1634" w:type="pct"/>
          </w:tcPr>
          <w:p w14:paraId="1ECCFDB6" w14:textId="2B43FF59" w:rsidR="008877AF" w:rsidRPr="003B77D3" w:rsidRDefault="008877AF" w:rsidP="003B77D3">
            <w:pPr>
              <w:rPr>
                <w:bCs/>
                <w:color w:val="FF0000"/>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21B5FEF1"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11"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1"/>
    </w:p>
    <w:p w14:paraId="62291737" w14:textId="77777777" w:rsidR="000C0ED1" w:rsidRDefault="000C0ED1" w:rsidP="000C0ED1">
      <w:pPr>
        <w:pStyle w:val="Reminders"/>
        <w:rPr>
          <w:rFonts w:asciiTheme="minorHAnsi" w:hAnsiTheme="minorHAnsi" w:cstheme="minorHAnsi"/>
          <w:i w:val="0"/>
          <w:color w:val="auto"/>
          <w:szCs w:val="22"/>
        </w:rPr>
      </w:pPr>
      <w:r w:rsidRPr="00267D55">
        <w:rPr>
          <w:rFonts w:asciiTheme="minorHAnsi" w:hAnsiTheme="minorHAnsi" w:cstheme="minorHAnsi"/>
          <w:i w:val="0"/>
          <w:color w:val="auto"/>
          <w:szCs w:val="22"/>
        </w:rPr>
        <w:t>This work paper details the replacement of a low voltage JC bi-pin lamp halogen landscape lighting fixtures ranging from 10-75 Watts typically with LED landscape lighting fixtures in Commercial and Residential sectors.</w:t>
      </w:r>
    </w:p>
    <w:p w14:paraId="5D6C91D7" w14:textId="77777777" w:rsidR="000C0ED1" w:rsidRDefault="000C0ED1"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EB54EF3" w:rsidR="00D85F09" w:rsidRPr="00920905" w:rsidRDefault="00CB4D49" w:rsidP="00920905">
            <w:pPr>
              <w:rPr>
                <w:szCs w:val="20"/>
              </w:rPr>
            </w:pPr>
            <w:r w:rsidRPr="00204E92">
              <w:rPr>
                <w:rFonts w:cs="Arial"/>
                <w:szCs w:val="20"/>
              </w:rPr>
              <w:t>LED Landscape Lighting Fixture</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754F5DE" w:rsidR="00D85F09" w:rsidRPr="00CB4D49" w:rsidRDefault="00CB4D49" w:rsidP="00920905">
            <w:pPr>
              <w:rPr>
                <w:i/>
                <w:szCs w:val="20"/>
              </w:rPr>
            </w:pPr>
            <w:r w:rsidRPr="00CB4D49">
              <w:rPr>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1FF692F" w:rsidR="002344FB" w:rsidRPr="00CB4D49" w:rsidRDefault="00CB4D49">
            <w:pPr>
              <w:rPr>
                <w:szCs w:val="20"/>
              </w:rPr>
            </w:pPr>
            <w:r w:rsidRPr="00CB4D49">
              <w:rPr>
                <w:rFonts w:cs="Arial"/>
                <w:szCs w:val="20"/>
              </w:rPr>
              <w:t>Halogen Landscape Lighting Fixture</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5289D11" w:rsidR="00D85F09" w:rsidRPr="00CB4D49" w:rsidRDefault="00CB4D49" w:rsidP="00920905">
            <w:pPr>
              <w:rPr>
                <w:i/>
                <w:szCs w:val="20"/>
              </w:rPr>
            </w:pPr>
            <w:r w:rsidRPr="00CB4D49">
              <w:rPr>
                <w:szCs w:val="20"/>
              </w:rPr>
              <w:t>N/A</w:t>
            </w:r>
          </w:p>
        </w:tc>
      </w:tr>
    </w:tbl>
    <w:p w14:paraId="3D32C2EF" w14:textId="77777777" w:rsidR="00D85F09" w:rsidRDefault="00D85F09" w:rsidP="00920905">
      <w:pPr>
        <w:pStyle w:val="NoSpacing"/>
      </w:pPr>
    </w:p>
    <w:p w14:paraId="060503A7" w14:textId="0297CA8D" w:rsidR="002C21A6" w:rsidRDefault="002C21A6" w:rsidP="00920905">
      <w:pPr>
        <w:pStyle w:val="NoSpacing"/>
      </w:pPr>
      <w:r>
        <w:t>The measure name indicates “MR16 Basecase” because the MR16 wattage reduction ratio is used for energy savings calculations. The actual base case fixture does not</w:t>
      </w:r>
      <w:r w:rsidR="00687835">
        <w:t xml:space="preserve"> necessarily</w:t>
      </w:r>
      <w:r>
        <w:t xml:space="preserve"> </w:t>
      </w:r>
      <w:r w:rsidR="00687835">
        <w:t>need</w:t>
      </w:r>
      <w:r>
        <w:t xml:space="preserve"> to </w:t>
      </w:r>
      <w:r w:rsidR="00687835">
        <w:t>have</w:t>
      </w:r>
      <w:r>
        <w:t xml:space="preserve"> MR16 lamps.</w:t>
      </w:r>
    </w:p>
    <w:p w14:paraId="0969CE86" w14:textId="77777777" w:rsidR="002C21A6" w:rsidRPr="00800706" w:rsidRDefault="002C21A6"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24"/>
        <w:gridCol w:w="810"/>
        <w:gridCol w:w="991"/>
        <w:gridCol w:w="720"/>
        <w:gridCol w:w="6205"/>
      </w:tblGrid>
      <w:tr w:rsidR="003A3170" w:rsidRPr="00800706" w14:paraId="4040004B" w14:textId="77777777" w:rsidTr="006C0529">
        <w:tc>
          <w:tcPr>
            <w:tcW w:w="1682"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318"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0C70A8">
        <w:tc>
          <w:tcPr>
            <w:tcW w:w="334"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33"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30"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385"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318" w:type="pct"/>
            <w:vMerge/>
          </w:tcPr>
          <w:p w14:paraId="4025F40F" w14:textId="38634C6A" w:rsidR="003A3170" w:rsidRPr="00800706" w:rsidRDefault="003A3170" w:rsidP="005729C8">
            <w:pPr>
              <w:rPr>
                <w:rFonts w:cstheme="minorHAnsi"/>
                <w:szCs w:val="20"/>
              </w:rPr>
            </w:pPr>
          </w:p>
        </w:tc>
      </w:tr>
      <w:tr w:rsidR="00CB4D49" w:rsidRPr="00800706" w14:paraId="0290ADBE" w14:textId="77777777" w:rsidTr="000C70A8">
        <w:trPr>
          <w:trHeight w:val="243"/>
        </w:trPr>
        <w:tc>
          <w:tcPr>
            <w:tcW w:w="334" w:type="pct"/>
          </w:tcPr>
          <w:p w14:paraId="1CE709CC" w14:textId="6E07F57A" w:rsidR="00CB4D49" w:rsidRPr="00CB4D49" w:rsidRDefault="00CB4D49" w:rsidP="00CB4D49">
            <w:pPr>
              <w:rPr>
                <w:rFonts w:cstheme="minorHAnsi"/>
                <w:szCs w:val="20"/>
              </w:rPr>
            </w:pPr>
            <w:r w:rsidRPr="00CB4D49">
              <w:rPr>
                <w:rFonts w:cstheme="minorHAnsi"/>
                <w:szCs w:val="20"/>
              </w:rPr>
              <w:t>N/A</w:t>
            </w:r>
          </w:p>
        </w:tc>
        <w:tc>
          <w:tcPr>
            <w:tcW w:w="433" w:type="pct"/>
          </w:tcPr>
          <w:p w14:paraId="666F9F6A" w14:textId="53F7A548" w:rsidR="00CB4D49" w:rsidRPr="00CB4D49" w:rsidRDefault="00CB4D49" w:rsidP="00CB4D49">
            <w:pPr>
              <w:rPr>
                <w:rFonts w:cstheme="minorHAnsi"/>
                <w:szCs w:val="20"/>
              </w:rPr>
            </w:pPr>
            <w:r w:rsidRPr="00CB4D49">
              <w:rPr>
                <w:rFonts w:cstheme="minorHAnsi"/>
                <w:szCs w:val="20"/>
              </w:rPr>
              <w:t>N/A</w:t>
            </w:r>
          </w:p>
        </w:tc>
        <w:tc>
          <w:tcPr>
            <w:tcW w:w="530" w:type="pct"/>
          </w:tcPr>
          <w:p w14:paraId="63438A36" w14:textId="3E459A7F" w:rsidR="00CB4D49" w:rsidRPr="00CB4D49" w:rsidRDefault="00CB4D49" w:rsidP="00CB4D49">
            <w:pPr>
              <w:rPr>
                <w:rFonts w:cstheme="minorHAnsi"/>
                <w:szCs w:val="20"/>
              </w:rPr>
            </w:pPr>
            <w:r w:rsidRPr="00CB4D49">
              <w:rPr>
                <w:rFonts w:cstheme="minorHAnsi"/>
                <w:szCs w:val="20"/>
              </w:rPr>
              <w:t>LT-27373</w:t>
            </w:r>
          </w:p>
        </w:tc>
        <w:tc>
          <w:tcPr>
            <w:tcW w:w="385" w:type="pct"/>
          </w:tcPr>
          <w:p w14:paraId="311A1841" w14:textId="5012346D" w:rsidR="00CB4D49" w:rsidRPr="00CB4D49" w:rsidRDefault="00CB4D49" w:rsidP="00CB4D49">
            <w:pPr>
              <w:rPr>
                <w:rFonts w:cstheme="minorHAnsi"/>
                <w:szCs w:val="20"/>
              </w:rPr>
            </w:pPr>
            <w:r w:rsidRPr="00CB4D49">
              <w:rPr>
                <w:rFonts w:cstheme="minorHAnsi"/>
                <w:szCs w:val="20"/>
              </w:rPr>
              <w:t>N/A</w:t>
            </w:r>
          </w:p>
        </w:tc>
        <w:tc>
          <w:tcPr>
            <w:tcW w:w="3318" w:type="pct"/>
          </w:tcPr>
          <w:p w14:paraId="512138E6" w14:textId="0F0978D5" w:rsidR="00CB4D49" w:rsidRPr="00920905" w:rsidRDefault="00CB4D49" w:rsidP="00CB4D49">
            <w:pPr>
              <w:rPr>
                <w:color w:val="FF0000"/>
              </w:rPr>
            </w:pPr>
            <w:r w:rsidRPr="00267D55">
              <w:rPr>
                <w:rFonts w:cstheme="minorHAnsi"/>
                <w:szCs w:val="20"/>
              </w:rPr>
              <w:t>LED Landscape Lighting - 5 Watts or Less</w:t>
            </w:r>
            <w:r w:rsidR="006C0529">
              <w:rPr>
                <w:rFonts w:cstheme="minorHAnsi"/>
                <w:szCs w:val="20"/>
              </w:rPr>
              <w:t xml:space="preserve"> replacing </w:t>
            </w:r>
            <w:r w:rsidR="006C0529" w:rsidRPr="006C0529">
              <w:rPr>
                <w:rFonts w:cstheme="minorHAnsi"/>
                <w:szCs w:val="20"/>
              </w:rPr>
              <w:t>MR16 Basecase, Total Watts = 4.24 x Msr Watts</w:t>
            </w:r>
          </w:p>
        </w:tc>
      </w:tr>
      <w:tr w:rsidR="00CB4D49" w:rsidRPr="00800706" w14:paraId="3EC8DDF0" w14:textId="77777777" w:rsidTr="000C70A8">
        <w:trPr>
          <w:trHeight w:val="243"/>
        </w:trPr>
        <w:tc>
          <w:tcPr>
            <w:tcW w:w="334" w:type="pct"/>
          </w:tcPr>
          <w:p w14:paraId="036611DE" w14:textId="426129D4" w:rsidR="00CB4D49" w:rsidRPr="00CB4D49" w:rsidRDefault="00CB4D49" w:rsidP="00CB4D49">
            <w:pPr>
              <w:rPr>
                <w:rFonts w:cstheme="minorHAnsi"/>
                <w:szCs w:val="20"/>
              </w:rPr>
            </w:pPr>
            <w:r w:rsidRPr="00CB4D49">
              <w:rPr>
                <w:rFonts w:cstheme="minorHAnsi"/>
                <w:szCs w:val="20"/>
              </w:rPr>
              <w:t>N/A</w:t>
            </w:r>
          </w:p>
        </w:tc>
        <w:tc>
          <w:tcPr>
            <w:tcW w:w="433" w:type="pct"/>
          </w:tcPr>
          <w:p w14:paraId="7DC81BD5" w14:textId="5E8C93DF" w:rsidR="00CB4D49" w:rsidRPr="00CB4D49" w:rsidRDefault="00CB4D49" w:rsidP="00CB4D49">
            <w:pPr>
              <w:rPr>
                <w:rFonts w:cstheme="minorHAnsi"/>
                <w:szCs w:val="20"/>
              </w:rPr>
            </w:pPr>
            <w:r w:rsidRPr="00CB4D49">
              <w:rPr>
                <w:rFonts w:cstheme="minorHAnsi"/>
                <w:szCs w:val="20"/>
              </w:rPr>
              <w:t>N/A</w:t>
            </w:r>
          </w:p>
        </w:tc>
        <w:tc>
          <w:tcPr>
            <w:tcW w:w="530" w:type="pct"/>
          </w:tcPr>
          <w:p w14:paraId="00E0B555" w14:textId="0F44C0F2" w:rsidR="00CB4D49" w:rsidRPr="00CB4D49" w:rsidRDefault="00CB4D49" w:rsidP="00CB4D49">
            <w:pPr>
              <w:rPr>
                <w:rFonts w:cstheme="minorHAnsi"/>
                <w:szCs w:val="20"/>
              </w:rPr>
            </w:pPr>
            <w:r w:rsidRPr="00CB4D49">
              <w:rPr>
                <w:rFonts w:cstheme="minorHAnsi"/>
                <w:szCs w:val="20"/>
              </w:rPr>
              <w:t>LT-54834</w:t>
            </w:r>
          </w:p>
        </w:tc>
        <w:tc>
          <w:tcPr>
            <w:tcW w:w="385" w:type="pct"/>
          </w:tcPr>
          <w:p w14:paraId="479924EB" w14:textId="4CB862E5" w:rsidR="00CB4D49" w:rsidRPr="00CB4D49" w:rsidRDefault="00CB4D49" w:rsidP="00CB4D49">
            <w:pPr>
              <w:rPr>
                <w:rFonts w:cstheme="minorHAnsi"/>
                <w:szCs w:val="20"/>
              </w:rPr>
            </w:pPr>
            <w:r w:rsidRPr="00CB4D49">
              <w:rPr>
                <w:rFonts w:cstheme="minorHAnsi"/>
                <w:szCs w:val="20"/>
              </w:rPr>
              <w:t>N/A</w:t>
            </w:r>
          </w:p>
        </w:tc>
        <w:tc>
          <w:tcPr>
            <w:tcW w:w="3318" w:type="pct"/>
          </w:tcPr>
          <w:p w14:paraId="592A1733" w14:textId="7303F318" w:rsidR="00CB4D49" w:rsidRPr="00920905" w:rsidRDefault="00CB4D49" w:rsidP="00CB4D49">
            <w:r w:rsidRPr="00267D55">
              <w:rPr>
                <w:rFonts w:cstheme="minorHAnsi"/>
                <w:szCs w:val="20"/>
              </w:rPr>
              <w:t>LED Landscape Lighting - Over 5 Watts to 15 Watts</w:t>
            </w:r>
            <w:r w:rsidR="006C0529">
              <w:rPr>
                <w:rFonts w:cstheme="minorHAnsi"/>
                <w:szCs w:val="20"/>
              </w:rPr>
              <w:t xml:space="preserve"> replacing </w:t>
            </w:r>
            <w:r w:rsidR="006C0529" w:rsidRPr="006C0529">
              <w:rPr>
                <w:rFonts w:cstheme="minorHAnsi"/>
                <w:szCs w:val="20"/>
              </w:rPr>
              <w:t>MR16 Basecase, Total Watts = 4.24 x Msr Watts</w:t>
            </w:r>
          </w:p>
        </w:tc>
      </w:tr>
      <w:tr w:rsidR="00CB4D49" w:rsidRPr="00800706" w14:paraId="4D3EDF3F" w14:textId="77777777" w:rsidTr="000C70A8">
        <w:trPr>
          <w:trHeight w:val="243"/>
        </w:trPr>
        <w:tc>
          <w:tcPr>
            <w:tcW w:w="334" w:type="pct"/>
          </w:tcPr>
          <w:p w14:paraId="389B1788" w14:textId="248E820F" w:rsidR="00CB4D49" w:rsidRPr="00CB4D49" w:rsidRDefault="00CB4D49" w:rsidP="00CB4D49">
            <w:pPr>
              <w:rPr>
                <w:rFonts w:cstheme="minorHAnsi"/>
                <w:szCs w:val="20"/>
              </w:rPr>
            </w:pPr>
            <w:r w:rsidRPr="00CB4D49">
              <w:rPr>
                <w:rFonts w:cstheme="minorHAnsi"/>
                <w:szCs w:val="20"/>
              </w:rPr>
              <w:t>N/A</w:t>
            </w:r>
          </w:p>
        </w:tc>
        <w:tc>
          <w:tcPr>
            <w:tcW w:w="433" w:type="pct"/>
          </w:tcPr>
          <w:p w14:paraId="30E28CF5" w14:textId="5211AE3F" w:rsidR="00CB4D49" w:rsidRPr="00CB4D49" w:rsidRDefault="00CB4D49" w:rsidP="00CB4D49">
            <w:pPr>
              <w:rPr>
                <w:rFonts w:cstheme="minorHAnsi"/>
                <w:szCs w:val="20"/>
              </w:rPr>
            </w:pPr>
            <w:r w:rsidRPr="00CB4D49">
              <w:rPr>
                <w:rFonts w:cstheme="minorHAnsi"/>
                <w:szCs w:val="20"/>
              </w:rPr>
              <w:t>N/A</w:t>
            </w:r>
          </w:p>
        </w:tc>
        <w:tc>
          <w:tcPr>
            <w:tcW w:w="530" w:type="pct"/>
          </w:tcPr>
          <w:p w14:paraId="7E465097" w14:textId="5BAAD057" w:rsidR="00CB4D49" w:rsidRPr="00CB4D49" w:rsidRDefault="00CB4D49" w:rsidP="00CB4D49">
            <w:pPr>
              <w:rPr>
                <w:rFonts w:cstheme="minorHAnsi"/>
                <w:szCs w:val="20"/>
              </w:rPr>
            </w:pPr>
            <w:r w:rsidRPr="00CB4D49">
              <w:rPr>
                <w:rFonts w:cstheme="minorHAnsi"/>
                <w:szCs w:val="20"/>
              </w:rPr>
              <w:t>LT-28343</w:t>
            </w:r>
          </w:p>
        </w:tc>
        <w:tc>
          <w:tcPr>
            <w:tcW w:w="385" w:type="pct"/>
          </w:tcPr>
          <w:p w14:paraId="6A8EBCE5" w14:textId="58B6CFAB" w:rsidR="00CB4D49" w:rsidRPr="00CB4D49" w:rsidRDefault="00CB4D49" w:rsidP="00CB4D49">
            <w:pPr>
              <w:rPr>
                <w:rFonts w:cstheme="minorHAnsi"/>
                <w:szCs w:val="20"/>
              </w:rPr>
            </w:pPr>
            <w:r w:rsidRPr="00CB4D49">
              <w:rPr>
                <w:rFonts w:cstheme="minorHAnsi"/>
                <w:szCs w:val="20"/>
              </w:rPr>
              <w:t>N/A</w:t>
            </w:r>
          </w:p>
        </w:tc>
        <w:tc>
          <w:tcPr>
            <w:tcW w:w="3318" w:type="pct"/>
          </w:tcPr>
          <w:p w14:paraId="00F189C4" w14:textId="7991E5EA" w:rsidR="00CB4D49" w:rsidRPr="00920905" w:rsidRDefault="00CB4D49" w:rsidP="00CB4D49">
            <w:r w:rsidRPr="00267D55">
              <w:rPr>
                <w:rFonts w:cstheme="minorHAnsi"/>
                <w:szCs w:val="20"/>
              </w:rPr>
              <w:t xml:space="preserve">LED Landscape Lighting - Over 15 Watts to </w:t>
            </w:r>
            <w:r>
              <w:rPr>
                <w:rFonts w:cstheme="minorHAnsi"/>
                <w:szCs w:val="20"/>
              </w:rPr>
              <w:t>3</w:t>
            </w:r>
            <w:r w:rsidRPr="00267D55">
              <w:rPr>
                <w:rFonts w:cstheme="minorHAnsi"/>
                <w:szCs w:val="20"/>
              </w:rPr>
              <w:t>0 Watts</w:t>
            </w:r>
            <w:r w:rsidR="006C0529">
              <w:rPr>
                <w:rFonts w:cstheme="minorHAnsi"/>
                <w:szCs w:val="20"/>
              </w:rPr>
              <w:t xml:space="preserve"> replacing </w:t>
            </w:r>
            <w:r w:rsidR="006C0529" w:rsidRPr="006C0529">
              <w:rPr>
                <w:rFonts w:cstheme="minorHAnsi"/>
                <w:szCs w:val="20"/>
              </w:rPr>
              <w:t>MR16 Basecase, Total Watts = 4.24 x Msr Watts</w:t>
            </w:r>
          </w:p>
        </w:tc>
      </w:tr>
      <w:tr w:rsidR="000C70A8" w:rsidRPr="00800706" w14:paraId="2011582B" w14:textId="77777777" w:rsidTr="000C70A8">
        <w:trPr>
          <w:trHeight w:val="243"/>
        </w:trPr>
        <w:tc>
          <w:tcPr>
            <w:tcW w:w="334" w:type="pct"/>
          </w:tcPr>
          <w:p w14:paraId="751D99FE" w14:textId="52C8AD64" w:rsidR="000C70A8" w:rsidRPr="00CB4D49" w:rsidRDefault="000C70A8" w:rsidP="00CB4D49">
            <w:pPr>
              <w:rPr>
                <w:rFonts w:cstheme="minorHAnsi"/>
                <w:szCs w:val="20"/>
              </w:rPr>
            </w:pPr>
            <w:r w:rsidRPr="004401F6">
              <w:t>N/A</w:t>
            </w:r>
          </w:p>
        </w:tc>
        <w:tc>
          <w:tcPr>
            <w:tcW w:w="433" w:type="pct"/>
          </w:tcPr>
          <w:p w14:paraId="0BA9ADB9" w14:textId="4D20F429" w:rsidR="000C70A8" w:rsidRPr="00CB4D49" w:rsidRDefault="000C70A8" w:rsidP="00CB4D49">
            <w:pPr>
              <w:rPr>
                <w:rFonts w:cstheme="minorHAnsi"/>
                <w:szCs w:val="20"/>
              </w:rPr>
            </w:pPr>
            <w:r w:rsidRPr="004401F6">
              <w:t>N/A</w:t>
            </w:r>
          </w:p>
        </w:tc>
        <w:tc>
          <w:tcPr>
            <w:tcW w:w="530" w:type="pct"/>
          </w:tcPr>
          <w:p w14:paraId="077A3CD8" w14:textId="453D8389" w:rsidR="000C70A8" w:rsidRPr="00CB4D49" w:rsidRDefault="000C70A8" w:rsidP="00CB4D49">
            <w:pPr>
              <w:rPr>
                <w:rFonts w:cstheme="minorHAnsi"/>
                <w:szCs w:val="20"/>
              </w:rPr>
            </w:pPr>
            <w:r w:rsidRPr="006E47AD">
              <w:t>LT-18927</w:t>
            </w:r>
          </w:p>
        </w:tc>
        <w:tc>
          <w:tcPr>
            <w:tcW w:w="385" w:type="pct"/>
          </w:tcPr>
          <w:p w14:paraId="777CEB81" w14:textId="24EB26CF" w:rsidR="000C70A8" w:rsidRPr="00CB4D49" w:rsidRDefault="000C70A8" w:rsidP="00CB4D49">
            <w:pPr>
              <w:rPr>
                <w:rFonts w:cstheme="minorHAnsi"/>
                <w:szCs w:val="20"/>
              </w:rPr>
            </w:pPr>
            <w:r w:rsidRPr="00782783">
              <w:t>N/A</w:t>
            </w:r>
          </w:p>
        </w:tc>
        <w:tc>
          <w:tcPr>
            <w:tcW w:w="3318" w:type="pct"/>
          </w:tcPr>
          <w:p w14:paraId="0E63A72E" w14:textId="19685770" w:rsidR="000C70A8" w:rsidRPr="00267D55" w:rsidRDefault="000C70A8" w:rsidP="00CB4D49">
            <w:pPr>
              <w:rPr>
                <w:rFonts w:cstheme="minorHAnsi"/>
                <w:szCs w:val="20"/>
              </w:rPr>
            </w:pPr>
            <w:r w:rsidRPr="00B15D09">
              <w:t>Residential LED Landscape Lighting - 5 Watts or Less replacing MR16 Basecase, Total Watts = 4.24 x Msr Watts</w:t>
            </w:r>
          </w:p>
        </w:tc>
      </w:tr>
      <w:tr w:rsidR="000C70A8" w:rsidRPr="00800706" w14:paraId="1ABBC32F" w14:textId="77777777" w:rsidTr="000C70A8">
        <w:trPr>
          <w:trHeight w:val="243"/>
        </w:trPr>
        <w:tc>
          <w:tcPr>
            <w:tcW w:w="334" w:type="pct"/>
          </w:tcPr>
          <w:p w14:paraId="547035E6" w14:textId="77B0A5F3" w:rsidR="000C70A8" w:rsidRPr="00CB4D49" w:rsidRDefault="000C70A8" w:rsidP="00CB4D49">
            <w:pPr>
              <w:rPr>
                <w:rFonts w:cstheme="minorHAnsi"/>
                <w:szCs w:val="20"/>
              </w:rPr>
            </w:pPr>
            <w:r w:rsidRPr="004401F6">
              <w:t>N/A</w:t>
            </w:r>
          </w:p>
        </w:tc>
        <w:tc>
          <w:tcPr>
            <w:tcW w:w="433" w:type="pct"/>
          </w:tcPr>
          <w:p w14:paraId="6FD08EF2" w14:textId="04439660" w:rsidR="000C70A8" w:rsidRPr="00CB4D49" w:rsidRDefault="000C70A8" w:rsidP="00CB4D49">
            <w:pPr>
              <w:rPr>
                <w:rFonts w:cstheme="minorHAnsi"/>
                <w:szCs w:val="20"/>
              </w:rPr>
            </w:pPr>
            <w:r w:rsidRPr="004401F6">
              <w:t>N/A</w:t>
            </w:r>
          </w:p>
        </w:tc>
        <w:tc>
          <w:tcPr>
            <w:tcW w:w="530" w:type="pct"/>
          </w:tcPr>
          <w:p w14:paraId="2F08C450" w14:textId="63EBE9C5" w:rsidR="000C70A8" w:rsidRPr="00CB4D49" w:rsidRDefault="000C70A8" w:rsidP="00CB4D49">
            <w:pPr>
              <w:rPr>
                <w:rFonts w:cstheme="minorHAnsi"/>
                <w:szCs w:val="20"/>
              </w:rPr>
            </w:pPr>
            <w:r w:rsidRPr="006E47AD">
              <w:t>LT-18928</w:t>
            </w:r>
          </w:p>
        </w:tc>
        <w:tc>
          <w:tcPr>
            <w:tcW w:w="385" w:type="pct"/>
          </w:tcPr>
          <w:p w14:paraId="7E600833" w14:textId="6C3C9283" w:rsidR="000C70A8" w:rsidRPr="00CB4D49" w:rsidRDefault="000C70A8" w:rsidP="00CB4D49">
            <w:pPr>
              <w:rPr>
                <w:rFonts w:cstheme="minorHAnsi"/>
                <w:szCs w:val="20"/>
              </w:rPr>
            </w:pPr>
            <w:r w:rsidRPr="00782783">
              <w:t>N/A</w:t>
            </w:r>
          </w:p>
        </w:tc>
        <w:tc>
          <w:tcPr>
            <w:tcW w:w="3318" w:type="pct"/>
          </w:tcPr>
          <w:p w14:paraId="4527963F" w14:textId="52EF20E7" w:rsidR="000C70A8" w:rsidRPr="00267D55" w:rsidRDefault="000C70A8" w:rsidP="00CB4D49">
            <w:pPr>
              <w:rPr>
                <w:rFonts w:cstheme="minorHAnsi"/>
                <w:szCs w:val="20"/>
              </w:rPr>
            </w:pPr>
            <w:r w:rsidRPr="00B15D09">
              <w:t>Residential LED Landscape Lighting - Over 5 Watts to 15 Watts replacing MR16 Basecase, Total Watts = 4.24 x Msr Watts</w:t>
            </w:r>
          </w:p>
        </w:tc>
      </w:tr>
      <w:tr w:rsidR="000C70A8" w:rsidRPr="00800706" w14:paraId="47E336FB" w14:textId="77777777" w:rsidTr="000C70A8">
        <w:trPr>
          <w:trHeight w:val="243"/>
        </w:trPr>
        <w:tc>
          <w:tcPr>
            <w:tcW w:w="334" w:type="pct"/>
          </w:tcPr>
          <w:p w14:paraId="303BA2D0" w14:textId="4EDB4633" w:rsidR="000C70A8" w:rsidRPr="00CB4D49" w:rsidRDefault="000C70A8" w:rsidP="00CB4D49">
            <w:pPr>
              <w:rPr>
                <w:rFonts w:cstheme="minorHAnsi"/>
                <w:szCs w:val="20"/>
              </w:rPr>
            </w:pPr>
            <w:r w:rsidRPr="004401F6">
              <w:t>N/A</w:t>
            </w:r>
          </w:p>
        </w:tc>
        <w:tc>
          <w:tcPr>
            <w:tcW w:w="433" w:type="pct"/>
          </w:tcPr>
          <w:p w14:paraId="7AE1DD00" w14:textId="2FEC8D4F" w:rsidR="000C70A8" w:rsidRPr="00CB4D49" w:rsidRDefault="000C70A8" w:rsidP="00CB4D49">
            <w:pPr>
              <w:rPr>
                <w:rFonts w:cstheme="minorHAnsi"/>
                <w:szCs w:val="20"/>
              </w:rPr>
            </w:pPr>
            <w:r w:rsidRPr="004401F6">
              <w:t>N/A</w:t>
            </w:r>
          </w:p>
        </w:tc>
        <w:tc>
          <w:tcPr>
            <w:tcW w:w="530" w:type="pct"/>
          </w:tcPr>
          <w:p w14:paraId="45E8483A" w14:textId="6C7423F3" w:rsidR="000C70A8" w:rsidRPr="00CB4D49" w:rsidRDefault="000C70A8" w:rsidP="00CB4D49">
            <w:pPr>
              <w:rPr>
                <w:rFonts w:cstheme="minorHAnsi"/>
                <w:szCs w:val="20"/>
              </w:rPr>
            </w:pPr>
            <w:r w:rsidRPr="006E47AD">
              <w:t>LT-18929</w:t>
            </w:r>
          </w:p>
        </w:tc>
        <w:tc>
          <w:tcPr>
            <w:tcW w:w="385" w:type="pct"/>
          </w:tcPr>
          <w:p w14:paraId="7B27C33E" w14:textId="6ACD9815" w:rsidR="000C70A8" w:rsidRPr="00CB4D49" w:rsidRDefault="000C70A8" w:rsidP="00CB4D49">
            <w:pPr>
              <w:rPr>
                <w:rFonts w:cstheme="minorHAnsi"/>
                <w:szCs w:val="20"/>
              </w:rPr>
            </w:pPr>
            <w:r w:rsidRPr="00782783">
              <w:t>N/A</w:t>
            </w:r>
          </w:p>
        </w:tc>
        <w:tc>
          <w:tcPr>
            <w:tcW w:w="3318" w:type="pct"/>
          </w:tcPr>
          <w:p w14:paraId="3F7A0A20" w14:textId="3ACE271E" w:rsidR="000C70A8" w:rsidRPr="00267D55" w:rsidRDefault="000C70A8" w:rsidP="00CB4D49">
            <w:pPr>
              <w:rPr>
                <w:rFonts w:cstheme="minorHAnsi"/>
                <w:szCs w:val="20"/>
              </w:rPr>
            </w:pPr>
            <w:r w:rsidRPr="00B15D09">
              <w:t>Residential LED Landscape Lighting - Over 15 Watts to 30 Watts replacing MR16 Basecase, Total Watts = 4.24 x Msr Watts</w:t>
            </w:r>
          </w:p>
        </w:tc>
      </w:tr>
    </w:tbl>
    <w:p w14:paraId="3AF714EF" w14:textId="77777777" w:rsidR="00760CDC" w:rsidRDefault="00760CDC" w:rsidP="00697868">
      <w:pPr>
        <w:pStyle w:val="Reminders"/>
        <w:rPr>
          <w:rFonts w:asciiTheme="minorHAnsi" w:hAnsiTheme="minorHAnsi" w:cstheme="minorHAnsi"/>
          <w:i w:val="0"/>
          <w:szCs w:val="22"/>
        </w:rPr>
      </w:pPr>
    </w:p>
    <w:p w14:paraId="2B6786C1" w14:textId="77777777" w:rsidR="000C0ED1" w:rsidRPr="00D20690" w:rsidRDefault="000C0ED1" w:rsidP="000C0ED1">
      <w:pPr>
        <w:pStyle w:val="Reminders"/>
        <w:rPr>
          <w:rFonts w:asciiTheme="minorHAnsi" w:hAnsiTheme="minorHAnsi" w:cstheme="minorHAnsi"/>
          <w:i w:val="0"/>
          <w:color w:val="auto"/>
          <w:szCs w:val="22"/>
        </w:rPr>
      </w:pPr>
      <w:r w:rsidRPr="00D20690">
        <w:rPr>
          <w:rFonts w:asciiTheme="minorHAnsi" w:hAnsiTheme="minorHAnsi" w:cstheme="minorHAnsi"/>
          <w:i w:val="0"/>
          <w:color w:val="auto"/>
          <w:szCs w:val="22"/>
        </w:rPr>
        <w:t xml:space="preserve">The measures in </w:t>
      </w:r>
      <w:r>
        <w:rPr>
          <w:rFonts w:asciiTheme="minorHAnsi" w:hAnsiTheme="minorHAnsi" w:cstheme="minorHAnsi"/>
          <w:i w:val="0"/>
          <w:color w:val="auto"/>
          <w:szCs w:val="22"/>
        </w:rPr>
        <w:t>this work paper are eligible in all building types (exterior) and climate zones. Fixtures must be listed on the DLC’s Qualified Products List (QPL) under the application “Landscape/Accent Floor and Spot Luminaires” to qualify for incentives. The base case must be a halogen based lamp.</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5B4CFC7D" w14:textId="77777777" w:rsidR="000C0ED1" w:rsidRPr="00D20690" w:rsidRDefault="000C0ED1" w:rsidP="000C0ED1">
      <w:pPr>
        <w:pStyle w:val="Reminders"/>
        <w:tabs>
          <w:tab w:val="num" w:pos="360"/>
        </w:tabs>
        <w:rPr>
          <w:rFonts w:asciiTheme="minorHAnsi" w:hAnsiTheme="minorHAnsi" w:cstheme="minorHAnsi"/>
          <w:i w:val="0"/>
          <w:color w:val="auto"/>
          <w:szCs w:val="22"/>
        </w:rPr>
      </w:pPr>
      <w:r w:rsidRPr="00D20690">
        <w:rPr>
          <w:rFonts w:asciiTheme="minorHAnsi" w:hAnsiTheme="minorHAnsi" w:cstheme="minorHAnsi"/>
          <w:i w:val="0"/>
          <w:color w:val="auto"/>
          <w:szCs w:val="22"/>
        </w:rPr>
        <w:t xml:space="preserve">LED landscape lighting fixture is intended to illuminate but not limited to gardens and landscapes in exterior of the building. This enhances safety but is primarily used for aesthetics.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7DD09AF8" w14:textId="77777777" w:rsidR="00136CD5" w:rsidRDefault="00136CD5" w:rsidP="000C0ED1">
      <w:pPr>
        <w:pStyle w:val="NoSpacing"/>
      </w:pPr>
    </w:p>
    <w:p w14:paraId="336CD4E9" w14:textId="77777777" w:rsidR="000C0ED1" w:rsidRDefault="000C0ED1" w:rsidP="000C0ED1">
      <w:pPr>
        <w:pStyle w:val="NoSpacing"/>
      </w:pPr>
      <w:r>
        <w:t>The delivery method is</w:t>
      </w:r>
      <w:r w:rsidRPr="00CB4445">
        <w:t xml:space="preserve">: </w:t>
      </w:r>
    </w:p>
    <w:p w14:paraId="6F60AABD" w14:textId="04AD828A" w:rsidR="000C0ED1" w:rsidRDefault="000C0ED1" w:rsidP="000C0ED1">
      <w:pPr>
        <w:pStyle w:val="NoSpacing"/>
        <w:ind w:left="720"/>
        <w:rPr>
          <w:b/>
        </w:rPr>
      </w:pPr>
      <w:r>
        <w:rPr>
          <w:b/>
        </w:rPr>
        <w:lastRenderedPageBreak/>
        <w:t>Financial Support – Downstream Incentive – Deemed</w:t>
      </w:r>
      <w:r w:rsidR="000C70A8">
        <w:rPr>
          <w:b/>
        </w:rPr>
        <w:t xml:space="preserve"> and Mid</w:t>
      </w:r>
      <w:r w:rsidR="00862F24">
        <w:rPr>
          <w:b/>
        </w:rPr>
        <w:t>-</w:t>
      </w:r>
      <w:r w:rsidR="000C70A8">
        <w:rPr>
          <w:b/>
        </w:rPr>
        <w:t xml:space="preserve">Stream </w:t>
      </w:r>
      <w:r w:rsidR="00862F24">
        <w:rPr>
          <w:b/>
        </w:rPr>
        <w:t xml:space="preserve">for codes </w:t>
      </w:r>
      <w:r w:rsidR="00862F24" w:rsidRPr="00862F24">
        <w:rPr>
          <w:b/>
        </w:rPr>
        <w:t>LT-27373, LT-54834, and LT-28343</w:t>
      </w:r>
      <w:r w:rsidR="00862F24">
        <w:rPr>
          <w:b/>
        </w:rPr>
        <w:t>.</w:t>
      </w:r>
    </w:p>
    <w:p w14:paraId="11EE793B" w14:textId="4A959847" w:rsidR="00862F24" w:rsidRDefault="00862F24" w:rsidP="000C0ED1">
      <w:pPr>
        <w:pStyle w:val="NoSpacing"/>
        <w:ind w:left="720"/>
        <w:rPr>
          <w:b/>
        </w:rPr>
      </w:pPr>
      <w:r>
        <w:rPr>
          <w:b/>
        </w:rPr>
        <w:t xml:space="preserve">Financial Support – Downstream Incentive – Deemed for solution codes </w:t>
      </w:r>
      <w:r w:rsidRPr="00862F24">
        <w:rPr>
          <w:b/>
        </w:rPr>
        <w:t>LT- 18927, LT-18928, and LT-18929.</w:t>
      </w:r>
    </w:p>
    <w:p w14:paraId="797016F4" w14:textId="77777777" w:rsidR="000C0ED1" w:rsidRDefault="000C0ED1" w:rsidP="000C0ED1">
      <w:pPr>
        <w:rPr>
          <w:rFonts w:ascii="Calibri" w:hAnsi="Calibri" w:cs="Calibri"/>
          <w:szCs w:val="22"/>
        </w:rPr>
      </w:pPr>
    </w:p>
    <w:p w14:paraId="7FC7CA5C" w14:textId="77777777" w:rsidR="000C0ED1" w:rsidRDefault="000C0ED1" w:rsidP="000C0ED1">
      <w:pPr>
        <w:rPr>
          <w:rFonts w:ascii="Calibri" w:hAnsi="Calibri" w:cs="Calibri"/>
          <w:szCs w:val="22"/>
        </w:rPr>
      </w:pPr>
      <w:r w:rsidRPr="00CA7669">
        <w:rPr>
          <w:rFonts w:ascii="Calibri" w:hAnsi="Calibri" w:cs="Calibri"/>
          <w:szCs w:val="22"/>
        </w:rPr>
        <w:t>The install type is</w:t>
      </w:r>
      <w:r>
        <w:rPr>
          <w:rFonts w:ascii="Calibri" w:hAnsi="Calibri" w:cs="Calibri"/>
          <w:szCs w:val="22"/>
        </w:rPr>
        <w:t>:</w:t>
      </w:r>
    </w:p>
    <w:p w14:paraId="2EAB372A" w14:textId="77777777" w:rsidR="000C0ED1" w:rsidRPr="00CB4445" w:rsidRDefault="000C0ED1" w:rsidP="000C0ED1">
      <w:pPr>
        <w:ind w:left="360" w:firstLine="360"/>
        <w:rPr>
          <w:rFonts w:ascii="Calibri" w:hAnsi="Calibri" w:cs="Calibri"/>
          <w:b/>
          <w:szCs w:val="22"/>
        </w:rPr>
      </w:pPr>
      <w:r w:rsidRPr="00CB4445">
        <w:rPr>
          <w:rFonts w:ascii="Calibri" w:hAnsi="Calibri" w:cs="Calibri"/>
          <w:b/>
          <w:szCs w:val="22"/>
        </w:rPr>
        <w:t>Replace on Burnout (ROB)</w:t>
      </w:r>
    </w:p>
    <w:p w14:paraId="5CAE2B59" w14:textId="20C1EF18" w:rsidR="000C0ED1" w:rsidRDefault="000C0ED1" w:rsidP="000C0ED1">
      <w:pPr>
        <w:pStyle w:val="ListParagraph"/>
        <w:rPr>
          <w:rFonts w:ascii="Calibri" w:hAnsi="Calibri" w:cs="Calibri"/>
          <w:szCs w:val="22"/>
        </w:rPr>
      </w:pPr>
      <w:r w:rsidRPr="00293407">
        <w:rPr>
          <w:rFonts w:ascii="Calibri" w:hAnsi="Calibri" w:cs="Calibri"/>
          <w:szCs w:val="22"/>
        </w:rPr>
        <w:t xml:space="preserve">ROB measures replace existing equipment with more energy efficient equipment when the existing equipment has failed or passed its useful life.  </w:t>
      </w:r>
    </w:p>
    <w:p w14:paraId="7130ACAF" w14:textId="58A8BED7" w:rsidR="000C0ED1" w:rsidRDefault="000C0ED1" w:rsidP="000C0ED1">
      <w:pPr>
        <w:pStyle w:val="NoSpacing"/>
      </w:pPr>
    </w:p>
    <w:p w14:paraId="6D9C3B45" w14:textId="5D3F0D3C" w:rsidR="001B2301" w:rsidRPr="00920905" w:rsidRDefault="00C05AAF" w:rsidP="003F626F">
      <w:pPr>
        <w:pStyle w:val="NoSpacing"/>
        <w:keepNext/>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3F626F">
            <w:pPr>
              <w:keepNext/>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3F626F">
            <w:pPr>
              <w:keepNext/>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3F626F">
            <w:pPr>
              <w:keepNext/>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3F626F">
            <w:pPr>
              <w:keepNext/>
              <w:rPr>
                <w:sz w:val="18"/>
                <w:szCs w:val="18"/>
              </w:rPr>
            </w:pPr>
          </w:p>
        </w:tc>
        <w:tc>
          <w:tcPr>
            <w:tcW w:w="1107" w:type="pct"/>
            <w:shd w:val="clear" w:color="auto" w:fill="F2F2F2" w:themeFill="background1" w:themeFillShade="F2"/>
          </w:tcPr>
          <w:p w14:paraId="07B6F8DD" w14:textId="77777777" w:rsidR="006F1B21" w:rsidRPr="00920905" w:rsidRDefault="006F1B21" w:rsidP="003F626F">
            <w:pPr>
              <w:keepNext/>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3F626F">
            <w:pPr>
              <w:keepNext/>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3F626F">
            <w:pPr>
              <w:keepNext/>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3F626F">
            <w:pPr>
              <w:keepNext/>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rsidP="003F626F">
            <w:pPr>
              <w:keepNext/>
              <w:rPr>
                <w:sz w:val="18"/>
                <w:szCs w:val="18"/>
              </w:rPr>
            </w:pPr>
            <w:r w:rsidRPr="00500C4E">
              <w:rPr>
                <w:sz w:val="18"/>
                <w:szCs w:val="18"/>
              </w:rPr>
              <w:t>Replace on Burnout (ROB)</w:t>
            </w:r>
          </w:p>
        </w:tc>
        <w:tc>
          <w:tcPr>
            <w:tcW w:w="1107" w:type="pct"/>
          </w:tcPr>
          <w:p w14:paraId="25E28290" w14:textId="77777777" w:rsidR="006F1B21" w:rsidRPr="00500C4E" w:rsidRDefault="006F1B21" w:rsidP="003F626F">
            <w:pPr>
              <w:keepNext/>
              <w:rPr>
                <w:sz w:val="18"/>
                <w:szCs w:val="18"/>
              </w:rPr>
            </w:pPr>
            <w:r w:rsidRPr="00500C4E">
              <w:rPr>
                <w:sz w:val="18"/>
                <w:szCs w:val="18"/>
              </w:rPr>
              <w:t>Above Code or Standard</w:t>
            </w:r>
          </w:p>
        </w:tc>
        <w:tc>
          <w:tcPr>
            <w:tcW w:w="1108" w:type="pct"/>
          </w:tcPr>
          <w:p w14:paraId="7DB79651" w14:textId="77777777" w:rsidR="006F1B21" w:rsidRPr="00500C4E" w:rsidRDefault="006F1B21" w:rsidP="003F626F">
            <w:pPr>
              <w:keepNext/>
              <w:rPr>
                <w:sz w:val="18"/>
                <w:szCs w:val="18"/>
              </w:rPr>
            </w:pPr>
            <w:r w:rsidRPr="00500C4E">
              <w:rPr>
                <w:sz w:val="18"/>
                <w:szCs w:val="18"/>
              </w:rPr>
              <w:t>N/A</w:t>
            </w:r>
          </w:p>
        </w:tc>
        <w:tc>
          <w:tcPr>
            <w:tcW w:w="481" w:type="pct"/>
          </w:tcPr>
          <w:p w14:paraId="21546C1B" w14:textId="77777777" w:rsidR="006F1B21" w:rsidRPr="00500C4E" w:rsidRDefault="006F1B21" w:rsidP="003F626F">
            <w:pPr>
              <w:keepNext/>
              <w:rPr>
                <w:sz w:val="18"/>
                <w:szCs w:val="18"/>
              </w:rPr>
            </w:pPr>
            <w:r w:rsidRPr="00500C4E">
              <w:rPr>
                <w:sz w:val="18"/>
                <w:szCs w:val="18"/>
              </w:rPr>
              <w:t>EUL</w:t>
            </w:r>
          </w:p>
        </w:tc>
        <w:tc>
          <w:tcPr>
            <w:tcW w:w="526" w:type="pct"/>
          </w:tcPr>
          <w:p w14:paraId="3EC40DB8" w14:textId="1BEAB6C3" w:rsidR="006F1B21" w:rsidRPr="00500C4E" w:rsidRDefault="006F1B21" w:rsidP="003F626F">
            <w:pPr>
              <w:keepNext/>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bl>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3" w:name="_Toc385592671"/>
      <w:bookmarkStart w:id="14" w:name="_Toc214003087"/>
      <w:r w:rsidRPr="00920905">
        <w:rPr>
          <w:rFonts w:cs="Arial"/>
          <w:szCs w:val="22"/>
        </w:rPr>
        <w:t>DEER Difference Summary</w:t>
      </w:r>
      <w:bookmarkEnd w:id="13"/>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CA247A1" w:rsidR="00E326BA" w:rsidRPr="000C64DE" w:rsidRDefault="000C64DE" w:rsidP="00920905">
            <w:pPr>
              <w:rPr>
                <w:rFonts w:cs="Arial"/>
                <w:b/>
                <w:szCs w:val="20"/>
              </w:rPr>
            </w:pPr>
            <w:r w:rsidRPr="000C64DE">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73F4DBC6" w:rsidR="00E326BA" w:rsidRPr="000C64DE" w:rsidRDefault="000C64DE" w:rsidP="00920905">
            <w:pPr>
              <w:rPr>
                <w:rFonts w:cs="Arial"/>
                <w:szCs w:val="20"/>
              </w:rPr>
            </w:pPr>
            <w:r w:rsidRPr="000C64DE">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1BB76B28" w:rsidR="00E326BA" w:rsidRPr="000C64DE" w:rsidRDefault="000C64DE" w:rsidP="00920905">
            <w:pPr>
              <w:rPr>
                <w:rFonts w:cs="Arial"/>
                <w:szCs w:val="20"/>
              </w:rPr>
            </w:pPr>
            <w:r w:rsidRPr="000C64DE">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6B6E605" w:rsidR="00E326BA" w:rsidRPr="000C64DE" w:rsidRDefault="000C64DE" w:rsidP="00920905">
            <w:pPr>
              <w:rPr>
                <w:rFonts w:cs="Arial"/>
                <w:szCs w:val="20"/>
              </w:rPr>
            </w:pPr>
            <w:r w:rsidRPr="000C64DE">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C06598C" w:rsidR="00E326BA" w:rsidRPr="000C64DE" w:rsidRDefault="000C64DE" w:rsidP="00920905">
            <w:pPr>
              <w:rPr>
                <w:rFonts w:cs="Arial"/>
                <w:szCs w:val="20"/>
              </w:rPr>
            </w:pPr>
            <w:r w:rsidRPr="000C64DE">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7A5A7D2D" w:rsidR="00E326BA" w:rsidRPr="000C64DE" w:rsidRDefault="000C64DE" w:rsidP="00920905">
            <w:pPr>
              <w:rPr>
                <w:rFonts w:cs="Arial"/>
                <w:szCs w:val="20"/>
              </w:rPr>
            </w:pPr>
            <w:r w:rsidRPr="000C64DE">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3EC67940" w:rsidR="00505CEC" w:rsidRPr="000C64DE" w:rsidDel="00505CEC" w:rsidRDefault="000C64DE" w:rsidP="00920905">
            <w:pPr>
              <w:rPr>
                <w:rFonts w:cs="Arial"/>
                <w:szCs w:val="20"/>
              </w:rPr>
            </w:pPr>
            <w:r w:rsidRPr="000C64DE">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39991F37" w:rsidR="00D86A9D" w:rsidRPr="000C64DE" w:rsidRDefault="000C64DE" w:rsidP="00416E34">
            <w:pPr>
              <w:rPr>
                <w:rFonts w:cs="Arial"/>
                <w:szCs w:val="20"/>
              </w:rPr>
            </w:pPr>
            <w:r w:rsidRPr="000C64DE">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424F66CF" w:rsidR="00E326BA" w:rsidRPr="000C64DE" w:rsidRDefault="00E326BA" w:rsidP="00920905">
            <w:pPr>
              <w:rPr>
                <w:rFonts w:cs="Arial"/>
                <w:szCs w:val="20"/>
              </w:rPr>
            </w:pPr>
            <w:r w:rsidRPr="000C64DE">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3763238" w:rsidR="00E326BA" w:rsidRPr="000C64DE" w:rsidRDefault="000C64DE" w:rsidP="00920905">
            <w:pPr>
              <w:rPr>
                <w:rFonts w:cs="Arial"/>
                <w:szCs w:val="20"/>
              </w:rPr>
            </w:pPr>
            <w:r w:rsidRPr="000C64DE">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6C1FC355"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19958C71" w14:textId="77777777" w:rsidR="003F626F" w:rsidRPr="00920905" w:rsidRDefault="003F626F"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C8B04BC" w14:textId="77777777" w:rsidTr="00920905">
        <w:tc>
          <w:tcPr>
            <w:tcW w:w="673" w:type="pct"/>
          </w:tcPr>
          <w:p w14:paraId="28722997" w14:textId="77777777" w:rsidR="00907697" w:rsidRPr="000C0ED1" w:rsidRDefault="00907697" w:rsidP="005729C8">
            <w:pPr>
              <w:rPr>
                <w:szCs w:val="20"/>
              </w:rPr>
            </w:pPr>
            <w:r w:rsidRPr="000C0ED1">
              <w:rPr>
                <w:szCs w:val="20"/>
              </w:rPr>
              <w:t>Res-Default&gt;2</w:t>
            </w:r>
          </w:p>
        </w:tc>
        <w:tc>
          <w:tcPr>
            <w:tcW w:w="2019" w:type="pct"/>
          </w:tcPr>
          <w:p w14:paraId="3EB26158" w14:textId="77777777" w:rsidR="00907697" w:rsidRPr="000C0ED1" w:rsidRDefault="00907697" w:rsidP="005729C8">
            <w:pPr>
              <w:rPr>
                <w:szCs w:val="20"/>
              </w:rPr>
            </w:pPr>
            <w:r w:rsidRPr="000C0ED1">
              <w:rPr>
                <w:szCs w:val="20"/>
              </w:rPr>
              <w:t>All other EEM with no evaluated NTGR; existing EEM with same delivery mechanism for more than 2 years</w:t>
            </w:r>
          </w:p>
        </w:tc>
        <w:tc>
          <w:tcPr>
            <w:tcW w:w="434" w:type="pct"/>
          </w:tcPr>
          <w:p w14:paraId="5C4D3E7D" w14:textId="77777777" w:rsidR="00907697" w:rsidRPr="000C0ED1" w:rsidRDefault="00907697" w:rsidP="005729C8">
            <w:pPr>
              <w:rPr>
                <w:szCs w:val="20"/>
              </w:rPr>
            </w:pPr>
            <w:r w:rsidRPr="000C0ED1">
              <w:rPr>
                <w:szCs w:val="20"/>
              </w:rPr>
              <w:t>Res</w:t>
            </w:r>
          </w:p>
        </w:tc>
        <w:tc>
          <w:tcPr>
            <w:tcW w:w="529" w:type="pct"/>
          </w:tcPr>
          <w:p w14:paraId="1A63333B" w14:textId="77777777" w:rsidR="00907697" w:rsidRPr="000C0ED1" w:rsidRDefault="00907697" w:rsidP="005729C8">
            <w:pPr>
              <w:rPr>
                <w:szCs w:val="20"/>
              </w:rPr>
            </w:pPr>
            <w:r w:rsidRPr="000C0ED1">
              <w:rPr>
                <w:szCs w:val="20"/>
              </w:rPr>
              <w:t>Any</w:t>
            </w:r>
          </w:p>
        </w:tc>
        <w:tc>
          <w:tcPr>
            <w:tcW w:w="915" w:type="pct"/>
          </w:tcPr>
          <w:p w14:paraId="6AB10E89" w14:textId="77777777" w:rsidR="00907697" w:rsidRPr="000C0ED1" w:rsidRDefault="00907697" w:rsidP="005729C8">
            <w:pPr>
              <w:rPr>
                <w:szCs w:val="20"/>
              </w:rPr>
            </w:pPr>
            <w:r w:rsidRPr="000C0ED1">
              <w:rPr>
                <w:szCs w:val="20"/>
              </w:rPr>
              <w:t>Any</w:t>
            </w:r>
          </w:p>
        </w:tc>
        <w:tc>
          <w:tcPr>
            <w:tcW w:w="430" w:type="pct"/>
          </w:tcPr>
          <w:p w14:paraId="25878F23" w14:textId="77777777" w:rsidR="00907697" w:rsidRPr="000C0ED1" w:rsidRDefault="00907697" w:rsidP="005729C8">
            <w:pPr>
              <w:rPr>
                <w:szCs w:val="20"/>
              </w:rPr>
            </w:pPr>
            <w:r w:rsidRPr="000C0ED1">
              <w:rPr>
                <w:szCs w:val="20"/>
              </w:rPr>
              <w:t>0.55</w:t>
            </w:r>
          </w:p>
        </w:tc>
      </w:tr>
      <w:tr w:rsidR="005F69D5" w:rsidRPr="00500C4E" w14:paraId="4A5E1950" w14:textId="77777777" w:rsidTr="00920905">
        <w:tc>
          <w:tcPr>
            <w:tcW w:w="673" w:type="pct"/>
          </w:tcPr>
          <w:p w14:paraId="00952921" w14:textId="77777777" w:rsidR="00907697" w:rsidRPr="000C0ED1" w:rsidRDefault="00907697" w:rsidP="005729C8">
            <w:pPr>
              <w:rPr>
                <w:szCs w:val="20"/>
              </w:rPr>
            </w:pPr>
            <w:r w:rsidRPr="000C0ED1">
              <w:rPr>
                <w:szCs w:val="20"/>
              </w:rPr>
              <w:t>Com-Default&gt;2yrs</w:t>
            </w:r>
          </w:p>
        </w:tc>
        <w:tc>
          <w:tcPr>
            <w:tcW w:w="2019" w:type="pct"/>
          </w:tcPr>
          <w:p w14:paraId="755799BF" w14:textId="77777777" w:rsidR="00907697" w:rsidRPr="000C0ED1" w:rsidRDefault="00907697" w:rsidP="005729C8">
            <w:pPr>
              <w:rPr>
                <w:szCs w:val="20"/>
              </w:rPr>
            </w:pPr>
            <w:r w:rsidRPr="000C0ED1">
              <w:rPr>
                <w:szCs w:val="20"/>
              </w:rPr>
              <w:t>All other EEMs with no evaluated NTGR; existing EEM in programs with same delivery mechanism for more than 2 years</w:t>
            </w:r>
          </w:p>
        </w:tc>
        <w:tc>
          <w:tcPr>
            <w:tcW w:w="434" w:type="pct"/>
          </w:tcPr>
          <w:p w14:paraId="3CB22E86" w14:textId="77777777" w:rsidR="00907697" w:rsidRPr="000C0ED1" w:rsidRDefault="00907697" w:rsidP="005729C8">
            <w:pPr>
              <w:rPr>
                <w:szCs w:val="20"/>
              </w:rPr>
            </w:pPr>
            <w:r w:rsidRPr="000C0ED1">
              <w:rPr>
                <w:szCs w:val="20"/>
              </w:rPr>
              <w:t>Com</w:t>
            </w:r>
          </w:p>
        </w:tc>
        <w:tc>
          <w:tcPr>
            <w:tcW w:w="529" w:type="pct"/>
          </w:tcPr>
          <w:p w14:paraId="1AAF8C8B" w14:textId="77777777" w:rsidR="00907697" w:rsidRPr="000C0ED1" w:rsidRDefault="00907697" w:rsidP="005729C8">
            <w:pPr>
              <w:rPr>
                <w:szCs w:val="20"/>
              </w:rPr>
            </w:pPr>
            <w:r w:rsidRPr="000C0ED1">
              <w:rPr>
                <w:szCs w:val="20"/>
              </w:rPr>
              <w:t>Any</w:t>
            </w:r>
          </w:p>
        </w:tc>
        <w:tc>
          <w:tcPr>
            <w:tcW w:w="915" w:type="pct"/>
          </w:tcPr>
          <w:p w14:paraId="5BAF7D5F" w14:textId="77777777" w:rsidR="00907697" w:rsidRPr="000C0ED1" w:rsidRDefault="00907697" w:rsidP="005729C8">
            <w:pPr>
              <w:rPr>
                <w:szCs w:val="20"/>
              </w:rPr>
            </w:pPr>
            <w:r w:rsidRPr="000C0ED1">
              <w:rPr>
                <w:szCs w:val="20"/>
              </w:rPr>
              <w:t>Any</w:t>
            </w:r>
          </w:p>
        </w:tc>
        <w:tc>
          <w:tcPr>
            <w:tcW w:w="430" w:type="pct"/>
          </w:tcPr>
          <w:p w14:paraId="76698D49" w14:textId="77777777" w:rsidR="00907697" w:rsidRPr="000C0ED1" w:rsidRDefault="00907697" w:rsidP="005729C8">
            <w:pPr>
              <w:rPr>
                <w:szCs w:val="20"/>
              </w:rPr>
            </w:pPr>
            <w:r w:rsidRPr="000C0ED1">
              <w:rPr>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3AEFCD58" w14:textId="77777777" w:rsidTr="00920905">
        <w:tc>
          <w:tcPr>
            <w:tcW w:w="722" w:type="pct"/>
          </w:tcPr>
          <w:p w14:paraId="20565B79" w14:textId="77777777" w:rsidR="002F4E34" w:rsidRPr="000C0ED1" w:rsidRDefault="002F4E34" w:rsidP="005729C8">
            <w:pPr>
              <w:rPr>
                <w:szCs w:val="20"/>
              </w:rPr>
            </w:pPr>
            <w:r w:rsidRPr="000C0ED1">
              <w:rPr>
                <w:szCs w:val="20"/>
              </w:rPr>
              <w:t>Def-GSIA</w:t>
            </w:r>
          </w:p>
        </w:tc>
        <w:tc>
          <w:tcPr>
            <w:tcW w:w="1404" w:type="pct"/>
          </w:tcPr>
          <w:p w14:paraId="2BFFF598" w14:textId="77777777" w:rsidR="002F4E34" w:rsidRPr="000C0ED1" w:rsidRDefault="002F4E34" w:rsidP="005729C8">
            <w:pPr>
              <w:rPr>
                <w:szCs w:val="20"/>
              </w:rPr>
            </w:pPr>
            <w:r w:rsidRPr="000C0ED1">
              <w:rPr>
                <w:szCs w:val="20"/>
              </w:rPr>
              <w:t>Default GSIA values</w:t>
            </w:r>
          </w:p>
        </w:tc>
        <w:tc>
          <w:tcPr>
            <w:tcW w:w="688" w:type="pct"/>
          </w:tcPr>
          <w:p w14:paraId="157D8A62" w14:textId="77777777" w:rsidR="002F4E34" w:rsidRPr="000C0ED1" w:rsidRDefault="002F4E34" w:rsidP="005729C8">
            <w:pPr>
              <w:rPr>
                <w:szCs w:val="20"/>
              </w:rPr>
            </w:pPr>
            <w:r w:rsidRPr="000C0ED1">
              <w:rPr>
                <w:szCs w:val="20"/>
              </w:rPr>
              <w:t>Any</w:t>
            </w:r>
          </w:p>
        </w:tc>
        <w:tc>
          <w:tcPr>
            <w:tcW w:w="858" w:type="pct"/>
          </w:tcPr>
          <w:p w14:paraId="0C3293FE" w14:textId="77777777" w:rsidR="002F4E34" w:rsidRPr="000C0ED1" w:rsidRDefault="002F4E34" w:rsidP="005729C8">
            <w:pPr>
              <w:rPr>
                <w:szCs w:val="20"/>
              </w:rPr>
            </w:pPr>
            <w:r w:rsidRPr="000C0ED1">
              <w:rPr>
                <w:szCs w:val="20"/>
              </w:rPr>
              <w:t>Any</w:t>
            </w:r>
          </w:p>
        </w:tc>
        <w:tc>
          <w:tcPr>
            <w:tcW w:w="693" w:type="pct"/>
          </w:tcPr>
          <w:p w14:paraId="0B642835" w14:textId="77777777" w:rsidR="002F4E34" w:rsidRPr="000C0ED1" w:rsidRDefault="002F4E34" w:rsidP="005729C8">
            <w:pPr>
              <w:rPr>
                <w:szCs w:val="20"/>
              </w:rPr>
            </w:pPr>
            <w:r w:rsidRPr="000C0ED1">
              <w:rPr>
                <w:szCs w:val="20"/>
              </w:rPr>
              <w:t>Any</w:t>
            </w:r>
          </w:p>
        </w:tc>
        <w:tc>
          <w:tcPr>
            <w:tcW w:w="634" w:type="pct"/>
          </w:tcPr>
          <w:p w14:paraId="1C671DD2" w14:textId="77777777" w:rsidR="002F4E34" w:rsidRPr="000C0ED1" w:rsidRDefault="002F4E34" w:rsidP="005729C8">
            <w:pPr>
              <w:rPr>
                <w:szCs w:val="20"/>
              </w:rPr>
            </w:pPr>
            <w:r w:rsidRPr="000C0ED1">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24AE6599"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517C6012" w14:textId="77777777" w:rsidR="003F626F" w:rsidRPr="00920905" w:rsidRDefault="003F626F" w:rsidP="00920905">
      <w:pPr>
        <w:pStyle w:val="NoSpacing"/>
      </w:pPr>
    </w:p>
    <w:tbl>
      <w:tblPr>
        <w:tblStyle w:val="TableGrid1"/>
        <w:tblW w:w="5000" w:type="pct"/>
        <w:tblLook w:val="04A0" w:firstRow="1" w:lastRow="0" w:firstColumn="1" w:lastColumn="0" w:noHBand="0" w:noVBand="1"/>
      </w:tblPr>
      <w:tblGrid>
        <w:gridCol w:w="1542"/>
        <w:gridCol w:w="2684"/>
        <w:gridCol w:w="885"/>
        <w:gridCol w:w="1270"/>
        <w:gridCol w:w="1518"/>
        <w:gridCol w:w="1451"/>
      </w:tblGrid>
      <w:tr w:rsidR="008B1357" w:rsidRPr="00500C4E" w14:paraId="5A9EC2BE" w14:textId="77777777" w:rsidTr="005A3171">
        <w:tc>
          <w:tcPr>
            <w:tcW w:w="824" w:type="pct"/>
            <w:shd w:val="clear" w:color="auto" w:fill="D9D9D9" w:themeFill="background1" w:themeFillShade="D9"/>
          </w:tcPr>
          <w:p w14:paraId="17686FBF" w14:textId="77777777" w:rsidR="008B1357" w:rsidRPr="00920905" w:rsidRDefault="008B1357" w:rsidP="003F626F">
            <w:pPr>
              <w:keepNext/>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3F626F">
            <w:pPr>
              <w:keepNext/>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3F626F">
            <w:pPr>
              <w:keepNext/>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3F626F">
            <w:pPr>
              <w:keepNext/>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3F626F">
            <w:pPr>
              <w:keepNext/>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3F626F">
            <w:pPr>
              <w:keepNext/>
              <w:rPr>
                <w:rFonts w:cstheme="minorHAnsi"/>
                <w:b/>
                <w:szCs w:val="20"/>
              </w:rPr>
            </w:pPr>
            <w:r w:rsidRPr="00920905">
              <w:rPr>
                <w:rFonts w:cstheme="minorHAnsi"/>
                <w:b/>
                <w:szCs w:val="20"/>
              </w:rPr>
              <w:t>RUL (Years)</w:t>
            </w:r>
          </w:p>
        </w:tc>
      </w:tr>
      <w:tr w:rsidR="005A3171" w:rsidRPr="00500C4E" w14:paraId="23E3B0B0" w14:textId="77777777" w:rsidTr="005A3171">
        <w:trPr>
          <w:trHeight w:val="243"/>
        </w:trPr>
        <w:tc>
          <w:tcPr>
            <w:tcW w:w="824" w:type="pct"/>
          </w:tcPr>
          <w:p w14:paraId="17A1D7F4" w14:textId="5AEEDCFB" w:rsidR="005A3171" w:rsidRPr="00500C4E" w:rsidRDefault="005A3171" w:rsidP="003F626F">
            <w:pPr>
              <w:keepNext/>
              <w:rPr>
                <w:color w:val="FF0000"/>
                <w:szCs w:val="20"/>
              </w:rPr>
            </w:pPr>
            <w:r w:rsidRPr="00942F60">
              <w:rPr>
                <w:szCs w:val="20"/>
              </w:rPr>
              <w:t>OLtg-Com-LED-50000hr</w:t>
            </w:r>
          </w:p>
        </w:tc>
        <w:tc>
          <w:tcPr>
            <w:tcW w:w="1435" w:type="pct"/>
          </w:tcPr>
          <w:p w14:paraId="36E678D1" w14:textId="60565D0F" w:rsidR="005A3171" w:rsidRPr="00500C4E" w:rsidRDefault="005A3171" w:rsidP="003F626F">
            <w:pPr>
              <w:keepNext/>
              <w:rPr>
                <w:color w:val="FF0000"/>
                <w:szCs w:val="20"/>
              </w:rPr>
            </w:pPr>
            <w:r w:rsidRPr="00942F60">
              <w:rPr>
                <w:szCs w:val="22"/>
              </w:rPr>
              <w:t>LED Fixture - Outdoor- Commercial</w:t>
            </w:r>
          </w:p>
        </w:tc>
        <w:tc>
          <w:tcPr>
            <w:tcW w:w="473" w:type="pct"/>
          </w:tcPr>
          <w:p w14:paraId="42B5C736" w14:textId="7A6278C7" w:rsidR="005A3171" w:rsidRPr="00500C4E" w:rsidRDefault="005A3171" w:rsidP="003F626F">
            <w:pPr>
              <w:keepNext/>
              <w:rPr>
                <w:color w:val="FF0000"/>
                <w:szCs w:val="20"/>
              </w:rPr>
            </w:pPr>
            <w:r w:rsidRPr="00942F60">
              <w:rPr>
                <w:szCs w:val="20"/>
              </w:rPr>
              <w:t>Com</w:t>
            </w:r>
          </w:p>
        </w:tc>
        <w:tc>
          <w:tcPr>
            <w:tcW w:w="679" w:type="pct"/>
          </w:tcPr>
          <w:p w14:paraId="52A841ED" w14:textId="2871887D" w:rsidR="005A3171" w:rsidRPr="00500C4E" w:rsidRDefault="005A3171" w:rsidP="003F626F">
            <w:pPr>
              <w:keepNext/>
              <w:rPr>
                <w:color w:val="FF0000"/>
                <w:szCs w:val="20"/>
              </w:rPr>
            </w:pPr>
            <w:r w:rsidRPr="00942F60">
              <w:rPr>
                <w:szCs w:val="20"/>
              </w:rPr>
              <w:t>Lighting</w:t>
            </w:r>
          </w:p>
        </w:tc>
        <w:tc>
          <w:tcPr>
            <w:tcW w:w="812" w:type="pct"/>
          </w:tcPr>
          <w:p w14:paraId="1BF5FCBD" w14:textId="55441309" w:rsidR="005A3171" w:rsidRPr="00500C4E" w:rsidRDefault="00D63F56" w:rsidP="003F626F">
            <w:pPr>
              <w:keepNext/>
              <w:rPr>
                <w:color w:val="FF0000"/>
                <w:szCs w:val="20"/>
              </w:rPr>
            </w:pPr>
            <w:r>
              <w:rPr>
                <w:szCs w:val="20"/>
              </w:rPr>
              <w:t>50,000/HOU</w:t>
            </w:r>
            <w:r w:rsidR="00386509">
              <w:rPr>
                <w:szCs w:val="20"/>
              </w:rPr>
              <w:t>, max 12 years</w:t>
            </w:r>
          </w:p>
        </w:tc>
        <w:tc>
          <w:tcPr>
            <w:tcW w:w="776" w:type="pct"/>
          </w:tcPr>
          <w:p w14:paraId="46ED97C1" w14:textId="6F63A752" w:rsidR="005A3171" w:rsidRPr="00500C4E" w:rsidRDefault="00D63F56" w:rsidP="003F626F">
            <w:pPr>
              <w:keepNext/>
              <w:rPr>
                <w:color w:val="FF0000"/>
                <w:szCs w:val="20"/>
              </w:rPr>
            </w:pPr>
            <w:r>
              <w:rPr>
                <w:szCs w:val="20"/>
              </w:rPr>
              <w:t>N/A</w:t>
            </w:r>
          </w:p>
        </w:tc>
      </w:tr>
      <w:tr w:rsidR="005A3171" w:rsidRPr="00500C4E" w14:paraId="733388F3" w14:textId="77777777" w:rsidTr="005A3171">
        <w:trPr>
          <w:trHeight w:val="243"/>
        </w:trPr>
        <w:tc>
          <w:tcPr>
            <w:tcW w:w="824" w:type="pct"/>
          </w:tcPr>
          <w:p w14:paraId="59E7E5C4" w14:textId="01AE78BA" w:rsidR="005A3171" w:rsidRPr="00500C4E" w:rsidRDefault="005A3171" w:rsidP="003F626F">
            <w:pPr>
              <w:keepNext/>
              <w:rPr>
                <w:color w:val="FF0000"/>
                <w:szCs w:val="20"/>
              </w:rPr>
            </w:pPr>
            <w:r w:rsidRPr="00942F60">
              <w:rPr>
                <w:szCs w:val="20"/>
              </w:rPr>
              <w:t>OLtg-Res-LED-50000hr</w:t>
            </w:r>
          </w:p>
        </w:tc>
        <w:tc>
          <w:tcPr>
            <w:tcW w:w="1435" w:type="pct"/>
          </w:tcPr>
          <w:p w14:paraId="30667B0D" w14:textId="1D5A2D72" w:rsidR="005A3171" w:rsidRPr="00500C4E" w:rsidRDefault="005A3171" w:rsidP="003F626F">
            <w:pPr>
              <w:keepNext/>
              <w:rPr>
                <w:color w:val="FF0000"/>
                <w:szCs w:val="20"/>
              </w:rPr>
            </w:pPr>
            <w:r w:rsidRPr="00942F60">
              <w:rPr>
                <w:szCs w:val="22"/>
              </w:rPr>
              <w:t>LED Fixture - Outdoor- Residential</w:t>
            </w:r>
          </w:p>
        </w:tc>
        <w:tc>
          <w:tcPr>
            <w:tcW w:w="473" w:type="pct"/>
          </w:tcPr>
          <w:p w14:paraId="668B7C4F" w14:textId="278E38E6" w:rsidR="005A3171" w:rsidRPr="00500C4E" w:rsidRDefault="005A3171" w:rsidP="003F626F">
            <w:pPr>
              <w:keepNext/>
              <w:rPr>
                <w:color w:val="FF0000"/>
                <w:szCs w:val="20"/>
              </w:rPr>
            </w:pPr>
            <w:r w:rsidRPr="00942F60">
              <w:rPr>
                <w:szCs w:val="20"/>
              </w:rPr>
              <w:t>Res</w:t>
            </w:r>
          </w:p>
        </w:tc>
        <w:tc>
          <w:tcPr>
            <w:tcW w:w="679" w:type="pct"/>
          </w:tcPr>
          <w:p w14:paraId="102CD3B2" w14:textId="162988CE" w:rsidR="005A3171" w:rsidRPr="00500C4E" w:rsidRDefault="005A3171" w:rsidP="003F626F">
            <w:pPr>
              <w:keepNext/>
              <w:rPr>
                <w:color w:val="FF0000"/>
                <w:szCs w:val="20"/>
              </w:rPr>
            </w:pPr>
            <w:r w:rsidRPr="00942F60">
              <w:rPr>
                <w:szCs w:val="20"/>
              </w:rPr>
              <w:t>Lighting</w:t>
            </w:r>
          </w:p>
        </w:tc>
        <w:tc>
          <w:tcPr>
            <w:tcW w:w="812" w:type="pct"/>
          </w:tcPr>
          <w:p w14:paraId="22C203D8" w14:textId="2F9B1E3B" w:rsidR="005A3171" w:rsidRPr="00500C4E" w:rsidRDefault="00D63F56" w:rsidP="003F626F">
            <w:pPr>
              <w:keepNext/>
              <w:rPr>
                <w:color w:val="FF0000"/>
                <w:szCs w:val="20"/>
              </w:rPr>
            </w:pPr>
            <w:r>
              <w:rPr>
                <w:szCs w:val="20"/>
              </w:rPr>
              <w:t>50,000/HOU</w:t>
            </w:r>
            <w:r w:rsidR="00386509">
              <w:rPr>
                <w:szCs w:val="20"/>
              </w:rPr>
              <w:t>, max 16 years</w:t>
            </w:r>
          </w:p>
        </w:tc>
        <w:tc>
          <w:tcPr>
            <w:tcW w:w="776" w:type="pct"/>
          </w:tcPr>
          <w:p w14:paraId="081A4772" w14:textId="50D73B02" w:rsidR="005A3171" w:rsidRPr="00500C4E" w:rsidRDefault="00D63F56" w:rsidP="003F626F">
            <w:pPr>
              <w:keepNext/>
              <w:rPr>
                <w:color w:val="FF0000"/>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580A4444" w14:textId="3CD9F827" w:rsidR="003F09D9" w:rsidRDefault="00E27027" w:rsidP="003F09D9">
      <w:pPr>
        <w:autoSpaceDE w:val="0"/>
        <w:autoSpaceDN w:val="0"/>
        <w:adjustRightInd w:val="0"/>
        <w:rPr>
          <w:rFonts w:eastAsiaTheme="minorHAnsi" w:cs="TimesNewRomanPSMT"/>
          <w:szCs w:val="22"/>
        </w:rPr>
      </w:pPr>
      <w:r>
        <w:rPr>
          <w:rFonts w:cstheme="minorHAnsi"/>
          <w:szCs w:val="22"/>
        </w:rPr>
        <w:t>Title 24 2016 Building Energy Efficiency Standards [496]</w:t>
      </w:r>
      <w:r w:rsidR="003F09D9">
        <w:rPr>
          <w:rFonts w:eastAsiaTheme="minorHAnsi" w:cs="TimesNewRomanPSMT"/>
          <w:szCs w:val="22"/>
        </w:rPr>
        <w:t xml:space="preserve"> requires controls for the landscape lighting to automatically turn </w:t>
      </w:r>
      <w:r w:rsidR="0077681F">
        <w:rPr>
          <w:rFonts w:eastAsiaTheme="minorHAnsi" w:cs="TimesNewRomanPSMT"/>
          <w:szCs w:val="22"/>
        </w:rPr>
        <w:t>off when daylight is available.  Exceptions 3 and 4 to Section 130.2(c)3 exempt n</w:t>
      </w:r>
      <w:r w:rsidR="003F09D9" w:rsidRPr="0077681F">
        <w:rPr>
          <w:rFonts w:eastAsiaTheme="minorHAnsi" w:cs="TimesNewRomanPSMT"/>
          <w:szCs w:val="22"/>
        </w:rPr>
        <w:t xml:space="preserve">on-pole mounted luminaires with a maximum rated wattage of 30 watts each </w:t>
      </w:r>
      <w:r w:rsidR="0077681F">
        <w:rPr>
          <w:rFonts w:eastAsiaTheme="minorHAnsi" w:cs="TimesNewRomanPSMT"/>
          <w:szCs w:val="22"/>
        </w:rPr>
        <w:t>and landscape lighting from the motion sensor and dimming control requirements outlined in Section 130.2(c)3</w:t>
      </w:r>
      <w:r w:rsidR="003F09D9">
        <w:rPr>
          <w:rFonts w:eastAsiaTheme="minorHAnsi" w:cs="TimesNewRomanPSMT"/>
          <w:szCs w:val="22"/>
        </w:rPr>
        <w:t xml:space="preserve">. </w:t>
      </w:r>
      <w:r>
        <w:rPr>
          <w:rFonts w:eastAsiaTheme="minorHAnsi" w:cs="TimesNewRomanPSMT"/>
          <w:szCs w:val="22"/>
        </w:rPr>
        <w:t xml:space="preserve">Measures in this work paper are 30 Watts and below. </w:t>
      </w:r>
    </w:p>
    <w:p w14:paraId="7E7FB5F1" w14:textId="0D754D82" w:rsidR="003F09D9" w:rsidRDefault="003F09D9" w:rsidP="003F09D9">
      <w:pPr>
        <w:autoSpaceDE w:val="0"/>
        <w:autoSpaceDN w:val="0"/>
        <w:adjustRightInd w:val="0"/>
        <w:rPr>
          <w:rFonts w:eastAsiaTheme="minorHAnsi" w:cs="TimesNewRomanPSMT"/>
          <w:szCs w:val="22"/>
        </w:rPr>
      </w:pPr>
    </w:p>
    <w:p w14:paraId="126F337F" w14:textId="343C2B3E" w:rsidR="00484C0C" w:rsidRDefault="00484C0C" w:rsidP="003F09D9">
      <w:pPr>
        <w:rPr>
          <w:rFonts w:cstheme="minorHAnsi"/>
          <w:szCs w:val="22"/>
        </w:rPr>
      </w:pPr>
      <w:r>
        <w:rPr>
          <w:rFonts w:cstheme="minorHAnsi"/>
          <w:szCs w:val="22"/>
        </w:rPr>
        <w:t xml:space="preserve">The following excerpts were taken from the </w:t>
      </w:r>
      <w:r w:rsidR="005A3171">
        <w:rPr>
          <w:rFonts w:cstheme="minorHAnsi"/>
          <w:szCs w:val="22"/>
        </w:rPr>
        <w:t>Title 24 201</w:t>
      </w:r>
      <w:r w:rsidR="00FA58EC">
        <w:rPr>
          <w:rFonts w:cstheme="minorHAnsi"/>
          <w:szCs w:val="22"/>
        </w:rPr>
        <w:t>6</w:t>
      </w:r>
      <w:r w:rsidR="005A3171">
        <w:rPr>
          <w:rFonts w:cstheme="minorHAnsi"/>
          <w:szCs w:val="22"/>
        </w:rPr>
        <w:t xml:space="preserve"> </w:t>
      </w:r>
      <w:r w:rsidR="00E01FC0">
        <w:rPr>
          <w:rFonts w:cstheme="minorHAnsi"/>
          <w:szCs w:val="22"/>
        </w:rPr>
        <w:t xml:space="preserve">Building Energy Efficiency Standards </w:t>
      </w:r>
      <w:r w:rsidR="005A3171">
        <w:rPr>
          <w:rFonts w:cstheme="minorHAnsi"/>
          <w:szCs w:val="22"/>
        </w:rPr>
        <w:t>[</w:t>
      </w:r>
      <w:r w:rsidR="00E01FC0">
        <w:rPr>
          <w:rFonts w:cstheme="minorHAnsi"/>
          <w:szCs w:val="22"/>
        </w:rPr>
        <w:t>496</w:t>
      </w:r>
      <w:r w:rsidR="005A3171">
        <w:rPr>
          <w:rFonts w:cstheme="minorHAnsi"/>
          <w:szCs w:val="22"/>
        </w:rPr>
        <w:t>]</w:t>
      </w:r>
      <w:r>
        <w:rPr>
          <w:rFonts w:cstheme="minorHAnsi"/>
          <w:szCs w:val="22"/>
        </w:rPr>
        <w:t>.</w:t>
      </w:r>
    </w:p>
    <w:p w14:paraId="58ECB57F" w14:textId="50454D45" w:rsidR="00E01FC0" w:rsidRPr="00484C0C" w:rsidRDefault="003F09D9" w:rsidP="00484C0C">
      <w:pPr>
        <w:spacing w:before="120" w:after="180"/>
        <w:rPr>
          <w:rFonts w:cstheme="minorHAnsi"/>
          <w:b/>
          <w:i/>
          <w:szCs w:val="22"/>
          <w:u w:val="single"/>
        </w:rPr>
      </w:pPr>
      <w:r w:rsidRPr="00484C0C">
        <w:rPr>
          <w:rFonts w:cstheme="minorHAnsi"/>
          <w:b/>
          <w:i/>
          <w:szCs w:val="22"/>
          <w:u w:val="single"/>
        </w:rPr>
        <w:t>Section 130.2(c) states:</w:t>
      </w:r>
    </w:p>
    <w:p w14:paraId="5EA135AE" w14:textId="75BFC4C5" w:rsidR="005A3171" w:rsidRPr="00D9773E" w:rsidRDefault="005A3171" w:rsidP="0067041C">
      <w:pPr>
        <w:autoSpaceDE w:val="0"/>
        <w:autoSpaceDN w:val="0"/>
        <w:adjustRightInd w:val="0"/>
        <w:ind w:left="360"/>
        <w:rPr>
          <w:rFonts w:eastAsiaTheme="minorHAnsi" w:cs="TimesNewRomanPSMT"/>
          <w:szCs w:val="22"/>
        </w:rPr>
      </w:pPr>
      <w:r w:rsidRPr="00D9773E">
        <w:rPr>
          <w:rFonts w:eastAsiaTheme="minorHAnsi" w:cs="TimesNewRomanPS-BoldMT"/>
          <w:b/>
          <w:bCs/>
          <w:szCs w:val="22"/>
        </w:rPr>
        <w:lastRenderedPageBreak/>
        <w:t xml:space="preserve">Controls for Outdoor Lighting. </w:t>
      </w:r>
      <w:r w:rsidRPr="00D9773E">
        <w:rPr>
          <w:rFonts w:eastAsiaTheme="minorHAnsi" w:cs="TimesNewRomanPSMT"/>
          <w:szCs w:val="22"/>
        </w:rPr>
        <w:t>Outdoor lighting controls shall be installed that meet the following requirements as</w:t>
      </w:r>
      <w:r>
        <w:rPr>
          <w:rFonts w:eastAsiaTheme="minorHAnsi" w:cs="TimesNewRomanPSMT"/>
          <w:szCs w:val="22"/>
        </w:rPr>
        <w:t xml:space="preserve"> </w:t>
      </w:r>
      <w:r w:rsidRPr="00D9773E">
        <w:rPr>
          <w:rFonts w:eastAsiaTheme="minorHAnsi" w:cs="TimesNewRomanPSMT"/>
          <w:szCs w:val="22"/>
        </w:rPr>
        <w:t>applicable:</w:t>
      </w:r>
    </w:p>
    <w:p w14:paraId="69953B63" w14:textId="77777777" w:rsidR="005A3171" w:rsidRPr="00D9773E" w:rsidRDefault="005A3171" w:rsidP="0067041C">
      <w:pPr>
        <w:autoSpaceDE w:val="0"/>
        <w:autoSpaceDN w:val="0"/>
        <w:adjustRightInd w:val="0"/>
        <w:spacing w:before="60"/>
        <w:ind w:left="720"/>
        <w:rPr>
          <w:rFonts w:eastAsiaTheme="minorHAnsi" w:cs="TimesNewRomanPSMT"/>
          <w:szCs w:val="22"/>
        </w:rPr>
      </w:pPr>
      <w:r w:rsidRPr="00D9773E">
        <w:rPr>
          <w:rFonts w:eastAsiaTheme="minorHAnsi" w:cs="TimesNewRomanPS-BoldMT"/>
          <w:b/>
          <w:bCs/>
          <w:szCs w:val="22"/>
        </w:rPr>
        <w:t xml:space="preserve">EXCEPTION 1 to Section 130.2(c): </w:t>
      </w:r>
      <w:r w:rsidRPr="00D9773E">
        <w:rPr>
          <w:rFonts w:eastAsiaTheme="minorHAnsi" w:cs="TimesNewRomanPSMT"/>
          <w:szCs w:val="22"/>
        </w:rPr>
        <w:t>Outdoor lighting not permi</w:t>
      </w:r>
      <w:r>
        <w:rPr>
          <w:rFonts w:eastAsiaTheme="minorHAnsi" w:cs="TimesNewRomanPSMT"/>
          <w:szCs w:val="22"/>
        </w:rPr>
        <w:t xml:space="preserve">tted by a health or life safety </w:t>
      </w:r>
      <w:r w:rsidRPr="00D9773E">
        <w:rPr>
          <w:rFonts w:eastAsiaTheme="minorHAnsi" w:cs="TimesNewRomanPSMT"/>
          <w:szCs w:val="22"/>
        </w:rPr>
        <w:t>statute, ordinance, or</w:t>
      </w:r>
      <w:r>
        <w:rPr>
          <w:rFonts w:eastAsiaTheme="minorHAnsi" w:cs="TimesNewRomanPSMT"/>
          <w:szCs w:val="22"/>
        </w:rPr>
        <w:t xml:space="preserve"> </w:t>
      </w:r>
      <w:r w:rsidRPr="00D9773E">
        <w:rPr>
          <w:rFonts w:eastAsiaTheme="minorHAnsi" w:cs="TimesNewRomanPSMT"/>
          <w:szCs w:val="22"/>
        </w:rPr>
        <w:t>regulation to be turned OFF.</w:t>
      </w:r>
    </w:p>
    <w:p w14:paraId="1D142360" w14:textId="77777777" w:rsidR="005A3171" w:rsidRPr="00D9773E" w:rsidRDefault="005A3171" w:rsidP="0067041C">
      <w:pPr>
        <w:autoSpaceDE w:val="0"/>
        <w:autoSpaceDN w:val="0"/>
        <w:adjustRightInd w:val="0"/>
        <w:spacing w:before="60"/>
        <w:ind w:left="720"/>
        <w:rPr>
          <w:rFonts w:eastAsiaTheme="minorHAnsi" w:cs="TimesNewRomanPSMT"/>
          <w:szCs w:val="22"/>
        </w:rPr>
      </w:pPr>
      <w:r w:rsidRPr="00D9773E">
        <w:rPr>
          <w:rFonts w:eastAsiaTheme="minorHAnsi" w:cs="TimesNewRomanPS-BoldMT"/>
          <w:b/>
          <w:bCs/>
          <w:szCs w:val="22"/>
        </w:rPr>
        <w:t xml:space="preserve">EXCEPTION 2 to Section 130.2(c): </w:t>
      </w:r>
      <w:r w:rsidRPr="00D9773E">
        <w:rPr>
          <w:rFonts w:eastAsiaTheme="minorHAnsi" w:cs="TimesNewRomanPSMT"/>
          <w:szCs w:val="22"/>
        </w:rPr>
        <w:t>Lighting in tunnels required</w:t>
      </w:r>
      <w:r>
        <w:rPr>
          <w:rFonts w:eastAsiaTheme="minorHAnsi" w:cs="TimesNewRomanPSMT"/>
          <w:szCs w:val="22"/>
        </w:rPr>
        <w:t xml:space="preserve"> to be illuminated 24 hours per </w:t>
      </w:r>
      <w:r w:rsidRPr="00D9773E">
        <w:rPr>
          <w:rFonts w:eastAsiaTheme="minorHAnsi" w:cs="TimesNewRomanPSMT"/>
          <w:szCs w:val="22"/>
        </w:rPr>
        <w:t>day and 365 days per</w:t>
      </w:r>
      <w:r>
        <w:rPr>
          <w:rFonts w:eastAsiaTheme="minorHAnsi" w:cs="TimesNewRomanPSMT"/>
          <w:szCs w:val="22"/>
        </w:rPr>
        <w:t xml:space="preserve"> </w:t>
      </w:r>
      <w:r w:rsidRPr="00D9773E">
        <w:rPr>
          <w:rFonts w:eastAsiaTheme="minorHAnsi" w:cs="TimesNewRomanPSMT"/>
          <w:szCs w:val="22"/>
        </w:rPr>
        <w:t>year.</w:t>
      </w:r>
    </w:p>
    <w:p w14:paraId="289DEE9F" w14:textId="04F037D4" w:rsidR="005A3171" w:rsidRDefault="005A3171" w:rsidP="0067041C">
      <w:pPr>
        <w:pStyle w:val="ListParagraph"/>
        <w:numPr>
          <w:ilvl w:val="0"/>
          <w:numId w:val="37"/>
        </w:numPr>
        <w:autoSpaceDE w:val="0"/>
        <w:autoSpaceDN w:val="0"/>
        <w:adjustRightInd w:val="0"/>
        <w:spacing w:before="60"/>
        <w:contextualSpacing w:val="0"/>
        <w:rPr>
          <w:rFonts w:eastAsiaTheme="minorHAnsi" w:cs="TimesNewRomanPSMT"/>
          <w:szCs w:val="22"/>
        </w:rPr>
      </w:pPr>
      <w:r w:rsidRPr="00D9773E">
        <w:rPr>
          <w:rFonts w:eastAsiaTheme="minorHAnsi" w:cs="TimesNewRomanPSMT"/>
          <w:szCs w:val="22"/>
        </w:rPr>
        <w:t>All installed outdoor lighting shall be controlled by a photo</w:t>
      </w:r>
      <w:r w:rsidR="001226FA">
        <w:rPr>
          <w:rFonts w:eastAsiaTheme="minorHAnsi" w:cs="TimesNewRomanPSMT"/>
          <w:szCs w:val="22"/>
        </w:rPr>
        <w:t xml:space="preserve"> </w:t>
      </w:r>
      <w:r w:rsidRPr="00D9773E">
        <w:rPr>
          <w:rFonts w:eastAsiaTheme="minorHAnsi" w:cs="TimesNewRomanPSMT"/>
          <w:szCs w:val="22"/>
        </w:rPr>
        <w:t>control or outdoor astronomical time-switch control</w:t>
      </w:r>
      <w:r>
        <w:rPr>
          <w:rFonts w:eastAsiaTheme="minorHAnsi" w:cs="TimesNewRomanPSMT"/>
          <w:szCs w:val="22"/>
        </w:rPr>
        <w:t xml:space="preserve"> </w:t>
      </w:r>
      <w:r w:rsidRPr="00D9773E">
        <w:rPr>
          <w:rFonts w:eastAsiaTheme="minorHAnsi" w:cs="TimesNewRomanPSMT"/>
          <w:szCs w:val="22"/>
        </w:rPr>
        <w:t>that automatically turns OFF the outdoor lighting when daylight is available.</w:t>
      </w:r>
    </w:p>
    <w:p w14:paraId="4DD80DF2" w14:textId="0D8D033F" w:rsidR="005A3171" w:rsidRDefault="005A3171" w:rsidP="0067041C">
      <w:pPr>
        <w:pStyle w:val="ListParagraph"/>
        <w:numPr>
          <w:ilvl w:val="0"/>
          <w:numId w:val="37"/>
        </w:numPr>
        <w:autoSpaceDE w:val="0"/>
        <w:autoSpaceDN w:val="0"/>
        <w:adjustRightInd w:val="0"/>
        <w:spacing w:before="60"/>
        <w:contextualSpacing w:val="0"/>
        <w:rPr>
          <w:rFonts w:eastAsiaTheme="minorHAnsi" w:cs="TimesNewRomanPSMT"/>
          <w:szCs w:val="22"/>
        </w:rPr>
      </w:pPr>
      <w:r w:rsidRPr="00D9773E">
        <w:rPr>
          <w:rFonts w:eastAsiaTheme="minorHAnsi" w:cs="TimesNewRomanPSMT"/>
          <w:szCs w:val="22"/>
        </w:rPr>
        <w:t xml:space="preserve">All installed outdoor </w:t>
      </w:r>
      <w:r w:rsidR="005F035D">
        <w:rPr>
          <w:rFonts w:eastAsiaTheme="minorHAnsi" w:cs="TimesNewRomanPSMT"/>
          <w:szCs w:val="22"/>
        </w:rPr>
        <w:t xml:space="preserve">lighting shall be </w:t>
      </w:r>
      <w:r w:rsidRPr="00D9773E">
        <w:rPr>
          <w:rFonts w:eastAsiaTheme="minorHAnsi" w:cs="TimesNewRomanPSMT"/>
          <w:szCs w:val="22"/>
        </w:rPr>
        <w:t>independently controlled from other electrical loads by an</w:t>
      </w:r>
      <w:r>
        <w:rPr>
          <w:rFonts w:eastAsiaTheme="minorHAnsi" w:cs="TimesNewRomanPSMT"/>
          <w:szCs w:val="22"/>
        </w:rPr>
        <w:t xml:space="preserve"> </w:t>
      </w:r>
      <w:r w:rsidRPr="00D9773E">
        <w:rPr>
          <w:rFonts w:eastAsiaTheme="minorHAnsi" w:cs="TimesNewRomanPSMT"/>
          <w:szCs w:val="22"/>
        </w:rPr>
        <w:t>automatic scheduling control.</w:t>
      </w:r>
    </w:p>
    <w:p w14:paraId="749BE1FD" w14:textId="77777777" w:rsidR="005A3171" w:rsidRDefault="005A3171" w:rsidP="0067041C">
      <w:pPr>
        <w:pStyle w:val="ListParagraph"/>
        <w:numPr>
          <w:ilvl w:val="0"/>
          <w:numId w:val="37"/>
        </w:numPr>
        <w:autoSpaceDE w:val="0"/>
        <w:autoSpaceDN w:val="0"/>
        <w:adjustRightInd w:val="0"/>
        <w:spacing w:before="60"/>
        <w:contextualSpacing w:val="0"/>
        <w:rPr>
          <w:rFonts w:eastAsiaTheme="minorHAnsi" w:cs="TimesNewRomanPSMT"/>
          <w:szCs w:val="22"/>
        </w:rPr>
      </w:pPr>
      <w:r w:rsidRPr="00D9773E">
        <w:rPr>
          <w:rFonts w:eastAsiaTheme="minorHAnsi" w:cs="TimesNewRomanPSMT"/>
          <w:szCs w:val="22"/>
        </w:rPr>
        <w:t>All installed outdoor lighting, where the bottom of the luminaire is mounted 24 feet or less above the ground,</w:t>
      </w:r>
      <w:r>
        <w:rPr>
          <w:rFonts w:eastAsiaTheme="minorHAnsi" w:cs="TimesNewRomanPSMT"/>
          <w:szCs w:val="22"/>
        </w:rPr>
        <w:t xml:space="preserve"> </w:t>
      </w:r>
      <w:r w:rsidRPr="00D9773E">
        <w:rPr>
          <w:rFonts w:eastAsiaTheme="minorHAnsi" w:cs="TimesNewRomanPSMT"/>
          <w:szCs w:val="22"/>
        </w:rPr>
        <w:t>shall be controlled with automatic lighting controls that meet all of the following requirements:</w:t>
      </w:r>
    </w:p>
    <w:p w14:paraId="1B39A864" w14:textId="77777777" w:rsidR="005A3171" w:rsidRDefault="005A3171" w:rsidP="0067041C">
      <w:pPr>
        <w:pStyle w:val="ListParagraph"/>
        <w:numPr>
          <w:ilvl w:val="1"/>
          <w:numId w:val="37"/>
        </w:numPr>
        <w:autoSpaceDE w:val="0"/>
        <w:autoSpaceDN w:val="0"/>
        <w:adjustRightInd w:val="0"/>
        <w:spacing w:before="60"/>
        <w:contextualSpacing w:val="0"/>
        <w:rPr>
          <w:rFonts w:eastAsiaTheme="minorHAnsi" w:cs="TimesNewRomanPSMT"/>
          <w:szCs w:val="22"/>
        </w:rPr>
      </w:pPr>
      <w:r w:rsidRPr="00D9773E">
        <w:rPr>
          <w:rFonts w:eastAsiaTheme="minorHAnsi" w:cs="TimesNewRomanPSMT"/>
          <w:szCs w:val="22"/>
        </w:rPr>
        <w:t>Shall be motion sensors or other lighting control systems that automatically controls lighting in accordance</w:t>
      </w:r>
      <w:r>
        <w:rPr>
          <w:rFonts w:eastAsiaTheme="minorHAnsi" w:cs="TimesNewRomanPSMT"/>
          <w:szCs w:val="22"/>
        </w:rPr>
        <w:t xml:space="preserve"> </w:t>
      </w:r>
      <w:r w:rsidRPr="00D9773E">
        <w:rPr>
          <w:rFonts w:eastAsiaTheme="minorHAnsi" w:cs="TimesNewRomanPSMT"/>
          <w:szCs w:val="22"/>
        </w:rPr>
        <w:t>with item B in response to the area being vacated of occupants; and</w:t>
      </w:r>
    </w:p>
    <w:p w14:paraId="0DFDB303" w14:textId="2F936466" w:rsidR="005A3171" w:rsidRDefault="005A3171" w:rsidP="0067041C">
      <w:pPr>
        <w:pStyle w:val="ListParagraph"/>
        <w:numPr>
          <w:ilvl w:val="1"/>
          <w:numId w:val="37"/>
        </w:numPr>
        <w:autoSpaceDE w:val="0"/>
        <w:autoSpaceDN w:val="0"/>
        <w:adjustRightInd w:val="0"/>
        <w:spacing w:before="60"/>
        <w:contextualSpacing w:val="0"/>
        <w:rPr>
          <w:rFonts w:eastAsiaTheme="minorHAnsi" w:cs="TimesNewRomanPSMT"/>
          <w:szCs w:val="22"/>
        </w:rPr>
      </w:pPr>
      <w:r w:rsidRPr="00D9773E">
        <w:rPr>
          <w:rFonts w:eastAsiaTheme="minorHAnsi" w:cs="TimesNewRomanPSMT"/>
          <w:szCs w:val="22"/>
        </w:rPr>
        <w:t>Shall be capable of automatically reducing the lighting power of each luminaire by at least 40 percent but not</w:t>
      </w:r>
      <w:r>
        <w:rPr>
          <w:rFonts w:eastAsiaTheme="minorHAnsi" w:cs="TimesNewRomanPSMT"/>
          <w:szCs w:val="22"/>
        </w:rPr>
        <w:t xml:space="preserve"> </w:t>
      </w:r>
      <w:r w:rsidR="005F035D">
        <w:rPr>
          <w:rFonts w:eastAsiaTheme="minorHAnsi" w:cs="TimesNewRomanPSMT"/>
          <w:szCs w:val="22"/>
        </w:rPr>
        <w:t>exceeding 9</w:t>
      </w:r>
      <w:r w:rsidRPr="00D9773E">
        <w:rPr>
          <w:rFonts w:eastAsiaTheme="minorHAnsi" w:cs="TimesNewRomanPSMT"/>
          <w:szCs w:val="22"/>
        </w:rPr>
        <w:t>0 percent, or provide continuous dimming through a range that includes 40 percent</w:t>
      </w:r>
      <w:r w:rsidR="005F035D">
        <w:rPr>
          <w:rFonts w:eastAsiaTheme="minorHAnsi" w:cs="TimesNewRomanPSMT"/>
          <w:szCs w:val="22"/>
        </w:rPr>
        <w:t xml:space="preserve"> through 9</w:t>
      </w:r>
      <w:r w:rsidRPr="00D9773E">
        <w:rPr>
          <w:rFonts w:eastAsiaTheme="minorHAnsi" w:cs="TimesNewRomanPSMT"/>
          <w:szCs w:val="22"/>
        </w:rPr>
        <w:t>0</w:t>
      </w:r>
      <w:r>
        <w:rPr>
          <w:rFonts w:eastAsiaTheme="minorHAnsi" w:cs="TimesNewRomanPSMT"/>
          <w:szCs w:val="22"/>
        </w:rPr>
        <w:t xml:space="preserve"> </w:t>
      </w:r>
      <w:r w:rsidRPr="00D9773E">
        <w:rPr>
          <w:rFonts w:eastAsiaTheme="minorHAnsi" w:cs="TimesNewRomanPSMT"/>
          <w:szCs w:val="22"/>
        </w:rPr>
        <w:t>percent, and</w:t>
      </w:r>
    </w:p>
    <w:p w14:paraId="58C933C9" w14:textId="77777777" w:rsidR="005A3171" w:rsidRDefault="005A3171" w:rsidP="0067041C">
      <w:pPr>
        <w:pStyle w:val="ListParagraph"/>
        <w:numPr>
          <w:ilvl w:val="1"/>
          <w:numId w:val="37"/>
        </w:numPr>
        <w:autoSpaceDE w:val="0"/>
        <w:autoSpaceDN w:val="0"/>
        <w:adjustRightInd w:val="0"/>
        <w:spacing w:before="60"/>
        <w:contextualSpacing w:val="0"/>
        <w:rPr>
          <w:rFonts w:eastAsiaTheme="minorHAnsi" w:cs="TimesNewRomanPSMT"/>
          <w:szCs w:val="22"/>
        </w:rPr>
      </w:pPr>
      <w:r w:rsidRPr="00D9773E">
        <w:rPr>
          <w:rFonts w:eastAsiaTheme="minorHAnsi" w:cs="TimesNewRomanPSMT"/>
          <w:szCs w:val="22"/>
        </w:rPr>
        <w:t>Shall employ auto-ON functionality when the area becomes occupied; and</w:t>
      </w:r>
    </w:p>
    <w:p w14:paraId="39D47A9D" w14:textId="77777777" w:rsidR="005A3171" w:rsidRPr="00D9773E" w:rsidRDefault="005A3171" w:rsidP="0067041C">
      <w:pPr>
        <w:pStyle w:val="ListParagraph"/>
        <w:numPr>
          <w:ilvl w:val="1"/>
          <w:numId w:val="37"/>
        </w:numPr>
        <w:autoSpaceDE w:val="0"/>
        <w:autoSpaceDN w:val="0"/>
        <w:adjustRightInd w:val="0"/>
        <w:spacing w:before="60"/>
        <w:contextualSpacing w:val="0"/>
        <w:rPr>
          <w:rFonts w:eastAsiaTheme="minorHAnsi" w:cs="TimesNewRomanPSMT"/>
          <w:szCs w:val="22"/>
        </w:rPr>
      </w:pPr>
      <w:r w:rsidRPr="00D9773E">
        <w:rPr>
          <w:rFonts w:eastAsiaTheme="minorHAnsi" w:cs="TimesNewRomanPSMT"/>
          <w:szCs w:val="22"/>
        </w:rPr>
        <w:t>No more than 1,500 watts of lighting power shall be controlled together.</w:t>
      </w:r>
    </w:p>
    <w:p w14:paraId="2770B5A6" w14:textId="5B7E5BF6" w:rsidR="005A3171" w:rsidRPr="00D9773E" w:rsidRDefault="005A3171" w:rsidP="0067041C">
      <w:pPr>
        <w:autoSpaceDE w:val="0"/>
        <w:autoSpaceDN w:val="0"/>
        <w:adjustRightInd w:val="0"/>
        <w:spacing w:before="60"/>
        <w:ind w:left="1440"/>
        <w:rPr>
          <w:rFonts w:eastAsiaTheme="minorHAnsi" w:cs="TimesNewRomanPSMT"/>
          <w:szCs w:val="22"/>
        </w:rPr>
      </w:pPr>
      <w:r w:rsidRPr="00D9773E">
        <w:rPr>
          <w:rFonts w:eastAsiaTheme="minorHAnsi" w:cs="TimesNewRomanPS-BoldMT"/>
          <w:b/>
          <w:bCs/>
          <w:szCs w:val="22"/>
        </w:rPr>
        <w:t xml:space="preserve">EXCEPTION 1 to Section 130.2(c)3: </w:t>
      </w:r>
      <w:r w:rsidRPr="00D9773E">
        <w:rPr>
          <w:rFonts w:eastAsiaTheme="minorHAnsi" w:cs="TimesNewRomanPSMT"/>
          <w:szCs w:val="22"/>
        </w:rPr>
        <w:t>Lighting for Outdoor Sales Frontag</w:t>
      </w:r>
      <w:r w:rsidR="005F035D">
        <w:rPr>
          <w:rFonts w:eastAsiaTheme="minorHAnsi" w:cs="TimesNewRomanPSMT"/>
          <w:szCs w:val="22"/>
        </w:rPr>
        <w:t xml:space="preserve">e </w:t>
      </w:r>
      <w:r w:rsidRPr="00D9773E">
        <w:rPr>
          <w:rFonts w:eastAsiaTheme="minorHAnsi" w:cs="TimesNewRomanPSMT"/>
          <w:szCs w:val="22"/>
        </w:rPr>
        <w:t>complying with Section 130.2(c)4.</w:t>
      </w:r>
    </w:p>
    <w:p w14:paraId="29F56843" w14:textId="77777777" w:rsidR="005A3171" w:rsidRPr="00D9773E" w:rsidRDefault="005A3171" w:rsidP="0067041C">
      <w:pPr>
        <w:autoSpaceDE w:val="0"/>
        <w:autoSpaceDN w:val="0"/>
        <w:adjustRightInd w:val="0"/>
        <w:spacing w:before="60"/>
        <w:ind w:left="1440"/>
        <w:rPr>
          <w:rFonts w:eastAsiaTheme="minorHAnsi" w:cs="TimesNewRomanPSMT"/>
          <w:szCs w:val="22"/>
        </w:rPr>
      </w:pPr>
      <w:r w:rsidRPr="00D9773E">
        <w:rPr>
          <w:rFonts w:eastAsiaTheme="minorHAnsi" w:cs="TimesNewRomanPS-BoldMT"/>
          <w:b/>
          <w:bCs/>
          <w:szCs w:val="22"/>
        </w:rPr>
        <w:t xml:space="preserve">EXCEPTION 2 to Section 130.2(c)3: </w:t>
      </w:r>
      <w:r w:rsidRPr="00D9773E">
        <w:rPr>
          <w:rFonts w:eastAsiaTheme="minorHAnsi" w:cs="TimesNewRomanPSMT"/>
          <w:szCs w:val="22"/>
        </w:rPr>
        <w:t>Lighting for Building Facades, Ornamental Hardscape and Outdoor</w:t>
      </w:r>
      <w:r>
        <w:rPr>
          <w:rFonts w:eastAsiaTheme="minorHAnsi" w:cs="TimesNewRomanPSMT"/>
          <w:szCs w:val="22"/>
        </w:rPr>
        <w:t xml:space="preserve"> </w:t>
      </w:r>
      <w:r w:rsidRPr="00D9773E">
        <w:rPr>
          <w:rFonts w:eastAsiaTheme="minorHAnsi" w:cs="TimesNewRomanPSMT"/>
          <w:szCs w:val="22"/>
        </w:rPr>
        <w:t>Dining complying with Section 130.2(c)5.</w:t>
      </w:r>
    </w:p>
    <w:p w14:paraId="46ADACB4" w14:textId="6014842D" w:rsidR="005A3171" w:rsidRDefault="005A3171" w:rsidP="0067041C">
      <w:pPr>
        <w:autoSpaceDE w:val="0"/>
        <w:autoSpaceDN w:val="0"/>
        <w:adjustRightInd w:val="0"/>
        <w:spacing w:before="60"/>
        <w:ind w:left="1440"/>
        <w:rPr>
          <w:rFonts w:eastAsiaTheme="minorHAnsi" w:cs="TimesNewRomanPSMT"/>
          <w:szCs w:val="22"/>
        </w:rPr>
      </w:pPr>
      <w:r w:rsidRPr="00D9773E">
        <w:rPr>
          <w:rFonts w:eastAsiaTheme="minorHAnsi" w:cs="TimesNewRomanPS-BoldMT"/>
          <w:b/>
          <w:bCs/>
          <w:szCs w:val="22"/>
        </w:rPr>
        <w:t>EXCEPTION 3</w:t>
      </w:r>
      <w:r>
        <w:rPr>
          <w:rFonts w:eastAsiaTheme="minorHAnsi" w:cs="TimesNewRomanPS-BoldMT"/>
          <w:b/>
          <w:bCs/>
          <w:szCs w:val="22"/>
        </w:rPr>
        <w:t xml:space="preserve"> </w:t>
      </w:r>
      <w:r w:rsidRPr="00D9773E">
        <w:rPr>
          <w:rFonts w:eastAsiaTheme="minorHAnsi" w:cs="TimesNewRomanPS-BoldMT"/>
          <w:b/>
          <w:bCs/>
          <w:szCs w:val="22"/>
        </w:rPr>
        <w:t>to Section 130.2(c)3</w:t>
      </w:r>
      <w:r w:rsidRPr="00D9773E">
        <w:rPr>
          <w:rFonts w:eastAsiaTheme="minorHAnsi" w:cs="TimesNewRomanPSMT"/>
          <w:szCs w:val="22"/>
        </w:rPr>
        <w:t>: Outdoor lighting, where luminaire rated wattage is determined in accordance</w:t>
      </w:r>
      <w:r>
        <w:rPr>
          <w:rFonts w:eastAsiaTheme="minorHAnsi" w:cs="TimesNewRomanPSMT"/>
          <w:szCs w:val="22"/>
        </w:rPr>
        <w:t xml:space="preserve"> </w:t>
      </w:r>
      <w:r w:rsidRPr="00D9773E">
        <w:rPr>
          <w:rFonts w:eastAsiaTheme="minorHAnsi" w:cs="TimesNewRomanPSMT"/>
          <w:szCs w:val="22"/>
        </w:rPr>
        <w:t>with Section 130.0(c), and which meet one of the following conditions:</w:t>
      </w:r>
    </w:p>
    <w:p w14:paraId="0FC7517B" w14:textId="77777777" w:rsidR="005A3171" w:rsidRDefault="005A3171" w:rsidP="0067041C">
      <w:pPr>
        <w:pStyle w:val="ListParagraph"/>
        <w:numPr>
          <w:ilvl w:val="0"/>
          <w:numId w:val="38"/>
        </w:numPr>
        <w:autoSpaceDE w:val="0"/>
        <w:autoSpaceDN w:val="0"/>
        <w:adjustRightInd w:val="0"/>
        <w:spacing w:before="60"/>
        <w:contextualSpacing w:val="0"/>
        <w:rPr>
          <w:rFonts w:eastAsiaTheme="minorHAnsi" w:cs="TimesNewRomanPSMT"/>
          <w:szCs w:val="22"/>
        </w:rPr>
      </w:pPr>
      <w:r w:rsidRPr="00AB4EF5">
        <w:rPr>
          <w:rFonts w:eastAsiaTheme="minorHAnsi" w:cs="TimesNewRomanPSMT"/>
          <w:szCs w:val="22"/>
        </w:rPr>
        <w:t>Pole-mounted luminaires each with a maximum rated wattage of 75 watts; or</w:t>
      </w:r>
    </w:p>
    <w:p w14:paraId="6C8D9839" w14:textId="77777777" w:rsidR="005A3171" w:rsidRPr="008A5713" w:rsidRDefault="005A3171" w:rsidP="0067041C">
      <w:pPr>
        <w:pStyle w:val="ListParagraph"/>
        <w:numPr>
          <w:ilvl w:val="0"/>
          <w:numId w:val="38"/>
        </w:numPr>
        <w:autoSpaceDE w:val="0"/>
        <w:autoSpaceDN w:val="0"/>
        <w:adjustRightInd w:val="0"/>
        <w:spacing w:before="60"/>
        <w:contextualSpacing w:val="0"/>
        <w:rPr>
          <w:rFonts w:eastAsiaTheme="minorHAnsi" w:cs="TimesNewRomanPSMT"/>
          <w:b/>
          <w:szCs w:val="22"/>
        </w:rPr>
      </w:pPr>
      <w:r w:rsidRPr="008A5713">
        <w:rPr>
          <w:rFonts w:eastAsiaTheme="minorHAnsi" w:cs="TimesNewRomanPSMT"/>
          <w:b/>
          <w:szCs w:val="22"/>
        </w:rPr>
        <w:t>Non-pole mounted luminaires with a maximum rated wattage of 30 watts each; or</w:t>
      </w:r>
    </w:p>
    <w:p w14:paraId="0F15B9EC" w14:textId="77777777" w:rsidR="005A3171" w:rsidRPr="00AB4EF5" w:rsidRDefault="005A3171" w:rsidP="0067041C">
      <w:pPr>
        <w:pStyle w:val="ListParagraph"/>
        <w:numPr>
          <w:ilvl w:val="0"/>
          <w:numId w:val="38"/>
        </w:numPr>
        <w:autoSpaceDE w:val="0"/>
        <w:autoSpaceDN w:val="0"/>
        <w:adjustRightInd w:val="0"/>
        <w:spacing w:before="60"/>
        <w:contextualSpacing w:val="0"/>
        <w:rPr>
          <w:rFonts w:eastAsiaTheme="minorHAnsi" w:cs="TimesNewRomanPSMT"/>
          <w:szCs w:val="22"/>
        </w:rPr>
      </w:pPr>
      <w:r w:rsidRPr="00AB4EF5">
        <w:rPr>
          <w:rFonts w:eastAsiaTheme="minorHAnsi" w:cs="TimesNewRomanPSMT"/>
          <w:szCs w:val="22"/>
        </w:rPr>
        <w:t>Linear lighting with a maximum wattage of 4 watts per linear foot of luminaire.</w:t>
      </w:r>
    </w:p>
    <w:p w14:paraId="4D692883" w14:textId="1D349FBC" w:rsidR="00400545" w:rsidRPr="00484C0C" w:rsidRDefault="005A3171" w:rsidP="0067041C">
      <w:pPr>
        <w:autoSpaceDE w:val="0"/>
        <w:autoSpaceDN w:val="0"/>
        <w:adjustRightInd w:val="0"/>
        <w:spacing w:before="60"/>
        <w:ind w:left="1440"/>
        <w:rPr>
          <w:rFonts w:eastAsiaTheme="minorHAnsi" w:cs="TimesNewRomanPSMT"/>
          <w:b/>
          <w:szCs w:val="22"/>
        </w:rPr>
      </w:pPr>
      <w:r w:rsidRPr="00D9773E">
        <w:rPr>
          <w:rFonts w:eastAsiaTheme="minorHAnsi" w:cs="TimesNewRomanPS-BoldMT"/>
          <w:b/>
          <w:bCs/>
          <w:szCs w:val="22"/>
        </w:rPr>
        <w:t>EXCEPTION 4 to Section 130.2(c)3:</w:t>
      </w:r>
      <w:r w:rsidRPr="00CF3A12">
        <w:rPr>
          <w:rFonts w:eastAsiaTheme="minorHAnsi" w:cs="TimesNewRomanPS-BoldMT"/>
          <w:b/>
          <w:bCs/>
          <w:szCs w:val="22"/>
        </w:rPr>
        <w:t xml:space="preserve"> </w:t>
      </w:r>
      <w:r w:rsidRPr="00CF3A12">
        <w:rPr>
          <w:rFonts w:eastAsiaTheme="minorHAnsi" w:cs="TimesNewRomanPSMT"/>
          <w:b/>
          <w:szCs w:val="22"/>
        </w:rPr>
        <w:t>Applications listed as Exceptions to Section 140.7(a) shall not be required to meet the requirements of Section 130.2(c)3.</w:t>
      </w:r>
    </w:p>
    <w:p w14:paraId="0C399DA0" w14:textId="77777777" w:rsidR="00400545" w:rsidRPr="00484C0C" w:rsidRDefault="00400545" w:rsidP="00484C0C">
      <w:pPr>
        <w:pStyle w:val="Reminders"/>
        <w:keepNext/>
        <w:spacing w:before="120" w:after="180"/>
        <w:rPr>
          <w:rFonts w:asciiTheme="minorHAnsi" w:hAnsiTheme="minorHAnsi" w:cstheme="minorHAnsi"/>
          <w:b/>
          <w:color w:val="auto"/>
          <w:szCs w:val="22"/>
          <w:u w:val="single"/>
        </w:rPr>
      </w:pPr>
      <w:r w:rsidRPr="00484C0C">
        <w:rPr>
          <w:rFonts w:asciiTheme="minorHAnsi" w:hAnsiTheme="minorHAnsi" w:cstheme="minorHAnsi"/>
          <w:b/>
          <w:color w:val="auto"/>
          <w:szCs w:val="22"/>
          <w:u w:val="single"/>
        </w:rPr>
        <w:t>Section 140.7(a) states:</w:t>
      </w:r>
    </w:p>
    <w:p w14:paraId="1960BDDF" w14:textId="77777777" w:rsidR="00400545" w:rsidRPr="00D10063" w:rsidRDefault="00400545" w:rsidP="0067041C">
      <w:pPr>
        <w:keepNext/>
        <w:autoSpaceDE w:val="0"/>
        <w:autoSpaceDN w:val="0"/>
        <w:adjustRightInd w:val="0"/>
        <w:spacing w:before="60"/>
        <w:ind w:left="360"/>
        <w:rPr>
          <w:rFonts w:eastAsiaTheme="minorHAnsi" w:cs="TimesNewRomanPSMT"/>
          <w:szCs w:val="22"/>
        </w:rPr>
      </w:pPr>
      <w:r w:rsidRPr="00D10063">
        <w:rPr>
          <w:rFonts w:eastAsiaTheme="minorHAnsi" w:cs="TimesNewRomanPSMT"/>
          <w:szCs w:val="22"/>
        </w:rPr>
        <w:t xml:space="preserve">(a) An outdoor lighting installation complies with this section if it meets the requirements </w:t>
      </w:r>
      <w:r>
        <w:rPr>
          <w:rFonts w:eastAsiaTheme="minorHAnsi" w:cs="TimesNewRomanPSMT"/>
          <w:szCs w:val="22"/>
        </w:rPr>
        <w:t xml:space="preserve">in Subsections (b) and (c), and </w:t>
      </w:r>
      <w:r w:rsidRPr="00D10063">
        <w:rPr>
          <w:rFonts w:eastAsiaTheme="minorHAnsi" w:cs="TimesNewRomanPSMT"/>
          <w:szCs w:val="22"/>
        </w:rPr>
        <w:t>the actual outdoor lighting power installed is no g</w:t>
      </w:r>
      <w:r>
        <w:rPr>
          <w:rFonts w:eastAsiaTheme="minorHAnsi" w:cs="TimesNewRomanPSMT"/>
          <w:szCs w:val="22"/>
        </w:rPr>
        <w:t xml:space="preserve">reater than the allowed outdoor lighting power calculated under </w:t>
      </w:r>
      <w:r w:rsidRPr="00D10063">
        <w:rPr>
          <w:rFonts w:eastAsiaTheme="minorHAnsi" w:cs="TimesNewRomanPSMT"/>
          <w:szCs w:val="22"/>
        </w:rPr>
        <w:t>Subsection (d). The allowed outdo</w:t>
      </w:r>
      <w:r>
        <w:rPr>
          <w:rFonts w:eastAsiaTheme="minorHAnsi" w:cs="TimesNewRomanPSMT"/>
          <w:szCs w:val="22"/>
        </w:rPr>
        <w:t xml:space="preserve">or lighting shall be calculated </w:t>
      </w:r>
      <w:r w:rsidRPr="00D10063">
        <w:rPr>
          <w:rFonts w:eastAsiaTheme="minorHAnsi" w:cs="TimesNewRomanPSMT"/>
          <w:szCs w:val="22"/>
        </w:rPr>
        <w:t xml:space="preserve">according to Outdoor </w:t>
      </w:r>
      <w:r>
        <w:rPr>
          <w:rFonts w:eastAsiaTheme="minorHAnsi" w:cs="TimesNewRomanPSMT"/>
          <w:szCs w:val="22"/>
        </w:rPr>
        <w:t xml:space="preserve">Lighting Zone in Title 24, Part </w:t>
      </w:r>
      <w:r w:rsidRPr="00D10063">
        <w:rPr>
          <w:rFonts w:eastAsiaTheme="minorHAnsi" w:cs="TimesNewRomanPSMT"/>
          <w:szCs w:val="22"/>
        </w:rPr>
        <w:t>1, Section 10-114.</w:t>
      </w:r>
    </w:p>
    <w:p w14:paraId="2F60D713" w14:textId="77777777" w:rsidR="00400545" w:rsidRDefault="00400545" w:rsidP="0067041C">
      <w:pPr>
        <w:autoSpaceDE w:val="0"/>
        <w:autoSpaceDN w:val="0"/>
        <w:adjustRightInd w:val="0"/>
        <w:ind w:left="360"/>
        <w:rPr>
          <w:rFonts w:eastAsiaTheme="minorHAnsi" w:cs="TimesNewRomanPSMT"/>
          <w:szCs w:val="22"/>
        </w:rPr>
      </w:pPr>
    </w:p>
    <w:p w14:paraId="3127BD2F" w14:textId="77777777" w:rsidR="00400545" w:rsidRPr="00D10063" w:rsidRDefault="00400545" w:rsidP="0067041C">
      <w:pPr>
        <w:autoSpaceDE w:val="0"/>
        <w:autoSpaceDN w:val="0"/>
        <w:adjustRightInd w:val="0"/>
        <w:ind w:left="720"/>
        <w:rPr>
          <w:rFonts w:eastAsiaTheme="minorHAnsi" w:cs="TimesNewRomanPSMT"/>
          <w:szCs w:val="22"/>
        </w:rPr>
      </w:pPr>
      <w:r w:rsidRPr="00D10063">
        <w:rPr>
          <w:rFonts w:eastAsiaTheme="minorHAnsi" w:cs="TimesNewRomanPSMT"/>
          <w:b/>
          <w:szCs w:val="22"/>
        </w:rPr>
        <w:lastRenderedPageBreak/>
        <w:t xml:space="preserve">EXCEPTIONS to Section 140.7(a): </w:t>
      </w:r>
      <w:r w:rsidRPr="00D10063">
        <w:rPr>
          <w:rFonts w:eastAsiaTheme="minorHAnsi" w:cs="TimesNewRomanPSMT"/>
          <w:szCs w:val="22"/>
        </w:rPr>
        <w:t xml:space="preserve">When more than 50 percent of the light from </w:t>
      </w:r>
      <w:r>
        <w:rPr>
          <w:rFonts w:eastAsiaTheme="minorHAnsi" w:cs="TimesNewRomanPSMT"/>
          <w:szCs w:val="22"/>
        </w:rPr>
        <w:t xml:space="preserve">a luminaire falls within one or </w:t>
      </w:r>
      <w:r w:rsidRPr="00D10063">
        <w:rPr>
          <w:rFonts w:eastAsiaTheme="minorHAnsi" w:cs="TimesNewRomanPSMT"/>
          <w:szCs w:val="22"/>
        </w:rPr>
        <w:t>more of the following applications, the lighting power for that</w:t>
      </w:r>
      <w:r>
        <w:rPr>
          <w:rFonts w:eastAsiaTheme="minorHAnsi" w:cs="TimesNewRomanPSMT"/>
          <w:szCs w:val="22"/>
        </w:rPr>
        <w:t xml:space="preserve"> luminaire shall be exempt from </w:t>
      </w:r>
      <w:r w:rsidRPr="00D10063">
        <w:rPr>
          <w:rFonts w:eastAsiaTheme="minorHAnsi" w:cs="TimesNewRomanPSMT"/>
          <w:szCs w:val="22"/>
        </w:rPr>
        <w:t>Section 140.7:</w:t>
      </w:r>
    </w:p>
    <w:p w14:paraId="5C918046" w14:textId="77777777" w:rsidR="00400545"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rsidRPr="00D10063">
        <w:rPr>
          <w:rFonts w:eastAsiaTheme="minorHAnsi" w:cs="TimesNewRomanPSMT"/>
          <w:szCs w:val="22"/>
        </w:rPr>
        <w:t>Temporary outdoor lighting.</w:t>
      </w:r>
    </w:p>
    <w:p w14:paraId="54F2F337" w14:textId="77777777" w:rsidR="00400545"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rsidRPr="00D10063">
        <w:rPr>
          <w:rFonts w:eastAsiaTheme="minorHAnsi" w:cs="TimesNewRomanPSMT"/>
          <w:szCs w:val="22"/>
        </w:rPr>
        <w:t>Lighting required and regulated by the Federal Aviation Administration, and the Coast Guard.</w:t>
      </w:r>
    </w:p>
    <w:p w14:paraId="07697381" w14:textId="77777777" w:rsidR="00400545"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rsidRPr="00D10063">
        <w:rPr>
          <w:rFonts w:eastAsiaTheme="minorHAnsi" w:cs="TimesNewRomanPSMT"/>
          <w:szCs w:val="22"/>
        </w:rPr>
        <w:t>Lighting for public streets, roadways, highways, and traffic signage lighting, including lighting for driveway entrances occurring in the public right-of-way.</w:t>
      </w:r>
    </w:p>
    <w:p w14:paraId="7380CC44" w14:textId="77777777" w:rsidR="00400545"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rsidRPr="00D10063">
        <w:rPr>
          <w:rFonts w:eastAsiaTheme="minorHAnsi" w:cs="TimesNewRomanPSMT"/>
          <w:szCs w:val="22"/>
        </w:rPr>
        <w:t>Lighting for sports and athletic fields, and children’s playgrounds.</w:t>
      </w:r>
    </w:p>
    <w:p w14:paraId="2F293395" w14:textId="77777777" w:rsidR="00400545"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rsidRPr="00D10063">
        <w:rPr>
          <w:rFonts w:eastAsiaTheme="minorHAnsi" w:cs="TimesNewRomanPSMT"/>
          <w:szCs w:val="22"/>
        </w:rPr>
        <w:t>Lighting for industrial sites, including but not limited to, rail yards, maritime shipyards and docks, piers and marinas, chemical and petroleum processing plants, and aviation facilities.</w:t>
      </w:r>
    </w:p>
    <w:p w14:paraId="5AAC9DBD" w14:textId="77777777" w:rsidR="00400545" w:rsidRPr="002B67A2"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t>Lighting of public monuments.</w:t>
      </w:r>
    </w:p>
    <w:p w14:paraId="2B2C47DC" w14:textId="77777777" w:rsidR="00400545" w:rsidRPr="002B67A2"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t xml:space="preserve">Lighting of signs complying with the requirements of Sections 130.3 and 140.8. </w:t>
      </w:r>
    </w:p>
    <w:p w14:paraId="5CCD817C" w14:textId="77777777" w:rsidR="00400545" w:rsidRPr="002B67A2"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t>Lighting of stairs, wheelchair elevator lifts for American with Disabilities Act (ADA) compliance, and ramps that are other than parking garage ramps.</w:t>
      </w:r>
    </w:p>
    <w:p w14:paraId="52ED6596" w14:textId="77777777" w:rsidR="00400545" w:rsidRPr="002B67A2"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b/>
          <w:szCs w:val="22"/>
        </w:rPr>
      </w:pPr>
      <w:r w:rsidRPr="002B67A2">
        <w:rPr>
          <w:b/>
        </w:rPr>
        <w:t>Landscape lighting.</w:t>
      </w:r>
    </w:p>
    <w:p w14:paraId="785F08C6" w14:textId="77777777" w:rsidR="00400545" w:rsidRPr="002B67A2"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t xml:space="preserve">In theme parks: outdoor lighting only for themes and special effects. </w:t>
      </w:r>
    </w:p>
    <w:p w14:paraId="70E09999" w14:textId="77777777" w:rsidR="00400545" w:rsidRPr="002B67A2"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t>Lighting for outdoor theatrical and other outdoor live performances, provided that these lighting systems are additions to area lighting systems and are controlled by a multiscene or theatrical cross-fade control station accessible only to authorized operators.</w:t>
      </w:r>
    </w:p>
    <w:p w14:paraId="73718494" w14:textId="77777777" w:rsidR="00400545" w:rsidRDefault="00400545" w:rsidP="0067041C">
      <w:pPr>
        <w:pStyle w:val="ListParagraph"/>
        <w:numPr>
          <w:ilvl w:val="0"/>
          <w:numId w:val="40"/>
        </w:numPr>
        <w:autoSpaceDE w:val="0"/>
        <w:autoSpaceDN w:val="0"/>
        <w:adjustRightInd w:val="0"/>
        <w:spacing w:before="60"/>
        <w:ind w:left="1080"/>
        <w:contextualSpacing w:val="0"/>
        <w:rPr>
          <w:rFonts w:eastAsiaTheme="minorHAnsi" w:cs="TimesNewRomanPSMT"/>
          <w:szCs w:val="22"/>
        </w:rPr>
      </w:pPr>
      <w:r>
        <w:t>Outdoor lighting systems for qualified historic buildings, as defined in the California Historic Building Code (Title 24, Part 8), if they consist solely of historic lighting components or replicas of historic lighting components. If lighting systems for qualified historic buildings contain some historic lighting components or replicas of historic components, combined with other lighting components, only those historic or historic replica components are exempt. All other outdoor lighting systems for qualified historic buildings shall comply with Section 140.7.</w:t>
      </w:r>
    </w:p>
    <w:p w14:paraId="06A8D7CF" w14:textId="77777777" w:rsidR="005A3171" w:rsidRDefault="005A3171" w:rsidP="005A3171">
      <w:pPr>
        <w:autoSpaceDE w:val="0"/>
        <w:autoSpaceDN w:val="0"/>
        <w:adjustRightInd w:val="0"/>
        <w:rPr>
          <w:rFonts w:eastAsiaTheme="minorHAnsi" w:cs="TimesNewRomanPSMT"/>
          <w:szCs w:val="22"/>
        </w:rPr>
      </w:pPr>
    </w:p>
    <w:p w14:paraId="166BE3B6" w14:textId="21BD2D45" w:rsidR="005A3171" w:rsidRPr="00484C0C" w:rsidRDefault="005A3171" w:rsidP="0067041C">
      <w:pPr>
        <w:keepNext/>
        <w:autoSpaceDE w:val="0"/>
        <w:autoSpaceDN w:val="0"/>
        <w:adjustRightInd w:val="0"/>
        <w:spacing w:before="120" w:after="180"/>
        <w:rPr>
          <w:rFonts w:eastAsiaTheme="minorHAnsi" w:cs="TimesNewRomanPSMT"/>
          <w:b/>
          <w:i/>
          <w:szCs w:val="22"/>
          <w:u w:val="single"/>
        </w:rPr>
      </w:pPr>
      <w:r w:rsidRPr="00484C0C">
        <w:rPr>
          <w:rFonts w:eastAsiaTheme="minorHAnsi" w:cs="TimesNewRomanPSMT"/>
          <w:b/>
          <w:i/>
          <w:szCs w:val="22"/>
          <w:u w:val="single"/>
        </w:rPr>
        <w:t>Section 141.0(b)2</w:t>
      </w:r>
      <w:r w:rsidR="00400545" w:rsidRPr="00484C0C">
        <w:rPr>
          <w:rFonts w:eastAsiaTheme="minorHAnsi" w:cs="TimesNewRomanPSMT"/>
          <w:b/>
          <w:i/>
          <w:szCs w:val="22"/>
          <w:u w:val="single"/>
        </w:rPr>
        <w:t>L</w:t>
      </w:r>
      <w:r w:rsidRPr="00484C0C">
        <w:rPr>
          <w:rFonts w:eastAsiaTheme="minorHAnsi" w:cs="TimesNewRomanPSMT"/>
          <w:b/>
          <w:i/>
          <w:szCs w:val="22"/>
          <w:u w:val="single"/>
        </w:rPr>
        <w:t xml:space="preserve"> states:</w:t>
      </w:r>
    </w:p>
    <w:p w14:paraId="69554ABC" w14:textId="77777777" w:rsidR="00400545" w:rsidRDefault="00400545" w:rsidP="0067041C">
      <w:pPr>
        <w:keepNext/>
        <w:autoSpaceDE w:val="0"/>
        <w:autoSpaceDN w:val="0"/>
        <w:adjustRightInd w:val="0"/>
        <w:spacing w:before="60"/>
        <w:ind w:left="360"/>
      </w:pPr>
      <w:r>
        <w:t xml:space="preserve">L.  Alterations to existing outdoor lighting systems in a lighting application listed in TABLE 140.7-A or 140.7-B shall meet the applicable requirements of Sections 130.0, 130.2(a), 130.2(b), and 130.4, and: </w:t>
      </w:r>
    </w:p>
    <w:p w14:paraId="737E00A2" w14:textId="1400E02C" w:rsidR="00400545" w:rsidRDefault="00400545" w:rsidP="0067041C">
      <w:pPr>
        <w:pStyle w:val="ListParagraph"/>
        <w:numPr>
          <w:ilvl w:val="0"/>
          <w:numId w:val="42"/>
        </w:numPr>
        <w:autoSpaceDE w:val="0"/>
        <w:autoSpaceDN w:val="0"/>
        <w:adjustRightInd w:val="0"/>
        <w:spacing w:beforeLines="60" w:before="144"/>
        <w:ind w:left="1008" w:hanging="288"/>
        <w:contextualSpacing w:val="0"/>
      </w:pPr>
      <w:r>
        <w:t>In alterations that increase the connected lighting load, the added or altered luminai</w:t>
      </w:r>
      <w:r w:rsidR="00E01FC0">
        <w:t xml:space="preserve">res shall </w:t>
      </w:r>
      <w:r>
        <w:t xml:space="preserve">meet the applicable requirements of Section 130.2(c) and the requirements of Section 140.7 for general hardscape lighting or for the specific lighting applications containing the alterations; and </w:t>
      </w:r>
    </w:p>
    <w:p w14:paraId="60FE8BD8" w14:textId="52184838" w:rsidR="00400545" w:rsidRDefault="00400545" w:rsidP="0067041C">
      <w:pPr>
        <w:pStyle w:val="ListParagraph"/>
        <w:numPr>
          <w:ilvl w:val="0"/>
          <w:numId w:val="42"/>
        </w:numPr>
        <w:autoSpaceDE w:val="0"/>
        <w:autoSpaceDN w:val="0"/>
        <w:adjustRightInd w:val="0"/>
        <w:spacing w:beforeLines="60" w:before="144"/>
        <w:ind w:left="1008" w:hanging="288"/>
        <w:contextualSpacing w:val="0"/>
      </w:pPr>
      <w:r>
        <w:t xml:space="preserve">In alterations that do not increase the connected lighting load, where the greater of 5 luminaires or 10 percent of the existing luminaires are replaced in a general hardscape or a specific lighting application, the alterations shall meet the following requirements: </w:t>
      </w:r>
    </w:p>
    <w:p w14:paraId="05C70F28" w14:textId="004A573F" w:rsidR="00400545" w:rsidRDefault="00400545" w:rsidP="0067041C">
      <w:pPr>
        <w:pStyle w:val="ListParagraph"/>
        <w:numPr>
          <w:ilvl w:val="1"/>
          <w:numId w:val="44"/>
        </w:numPr>
        <w:autoSpaceDE w:val="0"/>
        <w:autoSpaceDN w:val="0"/>
        <w:adjustRightInd w:val="0"/>
        <w:spacing w:beforeLines="60" w:before="144"/>
        <w:ind w:left="1440"/>
        <w:contextualSpacing w:val="0"/>
      </w:pPr>
      <w:r>
        <w:lastRenderedPageBreak/>
        <w:t xml:space="preserve">In parking lots and outdoor sales lots where the bottom of the luminaire is mounted 24 feet or less above the ground, the replacement luminaires shall comply with Section 130.2(c)1 AND Section 130.2(c)3; </w:t>
      </w:r>
    </w:p>
    <w:p w14:paraId="75FD71A3" w14:textId="77777777" w:rsidR="00ED36A8" w:rsidRDefault="00400545" w:rsidP="0067041C">
      <w:pPr>
        <w:pStyle w:val="ListParagraph"/>
        <w:numPr>
          <w:ilvl w:val="1"/>
          <w:numId w:val="44"/>
        </w:numPr>
        <w:autoSpaceDE w:val="0"/>
        <w:autoSpaceDN w:val="0"/>
        <w:adjustRightInd w:val="0"/>
        <w:spacing w:beforeLines="60" w:before="144"/>
        <w:ind w:left="1440"/>
        <w:contextualSpacing w:val="0"/>
      </w:pPr>
      <w:r>
        <w:t xml:space="preserve">For all other lighting applications and where the bottom of the luminaire is mounted greater than 24 feet above the ground, the replacement luminaires shall comply with Section 130.2(c)1 AND EITHER comply with Section 130.2(c)2 or be controlled by lighting control systems, including motion sensors, that automatically reduces lighting power by at least 40 percent in response to the area being vacated of occupants; and </w:t>
      </w:r>
    </w:p>
    <w:p w14:paraId="1A27EAD9" w14:textId="6A638E06" w:rsidR="00400545" w:rsidRDefault="00400545" w:rsidP="0067041C">
      <w:pPr>
        <w:pStyle w:val="ListParagraph"/>
        <w:numPr>
          <w:ilvl w:val="0"/>
          <w:numId w:val="42"/>
        </w:numPr>
        <w:autoSpaceDE w:val="0"/>
        <w:autoSpaceDN w:val="0"/>
        <w:adjustRightInd w:val="0"/>
        <w:spacing w:beforeLines="60" w:before="144"/>
        <w:ind w:left="1008" w:hanging="288"/>
        <w:contextualSpacing w:val="0"/>
      </w:pPr>
      <w:r>
        <w:t xml:space="preserve">In alterations that do not increase the connected lighting load, where the greater of 5 luminaires or 50 percent of the existing luminaires are replaced in general hardscape or a specific application, the replacement luminaires shall meet the requirements of subsection ii above and the requirements of Section 140.7 for general hardscape lighting or specific lighting applications containing the alterations. </w:t>
      </w:r>
    </w:p>
    <w:p w14:paraId="0F7F79C4" w14:textId="77777777" w:rsidR="00400545" w:rsidRDefault="00400545" w:rsidP="0067041C">
      <w:pPr>
        <w:autoSpaceDE w:val="0"/>
        <w:autoSpaceDN w:val="0"/>
        <w:adjustRightInd w:val="0"/>
        <w:spacing w:beforeLines="60" w:before="144"/>
        <w:ind w:left="1008"/>
      </w:pPr>
      <w:r w:rsidRPr="00400545">
        <w:rPr>
          <w:b/>
        </w:rPr>
        <w:t>EXCEPTION to Section 141.0(b)2Liii.</w:t>
      </w:r>
      <w:r>
        <w:t xml:space="preserve"> Alterations where the replacement luminaires have at least 40 percent lower power consumption compared to the original luminaires are not required to comply with the lighting power allowances of Section 140.7. </w:t>
      </w:r>
    </w:p>
    <w:p w14:paraId="726D61FC" w14:textId="1EE95C9D" w:rsidR="002B67A2" w:rsidRPr="0067041C" w:rsidRDefault="00400545" w:rsidP="0067041C">
      <w:pPr>
        <w:autoSpaceDE w:val="0"/>
        <w:autoSpaceDN w:val="0"/>
        <w:adjustRightInd w:val="0"/>
        <w:spacing w:beforeLines="60" w:before="144"/>
        <w:ind w:left="504"/>
      </w:pPr>
      <w:r w:rsidRPr="00400545">
        <w:rPr>
          <w:b/>
        </w:rPr>
        <w:t>EXCEPTION to Section 141.0(b)2L.</w:t>
      </w:r>
      <w:r>
        <w:t xml:space="preserve"> Acceptance testing requirements of Section 130.4 are not required for alterations where controls are a</w:t>
      </w:r>
      <w:r w:rsidR="0067041C">
        <w:t>dded to 20 or fewer luminaires.</w:t>
      </w:r>
    </w:p>
    <w:p w14:paraId="3BC67DEA" w14:textId="77777777" w:rsidR="005A3171" w:rsidRDefault="005A3171" w:rsidP="005A3171">
      <w:pPr>
        <w:autoSpaceDE w:val="0"/>
        <w:autoSpaceDN w:val="0"/>
        <w:adjustRightInd w:val="0"/>
        <w:rPr>
          <w:rFonts w:eastAsiaTheme="minorHAnsi" w:cs="TimesNewRomanPSMT"/>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089030A1" w:rsidR="00881A42" w:rsidRPr="005A3171" w:rsidRDefault="006A6D15" w:rsidP="008A6BBB">
            <w:pPr>
              <w:rPr>
                <w:rFonts w:cstheme="minorHAnsi"/>
                <w:szCs w:val="20"/>
              </w:rPr>
            </w:pPr>
            <w:r w:rsidRPr="005A3171">
              <w:rPr>
                <w:rFonts w:cstheme="minorHAnsi"/>
                <w:szCs w:val="20"/>
              </w:rPr>
              <w:t>Title 24 (201</w:t>
            </w:r>
            <w:r w:rsidR="008A6BBB">
              <w:rPr>
                <w:rFonts w:cstheme="minorHAnsi"/>
                <w:szCs w:val="20"/>
              </w:rPr>
              <w:t>6</w:t>
            </w:r>
            <w:r w:rsidR="00881A42" w:rsidRPr="005A3171">
              <w:rPr>
                <w:rFonts w:cstheme="minorHAnsi"/>
                <w:szCs w:val="20"/>
              </w:rPr>
              <w:t>)</w:t>
            </w:r>
          </w:p>
        </w:tc>
        <w:tc>
          <w:tcPr>
            <w:tcW w:w="2711" w:type="pct"/>
          </w:tcPr>
          <w:p w14:paraId="60DD6889" w14:textId="77777777" w:rsidR="00D42594" w:rsidRPr="005A3171" w:rsidRDefault="00D42594" w:rsidP="00D42594">
            <w:pPr>
              <w:rPr>
                <w:rFonts w:cstheme="minorHAnsi"/>
                <w:szCs w:val="20"/>
              </w:rPr>
            </w:pPr>
            <w:r w:rsidRPr="005A3171">
              <w:rPr>
                <w:rFonts w:cstheme="minorHAnsi"/>
                <w:szCs w:val="20"/>
              </w:rPr>
              <w:t>Section 130.2 Controls for Outdoor Lighting</w:t>
            </w:r>
          </w:p>
          <w:p w14:paraId="1408A4BC" w14:textId="77777777" w:rsidR="005A3171" w:rsidRPr="005A3171" w:rsidRDefault="005A3171" w:rsidP="005A3171">
            <w:pPr>
              <w:rPr>
                <w:rFonts w:cstheme="minorHAnsi"/>
                <w:szCs w:val="20"/>
              </w:rPr>
            </w:pPr>
            <w:r w:rsidRPr="005A3171">
              <w:rPr>
                <w:rFonts w:cstheme="minorHAnsi"/>
                <w:szCs w:val="20"/>
              </w:rPr>
              <w:t>Section 140.7 Requirements for Outdoor Lighting</w:t>
            </w:r>
          </w:p>
          <w:p w14:paraId="0319B7AC" w14:textId="77777777" w:rsidR="005A3171" w:rsidRPr="005A3171" w:rsidRDefault="005A3171" w:rsidP="005A3171">
            <w:pPr>
              <w:rPr>
                <w:rFonts w:cstheme="minorHAnsi"/>
                <w:szCs w:val="20"/>
              </w:rPr>
            </w:pPr>
            <w:r w:rsidRPr="005A3171">
              <w:rPr>
                <w:rFonts w:cstheme="minorHAnsi"/>
                <w:szCs w:val="20"/>
              </w:rPr>
              <w:t xml:space="preserve">Section 141.0 Lighting Alterations </w:t>
            </w:r>
          </w:p>
          <w:p w14:paraId="387D6828" w14:textId="0CA7FE68" w:rsidR="00881A42" w:rsidRPr="005A3171" w:rsidRDefault="005A3171" w:rsidP="005A3171">
            <w:pPr>
              <w:rPr>
                <w:rFonts w:cstheme="minorHAnsi"/>
                <w:szCs w:val="20"/>
              </w:rPr>
            </w:pPr>
            <w:r w:rsidRPr="005A3171">
              <w:rPr>
                <w:rFonts w:cstheme="minorHAnsi"/>
                <w:szCs w:val="20"/>
              </w:rPr>
              <w:t>Section 150.0 Mandatory Features and Devices</w:t>
            </w:r>
          </w:p>
        </w:tc>
        <w:tc>
          <w:tcPr>
            <w:tcW w:w="1134" w:type="pct"/>
          </w:tcPr>
          <w:p w14:paraId="3E1189F8" w14:textId="546AC58F" w:rsidR="00881A42" w:rsidRPr="005A3171" w:rsidRDefault="008A6BBB" w:rsidP="00DF0D19">
            <w:pPr>
              <w:rPr>
                <w:rFonts w:cstheme="minorHAnsi"/>
                <w:szCs w:val="20"/>
              </w:rPr>
            </w:pPr>
            <w:r>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bookmarkStart w:id="15" w:name="_Toc304800207"/>
      <w:bookmarkStart w:id="16" w:name="_Toc324318343"/>
      <w:bookmarkStart w:id="17" w:name="_Toc324340487"/>
      <w:bookmarkStart w:id="18" w:name="_Toc383441992"/>
      <w:bookmarkStart w:id="19"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5"/>
      <w:bookmarkEnd w:id="16"/>
      <w:bookmarkEnd w:id="17"/>
      <w:bookmarkEnd w:id="18"/>
    </w:p>
    <w:p w14:paraId="7C37D519" w14:textId="5D4FC6C6" w:rsidR="00572D2F" w:rsidRPr="005A3171" w:rsidRDefault="005A3171" w:rsidP="00920905">
      <w:pPr>
        <w:pStyle w:val="NoSpacing"/>
        <w:rPr>
          <w:b/>
        </w:rPr>
      </w:pPr>
      <w:r w:rsidRPr="005A3171">
        <w:t>N/A</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35FE64A4" w14:textId="77777777" w:rsidR="005A3171" w:rsidRDefault="005A3171" w:rsidP="005A3171">
      <w:pPr>
        <w:pStyle w:val="NoSpacing"/>
      </w:pPr>
      <w:r w:rsidRPr="005A3171">
        <w:t>N/A</w:t>
      </w:r>
    </w:p>
    <w:p w14:paraId="015A5544" w14:textId="54F242CB" w:rsidR="00E16609" w:rsidRPr="00500C4E" w:rsidRDefault="00E16609" w:rsidP="003F626F">
      <w:pPr>
        <w:pStyle w:val="Heading1"/>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9"/>
      <w:r w:rsidR="00755A45" w:rsidRPr="00500C4E">
        <w:rPr>
          <w:rFonts w:cstheme="minorHAnsi"/>
        </w:rPr>
        <w:t xml:space="preserve"> Methodology</w:t>
      </w:r>
    </w:p>
    <w:p w14:paraId="2685740B" w14:textId="6DF293AF" w:rsidR="006C6265" w:rsidRDefault="006D69FC" w:rsidP="003F626F">
      <w:pPr>
        <w:keepNext/>
        <w:rPr>
          <w:rFonts w:cstheme="minorHAnsi"/>
          <w:szCs w:val="22"/>
        </w:rPr>
      </w:pPr>
      <w:bookmarkStart w:id="20" w:name="_Toc214003093"/>
      <w:r>
        <w:rPr>
          <w:rFonts w:cstheme="minorHAnsi"/>
          <w:szCs w:val="22"/>
        </w:rPr>
        <w:t>In accordance with</w:t>
      </w:r>
      <w:r w:rsidR="006C0529">
        <w:rPr>
          <w:rFonts w:cstheme="minorHAnsi"/>
          <w:szCs w:val="22"/>
        </w:rPr>
        <w:t xml:space="preserve"> the </w:t>
      </w:r>
      <w:r w:rsidR="007B2275">
        <w:rPr>
          <w:rFonts w:ascii="Arial" w:hAnsi="Arial" w:cs="Arial"/>
          <w:sz w:val="20"/>
          <w:szCs w:val="20"/>
        </w:rPr>
        <w:t>July 22, 2016 disposition (</w:t>
      </w:r>
      <w:r w:rsidR="007B2275" w:rsidRPr="00DE682A">
        <w:rPr>
          <w:rFonts w:ascii="Arial" w:hAnsi="Arial" w:cs="Arial"/>
          <w:sz w:val="20"/>
          <w:szCs w:val="20"/>
        </w:rPr>
        <w:t>LED-WRR-WorkpaperDisposition_22Jul2016-Final</w:t>
      </w:r>
      <w:r w:rsidR="007B2275">
        <w:rPr>
          <w:rFonts w:ascii="Arial" w:hAnsi="Arial" w:cs="Arial"/>
          <w:sz w:val="20"/>
          <w:szCs w:val="20"/>
        </w:rPr>
        <w:t>)</w:t>
      </w:r>
      <w:r w:rsidR="006C0529">
        <w:rPr>
          <w:rFonts w:cstheme="minorHAnsi"/>
          <w:szCs w:val="22"/>
        </w:rPr>
        <w:t xml:space="preserve"> </w:t>
      </w:r>
      <w:r w:rsidR="007B2275">
        <w:rPr>
          <w:rFonts w:cstheme="minorHAnsi"/>
          <w:szCs w:val="22"/>
        </w:rPr>
        <w:t xml:space="preserve">a WRR of </w:t>
      </w:r>
      <w:r w:rsidR="006C0529">
        <w:rPr>
          <w:rFonts w:cstheme="minorHAnsi"/>
          <w:szCs w:val="22"/>
        </w:rPr>
        <w:t>4.24 for MR16 lamps was used</w:t>
      </w:r>
      <w:r w:rsidR="007B2275">
        <w:rPr>
          <w:rFonts w:cstheme="minorHAnsi"/>
          <w:szCs w:val="22"/>
        </w:rPr>
        <w:t xml:space="preserve"> to calculate the base case wattage</w:t>
      </w:r>
      <w:r w:rsidR="006C0529">
        <w:rPr>
          <w:rFonts w:cstheme="minorHAnsi"/>
          <w:szCs w:val="22"/>
        </w:rPr>
        <w:t>; see the following table:</w:t>
      </w:r>
    </w:p>
    <w:p w14:paraId="11BF84A4" w14:textId="77777777" w:rsidR="000C70A8" w:rsidRDefault="000C70A8" w:rsidP="003F626F">
      <w:pPr>
        <w:keepNext/>
        <w:rPr>
          <w:rFonts w:cstheme="minorHAnsi"/>
          <w:szCs w:val="22"/>
        </w:rPr>
      </w:pPr>
    </w:p>
    <w:tbl>
      <w:tblPr>
        <w:tblStyle w:val="TableGrid1"/>
        <w:tblW w:w="5051" w:type="pct"/>
        <w:tblLook w:val="01E0" w:firstRow="1" w:lastRow="1" w:firstColumn="1" w:lastColumn="1" w:noHBand="0" w:noVBand="0"/>
      </w:tblPr>
      <w:tblGrid>
        <w:gridCol w:w="5575"/>
        <w:gridCol w:w="1800"/>
        <w:gridCol w:w="2070"/>
      </w:tblGrid>
      <w:tr w:rsidR="006C0529" w:rsidRPr="006C6265" w14:paraId="3B87B408" w14:textId="77777777" w:rsidTr="000C70A8">
        <w:tc>
          <w:tcPr>
            <w:tcW w:w="2951" w:type="pct"/>
            <w:shd w:val="clear" w:color="auto" w:fill="D9D9D9" w:themeFill="background1" w:themeFillShade="D9"/>
          </w:tcPr>
          <w:p w14:paraId="39495BD9" w14:textId="43C60F38" w:rsidR="006C0529" w:rsidRPr="006C6265" w:rsidRDefault="006C0529" w:rsidP="000C70A8">
            <w:pPr>
              <w:rPr>
                <w:rFonts w:cstheme="minorHAnsi"/>
                <w:b/>
                <w:szCs w:val="20"/>
              </w:rPr>
            </w:pPr>
            <w:r w:rsidRPr="009B7EE5">
              <w:rPr>
                <w:rFonts w:cstheme="minorHAnsi"/>
                <w:b/>
                <w:szCs w:val="20"/>
              </w:rPr>
              <w:t>Measure Name</w:t>
            </w:r>
          </w:p>
        </w:tc>
        <w:tc>
          <w:tcPr>
            <w:tcW w:w="953" w:type="pct"/>
            <w:shd w:val="clear" w:color="auto" w:fill="D9D9D9" w:themeFill="background1" w:themeFillShade="D9"/>
          </w:tcPr>
          <w:p w14:paraId="0296F20C" w14:textId="3DB86F39" w:rsidR="006C0529" w:rsidRPr="009B7EE5" w:rsidRDefault="006C0529" w:rsidP="000C70A8">
            <w:pPr>
              <w:rPr>
                <w:rFonts w:cstheme="minorHAnsi"/>
                <w:b/>
                <w:szCs w:val="20"/>
              </w:rPr>
            </w:pPr>
            <w:r w:rsidRPr="009B7EE5">
              <w:rPr>
                <w:rFonts w:cstheme="minorHAnsi"/>
                <w:b/>
                <w:szCs w:val="20"/>
              </w:rPr>
              <w:t>LED Lamp Watts (Measure Case)</w:t>
            </w:r>
          </w:p>
        </w:tc>
        <w:tc>
          <w:tcPr>
            <w:tcW w:w="1096" w:type="pct"/>
            <w:shd w:val="clear" w:color="auto" w:fill="D9D9D9" w:themeFill="background1" w:themeFillShade="D9"/>
          </w:tcPr>
          <w:p w14:paraId="4E557264" w14:textId="63575813" w:rsidR="006C0529" w:rsidRPr="006C6265" w:rsidRDefault="006C0529" w:rsidP="000C70A8">
            <w:pPr>
              <w:rPr>
                <w:rFonts w:cstheme="minorHAnsi"/>
                <w:b/>
                <w:szCs w:val="20"/>
              </w:rPr>
            </w:pPr>
            <w:r w:rsidRPr="009B7EE5">
              <w:rPr>
                <w:rFonts w:cstheme="minorHAnsi"/>
                <w:b/>
                <w:szCs w:val="20"/>
              </w:rPr>
              <w:t>Halogen Lamp Watts (Base Case)</w:t>
            </w:r>
          </w:p>
        </w:tc>
      </w:tr>
      <w:tr w:rsidR="00E005E6" w:rsidRPr="00920905" w14:paraId="0FBDC7C7" w14:textId="77777777" w:rsidTr="000C70A8">
        <w:tc>
          <w:tcPr>
            <w:tcW w:w="2951" w:type="pct"/>
          </w:tcPr>
          <w:p w14:paraId="60127CBB" w14:textId="5BB96940" w:rsidR="00E005E6" w:rsidRPr="00920905" w:rsidRDefault="00E005E6" w:rsidP="000C70A8">
            <w:pPr>
              <w:rPr>
                <w:rFonts w:cstheme="minorHAnsi"/>
                <w:color w:val="FF0000"/>
                <w:szCs w:val="20"/>
              </w:rPr>
            </w:pPr>
            <w:r w:rsidRPr="00267D55">
              <w:rPr>
                <w:rFonts w:cstheme="minorHAnsi"/>
                <w:szCs w:val="20"/>
              </w:rPr>
              <w:t>LED Landscape Lighting - 5 Watts or Less</w:t>
            </w:r>
            <w:r>
              <w:rPr>
                <w:rFonts w:cstheme="minorHAnsi"/>
                <w:szCs w:val="20"/>
              </w:rPr>
              <w:t xml:space="preserve"> replacing </w:t>
            </w:r>
            <w:r w:rsidRPr="006C0529">
              <w:rPr>
                <w:rFonts w:cstheme="minorHAnsi"/>
                <w:szCs w:val="20"/>
              </w:rPr>
              <w:t>MR16 Basecase, Total Watts = 4.24 x Msr Watts</w:t>
            </w:r>
          </w:p>
        </w:tc>
        <w:tc>
          <w:tcPr>
            <w:tcW w:w="953" w:type="pct"/>
          </w:tcPr>
          <w:p w14:paraId="1B56E0FE" w14:textId="678FA915" w:rsidR="00E005E6" w:rsidRPr="00285060" w:rsidRDefault="00E005E6" w:rsidP="000C70A8">
            <w:pPr>
              <w:rPr>
                <w:rFonts w:cstheme="minorHAnsi"/>
                <w:szCs w:val="20"/>
              </w:rPr>
            </w:pPr>
            <w:r w:rsidRPr="00285060">
              <w:rPr>
                <w:rFonts w:cstheme="minorHAnsi"/>
                <w:szCs w:val="20"/>
              </w:rPr>
              <w:t>3</w:t>
            </w:r>
          </w:p>
        </w:tc>
        <w:tc>
          <w:tcPr>
            <w:tcW w:w="1096" w:type="pct"/>
          </w:tcPr>
          <w:p w14:paraId="40480C5E" w14:textId="2A19E584" w:rsidR="00E005E6" w:rsidRPr="00920905" w:rsidRDefault="00E005E6" w:rsidP="000C70A8">
            <w:pPr>
              <w:rPr>
                <w:rFonts w:cstheme="minorHAnsi"/>
                <w:color w:val="FF0000"/>
                <w:szCs w:val="20"/>
              </w:rPr>
            </w:pPr>
            <w:r w:rsidRPr="00285060">
              <w:rPr>
                <w:rFonts w:cstheme="minorHAnsi"/>
                <w:szCs w:val="20"/>
              </w:rPr>
              <w:t>(3*4.24)=12.72</w:t>
            </w:r>
          </w:p>
        </w:tc>
      </w:tr>
      <w:tr w:rsidR="00E005E6" w:rsidRPr="00920905" w14:paraId="4C903183" w14:textId="77777777" w:rsidTr="000C70A8">
        <w:tc>
          <w:tcPr>
            <w:tcW w:w="2951" w:type="pct"/>
          </w:tcPr>
          <w:p w14:paraId="7EA5CEAB" w14:textId="070FAB45" w:rsidR="00E005E6" w:rsidRPr="00920905" w:rsidRDefault="00E005E6" w:rsidP="000C70A8">
            <w:pPr>
              <w:rPr>
                <w:rFonts w:cstheme="minorHAnsi"/>
                <w:color w:val="FF0000"/>
                <w:szCs w:val="20"/>
              </w:rPr>
            </w:pPr>
            <w:r w:rsidRPr="00267D55">
              <w:rPr>
                <w:rFonts w:cstheme="minorHAnsi"/>
                <w:szCs w:val="20"/>
              </w:rPr>
              <w:t>LED Landscape Lighting - Over 5 Watts to 15 Watts</w:t>
            </w:r>
            <w:r>
              <w:rPr>
                <w:rFonts w:cstheme="minorHAnsi"/>
                <w:szCs w:val="20"/>
              </w:rPr>
              <w:t xml:space="preserve"> replacing </w:t>
            </w:r>
            <w:r w:rsidRPr="006C0529">
              <w:rPr>
                <w:rFonts w:cstheme="minorHAnsi"/>
                <w:szCs w:val="20"/>
              </w:rPr>
              <w:t>MR16 Basecase, Total Watts = 4.24 x Msr Watts</w:t>
            </w:r>
          </w:p>
        </w:tc>
        <w:tc>
          <w:tcPr>
            <w:tcW w:w="953" w:type="pct"/>
          </w:tcPr>
          <w:p w14:paraId="40224E6C" w14:textId="0D56807F" w:rsidR="00E005E6" w:rsidRPr="00285060" w:rsidRDefault="00E005E6" w:rsidP="000C70A8">
            <w:pPr>
              <w:rPr>
                <w:rFonts w:cstheme="minorHAnsi"/>
                <w:szCs w:val="20"/>
              </w:rPr>
            </w:pPr>
            <w:r w:rsidRPr="00285060">
              <w:rPr>
                <w:rFonts w:cstheme="minorHAnsi"/>
                <w:szCs w:val="20"/>
              </w:rPr>
              <w:t>6</w:t>
            </w:r>
          </w:p>
        </w:tc>
        <w:tc>
          <w:tcPr>
            <w:tcW w:w="1096" w:type="pct"/>
          </w:tcPr>
          <w:p w14:paraId="39F66ADC" w14:textId="4846F2E6" w:rsidR="00E005E6" w:rsidRPr="00920905" w:rsidRDefault="00E005E6" w:rsidP="000C70A8">
            <w:pPr>
              <w:rPr>
                <w:rFonts w:cstheme="minorHAnsi"/>
                <w:color w:val="FF0000"/>
                <w:szCs w:val="20"/>
              </w:rPr>
            </w:pPr>
            <w:r w:rsidRPr="00285060">
              <w:rPr>
                <w:rFonts w:cstheme="minorHAnsi"/>
                <w:szCs w:val="20"/>
              </w:rPr>
              <w:t>(6*4.24)=25.44</w:t>
            </w:r>
          </w:p>
        </w:tc>
      </w:tr>
      <w:tr w:rsidR="00E005E6" w:rsidRPr="00920905" w14:paraId="338CB488" w14:textId="77777777" w:rsidTr="000C70A8">
        <w:tc>
          <w:tcPr>
            <w:tcW w:w="2951" w:type="pct"/>
          </w:tcPr>
          <w:p w14:paraId="52C847FA" w14:textId="1007057B" w:rsidR="00E005E6" w:rsidRPr="00920905" w:rsidRDefault="00E005E6" w:rsidP="000C70A8">
            <w:pPr>
              <w:rPr>
                <w:rFonts w:cstheme="minorHAnsi"/>
                <w:color w:val="FF0000"/>
                <w:szCs w:val="20"/>
              </w:rPr>
            </w:pPr>
            <w:r w:rsidRPr="00267D55">
              <w:rPr>
                <w:rFonts w:cstheme="minorHAnsi"/>
                <w:szCs w:val="20"/>
              </w:rPr>
              <w:lastRenderedPageBreak/>
              <w:t xml:space="preserve">LED Landscape Lighting - Over 15 Watts to </w:t>
            </w:r>
            <w:r>
              <w:rPr>
                <w:rFonts w:cstheme="minorHAnsi"/>
                <w:szCs w:val="20"/>
              </w:rPr>
              <w:t>3</w:t>
            </w:r>
            <w:r w:rsidRPr="00267D55">
              <w:rPr>
                <w:rFonts w:cstheme="minorHAnsi"/>
                <w:szCs w:val="20"/>
              </w:rPr>
              <w:t>0 Watts</w:t>
            </w:r>
            <w:r>
              <w:rPr>
                <w:rFonts w:cstheme="minorHAnsi"/>
                <w:szCs w:val="20"/>
              </w:rPr>
              <w:t xml:space="preserve"> replacing </w:t>
            </w:r>
            <w:r w:rsidRPr="006C0529">
              <w:rPr>
                <w:rFonts w:cstheme="minorHAnsi"/>
                <w:szCs w:val="20"/>
              </w:rPr>
              <w:t>MR16 Basecase, Total Watts = 4.24 x Msr Watts</w:t>
            </w:r>
          </w:p>
        </w:tc>
        <w:tc>
          <w:tcPr>
            <w:tcW w:w="953" w:type="pct"/>
          </w:tcPr>
          <w:p w14:paraId="246BAE18" w14:textId="4A8C30E6" w:rsidR="00E005E6" w:rsidRPr="00285060" w:rsidRDefault="00E005E6" w:rsidP="000C70A8">
            <w:pPr>
              <w:rPr>
                <w:rFonts w:cstheme="minorHAnsi"/>
                <w:szCs w:val="20"/>
              </w:rPr>
            </w:pPr>
            <w:r w:rsidRPr="00285060">
              <w:rPr>
                <w:rFonts w:cstheme="minorHAnsi"/>
                <w:szCs w:val="20"/>
              </w:rPr>
              <w:t>16</w:t>
            </w:r>
          </w:p>
        </w:tc>
        <w:tc>
          <w:tcPr>
            <w:tcW w:w="1096" w:type="pct"/>
          </w:tcPr>
          <w:p w14:paraId="687E3668" w14:textId="2F2F092F" w:rsidR="00E005E6" w:rsidRPr="00920905" w:rsidRDefault="00E005E6" w:rsidP="000C70A8">
            <w:pPr>
              <w:rPr>
                <w:rFonts w:cstheme="minorHAnsi"/>
                <w:color w:val="FF0000"/>
                <w:szCs w:val="20"/>
              </w:rPr>
            </w:pPr>
            <w:r w:rsidRPr="00285060">
              <w:rPr>
                <w:rFonts w:cstheme="minorHAnsi"/>
                <w:szCs w:val="20"/>
              </w:rPr>
              <w:t>(16*4.24)=67.84</w:t>
            </w:r>
          </w:p>
        </w:tc>
      </w:tr>
    </w:tbl>
    <w:p w14:paraId="238A68A6" w14:textId="77777777" w:rsidR="009B7EE5" w:rsidRDefault="009B7EE5" w:rsidP="009B7EE5">
      <w:pPr>
        <w:spacing w:before="60"/>
        <w:rPr>
          <w:rFonts w:cstheme="minorHAnsi"/>
          <w:szCs w:val="22"/>
        </w:rPr>
      </w:pPr>
    </w:p>
    <w:p w14:paraId="1EA18A27" w14:textId="34E61732" w:rsidR="009B7EE5" w:rsidRPr="00F54732" w:rsidRDefault="009B7EE5" w:rsidP="009B7EE5">
      <w:pPr>
        <w:spacing w:before="60"/>
        <w:rPr>
          <w:rFonts w:cstheme="minorHAnsi"/>
          <w:szCs w:val="22"/>
        </w:rPr>
      </w:pPr>
      <w:r w:rsidRPr="00F54732">
        <w:rPr>
          <w:rFonts w:cstheme="minorHAnsi"/>
          <w:szCs w:val="22"/>
        </w:rPr>
        <w:t>The annual energy savings are based on dusk-to-dawn Operating Hours and Energy Interactive Effects by Building Type for Non-CFL Lighting for each market sector. Energy interactive effects (EIE) are the additional savings resulting from the reduced air conditioning load because of the reduction in internal heat gains from the more efficient lighting system. Since LED landscape lighting is used outdoors, EIE will be 1.</w:t>
      </w:r>
      <w:r w:rsidR="000C3183">
        <w:rPr>
          <w:rFonts w:cstheme="minorHAnsi"/>
          <w:szCs w:val="22"/>
        </w:rPr>
        <w:t xml:space="preserve"> For residential building type HOU of 935 was used to calculate energy savings.</w:t>
      </w:r>
    </w:p>
    <w:p w14:paraId="363DB49D" w14:textId="77777777" w:rsidR="009B7EE5" w:rsidRDefault="009B7EE5" w:rsidP="009B7EE5">
      <w:pPr>
        <w:pStyle w:val="Reminders"/>
        <w:rPr>
          <w:rFonts w:asciiTheme="minorHAnsi" w:hAnsiTheme="minorHAnsi" w:cstheme="minorHAnsi"/>
          <w:i w:val="0"/>
          <w:color w:val="auto"/>
          <w:szCs w:val="22"/>
        </w:rPr>
      </w:pPr>
    </w:p>
    <w:p w14:paraId="7846B895" w14:textId="77777777" w:rsidR="009B7EE5" w:rsidRDefault="009B7EE5" w:rsidP="009B7EE5">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estimates are calculated as follows:</w:t>
      </w:r>
    </w:p>
    <w:p w14:paraId="4C242C42" w14:textId="77777777" w:rsidR="009B7EE5" w:rsidRDefault="009B7EE5" w:rsidP="009B7EE5">
      <w:pPr>
        <w:pStyle w:val="Reminders"/>
        <w:rPr>
          <w:rFonts w:asciiTheme="minorHAnsi" w:hAnsiTheme="minorHAnsi" w:cstheme="minorHAnsi"/>
          <w:i w:val="0"/>
          <w:color w:val="auto"/>
          <w:szCs w:val="22"/>
        </w:rPr>
      </w:pPr>
    </w:p>
    <w:p w14:paraId="22C2AAD5" w14:textId="77777777" w:rsidR="009B7EE5" w:rsidRPr="001B15C7" w:rsidRDefault="009B7EE5" w:rsidP="009B7EE5">
      <w:pPr>
        <w:pStyle w:val="Reminders"/>
        <w:rPr>
          <w:rFonts w:asciiTheme="minorHAnsi" w:hAnsiTheme="minorHAnsi" w:cstheme="minorHAnsi"/>
          <w:szCs w:val="22"/>
        </w:rPr>
      </w:pPr>
      <w:r w:rsidRPr="00573ACC">
        <w:rPr>
          <w:rFonts w:asciiTheme="minorHAnsi" w:hAnsiTheme="minorHAnsi" w:cstheme="minorHAnsi"/>
          <w:position w:val="-30"/>
          <w:szCs w:val="22"/>
        </w:rPr>
        <w:object w:dxaOrig="7400" w:dyaOrig="720" w14:anchorId="1B080B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36.6pt" o:ole="">
            <v:imagedata r:id="rId11" o:title=""/>
          </v:shape>
          <o:OLEObject Type="Embed" ProgID="Equation.DSMT4" ShapeID="_x0000_i1025" DrawAspect="Content" ObjectID="_1544611733" r:id="rId12"/>
        </w:object>
      </w:r>
    </w:p>
    <w:p w14:paraId="21207277" w14:textId="77777777" w:rsidR="009B7EE5" w:rsidRDefault="009B7EE5" w:rsidP="009B7EE5">
      <w:pPr>
        <w:pStyle w:val="Reminders"/>
        <w:rPr>
          <w:rFonts w:asciiTheme="minorHAnsi" w:hAnsiTheme="minorHAnsi" w:cstheme="minorHAnsi"/>
          <w:i w:val="0"/>
          <w:color w:val="auto"/>
          <w:szCs w:val="22"/>
        </w:rPr>
      </w:pPr>
    </w:p>
    <w:p w14:paraId="74D404D6" w14:textId="6EE43DEF" w:rsidR="009B7EE5" w:rsidRPr="00AF7DAA" w:rsidRDefault="009B7EE5" w:rsidP="009B7EE5">
      <w:pPr>
        <w:pStyle w:val="Reminders"/>
        <w:rPr>
          <w:rFonts w:asciiTheme="minorHAnsi" w:hAnsiTheme="minorHAnsi" w:cstheme="minorHAnsi"/>
          <w:i w:val="0"/>
          <w:color w:val="auto"/>
          <w:szCs w:val="22"/>
        </w:rPr>
      </w:pPr>
      <w:r w:rsidRPr="00AF7DAA">
        <w:rPr>
          <w:rFonts w:asciiTheme="minorHAnsi" w:hAnsiTheme="minorHAnsi" w:cstheme="minorHAnsi"/>
          <w:i w:val="0"/>
          <w:color w:val="auto"/>
          <w:szCs w:val="22"/>
        </w:rPr>
        <w:t xml:space="preserve">The following is a sample energy savings calculation </w:t>
      </w:r>
      <w:r>
        <w:rPr>
          <w:rFonts w:asciiTheme="minorHAnsi" w:hAnsiTheme="minorHAnsi" w:cstheme="minorHAnsi"/>
          <w:i w:val="0"/>
          <w:color w:val="auto"/>
          <w:szCs w:val="22"/>
        </w:rPr>
        <w:t>for LED Landscape Lighting – Over 5 Watts to 15 Watts</w:t>
      </w:r>
      <w:r w:rsidRPr="00493C26">
        <w:rPr>
          <w:rFonts w:asciiTheme="minorHAnsi" w:hAnsiTheme="minorHAnsi" w:cstheme="minorHAnsi"/>
          <w:i w:val="0"/>
          <w:color w:val="auto"/>
          <w:szCs w:val="22"/>
        </w:rPr>
        <w:t xml:space="preserve"> </w:t>
      </w:r>
      <w:r>
        <w:rPr>
          <w:rFonts w:asciiTheme="minorHAnsi" w:hAnsiTheme="minorHAnsi" w:cstheme="minorHAnsi"/>
          <w:i w:val="0"/>
          <w:color w:val="auto"/>
          <w:szCs w:val="22"/>
        </w:rPr>
        <w:t>in</w:t>
      </w:r>
      <w:r w:rsidR="00046BD6">
        <w:rPr>
          <w:rFonts w:asciiTheme="minorHAnsi" w:hAnsiTheme="minorHAnsi" w:cstheme="minorHAnsi"/>
          <w:i w:val="0"/>
          <w:color w:val="auto"/>
          <w:szCs w:val="22"/>
        </w:rPr>
        <w:t xml:space="preserve"> an</w:t>
      </w:r>
      <w:r w:rsidRPr="00AF7DAA">
        <w:rPr>
          <w:rFonts w:asciiTheme="minorHAnsi" w:hAnsiTheme="minorHAnsi" w:cstheme="minorHAnsi"/>
          <w:i w:val="0"/>
          <w:color w:val="auto"/>
          <w:szCs w:val="22"/>
        </w:rPr>
        <w:t xml:space="preserve"> </w:t>
      </w:r>
      <w:r>
        <w:rPr>
          <w:rFonts w:asciiTheme="minorHAnsi" w:hAnsiTheme="minorHAnsi" w:cstheme="minorHAnsi"/>
          <w:i w:val="0"/>
          <w:color w:val="auto"/>
          <w:szCs w:val="22"/>
        </w:rPr>
        <w:t>A</w:t>
      </w:r>
      <w:r w:rsidR="00046BD6">
        <w:rPr>
          <w:rFonts w:asciiTheme="minorHAnsi" w:hAnsiTheme="minorHAnsi" w:cstheme="minorHAnsi"/>
          <w:i w:val="0"/>
          <w:color w:val="auto"/>
          <w:szCs w:val="22"/>
        </w:rPr>
        <w:t>ssembly</w:t>
      </w:r>
      <w:r>
        <w:rPr>
          <w:rFonts w:asciiTheme="minorHAnsi" w:hAnsiTheme="minorHAnsi" w:cstheme="minorHAnsi"/>
          <w:i w:val="0"/>
          <w:color w:val="auto"/>
          <w:szCs w:val="22"/>
        </w:rPr>
        <w:t xml:space="preserve"> building type,</w:t>
      </w:r>
      <w:r w:rsidRPr="00AF7DAA">
        <w:rPr>
          <w:rFonts w:asciiTheme="minorHAnsi" w:hAnsiTheme="minorHAnsi" w:cstheme="minorHAnsi"/>
          <w:i w:val="0"/>
          <w:color w:val="auto"/>
          <w:szCs w:val="22"/>
        </w:rPr>
        <w:t xml:space="preserve"> Climate Zone 6.</w:t>
      </w:r>
    </w:p>
    <w:p w14:paraId="04CA7C22" w14:textId="77777777" w:rsidR="009B7EE5" w:rsidRPr="00AF7DAA" w:rsidRDefault="009B7EE5" w:rsidP="009B7EE5">
      <w:pPr>
        <w:pStyle w:val="Reminders"/>
        <w:rPr>
          <w:rFonts w:asciiTheme="minorHAnsi" w:hAnsiTheme="minorHAnsi" w:cstheme="minorHAnsi"/>
          <w:i w:val="0"/>
          <w:color w:val="auto"/>
          <w:szCs w:val="22"/>
        </w:rPr>
      </w:pPr>
    </w:p>
    <w:p w14:paraId="6708D787" w14:textId="0A97B501" w:rsidR="009B7EE5" w:rsidRPr="00204E92" w:rsidRDefault="009B7EE5" w:rsidP="009B7EE5">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d>
                <m:dPr>
                  <m:ctrlPr>
                    <w:rPr>
                      <w:rFonts w:ascii="Cambria Math" w:hAnsi="Cambria Math" w:cstheme="minorHAnsi"/>
                      <w:i/>
                      <w:szCs w:val="22"/>
                    </w:rPr>
                  </m:ctrlPr>
                </m:dPr>
                <m:e>
                  <m:r>
                    <w:rPr>
                      <w:rFonts w:ascii="Cambria Math" w:hAnsi="Cambria Math" w:cstheme="minorHAnsi"/>
                      <w:szCs w:val="22"/>
                    </w:rPr>
                    <m:t>6*4.24-6)*(4100</m:t>
                  </m:r>
                </m:e>
              </m:d>
              <m:r>
                <w:rPr>
                  <w:rFonts w:ascii="Cambria Math" w:hAnsi="Cambria Math" w:cstheme="minorHAnsi"/>
                  <w:szCs w:val="22"/>
                </w:rPr>
                <m:t>*1</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59413234" w14:textId="5436FBA0" w:rsidR="009B7EE5" w:rsidRPr="0021322C" w:rsidRDefault="009B7EE5" w:rsidP="009B7EE5">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=79.704</m:t>
          </m:r>
        </m:oMath>
      </m:oMathPara>
    </w:p>
    <w:p w14:paraId="352FDEC4" w14:textId="77777777" w:rsidR="009B7EE5" w:rsidRDefault="009B7EE5" w:rsidP="009B7EE5">
      <w:pPr>
        <w:spacing w:before="60"/>
        <w:rPr>
          <w:rFonts w:cstheme="minorHAnsi"/>
          <w:szCs w:val="22"/>
        </w:rPr>
      </w:pPr>
    </w:p>
    <w:p w14:paraId="30E5DDFF" w14:textId="7728F66B" w:rsidR="007B2275" w:rsidRDefault="007B2275" w:rsidP="007B2275">
      <w:pPr>
        <w:pStyle w:val="Reminders"/>
        <w:rPr>
          <w:rFonts w:cstheme="minorHAnsi"/>
          <w:szCs w:val="22"/>
        </w:rPr>
      </w:pPr>
      <w:r>
        <w:rPr>
          <w:rFonts w:asciiTheme="minorHAnsi" w:hAnsiTheme="minorHAnsi" w:cstheme="minorHAnsi"/>
          <w:i w:val="0"/>
          <w:color w:val="auto"/>
          <w:szCs w:val="22"/>
        </w:rPr>
        <w:t>Since this is dusk to dawn operation, the demand savings are zero.</w:t>
      </w:r>
    </w:p>
    <w:p w14:paraId="3B8D339F" w14:textId="527C1095" w:rsidR="008E1D99" w:rsidRDefault="008E1D99" w:rsidP="008E1D99">
      <w:pPr>
        <w:rPr>
          <w:rFonts w:cstheme="minorHAnsi"/>
          <w:szCs w:val="22"/>
        </w:rPr>
      </w:pPr>
    </w:p>
    <w:p w14:paraId="0F1EC977" w14:textId="77777777" w:rsidR="008E1D99" w:rsidRPr="00BC50D5" w:rsidRDefault="008E1D99" w:rsidP="008E1D9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 complete list of savings for other measures in this work paper can be found in the attachment </w:t>
      </w:r>
      <w:r w:rsidRPr="00BC50D5">
        <w:rPr>
          <w:rFonts w:asciiTheme="minorHAnsi" w:hAnsiTheme="minorHAnsi" w:cstheme="minorHAnsi"/>
          <w:i w:val="0"/>
          <w:color w:val="auto"/>
          <w:szCs w:val="22"/>
        </w:rPr>
        <w:t>[Attachment 1].</w:t>
      </w:r>
    </w:p>
    <w:p w14:paraId="6C7EC920" w14:textId="49C926A2"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0"/>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2548"/>
        <w:gridCol w:w="2549"/>
        <w:gridCol w:w="2164"/>
        <w:gridCol w:w="2089"/>
      </w:tblGrid>
      <w:tr w:rsidR="008143C1" w:rsidRPr="00920905" w14:paraId="2BAA9CBF" w14:textId="77777777" w:rsidTr="008143C1">
        <w:tc>
          <w:tcPr>
            <w:tcW w:w="1363" w:type="pct"/>
            <w:shd w:val="clear" w:color="auto" w:fill="D9D9D9" w:themeFill="background1" w:themeFillShade="D9"/>
          </w:tcPr>
          <w:p w14:paraId="246924BA" w14:textId="3264C17A" w:rsidR="008143C1" w:rsidRPr="00920905" w:rsidRDefault="008143C1" w:rsidP="003B77D3">
            <w:pPr>
              <w:rPr>
                <w:rFonts w:cstheme="minorHAnsi"/>
                <w:b/>
                <w:szCs w:val="20"/>
              </w:rPr>
            </w:pPr>
            <w:r>
              <w:rPr>
                <w:rFonts w:cstheme="minorHAnsi"/>
                <w:b/>
                <w:szCs w:val="20"/>
              </w:rPr>
              <w:t>Solution Code Map</w:t>
            </w:r>
          </w:p>
        </w:tc>
        <w:tc>
          <w:tcPr>
            <w:tcW w:w="1363" w:type="pct"/>
            <w:shd w:val="clear" w:color="auto" w:fill="D9D9D9" w:themeFill="background1" w:themeFillShade="D9"/>
          </w:tcPr>
          <w:p w14:paraId="329D9FAD" w14:textId="2FD54948" w:rsidR="008143C1" w:rsidRPr="00920905" w:rsidRDefault="008143C1" w:rsidP="003B77D3">
            <w:pPr>
              <w:rPr>
                <w:rFonts w:cstheme="minorHAnsi"/>
                <w:b/>
                <w:szCs w:val="20"/>
                <w:highlight w:val="yellow"/>
              </w:rPr>
            </w:pPr>
            <w:r w:rsidRPr="00920905">
              <w:rPr>
                <w:rFonts w:cstheme="minorHAnsi"/>
                <w:b/>
                <w:szCs w:val="20"/>
              </w:rPr>
              <w:t>Building Type</w:t>
            </w:r>
          </w:p>
        </w:tc>
        <w:tc>
          <w:tcPr>
            <w:tcW w:w="1157" w:type="pct"/>
            <w:shd w:val="clear" w:color="auto" w:fill="D9D9D9" w:themeFill="background1" w:themeFillShade="D9"/>
          </w:tcPr>
          <w:p w14:paraId="640380FE" w14:textId="77777777" w:rsidR="008143C1" w:rsidRPr="00920905" w:rsidRDefault="008143C1" w:rsidP="003B77D3">
            <w:pPr>
              <w:rPr>
                <w:rFonts w:cstheme="minorHAnsi"/>
                <w:b/>
                <w:szCs w:val="20"/>
              </w:rPr>
            </w:pPr>
            <w:r w:rsidRPr="00920905">
              <w:rPr>
                <w:rFonts w:cstheme="minorHAnsi"/>
                <w:b/>
                <w:szCs w:val="20"/>
              </w:rPr>
              <w:t>Load Shape</w:t>
            </w:r>
          </w:p>
        </w:tc>
        <w:tc>
          <w:tcPr>
            <w:tcW w:w="1117" w:type="pct"/>
            <w:shd w:val="clear" w:color="auto" w:fill="D9D9D9" w:themeFill="background1" w:themeFillShade="D9"/>
          </w:tcPr>
          <w:p w14:paraId="7578859C" w14:textId="77777777" w:rsidR="008143C1" w:rsidRPr="00920905" w:rsidRDefault="008143C1" w:rsidP="003B77D3">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8143C1" w:rsidRPr="00920905" w14:paraId="565FB8B8" w14:textId="77777777" w:rsidTr="008143C1">
        <w:tc>
          <w:tcPr>
            <w:tcW w:w="1363" w:type="pct"/>
            <w:vMerge w:val="restart"/>
          </w:tcPr>
          <w:p w14:paraId="133D6C53" w14:textId="21967523" w:rsidR="008143C1" w:rsidRDefault="008143C1" w:rsidP="00321AB4">
            <w:pPr>
              <w:rPr>
                <w:rFonts w:ascii="Calibri" w:hAnsi="Calibri" w:cs="Arial"/>
                <w:color w:val="000000"/>
                <w:szCs w:val="20"/>
              </w:rPr>
            </w:pPr>
            <w:r w:rsidRPr="00204E92">
              <w:rPr>
                <w:rFonts w:cs="Arial"/>
                <w:szCs w:val="20"/>
              </w:rPr>
              <w:t xml:space="preserve">LT-27373, LT-54834, </w:t>
            </w:r>
            <w:r>
              <w:rPr>
                <w:rFonts w:cs="Arial"/>
                <w:szCs w:val="20"/>
              </w:rPr>
              <w:t xml:space="preserve">and </w:t>
            </w:r>
            <w:r w:rsidRPr="00204E92">
              <w:rPr>
                <w:rFonts w:cs="Arial"/>
                <w:szCs w:val="20"/>
              </w:rPr>
              <w:t>LT-28343</w:t>
            </w:r>
          </w:p>
        </w:tc>
        <w:tc>
          <w:tcPr>
            <w:tcW w:w="1363" w:type="pct"/>
            <w:vAlign w:val="bottom"/>
          </w:tcPr>
          <w:p w14:paraId="4B4C1497" w14:textId="70B2B7AD" w:rsidR="008143C1" w:rsidRPr="00920905" w:rsidRDefault="008143C1" w:rsidP="00321AB4">
            <w:pPr>
              <w:rPr>
                <w:rFonts w:cstheme="minorHAnsi"/>
                <w:color w:val="FF0000"/>
                <w:szCs w:val="20"/>
              </w:rPr>
            </w:pPr>
            <w:r>
              <w:rPr>
                <w:rFonts w:ascii="Calibri" w:hAnsi="Calibri" w:cs="Arial"/>
                <w:color w:val="000000"/>
                <w:szCs w:val="20"/>
              </w:rPr>
              <w:t>Assembly</w:t>
            </w:r>
          </w:p>
        </w:tc>
        <w:tc>
          <w:tcPr>
            <w:tcW w:w="1157" w:type="pct"/>
            <w:vAlign w:val="bottom"/>
          </w:tcPr>
          <w:p w14:paraId="40BED074" w14:textId="07C52FE4"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734FC5AF" w14:textId="2E5322D1"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5CACCCA4" w14:textId="77777777" w:rsidTr="008143C1">
        <w:tc>
          <w:tcPr>
            <w:tcW w:w="1363" w:type="pct"/>
            <w:vMerge/>
          </w:tcPr>
          <w:p w14:paraId="373D6BD9" w14:textId="77777777" w:rsidR="008143C1" w:rsidRDefault="008143C1" w:rsidP="00321AB4">
            <w:pPr>
              <w:rPr>
                <w:rFonts w:ascii="Calibri" w:hAnsi="Calibri" w:cs="Arial"/>
                <w:color w:val="000000"/>
                <w:szCs w:val="20"/>
              </w:rPr>
            </w:pPr>
          </w:p>
        </w:tc>
        <w:tc>
          <w:tcPr>
            <w:tcW w:w="1363" w:type="pct"/>
            <w:vAlign w:val="bottom"/>
          </w:tcPr>
          <w:p w14:paraId="313E4549" w14:textId="36716506" w:rsidR="008143C1" w:rsidRPr="00920905" w:rsidRDefault="008143C1" w:rsidP="00321AB4">
            <w:pPr>
              <w:rPr>
                <w:rFonts w:cstheme="minorHAnsi"/>
                <w:color w:val="FF0000"/>
                <w:szCs w:val="20"/>
              </w:rPr>
            </w:pPr>
            <w:r>
              <w:rPr>
                <w:rFonts w:ascii="Calibri" w:hAnsi="Calibri" w:cs="Arial"/>
                <w:color w:val="000000"/>
                <w:szCs w:val="20"/>
              </w:rPr>
              <w:t>Education - Primary School</w:t>
            </w:r>
          </w:p>
        </w:tc>
        <w:tc>
          <w:tcPr>
            <w:tcW w:w="1157" w:type="pct"/>
            <w:vAlign w:val="bottom"/>
          </w:tcPr>
          <w:p w14:paraId="3CF4BE36" w14:textId="4DE9947D"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1431FC68" w14:textId="216E3620"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5240F7E3" w14:textId="77777777" w:rsidTr="008143C1">
        <w:tc>
          <w:tcPr>
            <w:tcW w:w="1363" w:type="pct"/>
            <w:vMerge/>
          </w:tcPr>
          <w:p w14:paraId="44437058" w14:textId="77777777" w:rsidR="008143C1" w:rsidRDefault="008143C1" w:rsidP="00321AB4">
            <w:pPr>
              <w:rPr>
                <w:rFonts w:ascii="Calibri" w:hAnsi="Calibri" w:cs="Arial"/>
                <w:color w:val="000000"/>
                <w:szCs w:val="20"/>
              </w:rPr>
            </w:pPr>
          </w:p>
        </w:tc>
        <w:tc>
          <w:tcPr>
            <w:tcW w:w="1363" w:type="pct"/>
            <w:vAlign w:val="bottom"/>
          </w:tcPr>
          <w:p w14:paraId="6C338585" w14:textId="4A5F4769" w:rsidR="008143C1" w:rsidRPr="00920905" w:rsidRDefault="008143C1" w:rsidP="00321AB4">
            <w:pPr>
              <w:rPr>
                <w:rFonts w:cstheme="minorHAnsi"/>
                <w:color w:val="FF0000"/>
                <w:szCs w:val="20"/>
              </w:rPr>
            </w:pPr>
            <w:r>
              <w:rPr>
                <w:rFonts w:ascii="Calibri" w:hAnsi="Calibri" w:cs="Arial"/>
                <w:color w:val="000000"/>
                <w:szCs w:val="20"/>
              </w:rPr>
              <w:t>Education - Secondary School</w:t>
            </w:r>
          </w:p>
        </w:tc>
        <w:tc>
          <w:tcPr>
            <w:tcW w:w="1157" w:type="pct"/>
            <w:vAlign w:val="bottom"/>
          </w:tcPr>
          <w:p w14:paraId="0F962645" w14:textId="0ACBE8CE"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0E46EEB9" w14:textId="72E56682"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4BAFDDFF" w14:textId="77777777" w:rsidTr="008143C1">
        <w:tc>
          <w:tcPr>
            <w:tcW w:w="1363" w:type="pct"/>
            <w:vMerge/>
          </w:tcPr>
          <w:p w14:paraId="43BC8A52" w14:textId="77777777" w:rsidR="008143C1" w:rsidRDefault="008143C1" w:rsidP="00321AB4">
            <w:pPr>
              <w:rPr>
                <w:rFonts w:ascii="Calibri" w:hAnsi="Calibri" w:cs="Arial"/>
                <w:color w:val="000000"/>
                <w:szCs w:val="20"/>
              </w:rPr>
            </w:pPr>
          </w:p>
        </w:tc>
        <w:tc>
          <w:tcPr>
            <w:tcW w:w="1363" w:type="pct"/>
            <w:vAlign w:val="bottom"/>
          </w:tcPr>
          <w:p w14:paraId="2172A0A6" w14:textId="6A39BAB4" w:rsidR="008143C1" w:rsidRPr="00920905" w:rsidRDefault="008143C1" w:rsidP="00321AB4">
            <w:pPr>
              <w:rPr>
                <w:rFonts w:cstheme="minorHAnsi"/>
                <w:color w:val="FF0000"/>
                <w:szCs w:val="20"/>
              </w:rPr>
            </w:pPr>
            <w:r>
              <w:rPr>
                <w:rFonts w:ascii="Calibri" w:hAnsi="Calibri" w:cs="Arial"/>
                <w:color w:val="000000"/>
                <w:szCs w:val="20"/>
              </w:rPr>
              <w:t>Education - Relocatable Classroom</w:t>
            </w:r>
          </w:p>
        </w:tc>
        <w:tc>
          <w:tcPr>
            <w:tcW w:w="1157" w:type="pct"/>
            <w:vAlign w:val="bottom"/>
          </w:tcPr>
          <w:p w14:paraId="4589CA55" w14:textId="200B6652"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52240A66" w14:textId="72F92554"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56A60544" w14:textId="77777777" w:rsidTr="008143C1">
        <w:tc>
          <w:tcPr>
            <w:tcW w:w="1363" w:type="pct"/>
            <w:vMerge/>
          </w:tcPr>
          <w:p w14:paraId="03A85715" w14:textId="77777777" w:rsidR="008143C1" w:rsidRDefault="008143C1" w:rsidP="00321AB4">
            <w:pPr>
              <w:rPr>
                <w:rFonts w:ascii="Calibri" w:hAnsi="Calibri" w:cs="Arial"/>
                <w:color w:val="000000"/>
                <w:szCs w:val="20"/>
              </w:rPr>
            </w:pPr>
          </w:p>
        </w:tc>
        <w:tc>
          <w:tcPr>
            <w:tcW w:w="1363" w:type="pct"/>
            <w:vAlign w:val="bottom"/>
          </w:tcPr>
          <w:p w14:paraId="34E44B8A" w14:textId="33133A17" w:rsidR="008143C1" w:rsidRPr="00920905" w:rsidRDefault="008143C1" w:rsidP="00321AB4">
            <w:pPr>
              <w:rPr>
                <w:rFonts w:cstheme="minorHAnsi"/>
                <w:color w:val="FF0000"/>
                <w:szCs w:val="20"/>
              </w:rPr>
            </w:pPr>
            <w:r>
              <w:rPr>
                <w:rFonts w:ascii="Calibri" w:hAnsi="Calibri" w:cs="Arial"/>
                <w:color w:val="000000"/>
                <w:szCs w:val="20"/>
              </w:rPr>
              <w:t>Education - Community College</w:t>
            </w:r>
          </w:p>
        </w:tc>
        <w:tc>
          <w:tcPr>
            <w:tcW w:w="1157" w:type="pct"/>
            <w:vAlign w:val="bottom"/>
          </w:tcPr>
          <w:p w14:paraId="3532C70C" w14:textId="7E3EB76E"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780AEFFF" w14:textId="0E932798"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6C7D271F" w14:textId="77777777" w:rsidTr="008143C1">
        <w:tc>
          <w:tcPr>
            <w:tcW w:w="1363" w:type="pct"/>
            <w:vMerge/>
          </w:tcPr>
          <w:p w14:paraId="57BE2084" w14:textId="77777777" w:rsidR="008143C1" w:rsidRDefault="008143C1" w:rsidP="00321AB4">
            <w:pPr>
              <w:rPr>
                <w:rFonts w:ascii="Calibri" w:hAnsi="Calibri" w:cs="Arial"/>
                <w:color w:val="000000"/>
                <w:szCs w:val="20"/>
              </w:rPr>
            </w:pPr>
          </w:p>
        </w:tc>
        <w:tc>
          <w:tcPr>
            <w:tcW w:w="1363" w:type="pct"/>
            <w:vAlign w:val="bottom"/>
          </w:tcPr>
          <w:p w14:paraId="3A24F6D1" w14:textId="6C21621F" w:rsidR="008143C1" w:rsidRPr="00920905" w:rsidRDefault="008143C1" w:rsidP="00321AB4">
            <w:pPr>
              <w:rPr>
                <w:rFonts w:cstheme="minorHAnsi"/>
                <w:color w:val="FF0000"/>
                <w:szCs w:val="20"/>
              </w:rPr>
            </w:pPr>
            <w:r>
              <w:rPr>
                <w:rFonts w:ascii="Calibri" w:hAnsi="Calibri" w:cs="Arial"/>
                <w:color w:val="000000"/>
                <w:szCs w:val="20"/>
              </w:rPr>
              <w:t>Education - University</w:t>
            </w:r>
          </w:p>
        </w:tc>
        <w:tc>
          <w:tcPr>
            <w:tcW w:w="1157" w:type="pct"/>
            <w:vAlign w:val="bottom"/>
          </w:tcPr>
          <w:p w14:paraId="371D8618" w14:textId="7B474F77"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02AE1C37" w14:textId="6AC60076"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7FF0F13F" w14:textId="77777777" w:rsidTr="008143C1">
        <w:tc>
          <w:tcPr>
            <w:tcW w:w="1363" w:type="pct"/>
            <w:vMerge/>
          </w:tcPr>
          <w:p w14:paraId="743F6776" w14:textId="77777777" w:rsidR="008143C1" w:rsidRDefault="008143C1" w:rsidP="00321AB4">
            <w:pPr>
              <w:rPr>
                <w:rFonts w:ascii="Calibri" w:hAnsi="Calibri" w:cs="Arial"/>
                <w:color w:val="000000"/>
                <w:szCs w:val="20"/>
              </w:rPr>
            </w:pPr>
          </w:p>
        </w:tc>
        <w:tc>
          <w:tcPr>
            <w:tcW w:w="1363" w:type="pct"/>
            <w:vAlign w:val="bottom"/>
          </w:tcPr>
          <w:p w14:paraId="1852B27F" w14:textId="33F25F51" w:rsidR="008143C1" w:rsidRPr="00920905" w:rsidRDefault="008143C1" w:rsidP="00321AB4">
            <w:pPr>
              <w:rPr>
                <w:rFonts w:cstheme="minorHAnsi"/>
                <w:color w:val="FF0000"/>
                <w:szCs w:val="20"/>
              </w:rPr>
            </w:pPr>
            <w:r>
              <w:rPr>
                <w:rFonts w:ascii="Calibri" w:hAnsi="Calibri" w:cs="Arial"/>
                <w:color w:val="000000"/>
                <w:szCs w:val="20"/>
              </w:rPr>
              <w:t>Grocery</w:t>
            </w:r>
          </w:p>
        </w:tc>
        <w:tc>
          <w:tcPr>
            <w:tcW w:w="1157" w:type="pct"/>
            <w:vAlign w:val="bottom"/>
          </w:tcPr>
          <w:p w14:paraId="379681A3" w14:textId="66F798C3"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23F81957" w14:textId="048B8F66"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5F811246" w14:textId="77777777" w:rsidTr="008143C1">
        <w:tc>
          <w:tcPr>
            <w:tcW w:w="1363" w:type="pct"/>
            <w:vMerge/>
          </w:tcPr>
          <w:p w14:paraId="6F138C87" w14:textId="77777777" w:rsidR="008143C1" w:rsidRDefault="008143C1" w:rsidP="00321AB4">
            <w:pPr>
              <w:rPr>
                <w:rFonts w:ascii="Calibri" w:hAnsi="Calibri" w:cs="Arial"/>
                <w:color w:val="000000"/>
                <w:szCs w:val="20"/>
              </w:rPr>
            </w:pPr>
          </w:p>
        </w:tc>
        <w:tc>
          <w:tcPr>
            <w:tcW w:w="1363" w:type="pct"/>
            <w:vAlign w:val="bottom"/>
          </w:tcPr>
          <w:p w14:paraId="59640B80" w14:textId="3F710D2F" w:rsidR="008143C1" w:rsidRPr="00920905" w:rsidRDefault="008143C1" w:rsidP="00321AB4">
            <w:pPr>
              <w:rPr>
                <w:rFonts w:cstheme="minorHAnsi"/>
                <w:color w:val="FF0000"/>
                <w:szCs w:val="20"/>
              </w:rPr>
            </w:pPr>
            <w:r>
              <w:rPr>
                <w:rFonts w:ascii="Calibri" w:hAnsi="Calibri" w:cs="Arial"/>
                <w:color w:val="000000"/>
                <w:szCs w:val="20"/>
              </w:rPr>
              <w:t>Health/Medical - Hospital</w:t>
            </w:r>
          </w:p>
        </w:tc>
        <w:tc>
          <w:tcPr>
            <w:tcW w:w="1157" w:type="pct"/>
            <w:vAlign w:val="bottom"/>
          </w:tcPr>
          <w:p w14:paraId="6E1A1306" w14:textId="446BFEDD"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7958D219" w14:textId="674A2108"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47C04685" w14:textId="77777777" w:rsidTr="008143C1">
        <w:tc>
          <w:tcPr>
            <w:tcW w:w="1363" w:type="pct"/>
            <w:vMerge/>
          </w:tcPr>
          <w:p w14:paraId="7B9754F7" w14:textId="77777777" w:rsidR="008143C1" w:rsidRDefault="008143C1" w:rsidP="00321AB4">
            <w:pPr>
              <w:rPr>
                <w:rFonts w:ascii="Calibri" w:hAnsi="Calibri" w:cs="Arial"/>
                <w:color w:val="000000"/>
                <w:szCs w:val="20"/>
              </w:rPr>
            </w:pPr>
          </w:p>
        </w:tc>
        <w:tc>
          <w:tcPr>
            <w:tcW w:w="1363" w:type="pct"/>
            <w:vAlign w:val="bottom"/>
          </w:tcPr>
          <w:p w14:paraId="75A6F7BF" w14:textId="5C0309AF" w:rsidR="008143C1" w:rsidRPr="00920905" w:rsidRDefault="008143C1" w:rsidP="00321AB4">
            <w:pPr>
              <w:rPr>
                <w:rFonts w:cstheme="minorHAnsi"/>
                <w:color w:val="FF0000"/>
                <w:szCs w:val="20"/>
              </w:rPr>
            </w:pPr>
            <w:r>
              <w:rPr>
                <w:rFonts w:ascii="Calibri" w:hAnsi="Calibri" w:cs="Arial"/>
                <w:color w:val="000000"/>
                <w:szCs w:val="20"/>
              </w:rPr>
              <w:t>Health/Medical - Nursing Home</w:t>
            </w:r>
          </w:p>
        </w:tc>
        <w:tc>
          <w:tcPr>
            <w:tcW w:w="1157" w:type="pct"/>
            <w:vAlign w:val="bottom"/>
          </w:tcPr>
          <w:p w14:paraId="217B3EF1" w14:textId="44C80D92"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102A7467" w14:textId="7C374108"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36D01DD0" w14:textId="77777777" w:rsidTr="008143C1">
        <w:tc>
          <w:tcPr>
            <w:tcW w:w="1363" w:type="pct"/>
            <w:vMerge/>
          </w:tcPr>
          <w:p w14:paraId="545E3321" w14:textId="77777777" w:rsidR="008143C1" w:rsidRDefault="008143C1" w:rsidP="00321AB4">
            <w:pPr>
              <w:rPr>
                <w:rFonts w:ascii="Calibri" w:hAnsi="Calibri" w:cs="Arial"/>
                <w:color w:val="000000"/>
                <w:szCs w:val="20"/>
              </w:rPr>
            </w:pPr>
          </w:p>
        </w:tc>
        <w:tc>
          <w:tcPr>
            <w:tcW w:w="1363" w:type="pct"/>
            <w:vAlign w:val="bottom"/>
          </w:tcPr>
          <w:p w14:paraId="365E3183" w14:textId="77A37220" w:rsidR="008143C1" w:rsidRPr="00920905" w:rsidRDefault="008143C1" w:rsidP="00321AB4">
            <w:pPr>
              <w:rPr>
                <w:rFonts w:cstheme="minorHAnsi"/>
                <w:color w:val="FF0000"/>
                <w:szCs w:val="20"/>
              </w:rPr>
            </w:pPr>
            <w:r>
              <w:rPr>
                <w:rFonts w:ascii="Calibri" w:hAnsi="Calibri" w:cs="Arial"/>
                <w:color w:val="000000"/>
                <w:szCs w:val="20"/>
              </w:rPr>
              <w:t>Lodging - Hotel</w:t>
            </w:r>
          </w:p>
        </w:tc>
        <w:tc>
          <w:tcPr>
            <w:tcW w:w="1157" w:type="pct"/>
            <w:vAlign w:val="bottom"/>
          </w:tcPr>
          <w:p w14:paraId="569E3638" w14:textId="03C2D409"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0E92F510" w14:textId="5BDA178A"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30951575" w14:textId="77777777" w:rsidTr="008143C1">
        <w:tc>
          <w:tcPr>
            <w:tcW w:w="1363" w:type="pct"/>
            <w:vMerge/>
          </w:tcPr>
          <w:p w14:paraId="6CD25022" w14:textId="77777777" w:rsidR="008143C1" w:rsidRDefault="008143C1" w:rsidP="00321AB4">
            <w:pPr>
              <w:rPr>
                <w:rFonts w:ascii="Calibri" w:hAnsi="Calibri" w:cs="Arial"/>
                <w:color w:val="000000"/>
                <w:szCs w:val="20"/>
              </w:rPr>
            </w:pPr>
          </w:p>
        </w:tc>
        <w:tc>
          <w:tcPr>
            <w:tcW w:w="1363" w:type="pct"/>
            <w:vAlign w:val="bottom"/>
          </w:tcPr>
          <w:p w14:paraId="69147479" w14:textId="3CDC5C6B" w:rsidR="008143C1" w:rsidRPr="00920905" w:rsidRDefault="008143C1" w:rsidP="00321AB4">
            <w:pPr>
              <w:rPr>
                <w:rFonts w:cstheme="minorHAnsi"/>
                <w:color w:val="FF0000"/>
                <w:szCs w:val="20"/>
              </w:rPr>
            </w:pPr>
            <w:r>
              <w:rPr>
                <w:rFonts w:ascii="Calibri" w:hAnsi="Calibri" w:cs="Arial"/>
                <w:color w:val="000000"/>
                <w:szCs w:val="20"/>
              </w:rPr>
              <w:t>Lodging - Guest Rooms</w:t>
            </w:r>
          </w:p>
        </w:tc>
        <w:tc>
          <w:tcPr>
            <w:tcW w:w="1157" w:type="pct"/>
            <w:vAlign w:val="bottom"/>
          </w:tcPr>
          <w:p w14:paraId="50C543D6" w14:textId="0F4C9DE9"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3AC84893" w14:textId="3BA9B03B"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0FE1ED77" w14:textId="77777777" w:rsidTr="008143C1">
        <w:tc>
          <w:tcPr>
            <w:tcW w:w="1363" w:type="pct"/>
            <w:vMerge/>
          </w:tcPr>
          <w:p w14:paraId="021493C6" w14:textId="77777777" w:rsidR="008143C1" w:rsidRDefault="008143C1" w:rsidP="00321AB4">
            <w:pPr>
              <w:rPr>
                <w:rFonts w:ascii="Calibri" w:hAnsi="Calibri" w:cs="Arial"/>
                <w:color w:val="000000"/>
                <w:szCs w:val="20"/>
              </w:rPr>
            </w:pPr>
          </w:p>
        </w:tc>
        <w:tc>
          <w:tcPr>
            <w:tcW w:w="1363" w:type="pct"/>
            <w:vAlign w:val="bottom"/>
          </w:tcPr>
          <w:p w14:paraId="6264EC1D" w14:textId="5B590B55" w:rsidR="008143C1" w:rsidRPr="00920905" w:rsidRDefault="008143C1" w:rsidP="00321AB4">
            <w:pPr>
              <w:rPr>
                <w:rFonts w:cstheme="minorHAnsi"/>
                <w:color w:val="FF0000"/>
                <w:szCs w:val="20"/>
              </w:rPr>
            </w:pPr>
            <w:r>
              <w:rPr>
                <w:rFonts w:ascii="Calibri" w:hAnsi="Calibri" w:cs="Arial"/>
                <w:color w:val="000000"/>
                <w:szCs w:val="20"/>
              </w:rPr>
              <w:t>Lodging - Motel</w:t>
            </w:r>
          </w:p>
        </w:tc>
        <w:tc>
          <w:tcPr>
            <w:tcW w:w="1157" w:type="pct"/>
            <w:vAlign w:val="bottom"/>
          </w:tcPr>
          <w:p w14:paraId="54C300BB" w14:textId="436EFB99"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57FFEADC" w14:textId="1A05051F"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77463576" w14:textId="77777777" w:rsidTr="008143C1">
        <w:tc>
          <w:tcPr>
            <w:tcW w:w="1363" w:type="pct"/>
            <w:vMerge/>
          </w:tcPr>
          <w:p w14:paraId="43A83130" w14:textId="77777777" w:rsidR="008143C1" w:rsidRDefault="008143C1" w:rsidP="00321AB4">
            <w:pPr>
              <w:rPr>
                <w:rFonts w:ascii="Calibri" w:hAnsi="Calibri" w:cs="Arial"/>
                <w:color w:val="000000"/>
                <w:szCs w:val="20"/>
              </w:rPr>
            </w:pPr>
          </w:p>
        </w:tc>
        <w:tc>
          <w:tcPr>
            <w:tcW w:w="1363" w:type="pct"/>
            <w:vAlign w:val="bottom"/>
          </w:tcPr>
          <w:p w14:paraId="695FA527" w14:textId="6A75C8E0" w:rsidR="008143C1" w:rsidRPr="00920905" w:rsidRDefault="008143C1" w:rsidP="00321AB4">
            <w:pPr>
              <w:rPr>
                <w:rFonts w:cstheme="minorHAnsi"/>
                <w:color w:val="FF0000"/>
                <w:szCs w:val="20"/>
              </w:rPr>
            </w:pPr>
            <w:r>
              <w:rPr>
                <w:rFonts w:ascii="Calibri" w:hAnsi="Calibri" w:cs="Arial"/>
                <w:color w:val="000000"/>
                <w:szCs w:val="20"/>
              </w:rPr>
              <w:t>Manufacturing - Bio/Tech</w:t>
            </w:r>
          </w:p>
        </w:tc>
        <w:tc>
          <w:tcPr>
            <w:tcW w:w="1157" w:type="pct"/>
            <w:vAlign w:val="bottom"/>
          </w:tcPr>
          <w:p w14:paraId="154FA87B" w14:textId="6B831124"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2BFF2BF6" w14:textId="623BFCEA"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4446C89B" w14:textId="77777777" w:rsidTr="008143C1">
        <w:tc>
          <w:tcPr>
            <w:tcW w:w="1363" w:type="pct"/>
            <w:vMerge/>
          </w:tcPr>
          <w:p w14:paraId="457C2A9F" w14:textId="77777777" w:rsidR="008143C1" w:rsidRDefault="008143C1" w:rsidP="00321AB4">
            <w:pPr>
              <w:rPr>
                <w:rFonts w:ascii="Calibri" w:hAnsi="Calibri" w:cs="Arial"/>
                <w:color w:val="000000"/>
                <w:szCs w:val="20"/>
              </w:rPr>
            </w:pPr>
          </w:p>
        </w:tc>
        <w:tc>
          <w:tcPr>
            <w:tcW w:w="1363" w:type="pct"/>
            <w:vAlign w:val="bottom"/>
          </w:tcPr>
          <w:p w14:paraId="5B7DD971" w14:textId="2673D9ED" w:rsidR="008143C1" w:rsidRPr="00920905" w:rsidRDefault="008143C1" w:rsidP="00321AB4">
            <w:pPr>
              <w:rPr>
                <w:rFonts w:cstheme="minorHAnsi"/>
                <w:color w:val="FF0000"/>
                <w:szCs w:val="20"/>
              </w:rPr>
            </w:pPr>
            <w:r>
              <w:rPr>
                <w:rFonts w:ascii="Calibri" w:hAnsi="Calibri" w:cs="Arial"/>
                <w:color w:val="000000"/>
                <w:szCs w:val="20"/>
              </w:rPr>
              <w:t>Manufacturing - Light Industrial</w:t>
            </w:r>
          </w:p>
        </w:tc>
        <w:tc>
          <w:tcPr>
            <w:tcW w:w="1157" w:type="pct"/>
            <w:vAlign w:val="bottom"/>
          </w:tcPr>
          <w:p w14:paraId="060B9B59" w14:textId="03403F20"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065349E7" w14:textId="0A58C7C3"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11F12E43" w14:textId="77777777" w:rsidTr="008143C1">
        <w:tc>
          <w:tcPr>
            <w:tcW w:w="1363" w:type="pct"/>
            <w:vMerge/>
          </w:tcPr>
          <w:p w14:paraId="767BD172" w14:textId="77777777" w:rsidR="008143C1" w:rsidRDefault="008143C1" w:rsidP="00321AB4">
            <w:pPr>
              <w:rPr>
                <w:rFonts w:ascii="Calibri" w:hAnsi="Calibri" w:cs="Arial"/>
                <w:color w:val="000000"/>
                <w:szCs w:val="20"/>
              </w:rPr>
            </w:pPr>
          </w:p>
        </w:tc>
        <w:tc>
          <w:tcPr>
            <w:tcW w:w="1363" w:type="pct"/>
            <w:vAlign w:val="bottom"/>
          </w:tcPr>
          <w:p w14:paraId="6A8ACA28" w14:textId="477BE137" w:rsidR="008143C1" w:rsidRPr="00920905" w:rsidRDefault="008143C1" w:rsidP="00321AB4">
            <w:pPr>
              <w:rPr>
                <w:rFonts w:cstheme="minorHAnsi"/>
                <w:color w:val="FF0000"/>
                <w:szCs w:val="20"/>
              </w:rPr>
            </w:pPr>
            <w:r>
              <w:rPr>
                <w:rFonts w:ascii="Calibri" w:hAnsi="Calibri" w:cs="Arial"/>
                <w:color w:val="000000"/>
                <w:szCs w:val="20"/>
              </w:rPr>
              <w:t>Office - Large</w:t>
            </w:r>
          </w:p>
        </w:tc>
        <w:tc>
          <w:tcPr>
            <w:tcW w:w="1157" w:type="pct"/>
            <w:vAlign w:val="bottom"/>
          </w:tcPr>
          <w:p w14:paraId="697A574A" w14:textId="03CA8D30"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1573AE44" w14:textId="54F27BFF"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64D78703" w14:textId="77777777" w:rsidTr="008143C1">
        <w:tc>
          <w:tcPr>
            <w:tcW w:w="1363" w:type="pct"/>
            <w:vMerge/>
          </w:tcPr>
          <w:p w14:paraId="497B12C0" w14:textId="77777777" w:rsidR="008143C1" w:rsidRDefault="008143C1" w:rsidP="00321AB4">
            <w:pPr>
              <w:rPr>
                <w:rFonts w:ascii="Calibri" w:hAnsi="Calibri" w:cs="Arial"/>
                <w:color w:val="000000"/>
                <w:szCs w:val="20"/>
              </w:rPr>
            </w:pPr>
          </w:p>
        </w:tc>
        <w:tc>
          <w:tcPr>
            <w:tcW w:w="1363" w:type="pct"/>
            <w:vAlign w:val="bottom"/>
          </w:tcPr>
          <w:p w14:paraId="6C8885B9" w14:textId="071EF3C9" w:rsidR="008143C1" w:rsidRPr="00920905" w:rsidRDefault="008143C1" w:rsidP="00321AB4">
            <w:pPr>
              <w:rPr>
                <w:rFonts w:cstheme="minorHAnsi"/>
                <w:color w:val="FF0000"/>
                <w:szCs w:val="20"/>
              </w:rPr>
            </w:pPr>
            <w:r>
              <w:rPr>
                <w:rFonts w:ascii="Calibri" w:hAnsi="Calibri" w:cs="Arial"/>
                <w:color w:val="000000"/>
                <w:szCs w:val="20"/>
              </w:rPr>
              <w:t>Office - Small</w:t>
            </w:r>
          </w:p>
        </w:tc>
        <w:tc>
          <w:tcPr>
            <w:tcW w:w="1157" w:type="pct"/>
            <w:vAlign w:val="bottom"/>
          </w:tcPr>
          <w:p w14:paraId="4C7EEBB0" w14:textId="0980E782"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3C24A4EA" w14:textId="0C7FC588"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1A67E028" w14:textId="77777777" w:rsidTr="008143C1">
        <w:tc>
          <w:tcPr>
            <w:tcW w:w="1363" w:type="pct"/>
            <w:vMerge/>
          </w:tcPr>
          <w:p w14:paraId="254E1A6E" w14:textId="77777777" w:rsidR="008143C1" w:rsidRDefault="008143C1" w:rsidP="00321AB4">
            <w:pPr>
              <w:rPr>
                <w:rFonts w:ascii="Calibri" w:hAnsi="Calibri" w:cs="Arial"/>
                <w:color w:val="000000"/>
                <w:szCs w:val="20"/>
              </w:rPr>
            </w:pPr>
          </w:p>
        </w:tc>
        <w:tc>
          <w:tcPr>
            <w:tcW w:w="1363" w:type="pct"/>
            <w:vAlign w:val="bottom"/>
          </w:tcPr>
          <w:p w14:paraId="3B636E68" w14:textId="118B3A73" w:rsidR="008143C1" w:rsidRPr="00920905" w:rsidRDefault="008143C1" w:rsidP="00321AB4">
            <w:pPr>
              <w:rPr>
                <w:rFonts w:cstheme="minorHAnsi"/>
                <w:color w:val="FF0000"/>
                <w:szCs w:val="20"/>
              </w:rPr>
            </w:pPr>
            <w:r>
              <w:rPr>
                <w:rFonts w:ascii="Calibri" w:hAnsi="Calibri" w:cs="Arial"/>
                <w:color w:val="000000"/>
                <w:szCs w:val="20"/>
              </w:rPr>
              <w:t>Restaurant - Fast-Food</w:t>
            </w:r>
          </w:p>
        </w:tc>
        <w:tc>
          <w:tcPr>
            <w:tcW w:w="1157" w:type="pct"/>
            <w:vAlign w:val="bottom"/>
          </w:tcPr>
          <w:p w14:paraId="708F7055" w14:textId="34677758"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49D563F1" w14:textId="7F609B99"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7338523A" w14:textId="77777777" w:rsidTr="008143C1">
        <w:tc>
          <w:tcPr>
            <w:tcW w:w="1363" w:type="pct"/>
            <w:vMerge/>
          </w:tcPr>
          <w:p w14:paraId="27EA812C" w14:textId="77777777" w:rsidR="008143C1" w:rsidRDefault="008143C1" w:rsidP="00321AB4">
            <w:pPr>
              <w:rPr>
                <w:rFonts w:ascii="Calibri" w:hAnsi="Calibri" w:cs="Arial"/>
                <w:color w:val="000000"/>
                <w:szCs w:val="20"/>
              </w:rPr>
            </w:pPr>
          </w:p>
        </w:tc>
        <w:tc>
          <w:tcPr>
            <w:tcW w:w="1363" w:type="pct"/>
            <w:vAlign w:val="bottom"/>
          </w:tcPr>
          <w:p w14:paraId="1E0F1C93" w14:textId="4058C0D5" w:rsidR="008143C1" w:rsidRPr="00920905" w:rsidRDefault="008143C1" w:rsidP="00321AB4">
            <w:pPr>
              <w:rPr>
                <w:rFonts w:cstheme="minorHAnsi"/>
                <w:color w:val="FF0000"/>
                <w:szCs w:val="20"/>
              </w:rPr>
            </w:pPr>
            <w:r>
              <w:rPr>
                <w:rFonts w:ascii="Calibri" w:hAnsi="Calibri" w:cs="Arial"/>
                <w:color w:val="000000"/>
                <w:szCs w:val="20"/>
              </w:rPr>
              <w:t>Restaurant - Sit-Down</w:t>
            </w:r>
          </w:p>
        </w:tc>
        <w:tc>
          <w:tcPr>
            <w:tcW w:w="1157" w:type="pct"/>
            <w:vAlign w:val="bottom"/>
          </w:tcPr>
          <w:p w14:paraId="44C7F62A" w14:textId="1E2BF79F"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463B7D07" w14:textId="44E89133"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225D83BB" w14:textId="77777777" w:rsidTr="008143C1">
        <w:tc>
          <w:tcPr>
            <w:tcW w:w="1363" w:type="pct"/>
            <w:vMerge/>
          </w:tcPr>
          <w:p w14:paraId="0B3F27C0" w14:textId="77777777" w:rsidR="008143C1" w:rsidRDefault="008143C1" w:rsidP="00321AB4">
            <w:pPr>
              <w:rPr>
                <w:rFonts w:ascii="Calibri" w:hAnsi="Calibri" w:cs="Arial"/>
                <w:color w:val="000000"/>
                <w:szCs w:val="20"/>
              </w:rPr>
            </w:pPr>
          </w:p>
        </w:tc>
        <w:tc>
          <w:tcPr>
            <w:tcW w:w="1363" w:type="pct"/>
            <w:vAlign w:val="bottom"/>
          </w:tcPr>
          <w:p w14:paraId="52B76F5C" w14:textId="6A6A4DFF" w:rsidR="008143C1" w:rsidRDefault="008143C1" w:rsidP="00321AB4">
            <w:pPr>
              <w:rPr>
                <w:rFonts w:ascii="Calibri" w:hAnsi="Calibri" w:cs="Arial"/>
                <w:color w:val="000000"/>
                <w:szCs w:val="20"/>
              </w:rPr>
            </w:pPr>
            <w:r>
              <w:rPr>
                <w:rFonts w:ascii="Calibri" w:hAnsi="Calibri" w:cs="Arial"/>
                <w:color w:val="000000"/>
                <w:szCs w:val="20"/>
              </w:rPr>
              <w:t>Retail - Multistory Large</w:t>
            </w:r>
          </w:p>
        </w:tc>
        <w:tc>
          <w:tcPr>
            <w:tcW w:w="1157" w:type="pct"/>
            <w:vAlign w:val="bottom"/>
          </w:tcPr>
          <w:p w14:paraId="6237F2AA" w14:textId="532AF3DF"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17654039" w14:textId="79B95D60"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7C4E5D3E" w14:textId="77777777" w:rsidTr="008143C1">
        <w:tc>
          <w:tcPr>
            <w:tcW w:w="1363" w:type="pct"/>
            <w:vMerge/>
          </w:tcPr>
          <w:p w14:paraId="2F772B7E" w14:textId="77777777" w:rsidR="008143C1" w:rsidRDefault="008143C1" w:rsidP="00321AB4">
            <w:pPr>
              <w:rPr>
                <w:rFonts w:ascii="Calibri" w:hAnsi="Calibri" w:cs="Arial"/>
                <w:color w:val="000000"/>
                <w:szCs w:val="20"/>
              </w:rPr>
            </w:pPr>
          </w:p>
        </w:tc>
        <w:tc>
          <w:tcPr>
            <w:tcW w:w="1363" w:type="pct"/>
            <w:vAlign w:val="bottom"/>
          </w:tcPr>
          <w:p w14:paraId="7893592C" w14:textId="10E4AABF" w:rsidR="008143C1" w:rsidRDefault="008143C1" w:rsidP="00321AB4">
            <w:pPr>
              <w:rPr>
                <w:rFonts w:ascii="Calibri" w:hAnsi="Calibri" w:cs="Arial"/>
                <w:color w:val="000000"/>
                <w:szCs w:val="20"/>
              </w:rPr>
            </w:pPr>
            <w:r>
              <w:rPr>
                <w:rFonts w:ascii="Calibri" w:hAnsi="Calibri" w:cs="Arial"/>
                <w:color w:val="000000"/>
                <w:szCs w:val="20"/>
              </w:rPr>
              <w:t>Retail - Single-Story Large</w:t>
            </w:r>
          </w:p>
        </w:tc>
        <w:tc>
          <w:tcPr>
            <w:tcW w:w="1157" w:type="pct"/>
            <w:vAlign w:val="bottom"/>
          </w:tcPr>
          <w:p w14:paraId="47D0EEAF" w14:textId="29C0AA06"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35619999" w14:textId="54BF6363"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3E2CE1D2" w14:textId="77777777" w:rsidTr="008143C1">
        <w:tc>
          <w:tcPr>
            <w:tcW w:w="1363" w:type="pct"/>
            <w:vMerge/>
          </w:tcPr>
          <w:p w14:paraId="7DAF025F" w14:textId="77777777" w:rsidR="008143C1" w:rsidRDefault="008143C1" w:rsidP="00321AB4">
            <w:pPr>
              <w:rPr>
                <w:rFonts w:ascii="Calibri" w:hAnsi="Calibri" w:cs="Arial"/>
                <w:color w:val="000000"/>
                <w:szCs w:val="20"/>
              </w:rPr>
            </w:pPr>
          </w:p>
        </w:tc>
        <w:tc>
          <w:tcPr>
            <w:tcW w:w="1363" w:type="pct"/>
            <w:vAlign w:val="bottom"/>
          </w:tcPr>
          <w:p w14:paraId="655C0B7B" w14:textId="09CC4CE7" w:rsidR="008143C1" w:rsidRDefault="008143C1" w:rsidP="00321AB4">
            <w:pPr>
              <w:rPr>
                <w:rFonts w:ascii="Calibri" w:hAnsi="Calibri" w:cs="Arial"/>
                <w:color w:val="000000"/>
                <w:szCs w:val="20"/>
              </w:rPr>
            </w:pPr>
            <w:r>
              <w:rPr>
                <w:rFonts w:ascii="Calibri" w:hAnsi="Calibri" w:cs="Arial"/>
                <w:color w:val="000000"/>
                <w:szCs w:val="20"/>
              </w:rPr>
              <w:t>Retail - Small</w:t>
            </w:r>
          </w:p>
        </w:tc>
        <w:tc>
          <w:tcPr>
            <w:tcW w:w="1157" w:type="pct"/>
            <w:vAlign w:val="bottom"/>
          </w:tcPr>
          <w:p w14:paraId="1731668C" w14:textId="2F7923C1"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5D37BBCF" w14:textId="45420AFB"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75ECA446" w14:textId="77777777" w:rsidTr="008143C1">
        <w:tc>
          <w:tcPr>
            <w:tcW w:w="1363" w:type="pct"/>
            <w:vMerge/>
          </w:tcPr>
          <w:p w14:paraId="5DCF538F" w14:textId="77777777" w:rsidR="008143C1" w:rsidRDefault="008143C1" w:rsidP="00321AB4">
            <w:pPr>
              <w:rPr>
                <w:rFonts w:ascii="Calibri" w:hAnsi="Calibri" w:cs="Arial"/>
                <w:color w:val="000000"/>
                <w:szCs w:val="20"/>
              </w:rPr>
            </w:pPr>
          </w:p>
        </w:tc>
        <w:tc>
          <w:tcPr>
            <w:tcW w:w="1363" w:type="pct"/>
            <w:vAlign w:val="bottom"/>
          </w:tcPr>
          <w:p w14:paraId="5AE00529" w14:textId="3DFAE927" w:rsidR="008143C1" w:rsidRDefault="008143C1" w:rsidP="00321AB4">
            <w:pPr>
              <w:rPr>
                <w:rFonts w:ascii="Calibri" w:hAnsi="Calibri" w:cs="Arial"/>
                <w:color w:val="000000"/>
                <w:szCs w:val="20"/>
              </w:rPr>
            </w:pPr>
            <w:r>
              <w:rPr>
                <w:rFonts w:ascii="Calibri" w:hAnsi="Calibri" w:cs="Arial"/>
                <w:color w:val="000000"/>
                <w:szCs w:val="20"/>
              </w:rPr>
              <w:t>Storage - Conditioned</w:t>
            </w:r>
          </w:p>
        </w:tc>
        <w:tc>
          <w:tcPr>
            <w:tcW w:w="1157" w:type="pct"/>
            <w:vAlign w:val="bottom"/>
          </w:tcPr>
          <w:p w14:paraId="5F32E7DC" w14:textId="7B7EB19D"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3EF5C754" w14:textId="10F2BC3F"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29E49720" w14:textId="77777777" w:rsidTr="008143C1">
        <w:tc>
          <w:tcPr>
            <w:tcW w:w="1363" w:type="pct"/>
            <w:vMerge/>
          </w:tcPr>
          <w:p w14:paraId="34B3507A" w14:textId="77777777" w:rsidR="008143C1" w:rsidRDefault="008143C1" w:rsidP="00321AB4">
            <w:pPr>
              <w:rPr>
                <w:rFonts w:ascii="Calibri" w:hAnsi="Calibri" w:cs="Arial"/>
                <w:color w:val="000000"/>
                <w:szCs w:val="20"/>
              </w:rPr>
            </w:pPr>
          </w:p>
        </w:tc>
        <w:tc>
          <w:tcPr>
            <w:tcW w:w="1363" w:type="pct"/>
            <w:vAlign w:val="bottom"/>
          </w:tcPr>
          <w:p w14:paraId="12670B91" w14:textId="75C57F58" w:rsidR="008143C1" w:rsidRDefault="008143C1" w:rsidP="00321AB4">
            <w:pPr>
              <w:rPr>
                <w:rFonts w:ascii="Calibri" w:hAnsi="Calibri" w:cs="Arial"/>
                <w:color w:val="000000"/>
                <w:szCs w:val="20"/>
              </w:rPr>
            </w:pPr>
            <w:r>
              <w:rPr>
                <w:rFonts w:ascii="Calibri" w:hAnsi="Calibri" w:cs="Arial"/>
                <w:color w:val="000000"/>
                <w:szCs w:val="20"/>
              </w:rPr>
              <w:t>Storage - Unconditioned</w:t>
            </w:r>
          </w:p>
        </w:tc>
        <w:tc>
          <w:tcPr>
            <w:tcW w:w="1157" w:type="pct"/>
            <w:vAlign w:val="bottom"/>
          </w:tcPr>
          <w:p w14:paraId="16337027" w14:textId="7359C502"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4E623DAB" w14:textId="018F2098"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2409673C" w14:textId="77777777" w:rsidTr="008143C1">
        <w:tc>
          <w:tcPr>
            <w:tcW w:w="1363" w:type="pct"/>
            <w:vMerge/>
          </w:tcPr>
          <w:p w14:paraId="02F8523B" w14:textId="77777777" w:rsidR="008143C1" w:rsidRDefault="008143C1" w:rsidP="00321AB4">
            <w:pPr>
              <w:rPr>
                <w:rFonts w:ascii="Calibri" w:hAnsi="Calibri" w:cs="Arial"/>
                <w:color w:val="000000"/>
                <w:szCs w:val="20"/>
              </w:rPr>
            </w:pPr>
          </w:p>
        </w:tc>
        <w:tc>
          <w:tcPr>
            <w:tcW w:w="1363" w:type="pct"/>
            <w:vAlign w:val="bottom"/>
          </w:tcPr>
          <w:p w14:paraId="41865D79" w14:textId="5E231563" w:rsidR="008143C1" w:rsidRDefault="008143C1" w:rsidP="00321AB4">
            <w:pPr>
              <w:rPr>
                <w:rFonts w:ascii="Calibri" w:hAnsi="Calibri" w:cs="Arial"/>
                <w:color w:val="000000"/>
                <w:szCs w:val="20"/>
              </w:rPr>
            </w:pPr>
            <w:r>
              <w:rPr>
                <w:rFonts w:ascii="Calibri" w:hAnsi="Calibri" w:cs="Arial"/>
                <w:color w:val="000000"/>
                <w:szCs w:val="20"/>
              </w:rPr>
              <w:t>Warehouse - Refrigerated</w:t>
            </w:r>
          </w:p>
        </w:tc>
        <w:tc>
          <w:tcPr>
            <w:tcW w:w="1157" w:type="pct"/>
            <w:vAlign w:val="bottom"/>
          </w:tcPr>
          <w:p w14:paraId="5ABCC34C" w14:textId="39767996"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169D1A5F" w14:textId="7C9A6DB1"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1884FD15" w14:textId="77777777" w:rsidTr="008143C1">
        <w:tc>
          <w:tcPr>
            <w:tcW w:w="1363" w:type="pct"/>
            <w:vMerge w:val="restart"/>
          </w:tcPr>
          <w:p w14:paraId="7D5FF08A" w14:textId="75615773" w:rsidR="008143C1" w:rsidRDefault="008143C1" w:rsidP="00321AB4">
            <w:pPr>
              <w:rPr>
                <w:rFonts w:ascii="Calibri" w:hAnsi="Calibri" w:cs="Arial"/>
                <w:color w:val="000000"/>
                <w:szCs w:val="20"/>
              </w:rPr>
            </w:pPr>
            <w:r>
              <w:rPr>
                <w:rFonts w:cs="Arial"/>
                <w:szCs w:val="20"/>
              </w:rPr>
              <w:t>LT- 18927, LT-18928, and LT-18929</w:t>
            </w:r>
          </w:p>
        </w:tc>
        <w:tc>
          <w:tcPr>
            <w:tcW w:w="1363" w:type="pct"/>
            <w:vAlign w:val="bottom"/>
          </w:tcPr>
          <w:p w14:paraId="17CA2F88" w14:textId="0B775E0E" w:rsidR="008143C1" w:rsidRDefault="008143C1" w:rsidP="00321AB4">
            <w:pPr>
              <w:rPr>
                <w:rFonts w:ascii="Calibri" w:hAnsi="Calibri" w:cs="Arial"/>
                <w:color w:val="000000"/>
                <w:szCs w:val="20"/>
              </w:rPr>
            </w:pPr>
            <w:r>
              <w:rPr>
                <w:rFonts w:ascii="Calibri" w:hAnsi="Calibri" w:cs="Arial"/>
                <w:color w:val="000000"/>
                <w:szCs w:val="20"/>
              </w:rPr>
              <w:t>Residential Single Family</w:t>
            </w:r>
          </w:p>
        </w:tc>
        <w:tc>
          <w:tcPr>
            <w:tcW w:w="1157" w:type="pct"/>
            <w:vAlign w:val="bottom"/>
          </w:tcPr>
          <w:p w14:paraId="428E39DD" w14:textId="13002533"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654EBBBC" w14:textId="7F3B3F13"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rsidRPr="00920905" w14:paraId="5FFAB289" w14:textId="77777777" w:rsidTr="008143C1">
        <w:tc>
          <w:tcPr>
            <w:tcW w:w="1363" w:type="pct"/>
            <w:vMerge/>
          </w:tcPr>
          <w:p w14:paraId="47B3412C" w14:textId="77777777" w:rsidR="008143C1" w:rsidRDefault="008143C1" w:rsidP="00321AB4">
            <w:pPr>
              <w:rPr>
                <w:rFonts w:ascii="Calibri" w:hAnsi="Calibri" w:cs="Arial"/>
                <w:color w:val="000000"/>
                <w:szCs w:val="20"/>
              </w:rPr>
            </w:pPr>
          </w:p>
        </w:tc>
        <w:tc>
          <w:tcPr>
            <w:tcW w:w="1363" w:type="pct"/>
            <w:vAlign w:val="bottom"/>
          </w:tcPr>
          <w:p w14:paraId="40EDC3AE" w14:textId="649BCA78" w:rsidR="008143C1" w:rsidRDefault="008143C1" w:rsidP="00321AB4">
            <w:pPr>
              <w:rPr>
                <w:rFonts w:ascii="Calibri" w:hAnsi="Calibri" w:cs="Arial"/>
                <w:color w:val="000000"/>
                <w:szCs w:val="20"/>
              </w:rPr>
            </w:pPr>
            <w:r>
              <w:rPr>
                <w:rFonts w:ascii="Calibri" w:hAnsi="Calibri" w:cs="Arial"/>
                <w:color w:val="000000"/>
                <w:szCs w:val="20"/>
              </w:rPr>
              <w:t>Residential Multi-family</w:t>
            </w:r>
          </w:p>
        </w:tc>
        <w:tc>
          <w:tcPr>
            <w:tcW w:w="1157" w:type="pct"/>
            <w:vAlign w:val="bottom"/>
          </w:tcPr>
          <w:p w14:paraId="7C78B4C3" w14:textId="60540C0A" w:rsidR="008143C1" w:rsidRPr="00920905" w:rsidRDefault="008143C1" w:rsidP="00321AB4">
            <w:pPr>
              <w:rPr>
                <w:rFonts w:cstheme="minorHAnsi"/>
                <w:color w:val="FF0000"/>
                <w:szCs w:val="20"/>
              </w:rPr>
            </w:pPr>
            <w:r>
              <w:rPr>
                <w:rFonts w:ascii="Calibri" w:hAnsi="Calibri" w:cs="Arial"/>
                <w:color w:val="000000"/>
                <w:szCs w:val="20"/>
              </w:rPr>
              <w:t>Outdoor Lt</w:t>
            </w:r>
          </w:p>
        </w:tc>
        <w:tc>
          <w:tcPr>
            <w:tcW w:w="1117" w:type="pct"/>
            <w:vAlign w:val="bottom"/>
          </w:tcPr>
          <w:p w14:paraId="3DBB92C7" w14:textId="6E130959" w:rsidR="008143C1" w:rsidRPr="00920905" w:rsidRDefault="008143C1" w:rsidP="00321AB4">
            <w:pPr>
              <w:rPr>
                <w:rFonts w:cstheme="minorHAnsi"/>
                <w:color w:val="FF0000"/>
                <w:szCs w:val="20"/>
              </w:rPr>
            </w:pPr>
            <w:r>
              <w:rPr>
                <w:rFonts w:ascii="Calibri" w:hAnsi="Calibri" w:cs="Arial"/>
                <w:color w:val="000000"/>
                <w:szCs w:val="20"/>
              </w:rPr>
              <w:t>Misc._Commercial</w:t>
            </w:r>
          </w:p>
        </w:tc>
      </w:tr>
      <w:tr w:rsidR="008143C1" w14:paraId="22624CBF" w14:textId="77777777" w:rsidTr="008143C1">
        <w:tc>
          <w:tcPr>
            <w:tcW w:w="1363" w:type="pct"/>
            <w:vMerge/>
          </w:tcPr>
          <w:p w14:paraId="780ACBCF" w14:textId="77777777" w:rsidR="008143C1" w:rsidRPr="00272ECF" w:rsidRDefault="008143C1" w:rsidP="00321AB4">
            <w:pPr>
              <w:rPr>
                <w:rFonts w:ascii="Calibri" w:hAnsi="Calibri" w:cs="Arial"/>
                <w:color w:val="000000"/>
                <w:szCs w:val="20"/>
              </w:rPr>
            </w:pPr>
          </w:p>
        </w:tc>
        <w:tc>
          <w:tcPr>
            <w:tcW w:w="1363" w:type="pct"/>
            <w:vAlign w:val="bottom"/>
          </w:tcPr>
          <w:p w14:paraId="2FA00E3B" w14:textId="42D81E2F" w:rsidR="008143C1" w:rsidRDefault="008143C1" w:rsidP="00321AB4">
            <w:pPr>
              <w:rPr>
                <w:rFonts w:ascii="Calibri" w:hAnsi="Calibri" w:cs="Arial"/>
                <w:color w:val="000000"/>
                <w:szCs w:val="20"/>
              </w:rPr>
            </w:pPr>
            <w:r w:rsidRPr="00272ECF">
              <w:rPr>
                <w:rFonts w:ascii="Calibri" w:hAnsi="Calibri" w:cs="Arial"/>
                <w:color w:val="000000"/>
                <w:szCs w:val="20"/>
              </w:rPr>
              <w:t>Residential Mobile Home - Double-Wide</w:t>
            </w:r>
          </w:p>
        </w:tc>
        <w:tc>
          <w:tcPr>
            <w:tcW w:w="1157" w:type="pct"/>
            <w:vAlign w:val="bottom"/>
          </w:tcPr>
          <w:p w14:paraId="2A4ECCD2" w14:textId="38A3183C" w:rsidR="008143C1" w:rsidRDefault="008143C1" w:rsidP="00321AB4">
            <w:pPr>
              <w:rPr>
                <w:rFonts w:ascii="Calibri" w:hAnsi="Calibri" w:cs="Arial"/>
                <w:color w:val="000000"/>
                <w:szCs w:val="20"/>
              </w:rPr>
            </w:pPr>
            <w:r>
              <w:rPr>
                <w:rFonts w:ascii="Calibri" w:hAnsi="Calibri" w:cs="Arial"/>
                <w:color w:val="000000"/>
                <w:szCs w:val="20"/>
              </w:rPr>
              <w:t>Outdoor Lt</w:t>
            </w:r>
          </w:p>
        </w:tc>
        <w:tc>
          <w:tcPr>
            <w:tcW w:w="1117" w:type="pct"/>
            <w:vAlign w:val="bottom"/>
          </w:tcPr>
          <w:p w14:paraId="2C145088" w14:textId="0D5E507C" w:rsidR="008143C1" w:rsidRDefault="008143C1" w:rsidP="00321AB4">
            <w:pPr>
              <w:rPr>
                <w:rFonts w:ascii="Calibri" w:hAnsi="Calibri" w:cs="Arial"/>
                <w:color w:val="000000"/>
                <w:szCs w:val="20"/>
              </w:rPr>
            </w:pPr>
            <w:r>
              <w:rPr>
                <w:rFonts w:ascii="Calibri" w:hAnsi="Calibri" w:cs="Arial"/>
                <w:color w:val="000000"/>
                <w:szCs w:val="20"/>
              </w:rPr>
              <w:t>Misc._Commercial</w:t>
            </w:r>
          </w:p>
        </w:tc>
      </w:tr>
    </w:tbl>
    <w:p w14:paraId="55477D45" w14:textId="77777777" w:rsidR="009B7EE5" w:rsidRPr="009B7EE5" w:rsidRDefault="009B7EE5" w:rsidP="009B7EE5"/>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1" w:name="_MON_1399297811"/>
      <w:bookmarkStart w:id="22" w:name="_Toc214003097"/>
      <w:bookmarkEnd w:id="21"/>
      <w:r w:rsidRPr="00500C4E">
        <w:rPr>
          <w:rFonts w:asciiTheme="minorHAnsi" w:hAnsiTheme="minorHAnsi" w:cstheme="minorHAnsi"/>
        </w:rPr>
        <w:t>4.1 Base Case Cost</w:t>
      </w:r>
      <w:bookmarkEnd w:id="22"/>
    </w:p>
    <w:p w14:paraId="71FA35C1" w14:textId="1848A5A6" w:rsidR="00352EC3" w:rsidRPr="007C19E8" w:rsidRDefault="00352EC3" w:rsidP="00352EC3">
      <w:pPr>
        <w:pStyle w:val="Reminders"/>
        <w:rPr>
          <w:rFonts w:asciiTheme="minorHAnsi" w:hAnsiTheme="minorHAnsi" w:cstheme="minorHAnsi"/>
          <w:i w:val="0"/>
          <w:color w:val="auto"/>
          <w:szCs w:val="22"/>
        </w:rPr>
      </w:pPr>
      <w:bookmarkStart w:id="23" w:name="_Toc214003098"/>
      <w:r w:rsidRPr="007C19E8">
        <w:rPr>
          <w:rFonts w:asciiTheme="minorHAnsi" w:hAnsiTheme="minorHAnsi" w:cstheme="minorHAnsi"/>
          <w:i w:val="0"/>
          <w:color w:val="auto"/>
          <w:szCs w:val="22"/>
        </w:rPr>
        <w:t xml:space="preserve">Bi-pin halogen lighting fixture cost is an average of fixture costs found </w:t>
      </w:r>
      <w:r w:rsidRPr="00B75D95">
        <w:rPr>
          <w:rFonts w:asciiTheme="minorHAnsi" w:hAnsiTheme="minorHAnsi" w:cstheme="minorHAnsi"/>
          <w:i w:val="0"/>
          <w:color w:val="auto"/>
          <w:szCs w:val="22"/>
        </w:rPr>
        <w:t>online [</w:t>
      </w:r>
      <w:r w:rsidR="00BB1DE6">
        <w:rPr>
          <w:rFonts w:asciiTheme="minorHAnsi" w:hAnsiTheme="minorHAnsi" w:cstheme="minorHAnsi"/>
          <w:i w:val="0"/>
          <w:color w:val="auto"/>
          <w:szCs w:val="22"/>
        </w:rPr>
        <w:t>Attachment 2</w:t>
      </w:r>
      <w:r w:rsidRPr="00B75D95">
        <w:rPr>
          <w:rFonts w:asciiTheme="minorHAnsi" w:hAnsiTheme="minorHAnsi" w:cstheme="minorHAnsi"/>
          <w:i w:val="0"/>
          <w:color w:val="auto"/>
          <w:szCs w:val="22"/>
        </w:rPr>
        <w:t>]. The costs are similar regardless of the wattage of the base case, hence, are grouped into a single cost. The cost varies mo</w:t>
      </w:r>
      <w:r w:rsidR="002973AF">
        <w:rPr>
          <w:rFonts w:asciiTheme="minorHAnsi" w:hAnsiTheme="minorHAnsi" w:cstheme="minorHAnsi"/>
          <w:i w:val="0"/>
          <w:color w:val="auto"/>
          <w:szCs w:val="22"/>
        </w:rPr>
        <w:t xml:space="preserve">st by the finish of the fixture. </w:t>
      </w:r>
      <w:r w:rsidR="000C3183">
        <w:rPr>
          <w:rFonts w:asciiTheme="minorHAnsi" w:hAnsiTheme="minorHAnsi" w:cstheme="minorHAnsi"/>
          <w:i w:val="0"/>
          <w:color w:val="auto"/>
          <w:szCs w:val="22"/>
        </w:rPr>
        <w:t xml:space="preserve">The web scraping to find the new costs was done in fourth quarter of 2016. </w:t>
      </w:r>
      <w:r w:rsidRPr="00B75D95">
        <w:rPr>
          <w:rFonts w:asciiTheme="minorHAnsi" w:hAnsiTheme="minorHAnsi" w:cstheme="minorHAnsi"/>
          <w:i w:val="0"/>
          <w:color w:val="auto"/>
          <w:szCs w:val="22"/>
        </w:rPr>
        <w:t>The labor cost is taken from RS Means 201</w:t>
      </w:r>
      <w:r w:rsidR="006A5D5B">
        <w:rPr>
          <w:rFonts w:asciiTheme="minorHAnsi" w:hAnsiTheme="minorHAnsi" w:cstheme="minorHAnsi"/>
          <w:i w:val="0"/>
          <w:color w:val="auto"/>
          <w:szCs w:val="22"/>
        </w:rPr>
        <w:t>6</w:t>
      </w:r>
      <w:r w:rsidRPr="00B75D95">
        <w:rPr>
          <w:rFonts w:asciiTheme="minorHAnsi" w:hAnsiTheme="minorHAnsi" w:cstheme="minorHAnsi"/>
          <w:i w:val="0"/>
          <w:color w:val="auto"/>
          <w:szCs w:val="22"/>
        </w:rPr>
        <w:t xml:space="preserve"> </w:t>
      </w:r>
      <w:r w:rsidR="002973AF">
        <w:rPr>
          <w:rFonts w:asciiTheme="minorHAnsi" w:hAnsiTheme="minorHAnsi" w:cstheme="minorHAnsi"/>
          <w:i w:val="0"/>
          <w:color w:val="auto"/>
          <w:szCs w:val="22"/>
        </w:rPr>
        <w:t xml:space="preserve">Electrical </w:t>
      </w:r>
      <w:r w:rsidR="00230E2C">
        <w:rPr>
          <w:rFonts w:asciiTheme="minorHAnsi" w:hAnsiTheme="minorHAnsi" w:cstheme="minorHAnsi"/>
          <w:i w:val="0"/>
          <w:color w:val="auto"/>
          <w:szCs w:val="22"/>
        </w:rPr>
        <w:t>Cost Data [503</w:t>
      </w:r>
      <w:r w:rsidRPr="00B75D95">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Pr="00352EC3">
        <w:rPr>
          <w:rFonts w:asciiTheme="minorHAnsi" w:hAnsiTheme="minorHAnsi" w:cstheme="minorHAnsi"/>
          <w:i w:val="0"/>
          <w:color w:val="auto"/>
          <w:szCs w:val="22"/>
        </w:rPr>
        <w:t>For a complete breakdown of measure case costs,</w:t>
      </w:r>
      <w:r w:rsidR="00BB1DE6">
        <w:rPr>
          <w:rFonts w:asciiTheme="minorHAnsi" w:hAnsiTheme="minorHAnsi" w:cstheme="minorHAnsi"/>
          <w:i w:val="0"/>
          <w:color w:val="auto"/>
          <w:szCs w:val="22"/>
        </w:rPr>
        <w:t xml:space="preserve"> please refer to Attachment 1</w:t>
      </w:r>
      <w:r w:rsidRPr="00352EC3">
        <w:rPr>
          <w:rFonts w:asciiTheme="minorHAnsi" w:hAnsiTheme="minorHAnsi" w:cstheme="minorHAnsi"/>
          <w:i w:val="0"/>
          <w:color w:val="auto"/>
          <w:szCs w:val="22"/>
        </w:rPr>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7084BA4B" w14:textId="7827F96C" w:rsidR="00352EC3" w:rsidRPr="00647481" w:rsidRDefault="00352EC3" w:rsidP="00352EC3">
      <w:pPr>
        <w:pStyle w:val="Reminders"/>
        <w:rPr>
          <w:rFonts w:asciiTheme="minorHAnsi" w:hAnsiTheme="minorHAnsi" w:cstheme="minorHAnsi"/>
          <w:i w:val="0"/>
          <w:color w:val="auto"/>
          <w:szCs w:val="22"/>
        </w:rPr>
      </w:pPr>
      <w:r w:rsidRPr="00647481">
        <w:rPr>
          <w:rFonts w:asciiTheme="minorHAnsi" w:hAnsiTheme="minorHAnsi" w:cstheme="minorHAnsi"/>
          <w:i w:val="0"/>
          <w:color w:val="auto"/>
          <w:szCs w:val="22"/>
        </w:rPr>
        <w:t>Measure costs are als</w:t>
      </w:r>
      <w:r>
        <w:rPr>
          <w:rFonts w:asciiTheme="minorHAnsi" w:hAnsiTheme="minorHAnsi" w:cstheme="minorHAnsi"/>
          <w:i w:val="0"/>
          <w:color w:val="auto"/>
          <w:szCs w:val="22"/>
        </w:rPr>
        <w:t xml:space="preserve">o taken from online </w:t>
      </w:r>
      <w:r w:rsidRPr="00B75D95">
        <w:rPr>
          <w:rFonts w:asciiTheme="minorHAnsi" w:hAnsiTheme="minorHAnsi" w:cstheme="minorHAnsi"/>
          <w:i w:val="0"/>
          <w:color w:val="auto"/>
          <w:szCs w:val="22"/>
        </w:rPr>
        <w:t>retailers [</w:t>
      </w:r>
      <w:r w:rsidR="00BB1DE6">
        <w:rPr>
          <w:rFonts w:asciiTheme="minorHAnsi" w:hAnsiTheme="minorHAnsi" w:cstheme="minorHAnsi"/>
          <w:i w:val="0"/>
          <w:color w:val="auto"/>
          <w:szCs w:val="22"/>
        </w:rPr>
        <w:t>Attachment 2</w:t>
      </w:r>
      <w:r w:rsidRPr="00B75D95">
        <w:rPr>
          <w:rFonts w:asciiTheme="minorHAnsi" w:hAnsiTheme="minorHAnsi" w:cstheme="minorHAnsi"/>
          <w:i w:val="0"/>
          <w:color w:val="auto"/>
          <w:szCs w:val="22"/>
        </w:rPr>
        <w:t>]. Same</w:t>
      </w:r>
      <w:r w:rsidRPr="00647481">
        <w:rPr>
          <w:rFonts w:asciiTheme="minorHAnsi" w:hAnsiTheme="minorHAnsi" w:cstheme="minorHAnsi"/>
          <w:i w:val="0"/>
          <w:color w:val="auto"/>
          <w:szCs w:val="22"/>
        </w:rPr>
        <w:t xml:space="preserve"> base case labor cost is</w:t>
      </w:r>
      <w:r>
        <w:rPr>
          <w:rFonts w:asciiTheme="minorHAnsi" w:hAnsiTheme="minorHAnsi" w:cstheme="minorHAnsi"/>
          <w:i w:val="0"/>
          <w:color w:val="auto"/>
          <w:szCs w:val="22"/>
        </w:rPr>
        <w:t xml:space="preserve"> used for the measure case cost. </w:t>
      </w:r>
      <w:r w:rsidRPr="00352EC3">
        <w:rPr>
          <w:rFonts w:asciiTheme="minorHAnsi" w:hAnsiTheme="minorHAnsi" w:cstheme="minorHAnsi"/>
          <w:i w:val="0"/>
          <w:color w:val="auto"/>
          <w:szCs w:val="22"/>
        </w:rPr>
        <w:t>For a complete breakdown of measure case costs,</w:t>
      </w:r>
      <w:r w:rsidR="00BB1DE6">
        <w:rPr>
          <w:rFonts w:asciiTheme="minorHAnsi" w:hAnsiTheme="minorHAnsi" w:cstheme="minorHAnsi"/>
          <w:i w:val="0"/>
          <w:color w:val="auto"/>
          <w:szCs w:val="22"/>
        </w:rPr>
        <w:t xml:space="preserve"> please refer to Attachment 1</w:t>
      </w:r>
      <w:r w:rsidRPr="00352EC3">
        <w:rPr>
          <w:rFonts w:asciiTheme="minorHAnsi" w:hAnsiTheme="minorHAnsi" w:cstheme="minorHAnsi"/>
          <w:i w:val="0"/>
          <w:color w:val="auto"/>
          <w:szCs w:val="22"/>
        </w:rPr>
        <w:t>.</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3"/>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A84BF9">
        <w:tc>
          <w:tcPr>
            <w:tcW w:w="672" w:type="pct"/>
          </w:tcPr>
          <w:p w14:paraId="5021CC5B" w14:textId="77777777" w:rsidR="009C6FE0" w:rsidRPr="00DE77D0" w:rsidRDefault="009C6FE0" w:rsidP="00A84BF9">
            <w:pPr>
              <w:rPr>
                <w:rFonts w:cstheme="minorHAnsi"/>
                <w:szCs w:val="20"/>
              </w:rPr>
            </w:pPr>
            <w:r>
              <w:rPr>
                <w:rFonts w:cstheme="minorHAnsi"/>
                <w:szCs w:val="20"/>
              </w:rPr>
              <w:lastRenderedPageBreak/>
              <w:t>REF</w:t>
            </w:r>
          </w:p>
        </w:tc>
        <w:tc>
          <w:tcPr>
            <w:tcW w:w="1443" w:type="pct"/>
          </w:tcPr>
          <w:p w14:paraId="3BA9A303" w14:textId="77777777" w:rsidR="009C6FE0" w:rsidRPr="00DE77D0" w:rsidRDefault="009C6FE0" w:rsidP="00A84BF9">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A84BF9">
            <w:pPr>
              <w:rPr>
                <w:rFonts w:cstheme="minorHAnsi"/>
                <w:szCs w:val="20"/>
              </w:rPr>
            </w:pPr>
            <w:r>
              <w:rPr>
                <w:rFonts w:cstheme="minorHAnsi"/>
                <w:szCs w:val="20"/>
              </w:rPr>
              <w:t>MEC + MLC</w:t>
            </w:r>
          </w:p>
        </w:tc>
        <w:tc>
          <w:tcPr>
            <w:tcW w:w="1489" w:type="pct"/>
          </w:tcPr>
          <w:p w14:paraId="1C9B3EB4" w14:textId="77777777" w:rsidR="009C6FE0" w:rsidRPr="00DE77D0" w:rsidRDefault="009C6FE0" w:rsidP="00A84BF9">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534E1064" w14:textId="0918C9B3" w:rsidR="00352EC3" w:rsidRDefault="00352EC3">
      <w:r>
        <w:t>For a complete breakdown of full and incremental measure cost</w:t>
      </w:r>
      <w:r w:rsidR="00BB1DE6">
        <w:t>s, please refer to Attachment 1</w:t>
      </w:r>
      <w:r>
        <w:t>.</w:t>
      </w:r>
    </w:p>
    <w:p w14:paraId="37E9FBDB" w14:textId="754E7BBE" w:rsidR="00E16609" w:rsidRPr="00920905" w:rsidRDefault="00E16609">
      <w:pPr>
        <w:rPr>
          <w:rFonts w:cstheme="minorHAnsi"/>
          <w:sz w:val="20"/>
          <w:szCs w:val="20"/>
        </w:rPr>
      </w:pPr>
      <w:bookmarkStart w:id="24" w:name="_Toc214003099"/>
      <w:r w:rsidRPr="00920905">
        <w:rPr>
          <w:rFonts w:cstheme="minorHAnsi"/>
          <w:sz w:val="20"/>
          <w:szCs w:val="20"/>
        </w:rPr>
        <w:br w:type="page"/>
      </w:r>
    </w:p>
    <w:bookmarkEnd w:id="24"/>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8AF2FC6" w14:textId="20CD9C91" w:rsidR="004421EF" w:rsidRDefault="004421EF" w:rsidP="004421EF">
      <w:pPr>
        <w:pStyle w:val="Reminders"/>
        <w:rPr>
          <w:rFonts w:asciiTheme="minorHAnsi" w:hAnsiTheme="minorHAnsi" w:cstheme="minorHAnsi"/>
          <w:i w:val="0"/>
          <w:color w:val="auto"/>
          <w:szCs w:val="22"/>
        </w:rPr>
      </w:pPr>
      <w:r>
        <w:rPr>
          <w:rFonts w:asciiTheme="minorHAnsi" w:hAnsiTheme="minorHAnsi" w:cstheme="minorHAnsi"/>
          <w:i w:val="0"/>
          <w:color w:val="auto"/>
          <w:szCs w:val="22"/>
        </w:rPr>
        <w:t>1.</w:t>
      </w:r>
      <w:r w:rsidR="00230E2C">
        <w:rPr>
          <w:rFonts w:asciiTheme="minorHAnsi" w:hAnsiTheme="minorHAnsi" w:cstheme="minorHAnsi"/>
          <w:i w:val="0"/>
          <w:color w:val="auto"/>
          <w:szCs w:val="22"/>
        </w:rPr>
        <w:t xml:space="preserve"> </w:t>
      </w:r>
      <w:r w:rsidR="00ED26A9">
        <w:rPr>
          <w:rFonts w:asciiTheme="minorHAnsi" w:hAnsiTheme="minorHAnsi" w:cstheme="minorHAnsi"/>
          <w:i w:val="0"/>
          <w:color w:val="auto"/>
          <w:szCs w:val="22"/>
        </w:rPr>
        <w:t xml:space="preserve"> SCE17LG105.0 A1 – Calculation Template_Final.zip</w:t>
      </w:r>
      <w:r w:rsidR="00230E2C">
        <w:rPr>
          <w:rFonts w:asciiTheme="minorHAnsi" w:hAnsiTheme="minorHAnsi" w:cstheme="minorHAnsi"/>
          <w:i w:val="0"/>
          <w:color w:val="auto"/>
          <w:szCs w:val="22"/>
        </w:rPr>
        <w:t xml:space="preserve">  </w:t>
      </w:r>
    </w:p>
    <w:p w14:paraId="1B80232A" w14:textId="77777777" w:rsidR="00230E2C" w:rsidRDefault="00230E2C" w:rsidP="004421EF">
      <w:pPr>
        <w:pStyle w:val="Reminders"/>
        <w:rPr>
          <w:rFonts w:asciiTheme="minorHAnsi" w:hAnsiTheme="minorHAnsi" w:cstheme="minorHAnsi"/>
          <w:i w:val="0"/>
          <w:color w:val="auto"/>
          <w:szCs w:val="22"/>
        </w:rPr>
      </w:pPr>
    </w:p>
    <w:p w14:paraId="425746B4" w14:textId="0AFC2312" w:rsidR="004421EF" w:rsidRDefault="004421EF" w:rsidP="004421EF">
      <w:pPr>
        <w:pStyle w:val="Reminders"/>
        <w:rPr>
          <w:rFonts w:asciiTheme="minorHAnsi" w:hAnsiTheme="minorHAnsi" w:cstheme="minorHAnsi"/>
          <w:i w:val="0"/>
          <w:color w:val="auto"/>
          <w:szCs w:val="22"/>
        </w:rPr>
      </w:pPr>
      <w:r>
        <w:rPr>
          <w:rFonts w:asciiTheme="minorHAnsi" w:hAnsiTheme="minorHAnsi" w:cstheme="minorHAnsi"/>
          <w:i w:val="0"/>
          <w:color w:val="auto"/>
          <w:szCs w:val="22"/>
        </w:rPr>
        <w:t>2.</w:t>
      </w:r>
      <w:r w:rsidR="00ED26A9">
        <w:rPr>
          <w:rFonts w:asciiTheme="minorHAnsi" w:hAnsiTheme="minorHAnsi" w:cstheme="minorHAnsi"/>
          <w:i w:val="0"/>
          <w:color w:val="auto"/>
          <w:szCs w:val="22"/>
        </w:rPr>
        <w:t xml:space="preserve"> SCE17LG105.0 A2 – Cost.xlsx</w:t>
      </w:r>
      <w:r>
        <w:rPr>
          <w:rFonts w:asciiTheme="minorHAnsi" w:hAnsiTheme="minorHAnsi" w:cstheme="minorHAnsi"/>
          <w:i w:val="0"/>
          <w:color w:val="auto"/>
          <w:szCs w:val="22"/>
        </w:rPr>
        <w:t xml:space="preserve"> </w:t>
      </w:r>
      <w:r w:rsidR="00230E2C">
        <w:rPr>
          <w:rFonts w:asciiTheme="minorHAnsi" w:hAnsiTheme="minorHAnsi" w:cstheme="minorHAnsi"/>
          <w:i w:val="0"/>
          <w:color w:val="auto"/>
          <w:szCs w:val="22"/>
        </w:rPr>
        <w:t xml:space="preserve">  </w:t>
      </w:r>
    </w:p>
    <w:p w14:paraId="298DE117" w14:textId="33854F36" w:rsidR="00AB36DB" w:rsidRDefault="00AB36DB" w:rsidP="004421EF">
      <w:pPr>
        <w:pStyle w:val="Reminders"/>
        <w:rPr>
          <w:rFonts w:asciiTheme="minorHAnsi" w:hAnsiTheme="minorHAnsi" w:cstheme="minorHAnsi"/>
          <w:i w:val="0"/>
          <w:color w:val="auto"/>
          <w:szCs w:val="22"/>
        </w:rPr>
      </w:pPr>
    </w:p>
    <w:p w14:paraId="756E69ED" w14:textId="77777777" w:rsidR="004421EF" w:rsidRDefault="004421EF" w:rsidP="004421EF">
      <w:pPr>
        <w:pStyle w:val="Reminders"/>
        <w:ind w:firstLine="720"/>
        <w:rPr>
          <w:rFonts w:asciiTheme="minorHAnsi" w:hAnsiTheme="minorHAnsi" w:cstheme="minorHAnsi"/>
          <w:i w:val="0"/>
          <w:color w:val="auto"/>
          <w:szCs w:val="22"/>
        </w:rPr>
      </w:pPr>
    </w:p>
    <w:p w14:paraId="23C91D1B" w14:textId="77777777" w:rsidR="004421EF" w:rsidRPr="001D01E6" w:rsidRDefault="004421EF" w:rsidP="00E40CF9">
      <w:pPr>
        <w:pStyle w:val="Reminders"/>
        <w:rPr>
          <w:rFonts w:asciiTheme="minorHAnsi" w:hAnsiTheme="minorHAnsi" w:cstheme="minorHAnsi"/>
          <w:i w:val="0"/>
          <w:color w:val="auto"/>
          <w:szCs w:val="22"/>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Default="00C54EFF" w:rsidP="00C54EFF">
      <w:pPr>
        <w:pStyle w:val="Heading1"/>
        <w:rPr>
          <w:rFonts w:cstheme="minorHAnsi"/>
        </w:rPr>
      </w:pPr>
      <w:r w:rsidRPr="00500C4E">
        <w:rPr>
          <w:rFonts w:cstheme="minorHAnsi"/>
        </w:rPr>
        <w:lastRenderedPageBreak/>
        <w:t>References</w:t>
      </w:r>
    </w:p>
    <w:p w14:paraId="1E2A728F" w14:textId="4FD06137" w:rsidR="009B7EE5" w:rsidRDefault="009B5A86" w:rsidP="009B5A86">
      <w:pPr>
        <w:pStyle w:val="ListParagraph"/>
        <w:numPr>
          <w:ilvl w:val="0"/>
          <w:numId w:val="45"/>
        </w:numPr>
      </w:pPr>
      <w:r w:rsidRPr="009B5A86">
        <w:t>References_12122016_100741.xlsx</w:t>
      </w:r>
    </w:p>
    <w:p w14:paraId="2F9A58C9" w14:textId="77777777" w:rsidR="00285AB8" w:rsidRDefault="00285AB8" w:rsidP="009B7EE5"/>
    <w:tbl>
      <w:tblPr>
        <w:tblW w:w="9666" w:type="dxa"/>
        <w:tblInd w:w="93" w:type="dxa"/>
        <w:tblLook w:val="04A0" w:firstRow="1" w:lastRow="0" w:firstColumn="1" w:lastColumn="0" w:noHBand="0" w:noVBand="1"/>
      </w:tblPr>
      <w:tblGrid>
        <w:gridCol w:w="686"/>
        <w:gridCol w:w="8980"/>
      </w:tblGrid>
      <w:tr w:rsidR="000C64DE" w14:paraId="0E88C30F" w14:textId="77777777" w:rsidTr="00285AB8">
        <w:trPr>
          <w:trHeight w:val="300"/>
        </w:trPr>
        <w:tc>
          <w:tcPr>
            <w:tcW w:w="686" w:type="dxa"/>
            <w:shd w:val="clear" w:color="auto" w:fill="auto"/>
            <w:noWrap/>
          </w:tcPr>
          <w:p w14:paraId="45762A1B" w14:textId="3FA4E641" w:rsidR="000C64DE" w:rsidRPr="00C27186" w:rsidRDefault="000C64DE" w:rsidP="00230E2C">
            <w:pPr>
              <w:spacing w:after="60"/>
              <w:rPr>
                <w:rFonts w:ascii="Calibri" w:hAnsi="Calibri"/>
                <w:color w:val="000000"/>
                <w:szCs w:val="22"/>
              </w:rPr>
            </w:pPr>
            <w:r>
              <w:rPr>
                <w:rFonts w:ascii="Calibri" w:hAnsi="Calibri"/>
                <w:color w:val="000000"/>
                <w:szCs w:val="22"/>
              </w:rPr>
              <w:t>[4</w:t>
            </w:r>
            <w:r w:rsidR="006C5FCA">
              <w:rPr>
                <w:rFonts w:ascii="Calibri" w:hAnsi="Calibri"/>
                <w:color w:val="000000"/>
                <w:szCs w:val="22"/>
              </w:rPr>
              <w:t>33</w:t>
            </w:r>
            <w:r>
              <w:rPr>
                <w:rFonts w:ascii="Calibri" w:hAnsi="Calibri"/>
                <w:color w:val="000000"/>
                <w:szCs w:val="22"/>
              </w:rPr>
              <w:t>]</w:t>
            </w:r>
          </w:p>
        </w:tc>
        <w:tc>
          <w:tcPr>
            <w:tcW w:w="8980" w:type="dxa"/>
            <w:shd w:val="clear" w:color="auto" w:fill="auto"/>
            <w:noWrap/>
          </w:tcPr>
          <w:p w14:paraId="613A2420" w14:textId="6479485D" w:rsidR="000C64DE" w:rsidRPr="00C27186" w:rsidRDefault="006C5FCA" w:rsidP="00230E2C">
            <w:pPr>
              <w:spacing w:after="60"/>
              <w:rPr>
                <w:rFonts w:ascii="Calibri" w:hAnsi="Calibri"/>
                <w:color w:val="000000"/>
                <w:szCs w:val="22"/>
              </w:rPr>
            </w:pPr>
            <w:r w:rsidRPr="006C5FCA">
              <w:rPr>
                <w:rFonts w:ascii="Calibri" w:hAnsi="Calibri"/>
                <w:color w:val="000000"/>
                <w:szCs w:val="22"/>
              </w:rPr>
              <w:t>Workpaper Disposition for Lighting Retrofits - May 30, 2014</w:t>
            </w:r>
          </w:p>
        </w:tc>
      </w:tr>
      <w:tr w:rsidR="00285AB8" w14:paraId="33D17896" w14:textId="77777777" w:rsidTr="00285AB8">
        <w:trPr>
          <w:trHeight w:val="300"/>
        </w:trPr>
        <w:tc>
          <w:tcPr>
            <w:tcW w:w="686" w:type="dxa"/>
            <w:shd w:val="clear" w:color="auto" w:fill="auto"/>
            <w:noWrap/>
          </w:tcPr>
          <w:p w14:paraId="17374E32" w14:textId="101525A2" w:rsidR="00285AB8" w:rsidRDefault="00285AB8" w:rsidP="00285AB8">
            <w:pPr>
              <w:spacing w:after="60"/>
              <w:rPr>
                <w:rFonts w:ascii="Calibri" w:hAnsi="Calibri"/>
                <w:color w:val="000000"/>
                <w:szCs w:val="22"/>
              </w:rPr>
            </w:pPr>
            <w:r>
              <w:rPr>
                <w:rFonts w:ascii="Calibri" w:hAnsi="Calibri"/>
                <w:color w:val="000000"/>
                <w:szCs w:val="22"/>
              </w:rPr>
              <w:t>[496]</w:t>
            </w:r>
          </w:p>
        </w:tc>
        <w:tc>
          <w:tcPr>
            <w:tcW w:w="8980" w:type="dxa"/>
            <w:shd w:val="clear" w:color="auto" w:fill="auto"/>
            <w:noWrap/>
          </w:tcPr>
          <w:p w14:paraId="3FBF955A" w14:textId="16516BEE" w:rsidR="00285AB8" w:rsidRPr="006C5FCA" w:rsidRDefault="00285AB8" w:rsidP="00285AB8">
            <w:pPr>
              <w:spacing w:after="60"/>
              <w:rPr>
                <w:rFonts w:ascii="Calibri" w:hAnsi="Calibri"/>
                <w:color w:val="000000"/>
                <w:szCs w:val="22"/>
              </w:rPr>
            </w:pPr>
            <w:r w:rsidRPr="00C27186">
              <w:rPr>
                <w:rFonts w:ascii="Calibri" w:hAnsi="Calibri"/>
                <w:color w:val="000000"/>
                <w:szCs w:val="22"/>
              </w:rPr>
              <w:t>201</w:t>
            </w:r>
            <w:r>
              <w:rPr>
                <w:rFonts w:ascii="Calibri" w:hAnsi="Calibri"/>
                <w:color w:val="000000"/>
                <w:szCs w:val="22"/>
              </w:rPr>
              <w:t>6</w:t>
            </w:r>
            <w:r w:rsidRPr="00C27186">
              <w:rPr>
                <w:rFonts w:ascii="Calibri" w:hAnsi="Calibri"/>
                <w:color w:val="000000"/>
                <w:szCs w:val="22"/>
              </w:rPr>
              <w:t xml:space="preserve"> Building Energy Efficiency Standards for Residential and Nonresidential Buildings (Title 24)</w:t>
            </w:r>
          </w:p>
        </w:tc>
      </w:tr>
      <w:tr w:rsidR="00285AB8" w14:paraId="799D7B42" w14:textId="77777777" w:rsidTr="00285AB8">
        <w:trPr>
          <w:trHeight w:val="300"/>
        </w:trPr>
        <w:tc>
          <w:tcPr>
            <w:tcW w:w="686" w:type="dxa"/>
            <w:shd w:val="clear" w:color="auto" w:fill="auto"/>
            <w:noWrap/>
          </w:tcPr>
          <w:p w14:paraId="751F5CEF" w14:textId="35A4249C" w:rsidR="00285AB8" w:rsidRDefault="00285AB8" w:rsidP="00285AB8">
            <w:pPr>
              <w:spacing w:after="60"/>
              <w:rPr>
                <w:rFonts w:ascii="Calibri" w:hAnsi="Calibri"/>
                <w:color w:val="000000"/>
                <w:szCs w:val="22"/>
              </w:rPr>
            </w:pPr>
            <w:r w:rsidRPr="00C27186">
              <w:rPr>
                <w:rFonts w:ascii="Calibri" w:hAnsi="Calibri"/>
                <w:color w:val="000000"/>
                <w:szCs w:val="22"/>
              </w:rPr>
              <w:t>[</w:t>
            </w:r>
            <w:r>
              <w:rPr>
                <w:rFonts w:ascii="Calibri" w:hAnsi="Calibri"/>
                <w:color w:val="000000"/>
                <w:szCs w:val="22"/>
              </w:rPr>
              <w:t>503</w:t>
            </w:r>
            <w:r w:rsidRPr="00C27186">
              <w:rPr>
                <w:rFonts w:ascii="Calibri" w:hAnsi="Calibri"/>
                <w:color w:val="000000"/>
                <w:szCs w:val="22"/>
              </w:rPr>
              <w:t>]</w:t>
            </w:r>
          </w:p>
        </w:tc>
        <w:tc>
          <w:tcPr>
            <w:tcW w:w="8980" w:type="dxa"/>
            <w:shd w:val="clear" w:color="auto" w:fill="auto"/>
            <w:noWrap/>
          </w:tcPr>
          <w:p w14:paraId="0808E5C3" w14:textId="77777777" w:rsidR="00285AB8" w:rsidRDefault="00285AB8" w:rsidP="00285AB8">
            <w:pPr>
              <w:spacing w:after="60"/>
              <w:rPr>
                <w:rFonts w:ascii="Calibri" w:hAnsi="Calibri"/>
                <w:color w:val="000000"/>
                <w:szCs w:val="22"/>
              </w:rPr>
            </w:pPr>
            <w:r w:rsidRPr="00F9291A">
              <w:rPr>
                <w:rFonts w:ascii="Calibri" w:hAnsi="Calibri"/>
                <w:color w:val="000000"/>
                <w:szCs w:val="22"/>
              </w:rPr>
              <w:t>201</w:t>
            </w:r>
            <w:r>
              <w:rPr>
                <w:rFonts w:ascii="Calibri" w:hAnsi="Calibri"/>
                <w:color w:val="000000"/>
                <w:szCs w:val="22"/>
              </w:rPr>
              <w:t>6</w:t>
            </w:r>
            <w:r w:rsidRPr="00F9291A">
              <w:rPr>
                <w:rFonts w:ascii="Calibri" w:hAnsi="Calibri"/>
                <w:color w:val="000000"/>
                <w:szCs w:val="22"/>
              </w:rPr>
              <w:t xml:space="preserve"> RS Means Electrical Cos</w:t>
            </w:r>
            <w:r>
              <w:rPr>
                <w:rFonts w:ascii="Calibri" w:hAnsi="Calibri"/>
                <w:color w:val="000000"/>
                <w:szCs w:val="22"/>
              </w:rPr>
              <w:t>t Data</w:t>
            </w:r>
          </w:p>
          <w:p w14:paraId="4F3D3169" w14:textId="751D36D5" w:rsidR="00B00CB1" w:rsidRPr="006C5FCA" w:rsidRDefault="00B00CB1" w:rsidP="00285AB8">
            <w:pPr>
              <w:spacing w:after="60"/>
              <w:rPr>
                <w:rFonts w:ascii="Calibri" w:hAnsi="Calibri"/>
                <w:color w:val="000000"/>
                <w:szCs w:val="22"/>
              </w:rPr>
            </w:pPr>
          </w:p>
        </w:tc>
      </w:tr>
      <w:tr w:rsidR="00285AB8" w14:paraId="37555E01" w14:textId="77777777" w:rsidTr="00285AB8">
        <w:trPr>
          <w:trHeight w:val="300"/>
        </w:trPr>
        <w:tc>
          <w:tcPr>
            <w:tcW w:w="686" w:type="dxa"/>
            <w:shd w:val="clear" w:color="auto" w:fill="auto"/>
            <w:noWrap/>
          </w:tcPr>
          <w:p w14:paraId="4D075FF8" w14:textId="1DE8197C" w:rsidR="00285AB8" w:rsidRDefault="00285AB8" w:rsidP="00285AB8">
            <w:pPr>
              <w:spacing w:after="60"/>
              <w:rPr>
                <w:rFonts w:ascii="Calibri" w:hAnsi="Calibri"/>
                <w:color w:val="000000"/>
                <w:szCs w:val="22"/>
              </w:rPr>
            </w:pPr>
          </w:p>
        </w:tc>
        <w:tc>
          <w:tcPr>
            <w:tcW w:w="8980" w:type="dxa"/>
            <w:shd w:val="clear" w:color="auto" w:fill="auto"/>
            <w:noWrap/>
          </w:tcPr>
          <w:p w14:paraId="2EF991A6" w14:textId="05DA2C74" w:rsidR="00285AB8" w:rsidRPr="00230E2C" w:rsidRDefault="00285AB8" w:rsidP="00F04FBC">
            <w:pPr>
              <w:spacing w:after="60"/>
              <w:rPr>
                <w:rFonts w:cstheme="minorHAnsi"/>
              </w:rPr>
            </w:pPr>
          </w:p>
        </w:tc>
      </w:tr>
      <w:tr w:rsidR="00285AB8" w14:paraId="28D86F23" w14:textId="77777777" w:rsidTr="00285AB8">
        <w:trPr>
          <w:trHeight w:val="300"/>
        </w:trPr>
        <w:tc>
          <w:tcPr>
            <w:tcW w:w="686" w:type="dxa"/>
            <w:shd w:val="clear" w:color="auto" w:fill="auto"/>
            <w:noWrap/>
          </w:tcPr>
          <w:p w14:paraId="25805C42" w14:textId="1BCF7673" w:rsidR="00285AB8" w:rsidRDefault="00285AB8" w:rsidP="00285AB8">
            <w:pPr>
              <w:spacing w:after="60"/>
              <w:rPr>
                <w:rFonts w:ascii="Calibri" w:hAnsi="Calibri"/>
                <w:color w:val="000000"/>
                <w:szCs w:val="22"/>
              </w:rPr>
            </w:pPr>
          </w:p>
        </w:tc>
        <w:tc>
          <w:tcPr>
            <w:tcW w:w="8980" w:type="dxa"/>
            <w:shd w:val="clear" w:color="auto" w:fill="auto"/>
            <w:noWrap/>
          </w:tcPr>
          <w:p w14:paraId="4860137D" w14:textId="6C267E7D" w:rsidR="00285AB8" w:rsidRPr="000B7EA9" w:rsidRDefault="00285AB8" w:rsidP="00285AB8">
            <w:pPr>
              <w:spacing w:after="60"/>
              <w:rPr>
                <w:rFonts w:cstheme="minorHAnsi"/>
              </w:rPr>
            </w:pPr>
          </w:p>
        </w:tc>
      </w:tr>
    </w:tbl>
    <w:p w14:paraId="16BF6252" w14:textId="1596A260" w:rsidR="001D01E6" w:rsidRDefault="001D01E6" w:rsidP="009B7EE5"/>
    <w:p w14:paraId="64F4AC39" w14:textId="77777777" w:rsidR="006D69FC" w:rsidRDefault="006D69FC" w:rsidP="009B7EE5"/>
    <w:p w14:paraId="197FE844" w14:textId="77777777" w:rsidR="006D69FC" w:rsidRPr="009B7EE5" w:rsidRDefault="006D69FC" w:rsidP="009B7EE5"/>
    <w:sectPr w:rsidR="006D69FC" w:rsidRPr="009B7EE5" w:rsidSect="00E87C8F">
      <w:footerReference w:type="default" r:id="rId13"/>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C8256A" w14:textId="77777777" w:rsidR="007B2275" w:rsidRDefault="007B2275" w:rsidP="00447D6E">
      <w:r>
        <w:separator/>
      </w:r>
    </w:p>
    <w:p w14:paraId="61503FA1" w14:textId="77777777" w:rsidR="007B2275" w:rsidRDefault="007B2275"/>
  </w:endnote>
  <w:endnote w:type="continuationSeparator" w:id="0">
    <w:p w14:paraId="1CC6CA14" w14:textId="77777777" w:rsidR="007B2275" w:rsidRDefault="007B2275" w:rsidP="00447D6E">
      <w:r>
        <w:continuationSeparator/>
      </w:r>
    </w:p>
    <w:p w14:paraId="114317D1" w14:textId="77777777" w:rsidR="007B2275" w:rsidRDefault="007B2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1D9FF770" w:rsidR="007B2275" w:rsidRDefault="001D4917" w:rsidP="00F571A6">
    <w:pPr>
      <w:pStyle w:val="Footer"/>
      <w:jc w:val="right"/>
      <w:rPr>
        <w:rFonts w:cstheme="minorHAnsi"/>
        <w:b/>
        <w:sz w:val="36"/>
        <w:szCs w:val="36"/>
      </w:rPr>
    </w:pPr>
    <w:sdt>
      <w:sdtPr>
        <w:rPr>
          <w:rFonts w:cstheme="minorHAnsi"/>
          <w:b/>
          <w:sz w:val="36"/>
          <w:szCs w:val="36"/>
        </w:rPr>
        <w:alias w:val="Date"/>
        <w:tag w:val=""/>
        <w:id w:val="-824282584"/>
        <w:placeholder>
          <w:docPart w:val="F35B0C5DED46403682E831B0B6DC2920"/>
        </w:placeholder>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7B2275">
          <w:rPr>
            <w:rFonts w:cstheme="minorHAnsi"/>
            <w:b/>
            <w:sz w:val="36"/>
            <w:szCs w:val="36"/>
          </w:rPr>
          <w:t>November 18, 2016</w:t>
        </w:r>
      </w:sdtContent>
    </w:sdt>
  </w:p>
  <w:p w14:paraId="650DB54B" w14:textId="670C7D5C" w:rsidR="007B2275" w:rsidRPr="009500DC" w:rsidRDefault="007B2275"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0C808038" w:rsidR="007B2275" w:rsidRPr="009500DC" w:rsidRDefault="001D491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B2275">
          <w:rPr>
            <w:rFonts w:cstheme="minorHAnsi"/>
            <w:b/>
            <w:sz w:val="20"/>
            <w:szCs w:val="20"/>
          </w:rPr>
          <w:t>SCE17LG105</w:t>
        </w:r>
      </w:sdtContent>
    </w:sdt>
    <w:r w:rsidR="007B2275">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B2275">
          <w:rPr>
            <w:rFonts w:cstheme="minorHAnsi"/>
            <w:b/>
            <w:sz w:val="20"/>
            <w:szCs w:val="20"/>
          </w:rPr>
          <w:t>Revision 0</w:t>
        </w:r>
      </w:sdtContent>
    </w:sdt>
    <w:r w:rsidR="007B2275" w:rsidRPr="009500DC">
      <w:rPr>
        <w:rFonts w:cstheme="minorHAnsi"/>
        <w:b/>
        <w:sz w:val="20"/>
        <w:szCs w:val="20"/>
      </w:rPr>
      <w:tab/>
    </w:r>
    <w:r w:rsidR="007B2275" w:rsidRPr="009500DC">
      <w:rPr>
        <w:rFonts w:cstheme="minorHAnsi"/>
        <w:b/>
        <w:sz w:val="20"/>
        <w:szCs w:val="20"/>
      </w:rPr>
      <w:fldChar w:fldCharType="begin"/>
    </w:r>
    <w:r w:rsidR="007B2275" w:rsidRPr="009500DC">
      <w:rPr>
        <w:rFonts w:cstheme="minorHAnsi"/>
        <w:b/>
        <w:sz w:val="20"/>
        <w:szCs w:val="20"/>
      </w:rPr>
      <w:instrText xml:space="preserve"> PAGE   \* MERGEFORMAT </w:instrText>
    </w:r>
    <w:r w:rsidR="007B2275" w:rsidRPr="009500DC">
      <w:rPr>
        <w:rFonts w:cstheme="minorHAnsi"/>
        <w:b/>
        <w:sz w:val="20"/>
        <w:szCs w:val="20"/>
      </w:rPr>
      <w:fldChar w:fldCharType="separate"/>
    </w:r>
    <w:r>
      <w:rPr>
        <w:rFonts w:cstheme="minorHAnsi"/>
        <w:b/>
        <w:noProof/>
        <w:sz w:val="20"/>
        <w:szCs w:val="20"/>
      </w:rPr>
      <w:t>14</w:t>
    </w:r>
    <w:r w:rsidR="007B2275" w:rsidRPr="009500DC">
      <w:rPr>
        <w:rFonts w:cstheme="minorHAnsi"/>
        <w:b/>
        <w:noProof/>
        <w:sz w:val="20"/>
        <w:szCs w:val="20"/>
      </w:rPr>
      <w:fldChar w:fldCharType="end"/>
    </w:r>
    <w:r w:rsidR="007B2275"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18T00:00:00Z">
          <w:dateFormat w:val="MMMM d, yyyy"/>
          <w:lid w:val="en-US"/>
          <w:storeMappedDataAs w:val="dateTime"/>
          <w:calendar w:val="gregorian"/>
        </w:date>
      </w:sdtPr>
      <w:sdtEndPr/>
      <w:sdtContent>
        <w:r w:rsidR="007B2275">
          <w:rPr>
            <w:rFonts w:cstheme="minorHAnsi"/>
            <w:b/>
            <w:sz w:val="20"/>
            <w:szCs w:val="20"/>
          </w:rPr>
          <w:t>November 18, 2016</w:t>
        </w:r>
      </w:sdtContent>
    </w:sdt>
  </w:p>
  <w:p w14:paraId="43C07EA5" w14:textId="544E4323" w:rsidR="007B2275" w:rsidRPr="009500DC" w:rsidRDefault="001D491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7B2275">
          <w:rPr>
            <w:rFonts w:cstheme="minorHAnsi"/>
            <w:b/>
            <w:sz w:val="20"/>
            <w:szCs w:val="20"/>
          </w:rPr>
          <w:t>Southern California Edison</w:t>
        </w:r>
      </w:sdtContent>
    </w:sdt>
  </w:p>
  <w:p w14:paraId="4AC7586E" w14:textId="77777777" w:rsidR="007B2275" w:rsidRDefault="007B2275"/>
  <w:p w14:paraId="5C9861A8" w14:textId="77777777" w:rsidR="007B2275" w:rsidRDefault="007B22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10A75" w14:textId="77777777" w:rsidR="007B2275" w:rsidRDefault="007B2275" w:rsidP="00447D6E">
      <w:r>
        <w:separator/>
      </w:r>
    </w:p>
    <w:p w14:paraId="61AB144D" w14:textId="77777777" w:rsidR="007B2275" w:rsidRDefault="007B2275"/>
  </w:footnote>
  <w:footnote w:type="continuationSeparator" w:id="0">
    <w:p w14:paraId="7D8E08AD" w14:textId="77777777" w:rsidR="007B2275" w:rsidRDefault="007B2275" w:rsidP="00447D6E">
      <w:r>
        <w:continuationSeparator/>
      </w:r>
    </w:p>
    <w:p w14:paraId="4CEFCC82" w14:textId="77777777" w:rsidR="007B2275" w:rsidRDefault="007B22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A44A79"/>
    <w:multiLevelType w:val="hybridMultilevel"/>
    <w:tmpl w:val="D760367A"/>
    <w:lvl w:ilvl="0" w:tplc="37B231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271486"/>
    <w:multiLevelType w:val="hybridMultilevel"/>
    <w:tmpl w:val="AAF2965C"/>
    <w:lvl w:ilvl="0" w:tplc="064E3614">
      <w:start w:val="1"/>
      <w:numFmt w:val="decimal"/>
      <w:lvlText w:val="%1."/>
      <w:lvlJc w:val="left"/>
      <w:pPr>
        <w:ind w:left="1080" w:hanging="360"/>
      </w:pPr>
      <w:rPr>
        <w:rFonts w:hint="default"/>
      </w:rPr>
    </w:lvl>
    <w:lvl w:ilvl="1" w:tplc="04090015">
      <w:start w:val="1"/>
      <w:numFmt w:val="upp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522F04"/>
    <w:multiLevelType w:val="hybridMultilevel"/>
    <w:tmpl w:val="B33CA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D1B79"/>
    <w:multiLevelType w:val="hybridMultilevel"/>
    <w:tmpl w:val="26FC1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3460D4"/>
    <w:multiLevelType w:val="hybridMultilevel"/>
    <w:tmpl w:val="7E0284A4"/>
    <w:lvl w:ilvl="0" w:tplc="0409001B">
      <w:start w:val="1"/>
      <w:numFmt w:val="lowerRoman"/>
      <w:lvlText w:val="%1."/>
      <w:lvlJc w:val="right"/>
      <w:pPr>
        <w:ind w:left="1080" w:hanging="360"/>
      </w:pPr>
    </w:lvl>
    <w:lvl w:ilvl="1" w:tplc="243EE29E">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D6B24"/>
    <w:multiLevelType w:val="hybridMultilevel"/>
    <w:tmpl w:val="0DA85504"/>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4F757D9A"/>
    <w:multiLevelType w:val="hybridMultilevel"/>
    <w:tmpl w:val="D7A67C52"/>
    <w:lvl w:ilvl="0" w:tplc="58AC4956">
      <w:start w:val="1"/>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E46232"/>
    <w:multiLevelType w:val="hybridMultilevel"/>
    <w:tmpl w:val="A64E877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9E2006"/>
    <w:multiLevelType w:val="hybridMultilevel"/>
    <w:tmpl w:val="6DFCC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FE1E4B"/>
    <w:multiLevelType w:val="hybridMultilevel"/>
    <w:tmpl w:val="BD644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1D3FF7"/>
    <w:multiLevelType w:val="hybridMultilevel"/>
    <w:tmpl w:val="4ECA279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7"/>
  </w:num>
  <w:num w:numId="2">
    <w:abstractNumId w:val="21"/>
  </w:num>
  <w:num w:numId="3">
    <w:abstractNumId w:val="20"/>
  </w:num>
  <w:num w:numId="4">
    <w:abstractNumId w:val="17"/>
  </w:num>
  <w:num w:numId="5">
    <w:abstractNumId w:val="17"/>
  </w:num>
  <w:num w:numId="6">
    <w:abstractNumId w:val="3"/>
  </w:num>
  <w:num w:numId="7">
    <w:abstractNumId w:val="22"/>
  </w:num>
  <w:num w:numId="8">
    <w:abstractNumId w:val="19"/>
  </w:num>
  <w:num w:numId="9">
    <w:abstractNumId w:val="11"/>
  </w:num>
  <w:num w:numId="10">
    <w:abstractNumId w:val="6"/>
  </w:num>
  <w:num w:numId="11">
    <w:abstractNumId w:val="23"/>
  </w:num>
  <w:num w:numId="12">
    <w:abstractNumId w:val="16"/>
  </w:num>
  <w:num w:numId="13">
    <w:abstractNumId w:val="10"/>
  </w:num>
  <w:num w:numId="14">
    <w:abstractNumId w:val="39"/>
  </w:num>
  <w:num w:numId="15">
    <w:abstractNumId w:val="8"/>
  </w:num>
  <w:num w:numId="16">
    <w:abstractNumId w:val="12"/>
  </w:num>
  <w:num w:numId="17">
    <w:abstractNumId w:val="5"/>
  </w:num>
  <w:num w:numId="18">
    <w:abstractNumId w:val="0"/>
  </w:num>
  <w:num w:numId="19">
    <w:abstractNumId w:val="36"/>
  </w:num>
  <w:num w:numId="20">
    <w:abstractNumId w:val="4"/>
  </w:num>
  <w:num w:numId="21">
    <w:abstractNumId w:val="27"/>
  </w:num>
  <w:num w:numId="22">
    <w:abstractNumId w:val="29"/>
  </w:num>
  <w:num w:numId="23">
    <w:abstractNumId w:val="40"/>
  </w:num>
  <w:num w:numId="24">
    <w:abstractNumId w:val="35"/>
  </w:num>
  <w:num w:numId="25">
    <w:abstractNumId w:val="13"/>
  </w:num>
  <w:num w:numId="26">
    <w:abstractNumId w:val="15"/>
  </w:num>
  <w:num w:numId="27">
    <w:abstractNumId w:val="32"/>
  </w:num>
  <w:num w:numId="28">
    <w:abstractNumId w:val="14"/>
  </w:num>
  <w:num w:numId="29">
    <w:abstractNumId w:val="7"/>
  </w:num>
  <w:num w:numId="30">
    <w:abstractNumId w:val="2"/>
  </w:num>
  <w:num w:numId="31">
    <w:abstractNumId w:val="41"/>
  </w:num>
  <w:num w:numId="32">
    <w:abstractNumId w:val="26"/>
  </w:num>
  <w:num w:numId="33">
    <w:abstractNumId w:val="34"/>
  </w:num>
  <w:num w:numId="34">
    <w:abstractNumId w:val="9"/>
  </w:num>
  <w:num w:numId="35">
    <w:abstractNumId w:val="38"/>
  </w:num>
  <w:num w:numId="36">
    <w:abstractNumId w:val="31"/>
  </w:num>
  <w:num w:numId="37">
    <w:abstractNumId w:val="18"/>
  </w:num>
  <w:num w:numId="38">
    <w:abstractNumId w:val="42"/>
  </w:num>
  <w:num w:numId="39">
    <w:abstractNumId w:val="33"/>
  </w:num>
  <w:num w:numId="40">
    <w:abstractNumId w:val="24"/>
  </w:num>
  <w:num w:numId="41">
    <w:abstractNumId w:val="25"/>
  </w:num>
  <w:num w:numId="42">
    <w:abstractNumId w:val="28"/>
  </w:num>
  <w:num w:numId="43">
    <w:abstractNumId w:val="1"/>
  </w:num>
  <w:num w:numId="44">
    <w:abstractNumId w:val="3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20D3"/>
    <w:rsid w:val="00013F71"/>
    <w:rsid w:val="000173BF"/>
    <w:rsid w:val="00024252"/>
    <w:rsid w:val="000245B5"/>
    <w:rsid w:val="00027183"/>
    <w:rsid w:val="00033EA1"/>
    <w:rsid w:val="0003746D"/>
    <w:rsid w:val="0004020F"/>
    <w:rsid w:val="000436CB"/>
    <w:rsid w:val="00046BD6"/>
    <w:rsid w:val="00052E17"/>
    <w:rsid w:val="00056947"/>
    <w:rsid w:val="00061A8E"/>
    <w:rsid w:val="00064CB3"/>
    <w:rsid w:val="00070BEE"/>
    <w:rsid w:val="00072040"/>
    <w:rsid w:val="00076DF4"/>
    <w:rsid w:val="00076F51"/>
    <w:rsid w:val="0008524C"/>
    <w:rsid w:val="00086F7F"/>
    <w:rsid w:val="0009074D"/>
    <w:rsid w:val="0009592B"/>
    <w:rsid w:val="000968C6"/>
    <w:rsid w:val="000A4D64"/>
    <w:rsid w:val="000A63C9"/>
    <w:rsid w:val="000A7819"/>
    <w:rsid w:val="000B049B"/>
    <w:rsid w:val="000B3765"/>
    <w:rsid w:val="000B655B"/>
    <w:rsid w:val="000C0000"/>
    <w:rsid w:val="000C0ED1"/>
    <w:rsid w:val="000C18CC"/>
    <w:rsid w:val="000C3183"/>
    <w:rsid w:val="000C64DE"/>
    <w:rsid w:val="000C687D"/>
    <w:rsid w:val="000C70A8"/>
    <w:rsid w:val="000C7ED1"/>
    <w:rsid w:val="000D789A"/>
    <w:rsid w:val="000E4B5F"/>
    <w:rsid w:val="000E706D"/>
    <w:rsid w:val="000F040A"/>
    <w:rsid w:val="000F130A"/>
    <w:rsid w:val="000F4FD8"/>
    <w:rsid w:val="000F7802"/>
    <w:rsid w:val="00107242"/>
    <w:rsid w:val="00111CC5"/>
    <w:rsid w:val="00115958"/>
    <w:rsid w:val="001206F7"/>
    <w:rsid w:val="001226FA"/>
    <w:rsid w:val="001236C1"/>
    <w:rsid w:val="00133EE8"/>
    <w:rsid w:val="00136CD5"/>
    <w:rsid w:val="00140B30"/>
    <w:rsid w:val="00147155"/>
    <w:rsid w:val="00153C9A"/>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01E6"/>
    <w:rsid w:val="001D2317"/>
    <w:rsid w:val="001D3223"/>
    <w:rsid w:val="001D33EF"/>
    <w:rsid w:val="001D4917"/>
    <w:rsid w:val="001D5AB3"/>
    <w:rsid w:val="001E0519"/>
    <w:rsid w:val="001E053A"/>
    <w:rsid w:val="001E0829"/>
    <w:rsid w:val="001E1320"/>
    <w:rsid w:val="001E556A"/>
    <w:rsid w:val="001F05CE"/>
    <w:rsid w:val="001F1905"/>
    <w:rsid w:val="001F4A65"/>
    <w:rsid w:val="00200EA6"/>
    <w:rsid w:val="002010B6"/>
    <w:rsid w:val="00205C45"/>
    <w:rsid w:val="0021035B"/>
    <w:rsid w:val="00211153"/>
    <w:rsid w:val="00230E2C"/>
    <w:rsid w:val="0023254A"/>
    <w:rsid w:val="002344FB"/>
    <w:rsid w:val="00236216"/>
    <w:rsid w:val="002405CD"/>
    <w:rsid w:val="00240B74"/>
    <w:rsid w:val="00241197"/>
    <w:rsid w:val="002432E3"/>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85AB8"/>
    <w:rsid w:val="00290ED8"/>
    <w:rsid w:val="00296B49"/>
    <w:rsid w:val="002973AF"/>
    <w:rsid w:val="002A03FC"/>
    <w:rsid w:val="002A1843"/>
    <w:rsid w:val="002A3D26"/>
    <w:rsid w:val="002A523E"/>
    <w:rsid w:val="002A6B36"/>
    <w:rsid w:val="002B1ADF"/>
    <w:rsid w:val="002B502E"/>
    <w:rsid w:val="002B657B"/>
    <w:rsid w:val="002B67A2"/>
    <w:rsid w:val="002C21A6"/>
    <w:rsid w:val="002C2853"/>
    <w:rsid w:val="002C444C"/>
    <w:rsid w:val="002C458F"/>
    <w:rsid w:val="002C6C20"/>
    <w:rsid w:val="002C6C7A"/>
    <w:rsid w:val="002C7F78"/>
    <w:rsid w:val="002D5277"/>
    <w:rsid w:val="002D71FA"/>
    <w:rsid w:val="002D73AF"/>
    <w:rsid w:val="002E4FD9"/>
    <w:rsid w:val="002E5B58"/>
    <w:rsid w:val="002F1437"/>
    <w:rsid w:val="002F3943"/>
    <w:rsid w:val="002F4D64"/>
    <w:rsid w:val="002F4E34"/>
    <w:rsid w:val="002F6A42"/>
    <w:rsid w:val="002F79E7"/>
    <w:rsid w:val="003003EC"/>
    <w:rsid w:val="003035E3"/>
    <w:rsid w:val="0030363A"/>
    <w:rsid w:val="00317970"/>
    <w:rsid w:val="00317EB0"/>
    <w:rsid w:val="00321AB4"/>
    <w:rsid w:val="00332700"/>
    <w:rsid w:val="003358BD"/>
    <w:rsid w:val="0033644E"/>
    <w:rsid w:val="00344E88"/>
    <w:rsid w:val="0034568B"/>
    <w:rsid w:val="00345D80"/>
    <w:rsid w:val="003471D4"/>
    <w:rsid w:val="00350BF1"/>
    <w:rsid w:val="00352278"/>
    <w:rsid w:val="00352EC3"/>
    <w:rsid w:val="00353C49"/>
    <w:rsid w:val="003540B1"/>
    <w:rsid w:val="003557E9"/>
    <w:rsid w:val="003560BA"/>
    <w:rsid w:val="00364CC6"/>
    <w:rsid w:val="003650F6"/>
    <w:rsid w:val="0036726C"/>
    <w:rsid w:val="003832D2"/>
    <w:rsid w:val="003845E5"/>
    <w:rsid w:val="00386509"/>
    <w:rsid w:val="00393137"/>
    <w:rsid w:val="0039615F"/>
    <w:rsid w:val="00397406"/>
    <w:rsid w:val="003A3170"/>
    <w:rsid w:val="003A360E"/>
    <w:rsid w:val="003B6637"/>
    <w:rsid w:val="003B77D3"/>
    <w:rsid w:val="003D17FF"/>
    <w:rsid w:val="003D2871"/>
    <w:rsid w:val="003D2981"/>
    <w:rsid w:val="003D5B83"/>
    <w:rsid w:val="003E6E47"/>
    <w:rsid w:val="003F0623"/>
    <w:rsid w:val="003F09D9"/>
    <w:rsid w:val="003F33DE"/>
    <w:rsid w:val="003F3A41"/>
    <w:rsid w:val="003F626F"/>
    <w:rsid w:val="003F67E9"/>
    <w:rsid w:val="00400545"/>
    <w:rsid w:val="00401031"/>
    <w:rsid w:val="004023B7"/>
    <w:rsid w:val="004045A0"/>
    <w:rsid w:val="00413CDB"/>
    <w:rsid w:val="00413E1C"/>
    <w:rsid w:val="00416E34"/>
    <w:rsid w:val="004200FE"/>
    <w:rsid w:val="00421183"/>
    <w:rsid w:val="00421BA6"/>
    <w:rsid w:val="00421C17"/>
    <w:rsid w:val="00426CDE"/>
    <w:rsid w:val="00433EA1"/>
    <w:rsid w:val="00441957"/>
    <w:rsid w:val="004421EF"/>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84C0C"/>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26BFB"/>
    <w:rsid w:val="00532530"/>
    <w:rsid w:val="0053314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3171"/>
    <w:rsid w:val="005A4658"/>
    <w:rsid w:val="005A496B"/>
    <w:rsid w:val="005B28C1"/>
    <w:rsid w:val="005B6344"/>
    <w:rsid w:val="005C1C74"/>
    <w:rsid w:val="005C2E48"/>
    <w:rsid w:val="005C3F23"/>
    <w:rsid w:val="005D4DD7"/>
    <w:rsid w:val="005E12A9"/>
    <w:rsid w:val="005F035D"/>
    <w:rsid w:val="005F139E"/>
    <w:rsid w:val="005F69D5"/>
    <w:rsid w:val="00602799"/>
    <w:rsid w:val="00602F18"/>
    <w:rsid w:val="0060356F"/>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041C"/>
    <w:rsid w:val="006746FE"/>
    <w:rsid w:val="00676E9F"/>
    <w:rsid w:val="00680934"/>
    <w:rsid w:val="00683BDA"/>
    <w:rsid w:val="00685D5C"/>
    <w:rsid w:val="00687835"/>
    <w:rsid w:val="0069264D"/>
    <w:rsid w:val="0069355E"/>
    <w:rsid w:val="0069578B"/>
    <w:rsid w:val="00697868"/>
    <w:rsid w:val="006A055F"/>
    <w:rsid w:val="006A126F"/>
    <w:rsid w:val="006A14E9"/>
    <w:rsid w:val="006A2A65"/>
    <w:rsid w:val="006A5293"/>
    <w:rsid w:val="006A5D5B"/>
    <w:rsid w:val="006A67E4"/>
    <w:rsid w:val="006A6D15"/>
    <w:rsid w:val="006B0DF3"/>
    <w:rsid w:val="006B0F11"/>
    <w:rsid w:val="006B27FA"/>
    <w:rsid w:val="006B3054"/>
    <w:rsid w:val="006B4A48"/>
    <w:rsid w:val="006C0529"/>
    <w:rsid w:val="006C2C55"/>
    <w:rsid w:val="006C430A"/>
    <w:rsid w:val="006C5FCA"/>
    <w:rsid w:val="006C6265"/>
    <w:rsid w:val="006D2809"/>
    <w:rsid w:val="006D69FC"/>
    <w:rsid w:val="006E27A3"/>
    <w:rsid w:val="006E3342"/>
    <w:rsid w:val="006E4B12"/>
    <w:rsid w:val="006E65D0"/>
    <w:rsid w:val="006F1B21"/>
    <w:rsid w:val="006F21E8"/>
    <w:rsid w:val="006F78D5"/>
    <w:rsid w:val="0070091B"/>
    <w:rsid w:val="00702525"/>
    <w:rsid w:val="007048AC"/>
    <w:rsid w:val="00726338"/>
    <w:rsid w:val="00726AD5"/>
    <w:rsid w:val="00733C7D"/>
    <w:rsid w:val="00740761"/>
    <w:rsid w:val="00745F77"/>
    <w:rsid w:val="007464DE"/>
    <w:rsid w:val="007529EA"/>
    <w:rsid w:val="00755A45"/>
    <w:rsid w:val="00760CDC"/>
    <w:rsid w:val="00764D0D"/>
    <w:rsid w:val="0077681F"/>
    <w:rsid w:val="007772DE"/>
    <w:rsid w:val="00777C53"/>
    <w:rsid w:val="00786E92"/>
    <w:rsid w:val="007933F1"/>
    <w:rsid w:val="007A5F52"/>
    <w:rsid w:val="007B090A"/>
    <w:rsid w:val="007B2275"/>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43C1"/>
    <w:rsid w:val="0082092C"/>
    <w:rsid w:val="00824F1C"/>
    <w:rsid w:val="00826688"/>
    <w:rsid w:val="0083369B"/>
    <w:rsid w:val="00834EE9"/>
    <w:rsid w:val="00835D38"/>
    <w:rsid w:val="00843763"/>
    <w:rsid w:val="00847A4E"/>
    <w:rsid w:val="00862F24"/>
    <w:rsid w:val="00871D79"/>
    <w:rsid w:val="0087393E"/>
    <w:rsid w:val="00881A42"/>
    <w:rsid w:val="00882386"/>
    <w:rsid w:val="0088361D"/>
    <w:rsid w:val="00885E08"/>
    <w:rsid w:val="00885E0A"/>
    <w:rsid w:val="0088603B"/>
    <w:rsid w:val="008877AF"/>
    <w:rsid w:val="00893FC3"/>
    <w:rsid w:val="0089577B"/>
    <w:rsid w:val="008A5713"/>
    <w:rsid w:val="008A6BBB"/>
    <w:rsid w:val="008A7BA9"/>
    <w:rsid w:val="008B1024"/>
    <w:rsid w:val="008B1357"/>
    <w:rsid w:val="008B2DF3"/>
    <w:rsid w:val="008C2E0E"/>
    <w:rsid w:val="008C4DE0"/>
    <w:rsid w:val="008D3930"/>
    <w:rsid w:val="008D67F9"/>
    <w:rsid w:val="008E17CC"/>
    <w:rsid w:val="008E1D99"/>
    <w:rsid w:val="008E25B1"/>
    <w:rsid w:val="008E26D3"/>
    <w:rsid w:val="008E56FB"/>
    <w:rsid w:val="008F2167"/>
    <w:rsid w:val="008F33B4"/>
    <w:rsid w:val="008F6298"/>
    <w:rsid w:val="0090077A"/>
    <w:rsid w:val="00900F47"/>
    <w:rsid w:val="00904ADA"/>
    <w:rsid w:val="00907697"/>
    <w:rsid w:val="00910A69"/>
    <w:rsid w:val="009138A0"/>
    <w:rsid w:val="0091424C"/>
    <w:rsid w:val="00916CF2"/>
    <w:rsid w:val="00917DE4"/>
    <w:rsid w:val="00920905"/>
    <w:rsid w:val="00922B85"/>
    <w:rsid w:val="00930CDC"/>
    <w:rsid w:val="00931E45"/>
    <w:rsid w:val="00933188"/>
    <w:rsid w:val="00935AF9"/>
    <w:rsid w:val="009403A5"/>
    <w:rsid w:val="009500DC"/>
    <w:rsid w:val="00951923"/>
    <w:rsid w:val="00965E94"/>
    <w:rsid w:val="00972C81"/>
    <w:rsid w:val="009824E9"/>
    <w:rsid w:val="009826E5"/>
    <w:rsid w:val="009844A1"/>
    <w:rsid w:val="00986E20"/>
    <w:rsid w:val="00995479"/>
    <w:rsid w:val="00995CB0"/>
    <w:rsid w:val="00997E77"/>
    <w:rsid w:val="009A2734"/>
    <w:rsid w:val="009B0BB6"/>
    <w:rsid w:val="009B2A02"/>
    <w:rsid w:val="009B2B61"/>
    <w:rsid w:val="009B5A86"/>
    <w:rsid w:val="009B5B7B"/>
    <w:rsid w:val="009B7EE5"/>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6AF"/>
    <w:rsid w:val="00A61BB6"/>
    <w:rsid w:val="00A65734"/>
    <w:rsid w:val="00A6687F"/>
    <w:rsid w:val="00A66AF4"/>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0CB1"/>
    <w:rsid w:val="00B053FB"/>
    <w:rsid w:val="00B05647"/>
    <w:rsid w:val="00B07EE5"/>
    <w:rsid w:val="00B21CC5"/>
    <w:rsid w:val="00B26778"/>
    <w:rsid w:val="00B26B83"/>
    <w:rsid w:val="00B32479"/>
    <w:rsid w:val="00B33FE2"/>
    <w:rsid w:val="00B35643"/>
    <w:rsid w:val="00B403ED"/>
    <w:rsid w:val="00B4065F"/>
    <w:rsid w:val="00B4313A"/>
    <w:rsid w:val="00B45091"/>
    <w:rsid w:val="00B45447"/>
    <w:rsid w:val="00B614F1"/>
    <w:rsid w:val="00B63BD0"/>
    <w:rsid w:val="00B866B4"/>
    <w:rsid w:val="00B94226"/>
    <w:rsid w:val="00BA0A8C"/>
    <w:rsid w:val="00BA0CEB"/>
    <w:rsid w:val="00BA2383"/>
    <w:rsid w:val="00BA2E7E"/>
    <w:rsid w:val="00BA590A"/>
    <w:rsid w:val="00BA5FE4"/>
    <w:rsid w:val="00BB0B39"/>
    <w:rsid w:val="00BB1DE6"/>
    <w:rsid w:val="00BB30D1"/>
    <w:rsid w:val="00BB39D8"/>
    <w:rsid w:val="00BB5F75"/>
    <w:rsid w:val="00BC6524"/>
    <w:rsid w:val="00BC65A6"/>
    <w:rsid w:val="00BD3931"/>
    <w:rsid w:val="00BD5B88"/>
    <w:rsid w:val="00BD5F58"/>
    <w:rsid w:val="00BD62B6"/>
    <w:rsid w:val="00BE0AEB"/>
    <w:rsid w:val="00C018E0"/>
    <w:rsid w:val="00C05AAF"/>
    <w:rsid w:val="00C118C7"/>
    <w:rsid w:val="00C151F5"/>
    <w:rsid w:val="00C20877"/>
    <w:rsid w:val="00C20E7B"/>
    <w:rsid w:val="00C21456"/>
    <w:rsid w:val="00C24D03"/>
    <w:rsid w:val="00C25E61"/>
    <w:rsid w:val="00C35A1B"/>
    <w:rsid w:val="00C413F3"/>
    <w:rsid w:val="00C549C2"/>
    <w:rsid w:val="00C54EFF"/>
    <w:rsid w:val="00C55D03"/>
    <w:rsid w:val="00C63548"/>
    <w:rsid w:val="00C63F96"/>
    <w:rsid w:val="00C65450"/>
    <w:rsid w:val="00C677AF"/>
    <w:rsid w:val="00C67E59"/>
    <w:rsid w:val="00C71317"/>
    <w:rsid w:val="00C72B8B"/>
    <w:rsid w:val="00C72CB5"/>
    <w:rsid w:val="00C76D4F"/>
    <w:rsid w:val="00C805BC"/>
    <w:rsid w:val="00C959CA"/>
    <w:rsid w:val="00C95D16"/>
    <w:rsid w:val="00CA2AB4"/>
    <w:rsid w:val="00CB0100"/>
    <w:rsid w:val="00CB04D2"/>
    <w:rsid w:val="00CB4D49"/>
    <w:rsid w:val="00CD5B67"/>
    <w:rsid w:val="00CD7EFE"/>
    <w:rsid w:val="00CE0C66"/>
    <w:rsid w:val="00CE28CF"/>
    <w:rsid w:val="00CE4386"/>
    <w:rsid w:val="00CE4CDC"/>
    <w:rsid w:val="00CE5BEB"/>
    <w:rsid w:val="00CE69E9"/>
    <w:rsid w:val="00CE71F2"/>
    <w:rsid w:val="00CF07EE"/>
    <w:rsid w:val="00CF31FA"/>
    <w:rsid w:val="00CF3F65"/>
    <w:rsid w:val="00CF464D"/>
    <w:rsid w:val="00D12B2C"/>
    <w:rsid w:val="00D17EF4"/>
    <w:rsid w:val="00D23770"/>
    <w:rsid w:val="00D25074"/>
    <w:rsid w:val="00D34517"/>
    <w:rsid w:val="00D36798"/>
    <w:rsid w:val="00D37120"/>
    <w:rsid w:val="00D42594"/>
    <w:rsid w:val="00D45790"/>
    <w:rsid w:val="00D47E80"/>
    <w:rsid w:val="00D51E6A"/>
    <w:rsid w:val="00D62114"/>
    <w:rsid w:val="00D63F56"/>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D79ED"/>
    <w:rsid w:val="00DE5758"/>
    <w:rsid w:val="00DE5FCF"/>
    <w:rsid w:val="00DF0D19"/>
    <w:rsid w:val="00DF2EE9"/>
    <w:rsid w:val="00DF6FD8"/>
    <w:rsid w:val="00E005E6"/>
    <w:rsid w:val="00E01FC0"/>
    <w:rsid w:val="00E05A80"/>
    <w:rsid w:val="00E06A37"/>
    <w:rsid w:val="00E071A5"/>
    <w:rsid w:val="00E07752"/>
    <w:rsid w:val="00E16609"/>
    <w:rsid w:val="00E16F08"/>
    <w:rsid w:val="00E2151B"/>
    <w:rsid w:val="00E233F3"/>
    <w:rsid w:val="00E25B4D"/>
    <w:rsid w:val="00E26B34"/>
    <w:rsid w:val="00E27027"/>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B9F"/>
    <w:rsid w:val="00E87C8F"/>
    <w:rsid w:val="00E924C3"/>
    <w:rsid w:val="00E954EE"/>
    <w:rsid w:val="00E96759"/>
    <w:rsid w:val="00EA4437"/>
    <w:rsid w:val="00EA4D87"/>
    <w:rsid w:val="00EB34FC"/>
    <w:rsid w:val="00EB6D0A"/>
    <w:rsid w:val="00EB76E1"/>
    <w:rsid w:val="00EC2499"/>
    <w:rsid w:val="00ED26A9"/>
    <w:rsid w:val="00ED36A8"/>
    <w:rsid w:val="00EE29DF"/>
    <w:rsid w:val="00EE4120"/>
    <w:rsid w:val="00EF2E8A"/>
    <w:rsid w:val="00EF45DC"/>
    <w:rsid w:val="00EF4E6B"/>
    <w:rsid w:val="00EF5416"/>
    <w:rsid w:val="00F04FBC"/>
    <w:rsid w:val="00F06CCF"/>
    <w:rsid w:val="00F1053D"/>
    <w:rsid w:val="00F110D5"/>
    <w:rsid w:val="00F11E63"/>
    <w:rsid w:val="00F12733"/>
    <w:rsid w:val="00F171E1"/>
    <w:rsid w:val="00F20DCF"/>
    <w:rsid w:val="00F25B36"/>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3E9A"/>
    <w:rsid w:val="00F74B33"/>
    <w:rsid w:val="00F810DD"/>
    <w:rsid w:val="00F907A0"/>
    <w:rsid w:val="00F9291A"/>
    <w:rsid w:val="00F95C79"/>
    <w:rsid w:val="00F95E2F"/>
    <w:rsid w:val="00F96DEB"/>
    <w:rsid w:val="00FA1872"/>
    <w:rsid w:val="00FA4F34"/>
    <w:rsid w:val="00FA58EC"/>
    <w:rsid w:val="00FB2590"/>
    <w:rsid w:val="00FC19A1"/>
    <w:rsid w:val="00FC4A18"/>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77E0EA"/>
  <w15:docId w15:val="{DE8A9EA5-7780-4AB8-AC04-50A3B601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572D2F"/>
    <w:rPr>
      <w:rFonts w:ascii="Arial" w:hAnsi="Arial"/>
      <w:sz w:val="20"/>
      <w:szCs w:val="20"/>
    </w:rPr>
  </w:style>
  <w:style w:type="character" w:customStyle="1" w:styleId="EndnoteTextChar">
    <w:name w:val="Endnote Text Char"/>
    <w:basedOn w:val="DefaultParagraphFont"/>
    <w:link w:val="EndnoteText"/>
    <w:uiPriority w:val="99"/>
    <w:semiHidden/>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908B2"/>
    <w:rsid w:val="000D4C4B"/>
    <w:rsid w:val="00146151"/>
    <w:rsid w:val="0018354B"/>
    <w:rsid w:val="00204A7F"/>
    <w:rsid w:val="00223E1C"/>
    <w:rsid w:val="002B0B99"/>
    <w:rsid w:val="002B514B"/>
    <w:rsid w:val="002C0C03"/>
    <w:rsid w:val="00311B0D"/>
    <w:rsid w:val="003A131F"/>
    <w:rsid w:val="00440B20"/>
    <w:rsid w:val="0048052A"/>
    <w:rsid w:val="00560392"/>
    <w:rsid w:val="006B7FA8"/>
    <w:rsid w:val="00754C5B"/>
    <w:rsid w:val="007C6A15"/>
    <w:rsid w:val="008211B5"/>
    <w:rsid w:val="00874653"/>
    <w:rsid w:val="009120D9"/>
    <w:rsid w:val="00962C80"/>
    <w:rsid w:val="00A5022A"/>
    <w:rsid w:val="00A82ADA"/>
    <w:rsid w:val="00AE4C28"/>
    <w:rsid w:val="00AF2C4B"/>
    <w:rsid w:val="00B73964"/>
    <w:rsid w:val="00B74704"/>
    <w:rsid w:val="00BD55E2"/>
    <w:rsid w:val="00C947B8"/>
    <w:rsid w:val="00D0496D"/>
    <w:rsid w:val="00D051F5"/>
    <w:rsid w:val="00EC59D9"/>
    <w:rsid w:val="00F4074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9C829E-F7B2-414D-B233-9F1271135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3037</Words>
  <Characters>17314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SCE17LG105</vt:lpstr>
    </vt:vector>
  </TitlesOfParts>
  <Company>Southern California Edison</Company>
  <LinksUpToDate>false</LinksUpToDate>
  <CharactersWithSpaces>20311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SCE17LG105</dc:title>
  <dc:creator>Jim Wyatt (PG&amp;E);Jason Wang (SCE)</dc:creator>
  <cp:lastModifiedBy>Scott Mitchell</cp:lastModifiedBy>
  <cp:revision>2</cp:revision>
  <dcterms:created xsi:type="dcterms:W3CDTF">2016-12-30T21:57:00Z</dcterms:created>
  <dcterms:modified xsi:type="dcterms:W3CDTF">2016-12-30T21:57:00Z</dcterms:modified>
  <cp:contentStatus>Revision 0</cp:contentStatus>
</cp:coreProperties>
</file>