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631A99DA"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8524C">
            <w:t>SCE</w:t>
          </w:r>
          <w:r w:rsidR="000D06ED">
            <w:t>1</w:t>
          </w:r>
          <w:r w:rsidR="00F33920">
            <w:t>7</w:t>
          </w:r>
          <w:r w:rsidR="000D06ED">
            <w:t>LG103</w:t>
          </w:r>
        </w:sdtContent>
      </w:sdt>
    </w:p>
    <w:bookmarkEnd w:id="0"/>
    <w:p w14:paraId="7601CE2F" w14:textId="33F10CCF" w:rsidR="00DA690B" w:rsidRPr="00500C4E" w:rsidRDefault="00127473"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F33920">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127473"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4204DE59" w:rsidR="00DA690B" w:rsidRPr="00500C4E" w:rsidRDefault="000D06ED" w:rsidP="00DA690B">
      <w:pPr>
        <w:rPr>
          <w:rFonts w:cstheme="minorHAnsi"/>
          <w:b/>
          <w:sz w:val="72"/>
          <w:szCs w:val="72"/>
        </w:rPr>
      </w:pPr>
      <w:r>
        <w:rPr>
          <w:rFonts w:cstheme="minorHAnsi"/>
          <w:b/>
          <w:sz w:val="72"/>
          <w:szCs w:val="72"/>
        </w:rPr>
        <w:t>Interior LED Downlight Fixtures</w:t>
      </w:r>
    </w:p>
    <w:p w14:paraId="1BCCBBE5" w14:textId="4FD2CE4E" w:rsidR="00523736" w:rsidRPr="00500C4E" w:rsidRDefault="00523736" w:rsidP="00E76B31">
      <w:pPr>
        <w:pStyle w:val="Reminders"/>
        <w:rPr>
          <w:rFonts w:asciiTheme="minorHAnsi" w:hAnsiTheme="minorHAnsi" w:cstheme="minorHAnsi"/>
          <w:b/>
          <w:i w:val="0"/>
          <w:sz w:val="32"/>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0D06ED" w:rsidRPr="00500C4E" w14:paraId="4D3A4AB5" w14:textId="77777777" w:rsidTr="00920905">
        <w:trPr>
          <w:trHeight w:val="465"/>
        </w:trPr>
        <w:tc>
          <w:tcPr>
            <w:tcW w:w="1875" w:type="pct"/>
          </w:tcPr>
          <w:p w14:paraId="4D8DADAE" w14:textId="129EB9BE" w:rsidR="000D06ED" w:rsidRPr="00920905" w:rsidRDefault="000D06ED">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716DA22F" w:rsidR="000D06ED" w:rsidRPr="00500C4E" w:rsidRDefault="000D06ED">
            <w:pPr>
              <w:rPr>
                <w:rFonts w:cs="Arial"/>
                <w:bCs/>
                <w:color w:val="FF0000"/>
                <w:szCs w:val="20"/>
              </w:rPr>
            </w:pPr>
            <w:r w:rsidRPr="0060571A">
              <w:t>LT-61219, LT-68701, LT-16307, LT-89884</w:t>
            </w:r>
          </w:p>
        </w:tc>
      </w:tr>
      <w:tr w:rsidR="000D06ED" w:rsidRPr="00500C4E" w14:paraId="63B310F0" w14:textId="77777777" w:rsidTr="00920905">
        <w:trPr>
          <w:trHeight w:val="465"/>
        </w:trPr>
        <w:tc>
          <w:tcPr>
            <w:tcW w:w="1875" w:type="pct"/>
          </w:tcPr>
          <w:p w14:paraId="5050E2A3" w14:textId="2CBF1387" w:rsidR="000D06ED" w:rsidRPr="00500C4E" w:rsidRDefault="000D06ED">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3CA8F217" w:rsidR="000D06ED" w:rsidRPr="00500C4E" w:rsidRDefault="000D06ED">
            <w:pPr>
              <w:rPr>
                <w:rFonts w:cs="Arial"/>
                <w:color w:val="FF0000"/>
                <w:szCs w:val="20"/>
              </w:rPr>
            </w:pPr>
            <w:r w:rsidRPr="0060571A">
              <w:t xml:space="preserve">LED Downlights </w:t>
            </w:r>
            <w:r w:rsidR="00727044">
              <w:t xml:space="preserve">fixtures </w:t>
            </w:r>
            <w:r w:rsidRPr="0060571A">
              <w:t>less than 15 Watts</w:t>
            </w:r>
          </w:p>
        </w:tc>
      </w:tr>
      <w:tr w:rsidR="000D06ED" w:rsidRPr="00500C4E" w14:paraId="085771EF" w14:textId="77777777" w:rsidTr="00920905">
        <w:trPr>
          <w:trHeight w:val="465"/>
        </w:trPr>
        <w:tc>
          <w:tcPr>
            <w:tcW w:w="1875" w:type="pct"/>
          </w:tcPr>
          <w:p w14:paraId="679DB8A0" w14:textId="3D691398" w:rsidR="000D06ED" w:rsidRPr="00500C4E" w:rsidRDefault="000D06ED">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385C31B3" w:rsidR="000D06ED" w:rsidRPr="00500C4E" w:rsidRDefault="000D06ED">
            <w:pPr>
              <w:rPr>
                <w:rFonts w:cs="Arial"/>
                <w:color w:val="FF0000"/>
                <w:szCs w:val="20"/>
              </w:rPr>
            </w:pPr>
            <w:r w:rsidRPr="0060571A">
              <w:t xml:space="preserve">PAR30 incandescent or halogen </w:t>
            </w:r>
            <w:r w:rsidR="00727044">
              <w:t xml:space="preserve">lamps </w:t>
            </w:r>
            <w:r w:rsidRPr="0060571A">
              <w:t>between 40 and 100 Watts</w:t>
            </w:r>
          </w:p>
        </w:tc>
      </w:tr>
      <w:tr w:rsidR="000D06ED" w:rsidRPr="00500C4E" w14:paraId="5C218003" w14:textId="77777777" w:rsidTr="00920905">
        <w:trPr>
          <w:trHeight w:val="465"/>
        </w:trPr>
        <w:tc>
          <w:tcPr>
            <w:tcW w:w="1875" w:type="pct"/>
          </w:tcPr>
          <w:p w14:paraId="1DBA889C" w14:textId="032192ED" w:rsidR="000D06ED" w:rsidRPr="00500C4E" w:rsidRDefault="000D06ED">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488327F2" w:rsidR="000D06ED" w:rsidRPr="00500C4E" w:rsidRDefault="000D06ED">
            <w:pPr>
              <w:rPr>
                <w:rFonts w:cs="Arial"/>
                <w:color w:val="FF0000"/>
                <w:szCs w:val="20"/>
              </w:rPr>
            </w:pPr>
            <w:r w:rsidRPr="0060571A">
              <w:t xml:space="preserve">Lamp </w:t>
            </w:r>
          </w:p>
        </w:tc>
      </w:tr>
      <w:tr w:rsidR="000D06ED" w:rsidRPr="00500C4E" w14:paraId="66C8B424" w14:textId="77777777" w:rsidTr="00920905">
        <w:trPr>
          <w:trHeight w:val="465"/>
        </w:trPr>
        <w:tc>
          <w:tcPr>
            <w:tcW w:w="1875" w:type="pct"/>
          </w:tcPr>
          <w:p w14:paraId="0C38E296" w14:textId="625EE0BE" w:rsidR="000D06ED" w:rsidRPr="00920905" w:rsidRDefault="000D06ED">
            <w:pPr>
              <w:rPr>
                <w:rStyle w:val="Strong1"/>
                <w:szCs w:val="20"/>
              </w:rPr>
            </w:pPr>
            <w:r w:rsidRPr="00500C4E">
              <w:rPr>
                <w:rStyle w:val="Strong"/>
                <w:rFonts w:asciiTheme="minorHAnsi" w:hAnsiTheme="minorHAnsi"/>
                <w:sz w:val="20"/>
                <w:szCs w:val="20"/>
              </w:rPr>
              <w:t>Energy Savings</w:t>
            </w:r>
          </w:p>
        </w:tc>
        <w:tc>
          <w:tcPr>
            <w:tcW w:w="3125" w:type="pct"/>
          </w:tcPr>
          <w:p w14:paraId="7D5952C1" w14:textId="2144EF19" w:rsidR="000D06ED" w:rsidRPr="00500C4E" w:rsidRDefault="000D06ED">
            <w:pPr>
              <w:rPr>
                <w:rFonts w:cs="Arial"/>
                <w:szCs w:val="20"/>
              </w:rPr>
            </w:pPr>
            <w:r w:rsidRPr="0060571A">
              <w:t>Refer to Excel Calculation Attachment</w:t>
            </w:r>
          </w:p>
        </w:tc>
      </w:tr>
      <w:tr w:rsidR="000D06ED" w:rsidRPr="00500C4E" w14:paraId="3432D116" w14:textId="77777777" w:rsidTr="00920905">
        <w:trPr>
          <w:trHeight w:val="465"/>
        </w:trPr>
        <w:tc>
          <w:tcPr>
            <w:tcW w:w="1875" w:type="pct"/>
          </w:tcPr>
          <w:p w14:paraId="3CB3B700" w14:textId="30D3563F" w:rsidR="000D06ED" w:rsidRPr="00500C4E" w:rsidRDefault="000D06E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55804062" w14:textId="39C1E0C5" w:rsidR="000D06ED" w:rsidRPr="00500C4E" w:rsidRDefault="000D06ED" w:rsidP="00AC2F5B">
            <w:pPr>
              <w:rPr>
                <w:rFonts w:cs="Arial"/>
                <w:szCs w:val="20"/>
              </w:rPr>
            </w:pPr>
            <w:r w:rsidRPr="0060571A">
              <w:t>Refer to Excel Calculation Attachment</w:t>
            </w:r>
          </w:p>
        </w:tc>
      </w:tr>
      <w:tr w:rsidR="000D06ED" w:rsidRPr="00500C4E" w14:paraId="2D16677E" w14:textId="77777777" w:rsidTr="00920905">
        <w:trPr>
          <w:trHeight w:val="465"/>
        </w:trPr>
        <w:tc>
          <w:tcPr>
            <w:tcW w:w="1875" w:type="pct"/>
          </w:tcPr>
          <w:p w14:paraId="1C8BF889" w14:textId="6745F31A" w:rsidR="000D06ED" w:rsidRPr="00500C4E" w:rsidRDefault="000D06ED">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40CA5472" w14:textId="60983A6A" w:rsidR="000D06ED" w:rsidRPr="00500C4E" w:rsidRDefault="000D06ED" w:rsidP="00AC2F5B">
            <w:pPr>
              <w:rPr>
                <w:rFonts w:cs="Arial"/>
                <w:szCs w:val="20"/>
              </w:rPr>
            </w:pPr>
            <w:r w:rsidRPr="0060571A">
              <w:t>Refer to Excel Calculation Attachment</w:t>
            </w:r>
          </w:p>
        </w:tc>
      </w:tr>
      <w:tr w:rsidR="000D06ED" w:rsidRPr="00500C4E" w14:paraId="466E1409" w14:textId="77777777" w:rsidTr="00920905">
        <w:trPr>
          <w:trHeight w:val="465"/>
        </w:trPr>
        <w:tc>
          <w:tcPr>
            <w:tcW w:w="1875" w:type="pct"/>
          </w:tcPr>
          <w:p w14:paraId="4F8D0A97" w14:textId="25FD4E84" w:rsidR="000D06ED" w:rsidRPr="00500C4E" w:rsidRDefault="000D06ED">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3CA111C6" w:rsidR="000D06ED" w:rsidRPr="00500C4E" w:rsidRDefault="000D06ED">
            <w:pPr>
              <w:rPr>
                <w:rFonts w:cs="Arial"/>
                <w:color w:val="FF0000"/>
                <w:szCs w:val="20"/>
              </w:rPr>
            </w:pPr>
            <w:r w:rsidRPr="0060571A">
              <w:t>Varies by building type</w:t>
            </w:r>
          </w:p>
        </w:tc>
      </w:tr>
      <w:tr w:rsidR="000D06ED" w:rsidRPr="00500C4E" w14:paraId="6FFAAB3B" w14:textId="77777777" w:rsidTr="00920905">
        <w:trPr>
          <w:trHeight w:val="465"/>
        </w:trPr>
        <w:tc>
          <w:tcPr>
            <w:tcW w:w="1875" w:type="pct"/>
          </w:tcPr>
          <w:p w14:paraId="080378E9" w14:textId="52D7A149" w:rsidR="000D06ED" w:rsidRPr="00500C4E" w:rsidRDefault="000D06ED">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8423BBE" w14:textId="7DCDF0AE" w:rsidR="000D06ED" w:rsidRPr="00500C4E" w:rsidRDefault="000D06ED">
            <w:pPr>
              <w:rPr>
                <w:rFonts w:cs="Arial"/>
                <w:color w:val="FF0000"/>
                <w:szCs w:val="20"/>
              </w:rPr>
            </w:pPr>
            <w:r w:rsidRPr="0060571A">
              <w:t xml:space="preserve">Replace on Burnout (ROB) </w:t>
            </w:r>
          </w:p>
        </w:tc>
      </w:tr>
      <w:tr w:rsidR="00290ED8" w:rsidRPr="00500C4E" w14:paraId="2EA80FC2" w14:textId="77777777" w:rsidTr="00920905">
        <w:trPr>
          <w:trHeight w:val="465"/>
        </w:trPr>
        <w:tc>
          <w:tcPr>
            <w:tcW w:w="1875" w:type="pct"/>
          </w:tcPr>
          <w:p w14:paraId="7E87F403" w14:textId="5683C17E" w:rsidR="00290ED8" w:rsidRPr="000D06ED" w:rsidRDefault="001C1338">
            <w:pPr>
              <w:rPr>
                <w:rStyle w:val="Strong"/>
                <w:rFonts w:asciiTheme="minorHAnsi" w:hAnsiTheme="minorHAnsi"/>
                <w:sz w:val="20"/>
                <w:szCs w:val="20"/>
              </w:rPr>
            </w:pPr>
            <w:r w:rsidRPr="000D06ED">
              <w:rPr>
                <w:rStyle w:val="Strong"/>
                <w:rFonts w:asciiTheme="minorHAnsi" w:hAnsiTheme="minorHAnsi"/>
                <w:sz w:val="20"/>
                <w:szCs w:val="20"/>
              </w:rPr>
              <w:t>Net-to-Gross Ratio</w:t>
            </w:r>
          </w:p>
        </w:tc>
        <w:tc>
          <w:tcPr>
            <w:tcW w:w="3125" w:type="pct"/>
          </w:tcPr>
          <w:p w14:paraId="63A50378" w14:textId="534BF6B7" w:rsidR="00E67ACA" w:rsidRPr="000D06ED" w:rsidRDefault="000D06ED">
            <w:pPr>
              <w:rPr>
                <w:rFonts w:cs="Arial"/>
                <w:szCs w:val="20"/>
              </w:rPr>
            </w:pPr>
            <w:r w:rsidRPr="000D06ED">
              <w:rPr>
                <w:rFonts w:cs="Arial"/>
                <w:szCs w:val="20"/>
              </w:rPr>
              <w:t xml:space="preserve">0.6 (DEER NTGR ID: </w:t>
            </w:r>
            <w:r w:rsidRPr="000D06ED">
              <w:rPr>
                <w:szCs w:val="20"/>
              </w:rPr>
              <w:t xml:space="preserve">Com-Default&gt;2yrs, </w:t>
            </w:r>
            <w:proofErr w:type="spellStart"/>
            <w:r w:rsidRPr="000D06ED">
              <w:rPr>
                <w:szCs w:val="20"/>
              </w:rPr>
              <w:t>Ind</w:t>
            </w:r>
            <w:proofErr w:type="spellEnd"/>
            <w:r w:rsidRPr="000D06ED">
              <w:rPr>
                <w:szCs w:val="20"/>
              </w:rPr>
              <w:t xml:space="preserve">-Default&gt;2yrs, </w:t>
            </w:r>
            <w:proofErr w:type="spellStart"/>
            <w:r w:rsidRPr="000D06ED">
              <w:rPr>
                <w:szCs w:val="20"/>
              </w:rPr>
              <w:t>Agr</w:t>
            </w:r>
            <w:proofErr w:type="spellEnd"/>
            <w:r w:rsidRPr="000D06ED">
              <w:rPr>
                <w:szCs w:val="20"/>
              </w:rPr>
              <w:t>-Default&gt;2yrs)</w:t>
            </w:r>
          </w:p>
          <w:p w14:paraId="575DB7B9" w14:textId="0C0CEB7B" w:rsidR="000D06ED" w:rsidRPr="000D06ED" w:rsidRDefault="000D06ED" w:rsidP="000D06ED">
            <w:pPr>
              <w:rPr>
                <w:rFonts w:cs="Arial"/>
                <w:szCs w:val="20"/>
              </w:rPr>
            </w:pPr>
            <w:r w:rsidRPr="000D06ED">
              <w:rPr>
                <w:rFonts w:cs="Arial"/>
                <w:szCs w:val="20"/>
              </w:rPr>
              <w:t xml:space="preserve">0.55 (DEER NTGR ID: </w:t>
            </w:r>
            <w:r w:rsidRPr="000D06ED">
              <w:rPr>
                <w:szCs w:val="20"/>
              </w:rPr>
              <w:t>Res-Default&gt;2yrs)</w:t>
            </w:r>
          </w:p>
          <w:p w14:paraId="40A9016A" w14:textId="3A697997" w:rsidR="00290ED8" w:rsidRPr="000D06ED" w:rsidRDefault="000D06ED">
            <w:pPr>
              <w:rPr>
                <w:rFonts w:cs="Arial"/>
                <w:szCs w:val="20"/>
              </w:rPr>
            </w:pPr>
            <w:r w:rsidRPr="000D06ED">
              <w:rPr>
                <w:rFonts w:cs="Arial"/>
                <w:szCs w:val="20"/>
              </w:rPr>
              <w:t xml:space="preserve">0.85 (DEER NTGR ID: </w:t>
            </w:r>
            <w:r w:rsidRPr="000D06ED">
              <w:rPr>
                <w:rFonts w:cstheme="minorHAnsi"/>
                <w:szCs w:val="20"/>
              </w:rPr>
              <w:t>Com-Default-HTG-di</w:t>
            </w:r>
            <w:r w:rsidRPr="000D06ED">
              <w:rPr>
                <w:szCs w:val="20"/>
              </w:rPr>
              <w:t xml:space="preserve">, </w:t>
            </w:r>
            <w:proofErr w:type="spellStart"/>
            <w:r w:rsidRPr="000D06ED">
              <w:rPr>
                <w:szCs w:val="20"/>
              </w:rPr>
              <w:t>Ind</w:t>
            </w:r>
            <w:proofErr w:type="spellEnd"/>
            <w:r w:rsidRPr="000D06ED">
              <w:rPr>
                <w:rFonts w:cstheme="minorHAnsi"/>
                <w:szCs w:val="20"/>
              </w:rPr>
              <w:t xml:space="preserve">-Default-HTG-di, </w:t>
            </w:r>
            <w:proofErr w:type="spellStart"/>
            <w:r w:rsidRPr="000D06ED">
              <w:rPr>
                <w:rFonts w:cstheme="minorHAnsi"/>
                <w:szCs w:val="20"/>
              </w:rPr>
              <w:t>Agricult</w:t>
            </w:r>
            <w:proofErr w:type="spellEnd"/>
            <w:r w:rsidRPr="000D06ED">
              <w:rPr>
                <w:rFonts w:cstheme="minorHAnsi"/>
                <w:szCs w:val="20"/>
              </w:rPr>
              <w:t>-Default-HTG-di, Res-Default-HTG-di</w:t>
            </w:r>
            <w:r w:rsidRPr="000D06ED">
              <w:rPr>
                <w:szCs w:val="20"/>
              </w:rPr>
              <w:t>)</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980"/>
        <w:gridCol w:w="1378"/>
        <w:gridCol w:w="6468"/>
      </w:tblGrid>
      <w:tr w:rsidR="003845E5" w:rsidRPr="00500C4E" w14:paraId="5AFD7FBC" w14:textId="77777777" w:rsidTr="008054AA">
        <w:trPr>
          <w:trHeight w:val="20"/>
        </w:trPr>
        <w:tc>
          <w:tcPr>
            <w:tcW w:w="280" w:type="pct"/>
            <w:shd w:val="clear" w:color="auto" w:fill="D9D9D9" w:themeFill="background1" w:themeFillShade="D9"/>
          </w:tcPr>
          <w:p w14:paraId="52E1F882" w14:textId="5B461D80" w:rsidR="00933188" w:rsidRPr="00500C4E" w:rsidRDefault="003845E5" w:rsidP="008054AA">
            <w:pPr>
              <w:rPr>
                <w:rFonts w:cstheme="minorHAnsi"/>
                <w:b/>
                <w:bCs/>
                <w:szCs w:val="20"/>
              </w:rPr>
            </w:pPr>
            <w:r>
              <w:rPr>
                <w:rFonts w:cstheme="minorHAnsi"/>
                <w:b/>
                <w:szCs w:val="20"/>
              </w:rPr>
              <w:t>Rev</w:t>
            </w:r>
          </w:p>
        </w:tc>
        <w:tc>
          <w:tcPr>
            <w:tcW w:w="524" w:type="pct"/>
            <w:shd w:val="clear" w:color="auto" w:fill="D9D9D9" w:themeFill="background1" w:themeFillShade="D9"/>
          </w:tcPr>
          <w:p w14:paraId="420782CC" w14:textId="2B873DC8" w:rsidR="00933188" w:rsidRPr="00500C4E" w:rsidRDefault="00933188" w:rsidP="008054AA">
            <w:pPr>
              <w:rPr>
                <w:rFonts w:cstheme="minorHAnsi"/>
                <w:b/>
                <w:bCs/>
                <w:szCs w:val="20"/>
              </w:rPr>
            </w:pPr>
            <w:r w:rsidRPr="00920905">
              <w:rPr>
                <w:rFonts w:cstheme="minorHAnsi"/>
                <w:b/>
                <w:szCs w:val="20"/>
              </w:rPr>
              <w:t>Date</w:t>
            </w:r>
          </w:p>
        </w:tc>
        <w:tc>
          <w:tcPr>
            <w:tcW w:w="737" w:type="pct"/>
            <w:shd w:val="clear" w:color="auto" w:fill="D9D9D9" w:themeFill="background1" w:themeFillShade="D9"/>
          </w:tcPr>
          <w:p w14:paraId="35319158" w14:textId="1CEA4CD6" w:rsidR="00933188" w:rsidRPr="00500C4E" w:rsidRDefault="003845E5" w:rsidP="008054AA">
            <w:pPr>
              <w:rPr>
                <w:rFonts w:cstheme="minorHAnsi"/>
                <w:b/>
                <w:bCs/>
                <w:szCs w:val="20"/>
              </w:rPr>
            </w:pPr>
            <w:r>
              <w:rPr>
                <w:rFonts w:cstheme="minorHAnsi"/>
                <w:b/>
                <w:szCs w:val="20"/>
              </w:rPr>
              <w:t>Author</w:t>
            </w:r>
          </w:p>
        </w:tc>
        <w:tc>
          <w:tcPr>
            <w:tcW w:w="3459" w:type="pct"/>
            <w:shd w:val="clear" w:color="auto" w:fill="D9D9D9" w:themeFill="background1" w:themeFillShade="D9"/>
          </w:tcPr>
          <w:p w14:paraId="49A1B083" w14:textId="77777777" w:rsidR="00933188" w:rsidRPr="00500C4E" w:rsidRDefault="00933188" w:rsidP="008054AA">
            <w:pPr>
              <w:rPr>
                <w:rFonts w:cstheme="minorHAnsi"/>
                <w:b/>
                <w:bCs/>
                <w:szCs w:val="20"/>
              </w:rPr>
            </w:pPr>
            <w:r w:rsidRPr="00920905">
              <w:rPr>
                <w:rFonts w:cstheme="minorHAnsi"/>
                <w:b/>
                <w:szCs w:val="20"/>
              </w:rPr>
              <w:t>Summary of Changes</w:t>
            </w:r>
          </w:p>
        </w:tc>
      </w:tr>
      <w:tr w:rsidR="009D75FF" w:rsidRPr="00500C4E" w14:paraId="444A8DB9" w14:textId="77777777" w:rsidTr="008054AA">
        <w:trPr>
          <w:trHeight w:val="20"/>
        </w:trPr>
        <w:tc>
          <w:tcPr>
            <w:tcW w:w="280" w:type="pct"/>
          </w:tcPr>
          <w:p w14:paraId="60E05BD2" w14:textId="15873A16" w:rsidR="009D75FF" w:rsidRPr="00500C4E" w:rsidRDefault="009D75FF" w:rsidP="008054AA">
            <w:pPr>
              <w:rPr>
                <w:rFonts w:cstheme="minorHAnsi"/>
                <w:szCs w:val="20"/>
              </w:rPr>
            </w:pPr>
            <w:r>
              <w:rPr>
                <w:rFonts w:cstheme="minorHAnsi"/>
                <w:szCs w:val="20"/>
              </w:rPr>
              <w:t>0</w:t>
            </w:r>
          </w:p>
        </w:tc>
        <w:tc>
          <w:tcPr>
            <w:tcW w:w="524" w:type="pct"/>
          </w:tcPr>
          <w:p w14:paraId="1A2F68B3" w14:textId="58D60DB7" w:rsidR="009D75FF" w:rsidRPr="00500C4E" w:rsidRDefault="00F33920" w:rsidP="008054AA">
            <w:pPr>
              <w:rPr>
                <w:rFonts w:cstheme="minorHAnsi"/>
                <w:szCs w:val="20"/>
              </w:rPr>
            </w:pPr>
            <w:r>
              <w:rPr>
                <w:rFonts w:cstheme="minorHAnsi"/>
                <w:szCs w:val="20"/>
              </w:rPr>
              <w:t>11/1</w:t>
            </w:r>
            <w:r w:rsidR="009D75FF">
              <w:rPr>
                <w:rFonts w:cstheme="minorHAnsi"/>
                <w:szCs w:val="20"/>
              </w:rPr>
              <w:t>/</w:t>
            </w:r>
            <w:r>
              <w:rPr>
                <w:rFonts w:cstheme="minorHAnsi"/>
                <w:szCs w:val="20"/>
              </w:rPr>
              <w:t>16</w:t>
            </w:r>
          </w:p>
        </w:tc>
        <w:tc>
          <w:tcPr>
            <w:tcW w:w="737" w:type="pct"/>
          </w:tcPr>
          <w:p w14:paraId="27D0539A" w14:textId="1B08C3CA" w:rsidR="009D75FF" w:rsidRPr="00500C4E" w:rsidRDefault="00F33920" w:rsidP="008054AA">
            <w:pPr>
              <w:rPr>
                <w:rFonts w:cstheme="minorHAnsi"/>
                <w:szCs w:val="20"/>
              </w:rPr>
            </w:pPr>
            <w:r>
              <w:rPr>
                <w:rFonts w:cstheme="minorHAnsi"/>
                <w:szCs w:val="20"/>
              </w:rPr>
              <w:t xml:space="preserve">Robert </w:t>
            </w:r>
            <w:proofErr w:type="spellStart"/>
            <w:r>
              <w:rPr>
                <w:rFonts w:cstheme="minorHAnsi"/>
                <w:szCs w:val="20"/>
              </w:rPr>
              <w:t>Hagstrom</w:t>
            </w:r>
            <w:proofErr w:type="spellEnd"/>
            <w:r w:rsidR="009D75FF">
              <w:rPr>
                <w:rFonts w:cstheme="minorHAnsi"/>
                <w:szCs w:val="20"/>
              </w:rPr>
              <w:t xml:space="preserve"> (</w:t>
            </w:r>
            <w:r w:rsidR="009D75FF" w:rsidRPr="005734A4">
              <w:rPr>
                <w:rFonts w:cstheme="minorHAnsi"/>
                <w:szCs w:val="20"/>
              </w:rPr>
              <w:t>SCE</w:t>
            </w:r>
            <w:r w:rsidR="009D75FF">
              <w:rPr>
                <w:rFonts w:cstheme="minorHAnsi"/>
                <w:szCs w:val="20"/>
              </w:rPr>
              <w:t>)</w:t>
            </w:r>
          </w:p>
        </w:tc>
        <w:tc>
          <w:tcPr>
            <w:tcW w:w="3459" w:type="pct"/>
          </w:tcPr>
          <w:p w14:paraId="4FCDC3B7" w14:textId="0CB2F0A5" w:rsidR="00F33920" w:rsidRPr="00B45371" w:rsidRDefault="00F33920" w:rsidP="008054AA">
            <w:pPr>
              <w:pStyle w:val="ListParagraph"/>
              <w:numPr>
                <w:ilvl w:val="0"/>
                <w:numId w:val="35"/>
              </w:numPr>
              <w:rPr>
                <w:rFonts w:cstheme="minorHAnsi"/>
                <w:bCs/>
                <w:szCs w:val="20"/>
              </w:rPr>
            </w:pPr>
            <w:r w:rsidRPr="00B45371">
              <w:rPr>
                <w:rFonts w:cstheme="minorHAnsi"/>
                <w:bCs/>
                <w:szCs w:val="20"/>
              </w:rPr>
              <w:t>Update</w:t>
            </w:r>
            <w:r w:rsidR="00B45371" w:rsidRPr="00B45371">
              <w:rPr>
                <w:rFonts w:cstheme="minorHAnsi"/>
                <w:bCs/>
                <w:szCs w:val="20"/>
              </w:rPr>
              <w:t>d</w:t>
            </w:r>
            <w:r w:rsidRPr="00B45371">
              <w:rPr>
                <w:rFonts w:cstheme="minorHAnsi"/>
                <w:bCs/>
                <w:szCs w:val="20"/>
              </w:rPr>
              <w:t xml:space="preserve"> labor cost to </w:t>
            </w:r>
            <w:proofErr w:type="spellStart"/>
            <w:r w:rsidRPr="00B45371">
              <w:t>RSMeans</w:t>
            </w:r>
            <w:proofErr w:type="spellEnd"/>
            <w:r w:rsidRPr="00B45371">
              <w:t xml:space="preserve"> 201</w:t>
            </w:r>
            <w:r w:rsidR="00B45371" w:rsidRPr="00B45371">
              <w:t>6</w:t>
            </w:r>
            <w:r w:rsidRPr="00B45371">
              <w:t>.</w:t>
            </w:r>
          </w:p>
          <w:p w14:paraId="2D32BBE4" w14:textId="77777777" w:rsidR="00F33920" w:rsidRDefault="00F33920" w:rsidP="008054AA">
            <w:pPr>
              <w:pStyle w:val="ListParagraph"/>
              <w:numPr>
                <w:ilvl w:val="0"/>
                <w:numId w:val="35"/>
              </w:numPr>
              <w:rPr>
                <w:rFonts w:cstheme="minorHAnsi"/>
                <w:bCs/>
                <w:szCs w:val="20"/>
              </w:rPr>
            </w:pPr>
            <w:r>
              <w:rPr>
                <w:rFonts w:cstheme="minorHAnsi"/>
                <w:bCs/>
                <w:szCs w:val="20"/>
              </w:rPr>
              <w:t>Code language update</w:t>
            </w:r>
          </w:p>
          <w:p w14:paraId="7E23F3BD" w14:textId="00D28E41" w:rsidR="002C20F9" w:rsidRPr="009745BA" w:rsidRDefault="00303790" w:rsidP="00303790">
            <w:pPr>
              <w:pStyle w:val="ListParagraph"/>
              <w:numPr>
                <w:ilvl w:val="0"/>
                <w:numId w:val="35"/>
              </w:numPr>
              <w:rPr>
                <w:rFonts w:cstheme="minorHAnsi"/>
                <w:bCs/>
                <w:szCs w:val="20"/>
              </w:rPr>
            </w:pPr>
            <w:r w:rsidRPr="00303790">
              <w:rPr>
                <w:rFonts w:cstheme="minorHAnsi"/>
                <w:bCs/>
                <w:szCs w:val="20"/>
              </w:rPr>
              <w:t>Updated WRR per 2016 Lighting Disposition</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ayout w:type="fixed"/>
        <w:tblLook w:val="01E0" w:firstRow="1" w:lastRow="1" w:firstColumn="1" w:lastColumn="1" w:noHBand="0" w:noVBand="0"/>
      </w:tblPr>
      <w:tblGrid>
        <w:gridCol w:w="525"/>
        <w:gridCol w:w="731"/>
        <w:gridCol w:w="950"/>
        <w:gridCol w:w="1032"/>
        <w:gridCol w:w="3056"/>
        <w:gridCol w:w="3056"/>
      </w:tblGrid>
      <w:tr w:rsidR="00522FE3" w:rsidRPr="00522FE3" w14:paraId="31D4D566" w14:textId="0512A126" w:rsidTr="00727044">
        <w:trPr>
          <w:trHeight w:val="20"/>
        </w:trPr>
        <w:tc>
          <w:tcPr>
            <w:tcW w:w="280" w:type="pct"/>
            <w:shd w:val="clear" w:color="auto" w:fill="D9D9D9" w:themeFill="background1" w:themeFillShade="D9"/>
          </w:tcPr>
          <w:p w14:paraId="4D22D2AC" w14:textId="578A8E84" w:rsidR="008877AF" w:rsidRPr="00522FE3" w:rsidRDefault="008877AF" w:rsidP="00EE4120">
            <w:pPr>
              <w:rPr>
                <w:b/>
                <w:bCs/>
                <w:szCs w:val="20"/>
              </w:rPr>
            </w:pPr>
            <w:r w:rsidRPr="00522FE3">
              <w:rPr>
                <w:b/>
                <w:szCs w:val="20"/>
              </w:rPr>
              <w:t>Rev</w:t>
            </w:r>
          </w:p>
        </w:tc>
        <w:tc>
          <w:tcPr>
            <w:tcW w:w="391" w:type="pct"/>
            <w:shd w:val="clear" w:color="auto" w:fill="D9D9D9" w:themeFill="background1" w:themeFillShade="D9"/>
          </w:tcPr>
          <w:p w14:paraId="136A26D8" w14:textId="51162287" w:rsidR="008877AF" w:rsidRPr="00522FE3" w:rsidRDefault="008877AF" w:rsidP="00EE4120">
            <w:pPr>
              <w:rPr>
                <w:b/>
                <w:szCs w:val="20"/>
              </w:rPr>
            </w:pPr>
            <w:r w:rsidRPr="00522FE3">
              <w:rPr>
                <w:b/>
                <w:szCs w:val="20"/>
              </w:rPr>
              <w:t>Party</w:t>
            </w:r>
          </w:p>
        </w:tc>
        <w:tc>
          <w:tcPr>
            <w:tcW w:w="508" w:type="pct"/>
            <w:shd w:val="clear" w:color="auto" w:fill="D9D9D9" w:themeFill="background1" w:themeFillShade="D9"/>
          </w:tcPr>
          <w:p w14:paraId="4BF8E9A6" w14:textId="7640B428" w:rsidR="008877AF" w:rsidRPr="00522FE3" w:rsidRDefault="008877AF" w:rsidP="00847A4E">
            <w:pPr>
              <w:rPr>
                <w:b/>
                <w:bCs/>
                <w:szCs w:val="20"/>
              </w:rPr>
            </w:pPr>
            <w:r w:rsidRPr="00522FE3">
              <w:rPr>
                <w:b/>
                <w:szCs w:val="20"/>
              </w:rPr>
              <w:t>Submittal Date</w:t>
            </w:r>
          </w:p>
        </w:tc>
        <w:tc>
          <w:tcPr>
            <w:tcW w:w="552" w:type="pct"/>
            <w:shd w:val="clear" w:color="auto" w:fill="D9D9D9" w:themeFill="background1" w:themeFillShade="D9"/>
          </w:tcPr>
          <w:p w14:paraId="272864FD" w14:textId="18AA6C2E" w:rsidR="008877AF" w:rsidRPr="00522FE3" w:rsidRDefault="008877AF" w:rsidP="00847A4E">
            <w:pPr>
              <w:rPr>
                <w:b/>
                <w:bCs/>
                <w:szCs w:val="20"/>
              </w:rPr>
            </w:pPr>
            <w:r w:rsidRPr="00522FE3">
              <w:rPr>
                <w:b/>
                <w:szCs w:val="20"/>
              </w:rPr>
              <w:t>Comment Date</w:t>
            </w:r>
          </w:p>
        </w:tc>
        <w:tc>
          <w:tcPr>
            <w:tcW w:w="1634" w:type="pct"/>
            <w:shd w:val="clear" w:color="auto" w:fill="D9D9D9" w:themeFill="background1" w:themeFillShade="D9"/>
          </w:tcPr>
          <w:p w14:paraId="53B71606" w14:textId="00CE8408" w:rsidR="008877AF" w:rsidRPr="00522FE3" w:rsidRDefault="008877AF" w:rsidP="00A84BF9">
            <w:pPr>
              <w:rPr>
                <w:b/>
                <w:bCs/>
                <w:szCs w:val="20"/>
              </w:rPr>
            </w:pPr>
            <w:r w:rsidRPr="00522FE3">
              <w:rPr>
                <w:b/>
                <w:szCs w:val="20"/>
              </w:rPr>
              <w:t>Comments</w:t>
            </w:r>
          </w:p>
        </w:tc>
        <w:tc>
          <w:tcPr>
            <w:tcW w:w="1634" w:type="pct"/>
            <w:shd w:val="clear" w:color="auto" w:fill="D9D9D9" w:themeFill="background1" w:themeFillShade="D9"/>
          </w:tcPr>
          <w:p w14:paraId="36BCD2FF" w14:textId="7CC528FF" w:rsidR="008877AF" w:rsidRPr="00522FE3" w:rsidRDefault="008877AF" w:rsidP="00A84BF9">
            <w:pPr>
              <w:rPr>
                <w:b/>
                <w:szCs w:val="20"/>
              </w:rPr>
            </w:pPr>
            <w:r w:rsidRPr="00522FE3">
              <w:rPr>
                <w:b/>
                <w:szCs w:val="20"/>
              </w:rPr>
              <w:t>WP Developer Response</w:t>
            </w:r>
          </w:p>
        </w:tc>
      </w:tr>
      <w:tr w:rsidR="00522FE3" w:rsidRPr="00522FE3" w14:paraId="63E31671" w14:textId="04F75037" w:rsidTr="00727044">
        <w:trPr>
          <w:trHeight w:val="20"/>
        </w:trPr>
        <w:tc>
          <w:tcPr>
            <w:tcW w:w="280" w:type="pct"/>
          </w:tcPr>
          <w:p w14:paraId="4D0B6F23" w14:textId="2B78D3B9" w:rsidR="008877AF" w:rsidRPr="00522FE3" w:rsidRDefault="008877AF" w:rsidP="00A84BF9">
            <w:pPr>
              <w:rPr>
                <w:bCs/>
              </w:rPr>
            </w:pPr>
            <w:r w:rsidRPr="00522FE3">
              <w:rPr>
                <w:bCs/>
              </w:rPr>
              <w:t>0</w:t>
            </w:r>
          </w:p>
        </w:tc>
        <w:tc>
          <w:tcPr>
            <w:tcW w:w="391" w:type="pct"/>
          </w:tcPr>
          <w:p w14:paraId="23988046" w14:textId="34FE438B" w:rsidR="008877AF" w:rsidRPr="00522FE3" w:rsidRDefault="008877AF" w:rsidP="00A84BF9">
            <w:pPr>
              <w:rPr>
                <w:bCs/>
                <w:szCs w:val="20"/>
              </w:rPr>
            </w:pPr>
            <w:r w:rsidRPr="00522FE3">
              <w:rPr>
                <w:bCs/>
                <w:szCs w:val="20"/>
              </w:rPr>
              <w:t>CS</w:t>
            </w:r>
          </w:p>
        </w:tc>
        <w:tc>
          <w:tcPr>
            <w:tcW w:w="508" w:type="pct"/>
          </w:tcPr>
          <w:p w14:paraId="4AB37DB0" w14:textId="55F3240E" w:rsidR="008877AF" w:rsidRPr="00522FE3" w:rsidRDefault="008877AF" w:rsidP="00A84BF9">
            <w:pPr>
              <w:rPr>
                <w:bCs/>
                <w:szCs w:val="20"/>
              </w:rPr>
            </w:pPr>
          </w:p>
        </w:tc>
        <w:tc>
          <w:tcPr>
            <w:tcW w:w="552" w:type="pct"/>
          </w:tcPr>
          <w:p w14:paraId="62E998F6" w14:textId="410AC9F9" w:rsidR="008877AF" w:rsidRPr="00522FE3" w:rsidRDefault="008877AF" w:rsidP="00A84BF9">
            <w:pPr>
              <w:rPr>
                <w:bCs/>
                <w:szCs w:val="20"/>
              </w:rPr>
            </w:pPr>
          </w:p>
        </w:tc>
        <w:tc>
          <w:tcPr>
            <w:tcW w:w="1634" w:type="pct"/>
          </w:tcPr>
          <w:p w14:paraId="369DEEE8" w14:textId="067E9445" w:rsidR="008877AF" w:rsidRPr="00522FE3" w:rsidRDefault="008877AF" w:rsidP="00F25B36">
            <w:pPr>
              <w:pStyle w:val="ListParagraph"/>
              <w:numPr>
                <w:ilvl w:val="0"/>
                <w:numId w:val="33"/>
              </w:numPr>
              <w:rPr>
                <w:bCs/>
                <w:szCs w:val="20"/>
              </w:rPr>
            </w:pPr>
          </w:p>
        </w:tc>
        <w:tc>
          <w:tcPr>
            <w:tcW w:w="1634" w:type="pct"/>
          </w:tcPr>
          <w:p w14:paraId="1ECCFDB6" w14:textId="4A71B020" w:rsidR="008877AF" w:rsidRPr="00522FE3" w:rsidRDefault="008877AF" w:rsidP="00F25B36">
            <w:pPr>
              <w:pStyle w:val="ListParagraph"/>
              <w:numPr>
                <w:ilvl w:val="0"/>
                <w:numId w:val="33"/>
              </w:numPr>
              <w:rPr>
                <w:bCs/>
                <w:szCs w:val="20"/>
              </w:rPr>
            </w:pPr>
          </w:p>
        </w:tc>
      </w:tr>
      <w:tr w:rsidR="00522FE3" w:rsidRPr="00522FE3" w14:paraId="69D073CD" w14:textId="392DFDA5" w:rsidTr="00727044">
        <w:trPr>
          <w:trHeight w:val="20"/>
        </w:trPr>
        <w:tc>
          <w:tcPr>
            <w:tcW w:w="280" w:type="pct"/>
          </w:tcPr>
          <w:p w14:paraId="19E0D6ED" w14:textId="72A4A0EC" w:rsidR="008877AF" w:rsidRPr="00522FE3" w:rsidRDefault="008877AF" w:rsidP="00A84BF9">
            <w:r w:rsidRPr="00522FE3">
              <w:t>0</w:t>
            </w:r>
          </w:p>
        </w:tc>
        <w:tc>
          <w:tcPr>
            <w:tcW w:w="391" w:type="pct"/>
          </w:tcPr>
          <w:p w14:paraId="71879172" w14:textId="1971ED5C" w:rsidR="008877AF" w:rsidRPr="00522FE3" w:rsidRDefault="008877AF" w:rsidP="00A84BF9">
            <w:pPr>
              <w:autoSpaceDE w:val="0"/>
              <w:autoSpaceDN w:val="0"/>
              <w:adjustRightInd w:val="0"/>
              <w:rPr>
                <w:szCs w:val="20"/>
              </w:rPr>
            </w:pPr>
            <w:r w:rsidRPr="00522FE3">
              <w:rPr>
                <w:szCs w:val="20"/>
              </w:rPr>
              <w:t>Cal TF</w:t>
            </w:r>
          </w:p>
        </w:tc>
        <w:tc>
          <w:tcPr>
            <w:tcW w:w="508" w:type="pct"/>
          </w:tcPr>
          <w:p w14:paraId="61A20ED3" w14:textId="712A2E43" w:rsidR="008877AF" w:rsidRPr="00522FE3" w:rsidRDefault="008877AF" w:rsidP="00A84BF9">
            <w:pPr>
              <w:autoSpaceDE w:val="0"/>
              <w:autoSpaceDN w:val="0"/>
              <w:adjustRightInd w:val="0"/>
              <w:rPr>
                <w:szCs w:val="20"/>
              </w:rPr>
            </w:pPr>
          </w:p>
        </w:tc>
        <w:tc>
          <w:tcPr>
            <w:tcW w:w="552" w:type="pct"/>
          </w:tcPr>
          <w:p w14:paraId="211F8E7E" w14:textId="1DCD89BF" w:rsidR="008877AF" w:rsidRPr="00522FE3" w:rsidRDefault="008877AF" w:rsidP="00A84BF9">
            <w:pPr>
              <w:rPr>
                <w:szCs w:val="20"/>
              </w:rPr>
            </w:pPr>
          </w:p>
        </w:tc>
        <w:tc>
          <w:tcPr>
            <w:tcW w:w="1634" w:type="pct"/>
          </w:tcPr>
          <w:p w14:paraId="52AA4972" w14:textId="0421BFF3" w:rsidR="008877AF" w:rsidRPr="00522FE3" w:rsidRDefault="008877AF" w:rsidP="00F25B36">
            <w:pPr>
              <w:pStyle w:val="ListParagraph"/>
              <w:numPr>
                <w:ilvl w:val="0"/>
                <w:numId w:val="34"/>
              </w:numPr>
              <w:rPr>
                <w:bCs/>
                <w:szCs w:val="20"/>
              </w:rPr>
            </w:pPr>
          </w:p>
        </w:tc>
        <w:tc>
          <w:tcPr>
            <w:tcW w:w="1634" w:type="pct"/>
          </w:tcPr>
          <w:p w14:paraId="34686434" w14:textId="6BBB1BAE" w:rsidR="008877AF" w:rsidRPr="00522FE3" w:rsidRDefault="008877AF" w:rsidP="008877AF">
            <w:pPr>
              <w:pStyle w:val="ListParagraph"/>
              <w:numPr>
                <w:ilvl w:val="0"/>
                <w:numId w:val="34"/>
              </w:numPr>
              <w:rPr>
                <w:bCs/>
                <w:szCs w:val="20"/>
              </w:rPr>
            </w:pPr>
          </w:p>
        </w:tc>
      </w:tr>
      <w:tr w:rsidR="00522FE3" w:rsidRPr="00522FE3" w14:paraId="3150CD9E" w14:textId="23D900C0" w:rsidTr="00727044">
        <w:trPr>
          <w:trHeight w:val="20"/>
        </w:trPr>
        <w:tc>
          <w:tcPr>
            <w:tcW w:w="280" w:type="pct"/>
          </w:tcPr>
          <w:p w14:paraId="20476F36" w14:textId="7C427F22" w:rsidR="008877AF" w:rsidRPr="00522FE3" w:rsidRDefault="008877AF" w:rsidP="00A84BF9"/>
        </w:tc>
        <w:tc>
          <w:tcPr>
            <w:tcW w:w="391" w:type="pct"/>
          </w:tcPr>
          <w:p w14:paraId="6F821B8B" w14:textId="77777777" w:rsidR="008877AF" w:rsidRPr="00522FE3" w:rsidRDefault="008877AF" w:rsidP="00A84BF9">
            <w:pPr>
              <w:autoSpaceDE w:val="0"/>
              <w:autoSpaceDN w:val="0"/>
              <w:adjustRightInd w:val="0"/>
              <w:rPr>
                <w:szCs w:val="20"/>
              </w:rPr>
            </w:pPr>
          </w:p>
        </w:tc>
        <w:tc>
          <w:tcPr>
            <w:tcW w:w="508" w:type="pct"/>
          </w:tcPr>
          <w:p w14:paraId="6D6794C9" w14:textId="77777777" w:rsidR="008877AF" w:rsidRPr="00522FE3" w:rsidRDefault="008877AF" w:rsidP="00A84BF9">
            <w:pPr>
              <w:autoSpaceDE w:val="0"/>
              <w:autoSpaceDN w:val="0"/>
              <w:adjustRightInd w:val="0"/>
              <w:rPr>
                <w:szCs w:val="20"/>
              </w:rPr>
            </w:pPr>
          </w:p>
        </w:tc>
        <w:tc>
          <w:tcPr>
            <w:tcW w:w="552" w:type="pct"/>
          </w:tcPr>
          <w:p w14:paraId="39C3D570" w14:textId="77777777" w:rsidR="008877AF" w:rsidRPr="00522FE3" w:rsidRDefault="008877AF" w:rsidP="00A84BF9">
            <w:pPr>
              <w:rPr>
                <w:szCs w:val="20"/>
              </w:rPr>
            </w:pPr>
          </w:p>
        </w:tc>
        <w:tc>
          <w:tcPr>
            <w:tcW w:w="1634" w:type="pct"/>
          </w:tcPr>
          <w:p w14:paraId="28DFEB40" w14:textId="77777777" w:rsidR="008877AF" w:rsidRPr="00522FE3" w:rsidRDefault="008877AF" w:rsidP="00A84BF9">
            <w:pPr>
              <w:rPr>
                <w:bCs/>
                <w:szCs w:val="20"/>
              </w:rPr>
            </w:pPr>
          </w:p>
        </w:tc>
        <w:tc>
          <w:tcPr>
            <w:tcW w:w="1634" w:type="pct"/>
          </w:tcPr>
          <w:p w14:paraId="56FE81C4" w14:textId="77777777" w:rsidR="008877AF" w:rsidRPr="00522FE3" w:rsidRDefault="008877AF" w:rsidP="00A84BF9">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611337B8"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757A7842" w14:textId="4FB95DD7" w:rsidR="00522FE3" w:rsidRPr="00212658" w:rsidRDefault="00522FE3" w:rsidP="00920905">
      <w:pPr>
        <w:rPr>
          <w:rFonts w:cstheme="minorHAnsi"/>
          <w:szCs w:val="22"/>
        </w:rPr>
      </w:pPr>
      <w:r w:rsidRPr="00212658">
        <w:rPr>
          <w:rFonts w:cstheme="minorHAnsi"/>
          <w:szCs w:val="22"/>
        </w:rPr>
        <w:t xml:space="preserve">This work paper details the replacement of pendant and recessed incandescent or halogen lamps that are between 40 and 100 watts, with LED down light modules that are less than 15 watts. The measures are shown in the table below. </w:t>
      </w:r>
      <w:r w:rsidR="00212658" w:rsidRPr="00212658">
        <w:rPr>
          <w:rFonts w:cstheme="minorHAnsi"/>
          <w:szCs w:val="22"/>
        </w:rPr>
        <w:t>This work paper assumes</w:t>
      </w:r>
      <w:r w:rsidRPr="00212658">
        <w:rPr>
          <w:rFonts w:cstheme="minorHAnsi"/>
          <w:szCs w:val="22"/>
        </w:rPr>
        <w:t xml:space="preserve"> that the LED down light fixtures are replacing PAR30 </w:t>
      </w:r>
      <w:r w:rsidR="000741D0">
        <w:rPr>
          <w:rFonts w:cstheme="minorHAnsi"/>
          <w:szCs w:val="22"/>
        </w:rPr>
        <w:t xml:space="preserve">incandescent </w:t>
      </w:r>
      <w:r w:rsidRPr="00212658">
        <w:rPr>
          <w:rFonts w:cstheme="minorHAnsi"/>
          <w:szCs w:val="22"/>
        </w:rPr>
        <w:t>lamps.</w:t>
      </w:r>
    </w:p>
    <w:p w14:paraId="082220B5" w14:textId="77777777" w:rsidR="00522FE3" w:rsidRDefault="00522FE3" w:rsidP="00920905">
      <w:pPr>
        <w:rPr>
          <w:rFonts w:cstheme="minorHAnsi"/>
          <w:color w:val="FF0000"/>
          <w:szCs w:val="22"/>
        </w:rPr>
      </w:pPr>
    </w:p>
    <w:p w14:paraId="1FFD38CC" w14:textId="76647D26"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212658" w:rsidRPr="00212658" w14:paraId="282551D9" w14:textId="77777777" w:rsidTr="00920905">
        <w:trPr>
          <w:trHeight w:val="20"/>
        </w:trPr>
        <w:tc>
          <w:tcPr>
            <w:tcW w:w="1502" w:type="pct"/>
            <w:shd w:val="clear" w:color="auto" w:fill="D9D9D9" w:themeFill="background1" w:themeFillShade="D9"/>
          </w:tcPr>
          <w:p w14:paraId="4FC5763D" w14:textId="75FAA297" w:rsidR="005720F2" w:rsidRPr="00212658" w:rsidRDefault="005720F2" w:rsidP="00920905">
            <w:pPr>
              <w:pStyle w:val="Reminders"/>
              <w:tabs>
                <w:tab w:val="num" w:pos="360"/>
              </w:tabs>
              <w:spacing w:before="0" w:after="0"/>
              <w:rPr>
                <w:rFonts w:asciiTheme="minorHAnsi" w:hAnsiTheme="minorHAnsi" w:cs="Arial"/>
                <w:b/>
                <w:i w:val="0"/>
                <w:color w:val="auto"/>
                <w:szCs w:val="20"/>
              </w:rPr>
            </w:pPr>
            <w:r w:rsidRPr="00212658">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212658" w:rsidRDefault="005720F2" w:rsidP="00920905">
            <w:pPr>
              <w:pStyle w:val="Reminders"/>
              <w:tabs>
                <w:tab w:val="num" w:pos="360"/>
              </w:tabs>
              <w:spacing w:before="0" w:after="0"/>
              <w:rPr>
                <w:rFonts w:asciiTheme="minorHAnsi" w:hAnsiTheme="minorHAnsi" w:cstheme="minorHAnsi"/>
                <w:b/>
                <w:i w:val="0"/>
                <w:color w:val="auto"/>
                <w:szCs w:val="20"/>
              </w:rPr>
            </w:pPr>
            <w:r w:rsidRPr="00212658">
              <w:rPr>
                <w:rFonts w:asciiTheme="minorHAnsi" w:hAnsiTheme="minorHAnsi" w:cstheme="minorHAnsi"/>
                <w:b/>
                <w:i w:val="0"/>
                <w:color w:val="auto"/>
                <w:szCs w:val="20"/>
              </w:rPr>
              <w:t>Description</w:t>
            </w:r>
            <w:r w:rsidR="00680934" w:rsidRPr="00212658">
              <w:rPr>
                <w:rFonts w:asciiTheme="minorHAnsi" w:hAnsiTheme="minorHAnsi" w:cstheme="minorHAnsi"/>
                <w:b/>
                <w:i w:val="0"/>
                <w:color w:val="auto"/>
                <w:szCs w:val="20"/>
              </w:rPr>
              <w:t xml:space="preserve"> of Typical Scenario</w:t>
            </w:r>
          </w:p>
        </w:tc>
      </w:tr>
      <w:tr w:rsidR="00212658" w:rsidRPr="00212658" w14:paraId="50504EB6" w14:textId="77777777" w:rsidTr="00920905">
        <w:trPr>
          <w:trHeight w:val="20"/>
        </w:trPr>
        <w:tc>
          <w:tcPr>
            <w:tcW w:w="1502" w:type="pct"/>
          </w:tcPr>
          <w:p w14:paraId="25878B64" w14:textId="2358F1DE" w:rsidR="00D85F09" w:rsidRPr="00212658" w:rsidRDefault="00D85F09" w:rsidP="00920905">
            <w:pPr>
              <w:pStyle w:val="Reminders"/>
              <w:tabs>
                <w:tab w:val="num" w:pos="360"/>
              </w:tabs>
              <w:spacing w:before="0" w:after="0"/>
              <w:rPr>
                <w:rFonts w:asciiTheme="minorHAnsi" w:hAnsiTheme="minorHAnsi" w:cstheme="minorHAnsi"/>
                <w:i w:val="0"/>
                <w:color w:val="auto"/>
                <w:szCs w:val="22"/>
              </w:rPr>
            </w:pPr>
            <w:r w:rsidRPr="00212658">
              <w:rPr>
                <w:rFonts w:asciiTheme="minorHAnsi" w:hAnsiTheme="minorHAnsi" w:cs="Arial"/>
                <w:i w:val="0"/>
                <w:color w:val="auto"/>
                <w:szCs w:val="20"/>
              </w:rPr>
              <w:t>Measure</w:t>
            </w:r>
          </w:p>
        </w:tc>
        <w:tc>
          <w:tcPr>
            <w:tcW w:w="3498" w:type="pct"/>
          </w:tcPr>
          <w:p w14:paraId="5BFB3C97" w14:textId="1051C231" w:rsidR="00D85F09" w:rsidRPr="00212658" w:rsidRDefault="00212658" w:rsidP="00920905">
            <w:pPr>
              <w:rPr>
                <w:szCs w:val="20"/>
              </w:rPr>
            </w:pPr>
            <w:r w:rsidRPr="00212658">
              <w:rPr>
                <w:szCs w:val="20"/>
              </w:rPr>
              <w:t>LED Downlight</w:t>
            </w:r>
          </w:p>
        </w:tc>
      </w:tr>
      <w:tr w:rsidR="00212658" w:rsidRPr="00212658" w14:paraId="1C9532C6" w14:textId="77777777" w:rsidTr="00920905">
        <w:trPr>
          <w:trHeight w:val="20"/>
        </w:trPr>
        <w:tc>
          <w:tcPr>
            <w:tcW w:w="1502" w:type="pct"/>
          </w:tcPr>
          <w:p w14:paraId="33E87E80" w14:textId="1EC944A8" w:rsidR="00D85F09" w:rsidRPr="00212658" w:rsidRDefault="00786E92" w:rsidP="00920905">
            <w:pPr>
              <w:pStyle w:val="Reminders"/>
              <w:tabs>
                <w:tab w:val="num" w:pos="360"/>
              </w:tabs>
              <w:spacing w:before="0" w:after="0"/>
              <w:rPr>
                <w:rFonts w:asciiTheme="minorHAnsi" w:hAnsiTheme="minorHAnsi" w:cstheme="minorHAnsi"/>
                <w:i w:val="0"/>
                <w:color w:val="auto"/>
                <w:szCs w:val="22"/>
              </w:rPr>
            </w:pPr>
            <w:r w:rsidRPr="00212658">
              <w:rPr>
                <w:rFonts w:asciiTheme="minorHAnsi" w:hAnsiTheme="minorHAnsi" w:cs="Arial"/>
                <w:i w:val="0"/>
                <w:color w:val="auto"/>
                <w:szCs w:val="20"/>
              </w:rPr>
              <w:t>Existing Condition</w:t>
            </w:r>
          </w:p>
        </w:tc>
        <w:tc>
          <w:tcPr>
            <w:tcW w:w="3498" w:type="pct"/>
          </w:tcPr>
          <w:p w14:paraId="7949BAEE" w14:textId="44C9AE1A" w:rsidR="00D85F09" w:rsidRPr="00212658" w:rsidRDefault="00212658" w:rsidP="00920905">
            <w:pPr>
              <w:rPr>
                <w:i/>
                <w:szCs w:val="20"/>
              </w:rPr>
            </w:pPr>
            <w:r w:rsidRPr="00212658">
              <w:rPr>
                <w:szCs w:val="20"/>
              </w:rPr>
              <w:t>Pendant &amp; recessed incandescent or halogen lamps</w:t>
            </w:r>
          </w:p>
        </w:tc>
      </w:tr>
      <w:tr w:rsidR="00212658" w:rsidRPr="00212658" w14:paraId="7FF41B99" w14:textId="77777777" w:rsidTr="006F21E8">
        <w:trPr>
          <w:trHeight w:val="20"/>
        </w:trPr>
        <w:tc>
          <w:tcPr>
            <w:tcW w:w="1502" w:type="pct"/>
          </w:tcPr>
          <w:p w14:paraId="19934728" w14:textId="52D3BBF6" w:rsidR="002344FB" w:rsidRPr="00212658" w:rsidRDefault="002344FB">
            <w:pPr>
              <w:pStyle w:val="Reminders"/>
              <w:tabs>
                <w:tab w:val="num" w:pos="360"/>
              </w:tabs>
              <w:spacing w:before="0" w:after="0"/>
              <w:rPr>
                <w:rFonts w:asciiTheme="minorHAnsi" w:hAnsiTheme="minorHAnsi" w:cs="Arial"/>
                <w:i w:val="0"/>
                <w:color w:val="auto"/>
                <w:szCs w:val="20"/>
              </w:rPr>
            </w:pPr>
            <w:r w:rsidRPr="00212658">
              <w:rPr>
                <w:rFonts w:asciiTheme="minorHAnsi" w:hAnsiTheme="minorHAnsi" w:cs="Arial"/>
                <w:i w:val="0"/>
                <w:color w:val="auto"/>
                <w:szCs w:val="20"/>
              </w:rPr>
              <w:t>Code/Standard</w:t>
            </w:r>
          </w:p>
        </w:tc>
        <w:tc>
          <w:tcPr>
            <w:tcW w:w="3498" w:type="pct"/>
          </w:tcPr>
          <w:p w14:paraId="421D7A92" w14:textId="7B5CC929" w:rsidR="002344FB" w:rsidRPr="00212658" w:rsidRDefault="00212658">
            <w:pPr>
              <w:rPr>
                <w:szCs w:val="20"/>
              </w:rPr>
            </w:pPr>
            <w:r w:rsidRPr="00212658">
              <w:rPr>
                <w:szCs w:val="20"/>
              </w:rPr>
              <w:t>N/A</w:t>
            </w:r>
          </w:p>
        </w:tc>
      </w:tr>
      <w:tr w:rsidR="00212658" w:rsidRPr="00212658" w14:paraId="05B54372" w14:textId="77777777" w:rsidTr="00920905">
        <w:trPr>
          <w:trHeight w:val="20"/>
        </w:trPr>
        <w:tc>
          <w:tcPr>
            <w:tcW w:w="1502" w:type="pct"/>
          </w:tcPr>
          <w:p w14:paraId="74307EFB" w14:textId="5792FB0B" w:rsidR="00D85F09" w:rsidRPr="00212658" w:rsidRDefault="005720F2" w:rsidP="00920905">
            <w:pPr>
              <w:pStyle w:val="Reminders"/>
              <w:tabs>
                <w:tab w:val="num" w:pos="360"/>
              </w:tabs>
              <w:spacing w:before="0" w:after="0"/>
              <w:rPr>
                <w:rFonts w:asciiTheme="minorHAnsi" w:hAnsiTheme="minorHAnsi" w:cstheme="minorHAnsi"/>
                <w:i w:val="0"/>
                <w:color w:val="auto"/>
                <w:szCs w:val="22"/>
              </w:rPr>
            </w:pPr>
            <w:r w:rsidRPr="00212658">
              <w:rPr>
                <w:rFonts w:asciiTheme="minorHAnsi" w:hAnsiTheme="minorHAnsi" w:cs="Arial"/>
                <w:i w:val="0"/>
                <w:color w:val="auto"/>
                <w:szCs w:val="20"/>
              </w:rPr>
              <w:t>Industry Standard Practice</w:t>
            </w:r>
          </w:p>
        </w:tc>
        <w:tc>
          <w:tcPr>
            <w:tcW w:w="3498" w:type="pct"/>
          </w:tcPr>
          <w:p w14:paraId="03844E1C" w14:textId="5C3ACBBE" w:rsidR="00D85F09" w:rsidRPr="00212658" w:rsidRDefault="00212658" w:rsidP="00920905">
            <w:pPr>
              <w:rPr>
                <w:i/>
                <w:szCs w:val="20"/>
              </w:rPr>
            </w:pPr>
            <w:r w:rsidRPr="00212658">
              <w:rPr>
                <w:szCs w:val="20"/>
              </w:rPr>
              <w:t>Pendant &amp; recessed incandescent or halogen lamps</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212658" w:rsidRPr="00800706" w14:paraId="0290ADBE" w14:textId="77777777" w:rsidTr="00920905">
        <w:trPr>
          <w:trHeight w:val="243"/>
        </w:trPr>
        <w:tc>
          <w:tcPr>
            <w:tcW w:w="539" w:type="pct"/>
          </w:tcPr>
          <w:p w14:paraId="1CE709CC" w14:textId="77777777" w:rsidR="00212658" w:rsidRPr="00920905" w:rsidRDefault="00212658" w:rsidP="00397406">
            <w:pPr>
              <w:rPr>
                <w:rFonts w:cstheme="minorHAnsi"/>
                <w:color w:val="FF0000"/>
                <w:szCs w:val="20"/>
              </w:rPr>
            </w:pPr>
          </w:p>
        </w:tc>
        <w:tc>
          <w:tcPr>
            <w:tcW w:w="539" w:type="pct"/>
          </w:tcPr>
          <w:p w14:paraId="666F9F6A" w14:textId="77777777" w:rsidR="00212658" w:rsidRPr="00920905" w:rsidRDefault="00212658" w:rsidP="00397406">
            <w:pPr>
              <w:rPr>
                <w:rFonts w:cstheme="minorHAnsi"/>
                <w:color w:val="FF0000"/>
                <w:szCs w:val="20"/>
              </w:rPr>
            </w:pPr>
          </w:p>
        </w:tc>
        <w:tc>
          <w:tcPr>
            <w:tcW w:w="605" w:type="pct"/>
          </w:tcPr>
          <w:p w14:paraId="63438A36" w14:textId="1C342AA4" w:rsidR="00212658" w:rsidRPr="00920905" w:rsidRDefault="00212658" w:rsidP="00397406">
            <w:pPr>
              <w:rPr>
                <w:rFonts w:cstheme="minorHAnsi"/>
                <w:color w:val="FF0000"/>
                <w:szCs w:val="20"/>
              </w:rPr>
            </w:pPr>
            <w:r w:rsidRPr="00CB28F5">
              <w:t>LT-61219</w:t>
            </w:r>
          </w:p>
        </w:tc>
        <w:tc>
          <w:tcPr>
            <w:tcW w:w="673" w:type="pct"/>
          </w:tcPr>
          <w:p w14:paraId="311A1841" w14:textId="0EF0B623" w:rsidR="00212658" w:rsidRPr="00920905" w:rsidRDefault="00212658" w:rsidP="005729C8">
            <w:pPr>
              <w:rPr>
                <w:rFonts w:cstheme="minorHAnsi"/>
                <w:color w:val="FF0000"/>
                <w:szCs w:val="20"/>
              </w:rPr>
            </w:pPr>
          </w:p>
        </w:tc>
        <w:tc>
          <w:tcPr>
            <w:tcW w:w="2644" w:type="pct"/>
          </w:tcPr>
          <w:p w14:paraId="512138E6" w14:textId="66500F27" w:rsidR="00212658" w:rsidRPr="00920905" w:rsidRDefault="00212658">
            <w:pPr>
              <w:rPr>
                <w:color w:val="FF0000"/>
              </w:rPr>
            </w:pPr>
            <w:r w:rsidRPr="000D7747">
              <w:rPr>
                <w:rFonts w:cstheme="minorHAnsi"/>
                <w:szCs w:val="20"/>
              </w:rPr>
              <w:t xml:space="preserve">≤ 15 Watt Down Light (Res) LED </w:t>
            </w:r>
            <w:r>
              <w:rPr>
                <w:rFonts w:cstheme="minorHAnsi"/>
                <w:szCs w:val="20"/>
              </w:rPr>
              <w:t>Fixture</w:t>
            </w:r>
          </w:p>
        </w:tc>
      </w:tr>
      <w:tr w:rsidR="00212658" w:rsidRPr="00800706" w14:paraId="3EC8DDF0" w14:textId="77777777" w:rsidTr="00920905">
        <w:trPr>
          <w:trHeight w:val="243"/>
        </w:trPr>
        <w:tc>
          <w:tcPr>
            <w:tcW w:w="539" w:type="pct"/>
          </w:tcPr>
          <w:p w14:paraId="036611DE" w14:textId="77777777" w:rsidR="00212658" w:rsidRPr="00350BF1" w:rsidRDefault="00212658" w:rsidP="00397406">
            <w:pPr>
              <w:rPr>
                <w:rFonts w:cstheme="minorHAnsi"/>
                <w:szCs w:val="20"/>
              </w:rPr>
            </w:pPr>
          </w:p>
        </w:tc>
        <w:tc>
          <w:tcPr>
            <w:tcW w:w="539" w:type="pct"/>
          </w:tcPr>
          <w:p w14:paraId="7DC81BD5" w14:textId="77777777" w:rsidR="00212658" w:rsidRPr="00350BF1" w:rsidRDefault="00212658" w:rsidP="00397406">
            <w:pPr>
              <w:rPr>
                <w:rFonts w:cstheme="minorHAnsi"/>
                <w:szCs w:val="20"/>
              </w:rPr>
            </w:pPr>
          </w:p>
        </w:tc>
        <w:tc>
          <w:tcPr>
            <w:tcW w:w="605" w:type="pct"/>
          </w:tcPr>
          <w:p w14:paraId="00E0B555" w14:textId="1854A0CF" w:rsidR="00212658" w:rsidRPr="00350BF1" w:rsidRDefault="00212658" w:rsidP="00397406">
            <w:pPr>
              <w:rPr>
                <w:rFonts w:cstheme="minorHAnsi"/>
                <w:szCs w:val="20"/>
              </w:rPr>
            </w:pPr>
            <w:r w:rsidRPr="00CB28F5">
              <w:t>LT-68701</w:t>
            </w:r>
          </w:p>
        </w:tc>
        <w:tc>
          <w:tcPr>
            <w:tcW w:w="673" w:type="pct"/>
          </w:tcPr>
          <w:p w14:paraId="479924EB" w14:textId="77777777" w:rsidR="00212658" w:rsidRPr="00350BF1" w:rsidRDefault="00212658" w:rsidP="005729C8">
            <w:pPr>
              <w:rPr>
                <w:rFonts w:cstheme="minorHAnsi"/>
                <w:szCs w:val="20"/>
              </w:rPr>
            </w:pPr>
          </w:p>
        </w:tc>
        <w:tc>
          <w:tcPr>
            <w:tcW w:w="2644" w:type="pct"/>
          </w:tcPr>
          <w:p w14:paraId="592A1733" w14:textId="28623D36" w:rsidR="00212658" w:rsidRPr="00920905" w:rsidRDefault="00212658" w:rsidP="005729C8">
            <w:r w:rsidRPr="000D7747">
              <w:rPr>
                <w:rFonts w:cstheme="minorHAnsi"/>
                <w:szCs w:val="20"/>
              </w:rPr>
              <w:t xml:space="preserve">≤ 15 Watt Down Light (Non Res) LED </w:t>
            </w:r>
            <w:r>
              <w:rPr>
                <w:rFonts w:cstheme="minorHAnsi"/>
                <w:szCs w:val="20"/>
              </w:rPr>
              <w:t>Fixture</w:t>
            </w:r>
          </w:p>
        </w:tc>
      </w:tr>
      <w:tr w:rsidR="00212658" w:rsidRPr="00800706" w14:paraId="5BBC882F" w14:textId="77777777" w:rsidTr="00920905">
        <w:trPr>
          <w:trHeight w:val="243"/>
        </w:trPr>
        <w:tc>
          <w:tcPr>
            <w:tcW w:w="539" w:type="pct"/>
          </w:tcPr>
          <w:p w14:paraId="678DED51" w14:textId="77777777" w:rsidR="00212658" w:rsidRPr="00350BF1" w:rsidRDefault="00212658" w:rsidP="00397406">
            <w:pPr>
              <w:rPr>
                <w:rFonts w:cstheme="minorHAnsi"/>
                <w:szCs w:val="20"/>
              </w:rPr>
            </w:pPr>
          </w:p>
        </w:tc>
        <w:tc>
          <w:tcPr>
            <w:tcW w:w="539" w:type="pct"/>
          </w:tcPr>
          <w:p w14:paraId="4AD62E04" w14:textId="77777777" w:rsidR="00212658" w:rsidRPr="00350BF1" w:rsidRDefault="00212658" w:rsidP="00397406">
            <w:pPr>
              <w:rPr>
                <w:rFonts w:cstheme="minorHAnsi"/>
                <w:szCs w:val="20"/>
              </w:rPr>
            </w:pPr>
          </w:p>
        </w:tc>
        <w:tc>
          <w:tcPr>
            <w:tcW w:w="605" w:type="pct"/>
          </w:tcPr>
          <w:p w14:paraId="15B03762" w14:textId="01A9E6C4" w:rsidR="00212658" w:rsidRPr="00350BF1" w:rsidRDefault="00212658" w:rsidP="00397406">
            <w:pPr>
              <w:rPr>
                <w:rFonts w:cstheme="minorHAnsi"/>
                <w:szCs w:val="20"/>
              </w:rPr>
            </w:pPr>
            <w:r w:rsidRPr="00CB28F5">
              <w:t>LT-16307</w:t>
            </w:r>
          </w:p>
        </w:tc>
        <w:tc>
          <w:tcPr>
            <w:tcW w:w="673" w:type="pct"/>
          </w:tcPr>
          <w:p w14:paraId="24495B9B" w14:textId="77777777" w:rsidR="00212658" w:rsidRPr="00350BF1" w:rsidRDefault="00212658" w:rsidP="005729C8">
            <w:pPr>
              <w:rPr>
                <w:rFonts w:cstheme="minorHAnsi"/>
                <w:szCs w:val="20"/>
              </w:rPr>
            </w:pPr>
          </w:p>
        </w:tc>
        <w:tc>
          <w:tcPr>
            <w:tcW w:w="2644" w:type="pct"/>
          </w:tcPr>
          <w:p w14:paraId="2D4C1B35" w14:textId="5BD305A0" w:rsidR="00212658" w:rsidRPr="00920905" w:rsidRDefault="00212658" w:rsidP="005729C8">
            <w:r>
              <w:rPr>
                <w:rFonts w:cstheme="minorHAnsi"/>
                <w:szCs w:val="20"/>
              </w:rPr>
              <w:t>≤ 15 Watt Down Light (Common Area</w:t>
            </w:r>
            <w:r w:rsidRPr="00113D3C">
              <w:rPr>
                <w:rFonts w:cstheme="minorHAnsi"/>
                <w:szCs w:val="20"/>
              </w:rPr>
              <w:t>) LED Fixture</w:t>
            </w:r>
          </w:p>
        </w:tc>
      </w:tr>
      <w:tr w:rsidR="00212658" w:rsidRPr="00800706" w14:paraId="248A2FAD" w14:textId="77777777" w:rsidTr="00920905">
        <w:trPr>
          <w:trHeight w:val="243"/>
        </w:trPr>
        <w:tc>
          <w:tcPr>
            <w:tcW w:w="539" w:type="pct"/>
          </w:tcPr>
          <w:p w14:paraId="6AC15B4C" w14:textId="77777777" w:rsidR="00212658" w:rsidRPr="00350BF1" w:rsidRDefault="00212658" w:rsidP="00397406">
            <w:pPr>
              <w:rPr>
                <w:rFonts w:cstheme="minorHAnsi"/>
                <w:szCs w:val="20"/>
              </w:rPr>
            </w:pPr>
          </w:p>
        </w:tc>
        <w:tc>
          <w:tcPr>
            <w:tcW w:w="539" w:type="pct"/>
          </w:tcPr>
          <w:p w14:paraId="16D865DA" w14:textId="77777777" w:rsidR="00212658" w:rsidRPr="00350BF1" w:rsidRDefault="00212658" w:rsidP="00397406">
            <w:pPr>
              <w:rPr>
                <w:rFonts w:cstheme="minorHAnsi"/>
                <w:szCs w:val="20"/>
              </w:rPr>
            </w:pPr>
          </w:p>
        </w:tc>
        <w:tc>
          <w:tcPr>
            <w:tcW w:w="605" w:type="pct"/>
          </w:tcPr>
          <w:p w14:paraId="06C81D9D" w14:textId="6E069E34" w:rsidR="00212658" w:rsidRPr="00350BF1" w:rsidRDefault="00212658" w:rsidP="00397406">
            <w:pPr>
              <w:rPr>
                <w:rFonts w:cstheme="minorHAnsi"/>
                <w:szCs w:val="20"/>
              </w:rPr>
            </w:pPr>
            <w:r w:rsidRPr="00CB28F5">
              <w:t>LT-89884</w:t>
            </w:r>
          </w:p>
        </w:tc>
        <w:tc>
          <w:tcPr>
            <w:tcW w:w="673" w:type="pct"/>
          </w:tcPr>
          <w:p w14:paraId="4624B31A" w14:textId="77777777" w:rsidR="00212658" w:rsidRPr="00350BF1" w:rsidRDefault="00212658" w:rsidP="005729C8">
            <w:pPr>
              <w:rPr>
                <w:rFonts w:cstheme="minorHAnsi"/>
                <w:szCs w:val="20"/>
              </w:rPr>
            </w:pPr>
          </w:p>
        </w:tc>
        <w:tc>
          <w:tcPr>
            <w:tcW w:w="2644" w:type="pct"/>
          </w:tcPr>
          <w:p w14:paraId="08F7C696" w14:textId="498BB021" w:rsidR="00212658" w:rsidRPr="00920905" w:rsidRDefault="00212658" w:rsidP="005729C8">
            <w:r>
              <w:rPr>
                <w:rFonts w:cstheme="minorHAnsi"/>
                <w:szCs w:val="20"/>
              </w:rPr>
              <w:t>≤ 15 Watt Down Light (Dwelling Area</w:t>
            </w:r>
            <w:r w:rsidRPr="00113D3C">
              <w:rPr>
                <w:rFonts w:cstheme="minorHAnsi"/>
                <w:szCs w:val="20"/>
              </w:rPr>
              <w:t>) LED Fixture</w:t>
            </w:r>
          </w:p>
        </w:tc>
      </w:tr>
    </w:tbl>
    <w:p w14:paraId="3D0E280F" w14:textId="7B8EF93F" w:rsidR="001536EF" w:rsidRPr="001536EF" w:rsidRDefault="001536EF" w:rsidP="00697868">
      <w:pPr>
        <w:pStyle w:val="Heading2"/>
        <w:rPr>
          <w:rFonts w:asciiTheme="minorHAnsi" w:hAnsiTheme="minorHAnsi" w:cstheme="minorHAnsi"/>
          <w:b w:val="0"/>
          <w:bCs w:val="0"/>
          <w:iCs w:val="0"/>
          <w:smallCaps w:val="0"/>
          <w:sz w:val="22"/>
          <w:szCs w:val="22"/>
        </w:rPr>
      </w:pPr>
      <w:r w:rsidRPr="001536EF">
        <w:rPr>
          <w:rFonts w:asciiTheme="minorHAnsi" w:hAnsiTheme="minorHAnsi" w:cstheme="minorHAnsi"/>
          <w:b w:val="0"/>
          <w:bCs w:val="0"/>
          <w:iCs w:val="0"/>
          <w:smallCaps w:val="0"/>
          <w:sz w:val="22"/>
          <w:szCs w:val="22"/>
        </w:rPr>
        <w:t xml:space="preserve">Measures in this work paper must be on Energy </w:t>
      </w:r>
      <w:r w:rsidR="0076138C">
        <w:rPr>
          <w:rFonts w:asciiTheme="minorHAnsi" w:hAnsiTheme="minorHAnsi" w:cstheme="minorHAnsi"/>
          <w:b w:val="0"/>
          <w:bCs w:val="0"/>
          <w:iCs w:val="0"/>
          <w:smallCaps w:val="0"/>
          <w:sz w:val="22"/>
          <w:szCs w:val="22"/>
        </w:rPr>
        <w:t>Star’s qualified product list (see attachments)</w:t>
      </w:r>
      <w:r w:rsidRPr="001536EF">
        <w:rPr>
          <w:rFonts w:asciiTheme="minorHAnsi" w:hAnsiTheme="minorHAnsi" w:cstheme="minorHAnsi"/>
          <w:b w:val="0"/>
          <w:bCs w:val="0"/>
          <w:iCs w:val="0"/>
          <w:smallCaps w:val="0"/>
          <w:sz w:val="22"/>
          <w:szCs w:val="22"/>
        </w:rPr>
        <w:t xml:space="preserve"> to receive incentives.</w:t>
      </w:r>
    </w:p>
    <w:p w14:paraId="27D46BED" w14:textId="6323A3FC"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4DE87751" w14:textId="77777777" w:rsidR="001536EF" w:rsidRDefault="001536EF" w:rsidP="001536EF">
      <w:pPr>
        <w:rPr>
          <w:rFonts w:cstheme="minorHAnsi"/>
          <w:szCs w:val="22"/>
        </w:rPr>
      </w:pPr>
      <w:r>
        <w:rPr>
          <w:rFonts w:cstheme="minorHAnsi"/>
          <w:szCs w:val="22"/>
        </w:rPr>
        <w:t>Downlights are part of a fixture in a 4- or 6-inch can installed flush with the ceiling. LED downlights are typically sold as a retrofit-kit which doesn’t require installation of new fixture housing. They simply replace the existing lamp and its trim.</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03DF7D1" w14:textId="77777777" w:rsidR="001536EF" w:rsidRDefault="001536EF" w:rsidP="001536EF">
      <w:pPr>
        <w:rPr>
          <w:rFonts w:ascii="Calibri" w:hAnsi="Calibri"/>
          <w:szCs w:val="22"/>
        </w:rPr>
      </w:pPr>
      <w:r>
        <w:rPr>
          <w:rFonts w:ascii="Calibri" w:hAnsi="Calibri"/>
          <w:szCs w:val="22"/>
        </w:rPr>
        <w:t>The delivery method that is available for these measures is:</w:t>
      </w:r>
    </w:p>
    <w:p w14:paraId="3458B563" w14:textId="77777777" w:rsidR="001536EF" w:rsidRPr="00501CCD" w:rsidRDefault="001536EF" w:rsidP="001536EF">
      <w:pPr>
        <w:numPr>
          <w:ilvl w:val="0"/>
          <w:numId w:val="36"/>
        </w:numPr>
        <w:rPr>
          <w:rFonts w:ascii="Calibri" w:hAnsi="Calibri"/>
          <w:b/>
          <w:szCs w:val="22"/>
        </w:rPr>
      </w:pPr>
      <w:r>
        <w:rPr>
          <w:rFonts w:ascii="Calibri" w:hAnsi="Calibri"/>
          <w:szCs w:val="22"/>
        </w:rPr>
        <w:t xml:space="preserve">Financial Support / Down-Stream Incentive – Deemed </w:t>
      </w:r>
    </w:p>
    <w:p w14:paraId="4A33741A" w14:textId="77777777" w:rsidR="001536EF" w:rsidRPr="00B8689A" w:rsidRDefault="001536EF" w:rsidP="001536EF">
      <w:pPr>
        <w:numPr>
          <w:ilvl w:val="0"/>
          <w:numId w:val="36"/>
        </w:numPr>
        <w:rPr>
          <w:rFonts w:ascii="Calibri" w:hAnsi="Calibri"/>
          <w:b/>
          <w:szCs w:val="22"/>
        </w:rPr>
      </w:pPr>
      <w:r>
        <w:rPr>
          <w:rFonts w:ascii="Calibri" w:hAnsi="Calibri"/>
          <w:szCs w:val="22"/>
        </w:rPr>
        <w:t>Financial Support/ Direct Install</w:t>
      </w:r>
    </w:p>
    <w:p w14:paraId="32F9DAD2" w14:textId="77777777" w:rsidR="001536EF" w:rsidRPr="00B8689A" w:rsidRDefault="001536EF" w:rsidP="001536EF">
      <w:pPr>
        <w:numPr>
          <w:ilvl w:val="0"/>
          <w:numId w:val="36"/>
        </w:numPr>
        <w:rPr>
          <w:rFonts w:ascii="Calibri" w:hAnsi="Calibri"/>
          <w:b/>
          <w:szCs w:val="22"/>
        </w:rPr>
      </w:pPr>
      <w:r>
        <w:rPr>
          <w:rFonts w:ascii="Calibri" w:hAnsi="Calibri"/>
          <w:szCs w:val="22"/>
        </w:rPr>
        <w:t>Midstream Programs/Mid-Stream Incentive</w:t>
      </w:r>
    </w:p>
    <w:p w14:paraId="364C67CE" w14:textId="77777777" w:rsidR="001536EF" w:rsidRDefault="001536EF" w:rsidP="001536EF">
      <w:pPr>
        <w:rPr>
          <w:rFonts w:ascii="Calibri" w:hAnsi="Calibri"/>
          <w:szCs w:val="22"/>
        </w:rPr>
      </w:pPr>
    </w:p>
    <w:p w14:paraId="2C37288C" w14:textId="77777777" w:rsidR="001536EF" w:rsidRDefault="001536EF" w:rsidP="001536EF">
      <w:pPr>
        <w:rPr>
          <w:rFonts w:ascii="Calibri" w:hAnsi="Calibri"/>
          <w:szCs w:val="22"/>
        </w:rPr>
      </w:pPr>
      <w:r>
        <w:rPr>
          <w:rFonts w:ascii="Calibri" w:hAnsi="Calibri"/>
          <w:szCs w:val="22"/>
        </w:rPr>
        <w:t>The program/install type for the above measures is:</w:t>
      </w:r>
    </w:p>
    <w:p w14:paraId="5B1B4D1D" w14:textId="77777777" w:rsidR="001536EF" w:rsidRDefault="001536EF" w:rsidP="001536EF">
      <w:pPr>
        <w:pStyle w:val="ListParagraph"/>
        <w:numPr>
          <w:ilvl w:val="0"/>
          <w:numId w:val="37"/>
        </w:numPr>
        <w:rPr>
          <w:szCs w:val="22"/>
        </w:rPr>
      </w:pPr>
      <w:r>
        <w:rPr>
          <w:szCs w:val="22"/>
        </w:rPr>
        <w:t xml:space="preserve">Replace on Burnout (ROB) </w:t>
      </w:r>
    </w:p>
    <w:p w14:paraId="3945D91A" w14:textId="47A692B6" w:rsidR="00F76274" w:rsidRDefault="00F76274" w:rsidP="001536EF">
      <w:pPr>
        <w:pStyle w:val="ListParagraph"/>
        <w:numPr>
          <w:ilvl w:val="0"/>
          <w:numId w:val="37"/>
        </w:numPr>
        <w:rPr>
          <w:szCs w:val="22"/>
        </w:rPr>
      </w:pPr>
      <w:r>
        <w:rPr>
          <w:szCs w:val="22"/>
        </w:rPr>
        <w:t>New Construction (NC)</w:t>
      </w:r>
    </w:p>
    <w:p w14:paraId="519E5E84" w14:textId="77777777" w:rsidR="00F76274" w:rsidRDefault="00F76274" w:rsidP="00F76274">
      <w:pPr>
        <w:rPr>
          <w:szCs w:val="22"/>
        </w:rPr>
      </w:pPr>
    </w:p>
    <w:p w14:paraId="2D31EB89" w14:textId="77777777" w:rsidR="00F76274" w:rsidRDefault="00F76274" w:rsidP="00F76274">
      <w:pPr>
        <w:rPr>
          <w:szCs w:val="22"/>
        </w:rPr>
      </w:pPr>
    </w:p>
    <w:p w14:paraId="6F25BD62" w14:textId="77777777" w:rsidR="00F76274" w:rsidRDefault="00F76274" w:rsidP="00F76274">
      <w:pPr>
        <w:rPr>
          <w:szCs w:val="22"/>
        </w:rPr>
      </w:pPr>
    </w:p>
    <w:p w14:paraId="15DF57E8" w14:textId="77777777" w:rsidR="00F76274" w:rsidRPr="00F76274" w:rsidRDefault="00F76274" w:rsidP="00F76274">
      <w:pPr>
        <w:rPr>
          <w:szCs w:val="22"/>
        </w:rPr>
      </w:pPr>
    </w:p>
    <w:p w14:paraId="7447A098" w14:textId="142B0653" w:rsidR="005618F3" w:rsidRPr="005618F3" w:rsidRDefault="005618F3" w:rsidP="00F76274">
      <w:pPr>
        <w:ind w:left="360"/>
        <w:rPr>
          <w:szCs w:val="22"/>
        </w:rPr>
      </w:pPr>
      <w:r w:rsidRPr="005618F3">
        <w:rPr>
          <w:szCs w:val="22"/>
        </w:rPr>
        <w:lastRenderedPageBreak/>
        <w:t xml:space="preserve">The Non Residential Direct Install program quality control ensures correct documentation of existing measure, base case, and specification of the energy efficient product installed.  SCE requires a detailed Product Location Form (PLF) for each project submitted for rebate or incentive.  The PLF is a form which information for measures installed in all building types related to the Non Residential Direct Install program.  The PLF contains the following fields: Service Account Address, Measures Proposed/Installed, Product Make/Model, Install Locations (detailed to define separate spaces/floors, as well as specific locations within the space including but not limited to:  Bathrooms, Hallways, Meeting Rooms, Offices, Warehouse, etc.). </w:t>
      </w:r>
    </w:p>
    <w:p w14:paraId="51316C5E" w14:textId="32381DB7" w:rsidR="005618F3" w:rsidRPr="005618F3" w:rsidRDefault="005618F3" w:rsidP="00727044">
      <w:pPr>
        <w:pStyle w:val="ListParagraph"/>
        <w:ind w:left="1440"/>
        <w:jc w:val="both"/>
        <w:rPr>
          <w:szCs w:val="22"/>
        </w:rPr>
      </w:pPr>
      <w:r w:rsidRPr="005618F3">
        <w:rPr>
          <w:szCs w:val="22"/>
        </w:rPr>
        <w:t xml:space="preserve">Customers are solicited to participate primarily through field visits.  Contractors conduct energy consultation and provide recommendation that can help eligible customers use less energy.  If the customer agrees, the Direct Install contractor will help them complete an authorization form and schedule an installation appointment.  </w:t>
      </w:r>
    </w:p>
    <w:p w14:paraId="70172A30" w14:textId="77777777" w:rsidR="005618F3" w:rsidRPr="005618F3" w:rsidRDefault="005618F3" w:rsidP="00727044">
      <w:pPr>
        <w:pStyle w:val="ListParagraph"/>
        <w:ind w:left="1440"/>
        <w:jc w:val="both"/>
        <w:rPr>
          <w:szCs w:val="22"/>
        </w:rPr>
      </w:pPr>
      <w:r w:rsidRPr="005618F3">
        <w:rPr>
          <w:szCs w:val="22"/>
        </w:rPr>
        <w:t xml:space="preserve">SCE can also provide photos to show measure functionality and a sample close up photos to substantiate the measure base case where applicable.  These photos would be part of the required project package.  The project package is identified with the Service Account Number and attached to SCE’s SMART database (SCE Project Tracking System) at each specific project level. The above described information is entered and tracked in the program’s tracking database.  This level of data is provided in the Participation Data that is provided to the CPUC on a quarterly basis. </w:t>
      </w:r>
    </w:p>
    <w:p w14:paraId="4C8D8529" w14:textId="529B5D20" w:rsidR="005618F3" w:rsidRDefault="0076138C" w:rsidP="00727044">
      <w:pPr>
        <w:pStyle w:val="ListParagraph"/>
        <w:numPr>
          <w:ilvl w:val="1"/>
          <w:numId w:val="37"/>
        </w:numPr>
        <w:jc w:val="both"/>
        <w:rPr>
          <w:szCs w:val="22"/>
        </w:rPr>
      </w:pPr>
      <w:r w:rsidRPr="0076138C">
        <w:rPr>
          <w:szCs w:val="22"/>
        </w:rPr>
        <w:t xml:space="preserve">The MFEER program quality control ensures correct documentation of existing measure, base case, and specification of the energy efficient product installed.  SCE requires a detailed Product Location Form (PLF) for each project submitted for rebate or incentive.  The PLF is an Excel spreadsheet with a tab for measures installed in dwelling areas and another for measures installed in common area locations.  The PFL contains the following fields: Apartment Address, Measure Installed, Product Make/Model, Install Locations (detailed to Kitchen, Bathroom, Hallway, Living Room, Bedroom, Dining Room, Laundry Room, and Porch/Patio), as well as Common Area locations.  This information is entered and tracked in the program’s tracking database.  This level of data is provided in the Participation Data that is provided to the CPUC on a quarterly basis.   </w:t>
      </w:r>
      <w:r w:rsidR="000C54B5">
        <w:rPr>
          <w:szCs w:val="22"/>
        </w:rPr>
        <w:t xml:space="preserve">  </w:t>
      </w:r>
    </w:p>
    <w:p w14:paraId="21177329" w14:textId="77777777" w:rsidR="001536EF" w:rsidRDefault="001536EF" w:rsidP="00727044">
      <w:pPr>
        <w:pStyle w:val="NoSpacing"/>
        <w:jc w:val="both"/>
        <w:rPr>
          <w:b/>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174F5BCA" w:rsidR="00C05AAF" w:rsidRPr="00920905" w:rsidRDefault="00A90F1A" w:rsidP="00920905">
            <w:pPr>
              <w:pStyle w:val="NoSpacing"/>
              <w:rPr>
                <w:sz w:val="18"/>
                <w:szCs w:val="18"/>
              </w:rPr>
            </w:pPr>
            <w:r>
              <w:rPr>
                <w:rFonts w:eastAsiaTheme="minorHAnsi" w:cstheme="minorBidi"/>
                <w:sz w:val="18"/>
                <w:szCs w:val="18"/>
              </w:rPr>
              <w:t>Mid-Stream Programs</w:t>
            </w:r>
          </w:p>
        </w:tc>
        <w:tc>
          <w:tcPr>
            <w:tcW w:w="3703" w:type="pct"/>
          </w:tcPr>
          <w:p w14:paraId="77E76594" w14:textId="343D38AA" w:rsidR="00C05AAF" w:rsidRPr="003D2981" w:rsidRDefault="00A84BF9" w:rsidP="00A84BF9">
            <w:pPr>
              <w:pStyle w:val="NoSpacing"/>
              <w:rPr>
                <w:i/>
                <w:sz w:val="18"/>
                <w:szCs w:val="18"/>
              </w:rPr>
            </w:pPr>
            <w:r w:rsidRPr="003D2981">
              <w:rPr>
                <w:rFonts w:cs="Helv"/>
                <w:i/>
                <w:sz w:val="18"/>
                <w:szCs w:val="18"/>
              </w:rPr>
              <w:t xml:space="preserve">See Mid-Stream Incentive in the </w:t>
            </w:r>
            <w:r w:rsidR="003D2981" w:rsidRPr="003D2981">
              <w:rPr>
                <w:i/>
                <w:sz w:val="18"/>
                <w:szCs w:val="18"/>
              </w:rPr>
              <w:t>Incentive Method Descriptions table.</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1C2ADD3B" w14:textId="3ECA8E91" w:rsidR="001B2301" w:rsidRPr="00500C4E" w:rsidRDefault="001B2301" w:rsidP="00920905"/>
    <w:p w14:paraId="37A48E69" w14:textId="77777777" w:rsidR="00727044" w:rsidRDefault="00727044" w:rsidP="00920905">
      <w:pPr>
        <w:pStyle w:val="NoSpacing"/>
        <w:rPr>
          <w:b/>
        </w:rPr>
      </w:pPr>
    </w:p>
    <w:p w14:paraId="3EF83161" w14:textId="77777777" w:rsidR="00727044" w:rsidRDefault="00727044" w:rsidP="00920905">
      <w:pPr>
        <w:pStyle w:val="NoSpacing"/>
        <w:rPr>
          <w:b/>
        </w:rPr>
      </w:pPr>
    </w:p>
    <w:p w14:paraId="528B2AE8" w14:textId="77777777" w:rsidR="00727044" w:rsidRDefault="00727044" w:rsidP="00920905">
      <w:pPr>
        <w:pStyle w:val="NoSpacing"/>
        <w:rPr>
          <w:b/>
        </w:rPr>
      </w:pPr>
    </w:p>
    <w:p w14:paraId="3FF9E9DC" w14:textId="77777777" w:rsidR="00727044" w:rsidRDefault="00727044" w:rsidP="00920905">
      <w:pPr>
        <w:pStyle w:val="NoSpacing"/>
        <w:rPr>
          <w:b/>
        </w:rPr>
      </w:pPr>
    </w:p>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51E7B5E" w14:textId="77777777" w:rsidR="00A84BF9" w:rsidRDefault="00AA4CDC" w:rsidP="00920905">
            <w:pPr>
              <w:autoSpaceDE w:val="0"/>
              <w:autoSpaceDN w:val="0"/>
              <w:adjustRightInd w:val="0"/>
              <w:spacing w:line="240" w:lineRule="atLeast"/>
              <w:rPr>
                <w:rFonts w:cs="Helv"/>
                <w:sz w:val="18"/>
                <w:szCs w:val="18"/>
              </w:rPr>
            </w:pPr>
            <w:r w:rsidRPr="00920905">
              <w:rPr>
                <w:rFonts w:cs="Helv"/>
                <w:sz w:val="18"/>
                <w:szCs w:val="18"/>
              </w:rPr>
              <w:t>Mid-Stream Incentive</w:t>
            </w:r>
          </w:p>
          <w:p w14:paraId="37602999" w14:textId="6D6F977E" w:rsidR="001B2301" w:rsidRPr="00920905" w:rsidRDefault="00A84BF9" w:rsidP="00920905">
            <w:pPr>
              <w:autoSpaceDE w:val="0"/>
              <w:autoSpaceDN w:val="0"/>
              <w:adjustRightInd w:val="0"/>
              <w:spacing w:line="240" w:lineRule="atLeast"/>
              <w:rPr>
                <w:sz w:val="18"/>
                <w:szCs w:val="18"/>
              </w:rPr>
            </w:pPr>
            <w:r w:rsidRPr="00920905">
              <w:rPr>
                <w:rFonts w:cs="Helv"/>
                <w:sz w:val="18"/>
                <w:szCs w:val="18"/>
              </w:rPr>
              <w:t xml:space="preserve">Mid-Stream </w:t>
            </w:r>
            <w:r>
              <w:rPr>
                <w:rFonts w:cs="Helv"/>
                <w:sz w:val="18"/>
                <w:szCs w:val="18"/>
              </w:rPr>
              <w:t>Buy Down</w:t>
            </w:r>
          </w:p>
        </w:tc>
        <w:tc>
          <w:tcPr>
            <w:tcW w:w="3703" w:type="pct"/>
          </w:tcPr>
          <w:p w14:paraId="7F28A081" w14:textId="15FE2ED3" w:rsidR="001B2301" w:rsidRPr="00920905" w:rsidRDefault="00A84BF9" w:rsidP="00EE29DF">
            <w:pPr>
              <w:autoSpaceDE w:val="0"/>
              <w:autoSpaceDN w:val="0"/>
              <w:adjustRightInd w:val="0"/>
              <w:spacing w:line="240" w:lineRule="atLeast"/>
              <w:rPr>
                <w:sz w:val="18"/>
                <w:szCs w:val="18"/>
              </w:rPr>
            </w:pPr>
            <w:r w:rsidRPr="00920905">
              <w:rPr>
                <w:rFonts w:cs="Helv"/>
                <w:sz w:val="18"/>
                <w:szCs w:val="18"/>
              </w:rPr>
              <w:t>The program gives a financial incentive to a midstream market actor</w:t>
            </w:r>
            <w:r w:rsidR="0039615F">
              <w:rPr>
                <w:rFonts w:cs="Helv"/>
                <w:sz w:val="18"/>
                <w:szCs w:val="18"/>
              </w:rPr>
              <w:t xml:space="preserve"> (</w:t>
            </w:r>
            <w:r>
              <w:rPr>
                <w:rFonts w:cs="Helv"/>
                <w:sz w:val="18"/>
                <w:szCs w:val="18"/>
              </w:rPr>
              <w:t>distributor</w:t>
            </w:r>
            <w:r w:rsidR="003D2981">
              <w:rPr>
                <w:rFonts w:cs="Helv"/>
                <w:sz w:val="18"/>
                <w:szCs w:val="18"/>
              </w:rPr>
              <w:t>,</w:t>
            </w:r>
            <w:r w:rsidRPr="00920905">
              <w:rPr>
                <w:rFonts w:cs="Helv"/>
                <w:sz w:val="18"/>
                <w:szCs w:val="18"/>
              </w:rPr>
              <w:t xml:space="preserve"> </w:t>
            </w:r>
            <w:r>
              <w:rPr>
                <w:rFonts w:cs="Helv"/>
                <w:sz w:val="18"/>
                <w:szCs w:val="18"/>
              </w:rPr>
              <w:t>vendor</w:t>
            </w:r>
            <w:r w:rsidR="003D2981">
              <w:rPr>
                <w:rFonts w:cs="Helv"/>
                <w:sz w:val="18"/>
                <w:szCs w:val="18"/>
              </w:rPr>
              <w:t>, or retailer</w:t>
            </w:r>
            <w:r w:rsidR="0039615F">
              <w:rPr>
                <w:rFonts w:cs="Helv"/>
                <w:sz w:val="18"/>
                <w:szCs w:val="18"/>
              </w:rPr>
              <w:t>)</w:t>
            </w:r>
            <w:r w:rsidRPr="00920905">
              <w:rPr>
                <w:rFonts w:cs="Helv"/>
                <w:sz w:val="18"/>
                <w:szCs w:val="18"/>
              </w:rPr>
              <w:t xml:space="preserve"> to encourage the p</w:t>
            </w:r>
            <w:r>
              <w:rPr>
                <w:rFonts w:cs="Helv"/>
                <w:sz w:val="18"/>
                <w:szCs w:val="18"/>
              </w:rPr>
              <w:t>romotion of efficient measures.</w:t>
            </w:r>
            <w:r w:rsidR="00AA4CDC" w:rsidRPr="00920905">
              <w:rPr>
                <w:rFonts w:cs="Helv"/>
                <w:sz w:val="18"/>
                <w:szCs w:val="18"/>
              </w:rPr>
              <w:t xml:space="preserve"> </w:t>
            </w:r>
            <w:r w:rsidR="003D2981">
              <w:rPr>
                <w:rFonts w:cs="Helv"/>
                <w:sz w:val="18"/>
                <w:szCs w:val="18"/>
              </w:rPr>
              <w:t>B</w:t>
            </w:r>
            <w:r w:rsidRPr="00920905">
              <w:rPr>
                <w:rFonts w:cs="Helv"/>
                <w:sz w:val="18"/>
                <w:szCs w:val="18"/>
              </w:rPr>
              <w:t>uy</w:t>
            </w:r>
            <w:r>
              <w:rPr>
                <w:rFonts w:cs="Helv"/>
                <w:sz w:val="18"/>
                <w:szCs w:val="18"/>
              </w:rPr>
              <w:t xml:space="preserve"> </w:t>
            </w:r>
            <w:r w:rsidR="003D2981">
              <w:rPr>
                <w:rFonts w:cs="Helv"/>
                <w:sz w:val="18"/>
                <w:szCs w:val="18"/>
              </w:rPr>
              <w:t>D</w:t>
            </w:r>
            <w:r w:rsidRPr="00920905">
              <w:rPr>
                <w:rFonts w:cs="Helv"/>
                <w:sz w:val="18"/>
                <w:szCs w:val="18"/>
              </w:rPr>
              <w:t>own</w:t>
            </w:r>
            <w:r w:rsidR="003D2981">
              <w:rPr>
                <w:rFonts w:cs="Helv"/>
                <w:sz w:val="18"/>
                <w:szCs w:val="18"/>
              </w:rPr>
              <w:t xml:space="preserve"> means that the incentive is required to be passed down to the</w:t>
            </w:r>
            <w:r w:rsidRPr="00920905">
              <w:rPr>
                <w:rFonts w:cs="Helv"/>
                <w:sz w:val="18"/>
                <w:szCs w:val="18"/>
              </w:rPr>
              <w:t xml:space="preserve"> end-use customer.</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9" w:name="_Toc385592671"/>
      <w:bookmarkStart w:id="10" w:name="_Toc214003087"/>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0C54B5" w:rsidRPr="00500C4E" w14:paraId="13CB6596" w14:textId="77777777" w:rsidTr="00920905">
        <w:trPr>
          <w:trHeight w:val="20"/>
        </w:trPr>
        <w:tc>
          <w:tcPr>
            <w:tcW w:w="1548" w:type="pct"/>
          </w:tcPr>
          <w:p w14:paraId="6670E11A" w14:textId="77777777" w:rsidR="000C54B5" w:rsidRPr="00920905" w:rsidRDefault="000C54B5" w:rsidP="00920905">
            <w:pPr>
              <w:rPr>
                <w:rFonts w:cs="Arial"/>
                <w:szCs w:val="20"/>
              </w:rPr>
            </w:pPr>
            <w:r w:rsidRPr="00920905">
              <w:rPr>
                <w:rFonts w:cs="Arial"/>
                <w:szCs w:val="20"/>
              </w:rPr>
              <w:t>Modified DEER methodology</w:t>
            </w:r>
          </w:p>
        </w:tc>
        <w:tc>
          <w:tcPr>
            <w:tcW w:w="3452" w:type="pct"/>
          </w:tcPr>
          <w:p w14:paraId="137893D1" w14:textId="352D10B7" w:rsidR="000C54B5" w:rsidRPr="00920905" w:rsidRDefault="000C54B5" w:rsidP="00920905">
            <w:pPr>
              <w:rPr>
                <w:rFonts w:cs="Arial"/>
                <w:b/>
                <w:color w:val="FF0000"/>
                <w:szCs w:val="20"/>
              </w:rPr>
            </w:pPr>
            <w:r w:rsidRPr="000508DF">
              <w:rPr>
                <w:rFonts w:cs="Arial"/>
                <w:szCs w:val="20"/>
              </w:rPr>
              <w:t>No</w:t>
            </w:r>
          </w:p>
        </w:tc>
      </w:tr>
      <w:tr w:rsidR="000C54B5" w:rsidRPr="00500C4E" w14:paraId="269B4F50" w14:textId="77777777" w:rsidTr="00920905">
        <w:trPr>
          <w:trHeight w:val="20"/>
        </w:trPr>
        <w:tc>
          <w:tcPr>
            <w:tcW w:w="1548" w:type="pct"/>
          </w:tcPr>
          <w:p w14:paraId="7D04E8DB" w14:textId="77777777" w:rsidR="000C54B5" w:rsidRPr="00920905" w:rsidRDefault="000C54B5" w:rsidP="00920905">
            <w:pPr>
              <w:rPr>
                <w:rFonts w:cs="Arial"/>
                <w:szCs w:val="20"/>
              </w:rPr>
            </w:pPr>
            <w:r w:rsidRPr="00920905">
              <w:rPr>
                <w:rFonts w:cs="Arial"/>
                <w:szCs w:val="20"/>
              </w:rPr>
              <w:t>Scaled DEER measure</w:t>
            </w:r>
          </w:p>
        </w:tc>
        <w:tc>
          <w:tcPr>
            <w:tcW w:w="3452" w:type="pct"/>
          </w:tcPr>
          <w:p w14:paraId="406610B2" w14:textId="681C5BC9" w:rsidR="000C54B5" w:rsidRPr="00920905" w:rsidRDefault="000C54B5" w:rsidP="00920905">
            <w:pPr>
              <w:rPr>
                <w:rFonts w:cs="Arial"/>
                <w:color w:val="FF0000"/>
                <w:szCs w:val="20"/>
              </w:rPr>
            </w:pPr>
            <w:r w:rsidRPr="000508DF">
              <w:rPr>
                <w:rFonts w:cs="Arial"/>
                <w:szCs w:val="20"/>
              </w:rPr>
              <w:t>No</w:t>
            </w:r>
          </w:p>
        </w:tc>
      </w:tr>
      <w:tr w:rsidR="000C54B5" w:rsidRPr="00500C4E" w14:paraId="0E7FA0A8" w14:textId="77777777" w:rsidTr="00920905">
        <w:trPr>
          <w:trHeight w:val="20"/>
        </w:trPr>
        <w:tc>
          <w:tcPr>
            <w:tcW w:w="1548" w:type="pct"/>
          </w:tcPr>
          <w:p w14:paraId="2F3E70F4" w14:textId="2ACC010D" w:rsidR="000C54B5" w:rsidRPr="00920905" w:rsidRDefault="000C54B5" w:rsidP="00920905">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097FFFA9" w14:textId="0D790188" w:rsidR="000C54B5" w:rsidRPr="00920905" w:rsidRDefault="00F76274" w:rsidP="00920905">
            <w:pPr>
              <w:rPr>
                <w:rFonts w:cs="Arial"/>
                <w:color w:val="FF0000"/>
                <w:szCs w:val="20"/>
              </w:rPr>
            </w:pPr>
            <w:r>
              <w:rPr>
                <w:rFonts w:cs="Arial"/>
                <w:szCs w:val="20"/>
              </w:rPr>
              <w:t>No</w:t>
            </w:r>
          </w:p>
        </w:tc>
      </w:tr>
      <w:tr w:rsidR="000C54B5" w:rsidRPr="00500C4E" w14:paraId="3C843C04" w14:textId="77777777" w:rsidTr="00920905">
        <w:trPr>
          <w:trHeight w:val="20"/>
        </w:trPr>
        <w:tc>
          <w:tcPr>
            <w:tcW w:w="1548" w:type="pct"/>
          </w:tcPr>
          <w:p w14:paraId="51431197" w14:textId="2E50B486" w:rsidR="000C54B5" w:rsidRPr="00920905" w:rsidRDefault="000C54B5" w:rsidP="00920905">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1506AF6A" w14:textId="2848DD05" w:rsidR="000C54B5" w:rsidRPr="00920905" w:rsidRDefault="00F76274" w:rsidP="00920905">
            <w:pPr>
              <w:rPr>
                <w:rFonts w:cs="Arial"/>
                <w:color w:val="FF0000"/>
                <w:szCs w:val="20"/>
              </w:rPr>
            </w:pPr>
            <w:r>
              <w:rPr>
                <w:rFonts w:cs="Arial"/>
                <w:szCs w:val="20"/>
              </w:rPr>
              <w:t>No</w:t>
            </w:r>
          </w:p>
        </w:tc>
      </w:tr>
      <w:tr w:rsidR="000C54B5" w:rsidRPr="00500C4E" w14:paraId="22327C07" w14:textId="77777777" w:rsidTr="00920905">
        <w:trPr>
          <w:trHeight w:val="20"/>
        </w:trPr>
        <w:tc>
          <w:tcPr>
            <w:tcW w:w="1548" w:type="pct"/>
          </w:tcPr>
          <w:p w14:paraId="37FF3C5F" w14:textId="286C0736" w:rsidR="000C54B5" w:rsidRPr="00920905" w:rsidRDefault="000C54B5" w:rsidP="00920905">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55BBD6F6" w14:textId="074AD7AC" w:rsidR="000C54B5" w:rsidRPr="00920905" w:rsidRDefault="000C54B5" w:rsidP="00920905">
            <w:pPr>
              <w:rPr>
                <w:rFonts w:cs="Arial"/>
                <w:color w:val="FF0000"/>
                <w:szCs w:val="20"/>
              </w:rPr>
            </w:pPr>
            <w:r w:rsidRPr="000508DF">
              <w:rPr>
                <w:rFonts w:cs="Arial"/>
                <w:szCs w:val="20"/>
              </w:rPr>
              <w:t>Yes</w:t>
            </w:r>
            <w:r w:rsidR="00EE15C0">
              <w:rPr>
                <w:rFonts w:cs="Arial"/>
                <w:szCs w:val="20"/>
              </w:rPr>
              <w:t xml:space="preserve">, with the exception of </w:t>
            </w:r>
            <w:proofErr w:type="spellStart"/>
            <w:r w:rsidR="00EE15C0">
              <w:rPr>
                <w:rFonts w:cs="Arial"/>
                <w:szCs w:val="20"/>
              </w:rPr>
              <w:t>GsR</w:t>
            </w:r>
            <w:proofErr w:type="spellEnd"/>
            <w:r w:rsidR="00EE15C0">
              <w:rPr>
                <w:rFonts w:cs="Arial"/>
                <w:szCs w:val="20"/>
              </w:rPr>
              <w:t xml:space="preserve">. Mapped </w:t>
            </w:r>
            <w:proofErr w:type="spellStart"/>
            <w:r w:rsidR="00EE15C0">
              <w:rPr>
                <w:rFonts w:cs="Arial"/>
                <w:szCs w:val="20"/>
              </w:rPr>
              <w:t>GsR</w:t>
            </w:r>
            <w:proofErr w:type="spellEnd"/>
            <w:r w:rsidR="00EE15C0">
              <w:rPr>
                <w:rFonts w:cs="Arial"/>
                <w:szCs w:val="20"/>
              </w:rPr>
              <w:t xml:space="preserve"> to DEER </w:t>
            </w:r>
            <w:proofErr w:type="spellStart"/>
            <w:r w:rsidR="00EE15C0">
              <w:rPr>
                <w:rFonts w:cs="Arial"/>
                <w:szCs w:val="20"/>
              </w:rPr>
              <w:t>Mtl</w:t>
            </w:r>
            <w:proofErr w:type="spellEnd"/>
            <w:r w:rsidR="00EE15C0">
              <w:rPr>
                <w:rFonts w:cs="Arial"/>
                <w:szCs w:val="20"/>
              </w:rPr>
              <w:t xml:space="preserve"> building type.</w:t>
            </w:r>
          </w:p>
        </w:tc>
      </w:tr>
      <w:tr w:rsidR="000C54B5" w:rsidRPr="00500C4E" w14:paraId="2F8A7017" w14:textId="77777777" w:rsidTr="00920905">
        <w:trPr>
          <w:trHeight w:val="20"/>
        </w:trPr>
        <w:tc>
          <w:tcPr>
            <w:tcW w:w="1548" w:type="pct"/>
          </w:tcPr>
          <w:p w14:paraId="05CCD829" w14:textId="094D5B4C" w:rsidR="000C54B5" w:rsidRPr="00920905" w:rsidRDefault="000C54B5" w:rsidP="00920905">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1E8D588A" w14:textId="76676186" w:rsidR="000C54B5" w:rsidRPr="00920905" w:rsidRDefault="000C54B5" w:rsidP="00920905">
            <w:pPr>
              <w:rPr>
                <w:rFonts w:cs="Arial"/>
                <w:color w:val="FF0000"/>
                <w:szCs w:val="20"/>
              </w:rPr>
            </w:pPr>
            <w:r w:rsidRPr="000508DF">
              <w:rPr>
                <w:rFonts w:cs="Arial"/>
                <w:szCs w:val="20"/>
              </w:rPr>
              <w:t>Yes</w:t>
            </w:r>
          </w:p>
        </w:tc>
      </w:tr>
      <w:tr w:rsidR="000C54B5" w:rsidRPr="00500C4E" w14:paraId="6B821D71" w14:textId="77777777" w:rsidTr="00920905">
        <w:trPr>
          <w:trHeight w:val="20"/>
        </w:trPr>
        <w:tc>
          <w:tcPr>
            <w:tcW w:w="1548" w:type="pct"/>
          </w:tcPr>
          <w:p w14:paraId="5B790708" w14:textId="57F1AB76" w:rsidR="000C54B5" w:rsidRPr="00920905" w:rsidRDefault="000C54B5" w:rsidP="00920905">
            <w:pPr>
              <w:rPr>
                <w:rFonts w:cs="Arial"/>
                <w:szCs w:val="20"/>
              </w:rPr>
            </w:pPr>
            <w:r w:rsidRPr="00920905">
              <w:rPr>
                <w:rFonts w:cs="Arial"/>
                <w:szCs w:val="20"/>
              </w:rPr>
              <w:t xml:space="preserve">DEER </w:t>
            </w:r>
            <w:proofErr w:type="spellStart"/>
            <w:r w:rsidRPr="00500C4E">
              <w:rPr>
                <w:rFonts w:cs="Arial"/>
                <w:szCs w:val="20"/>
              </w:rPr>
              <w:t>eQUEST</w:t>
            </w:r>
            <w:proofErr w:type="spellEnd"/>
            <w:r w:rsidRPr="00500C4E">
              <w:rPr>
                <w:rFonts w:cs="Arial"/>
                <w:szCs w:val="20"/>
              </w:rPr>
              <w:t xml:space="preserve"> P</w:t>
            </w:r>
            <w:r w:rsidRPr="00920905">
              <w:rPr>
                <w:rFonts w:cs="Arial"/>
                <w:szCs w:val="20"/>
              </w:rPr>
              <w:t>rototype</w:t>
            </w:r>
            <w:r w:rsidRPr="00500C4E">
              <w:rPr>
                <w:rFonts w:cs="Arial"/>
                <w:szCs w:val="20"/>
              </w:rPr>
              <w:t>s</w:t>
            </w:r>
          </w:p>
        </w:tc>
        <w:tc>
          <w:tcPr>
            <w:tcW w:w="3452" w:type="pct"/>
          </w:tcPr>
          <w:p w14:paraId="4D0FA036" w14:textId="06A88BA6" w:rsidR="000C54B5" w:rsidRPr="00920905" w:rsidDel="00505CEC" w:rsidRDefault="000C54B5" w:rsidP="00920905">
            <w:pPr>
              <w:rPr>
                <w:rFonts w:cs="Arial"/>
                <w:color w:val="FF0000"/>
                <w:szCs w:val="20"/>
              </w:rPr>
            </w:pPr>
            <w:r w:rsidRPr="000508DF">
              <w:rPr>
                <w:rFonts w:cs="Arial"/>
                <w:szCs w:val="20"/>
              </w:rPr>
              <w:t>No</w:t>
            </w:r>
          </w:p>
        </w:tc>
      </w:tr>
      <w:tr w:rsidR="000C54B5" w:rsidRPr="00500C4E" w14:paraId="3F06DC0D" w14:textId="77777777" w:rsidTr="00920905">
        <w:trPr>
          <w:trHeight w:val="20"/>
        </w:trPr>
        <w:tc>
          <w:tcPr>
            <w:tcW w:w="1548" w:type="pct"/>
          </w:tcPr>
          <w:p w14:paraId="49FC863F" w14:textId="77777777" w:rsidR="000C54B5" w:rsidRPr="00500C4E" w:rsidRDefault="000C54B5" w:rsidP="00175D14">
            <w:pPr>
              <w:rPr>
                <w:rFonts w:cs="Arial"/>
                <w:szCs w:val="20"/>
              </w:rPr>
            </w:pPr>
            <w:r w:rsidRPr="00500C4E">
              <w:rPr>
                <w:rFonts w:cs="Arial"/>
                <w:szCs w:val="20"/>
              </w:rPr>
              <w:t>DEER Version</w:t>
            </w:r>
          </w:p>
        </w:tc>
        <w:tc>
          <w:tcPr>
            <w:tcW w:w="3452" w:type="pct"/>
          </w:tcPr>
          <w:p w14:paraId="77B6E89E" w14:textId="3D90FED9" w:rsidR="000C54B5" w:rsidRPr="00E7601F" w:rsidRDefault="00727044" w:rsidP="00341FC8">
            <w:pPr>
              <w:rPr>
                <w:rFonts w:cstheme="minorHAnsi"/>
                <w:szCs w:val="20"/>
              </w:rPr>
            </w:pPr>
            <w:r>
              <w:rPr>
                <w:rFonts w:cstheme="minorHAnsi"/>
                <w:szCs w:val="20"/>
              </w:rPr>
              <w:t xml:space="preserve">used </w:t>
            </w:r>
            <w:r w:rsidR="00F656C9">
              <w:rPr>
                <w:rFonts w:cstheme="minorHAnsi"/>
                <w:szCs w:val="20"/>
              </w:rPr>
              <w:t>Lighting Disposition (Attachment 2)</w:t>
            </w:r>
          </w:p>
        </w:tc>
      </w:tr>
      <w:tr w:rsidR="000C54B5" w:rsidRPr="00500C4E" w14:paraId="62E4D88D" w14:textId="77777777" w:rsidTr="00920905">
        <w:trPr>
          <w:trHeight w:val="20"/>
        </w:trPr>
        <w:tc>
          <w:tcPr>
            <w:tcW w:w="1548" w:type="pct"/>
          </w:tcPr>
          <w:p w14:paraId="6CFAE08B" w14:textId="77777777" w:rsidR="000C54B5" w:rsidRPr="00920905" w:rsidRDefault="000C54B5" w:rsidP="00920905">
            <w:pPr>
              <w:rPr>
                <w:rFonts w:cs="Arial"/>
                <w:szCs w:val="20"/>
              </w:rPr>
            </w:pPr>
            <w:r w:rsidRPr="00920905">
              <w:rPr>
                <w:rFonts w:cs="Arial"/>
                <w:szCs w:val="20"/>
              </w:rPr>
              <w:t>Reason for Deviation from DEER</w:t>
            </w:r>
          </w:p>
        </w:tc>
        <w:tc>
          <w:tcPr>
            <w:tcW w:w="3452" w:type="pct"/>
          </w:tcPr>
          <w:p w14:paraId="6F852B8E" w14:textId="61678F14" w:rsidR="000C54B5" w:rsidRPr="00920905" w:rsidRDefault="00F76274" w:rsidP="00920905">
            <w:pPr>
              <w:rPr>
                <w:rFonts w:cs="Arial"/>
                <w:color w:val="FF0000"/>
                <w:szCs w:val="20"/>
              </w:rPr>
            </w:pPr>
            <w:r>
              <w:rPr>
                <w:rFonts w:cs="Arial"/>
                <w:szCs w:val="20"/>
              </w:rPr>
              <w:t>DEER does not contain this measure.</w:t>
            </w:r>
          </w:p>
        </w:tc>
      </w:tr>
      <w:tr w:rsidR="000C54B5" w:rsidRPr="00500C4E" w14:paraId="5272C28A" w14:textId="77777777" w:rsidTr="000C54B5">
        <w:trPr>
          <w:trHeight w:val="70"/>
        </w:trPr>
        <w:tc>
          <w:tcPr>
            <w:tcW w:w="1548" w:type="pct"/>
          </w:tcPr>
          <w:p w14:paraId="3C3C8618" w14:textId="27273202" w:rsidR="000C54B5" w:rsidRPr="00920905" w:rsidRDefault="000C54B5" w:rsidP="00920905">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tcPr>
          <w:p w14:paraId="7D059194" w14:textId="40636874" w:rsidR="000C54B5" w:rsidRPr="000C54B5" w:rsidRDefault="000C54B5" w:rsidP="000C54B5">
            <w:pPr>
              <w:rPr>
                <w:rFonts w:cs="Arial"/>
                <w:szCs w:val="20"/>
              </w:rPr>
            </w:pPr>
            <w:r w:rsidRPr="000C54B5">
              <w:rPr>
                <w:rFonts w:cs="Arial"/>
                <w:szCs w:val="20"/>
              </w:rPr>
              <w:t>R</w:t>
            </w:r>
            <w:r w:rsidR="00F656C9">
              <w:rPr>
                <w:rFonts w:cs="Arial"/>
                <w:szCs w:val="20"/>
              </w:rPr>
              <w:t>-In-LED-</w:t>
            </w:r>
            <w:proofErr w:type="spellStart"/>
            <w:r w:rsidR="00F656C9">
              <w:rPr>
                <w:rFonts w:cs="Arial"/>
                <w:szCs w:val="20"/>
              </w:rPr>
              <w:t>CanRet</w:t>
            </w:r>
            <w:proofErr w:type="spellEnd"/>
            <w:r w:rsidR="00F656C9">
              <w:rPr>
                <w:rFonts w:cs="Arial"/>
                <w:szCs w:val="20"/>
              </w:rPr>
              <w:t>(8w)-dWP19</w:t>
            </w:r>
          </w:p>
          <w:p w14:paraId="59AEC2FD" w14:textId="42D26A81" w:rsidR="000C54B5" w:rsidRPr="000C54B5" w:rsidRDefault="00F656C9" w:rsidP="000C54B5">
            <w:pPr>
              <w:rPr>
                <w:rFonts w:cs="Arial"/>
                <w:szCs w:val="20"/>
              </w:rPr>
            </w:pPr>
            <w:r>
              <w:rPr>
                <w:rFonts w:cs="Arial"/>
                <w:szCs w:val="20"/>
              </w:rPr>
              <w:t>C-In-LED-</w:t>
            </w:r>
            <w:proofErr w:type="spellStart"/>
            <w:r>
              <w:rPr>
                <w:rFonts w:cs="Arial"/>
                <w:szCs w:val="20"/>
              </w:rPr>
              <w:t>CanRet</w:t>
            </w:r>
            <w:proofErr w:type="spellEnd"/>
            <w:r>
              <w:rPr>
                <w:rFonts w:cs="Arial"/>
                <w:szCs w:val="20"/>
              </w:rPr>
              <w:t>(8w)-dWP19</w:t>
            </w:r>
          </w:p>
          <w:p w14:paraId="78F10C53" w14:textId="34FFA39F" w:rsidR="000C54B5" w:rsidRPr="00E5393D" w:rsidRDefault="00F656C9" w:rsidP="00F656C9">
            <w:pPr>
              <w:rPr>
                <w:rFonts w:cs="Arial"/>
                <w:szCs w:val="20"/>
              </w:rPr>
            </w:pPr>
            <w:r>
              <w:rPr>
                <w:rFonts w:cs="Arial"/>
                <w:szCs w:val="20"/>
              </w:rPr>
              <w:t>R-</w:t>
            </w:r>
            <w:proofErr w:type="spellStart"/>
            <w:r>
              <w:rPr>
                <w:rFonts w:cs="Arial"/>
                <w:szCs w:val="20"/>
              </w:rPr>
              <w:t>InCmn</w:t>
            </w:r>
            <w:proofErr w:type="spellEnd"/>
            <w:r>
              <w:rPr>
                <w:rFonts w:cs="Arial"/>
                <w:szCs w:val="20"/>
              </w:rPr>
              <w:t>-LED-</w:t>
            </w:r>
            <w:proofErr w:type="spellStart"/>
            <w:r>
              <w:rPr>
                <w:rFonts w:cs="Arial"/>
                <w:szCs w:val="20"/>
              </w:rPr>
              <w:t>CanRet</w:t>
            </w:r>
            <w:proofErr w:type="spellEnd"/>
            <w:r>
              <w:rPr>
                <w:rFonts w:cs="Arial"/>
                <w:szCs w:val="20"/>
              </w:rPr>
              <w:t>(8</w:t>
            </w:r>
            <w:r w:rsidR="00E5393D">
              <w:rPr>
                <w:rFonts w:cs="Arial"/>
                <w:szCs w:val="20"/>
              </w:rPr>
              <w:t>w)-dWP</w:t>
            </w:r>
            <w:r>
              <w:rPr>
                <w:rFonts w:cs="Arial"/>
                <w:szCs w:val="20"/>
              </w:rPr>
              <w:t>19</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3DBF2CA6" w14:textId="77777777" w:rsidR="00E84EC9" w:rsidRDefault="00E84EC9" w:rsidP="00920905">
      <w:pPr>
        <w:pStyle w:val="NoSpacing"/>
      </w:pPr>
    </w:p>
    <w:p w14:paraId="6A209FAA" w14:textId="77777777" w:rsidR="00E84EC9" w:rsidRDefault="00E84EC9" w:rsidP="00920905">
      <w:pPr>
        <w:pStyle w:val="NoSpacing"/>
      </w:pPr>
    </w:p>
    <w:p w14:paraId="7A14F275" w14:textId="77777777" w:rsidR="00727044" w:rsidRDefault="00727044" w:rsidP="00920905">
      <w:pPr>
        <w:pStyle w:val="NoSpacing"/>
      </w:pPr>
    </w:p>
    <w:p w14:paraId="10A67EB3" w14:textId="77777777" w:rsidR="00727044" w:rsidRDefault="00727044" w:rsidP="00920905">
      <w:pPr>
        <w:pStyle w:val="NoSpacing"/>
      </w:pPr>
    </w:p>
    <w:p w14:paraId="5E5746CF" w14:textId="77777777" w:rsidR="00727044" w:rsidRDefault="00727044" w:rsidP="00920905">
      <w:pPr>
        <w:pStyle w:val="NoSpacing"/>
      </w:pPr>
    </w:p>
    <w:p w14:paraId="55444C5D" w14:textId="77777777" w:rsidR="00727044" w:rsidRDefault="00727044" w:rsidP="00920905">
      <w:pPr>
        <w:pStyle w:val="NoSpacing"/>
      </w:pPr>
    </w:p>
    <w:p w14:paraId="38326B78" w14:textId="77777777" w:rsidR="00727044" w:rsidRDefault="00727044" w:rsidP="00920905">
      <w:pPr>
        <w:pStyle w:val="NoSpacing"/>
      </w:pPr>
    </w:p>
    <w:p w14:paraId="0151B2B7" w14:textId="77777777" w:rsidR="00727044" w:rsidRDefault="00727044" w:rsidP="00920905">
      <w:pPr>
        <w:pStyle w:val="NoSpacing"/>
      </w:pPr>
    </w:p>
    <w:p w14:paraId="3641BAF9" w14:textId="77777777" w:rsidR="00727044" w:rsidRDefault="00727044" w:rsidP="00920905">
      <w:pPr>
        <w:pStyle w:val="NoSpacing"/>
      </w:pPr>
    </w:p>
    <w:p w14:paraId="12AEA78C" w14:textId="77777777" w:rsidR="00727044" w:rsidRDefault="00727044" w:rsidP="00920905">
      <w:pPr>
        <w:pStyle w:val="NoSpacing"/>
      </w:pPr>
    </w:p>
    <w:p w14:paraId="515E5091" w14:textId="77777777" w:rsidR="00727044" w:rsidRDefault="00727044" w:rsidP="00920905">
      <w:pPr>
        <w:pStyle w:val="NoSpacing"/>
      </w:pPr>
    </w:p>
    <w:p w14:paraId="2A45B90C" w14:textId="77777777" w:rsidR="00727044" w:rsidRDefault="00727044" w:rsidP="00920905">
      <w:pPr>
        <w:pStyle w:val="NoSpacing"/>
      </w:pPr>
    </w:p>
    <w:p w14:paraId="4FD8CA30" w14:textId="77777777" w:rsidR="00727044" w:rsidRDefault="00727044" w:rsidP="00920905">
      <w:pPr>
        <w:pStyle w:val="NoSpacing"/>
      </w:pPr>
    </w:p>
    <w:p w14:paraId="4AD1828E" w14:textId="77777777" w:rsidR="00727044" w:rsidRPr="00920905" w:rsidRDefault="00727044" w:rsidP="00920905">
      <w:pPr>
        <w:pStyle w:val="NoSpacing"/>
      </w:pP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F656C9">
        <w:tc>
          <w:tcPr>
            <w:tcW w:w="673" w:type="pct"/>
            <w:shd w:val="clear" w:color="auto" w:fill="D9D9D9" w:themeFill="background1" w:themeFillShade="D9"/>
          </w:tcPr>
          <w:p w14:paraId="036218EF" w14:textId="6670DE77" w:rsidR="000968C6" w:rsidRPr="00920905" w:rsidRDefault="005729C8" w:rsidP="00F656C9">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rsidP="00F656C9">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F656C9">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F656C9">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rsidP="00F656C9">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70533" w:rsidRDefault="00FB2590" w:rsidP="00F656C9">
            <w:pPr>
              <w:rPr>
                <w:rFonts w:cstheme="minorHAnsi"/>
                <w:b/>
                <w:szCs w:val="20"/>
              </w:rPr>
            </w:pPr>
            <w:r w:rsidRPr="00970533">
              <w:rPr>
                <w:rFonts w:cstheme="minorHAnsi"/>
                <w:b/>
                <w:szCs w:val="20"/>
              </w:rPr>
              <w:t>NTG</w:t>
            </w:r>
            <w:r w:rsidR="00E06A37" w:rsidRPr="00970533">
              <w:rPr>
                <w:rFonts w:cstheme="minorHAnsi"/>
                <w:b/>
                <w:szCs w:val="20"/>
              </w:rPr>
              <w:t>R</w:t>
            </w:r>
          </w:p>
        </w:tc>
      </w:tr>
      <w:tr w:rsidR="000C54B5" w:rsidRPr="00500C4E" w14:paraId="5C8B04BC" w14:textId="77777777" w:rsidTr="00F656C9">
        <w:tc>
          <w:tcPr>
            <w:tcW w:w="673" w:type="pct"/>
          </w:tcPr>
          <w:p w14:paraId="28722997" w14:textId="45E56FA5" w:rsidR="000C54B5" w:rsidRPr="00500C4E" w:rsidRDefault="000C54B5" w:rsidP="00F656C9">
            <w:pPr>
              <w:rPr>
                <w:color w:val="FF0000"/>
                <w:szCs w:val="20"/>
              </w:rPr>
            </w:pPr>
            <w:r w:rsidRPr="00DC7F09">
              <w:t>Res-Default&gt;2</w:t>
            </w:r>
          </w:p>
        </w:tc>
        <w:tc>
          <w:tcPr>
            <w:tcW w:w="2019" w:type="pct"/>
          </w:tcPr>
          <w:p w14:paraId="3EB26158" w14:textId="45D1DF59" w:rsidR="000C54B5" w:rsidRPr="00500C4E" w:rsidRDefault="000C54B5" w:rsidP="00F656C9">
            <w:pPr>
              <w:rPr>
                <w:color w:val="FF0000"/>
                <w:szCs w:val="20"/>
              </w:rPr>
            </w:pPr>
            <w:r w:rsidRPr="00F40CE4">
              <w:t>All other EEM with no evaluated NTGR; existing EEM with same delivery mechanism for more than 2 years</w:t>
            </w:r>
          </w:p>
        </w:tc>
        <w:tc>
          <w:tcPr>
            <w:tcW w:w="434" w:type="pct"/>
          </w:tcPr>
          <w:p w14:paraId="5C4D3E7D" w14:textId="7ADFD3A1" w:rsidR="000C54B5" w:rsidRPr="00500C4E" w:rsidRDefault="000C54B5" w:rsidP="00F656C9">
            <w:pPr>
              <w:rPr>
                <w:color w:val="FF0000"/>
                <w:szCs w:val="20"/>
              </w:rPr>
            </w:pPr>
            <w:r w:rsidRPr="00F40CE4">
              <w:t>Res</w:t>
            </w:r>
          </w:p>
        </w:tc>
        <w:tc>
          <w:tcPr>
            <w:tcW w:w="529" w:type="pct"/>
          </w:tcPr>
          <w:p w14:paraId="1A63333B" w14:textId="1CCB66CC" w:rsidR="000C54B5" w:rsidRPr="00500C4E" w:rsidRDefault="000C54B5" w:rsidP="00F656C9">
            <w:pPr>
              <w:rPr>
                <w:color w:val="FF0000"/>
                <w:szCs w:val="20"/>
              </w:rPr>
            </w:pPr>
            <w:r w:rsidRPr="00F40CE4">
              <w:t>Any</w:t>
            </w:r>
          </w:p>
        </w:tc>
        <w:tc>
          <w:tcPr>
            <w:tcW w:w="915" w:type="pct"/>
          </w:tcPr>
          <w:p w14:paraId="6AB10E89" w14:textId="4A6481C3" w:rsidR="000C54B5" w:rsidRPr="00500C4E" w:rsidRDefault="000C54B5" w:rsidP="00F656C9">
            <w:pPr>
              <w:rPr>
                <w:color w:val="FF0000"/>
                <w:szCs w:val="20"/>
              </w:rPr>
            </w:pPr>
            <w:r w:rsidRPr="00F40CE4">
              <w:t>Any</w:t>
            </w:r>
          </w:p>
        </w:tc>
        <w:tc>
          <w:tcPr>
            <w:tcW w:w="430" w:type="pct"/>
          </w:tcPr>
          <w:p w14:paraId="25878F23" w14:textId="12FCBAFD" w:rsidR="000C54B5" w:rsidRPr="00970533" w:rsidRDefault="000C54B5" w:rsidP="00F656C9">
            <w:pPr>
              <w:rPr>
                <w:color w:val="FF0000"/>
                <w:szCs w:val="20"/>
              </w:rPr>
            </w:pPr>
            <w:r w:rsidRPr="00970533">
              <w:t>0.55</w:t>
            </w:r>
          </w:p>
        </w:tc>
      </w:tr>
      <w:tr w:rsidR="000C54B5" w:rsidRPr="00500C4E" w14:paraId="4A5E1950" w14:textId="77777777" w:rsidTr="00F656C9">
        <w:tc>
          <w:tcPr>
            <w:tcW w:w="673" w:type="pct"/>
          </w:tcPr>
          <w:p w14:paraId="00952921" w14:textId="1E1116FB" w:rsidR="000C54B5" w:rsidRPr="00500C4E" w:rsidRDefault="000C54B5" w:rsidP="00F656C9">
            <w:pPr>
              <w:rPr>
                <w:color w:val="FF0000"/>
                <w:szCs w:val="20"/>
              </w:rPr>
            </w:pPr>
            <w:r w:rsidRPr="00DC7F09">
              <w:t>Com-Default&gt;2yrs</w:t>
            </w:r>
          </w:p>
        </w:tc>
        <w:tc>
          <w:tcPr>
            <w:tcW w:w="2019" w:type="pct"/>
          </w:tcPr>
          <w:p w14:paraId="755799BF" w14:textId="46CE5522" w:rsidR="000C54B5" w:rsidRPr="00500C4E" w:rsidRDefault="000C54B5" w:rsidP="00F656C9">
            <w:pPr>
              <w:rPr>
                <w:color w:val="FF0000"/>
                <w:szCs w:val="20"/>
              </w:rPr>
            </w:pPr>
            <w:r w:rsidRPr="00F40CE4">
              <w:t>All other EEMs with no evaluated NTGR; existing EEM in programs with same delivery mechanism for more than 2 years</w:t>
            </w:r>
          </w:p>
        </w:tc>
        <w:tc>
          <w:tcPr>
            <w:tcW w:w="434" w:type="pct"/>
          </w:tcPr>
          <w:p w14:paraId="3CB22E86" w14:textId="71555B55" w:rsidR="000C54B5" w:rsidRPr="00500C4E" w:rsidRDefault="000C54B5" w:rsidP="00F656C9">
            <w:pPr>
              <w:rPr>
                <w:color w:val="FF0000"/>
                <w:szCs w:val="20"/>
              </w:rPr>
            </w:pPr>
            <w:r w:rsidRPr="00F40CE4">
              <w:t>Com</w:t>
            </w:r>
          </w:p>
        </w:tc>
        <w:tc>
          <w:tcPr>
            <w:tcW w:w="529" w:type="pct"/>
          </w:tcPr>
          <w:p w14:paraId="1AAF8C8B" w14:textId="2ABC529A" w:rsidR="000C54B5" w:rsidRPr="00500C4E" w:rsidRDefault="000C54B5" w:rsidP="00F656C9">
            <w:pPr>
              <w:rPr>
                <w:color w:val="FF0000"/>
                <w:szCs w:val="20"/>
              </w:rPr>
            </w:pPr>
            <w:r w:rsidRPr="00F40CE4">
              <w:t>Any</w:t>
            </w:r>
          </w:p>
        </w:tc>
        <w:tc>
          <w:tcPr>
            <w:tcW w:w="915" w:type="pct"/>
          </w:tcPr>
          <w:p w14:paraId="5BAF7D5F" w14:textId="0E14CAFE" w:rsidR="000C54B5" w:rsidRPr="00500C4E" w:rsidRDefault="000C54B5" w:rsidP="00F656C9">
            <w:pPr>
              <w:rPr>
                <w:color w:val="FF0000"/>
                <w:szCs w:val="20"/>
              </w:rPr>
            </w:pPr>
            <w:r w:rsidRPr="00F40CE4">
              <w:t>Any</w:t>
            </w:r>
          </w:p>
        </w:tc>
        <w:tc>
          <w:tcPr>
            <w:tcW w:w="430" w:type="pct"/>
          </w:tcPr>
          <w:p w14:paraId="76698D49" w14:textId="22EA0975" w:rsidR="000C54B5" w:rsidRPr="00970533" w:rsidRDefault="000C54B5" w:rsidP="00F656C9">
            <w:pPr>
              <w:rPr>
                <w:color w:val="FF0000"/>
                <w:szCs w:val="20"/>
              </w:rPr>
            </w:pPr>
            <w:r w:rsidRPr="00970533">
              <w:t>0.60</w:t>
            </w:r>
          </w:p>
        </w:tc>
      </w:tr>
      <w:tr w:rsidR="000C54B5" w:rsidRPr="00500C4E" w14:paraId="29E3240C" w14:textId="77777777" w:rsidTr="00F656C9">
        <w:tc>
          <w:tcPr>
            <w:tcW w:w="673" w:type="pct"/>
          </w:tcPr>
          <w:p w14:paraId="6AC7CD6F" w14:textId="10AB5FD2" w:rsidR="000C54B5" w:rsidRPr="00500C4E" w:rsidRDefault="000C54B5" w:rsidP="00F656C9">
            <w:pPr>
              <w:rPr>
                <w:color w:val="FF0000"/>
                <w:szCs w:val="20"/>
              </w:rPr>
            </w:pPr>
            <w:proofErr w:type="spellStart"/>
            <w:r w:rsidRPr="00DC7F09">
              <w:t>Ind</w:t>
            </w:r>
            <w:proofErr w:type="spellEnd"/>
            <w:r w:rsidRPr="00DC7F09">
              <w:t>-Default&gt;2yrs</w:t>
            </w:r>
          </w:p>
        </w:tc>
        <w:tc>
          <w:tcPr>
            <w:tcW w:w="2019" w:type="pct"/>
          </w:tcPr>
          <w:p w14:paraId="0E210D12" w14:textId="0779A181" w:rsidR="000C54B5" w:rsidRPr="00500C4E" w:rsidRDefault="000C54B5" w:rsidP="00F656C9">
            <w:pPr>
              <w:rPr>
                <w:color w:val="FF0000"/>
                <w:szCs w:val="20"/>
              </w:rPr>
            </w:pPr>
            <w:r w:rsidRPr="00F40CE4">
              <w:t>All other EEMs with no evaluated NTGR; existing EEM in programs with same delivery mechanism for more than 2 years</w:t>
            </w:r>
          </w:p>
        </w:tc>
        <w:tc>
          <w:tcPr>
            <w:tcW w:w="434" w:type="pct"/>
          </w:tcPr>
          <w:p w14:paraId="24FF14AD" w14:textId="603576BA" w:rsidR="000C54B5" w:rsidRPr="00500C4E" w:rsidRDefault="000C54B5" w:rsidP="00F656C9">
            <w:pPr>
              <w:rPr>
                <w:color w:val="FF0000"/>
                <w:szCs w:val="20"/>
              </w:rPr>
            </w:pPr>
            <w:proofErr w:type="spellStart"/>
            <w:r w:rsidRPr="00F40CE4">
              <w:t>Ind</w:t>
            </w:r>
            <w:proofErr w:type="spellEnd"/>
          </w:p>
        </w:tc>
        <w:tc>
          <w:tcPr>
            <w:tcW w:w="529" w:type="pct"/>
          </w:tcPr>
          <w:p w14:paraId="68C8FFF8" w14:textId="7E18A57E" w:rsidR="000C54B5" w:rsidRPr="00500C4E" w:rsidRDefault="000C54B5" w:rsidP="00F656C9">
            <w:pPr>
              <w:rPr>
                <w:color w:val="FF0000"/>
                <w:szCs w:val="20"/>
              </w:rPr>
            </w:pPr>
            <w:r w:rsidRPr="00F40CE4">
              <w:t>Any</w:t>
            </w:r>
          </w:p>
        </w:tc>
        <w:tc>
          <w:tcPr>
            <w:tcW w:w="915" w:type="pct"/>
          </w:tcPr>
          <w:p w14:paraId="0210C61B" w14:textId="1291D082" w:rsidR="000C54B5" w:rsidRPr="00500C4E" w:rsidRDefault="000C54B5" w:rsidP="00F656C9">
            <w:pPr>
              <w:rPr>
                <w:color w:val="FF0000"/>
                <w:szCs w:val="20"/>
              </w:rPr>
            </w:pPr>
            <w:r w:rsidRPr="00F40CE4">
              <w:t>Any</w:t>
            </w:r>
          </w:p>
        </w:tc>
        <w:tc>
          <w:tcPr>
            <w:tcW w:w="430" w:type="pct"/>
          </w:tcPr>
          <w:p w14:paraId="588CBAB2" w14:textId="7EF8B6C2" w:rsidR="000C54B5" w:rsidRPr="00970533" w:rsidRDefault="000C54B5" w:rsidP="00F656C9">
            <w:pPr>
              <w:rPr>
                <w:color w:val="FF0000"/>
                <w:szCs w:val="20"/>
              </w:rPr>
            </w:pPr>
            <w:r w:rsidRPr="00970533">
              <w:t>0.60</w:t>
            </w:r>
          </w:p>
        </w:tc>
      </w:tr>
      <w:tr w:rsidR="000C54B5" w:rsidRPr="00500C4E" w14:paraId="08F17491" w14:textId="77777777" w:rsidTr="00F656C9">
        <w:tc>
          <w:tcPr>
            <w:tcW w:w="673" w:type="pct"/>
          </w:tcPr>
          <w:p w14:paraId="09EAA1A0" w14:textId="1987BD74" w:rsidR="000C54B5" w:rsidRPr="00500C4E" w:rsidRDefault="000C54B5" w:rsidP="00F656C9">
            <w:pPr>
              <w:rPr>
                <w:color w:val="FF0000"/>
                <w:szCs w:val="20"/>
              </w:rPr>
            </w:pPr>
            <w:proofErr w:type="spellStart"/>
            <w:r w:rsidRPr="00DC7F09">
              <w:t>Agric</w:t>
            </w:r>
            <w:proofErr w:type="spellEnd"/>
            <w:r w:rsidRPr="00DC7F09">
              <w:t>-Default&gt;2yrs</w:t>
            </w:r>
          </w:p>
        </w:tc>
        <w:tc>
          <w:tcPr>
            <w:tcW w:w="2019" w:type="pct"/>
          </w:tcPr>
          <w:p w14:paraId="0947329F" w14:textId="26881EC6" w:rsidR="000C54B5" w:rsidRPr="00500C4E" w:rsidRDefault="000C54B5" w:rsidP="00F656C9">
            <w:pPr>
              <w:rPr>
                <w:color w:val="FF0000"/>
                <w:szCs w:val="20"/>
              </w:rPr>
            </w:pPr>
            <w:r w:rsidRPr="00F40CE4">
              <w:t>All other EEMs with no evaluated NTGR; existing EEM in programs with same delivery mechanism for more than 2 years</w:t>
            </w:r>
          </w:p>
        </w:tc>
        <w:tc>
          <w:tcPr>
            <w:tcW w:w="434" w:type="pct"/>
          </w:tcPr>
          <w:p w14:paraId="0B6DB9C8" w14:textId="4F1153CB" w:rsidR="000C54B5" w:rsidRPr="00500C4E" w:rsidRDefault="000C54B5" w:rsidP="00F656C9">
            <w:pPr>
              <w:rPr>
                <w:color w:val="FF0000"/>
                <w:szCs w:val="20"/>
              </w:rPr>
            </w:pPr>
            <w:r w:rsidRPr="00F40CE4">
              <w:t>Ag</w:t>
            </w:r>
          </w:p>
        </w:tc>
        <w:tc>
          <w:tcPr>
            <w:tcW w:w="529" w:type="pct"/>
          </w:tcPr>
          <w:p w14:paraId="0B7CF418" w14:textId="66C85F9F" w:rsidR="000C54B5" w:rsidRPr="00500C4E" w:rsidRDefault="000C54B5" w:rsidP="00F656C9">
            <w:pPr>
              <w:rPr>
                <w:color w:val="FF0000"/>
                <w:szCs w:val="20"/>
              </w:rPr>
            </w:pPr>
            <w:r w:rsidRPr="00F40CE4">
              <w:t>Any</w:t>
            </w:r>
          </w:p>
        </w:tc>
        <w:tc>
          <w:tcPr>
            <w:tcW w:w="915" w:type="pct"/>
          </w:tcPr>
          <w:p w14:paraId="53ACE64E" w14:textId="30093E8A" w:rsidR="000C54B5" w:rsidRPr="00500C4E" w:rsidRDefault="000C54B5" w:rsidP="00F656C9">
            <w:pPr>
              <w:rPr>
                <w:color w:val="FF0000"/>
                <w:szCs w:val="20"/>
              </w:rPr>
            </w:pPr>
            <w:r w:rsidRPr="00F40CE4">
              <w:t>Any</w:t>
            </w:r>
          </w:p>
        </w:tc>
        <w:tc>
          <w:tcPr>
            <w:tcW w:w="430" w:type="pct"/>
          </w:tcPr>
          <w:p w14:paraId="2B0C10E9" w14:textId="6DB0FD8F" w:rsidR="000C54B5" w:rsidRPr="00970533" w:rsidRDefault="000C54B5" w:rsidP="00F656C9">
            <w:pPr>
              <w:rPr>
                <w:color w:val="FF0000"/>
                <w:szCs w:val="20"/>
              </w:rPr>
            </w:pPr>
            <w:r w:rsidRPr="00970533">
              <w:t>0.60</w:t>
            </w:r>
          </w:p>
        </w:tc>
      </w:tr>
      <w:tr w:rsidR="000C54B5" w:rsidRPr="00500C4E" w14:paraId="522A6155" w14:textId="77777777" w:rsidTr="00F656C9">
        <w:tc>
          <w:tcPr>
            <w:tcW w:w="673" w:type="pct"/>
          </w:tcPr>
          <w:p w14:paraId="42C4483A" w14:textId="077BCD88" w:rsidR="000C54B5" w:rsidRPr="00500C4E" w:rsidRDefault="000C54B5" w:rsidP="00F656C9">
            <w:pPr>
              <w:rPr>
                <w:color w:val="FF0000"/>
                <w:szCs w:val="20"/>
              </w:rPr>
            </w:pPr>
            <w:r w:rsidRPr="00DC7F09">
              <w:t>Res-Default-HTR-di</w:t>
            </w:r>
          </w:p>
        </w:tc>
        <w:tc>
          <w:tcPr>
            <w:tcW w:w="2019" w:type="pct"/>
          </w:tcPr>
          <w:p w14:paraId="7F13B0CF" w14:textId="39FC5774" w:rsidR="000C54B5" w:rsidRPr="00500C4E" w:rsidRDefault="000C54B5" w:rsidP="00F656C9">
            <w:pPr>
              <w:rPr>
                <w:color w:val="FF0000"/>
                <w:szCs w:val="20"/>
              </w:rPr>
            </w:pPr>
            <w:r w:rsidRPr="00F40CE4">
              <w:t>All other EEM with no evaluated NTGR; direct install hard-to-reach only.</w:t>
            </w:r>
          </w:p>
        </w:tc>
        <w:tc>
          <w:tcPr>
            <w:tcW w:w="434" w:type="pct"/>
          </w:tcPr>
          <w:p w14:paraId="3172E9F0" w14:textId="20B3C466" w:rsidR="000C54B5" w:rsidRPr="00500C4E" w:rsidRDefault="000C54B5" w:rsidP="00F656C9">
            <w:pPr>
              <w:rPr>
                <w:color w:val="FF0000"/>
                <w:szCs w:val="20"/>
              </w:rPr>
            </w:pPr>
            <w:r w:rsidRPr="00F40CE4">
              <w:t>Res</w:t>
            </w:r>
          </w:p>
        </w:tc>
        <w:tc>
          <w:tcPr>
            <w:tcW w:w="529" w:type="pct"/>
          </w:tcPr>
          <w:p w14:paraId="208575E1" w14:textId="2B824CEE" w:rsidR="000C54B5" w:rsidRPr="00500C4E" w:rsidRDefault="000C54B5" w:rsidP="00F656C9">
            <w:pPr>
              <w:rPr>
                <w:color w:val="FF0000"/>
                <w:szCs w:val="20"/>
              </w:rPr>
            </w:pPr>
            <w:r w:rsidRPr="00F40CE4">
              <w:t>Any</w:t>
            </w:r>
          </w:p>
        </w:tc>
        <w:tc>
          <w:tcPr>
            <w:tcW w:w="915" w:type="pct"/>
          </w:tcPr>
          <w:p w14:paraId="3B07FC79" w14:textId="40CE1210" w:rsidR="000C54B5" w:rsidRPr="00500C4E" w:rsidRDefault="000C54B5" w:rsidP="00F656C9">
            <w:pPr>
              <w:rPr>
                <w:color w:val="FF0000"/>
                <w:szCs w:val="20"/>
              </w:rPr>
            </w:pPr>
            <w:proofErr w:type="spellStart"/>
            <w:r w:rsidRPr="00F40CE4">
              <w:t>DirInstall</w:t>
            </w:r>
            <w:proofErr w:type="spellEnd"/>
          </w:p>
        </w:tc>
        <w:tc>
          <w:tcPr>
            <w:tcW w:w="430" w:type="pct"/>
          </w:tcPr>
          <w:p w14:paraId="3C6D8F97" w14:textId="3C97D438" w:rsidR="000C54B5" w:rsidRPr="00970533" w:rsidRDefault="000C54B5" w:rsidP="00F656C9">
            <w:pPr>
              <w:rPr>
                <w:color w:val="FF0000"/>
                <w:szCs w:val="20"/>
              </w:rPr>
            </w:pPr>
            <w:r w:rsidRPr="00970533">
              <w:t>0.85</w:t>
            </w:r>
          </w:p>
        </w:tc>
      </w:tr>
      <w:tr w:rsidR="000C54B5" w:rsidRPr="00500C4E" w14:paraId="292AA6B2" w14:textId="77777777" w:rsidTr="00F656C9">
        <w:tc>
          <w:tcPr>
            <w:tcW w:w="673" w:type="pct"/>
          </w:tcPr>
          <w:p w14:paraId="3EE4CCAD" w14:textId="60BE3643" w:rsidR="000C54B5" w:rsidRPr="00500C4E" w:rsidRDefault="00BE3CB1" w:rsidP="00F656C9">
            <w:pPr>
              <w:rPr>
                <w:color w:val="FF0000"/>
                <w:szCs w:val="20"/>
              </w:rPr>
            </w:pPr>
            <w:r>
              <w:t>Com-Default-HTR</w:t>
            </w:r>
            <w:r w:rsidR="000C54B5" w:rsidRPr="00DC7F09">
              <w:t>-di</w:t>
            </w:r>
          </w:p>
        </w:tc>
        <w:tc>
          <w:tcPr>
            <w:tcW w:w="2019" w:type="pct"/>
          </w:tcPr>
          <w:p w14:paraId="6A8CD7AC" w14:textId="27B52B1B" w:rsidR="000C54B5" w:rsidRPr="00500C4E" w:rsidRDefault="000C54B5" w:rsidP="00F656C9">
            <w:pPr>
              <w:rPr>
                <w:color w:val="FF0000"/>
                <w:szCs w:val="20"/>
              </w:rPr>
            </w:pPr>
            <w:r w:rsidRPr="00F40CE4">
              <w:t>All other EEM with no evaluated NTGR; direct install to hard-to-reach only.</w:t>
            </w:r>
          </w:p>
        </w:tc>
        <w:tc>
          <w:tcPr>
            <w:tcW w:w="434" w:type="pct"/>
          </w:tcPr>
          <w:p w14:paraId="383ABE9F" w14:textId="6C437E93" w:rsidR="000C54B5" w:rsidRPr="00500C4E" w:rsidRDefault="000C54B5" w:rsidP="00F656C9">
            <w:pPr>
              <w:rPr>
                <w:color w:val="FF0000"/>
                <w:szCs w:val="20"/>
              </w:rPr>
            </w:pPr>
            <w:r w:rsidRPr="00F40CE4">
              <w:t>Com</w:t>
            </w:r>
          </w:p>
        </w:tc>
        <w:tc>
          <w:tcPr>
            <w:tcW w:w="529" w:type="pct"/>
          </w:tcPr>
          <w:p w14:paraId="40AFAB22" w14:textId="745BD073" w:rsidR="000C54B5" w:rsidRPr="00500C4E" w:rsidRDefault="000C54B5" w:rsidP="00F656C9">
            <w:pPr>
              <w:rPr>
                <w:color w:val="FF0000"/>
                <w:szCs w:val="20"/>
              </w:rPr>
            </w:pPr>
            <w:r w:rsidRPr="00F40CE4">
              <w:t>Any</w:t>
            </w:r>
          </w:p>
        </w:tc>
        <w:tc>
          <w:tcPr>
            <w:tcW w:w="915" w:type="pct"/>
          </w:tcPr>
          <w:p w14:paraId="2E451B3B" w14:textId="0158C025" w:rsidR="000C54B5" w:rsidRPr="00500C4E" w:rsidRDefault="000C54B5" w:rsidP="00F656C9">
            <w:pPr>
              <w:rPr>
                <w:color w:val="FF0000"/>
                <w:szCs w:val="20"/>
              </w:rPr>
            </w:pPr>
            <w:proofErr w:type="spellStart"/>
            <w:r w:rsidRPr="00F40CE4">
              <w:t>DirInstall</w:t>
            </w:r>
            <w:proofErr w:type="spellEnd"/>
          </w:p>
        </w:tc>
        <w:tc>
          <w:tcPr>
            <w:tcW w:w="430" w:type="pct"/>
          </w:tcPr>
          <w:p w14:paraId="2C328525" w14:textId="44D0025D" w:rsidR="000C54B5" w:rsidRPr="00970533" w:rsidRDefault="000C54B5" w:rsidP="00F656C9">
            <w:pPr>
              <w:rPr>
                <w:color w:val="FF0000"/>
                <w:szCs w:val="20"/>
              </w:rPr>
            </w:pPr>
            <w:r w:rsidRPr="00970533">
              <w:t>0.85</w:t>
            </w:r>
          </w:p>
        </w:tc>
      </w:tr>
      <w:tr w:rsidR="000C54B5" w:rsidRPr="00500C4E" w14:paraId="063B4333" w14:textId="77777777" w:rsidTr="00F656C9">
        <w:tc>
          <w:tcPr>
            <w:tcW w:w="673" w:type="pct"/>
          </w:tcPr>
          <w:p w14:paraId="6449D4BA" w14:textId="05A3CE30" w:rsidR="000C54B5" w:rsidRPr="00500C4E" w:rsidRDefault="00BE3CB1" w:rsidP="00F656C9">
            <w:pPr>
              <w:rPr>
                <w:color w:val="FF0000"/>
                <w:szCs w:val="20"/>
              </w:rPr>
            </w:pPr>
            <w:proofErr w:type="spellStart"/>
            <w:r>
              <w:t>Ind</w:t>
            </w:r>
            <w:proofErr w:type="spellEnd"/>
            <w:r>
              <w:t>-Default-HTR</w:t>
            </w:r>
            <w:r w:rsidR="000C54B5" w:rsidRPr="00DC7F09">
              <w:t>-di</w:t>
            </w:r>
          </w:p>
        </w:tc>
        <w:tc>
          <w:tcPr>
            <w:tcW w:w="2019" w:type="pct"/>
          </w:tcPr>
          <w:p w14:paraId="7F72CA25" w14:textId="7AF78918" w:rsidR="000C54B5" w:rsidRPr="00500C4E" w:rsidRDefault="000C54B5" w:rsidP="00F656C9">
            <w:pPr>
              <w:rPr>
                <w:color w:val="FF0000"/>
                <w:szCs w:val="20"/>
              </w:rPr>
            </w:pPr>
            <w:r w:rsidRPr="00F40CE4">
              <w:t>All other EEM with no evaluated NTGR; direct install to hard-to-reach only.</w:t>
            </w:r>
          </w:p>
        </w:tc>
        <w:tc>
          <w:tcPr>
            <w:tcW w:w="434" w:type="pct"/>
          </w:tcPr>
          <w:p w14:paraId="71C1E0D4" w14:textId="055344D3" w:rsidR="000C54B5" w:rsidRPr="00500C4E" w:rsidRDefault="000C54B5" w:rsidP="00F656C9">
            <w:pPr>
              <w:rPr>
                <w:color w:val="FF0000"/>
                <w:szCs w:val="20"/>
              </w:rPr>
            </w:pPr>
            <w:proofErr w:type="spellStart"/>
            <w:r w:rsidRPr="00F40CE4">
              <w:t>Ind</w:t>
            </w:r>
            <w:proofErr w:type="spellEnd"/>
          </w:p>
        </w:tc>
        <w:tc>
          <w:tcPr>
            <w:tcW w:w="529" w:type="pct"/>
          </w:tcPr>
          <w:p w14:paraId="35DB1ABB" w14:textId="668403BA" w:rsidR="000C54B5" w:rsidRPr="00500C4E" w:rsidRDefault="000C54B5" w:rsidP="00F656C9">
            <w:pPr>
              <w:rPr>
                <w:color w:val="FF0000"/>
                <w:szCs w:val="20"/>
              </w:rPr>
            </w:pPr>
            <w:r w:rsidRPr="00F40CE4">
              <w:t>Any</w:t>
            </w:r>
          </w:p>
        </w:tc>
        <w:tc>
          <w:tcPr>
            <w:tcW w:w="915" w:type="pct"/>
          </w:tcPr>
          <w:p w14:paraId="319D3933" w14:textId="718FF5CC" w:rsidR="000C54B5" w:rsidRPr="00500C4E" w:rsidRDefault="000C54B5" w:rsidP="00F656C9">
            <w:pPr>
              <w:rPr>
                <w:color w:val="FF0000"/>
                <w:szCs w:val="20"/>
              </w:rPr>
            </w:pPr>
            <w:proofErr w:type="spellStart"/>
            <w:r w:rsidRPr="00F40CE4">
              <w:t>DirInstall</w:t>
            </w:r>
            <w:proofErr w:type="spellEnd"/>
          </w:p>
        </w:tc>
        <w:tc>
          <w:tcPr>
            <w:tcW w:w="430" w:type="pct"/>
          </w:tcPr>
          <w:p w14:paraId="77A81504" w14:textId="3AD57D49" w:rsidR="000C54B5" w:rsidRPr="00970533" w:rsidRDefault="000C54B5" w:rsidP="00F656C9">
            <w:pPr>
              <w:rPr>
                <w:color w:val="FF0000"/>
                <w:szCs w:val="20"/>
              </w:rPr>
            </w:pPr>
            <w:r w:rsidRPr="00970533">
              <w:t>0.85</w:t>
            </w:r>
          </w:p>
        </w:tc>
      </w:tr>
      <w:tr w:rsidR="000C54B5" w:rsidRPr="00500C4E" w14:paraId="47F87685" w14:textId="77777777" w:rsidTr="00F656C9">
        <w:tc>
          <w:tcPr>
            <w:tcW w:w="673" w:type="pct"/>
          </w:tcPr>
          <w:p w14:paraId="2A8DC209" w14:textId="74E5E9D0" w:rsidR="000C54B5" w:rsidRPr="00500C4E" w:rsidRDefault="00BE3CB1" w:rsidP="00F656C9">
            <w:pPr>
              <w:rPr>
                <w:color w:val="FF0000"/>
                <w:szCs w:val="20"/>
              </w:rPr>
            </w:pPr>
            <w:proofErr w:type="spellStart"/>
            <w:r>
              <w:t>Agricult</w:t>
            </w:r>
            <w:proofErr w:type="spellEnd"/>
            <w:r>
              <w:t>-Default-HTR</w:t>
            </w:r>
            <w:r w:rsidR="000C54B5" w:rsidRPr="00DC7F09">
              <w:t>-di</w:t>
            </w:r>
          </w:p>
        </w:tc>
        <w:tc>
          <w:tcPr>
            <w:tcW w:w="2019" w:type="pct"/>
          </w:tcPr>
          <w:p w14:paraId="1B59AA30" w14:textId="2B341BD5" w:rsidR="000C54B5" w:rsidRPr="00500C4E" w:rsidRDefault="000C54B5" w:rsidP="00F656C9">
            <w:pPr>
              <w:rPr>
                <w:color w:val="FF0000"/>
                <w:szCs w:val="20"/>
              </w:rPr>
            </w:pPr>
            <w:r w:rsidRPr="00F40CE4">
              <w:t>All other EEM with no evaluated NTGR; direct install to hard-to-reach only.</w:t>
            </w:r>
          </w:p>
        </w:tc>
        <w:tc>
          <w:tcPr>
            <w:tcW w:w="434" w:type="pct"/>
          </w:tcPr>
          <w:p w14:paraId="59E2C1E3" w14:textId="091C8AB5" w:rsidR="000C54B5" w:rsidRPr="00500C4E" w:rsidRDefault="000C54B5" w:rsidP="00F656C9">
            <w:pPr>
              <w:rPr>
                <w:color w:val="FF0000"/>
                <w:szCs w:val="20"/>
              </w:rPr>
            </w:pPr>
            <w:r w:rsidRPr="00F40CE4">
              <w:t>Ag</w:t>
            </w:r>
          </w:p>
        </w:tc>
        <w:tc>
          <w:tcPr>
            <w:tcW w:w="529" w:type="pct"/>
          </w:tcPr>
          <w:p w14:paraId="6B35021F" w14:textId="2701EA71" w:rsidR="000C54B5" w:rsidRPr="00500C4E" w:rsidRDefault="000C54B5" w:rsidP="00F656C9">
            <w:pPr>
              <w:rPr>
                <w:color w:val="FF0000"/>
                <w:szCs w:val="20"/>
              </w:rPr>
            </w:pPr>
            <w:r w:rsidRPr="00F40CE4">
              <w:t>Any</w:t>
            </w:r>
          </w:p>
        </w:tc>
        <w:tc>
          <w:tcPr>
            <w:tcW w:w="915" w:type="pct"/>
          </w:tcPr>
          <w:p w14:paraId="6B9F453D" w14:textId="0F8BBCBB" w:rsidR="000C54B5" w:rsidRPr="00500C4E" w:rsidRDefault="000C54B5" w:rsidP="00F656C9">
            <w:pPr>
              <w:rPr>
                <w:color w:val="FF0000"/>
                <w:szCs w:val="20"/>
              </w:rPr>
            </w:pPr>
            <w:proofErr w:type="spellStart"/>
            <w:r w:rsidRPr="00F40CE4">
              <w:t>DirInstall</w:t>
            </w:r>
            <w:proofErr w:type="spellEnd"/>
          </w:p>
        </w:tc>
        <w:tc>
          <w:tcPr>
            <w:tcW w:w="430" w:type="pct"/>
          </w:tcPr>
          <w:p w14:paraId="5830173D" w14:textId="7ED416F0" w:rsidR="000C54B5" w:rsidRPr="00970533" w:rsidRDefault="000C54B5" w:rsidP="00F656C9">
            <w:pPr>
              <w:rPr>
                <w:color w:val="FF0000"/>
                <w:szCs w:val="20"/>
              </w:rPr>
            </w:pPr>
            <w:r w:rsidRPr="00970533">
              <w:t>0.85</w:t>
            </w:r>
          </w:p>
        </w:tc>
      </w:tr>
    </w:tbl>
    <w:p w14:paraId="2595EDF1" w14:textId="2981008E" w:rsidR="000968C6" w:rsidRPr="000C54B5" w:rsidRDefault="00FB2590" w:rsidP="00727044">
      <w:pPr>
        <w:pStyle w:val="Reminders"/>
        <w:jc w:val="both"/>
        <w:rPr>
          <w:rFonts w:asciiTheme="minorHAnsi" w:hAnsiTheme="minorHAnsi" w:cstheme="minorHAnsi"/>
          <w:i w:val="0"/>
          <w:color w:val="auto"/>
          <w:sz w:val="20"/>
          <w:szCs w:val="20"/>
        </w:rPr>
      </w:pPr>
      <w:r w:rsidRPr="000C54B5">
        <w:rPr>
          <w:rFonts w:asciiTheme="minorHAnsi" w:hAnsiTheme="minorHAnsi" w:cstheme="minorHAnsi"/>
          <w:i w:val="0"/>
          <w:color w:val="auto"/>
          <w:sz w:val="20"/>
          <w:szCs w:val="20"/>
        </w:rPr>
        <w:t>Note: Direct install measures that are not hard-to-reach will use the default NTG value.</w:t>
      </w:r>
    </w:p>
    <w:p w14:paraId="225DD927" w14:textId="77777777" w:rsidR="00E5393D" w:rsidRDefault="00E5393D" w:rsidP="00727044">
      <w:pPr>
        <w:pStyle w:val="Reminders"/>
        <w:jc w:val="both"/>
        <w:rPr>
          <w:rFonts w:asciiTheme="minorHAnsi" w:hAnsiTheme="minorHAnsi" w:cstheme="minorHAnsi"/>
          <w:i w:val="0"/>
          <w:color w:val="auto"/>
          <w:szCs w:val="22"/>
        </w:rPr>
      </w:pPr>
      <w:r w:rsidRPr="00FD53A0">
        <w:rPr>
          <w:rFonts w:asciiTheme="minorHAnsi" w:hAnsiTheme="minorHAnsi" w:cstheme="minorHAnsi"/>
          <w:i w:val="0"/>
          <w:color w:val="auto"/>
          <w:szCs w:val="22"/>
        </w:rPr>
        <w:t xml:space="preserve">This work paper includes measures that are offered via direct install activities into hard-to-reach (HTR) customer homes.  “Final Resolution E-4700”, dated December 18, 2014, defines specific criteria to classify customer homes as HTR. The “Required Corrections to Measure Level Input Parameters Identified by Commission Staff per D.14-10-046 Order Paragraph 16”, dated November 3, 2014, includes additional clarification for the geographic criteria.  </w:t>
      </w:r>
    </w:p>
    <w:p w14:paraId="5F3FD667" w14:textId="77777777" w:rsidR="00E5393D" w:rsidRPr="00FD53A0" w:rsidRDefault="00E5393D" w:rsidP="00727044">
      <w:pPr>
        <w:pStyle w:val="Reminders"/>
        <w:jc w:val="both"/>
        <w:rPr>
          <w:rFonts w:asciiTheme="minorHAnsi" w:hAnsiTheme="minorHAnsi" w:cstheme="minorHAnsi"/>
          <w:i w:val="0"/>
          <w:color w:val="auto"/>
          <w:szCs w:val="22"/>
        </w:rPr>
      </w:pPr>
      <w:r w:rsidRPr="00FD53A0">
        <w:rPr>
          <w:rFonts w:asciiTheme="minorHAnsi" w:hAnsiTheme="minorHAnsi" w:cstheme="minorHAnsi"/>
          <w:i w:val="0"/>
          <w:color w:val="auto"/>
          <w:szCs w:val="22"/>
        </w:rPr>
        <w:t>SCE’s Multi-Family Energy Efficiency Rebate (MFEER) program addresses the ongoing concern with “split incentives”, where the residents are not the owners of the property, so they lack incentive to improve their energy usage. Similarly, the property owners do not live on-site and pay higher utility expenses due to inefficient appliances, thus lack any incentive to upgrade. The MFEER is designed to drive this customer segment toward participation by offering property owners a variety of energy efficiency measures and services.  The MFEER program will offer and track measure installations in both common and dwelling areas of multifamily complexes and common areas of mobile home parks and condominiums.  Measures offered via direct install activities in both common and dwelling areas of multifamily complexes and common areas of mobile home parks and condominiums will receive the HTR NTG.  Other measures in the MFEER program will receive default NTG (NTGR_ID: Res-Default&gt;2), unless otherwise specified in DEER.</w:t>
      </w:r>
    </w:p>
    <w:p w14:paraId="6E147874" w14:textId="77777777" w:rsidR="00E5393D" w:rsidRDefault="00E5393D" w:rsidP="00727044">
      <w:pPr>
        <w:jc w:val="both"/>
        <w:rPr>
          <w:color w:val="000000" w:themeColor="text1"/>
        </w:rPr>
      </w:pPr>
    </w:p>
    <w:p w14:paraId="13BF4F72" w14:textId="2F11157F" w:rsidR="000C54B5" w:rsidRDefault="000C54B5" w:rsidP="00727044">
      <w:pPr>
        <w:jc w:val="both"/>
        <w:rPr>
          <w:color w:val="000000" w:themeColor="text1"/>
          <w:szCs w:val="22"/>
        </w:rPr>
      </w:pPr>
      <w:r>
        <w:rPr>
          <w:color w:val="000000" w:themeColor="text1"/>
        </w:rPr>
        <w:t xml:space="preserve">This work paper </w:t>
      </w:r>
      <w:r w:rsidR="00E5393D">
        <w:rPr>
          <w:color w:val="000000" w:themeColor="text1"/>
        </w:rPr>
        <w:t xml:space="preserve">also </w:t>
      </w:r>
      <w:r>
        <w:rPr>
          <w:color w:val="000000" w:themeColor="text1"/>
        </w:rPr>
        <w:t xml:space="preserve">includes measures that are offered via direct install activities into hard-to-reach (HTR) customer facilities.  “Final Resolution E-4700”, dated December 18, 2014, defines specific criteria to </w:t>
      </w:r>
      <w:r>
        <w:rPr>
          <w:color w:val="000000" w:themeColor="text1"/>
        </w:rPr>
        <w:lastRenderedPageBreak/>
        <w:t xml:space="preserve">classify customer facilities as HTR and also states that two criteria are sufficient to identify HTR customers if one of the criteria met is the geographic criteria.  </w:t>
      </w:r>
    </w:p>
    <w:p w14:paraId="2D578362" w14:textId="77777777" w:rsidR="000C54B5" w:rsidRDefault="000C54B5" w:rsidP="00727044">
      <w:pPr>
        <w:jc w:val="both"/>
        <w:rPr>
          <w:color w:val="000000" w:themeColor="text1"/>
        </w:rPr>
      </w:pPr>
      <w:r>
        <w:rPr>
          <w:color w:val="000000" w:themeColor="text1"/>
        </w:rPr>
        <w:t>SCE’s Commercial Direct Install program delivers free and low cost energy efficiency hardware retrofits through installation contractors to reduce peak demand and energy savings for small and medium commercial customers.  The barriers for customer participation include limited capital resources, lack of expertise and understanding of the understanding of the benefits of energy efficiency, a suspicion of the “free offer” and its legitimacy, and language and cultural barriers.  The program also addresses the ongoing concern with “split incentives”, where the customer is not the owner of the property, and therefore, lack incentive to improve their energy usage.  SCE’s Commercial Direct Install program will track the following three (3) customer data points to identify direct install activities in HTR customer facilities.  If geography and business size criteria are satisfied, SCE will identify the customer as HTR.  If geography and language criteria are satisfied, SCE will identify the customer as HTR.  Other measures in the Commercial Direct Install program will receive default NTG (NTGR_ID: Com-Default&gt;2), unless otherwise specified in DEER.</w:t>
      </w:r>
    </w:p>
    <w:p w14:paraId="11581E92" w14:textId="77777777" w:rsidR="000C54B5" w:rsidRDefault="000C54B5" w:rsidP="000C54B5">
      <w:pPr>
        <w:rPr>
          <w:color w:val="000000" w:themeColor="text1"/>
        </w:rPr>
      </w:pPr>
    </w:p>
    <w:p w14:paraId="7C9983F4" w14:textId="77777777" w:rsidR="000C54B5" w:rsidRDefault="000C54B5" w:rsidP="000C54B5">
      <w:pPr>
        <w:rPr>
          <w:color w:val="000000" w:themeColor="text1"/>
        </w:rPr>
      </w:pPr>
      <w:proofErr w:type="gramStart"/>
      <w:r>
        <w:rPr>
          <w:color w:val="000000" w:themeColor="text1"/>
        </w:rPr>
        <w:t>o</w:t>
      </w:r>
      <w:proofErr w:type="gramEnd"/>
      <w:r>
        <w:rPr>
          <w:color w:val="000000" w:themeColor="text1"/>
        </w:rPr>
        <w:tab/>
      </w:r>
      <w:r>
        <w:rPr>
          <w:b/>
          <w:color w:val="000000" w:themeColor="text1"/>
        </w:rPr>
        <w:t>Business Size</w:t>
      </w:r>
      <w:r>
        <w:rPr>
          <w:color w:val="000000" w:themeColor="text1"/>
        </w:rPr>
        <w:t xml:space="preserve"> – Customer must have less than ten employees </w:t>
      </w:r>
    </w:p>
    <w:p w14:paraId="28681B55" w14:textId="77777777" w:rsidR="000C54B5" w:rsidRDefault="000C54B5" w:rsidP="000C54B5">
      <w:pPr>
        <w:rPr>
          <w:color w:val="000000" w:themeColor="text1"/>
        </w:rPr>
      </w:pPr>
      <w:proofErr w:type="gramStart"/>
      <w:r>
        <w:rPr>
          <w:color w:val="000000" w:themeColor="text1"/>
        </w:rPr>
        <w:t>o</w:t>
      </w:r>
      <w:proofErr w:type="gramEnd"/>
      <w:r>
        <w:rPr>
          <w:color w:val="000000" w:themeColor="text1"/>
        </w:rPr>
        <w:tab/>
      </w:r>
      <w:r>
        <w:rPr>
          <w:b/>
          <w:color w:val="000000" w:themeColor="text1"/>
        </w:rPr>
        <w:t>Language</w:t>
      </w:r>
      <w:r>
        <w:rPr>
          <w:color w:val="000000" w:themeColor="text1"/>
        </w:rPr>
        <w:t xml:space="preserve"> – Customer’s primary language spoken is not English</w:t>
      </w:r>
    </w:p>
    <w:p w14:paraId="3CED50BD" w14:textId="77777777" w:rsidR="000C54B5" w:rsidRDefault="000C54B5" w:rsidP="000C54B5">
      <w:pPr>
        <w:ind w:left="720" w:hanging="720"/>
        <w:rPr>
          <w:color w:val="000000" w:themeColor="text1"/>
        </w:rPr>
      </w:pPr>
      <w:r>
        <w:rPr>
          <w:color w:val="000000" w:themeColor="text1"/>
        </w:rPr>
        <w:t>o</w:t>
      </w:r>
      <w:r>
        <w:rPr>
          <w:color w:val="000000" w:themeColor="text1"/>
        </w:rPr>
        <w:tab/>
      </w:r>
      <w:r>
        <w:rPr>
          <w:b/>
          <w:color w:val="000000" w:themeColor="text1"/>
        </w:rPr>
        <w:t>Geography</w:t>
      </w:r>
      <w:r>
        <w:rPr>
          <w:color w:val="000000" w:themeColor="text1"/>
        </w:rPr>
        <w:t xml:space="preserve"> – Businesses in areas other than the United States Office of Management and Budget (OMB) Combined Statistical Areas (CSA) of the San Francisco Bay Area,  the Greater Los Angeles Area and the Greater Sacramento Area  or the OBM metropolitan statistical areas or San Diego County</w:t>
      </w:r>
    </w:p>
    <w:p w14:paraId="773F39B9" w14:textId="77777777" w:rsidR="000C54B5" w:rsidRDefault="000C54B5" w:rsidP="000C54B5">
      <w:pPr>
        <w:ind w:left="720"/>
        <w:rPr>
          <w:color w:val="000000" w:themeColor="text1"/>
        </w:rPr>
      </w:pPr>
      <w:r>
        <w:rPr>
          <w:color w:val="000000" w:themeColor="text1"/>
        </w:rPr>
        <w:t>The “Required Corrections to Measure Level Input Parameters Identified by Commission Staff per D.14-10-046 Order Paragraph 16”, dated November 3, 2014, includes additional clarification for the geographic criteria:</w:t>
      </w:r>
    </w:p>
    <w:p w14:paraId="4F9670F5" w14:textId="77777777" w:rsidR="000C54B5" w:rsidRDefault="000C54B5" w:rsidP="000C54B5">
      <w:pPr>
        <w:ind w:left="720"/>
        <w:rPr>
          <w:color w:val="000000" w:themeColor="text1"/>
        </w:rPr>
      </w:pPr>
      <w:r>
        <w:rPr>
          <w:color w:val="000000" w:themeColor="text1"/>
        </w:rPr>
        <w:t>“Notes on OMB CSA designations:</w:t>
      </w:r>
    </w:p>
    <w:p w14:paraId="59783F7E" w14:textId="77777777" w:rsidR="000C54B5" w:rsidRDefault="000C54B5" w:rsidP="000C54B5">
      <w:pPr>
        <w:ind w:left="720"/>
        <w:rPr>
          <w:color w:val="000000" w:themeColor="text1"/>
        </w:rPr>
      </w:pPr>
      <w:r>
        <w:rPr>
          <w:color w:val="000000" w:themeColor="text1"/>
        </w:rPr>
        <w:t>The OMB has designated a 12-county CSA titled the San Jose-San Francisco-Oakland, CA Combined Statistical Area which includes the nine counties of Alameda, Contra Costa, Marin, Napa, San Francisco, San Mateo, Santa Clara, Solano, and Sonoma which border the San Francisco Bay plus the three counties of San Joaquin, Santa Cruz, and San Benito that are economically tied to the nine counties that that border the San Francisco Bay.”</w:t>
      </w:r>
    </w:p>
    <w:p w14:paraId="7528B277" w14:textId="77777777" w:rsidR="000C54B5" w:rsidRDefault="000C54B5" w:rsidP="000C54B5">
      <w:pPr>
        <w:ind w:left="720"/>
        <w:rPr>
          <w:color w:val="000000" w:themeColor="text1"/>
        </w:rPr>
      </w:pPr>
      <w:r>
        <w:rPr>
          <w:color w:val="000000" w:themeColor="text1"/>
        </w:rPr>
        <w:t xml:space="preserve">The OMB definition of this CSA includes Los Angeles, Orange, </w:t>
      </w:r>
      <w:proofErr w:type="gramStart"/>
      <w:r>
        <w:rPr>
          <w:color w:val="000000" w:themeColor="text1"/>
        </w:rPr>
        <w:t>San</w:t>
      </w:r>
      <w:proofErr w:type="gramEnd"/>
      <w:r>
        <w:rPr>
          <w:color w:val="000000" w:themeColor="text1"/>
        </w:rPr>
        <w:t xml:space="preserve"> Bernardino, Riverside and Ventura counties.</w:t>
      </w:r>
    </w:p>
    <w:p w14:paraId="54FF1BBB" w14:textId="2B964766" w:rsidR="000C54B5" w:rsidRPr="00961F29" w:rsidRDefault="000C54B5" w:rsidP="00961F29">
      <w:pPr>
        <w:ind w:left="720"/>
        <w:rPr>
          <w:rFonts w:ascii="Times New Roman" w:hAnsi="Times New Roman"/>
          <w:sz w:val="24"/>
        </w:rPr>
      </w:pPr>
      <w:r>
        <w:rPr>
          <w:color w:val="000000" w:themeColor="text1"/>
        </w:rPr>
        <w:t xml:space="preserve">The OMB definition of this CSA includes Sacramento, Yolo, </w:t>
      </w:r>
      <w:proofErr w:type="gramStart"/>
      <w:r>
        <w:rPr>
          <w:color w:val="000000" w:themeColor="text1"/>
        </w:rPr>
        <w:t>El</w:t>
      </w:r>
      <w:proofErr w:type="gramEnd"/>
      <w:r>
        <w:rPr>
          <w:color w:val="000000" w:themeColor="text1"/>
        </w:rPr>
        <w:t xml:space="preserve"> Dorado, Placer, Sutter, Yuba, and Nevada counties.” </w:t>
      </w:r>
    </w:p>
    <w:p w14:paraId="59D7AE19" w14:textId="77777777" w:rsidR="000C54B5" w:rsidRPr="00920905" w:rsidRDefault="000C54B5"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0C54B5" w14:paraId="1322279D" w14:textId="77777777" w:rsidTr="00920905">
        <w:tc>
          <w:tcPr>
            <w:tcW w:w="722" w:type="pct"/>
            <w:shd w:val="clear" w:color="auto" w:fill="D9D9D9" w:themeFill="background1" w:themeFillShade="D9"/>
          </w:tcPr>
          <w:p w14:paraId="75105F70" w14:textId="77777777" w:rsidR="006B4A48" w:rsidRPr="000C54B5" w:rsidRDefault="00BA2E7E" w:rsidP="005729C8">
            <w:pPr>
              <w:rPr>
                <w:rFonts w:cstheme="minorHAnsi"/>
                <w:b/>
                <w:szCs w:val="20"/>
              </w:rPr>
            </w:pPr>
            <w:r w:rsidRPr="000C54B5">
              <w:rPr>
                <w:rFonts w:cstheme="minorHAnsi"/>
                <w:b/>
                <w:szCs w:val="20"/>
              </w:rPr>
              <w:t xml:space="preserve">GSIA </w:t>
            </w:r>
            <w:r w:rsidR="00FB2590" w:rsidRPr="000C54B5">
              <w:rPr>
                <w:rFonts w:cstheme="minorHAnsi"/>
                <w:b/>
                <w:szCs w:val="20"/>
              </w:rPr>
              <w:t>ID</w:t>
            </w:r>
          </w:p>
        </w:tc>
        <w:tc>
          <w:tcPr>
            <w:tcW w:w="1404" w:type="pct"/>
            <w:shd w:val="clear" w:color="auto" w:fill="D9D9D9" w:themeFill="background1" w:themeFillShade="D9"/>
          </w:tcPr>
          <w:p w14:paraId="102A3FC1" w14:textId="77777777" w:rsidR="006B4A48" w:rsidRPr="000C54B5" w:rsidRDefault="00FB2590" w:rsidP="005729C8">
            <w:pPr>
              <w:rPr>
                <w:rFonts w:cstheme="minorHAnsi"/>
                <w:b/>
                <w:szCs w:val="20"/>
              </w:rPr>
            </w:pPr>
            <w:r w:rsidRPr="000C54B5">
              <w:rPr>
                <w:rFonts w:cstheme="minorHAnsi"/>
                <w:b/>
                <w:szCs w:val="20"/>
              </w:rPr>
              <w:t>Description</w:t>
            </w:r>
          </w:p>
        </w:tc>
        <w:tc>
          <w:tcPr>
            <w:tcW w:w="688" w:type="pct"/>
            <w:shd w:val="clear" w:color="auto" w:fill="D9D9D9" w:themeFill="background1" w:themeFillShade="D9"/>
          </w:tcPr>
          <w:p w14:paraId="3FDC9087" w14:textId="77777777" w:rsidR="006B4A48" w:rsidRPr="000C54B5" w:rsidRDefault="00FB2590" w:rsidP="005729C8">
            <w:pPr>
              <w:rPr>
                <w:rFonts w:cstheme="minorHAnsi"/>
                <w:b/>
                <w:szCs w:val="20"/>
              </w:rPr>
            </w:pPr>
            <w:r w:rsidRPr="000C54B5">
              <w:rPr>
                <w:rFonts w:cstheme="minorHAnsi"/>
                <w:b/>
                <w:szCs w:val="20"/>
              </w:rPr>
              <w:t>Sector</w:t>
            </w:r>
          </w:p>
        </w:tc>
        <w:tc>
          <w:tcPr>
            <w:tcW w:w="858" w:type="pct"/>
            <w:shd w:val="clear" w:color="auto" w:fill="D9D9D9" w:themeFill="background1" w:themeFillShade="D9"/>
          </w:tcPr>
          <w:p w14:paraId="0BA1547A" w14:textId="77777777" w:rsidR="006B4A48" w:rsidRPr="000C54B5" w:rsidRDefault="00FB2590" w:rsidP="005729C8">
            <w:pPr>
              <w:rPr>
                <w:rFonts w:cstheme="minorHAnsi"/>
                <w:b/>
                <w:szCs w:val="20"/>
              </w:rPr>
            </w:pPr>
            <w:proofErr w:type="spellStart"/>
            <w:r w:rsidRPr="000C54B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0C54B5" w:rsidRDefault="006B4A48" w:rsidP="005729C8">
            <w:pPr>
              <w:rPr>
                <w:rFonts w:cstheme="minorHAnsi"/>
                <w:b/>
                <w:szCs w:val="20"/>
              </w:rPr>
            </w:pPr>
            <w:proofErr w:type="spellStart"/>
            <w:r w:rsidRPr="000C54B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0C54B5" w:rsidRDefault="00FB2590" w:rsidP="005729C8">
            <w:pPr>
              <w:rPr>
                <w:rFonts w:cstheme="minorHAnsi"/>
                <w:b/>
                <w:szCs w:val="20"/>
              </w:rPr>
            </w:pPr>
            <w:proofErr w:type="spellStart"/>
            <w:r w:rsidRPr="000C54B5">
              <w:rPr>
                <w:rFonts w:cstheme="minorHAnsi"/>
                <w:b/>
                <w:szCs w:val="20"/>
              </w:rPr>
              <w:t>GSIAValue</w:t>
            </w:r>
            <w:proofErr w:type="spellEnd"/>
          </w:p>
        </w:tc>
      </w:tr>
      <w:tr w:rsidR="002F4E34" w:rsidRPr="000C54B5" w14:paraId="3AEFCD58" w14:textId="77777777" w:rsidTr="00920905">
        <w:tc>
          <w:tcPr>
            <w:tcW w:w="722" w:type="pct"/>
          </w:tcPr>
          <w:p w14:paraId="20565B79" w14:textId="77777777" w:rsidR="002F4E34" w:rsidRPr="000C54B5" w:rsidRDefault="002F4E34" w:rsidP="005729C8">
            <w:pPr>
              <w:rPr>
                <w:szCs w:val="20"/>
              </w:rPr>
            </w:pPr>
            <w:r w:rsidRPr="000C54B5">
              <w:rPr>
                <w:szCs w:val="20"/>
              </w:rPr>
              <w:t>Def-GSIA</w:t>
            </w:r>
          </w:p>
        </w:tc>
        <w:tc>
          <w:tcPr>
            <w:tcW w:w="1404" w:type="pct"/>
          </w:tcPr>
          <w:p w14:paraId="2BFFF598" w14:textId="77777777" w:rsidR="002F4E34" w:rsidRPr="000C54B5" w:rsidRDefault="002F4E34" w:rsidP="005729C8">
            <w:pPr>
              <w:rPr>
                <w:szCs w:val="20"/>
              </w:rPr>
            </w:pPr>
            <w:r w:rsidRPr="000C54B5">
              <w:rPr>
                <w:szCs w:val="20"/>
              </w:rPr>
              <w:t>Default GSIA values</w:t>
            </w:r>
          </w:p>
        </w:tc>
        <w:tc>
          <w:tcPr>
            <w:tcW w:w="688" w:type="pct"/>
          </w:tcPr>
          <w:p w14:paraId="157D8A62" w14:textId="77777777" w:rsidR="002F4E34" w:rsidRPr="000C54B5" w:rsidRDefault="002F4E34" w:rsidP="005729C8">
            <w:pPr>
              <w:rPr>
                <w:szCs w:val="20"/>
              </w:rPr>
            </w:pPr>
            <w:r w:rsidRPr="000C54B5">
              <w:rPr>
                <w:szCs w:val="20"/>
              </w:rPr>
              <w:t>Any</w:t>
            </w:r>
          </w:p>
        </w:tc>
        <w:tc>
          <w:tcPr>
            <w:tcW w:w="858" w:type="pct"/>
          </w:tcPr>
          <w:p w14:paraId="0C3293FE" w14:textId="77777777" w:rsidR="002F4E34" w:rsidRPr="000C54B5" w:rsidRDefault="002F4E34" w:rsidP="005729C8">
            <w:pPr>
              <w:rPr>
                <w:szCs w:val="20"/>
              </w:rPr>
            </w:pPr>
            <w:r w:rsidRPr="000C54B5">
              <w:rPr>
                <w:szCs w:val="20"/>
              </w:rPr>
              <w:t>Any</w:t>
            </w:r>
          </w:p>
        </w:tc>
        <w:tc>
          <w:tcPr>
            <w:tcW w:w="693" w:type="pct"/>
          </w:tcPr>
          <w:p w14:paraId="0B642835" w14:textId="77777777" w:rsidR="002F4E34" w:rsidRPr="000C54B5" w:rsidRDefault="002F4E34" w:rsidP="005729C8">
            <w:pPr>
              <w:rPr>
                <w:szCs w:val="20"/>
              </w:rPr>
            </w:pPr>
            <w:r w:rsidRPr="000C54B5">
              <w:rPr>
                <w:szCs w:val="20"/>
              </w:rPr>
              <w:t>Any</w:t>
            </w:r>
          </w:p>
        </w:tc>
        <w:tc>
          <w:tcPr>
            <w:tcW w:w="634" w:type="pct"/>
          </w:tcPr>
          <w:p w14:paraId="1C671DD2" w14:textId="77777777" w:rsidR="002F4E34" w:rsidRPr="000C54B5" w:rsidRDefault="002F4E34" w:rsidP="005729C8">
            <w:pPr>
              <w:rPr>
                <w:szCs w:val="20"/>
              </w:rPr>
            </w:pPr>
            <w:r w:rsidRPr="000C54B5">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lastRenderedPageBreak/>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096F3CF" w:rsidR="008B1357" w:rsidRPr="00920905"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42"/>
        <w:gridCol w:w="2685"/>
        <w:gridCol w:w="886"/>
        <w:gridCol w:w="1264"/>
        <w:gridCol w:w="1520"/>
        <w:gridCol w:w="1453"/>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B055030" w:rsidR="008B1357" w:rsidRPr="00920905" w:rsidRDefault="00BA2E7E" w:rsidP="00BA2E7E">
            <w:pPr>
              <w:rPr>
                <w:rFonts w:cstheme="minorHAnsi"/>
                <w:b/>
                <w:szCs w:val="20"/>
              </w:rPr>
            </w:pPr>
            <w:r w:rsidRPr="00920905">
              <w:rPr>
                <w:rFonts w:cstheme="minorHAnsi"/>
                <w:b/>
                <w:szCs w:val="20"/>
              </w:rPr>
              <w:t>Use</w:t>
            </w:r>
            <w:r w:rsidR="00AA6589">
              <w:rPr>
                <w:rFonts w:cstheme="minorHAnsi"/>
                <w:b/>
                <w:szCs w:val="20"/>
              </w:rPr>
              <w:t xml:space="preserve"> </w:t>
            </w:r>
            <w:r w:rsidRPr="00920905">
              <w:rPr>
                <w:rFonts w:cstheme="minorHAnsi"/>
                <w:b/>
                <w:szCs w:val="20"/>
              </w:rPr>
              <w:t>Category</w:t>
            </w:r>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63778E" w:rsidRPr="00500C4E" w14:paraId="23E3B0B0" w14:textId="77777777" w:rsidTr="00920905">
        <w:trPr>
          <w:trHeight w:val="243"/>
        </w:trPr>
        <w:tc>
          <w:tcPr>
            <w:tcW w:w="824" w:type="pct"/>
          </w:tcPr>
          <w:p w14:paraId="17A1D7F4" w14:textId="3FD174E2" w:rsidR="0063778E" w:rsidRPr="0063778E" w:rsidRDefault="0063778E" w:rsidP="00BA2E7E">
            <w:pPr>
              <w:rPr>
                <w:szCs w:val="20"/>
              </w:rPr>
            </w:pPr>
            <w:r w:rsidRPr="0063778E">
              <w:rPr>
                <w:rFonts w:cstheme="minorHAnsi"/>
                <w:szCs w:val="20"/>
              </w:rPr>
              <w:t>ILtg-Com-LED-20000hr</w:t>
            </w:r>
          </w:p>
        </w:tc>
        <w:tc>
          <w:tcPr>
            <w:tcW w:w="1436" w:type="pct"/>
          </w:tcPr>
          <w:p w14:paraId="36E678D1" w14:textId="0952C178" w:rsidR="0063778E" w:rsidRPr="0063778E" w:rsidRDefault="0063778E" w:rsidP="00BA2E7E">
            <w:pPr>
              <w:rPr>
                <w:szCs w:val="20"/>
              </w:rPr>
            </w:pPr>
            <w:r w:rsidRPr="0063778E">
              <w:rPr>
                <w:szCs w:val="20"/>
              </w:rPr>
              <w:t>LED Lamp - Indoor- Commercial</w:t>
            </w:r>
          </w:p>
        </w:tc>
        <w:tc>
          <w:tcPr>
            <w:tcW w:w="474" w:type="pct"/>
          </w:tcPr>
          <w:p w14:paraId="42B5C736" w14:textId="77777777" w:rsidR="0063778E" w:rsidRPr="0063778E" w:rsidRDefault="0063778E" w:rsidP="00BA2E7E">
            <w:pPr>
              <w:rPr>
                <w:szCs w:val="20"/>
              </w:rPr>
            </w:pPr>
            <w:r w:rsidRPr="0063778E">
              <w:rPr>
                <w:szCs w:val="20"/>
              </w:rPr>
              <w:t>Com</w:t>
            </w:r>
          </w:p>
        </w:tc>
        <w:tc>
          <w:tcPr>
            <w:tcW w:w="676" w:type="pct"/>
          </w:tcPr>
          <w:p w14:paraId="52A841ED" w14:textId="407CACF0" w:rsidR="0063778E" w:rsidRPr="0063778E" w:rsidRDefault="0063778E" w:rsidP="00BA2E7E">
            <w:pPr>
              <w:rPr>
                <w:szCs w:val="20"/>
              </w:rPr>
            </w:pPr>
            <w:r w:rsidRPr="0063778E">
              <w:rPr>
                <w:szCs w:val="20"/>
              </w:rPr>
              <w:t>Lighting</w:t>
            </w:r>
          </w:p>
        </w:tc>
        <w:tc>
          <w:tcPr>
            <w:tcW w:w="813" w:type="pct"/>
          </w:tcPr>
          <w:p w14:paraId="2C160BC9" w14:textId="77777777" w:rsidR="0063778E" w:rsidRPr="0063778E" w:rsidRDefault="0063778E" w:rsidP="0041354E">
            <w:pPr>
              <w:rPr>
                <w:rFonts w:cstheme="minorHAnsi"/>
                <w:szCs w:val="20"/>
              </w:rPr>
            </w:pPr>
            <w:r w:rsidRPr="0063778E">
              <w:rPr>
                <w:rFonts w:cstheme="minorHAnsi"/>
                <w:szCs w:val="20"/>
              </w:rPr>
              <w:t>Varies by building type</w:t>
            </w:r>
          </w:p>
          <w:p w14:paraId="1BF5FCBD" w14:textId="64CEEA98" w:rsidR="0063778E" w:rsidRPr="0063778E" w:rsidRDefault="0063778E" w:rsidP="00BA2E7E">
            <w:pPr>
              <w:rPr>
                <w:szCs w:val="20"/>
              </w:rPr>
            </w:pPr>
            <w:r w:rsidRPr="0063778E">
              <w:rPr>
                <w:rFonts w:cstheme="minorHAnsi"/>
                <w:szCs w:val="20"/>
              </w:rPr>
              <w:t xml:space="preserve">EUL = Rated Life of Lamp (20,000 </w:t>
            </w:r>
            <w:proofErr w:type="spellStart"/>
            <w:r w:rsidRPr="0063778E">
              <w:rPr>
                <w:rFonts w:cstheme="minorHAnsi"/>
                <w:szCs w:val="20"/>
              </w:rPr>
              <w:t>hrs</w:t>
            </w:r>
            <w:proofErr w:type="spellEnd"/>
            <w:r w:rsidRPr="0063778E">
              <w:rPr>
                <w:rFonts w:cstheme="minorHAnsi"/>
                <w:szCs w:val="20"/>
              </w:rPr>
              <w:t>) / Annual Usage</w:t>
            </w:r>
          </w:p>
        </w:tc>
        <w:tc>
          <w:tcPr>
            <w:tcW w:w="777" w:type="pct"/>
          </w:tcPr>
          <w:p w14:paraId="206D23E9" w14:textId="77777777" w:rsidR="0063778E" w:rsidRPr="0063778E" w:rsidRDefault="0063778E" w:rsidP="0063778E">
            <w:pPr>
              <w:rPr>
                <w:rFonts w:cstheme="minorHAnsi"/>
                <w:szCs w:val="20"/>
              </w:rPr>
            </w:pPr>
            <w:r w:rsidRPr="0063778E">
              <w:rPr>
                <w:rFonts w:cstheme="minorHAnsi"/>
                <w:szCs w:val="20"/>
              </w:rPr>
              <w:t>Varies by building type</w:t>
            </w:r>
          </w:p>
          <w:p w14:paraId="46ED97C1" w14:textId="43C75DF6" w:rsidR="0063778E" w:rsidRPr="0063778E" w:rsidRDefault="0063778E" w:rsidP="00BA2E7E">
            <w:pPr>
              <w:rPr>
                <w:szCs w:val="20"/>
              </w:rPr>
            </w:pPr>
            <w:r w:rsidRPr="0063778E">
              <w:rPr>
                <w:rFonts w:cstheme="minorHAnsi"/>
                <w:szCs w:val="20"/>
              </w:rPr>
              <w:t>RUL = (5,500/ Annual Usage)/3</w:t>
            </w:r>
          </w:p>
        </w:tc>
      </w:tr>
      <w:tr w:rsidR="0063778E" w:rsidRPr="00500C4E" w14:paraId="47F0A956" w14:textId="77777777" w:rsidTr="00920905">
        <w:trPr>
          <w:trHeight w:val="243"/>
        </w:trPr>
        <w:tc>
          <w:tcPr>
            <w:tcW w:w="824" w:type="pct"/>
          </w:tcPr>
          <w:p w14:paraId="53970566" w14:textId="617DEA1A" w:rsidR="0063778E" w:rsidRPr="0063778E" w:rsidRDefault="0063778E" w:rsidP="00BA2E7E">
            <w:pPr>
              <w:rPr>
                <w:szCs w:val="20"/>
              </w:rPr>
            </w:pPr>
            <w:r w:rsidRPr="0063778E">
              <w:rPr>
                <w:rFonts w:cstheme="minorHAnsi"/>
                <w:szCs w:val="20"/>
              </w:rPr>
              <w:t>ILtg-Res-LED-20000hr</w:t>
            </w:r>
          </w:p>
        </w:tc>
        <w:tc>
          <w:tcPr>
            <w:tcW w:w="1436" w:type="pct"/>
          </w:tcPr>
          <w:p w14:paraId="63B6ED39" w14:textId="5F1E8736" w:rsidR="0063778E" w:rsidRPr="0063778E" w:rsidRDefault="0063778E" w:rsidP="00BA2E7E">
            <w:pPr>
              <w:rPr>
                <w:szCs w:val="20"/>
              </w:rPr>
            </w:pPr>
            <w:r w:rsidRPr="0063778E">
              <w:rPr>
                <w:szCs w:val="20"/>
              </w:rPr>
              <w:t>LED lamp - Indoor - Residential</w:t>
            </w:r>
          </w:p>
          <w:p w14:paraId="6C3B44FE" w14:textId="38D2C30E" w:rsidR="0063778E" w:rsidRPr="0063778E" w:rsidRDefault="0063778E" w:rsidP="0063778E">
            <w:pPr>
              <w:rPr>
                <w:szCs w:val="20"/>
              </w:rPr>
            </w:pPr>
          </w:p>
          <w:p w14:paraId="0891B074" w14:textId="77777777" w:rsidR="0063778E" w:rsidRPr="0063778E" w:rsidRDefault="0063778E" w:rsidP="0063778E">
            <w:pPr>
              <w:jc w:val="right"/>
              <w:rPr>
                <w:szCs w:val="20"/>
              </w:rPr>
            </w:pPr>
          </w:p>
        </w:tc>
        <w:tc>
          <w:tcPr>
            <w:tcW w:w="474" w:type="pct"/>
          </w:tcPr>
          <w:p w14:paraId="7BB7955F" w14:textId="147105A2" w:rsidR="0063778E" w:rsidRPr="0063778E" w:rsidRDefault="0063778E" w:rsidP="00BA2E7E">
            <w:pPr>
              <w:rPr>
                <w:szCs w:val="20"/>
              </w:rPr>
            </w:pPr>
            <w:r w:rsidRPr="0063778E">
              <w:rPr>
                <w:szCs w:val="20"/>
              </w:rPr>
              <w:t>Res</w:t>
            </w:r>
          </w:p>
        </w:tc>
        <w:tc>
          <w:tcPr>
            <w:tcW w:w="676" w:type="pct"/>
          </w:tcPr>
          <w:p w14:paraId="4CEA4C68" w14:textId="4EF1D631" w:rsidR="0063778E" w:rsidRPr="0063778E" w:rsidRDefault="0063778E" w:rsidP="00BA2E7E">
            <w:pPr>
              <w:rPr>
                <w:szCs w:val="20"/>
              </w:rPr>
            </w:pPr>
            <w:r w:rsidRPr="0063778E">
              <w:rPr>
                <w:szCs w:val="20"/>
              </w:rPr>
              <w:t>Lighting</w:t>
            </w:r>
          </w:p>
        </w:tc>
        <w:tc>
          <w:tcPr>
            <w:tcW w:w="813" w:type="pct"/>
          </w:tcPr>
          <w:p w14:paraId="53820507" w14:textId="2338CC1E" w:rsidR="0063778E" w:rsidRPr="0063778E" w:rsidRDefault="0063778E" w:rsidP="00BA2E7E">
            <w:pPr>
              <w:rPr>
                <w:szCs w:val="20"/>
              </w:rPr>
            </w:pPr>
            <w:r w:rsidRPr="0063778E">
              <w:rPr>
                <w:rFonts w:cstheme="minorHAnsi"/>
                <w:szCs w:val="20"/>
              </w:rPr>
              <w:t>16</w:t>
            </w:r>
          </w:p>
        </w:tc>
        <w:tc>
          <w:tcPr>
            <w:tcW w:w="777" w:type="pct"/>
          </w:tcPr>
          <w:p w14:paraId="3E07AFD1" w14:textId="349B6974" w:rsidR="0063778E" w:rsidRPr="0063778E" w:rsidRDefault="0063778E" w:rsidP="00BA2E7E">
            <w:pPr>
              <w:rPr>
                <w:szCs w:val="20"/>
              </w:rPr>
            </w:pPr>
            <w:r w:rsidRPr="0063778E">
              <w:rPr>
                <w:rFonts w:cstheme="minorHAnsi"/>
                <w:szCs w:val="20"/>
              </w:rPr>
              <w:t>5.33</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1A4724CB" w14:textId="6EB13B4F" w:rsidR="00AD2BB4" w:rsidRDefault="00AD2BB4" w:rsidP="00AD2BB4">
      <w:pPr>
        <w:rPr>
          <w:rFonts w:cstheme="minorHAnsi"/>
          <w:szCs w:val="22"/>
        </w:rPr>
      </w:pPr>
      <w:r w:rsidRPr="00BC72D4">
        <w:rPr>
          <w:rFonts w:cstheme="minorHAnsi"/>
          <w:szCs w:val="22"/>
        </w:rPr>
        <w:t>Title 24 201</w:t>
      </w:r>
      <w:r w:rsidR="00932883" w:rsidRPr="00BC72D4">
        <w:rPr>
          <w:rFonts w:cstheme="minorHAnsi"/>
          <w:szCs w:val="22"/>
        </w:rPr>
        <w:t>6 [496</w:t>
      </w:r>
      <w:r w:rsidRPr="00BC72D4">
        <w:rPr>
          <w:rFonts w:cstheme="minorHAnsi"/>
          <w:szCs w:val="22"/>
        </w:rPr>
        <w:t>] Section 150.0(k)1 contains codes related to Residential lighting which includes a minimum 50 percent of total rated wattage in kitchen to be high efficacy, and non-high efficacy lighting to be controlled by vacancy sensors in certain areas for new construction. The measures in this work paper for Residential building types are not affected by this code.</w:t>
      </w:r>
    </w:p>
    <w:p w14:paraId="365B4F8C" w14:textId="77777777" w:rsidR="00AD2BB4" w:rsidRDefault="00AD2BB4" w:rsidP="00AD2BB4">
      <w:pPr>
        <w:rPr>
          <w:rFonts w:cstheme="minorHAnsi"/>
          <w:szCs w:val="22"/>
        </w:rPr>
      </w:pPr>
    </w:p>
    <w:p w14:paraId="6807727E" w14:textId="0D871BC6" w:rsidR="00AD2BB4" w:rsidRDefault="00742071" w:rsidP="00AD2BB4">
      <w:pPr>
        <w:rPr>
          <w:rFonts w:cstheme="minorHAnsi"/>
          <w:szCs w:val="22"/>
        </w:rPr>
      </w:pPr>
      <w:r w:rsidRPr="00AD3066">
        <w:rPr>
          <w:rFonts w:cstheme="minorHAnsi"/>
          <w:szCs w:val="22"/>
        </w:rPr>
        <w:t xml:space="preserve">Title 24 2016 </w:t>
      </w:r>
      <w:r w:rsidR="00AD2BB4" w:rsidRPr="00AD3066">
        <w:rPr>
          <w:rFonts w:cstheme="minorHAnsi"/>
          <w:szCs w:val="22"/>
        </w:rPr>
        <w:t xml:space="preserve">Section </w:t>
      </w:r>
      <w:r w:rsidR="00CA0A25" w:rsidRPr="00AD3066">
        <w:rPr>
          <w:rFonts w:cstheme="minorHAnsi"/>
          <w:szCs w:val="22"/>
        </w:rPr>
        <w:t>141.0</w:t>
      </w:r>
      <w:r w:rsidR="001639B6" w:rsidRPr="00AD3066">
        <w:rPr>
          <w:rFonts w:cstheme="minorHAnsi"/>
          <w:szCs w:val="22"/>
        </w:rPr>
        <w:t xml:space="preserve"> (b)2J</w:t>
      </w:r>
      <w:r w:rsidR="00AD2BB4" w:rsidRPr="00AD3066">
        <w:rPr>
          <w:rFonts w:cstheme="minorHAnsi"/>
          <w:szCs w:val="22"/>
        </w:rPr>
        <w:t xml:space="preserve"> contains codes related to Nonresidential lighting </w:t>
      </w:r>
      <w:r w:rsidR="00CA0A25" w:rsidRPr="00AD3066">
        <w:rPr>
          <w:rFonts w:cstheme="minorHAnsi"/>
          <w:szCs w:val="22"/>
        </w:rPr>
        <w:t xml:space="preserve">additions, alterations, and repairs </w:t>
      </w:r>
      <w:r w:rsidR="001639B6" w:rsidRPr="00AD3066">
        <w:rPr>
          <w:rFonts w:cstheme="minorHAnsi"/>
          <w:szCs w:val="22"/>
        </w:rPr>
        <w:t xml:space="preserve"> for Luminaire Component Modifications </w:t>
      </w:r>
      <w:r w:rsidR="00AD2BB4" w:rsidRPr="00AD3066">
        <w:rPr>
          <w:rFonts w:cstheme="minorHAnsi"/>
          <w:szCs w:val="22"/>
        </w:rPr>
        <w:t xml:space="preserve">as shown below. The measures in this work paper do change the light source in a luminaire and replace the optical system of a luminaire, which triggers Modifications-in-Place. Triggering Modifications-in-Place requires </w:t>
      </w:r>
      <w:r w:rsidR="00BB3F0D">
        <w:rPr>
          <w:rFonts w:cstheme="minorHAnsi"/>
          <w:szCs w:val="22"/>
        </w:rPr>
        <w:t xml:space="preserve">mandatory control provisions </w:t>
      </w:r>
      <w:r w:rsidR="00AD2BB4" w:rsidRPr="00AD3066">
        <w:rPr>
          <w:rFonts w:cstheme="minorHAnsi"/>
          <w:szCs w:val="22"/>
        </w:rPr>
        <w:t>for each enclosed space that includes Area, Shut-off, Multi-level, and if applicable, Daylighting Controls</w:t>
      </w:r>
      <w:r w:rsidR="00AD3066" w:rsidRPr="00AD3066">
        <w:rPr>
          <w:rFonts w:cstheme="minorHAnsi"/>
          <w:szCs w:val="22"/>
        </w:rPr>
        <w:t>, with some exceptions as outlined below</w:t>
      </w:r>
      <w:r w:rsidR="00AD2BB4" w:rsidRPr="00AD3066">
        <w:rPr>
          <w:rFonts w:cstheme="minorHAnsi"/>
          <w:szCs w:val="22"/>
        </w:rPr>
        <w:t>.</w:t>
      </w:r>
    </w:p>
    <w:p w14:paraId="00C0344D" w14:textId="77777777" w:rsidR="00AD2BB4" w:rsidRDefault="00AD2BB4" w:rsidP="00AD2BB4">
      <w:pPr>
        <w:rPr>
          <w:rFonts w:cstheme="minorHAnsi"/>
          <w:szCs w:val="22"/>
        </w:rPr>
      </w:pPr>
    </w:p>
    <w:tbl>
      <w:tblPr>
        <w:tblStyle w:val="TableGrid"/>
        <w:tblW w:w="0" w:type="auto"/>
        <w:tblLook w:val="04A0" w:firstRow="1" w:lastRow="0" w:firstColumn="1" w:lastColumn="0" w:noHBand="0" w:noVBand="1"/>
      </w:tblPr>
      <w:tblGrid>
        <w:gridCol w:w="9350"/>
      </w:tblGrid>
      <w:tr w:rsidR="00AD2BB4" w14:paraId="4E3ECFC8" w14:textId="77777777" w:rsidTr="0041354E">
        <w:tc>
          <w:tcPr>
            <w:tcW w:w="9576" w:type="dxa"/>
          </w:tcPr>
          <w:p w14:paraId="3968726C" w14:textId="77777777" w:rsidR="00314EB4" w:rsidRPr="00314EB4" w:rsidRDefault="00314EB4" w:rsidP="00314EB4">
            <w:pPr>
              <w:autoSpaceDE w:val="0"/>
              <w:autoSpaceDN w:val="0"/>
              <w:adjustRightInd w:val="0"/>
              <w:rPr>
                <w:rFonts w:eastAsiaTheme="minorHAnsi" w:cs="TimesNewRomanPS-BoldMT"/>
                <w:bCs/>
                <w:szCs w:val="22"/>
              </w:rPr>
            </w:pPr>
            <w:r w:rsidRPr="00314EB4">
              <w:rPr>
                <w:rFonts w:eastAsiaTheme="minorHAnsi" w:cs="TimesNewRomanPS-BoldMT"/>
                <w:b/>
                <w:bCs/>
                <w:szCs w:val="22"/>
              </w:rPr>
              <w:t>J.  Luminaire Component Modifications.</w:t>
            </w:r>
            <w:r w:rsidRPr="00314EB4">
              <w:rPr>
                <w:rFonts w:eastAsiaTheme="minorHAnsi" w:cs="TimesNewRomanPS-BoldMT"/>
                <w:bCs/>
                <w:szCs w:val="22"/>
              </w:rPr>
              <w:t xml:space="preserve">  Luminaire component modifications in place that include </w:t>
            </w:r>
          </w:p>
          <w:p w14:paraId="76FA7086" w14:textId="77777777" w:rsidR="00314EB4" w:rsidRPr="00314EB4" w:rsidRDefault="00314EB4" w:rsidP="00314EB4">
            <w:pPr>
              <w:autoSpaceDE w:val="0"/>
              <w:autoSpaceDN w:val="0"/>
              <w:adjustRightInd w:val="0"/>
              <w:rPr>
                <w:rFonts w:eastAsiaTheme="minorHAnsi" w:cs="TimesNewRomanPS-BoldMT"/>
                <w:bCs/>
                <w:szCs w:val="22"/>
              </w:rPr>
            </w:pPr>
            <w:r w:rsidRPr="00314EB4">
              <w:rPr>
                <w:rFonts w:eastAsiaTheme="minorHAnsi" w:cs="TimesNewRomanPS-BoldMT"/>
                <w:bCs/>
                <w:szCs w:val="22"/>
              </w:rPr>
              <w:t xml:space="preserve">replacing the ballasts or drivers and the associated lamps in the luminaire, permanently changing the </w:t>
            </w:r>
          </w:p>
          <w:p w14:paraId="00BBB5FA" w14:textId="77777777" w:rsidR="00314EB4" w:rsidRPr="00314EB4" w:rsidRDefault="00314EB4" w:rsidP="00314EB4">
            <w:pPr>
              <w:autoSpaceDE w:val="0"/>
              <w:autoSpaceDN w:val="0"/>
              <w:adjustRightInd w:val="0"/>
              <w:rPr>
                <w:rFonts w:eastAsiaTheme="minorHAnsi" w:cs="TimesNewRomanPS-BoldMT"/>
                <w:bCs/>
                <w:szCs w:val="22"/>
              </w:rPr>
            </w:pPr>
            <w:r w:rsidRPr="00314EB4">
              <w:rPr>
                <w:rFonts w:eastAsiaTheme="minorHAnsi" w:cs="TimesNewRomanPS-BoldMT"/>
                <w:bCs/>
                <w:szCs w:val="22"/>
              </w:rPr>
              <w:t xml:space="preserve">light source of the luminaire, or changing the optical system of the luminaire, where 70 or more </w:t>
            </w:r>
          </w:p>
          <w:p w14:paraId="3C40DD83" w14:textId="77777777" w:rsidR="00314EB4" w:rsidRPr="00314EB4" w:rsidRDefault="00314EB4" w:rsidP="00314EB4">
            <w:pPr>
              <w:autoSpaceDE w:val="0"/>
              <w:autoSpaceDN w:val="0"/>
              <w:adjustRightInd w:val="0"/>
              <w:rPr>
                <w:rFonts w:eastAsiaTheme="minorHAnsi" w:cs="TimesNewRomanPS-BoldMT"/>
                <w:bCs/>
                <w:szCs w:val="22"/>
              </w:rPr>
            </w:pPr>
            <w:r w:rsidRPr="00314EB4">
              <w:rPr>
                <w:rFonts w:eastAsiaTheme="minorHAnsi" w:cs="TimesNewRomanPS-BoldMT"/>
                <w:bCs/>
                <w:szCs w:val="22"/>
              </w:rPr>
              <w:t xml:space="preserve">existing luminaires are modified either on any single floor of a building or, where multiple tenants </w:t>
            </w:r>
          </w:p>
          <w:p w14:paraId="1F7EAC15" w14:textId="77777777" w:rsidR="00314EB4" w:rsidRPr="00314EB4" w:rsidRDefault="00314EB4" w:rsidP="00314EB4">
            <w:pPr>
              <w:autoSpaceDE w:val="0"/>
              <w:autoSpaceDN w:val="0"/>
              <w:adjustRightInd w:val="0"/>
              <w:rPr>
                <w:rFonts w:eastAsiaTheme="minorHAnsi" w:cs="TimesNewRomanPS-BoldMT"/>
                <w:bCs/>
                <w:szCs w:val="22"/>
              </w:rPr>
            </w:pPr>
            <w:r w:rsidRPr="00314EB4">
              <w:rPr>
                <w:rFonts w:eastAsiaTheme="minorHAnsi" w:cs="TimesNewRomanPS-BoldMT"/>
                <w:bCs/>
                <w:szCs w:val="22"/>
              </w:rPr>
              <w:t xml:space="preserve">inhabit the same floor, in any single tenant space, in any single year, shall not prevent or disable the </w:t>
            </w:r>
          </w:p>
          <w:p w14:paraId="599C5720" w14:textId="77777777" w:rsidR="00314EB4" w:rsidRPr="00314EB4" w:rsidRDefault="00314EB4" w:rsidP="00314EB4">
            <w:pPr>
              <w:autoSpaceDE w:val="0"/>
              <w:autoSpaceDN w:val="0"/>
              <w:adjustRightInd w:val="0"/>
              <w:rPr>
                <w:rFonts w:eastAsiaTheme="minorHAnsi" w:cs="TimesNewRomanPS-BoldMT"/>
                <w:bCs/>
                <w:szCs w:val="22"/>
              </w:rPr>
            </w:pPr>
            <w:r w:rsidRPr="00314EB4">
              <w:rPr>
                <w:rFonts w:eastAsiaTheme="minorHAnsi" w:cs="TimesNewRomanPS-BoldMT"/>
                <w:bCs/>
                <w:szCs w:val="22"/>
              </w:rPr>
              <w:t xml:space="preserve">operation of any multi-level, shut-off, or daylighting controls, and shall: </w:t>
            </w:r>
          </w:p>
          <w:p w14:paraId="5DC75AFD" w14:textId="77777777" w:rsidR="00314EB4" w:rsidRPr="00314EB4" w:rsidRDefault="00314EB4" w:rsidP="00025293">
            <w:pPr>
              <w:autoSpaceDE w:val="0"/>
              <w:autoSpaceDN w:val="0"/>
              <w:adjustRightInd w:val="0"/>
              <w:ind w:left="720"/>
              <w:rPr>
                <w:rFonts w:eastAsiaTheme="minorHAnsi" w:cs="TimesNewRomanPS-BoldMT"/>
                <w:bCs/>
                <w:szCs w:val="22"/>
              </w:rPr>
            </w:pPr>
            <w:proofErr w:type="spellStart"/>
            <w:r w:rsidRPr="00314EB4">
              <w:rPr>
                <w:rFonts w:eastAsiaTheme="minorHAnsi" w:cs="TimesNewRomanPS-BoldMT"/>
                <w:bCs/>
                <w:szCs w:val="22"/>
              </w:rPr>
              <w:t>i</w:t>
            </w:r>
            <w:proofErr w:type="spellEnd"/>
            <w:r w:rsidRPr="00314EB4">
              <w:rPr>
                <w:rFonts w:eastAsiaTheme="minorHAnsi" w:cs="TimesNewRomanPS-BoldMT"/>
                <w:bCs/>
                <w:szCs w:val="22"/>
              </w:rPr>
              <w:t>. Meet the lighting power allowance in Section 140.6 and comply with Table 141.0-E; or</w:t>
            </w:r>
          </w:p>
          <w:p w14:paraId="77B9A19F" w14:textId="1AEDC8CA" w:rsidR="00314EB4" w:rsidRPr="00314EB4" w:rsidRDefault="00314EB4" w:rsidP="00025293">
            <w:pPr>
              <w:autoSpaceDE w:val="0"/>
              <w:autoSpaceDN w:val="0"/>
              <w:adjustRightInd w:val="0"/>
              <w:ind w:left="720"/>
              <w:rPr>
                <w:rFonts w:eastAsiaTheme="minorHAnsi" w:cs="TimesNewRomanPS-BoldMT"/>
                <w:bCs/>
                <w:szCs w:val="22"/>
              </w:rPr>
            </w:pPr>
            <w:r w:rsidRPr="00314EB4">
              <w:rPr>
                <w:rFonts w:eastAsiaTheme="minorHAnsi" w:cs="TimesNewRomanPS-BoldMT"/>
                <w:bCs/>
                <w:szCs w:val="22"/>
              </w:rPr>
              <w:t>ii. In office, retail, and hotel occupancies have at least 50 percent, and in all other occupancies have at</w:t>
            </w:r>
            <w:r w:rsidR="00025293">
              <w:rPr>
                <w:rFonts w:eastAsiaTheme="minorHAnsi" w:cs="TimesNewRomanPS-BoldMT"/>
                <w:bCs/>
                <w:szCs w:val="22"/>
              </w:rPr>
              <w:t xml:space="preserve"> </w:t>
            </w:r>
            <w:r w:rsidRPr="00314EB4">
              <w:rPr>
                <w:rFonts w:eastAsiaTheme="minorHAnsi" w:cs="TimesNewRomanPS-BoldMT"/>
                <w:bCs/>
                <w:szCs w:val="22"/>
              </w:rPr>
              <w:t>least 35 percent, lower rated power at full light output as compared to the original luminaires prior</w:t>
            </w:r>
            <w:r w:rsidR="00025293">
              <w:rPr>
                <w:rFonts w:eastAsiaTheme="minorHAnsi" w:cs="TimesNewRomanPS-BoldMT"/>
                <w:bCs/>
                <w:szCs w:val="22"/>
              </w:rPr>
              <w:t xml:space="preserve"> </w:t>
            </w:r>
            <w:r w:rsidRPr="00314EB4">
              <w:rPr>
                <w:rFonts w:eastAsiaTheme="minorHAnsi" w:cs="TimesNewRomanPS-BoldMT"/>
                <w:bCs/>
                <w:szCs w:val="22"/>
              </w:rPr>
              <w:t>to being modified, and meet the requirements of Sections 130.1(a)1, 2, and 3, 130.1(c)1A through</w:t>
            </w:r>
            <w:r w:rsidR="00025293">
              <w:rPr>
                <w:rFonts w:eastAsiaTheme="minorHAnsi" w:cs="TimesNewRomanPS-BoldMT"/>
                <w:bCs/>
                <w:szCs w:val="22"/>
              </w:rPr>
              <w:t xml:space="preserve"> </w:t>
            </w:r>
            <w:r w:rsidRPr="00314EB4">
              <w:rPr>
                <w:rFonts w:eastAsiaTheme="minorHAnsi" w:cs="TimesNewRomanPS-BoldMT"/>
                <w:bCs/>
                <w:szCs w:val="22"/>
              </w:rPr>
              <w:t>C, 130.1(c)2, 130.1(c)3, 130.1(c)4, 130.1(c)5, 130.1(c)6A, and for parking garages 130.1(c)7B.</w:t>
            </w:r>
          </w:p>
          <w:p w14:paraId="24F8AF18" w14:textId="25F0D303" w:rsidR="00314EB4" w:rsidRPr="00314EB4" w:rsidRDefault="00314EB4" w:rsidP="00025293">
            <w:pPr>
              <w:autoSpaceDE w:val="0"/>
              <w:autoSpaceDN w:val="0"/>
              <w:adjustRightInd w:val="0"/>
              <w:ind w:left="720"/>
              <w:rPr>
                <w:rFonts w:eastAsiaTheme="minorHAnsi" w:cs="TimesNewRomanPS-BoldMT"/>
                <w:bCs/>
                <w:szCs w:val="22"/>
              </w:rPr>
            </w:pPr>
            <w:r w:rsidRPr="00314EB4">
              <w:rPr>
                <w:rFonts w:eastAsiaTheme="minorHAnsi" w:cs="TimesNewRomanPS-BoldMT"/>
                <w:bCs/>
                <w:szCs w:val="22"/>
              </w:rPr>
              <w:t xml:space="preserve">Lamp replacements alone and ballast replacements alone shall not be considered a modification of the luminaire provided that the replacement lamps or ballasts are installed and powered without modifying the luminaire. </w:t>
            </w:r>
          </w:p>
          <w:p w14:paraId="7361FE36" w14:textId="77777777" w:rsidR="00314EB4" w:rsidRPr="00314EB4" w:rsidRDefault="00314EB4" w:rsidP="00314EB4">
            <w:pPr>
              <w:autoSpaceDE w:val="0"/>
              <w:autoSpaceDN w:val="0"/>
              <w:adjustRightInd w:val="0"/>
              <w:rPr>
                <w:rFonts w:eastAsiaTheme="minorHAnsi" w:cs="TimesNewRomanPS-BoldMT"/>
                <w:bCs/>
                <w:szCs w:val="22"/>
              </w:rPr>
            </w:pPr>
            <w:r w:rsidRPr="00025293">
              <w:rPr>
                <w:rFonts w:eastAsiaTheme="minorHAnsi" w:cs="TimesNewRomanPS-BoldMT"/>
                <w:b/>
                <w:bCs/>
                <w:szCs w:val="22"/>
              </w:rPr>
              <w:t>EXCEPTION 1</w:t>
            </w:r>
            <w:r w:rsidRPr="00314EB4">
              <w:rPr>
                <w:rFonts w:eastAsiaTheme="minorHAnsi" w:cs="TimesNewRomanPS-BoldMT"/>
                <w:bCs/>
                <w:szCs w:val="22"/>
              </w:rPr>
              <w:t xml:space="preserve"> to Section 141.0(b</w:t>
            </w:r>
            <w:proofErr w:type="gramStart"/>
            <w:r w:rsidRPr="00314EB4">
              <w:rPr>
                <w:rFonts w:eastAsiaTheme="minorHAnsi" w:cs="TimesNewRomanPS-BoldMT"/>
                <w:bCs/>
                <w:szCs w:val="22"/>
              </w:rPr>
              <w:t>)2J</w:t>
            </w:r>
            <w:proofErr w:type="gramEnd"/>
            <w:r w:rsidRPr="00314EB4">
              <w:rPr>
                <w:rFonts w:eastAsiaTheme="minorHAnsi" w:cs="TimesNewRomanPS-BoldMT"/>
                <w:bCs/>
                <w:szCs w:val="22"/>
              </w:rPr>
              <w:t xml:space="preserve">. Modification of portable luminaires, luminaires affixed to </w:t>
            </w:r>
          </w:p>
          <w:p w14:paraId="11625D4C" w14:textId="77777777" w:rsidR="00314EB4" w:rsidRPr="00314EB4" w:rsidRDefault="00314EB4" w:rsidP="00314EB4">
            <w:pPr>
              <w:autoSpaceDE w:val="0"/>
              <w:autoSpaceDN w:val="0"/>
              <w:adjustRightInd w:val="0"/>
              <w:rPr>
                <w:rFonts w:eastAsiaTheme="minorHAnsi" w:cs="TimesNewRomanPS-BoldMT"/>
                <w:bCs/>
                <w:szCs w:val="22"/>
              </w:rPr>
            </w:pPr>
            <w:proofErr w:type="gramStart"/>
            <w:r w:rsidRPr="00314EB4">
              <w:rPr>
                <w:rFonts w:eastAsiaTheme="minorHAnsi" w:cs="TimesNewRomanPS-BoldMT"/>
                <w:bCs/>
                <w:szCs w:val="22"/>
              </w:rPr>
              <w:lastRenderedPageBreak/>
              <w:t>moveable</w:t>
            </w:r>
            <w:proofErr w:type="gramEnd"/>
            <w:r w:rsidRPr="00314EB4">
              <w:rPr>
                <w:rFonts w:eastAsiaTheme="minorHAnsi" w:cs="TimesNewRomanPS-BoldMT"/>
                <w:bCs/>
                <w:szCs w:val="22"/>
              </w:rPr>
              <w:t xml:space="preserve"> partitions, or lighting excluded by Section 140.6(a)3. </w:t>
            </w:r>
          </w:p>
          <w:p w14:paraId="05A1F3DF" w14:textId="77777777" w:rsidR="00314EB4" w:rsidRPr="00314EB4" w:rsidRDefault="00314EB4" w:rsidP="00314EB4">
            <w:pPr>
              <w:autoSpaceDE w:val="0"/>
              <w:autoSpaceDN w:val="0"/>
              <w:adjustRightInd w:val="0"/>
              <w:rPr>
                <w:rFonts w:eastAsiaTheme="minorHAnsi" w:cs="TimesNewRomanPS-BoldMT"/>
                <w:bCs/>
                <w:szCs w:val="22"/>
              </w:rPr>
            </w:pPr>
            <w:r w:rsidRPr="00025293">
              <w:rPr>
                <w:rFonts w:eastAsiaTheme="minorHAnsi" w:cs="TimesNewRomanPS-BoldMT"/>
                <w:b/>
                <w:bCs/>
                <w:szCs w:val="22"/>
              </w:rPr>
              <w:t>EXCEPTION 2</w:t>
            </w:r>
            <w:r w:rsidRPr="00314EB4">
              <w:rPr>
                <w:rFonts w:eastAsiaTheme="minorHAnsi" w:cs="TimesNewRomanPS-BoldMT"/>
                <w:bCs/>
                <w:szCs w:val="22"/>
              </w:rPr>
              <w:t xml:space="preserve"> to Section 141.0(b</w:t>
            </w:r>
            <w:proofErr w:type="gramStart"/>
            <w:r w:rsidRPr="00314EB4">
              <w:rPr>
                <w:rFonts w:eastAsiaTheme="minorHAnsi" w:cs="TimesNewRomanPS-BoldMT"/>
                <w:bCs/>
                <w:szCs w:val="22"/>
              </w:rPr>
              <w:t>)2J</w:t>
            </w:r>
            <w:proofErr w:type="gramEnd"/>
            <w:r w:rsidRPr="00314EB4">
              <w:rPr>
                <w:rFonts w:eastAsiaTheme="minorHAnsi" w:cs="TimesNewRomanPS-BoldMT"/>
                <w:bCs/>
                <w:szCs w:val="22"/>
              </w:rPr>
              <w:t xml:space="preserve">. In an enclosed space where two or fewer luminaires are </w:t>
            </w:r>
          </w:p>
          <w:p w14:paraId="31155B86" w14:textId="77777777" w:rsidR="00314EB4" w:rsidRPr="00314EB4" w:rsidRDefault="00314EB4" w:rsidP="00314EB4">
            <w:pPr>
              <w:autoSpaceDE w:val="0"/>
              <w:autoSpaceDN w:val="0"/>
              <w:adjustRightInd w:val="0"/>
              <w:rPr>
                <w:rFonts w:eastAsiaTheme="minorHAnsi" w:cs="TimesNewRomanPS-BoldMT"/>
                <w:bCs/>
                <w:szCs w:val="22"/>
              </w:rPr>
            </w:pPr>
            <w:proofErr w:type="gramStart"/>
            <w:r w:rsidRPr="00314EB4">
              <w:rPr>
                <w:rFonts w:eastAsiaTheme="minorHAnsi" w:cs="TimesNewRomanPS-BoldMT"/>
                <w:bCs/>
                <w:szCs w:val="22"/>
              </w:rPr>
              <w:t>modified</w:t>
            </w:r>
            <w:proofErr w:type="gramEnd"/>
            <w:r w:rsidRPr="00314EB4">
              <w:rPr>
                <w:rFonts w:eastAsiaTheme="minorHAnsi" w:cs="TimesNewRomanPS-BoldMT"/>
                <w:bCs/>
                <w:szCs w:val="22"/>
              </w:rPr>
              <w:t xml:space="preserve">. </w:t>
            </w:r>
          </w:p>
          <w:p w14:paraId="1B64EF49" w14:textId="77777777" w:rsidR="00314EB4" w:rsidRPr="00314EB4" w:rsidRDefault="00314EB4" w:rsidP="00314EB4">
            <w:pPr>
              <w:autoSpaceDE w:val="0"/>
              <w:autoSpaceDN w:val="0"/>
              <w:adjustRightInd w:val="0"/>
              <w:rPr>
                <w:rFonts w:eastAsiaTheme="minorHAnsi" w:cs="TimesNewRomanPS-BoldMT"/>
                <w:bCs/>
                <w:szCs w:val="22"/>
              </w:rPr>
            </w:pPr>
            <w:r w:rsidRPr="00025293">
              <w:rPr>
                <w:rFonts w:eastAsiaTheme="minorHAnsi" w:cs="TimesNewRomanPS-BoldMT"/>
                <w:b/>
                <w:bCs/>
                <w:szCs w:val="22"/>
              </w:rPr>
              <w:t>EXCEPTION 3</w:t>
            </w:r>
            <w:r w:rsidRPr="00314EB4">
              <w:rPr>
                <w:rFonts w:eastAsiaTheme="minorHAnsi" w:cs="TimesNewRomanPS-BoldMT"/>
                <w:bCs/>
                <w:szCs w:val="22"/>
              </w:rPr>
              <w:t xml:space="preserve"> to Section 141.0(b</w:t>
            </w:r>
            <w:proofErr w:type="gramStart"/>
            <w:r w:rsidRPr="00314EB4">
              <w:rPr>
                <w:rFonts w:eastAsiaTheme="minorHAnsi" w:cs="TimesNewRomanPS-BoldMT"/>
                <w:bCs/>
                <w:szCs w:val="22"/>
              </w:rPr>
              <w:t>)2J</w:t>
            </w:r>
            <w:proofErr w:type="gramEnd"/>
            <w:r w:rsidRPr="00314EB4">
              <w:rPr>
                <w:rFonts w:eastAsiaTheme="minorHAnsi" w:cs="TimesNewRomanPS-BoldMT"/>
                <w:bCs/>
                <w:szCs w:val="22"/>
              </w:rPr>
              <w:t xml:space="preserve">. Modifications that would directly cause the disturbance of </w:t>
            </w:r>
          </w:p>
          <w:p w14:paraId="0A3C8190" w14:textId="77777777" w:rsidR="00314EB4" w:rsidRPr="00314EB4" w:rsidRDefault="00314EB4" w:rsidP="00314EB4">
            <w:pPr>
              <w:autoSpaceDE w:val="0"/>
              <w:autoSpaceDN w:val="0"/>
              <w:adjustRightInd w:val="0"/>
              <w:rPr>
                <w:rFonts w:eastAsiaTheme="minorHAnsi" w:cs="TimesNewRomanPS-BoldMT"/>
                <w:bCs/>
                <w:szCs w:val="22"/>
              </w:rPr>
            </w:pPr>
            <w:proofErr w:type="gramStart"/>
            <w:r w:rsidRPr="00314EB4">
              <w:rPr>
                <w:rFonts w:eastAsiaTheme="minorHAnsi" w:cs="TimesNewRomanPS-BoldMT"/>
                <w:bCs/>
                <w:szCs w:val="22"/>
              </w:rPr>
              <w:t>asbestos</w:t>
            </w:r>
            <w:proofErr w:type="gramEnd"/>
            <w:r w:rsidRPr="00314EB4">
              <w:rPr>
                <w:rFonts w:eastAsiaTheme="minorHAnsi" w:cs="TimesNewRomanPS-BoldMT"/>
                <w:bCs/>
                <w:szCs w:val="22"/>
              </w:rPr>
              <w:t xml:space="preserve">, unless the modifications are made in conjunction with asbestos abatement. </w:t>
            </w:r>
          </w:p>
          <w:p w14:paraId="4E433413" w14:textId="77777777" w:rsidR="00314EB4" w:rsidRPr="00314EB4" w:rsidRDefault="00314EB4" w:rsidP="00314EB4">
            <w:pPr>
              <w:autoSpaceDE w:val="0"/>
              <w:autoSpaceDN w:val="0"/>
              <w:adjustRightInd w:val="0"/>
              <w:rPr>
                <w:rFonts w:eastAsiaTheme="minorHAnsi" w:cs="TimesNewRomanPS-BoldMT"/>
                <w:bCs/>
                <w:szCs w:val="22"/>
              </w:rPr>
            </w:pPr>
            <w:r w:rsidRPr="009B6A6D">
              <w:rPr>
                <w:rFonts w:eastAsiaTheme="minorHAnsi" w:cs="TimesNewRomanPS-BoldMT"/>
                <w:b/>
                <w:bCs/>
                <w:szCs w:val="22"/>
              </w:rPr>
              <w:t>EXCEPTION 4</w:t>
            </w:r>
            <w:r w:rsidRPr="00314EB4">
              <w:rPr>
                <w:rFonts w:eastAsiaTheme="minorHAnsi" w:cs="TimesNewRomanPS-BoldMT"/>
                <w:bCs/>
                <w:szCs w:val="22"/>
              </w:rPr>
              <w:t xml:space="preserve"> to Section 141.0(b</w:t>
            </w:r>
            <w:proofErr w:type="gramStart"/>
            <w:r w:rsidRPr="00314EB4">
              <w:rPr>
                <w:rFonts w:eastAsiaTheme="minorHAnsi" w:cs="TimesNewRomanPS-BoldMT"/>
                <w:bCs/>
                <w:szCs w:val="22"/>
              </w:rPr>
              <w:t>)2J</w:t>
            </w:r>
            <w:proofErr w:type="gramEnd"/>
            <w:r w:rsidRPr="00314EB4">
              <w:rPr>
                <w:rFonts w:eastAsiaTheme="minorHAnsi" w:cs="TimesNewRomanPS-BoldMT"/>
                <w:bCs/>
                <w:szCs w:val="22"/>
              </w:rPr>
              <w:t xml:space="preserve">. Acceptance testing requirements of Section 130.4 are not </w:t>
            </w:r>
          </w:p>
          <w:p w14:paraId="7F49D35F" w14:textId="1DDDC458" w:rsidR="00AD2BB4" w:rsidRPr="009E45A9" w:rsidRDefault="00314EB4" w:rsidP="009E45A9">
            <w:pPr>
              <w:autoSpaceDE w:val="0"/>
              <w:autoSpaceDN w:val="0"/>
              <w:adjustRightInd w:val="0"/>
              <w:rPr>
                <w:rFonts w:eastAsiaTheme="minorHAnsi" w:cs="TimesNewRomanPS-BoldMT"/>
                <w:bCs/>
                <w:szCs w:val="22"/>
              </w:rPr>
            </w:pPr>
            <w:proofErr w:type="gramStart"/>
            <w:r w:rsidRPr="00314EB4">
              <w:rPr>
                <w:rFonts w:eastAsiaTheme="minorHAnsi" w:cs="TimesNewRomanPS-BoldMT"/>
                <w:bCs/>
                <w:szCs w:val="22"/>
              </w:rPr>
              <w:t>required</w:t>
            </w:r>
            <w:proofErr w:type="gramEnd"/>
            <w:r w:rsidRPr="00314EB4">
              <w:rPr>
                <w:rFonts w:eastAsiaTheme="minorHAnsi" w:cs="TimesNewRomanPS-BoldMT"/>
                <w:bCs/>
                <w:szCs w:val="22"/>
              </w:rPr>
              <w:t xml:space="preserve"> for modifications where lighting controls are added to </w:t>
            </w:r>
            <w:r w:rsidR="009E45A9">
              <w:rPr>
                <w:rFonts w:eastAsiaTheme="minorHAnsi" w:cs="TimesNewRomanPS-BoldMT"/>
                <w:bCs/>
                <w:szCs w:val="22"/>
              </w:rPr>
              <w:t>control 20 or fewer luminaires.</w:t>
            </w:r>
          </w:p>
        </w:tc>
      </w:tr>
    </w:tbl>
    <w:p w14:paraId="5AB617A0" w14:textId="77777777" w:rsidR="00AD2BB4" w:rsidRDefault="00AD2BB4" w:rsidP="00920905">
      <w:pPr>
        <w:pStyle w:val="Caption"/>
        <w:keepNext/>
        <w:rPr>
          <w:rFonts w:cstheme="minorHAns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1E6B4DA" w14:textId="77777777" w:rsidTr="00920905">
        <w:trPr>
          <w:trHeight w:val="243"/>
        </w:trPr>
        <w:tc>
          <w:tcPr>
            <w:tcW w:w="1155" w:type="pct"/>
          </w:tcPr>
          <w:p w14:paraId="16A44F28" w14:textId="6D8A6B70" w:rsidR="00881A42" w:rsidRPr="005D49FF" w:rsidRDefault="00742071" w:rsidP="00DF0D19">
            <w:pPr>
              <w:rPr>
                <w:rFonts w:cstheme="minorHAnsi"/>
                <w:szCs w:val="20"/>
                <w:highlight w:val="yellow"/>
              </w:rPr>
            </w:pPr>
            <w:r w:rsidRPr="00932883">
              <w:rPr>
                <w:rFonts w:cstheme="minorHAnsi"/>
                <w:szCs w:val="22"/>
              </w:rPr>
              <w:t>Title 24 2016</w:t>
            </w:r>
          </w:p>
        </w:tc>
        <w:tc>
          <w:tcPr>
            <w:tcW w:w="2711" w:type="pct"/>
          </w:tcPr>
          <w:p w14:paraId="387D6828" w14:textId="1E33292D" w:rsidR="00881A42" w:rsidRPr="005D49FF" w:rsidRDefault="00684324" w:rsidP="00DF0D19">
            <w:pPr>
              <w:rPr>
                <w:rFonts w:cstheme="minorHAnsi"/>
                <w:szCs w:val="20"/>
                <w:highlight w:val="yellow"/>
              </w:rPr>
            </w:pPr>
            <w:r w:rsidRPr="001639B6">
              <w:rPr>
                <w:rFonts w:cstheme="minorHAnsi"/>
                <w:szCs w:val="22"/>
              </w:rPr>
              <w:t>Section 141.0</w:t>
            </w:r>
            <w:r>
              <w:rPr>
                <w:rFonts w:cstheme="minorHAnsi"/>
                <w:szCs w:val="22"/>
              </w:rPr>
              <w:t xml:space="preserve"> (b</w:t>
            </w:r>
            <w:proofErr w:type="gramStart"/>
            <w:r>
              <w:rPr>
                <w:rFonts w:cstheme="minorHAnsi"/>
                <w:szCs w:val="22"/>
              </w:rPr>
              <w:t>)2J</w:t>
            </w:r>
            <w:proofErr w:type="gramEnd"/>
            <w:r w:rsidRPr="001639B6">
              <w:rPr>
                <w:rFonts w:cstheme="minorHAnsi"/>
                <w:szCs w:val="22"/>
              </w:rPr>
              <w:t xml:space="preserve"> </w:t>
            </w:r>
            <w:r>
              <w:rPr>
                <w:rFonts w:cstheme="minorHAnsi"/>
                <w:szCs w:val="22"/>
              </w:rPr>
              <w:t xml:space="preserve"> </w:t>
            </w:r>
            <w:r w:rsidRPr="00684324">
              <w:rPr>
                <w:rFonts w:cstheme="minorHAnsi"/>
                <w:szCs w:val="20"/>
              </w:rPr>
              <w:t xml:space="preserve">Luminaire Component Modifications.  </w:t>
            </w:r>
          </w:p>
        </w:tc>
        <w:tc>
          <w:tcPr>
            <w:tcW w:w="1134" w:type="pct"/>
          </w:tcPr>
          <w:p w14:paraId="3E1189F8" w14:textId="7A79F259" w:rsidR="00881A42" w:rsidRPr="005D49FF" w:rsidRDefault="00742071" w:rsidP="00DF0D19">
            <w:pPr>
              <w:rPr>
                <w:rFonts w:cstheme="minorHAnsi"/>
                <w:szCs w:val="20"/>
                <w:highlight w:val="yellow"/>
              </w:rPr>
            </w:pPr>
            <w:r w:rsidRPr="00742071">
              <w:rPr>
                <w:rFonts w:cstheme="minorHAnsi"/>
                <w:szCs w:val="20"/>
              </w:rPr>
              <w:t>January 1, 2017</w:t>
            </w:r>
          </w:p>
        </w:tc>
      </w:tr>
    </w:tbl>
    <w:p w14:paraId="658749F7" w14:textId="6B8A7A0D" w:rsidR="00572D2F" w:rsidRPr="00920905" w:rsidRDefault="00572D2F" w:rsidP="00920905">
      <w:pPr>
        <w:pStyle w:val="Heading2"/>
        <w:rPr>
          <w:rFonts w:cstheme="minorHAnsi"/>
          <w:b w:val="0"/>
          <w:bCs w:val="0"/>
          <w:iCs w:val="0"/>
          <w:smallCaps w:val="0"/>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4527A640" w14:textId="1CB1F2E6" w:rsidR="003E26BF" w:rsidRPr="00AB21F5" w:rsidRDefault="003E26BF" w:rsidP="003E26BF">
      <w:pPr>
        <w:rPr>
          <w:rFonts w:cstheme="minorHAnsi"/>
          <w:szCs w:val="22"/>
        </w:rPr>
      </w:pPr>
      <w:r>
        <w:rPr>
          <w:rFonts w:cstheme="minorHAnsi"/>
          <w:szCs w:val="22"/>
        </w:rPr>
        <w:t>ET07.15 – Recessed LED Downlights [416]</w:t>
      </w:r>
      <w:r w:rsidRPr="00F73145">
        <w:rPr>
          <w:rFonts w:cstheme="minorHAnsi"/>
          <w:szCs w:val="22"/>
        </w:rPr>
        <w:t xml:space="preserve"> </w:t>
      </w:r>
      <w:r>
        <w:rPr>
          <w:rFonts w:cstheme="minorHAnsi"/>
          <w:szCs w:val="22"/>
        </w:rPr>
        <w:t>report was used to qualify the technologies in this work</w:t>
      </w:r>
      <w:r w:rsidR="00795225">
        <w:rPr>
          <w:rFonts w:cstheme="minorHAnsi"/>
          <w:szCs w:val="22"/>
        </w:rPr>
        <w:t xml:space="preserve"> </w:t>
      </w:r>
      <w:r>
        <w:rPr>
          <w:rFonts w:cstheme="minorHAnsi"/>
          <w:szCs w:val="22"/>
        </w:rPr>
        <w:t>paper.</w:t>
      </w:r>
    </w:p>
    <w:p w14:paraId="171FE7F6" w14:textId="081FD049" w:rsidR="00572D2F" w:rsidRPr="00920905" w:rsidRDefault="00572D2F" w:rsidP="00920905">
      <w:pPr>
        <w:pStyle w:val="Heading3"/>
        <w:rPr>
          <w:b w:val="0"/>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3E26BF">
        <w:rPr>
          <w:rFonts w:asciiTheme="minorHAnsi" w:hAnsiTheme="minorHAnsi"/>
        </w:rPr>
        <w:t>Recessed LED Downlight</w:t>
      </w:r>
    </w:p>
    <w:p w14:paraId="563EBC49" w14:textId="6F2C9736" w:rsidR="003E26BF" w:rsidRPr="00795225" w:rsidRDefault="003E26BF" w:rsidP="009844A1">
      <w:pPr>
        <w:pStyle w:val="Heading2"/>
        <w:rPr>
          <w:rFonts w:asciiTheme="minorHAnsi" w:hAnsiTheme="minorHAnsi"/>
          <w:b w:val="0"/>
          <w:bCs w:val="0"/>
          <w:iCs w:val="0"/>
          <w:smallCaps w:val="0"/>
          <w:sz w:val="22"/>
          <w:szCs w:val="22"/>
        </w:rPr>
      </w:pPr>
      <w:r w:rsidRPr="00795225">
        <w:rPr>
          <w:rFonts w:asciiTheme="minorHAnsi" w:hAnsiTheme="minorHAnsi"/>
          <w:b w:val="0"/>
          <w:bCs w:val="0"/>
          <w:iCs w:val="0"/>
          <w:smallCaps w:val="0"/>
          <w:sz w:val="22"/>
          <w:szCs w:val="22"/>
        </w:rPr>
        <w:t xml:space="preserve">Southern California Edison (SCE) conducted the recessed LED downlights Emerging Technologies (ET) Scaled Field Placement project to explore whether LED downlights can achieve market penetration in SCE service territory, targeting customers who make lighting system purchasing decisions. </w:t>
      </w:r>
      <w:r w:rsidR="00795225" w:rsidRPr="00795225">
        <w:rPr>
          <w:rFonts w:asciiTheme="minorHAnsi" w:hAnsiTheme="minorHAnsi"/>
          <w:b w:val="0"/>
          <w:bCs w:val="0"/>
          <w:iCs w:val="0"/>
          <w:smallCaps w:val="0"/>
          <w:sz w:val="22"/>
          <w:szCs w:val="22"/>
        </w:rPr>
        <w:t>SCE deployed and tested LED retrofit kits and LED screw-in replacements at six customer sites with high foot traffic: two hotels, a timeshare, two homes, and a mall. A light meter was used to measure the intensity of the light and customer surveys were conducted before and after installations.</w:t>
      </w:r>
    </w:p>
    <w:p w14:paraId="473D00CC" w14:textId="3FCA1E14" w:rsidR="009844A1" w:rsidRPr="00795225" w:rsidRDefault="009844A1" w:rsidP="009844A1">
      <w:pPr>
        <w:pStyle w:val="Heading2"/>
        <w:rPr>
          <w:rFonts w:asciiTheme="minorHAnsi" w:hAnsiTheme="minorHAnsi" w:cstheme="minorHAnsi"/>
        </w:rPr>
      </w:pPr>
      <w:r w:rsidRPr="00795225">
        <w:rPr>
          <w:rFonts w:asciiTheme="minorHAnsi" w:hAnsiTheme="minorHAnsi" w:cstheme="minorHAnsi"/>
        </w:rPr>
        <w:t xml:space="preserve">1.6 Data </w:t>
      </w:r>
      <w:r w:rsidR="00602F18" w:rsidRPr="00795225">
        <w:rPr>
          <w:rFonts w:asciiTheme="minorHAnsi" w:hAnsiTheme="minorHAnsi" w:cstheme="minorHAnsi"/>
        </w:rPr>
        <w:t>Quality and Future Data Needs</w:t>
      </w:r>
    </w:p>
    <w:p w14:paraId="5274C3FC" w14:textId="13F6A4AD" w:rsidR="00602F18" w:rsidRPr="00795225" w:rsidRDefault="00795225" w:rsidP="00795225">
      <w:pPr>
        <w:rPr>
          <w:rFonts w:cs="Arial"/>
          <w:szCs w:val="22"/>
        </w:rPr>
      </w:pPr>
      <w:r w:rsidRPr="00795225">
        <w:rPr>
          <w:rFonts w:cs="Arial"/>
          <w:szCs w:val="22"/>
        </w:rPr>
        <w:t>N/A</w:t>
      </w:r>
    </w:p>
    <w:p w14:paraId="015A5544" w14:textId="332FA672" w:rsidR="00E16609" w:rsidRPr="00500C4E" w:rsidRDefault="00E16609" w:rsidP="00560934">
      <w:pPr>
        <w:pStyle w:val="Heading1"/>
        <w:keepNext w:val="0"/>
        <w:rPr>
          <w:rFonts w:cstheme="minorHAnsi"/>
        </w:rPr>
      </w:pPr>
      <w:r w:rsidRPr="00795225">
        <w:rPr>
          <w:rFonts w:cstheme="minorHAnsi"/>
        </w:rPr>
        <w:t xml:space="preserve">Section </w:t>
      </w:r>
      <w:r w:rsidRPr="00500C4E">
        <w:rPr>
          <w:rFonts w:cstheme="minorHAnsi"/>
        </w:rPr>
        <w:t>2</w:t>
      </w:r>
      <w:r w:rsidR="00317970">
        <w:rPr>
          <w:rFonts w:cstheme="minorHAnsi"/>
        </w:rPr>
        <w:t>.</w:t>
      </w:r>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41A51732" w14:textId="301C3264" w:rsidR="00ED4904" w:rsidRDefault="006E471D" w:rsidP="00E72F48">
      <w:pPr>
        <w:pStyle w:val="Reminders"/>
        <w:rPr>
          <w:rFonts w:asciiTheme="minorHAnsi" w:hAnsiTheme="minorHAnsi" w:cstheme="minorHAnsi"/>
          <w:i w:val="0"/>
          <w:color w:val="auto"/>
          <w:szCs w:val="22"/>
        </w:rPr>
      </w:pPr>
      <w:r w:rsidRPr="006E471D">
        <w:rPr>
          <w:rFonts w:asciiTheme="minorHAnsi" w:hAnsiTheme="minorHAnsi" w:cstheme="minorHAnsi"/>
          <w:i w:val="0"/>
          <w:color w:val="auto"/>
          <w:szCs w:val="22"/>
        </w:rPr>
        <w:t xml:space="preserve">The methodology of the wattages to be used for energy savings is based on the LED wattage being offered and the Wattage Reduction Ratio (WRR). </w:t>
      </w:r>
      <w:r>
        <w:rPr>
          <w:rFonts w:asciiTheme="minorHAnsi" w:hAnsiTheme="minorHAnsi" w:cstheme="minorHAnsi"/>
          <w:i w:val="0"/>
          <w:color w:val="auto"/>
          <w:szCs w:val="22"/>
        </w:rPr>
        <w:t xml:space="preserve"> </w:t>
      </w:r>
      <w:r w:rsidR="00BE61B5">
        <w:rPr>
          <w:rFonts w:asciiTheme="minorHAnsi" w:hAnsiTheme="minorHAnsi" w:cstheme="minorHAnsi"/>
          <w:i w:val="0"/>
          <w:color w:val="auto"/>
          <w:szCs w:val="22"/>
        </w:rPr>
        <w:t>The Calculation Methodology uses the document “D</w:t>
      </w:r>
      <w:r w:rsidR="00BE61B5" w:rsidRPr="00BE61B5">
        <w:rPr>
          <w:rFonts w:asciiTheme="minorHAnsi" w:hAnsiTheme="minorHAnsi" w:cstheme="minorHAnsi"/>
          <w:i w:val="0"/>
          <w:color w:val="auto"/>
          <w:szCs w:val="22"/>
        </w:rPr>
        <w:t xml:space="preserve">isposition </w:t>
      </w:r>
      <w:r w:rsidR="0043700E">
        <w:rPr>
          <w:rFonts w:asciiTheme="minorHAnsi" w:hAnsiTheme="minorHAnsi" w:cstheme="minorHAnsi"/>
          <w:i w:val="0"/>
          <w:color w:val="auto"/>
          <w:szCs w:val="22"/>
        </w:rPr>
        <w:t>f</w:t>
      </w:r>
      <w:r w:rsidR="00BE61B5" w:rsidRPr="00BE61B5">
        <w:rPr>
          <w:rFonts w:asciiTheme="minorHAnsi" w:hAnsiTheme="minorHAnsi" w:cstheme="minorHAnsi"/>
          <w:i w:val="0"/>
          <w:color w:val="auto"/>
          <w:szCs w:val="22"/>
        </w:rPr>
        <w:t xml:space="preserve">or </w:t>
      </w:r>
      <w:proofErr w:type="spellStart"/>
      <w:r w:rsidR="00BE61B5" w:rsidRPr="00BE61B5">
        <w:rPr>
          <w:rFonts w:asciiTheme="minorHAnsi" w:hAnsiTheme="minorHAnsi" w:cstheme="minorHAnsi"/>
          <w:i w:val="0"/>
          <w:color w:val="auto"/>
          <w:szCs w:val="22"/>
        </w:rPr>
        <w:t>Workpapers</w:t>
      </w:r>
      <w:proofErr w:type="spellEnd"/>
      <w:r w:rsidR="00BE61B5" w:rsidRPr="00BE61B5">
        <w:rPr>
          <w:rFonts w:asciiTheme="minorHAnsi" w:hAnsiTheme="minorHAnsi" w:cstheme="minorHAnsi"/>
          <w:i w:val="0"/>
          <w:color w:val="auto"/>
          <w:szCs w:val="22"/>
        </w:rPr>
        <w:t xml:space="preserve"> Covering L</w:t>
      </w:r>
      <w:r w:rsidR="0043700E">
        <w:rPr>
          <w:rFonts w:asciiTheme="minorHAnsi" w:hAnsiTheme="minorHAnsi" w:cstheme="minorHAnsi"/>
          <w:i w:val="0"/>
          <w:color w:val="auto"/>
          <w:szCs w:val="22"/>
        </w:rPr>
        <w:t>ED Lamps a</w:t>
      </w:r>
      <w:r w:rsidR="00BE61B5" w:rsidRPr="00BE61B5">
        <w:rPr>
          <w:rFonts w:asciiTheme="minorHAnsi" w:hAnsiTheme="minorHAnsi" w:cstheme="minorHAnsi"/>
          <w:i w:val="0"/>
          <w:color w:val="auto"/>
          <w:szCs w:val="22"/>
        </w:rPr>
        <w:t>nd Fixtures</w:t>
      </w:r>
      <w:r w:rsidR="00BE61B5" w:rsidRPr="00BE61B5">
        <w:rPr>
          <w:rFonts w:asciiTheme="minorHAnsi" w:hAnsiTheme="minorHAnsi" w:cstheme="minorHAnsi"/>
          <w:i w:val="0"/>
          <w:color w:val="auto"/>
          <w:szCs w:val="22"/>
        </w:rPr>
        <w:tab/>
      </w:r>
      <w:r w:rsidR="00BE61B5">
        <w:rPr>
          <w:rFonts w:asciiTheme="minorHAnsi" w:hAnsiTheme="minorHAnsi" w:cstheme="minorHAnsi"/>
          <w:i w:val="0"/>
          <w:color w:val="auto"/>
          <w:szCs w:val="22"/>
        </w:rPr>
        <w:t xml:space="preserve"> </w:t>
      </w:r>
      <w:r w:rsidR="00BE61B5" w:rsidRPr="00BE61B5">
        <w:rPr>
          <w:rFonts w:asciiTheme="minorHAnsi" w:hAnsiTheme="minorHAnsi" w:cstheme="minorHAnsi"/>
          <w:i w:val="0"/>
          <w:color w:val="auto"/>
          <w:szCs w:val="22"/>
        </w:rPr>
        <w:t>That Use Wattage Reduction Ratio Savings Methods</w:t>
      </w:r>
      <w:r w:rsidR="00BE61B5">
        <w:rPr>
          <w:rFonts w:asciiTheme="minorHAnsi" w:hAnsiTheme="minorHAnsi" w:cstheme="minorHAnsi"/>
          <w:i w:val="0"/>
          <w:color w:val="auto"/>
          <w:szCs w:val="22"/>
        </w:rPr>
        <w:t xml:space="preserve">” by the </w:t>
      </w:r>
      <w:r w:rsidR="00E72F48" w:rsidRPr="00E72F48">
        <w:rPr>
          <w:rFonts w:asciiTheme="minorHAnsi" w:hAnsiTheme="minorHAnsi" w:cstheme="minorHAnsi"/>
          <w:i w:val="0"/>
          <w:color w:val="auto"/>
          <w:szCs w:val="22"/>
        </w:rPr>
        <w:t xml:space="preserve">California Public Utilities </w:t>
      </w:r>
      <w:r w:rsidR="00ED4904">
        <w:rPr>
          <w:rFonts w:asciiTheme="minorHAnsi" w:hAnsiTheme="minorHAnsi" w:cstheme="minorHAnsi"/>
          <w:i w:val="0"/>
          <w:color w:val="auto"/>
          <w:szCs w:val="22"/>
        </w:rPr>
        <w:t>C</w:t>
      </w:r>
      <w:r w:rsidR="00E72F48" w:rsidRPr="00E72F48">
        <w:rPr>
          <w:rFonts w:asciiTheme="minorHAnsi" w:hAnsiTheme="minorHAnsi" w:cstheme="minorHAnsi"/>
          <w:i w:val="0"/>
          <w:color w:val="auto"/>
          <w:szCs w:val="22"/>
        </w:rPr>
        <w:t>ommission, Energy Division</w:t>
      </w:r>
      <w:r w:rsidR="00C25DF1">
        <w:rPr>
          <w:rFonts w:asciiTheme="minorHAnsi" w:hAnsiTheme="minorHAnsi" w:cstheme="minorHAnsi"/>
          <w:i w:val="0"/>
          <w:color w:val="auto"/>
          <w:szCs w:val="22"/>
        </w:rPr>
        <w:t>,</w:t>
      </w:r>
      <w:r w:rsidR="00ED4904">
        <w:rPr>
          <w:rFonts w:asciiTheme="minorHAnsi" w:hAnsiTheme="minorHAnsi" w:cstheme="minorHAnsi"/>
          <w:i w:val="0"/>
          <w:color w:val="auto"/>
          <w:szCs w:val="22"/>
        </w:rPr>
        <w:t xml:space="preserve"> on </w:t>
      </w:r>
      <w:r w:rsidR="00E72F48" w:rsidRPr="00E72F48">
        <w:rPr>
          <w:rFonts w:asciiTheme="minorHAnsi" w:hAnsiTheme="minorHAnsi" w:cstheme="minorHAnsi"/>
          <w:i w:val="0"/>
          <w:color w:val="auto"/>
          <w:szCs w:val="22"/>
        </w:rPr>
        <w:t>July 22, 2016</w:t>
      </w:r>
      <w:r w:rsidR="00FC2590">
        <w:rPr>
          <w:rFonts w:asciiTheme="minorHAnsi" w:hAnsiTheme="minorHAnsi" w:cstheme="minorHAnsi"/>
          <w:i w:val="0"/>
          <w:color w:val="auto"/>
          <w:szCs w:val="22"/>
        </w:rPr>
        <w:t xml:space="preserve"> (See Attachment 2)</w:t>
      </w:r>
      <w:r w:rsidR="00ED4904">
        <w:rPr>
          <w:rFonts w:asciiTheme="minorHAnsi" w:hAnsiTheme="minorHAnsi" w:cstheme="minorHAnsi"/>
          <w:i w:val="0"/>
          <w:color w:val="auto"/>
          <w:szCs w:val="22"/>
        </w:rPr>
        <w:t xml:space="preserve">.  </w:t>
      </w:r>
      <w:r w:rsidR="00641F6C">
        <w:rPr>
          <w:rFonts w:asciiTheme="minorHAnsi" w:hAnsiTheme="minorHAnsi" w:cstheme="minorHAnsi"/>
          <w:i w:val="0"/>
          <w:color w:val="auto"/>
          <w:szCs w:val="22"/>
        </w:rPr>
        <w:t>Thi</w:t>
      </w:r>
      <w:r w:rsidR="00FC2590">
        <w:rPr>
          <w:rFonts w:asciiTheme="minorHAnsi" w:hAnsiTheme="minorHAnsi" w:cstheme="minorHAnsi"/>
          <w:i w:val="0"/>
          <w:color w:val="auto"/>
          <w:szCs w:val="22"/>
        </w:rPr>
        <w:t xml:space="preserve">s </w:t>
      </w:r>
      <w:proofErr w:type="spellStart"/>
      <w:r w:rsidR="00FC2590">
        <w:rPr>
          <w:rFonts w:asciiTheme="minorHAnsi" w:hAnsiTheme="minorHAnsi" w:cstheme="minorHAnsi"/>
          <w:i w:val="0"/>
          <w:color w:val="auto"/>
          <w:szCs w:val="22"/>
        </w:rPr>
        <w:t>workpaper</w:t>
      </w:r>
      <w:proofErr w:type="spellEnd"/>
      <w:r w:rsidR="00FC2590">
        <w:rPr>
          <w:rFonts w:asciiTheme="minorHAnsi" w:hAnsiTheme="minorHAnsi" w:cstheme="minorHAnsi"/>
          <w:i w:val="0"/>
          <w:color w:val="auto"/>
          <w:szCs w:val="22"/>
        </w:rPr>
        <w:t xml:space="preserve"> is referenced in the aforementioned </w:t>
      </w:r>
      <w:r w:rsidR="00641F6C">
        <w:rPr>
          <w:rFonts w:asciiTheme="minorHAnsi" w:hAnsiTheme="minorHAnsi" w:cstheme="minorHAnsi"/>
          <w:i w:val="0"/>
          <w:color w:val="auto"/>
          <w:szCs w:val="22"/>
        </w:rPr>
        <w:t xml:space="preserve">document, and includes </w:t>
      </w:r>
      <w:proofErr w:type="spellStart"/>
      <w:r w:rsidR="00641F6C">
        <w:rPr>
          <w:rFonts w:asciiTheme="minorHAnsi" w:hAnsiTheme="minorHAnsi" w:cstheme="minorHAnsi"/>
          <w:i w:val="0"/>
          <w:color w:val="auto"/>
          <w:szCs w:val="22"/>
        </w:rPr>
        <w:t>workpapers</w:t>
      </w:r>
      <w:proofErr w:type="spellEnd"/>
      <w:r w:rsidR="00641F6C">
        <w:rPr>
          <w:rFonts w:asciiTheme="minorHAnsi" w:hAnsiTheme="minorHAnsi" w:cstheme="minorHAnsi"/>
          <w:i w:val="0"/>
          <w:color w:val="auto"/>
          <w:szCs w:val="22"/>
        </w:rPr>
        <w:t xml:space="preserve"> submitted since December of 2015 supporting LED lighting measures that utilize Wattage Reduction Ratios (WRR) </w:t>
      </w:r>
      <w:r w:rsidR="00F76274">
        <w:rPr>
          <w:rFonts w:asciiTheme="minorHAnsi" w:hAnsiTheme="minorHAnsi" w:cstheme="minorHAnsi"/>
          <w:i w:val="0"/>
          <w:color w:val="auto"/>
          <w:szCs w:val="22"/>
        </w:rPr>
        <w:t>to calculate the savings</w:t>
      </w:r>
      <w:r w:rsidR="00641F6C">
        <w:rPr>
          <w:rFonts w:asciiTheme="minorHAnsi" w:hAnsiTheme="minorHAnsi" w:cstheme="minorHAnsi"/>
          <w:i w:val="0"/>
          <w:color w:val="auto"/>
          <w:szCs w:val="22"/>
        </w:rPr>
        <w:t>.</w:t>
      </w:r>
      <w:r w:rsidR="00F76274">
        <w:rPr>
          <w:rFonts w:asciiTheme="minorHAnsi" w:hAnsiTheme="minorHAnsi" w:cstheme="minorHAnsi"/>
          <w:i w:val="0"/>
          <w:color w:val="auto"/>
          <w:szCs w:val="22"/>
        </w:rPr>
        <w:t xml:space="preserve"> Per the disposition direction, a WRR of 3.42 was applied to the measure watts to calculate the baseline wattage. The delta watts between baseline to measure was then multiplied with the Interactive effects and the DEER approved Hours of Usage (HOU) for the respective climate zone and building type to calculate the energy savings.</w:t>
      </w:r>
    </w:p>
    <w:p w14:paraId="55DCC4DA" w14:textId="77777777" w:rsidR="00174FB8" w:rsidRDefault="00174FB8" w:rsidP="00E16609">
      <w:pPr>
        <w:pStyle w:val="Reminders"/>
        <w:rPr>
          <w:rFonts w:asciiTheme="minorHAnsi" w:hAnsiTheme="minorHAnsi" w:cstheme="minorHAnsi"/>
          <w:i w:val="0"/>
          <w:szCs w:val="22"/>
        </w:rPr>
      </w:pPr>
    </w:p>
    <w:p w14:paraId="51CEE48A" w14:textId="77777777" w:rsidR="00F76274" w:rsidRDefault="00F76274" w:rsidP="00F76274">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energy savings estimates are calculated as follows:</w:t>
      </w:r>
    </w:p>
    <w:p w14:paraId="09226844" w14:textId="77777777" w:rsidR="00F76274" w:rsidRDefault="00F76274" w:rsidP="00F76274">
      <w:pPr>
        <w:pStyle w:val="Reminders"/>
        <w:rPr>
          <w:rFonts w:asciiTheme="minorHAnsi" w:hAnsiTheme="minorHAnsi" w:cstheme="minorHAnsi"/>
          <w:i w:val="0"/>
          <w:color w:val="auto"/>
          <w:szCs w:val="22"/>
        </w:rPr>
      </w:pPr>
    </w:p>
    <w:p w14:paraId="08069BEC" w14:textId="77777777" w:rsidR="00F76274" w:rsidRDefault="00F76274" w:rsidP="00F76274">
      <w:pPr>
        <w:pStyle w:val="Reminders"/>
        <w:rPr>
          <w:rFonts w:asciiTheme="minorHAnsi" w:hAnsiTheme="minorHAnsi" w:cstheme="minorHAnsi"/>
          <w:szCs w:val="22"/>
        </w:rPr>
      </w:pPr>
      <w:r>
        <w:rPr>
          <w:rFonts w:asciiTheme="minorHAnsi" w:hAnsiTheme="minorHAnsi" w:cstheme="minorHAnsi"/>
          <w:position w:val="-30"/>
          <w:szCs w:val="22"/>
        </w:rPr>
        <w:object w:dxaOrig="7335" w:dyaOrig="720" w14:anchorId="5AFDB3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2pt;height:36pt" o:ole="">
            <v:imagedata r:id="rId11" o:title=""/>
          </v:shape>
          <o:OLEObject Type="Embed" ProgID="Equation.DSMT4" ShapeID="_x0000_i1025" DrawAspect="Content" ObjectID="_1544602748" r:id="rId12"/>
        </w:object>
      </w:r>
    </w:p>
    <w:p w14:paraId="7253AA65" w14:textId="6148A228" w:rsidR="00F76274" w:rsidRDefault="00F76274" w:rsidP="00F76274">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following is a sample energy savings calculation for </w:t>
      </w:r>
      <w:r w:rsidR="00CD59A0" w:rsidRPr="00CD59A0">
        <w:rPr>
          <w:rFonts w:asciiTheme="minorHAnsi" w:hAnsiTheme="minorHAnsi" w:cstheme="minorHAnsi"/>
          <w:i w:val="0"/>
          <w:color w:val="auto"/>
          <w:szCs w:val="22"/>
        </w:rPr>
        <w:t>≤ 15 Watt Down Light (Non Res) LED Fixture</w:t>
      </w:r>
      <w:r w:rsidR="00CD59A0">
        <w:rPr>
          <w:rFonts w:asciiTheme="minorHAnsi" w:hAnsiTheme="minorHAnsi" w:cstheme="minorHAnsi"/>
          <w:i w:val="0"/>
          <w:color w:val="auto"/>
          <w:szCs w:val="22"/>
        </w:rPr>
        <w:t xml:space="preserve"> </w:t>
      </w:r>
      <w:proofErr w:type="spellStart"/>
      <w:r w:rsidR="00CD59A0">
        <w:rPr>
          <w:rFonts w:asciiTheme="minorHAnsi" w:hAnsiTheme="minorHAnsi" w:cstheme="minorHAnsi"/>
          <w:i w:val="0"/>
          <w:color w:val="auto"/>
          <w:szCs w:val="22"/>
        </w:rPr>
        <w:t>Basecase</w:t>
      </w:r>
      <w:proofErr w:type="spellEnd"/>
      <w:r w:rsidR="00CD59A0">
        <w:rPr>
          <w:rFonts w:asciiTheme="minorHAnsi" w:hAnsiTheme="minorHAnsi" w:cstheme="minorHAnsi"/>
          <w:i w:val="0"/>
          <w:color w:val="auto"/>
          <w:szCs w:val="22"/>
        </w:rPr>
        <w:t>, Total Watts = 3.42</w:t>
      </w:r>
      <w:r w:rsidRPr="00BC52C8">
        <w:rPr>
          <w:rFonts w:asciiTheme="minorHAnsi" w:hAnsiTheme="minorHAnsi" w:cstheme="minorHAnsi"/>
          <w:i w:val="0"/>
          <w:color w:val="auto"/>
          <w:szCs w:val="22"/>
        </w:rPr>
        <w:t xml:space="preserve"> x </w:t>
      </w:r>
      <w:proofErr w:type="spellStart"/>
      <w:r w:rsidRPr="00BC52C8">
        <w:rPr>
          <w:rFonts w:asciiTheme="minorHAnsi" w:hAnsiTheme="minorHAnsi" w:cstheme="minorHAnsi"/>
          <w:i w:val="0"/>
          <w:color w:val="auto"/>
          <w:szCs w:val="22"/>
        </w:rPr>
        <w:t>Msr</w:t>
      </w:r>
      <w:proofErr w:type="spellEnd"/>
      <w:r w:rsidRPr="00BC52C8">
        <w:rPr>
          <w:rFonts w:asciiTheme="minorHAnsi" w:hAnsiTheme="minorHAnsi" w:cstheme="minorHAnsi"/>
          <w:i w:val="0"/>
          <w:color w:val="auto"/>
          <w:szCs w:val="22"/>
        </w:rPr>
        <w:t xml:space="preserve"> Watts</w:t>
      </w:r>
      <w:r w:rsidR="00CD59A0">
        <w:rPr>
          <w:rFonts w:asciiTheme="minorHAnsi" w:hAnsiTheme="minorHAnsi" w:cstheme="minorHAnsi"/>
          <w:i w:val="0"/>
          <w:color w:val="auto"/>
          <w:szCs w:val="22"/>
        </w:rPr>
        <w:t xml:space="preserve"> for Assembly building type</w:t>
      </w:r>
      <w:r>
        <w:rPr>
          <w:rFonts w:asciiTheme="minorHAnsi" w:hAnsiTheme="minorHAnsi" w:cstheme="minorHAnsi"/>
          <w:i w:val="0"/>
          <w:color w:val="auto"/>
          <w:szCs w:val="22"/>
        </w:rPr>
        <w:t xml:space="preserve"> in Climate Zone 6.</w:t>
      </w:r>
    </w:p>
    <w:p w14:paraId="0EBCD2D7" w14:textId="77777777" w:rsidR="00F76274" w:rsidRDefault="00F76274" w:rsidP="00F76274">
      <w:pPr>
        <w:pStyle w:val="Reminders"/>
        <w:rPr>
          <w:rFonts w:asciiTheme="minorHAnsi" w:hAnsiTheme="minorHAnsi" w:cstheme="minorHAnsi"/>
          <w:i w:val="0"/>
          <w:color w:val="auto"/>
          <w:szCs w:val="22"/>
        </w:rPr>
      </w:pPr>
    </w:p>
    <w:p w14:paraId="7CF13607" w14:textId="5968FB41" w:rsidR="00F76274" w:rsidRDefault="00F76274" w:rsidP="00F76274">
      <w:pPr>
        <w:rPr>
          <w:rFonts w:cstheme="minorHAnsi"/>
          <w:szCs w:val="22"/>
        </w:rPr>
      </w:pPr>
      <m:oMathPara>
        <m:oMathParaPr>
          <m:jc m:val="left"/>
        </m:oMathParaPr>
        <m:oMath>
          <m:r>
            <w:rPr>
              <w:rFonts w:ascii="Cambria Math" w:hAnsi="Cambria Math" w:cstheme="minorHAnsi"/>
              <w:szCs w:val="22"/>
            </w:rPr>
            <m:t>EnergySavings</m:t>
          </m:r>
          <m:d>
            <m:dPr>
              <m:begChr m:val="["/>
              <m:endChr m:val="]"/>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kWh</m:t>
                  </m:r>
                </m:num>
                <m:den>
                  <m:r>
                    <w:rPr>
                      <w:rFonts w:ascii="Cambria Math" w:hAnsi="Cambria Math" w:cstheme="minorHAnsi"/>
                      <w:szCs w:val="22"/>
                    </w:rPr>
                    <m:t>Unit×Year</m:t>
                  </m:r>
                </m:den>
              </m:f>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[27.36-8]×1180×1.09</m:t>
              </m:r>
            </m:num>
            <m:den>
              <m:r>
                <w:rPr>
                  <w:rFonts w:ascii="Cambria Math" w:hAnsi="Cambria Math" w:cstheme="minorHAnsi"/>
                  <w:szCs w:val="22"/>
                </w:rPr>
                <m:t>1,000</m:t>
              </m:r>
              <m:d>
                <m:dPr>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Watthours</m:t>
                      </m:r>
                    </m:num>
                    <m:den>
                      <m:r>
                        <w:rPr>
                          <w:rFonts w:ascii="Cambria Math" w:hAnsi="Cambria Math" w:cstheme="minorHAnsi"/>
                          <w:szCs w:val="22"/>
                        </w:rPr>
                        <m:t>kWh</m:t>
                      </m:r>
                    </m:den>
                  </m:f>
                </m:e>
              </m:d>
            </m:den>
          </m:f>
        </m:oMath>
      </m:oMathPara>
    </w:p>
    <w:p w14:paraId="4CB2A606" w14:textId="77777777" w:rsidR="00F76274" w:rsidRDefault="00F76274" w:rsidP="00F76274">
      <w:pPr>
        <w:pStyle w:val="Reminders"/>
        <w:rPr>
          <w:rFonts w:asciiTheme="minorHAnsi" w:hAnsiTheme="minorHAnsi" w:cstheme="minorHAnsi"/>
          <w:i w:val="0"/>
          <w:szCs w:val="22"/>
        </w:rPr>
      </w:pPr>
    </w:p>
    <w:p w14:paraId="53756DAF" w14:textId="665BC59C" w:rsidR="00F76274" w:rsidRDefault="00F76274" w:rsidP="00F76274">
      <w:pPr>
        <w:pStyle w:val="Reminders"/>
        <w:rPr>
          <w:rFonts w:asciiTheme="minorHAnsi" w:hAnsiTheme="minorHAnsi" w:cstheme="minorHAnsi"/>
          <w:i w:val="0"/>
          <w:szCs w:val="22"/>
        </w:rPr>
      </w:pPr>
      <m:oMathPara>
        <m:oMath>
          <m:r>
            <w:rPr>
              <w:rFonts w:ascii="Cambria Math" w:hAnsi="Cambria Math" w:cstheme="minorHAnsi"/>
              <w:color w:val="auto"/>
              <w:szCs w:val="22"/>
            </w:rPr>
            <m:t>EnergySavings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kWh</m:t>
                  </m:r>
                </m:num>
                <m:den>
                  <m:r>
                    <w:rPr>
                      <w:rFonts w:ascii="Cambria Math" w:hAnsi="Cambria Math" w:cstheme="minorHAnsi"/>
                      <w:color w:val="auto"/>
                      <w:szCs w:val="22"/>
                    </w:rPr>
                    <m:t>Unit×Year</m:t>
                  </m:r>
                </m:den>
              </m:f>
            </m:e>
          </m:d>
          <m:r>
            <w:rPr>
              <w:rFonts w:ascii="Cambria Math" w:hAnsi="Cambria Math" w:cstheme="minorHAnsi"/>
              <w:color w:val="auto"/>
              <w:szCs w:val="22"/>
            </w:rPr>
            <m:t>=24.90</m:t>
          </m:r>
        </m:oMath>
      </m:oMathPara>
    </w:p>
    <w:p w14:paraId="0AF2A4A3" w14:textId="77777777" w:rsidR="00CD59A0" w:rsidRDefault="00CD59A0" w:rsidP="00CD59A0">
      <w:pPr>
        <w:pStyle w:val="Reminders"/>
        <w:rPr>
          <w:rFonts w:asciiTheme="minorHAnsi" w:hAnsiTheme="minorHAnsi" w:cstheme="minorHAnsi"/>
          <w:i w:val="0"/>
          <w:color w:val="auto"/>
          <w:szCs w:val="22"/>
        </w:rPr>
      </w:pPr>
      <w:bookmarkStart w:id="16" w:name="_Toc214003093"/>
    </w:p>
    <w:p w14:paraId="5B4FBB9E" w14:textId="77777777" w:rsidR="00CD59A0" w:rsidRDefault="00CD59A0" w:rsidP="00CD59A0">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demand reduction estimates are calculated as follows:</w:t>
      </w:r>
    </w:p>
    <w:p w14:paraId="1CDD8DC4" w14:textId="77777777" w:rsidR="00CD59A0" w:rsidRDefault="00CD59A0" w:rsidP="00CD59A0">
      <w:pPr>
        <w:pStyle w:val="Reminders"/>
        <w:rPr>
          <w:rFonts w:asciiTheme="minorHAnsi" w:hAnsiTheme="minorHAnsi" w:cstheme="minorHAnsi"/>
          <w:i w:val="0"/>
          <w:color w:val="auto"/>
          <w:szCs w:val="22"/>
        </w:rPr>
      </w:pPr>
    </w:p>
    <w:p w14:paraId="7A946B38" w14:textId="77777777" w:rsidR="00CD59A0" w:rsidRDefault="00CD59A0" w:rsidP="00CD59A0">
      <w:r>
        <w:rPr>
          <w:rFonts w:cstheme="minorHAnsi"/>
          <w:position w:val="-54"/>
          <w:szCs w:val="22"/>
        </w:rPr>
        <w:object w:dxaOrig="7200" w:dyaOrig="1005" w14:anchorId="4C1EF953">
          <v:shape id="_x0000_i1026" type="#_x0000_t75" style="width:5in;height:50.4pt" o:ole="">
            <v:imagedata r:id="rId13" o:title=""/>
          </v:shape>
          <o:OLEObject Type="Embed" ProgID="Equation.DSMT4" ShapeID="_x0000_i1026" DrawAspect="Content" ObjectID="_1544602749" r:id="rId14"/>
        </w:object>
      </w:r>
    </w:p>
    <w:p w14:paraId="2AE24D70" w14:textId="77777777" w:rsidR="00CD59A0" w:rsidRDefault="00CD59A0" w:rsidP="00CD59A0">
      <w:pPr>
        <w:pStyle w:val="Reminders"/>
        <w:rPr>
          <w:rFonts w:asciiTheme="minorHAnsi" w:hAnsiTheme="minorHAnsi" w:cstheme="minorHAnsi"/>
          <w:i w:val="0"/>
          <w:color w:val="auto"/>
          <w:szCs w:val="22"/>
        </w:rPr>
      </w:pPr>
    </w:p>
    <w:p w14:paraId="46C19289" w14:textId="49A56BEA" w:rsidR="00CD59A0" w:rsidRDefault="00CD59A0" w:rsidP="00CD59A0">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following is a sample demand reduction calculation for </w:t>
      </w:r>
      <w:r w:rsidRPr="00CD59A0">
        <w:rPr>
          <w:rFonts w:asciiTheme="minorHAnsi" w:hAnsiTheme="minorHAnsi" w:cstheme="minorHAnsi"/>
          <w:i w:val="0"/>
          <w:color w:val="auto"/>
          <w:szCs w:val="22"/>
        </w:rPr>
        <w:t>≤ 15 Watt Down Light (Non Res) LED Fixture</w:t>
      </w:r>
      <w:r>
        <w:rPr>
          <w:rFonts w:asciiTheme="minorHAnsi" w:hAnsiTheme="minorHAnsi" w:cstheme="minorHAnsi"/>
          <w:i w:val="0"/>
          <w:color w:val="auto"/>
          <w:szCs w:val="22"/>
        </w:rPr>
        <w:t xml:space="preserve"> </w:t>
      </w:r>
      <w:proofErr w:type="spellStart"/>
      <w:r>
        <w:rPr>
          <w:rFonts w:asciiTheme="minorHAnsi" w:hAnsiTheme="minorHAnsi" w:cstheme="minorHAnsi"/>
          <w:i w:val="0"/>
          <w:color w:val="auto"/>
          <w:szCs w:val="22"/>
        </w:rPr>
        <w:t>Basecase</w:t>
      </w:r>
      <w:proofErr w:type="spellEnd"/>
      <w:r>
        <w:rPr>
          <w:rFonts w:asciiTheme="minorHAnsi" w:hAnsiTheme="minorHAnsi" w:cstheme="minorHAnsi"/>
          <w:i w:val="0"/>
          <w:color w:val="auto"/>
          <w:szCs w:val="22"/>
        </w:rPr>
        <w:t>, Total Watts = 3.42</w:t>
      </w:r>
      <w:r w:rsidRPr="00BC52C8">
        <w:rPr>
          <w:rFonts w:asciiTheme="minorHAnsi" w:hAnsiTheme="minorHAnsi" w:cstheme="minorHAnsi"/>
          <w:i w:val="0"/>
          <w:color w:val="auto"/>
          <w:szCs w:val="22"/>
        </w:rPr>
        <w:t xml:space="preserve"> x </w:t>
      </w:r>
      <w:proofErr w:type="spellStart"/>
      <w:r w:rsidRPr="00BC52C8">
        <w:rPr>
          <w:rFonts w:asciiTheme="minorHAnsi" w:hAnsiTheme="minorHAnsi" w:cstheme="minorHAnsi"/>
          <w:i w:val="0"/>
          <w:color w:val="auto"/>
          <w:szCs w:val="22"/>
        </w:rPr>
        <w:t>Msr</w:t>
      </w:r>
      <w:proofErr w:type="spellEnd"/>
      <w:r w:rsidRPr="00BC52C8">
        <w:rPr>
          <w:rFonts w:asciiTheme="minorHAnsi" w:hAnsiTheme="minorHAnsi" w:cstheme="minorHAnsi"/>
          <w:i w:val="0"/>
          <w:color w:val="auto"/>
          <w:szCs w:val="22"/>
        </w:rPr>
        <w:t xml:space="preserve"> Watts</w:t>
      </w:r>
      <w:r>
        <w:rPr>
          <w:rFonts w:asciiTheme="minorHAnsi" w:hAnsiTheme="minorHAnsi" w:cstheme="minorHAnsi"/>
          <w:i w:val="0"/>
          <w:color w:val="auto"/>
          <w:szCs w:val="22"/>
        </w:rPr>
        <w:t xml:space="preserve"> for Assembly building type in Climate Zone 6.</w:t>
      </w:r>
    </w:p>
    <w:p w14:paraId="0B1F6B3D" w14:textId="77777777" w:rsidR="00CD59A0" w:rsidRDefault="00CD59A0" w:rsidP="00CD59A0">
      <w:pPr>
        <w:pStyle w:val="Reminders"/>
        <w:rPr>
          <w:rFonts w:asciiTheme="minorHAnsi" w:hAnsiTheme="minorHAnsi" w:cstheme="minorHAnsi"/>
          <w:i w:val="0"/>
          <w:color w:val="auto"/>
          <w:szCs w:val="22"/>
        </w:rPr>
      </w:pPr>
    </w:p>
    <w:p w14:paraId="4F61B1FD" w14:textId="2D0FDCEB" w:rsidR="00CD59A0" w:rsidRDefault="00CD59A0" w:rsidP="00CD59A0">
      <w:pPr>
        <w:rPr>
          <w:rFonts w:cstheme="minorHAnsi"/>
          <w:szCs w:val="22"/>
        </w:rPr>
      </w:pPr>
      <m:oMathPara>
        <m:oMathParaPr>
          <m:jc m:val="left"/>
        </m:oMathParaPr>
        <m:oMath>
          <m:r>
            <w:rPr>
              <w:rFonts w:ascii="Cambria Math" w:hAnsi="Cambria Math" w:cstheme="minorHAnsi"/>
              <w:szCs w:val="22"/>
            </w:rPr>
            <m:t>Demand Reduction</m:t>
          </m:r>
          <m:d>
            <m:dPr>
              <m:begChr m:val="["/>
              <m:endChr m:val="]"/>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kW</m:t>
                  </m:r>
                </m:num>
                <m:den>
                  <m:r>
                    <w:rPr>
                      <w:rFonts w:ascii="Cambria Math" w:hAnsi="Cambria Math" w:cstheme="minorHAnsi"/>
                      <w:szCs w:val="22"/>
                    </w:rPr>
                    <m:t>Unit</m:t>
                  </m:r>
                </m:den>
              </m:f>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[27.36 -8]×1.24×1.09</m:t>
              </m:r>
            </m:num>
            <m:den>
              <m:r>
                <w:rPr>
                  <w:rFonts w:ascii="Cambria Math" w:hAnsi="Cambria Math" w:cstheme="minorHAnsi"/>
                  <w:szCs w:val="22"/>
                </w:rPr>
                <m:t>1,000</m:t>
              </m:r>
              <m:d>
                <m:dPr>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Watthours</m:t>
                      </m:r>
                    </m:num>
                    <m:den>
                      <m:r>
                        <w:rPr>
                          <w:rFonts w:ascii="Cambria Math" w:hAnsi="Cambria Math" w:cstheme="minorHAnsi"/>
                          <w:szCs w:val="22"/>
                        </w:rPr>
                        <m:t>kWh</m:t>
                      </m:r>
                    </m:den>
                  </m:f>
                </m:e>
              </m:d>
            </m:den>
          </m:f>
        </m:oMath>
      </m:oMathPara>
    </w:p>
    <w:p w14:paraId="44C5F54E" w14:textId="4F29610A" w:rsidR="00F76274" w:rsidRPr="00CD59A0" w:rsidRDefault="00CD59A0" w:rsidP="00CD59A0">
      <w:pPr>
        <w:pStyle w:val="Heading1"/>
        <w:keepNext w:val="0"/>
        <w:rPr>
          <w:rFonts w:ascii="Cambria Math" w:hAnsi="Cambria Math" w:cstheme="minorHAnsi"/>
          <w:b w:val="0"/>
          <w:bCs w:val="0"/>
          <w:i/>
          <w:smallCaps w:val="0"/>
          <w:kern w:val="0"/>
          <w:sz w:val="22"/>
          <w:szCs w:val="22"/>
        </w:rPr>
      </w:pPr>
      <m:oMathPara>
        <m:oMath>
          <m:r>
            <m:rPr>
              <m:sty m:val="bi"/>
            </m:rPr>
            <w:rPr>
              <w:rFonts w:ascii="Cambria Math" w:hAnsi="Cambria Math" w:cstheme="minorHAnsi"/>
              <w:smallCaps w:val="0"/>
              <w:kern w:val="0"/>
              <w:sz w:val="22"/>
              <w:szCs w:val="22"/>
            </w:rPr>
            <m:t>Demand Reduction</m:t>
          </m:r>
          <m:d>
            <m:dPr>
              <m:begChr m:val="["/>
              <m:endChr m:val="]"/>
              <m:ctrlPr>
                <w:rPr>
                  <w:rFonts w:ascii="Cambria Math" w:hAnsi="Cambria Math" w:cstheme="minorHAnsi"/>
                  <w:b w:val="0"/>
                  <w:bCs w:val="0"/>
                  <w:i/>
                  <w:smallCaps w:val="0"/>
                  <w:kern w:val="0"/>
                  <w:sz w:val="22"/>
                  <w:szCs w:val="22"/>
                </w:rPr>
              </m:ctrlPr>
            </m:dPr>
            <m:e>
              <m:f>
                <m:fPr>
                  <m:ctrlPr>
                    <w:rPr>
                      <w:rFonts w:ascii="Cambria Math" w:hAnsi="Cambria Math" w:cstheme="minorHAnsi"/>
                      <w:b w:val="0"/>
                      <w:bCs w:val="0"/>
                      <w:i/>
                      <w:smallCaps w:val="0"/>
                      <w:kern w:val="0"/>
                      <w:sz w:val="22"/>
                      <w:szCs w:val="22"/>
                    </w:rPr>
                  </m:ctrlPr>
                </m:fPr>
                <m:num>
                  <m:r>
                    <m:rPr>
                      <m:sty m:val="bi"/>
                    </m:rPr>
                    <w:rPr>
                      <w:rFonts w:ascii="Cambria Math" w:hAnsi="Cambria Math" w:cstheme="minorHAnsi"/>
                      <w:smallCaps w:val="0"/>
                      <w:kern w:val="0"/>
                      <w:sz w:val="22"/>
                      <w:szCs w:val="22"/>
                    </w:rPr>
                    <m:t>kW</m:t>
                  </m:r>
                </m:num>
                <m:den>
                  <m:r>
                    <m:rPr>
                      <m:sty m:val="bi"/>
                    </m:rPr>
                    <w:rPr>
                      <w:rFonts w:ascii="Cambria Math" w:hAnsi="Cambria Math" w:cstheme="minorHAnsi"/>
                      <w:smallCaps w:val="0"/>
                      <w:kern w:val="0"/>
                      <w:sz w:val="22"/>
                      <w:szCs w:val="22"/>
                    </w:rPr>
                    <m:t>Unit</m:t>
                  </m:r>
                </m:den>
              </m:f>
            </m:e>
          </m:d>
          <m:r>
            <m:rPr>
              <m:sty m:val="bi"/>
            </m:rPr>
            <w:rPr>
              <w:rFonts w:ascii="Cambria Math" w:hAnsi="Cambria Math" w:cstheme="minorHAnsi"/>
              <w:smallCaps w:val="0"/>
              <w:kern w:val="0"/>
              <w:sz w:val="22"/>
              <w:szCs w:val="22"/>
            </w:rPr>
            <m:t>=0.00542</m:t>
          </m:r>
        </m:oMath>
      </m:oMathPara>
    </w:p>
    <w:p w14:paraId="6C7EC920" w14:textId="49C926A2" w:rsidR="00E16609" w:rsidRPr="00500C4E" w:rsidRDefault="00E16609" w:rsidP="00E16609">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6"/>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628A69BC" w14:textId="77777777" w:rsidR="00727044" w:rsidRDefault="00727044" w:rsidP="003F0623">
      <w:pPr>
        <w:pStyle w:val="Caption"/>
        <w:jc w:val="center"/>
        <w:rPr>
          <w:rFonts w:cstheme="minorHAnsi"/>
          <w:szCs w:val="22"/>
        </w:rPr>
      </w:pPr>
    </w:p>
    <w:p w14:paraId="4E5AEDD2" w14:textId="331675EA" w:rsidR="00E16609" w:rsidRPr="00500C4E" w:rsidRDefault="002A3D26" w:rsidP="00CF24B6">
      <w:pPr>
        <w:pStyle w:val="Caption"/>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F1382C" w:rsidRPr="00500C4E" w14:paraId="1FB64A38" w14:textId="77777777" w:rsidTr="0041354E">
        <w:tc>
          <w:tcPr>
            <w:tcW w:w="1686" w:type="pct"/>
            <w:vAlign w:val="bottom"/>
          </w:tcPr>
          <w:p w14:paraId="129F9965" w14:textId="6917E5E0" w:rsidR="00F1382C" w:rsidRPr="00920905" w:rsidRDefault="00F1382C" w:rsidP="00BA2E7E">
            <w:pPr>
              <w:rPr>
                <w:rFonts w:cstheme="minorHAnsi"/>
                <w:color w:val="FF0000"/>
                <w:szCs w:val="20"/>
              </w:rPr>
            </w:pPr>
            <w:r>
              <w:rPr>
                <w:rFonts w:ascii="Calibri" w:hAnsi="Calibri" w:cs="Arial"/>
                <w:color w:val="000000"/>
                <w:szCs w:val="20"/>
              </w:rPr>
              <w:t>Assembly</w:t>
            </w:r>
          </w:p>
        </w:tc>
        <w:tc>
          <w:tcPr>
            <w:tcW w:w="1779" w:type="pct"/>
          </w:tcPr>
          <w:p w14:paraId="0FCC70F1" w14:textId="3A73FDB6"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31157856" w14:textId="388CA16B"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503EFE43" w14:textId="77777777" w:rsidTr="0041354E">
        <w:tc>
          <w:tcPr>
            <w:tcW w:w="1686" w:type="pct"/>
            <w:vAlign w:val="bottom"/>
          </w:tcPr>
          <w:p w14:paraId="27DAA6B0" w14:textId="54DABBC2" w:rsidR="00F1382C" w:rsidRPr="00920905" w:rsidRDefault="00F1382C" w:rsidP="00BA2E7E">
            <w:pPr>
              <w:rPr>
                <w:rFonts w:cstheme="minorHAnsi"/>
                <w:color w:val="FF0000"/>
                <w:szCs w:val="20"/>
              </w:rPr>
            </w:pPr>
            <w:r>
              <w:rPr>
                <w:rFonts w:ascii="Calibri" w:hAnsi="Calibri" w:cs="Arial"/>
                <w:color w:val="000000"/>
                <w:szCs w:val="20"/>
              </w:rPr>
              <w:t>Education - Primary School</w:t>
            </w:r>
          </w:p>
        </w:tc>
        <w:tc>
          <w:tcPr>
            <w:tcW w:w="1779" w:type="pct"/>
          </w:tcPr>
          <w:p w14:paraId="0A396CF5" w14:textId="06194557"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58159D43" w14:textId="1285C851"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69214362" w14:textId="77777777" w:rsidTr="0041354E">
        <w:tc>
          <w:tcPr>
            <w:tcW w:w="1686" w:type="pct"/>
            <w:vAlign w:val="bottom"/>
          </w:tcPr>
          <w:p w14:paraId="1BAD31E6" w14:textId="6661E534" w:rsidR="00F1382C" w:rsidRPr="00920905" w:rsidRDefault="00F1382C" w:rsidP="00BA2E7E">
            <w:pPr>
              <w:rPr>
                <w:rFonts w:cstheme="minorHAnsi"/>
                <w:color w:val="FF0000"/>
                <w:szCs w:val="20"/>
              </w:rPr>
            </w:pPr>
            <w:r>
              <w:rPr>
                <w:rFonts w:ascii="Calibri" w:hAnsi="Calibri" w:cs="Arial"/>
                <w:color w:val="000000"/>
                <w:szCs w:val="20"/>
              </w:rPr>
              <w:t>Education - Secondary School</w:t>
            </w:r>
          </w:p>
        </w:tc>
        <w:tc>
          <w:tcPr>
            <w:tcW w:w="1779" w:type="pct"/>
          </w:tcPr>
          <w:p w14:paraId="5E600B10" w14:textId="31627743"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5953BBB" w14:textId="298602C8"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48AC1169" w14:textId="77777777" w:rsidTr="0041354E">
        <w:tc>
          <w:tcPr>
            <w:tcW w:w="1686" w:type="pct"/>
            <w:vAlign w:val="bottom"/>
          </w:tcPr>
          <w:p w14:paraId="37776842" w14:textId="54A2F307" w:rsidR="00F1382C" w:rsidRPr="00920905" w:rsidRDefault="00F1382C" w:rsidP="00BA2E7E">
            <w:pPr>
              <w:rPr>
                <w:rFonts w:cstheme="minorHAnsi"/>
                <w:color w:val="FF0000"/>
                <w:szCs w:val="20"/>
              </w:rPr>
            </w:pPr>
            <w:r>
              <w:rPr>
                <w:rFonts w:ascii="Calibri" w:hAnsi="Calibri" w:cs="Arial"/>
                <w:color w:val="000000"/>
                <w:szCs w:val="20"/>
              </w:rPr>
              <w:t>Education - Relocatable Classroom</w:t>
            </w:r>
          </w:p>
        </w:tc>
        <w:tc>
          <w:tcPr>
            <w:tcW w:w="1779" w:type="pct"/>
          </w:tcPr>
          <w:p w14:paraId="7AE79087" w14:textId="15258A66"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0A0821B" w14:textId="5C3B396E"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21F6171D" w14:textId="77777777" w:rsidTr="0041354E">
        <w:tc>
          <w:tcPr>
            <w:tcW w:w="1686" w:type="pct"/>
            <w:vAlign w:val="bottom"/>
          </w:tcPr>
          <w:p w14:paraId="0C24CD8D" w14:textId="0A52260B" w:rsidR="00F1382C" w:rsidRPr="00920905" w:rsidRDefault="00F1382C" w:rsidP="00BA2E7E">
            <w:pPr>
              <w:rPr>
                <w:rFonts w:cstheme="minorHAnsi"/>
                <w:color w:val="FF0000"/>
                <w:szCs w:val="20"/>
              </w:rPr>
            </w:pPr>
            <w:r>
              <w:rPr>
                <w:rFonts w:ascii="Calibri" w:hAnsi="Calibri" w:cs="Arial"/>
                <w:color w:val="000000"/>
                <w:szCs w:val="20"/>
              </w:rPr>
              <w:t>Education - Community College</w:t>
            </w:r>
          </w:p>
        </w:tc>
        <w:tc>
          <w:tcPr>
            <w:tcW w:w="1779" w:type="pct"/>
          </w:tcPr>
          <w:p w14:paraId="7AEE5CFB" w14:textId="67170AA6"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5720352" w14:textId="7A006C66"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62C50E2E" w14:textId="77777777" w:rsidTr="0041354E">
        <w:tc>
          <w:tcPr>
            <w:tcW w:w="1686" w:type="pct"/>
            <w:vAlign w:val="bottom"/>
          </w:tcPr>
          <w:p w14:paraId="78E18175" w14:textId="0C8A26F3" w:rsidR="00F1382C" w:rsidRPr="00920905" w:rsidRDefault="00F1382C" w:rsidP="00BA2E7E">
            <w:pPr>
              <w:rPr>
                <w:rFonts w:cstheme="minorHAnsi"/>
                <w:color w:val="FF0000"/>
                <w:szCs w:val="20"/>
              </w:rPr>
            </w:pPr>
            <w:r>
              <w:rPr>
                <w:rFonts w:ascii="Calibri" w:hAnsi="Calibri" w:cs="Arial"/>
                <w:color w:val="000000"/>
                <w:szCs w:val="20"/>
              </w:rPr>
              <w:t>Education - University</w:t>
            </w:r>
          </w:p>
        </w:tc>
        <w:tc>
          <w:tcPr>
            <w:tcW w:w="1779" w:type="pct"/>
          </w:tcPr>
          <w:p w14:paraId="7E30621B" w14:textId="7D4B8D0C"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130A8B6" w14:textId="566EF946"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1F5C19C9" w14:textId="77777777" w:rsidTr="0041354E">
        <w:tc>
          <w:tcPr>
            <w:tcW w:w="1686" w:type="pct"/>
            <w:vAlign w:val="bottom"/>
          </w:tcPr>
          <w:p w14:paraId="3CBDE02A" w14:textId="2B04FF89" w:rsidR="00F1382C" w:rsidRPr="00920905" w:rsidRDefault="00F1382C" w:rsidP="00BA2E7E">
            <w:pPr>
              <w:rPr>
                <w:rFonts w:cstheme="minorHAnsi"/>
                <w:color w:val="FF0000"/>
                <w:szCs w:val="20"/>
              </w:rPr>
            </w:pPr>
            <w:r>
              <w:rPr>
                <w:rFonts w:ascii="Calibri" w:hAnsi="Calibri" w:cs="Arial"/>
                <w:color w:val="000000"/>
                <w:szCs w:val="20"/>
              </w:rPr>
              <w:t>Grocery</w:t>
            </w:r>
          </w:p>
        </w:tc>
        <w:tc>
          <w:tcPr>
            <w:tcW w:w="1779" w:type="pct"/>
          </w:tcPr>
          <w:p w14:paraId="5B4D82D9" w14:textId="7A5DCC44"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47A1A5A2" w14:textId="7B7244BC"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1C89C333" w14:textId="77777777" w:rsidTr="0041354E">
        <w:tc>
          <w:tcPr>
            <w:tcW w:w="1686" w:type="pct"/>
            <w:vAlign w:val="bottom"/>
          </w:tcPr>
          <w:p w14:paraId="32992EE8" w14:textId="215B578C" w:rsidR="00F1382C" w:rsidRPr="00920905" w:rsidRDefault="00F1382C" w:rsidP="00BA2E7E">
            <w:pPr>
              <w:rPr>
                <w:rFonts w:cstheme="minorHAnsi"/>
                <w:color w:val="FF0000"/>
                <w:szCs w:val="20"/>
              </w:rPr>
            </w:pPr>
            <w:r>
              <w:rPr>
                <w:rFonts w:ascii="Calibri" w:hAnsi="Calibri" w:cs="Arial"/>
                <w:color w:val="000000"/>
                <w:szCs w:val="20"/>
              </w:rPr>
              <w:t>Health/Medical - Hospital</w:t>
            </w:r>
          </w:p>
        </w:tc>
        <w:tc>
          <w:tcPr>
            <w:tcW w:w="1779" w:type="pct"/>
          </w:tcPr>
          <w:p w14:paraId="39A95372" w14:textId="673AB5E6"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FF31C19" w14:textId="526126C6"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7615ADE1" w14:textId="77777777" w:rsidTr="0041354E">
        <w:tc>
          <w:tcPr>
            <w:tcW w:w="1686" w:type="pct"/>
            <w:vAlign w:val="bottom"/>
          </w:tcPr>
          <w:p w14:paraId="6C124661" w14:textId="483A53FA" w:rsidR="00F1382C" w:rsidRPr="00920905" w:rsidRDefault="00F1382C" w:rsidP="00BA2E7E">
            <w:pPr>
              <w:rPr>
                <w:rFonts w:cstheme="minorHAnsi"/>
                <w:color w:val="FF0000"/>
                <w:szCs w:val="20"/>
              </w:rPr>
            </w:pPr>
            <w:r>
              <w:rPr>
                <w:rFonts w:ascii="Calibri" w:hAnsi="Calibri" w:cs="Arial"/>
                <w:color w:val="000000"/>
                <w:szCs w:val="20"/>
              </w:rPr>
              <w:t>Health/Medical - Nursing Home</w:t>
            </w:r>
          </w:p>
        </w:tc>
        <w:tc>
          <w:tcPr>
            <w:tcW w:w="1779" w:type="pct"/>
          </w:tcPr>
          <w:p w14:paraId="1422E2B0" w14:textId="74195B2F"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195F3F8C" w14:textId="0BCC1170"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12787CA4" w14:textId="77777777" w:rsidTr="0041354E">
        <w:tc>
          <w:tcPr>
            <w:tcW w:w="1686" w:type="pct"/>
            <w:vAlign w:val="bottom"/>
          </w:tcPr>
          <w:p w14:paraId="68008D2D" w14:textId="23F55BE0" w:rsidR="00F1382C" w:rsidRPr="00920905" w:rsidRDefault="00F1382C" w:rsidP="00BA2E7E">
            <w:pPr>
              <w:rPr>
                <w:rFonts w:cstheme="minorHAnsi"/>
                <w:color w:val="FF0000"/>
                <w:szCs w:val="20"/>
              </w:rPr>
            </w:pPr>
            <w:r>
              <w:rPr>
                <w:rFonts w:ascii="Calibri" w:hAnsi="Calibri" w:cs="Arial"/>
                <w:color w:val="000000"/>
                <w:szCs w:val="20"/>
              </w:rPr>
              <w:lastRenderedPageBreak/>
              <w:t>Lodging - Hotel</w:t>
            </w:r>
          </w:p>
        </w:tc>
        <w:tc>
          <w:tcPr>
            <w:tcW w:w="1779" w:type="pct"/>
          </w:tcPr>
          <w:p w14:paraId="7834EBDC" w14:textId="6B4FA8F3"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1494212" w14:textId="6A115E66"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5811BDEA" w14:textId="77777777" w:rsidTr="0041354E">
        <w:tc>
          <w:tcPr>
            <w:tcW w:w="1686" w:type="pct"/>
            <w:vAlign w:val="bottom"/>
          </w:tcPr>
          <w:p w14:paraId="2C9F9F0B" w14:textId="1E6349CF" w:rsidR="00F1382C" w:rsidRPr="00920905" w:rsidRDefault="00F1382C" w:rsidP="00BA2E7E">
            <w:pPr>
              <w:rPr>
                <w:rFonts w:cstheme="minorHAnsi"/>
                <w:color w:val="FF0000"/>
                <w:szCs w:val="20"/>
              </w:rPr>
            </w:pPr>
            <w:r>
              <w:rPr>
                <w:rFonts w:ascii="Calibri" w:hAnsi="Calibri" w:cs="Arial"/>
                <w:color w:val="000000"/>
                <w:szCs w:val="20"/>
              </w:rPr>
              <w:t>Lodging - Motel</w:t>
            </w:r>
          </w:p>
        </w:tc>
        <w:tc>
          <w:tcPr>
            <w:tcW w:w="1779" w:type="pct"/>
          </w:tcPr>
          <w:p w14:paraId="02A54383" w14:textId="23B8038E"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191BBC41" w14:textId="656D1B6D" w:rsidR="00F1382C" w:rsidRPr="00920905" w:rsidRDefault="00F1382C" w:rsidP="00BA2E7E">
            <w:pPr>
              <w:rPr>
                <w:rFonts w:cstheme="minorHAnsi"/>
                <w:color w:val="FF0000"/>
                <w:szCs w:val="20"/>
              </w:rPr>
            </w:pPr>
            <w:r>
              <w:rPr>
                <w:rFonts w:ascii="Calibri" w:hAnsi="Calibri" w:cs="Arial"/>
                <w:color w:val="000000"/>
                <w:szCs w:val="20"/>
              </w:rPr>
              <w:t>NON_RES</w:t>
            </w:r>
          </w:p>
        </w:tc>
      </w:tr>
      <w:tr w:rsidR="00EE15C0" w:rsidRPr="00500C4E" w14:paraId="6CFCDA6B" w14:textId="77777777" w:rsidTr="0041354E">
        <w:tc>
          <w:tcPr>
            <w:tcW w:w="1686" w:type="pct"/>
            <w:vAlign w:val="bottom"/>
          </w:tcPr>
          <w:p w14:paraId="1A33B67E" w14:textId="28408EF7" w:rsidR="00EE15C0" w:rsidRDefault="00EE15C0" w:rsidP="000741D0">
            <w:pPr>
              <w:rPr>
                <w:rFonts w:ascii="Calibri" w:hAnsi="Calibri" w:cs="Arial"/>
                <w:color w:val="000000"/>
                <w:szCs w:val="20"/>
              </w:rPr>
            </w:pPr>
            <w:r>
              <w:rPr>
                <w:rFonts w:ascii="Calibri" w:hAnsi="Calibri" w:cs="Arial"/>
                <w:color w:val="000000"/>
                <w:szCs w:val="20"/>
              </w:rPr>
              <w:t xml:space="preserve">Lodging </w:t>
            </w:r>
            <w:r w:rsidR="000741D0">
              <w:rPr>
                <w:rFonts w:ascii="Calibri" w:hAnsi="Calibri" w:cs="Arial"/>
                <w:color w:val="000000"/>
                <w:szCs w:val="20"/>
              </w:rPr>
              <w:t>-</w:t>
            </w:r>
            <w:r>
              <w:rPr>
                <w:rFonts w:ascii="Calibri" w:hAnsi="Calibri" w:cs="Arial"/>
                <w:color w:val="000000"/>
                <w:szCs w:val="20"/>
              </w:rPr>
              <w:t xml:space="preserve"> Guest Room</w:t>
            </w:r>
          </w:p>
        </w:tc>
        <w:tc>
          <w:tcPr>
            <w:tcW w:w="1779" w:type="pct"/>
          </w:tcPr>
          <w:p w14:paraId="4CECB1AD" w14:textId="2C52E933" w:rsidR="00EE15C0" w:rsidRPr="00100721" w:rsidRDefault="00EE15C0" w:rsidP="00BA2E7E">
            <w:pPr>
              <w:rPr>
                <w:rFonts w:ascii="Calibri" w:hAnsi="Calibri" w:cs="Arial"/>
                <w:color w:val="00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F6912A4" w14:textId="03C926AB" w:rsidR="00EE15C0" w:rsidRDefault="00EE15C0" w:rsidP="00BA2E7E">
            <w:pPr>
              <w:rPr>
                <w:rFonts w:ascii="Calibri" w:hAnsi="Calibri" w:cs="Arial"/>
                <w:color w:val="000000"/>
                <w:szCs w:val="20"/>
              </w:rPr>
            </w:pPr>
            <w:r>
              <w:rPr>
                <w:rFonts w:ascii="Calibri" w:hAnsi="Calibri" w:cs="Arial"/>
                <w:color w:val="000000"/>
                <w:szCs w:val="20"/>
              </w:rPr>
              <w:t>NON_RES</w:t>
            </w:r>
          </w:p>
        </w:tc>
      </w:tr>
      <w:tr w:rsidR="00EE15C0" w:rsidRPr="00500C4E" w14:paraId="3DB15EC9" w14:textId="77777777" w:rsidTr="0041354E">
        <w:tc>
          <w:tcPr>
            <w:tcW w:w="1686" w:type="pct"/>
            <w:vAlign w:val="bottom"/>
          </w:tcPr>
          <w:p w14:paraId="3BAFA29C" w14:textId="62135A7C" w:rsidR="00EE15C0" w:rsidRPr="00920905" w:rsidRDefault="00EE15C0" w:rsidP="00BA2E7E">
            <w:pPr>
              <w:rPr>
                <w:rFonts w:cstheme="minorHAnsi"/>
                <w:color w:val="FF0000"/>
                <w:szCs w:val="20"/>
              </w:rPr>
            </w:pPr>
            <w:r>
              <w:rPr>
                <w:rFonts w:ascii="Calibri" w:hAnsi="Calibri" w:cs="Arial"/>
                <w:color w:val="000000"/>
                <w:szCs w:val="20"/>
              </w:rPr>
              <w:t>Manufacturing - Bio/Tech</w:t>
            </w:r>
          </w:p>
        </w:tc>
        <w:tc>
          <w:tcPr>
            <w:tcW w:w="1779" w:type="pct"/>
          </w:tcPr>
          <w:p w14:paraId="5BFE0406" w14:textId="25C21152"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3AED53B7" w14:textId="211F3FC5"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1359680E" w14:textId="77777777" w:rsidTr="0041354E">
        <w:tc>
          <w:tcPr>
            <w:tcW w:w="1686" w:type="pct"/>
            <w:vAlign w:val="bottom"/>
          </w:tcPr>
          <w:p w14:paraId="5E87570E" w14:textId="1B8325CC" w:rsidR="00EE15C0" w:rsidRPr="00920905" w:rsidRDefault="00EE15C0" w:rsidP="00BA2E7E">
            <w:pPr>
              <w:rPr>
                <w:rFonts w:cstheme="minorHAnsi"/>
                <w:color w:val="FF0000"/>
                <w:szCs w:val="20"/>
              </w:rPr>
            </w:pPr>
            <w:r>
              <w:rPr>
                <w:rFonts w:ascii="Calibri" w:hAnsi="Calibri" w:cs="Arial"/>
                <w:color w:val="000000"/>
                <w:szCs w:val="20"/>
              </w:rPr>
              <w:t>Manufacturing - Light Industrial</w:t>
            </w:r>
          </w:p>
        </w:tc>
        <w:tc>
          <w:tcPr>
            <w:tcW w:w="1779" w:type="pct"/>
          </w:tcPr>
          <w:p w14:paraId="0923AE13" w14:textId="46DE3F42"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38D9B74A" w14:textId="572DA6E2"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2D94F590" w14:textId="77777777" w:rsidTr="0041354E">
        <w:tc>
          <w:tcPr>
            <w:tcW w:w="1686" w:type="pct"/>
            <w:vAlign w:val="bottom"/>
          </w:tcPr>
          <w:p w14:paraId="40C4E59F" w14:textId="5FB0F242" w:rsidR="00EE15C0" w:rsidRPr="00920905" w:rsidRDefault="00EE15C0" w:rsidP="00BA2E7E">
            <w:pPr>
              <w:rPr>
                <w:rFonts w:cstheme="minorHAnsi"/>
                <w:color w:val="FF0000"/>
                <w:szCs w:val="20"/>
              </w:rPr>
            </w:pPr>
            <w:r>
              <w:rPr>
                <w:rFonts w:ascii="Calibri" w:hAnsi="Calibri" w:cs="Arial"/>
                <w:color w:val="000000"/>
                <w:szCs w:val="20"/>
              </w:rPr>
              <w:t>Office - Large</w:t>
            </w:r>
          </w:p>
        </w:tc>
        <w:tc>
          <w:tcPr>
            <w:tcW w:w="1779" w:type="pct"/>
          </w:tcPr>
          <w:p w14:paraId="5CA9CB91" w14:textId="5C1F5DC9"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78F36C76" w14:textId="3A5DC30F"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7FFE8E40" w14:textId="77777777" w:rsidTr="0041354E">
        <w:tc>
          <w:tcPr>
            <w:tcW w:w="1686" w:type="pct"/>
            <w:vAlign w:val="bottom"/>
          </w:tcPr>
          <w:p w14:paraId="469D512E" w14:textId="224ABFCB" w:rsidR="00EE15C0" w:rsidRPr="00920905" w:rsidRDefault="00EE15C0" w:rsidP="00BA2E7E">
            <w:pPr>
              <w:rPr>
                <w:rFonts w:cstheme="minorHAnsi"/>
                <w:color w:val="FF0000"/>
                <w:szCs w:val="20"/>
              </w:rPr>
            </w:pPr>
            <w:r>
              <w:rPr>
                <w:rFonts w:ascii="Calibri" w:hAnsi="Calibri" w:cs="Arial"/>
                <w:color w:val="000000"/>
                <w:szCs w:val="20"/>
              </w:rPr>
              <w:t>Office - Small</w:t>
            </w:r>
          </w:p>
        </w:tc>
        <w:tc>
          <w:tcPr>
            <w:tcW w:w="1779" w:type="pct"/>
          </w:tcPr>
          <w:p w14:paraId="1C403093" w14:textId="3A10E486"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6594293A" w14:textId="351BCCDC"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326F8D41" w14:textId="77777777" w:rsidTr="0041354E">
        <w:tc>
          <w:tcPr>
            <w:tcW w:w="1686" w:type="pct"/>
            <w:vAlign w:val="bottom"/>
          </w:tcPr>
          <w:p w14:paraId="63A43AF0" w14:textId="28ACA537" w:rsidR="00EE15C0" w:rsidRPr="00920905" w:rsidRDefault="00EE15C0" w:rsidP="00BA2E7E">
            <w:pPr>
              <w:rPr>
                <w:rFonts w:cstheme="minorHAnsi"/>
                <w:color w:val="FF0000"/>
                <w:szCs w:val="20"/>
              </w:rPr>
            </w:pPr>
            <w:r>
              <w:rPr>
                <w:rFonts w:ascii="Calibri" w:hAnsi="Calibri" w:cs="Arial"/>
                <w:color w:val="000000"/>
                <w:szCs w:val="20"/>
              </w:rPr>
              <w:t>Restaurant - Fast-Food</w:t>
            </w:r>
          </w:p>
        </w:tc>
        <w:tc>
          <w:tcPr>
            <w:tcW w:w="1779" w:type="pct"/>
          </w:tcPr>
          <w:p w14:paraId="2E75F59C" w14:textId="068EE825"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7E5C3523" w14:textId="336C8D36"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43D55A83" w14:textId="77777777" w:rsidTr="0041354E">
        <w:tc>
          <w:tcPr>
            <w:tcW w:w="1686" w:type="pct"/>
            <w:vAlign w:val="bottom"/>
          </w:tcPr>
          <w:p w14:paraId="7C8AD518" w14:textId="024AF9FD" w:rsidR="00EE15C0" w:rsidRPr="00920905" w:rsidRDefault="00EE15C0" w:rsidP="00BA2E7E">
            <w:pPr>
              <w:rPr>
                <w:rFonts w:cstheme="minorHAnsi"/>
                <w:color w:val="FF0000"/>
                <w:szCs w:val="20"/>
              </w:rPr>
            </w:pPr>
            <w:r>
              <w:rPr>
                <w:rFonts w:ascii="Calibri" w:hAnsi="Calibri" w:cs="Arial"/>
                <w:color w:val="000000"/>
                <w:szCs w:val="20"/>
              </w:rPr>
              <w:t>Restaurant - Sit-Down</w:t>
            </w:r>
          </w:p>
        </w:tc>
        <w:tc>
          <w:tcPr>
            <w:tcW w:w="1779" w:type="pct"/>
          </w:tcPr>
          <w:p w14:paraId="751DFBCB" w14:textId="66722C2D"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1A51812D" w14:textId="4515B934"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6A16AB64" w14:textId="77777777" w:rsidTr="0041354E">
        <w:tc>
          <w:tcPr>
            <w:tcW w:w="1686" w:type="pct"/>
            <w:vAlign w:val="bottom"/>
          </w:tcPr>
          <w:p w14:paraId="6AFE3226" w14:textId="11650B92" w:rsidR="00EE15C0" w:rsidRPr="00920905" w:rsidRDefault="00EE15C0" w:rsidP="00BA2E7E">
            <w:pPr>
              <w:rPr>
                <w:rFonts w:cstheme="minorHAnsi"/>
                <w:color w:val="FF0000"/>
                <w:szCs w:val="20"/>
              </w:rPr>
            </w:pPr>
            <w:r>
              <w:rPr>
                <w:rFonts w:ascii="Calibri" w:hAnsi="Calibri" w:cs="Arial"/>
                <w:color w:val="000000"/>
                <w:szCs w:val="20"/>
              </w:rPr>
              <w:t>Retail - Multistory Large</w:t>
            </w:r>
          </w:p>
        </w:tc>
        <w:tc>
          <w:tcPr>
            <w:tcW w:w="1779" w:type="pct"/>
          </w:tcPr>
          <w:p w14:paraId="34D6BE7C" w14:textId="6D6EC738"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D567D6E" w14:textId="4DDDAC8C"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2710C17F" w14:textId="77777777" w:rsidTr="0041354E">
        <w:tc>
          <w:tcPr>
            <w:tcW w:w="1686" w:type="pct"/>
            <w:vAlign w:val="bottom"/>
          </w:tcPr>
          <w:p w14:paraId="02BA11A5" w14:textId="6C799D68" w:rsidR="00EE15C0" w:rsidRPr="00920905" w:rsidRDefault="00EE15C0" w:rsidP="00BA2E7E">
            <w:pPr>
              <w:rPr>
                <w:rFonts w:cstheme="minorHAnsi"/>
                <w:color w:val="FF0000"/>
                <w:szCs w:val="20"/>
              </w:rPr>
            </w:pPr>
            <w:r>
              <w:rPr>
                <w:rFonts w:ascii="Calibri" w:hAnsi="Calibri" w:cs="Arial"/>
                <w:color w:val="000000"/>
                <w:szCs w:val="20"/>
              </w:rPr>
              <w:t>Retail - Single-Story Large</w:t>
            </w:r>
          </w:p>
        </w:tc>
        <w:tc>
          <w:tcPr>
            <w:tcW w:w="1779" w:type="pct"/>
          </w:tcPr>
          <w:p w14:paraId="37439326" w14:textId="4C3164C7"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3670F917" w14:textId="1DF4120B"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4C8083FE" w14:textId="77777777" w:rsidTr="0041354E">
        <w:tc>
          <w:tcPr>
            <w:tcW w:w="1686" w:type="pct"/>
            <w:vAlign w:val="bottom"/>
          </w:tcPr>
          <w:p w14:paraId="48DBEC52" w14:textId="1098868F" w:rsidR="00EE15C0" w:rsidRPr="00920905" w:rsidRDefault="00EE15C0" w:rsidP="00BA2E7E">
            <w:pPr>
              <w:rPr>
                <w:rFonts w:cstheme="minorHAnsi"/>
                <w:color w:val="FF0000"/>
                <w:szCs w:val="20"/>
              </w:rPr>
            </w:pPr>
            <w:r>
              <w:rPr>
                <w:rFonts w:ascii="Calibri" w:hAnsi="Calibri" w:cs="Arial"/>
                <w:color w:val="000000"/>
                <w:szCs w:val="20"/>
              </w:rPr>
              <w:t>Retail - Small</w:t>
            </w:r>
          </w:p>
        </w:tc>
        <w:tc>
          <w:tcPr>
            <w:tcW w:w="1779" w:type="pct"/>
          </w:tcPr>
          <w:p w14:paraId="3805CEB2" w14:textId="3764EB1E"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51D75263" w14:textId="359C9D70"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3C6EEBEF" w14:textId="77777777" w:rsidTr="0041354E">
        <w:tc>
          <w:tcPr>
            <w:tcW w:w="1686" w:type="pct"/>
            <w:vAlign w:val="bottom"/>
          </w:tcPr>
          <w:p w14:paraId="795493EB" w14:textId="466EE574" w:rsidR="00EE15C0" w:rsidRPr="00920905" w:rsidRDefault="00EE15C0" w:rsidP="00BA2E7E">
            <w:pPr>
              <w:rPr>
                <w:rFonts w:cstheme="minorHAnsi"/>
                <w:color w:val="FF0000"/>
                <w:szCs w:val="20"/>
              </w:rPr>
            </w:pPr>
            <w:r>
              <w:rPr>
                <w:rFonts w:ascii="Calibri" w:hAnsi="Calibri" w:cs="Arial"/>
                <w:color w:val="000000"/>
                <w:szCs w:val="20"/>
              </w:rPr>
              <w:t>Storage - Conditioned</w:t>
            </w:r>
          </w:p>
        </w:tc>
        <w:tc>
          <w:tcPr>
            <w:tcW w:w="1779" w:type="pct"/>
          </w:tcPr>
          <w:p w14:paraId="3CBB86BF" w14:textId="5450ACB9"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012D2847" w14:textId="35FF29A6"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5E10CFA9" w14:textId="77777777" w:rsidTr="0041354E">
        <w:tc>
          <w:tcPr>
            <w:tcW w:w="1686" w:type="pct"/>
            <w:vAlign w:val="bottom"/>
          </w:tcPr>
          <w:p w14:paraId="065DF5E3" w14:textId="27657440" w:rsidR="00EE15C0" w:rsidRPr="00920905" w:rsidRDefault="00EE15C0" w:rsidP="00BA2E7E">
            <w:pPr>
              <w:rPr>
                <w:rFonts w:cstheme="minorHAnsi"/>
                <w:color w:val="FF0000"/>
                <w:szCs w:val="20"/>
              </w:rPr>
            </w:pPr>
            <w:r>
              <w:rPr>
                <w:rFonts w:ascii="Calibri" w:hAnsi="Calibri" w:cs="Arial"/>
                <w:color w:val="000000"/>
                <w:szCs w:val="20"/>
              </w:rPr>
              <w:t>Storage - Unconditioned</w:t>
            </w:r>
          </w:p>
        </w:tc>
        <w:tc>
          <w:tcPr>
            <w:tcW w:w="1779" w:type="pct"/>
          </w:tcPr>
          <w:p w14:paraId="5DAEBE09" w14:textId="18ED8320"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13BD3E6E" w14:textId="6ACC107B"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7C428CC9" w14:textId="77777777" w:rsidTr="0041354E">
        <w:tc>
          <w:tcPr>
            <w:tcW w:w="1686" w:type="pct"/>
          </w:tcPr>
          <w:p w14:paraId="77F20817" w14:textId="11BC3BA5" w:rsidR="00EE15C0" w:rsidRDefault="00EE15C0" w:rsidP="00BA2E7E">
            <w:pPr>
              <w:rPr>
                <w:rFonts w:ascii="Calibri" w:hAnsi="Calibri" w:cs="Arial"/>
                <w:color w:val="000000"/>
                <w:szCs w:val="20"/>
              </w:rPr>
            </w:pPr>
            <w:r w:rsidRPr="00682445">
              <w:t>Warehouse - Refrigerated</w:t>
            </w:r>
          </w:p>
        </w:tc>
        <w:tc>
          <w:tcPr>
            <w:tcW w:w="1779" w:type="pct"/>
          </w:tcPr>
          <w:p w14:paraId="1B2D54A4" w14:textId="7D48DFEF" w:rsidR="00EE15C0" w:rsidRPr="00100721" w:rsidRDefault="00EE15C0" w:rsidP="00BA2E7E">
            <w:pPr>
              <w:rPr>
                <w:rFonts w:ascii="Calibri" w:hAnsi="Calibri" w:cs="Arial"/>
                <w:color w:val="000000"/>
                <w:szCs w:val="20"/>
              </w:rPr>
            </w:pPr>
            <w:proofErr w:type="spellStart"/>
            <w:r w:rsidRPr="00682445">
              <w:t>DEER:Indoor_CFL_Ltg</w:t>
            </w:r>
            <w:proofErr w:type="spellEnd"/>
          </w:p>
        </w:tc>
        <w:tc>
          <w:tcPr>
            <w:tcW w:w="1535" w:type="pct"/>
          </w:tcPr>
          <w:p w14:paraId="3514DBD7" w14:textId="6FC3E076" w:rsidR="00EE15C0" w:rsidRDefault="00EE15C0" w:rsidP="00BA2E7E">
            <w:pPr>
              <w:rPr>
                <w:rFonts w:ascii="Calibri" w:hAnsi="Calibri" w:cs="Arial"/>
                <w:color w:val="000000"/>
                <w:szCs w:val="20"/>
              </w:rPr>
            </w:pPr>
            <w:r w:rsidRPr="00682445">
              <w:t>NON_RES</w:t>
            </w:r>
          </w:p>
        </w:tc>
      </w:tr>
      <w:tr w:rsidR="00EE15C0" w:rsidRPr="00500C4E" w14:paraId="1FFF2DE7" w14:textId="77777777" w:rsidTr="0041354E">
        <w:tc>
          <w:tcPr>
            <w:tcW w:w="1686" w:type="pct"/>
          </w:tcPr>
          <w:p w14:paraId="201FF860" w14:textId="48870CD2" w:rsidR="00EE15C0" w:rsidRDefault="00EE15C0" w:rsidP="00BA2E7E">
            <w:pPr>
              <w:rPr>
                <w:rFonts w:ascii="Calibri" w:hAnsi="Calibri" w:cs="Arial"/>
                <w:color w:val="000000"/>
                <w:szCs w:val="20"/>
              </w:rPr>
            </w:pPr>
            <w:r w:rsidRPr="00682445">
              <w:t>Residential Single Family</w:t>
            </w:r>
          </w:p>
        </w:tc>
        <w:tc>
          <w:tcPr>
            <w:tcW w:w="1779" w:type="pct"/>
          </w:tcPr>
          <w:p w14:paraId="0588505F" w14:textId="0003BB2B" w:rsidR="00EE15C0" w:rsidRPr="00100721" w:rsidRDefault="00EE15C0" w:rsidP="00BA2E7E">
            <w:pPr>
              <w:rPr>
                <w:rFonts w:ascii="Calibri" w:hAnsi="Calibri" w:cs="Arial"/>
                <w:color w:val="000000"/>
                <w:szCs w:val="20"/>
              </w:rPr>
            </w:pPr>
            <w:proofErr w:type="spellStart"/>
            <w:r w:rsidRPr="00682445">
              <w:t>DEER:Indoor_CFL_Ltg</w:t>
            </w:r>
            <w:proofErr w:type="spellEnd"/>
          </w:p>
        </w:tc>
        <w:tc>
          <w:tcPr>
            <w:tcW w:w="1535" w:type="pct"/>
          </w:tcPr>
          <w:p w14:paraId="598009A7" w14:textId="2A302329" w:rsidR="00EE15C0" w:rsidRDefault="00EE15C0" w:rsidP="00BA2E7E">
            <w:pPr>
              <w:rPr>
                <w:rFonts w:ascii="Calibri" w:hAnsi="Calibri" w:cs="Arial"/>
                <w:color w:val="000000"/>
                <w:szCs w:val="20"/>
              </w:rPr>
            </w:pPr>
            <w:r w:rsidRPr="00682445">
              <w:t>RES</w:t>
            </w:r>
          </w:p>
        </w:tc>
      </w:tr>
      <w:tr w:rsidR="00EE15C0" w:rsidRPr="00500C4E" w14:paraId="6F577528" w14:textId="77777777" w:rsidTr="0041354E">
        <w:tc>
          <w:tcPr>
            <w:tcW w:w="1686" w:type="pct"/>
          </w:tcPr>
          <w:p w14:paraId="1B90AF6B" w14:textId="13C19AC4" w:rsidR="00EE15C0" w:rsidRDefault="00EE15C0" w:rsidP="00BA2E7E">
            <w:pPr>
              <w:rPr>
                <w:rFonts w:ascii="Calibri" w:hAnsi="Calibri" w:cs="Arial"/>
                <w:color w:val="000000"/>
                <w:szCs w:val="20"/>
              </w:rPr>
            </w:pPr>
            <w:r w:rsidRPr="00682445">
              <w:t>Residential Multi-family</w:t>
            </w:r>
          </w:p>
        </w:tc>
        <w:tc>
          <w:tcPr>
            <w:tcW w:w="1779" w:type="pct"/>
          </w:tcPr>
          <w:p w14:paraId="18A64DB3" w14:textId="055AFB5B" w:rsidR="00EE15C0" w:rsidRPr="00100721" w:rsidRDefault="00EE15C0" w:rsidP="00BA2E7E">
            <w:pPr>
              <w:rPr>
                <w:rFonts w:ascii="Calibri" w:hAnsi="Calibri" w:cs="Arial"/>
                <w:color w:val="000000"/>
                <w:szCs w:val="20"/>
              </w:rPr>
            </w:pPr>
            <w:proofErr w:type="spellStart"/>
            <w:r w:rsidRPr="00682445">
              <w:t>DEER:Indoor_CFL_Ltg</w:t>
            </w:r>
            <w:proofErr w:type="spellEnd"/>
          </w:p>
        </w:tc>
        <w:tc>
          <w:tcPr>
            <w:tcW w:w="1535" w:type="pct"/>
          </w:tcPr>
          <w:p w14:paraId="3EFF9DD9" w14:textId="0E6978FD" w:rsidR="00EE15C0" w:rsidRDefault="00EE15C0" w:rsidP="00BA2E7E">
            <w:pPr>
              <w:rPr>
                <w:rFonts w:ascii="Calibri" w:hAnsi="Calibri" w:cs="Arial"/>
                <w:color w:val="000000"/>
                <w:szCs w:val="20"/>
              </w:rPr>
            </w:pPr>
            <w:r w:rsidRPr="00682445">
              <w:t>RES</w:t>
            </w:r>
          </w:p>
        </w:tc>
      </w:tr>
      <w:tr w:rsidR="00EE15C0" w:rsidRPr="00500C4E" w14:paraId="45FD948A" w14:textId="77777777" w:rsidTr="0041354E">
        <w:tc>
          <w:tcPr>
            <w:tcW w:w="1686" w:type="pct"/>
          </w:tcPr>
          <w:p w14:paraId="09366BE2" w14:textId="7F53301A" w:rsidR="00EE15C0" w:rsidRDefault="00EE15C0" w:rsidP="00BA2E7E">
            <w:pPr>
              <w:rPr>
                <w:rFonts w:ascii="Calibri" w:hAnsi="Calibri" w:cs="Arial"/>
                <w:color w:val="000000"/>
                <w:szCs w:val="20"/>
              </w:rPr>
            </w:pPr>
            <w:r w:rsidRPr="00682445">
              <w:t>Residential Mobile Home - Double-Wide</w:t>
            </w:r>
          </w:p>
        </w:tc>
        <w:tc>
          <w:tcPr>
            <w:tcW w:w="1779" w:type="pct"/>
          </w:tcPr>
          <w:p w14:paraId="07D5633E" w14:textId="356941C1" w:rsidR="00EE15C0" w:rsidRPr="00100721" w:rsidRDefault="00EE15C0" w:rsidP="00BA2E7E">
            <w:pPr>
              <w:rPr>
                <w:rFonts w:ascii="Calibri" w:hAnsi="Calibri" w:cs="Arial"/>
                <w:color w:val="000000"/>
                <w:szCs w:val="20"/>
              </w:rPr>
            </w:pPr>
            <w:proofErr w:type="spellStart"/>
            <w:r w:rsidRPr="00682445">
              <w:t>DEER:Indoor_CFL_Ltg</w:t>
            </w:r>
            <w:proofErr w:type="spellEnd"/>
          </w:p>
        </w:tc>
        <w:tc>
          <w:tcPr>
            <w:tcW w:w="1535" w:type="pct"/>
          </w:tcPr>
          <w:p w14:paraId="204D0676" w14:textId="220C655A" w:rsidR="00EE15C0" w:rsidRDefault="00EE15C0" w:rsidP="00BA2E7E">
            <w:pPr>
              <w:rPr>
                <w:rFonts w:ascii="Calibri" w:hAnsi="Calibri" w:cs="Arial"/>
                <w:color w:val="000000"/>
                <w:szCs w:val="20"/>
              </w:rPr>
            </w:pPr>
            <w:r w:rsidRPr="00682445">
              <w:t>RES</w:t>
            </w:r>
          </w:p>
        </w:tc>
      </w:tr>
    </w:tbl>
    <w:p w14:paraId="52C9214C" w14:textId="5A04C955" w:rsidR="005552C3" w:rsidRDefault="00F95E2F" w:rsidP="00920905">
      <w:pPr>
        <w:pStyle w:val="Heading1"/>
      </w:pPr>
      <w:r>
        <w:t>Section 4. Costs</w:t>
      </w:r>
    </w:p>
    <w:p w14:paraId="4696E137" w14:textId="77777777" w:rsidR="00E16609" w:rsidRPr="00656A63" w:rsidRDefault="00E16609" w:rsidP="00824F1C">
      <w:pPr>
        <w:pStyle w:val="Heading2"/>
        <w:rPr>
          <w:rFonts w:asciiTheme="minorHAnsi" w:hAnsiTheme="minorHAnsi" w:cstheme="minorHAnsi"/>
        </w:rPr>
      </w:pPr>
      <w:bookmarkStart w:id="17" w:name="_MON_1399297811"/>
      <w:bookmarkStart w:id="18" w:name="_Toc214003097"/>
      <w:bookmarkEnd w:id="17"/>
      <w:r w:rsidRPr="00656A63">
        <w:rPr>
          <w:rFonts w:asciiTheme="minorHAnsi" w:hAnsiTheme="minorHAnsi" w:cstheme="minorHAnsi"/>
        </w:rPr>
        <w:t>4.1 Base Case Cost</w:t>
      </w:r>
      <w:bookmarkEnd w:id="18"/>
    </w:p>
    <w:p w14:paraId="7F5D0D35" w14:textId="1FA6566F" w:rsidR="006B14E2" w:rsidRDefault="003F7B78" w:rsidP="00F34937">
      <w:bookmarkStart w:id="19" w:name="_Toc214003098"/>
      <w:r w:rsidRPr="00656A63">
        <w:t xml:space="preserve">Base case </w:t>
      </w:r>
      <w:r w:rsidR="00F34937" w:rsidRPr="00656A63">
        <w:t>cost of $7.00</w:t>
      </w:r>
      <w:r w:rsidR="006B14E2" w:rsidRPr="00656A63">
        <w:t xml:space="preserve"> (average of incandescent and halogen)</w:t>
      </w:r>
      <w:r w:rsidRPr="00656A63">
        <w:t xml:space="preserve"> </w:t>
      </w:r>
      <w:r w:rsidR="00F34937" w:rsidRPr="00656A63">
        <w:t>is from a Navigant LED study [</w:t>
      </w:r>
      <w:r w:rsidR="00C87B3C">
        <w:t>495</w:t>
      </w:r>
      <w:r w:rsidR="00F34937" w:rsidRPr="00656A63">
        <w:t>]</w:t>
      </w:r>
      <w:r w:rsidR="006B14E2" w:rsidRPr="00656A63">
        <w:t>; see the figure below</w:t>
      </w:r>
      <w:r w:rsidRPr="00656A63">
        <w:t>.</w:t>
      </w:r>
      <w:r w:rsidR="00B16F3B" w:rsidRPr="00656A63">
        <w:t xml:space="preserve"> Labor cost, $9.40,</w:t>
      </w:r>
      <w:r w:rsidR="006F171A">
        <w:t xml:space="preserve"> is calculated using </w:t>
      </w:r>
      <w:proofErr w:type="spellStart"/>
      <w:r w:rsidR="00B45371" w:rsidRPr="00656A63">
        <w:t>RSMeans</w:t>
      </w:r>
      <w:proofErr w:type="spellEnd"/>
      <w:r w:rsidR="00B45371" w:rsidRPr="00656A63">
        <w:t xml:space="preserve"> 2016 [</w:t>
      </w:r>
      <w:r w:rsidR="00C87B3C">
        <w:t>503</w:t>
      </w:r>
      <w:r w:rsidR="00B16F3B" w:rsidRPr="00656A63">
        <w:t>]</w:t>
      </w:r>
      <w:r w:rsidR="006F171A">
        <w:t xml:space="preserve"> labor rate of $56.40/hour and divide it by 6.</w:t>
      </w:r>
    </w:p>
    <w:p w14:paraId="7A9D7B0D" w14:textId="77777777" w:rsidR="006B14E2" w:rsidRDefault="006B14E2" w:rsidP="00F34937"/>
    <w:p w14:paraId="06869C29" w14:textId="4A27C4D1" w:rsidR="006B14E2" w:rsidRPr="006B14E2" w:rsidRDefault="006B14E2" w:rsidP="00F656C9">
      <w:r>
        <w:rPr>
          <w:noProof/>
        </w:rPr>
        <w:drawing>
          <wp:inline distT="0" distB="0" distL="0" distR="0" wp14:anchorId="72B653B3" wp14:editId="1A1EA9A8">
            <wp:extent cx="4214225" cy="2850127"/>
            <wp:effectExtent l="19050" t="19050" r="15240" b="266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214225" cy="2850127"/>
                    </a:xfrm>
                    <a:prstGeom prst="rect">
                      <a:avLst/>
                    </a:prstGeom>
                    <a:ln>
                      <a:solidFill>
                        <a:schemeClr val="accent1"/>
                      </a:solidFill>
                    </a:ln>
                  </pic:spPr>
                </pic:pic>
              </a:graphicData>
            </a:graphic>
          </wp:inline>
        </w:drawing>
      </w:r>
    </w:p>
    <w:p w14:paraId="04C881FB" w14:textId="77777777" w:rsidR="00280E79" w:rsidRDefault="00280E79" w:rsidP="003F7B78">
      <w:pPr>
        <w:pStyle w:val="Caption"/>
        <w:keepNext/>
        <w:jc w:val="center"/>
        <w:rPr>
          <w:rFonts w:cstheme="minorHAnsi"/>
          <w:szCs w:val="22"/>
        </w:rPr>
      </w:pPr>
    </w:p>
    <w:p w14:paraId="1BE0BBCC" w14:textId="77777777" w:rsidR="003F7B78" w:rsidRPr="00567089" w:rsidRDefault="003F7B78" w:rsidP="00F656C9">
      <w:pPr>
        <w:pStyle w:val="Caption"/>
        <w:keepNext/>
        <w:rPr>
          <w:rFonts w:cstheme="minorHAnsi"/>
          <w:szCs w:val="22"/>
        </w:rPr>
      </w:pPr>
      <w:r>
        <w:rPr>
          <w:rFonts w:cstheme="minorHAnsi"/>
          <w:szCs w:val="22"/>
        </w:rPr>
        <w:t>Base Case Cost</w:t>
      </w:r>
    </w:p>
    <w:tbl>
      <w:tblPr>
        <w:tblStyle w:val="TableGrid1"/>
        <w:tblW w:w="4756" w:type="pct"/>
        <w:tblLayout w:type="fixed"/>
        <w:tblLook w:val="04A0" w:firstRow="1" w:lastRow="0" w:firstColumn="1" w:lastColumn="0" w:noHBand="0" w:noVBand="1"/>
      </w:tblPr>
      <w:tblGrid>
        <w:gridCol w:w="4449"/>
        <w:gridCol w:w="2022"/>
        <w:gridCol w:w="1375"/>
        <w:gridCol w:w="1048"/>
      </w:tblGrid>
      <w:tr w:rsidR="003F7B78" w:rsidRPr="00567089" w14:paraId="1155ED27" w14:textId="77777777" w:rsidTr="00F656C9">
        <w:tc>
          <w:tcPr>
            <w:tcW w:w="2501" w:type="pct"/>
            <w:shd w:val="clear" w:color="auto" w:fill="BFBFBF" w:themeFill="background1" w:themeFillShade="BF"/>
          </w:tcPr>
          <w:p w14:paraId="1791412D" w14:textId="77777777" w:rsidR="003F7B78" w:rsidRPr="00567089" w:rsidRDefault="003F7B78" w:rsidP="00F656C9">
            <w:pPr>
              <w:pStyle w:val="Default"/>
              <w:rPr>
                <w:rFonts w:asciiTheme="minorHAnsi" w:hAnsiTheme="minorHAnsi" w:cstheme="minorHAnsi"/>
                <w:bCs/>
                <w:sz w:val="20"/>
                <w:szCs w:val="20"/>
              </w:rPr>
            </w:pPr>
            <w:r w:rsidRPr="00567089">
              <w:rPr>
                <w:rFonts w:asciiTheme="minorHAnsi" w:hAnsiTheme="minorHAnsi" w:cstheme="minorHAnsi"/>
                <w:sz w:val="20"/>
                <w:szCs w:val="20"/>
              </w:rPr>
              <w:t>Measure Name</w:t>
            </w:r>
          </w:p>
        </w:tc>
        <w:tc>
          <w:tcPr>
            <w:tcW w:w="1137" w:type="pct"/>
            <w:shd w:val="clear" w:color="auto" w:fill="BFBFBF" w:themeFill="background1" w:themeFillShade="BF"/>
          </w:tcPr>
          <w:p w14:paraId="3A7E1A70" w14:textId="77777777" w:rsidR="003F7B78" w:rsidRPr="00567089" w:rsidRDefault="003F7B78" w:rsidP="00F656C9">
            <w:pPr>
              <w:pStyle w:val="Default"/>
              <w:rPr>
                <w:rFonts w:asciiTheme="minorHAnsi" w:hAnsiTheme="minorHAnsi" w:cstheme="minorHAnsi"/>
                <w:bCs/>
                <w:sz w:val="20"/>
                <w:szCs w:val="20"/>
              </w:rPr>
            </w:pPr>
            <w:r w:rsidRPr="00567089">
              <w:rPr>
                <w:rFonts w:asciiTheme="minorHAnsi" w:hAnsiTheme="minorHAnsi" w:cstheme="minorHAnsi"/>
                <w:sz w:val="20"/>
                <w:szCs w:val="20"/>
              </w:rPr>
              <w:t>Base Equipment Cost</w:t>
            </w:r>
          </w:p>
        </w:tc>
        <w:tc>
          <w:tcPr>
            <w:tcW w:w="773" w:type="pct"/>
            <w:shd w:val="clear" w:color="auto" w:fill="BFBFBF" w:themeFill="background1" w:themeFillShade="BF"/>
          </w:tcPr>
          <w:p w14:paraId="12C91248" w14:textId="77777777" w:rsidR="003F7B78" w:rsidRPr="00567089" w:rsidRDefault="003F7B78" w:rsidP="00F656C9">
            <w:pPr>
              <w:rPr>
                <w:rFonts w:cstheme="minorHAnsi"/>
                <w:bCs/>
                <w:szCs w:val="20"/>
              </w:rPr>
            </w:pPr>
            <w:r>
              <w:rPr>
                <w:rFonts w:cstheme="minorHAnsi"/>
                <w:szCs w:val="20"/>
              </w:rPr>
              <w:t>Labor Cost</w:t>
            </w:r>
          </w:p>
        </w:tc>
        <w:tc>
          <w:tcPr>
            <w:tcW w:w="589" w:type="pct"/>
            <w:shd w:val="clear" w:color="auto" w:fill="BFBFBF" w:themeFill="background1" w:themeFillShade="BF"/>
          </w:tcPr>
          <w:p w14:paraId="46CF1498" w14:textId="77777777" w:rsidR="003F7B78" w:rsidRPr="00567089" w:rsidRDefault="003F7B78" w:rsidP="00F656C9">
            <w:pPr>
              <w:rPr>
                <w:rFonts w:cstheme="minorHAnsi"/>
                <w:szCs w:val="20"/>
              </w:rPr>
            </w:pPr>
            <w:r>
              <w:rPr>
                <w:rFonts w:cstheme="minorHAnsi"/>
                <w:szCs w:val="20"/>
              </w:rPr>
              <w:t>Total Cost</w:t>
            </w:r>
          </w:p>
        </w:tc>
      </w:tr>
      <w:tr w:rsidR="00F34937" w:rsidRPr="00567089" w14:paraId="086E41CA" w14:textId="77777777" w:rsidTr="00F656C9">
        <w:tc>
          <w:tcPr>
            <w:tcW w:w="2501" w:type="pct"/>
          </w:tcPr>
          <w:p w14:paraId="2877B428" w14:textId="77777777" w:rsidR="00F34937" w:rsidRPr="000D7747" w:rsidRDefault="00F34937" w:rsidP="00F656C9">
            <w:pPr>
              <w:rPr>
                <w:rFonts w:cstheme="minorHAnsi"/>
                <w:szCs w:val="20"/>
              </w:rPr>
            </w:pPr>
            <w:r w:rsidRPr="000D7747">
              <w:rPr>
                <w:rFonts w:cstheme="minorHAnsi"/>
                <w:szCs w:val="20"/>
              </w:rPr>
              <w:lastRenderedPageBreak/>
              <w:t xml:space="preserve">≤ 15 Watt Down Light (Res) LED </w:t>
            </w:r>
            <w:r>
              <w:rPr>
                <w:rFonts w:cstheme="minorHAnsi"/>
                <w:szCs w:val="20"/>
              </w:rPr>
              <w:t>Fixture</w:t>
            </w:r>
          </w:p>
        </w:tc>
        <w:tc>
          <w:tcPr>
            <w:tcW w:w="1137" w:type="pct"/>
          </w:tcPr>
          <w:p w14:paraId="134724D9" w14:textId="534A491B" w:rsidR="00F34937" w:rsidRPr="00005ACB" w:rsidRDefault="00F34937" w:rsidP="00F656C9">
            <w:pPr>
              <w:rPr>
                <w:rFonts w:cs="Calibri"/>
                <w:szCs w:val="20"/>
              </w:rPr>
            </w:pPr>
            <w:r w:rsidRPr="00005ACB">
              <w:rPr>
                <w:rFonts w:cs="Calibri"/>
                <w:szCs w:val="20"/>
              </w:rPr>
              <w:t>$7.00</w:t>
            </w:r>
          </w:p>
        </w:tc>
        <w:tc>
          <w:tcPr>
            <w:tcW w:w="773" w:type="pct"/>
          </w:tcPr>
          <w:p w14:paraId="2B5D42CB" w14:textId="0E20156A" w:rsidR="00F34937" w:rsidRPr="00005ACB" w:rsidRDefault="00F34937" w:rsidP="00F656C9">
            <w:pPr>
              <w:rPr>
                <w:rFonts w:cs="Calibri"/>
                <w:color w:val="000000"/>
                <w:szCs w:val="20"/>
              </w:rPr>
            </w:pPr>
            <w:r w:rsidRPr="00005ACB">
              <w:rPr>
                <w:rFonts w:cs="Calibri"/>
                <w:color w:val="000000"/>
                <w:szCs w:val="20"/>
              </w:rPr>
              <w:t>$9.40</w:t>
            </w:r>
          </w:p>
        </w:tc>
        <w:tc>
          <w:tcPr>
            <w:tcW w:w="589" w:type="pct"/>
          </w:tcPr>
          <w:p w14:paraId="33D834CC" w14:textId="79D2E084" w:rsidR="00F34937" w:rsidRPr="00005ACB" w:rsidRDefault="00F34937" w:rsidP="00F656C9">
            <w:pPr>
              <w:rPr>
                <w:rFonts w:cs="Calibri"/>
                <w:color w:val="000000"/>
                <w:szCs w:val="20"/>
              </w:rPr>
            </w:pPr>
            <w:r w:rsidRPr="00005ACB">
              <w:rPr>
                <w:rFonts w:cs="Calibri"/>
                <w:color w:val="000000"/>
                <w:szCs w:val="20"/>
              </w:rPr>
              <w:t>$16.40</w:t>
            </w:r>
          </w:p>
        </w:tc>
      </w:tr>
      <w:tr w:rsidR="00F34937" w:rsidRPr="00567089" w14:paraId="44DD07A7" w14:textId="77777777" w:rsidTr="00F656C9">
        <w:tc>
          <w:tcPr>
            <w:tcW w:w="2501" w:type="pct"/>
          </w:tcPr>
          <w:p w14:paraId="08DEA765" w14:textId="77777777" w:rsidR="00F34937" w:rsidRPr="000D7747" w:rsidRDefault="00F34937" w:rsidP="00F656C9">
            <w:pPr>
              <w:rPr>
                <w:rFonts w:cstheme="minorHAnsi"/>
                <w:szCs w:val="20"/>
              </w:rPr>
            </w:pPr>
            <w:r w:rsidRPr="000D7747">
              <w:rPr>
                <w:rFonts w:cstheme="minorHAnsi"/>
                <w:szCs w:val="20"/>
              </w:rPr>
              <w:t xml:space="preserve">≤ 15 Watt Down Light (Non Res) LED </w:t>
            </w:r>
            <w:r>
              <w:rPr>
                <w:rFonts w:cstheme="minorHAnsi"/>
                <w:szCs w:val="20"/>
              </w:rPr>
              <w:t>Fixture</w:t>
            </w:r>
          </w:p>
        </w:tc>
        <w:tc>
          <w:tcPr>
            <w:tcW w:w="1137" w:type="pct"/>
          </w:tcPr>
          <w:p w14:paraId="60C88C54" w14:textId="2A8165CF" w:rsidR="00F34937" w:rsidRPr="00005ACB" w:rsidRDefault="00F34937" w:rsidP="00F656C9">
            <w:r w:rsidRPr="00005ACB">
              <w:rPr>
                <w:rFonts w:cs="Calibri"/>
                <w:szCs w:val="20"/>
              </w:rPr>
              <w:t>$7.00</w:t>
            </w:r>
          </w:p>
        </w:tc>
        <w:tc>
          <w:tcPr>
            <w:tcW w:w="773" w:type="pct"/>
          </w:tcPr>
          <w:p w14:paraId="08BC6D07" w14:textId="583E0FD0" w:rsidR="00F34937" w:rsidRPr="00005ACB" w:rsidRDefault="00F34937" w:rsidP="00F656C9">
            <w:pPr>
              <w:rPr>
                <w:rFonts w:cs="Calibri"/>
                <w:color w:val="000000"/>
                <w:szCs w:val="20"/>
              </w:rPr>
            </w:pPr>
            <w:r w:rsidRPr="00005ACB">
              <w:rPr>
                <w:rFonts w:cs="Calibri"/>
                <w:color w:val="000000"/>
                <w:szCs w:val="20"/>
              </w:rPr>
              <w:t>$9.40</w:t>
            </w:r>
          </w:p>
        </w:tc>
        <w:tc>
          <w:tcPr>
            <w:tcW w:w="589" w:type="pct"/>
          </w:tcPr>
          <w:p w14:paraId="3FAF5858" w14:textId="49277DA8" w:rsidR="00F34937" w:rsidRPr="00005ACB" w:rsidRDefault="00F34937" w:rsidP="00F656C9">
            <w:pPr>
              <w:rPr>
                <w:rFonts w:cs="Calibri"/>
                <w:color w:val="000000"/>
                <w:szCs w:val="20"/>
              </w:rPr>
            </w:pPr>
            <w:r w:rsidRPr="00005ACB">
              <w:rPr>
                <w:rFonts w:cs="Calibri"/>
                <w:color w:val="000000"/>
                <w:szCs w:val="20"/>
              </w:rPr>
              <w:t>$16.40</w:t>
            </w:r>
          </w:p>
        </w:tc>
      </w:tr>
      <w:tr w:rsidR="00F34937" w:rsidRPr="00567089" w14:paraId="326B723C" w14:textId="77777777" w:rsidTr="00F656C9">
        <w:tc>
          <w:tcPr>
            <w:tcW w:w="2501" w:type="pct"/>
          </w:tcPr>
          <w:p w14:paraId="6E7B69C8" w14:textId="77777777" w:rsidR="00F34937" w:rsidRDefault="00F34937" w:rsidP="00F656C9">
            <w:r>
              <w:rPr>
                <w:rFonts w:cstheme="minorHAnsi"/>
                <w:szCs w:val="20"/>
              </w:rPr>
              <w:t>≤ 15 Watt Down Light (Common Area</w:t>
            </w:r>
            <w:r w:rsidRPr="00113D3C">
              <w:rPr>
                <w:rFonts w:cstheme="minorHAnsi"/>
                <w:szCs w:val="20"/>
              </w:rPr>
              <w:t>) LED Fixture</w:t>
            </w:r>
          </w:p>
        </w:tc>
        <w:tc>
          <w:tcPr>
            <w:tcW w:w="1137" w:type="pct"/>
          </w:tcPr>
          <w:p w14:paraId="0F960EE0" w14:textId="3D2DD93B" w:rsidR="00F34937" w:rsidRPr="00005ACB" w:rsidRDefault="00F34937" w:rsidP="00F656C9">
            <w:r w:rsidRPr="00005ACB">
              <w:rPr>
                <w:rFonts w:cs="Calibri"/>
                <w:szCs w:val="20"/>
              </w:rPr>
              <w:t>$7.00</w:t>
            </w:r>
          </w:p>
        </w:tc>
        <w:tc>
          <w:tcPr>
            <w:tcW w:w="773" w:type="pct"/>
          </w:tcPr>
          <w:p w14:paraId="0AC56C8A" w14:textId="4E12142D" w:rsidR="00F34937" w:rsidRPr="00005ACB" w:rsidRDefault="00F34937" w:rsidP="00F656C9">
            <w:pPr>
              <w:rPr>
                <w:rFonts w:cs="Calibri"/>
                <w:color w:val="000000"/>
                <w:szCs w:val="20"/>
              </w:rPr>
            </w:pPr>
            <w:r w:rsidRPr="00005ACB">
              <w:rPr>
                <w:rFonts w:cs="Calibri"/>
                <w:color w:val="000000"/>
                <w:szCs w:val="20"/>
              </w:rPr>
              <w:t>$9.40</w:t>
            </w:r>
          </w:p>
        </w:tc>
        <w:tc>
          <w:tcPr>
            <w:tcW w:w="589" w:type="pct"/>
          </w:tcPr>
          <w:p w14:paraId="52E19058" w14:textId="75C53FD9" w:rsidR="00F34937" w:rsidRPr="00005ACB" w:rsidRDefault="00F34937" w:rsidP="00F656C9">
            <w:pPr>
              <w:rPr>
                <w:rFonts w:cs="Calibri"/>
                <w:color w:val="000000"/>
                <w:szCs w:val="20"/>
              </w:rPr>
            </w:pPr>
            <w:r w:rsidRPr="00005ACB">
              <w:rPr>
                <w:rFonts w:cs="Calibri"/>
                <w:color w:val="000000"/>
                <w:szCs w:val="20"/>
              </w:rPr>
              <w:t>$16.40</w:t>
            </w:r>
          </w:p>
        </w:tc>
      </w:tr>
      <w:tr w:rsidR="00F34937" w:rsidRPr="00567089" w14:paraId="2C9D5124" w14:textId="77777777" w:rsidTr="00F656C9">
        <w:tc>
          <w:tcPr>
            <w:tcW w:w="2501" w:type="pct"/>
          </w:tcPr>
          <w:p w14:paraId="5F0A41B6" w14:textId="77777777" w:rsidR="00F34937" w:rsidRDefault="00F34937" w:rsidP="00F656C9">
            <w:r>
              <w:rPr>
                <w:rFonts w:cstheme="minorHAnsi"/>
                <w:szCs w:val="20"/>
              </w:rPr>
              <w:t>≤ 15 Watt Down Light (Dwelling Area</w:t>
            </w:r>
            <w:r w:rsidRPr="00113D3C">
              <w:rPr>
                <w:rFonts w:cstheme="minorHAnsi"/>
                <w:szCs w:val="20"/>
              </w:rPr>
              <w:t>) LED Fixture</w:t>
            </w:r>
          </w:p>
        </w:tc>
        <w:tc>
          <w:tcPr>
            <w:tcW w:w="1137" w:type="pct"/>
          </w:tcPr>
          <w:p w14:paraId="2787BBC2" w14:textId="72A6E648" w:rsidR="00F34937" w:rsidRPr="00005ACB" w:rsidRDefault="00F34937" w:rsidP="00F656C9">
            <w:r w:rsidRPr="00005ACB">
              <w:rPr>
                <w:rFonts w:cs="Calibri"/>
                <w:szCs w:val="20"/>
              </w:rPr>
              <w:t>$7.00</w:t>
            </w:r>
          </w:p>
        </w:tc>
        <w:tc>
          <w:tcPr>
            <w:tcW w:w="773" w:type="pct"/>
          </w:tcPr>
          <w:p w14:paraId="1D3AD6BF" w14:textId="6A2DF551" w:rsidR="00F34937" w:rsidRPr="00005ACB" w:rsidRDefault="00F34937" w:rsidP="00F656C9">
            <w:pPr>
              <w:rPr>
                <w:rFonts w:cs="Calibri"/>
                <w:color w:val="000000"/>
                <w:szCs w:val="20"/>
              </w:rPr>
            </w:pPr>
            <w:r w:rsidRPr="00005ACB">
              <w:rPr>
                <w:rFonts w:cs="Calibri"/>
                <w:color w:val="000000"/>
                <w:szCs w:val="20"/>
              </w:rPr>
              <w:t>$9.40</w:t>
            </w:r>
          </w:p>
        </w:tc>
        <w:tc>
          <w:tcPr>
            <w:tcW w:w="589" w:type="pct"/>
          </w:tcPr>
          <w:p w14:paraId="754D2BFC" w14:textId="515B799C" w:rsidR="00F34937" w:rsidRPr="00005ACB" w:rsidRDefault="00F34937" w:rsidP="00F656C9">
            <w:pPr>
              <w:rPr>
                <w:rFonts w:cs="Calibri"/>
                <w:color w:val="000000"/>
                <w:szCs w:val="20"/>
              </w:rPr>
            </w:pPr>
            <w:r w:rsidRPr="00005ACB">
              <w:rPr>
                <w:rFonts w:cs="Calibri"/>
                <w:color w:val="000000"/>
                <w:szCs w:val="20"/>
              </w:rPr>
              <w:t>$16.40</w:t>
            </w:r>
          </w:p>
        </w:tc>
      </w:tr>
    </w:tbl>
    <w:p w14:paraId="75BE3C95" w14:textId="77777777" w:rsidR="003F7B78" w:rsidRPr="003F7B78" w:rsidRDefault="003F7B78" w:rsidP="003F7B78"/>
    <w:p w14:paraId="44713B57" w14:textId="085CFAF1"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699A1C8F" w14:textId="64F2C304" w:rsidR="009A03CA" w:rsidRDefault="009A03CA" w:rsidP="009A03CA">
      <w:pPr>
        <w:rPr>
          <w:rFonts w:cstheme="minorHAnsi"/>
        </w:rPr>
      </w:pPr>
      <w:r>
        <w:rPr>
          <w:rFonts w:cstheme="minorHAnsi"/>
          <w:szCs w:val="22"/>
        </w:rPr>
        <w:t xml:space="preserve">Measure case cost of </w:t>
      </w:r>
      <w:r w:rsidRPr="00005ACB">
        <w:rPr>
          <w:rFonts w:cstheme="minorHAnsi"/>
          <w:szCs w:val="22"/>
        </w:rPr>
        <w:t>$</w:t>
      </w:r>
      <w:r w:rsidR="00F656C1" w:rsidRPr="00005ACB">
        <w:rPr>
          <w:rFonts w:cstheme="minorHAnsi"/>
          <w:szCs w:val="22"/>
        </w:rPr>
        <w:t>23.00</w:t>
      </w:r>
      <w:r w:rsidRPr="00005ACB">
        <w:rPr>
          <w:rFonts w:cstheme="minorHAnsi"/>
          <w:szCs w:val="22"/>
        </w:rPr>
        <w:t xml:space="preserve"> is </w:t>
      </w:r>
      <w:r w:rsidR="00F656C1" w:rsidRPr="00005ACB">
        <w:rPr>
          <w:rFonts w:cstheme="minorHAnsi"/>
          <w:szCs w:val="22"/>
        </w:rPr>
        <w:t>from</w:t>
      </w:r>
      <w:r w:rsidRPr="00005ACB">
        <w:rPr>
          <w:rFonts w:cstheme="minorHAnsi"/>
          <w:szCs w:val="22"/>
        </w:rPr>
        <w:t xml:space="preserve"> </w:t>
      </w:r>
      <w:r w:rsidR="00F656C1" w:rsidRPr="00005ACB">
        <w:rPr>
          <w:rFonts w:cstheme="minorHAnsi"/>
          <w:szCs w:val="22"/>
        </w:rPr>
        <w:t>a Navigant LED study</w:t>
      </w:r>
      <w:r w:rsidR="008B35C7" w:rsidRPr="00005ACB">
        <w:rPr>
          <w:rFonts w:cstheme="minorHAnsi"/>
          <w:szCs w:val="22"/>
        </w:rPr>
        <w:t xml:space="preserve"> [495]</w:t>
      </w:r>
      <w:r w:rsidR="0007776E" w:rsidRPr="00005ACB">
        <w:rPr>
          <w:rFonts w:cstheme="minorHAnsi"/>
          <w:szCs w:val="22"/>
        </w:rPr>
        <w:t>.</w:t>
      </w:r>
      <w:r w:rsidR="0007776E">
        <w:rPr>
          <w:rFonts w:cstheme="minorHAnsi"/>
          <w:szCs w:val="22"/>
        </w:rPr>
        <w:t xml:space="preserve"> </w:t>
      </w:r>
      <w:r>
        <w:rPr>
          <w:rFonts w:cstheme="minorHAnsi"/>
          <w:szCs w:val="22"/>
        </w:rPr>
        <w:t xml:space="preserve"> </w:t>
      </w:r>
      <w:r w:rsidR="0007776E">
        <w:rPr>
          <w:rFonts w:cstheme="minorHAnsi"/>
        </w:rPr>
        <w:t xml:space="preserve">Same labor cost is used from the base </w:t>
      </w:r>
      <w:r w:rsidR="00BE3CB1">
        <w:rPr>
          <w:rFonts w:cstheme="minorHAnsi"/>
        </w:rPr>
        <w:t xml:space="preserve">labor case </w:t>
      </w:r>
      <w:r w:rsidR="0007776E">
        <w:rPr>
          <w:rFonts w:cstheme="minorHAnsi"/>
        </w:rPr>
        <w:t>cost.</w:t>
      </w:r>
    </w:p>
    <w:p w14:paraId="4B4EA868" w14:textId="77777777" w:rsidR="006F171A" w:rsidRPr="0007776E" w:rsidRDefault="006F171A" w:rsidP="009A03CA">
      <w:pPr>
        <w:rPr>
          <w:rFonts w:cstheme="minorHAnsi"/>
        </w:rPr>
      </w:pPr>
    </w:p>
    <w:p w14:paraId="778F0464" w14:textId="77777777" w:rsidR="009A03CA" w:rsidRPr="00567089" w:rsidRDefault="009A03CA" w:rsidP="00F656C9">
      <w:pPr>
        <w:pStyle w:val="Caption"/>
        <w:keepNext/>
        <w:rPr>
          <w:rFonts w:cstheme="minorHAnsi"/>
          <w:szCs w:val="22"/>
        </w:rPr>
      </w:pPr>
      <w:r>
        <w:rPr>
          <w:rFonts w:cstheme="minorHAnsi"/>
          <w:szCs w:val="22"/>
        </w:rPr>
        <w:t>Measure Case Cost</w:t>
      </w:r>
    </w:p>
    <w:tbl>
      <w:tblPr>
        <w:tblStyle w:val="TableGrid1"/>
        <w:tblW w:w="4756" w:type="pct"/>
        <w:tblLayout w:type="fixed"/>
        <w:tblLook w:val="04A0" w:firstRow="1" w:lastRow="0" w:firstColumn="1" w:lastColumn="0" w:noHBand="0" w:noVBand="1"/>
      </w:tblPr>
      <w:tblGrid>
        <w:gridCol w:w="4449"/>
        <w:gridCol w:w="2022"/>
        <w:gridCol w:w="1375"/>
        <w:gridCol w:w="1048"/>
      </w:tblGrid>
      <w:tr w:rsidR="009A03CA" w:rsidRPr="00567089" w14:paraId="5598FA2B" w14:textId="77777777" w:rsidTr="00F656C9">
        <w:tc>
          <w:tcPr>
            <w:tcW w:w="2501" w:type="pct"/>
            <w:shd w:val="clear" w:color="auto" w:fill="BFBFBF" w:themeFill="background1" w:themeFillShade="BF"/>
          </w:tcPr>
          <w:p w14:paraId="44A872DA" w14:textId="77777777" w:rsidR="009A03CA" w:rsidRPr="00567089" w:rsidRDefault="009A03CA" w:rsidP="00F656C9">
            <w:pPr>
              <w:pStyle w:val="Default"/>
              <w:rPr>
                <w:rFonts w:asciiTheme="minorHAnsi" w:hAnsiTheme="minorHAnsi" w:cstheme="minorHAnsi"/>
                <w:bCs/>
                <w:sz w:val="20"/>
                <w:szCs w:val="20"/>
              </w:rPr>
            </w:pPr>
            <w:r w:rsidRPr="00567089">
              <w:rPr>
                <w:rFonts w:asciiTheme="minorHAnsi" w:hAnsiTheme="minorHAnsi" w:cstheme="minorHAnsi"/>
                <w:sz w:val="20"/>
                <w:szCs w:val="20"/>
              </w:rPr>
              <w:t>Measure Name</w:t>
            </w:r>
          </w:p>
        </w:tc>
        <w:tc>
          <w:tcPr>
            <w:tcW w:w="1137" w:type="pct"/>
            <w:shd w:val="clear" w:color="auto" w:fill="BFBFBF" w:themeFill="background1" w:themeFillShade="BF"/>
          </w:tcPr>
          <w:p w14:paraId="0D4AFF13" w14:textId="77777777" w:rsidR="009A03CA" w:rsidRPr="00567089" w:rsidRDefault="009A03CA" w:rsidP="00F656C9">
            <w:pPr>
              <w:pStyle w:val="Default"/>
              <w:rPr>
                <w:rFonts w:asciiTheme="minorHAnsi" w:hAnsiTheme="minorHAnsi" w:cstheme="minorHAnsi"/>
                <w:bCs/>
                <w:sz w:val="20"/>
                <w:szCs w:val="20"/>
              </w:rPr>
            </w:pPr>
            <w:r>
              <w:rPr>
                <w:rFonts w:asciiTheme="minorHAnsi" w:hAnsiTheme="minorHAnsi" w:cstheme="minorHAnsi"/>
                <w:sz w:val="20"/>
                <w:szCs w:val="20"/>
              </w:rPr>
              <w:t>Measure</w:t>
            </w:r>
            <w:r w:rsidRPr="00567089">
              <w:rPr>
                <w:rFonts w:asciiTheme="minorHAnsi" w:hAnsiTheme="minorHAnsi" w:cstheme="minorHAnsi"/>
                <w:sz w:val="20"/>
                <w:szCs w:val="20"/>
              </w:rPr>
              <w:t xml:space="preserve"> Equipment Cost</w:t>
            </w:r>
          </w:p>
        </w:tc>
        <w:tc>
          <w:tcPr>
            <w:tcW w:w="773" w:type="pct"/>
            <w:shd w:val="clear" w:color="auto" w:fill="BFBFBF" w:themeFill="background1" w:themeFillShade="BF"/>
          </w:tcPr>
          <w:p w14:paraId="11282245" w14:textId="77777777" w:rsidR="009A03CA" w:rsidRPr="00567089" w:rsidRDefault="009A03CA" w:rsidP="00F656C9">
            <w:pPr>
              <w:rPr>
                <w:rFonts w:cstheme="minorHAnsi"/>
                <w:bCs/>
                <w:szCs w:val="20"/>
              </w:rPr>
            </w:pPr>
            <w:r>
              <w:rPr>
                <w:rFonts w:cstheme="minorHAnsi"/>
                <w:szCs w:val="20"/>
              </w:rPr>
              <w:t>Labor Cost</w:t>
            </w:r>
          </w:p>
        </w:tc>
        <w:tc>
          <w:tcPr>
            <w:tcW w:w="589" w:type="pct"/>
            <w:shd w:val="clear" w:color="auto" w:fill="BFBFBF" w:themeFill="background1" w:themeFillShade="BF"/>
          </w:tcPr>
          <w:p w14:paraId="4BB7648B" w14:textId="77777777" w:rsidR="009A03CA" w:rsidRPr="00567089" w:rsidRDefault="009A03CA" w:rsidP="00F656C9">
            <w:pPr>
              <w:rPr>
                <w:rFonts w:cstheme="minorHAnsi"/>
                <w:szCs w:val="20"/>
              </w:rPr>
            </w:pPr>
            <w:r>
              <w:rPr>
                <w:rFonts w:cstheme="minorHAnsi"/>
                <w:szCs w:val="20"/>
              </w:rPr>
              <w:t>Total Cost</w:t>
            </w:r>
          </w:p>
        </w:tc>
      </w:tr>
      <w:tr w:rsidR="00F656C1" w:rsidRPr="00567089" w14:paraId="12A6A9B2" w14:textId="77777777" w:rsidTr="00F656C9">
        <w:tc>
          <w:tcPr>
            <w:tcW w:w="2501" w:type="pct"/>
          </w:tcPr>
          <w:p w14:paraId="68C21D02" w14:textId="77777777" w:rsidR="00F656C1" w:rsidRPr="000D7747" w:rsidRDefault="00F656C1" w:rsidP="00F656C9">
            <w:pPr>
              <w:rPr>
                <w:rFonts w:cstheme="minorHAnsi"/>
                <w:szCs w:val="20"/>
              </w:rPr>
            </w:pPr>
            <w:r w:rsidRPr="000D7747">
              <w:rPr>
                <w:rFonts w:cstheme="minorHAnsi"/>
                <w:szCs w:val="20"/>
              </w:rPr>
              <w:t xml:space="preserve">≤ 15 Watt Down Light (Res) LED </w:t>
            </w:r>
            <w:r>
              <w:rPr>
                <w:rFonts w:cstheme="minorHAnsi"/>
                <w:szCs w:val="20"/>
              </w:rPr>
              <w:t>Fixture</w:t>
            </w:r>
          </w:p>
        </w:tc>
        <w:tc>
          <w:tcPr>
            <w:tcW w:w="1137" w:type="pct"/>
          </w:tcPr>
          <w:p w14:paraId="79DFCA50" w14:textId="71411BF5" w:rsidR="00F656C1" w:rsidRPr="00005ACB" w:rsidRDefault="00F656C1" w:rsidP="00F656C9">
            <w:pPr>
              <w:rPr>
                <w:rFonts w:cs="Calibri"/>
                <w:szCs w:val="20"/>
              </w:rPr>
            </w:pPr>
            <w:r w:rsidRPr="00005ACB">
              <w:rPr>
                <w:rFonts w:cs="Calibri"/>
                <w:szCs w:val="20"/>
              </w:rPr>
              <w:t>$23.00</w:t>
            </w:r>
          </w:p>
        </w:tc>
        <w:tc>
          <w:tcPr>
            <w:tcW w:w="773" w:type="pct"/>
          </w:tcPr>
          <w:p w14:paraId="1961512E" w14:textId="4083FECE" w:rsidR="00F656C1" w:rsidRPr="00005ACB" w:rsidRDefault="00F656C1" w:rsidP="00F656C9">
            <w:pPr>
              <w:rPr>
                <w:rFonts w:cs="Calibri"/>
                <w:color w:val="000000"/>
                <w:szCs w:val="20"/>
              </w:rPr>
            </w:pPr>
            <w:r w:rsidRPr="00005ACB">
              <w:rPr>
                <w:rFonts w:cs="Calibri"/>
                <w:color w:val="000000"/>
                <w:szCs w:val="20"/>
              </w:rPr>
              <w:t>$9.40</w:t>
            </w:r>
          </w:p>
        </w:tc>
        <w:tc>
          <w:tcPr>
            <w:tcW w:w="589" w:type="pct"/>
          </w:tcPr>
          <w:p w14:paraId="45741DC3" w14:textId="01C6AEA0" w:rsidR="00F656C1" w:rsidRPr="00005ACB" w:rsidRDefault="00F656C1" w:rsidP="00F656C9">
            <w:pPr>
              <w:rPr>
                <w:rFonts w:cs="Calibri"/>
                <w:color w:val="000000"/>
                <w:szCs w:val="20"/>
              </w:rPr>
            </w:pPr>
            <w:r w:rsidRPr="00005ACB">
              <w:rPr>
                <w:rFonts w:cs="Calibri"/>
                <w:color w:val="000000"/>
                <w:szCs w:val="20"/>
              </w:rPr>
              <w:t>$32.40</w:t>
            </w:r>
          </w:p>
        </w:tc>
      </w:tr>
      <w:tr w:rsidR="00F656C1" w:rsidRPr="00567089" w14:paraId="5CE4BC98" w14:textId="77777777" w:rsidTr="00F656C9">
        <w:tc>
          <w:tcPr>
            <w:tcW w:w="2501" w:type="pct"/>
          </w:tcPr>
          <w:p w14:paraId="1EC8BBB4" w14:textId="77777777" w:rsidR="00F656C1" w:rsidRPr="000D7747" w:rsidRDefault="00F656C1" w:rsidP="00F656C9">
            <w:pPr>
              <w:rPr>
                <w:rFonts w:cstheme="minorHAnsi"/>
                <w:szCs w:val="20"/>
              </w:rPr>
            </w:pPr>
            <w:r w:rsidRPr="000D7747">
              <w:rPr>
                <w:rFonts w:cstheme="minorHAnsi"/>
                <w:szCs w:val="20"/>
              </w:rPr>
              <w:t xml:space="preserve">≤ 15 Watt Down Light (Non Res) LED </w:t>
            </w:r>
            <w:r>
              <w:rPr>
                <w:rFonts w:cstheme="minorHAnsi"/>
                <w:szCs w:val="20"/>
              </w:rPr>
              <w:t>Fixture</w:t>
            </w:r>
          </w:p>
        </w:tc>
        <w:tc>
          <w:tcPr>
            <w:tcW w:w="1137" w:type="pct"/>
          </w:tcPr>
          <w:p w14:paraId="15D5980C" w14:textId="7BB81AE6" w:rsidR="00F656C1" w:rsidRPr="00005ACB" w:rsidRDefault="00F656C1" w:rsidP="00F656C9">
            <w:pPr>
              <w:rPr>
                <w:rFonts w:cs="Calibri"/>
                <w:szCs w:val="20"/>
              </w:rPr>
            </w:pPr>
            <w:r w:rsidRPr="00005ACB">
              <w:rPr>
                <w:rFonts w:cs="Calibri"/>
                <w:szCs w:val="20"/>
              </w:rPr>
              <w:t>$23.00</w:t>
            </w:r>
          </w:p>
        </w:tc>
        <w:tc>
          <w:tcPr>
            <w:tcW w:w="773" w:type="pct"/>
          </w:tcPr>
          <w:p w14:paraId="3E36CBEB" w14:textId="13BA9052" w:rsidR="00F656C1" w:rsidRPr="00005ACB" w:rsidRDefault="00F656C1" w:rsidP="00F656C9">
            <w:pPr>
              <w:rPr>
                <w:rFonts w:cs="Calibri"/>
                <w:color w:val="000000"/>
                <w:szCs w:val="20"/>
              </w:rPr>
            </w:pPr>
            <w:r w:rsidRPr="00005ACB">
              <w:rPr>
                <w:rFonts w:cs="Calibri"/>
                <w:color w:val="000000"/>
                <w:szCs w:val="20"/>
              </w:rPr>
              <w:t>$9.40</w:t>
            </w:r>
          </w:p>
        </w:tc>
        <w:tc>
          <w:tcPr>
            <w:tcW w:w="589" w:type="pct"/>
          </w:tcPr>
          <w:p w14:paraId="5739BBC1" w14:textId="4D434C02" w:rsidR="00F656C1" w:rsidRPr="00005ACB" w:rsidRDefault="00F656C1" w:rsidP="00F656C9">
            <w:pPr>
              <w:rPr>
                <w:rFonts w:cs="Calibri"/>
                <w:color w:val="000000"/>
                <w:szCs w:val="20"/>
              </w:rPr>
            </w:pPr>
            <w:r w:rsidRPr="00005ACB">
              <w:rPr>
                <w:rFonts w:cs="Calibri"/>
                <w:color w:val="000000"/>
                <w:szCs w:val="20"/>
              </w:rPr>
              <w:t>$32.40</w:t>
            </w:r>
          </w:p>
        </w:tc>
      </w:tr>
      <w:tr w:rsidR="00F656C1" w:rsidRPr="00567089" w14:paraId="1C91535B" w14:textId="77777777" w:rsidTr="00F656C9">
        <w:tc>
          <w:tcPr>
            <w:tcW w:w="2501" w:type="pct"/>
          </w:tcPr>
          <w:p w14:paraId="4E23F91F" w14:textId="77777777" w:rsidR="00F656C1" w:rsidRDefault="00F656C1" w:rsidP="00F656C9">
            <w:r>
              <w:rPr>
                <w:rFonts w:cstheme="minorHAnsi"/>
                <w:szCs w:val="20"/>
              </w:rPr>
              <w:t>≤ 15 Watt Down Light (Common Area</w:t>
            </w:r>
            <w:r w:rsidRPr="00113D3C">
              <w:rPr>
                <w:rFonts w:cstheme="minorHAnsi"/>
                <w:szCs w:val="20"/>
              </w:rPr>
              <w:t>) LED Fixture</w:t>
            </w:r>
          </w:p>
        </w:tc>
        <w:tc>
          <w:tcPr>
            <w:tcW w:w="1137" w:type="pct"/>
          </w:tcPr>
          <w:p w14:paraId="5518F54C" w14:textId="7BAB2AFA" w:rsidR="00F656C1" w:rsidRPr="00005ACB" w:rsidRDefault="00F656C1" w:rsidP="00F656C9">
            <w:pPr>
              <w:rPr>
                <w:rFonts w:cs="Calibri"/>
                <w:szCs w:val="20"/>
              </w:rPr>
            </w:pPr>
            <w:r w:rsidRPr="00005ACB">
              <w:rPr>
                <w:rFonts w:cs="Calibri"/>
                <w:szCs w:val="20"/>
              </w:rPr>
              <w:t>$23.00</w:t>
            </w:r>
          </w:p>
        </w:tc>
        <w:tc>
          <w:tcPr>
            <w:tcW w:w="773" w:type="pct"/>
          </w:tcPr>
          <w:p w14:paraId="3987590C" w14:textId="56A00C0A" w:rsidR="00F656C1" w:rsidRPr="00005ACB" w:rsidRDefault="00F656C1" w:rsidP="00F656C9">
            <w:pPr>
              <w:rPr>
                <w:rFonts w:cs="Calibri"/>
                <w:color w:val="000000"/>
                <w:szCs w:val="20"/>
              </w:rPr>
            </w:pPr>
            <w:r w:rsidRPr="00005ACB">
              <w:rPr>
                <w:rFonts w:cs="Calibri"/>
                <w:color w:val="000000"/>
                <w:szCs w:val="20"/>
              </w:rPr>
              <w:t>$9.40</w:t>
            </w:r>
          </w:p>
        </w:tc>
        <w:tc>
          <w:tcPr>
            <w:tcW w:w="589" w:type="pct"/>
          </w:tcPr>
          <w:p w14:paraId="1870058B" w14:textId="71A22DC6" w:rsidR="00F656C1" w:rsidRPr="00005ACB" w:rsidRDefault="00F656C1" w:rsidP="00F656C9">
            <w:pPr>
              <w:rPr>
                <w:rFonts w:cs="Calibri"/>
                <w:color w:val="000000"/>
                <w:szCs w:val="20"/>
              </w:rPr>
            </w:pPr>
            <w:r w:rsidRPr="00005ACB">
              <w:rPr>
                <w:rFonts w:cs="Calibri"/>
                <w:color w:val="000000"/>
                <w:szCs w:val="20"/>
              </w:rPr>
              <w:t>$32.40</w:t>
            </w:r>
          </w:p>
        </w:tc>
      </w:tr>
      <w:tr w:rsidR="00F656C1" w:rsidRPr="00567089" w14:paraId="098AAC79" w14:textId="77777777" w:rsidTr="00F656C9">
        <w:tc>
          <w:tcPr>
            <w:tcW w:w="2501" w:type="pct"/>
          </w:tcPr>
          <w:p w14:paraId="0E3783D5" w14:textId="77777777" w:rsidR="00F656C1" w:rsidRDefault="00F656C1" w:rsidP="00F656C9">
            <w:r>
              <w:rPr>
                <w:rFonts w:cstheme="minorHAnsi"/>
                <w:szCs w:val="20"/>
              </w:rPr>
              <w:t>≤ 15 Watt Down Light (Dwelling Area</w:t>
            </w:r>
            <w:r w:rsidRPr="00113D3C">
              <w:rPr>
                <w:rFonts w:cstheme="minorHAnsi"/>
                <w:szCs w:val="20"/>
              </w:rPr>
              <w:t>) LED Fixture</w:t>
            </w:r>
          </w:p>
        </w:tc>
        <w:tc>
          <w:tcPr>
            <w:tcW w:w="1137" w:type="pct"/>
          </w:tcPr>
          <w:p w14:paraId="02C93795" w14:textId="46001DAF" w:rsidR="00F656C1" w:rsidRPr="00005ACB" w:rsidRDefault="00F656C1" w:rsidP="00F656C9">
            <w:pPr>
              <w:rPr>
                <w:rFonts w:cs="Calibri"/>
                <w:szCs w:val="20"/>
              </w:rPr>
            </w:pPr>
            <w:r w:rsidRPr="00005ACB">
              <w:rPr>
                <w:rFonts w:cs="Calibri"/>
                <w:szCs w:val="20"/>
              </w:rPr>
              <w:t>$23.00</w:t>
            </w:r>
          </w:p>
        </w:tc>
        <w:tc>
          <w:tcPr>
            <w:tcW w:w="773" w:type="pct"/>
          </w:tcPr>
          <w:p w14:paraId="7C660141" w14:textId="34ED8824" w:rsidR="00F656C1" w:rsidRPr="00005ACB" w:rsidRDefault="00F656C1" w:rsidP="00F656C9">
            <w:pPr>
              <w:rPr>
                <w:rFonts w:cs="Calibri"/>
                <w:color w:val="000000"/>
                <w:szCs w:val="20"/>
              </w:rPr>
            </w:pPr>
            <w:r w:rsidRPr="00005ACB">
              <w:rPr>
                <w:rFonts w:cs="Calibri"/>
                <w:color w:val="000000"/>
                <w:szCs w:val="20"/>
              </w:rPr>
              <w:t>$9.40</w:t>
            </w:r>
          </w:p>
        </w:tc>
        <w:tc>
          <w:tcPr>
            <w:tcW w:w="589" w:type="pct"/>
          </w:tcPr>
          <w:p w14:paraId="704B084F" w14:textId="533BD708" w:rsidR="00F656C1" w:rsidRPr="00005ACB" w:rsidRDefault="00F656C1" w:rsidP="00F656C9">
            <w:pPr>
              <w:rPr>
                <w:rFonts w:cs="Calibri"/>
                <w:color w:val="000000"/>
                <w:szCs w:val="20"/>
              </w:rPr>
            </w:pPr>
            <w:r w:rsidRPr="00005ACB">
              <w:rPr>
                <w:rFonts w:cs="Calibri"/>
                <w:color w:val="000000"/>
                <w:szCs w:val="20"/>
              </w:rPr>
              <w:t>$32.40</w:t>
            </w:r>
          </w:p>
        </w:tc>
      </w:tr>
    </w:tbl>
    <w:p w14:paraId="24D45B87" w14:textId="77777777" w:rsidR="009A03CA" w:rsidRDefault="009A03CA" w:rsidP="009A03CA">
      <w:pPr>
        <w:rPr>
          <w:rFonts w:cstheme="minorHAnsi"/>
          <w:szCs w:val="22"/>
        </w:rPr>
      </w:pP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19"/>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20905">
        <w:tc>
          <w:tcPr>
            <w:tcW w:w="672"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A84BF9">
        <w:tc>
          <w:tcPr>
            <w:tcW w:w="672" w:type="pct"/>
          </w:tcPr>
          <w:p w14:paraId="5021CC5B" w14:textId="77777777" w:rsidR="009C6FE0" w:rsidRPr="00DE77D0" w:rsidRDefault="009C6FE0" w:rsidP="00A84BF9">
            <w:pPr>
              <w:rPr>
                <w:rFonts w:cstheme="minorHAnsi"/>
                <w:szCs w:val="20"/>
              </w:rPr>
            </w:pPr>
            <w:r>
              <w:rPr>
                <w:rFonts w:cstheme="minorHAnsi"/>
                <w:szCs w:val="20"/>
              </w:rPr>
              <w:t>REF</w:t>
            </w:r>
          </w:p>
        </w:tc>
        <w:tc>
          <w:tcPr>
            <w:tcW w:w="1443" w:type="pct"/>
          </w:tcPr>
          <w:p w14:paraId="3BA9A303" w14:textId="77777777" w:rsidR="009C6FE0" w:rsidRPr="00DE77D0" w:rsidRDefault="009C6FE0" w:rsidP="00A84BF9">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A84BF9">
            <w:pPr>
              <w:rPr>
                <w:rFonts w:cstheme="minorHAnsi"/>
                <w:szCs w:val="20"/>
              </w:rPr>
            </w:pPr>
            <w:r>
              <w:rPr>
                <w:rFonts w:cstheme="minorHAnsi"/>
                <w:szCs w:val="20"/>
              </w:rPr>
              <w:t>MEC + MLC</w:t>
            </w:r>
          </w:p>
        </w:tc>
        <w:tc>
          <w:tcPr>
            <w:tcW w:w="1489" w:type="pct"/>
          </w:tcPr>
          <w:p w14:paraId="1C9B3EB4" w14:textId="77777777" w:rsidR="009C6FE0" w:rsidRPr="00DE77D0" w:rsidRDefault="009C6FE0" w:rsidP="00A84BF9">
            <w:pPr>
              <w:rPr>
                <w:rFonts w:cstheme="minorHAnsi"/>
                <w:szCs w:val="20"/>
              </w:rPr>
            </w:pPr>
            <w:r>
              <w:rPr>
                <w:rFonts w:cstheme="minorHAnsi"/>
                <w:szCs w:val="20"/>
              </w:rPr>
              <w:t>N/A</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5265679E" w14:textId="77777777" w:rsidR="00B12728" w:rsidRDefault="00B12728">
      <w:pPr>
        <w:rPr>
          <w:b/>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098"/>
        <w:gridCol w:w="1156"/>
        <w:gridCol w:w="2367"/>
        <w:gridCol w:w="2291"/>
        <w:gridCol w:w="2438"/>
      </w:tblGrid>
      <w:tr w:rsidR="00B12728" w:rsidRPr="00B12728" w14:paraId="7122FF83" w14:textId="77777777" w:rsidTr="00F474EF">
        <w:tc>
          <w:tcPr>
            <w:tcW w:w="587" w:type="pct"/>
            <w:vMerge w:val="restart"/>
            <w:shd w:val="clear" w:color="auto" w:fill="D9D9D9" w:themeFill="background1" w:themeFillShade="D9"/>
          </w:tcPr>
          <w:p w14:paraId="1B2725EC" w14:textId="589C410F" w:rsidR="00F474EF" w:rsidRPr="00B12728" w:rsidRDefault="00F474EF" w:rsidP="00175D14">
            <w:pPr>
              <w:rPr>
                <w:rFonts w:cstheme="minorHAnsi"/>
                <w:b/>
                <w:szCs w:val="20"/>
              </w:rPr>
            </w:pPr>
            <w:r w:rsidRPr="00B12728">
              <w:rPr>
                <w:rFonts w:cstheme="minorHAnsi"/>
                <w:b/>
                <w:szCs w:val="20"/>
              </w:rPr>
              <w:t>Measure</w:t>
            </w:r>
          </w:p>
        </w:tc>
        <w:tc>
          <w:tcPr>
            <w:tcW w:w="618" w:type="pct"/>
            <w:vMerge w:val="restart"/>
            <w:shd w:val="clear" w:color="auto" w:fill="D9D9D9" w:themeFill="background1" w:themeFillShade="D9"/>
          </w:tcPr>
          <w:p w14:paraId="51D383F5" w14:textId="5E310F5C" w:rsidR="00F474EF" w:rsidRPr="00B12728" w:rsidRDefault="00F474EF" w:rsidP="00175D14">
            <w:pPr>
              <w:rPr>
                <w:rFonts w:cstheme="minorHAnsi"/>
                <w:b/>
                <w:szCs w:val="20"/>
                <w:highlight w:val="yellow"/>
              </w:rPr>
            </w:pPr>
            <w:r w:rsidRPr="00B12728">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B12728" w:rsidRDefault="00F474EF" w:rsidP="00175D14">
            <w:pPr>
              <w:rPr>
                <w:rFonts w:cstheme="minorHAnsi"/>
                <w:b/>
                <w:szCs w:val="20"/>
              </w:rPr>
            </w:pPr>
            <w:r w:rsidRPr="00B12728">
              <w:rPr>
                <w:rFonts w:cstheme="minorHAnsi"/>
                <w:b/>
                <w:szCs w:val="20"/>
              </w:rPr>
              <w:t>Incremental Measure Cost</w:t>
            </w:r>
          </w:p>
        </w:tc>
        <w:tc>
          <w:tcPr>
            <w:tcW w:w="2529" w:type="pct"/>
            <w:gridSpan w:val="2"/>
            <w:shd w:val="clear" w:color="auto" w:fill="D9D9D9" w:themeFill="background1" w:themeFillShade="D9"/>
          </w:tcPr>
          <w:p w14:paraId="7AECFFEC" w14:textId="77777777" w:rsidR="00F474EF" w:rsidRPr="00B12728" w:rsidRDefault="00F474EF" w:rsidP="00175D14">
            <w:pPr>
              <w:rPr>
                <w:rFonts w:cstheme="minorHAnsi"/>
                <w:b/>
                <w:szCs w:val="20"/>
                <w:highlight w:val="yellow"/>
              </w:rPr>
            </w:pPr>
            <w:r w:rsidRPr="00B12728">
              <w:rPr>
                <w:rFonts w:cstheme="minorHAnsi"/>
                <w:b/>
                <w:szCs w:val="20"/>
              </w:rPr>
              <w:t>Full Measure Cost</w:t>
            </w:r>
          </w:p>
        </w:tc>
      </w:tr>
      <w:tr w:rsidR="00B12728" w:rsidRPr="00B12728" w14:paraId="06496C2D" w14:textId="77777777" w:rsidTr="00F474EF">
        <w:tc>
          <w:tcPr>
            <w:tcW w:w="587" w:type="pct"/>
            <w:vMerge/>
            <w:shd w:val="clear" w:color="auto" w:fill="D9D9D9" w:themeFill="background1" w:themeFillShade="D9"/>
          </w:tcPr>
          <w:p w14:paraId="756DF1A0" w14:textId="77777777" w:rsidR="00F474EF" w:rsidRPr="00B12728"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B12728"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B12728"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B12728" w:rsidRDefault="00F474EF" w:rsidP="00175D14">
            <w:pPr>
              <w:rPr>
                <w:rFonts w:cstheme="minorHAnsi"/>
                <w:b/>
                <w:szCs w:val="20"/>
              </w:rPr>
            </w:pPr>
            <w:r w:rsidRPr="00B12728">
              <w:rPr>
                <w:rFonts w:cstheme="minorHAnsi"/>
                <w:b/>
                <w:szCs w:val="20"/>
              </w:rPr>
              <w:t>1</w:t>
            </w:r>
            <w:r w:rsidRPr="00B12728">
              <w:rPr>
                <w:rFonts w:cstheme="minorHAnsi"/>
                <w:b/>
                <w:szCs w:val="20"/>
                <w:vertAlign w:val="superscript"/>
              </w:rPr>
              <w:t>st</w:t>
            </w:r>
            <w:r w:rsidRPr="00B12728">
              <w:rPr>
                <w:rFonts w:cstheme="minorHAnsi"/>
                <w:b/>
                <w:szCs w:val="20"/>
              </w:rPr>
              <w:t xml:space="preserve"> Baseline</w:t>
            </w:r>
          </w:p>
        </w:tc>
        <w:tc>
          <w:tcPr>
            <w:tcW w:w="1304" w:type="pct"/>
            <w:shd w:val="clear" w:color="auto" w:fill="F2F2F2" w:themeFill="background1" w:themeFillShade="F2"/>
          </w:tcPr>
          <w:p w14:paraId="199F1085" w14:textId="77777777" w:rsidR="00F474EF" w:rsidRPr="00B12728" w:rsidRDefault="00F474EF" w:rsidP="00175D14">
            <w:pPr>
              <w:rPr>
                <w:rFonts w:cstheme="minorHAnsi"/>
                <w:b/>
                <w:szCs w:val="20"/>
              </w:rPr>
            </w:pPr>
            <w:r w:rsidRPr="00B12728">
              <w:rPr>
                <w:rFonts w:cstheme="minorHAnsi"/>
                <w:b/>
                <w:szCs w:val="20"/>
              </w:rPr>
              <w:t>2</w:t>
            </w:r>
            <w:r w:rsidRPr="00B12728">
              <w:rPr>
                <w:rFonts w:cstheme="minorHAnsi"/>
                <w:b/>
                <w:szCs w:val="20"/>
                <w:vertAlign w:val="superscript"/>
              </w:rPr>
              <w:t>nd</w:t>
            </w:r>
            <w:r w:rsidRPr="00B12728">
              <w:rPr>
                <w:rFonts w:cstheme="minorHAnsi"/>
                <w:b/>
                <w:szCs w:val="20"/>
              </w:rPr>
              <w:t xml:space="preserve"> Baseline</w:t>
            </w:r>
          </w:p>
        </w:tc>
      </w:tr>
      <w:tr w:rsidR="00084CD8" w:rsidRPr="00B12728" w14:paraId="31204A9D" w14:textId="77777777" w:rsidTr="00F474EF">
        <w:tc>
          <w:tcPr>
            <w:tcW w:w="587" w:type="pct"/>
          </w:tcPr>
          <w:p w14:paraId="20624498" w14:textId="6209DDF0" w:rsidR="00084CD8" w:rsidRPr="00B12728" w:rsidRDefault="00084CD8" w:rsidP="00B93984">
            <w:pPr>
              <w:rPr>
                <w:rFonts w:cstheme="minorHAnsi"/>
                <w:szCs w:val="20"/>
              </w:rPr>
            </w:pPr>
            <w:r w:rsidRPr="00B12728">
              <w:t>LT-61219</w:t>
            </w:r>
          </w:p>
        </w:tc>
        <w:tc>
          <w:tcPr>
            <w:tcW w:w="618" w:type="pct"/>
          </w:tcPr>
          <w:p w14:paraId="1B8D4FEE" w14:textId="15DB7D4A" w:rsidR="00084CD8" w:rsidRPr="00B12728" w:rsidRDefault="00084CD8" w:rsidP="00B93984">
            <w:pPr>
              <w:rPr>
                <w:rFonts w:cstheme="minorHAnsi"/>
                <w:szCs w:val="20"/>
              </w:rPr>
            </w:pPr>
            <w:r w:rsidRPr="00B12728">
              <w:rPr>
                <w:rFonts w:cstheme="minorHAnsi"/>
                <w:szCs w:val="20"/>
              </w:rPr>
              <w:t>ROB</w:t>
            </w:r>
          </w:p>
        </w:tc>
        <w:tc>
          <w:tcPr>
            <w:tcW w:w="1266" w:type="pct"/>
          </w:tcPr>
          <w:p w14:paraId="17400ED7" w14:textId="7D37A934" w:rsidR="00084CD8" w:rsidRPr="00005ACB" w:rsidRDefault="00084CD8" w:rsidP="00084CD8">
            <w:pPr>
              <w:rPr>
                <w:rFonts w:cstheme="minorHAnsi"/>
                <w:szCs w:val="20"/>
              </w:rPr>
            </w:pPr>
            <w:r w:rsidRPr="00005ACB">
              <w:rPr>
                <w:rFonts w:cstheme="minorHAnsi"/>
                <w:szCs w:val="20"/>
              </w:rPr>
              <w:t>$</w:t>
            </w:r>
            <w:r>
              <w:rPr>
                <w:rFonts w:cstheme="minorHAnsi"/>
                <w:szCs w:val="20"/>
              </w:rPr>
              <w:t>16.00</w:t>
            </w:r>
          </w:p>
        </w:tc>
        <w:tc>
          <w:tcPr>
            <w:tcW w:w="1225" w:type="pct"/>
          </w:tcPr>
          <w:p w14:paraId="0F861C7C" w14:textId="74970BAC" w:rsidR="00084CD8" w:rsidRPr="00005ACB" w:rsidRDefault="00084CD8" w:rsidP="00B93984">
            <w:pPr>
              <w:rPr>
                <w:rFonts w:cstheme="minorHAnsi"/>
                <w:szCs w:val="20"/>
              </w:rPr>
            </w:pPr>
            <w:r w:rsidRPr="00B775C5">
              <w:rPr>
                <w:rFonts w:cstheme="minorHAnsi"/>
                <w:szCs w:val="20"/>
              </w:rPr>
              <w:t>$16.00</w:t>
            </w:r>
          </w:p>
        </w:tc>
        <w:tc>
          <w:tcPr>
            <w:tcW w:w="1304" w:type="pct"/>
          </w:tcPr>
          <w:p w14:paraId="26FF7460" w14:textId="77777777" w:rsidR="00084CD8" w:rsidRPr="00005ACB" w:rsidRDefault="00084CD8" w:rsidP="00B93984">
            <w:pPr>
              <w:rPr>
                <w:rFonts w:cstheme="minorHAnsi"/>
                <w:szCs w:val="20"/>
              </w:rPr>
            </w:pPr>
            <w:r w:rsidRPr="00005ACB">
              <w:rPr>
                <w:rFonts w:cstheme="minorHAnsi"/>
                <w:szCs w:val="20"/>
              </w:rPr>
              <w:t>N/A</w:t>
            </w:r>
          </w:p>
        </w:tc>
      </w:tr>
      <w:tr w:rsidR="00084CD8" w:rsidRPr="00B12728" w14:paraId="64E9A8E4" w14:textId="77777777" w:rsidTr="00F474EF">
        <w:tc>
          <w:tcPr>
            <w:tcW w:w="587" w:type="pct"/>
          </w:tcPr>
          <w:p w14:paraId="73C0EEF5" w14:textId="62A86E54" w:rsidR="00084CD8" w:rsidRPr="00B12728" w:rsidRDefault="00084CD8" w:rsidP="00B93984">
            <w:pPr>
              <w:rPr>
                <w:rFonts w:cstheme="minorHAnsi"/>
                <w:szCs w:val="20"/>
              </w:rPr>
            </w:pPr>
            <w:r w:rsidRPr="00B12728">
              <w:t>LT-68701</w:t>
            </w:r>
          </w:p>
        </w:tc>
        <w:tc>
          <w:tcPr>
            <w:tcW w:w="618" w:type="pct"/>
          </w:tcPr>
          <w:p w14:paraId="3EDB244E" w14:textId="6331AD40" w:rsidR="00084CD8" w:rsidRPr="00B12728" w:rsidRDefault="00084CD8" w:rsidP="00B93984">
            <w:pPr>
              <w:rPr>
                <w:rFonts w:cstheme="minorHAnsi"/>
                <w:szCs w:val="20"/>
              </w:rPr>
            </w:pPr>
            <w:r w:rsidRPr="00B12728">
              <w:rPr>
                <w:rFonts w:cstheme="minorHAnsi"/>
                <w:szCs w:val="20"/>
              </w:rPr>
              <w:t>ROB</w:t>
            </w:r>
          </w:p>
        </w:tc>
        <w:tc>
          <w:tcPr>
            <w:tcW w:w="1266" w:type="pct"/>
          </w:tcPr>
          <w:p w14:paraId="780C91CF" w14:textId="48598956" w:rsidR="00084CD8" w:rsidRPr="00005ACB" w:rsidRDefault="00084CD8" w:rsidP="00B93984">
            <w:pPr>
              <w:rPr>
                <w:rFonts w:cstheme="minorHAnsi"/>
                <w:szCs w:val="20"/>
              </w:rPr>
            </w:pPr>
            <w:r w:rsidRPr="008C5C70">
              <w:rPr>
                <w:rFonts w:cstheme="minorHAnsi"/>
                <w:szCs w:val="20"/>
              </w:rPr>
              <w:t>$16.00</w:t>
            </w:r>
          </w:p>
        </w:tc>
        <w:tc>
          <w:tcPr>
            <w:tcW w:w="1225" w:type="pct"/>
          </w:tcPr>
          <w:p w14:paraId="1542AB5C" w14:textId="7C29C4C0" w:rsidR="00084CD8" w:rsidRPr="00005ACB" w:rsidRDefault="00084CD8" w:rsidP="00B93984">
            <w:pPr>
              <w:rPr>
                <w:rFonts w:cstheme="minorHAnsi"/>
                <w:szCs w:val="20"/>
              </w:rPr>
            </w:pPr>
            <w:r w:rsidRPr="00B775C5">
              <w:rPr>
                <w:rFonts w:cstheme="minorHAnsi"/>
                <w:szCs w:val="20"/>
              </w:rPr>
              <w:t>$16.00</w:t>
            </w:r>
          </w:p>
        </w:tc>
        <w:tc>
          <w:tcPr>
            <w:tcW w:w="1304" w:type="pct"/>
          </w:tcPr>
          <w:p w14:paraId="39B4B752" w14:textId="2F6B2255" w:rsidR="00084CD8" w:rsidRPr="00005ACB" w:rsidRDefault="00084CD8" w:rsidP="00B93984">
            <w:pPr>
              <w:rPr>
                <w:rFonts w:cstheme="minorHAnsi"/>
                <w:szCs w:val="20"/>
              </w:rPr>
            </w:pPr>
            <w:r w:rsidRPr="00005ACB">
              <w:rPr>
                <w:rFonts w:cstheme="minorHAnsi"/>
                <w:szCs w:val="20"/>
              </w:rPr>
              <w:t>N/A</w:t>
            </w:r>
          </w:p>
        </w:tc>
      </w:tr>
      <w:tr w:rsidR="00084CD8" w:rsidRPr="00B12728" w14:paraId="249BD3DC" w14:textId="77777777" w:rsidTr="00F474EF">
        <w:tc>
          <w:tcPr>
            <w:tcW w:w="587" w:type="pct"/>
          </w:tcPr>
          <w:p w14:paraId="15896CC1" w14:textId="729D86B9" w:rsidR="00084CD8" w:rsidRPr="00B12728" w:rsidRDefault="00084CD8" w:rsidP="00B93984">
            <w:pPr>
              <w:rPr>
                <w:rFonts w:cstheme="minorHAnsi"/>
                <w:szCs w:val="20"/>
              </w:rPr>
            </w:pPr>
            <w:r w:rsidRPr="00B12728">
              <w:t>LT-16307</w:t>
            </w:r>
          </w:p>
        </w:tc>
        <w:tc>
          <w:tcPr>
            <w:tcW w:w="618" w:type="pct"/>
          </w:tcPr>
          <w:p w14:paraId="541DD9F1" w14:textId="03D06C1C" w:rsidR="00084CD8" w:rsidRPr="00B12728" w:rsidRDefault="00084CD8" w:rsidP="00B93984">
            <w:pPr>
              <w:rPr>
                <w:rFonts w:cstheme="minorHAnsi"/>
                <w:szCs w:val="20"/>
              </w:rPr>
            </w:pPr>
            <w:r w:rsidRPr="00B12728">
              <w:rPr>
                <w:rFonts w:cstheme="minorHAnsi"/>
                <w:szCs w:val="20"/>
              </w:rPr>
              <w:t>ROB</w:t>
            </w:r>
          </w:p>
        </w:tc>
        <w:tc>
          <w:tcPr>
            <w:tcW w:w="1266" w:type="pct"/>
          </w:tcPr>
          <w:p w14:paraId="183EC460" w14:textId="677E538E" w:rsidR="00084CD8" w:rsidRPr="00005ACB" w:rsidRDefault="00084CD8" w:rsidP="00B93984">
            <w:pPr>
              <w:rPr>
                <w:rFonts w:cstheme="minorHAnsi"/>
                <w:szCs w:val="20"/>
              </w:rPr>
            </w:pPr>
            <w:r w:rsidRPr="008C5C70">
              <w:rPr>
                <w:rFonts w:cstheme="minorHAnsi"/>
                <w:szCs w:val="20"/>
              </w:rPr>
              <w:t>$16.00</w:t>
            </w:r>
          </w:p>
        </w:tc>
        <w:tc>
          <w:tcPr>
            <w:tcW w:w="1225" w:type="pct"/>
          </w:tcPr>
          <w:p w14:paraId="3B0057D7" w14:textId="3A76FEAF" w:rsidR="00084CD8" w:rsidRPr="00005ACB" w:rsidRDefault="00084CD8" w:rsidP="00B93984">
            <w:pPr>
              <w:rPr>
                <w:rFonts w:cstheme="minorHAnsi"/>
                <w:szCs w:val="20"/>
              </w:rPr>
            </w:pPr>
            <w:r w:rsidRPr="00B775C5">
              <w:rPr>
                <w:rFonts w:cstheme="minorHAnsi"/>
                <w:szCs w:val="20"/>
              </w:rPr>
              <w:t>$16.00</w:t>
            </w:r>
          </w:p>
        </w:tc>
        <w:tc>
          <w:tcPr>
            <w:tcW w:w="1304" w:type="pct"/>
          </w:tcPr>
          <w:p w14:paraId="17369917" w14:textId="77BCCA5E" w:rsidR="00084CD8" w:rsidRPr="00005ACB" w:rsidRDefault="00084CD8" w:rsidP="00B93984">
            <w:pPr>
              <w:rPr>
                <w:rFonts w:cstheme="minorHAnsi"/>
                <w:szCs w:val="20"/>
              </w:rPr>
            </w:pPr>
            <w:r w:rsidRPr="00005ACB">
              <w:rPr>
                <w:rFonts w:cstheme="minorHAnsi"/>
                <w:szCs w:val="20"/>
              </w:rPr>
              <w:t>N/A</w:t>
            </w:r>
          </w:p>
        </w:tc>
      </w:tr>
      <w:tr w:rsidR="00084CD8" w:rsidRPr="00B12728" w14:paraId="2893EA82" w14:textId="77777777" w:rsidTr="00F474EF">
        <w:tc>
          <w:tcPr>
            <w:tcW w:w="587" w:type="pct"/>
          </w:tcPr>
          <w:p w14:paraId="091B63DC" w14:textId="20464ADD" w:rsidR="00084CD8" w:rsidRPr="00B12728" w:rsidRDefault="00084CD8" w:rsidP="00B93984">
            <w:pPr>
              <w:rPr>
                <w:rFonts w:cstheme="minorHAnsi"/>
                <w:szCs w:val="20"/>
              </w:rPr>
            </w:pPr>
            <w:r w:rsidRPr="00B12728">
              <w:t>LT-89884</w:t>
            </w:r>
          </w:p>
        </w:tc>
        <w:tc>
          <w:tcPr>
            <w:tcW w:w="618" w:type="pct"/>
          </w:tcPr>
          <w:p w14:paraId="7AD2A697" w14:textId="6DD02B50" w:rsidR="00084CD8" w:rsidRPr="00B12728" w:rsidRDefault="00084CD8" w:rsidP="00B93984">
            <w:pPr>
              <w:rPr>
                <w:rFonts w:cstheme="minorHAnsi"/>
                <w:szCs w:val="20"/>
              </w:rPr>
            </w:pPr>
            <w:r w:rsidRPr="00B12728">
              <w:rPr>
                <w:rFonts w:cstheme="minorHAnsi"/>
                <w:szCs w:val="20"/>
              </w:rPr>
              <w:t>ROB</w:t>
            </w:r>
          </w:p>
        </w:tc>
        <w:tc>
          <w:tcPr>
            <w:tcW w:w="1266" w:type="pct"/>
          </w:tcPr>
          <w:p w14:paraId="7E4DED7B" w14:textId="7B7D3CA5" w:rsidR="00084CD8" w:rsidRPr="00005ACB" w:rsidRDefault="00084CD8" w:rsidP="00B93984">
            <w:pPr>
              <w:rPr>
                <w:rFonts w:cstheme="minorHAnsi"/>
                <w:szCs w:val="20"/>
              </w:rPr>
            </w:pPr>
            <w:r w:rsidRPr="008C5C70">
              <w:rPr>
                <w:rFonts w:cstheme="minorHAnsi"/>
                <w:szCs w:val="20"/>
              </w:rPr>
              <w:t>$16.00</w:t>
            </w:r>
          </w:p>
        </w:tc>
        <w:tc>
          <w:tcPr>
            <w:tcW w:w="1225" w:type="pct"/>
          </w:tcPr>
          <w:p w14:paraId="0E9C86D7" w14:textId="08B7E1D0" w:rsidR="00084CD8" w:rsidRPr="00005ACB" w:rsidRDefault="00084CD8" w:rsidP="00B93984">
            <w:pPr>
              <w:rPr>
                <w:rFonts w:cstheme="minorHAnsi"/>
                <w:szCs w:val="20"/>
              </w:rPr>
            </w:pPr>
            <w:r w:rsidRPr="00B775C5">
              <w:rPr>
                <w:rFonts w:cstheme="minorHAnsi"/>
                <w:szCs w:val="20"/>
              </w:rPr>
              <w:t>$16.00</w:t>
            </w:r>
          </w:p>
        </w:tc>
        <w:tc>
          <w:tcPr>
            <w:tcW w:w="1304" w:type="pct"/>
          </w:tcPr>
          <w:p w14:paraId="25EDA306" w14:textId="66CE7CC0" w:rsidR="00084CD8" w:rsidRPr="00005ACB" w:rsidRDefault="00084CD8" w:rsidP="00B93984">
            <w:pPr>
              <w:rPr>
                <w:rFonts w:cstheme="minorHAnsi"/>
                <w:szCs w:val="20"/>
              </w:rPr>
            </w:pPr>
            <w:r w:rsidRPr="00005ACB">
              <w:rPr>
                <w:rFonts w:cstheme="minorHAnsi"/>
                <w:szCs w:val="20"/>
              </w:rPr>
              <w:t>N/A</w:t>
            </w:r>
          </w:p>
        </w:tc>
      </w:tr>
      <w:tr w:rsidR="00084CD8" w:rsidRPr="00B12728" w14:paraId="041EBAA7" w14:textId="77777777" w:rsidTr="00F474EF">
        <w:tc>
          <w:tcPr>
            <w:tcW w:w="587" w:type="pct"/>
          </w:tcPr>
          <w:p w14:paraId="3E6376A7" w14:textId="4DB9F54A" w:rsidR="00084CD8" w:rsidRPr="00B12728" w:rsidRDefault="00084CD8" w:rsidP="00B93984">
            <w:r w:rsidRPr="00B12728">
              <w:t>LT-61219</w:t>
            </w:r>
          </w:p>
        </w:tc>
        <w:tc>
          <w:tcPr>
            <w:tcW w:w="618" w:type="pct"/>
          </w:tcPr>
          <w:p w14:paraId="08CBB452" w14:textId="3C5992E1" w:rsidR="00084CD8" w:rsidRPr="00B12728" w:rsidRDefault="00084CD8" w:rsidP="00B93984">
            <w:pPr>
              <w:rPr>
                <w:rFonts w:cstheme="minorHAnsi"/>
                <w:szCs w:val="20"/>
              </w:rPr>
            </w:pPr>
            <w:r w:rsidRPr="00B12728">
              <w:rPr>
                <w:rFonts w:cstheme="minorHAnsi"/>
                <w:szCs w:val="20"/>
              </w:rPr>
              <w:t>RET</w:t>
            </w:r>
          </w:p>
        </w:tc>
        <w:tc>
          <w:tcPr>
            <w:tcW w:w="1266" w:type="pct"/>
          </w:tcPr>
          <w:p w14:paraId="09D1647E" w14:textId="3D3FEB01" w:rsidR="00084CD8" w:rsidRPr="00005ACB" w:rsidRDefault="00084CD8" w:rsidP="00B93984">
            <w:pPr>
              <w:rPr>
                <w:rFonts w:cstheme="minorHAnsi"/>
                <w:szCs w:val="20"/>
              </w:rPr>
            </w:pPr>
            <w:r w:rsidRPr="008C5C70">
              <w:rPr>
                <w:rFonts w:cstheme="minorHAnsi"/>
                <w:szCs w:val="20"/>
              </w:rPr>
              <w:t>$16.00</w:t>
            </w:r>
          </w:p>
        </w:tc>
        <w:tc>
          <w:tcPr>
            <w:tcW w:w="1225" w:type="pct"/>
          </w:tcPr>
          <w:p w14:paraId="4108D9D0" w14:textId="7FC8F05C" w:rsidR="00084CD8" w:rsidRPr="00005ACB" w:rsidRDefault="00084CD8" w:rsidP="00B93984">
            <w:pPr>
              <w:rPr>
                <w:rFonts w:cstheme="minorHAnsi"/>
                <w:szCs w:val="20"/>
              </w:rPr>
            </w:pPr>
            <w:r w:rsidRPr="00005ACB">
              <w:rPr>
                <w:rFonts w:cs="Calibri"/>
                <w:color w:val="000000"/>
                <w:szCs w:val="20"/>
              </w:rPr>
              <w:t>$32.40</w:t>
            </w:r>
          </w:p>
        </w:tc>
        <w:tc>
          <w:tcPr>
            <w:tcW w:w="1304" w:type="pct"/>
          </w:tcPr>
          <w:p w14:paraId="0B98E891" w14:textId="022899EA" w:rsidR="00084CD8" w:rsidRPr="00005ACB" w:rsidRDefault="00084CD8" w:rsidP="00B93984">
            <w:pPr>
              <w:rPr>
                <w:rFonts w:cstheme="minorHAnsi"/>
                <w:szCs w:val="20"/>
              </w:rPr>
            </w:pPr>
            <w:r w:rsidRPr="003D7842">
              <w:rPr>
                <w:rFonts w:cstheme="minorHAnsi"/>
                <w:szCs w:val="20"/>
              </w:rPr>
              <w:t>$16.00</w:t>
            </w:r>
          </w:p>
        </w:tc>
      </w:tr>
      <w:tr w:rsidR="00084CD8" w:rsidRPr="00B12728" w14:paraId="15F28B53" w14:textId="77777777" w:rsidTr="00F474EF">
        <w:tc>
          <w:tcPr>
            <w:tcW w:w="587" w:type="pct"/>
          </w:tcPr>
          <w:p w14:paraId="29EB4015" w14:textId="7204020E" w:rsidR="00084CD8" w:rsidRPr="00B12728" w:rsidRDefault="00084CD8" w:rsidP="00B93984">
            <w:r w:rsidRPr="00B12728">
              <w:t>LT-68701</w:t>
            </w:r>
          </w:p>
        </w:tc>
        <w:tc>
          <w:tcPr>
            <w:tcW w:w="618" w:type="pct"/>
          </w:tcPr>
          <w:p w14:paraId="41062DEF" w14:textId="536494FC" w:rsidR="00084CD8" w:rsidRPr="00B12728" w:rsidRDefault="00084CD8" w:rsidP="00B93984">
            <w:pPr>
              <w:rPr>
                <w:rFonts w:cstheme="minorHAnsi"/>
                <w:szCs w:val="20"/>
              </w:rPr>
            </w:pPr>
            <w:r w:rsidRPr="00B12728">
              <w:rPr>
                <w:rFonts w:cstheme="minorHAnsi"/>
                <w:szCs w:val="20"/>
              </w:rPr>
              <w:t>RET</w:t>
            </w:r>
          </w:p>
        </w:tc>
        <w:tc>
          <w:tcPr>
            <w:tcW w:w="1266" w:type="pct"/>
          </w:tcPr>
          <w:p w14:paraId="251D0E88" w14:textId="77291A54" w:rsidR="00084CD8" w:rsidRPr="00005ACB" w:rsidRDefault="00084CD8" w:rsidP="00B93984">
            <w:pPr>
              <w:rPr>
                <w:rFonts w:cstheme="minorHAnsi"/>
                <w:szCs w:val="20"/>
              </w:rPr>
            </w:pPr>
            <w:r w:rsidRPr="008C5C70">
              <w:rPr>
                <w:rFonts w:cstheme="minorHAnsi"/>
                <w:szCs w:val="20"/>
              </w:rPr>
              <w:t>$16.00</w:t>
            </w:r>
          </w:p>
        </w:tc>
        <w:tc>
          <w:tcPr>
            <w:tcW w:w="1225" w:type="pct"/>
          </w:tcPr>
          <w:p w14:paraId="66C32FAD" w14:textId="29517BFA" w:rsidR="00084CD8" w:rsidRPr="00005ACB" w:rsidRDefault="00084CD8" w:rsidP="00B93984">
            <w:pPr>
              <w:rPr>
                <w:rFonts w:cstheme="minorHAnsi"/>
                <w:szCs w:val="20"/>
              </w:rPr>
            </w:pPr>
            <w:r w:rsidRPr="00005ACB">
              <w:rPr>
                <w:rFonts w:cs="Calibri"/>
                <w:color w:val="000000"/>
                <w:szCs w:val="20"/>
              </w:rPr>
              <w:t>$32.40</w:t>
            </w:r>
          </w:p>
        </w:tc>
        <w:tc>
          <w:tcPr>
            <w:tcW w:w="1304" w:type="pct"/>
          </w:tcPr>
          <w:p w14:paraId="6908E97F" w14:textId="654131E4" w:rsidR="00084CD8" w:rsidRPr="00005ACB" w:rsidRDefault="00084CD8" w:rsidP="00B93984">
            <w:pPr>
              <w:rPr>
                <w:rFonts w:cstheme="minorHAnsi"/>
                <w:szCs w:val="20"/>
              </w:rPr>
            </w:pPr>
            <w:r w:rsidRPr="003D7842">
              <w:rPr>
                <w:rFonts w:cstheme="minorHAnsi"/>
                <w:szCs w:val="20"/>
              </w:rPr>
              <w:t>$16.00</w:t>
            </w:r>
          </w:p>
        </w:tc>
      </w:tr>
      <w:tr w:rsidR="00084CD8" w:rsidRPr="00B12728" w14:paraId="18C5BF91" w14:textId="77777777" w:rsidTr="00F474EF">
        <w:tc>
          <w:tcPr>
            <w:tcW w:w="587" w:type="pct"/>
          </w:tcPr>
          <w:p w14:paraId="14D7AEFF" w14:textId="1ECFBBB0" w:rsidR="00084CD8" w:rsidRPr="00B12728" w:rsidRDefault="00084CD8" w:rsidP="00B93984">
            <w:r w:rsidRPr="00B12728">
              <w:t>LT-16307</w:t>
            </w:r>
          </w:p>
        </w:tc>
        <w:tc>
          <w:tcPr>
            <w:tcW w:w="618" w:type="pct"/>
          </w:tcPr>
          <w:p w14:paraId="316116D3" w14:textId="54B459D1" w:rsidR="00084CD8" w:rsidRPr="00B12728" w:rsidRDefault="00084CD8" w:rsidP="00B93984">
            <w:pPr>
              <w:rPr>
                <w:rFonts w:cstheme="minorHAnsi"/>
                <w:szCs w:val="20"/>
              </w:rPr>
            </w:pPr>
            <w:r w:rsidRPr="00B12728">
              <w:rPr>
                <w:rFonts w:cstheme="minorHAnsi"/>
                <w:szCs w:val="20"/>
              </w:rPr>
              <w:t>RET</w:t>
            </w:r>
          </w:p>
        </w:tc>
        <w:tc>
          <w:tcPr>
            <w:tcW w:w="1266" w:type="pct"/>
          </w:tcPr>
          <w:p w14:paraId="74B55A3E" w14:textId="0E79DDA5" w:rsidR="00084CD8" w:rsidRPr="00005ACB" w:rsidRDefault="00084CD8" w:rsidP="00B93984">
            <w:pPr>
              <w:rPr>
                <w:rFonts w:cstheme="minorHAnsi"/>
                <w:szCs w:val="20"/>
              </w:rPr>
            </w:pPr>
            <w:r w:rsidRPr="008C5C70">
              <w:rPr>
                <w:rFonts w:cstheme="minorHAnsi"/>
                <w:szCs w:val="20"/>
              </w:rPr>
              <w:t>$16.00</w:t>
            </w:r>
          </w:p>
        </w:tc>
        <w:tc>
          <w:tcPr>
            <w:tcW w:w="1225" w:type="pct"/>
          </w:tcPr>
          <w:p w14:paraId="6C53E233" w14:textId="50F37521" w:rsidR="00084CD8" w:rsidRPr="00005ACB" w:rsidRDefault="00084CD8" w:rsidP="00B93984">
            <w:pPr>
              <w:rPr>
                <w:rFonts w:cstheme="minorHAnsi"/>
                <w:szCs w:val="20"/>
              </w:rPr>
            </w:pPr>
            <w:r w:rsidRPr="00005ACB">
              <w:rPr>
                <w:rFonts w:cs="Calibri"/>
                <w:color w:val="000000"/>
                <w:szCs w:val="20"/>
              </w:rPr>
              <w:t>$32.40</w:t>
            </w:r>
          </w:p>
        </w:tc>
        <w:tc>
          <w:tcPr>
            <w:tcW w:w="1304" w:type="pct"/>
          </w:tcPr>
          <w:p w14:paraId="6919AB19" w14:textId="289F22BB" w:rsidR="00084CD8" w:rsidRPr="00005ACB" w:rsidRDefault="00084CD8" w:rsidP="00B93984">
            <w:pPr>
              <w:rPr>
                <w:rFonts w:cstheme="minorHAnsi"/>
                <w:szCs w:val="20"/>
              </w:rPr>
            </w:pPr>
            <w:r w:rsidRPr="003D7842">
              <w:rPr>
                <w:rFonts w:cstheme="minorHAnsi"/>
                <w:szCs w:val="20"/>
              </w:rPr>
              <w:t>$16.00</w:t>
            </w:r>
          </w:p>
        </w:tc>
      </w:tr>
      <w:tr w:rsidR="00084CD8" w:rsidRPr="00B12728" w14:paraId="67BE9E3F" w14:textId="77777777" w:rsidTr="00F474EF">
        <w:tc>
          <w:tcPr>
            <w:tcW w:w="587" w:type="pct"/>
          </w:tcPr>
          <w:p w14:paraId="7552DD36" w14:textId="2260184B" w:rsidR="00084CD8" w:rsidRPr="00B12728" w:rsidRDefault="00084CD8" w:rsidP="00B93984">
            <w:r w:rsidRPr="00B12728">
              <w:t>LT-89884</w:t>
            </w:r>
          </w:p>
        </w:tc>
        <w:tc>
          <w:tcPr>
            <w:tcW w:w="618" w:type="pct"/>
          </w:tcPr>
          <w:p w14:paraId="06FD6206" w14:textId="25E691B3" w:rsidR="00084CD8" w:rsidRPr="00B12728" w:rsidRDefault="00084CD8" w:rsidP="00B93984">
            <w:pPr>
              <w:rPr>
                <w:rFonts w:cstheme="minorHAnsi"/>
                <w:szCs w:val="20"/>
              </w:rPr>
            </w:pPr>
            <w:r w:rsidRPr="00B12728">
              <w:rPr>
                <w:rFonts w:cstheme="minorHAnsi"/>
                <w:szCs w:val="20"/>
              </w:rPr>
              <w:t>RET</w:t>
            </w:r>
          </w:p>
        </w:tc>
        <w:tc>
          <w:tcPr>
            <w:tcW w:w="1266" w:type="pct"/>
          </w:tcPr>
          <w:p w14:paraId="41A627F8" w14:textId="42640E62" w:rsidR="00084CD8" w:rsidRPr="00005ACB" w:rsidRDefault="00084CD8" w:rsidP="00B93984">
            <w:pPr>
              <w:rPr>
                <w:rFonts w:cstheme="minorHAnsi"/>
                <w:szCs w:val="20"/>
              </w:rPr>
            </w:pPr>
            <w:r w:rsidRPr="008C5C70">
              <w:rPr>
                <w:rFonts w:cstheme="minorHAnsi"/>
                <w:szCs w:val="20"/>
              </w:rPr>
              <w:t>$16.00</w:t>
            </w:r>
          </w:p>
        </w:tc>
        <w:tc>
          <w:tcPr>
            <w:tcW w:w="1225" w:type="pct"/>
          </w:tcPr>
          <w:p w14:paraId="1E5819E1" w14:textId="2B5E9D6C" w:rsidR="00084CD8" w:rsidRPr="00005ACB" w:rsidRDefault="00084CD8" w:rsidP="00B93984">
            <w:pPr>
              <w:rPr>
                <w:rFonts w:cstheme="minorHAnsi"/>
                <w:szCs w:val="20"/>
              </w:rPr>
            </w:pPr>
            <w:r w:rsidRPr="00005ACB">
              <w:rPr>
                <w:rFonts w:cs="Calibri"/>
                <w:color w:val="000000"/>
                <w:szCs w:val="20"/>
              </w:rPr>
              <w:t>$32.40</w:t>
            </w:r>
          </w:p>
        </w:tc>
        <w:tc>
          <w:tcPr>
            <w:tcW w:w="1304" w:type="pct"/>
          </w:tcPr>
          <w:p w14:paraId="34E59CD6" w14:textId="474EE7F1" w:rsidR="00084CD8" w:rsidRPr="00005ACB" w:rsidRDefault="00084CD8" w:rsidP="00B93984">
            <w:pPr>
              <w:rPr>
                <w:rFonts w:cstheme="minorHAnsi"/>
                <w:szCs w:val="20"/>
              </w:rPr>
            </w:pPr>
            <w:r w:rsidRPr="003D7842">
              <w:rPr>
                <w:rFonts w:cstheme="minorHAnsi"/>
                <w:szCs w:val="20"/>
              </w:rPr>
              <w:t>$16.00</w:t>
            </w:r>
          </w:p>
        </w:tc>
      </w:tr>
    </w:tbl>
    <w:p w14:paraId="37E9FBDB" w14:textId="0C9698EC" w:rsidR="00E16609" w:rsidRDefault="00E16609">
      <w:pPr>
        <w:rPr>
          <w:rFonts w:cstheme="minorHAnsi"/>
          <w:sz w:val="20"/>
          <w:szCs w:val="20"/>
        </w:rPr>
      </w:pPr>
      <w:bookmarkStart w:id="20" w:name="_Toc214003099"/>
    </w:p>
    <w:p w14:paraId="17F69C27" w14:textId="77777777" w:rsidR="00F656C9" w:rsidRDefault="00F656C9">
      <w:pPr>
        <w:rPr>
          <w:rFonts w:cstheme="minorHAnsi"/>
          <w:sz w:val="20"/>
          <w:szCs w:val="20"/>
        </w:rPr>
      </w:pPr>
    </w:p>
    <w:p w14:paraId="6729F164" w14:textId="77777777" w:rsidR="00F656C9" w:rsidRDefault="00F656C9">
      <w:pPr>
        <w:rPr>
          <w:rFonts w:cstheme="minorHAnsi"/>
          <w:sz w:val="20"/>
          <w:szCs w:val="20"/>
        </w:rPr>
      </w:pPr>
    </w:p>
    <w:p w14:paraId="4F1E76F3" w14:textId="77777777" w:rsidR="00F656C9" w:rsidRDefault="00F656C9">
      <w:pPr>
        <w:rPr>
          <w:rFonts w:cstheme="minorHAnsi"/>
          <w:sz w:val="20"/>
          <w:szCs w:val="20"/>
        </w:rPr>
      </w:pPr>
    </w:p>
    <w:p w14:paraId="5EC61826" w14:textId="77777777" w:rsidR="00F656C9" w:rsidRDefault="00F656C9">
      <w:pPr>
        <w:rPr>
          <w:rFonts w:cstheme="minorHAnsi"/>
          <w:sz w:val="20"/>
          <w:szCs w:val="20"/>
        </w:rPr>
      </w:pPr>
    </w:p>
    <w:p w14:paraId="70995BC5" w14:textId="77777777" w:rsidR="00F656C9" w:rsidRDefault="00F656C9">
      <w:pPr>
        <w:rPr>
          <w:rFonts w:cstheme="minorHAnsi"/>
          <w:sz w:val="20"/>
          <w:szCs w:val="20"/>
        </w:rPr>
      </w:pPr>
    </w:p>
    <w:p w14:paraId="466278F8" w14:textId="77777777" w:rsidR="00F656C9" w:rsidRDefault="00F656C9">
      <w:pPr>
        <w:rPr>
          <w:rFonts w:cstheme="minorHAnsi"/>
          <w:sz w:val="20"/>
          <w:szCs w:val="20"/>
        </w:rPr>
      </w:pPr>
    </w:p>
    <w:p w14:paraId="4AC7AB38" w14:textId="77777777" w:rsidR="00F656C9" w:rsidRDefault="00F656C9">
      <w:pPr>
        <w:rPr>
          <w:rFonts w:cstheme="minorHAnsi"/>
          <w:sz w:val="20"/>
          <w:szCs w:val="20"/>
        </w:rPr>
      </w:pPr>
    </w:p>
    <w:p w14:paraId="6900571D" w14:textId="77777777" w:rsidR="00F656C9" w:rsidRDefault="00F656C9">
      <w:pPr>
        <w:rPr>
          <w:rFonts w:cstheme="minorHAnsi"/>
          <w:sz w:val="20"/>
          <w:szCs w:val="20"/>
        </w:rPr>
      </w:pPr>
    </w:p>
    <w:p w14:paraId="4D1AD039" w14:textId="77777777" w:rsidR="00F656C9" w:rsidRDefault="00F656C9">
      <w:pPr>
        <w:rPr>
          <w:rFonts w:cstheme="minorHAnsi"/>
          <w:sz w:val="20"/>
          <w:szCs w:val="20"/>
        </w:rPr>
      </w:pPr>
    </w:p>
    <w:p w14:paraId="18B2E8A3" w14:textId="77777777" w:rsidR="00F656C9" w:rsidRDefault="00F656C9">
      <w:pPr>
        <w:rPr>
          <w:rFonts w:cstheme="minorHAnsi"/>
          <w:sz w:val="20"/>
          <w:szCs w:val="20"/>
        </w:rPr>
      </w:pPr>
    </w:p>
    <w:p w14:paraId="22936519" w14:textId="77777777" w:rsidR="00F656C9" w:rsidRDefault="00F656C9">
      <w:pPr>
        <w:rPr>
          <w:rFonts w:cstheme="minorHAnsi"/>
          <w:sz w:val="20"/>
          <w:szCs w:val="20"/>
        </w:rPr>
      </w:pPr>
    </w:p>
    <w:p w14:paraId="0B9A262F" w14:textId="77777777" w:rsidR="00F656C9" w:rsidRDefault="00F656C9">
      <w:pPr>
        <w:rPr>
          <w:rFonts w:cstheme="minorHAnsi"/>
          <w:sz w:val="20"/>
          <w:szCs w:val="20"/>
        </w:rPr>
      </w:pPr>
    </w:p>
    <w:p w14:paraId="33B79219" w14:textId="77777777" w:rsidR="00F656C9" w:rsidRDefault="00F656C9">
      <w:pPr>
        <w:rPr>
          <w:rFonts w:cstheme="minorHAnsi"/>
          <w:sz w:val="20"/>
          <w:szCs w:val="20"/>
        </w:rPr>
      </w:pPr>
    </w:p>
    <w:p w14:paraId="246C8554" w14:textId="77777777" w:rsidR="00F656C9" w:rsidRDefault="00F656C9">
      <w:pPr>
        <w:rPr>
          <w:rFonts w:cstheme="minorHAnsi"/>
          <w:sz w:val="20"/>
          <w:szCs w:val="20"/>
        </w:rPr>
      </w:pPr>
    </w:p>
    <w:p w14:paraId="72439C7D" w14:textId="77777777" w:rsidR="00F656C9" w:rsidRDefault="00F656C9">
      <w:pPr>
        <w:rPr>
          <w:rFonts w:cstheme="minorHAnsi"/>
          <w:sz w:val="20"/>
          <w:szCs w:val="20"/>
        </w:rPr>
      </w:pPr>
    </w:p>
    <w:p w14:paraId="26D7515C" w14:textId="77777777" w:rsidR="00F656C9" w:rsidRDefault="00F656C9">
      <w:pPr>
        <w:rPr>
          <w:rFonts w:cstheme="minorHAnsi"/>
          <w:sz w:val="20"/>
          <w:szCs w:val="20"/>
        </w:rPr>
      </w:pPr>
    </w:p>
    <w:p w14:paraId="2D590A1E" w14:textId="77777777" w:rsidR="00F656C9" w:rsidRDefault="00F656C9">
      <w:pPr>
        <w:rPr>
          <w:rFonts w:cstheme="minorHAnsi"/>
          <w:sz w:val="20"/>
          <w:szCs w:val="20"/>
        </w:rPr>
      </w:pPr>
    </w:p>
    <w:p w14:paraId="4BE5F69E" w14:textId="77777777" w:rsidR="00F656C9" w:rsidRDefault="00F656C9">
      <w:pPr>
        <w:rPr>
          <w:rFonts w:cstheme="minorHAnsi"/>
          <w:sz w:val="20"/>
          <w:szCs w:val="20"/>
        </w:rPr>
      </w:pPr>
    </w:p>
    <w:p w14:paraId="535E65F8" w14:textId="77777777" w:rsidR="00F14848" w:rsidRDefault="00F14848">
      <w:pPr>
        <w:spacing w:after="200" w:line="276" w:lineRule="auto"/>
        <w:rPr>
          <w:rFonts w:cstheme="minorHAnsi"/>
          <w:b/>
          <w:bCs/>
          <w:smallCaps/>
          <w:kern w:val="32"/>
          <w:sz w:val="36"/>
          <w:szCs w:val="32"/>
        </w:rPr>
      </w:pPr>
      <w:r>
        <w:rPr>
          <w:rFonts w:cstheme="minorHAnsi"/>
        </w:rPr>
        <w:br w:type="page"/>
      </w:r>
    </w:p>
    <w:p w14:paraId="2089C8B5" w14:textId="5A2EE044" w:rsidR="00F656C9" w:rsidRPr="00500C4E" w:rsidRDefault="00F656C9" w:rsidP="00F656C9">
      <w:pPr>
        <w:pStyle w:val="Heading1"/>
        <w:rPr>
          <w:rFonts w:cstheme="minorHAnsi"/>
        </w:rPr>
      </w:pPr>
      <w:r w:rsidRPr="00500C4E">
        <w:rPr>
          <w:rFonts w:cstheme="minorHAnsi"/>
        </w:rPr>
        <w:lastRenderedPageBreak/>
        <w:t>Attachments</w:t>
      </w:r>
    </w:p>
    <w:p w14:paraId="60E5821F" w14:textId="4E2A94E4" w:rsidR="00F656C9" w:rsidRDefault="006005F1" w:rsidP="00F656C9">
      <w:pPr>
        <w:pStyle w:val="ListParagraph"/>
        <w:numPr>
          <w:ilvl w:val="0"/>
          <w:numId w:val="42"/>
        </w:numPr>
        <w:rPr>
          <w:rFonts w:cstheme="minorHAnsi"/>
        </w:rPr>
      </w:pPr>
      <w:r>
        <w:rPr>
          <w:rFonts w:cstheme="minorHAnsi"/>
          <w:szCs w:val="22"/>
        </w:rPr>
        <w:t xml:space="preserve">SCE17LG103.0 A1 – </w:t>
      </w:r>
      <w:r w:rsidR="00F656C9">
        <w:rPr>
          <w:rFonts w:cstheme="minorHAnsi"/>
        </w:rPr>
        <w:t>Calculation</w:t>
      </w:r>
      <w:r>
        <w:rPr>
          <w:rFonts w:cstheme="minorHAnsi"/>
        </w:rPr>
        <w:t xml:space="preserve"> Template_Final.zip</w:t>
      </w:r>
    </w:p>
    <w:p w14:paraId="0F4FEB24" w14:textId="529ED315" w:rsidR="00F656C9" w:rsidRDefault="00F656C9" w:rsidP="00F656C9">
      <w:pPr>
        <w:rPr>
          <w:rFonts w:cstheme="minorHAnsi"/>
        </w:rPr>
      </w:pPr>
    </w:p>
    <w:p w14:paraId="07FC8E69" w14:textId="30F20CE0" w:rsidR="00F656C9" w:rsidRPr="00A866A4" w:rsidRDefault="006005F1" w:rsidP="00F656C9">
      <w:pPr>
        <w:pStyle w:val="ListParagraph"/>
        <w:numPr>
          <w:ilvl w:val="0"/>
          <w:numId w:val="42"/>
        </w:numPr>
        <w:rPr>
          <w:rFonts w:cstheme="minorHAnsi"/>
        </w:rPr>
      </w:pPr>
      <w:r>
        <w:rPr>
          <w:rFonts w:cstheme="minorHAnsi"/>
          <w:szCs w:val="22"/>
        </w:rPr>
        <w:t>SCE17LG103.0 A2 – LED-WRR-</w:t>
      </w:r>
      <w:proofErr w:type="spellStart"/>
      <w:r>
        <w:rPr>
          <w:rFonts w:cstheme="minorHAnsi"/>
          <w:szCs w:val="22"/>
        </w:rPr>
        <w:t>Workpaper</w:t>
      </w:r>
      <w:proofErr w:type="spellEnd"/>
      <w:r>
        <w:rPr>
          <w:rFonts w:cstheme="minorHAnsi"/>
          <w:szCs w:val="22"/>
        </w:rPr>
        <w:t xml:space="preserve"> Disposition_22Jul2016</w:t>
      </w:r>
      <w:r w:rsidR="00127473">
        <w:rPr>
          <w:rFonts w:cstheme="minorHAnsi"/>
          <w:szCs w:val="22"/>
        </w:rPr>
        <w:t>-Final</w:t>
      </w:r>
      <w:r>
        <w:rPr>
          <w:rFonts w:cstheme="minorHAnsi"/>
          <w:szCs w:val="22"/>
        </w:rPr>
        <w:t xml:space="preserve">.docx </w:t>
      </w:r>
    </w:p>
    <w:p w14:paraId="7EF00CCF" w14:textId="77777777" w:rsidR="00F656C9" w:rsidRPr="00A866A4" w:rsidRDefault="00F656C9" w:rsidP="00F656C9">
      <w:pPr>
        <w:pStyle w:val="ListParagraph"/>
        <w:rPr>
          <w:rFonts w:cstheme="minorHAnsi"/>
        </w:rPr>
      </w:pPr>
    </w:p>
    <w:p w14:paraId="5A286A04" w14:textId="3214A7D1" w:rsidR="00F656C9" w:rsidRPr="00500C4E" w:rsidRDefault="00F656C9" w:rsidP="00F656C9">
      <w:pPr>
        <w:rPr>
          <w:rFonts w:cstheme="minorHAnsi"/>
        </w:rPr>
      </w:pPr>
    </w:p>
    <w:p w14:paraId="5032DD72" w14:textId="77777777" w:rsidR="00F656C9" w:rsidRPr="00920905" w:rsidRDefault="00F656C9">
      <w:pPr>
        <w:rPr>
          <w:rFonts w:cstheme="minorHAnsi"/>
          <w:sz w:val="20"/>
          <w:szCs w:val="20"/>
        </w:rPr>
      </w:pPr>
    </w:p>
    <w:p w14:paraId="04623E22" w14:textId="77777777" w:rsidR="00F656C9" w:rsidRDefault="00F656C9" w:rsidP="00F656C9">
      <w:pPr>
        <w:pStyle w:val="Heading1"/>
        <w:rPr>
          <w:rFonts w:cstheme="minorHAnsi"/>
        </w:rPr>
      </w:pPr>
      <w:bookmarkStart w:id="21" w:name="_GoBack"/>
      <w:bookmarkEnd w:id="20"/>
      <w:bookmarkEnd w:id="21"/>
    </w:p>
    <w:p w14:paraId="47F657D2" w14:textId="77777777" w:rsidR="00F656C9" w:rsidRDefault="00F656C9" w:rsidP="00F656C9">
      <w:pPr>
        <w:pStyle w:val="Heading1"/>
        <w:rPr>
          <w:rFonts w:cstheme="minorHAnsi"/>
        </w:rPr>
      </w:pPr>
    </w:p>
    <w:p w14:paraId="5093F957" w14:textId="77777777" w:rsidR="00F656C9" w:rsidRDefault="00F656C9" w:rsidP="00F656C9">
      <w:pPr>
        <w:pStyle w:val="Heading1"/>
        <w:rPr>
          <w:rFonts w:cstheme="minorHAnsi"/>
        </w:rPr>
      </w:pPr>
    </w:p>
    <w:p w14:paraId="57D16794" w14:textId="77777777" w:rsidR="00F656C9" w:rsidRDefault="00F656C9" w:rsidP="00F656C9">
      <w:pPr>
        <w:pStyle w:val="Heading1"/>
        <w:rPr>
          <w:rFonts w:cstheme="minorHAnsi"/>
        </w:rPr>
      </w:pPr>
    </w:p>
    <w:p w14:paraId="177F84F7" w14:textId="77777777" w:rsidR="00F656C9" w:rsidRDefault="00F656C9" w:rsidP="00F656C9">
      <w:pPr>
        <w:pStyle w:val="Heading1"/>
        <w:rPr>
          <w:rFonts w:cstheme="minorHAnsi"/>
        </w:rPr>
      </w:pPr>
    </w:p>
    <w:p w14:paraId="100FE117" w14:textId="77777777" w:rsidR="00BE3CB1" w:rsidRDefault="00BE3CB1" w:rsidP="00E16609">
      <w:pPr>
        <w:pStyle w:val="Heading1"/>
        <w:rPr>
          <w:rFonts w:cstheme="minorHAnsi"/>
        </w:rPr>
      </w:pPr>
    </w:p>
    <w:p w14:paraId="4C3AED52" w14:textId="77777777" w:rsidR="00BE3CB1" w:rsidRDefault="00BE3CB1" w:rsidP="00E16609">
      <w:pPr>
        <w:pStyle w:val="Heading1"/>
        <w:rPr>
          <w:rFonts w:cstheme="minorHAnsi"/>
        </w:rPr>
      </w:pPr>
    </w:p>
    <w:p w14:paraId="0BAF44F3" w14:textId="77777777" w:rsidR="00BE3CB1" w:rsidRDefault="00BE3CB1" w:rsidP="00E16609">
      <w:pPr>
        <w:pStyle w:val="Heading1"/>
        <w:rPr>
          <w:rFonts w:cstheme="minorHAnsi"/>
        </w:rPr>
      </w:pPr>
    </w:p>
    <w:p w14:paraId="5DF4CFCE" w14:textId="77777777" w:rsidR="00BE3CB1" w:rsidRDefault="00BE3CB1" w:rsidP="00E16609">
      <w:pPr>
        <w:pStyle w:val="Heading1"/>
        <w:rPr>
          <w:rFonts w:cstheme="minorHAnsi"/>
        </w:rPr>
      </w:pPr>
    </w:p>
    <w:p w14:paraId="13D4EE27" w14:textId="77777777" w:rsidR="00BE3CB1" w:rsidRDefault="00BE3CB1" w:rsidP="00E16609">
      <w:pPr>
        <w:pStyle w:val="Heading1"/>
        <w:rPr>
          <w:rFonts w:cstheme="minorHAnsi"/>
        </w:rPr>
      </w:pPr>
    </w:p>
    <w:p w14:paraId="4BE27982" w14:textId="77777777" w:rsidR="00F656C9" w:rsidRDefault="00F656C9" w:rsidP="00F656C9"/>
    <w:p w14:paraId="4A5C40ED" w14:textId="77777777" w:rsidR="00F656C9" w:rsidRDefault="00F656C9" w:rsidP="00F656C9"/>
    <w:p w14:paraId="50338FA0" w14:textId="77777777" w:rsidR="00F656C9" w:rsidRDefault="00F656C9" w:rsidP="00F656C9"/>
    <w:p w14:paraId="6519CA8F" w14:textId="77777777" w:rsidR="00F656C9" w:rsidRDefault="00F656C9" w:rsidP="00F656C9"/>
    <w:p w14:paraId="297CBD32" w14:textId="77777777" w:rsidR="00F656C9" w:rsidRDefault="00F656C9" w:rsidP="00F656C9"/>
    <w:p w14:paraId="49F58110" w14:textId="677AD00E" w:rsidR="00F656C9" w:rsidRPr="00F14848" w:rsidRDefault="00F14848" w:rsidP="00F14848">
      <w:pPr>
        <w:spacing w:after="200" w:line="276" w:lineRule="auto"/>
        <w:rPr>
          <w:rFonts w:cstheme="minorHAnsi"/>
          <w:b/>
          <w:sz w:val="36"/>
          <w:szCs w:val="36"/>
        </w:rPr>
      </w:pPr>
      <w:r>
        <w:rPr>
          <w:rFonts w:cstheme="minorHAnsi"/>
        </w:rPr>
        <w:br w:type="page"/>
      </w:r>
      <w:r w:rsidR="00F656C9" w:rsidRPr="00F14848">
        <w:rPr>
          <w:rFonts w:cstheme="minorHAnsi"/>
          <w:b/>
          <w:sz w:val="36"/>
          <w:szCs w:val="36"/>
        </w:rPr>
        <w:lastRenderedPageBreak/>
        <w:t>References</w:t>
      </w:r>
    </w:p>
    <w:p w14:paraId="6A65172E" w14:textId="77777777" w:rsidR="00F656C9" w:rsidRDefault="00F656C9" w:rsidP="00F656C9"/>
    <w:p w14:paraId="1479A350" w14:textId="77777777" w:rsidR="006005F1" w:rsidRDefault="006005F1" w:rsidP="006005F1">
      <w:pPr>
        <w:pStyle w:val="ListParagraph"/>
        <w:numPr>
          <w:ilvl w:val="0"/>
          <w:numId w:val="44"/>
        </w:numPr>
      </w:pPr>
      <w:r w:rsidRPr="00F97342">
        <w:t>References_12122016_100741.xlsx</w:t>
      </w:r>
    </w:p>
    <w:p w14:paraId="696B640F" w14:textId="77777777" w:rsidR="00F656C9" w:rsidRDefault="00F656C9" w:rsidP="00F656C9">
      <w:pPr>
        <w:pStyle w:val="ListParagraph"/>
      </w:pPr>
    </w:p>
    <w:p w14:paraId="14D2B948" w14:textId="77777777" w:rsidR="00F656C9" w:rsidRDefault="00F656C9" w:rsidP="00F656C9">
      <w:r w:rsidRPr="00EF777E">
        <w:t xml:space="preserve">[416] ET07SCE1150 - Residential LED </w:t>
      </w:r>
      <w:r>
        <w:t>Down L</w:t>
      </w:r>
      <w:r w:rsidRPr="00EF777E">
        <w:t>ighting</w:t>
      </w:r>
    </w:p>
    <w:p w14:paraId="731AC0B7" w14:textId="77777777" w:rsidR="00F656C9" w:rsidRPr="00576CF2" w:rsidRDefault="00F656C9" w:rsidP="00F656C9">
      <w:pPr>
        <w:rPr>
          <w:rFonts w:cstheme="minorHAnsi"/>
        </w:rPr>
      </w:pPr>
      <w:r>
        <w:t xml:space="preserve">[495] </w:t>
      </w:r>
      <w:r w:rsidRPr="00576CF2">
        <w:t xml:space="preserve">California LED </w:t>
      </w:r>
      <w:proofErr w:type="spellStart"/>
      <w:r w:rsidRPr="00576CF2">
        <w:t>Workpaper</w:t>
      </w:r>
      <w:proofErr w:type="spellEnd"/>
      <w:r w:rsidRPr="00576CF2">
        <w:t xml:space="preserve"> Update Study</w:t>
      </w:r>
      <w:r>
        <w:t>,</w:t>
      </w:r>
      <w:r w:rsidRPr="00576CF2">
        <w:t xml:space="preserve"> </w:t>
      </w:r>
      <w:r w:rsidRPr="003664A8">
        <w:t xml:space="preserve">Navigant Consulting, Inc. California LED </w:t>
      </w:r>
      <w:proofErr w:type="spellStart"/>
      <w:r w:rsidRPr="003664A8">
        <w:t>Workpaper</w:t>
      </w:r>
      <w:proofErr w:type="spellEnd"/>
      <w:r w:rsidRPr="003664A8">
        <w:t xml:space="preserve"> Update Study. Vancouver, WA, 2015. Web. 30 Nov. 2015</w:t>
      </w:r>
    </w:p>
    <w:p w14:paraId="64602A35" w14:textId="77777777" w:rsidR="00F656C9" w:rsidRDefault="00F656C9" w:rsidP="00F656C9">
      <w:r w:rsidRPr="00174FB8">
        <w:t>[496]</w:t>
      </w:r>
      <w:r>
        <w:t xml:space="preserve"> </w:t>
      </w:r>
      <w:r w:rsidRPr="003664A8">
        <w:t>2016 Building Energy Efficiency Standards for Residential and Nonresidential Buildings (Title 24)</w:t>
      </w:r>
    </w:p>
    <w:p w14:paraId="58402B83" w14:textId="77777777" w:rsidR="00F656C9" w:rsidRDefault="00F656C9" w:rsidP="00F656C9">
      <w:r>
        <w:t xml:space="preserve">[503] </w:t>
      </w:r>
      <w:proofErr w:type="spellStart"/>
      <w:r w:rsidRPr="00C3639A">
        <w:rPr>
          <w:rFonts w:cs="Calibri"/>
        </w:rPr>
        <w:t>RSMeans</w:t>
      </w:r>
      <w:proofErr w:type="spellEnd"/>
      <w:r w:rsidRPr="00C3639A">
        <w:rPr>
          <w:rFonts w:cs="Calibri"/>
        </w:rPr>
        <w:t xml:space="preserve"> Electrical Cost Data 2016, 39th Annual Edition, by </w:t>
      </w:r>
      <w:hyperlink r:id="rId16" w:history="1">
        <w:r w:rsidRPr="00C3639A">
          <w:rPr>
            <w:rFonts w:cs="Calibri"/>
          </w:rPr>
          <w:t>John H. Chiang</w:t>
        </w:r>
      </w:hyperlink>
      <w:r w:rsidRPr="00C3639A">
        <w:rPr>
          <w:rFonts w:cs="Calibri"/>
        </w:rPr>
        <w:t xml:space="preserve"> (Editor)</w:t>
      </w:r>
    </w:p>
    <w:p w14:paraId="30D22EE3" w14:textId="77777777" w:rsidR="00F656C9" w:rsidRDefault="00F656C9" w:rsidP="00F656C9"/>
    <w:p w14:paraId="3172FA8F" w14:textId="77777777" w:rsidR="00F656C9" w:rsidRPr="00F656C9" w:rsidRDefault="00F656C9" w:rsidP="00F656C9"/>
    <w:sectPr w:rsidR="00F656C9" w:rsidRPr="00F656C9" w:rsidSect="00E87C8F">
      <w:footerReference w:type="default" r:id="rId17"/>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0D430F" w14:textId="77777777" w:rsidR="00AA3A8C" w:rsidRDefault="00AA3A8C" w:rsidP="00447D6E">
      <w:r>
        <w:separator/>
      </w:r>
    </w:p>
    <w:p w14:paraId="2ED25B16" w14:textId="77777777" w:rsidR="00AA3A8C" w:rsidRDefault="00AA3A8C"/>
  </w:endnote>
  <w:endnote w:type="continuationSeparator" w:id="0">
    <w:p w14:paraId="475460EC" w14:textId="77777777" w:rsidR="00AA3A8C" w:rsidRDefault="00AA3A8C" w:rsidP="00447D6E">
      <w:r>
        <w:continuationSeparator/>
      </w:r>
    </w:p>
    <w:p w14:paraId="0B170BF7" w14:textId="77777777" w:rsidR="00AA3A8C" w:rsidRDefault="00AA3A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53F926EB" w:rsidR="00AA3A8C" w:rsidRDefault="00127473"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6-11-01T00:00:00Z">
          <w:dateFormat w:val="MMMM d, yyyy"/>
          <w:lid w:val="en-US"/>
          <w:storeMappedDataAs w:val="dateTime"/>
          <w:calendar w:val="gregorian"/>
        </w:date>
      </w:sdtPr>
      <w:sdtEndPr/>
      <w:sdtContent>
        <w:r w:rsidR="00AA3A8C">
          <w:rPr>
            <w:rFonts w:cstheme="minorHAnsi"/>
            <w:b/>
            <w:sz w:val="36"/>
            <w:szCs w:val="36"/>
          </w:rPr>
          <w:t>November 1, 2016</w:t>
        </w:r>
      </w:sdtContent>
    </w:sdt>
  </w:p>
  <w:p w14:paraId="650DB54B" w14:textId="670C7D5C" w:rsidR="00AA3A8C" w:rsidRPr="009500DC" w:rsidRDefault="00AA3A8C"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448F3EEF" w:rsidR="00AA3A8C" w:rsidRPr="009500DC" w:rsidRDefault="00127473"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AA3A8C">
          <w:rPr>
            <w:rFonts w:cstheme="minorHAnsi"/>
            <w:b/>
            <w:sz w:val="20"/>
            <w:szCs w:val="20"/>
          </w:rPr>
          <w:t>SCE17LG103</w:t>
        </w:r>
      </w:sdtContent>
    </w:sdt>
    <w:r w:rsidR="00AA3A8C">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AA3A8C">
          <w:rPr>
            <w:rFonts w:cstheme="minorHAnsi"/>
            <w:b/>
            <w:sz w:val="20"/>
            <w:szCs w:val="20"/>
          </w:rPr>
          <w:t>Revision 0</w:t>
        </w:r>
      </w:sdtContent>
    </w:sdt>
    <w:r w:rsidR="00AA3A8C" w:rsidRPr="009500DC">
      <w:rPr>
        <w:rFonts w:cstheme="minorHAnsi"/>
        <w:b/>
        <w:sz w:val="20"/>
        <w:szCs w:val="20"/>
      </w:rPr>
      <w:tab/>
    </w:r>
    <w:r w:rsidR="00AA3A8C" w:rsidRPr="009500DC">
      <w:rPr>
        <w:rFonts w:cstheme="minorHAnsi"/>
        <w:b/>
        <w:sz w:val="20"/>
        <w:szCs w:val="20"/>
      </w:rPr>
      <w:fldChar w:fldCharType="begin"/>
    </w:r>
    <w:r w:rsidR="00AA3A8C" w:rsidRPr="009500DC">
      <w:rPr>
        <w:rFonts w:cstheme="minorHAnsi"/>
        <w:b/>
        <w:sz w:val="20"/>
        <w:szCs w:val="20"/>
      </w:rPr>
      <w:instrText xml:space="preserve"> PAGE   \* MERGEFORMAT </w:instrText>
    </w:r>
    <w:r w:rsidR="00AA3A8C" w:rsidRPr="009500DC">
      <w:rPr>
        <w:rFonts w:cstheme="minorHAnsi"/>
        <w:b/>
        <w:sz w:val="20"/>
        <w:szCs w:val="20"/>
      </w:rPr>
      <w:fldChar w:fldCharType="separate"/>
    </w:r>
    <w:r>
      <w:rPr>
        <w:rFonts w:cstheme="minorHAnsi"/>
        <w:b/>
        <w:noProof/>
        <w:sz w:val="20"/>
        <w:szCs w:val="20"/>
      </w:rPr>
      <w:t>15</w:t>
    </w:r>
    <w:r w:rsidR="00AA3A8C" w:rsidRPr="009500DC">
      <w:rPr>
        <w:rFonts w:cstheme="minorHAnsi"/>
        <w:b/>
        <w:noProof/>
        <w:sz w:val="20"/>
        <w:szCs w:val="20"/>
      </w:rPr>
      <w:fldChar w:fldCharType="end"/>
    </w:r>
    <w:r w:rsidR="00AA3A8C"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11-01T00:00:00Z">
          <w:dateFormat w:val="MMMM d, yyyy"/>
          <w:lid w:val="en-US"/>
          <w:storeMappedDataAs w:val="dateTime"/>
          <w:calendar w:val="gregorian"/>
        </w:date>
      </w:sdtPr>
      <w:sdtEndPr/>
      <w:sdtContent>
        <w:r w:rsidR="00AA3A8C">
          <w:rPr>
            <w:rFonts w:cstheme="minorHAnsi"/>
            <w:b/>
            <w:sz w:val="20"/>
            <w:szCs w:val="20"/>
          </w:rPr>
          <w:t>November 1, 2016</w:t>
        </w:r>
      </w:sdtContent>
    </w:sdt>
  </w:p>
  <w:p w14:paraId="43C07EA5" w14:textId="544E4323" w:rsidR="00AA3A8C" w:rsidRPr="009500DC" w:rsidRDefault="00127473"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AA3A8C">
          <w:rPr>
            <w:rFonts w:cstheme="minorHAnsi"/>
            <w:b/>
            <w:sz w:val="20"/>
            <w:szCs w:val="20"/>
          </w:rPr>
          <w:t>Southern California Edison</w:t>
        </w:r>
      </w:sdtContent>
    </w:sdt>
  </w:p>
  <w:p w14:paraId="4AC7586E" w14:textId="77777777" w:rsidR="00AA3A8C" w:rsidRDefault="00AA3A8C"/>
  <w:p w14:paraId="5C9861A8" w14:textId="77777777" w:rsidR="00AA3A8C" w:rsidRDefault="00AA3A8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139857" w14:textId="77777777" w:rsidR="00AA3A8C" w:rsidRDefault="00AA3A8C" w:rsidP="00447D6E">
      <w:r>
        <w:separator/>
      </w:r>
    </w:p>
    <w:p w14:paraId="16C83B5E" w14:textId="77777777" w:rsidR="00AA3A8C" w:rsidRDefault="00AA3A8C"/>
  </w:footnote>
  <w:footnote w:type="continuationSeparator" w:id="0">
    <w:p w14:paraId="2A7258AD" w14:textId="77777777" w:rsidR="00AA3A8C" w:rsidRDefault="00AA3A8C" w:rsidP="00447D6E">
      <w:r>
        <w:continuationSeparator/>
      </w:r>
    </w:p>
    <w:p w14:paraId="7FC0B518" w14:textId="77777777" w:rsidR="00AA3A8C" w:rsidRDefault="00AA3A8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8B368C8"/>
    <w:multiLevelType w:val="hybridMultilevel"/>
    <w:tmpl w:val="1B165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C6685"/>
    <w:multiLevelType w:val="hybridMultilevel"/>
    <w:tmpl w:val="2BB65E9C"/>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FB079D"/>
    <w:multiLevelType w:val="hybridMultilevel"/>
    <w:tmpl w:val="838E4A2A"/>
    <w:lvl w:ilvl="0" w:tplc="53D22D76">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7A1AE6"/>
    <w:multiLevelType w:val="hybridMultilevel"/>
    <w:tmpl w:val="271A6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0"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3237A9"/>
    <w:multiLevelType w:val="hybridMultilevel"/>
    <w:tmpl w:val="33628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4DC1845"/>
    <w:multiLevelType w:val="hybridMultilevel"/>
    <w:tmpl w:val="08D67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EE0338"/>
    <w:multiLevelType w:val="hybridMultilevel"/>
    <w:tmpl w:val="08D67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55379D"/>
    <w:multiLevelType w:val="hybridMultilevel"/>
    <w:tmpl w:val="36525F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222825"/>
    <w:multiLevelType w:val="hybridMultilevel"/>
    <w:tmpl w:val="DA00E93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48B00BB"/>
    <w:multiLevelType w:val="hybridMultilevel"/>
    <w:tmpl w:val="736C6CE0"/>
    <w:lvl w:ilvl="0" w:tplc="2F564D3E">
      <w:start w:val="1"/>
      <w:numFmt w:val="bullet"/>
      <w:lvlText w:val=""/>
      <w:lvlJc w:val="left"/>
      <w:pPr>
        <w:tabs>
          <w:tab w:val="num" w:pos="720"/>
        </w:tabs>
        <w:ind w:left="720" w:hanging="360"/>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4"/>
  </w:num>
  <w:num w:numId="3">
    <w:abstractNumId w:val="23"/>
  </w:num>
  <w:num w:numId="4">
    <w:abstractNumId w:val="21"/>
  </w:num>
  <w:num w:numId="5">
    <w:abstractNumId w:val="21"/>
  </w:num>
  <w:num w:numId="6">
    <w:abstractNumId w:val="2"/>
  </w:num>
  <w:num w:numId="7">
    <w:abstractNumId w:val="26"/>
  </w:num>
  <w:num w:numId="8">
    <w:abstractNumId w:val="22"/>
  </w:num>
  <w:num w:numId="9">
    <w:abstractNumId w:val="14"/>
  </w:num>
  <w:num w:numId="10">
    <w:abstractNumId w:val="9"/>
  </w:num>
  <w:num w:numId="11">
    <w:abstractNumId w:val="27"/>
  </w:num>
  <w:num w:numId="12">
    <w:abstractNumId w:val="20"/>
  </w:num>
  <w:num w:numId="13">
    <w:abstractNumId w:val="13"/>
  </w:num>
  <w:num w:numId="14">
    <w:abstractNumId w:val="39"/>
  </w:num>
  <w:num w:numId="15">
    <w:abstractNumId w:val="11"/>
  </w:num>
  <w:num w:numId="16">
    <w:abstractNumId w:val="15"/>
  </w:num>
  <w:num w:numId="17">
    <w:abstractNumId w:val="7"/>
  </w:num>
  <w:num w:numId="18">
    <w:abstractNumId w:val="0"/>
  </w:num>
  <w:num w:numId="19">
    <w:abstractNumId w:val="38"/>
  </w:num>
  <w:num w:numId="20">
    <w:abstractNumId w:val="6"/>
  </w:num>
  <w:num w:numId="21">
    <w:abstractNumId w:val="29"/>
  </w:num>
  <w:num w:numId="22">
    <w:abstractNumId w:val="30"/>
  </w:num>
  <w:num w:numId="23">
    <w:abstractNumId w:val="40"/>
  </w:num>
  <w:num w:numId="24">
    <w:abstractNumId w:val="37"/>
  </w:num>
  <w:num w:numId="25">
    <w:abstractNumId w:val="16"/>
  </w:num>
  <w:num w:numId="26">
    <w:abstractNumId w:val="18"/>
  </w:num>
  <w:num w:numId="27">
    <w:abstractNumId w:val="33"/>
  </w:num>
  <w:num w:numId="28">
    <w:abstractNumId w:val="17"/>
  </w:num>
  <w:num w:numId="29">
    <w:abstractNumId w:val="10"/>
  </w:num>
  <w:num w:numId="30">
    <w:abstractNumId w:val="1"/>
  </w:num>
  <w:num w:numId="31">
    <w:abstractNumId w:val="41"/>
  </w:num>
  <w:num w:numId="32">
    <w:abstractNumId w:val="28"/>
  </w:num>
  <w:num w:numId="33">
    <w:abstractNumId w:val="36"/>
  </w:num>
  <w:num w:numId="34">
    <w:abstractNumId w:val="12"/>
  </w:num>
  <w:num w:numId="35">
    <w:abstractNumId w:val="34"/>
  </w:num>
  <w:num w:numId="36">
    <w:abstractNumId w:val="35"/>
  </w:num>
  <w:num w:numId="37">
    <w:abstractNumId w:val="5"/>
  </w:num>
  <w:num w:numId="38">
    <w:abstractNumId w:val="32"/>
  </w:num>
  <w:num w:numId="39">
    <w:abstractNumId w:val="4"/>
  </w:num>
  <w:num w:numId="40">
    <w:abstractNumId w:val="3"/>
  </w:num>
  <w:num w:numId="41">
    <w:abstractNumId w:val="19"/>
  </w:num>
  <w:num w:numId="42">
    <w:abstractNumId w:val="25"/>
  </w:num>
  <w:num w:numId="43">
    <w:abstractNumId w:val="31"/>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05ACB"/>
    <w:rsid w:val="000075E4"/>
    <w:rsid w:val="0001002B"/>
    <w:rsid w:val="00010806"/>
    <w:rsid w:val="00013F71"/>
    <w:rsid w:val="000173BF"/>
    <w:rsid w:val="00024252"/>
    <w:rsid w:val="000245B5"/>
    <w:rsid w:val="00025293"/>
    <w:rsid w:val="00027183"/>
    <w:rsid w:val="000279A9"/>
    <w:rsid w:val="00030862"/>
    <w:rsid w:val="00033EA1"/>
    <w:rsid w:val="0003746D"/>
    <w:rsid w:val="0004020F"/>
    <w:rsid w:val="000436CB"/>
    <w:rsid w:val="00052E17"/>
    <w:rsid w:val="00055C91"/>
    <w:rsid w:val="000563AC"/>
    <w:rsid w:val="00056947"/>
    <w:rsid w:val="00061A8E"/>
    <w:rsid w:val="00064CB3"/>
    <w:rsid w:val="000670FE"/>
    <w:rsid w:val="00070BEE"/>
    <w:rsid w:val="00072040"/>
    <w:rsid w:val="000741D0"/>
    <w:rsid w:val="00076DF4"/>
    <w:rsid w:val="00076F51"/>
    <w:rsid w:val="0007776E"/>
    <w:rsid w:val="00080FD0"/>
    <w:rsid w:val="00081A9A"/>
    <w:rsid w:val="00084CD8"/>
    <w:rsid w:val="0008524C"/>
    <w:rsid w:val="00086F7F"/>
    <w:rsid w:val="0009074D"/>
    <w:rsid w:val="0009592B"/>
    <w:rsid w:val="000968C6"/>
    <w:rsid w:val="000A3188"/>
    <w:rsid w:val="000A63C9"/>
    <w:rsid w:val="000B3765"/>
    <w:rsid w:val="000B655B"/>
    <w:rsid w:val="000B65C3"/>
    <w:rsid w:val="000C0000"/>
    <w:rsid w:val="000C18CC"/>
    <w:rsid w:val="000C54B5"/>
    <w:rsid w:val="000C687D"/>
    <w:rsid w:val="000C7ED1"/>
    <w:rsid w:val="000D06ED"/>
    <w:rsid w:val="000D789A"/>
    <w:rsid w:val="000E4B5F"/>
    <w:rsid w:val="000E706D"/>
    <w:rsid w:val="000F130A"/>
    <w:rsid w:val="000F4FD8"/>
    <w:rsid w:val="00101871"/>
    <w:rsid w:val="00102B17"/>
    <w:rsid w:val="00107242"/>
    <w:rsid w:val="00111CC5"/>
    <w:rsid w:val="00114409"/>
    <w:rsid w:val="001206F7"/>
    <w:rsid w:val="001236C1"/>
    <w:rsid w:val="00127473"/>
    <w:rsid w:val="00133EE8"/>
    <w:rsid w:val="00140B30"/>
    <w:rsid w:val="001419B7"/>
    <w:rsid w:val="00143AEF"/>
    <w:rsid w:val="00147155"/>
    <w:rsid w:val="00150FE5"/>
    <w:rsid w:val="0015209A"/>
    <w:rsid w:val="001536EF"/>
    <w:rsid w:val="00153CB3"/>
    <w:rsid w:val="00154C3B"/>
    <w:rsid w:val="00160158"/>
    <w:rsid w:val="001639B6"/>
    <w:rsid w:val="00165357"/>
    <w:rsid w:val="001722B7"/>
    <w:rsid w:val="001727D9"/>
    <w:rsid w:val="00174BB4"/>
    <w:rsid w:val="00174FB8"/>
    <w:rsid w:val="00175D14"/>
    <w:rsid w:val="001811EE"/>
    <w:rsid w:val="00182AC7"/>
    <w:rsid w:val="00185AD4"/>
    <w:rsid w:val="00190F41"/>
    <w:rsid w:val="001979AF"/>
    <w:rsid w:val="001A0EB4"/>
    <w:rsid w:val="001A1A86"/>
    <w:rsid w:val="001A5F62"/>
    <w:rsid w:val="001B015E"/>
    <w:rsid w:val="001B2301"/>
    <w:rsid w:val="001B618B"/>
    <w:rsid w:val="001B6D7F"/>
    <w:rsid w:val="001C1338"/>
    <w:rsid w:val="001C4140"/>
    <w:rsid w:val="001C5A94"/>
    <w:rsid w:val="001D2317"/>
    <w:rsid w:val="001D3223"/>
    <w:rsid w:val="001D33EF"/>
    <w:rsid w:val="001D5AB3"/>
    <w:rsid w:val="001D64FC"/>
    <w:rsid w:val="001E0519"/>
    <w:rsid w:val="001E0829"/>
    <w:rsid w:val="001E1320"/>
    <w:rsid w:val="001E556A"/>
    <w:rsid w:val="001F05CE"/>
    <w:rsid w:val="001F1905"/>
    <w:rsid w:val="001F4A65"/>
    <w:rsid w:val="002058EF"/>
    <w:rsid w:val="00205C45"/>
    <w:rsid w:val="0021035B"/>
    <w:rsid w:val="00211153"/>
    <w:rsid w:val="00212658"/>
    <w:rsid w:val="0023254A"/>
    <w:rsid w:val="002344FB"/>
    <w:rsid w:val="00236216"/>
    <w:rsid w:val="002405CD"/>
    <w:rsid w:val="00240861"/>
    <w:rsid w:val="00240B74"/>
    <w:rsid w:val="00243B62"/>
    <w:rsid w:val="0024675B"/>
    <w:rsid w:val="002469DD"/>
    <w:rsid w:val="00247180"/>
    <w:rsid w:val="00254671"/>
    <w:rsid w:val="00257D36"/>
    <w:rsid w:val="0026042D"/>
    <w:rsid w:val="0026232A"/>
    <w:rsid w:val="00263C1C"/>
    <w:rsid w:val="00271415"/>
    <w:rsid w:val="00274FBE"/>
    <w:rsid w:val="002762E1"/>
    <w:rsid w:val="00280E79"/>
    <w:rsid w:val="002811BC"/>
    <w:rsid w:val="00283DE8"/>
    <w:rsid w:val="00285552"/>
    <w:rsid w:val="00285966"/>
    <w:rsid w:val="00285A0D"/>
    <w:rsid w:val="00290ED8"/>
    <w:rsid w:val="002914C9"/>
    <w:rsid w:val="00292B88"/>
    <w:rsid w:val="00296B49"/>
    <w:rsid w:val="002A03FC"/>
    <w:rsid w:val="002A1843"/>
    <w:rsid w:val="002A3D26"/>
    <w:rsid w:val="002A4DEB"/>
    <w:rsid w:val="002A523E"/>
    <w:rsid w:val="002B1ADF"/>
    <w:rsid w:val="002B2872"/>
    <w:rsid w:val="002B502E"/>
    <w:rsid w:val="002B657B"/>
    <w:rsid w:val="002C20F9"/>
    <w:rsid w:val="002C2853"/>
    <w:rsid w:val="002C444C"/>
    <w:rsid w:val="002C458F"/>
    <w:rsid w:val="002C6285"/>
    <w:rsid w:val="002C6C20"/>
    <w:rsid w:val="002C6C7A"/>
    <w:rsid w:val="002C7F78"/>
    <w:rsid w:val="002D45AE"/>
    <w:rsid w:val="002D5277"/>
    <w:rsid w:val="002D71FA"/>
    <w:rsid w:val="002D73AF"/>
    <w:rsid w:val="002E4FD9"/>
    <w:rsid w:val="002E5B58"/>
    <w:rsid w:val="002F1437"/>
    <w:rsid w:val="002F3943"/>
    <w:rsid w:val="002F4E34"/>
    <w:rsid w:val="002F6A42"/>
    <w:rsid w:val="002F79E7"/>
    <w:rsid w:val="003003EC"/>
    <w:rsid w:val="003035E3"/>
    <w:rsid w:val="0030363A"/>
    <w:rsid w:val="00303790"/>
    <w:rsid w:val="00314EB4"/>
    <w:rsid w:val="00317970"/>
    <w:rsid w:val="00317EB0"/>
    <w:rsid w:val="00327358"/>
    <w:rsid w:val="00332700"/>
    <w:rsid w:val="003358BD"/>
    <w:rsid w:val="00341FC8"/>
    <w:rsid w:val="00344E88"/>
    <w:rsid w:val="00345470"/>
    <w:rsid w:val="00345D80"/>
    <w:rsid w:val="00346B6F"/>
    <w:rsid w:val="003471D4"/>
    <w:rsid w:val="00350BF1"/>
    <w:rsid w:val="00353C49"/>
    <w:rsid w:val="003540B1"/>
    <w:rsid w:val="003557E9"/>
    <w:rsid w:val="003560BA"/>
    <w:rsid w:val="00364CC6"/>
    <w:rsid w:val="003650F6"/>
    <w:rsid w:val="003664A8"/>
    <w:rsid w:val="0036726C"/>
    <w:rsid w:val="003832D2"/>
    <w:rsid w:val="003845E5"/>
    <w:rsid w:val="00393137"/>
    <w:rsid w:val="003944AB"/>
    <w:rsid w:val="0039615F"/>
    <w:rsid w:val="00397406"/>
    <w:rsid w:val="003A0075"/>
    <w:rsid w:val="003A3170"/>
    <w:rsid w:val="003A360E"/>
    <w:rsid w:val="003D17FF"/>
    <w:rsid w:val="003D2871"/>
    <w:rsid w:val="003D2981"/>
    <w:rsid w:val="003D5B83"/>
    <w:rsid w:val="003E26BF"/>
    <w:rsid w:val="003E6E47"/>
    <w:rsid w:val="003F0623"/>
    <w:rsid w:val="003F2D89"/>
    <w:rsid w:val="003F33DE"/>
    <w:rsid w:val="003F3A41"/>
    <w:rsid w:val="003F67E9"/>
    <w:rsid w:val="003F7B78"/>
    <w:rsid w:val="00401031"/>
    <w:rsid w:val="004023B7"/>
    <w:rsid w:val="004045A0"/>
    <w:rsid w:val="0041354E"/>
    <w:rsid w:val="00413CDB"/>
    <w:rsid w:val="004200FE"/>
    <w:rsid w:val="00421183"/>
    <w:rsid w:val="00421BA6"/>
    <w:rsid w:val="00421C17"/>
    <w:rsid w:val="00424CF7"/>
    <w:rsid w:val="00426CDE"/>
    <w:rsid w:val="00433417"/>
    <w:rsid w:val="00433EA1"/>
    <w:rsid w:val="0043700E"/>
    <w:rsid w:val="004402E9"/>
    <w:rsid w:val="00441957"/>
    <w:rsid w:val="00443D32"/>
    <w:rsid w:val="004469DD"/>
    <w:rsid w:val="004476B2"/>
    <w:rsid w:val="00447CE5"/>
    <w:rsid w:val="00447D6E"/>
    <w:rsid w:val="0045048F"/>
    <w:rsid w:val="004513AA"/>
    <w:rsid w:val="0045181B"/>
    <w:rsid w:val="00452133"/>
    <w:rsid w:val="00452C7A"/>
    <w:rsid w:val="0045475D"/>
    <w:rsid w:val="00456B53"/>
    <w:rsid w:val="0046286E"/>
    <w:rsid w:val="004673A2"/>
    <w:rsid w:val="00471234"/>
    <w:rsid w:val="00472250"/>
    <w:rsid w:val="0047437C"/>
    <w:rsid w:val="00477522"/>
    <w:rsid w:val="00480E7B"/>
    <w:rsid w:val="004843E5"/>
    <w:rsid w:val="00484BF6"/>
    <w:rsid w:val="00486250"/>
    <w:rsid w:val="00487F16"/>
    <w:rsid w:val="0049052C"/>
    <w:rsid w:val="0049159D"/>
    <w:rsid w:val="00493457"/>
    <w:rsid w:val="00494628"/>
    <w:rsid w:val="0049566B"/>
    <w:rsid w:val="00496688"/>
    <w:rsid w:val="00497338"/>
    <w:rsid w:val="004A1650"/>
    <w:rsid w:val="004B1184"/>
    <w:rsid w:val="004B4A3A"/>
    <w:rsid w:val="004B5CE5"/>
    <w:rsid w:val="004B750E"/>
    <w:rsid w:val="004C2244"/>
    <w:rsid w:val="004C23F1"/>
    <w:rsid w:val="004C5468"/>
    <w:rsid w:val="004C62D1"/>
    <w:rsid w:val="004D069A"/>
    <w:rsid w:val="004E01F5"/>
    <w:rsid w:val="004E19E7"/>
    <w:rsid w:val="004E297E"/>
    <w:rsid w:val="004E5786"/>
    <w:rsid w:val="004E76CA"/>
    <w:rsid w:val="004F1698"/>
    <w:rsid w:val="00500C4E"/>
    <w:rsid w:val="00501733"/>
    <w:rsid w:val="005041A4"/>
    <w:rsid w:val="00505CEC"/>
    <w:rsid w:val="0051020F"/>
    <w:rsid w:val="00513CAB"/>
    <w:rsid w:val="00516CF5"/>
    <w:rsid w:val="00522FE3"/>
    <w:rsid w:val="00523597"/>
    <w:rsid w:val="00523736"/>
    <w:rsid w:val="00532530"/>
    <w:rsid w:val="00535CA4"/>
    <w:rsid w:val="005476F6"/>
    <w:rsid w:val="00551D72"/>
    <w:rsid w:val="005540B6"/>
    <w:rsid w:val="005552C3"/>
    <w:rsid w:val="00560934"/>
    <w:rsid w:val="005618F3"/>
    <w:rsid w:val="00563E58"/>
    <w:rsid w:val="00564960"/>
    <w:rsid w:val="00570654"/>
    <w:rsid w:val="00570F38"/>
    <w:rsid w:val="005720F2"/>
    <w:rsid w:val="005729C8"/>
    <w:rsid w:val="00572D2F"/>
    <w:rsid w:val="005731B2"/>
    <w:rsid w:val="005734A4"/>
    <w:rsid w:val="00576CF2"/>
    <w:rsid w:val="005861C6"/>
    <w:rsid w:val="00594EF5"/>
    <w:rsid w:val="005A0E53"/>
    <w:rsid w:val="005A1078"/>
    <w:rsid w:val="005A4658"/>
    <w:rsid w:val="005A496B"/>
    <w:rsid w:val="005B1E7A"/>
    <w:rsid w:val="005B28C1"/>
    <w:rsid w:val="005B6344"/>
    <w:rsid w:val="005C1C74"/>
    <w:rsid w:val="005C2E48"/>
    <w:rsid w:val="005C3F23"/>
    <w:rsid w:val="005D49FF"/>
    <w:rsid w:val="005D4DD7"/>
    <w:rsid w:val="005D6407"/>
    <w:rsid w:val="005E12A9"/>
    <w:rsid w:val="005F139E"/>
    <w:rsid w:val="005F69D5"/>
    <w:rsid w:val="006005F1"/>
    <w:rsid w:val="00602799"/>
    <w:rsid w:val="00602F18"/>
    <w:rsid w:val="00607C30"/>
    <w:rsid w:val="006110F3"/>
    <w:rsid w:val="00612041"/>
    <w:rsid w:val="00614AFF"/>
    <w:rsid w:val="00621ABA"/>
    <w:rsid w:val="0062322A"/>
    <w:rsid w:val="0062744A"/>
    <w:rsid w:val="00627E2C"/>
    <w:rsid w:val="00630B90"/>
    <w:rsid w:val="00631157"/>
    <w:rsid w:val="00635E41"/>
    <w:rsid w:val="0063778E"/>
    <w:rsid w:val="006404E6"/>
    <w:rsid w:val="00641F6C"/>
    <w:rsid w:val="0064680F"/>
    <w:rsid w:val="0064729D"/>
    <w:rsid w:val="00647ABE"/>
    <w:rsid w:val="006516BA"/>
    <w:rsid w:val="00656A63"/>
    <w:rsid w:val="00664B05"/>
    <w:rsid w:val="00665C04"/>
    <w:rsid w:val="0066682D"/>
    <w:rsid w:val="006746FE"/>
    <w:rsid w:val="00676E9F"/>
    <w:rsid w:val="00680934"/>
    <w:rsid w:val="00684324"/>
    <w:rsid w:val="00685D5C"/>
    <w:rsid w:val="0069264D"/>
    <w:rsid w:val="0069578B"/>
    <w:rsid w:val="00697868"/>
    <w:rsid w:val="006A055F"/>
    <w:rsid w:val="006A126F"/>
    <w:rsid w:val="006A14E9"/>
    <w:rsid w:val="006A2A65"/>
    <w:rsid w:val="006A5293"/>
    <w:rsid w:val="006A67E4"/>
    <w:rsid w:val="006A6D15"/>
    <w:rsid w:val="006B0DF3"/>
    <w:rsid w:val="006B0F11"/>
    <w:rsid w:val="006B14E2"/>
    <w:rsid w:val="006B27FA"/>
    <w:rsid w:val="006B4A48"/>
    <w:rsid w:val="006C2C55"/>
    <w:rsid w:val="006C430A"/>
    <w:rsid w:val="006D2809"/>
    <w:rsid w:val="006D7A99"/>
    <w:rsid w:val="006E27A3"/>
    <w:rsid w:val="006E3342"/>
    <w:rsid w:val="006E471D"/>
    <w:rsid w:val="006E4B12"/>
    <w:rsid w:val="006E65D0"/>
    <w:rsid w:val="006F171A"/>
    <w:rsid w:val="006F1B21"/>
    <w:rsid w:val="006F21E8"/>
    <w:rsid w:val="006F691B"/>
    <w:rsid w:val="006F6976"/>
    <w:rsid w:val="006F78D5"/>
    <w:rsid w:val="0070091B"/>
    <w:rsid w:val="007048AC"/>
    <w:rsid w:val="00726338"/>
    <w:rsid w:val="00726AD5"/>
    <w:rsid w:val="00727044"/>
    <w:rsid w:val="00732A8E"/>
    <w:rsid w:val="00733C7D"/>
    <w:rsid w:val="0073768E"/>
    <w:rsid w:val="00737711"/>
    <w:rsid w:val="00740761"/>
    <w:rsid w:val="00742071"/>
    <w:rsid w:val="00745F77"/>
    <w:rsid w:val="007464DE"/>
    <w:rsid w:val="007529EA"/>
    <w:rsid w:val="00755A45"/>
    <w:rsid w:val="00760CDC"/>
    <w:rsid w:val="0076138C"/>
    <w:rsid w:val="00764D0D"/>
    <w:rsid w:val="007751CA"/>
    <w:rsid w:val="00777C53"/>
    <w:rsid w:val="007851AC"/>
    <w:rsid w:val="00786044"/>
    <w:rsid w:val="00786E92"/>
    <w:rsid w:val="007933F1"/>
    <w:rsid w:val="00795225"/>
    <w:rsid w:val="007A5F52"/>
    <w:rsid w:val="007A5FD1"/>
    <w:rsid w:val="007A6C36"/>
    <w:rsid w:val="007B090A"/>
    <w:rsid w:val="007D1686"/>
    <w:rsid w:val="007E43F8"/>
    <w:rsid w:val="007E5076"/>
    <w:rsid w:val="007E656B"/>
    <w:rsid w:val="007F2997"/>
    <w:rsid w:val="007F50E8"/>
    <w:rsid w:val="007F54E2"/>
    <w:rsid w:val="007F7FBA"/>
    <w:rsid w:val="00800319"/>
    <w:rsid w:val="0080044E"/>
    <w:rsid w:val="00800706"/>
    <w:rsid w:val="0080189A"/>
    <w:rsid w:val="00801F7F"/>
    <w:rsid w:val="00803C2B"/>
    <w:rsid w:val="008054AA"/>
    <w:rsid w:val="00811945"/>
    <w:rsid w:val="00821C85"/>
    <w:rsid w:val="00824F1C"/>
    <w:rsid w:val="00826688"/>
    <w:rsid w:val="0083369B"/>
    <w:rsid w:val="00835D38"/>
    <w:rsid w:val="00843763"/>
    <w:rsid w:val="00847904"/>
    <w:rsid w:val="00847A4E"/>
    <w:rsid w:val="00852BDD"/>
    <w:rsid w:val="00871D79"/>
    <w:rsid w:val="0087393E"/>
    <w:rsid w:val="00881A42"/>
    <w:rsid w:val="00882386"/>
    <w:rsid w:val="0088361D"/>
    <w:rsid w:val="00885E0A"/>
    <w:rsid w:val="0088603B"/>
    <w:rsid w:val="008877AF"/>
    <w:rsid w:val="00893FC3"/>
    <w:rsid w:val="0089577B"/>
    <w:rsid w:val="008B1024"/>
    <w:rsid w:val="008B1357"/>
    <w:rsid w:val="008B2DF3"/>
    <w:rsid w:val="008B35C7"/>
    <w:rsid w:val="008C0A70"/>
    <w:rsid w:val="008C2E0E"/>
    <w:rsid w:val="008C4057"/>
    <w:rsid w:val="008C4DE0"/>
    <w:rsid w:val="008D3930"/>
    <w:rsid w:val="008D67F9"/>
    <w:rsid w:val="008E17CC"/>
    <w:rsid w:val="008E25B1"/>
    <w:rsid w:val="008E56FB"/>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0F3A"/>
    <w:rsid w:val="00931E45"/>
    <w:rsid w:val="00932883"/>
    <w:rsid w:val="00933188"/>
    <w:rsid w:val="00935AF9"/>
    <w:rsid w:val="009403A5"/>
    <w:rsid w:val="009500DC"/>
    <w:rsid w:val="00951923"/>
    <w:rsid w:val="00961F29"/>
    <w:rsid w:val="00970533"/>
    <w:rsid w:val="00972C81"/>
    <w:rsid w:val="009745BA"/>
    <w:rsid w:val="009824E9"/>
    <w:rsid w:val="009826E5"/>
    <w:rsid w:val="009844A1"/>
    <w:rsid w:val="00986E20"/>
    <w:rsid w:val="009928DF"/>
    <w:rsid w:val="00995479"/>
    <w:rsid w:val="00995CB0"/>
    <w:rsid w:val="00997E77"/>
    <w:rsid w:val="009A03CA"/>
    <w:rsid w:val="009A2734"/>
    <w:rsid w:val="009B2A02"/>
    <w:rsid w:val="009B2B61"/>
    <w:rsid w:val="009B5B7B"/>
    <w:rsid w:val="009B6A6D"/>
    <w:rsid w:val="009C1777"/>
    <w:rsid w:val="009C2C86"/>
    <w:rsid w:val="009C3AEB"/>
    <w:rsid w:val="009C6FE0"/>
    <w:rsid w:val="009D0753"/>
    <w:rsid w:val="009D10A4"/>
    <w:rsid w:val="009D5131"/>
    <w:rsid w:val="009D6F71"/>
    <w:rsid w:val="009D75FF"/>
    <w:rsid w:val="009E1802"/>
    <w:rsid w:val="009E1CDE"/>
    <w:rsid w:val="009E2B06"/>
    <w:rsid w:val="009E3829"/>
    <w:rsid w:val="009E3CBD"/>
    <w:rsid w:val="009E45A9"/>
    <w:rsid w:val="009E51E2"/>
    <w:rsid w:val="009F3D93"/>
    <w:rsid w:val="009F7A61"/>
    <w:rsid w:val="00A11800"/>
    <w:rsid w:val="00A11C16"/>
    <w:rsid w:val="00A1423E"/>
    <w:rsid w:val="00A17664"/>
    <w:rsid w:val="00A20FAF"/>
    <w:rsid w:val="00A24520"/>
    <w:rsid w:val="00A312EC"/>
    <w:rsid w:val="00A3164A"/>
    <w:rsid w:val="00A37F42"/>
    <w:rsid w:val="00A4411F"/>
    <w:rsid w:val="00A500D6"/>
    <w:rsid w:val="00A523FF"/>
    <w:rsid w:val="00A54756"/>
    <w:rsid w:val="00A54C66"/>
    <w:rsid w:val="00A57D36"/>
    <w:rsid w:val="00A61BB6"/>
    <w:rsid w:val="00A6314A"/>
    <w:rsid w:val="00A65734"/>
    <w:rsid w:val="00A6687F"/>
    <w:rsid w:val="00A67907"/>
    <w:rsid w:val="00A70C2A"/>
    <w:rsid w:val="00A73CC1"/>
    <w:rsid w:val="00A80270"/>
    <w:rsid w:val="00A82DB1"/>
    <w:rsid w:val="00A84127"/>
    <w:rsid w:val="00A84BF9"/>
    <w:rsid w:val="00A866A4"/>
    <w:rsid w:val="00A86DA2"/>
    <w:rsid w:val="00A90DFC"/>
    <w:rsid w:val="00A90F1A"/>
    <w:rsid w:val="00A91BF3"/>
    <w:rsid w:val="00AA0A9C"/>
    <w:rsid w:val="00AA16C0"/>
    <w:rsid w:val="00AA3A8C"/>
    <w:rsid w:val="00AA4CDC"/>
    <w:rsid w:val="00AA6589"/>
    <w:rsid w:val="00AB21D4"/>
    <w:rsid w:val="00AB21F5"/>
    <w:rsid w:val="00AB3386"/>
    <w:rsid w:val="00AB36DB"/>
    <w:rsid w:val="00AC0B1D"/>
    <w:rsid w:val="00AC2F5B"/>
    <w:rsid w:val="00AC3DAD"/>
    <w:rsid w:val="00AC5309"/>
    <w:rsid w:val="00AC5B97"/>
    <w:rsid w:val="00AD2BB4"/>
    <w:rsid w:val="00AD3066"/>
    <w:rsid w:val="00AD4DD0"/>
    <w:rsid w:val="00AD695B"/>
    <w:rsid w:val="00AE0A8D"/>
    <w:rsid w:val="00AE2BAC"/>
    <w:rsid w:val="00AF6342"/>
    <w:rsid w:val="00B053FB"/>
    <w:rsid w:val="00B05647"/>
    <w:rsid w:val="00B07EE5"/>
    <w:rsid w:val="00B12728"/>
    <w:rsid w:val="00B16F3B"/>
    <w:rsid w:val="00B21CC5"/>
    <w:rsid w:val="00B26778"/>
    <w:rsid w:val="00B26B83"/>
    <w:rsid w:val="00B32479"/>
    <w:rsid w:val="00B33FE2"/>
    <w:rsid w:val="00B35E8A"/>
    <w:rsid w:val="00B403ED"/>
    <w:rsid w:val="00B4065F"/>
    <w:rsid w:val="00B45091"/>
    <w:rsid w:val="00B45371"/>
    <w:rsid w:val="00B45447"/>
    <w:rsid w:val="00B56580"/>
    <w:rsid w:val="00B614F1"/>
    <w:rsid w:val="00B866B4"/>
    <w:rsid w:val="00B93984"/>
    <w:rsid w:val="00B94226"/>
    <w:rsid w:val="00BA0A8C"/>
    <w:rsid w:val="00BA0CEB"/>
    <w:rsid w:val="00BA2383"/>
    <w:rsid w:val="00BA2E7E"/>
    <w:rsid w:val="00BA590A"/>
    <w:rsid w:val="00BA5FE4"/>
    <w:rsid w:val="00BA728F"/>
    <w:rsid w:val="00BB0B39"/>
    <w:rsid w:val="00BB30D1"/>
    <w:rsid w:val="00BB39D8"/>
    <w:rsid w:val="00BB3F0D"/>
    <w:rsid w:val="00BB5F75"/>
    <w:rsid w:val="00BC6524"/>
    <w:rsid w:val="00BC72D4"/>
    <w:rsid w:val="00BD3931"/>
    <w:rsid w:val="00BD5B88"/>
    <w:rsid w:val="00BD5F58"/>
    <w:rsid w:val="00BD7155"/>
    <w:rsid w:val="00BE0AEB"/>
    <w:rsid w:val="00BE3CB1"/>
    <w:rsid w:val="00BE61B5"/>
    <w:rsid w:val="00BF1BAB"/>
    <w:rsid w:val="00BF4455"/>
    <w:rsid w:val="00C018E0"/>
    <w:rsid w:val="00C05AAF"/>
    <w:rsid w:val="00C1143B"/>
    <w:rsid w:val="00C118C7"/>
    <w:rsid w:val="00C20877"/>
    <w:rsid w:val="00C20E7B"/>
    <w:rsid w:val="00C21456"/>
    <w:rsid w:val="00C2193C"/>
    <w:rsid w:val="00C24D03"/>
    <w:rsid w:val="00C25DF1"/>
    <w:rsid w:val="00C25E61"/>
    <w:rsid w:val="00C31B2F"/>
    <w:rsid w:val="00C35A1B"/>
    <w:rsid w:val="00C40988"/>
    <w:rsid w:val="00C413F3"/>
    <w:rsid w:val="00C54EFF"/>
    <w:rsid w:val="00C55D03"/>
    <w:rsid w:val="00C63548"/>
    <w:rsid w:val="00C63F96"/>
    <w:rsid w:val="00C65450"/>
    <w:rsid w:val="00C677AF"/>
    <w:rsid w:val="00C67E59"/>
    <w:rsid w:val="00C72B8B"/>
    <w:rsid w:val="00C72CB5"/>
    <w:rsid w:val="00C76D4F"/>
    <w:rsid w:val="00C805BC"/>
    <w:rsid w:val="00C87B3C"/>
    <w:rsid w:val="00C959CA"/>
    <w:rsid w:val="00C95D16"/>
    <w:rsid w:val="00C97694"/>
    <w:rsid w:val="00CA0A25"/>
    <w:rsid w:val="00CA2AB4"/>
    <w:rsid w:val="00CA48AB"/>
    <w:rsid w:val="00CB0100"/>
    <w:rsid w:val="00CB04D2"/>
    <w:rsid w:val="00CB619A"/>
    <w:rsid w:val="00CD17A6"/>
    <w:rsid w:val="00CD59A0"/>
    <w:rsid w:val="00CD7EFE"/>
    <w:rsid w:val="00CE0C66"/>
    <w:rsid w:val="00CE28CF"/>
    <w:rsid w:val="00CE4386"/>
    <w:rsid w:val="00CE4CDC"/>
    <w:rsid w:val="00CE5BEB"/>
    <w:rsid w:val="00CE69E9"/>
    <w:rsid w:val="00CE71F2"/>
    <w:rsid w:val="00CF24B6"/>
    <w:rsid w:val="00CF3F65"/>
    <w:rsid w:val="00CF464D"/>
    <w:rsid w:val="00CF6B83"/>
    <w:rsid w:val="00D00AD8"/>
    <w:rsid w:val="00D10D74"/>
    <w:rsid w:val="00D17EF4"/>
    <w:rsid w:val="00D23770"/>
    <w:rsid w:val="00D25074"/>
    <w:rsid w:val="00D34517"/>
    <w:rsid w:val="00D36798"/>
    <w:rsid w:val="00D37CA3"/>
    <w:rsid w:val="00D47E80"/>
    <w:rsid w:val="00D70563"/>
    <w:rsid w:val="00D70D89"/>
    <w:rsid w:val="00D72051"/>
    <w:rsid w:val="00D7380B"/>
    <w:rsid w:val="00D75CF7"/>
    <w:rsid w:val="00D75D77"/>
    <w:rsid w:val="00D7639E"/>
    <w:rsid w:val="00D835EF"/>
    <w:rsid w:val="00D85F09"/>
    <w:rsid w:val="00D86A9D"/>
    <w:rsid w:val="00D9642A"/>
    <w:rsid w:val="00D969B7"/>
    <w:rsid w:val="00DA089A"/>
    <w:rsid w:val="00DA11A0"/>
    <w:rsid w:val="00DA2822"/>
    <w:rsid w:val="00DA690B"/>
    <w:rsid w:val="00DA7225"/>
    <w:rsid w:val="00DB44E9"/>
    <w:rsid w:val="00DC1966"/>
    <w:rsid w:val="00DC3259"/>
    <w:rsid w:val="00DD0523"/>
    <w:rsid w:val="00DE5758"/>
    <w:rsid w:val="00DE5FCF"/>
    <w:rsid w:val="00DF0D19"/>
    <w:rsid w:val="00DF2EE9"/>
    <w:rsid w:val="00DF6FD8"/>
    <w:rsid w:val="00E05A80"/>
    <w:rsid w:val="00E05C16"/>
    <w:rsid w:val="00E06A37"/>
    <w:rsid w:val="00E071A5"/>
    <w:rsid w:val="00E07752"/>
    <w:rsid w:val="00E10B59"/>
    <w:rsid w:val="00E16609"/>
    <w:rsid w:val="00E16F08"/>
    <w:rsid w:val="00E233F3"/>
    <w:rsid w:val="00E26B34"/>
    <w:rsid w:val="00E31006"/>
    <w:rsid w:val="00E314BA"/>
    <w:rsid w:val="00E325BE"/>
    <w:rsid w:val="00E326BA"/>
    <w:rsid w:val="00E34202"/>
    <w:rsid w:val="00E35266"/>
    <w:rsid w:val="00E37F72"/>
    <w:rsid w:val="00E40BE5"/>
    <w:rsid w:val="00E40CF9"/>
    <w:rsid w:val="00E42A30"/>
    <w:rsid w:val="00E5393D"/>
    <w:rsid w:val="00E5625D"/>
    <w:rsid w:val="00E648BB"/>
    <w:rsid w:val="00E67ACA"/>
    <w:rsid w:val="00E72F48"/>
    <w:rsid w:val="00E7601F"/>
    <w:rsid w:val="00E76B31"/>
    <w:rsid w:val="00E81F3E"/>
    <w:rsid w:val="00E844BB"/>
    <w:rsid w:val="00E84C48"/>
    <w:rsid w:val="00E84EC9"/>
    <w:rsid w:val="00E859BD"/>
    <w:rsid w:val="00E86B70"/>
    <w:rsid w:val="00E87C8F"/>
    <w:rsid w:val="00E924C3"/>
    <w:rsid w:val="00E954EE"/>
    <w:rsid w:val="00E96759"/>
    <w:rsid w:val="00EA012D"/>
    <w:rsid w:val="00EA4437"/>
    <w:rsid w:val="00EA4D87"/>
    <w:rsid w:val="00EB34FC"/>
    <w:rsid w:val="00EB76E1"/>
    <w:rsid w:val="00EC2499"/>
    <w:rsid w:val="00ED22FB"/>
    <w:rsid w:val="00ED4904"/>
    <w:rsid w:val="00EE15C0"/>
    <w:rsid w:val="00EE29DF"/>
    <w:rsid w:val="00EE4120"/>
    <w:rsid w:val="00EF2E8A"/>
    <w:rsid w:val="00EF37A3"/>
    <w:rsid w:val="00EF4E6B"/>
    <w:rsid w:val="00EF5416"/>
    <w:rsid w:val="00EF777E"/>
    <w:rsid w:val="00F06CCF"/>
    <w:rsid w:val="00F1053D"/>
    <w:rsid w:val="00F110D5"/>
    <w:rsid w:val="00F11E63"/>
    <w:rsid w:val="00F12733"/>
    <w:rsid w:val="00F1382C"/>
    <w:rsid w:val="00F14848"/>
    <w:rsid w:val="00F171E1"/>
    <w:rsid w:val="00F20DCF"/>
    <w:rsid w:val="00F25B36"/>
    <w:rsid w:val="00F3052A"/>
    <w:rsid w:val="00F33920"/>
    <w:rsid w:val="00F341E3"/>
    <w:rsid w:val="00F34937"/>
    <w:rsid w:val="00F35D09"/>
    <w:rsid w:val="00F40699"/>
    <w:rsid w:val="00F4304D"/>
    <w:rsid w:val="00F46612"/>
    <w:rsid w:val="00F474EF"/>
    <w:rsid w:val="00F4752B"/>
    <w:rsid w:val="00F476E8"/>
    <w:rsid w:val="00F541AE"/>
    <w:rsid w:val="00F56792"/>
    <w:rsid w:val="00F571A6"/>
    <w:rsid w:val="00F6018B"/>
    <w:rsid w:val="00F60265"/>
    <w:rsid w:val="00F60E32"/>
    <w:rsid w:val="00F644FF"/>
    <w:rsid w:val="00F656C1"/>
    <w:rsid w:val="00F656C9"/>
    <w:rsid w:val="00F65ABA"/>
    <w:rsid w:val="00F65E15"/>
    <w:rsid w:val="00F7242E"/>
    <w:rsid w:val="00F74B33"/>
    <w:rsid w:val="00F76274"/>
    <w:rsid w:val="00F810DD"/>
    <w:rsid w:val="00F9159A"/>
    <w:rsid w:val="00F95E2F"/>
    <w:rsid w:val="00F96DEB"/>
    <w:rsid w:val="00FA1872"/>
    <w:rsid w:val="00FA4F34"/>
    <w:rsid w:val="00FB2590"/>
    <w:rsid w:val="00FC080F"/>
    <w:rsid w:val="00FC2590"/>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F77E0EA"/>
  <w15:docId w15:val="{E8431FA3-55D6-47DE-A7BB-F12EFC164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35"/>
    <w:qFormat/>
    <w:rsid w:val="00E16609"/>
    <w:rPr>
      <w:b/>
      <w:bCs/>
      <w:szCs w:val="3276"/>
    </w:rPr>
  </w:style>
  <w:style w:type="character" w:customStyle="1" w:styleId="CaptionChar">
    <w:name w:val="Caption Char"/>
    <w:basedOn w:val="DefaultParagraphFont"/>
    <w:link w:val="Caption"/>
    <w:uiPriority w:val="35"/>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Default">
    <w:name w:val="Default"/>
    <w:rsid w:val="003F7B78"/>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822383">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55538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amazon.com/s/ref=dp_byline_sr_book_1?ie=UTF8&amp;text=John+H.+Chiang&amp;search-alias=books&amp;field-author=John+H.+Chiang&amp;sort=relevanceran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yperlink" Target="http://www.caltf.org/" TargetMode="Externa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oleObject" Target="embeddings/oleObject2.bin"/></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94CC8"/>
    <w:rsid w:val="000A0524"/>
    <w:rsid w:val="000A428F"/>
    <w:rsid w:val="000A5E8B"/>
    <w:rsid w:val="000D02B8"/>
    <w:rsid w:val="00146151"/>
    <w:rsid w:val="00204A7F"/>
    <w:rsid w:val="00275957"/>
    <w:rsid w:val="002B514B"/>
    <w:rsid w:val="002C0C03"/>
    <w:rsid w:val="002C426E"/>
    <w:rsid w:val="00311B0D"/>
    <w:rsid w:val="00324867"/>
    <w:rsid w:val="003A131F"/>
    <w:rsid w:val="0044062C"/>
    <w:rsid w:val="004445EF"/>
    <w:rsid w:val="00457747"/>
    <w:rsid w:val="004622CC"/>
    <w:rsid w:val="00504E4A"/>
    <w:rsid w:val="00516B6A"/>
    <w:rsid w:val="00560392"/>
    <w:rsid w:val="005B04DF"/>
    <w:rsid w:val="005D2675"/>
    <w:rsid w:val="0065621B"/>
    <w:rsid w:val="00696AD0"/>
    <w:rsid w:val="006B7FA8"/>
    <w:rsid w:val="006F1393"/>
    <w:rsid w:val="008211B5"/>
    <w:rsid w:val="00874653"/>
    <w:rsid w:val="00991191"/>
    <w:rsid w:val="00993859"/>
    <w:rsid w:val="009C033A"/>
    <w:rsid w:val="00A5022A"/>
    <w:rsid w:val="00A95927"/>
    <w:rsid w:val="00AE4C28"/>
    <w:rsid w:val="00AF2C4B"/>
    <w:rsid w:val="00B73964"/>
    <w:rsid w:val="00B74704"/>
    <w:rsid w:val="00BA3D75"/>
    <w:rsid w:val="00C52685"/>
    <w:rsid w:val="00C947B8"/>
    <w:rsid w:val="00D0496D"/>
    <w:rsid w:val="00D051F5"/>
    <w:rsid w:val="00D25746"/>
    <w:rsid w:val="00D44062"/>
    <w:rsid w:val="00D67F88"/>
    <w:rsid w:val="00DD764D"/>
    <w:rsid w:val="00E2222D"/>
    <w:rsid w:val="00EA7FE6"/>
    <w:rsid w:val="00EC59D9"/>
    <w:rsid w:val="00EE0919"/>
    <w:rsid w:val="00F7350A"/>
    <w:rsid w:val="00F91BD3"/>
    <w:rsid w:val="00FF0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0301EB-69FD-47D7-907A-D63826BA1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16</Pages>
  <Words>3731</Words>
  <Characters>21271</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SCE17LG103</vt:lpstr>
    </vt:vector>
  </TitlesOfParts>
  <Company>Southern California Edison</Company>
  <LinksUpToDate>false</LinksUpToDate>
  <CharactersWithSpaces>24953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SCE17LG103</dc:title>
  <dc:creator>Jim Wyatt (PG&amp;E);Jason Wang (SCE)</dc:creator>
  <cp:lastModifiedBy>Scott Mitchell</cp:lastModifiedBy>
  <cp:revision>6</cp:revision>
  <dcterms:created xsi:type="dcterms:W3CDTF">2016-12-13T23:42:00Z</dcterms:created>
  <dcterms:modified xsi:type="dcterms:W3CDTF">2016-12-30T19:32:00Z</dcterms:modified>
  <cp:contentStatus>Revision 0</cp:contentStatus>
</cp:coreProperties>
</file>