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78E23E6B"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A72EE3">
            <w:t>SCE17LG098</w:t>
          </w:r>
        </w:sdtContent>
      </w:sdt>
    </w:p>
    <w:bookmarkEnd w:id="0"/>
    <w:p w14:paraId="7601CE2F" w14:textId="51DF994A" w:rsidR="00DA690B" w:rsidRPr="00500C4E" w:rsidRDefault="006A60A6"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A72EE3" w:rsidRPr="00500C4E">
            <w:rPr>
              <w:rStyle w:val="CaptionChar"/>
              <w:rFonts w:asciiTheme="minorHAnsi" w:hAnsiTheme="minorHAnsi" w:cstheme="minorHAnsi"/>
              <w:b/>
              <w:bCs w:val="0"/>
              <w:sz w:val="48"/>
              <w:szCs w:val="48"/>
            </w:rPr>
            <w:t xml:space="preserve">Revision </w:t>
          </w:r>
          <w:r w:rsidR="00A72EE3">
            <w:rPr>
              <w:rStyle w:val="CaptionChar"/>
              <w:rFonts w:asciiTheme="minorHAnsi" w:hAnsiTheme="minorHAnsi" w:cstheme="minorHAnsi"/>
              <w:b/>
              <w:bCs w:val="0"/>
              <w:sz w:val="48"/>
              <w:szCs w:val="48"/>
            </w:rPr>
            <w:t>0</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6A60A6"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35C46A09" w14:textId="77777777" w:rsidR="001C550C" w:rsidRPr="00240B61" w:rsidRDefault="001C550C" w:rsidP="001C550C">
      <w:pPr>
        <w:rPr>
          <w:rFonts w:cstheme="minorHAnsi"/>
          <w:b/>
          <w:sz w:val="72"/>
          <w:szCs w:val="72"/>
        </w:rPr>
      </w:pPr>
      <w:r w:rsidRPr="00240B61">
        <w:rPr>
          <w:rFonts w:cstheme="minorHAnsi"/>
          <w:b/>
          <w:sz w:val="72"/>
          <w:szCs w:val="72"/>
        </w:rPr>
        <w:t>Fluorescent to LED Retrofits in Reach-in Display Cases</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06"/>
        <w:gridCol w:w="5844"/>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251D5B75" w:rsidR="00AC5309" w:rsidRPr="00500C4E" w:rsidRDefault="001C550C">
            <w:pPr>
              <w:rPr>
                <w:rFonts w:cs="Arial"/>
                <w:bCs/>
                <w:color w:val="FF0000"/>
                <w:szCs w:val="20"/>
              </w:rPr>
            </w:pPr>
            <w:r w:rsidRPr="00EB2438">
              <w:rPr>
                <w:rFonts w:cs="Arial"/>
                <w:szCs w:val="20"/>
              </w:rPr>
              <w:t>LT-17642, LT-20643, LT-30954, LT-49651, LT-58674, LT-65612, LT-69439, LT-75912, LT-78303, LT-79548, LT-80693, LT-84544, LT-89513, LT-93848, LT-97154</w:t>
            </w:r>
          </w:p>
        </w:tc>
      </w:tr>
      <w:tr w:rsidR="00AC5309" w:rsidRPr="00500C4E" w14:paraId="63B310F0" w14:textId="77777777" w:rsidTr="00920905">
        <w:trPr>
          <w:trHeight w:val="465"/>
        </w:trPr>
        <w:tc>
          <w:tcPr>
            <w:tcW w:w="1875" w:type="pct"/>
          </w:tcPr>
          <w:p w14:paraId="5050E2A3" w14:textId="2CBF138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30FB5A24" w14:textId="6AB167D1" w:rsidR="00290ED8" w:rsidRPr="00B527FA" w:rsidRDefault="00B527FA" w:rsidP="00B527FA">
            <w:pPr>
              <w:pStyle w:val="ListParagraph"/>
              <w:numPr>
                <w:ilvl w:val="0"/>
                <w:numId w:val="37"/>
              </w:numPr>
              <w:ind w:left="251" w:hanging="270"/>
              <w:rPr>
                <w:rFonts w:cs="Arial"/>
                <w:color w:val="FF0000"/>
                <w:szCs w:val="20"/>
              </w:rPr>
            </w:pPr>
            <w:r>
              <w:rPr>
                <w:rFonts w:cs="Arial"/>
                <w:szCs w:val="20"/>
              </w:rPr>
              <w:t>V</w:t>
            </w:r>
            <w:r w:rsidRPr="00B527FA">
              <w:rPr>
                <w:rFonts w:cs="Arial"/>
                <w:szCs w:val="20"/>
              </w:rPr>
              <w:t>ertical light emitting diode (LED) lighting system in refrigerated display cases</w:t>
            </w:r>
          </w:p>
          <w:p w14:paraId="4A135BBC" w14:textId="22EC2C59" w:rsidR="00B527FA" w:rsidRPr="00B527FA" w:rsidRDefault="00B527FA" w:rsidP="00B527FA">
            <w:pPr>
              <w:pStyle w:val="ListParagraph"/>
              <w:numPr>
                <w:ilvl w:val="0"/>
                <w:numId w:val="37"/>
              </w:numPr>
              <w:ind w:left="251" w:hanging="270"/>
              <w:rPr>
                <w:rFonts w:cs="Arial"/>
                <w:color w:val="FF0000"/>
                <w:szCs w:val="20"/>
              </w:rPr>
            </w:pPr>
            <w:r>
              <w:rPr>
                <w:rFonts w:cs="Arial"/>
                <w:szCs w:val="20"/>
              </w:rPr>
              <w:t>Horizontal LED lighting system in refrigerated display cases for shelf and canopy</w:t>
            </w:r>
          </w:p>
        </w:tc>
      </w:tr>
      <w:tr w:rsidR="00AC5309" w:rsidRPr="00500C4E" w14:paraId="085771EF" w14:textId="77777777" w:rsidTr="00920905">
        <w:trPr>
          <w:trHeight w:val="465"/>
        </w:trPr>
        <w:tc>
          <w:tcPr>
            <w:tcW w:w="1875" w:type="pct"/>
          </w:tcPr>
          <w:p w14:paraId="679DB8A0" w14:textId="3D691398"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5ED3E39C" w14:textId="48204F84" w:rsidR="00290ED8" w:rsidRPr="00B527FA" w:rsidRDefault="00B527FA" w:rsidP="00B527FA">
            <w:pPr>
              <w:pStyle w:val="ListParagraph"/>
              <w:numPr>
                <w:ilvl w:val="0"/>
                <w:numId w:val="38"/>
              </w:numPr>
              <w:ind w:left="251" w:hanging="251"/>
              <w:rPr>
                <w:rFonts w:cs="Arial"/>
                <w:color w:val="FF0000"/>
                <w:szCs w:val="20"/>
              </w:rPr>
            </w:pPr>
            <w:r w:rsidRPr="00B527FA">
              <w:rPr>
                <w:rFonts w:cs="Arial"/>
                <w:szCs w:val="20"/>
              </w:rPr>
              <w:t>4-ft/5-ft T8 fluorescent fixture with electronic ballast and a 4-ft/5-ft/6-ft T12 HO fluorescent fixture with magnetic ballast in refrigerated display cases</w:t>
            </w:r>
          </w:p>
          <w:p w14:paraId="28C0D27B" w14:textId="551DB921" w:rsidR="00B527FA" w:rsidRPr="00B527FA" w:rsidRDefault="00B527FA" w:rsidP="00B527FA">
            <w:pPr>
              <w:pStyle w:val="ListParagraph"/>
              <w:numPr>
                <w:ilvl w:val="0"/>
                <w:numId w:val="38"/>
              </w:numPr>
              <w:ind w:left="251" w:hanging="251"/>
              <w:rPr>
                <w:rFonts w:cs="Arial"/>
                <w:color w:val="FF0000"/>
                <w:szCs w:val="20"/>
              </w:rPr>
            </w:pPr>
            <w:r w:rsidRPr="007C523A">
              <w:rPr>
                <w:rFonts w:cs="Arial"/>
                <w:szCs w:val="20"/>
              </w:rPr>
              <w:t>3-ft/4-ft T8 fluorescent fixture with electronic ballast and a 3-ft/4-ft T12/T12HO fluorescent fixture with magnetic ballast</w:t>
            </w:r>
            <w:r>
              <w:rPr>
                <w:rFonts w:cs="Arial"/>
                <w:szCs w:val="20"/>
              </w:rPr>
              <w:t xml:space="preserve"> in refrigerated display cases for shelf and canopy</w:t>
            </w:r>
          </w:p>
        </w:tc>
      </w:tr>
      <w:tr w:rsidR="00D36798" w:rsidRPr="00500C4E" w14:paraId="5C218003" w14:textId="77777777" w:rsidTr="00920905">
        <w:trPr>
          <w:trHeight w:val="465"/>
        </w:trPr>
        <w:tc>
          <w:tcPr>
            <w:tcW w:w="1875" w:type="pct"/>
          </w:tcPr>
          <w:p w14:paraId="1DBA889C" w14:textId="032192ED"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2A14E460" w:rsidR="00D36798" w:rsidRPr="00500C4E" w:rsidRDefault="00B527FA">
            <w:pPr>
              <w:rPr>
                <w:rFonts w:cs="Arial"/>
                <w:color w:val="FF0000"/>
                <w:szCs w:val="20"/>
              </w:rPr>
            </w:pPr>
            <w:r>
              <w:rPr>
                <w:rFonts w:cs="Arial"/>
                <w:szCs w:val="20"/>
              </w:rPr>
              <w:t>Per Door, Per Fixture</w:t>
            </w:r>
          </w:p>
        </w:tc>
      </w:tr>
      <w:tr w:rsidR="00290ED8" w:rsidRPr="00500C4E" w14:paraId="66C8B424" w14:textId="77777777" w:rsidTr="00920905">
        <w:trPr>
          <w:trHeight w:val="465"/>
        </w:trPr>
        <w:tc>
          <w:tcPr>
            <w:tcW w:w="187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D5952C1" w14:textId="59F02FD7" w:rsidR="00290ED8" w:rsidRPr="00500C4E" w:rsidRDefault="00D36798">
            <w:pPr>
              <w:rPr>
                <w:rFonts w:cs="Arial"/>
                <w:szCs w:val="20"/>
              </w:rPr>
            </w:pPr>
            <w:r w:rsidRPr="00500C4E">
              <w:rPr>
                <w:rFonts w:cs="Arial"/>
                <w:szCs w:val="20"/>
              </w:rPr>
              <w:t>Refer to Excel Calculation Attachment</w:t>
            </w:r>
          </w:p>
        </w:tc>
      </w:tr>
      <w:tr w:rsidR="00290ED8" w:rsidRPr="00500C4E" w14:paraId="3432D116" w14:textId="77777777" w:rsidTr="00920905">
        <w:trPr>
          <w:trHeight w:val="465"/>
        </w:trPr>
        <w:tc>
          <w:tcPr>
            <w:tcW w:w="187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5804062" w14:textId="43E444B2" w:rsidR="00290ED8" w:rsidRPr="00500C4E" w:rsidRDefault="00AC2F5B" w:rsidP="00AC2F5B">
            <w:pPr>
              <w:rPr>
                <w:rFonts w:cs="Arial"/>
                <w:szCs w:val="20"/>
              </w:rPr>
            </w:pPr>
            <w:r w:rsidRPr="00500C4E">
              <w:rPr>
                <w:rFonts w:cs="Arial"/>
                <w:szCs w:val="20"/>
              </w:rPr>
              <w:t>Refer to Excel Calculation Attachment</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769750A2" w:rsidR="00290ED8" w:rsidRPr="00500C4E" w:rsidRDefault="00AC2F5B" w:rsidP="00AC2F5B">
            <w:pPr>
              <w:rPr>
                <w:rFonts w:cs="Arial"/>
                <w:szCs w:val="20"/>
              </w:rPr>
            </w:pPr>
            <w:r w:rsidRPr="00500C4E">
              <w:rPr>
                <w:rFonts w:cs="Arial"/>
                <w:szCs w:val="20"/>
              </w:rPr>
              <w:t>Refer to Excel Calculation Attachment</w:t>
            </w:r>
          </w:p>
        </w:tc>
      </w:tr>
      <w:tr w:rsidR="00290ED8" w:rsidRPr="00500C4E" w14:paraId="466E1409" w14:textId="77777777" w:rsidTr="00920905">
        <w:trPr>
          <w:trHeight w:val="465"/>
        </w:trPr>
        <w:tc>
          <w:tcPr>
            <w:tcW w:w="1875" w:type="pct"/>
          </w:tcPr>
          <w:p w14:paraId="4F8D0A97" w14:textId="25FD4E84"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4251ACF3" w:rsidR="00290ED8" w:rsidRPr="00500C4E" w:rsidRDefault="00A64346" w:rsidP="00855069">
            <w:pPr>
              <w:rPr>
                <w:rFonts w:cs="Arial"/>
                <w:color w:val="FF0000"/>
                <w:szCs w:val="20"/>
              </w:rPr>
            </w:pPr>
            <w:r>
              <w:rPr>
                <w:rFonts w:cs="Arial"/>
                <w:szCs w:val="20"/>
              </w:rPr>
              <w:t>4</w:t>
            </w:r>
            <w:r w:rsidR="001C1338" w:rsidRPr="00855069">
              <w:rPr>
                <w:rFonts w:cs="Arial"/>
                <w:szCs w:val="20"/>
              </w:rPr>
              <w:t xml:space="preserve"> years (DEER EUL ID: </w:t>
            </w:r>
            <w:r w:rsidR="00855069" w:rsidRPr="00855069">
              <w:rPr>
                <w:rFonts w:cs="Arial"/>
                <w:szCs w:val="20"/>
              </w:rPr>
              <w:t>GrocDisp-FixtLtg-LED</w:t>
            </w:r>
            <w:r w:rsidR="001C1338" w:rsidRPr="00855069">
              <w:rPr>
                <w:rFonts w:cs="Arial"/>
                <w:szCs w:val="20"/>
              </w:rPr>
              <w:t>)</w:t>
            </w:r>
            <w:r>
              <w:rPr>
                <w:rFonts w:cs="Arial"/>
                <w:szCs w:val="20"/>
              </w:rPr>
              <w:t xml:space="preserve"> per </w:t>
            </w:r>
            <w:r>
              <w:t>Resolution E-4807</w:t>
            </w:r>
          </w:p>
        </w:tc>
      </w:tr>
      <w:tr w:rsidR="00AC5309" w:rsidRPr="00500C4E" w14:paraId="6FFAAB3B" w14:textId="77777777" w:rsidTr="00920905">
        <w:trPr>
          <w:trHeight w:val="465"/>
        </w:trPr>
        <w:tc>
          <w:tcPr>
            <w:tcW w:w="1875" w:type="pct"/>
          </w:tcPr>
          <w:p w14:paraId="080378E9" w14:textId="52D7A149"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08423BBE" w14:textId="037D9E88" w:rsidR="00290ED8" w:rsidRPr="00500C4E" w:rsidRDefault="001C1338" w:rsidP="00B527FA">
            <w:pPr>
              <w:rPr>
                <w:rFonts w:cs="Arial"/>
                <w:color w:val="FF0000"/>
                <w:szCs w:val="20"/>
              </w:rPr>
            </w:pPr>
            <w:r w:rsidRPr="00855069">
              <w:rPr>
                <w:szCs w:val="20"/>
              </w:rPr>
              <w:t>Retrofit</w:t>
            </w:r>
            <w:r w:rsidR="00C65450" w:rsidRPr="00855069">
              <w:rPr>
                <w:szCs w:val="20"/>
              </w:rPr>
              <w:t xml:space="preserve"> or Early Retirement</w:t>
            </w:r>
            <w:r w:rsidRPr="00855069">
              <w:rPr>
                <w:szCs w:val="20"/>
              </w:rPr>
              <w:t xml:space="preserve"> (RET</w:t>
            </w:r>
            <w:r w:rsidR="00C65450" w:rsidRPr="00855069">
              <w:rPr>
                <w:szCs w:val="20"/>
              </w:rPr>
              <w:t>/ER</w:t>
            </w:r>
            <w:r w:rsidR="00855069">
              <w:rPr>
                <w:szCs w:val="20"/>
              </w:rPr>
              <w:t>)</w:t>
            </w:r>
          </w:p>
        </w:tc>
      </w:tr>
      <w:tr w:rsidR="00290ED8" w:rsidRPr="00500C4E" w14:paraId="2EA80FC2" w14:textId="77777777" w:rsidTr="00920905">
        <w:trPr>
          <w:trHeight w:val="465"/>
        </w:trPr>
        <w:tc>
          <w:tcPr>
            <w:tcW w:w="1875" w:type="pct"/>
          </w:tcPr>
          <w:p w14:paraId="7E87F403" w14:textId="5683C17E"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3E70E382" w14:textId="7D15C04F" w:rsidR="00290ED8" w:rsidRPr="00855069" w:rsidRDefault="001C1338">
            <w:pPr>
              <w:rPr>
                <w:szCs w:val="20"/>
              </w:rPr>
            </w:pPr>
            <w:r w:rsidRPr="00855069">
              <w:rPr>
                <w:rFonts w:cs="Arial"/>
                <w:szCs w:val="20"/>
              </w:rPr>
              <w:t xml:space="preserve">0.6 (DEER NTGR ID: </w:t>
            </w:r>
            <w:r w:rsidRPr="00855069">
              <w:rPr>
                <w:szCs w:val="20"/>
              </w:rPr>
              <w:t>Com-Default&gt;2yrs)</w:t>
            </w:r>
          </w:p>
          <w:p w14:paraId="40A9016A" w14:textId="1C6F3B04" w:rsidR="00855069" w:rsidRPr="00500C4E" w:rsidRDefault="00855069">
            <w:pPr>
              <w:rPr>
                <w:rFonts w:cs="Arial"/>
                <w:color w:val="FF0000"/>
                <w:szCs w:val="20"/>
              </w:rPr>
            </w:pPr>
            <w:r w:rsidRPr="00855069">
              <w:rPr>
                <w:rFonts w:cstheme="minorHAnsi"/>
                <w:szCs w:val="20"/>
              </w:rPr>
              <w:t>0.85 (DEER NTGR ID: Com-Default-HTR-di)</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1182"/>
        <w:gridCol w:w="1587"/>
        <w:gridCol w:w="6057"/>
      </w:tblGrid>
      <w:tr w:rsidR="003845E5" w:rsidRPr="00500C4E" w14:paraId="5AFD7FBC" w14:textId="77777777" w:rsidTr="00AF5C98">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849"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239"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651997" w:rsidRPr="00500C4E" w14:paraId="623B046A" w14:textId="77777777" w:rsidTr="00AF5C98">
        <w:trPr>
          <w:trHeight w:val="20"/>
        </w:trPr>
        <w:tc>
          <w:tcPr>
            <w:tcW w:w="280" w:type="pct"/>
          </w:tcPr>
          <w:p w14:paraId="439A7407" w14:textId="0D2553DE" w:rsidR="00651997" w:rsidRPr="00B527FA" w:rsidRDefault="00651997" w:rsidP="00B527FA">
            <w:pPr>
              <w:rPr>
                <w:rFonts w:cstheme="minorHAnsi"/>
                <w:szCs w:val="20"/>
              </w:rPr>
            </w:pPr>
            <w:r>
              <w:rPr>
                <w:rFonts w:cstheme="minorHAnsi"/>
                <w:szCs w:val="20"/>
              </w:rPr>
              <w:t>0</w:t>
            </w:r>
          </w:p>
        </w:tc>
        <w:tc>
          <w:tcPr>
            <w:tcW w:w="632" w:type="pct"/>
          </w:tcPr>
          <w:p w14:paraId="17621806" w14:textId="273EA102" w:rsidR="00651997" w:rsidRDefault="00651997" w:rsidP="001B3FA6">
            <w:pPr>
              <w:rPr>
                <w:rFonts w:cstheme="minorHAnsi"/>
                <w:szCs w:val="20"/>
              </w:rPr>
            </w:pPr>
            <w:r>
              <w:rPr>
                <w:rFonts w:cstheme="minorHAnsi"/>
                <w:szCs w:val="20"/>
              </w:rPr>
              <w:t>11/1</w:t>
            </w:r>
            <w:r w:rsidR="001B3FA6">
              <w:rPr>
                <w:rFonts w:cstheme="minorHAnsi"/>
                <w:szCs w:val="20"/>
              </w:rPr>
              <w:t>8</w:t>
            </w:r>
            <w:r>
              <w:rPr>
                <w:rFonts w:cstheme="minorHAnsi"/>
                <w:szCs w:val="20"/>
              </w:rPr>
              <w:t>/2016</w:t>
            </w:r>
          </w:p>
        </w:tc>
        <w:tc>
          <w:tcPr>
            <w:tcW w:w="849" w:type="pct"/>
          </w:tcPr>
          <w:p w14:paraId="29404BBD" w14:textId="46543586" w:rsidR="00651997" w:rsidRDefault="00651997" w:rsidP="00B527FA">
            <w:pPr>
              <w:rPr>
                <w:rFonts w:cstheme="minorHAnsi"/>
                <w:szCs w:val="20"/>
              </w:rPr>
            </w:pPr>
            <w:r>
              <w:rPr>
                <w:rFonts w:cstheme="minorHAnsi"/>
                <w:szCs w:val="20"/>
              </w:rPr>
              <w:t>David Douglass-Jaimes, TRC</w:t>
            </w:r>
          </w:p>
        </w:tc>
        <w:tc>
          <w:tcPr>
            <w:tcW w:w="3239" w:type="pct"/>
          </w:tcPr>
          <w:p w14:paraId="359C21A2" w14:textId="77777777" w:rsidR="00651997" w:rsidRDefault="00651997" w:rsidP="00B527FA">
            <w:pPr>
              <w:numPr>
                <w:ilvl w:val="0"/>
                <w:numId w:val="35"/>
              </w:numPr>
              <w:rPr>
                <w:rFonts w:cstheme="minorHAnsi"/>
                <w:szCs w:val="20"/>
              </w:rPr>
            </w:pPr>
            <w:r>
              <w:rPr>
                <w:rFonts w:cstheme="minorHAnsi"/>
                <w:szCs w:val="20"/>
              </w:rPr>
              <w:t>This work paper is an update of SCE13LG089.4</w:t>
            </w:r>
          </w:p>
          <w:p w14:paraId="7C476FEC" w14:textId="77777777" w:rsidR="00651997" w:rsidRDefault="00651997" w:rsidP="00B527FA">
            <w:pPr>
              <w:numPr>
                <w:ilvl w:val="0"/>
                <w:numId w:val="35"/>
              </w:numPr>
              <w:rPr>
                <w:rFonts w:cstheme="minorHAnsi"/>
                <w:szCs w:val="20"/>
              </w:rPr>
            </w:pPr>
            <w:r>
              <w:rPr>
                <w:rFonts w:cstheme="minorHAnsi"/>
                <w:szCs w:val="20"/>
              </w:rPr>
              <w:t>New calculation template for 2017 program year</w:t>
            </w:r>
          </w:p>
          <w:p w14:paraId="5B9DAF5D" w14:textId="77777777" w:rsidR="00B84808" w:rsidRDefault="00B84808" w:rsidP="00B527FA">
            <w:pPr>
              <w:numPr>
                <w:ilvl w:val="0"/>
                <w:numId w:val="35"/>
              </w:numPr>
              <w:rPr>
                <w:rFonts w:cstheme="minorHAnsi"/>
                <w:szCs w:val="20"/>
              </w:rPr>
            </w:pPr>
            <w:r>
              <w:rPr>
                <w:rFonts w:cstheme="minorHAnsi"/>
                <w:szCs w:val="20"/>
              </w:rPr>
              <w:t>Updated code reference to Title 24 2016</w:t>
            </w:r>
          </w:p>
          <w:p w14:paraId="5EF7FE2A" w14:textId="77777777" w:rsidR="00B84808" w:rsidRDefault="00B84808" w:rsidP="00B527FA">
            <w:pPr>
              <w:numPr>
                <w:ilvl w:val="0"/>
                <w:numId w:val="35"/>
              </w:numPr>
              <w:rPr>
                <w:rFonts w:cstheme="minorHAnsi"/>
                <w:szCs w:val="20"/>
              </w:rPr>
            </w:pPr>
            <w:r>
              <w:rPr>
                <w:rFonts w:cstheme="minorHAnsi"/>
                <w:szCs w:val="20"/>
              </w:rPr>
              <w:t>Updated DesignLights Consortium Qualified Products List requirements</w:t>
            </w:r>
          </w:p>
          <w:p w14:paraId="69CC28B9" w14:textId="0D919341" w:rsidR="0084662C" w:rsidRPr="0084662C" w:rsidRDefault="0084662C" w:rsidP="0084662C">
            <w:pPr>
              <w:numPr>
                <w:ilvl w:val="0"/>
                <w:numId w:val="35"/>
              </w:numPr>
              <w:rPr>
                <w:rFonts w:cstheme="minorHAnsi"/>
                <w:szCs w:val="20"/>
              </w:rPr>
            </w:pPr>
            <w:r>
              <w:rPr>
                <w:rFonts w:cstheme="minorHAnsi"/>
                <w:szCs w:val="20"/>
              </w:rPr>
              <w:t>Removed ROB and changed EUL per Resolution E-4807</w:t>
            </w:r>
          </w:p>
          <w:p w14:paraId="22A655EC" w14:textId="6ADE7C07" w:rsidR="00F52640" w:rsidRDefault="00F52640" w:rsidP="00B527FA">
            <w:pPr>
              <w:numPr>
                <w:ilvl w:val="0"/>
                <w:numId w:val="35"/>
              </w:numPr>
              <w:rPr>
                <w:rFonts w:cstheme="minorHAnsi"/>
                <w:szCs w:val="20"/>
              </w:rPr>
            </w:pPr>
            <w:r>
              <w:rPr>
                <w:rFonts w:cstheme="minorHAnsi"/>
                <w:szCs w:val="20"/>
              </w:rPr>
              <w:t>All (16) California Climate Zones added to calculation template</w:t>
            </w:r>
          </w:p>
        </w:tc>
      </w:tr>
    </w:tbl>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229C4284" w:rsidR="008877AF" w:rsidRPr="00EE4120" w:rsidRDefault="008877AF" w:rsidP="00A84BF9">
            <w:pPr>
              <w:rPr>
                <w:bCs/>
                <w:color w:val="FF0000"/>
              </w:rPr>
            </w:pPr>
          </w:p>
        </w:tc>
        <w:tc>
          <w:tcPr>
            <w:tcW w:w="351" w:type="pct"/>
          </w:tcPr>
          <w:p w14:paraId="23988046" w14:textId="31EE6B6F" w:rsidR="008877AF" w:rsidRPr="00EE4120" w:rsidRDefault="008877AF" w:rsidP="00A84BF9">
            <w:pPr>
              <w:rPr>
                <w:bCs/>
                <w:color w:val="FF0000"/>
                <w:szCs w:val="20"/>
              </w:rPr>
            </w:pPr>
          </w:p>
        </w:tc>
        <w:tc>
          <w:tcPr>
            <w:tcW w:w="548" w:type="pct"/>
          </w:tcPr>
          <w:p w14:paraId="4AB37DB0" w14:textId="271D8119" w:rsidR="008877AF" w:rsidRPr="00EE4120" w:rsidRDefault="008877AF" w:rsidP="00A84BF9">
            <w:pPr>
              <w:rPr>
                <w:bCs/>
                <w:color w:val="FF0000"/>
                <w:szCs w:val="20"/>
              </w:rPr>
            </w:pPr>
          </w:p>
        </w:tc>
        <w:tc>
          <w:tcPr>
            <w:tcW w:w="552" w:type="pct"/>
          </w:tcPr>
          <w:p w14:paraId="62E998F6" w14:textId="6E17EE4A" w:rsidR="008877AF" w:rsidRPr="00EE4120" w:rsidRDefault="008877AF" w:rsidP="00A84BF9">
            <w:pPr>
              <w:rPr>
                <w:bCs/>
                <w:color w:val="FF0000"/>
                <w:szCs w:val="20"/>
              </w:rPr>
            </w:pPr>
          </w:p>
        </w:tc>
        <w:tc>
          <w:tcPr>
            <w:tcW w:w="1634" w:type="pct"/>
          </w:tcPr>
          <w:p w14:paraId="369DEEE8" w14:textId="1EDBB769" w:rsidR="008877AF" w:rsidRPr="00F25B36" w:rsidRDefault="008877AF" w:rsidP="00077223">
            <w:pPr>
              <w:pStyle w:val="ListParagraph"/>
              <w:ind w:left="360"/>
              <w:rPr>
                <w:bCs/>
                <w:color w:val="FF0000"/>
                <w:szCs w:val="20"/>
              </w:rPr>
            </w:pPr>
          </w:p>
        </w:tc>
        <w:tc>
          <w:tcPr>
            <w:tcW w:w="1634" w:type="pct"/>
          </w:tcPr>
          <w:p w14:paraId="1ECCFDB6" w14:textId="2D93EC44" w:rsidR="008877AF" w:rsidRPr="00F25B36" w:rsidRDefault="008877AF" w:rsidP="00077223">
            <w:pPr>
              <w:pStyle w:val="ListParagraph"/>
              <w:ind w:left="360"/>
              <w:rPr>
                <w:bCs/>
                <w:color w:val="FF0000"/>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0A689F00" w14:textId="48C06226"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42E17B2" w14:textId="3F3E571D" w:rsidR="004E1E87" w:rsidRPr="004E1E87" w:rsidRDefault="004E1E87" w:rsidP="004E1E87">
            <w:pPr>
              <w:pStyle w:val="ListParagraph"/>
              <w:numPr>
                <w:ilvl w:val="0"/>
                <w:numId w:val="40"/>
              </w:numPr>
              <w:ind w:left="318" w:hanging="318"/>
              <w:rPr>
                <w:rFonts w:cs="Arial"/>
                <w:color w:val="FF0000"/>
                <w:szCs w:val="20"/>
              </w:rPr>
            </w:pPr>
            <w:r w:rsidRPr="004E1E87">
              <w:rPr>
                <w:rFonts w:cs="Arial"/>
                <w:szCs w:val="20"/>
              </w:rPr>
              <w:t>Vertical light emitting diode (LED) lighting system in refrigerated display cases</w:t>
            </w:r>
          </w:p>
          <w:p w14:paraId="5BFB3C97" w14:textId="074FE81A" w:rsidR="00D85F09" w:rsidRPr="004E1E87" w:rsidRDefault="004E1E87" w:rsidP="004E1E87">
            <w:pPr>
              <w:pStyle w:val="ListParagraph"/>
              <w:numPr>
                <w:ilvl w:val="0"/>
                <w:numId w:val="40"/>
              </w:numPr>
              <w:ind w:left="318" w:hanging="318"/>
              <w:rPr>
                <w:rFonts w:cs="Arial"/>
                <w:color w:val="FF0000"/>
                <w:szCs w:val="20"/>
              </w:rPr>
            </w:pPr>
            <w:r w:rsidRPr="004E1E87">
              <w:rPr>
                <w:rFonts w:cs="Arial"/>
                <w:szCs w:val="20"/>
              </w:rPr>
              <w:t>Horizontal LED lighting system in refrigerated display cases for shelf and canopy</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47FAC566" w:rsidR="00D85F09" w:rsidRPr="004E1E87" w:rsidRDefault="004E1E87" w:rsidP="00920905">
            <w:pPr>
              <w:rPr>
                <w:i/>
                <w:szCs w:val="20"/>
              </w:rPr>
            </w:pPr>
            <w:r w:rsidRPr="004E1E87">
              <w:rPr>
                <w:szCs w:val="20"/>
              </w:rPr>
              <w:t>N/A</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1B638C30" w14:textId="77777777" w:rsidR="004E1E87" w:rsidRPr="004E1E87" w:rsidRDefault="004E1E87" w:rsidP="004E1E87">
            <w:pPr>
              <w:pStyle w:val="ListParagraph"/>
              <w:numPr>
                <w:ilvl w:val="0"/>
                <w:numId w:val="41"/>
              </w:numPr>
              <w:ind w:left="318" w:hanging="270"/>
              <w:rPr>
                <w:rFonts w:cs="Arial"/>
                <w:szCs w:val="20"/>
              </w:rPr>
            </w:pPr>
            <w:r w:rsidRPr="004E1E87">
              <w:rPr>
                <w:rFonts w:cs="Arial"/>
                <w:szCs w:val="20"/>
              </w:rPr>
              <w:t>4-ft/5-ft T8 fluorescent fixture with electronic ballast and a 4-ft/5-ft/6-ft T12 HO fluorescent fixture with magnetic ballast in refrigerated display cases</w:t>
            </w:r>
          </w:p>
          <w:p w14:paraId="421D7A92" w14:textId="5505D119" w:rsidR="002344FB" w:rsidRPr="004E1E87" w:rsidRDefault="004E1E87" w:rsidP="004E1E87">
            <w:pPr>
              <w:pStyle w:val="ListParagraph"/>
              <w:numPr>
                <w:ilvl w:val="0"/>
                <w:numId w:val="41"/>
              </w:numPr>
              <w:ind w:left="318" w:hanging="270"/>
              <w:rPr>
                <w:rFonts w:cs="Arial"/>
                <w:szCs w:val="20"/>
              </w:rPr>
            </w:pPr>
            <w:r w:rsidRPr="004E1E87">
              <w:rPr>
                <w:szCs w:val="22"/>
              </w:rPr>
              <w:t>3-ft/4-ft T8 fluorescent fixture with electronic ballast and a 3-ft/4-ft T12/T12HO fluorescent fixture with magnetic ballast</w:t>
            </w:r>
            <w:r w:rsidRPr="004E1E87">
              <w:rPr>
                <w:rFonts w:cs="Arial"/>
                <w:szCs w:val="20"/>
              </w:rPr>
              <w:t xml:space="preserve"> in refrigerated display cases for shelf and canopy</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248FF92A" w:rsidR="00D85F09" w:rsidRPr="004E1E87" w:rsidRDefault="004E1E87" w:rsidP="00920905">
            <w:pPr>
              <w:rPr>
                <w:i/>
                <w:szCs w:val="20"/>
              </w:rPr>
            </w:pPr>
            <w:r w:rsidRPr="004E1E87">
              <w:rPr>
                <w:szCs w:val="20"/>
              </w:rPr>
              <w:t>N/A</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4E1E87" w:rsidRPr="00800706" w14:paraId="0290ADBE" w14:textId="77777777" w:rsidTr="004E1E87">
        <w:trPr>
          <w:trHeight w:val="243"/>
        </w:trPr>
        <w:tc>
          <w:tcPr>
            <w:tcW w:w="539" w:type="pct"/>
          </w:tcPr>
          <w:p w14:paraId="1CE709CC" w14:textId="012DD5B4" w:rsidR="004E1E87" w:rsidRPr="00920905" w:rsidRDefault="004E1E87" w:rsidP="004E1E87">
            <w:pPr>
              <w:rPr>
                <w:rFonts w:cstheme="minorHAnsi"/>
                <w:color w:val="FF0000"/>
                <w:szCs w:val="20"/>
              </w:rPr>
            </w:pPr>
            <w:r w:rsidRPr="004E1E87">
              <w:rPr>
                <w:rFonts w:cstheme="minorHAnsi"/>
                <w:szCs w:val="20"/>
              </w:rPr>
              <w:t>N/A</w:t>
            </w:r>
          </w:p>
        </w:tc>
        <w:tc>
          <w:tcPr>
            <w:tcW w:w="539" w:type="pct"/>
          </w:tcPr>
          <w:p w14:paraId="666F9F6A" w14:textId="658FE509" w:rsidR="004E1E87" w:rsidRPr="00920905" w:rsidRDefault="004E1E87" w:rsidP="004E1E87">
            <w:pPr>
              <w:rPr>
                <w:rFonts w:cstheme="minorHAnsi"/>
                <w:color w:val="FF0000"/>
                <w:szCs w:val="20"/>
              </w:rPr>
            </w:pPr>
            <w:r w:rsidRPr="004E1E87">
              <w:rPr>
                <w:rFonts w:cstheme="minorHAnsi"/>
                <w:szCs w:val="20"/>
              </w:rPr>
              <w:t>N/A</w:t>
            </w:r>
          </w:p>
        </w:tc>
        <w:tc>
          <w:tcPr>
            <w:tcW w:w="605" w:type="pct"/>
          </w:tcPr>
          <w:p w14:paraId="63438A36" w14:textId="7EE5900D" w:rsidR="004E1E87" w:rsidRPr="00920905" w:rsidRDefault="004E1E87" w:rsidP="004E1E87">
            <w:pPr>
              <w:rPr>
                <w:rFonts w:cstheme="minorHAnsi"/>
                <w:color w:val="FF0000"/>
                <w:szCs w:val="20"/>
              </w:rPr>
            </w:pPr>
            <w:r>
              <w:rPr>
                <w:rFonts w:cstheme="minorHAnsi"/>
                <w:color w:val="000000"/>
                <w:szCs w:val="20"/>
              </w:rPr>
              <w:t>LT-17642</w:t>
            </w:r>
          </w:p>
        </w:tc>
        <w:tc>
          <w:tcPr>
            <w:tcW w:w="673" w:type="pct"/>
          </w:tcPr>
          <w:p w14:paraId="311A1841" w14:textId="6E872931" w:rsidR="004E1E87" w:rsidRPr="004E1E87" w:rsidRDefault="004E1E87" w:rsidP="004E1E87">
            <w:pPr>
              <w:rPr>
                <w:rFonts w:cstheme="minorHAnsi"/>
                <w:szCs w:val="20"/>
              </w:rPr>
            </w:pPr>
            <w:r w:rsidRPr="004E1E87">
              <w:rPr>
                <w:rFonts w:cstheme="minorHAnsi"/>
                <w:szCs w:val="20"/>
              </w:rPr>
              <w:t>N/A</w:t>
            </w:r>
          </w:p>
        </w:tc>
        <w:tc>
          <w:tcPr>
            <w:tcW w:w="2644" w:type="pct"/>
            <w:vAlign w:val="bottom"/>
          </w:tcPr>
          <w:p w14:paraId="512138E6" w14:textId="1FF91506" w:rsidR="004E1E87" w:rsidRPr="00920905" w:rsidRDefault="004E1E87" w:rsidP="004E1E87">
            <w:pPr>
              <w:rPr>
                <w:color w:val="FF0000"/>
              </w:rPr>
            </w:pPr>
            <w:r>
              <w:rPr>
                <w:rFonts w:cstheme="minorHAnsi"/>
                <w:color w:val="000000"/>
                <w:szCs w:val="20"/>
              </w:rPr>
              <w:t xml:space="preserve">(1) 48in Medium Temp Reach-in Display Cases Canopy LED replacing (2) 48in T8 Linear Fluorescent </w:t>
            </w:r>
          </w:p>
        </w:tc>
      </w:tr>
      <w:tr w:rsidR="004E1E87" w:rsidRPr="00800706" w14:paraId="3EC8DDF0" w14:textId="77777777" w:rsidTr="004E1E87">
        <w:trPr>
          <w:trHeight w:val="243"/>
        </w:trPr>
        <w:tc>
          <w:tcPr>
            <w:tcW w:w="539" w:type="pct"/>
          </w:tcPr>
          <w:p w14:paraId="036611DE" w14:textId="566C0360" w:rsidR="004E1E87" w:rsidRPr="00350BF1" w:rsidRDefault="004E1E87" w:rsidP="004E1E87">
            <w:pPr>
              <w:rPr>
                <w:rFonts w:cstheme="minorHAnsi"/>
                <w:szCs w:val="20"/>
              </w:rPr>
            </w:pPr>
            <w:r w:rsidRPr="004E1E87">
              <w:rPr>
                <w:rFonts w:cstheme="minorHAnsi"/>
                <w:szCs w:val="20"/>
              </w:rPr>
              <w:t>N/A</w:t>
            </w:r>
          </w:p>
        </w:tc>
        <w:tc>
          <w:tcPr>
            <w:tcW w:w="539" w:type="pct"/>
          </w:tcPr>
          <w:p w14:paraId="7DC81BD5" w14:textId="5C526E99" w:rsidR="004E1E87" w:rsidRPr="00350BF1" w:rsidRDefault="004E1E87" w:rsidP="004E1E87">
            <w:pPr>
              <w:rPr>
                <w:rFonts w:cstheme="minorHAnsi"/>
                <w:szCs w:val="20"/>
              </w:rPr>
            </w:pPr>
            <w:r w:rsidRPr="004E1E87">
              <w:rPr>
                <w:rFonts w:cstheme="minorHAnsi"/>
                <w:szCs w:val="20"/>
              </w:rPr>
              <w:t>N/A</w:t>
            </w:r>
          </w:p>
        </w:tc>
        <w:tc>
          <w:tcPr>
            <w:tcW w:w="605" w:type="pct"/>
          </w:tcPr>
          <w:p w14:paraId="00E0B555" w14:textId="47D44566" w:rsidR="004E1E87" w:rsidRPr="00350BF1" w:rsidRDefault="004E1E87" w:rsidP="004E1E87">
            <w:pPr>
              <w:rPr>
                <w:rFonts w:cstheme="minorHAnsi"/>
                <w:szCs w:val="20"/>
              </w:rPr>
            </w:pPr>
            <w:r>
              <w:rPr>
                <w:rFonts w:cstheme="minorHAnsi"/>
                <w:color w:val="000000"/>
                <w:szCs w:val="20"/>
              </w:rPr>
              <w:t>LT-20643</w:t>
            </w:r>
          </w:p>
        </w:tc>
        <w:tc>
          <w:tcPr>
            <w:tcW w:w="673" w:type="pct"/>
          </w:tcPr>
          <w:p w14:paraId="479924EB" w14:textId="1A5EB528" w:rsidR="004E1E87" w:rsidRPr="004E1E87" w:rsidRDefault="004E1E87" w:rsidP="004E1E87">
            <w:pPr>
              <w:rPr>
                <w:rFonts w:cstheme="minorHAnsi"/>
                <w:szCs w:val="20"/>
              </w:rPr>
            </w:pPr>
            <w:r w:rsidRPr="004E1E87">
              <w:rPr>
                <w:rFonts w:cstheme="minorHAnsi"/>
                <w:szCs w:val="20"/>
              </w:rPr>
              <w:t>N/A</w:t>
            </w:r>
          </w:p>
        </w:tc>
        <w:tc>
          <w:tcPr>
            <w:tcW w:w="2644" w:type="pct"/>
            <w:vAlign w:val="bottom"/>
          </w:tcPr>
          <w:p w14:paraId="592A1733" w14:textId="31A85C13" w:rsidR="004E1E87" w:rsidRPr="00920905" w:rsidRDefault="004E1E87" w:rsidP="004E1E87">
            <w:r>
              <w:rPr>
                <w:rFonts w:cstheme="minorHAnsi"/>
                <w:color w:val="000000"/>
                <w:szCs w:val="20"/>
              </w:rPr>
              <w:t>(1) 48in Medium Temp Reach-in Display Cases Shelf LED replacing (1) 48in T12 Linear Fluorescent</w:t>
            </w:r>
          </w:p>
        </w:tc>
      </w:tr>
      <w:tr w:rsidR="004E1E87" w:rsidRPr="00800706" w14:paraId="31EE25D4" w14:textId="77777777" w:rsidTr="004E1E87">
        <w:trPr>
          <w:trHeight w:val="243"/>
        </w:trPr>
        <w:tc>
          <w:tcPr>
            <w:tcW w:w="539" w:type="pct"/>
          </w:tcPr>
          <w:p w14:paraId="5776DF29" w14:textId="08CA616E" w:rsidR="004E1E87" w:rsidRPr="00350BF1" w:rsidRDefault="004E1E87" w:rsidP="004E1E87">
            <w:pPr>
              <w:rPr>
                <w:rFonts w:cstheme="minorHAnsi"/>
                <w:szCs w:val="20"/>
              </w:rPr>
            </w:pPr>
            <w:r w:rsidRPr="004E1E87">
              <w:rPr>
                <w:rFonts w:cstheme="minorHAnsi"/>
                <w:szCs w:val="20"/>
              </w:rPr>
              <w:t>N/A</w:t>
            </w:r>
          </w:p>
        </w:tc>
        <w:tc>
          <w:tcPr>
            <w:tcW w:w="539" w:type="pct"/>
          </w:tcPr>
          <w:p w14:paraId="065C1F1C" w14:textId="6169C5BD" w:rsidR="004E1E87" w:rsidRPr="00350BF1" w:rsidRDefault="004E1E87" w:rsidP="004E1E87">
            <w:pPr>
              <w:rPr>
                <w:rFonts w:cstheme="minorHAnsi"/>
                <w:szCs w:val="20"/>
              </w:rPr>
            </w:pPr>
            <w:r w:rsidRPr="004E1E87">
              <w:rPr>
                <w:rFonts w:cstheme="minorHAnsi"/>
                <w:szCs w:val="20"/>
              </w:rPr>
              <w:t>N/A</w:t>
            </w:r>
          </w:p>
        </w:tc>
        <w:tc>
          <w:tcPr>
            <w:tcW w:w="605" w:type="pct"/>
          </w:tcPr>
          <w:p w14:paraId="17222847" w14:textId="35772B81" w:rsidR="004E1E87" w:rsidRPr="00350BF1" w:rsidRDefault="004E1E87" w:rsidP="004E1E87">
            <w:pPr>
              <w:rPr>
                <w:rFonts w:cstheme="minorHAnsi"/>
                <w:szCs w:val="20"/>
              </w:rPr>
            </w:pPr>
            <w:r>
              <w:rPr>
                <w:rFonts w:cstheme="minorHAnsi"/>
                <w:color w:val="000000"/>
                <w:szCs w:val="20"/>
              </w:rPr>
              <w:t>LT-30954</w:t>
            </w:r>
          </w:p>
        </w:tc>
        <w:tc>
          <w:tcPr>
            <w:tcW w:w="673" w:type="pct"/>
          </w:tcPr>
          <w:p w14:paraId="146FDAA0" w14:textId="3E587DB9" w:rsidR="004E1E87" w:rsidRPr="004E1E87" w:rsidRDefault="004E1E87" w:rsidP="004E1E87">
            <w:pPr>
              <w:rPr>
                <w:rFonts w:cstheme="minorHAnsi"/>
                <w:szCs w:val="20"/>
              </w:rPr>
            </w:pPr>
            <w:r w:rsidRPr="004E1E87">
              <w:rPr>
                <w:rFonts w:cstheme="minorHAnsi"/>
                <w:szCs w:val="20"/>
              </w:rPr>
              <w:t>N/A</w:t>
            </w:r>
          </w:p>
        </w:tc>
        <w:tc>
          <w:tcPr>
            <w:tcW w:w="2644" w:type="pct"/>
            <w:vAlign w:val="bottom"/>
          </w:tcPr>
          <w:p w14:paraId="2222F3C2" w14:textId="22E11707" w:rsidR="004E1E87" w:rsidRPr="00920905" w:rsidRDefault="004E1E87" w:rsidP="004E1E87">
            <w:r>
              <w:rPr>
                <w:rFonts w:cstheme="minorHAnsi"/>
                <w:color w:val="000000"/>
                <w:szCs w:val="20"/>
              </w:rPr>
              <w:t xml:space="preserve">(1) 48in Medium Temp Reach-in Display Cases Shelf LED replacing (1) 48in T8 Linear Fluorescent </w:t>
            </w:r>
          </w:p>
        </w:tc>
      </w:tr>
      <w:tr w:rsidR="004E1E87" w:rsidRPr="00800706" w14:paraId="2A0A03F4" w14:textId="77777777" w:rsidTr="004E1E87">
        <w:trPr>
          <w:trHeight w:val="243"/>
        </w:trPr>
        <w:tc>
          <w:tcPr>
            <w:tcW w:w="539" w:type="pct"/>
          </w:tcPr>
          <w:p w14:paraId="4045BF5B" w14:textId="570878F3" w:rsidR="004E1E87" w:rsidRPr="00350BF1" w:rsidRDefault="004E1E87" w:rsidP="004E1E87">
            <w:pPr>
              <w:rPr>
                <w:rFonts w:cstheme="minorHAnsi"/>
                <w:szCs w:val="20"/>
              </w:rPr>
            </w:pPr>
            <w:r w:rsidRPr="004E1E87">
              <w:rPr>
                <w:rFonts w:cstheme="minorHAnsi"/>
                <w:szCs w:val="20"/>
              </w:rPr>
              <w:t>N/A</w:t>
            </w:r>
          </w:p>
        </w:tc>
        <w:tc>
          <w:tcPr>
            <w:tcW w:w="539" w:type="pct"/>
          </w:tcPr>
          <w:p w14:paraId="4ECACBE4" w14:textId="31D3BB8D" w:rsidR="004E1E87" w:rsidRPr="00350BF1" w:rsidRDefault="004E1E87" w:rsidP="004E1E87">
            <w:pPr>
              <w:rPr>
                <w:rFonts w:cstheme="minorHAnsi"/>
                <w:szCs w:val="20"/>
              </w:rPr>
            </w:pPr>
            <w:r w:rsidRPr="004E1E87">
              <w:rPr>
                <w:rFonts w:cstheme="minorHAnsi"/>
                <w:szCs w:val="20"/>
              </w:rPr>
              <w:t>N/A</w:t>
            </w:r>
          </w:p>
        </w:tc>
        <w:tc>
          <w:tcPr>
            <w:tcW w:w="605" w:type="pct"/>
          </w:tcPr>
          <w:p w14:paraId="54FCCEC1" w14:textId="37CCB859" w:rsidR="004E1E87" w:rsidRPr="00350BF1" w:rsidRDefault="004E1E87" w:rsidP="004E1E87">
            <w:pPr>
              <w:rPr>
                <w:rFonts w:cstheme="minorHAnsi"/>
                <w:szCs w:val="20"/>
              </w:rPr>
            </w:pPr>
            <w:r>
              <w:rPr>
                <w:rFonts w:cstheme="minorHAnsi"/>
                <w:color w:val="000000"/>
                <w:szCs w:val="20"/>
              </w:rPr>
              <w:t>LT-49651</w:t>
            </w:r>
          </w:p>
        </w:tc>
        <w:tc>
          <w:tcPr>
            <w:tcW w:w="673" w:type="pct"/>
          </w:tcPr>
          <w:p w14:paraId="0194B5A8" w14:textId="79347A41" w:rsidR="004E1E87" w:rsidRPr="004E1E87" w:rsidRDefault="004E1E87" w:rsidP="004E1E87">
            <w:pPr>
              <w:rPr>
                <w:rFonts w:cstheme="minorHAnsi"/>
                <w:szCs w:val="20"/>
              </w:rPr>
            </w:pPr>
            <w:r w:rsidRPr="004E1E87">
              <w:rPr>
                <w:rFonts w:cstheme="minorHAnsi"/>
                <w:szCs w:val="20"/>
              </w:rPr>
              <w:t>N/A</w:t>
            </w:r>
          </w:p>
        </w:tc>
        <w:tc>
          <w:tcPr>
            <w:tcW w:w="2644" w:type="pct"/>
            <w:vAlign w:val="bottom"/>
          </w:tcPr>
          <w:p w14:paraId="4109A4F4" w14:textId="303D1E04" w:rsidR="004E1E87" w:rsidRPr="00920905" w:rsidRDefault="004E1E87" w:rsidP="004E1E87">
            <w:r>
              <w:rPr>
                <w:rFonts w:cstheme="minorHAnsi"/>
                <w:color w:val="000000"/>
                <w:szCs w:val="20"/>
              </w:rPr>
              <w:t>(1) 36in Medium Temp Reach-in Display Cases Canopy LED replacing (2) 36in T12 Linear Fluorescent</w:t>
            </w:r>
          </w:p>
        </w:tc>
      </w:tr>
      <w:tr w:rsidR="004E1E87" w:rsidRPr="00800706" w14:paraId="2A0CDF72" w14:textId="77777777" w:rsidTr="004E1E87">
        <w:trPr>
          <w:trHeight w:val="243"/>
        </w:trPr>
        <w:tc>
          <w:tcPr>
            <w:tcW w:w="539" w:type="pct"/>
          </w:tcPr>
          <w:p w14:paraId="5A0D6E00" w14:textId="7B14E0C2" w:rsidR="004E1E87" w:rsidRPr="00350BF1" w:rsidRDefault="004E1E87" w:rsidP="004E1E87">
            <w:pPr>
              <w:rPr>
                <w:rFonts w:cstheme="minorHAnsi"/>
                <w:szCs w:val="20"/>
              </w:rPr>
            </w:pPr>
            <w:r w:rsidRPr="004E1E87">
              <w:rPr>
                <w:rFonts w:cstheme="minorHAnsi"/>
                <w:szCs w:val="20"/>
              </w:rPr>
              <w:t>N/A</w:t>
            </w:r>
          </w:p>
        </w:tc>
        <w:tc>
          <w:tcPr>
            <w:tcW w:w="539" w:type="pct"/>
          </w:tcPr>
          <w:p w14:paraId="5041C9FE" w14:textId="22CEEC89" w:rsidR="004E1E87" w:rsidRPr="00350BF1" w:rsidRDefault="004E1E87" w:rsidP="004E1E87">
            <w:pPr>
              <w:rPr>
                <w:rFonts w:cstheme="minorHAnsi"/>
                <w:szCs w:val="20"/>
              </w:rPr>
            </w:pPr>
            <w:r w:rsidRPr="004E1E87">
              <w:rPr>
                <w:rFonts w:cstheme="minorHAnsi"/>
                <w:szCs w:val="20"/>
              </w:rPr>
              <w:t>N/A</w:t>
            </w:r>
          </w:p>
        </w:tc>
        <w:tc>
          <w:tcPr>
            <w:tcW w:w="605" w:type="pct"/>
          </w:tcPr>
          <w:p w14:paraId="06EF06DE" w14:textId="43C908EC" w:rsidR="004E1E87" w:rsidRPr="00350BF1" w:rsidRDefault="004E1E87" w:rsidP="004E1E87">
            <w:pPr>
              <w:rPr>
                <w:rFonts w:cstheme="minorHAnsi"/>
                <w:szCs w:val="20"/>
              </w:rPr>
            </w:pPr>
            <w:r>
              <w:rPr>
                <w:rFonts w:cstheme="minorHAnsi"/>
                <w:color w:val="000000"/>
                <w:szCs w:val="20"/>
              </w:rPr>
              <w:t>LT-58674</w:t>
            </w:r>
          </w:p>
        </w:tc>
        <w:tc>
          <w:tcPr>
            <w:tcW w:w="673" w:type="pct"/>
          </w:tcPr>
          <w:p w14:paraId="1AE73437" w14:textId="6D430B3E" w:rsidR="004E1E87" w:rsidRPr="004E1E87" w:rsidRDefault="004E1E87" w:rsidP="004E1E87">
            <w:pPr>
              <w:rPr>
                <w:rFonts w:cstheme="minorHAnsi"/>
                <w:szCs w:val="20"/>
              </w:rPr>
            </w:pPr>
            <w:r w:rsidRPr="004E1E87">
              <w:rPr>
                <w:rFonts w:cstheme="minorHAnsi"/>
                <w:szCs w:val="20"/>
              </w:rPr>
              <w:t>N/A</w:t>
            </w:r>
          </w:p>
        </w:tc>
        <w:tc>
          <w:tcPr>
            <w:tcW w:w="2644" w:type="pct"/>
            <w:vAlign w:val="bottom"/>
          </w:tcPr>
          <w:p w14:paraId="32CAD2FC" w14:textId="33B55B51" w:rsidR="004E1E87" w:rsidRPr="00920905" w:rsidRDefault="004E1E87" w:rsidP="004E1E87">
            <w:r>
              <w:rPr>
                <w:rFonts w:cstheme="minorHAnsi"/>
                <w:color w:val="000000"/>
                <w:szCs w:val="20"/>
              </w:rPr>
              <w:t>(1) 36in Medium Temp Reach-in Display Cases Canopy LED replacing (2) 36in T8 Linear Fluorescent</w:t>
            </w:r>
          </w:p>
        </w:tc>
      </w:tr>
      <w:tr w:rsidR="004E1E87" w:rsidRPr="00800706" w14:paraId="1B264208" w14:textId="77777777" w:rsidTr="004E1E87">
        <w:trPr>
          <w:trHeight w:val="243"/>
        </w:trPr>
        <w:tc>
          <w:tcPr>
            <w:tcW w:w="539" w:type="pct"/>
          </w:tcPr>
          <w:p w14:paraId="66ED808A" w14:textId="6AFF748D" w:rsidR="004E1E87" w:rsidRPr="00350BF1" w:rsidRDefault="004E1E87" w:rsidP="004E1E87">
            <w:pPr>
              <w:rPr>
                <w:rFonts w:cstheme="minorHAnsi"/>
                <w:szCs w:val="20"/>
              </w:rPr>
            </w:pPr>
            <w:r w:rsidRPr="004E1E87">
              <w:rPr>
                <w:rFonts w:cstheme="minorHAnsi"/>
                <w:szCs w:val="20"/>
              </w:rPr>
              <w:t>N/A</w:t>
            </w:r>
          </w:p>
        </w:tc>
        <w:tc>
          <w:tcPr>
            <w:tcW w:w="539" w:type="pct"/>
          </w:tcPr>
          <w:p w14:paraId="40691BAE" w14:textId="77551537" w:rsidR="004E1E87" w:rsidRPr="00350BF1" w:rsidRDefault="004E1E87" w:rsidP="004E1E87">
            <w:pPr>
              <w:rPr>
                <w:rFonts w:cstheme="minorHAnsi"/>
                <w:szCs w:val="20"/>
              </w:rPr>
            </w:pPr>
            <w:r w:rsidRPr="004E1E87">
              <w:rPr>
                <w:rFonts w:cstheme="minorHAnsi"/>
                <w:szCs w:val="20"/>
              </w:rPr>
              <w:t>N/A</w:t>
            </w:r>
          </w:p>
        </w:tc>
        <w:tc>
          <w:tcPr>
            <w:tcW w:w="605" w:type="pct"/>
          </w:tcPr>
          <w:p w14:paraId="1B57AB1E" w14:textId="1268105E" w:rsidR="004E1E87" w:rsidRPr="00350BF1" w:rsidRDefault="004E1E87" w:rsidP="004E1E87">
            <w:pPr>
              <w:rPr>
                <w:rFonts w:cstheme="minorHAnsi"/>
                <w:szCs w:val="20"/>
              </w:rPr>
            </w:pPr>
            <w:r>
              <w:rPr>
                <w:rFonts w:cstheme="minorHAnsi"/>
                <w:color w:val="000000"/>
                <w:szCs w:val="20"/>
              </w:rPr>
              <w:t>LT-65612</w:t>
            </w:r>
          </w:p>
        </w:tc>
        <w:tc>
          <w:tcPr>
            <w:tcW w:w="673" w:type="pct"/>
          </w:tcPr>
          <w:p w14:paraId="0D4C6DA0" w14:textId="40133EA3" w:rsidR="004E1E87" w:rsidRPr="004E1E87" w:rsidRDefault="004E1E87" w:rsidP="004E1E87">
            <w:pPr>
              <w:rPr>
                <w:rFonts w:cstheme="minorHAnsi"/>
                <w:szCs w:val="20"/>
              </w:rPr>
            </w:pPr>
            <w:r w:rsidRPr="004E1E87">
              <w:rPr>
                <w:rFonts w:cstheme="minorHAnsi"/>
                <w:szCs w:val="20"/>
              </w:rPr>
              <w:t>N/A</w:t>
            </w:r>
          </w:p>
        </w:tc>
        <w:tc>
          <w:tcPr>
            <w:tcW w:w="2644" w:type="pct"/>
            <w:vAlign w:val="bottom"/>
          </w:tcPr>
          <w:p w14:paraId="481650CA" w14:textId="4F7D006D" w:rsidR="004E1E87" w:rsidRPr="00920905" w:rsidRDefault="004E1E87" w:rsidP="004E1E87">
            <w:r>
              <w:rPr>
                <w:rFonts w:cstheme="minorHAnsi"/>
                <w:color w:val="000000"/>
                <w:szCs w:val="20"/>
              </w:rPr>
              <w:t>(1) 36in Medium Temp Reach-in Display Cases Shelf LED replacing (1) 36in T12 Linear Fluorescent</w:t>
            </w:r>
          </w:p>
        </w:tc>
      </w:tr>
      <w:tr w:rsidR="004E1E87" w:rsidRPr="00800706" w14:paraId="70ED72A6" w14:textId="77777777" w:rsidTr="004E1E87">
        <w:trPr>
          <w:trHeight w:val="243"/>
        </w:trPr>
        <w:tc>
          <w:tcPr>
            <w:tcW w:w="539" w:type="pct"/>
          </w:tcPr>
          <w:p w14:paraId="7AE15B94" w14:textId="65272BA6" w:rsidR="004E1E87" w:rsidRPr="00350BF1" w:rsidRDefault="004E1E87" w:rsidP="004E1E87">
            <w:pPr>
              <w:rPr>
                <w:rFonts w:cstheme="minorHAnsi"/>
                <w:szCs w:val="20"/>
              </w:rPr>
            </w:pPr>
            <w:r w:rsidRPr="004E1E87">
              <w:rPr>
                <w:rFonts w:cstheme="minorHAnsi"/>
                <w:szCs w:val="20"/>
              </w:rPr>
              <w:t>N/A</w:t>
            </w:r>
          </w:p>
        </w:tc>
        <w:tc>
          <w:tcPr>
            <w:tcW w:w="539" w:type="pct"/>
          </w:tcPr>
          <w:p w14:paraId="328346C9" w14:textId="161BC9D5" w:rsidR="004E1E87" w:rsidRPr="00350BF1" w:rsidRDefault="004E1E87" w:rsidP="004E1E87">
            <w:pPr>
              <w:rPr>
                <w:rFonts w:cstheme="minorHAnsi"/>
                <w:szCs w:val="20"/>
              </w:rPr>
            </w:pPr>
            <w:r w:rsidRPr="004E1E87">
              <w:rPr>
                <w:rFonts w:cstheme="minorHAnsi"/>
                <w:szCs w:val="20"/>
              </w:rPr>
              <w:t>N/A</w:t>
            </w:r>
          </w:p>
        </w:tc>
        <w:tc>
          <w:tcPr>
            <w:tcW w:w="605" w:type="pct"/>
          </w:tcPr>
          <w:p w14:paraId="713F56F9" w14:textId="3D489654" w:rsidR="004E1E87" w:rsidRPr="00350BF1" w:rsidRDefault="004E1E87" w:rsidP="004E1E87">
            <w:pPr>
              <w:rPr>
                <w:rFonts w:cstheme="minorHAnsi"/>
                <w:szCs w:val="20"/>
              </w:rPr>
            </w:pPr>
            <w:r>
              <w:rPr>
                <w:rFonts w:cstheme="minorHAnsi"/>
                <w:color w:val="000000"/>
                <w:szCs w:val="20"/>
              </w:rPr>
              <w:t>LT-69439</w:t>
            </w:r>
          </w:p>
        </w:tc>
        <w:tc>
          <w:tcPr>
            <w:tcW w:w="673" w:type="pct"/>
          </w:tcPr>
          <w:p w14:paraId="25F87303" w14:textId="5B49F76A" w:rsidR="004E1E87" w:rsidRPr="004E1E87" w:rsidRDefault="004E1E87" w:rsidP="004E1E87">
            <w:pPr>
              <w:rPr>
                <w:rFonts w:cstheme="minorHAnsi"/>
                <w:szCs w:val="20"/>
              </w:rPr>
            </w:pPr>
            <w:r w:rsidRPr="004E1E87">
              <w:rPr>
                <w:rFonts w:cstheme="minorHAnsi"/>
                <w:szCs w:val="20"/>
              </w:rPr>
              <w:t>N/A</w:t>
            </w:r>
          </w:p>
        </w:tc>
        <w:tc>
          <w:tcPr>
            <w:tcW w:w="2644" w:type="pct"/>
            <w:vAlign w:val="bottom"/>
          </w:tcPr>
          <w:p w14:paraId="47610AF0" w14:textId="098632D0" w:rsidR="004E1E87" w:rsidRPr="00920905" w:rsidRDefault="004E1E87" w:rsidP="004E1E87">
            <w:r>
              <w:rPr>
                <w:rFonts w:cstheme="minorHAnsi"/>
                <w:color w:val="000000"/>
                <w:szCs w:val="20"/>
              </w:rPr>
              <w:t>(1) 60in Retrofits in Low Temp Reach-in Display Cases LED replacing (1) 60in T12 Linear Fluorescent</w:t>
            </w:r>
          </w:p>
        </w:tc>
      </w:tr>
      <w:tr w:rsidR="004E1E87" w:rsidRPr="00800706" w14:paraId="328B7E41" w14:textId="77777777" w:rsidTr="004E1E87">
        <w:trPr>
          <w:trHeight w:val="243"/>
        </w:trPr>
        <w:tc>
          <w:tcPr>
            <w:tcW w:w="539" w:type="pct"/>
          </w:tcPr>
          <w:p w14:paraId="16550A87" w14:textId="2AC264D6" w:rsidR="004E1E87" w:rsidRPr="00350BF1" w:rsidRDefault="004E1E87" w:rsidP="004E1E87">
            <w:pPr>
              <w:rPr>
                <w:rFonts w:cstheme="minorHAnsi"/>
                <w:szCs w:val="20"/>
              </w:rPr>
            </w:pPr>
            <w:r w:rsidRPr="004E1E87">
              <w:rPr>
                <w:rFonts w:cstheme="minorHAnsi"/>
                <w:szCs w:val="20"/>
              </w:rPr>
              <w:t>N/A</w:t>
            </w:r>
          </w:p>
        </w:tc>
        <w:tc>
          <w:tcPr>
            <w:tcW w:w="539" w:type="pct"/>
          </w:tcPr>
          <w:p w14:paraId="5781A845" w14:textId="431AA4C1" w:rsidR="004E1E87" w:rsidRPr="00350BF1" w:rsidRDefault="004E1E87" w:rsidP="004E1E87">
            <w:pPr>
              <w:rPr>
                <w:rFonts w:cstheme="minorHAnsi"/>
                <w:szCs w:val="20"/>
              </w:rPr>
            </w:pPr>
            <w:r w:rsidRPr="004E1E87">
              <w:rPr>
                <w:rFonts w:cstheme="minorHAnsi"/>
                <w:szCs w:val="20"/>
              </w:rPr>
              <w:t>N/A</w:t>
            </w:r>
          </w:p>
        </w:tc>
        <w:tc>
          <w:tcPr>
            <w:tcW w:w="605" w:type="pct"/>
          </w:tcPr>
          <w:p w14:paraId="242146FE" w14:textId="24BBE67D" w:rsidR="004E1E87" w:rsidRPr="00350BF1" w:rsidRDefault="004E1E87" w:rsidP="004E1E87">
            <w:pPr>
              <w:rPr>
                <w:rFonts w:cstheme="minorHAnsi"/>
                <w:szCs w:val="20"/>
              </w:rPr>
            </w:pPr>
            <w:r>
              <w:rPr>
                <w:rFonts w:cstheme="minorHAnsi"/>
                <w:color w:val="000000"/>
                <w:szCs w:val="20"/>
              </w:rPr>
              <w:t>LT-75912</w:t>
            </w:r>
          </w:p>
        </w:tc>
        <w:tc>
          <w:tcPr>
            <w:tcW w:w="673" w:type="pct"/>
          </w:tcPr>
          <w:p w14:paraId="2BAD55A4" w14:textId="3FA58775" w:rsidR="004E1E87" w:rsidRPr="004E1E87" w:rsidRDefault="004E1E87" w:rsidP="004E1E87">
            <w:pPr>
              <w:rPr>
                <w:rFonts w:cstheme="minorHAnsi"/>
                <w:szCs w:val="20"/>
              </w:rPr>
            </w:pPr>
            <w:r w:rsidRPr="004E1E87">
              <w:rPr>
                <w:rFonts w:cstheme="minorHAnsi"/>
                <w:szCs w:val="20"/>
              </w:rPr>
              <w:t>N/A</w:t>
            </w:r>
          </w:p>
        </w:tc>
        <w:tc>
          <w:tcPr>
            <w:tcW w:w="2644" w:type="pct"/>
            <w:vAlign w:val="bottom"/>
          </w:tcPr>
          <w:p w14:paraId="33BB467A" w14:textId="7C580789" w:rsidR="004E1E87" w:rsidRPr="00920905" w:rsidRDefault="004E1E87" w:rsidP="004E1E87">
            <w:r>
              <w:rPr>
                <w:rFonts w:cstheme="minorHAnsi"/>
                <w:color w:val="000000"/>
                <w:szCs w:val="20"/>
              </w:rPr>
              <w:t>(1) 36in Medium Temp Reach-in Display Cases Shelf LED replacing (1) 36in T8 Linear Fluorescent</w:t>
            </w:r>
          </w:p>
        </w:tc>
      </w:tr>
      <w:tr w:rsidR="004E1E87" w:rsidRPr="00800706" w14:paraId="21AEFDBE" w14:textId="77777777" w:rsidTr="004E1E87">
        <w:trPr>
          <w:trHeight w:val="243"/>
        </w:trPr>
        <w:tc>
          <w:tcPr>
            <w:tcW w:w="539" w:type="pct"/>
          </w:tcPr>
          <w:p w14:paraId="17C9713A" w14:textId="7EA31DEF" w:rsidR="004E1E87" w:rsidRPr="00350BF1" w:rsidRDefault="004E1E87" w:rsidP="004E1E87">
            <w:pPr>
              <w:rPr>
                <w:rFonts w:cstheme="minorHAnsi"/>
                <w:szCs w:val="20"/>
              </w:rPr>
            </w:pPr>
            <w:r w:rsidRPr="004E1E87">
              <w:rPr>
                <w:rFonts w:cstheme="minorHAnsi"/>
                <w:szCs w:val="20"/>
              </w:rPr>
              <w:t>N/A</w:t>
            </w:r>
          </w:p>
        </w:tc>
        <w:tc>
          <w:tcPr>
            <w:tcW w:w="539" w:type="pct"/>
          </w:tcPr>
          <w:p w14:paraId="2609876D" w14:textId="702F58AD" w:rsidR="004E1E87" w:rsidRPr="00350BF1" w:rsidRDefault="004E1E87" w:rsidP="004E1E87">
            <w:pPr>
              <w:rPr>
                <w:rFonts w:cstheme="minorHAnsi"/>
                <w:szCs w:val="20"/>
              </w:rPr>
            </w:pPr>
            <w:r w:rsidRPr="004E1E87">
              <w:rPr>
                <w:rFonts w:cstheme="minorHAnsi"/>
                <w:szCs w:val="20"/>
              </w:rPr>
              <w:t>N/A</w:t>
            </w:r>
          </w:p>
        </w:tc>
        <w:tc>
          <w:tcPr>
            <w:tcW w:w="605" w:type="pct"/>
          </w:tcPr>
          <w:p w14:paraId="569D33C4" w14:textId="5786184F" w:rsidR="004E1E87" w:rsidRPr="00350BF1" w:rsidRDefault="004E1E87" w:rsidP="004E1E87">
            <w:pPr>
              <w:rPr>
                <w:rFonts w:cstheme="minorHAnsi"/>
                <w:szCs w:val="20"/>
              </w:rPr>
            </w:pPr>
            <w:r>
              <w:rPr>
                <w:rFonts w:cstheme="minorHAnsi"/>
                <w:color w:val="000000"/>
                <w:szCs w:val="20"/>
              </w:rPr>
              <w:t>LT-78303</w:t>
            </w:r>
          </w:p>
        </w:tc>
        <w:tc>
          <w:tcPr>
            <w:tcW w:w="673" w:type="pct"/>
          </w:tcPr>
          <w:p w14:paraId="67D7D7DE" w14:textId="4C4A6733" w:rsidR="004E1E87" w:rsidRPr="004E1E87" w:rsidRDefault="004E1E87" w:rsidP="004E1E87">
            <w:pPr>
              <w:rPr>
                <w:rFonts w:cstheme="minorHAnsi"/>
                <w:szCs w:val="20"/>
              </w:rPr>
            </w:pPr>
            <w:r w:rsidRPr="004E1E87">
              <w:rPr>
                <w:rFonts w:cstheme="minorHAnsi"/>
                <w:szCs w:val="20"/>
              </w:rPr>
              <w:t>N/A</w:t>
            </w:r>
          </w:p>
        </w:tc>
        <w:tc>
          <w:tcPr>
            <w:tcW w:w="2644" w:type="pct"/>
            <w:vAlign w:val="bottom"/>
          </w:tcPr>
          <w:p w14:paraId="5E814E8A" w14:textId="582618E4" w:rsidR="004E1E87" w:rsidRPr="00920905" w:rsidRDefault="004E1E87" w:rsidP="004E1E87">
            <w:r>
              <w:rPr>
                <w:rFonts w:cstheme="minorHAnsi"/>
                <w:color w:val="000000"/>
                <w:szCs w:val="20"/>
              </w:rPr>
              <w:t>(1) 60in Retrofits in Low Temp Reach-in Display Cases LED replacing (1) 60in T8 Linear Fluorescent</w:t>
            </w:r>
          </w:p>
        </w:tc>
      </w:tr>
      <w:tr w:rsidR="004E1E87" w:rsidRPr="00800706" w14:paraId="1CA676E3" w14:textId="77777777" w:rsidTr="004E1E87">
        <w:trPr>
          <w:trHeight w:val="243"/>
        </w:trPr>
        <w:tc>
          <w:tcPr>
            <w:tcW w:w="539" w:type="pct"/>
          </w:tcPr>
          <w:p w14:paraId="25242E39" w14:textId="52C062DE" w:rsidR="004E1E87" w:rsidRPr="00350BF1" w:rsidRDefault="004E1E87" w:rsidP="004E1E87">
            <w:pPr>
              <w:rPr>
                <w:rFonts w:cstheme="minorHAnsi"/>
                <w:szCs w:val="20"/>
              </w:rPr>
            </w:pPr>
            <w:r w:rsidRPr="004E1E87">
              <w:rPr>
                <w:rFonts w:cstheme="minorHAnsi"/>
                <w:szCs w:val="20"/>
              </w:rPr>
              <w:t>N/A</w:t>
            </w:r>
          </w:p>
        </w:tc>
        <w:tc>
          <w:tcPr>
            <w:tcW w:w="539" w:type="pct"/>
          </w:tcPr>
          <w:p w14:paraId="780E0C4E" w14:textId="6369D982" w:rsidR="004E1E87" w:rsidRPr="00350BF1" w:rsidRDefault="004E1E87" w:rsidP="004E1E87">
            <w:pPr>
              <w:rPr>
                <w:rFonts w:cstheme="minorHAnsi"/>
                <w:szCs w:val="20"/>
              </w:rPr>
            </w:pPr>
            <w:r w:rsidRPr="004E1E87">
              <w:rPr>
                <w:rFonts w:cstheme="minorHAnsi"/>
                <w:szCs w:val="20"/>
              </w:rPr>
              <w:t>N/A</w:t>
            </w:r>
          </w:p>
        </w:tc>
        <w:tc>
          <w:tcPr>
            <w:tcW w:w="605" w:type="pct"/>
          </w:tcPr>
          <w:p w14:paraId="4DFB171A" w14:textId="4E5F72CE" w:rsidR="004E1E87" w:rsidRPr="00350BF1" w:rsidRDefault="004E1E87" w:rsidP="004E1E87">
            <w:pPr>
              <w:rPr>
                <w:rFonts w:cstheme="minorHAnsi"/>
                <w:szCs w:val="20"/>
              </w:rPr>
            </w:pPr>
            <w:r>
              <w:rPr>
                <w:rFonts w:cstheme="minorHAnsi"/>
                <w:color w:val="000000"/>
                <w:szCs w:val="20"/>
              </w:rPr>
              <w:t>LT-79548</w:t>
            </w:r>
          </w:p>
        </w:tc>
        <w:tc>
          <w:tcPr>
            <w:tcW w:w="673" w:type="pct"/>
          </w:tcPr>
          <w:p w14:paraId="34B22992" w14:textId="1F9E6126" w:rsidR="004E1E87" w:rsidRPr="004E1E87" w:rsidRDefault="004E1E87" w:rsidP="004E1E87">
            <w:pPr>
              <w:rPr>
                <w:rFonts w:cstheme="minorHAnsi"/>
                <w:szCs w:val="20"/>
              </w:rPr>
            </w:pPr>
            <w:r w:rsidRPr="004E1E87">
              <w:rPr>
                <w:rFonts w:cstheme="minorHAnsi"/>
                <w:szCs w:val="20"/>
              </w:rPr>
              <w:t>N/A</w:t>
            </w:r>
          </w:p>
        </w:tc>
        <w:tc>
          <w:tcPr>
            <w:tcW w:w="2644" w:type="pct"/>
            <w:vAlign w:val="bottom"/>
          </w:tcPr>
          <w:p w14:paraId="31F199CF" w14:textId="4895C210" w:rsidR="004E1E87" w:rsidRPr="00920905" w:rsidRDefault="004E1E87" w:rsidP="004E1E87">
            <w:r>
              <w:rPr>
                <w:rFonts w:cstheme="minorHAnsi"/>
                <w:color w:val="000000"/>
                <w:szCs w:val="20"/>
              </w:rPr>
              <w:t>(1) 72in Retrofits in Medium Temp Reach-in Display Cases LED replacing (1) 72in T12 Linear Fluorescent</w:t>
            </w:r>
          </w:p>
        </w:tc>
      </w:tr>
      <w:tr w:rsidR="004E1E87" w:rsidRPr="00800706" w14:paraId="0ABD48DB" w14:textId="77777777" w:rsidTr="004E1E87">
        <w:trPr>
          <w:trHeight w:val="243"/>
        </w:trPr>
        <w:tc>
          <w:tcPr>
            <w:tcW w:w="539" w:type="pct"/>
          </w:tcPr>
          <w:p w14:paraId="3CA30318" w14:textId="399DC108" w:rsidR="004E1E87" w:rsidRPr="00350BF1" w:rsidRDefault="004E1E87" w:rsidP="004E1E87">
            <w:pPr>
              <w:rPr>
                <w:rFonts w:cstheme="minorHAnsi"/>
                <w:szCs w:val="20"/>
              </w:rPr>
            </w:pPr>
            <w:r w:rsidRPr="004E1E87">
              <w:rPr>
                <w:rFonts w:cstheme="minorHAnsi"/>
                <w:szCs w:val="20"/>
              </w:rPr>
              <w:t>N/A</w:t>
            </w:r>
          </w:p>
        </w:tc>
        <w:tc>
          <w:tcPr>
            <w:tcW w:w="539" w:type="pct"/>
          </w:tcPr>
          <w:p w14:paraId="54BA734E" w14:textId="6ECA4962" w:rsidR="004E1E87" w:rsidRPr="00350BF1" w:rsidRDefault="004E1E87" w:rsidP="004E1E87">
            <w:pPr>
              <w:rPr>
                <w:rFonts w:cstheme="minorHAnsi"/>
                <w:szCs w:val="20"/>
              </w:rPr>
            </w:pPr>
            <w:r w:rsidRPr="004E1E87">
              <w:rPr>
                <w:rFonts w:cstheme="minorHAnsi"/>
                <w:szCs w:val="20"/>
              </w:rPr>
              <w:t>N/A</w:t>
            </w:r>
          </w:p>
        </w:tc>
        <w:tc>
          <w:tcPr>
            <w:tcW w:w="605" w:type="pct"/>
          </w:tcPr>
          <w:p w14:paraId="0FE64B09" w14:textId="3EC41616" w:rsidR="004E1E87" w:rsidRPr="00350BF1" w:rsidRDefault="004E1E87" w:rsidP="004E1E87">
            <w:pPr>
              <w:rPr>
                <w:rFonts w:cstheme="minorHAnsi"/>
                <w:szCs w:val="20"/>
              </w:rPr>
            </w:pPr>
            <w:r>
              <w:rPr>
                <w:rFonts w:cstheme="minorHAnsi"/>
                <w:color w:val="000000"/>
                <w:szCs w:val="20"/>
              </w:rPr>
              <w:t>LT-80693</w:t>
            </w:r>
          </w:p>
        </w:tc>
        <w:tc>
          <w:tcPr>
            <w:tcW w:w="673" w:type="pct"/>
          </w:tcPr>
          <w:p w14:paraId="10D947A1" w14:textId="1A01A92D" w:rsidR="004E1E87" w:rsidRPr="004E1E87" w:rsidRDefault="004E1E87" w:rsidP="004E1E87">
            <w:pPr>
              <w:rPr>
                <w:rFonts w:cstheme="minorHAnsi"/>
                <w:szCs w:val="20"/>
              </w:rPr>
            </w:pPr>
            <w:r w:rsidRPr="004E1E87">
              <w:rPr>
                <w:rFonts w:cstheme="minorHAnsi"/>
                <w:szCs w:val="20"/>
              </w:rPr>
              <w:t>N/A</w:t>
            </w:r>
          </w:p>
        </w:tc>
        <w:tc>
          <w:tcPr>
            <w:tcW w:w="2644" w:type="pct"/>
            <w:vAlign w:val="bottom"/>
          </w:tcPr>
          <w:p w14:paraId="7A9D972B" w14:textId="3442B47C" w:rsidR="004E1E87" w:rsidRPr="00920905" w:rsidRDefault="004E1E87" w:rsidP="004E1E87">
            <w:r>
              <w:rPr>
                <w:rFonts w:cstheme="minorHAnsi"/>
                <w:color w:val="000000"/>
                <w:szCs w:val="20"/>
              </w:rPr>
              <w:t>(1) 60in Retrofits in Medium Temp Reach-in Display Cases LED replacing (1) 60in T8 Linear Fluorescent</w:t>
            </w:r>
          </w:p>
        </w:tc>
      </w:tr>
      <w:tr w:rsidR="004E1E87" w:rsidRPr="00800706" w14:paraId="48DD4953" w14:textId="77777777" w:rsidTr="004E1E87">
        <w:trPr>
          <w:trHeight w:val="243"/>
        </w:trPr>
        <w:tc>
          <w:tcPr>
            <w:tcW w:w="539" w:type="pct"/>
          </w:tcPr>
          <w:p w14:paraId="29DAB67B" w14:textId="74031656" w:rsidR="004E1E87" w:rsidRPr="00350BF1" w:rsidRDefault="004E1E87" w:rsidP="004E1E87">
            <w:pPr>
              <w:rPr>
                <w:rFonts w:cstheme="minorHAnsi"/>
                <w:szCs w:val="20"/>
              </w:rPr>
            </w:pPr>
            <w:r w:rsidRPr="004E1E87">
              <w:rPr>
                <w:rFonts w:cstheme="minorHAnsi"/>
                <w:szCs w:val="20"/>
              </w:rPr>
              <w:t>N/A</w:t>
            </w:r>
          </w:p>
        </w:tc>
        <w:tc>
          <w:tcPr>
            <w:tcW w:w="539" w:type="pct"/>
          </w:tcPr>
          <w:p w14:paraId="4697621A" w14:textId="616E29CA" w:rsidR="004E1E87" w:rsidRPr="00350BF1" w:rsidRDefault="004E1E87" w:rsidP="004E1E87">
            <w:pPr>
              <w:rPr>
                <w:rFonts w:cstheme="minorHAnsi"/>
                <w:szCs w:val="20"/>
              </w:rPr>
            </w:pPr>
            <w:r w:rsidRPr="004E1E87">
              <w:rPr>
                <w:rFonts w:cstheme="minorHAnsi"/>
                <w:szCs w:val="20"/>
              </w:rPr>
              <w:t>N/A</w:t>
            </w:r>
          </w:p>
        </w:tc>
        <w:tc>
          <w:tcPr>
            <w:tcW w:w="605" w:type="pct"/>
          </w:tcPr>
          <w:p w14:paraId="389B5BFC" w14:textId="03902E40" w:rsidR="004E1E87" w:rsidRPr="00350BF1" w:rsidRDefault="004E1E87" w:rsidP="004E1E87">
            <w:pPr>
              <w:rPr>
                <w:rFonts w:cstheme="minorHAnsi"/>
                <w:szCs w:val="20"/>
              </w:rPr>
            </w:pPr>
            <w:r>
              <w:rPr>
                <w:rFonts w:cstheme="minorHAnsi"/>
                <w:color w:val="000000"/>
                <w:szCs w:val="20"/>
              </w:rPr>
              <w:t>LT-84544</w:t>
            </w:r>
          </w:p>
        </w:tc>
        <w:tc>
          <w:tcPr>
            <w:tcW w:w="673" w:type="pct"/>
          </w:tcPr>
          <w:p w14:paraId="3B249289" w14:textId="4CC3E9EE" w:rsidR="004E1E87" w:rsidRPr="004E1E87" w:rsidRDefault="004E1E87" w:rsidP="004E1E87">
            <w:pPr>
              <w:rPr>
                <w:rFonts w:cstheme="minorHAnsi"/>
                <w:szCs w:val="20"/>
              </w:rPr>
            </w:pPr>
            <w:r w:rsidRPr="004E1E87">
              <w:rPr>
                <w:rFonts w:cstheme="minorHAnsi"/>
                <w:szCs w:val="20"/>
              </w:rPr>
              <w:t>N/A</w:t>
            </w:r>
          </w:p>
        </w:tc>
        <w:tc>
          <w:tcPr>
            <w:tcW w:w="2644" w:type="pct"/>
            <w:vAlign w:val="bottom"/>
          </w:tcPr>
          <w:p w14:paraId="05167042" w14:textId="7E12B643" w:rsidR="004E1E87" w:rsidRPr="00920905" w:rsidRDefault="004E1E87" w:rsidP="004E1E87">
            <w:r>
              <w:rPr>
                <w:rFonts w:cstheme="minorHAnsi"/>
                <w:color w:val="000000"/>
                <w:szCs w:val="20"/>
              </w:rPr>
              <w:t>(1) 60in Retrofits in Medium Temp Reach-in Display Cases LED replacing (1) 60in T12 Linear Fluorescent</w:t>
            </w:r>
          </w:p>
        </w:tc>
      </w:tr>
      <w:tr w:rsidR="004E1E87" w:rsidRPr="00800706" w14:paraId="48517FA5" w14:textId="77777777" w:rsidTr="004E1E87">
        <w:trPr>
          <w:trHeight w:val="243"/>
        </w:trPr>
        <w:tc>
          <w:tcPr>
            <w:tcW w:w="539" w:type="pct"/>
          </w:tcPr>
          <w:p w14:paraId="2E60A6D8" w14:textId="357CD78E" w:rsidR="004E1E87" w:rsidRPr="00350BF1" w:rsidRDefault="004E1E87" w:rsidP="004E1E87">
            <w:pPr>
              <w:rPr>
                <w:rFonts w:cstheme="minorHAnsi"/>
                <w:szCs w:val="20"/>
              </w:rPr>
            </w:pPr>
            <w:r w:rsidRPr="004E1E87">
              <w:rPr>
                <w:rFonts w:cstheme="minorHAnsi"/>
                <w:szCs w:val="20"/>
              </w:rPr>
              <w:t>N/A</w:t>
            </w:r>
          </w:p>
        </w:tc>
        <w:tc>
          <w:tcPr>
            <w:tcW w:w="539" w:type="pct"/>
          </w:tcPr>
          <w:p w14:paraId="4CED67BD" w14:textId="5A460784" w:rsidR="004E1E87" w:rsidRPr="00350BF1" w:rsidRDefault="004E1E87" w:rsidP="004E1E87">
            <w:pPr>
              <w:rPr>
                <w:rFonts w:cstheme="minorHAnsi"/>
                <w:szCs w:val="20"/>
              </w:rPr>
            </w:pPr>
            <w:r w:rsidRPr="004E1E87">
              <w:rPr>
                <w:rFonts w:cstheme="minorHAnsi"/>
                <w:szCs w:val="20"/>
              </w:rPr>
              <w:t>N/A</w:t>
            </w:r>
          </w:p>
        </w:tc>
        <w:tc>
          <w:tcPr>
            <w:tcW w:w="605" w:type="pct"/>
          </w:tcPr>
          <w:p w14:paraId="4AB18B23" w14:textId="4D4B0213" w:rsidR="004E1E87" w:rsidRPr="00350BF1" w:rsidRDefault="004E1E87" w:rsidP="004E1E87">
            <w:pPr>
              <w:rPr>
                <w:rFonts w:cstheme="minorHAnsi"/>
                <w:szCs w:val="20"/>
              </w:rPr>
            </w:pPr>
            <w:r>
              <w:rPr>
                <w:rFonts w:cstheme="minorHAnsi"/>
                <w:color w:val="000000"/>
                <w:szCs w:val="20"/>
              </w:rPr>
              <w:t>LT-89513</w:t>
            </w:r>
          </w:p>
        </w:tc>
        <w:tc>
          <w:tcPr>
            <w:tcW w:w="673" w:type="pct"/>
          </w:tcPr>
          <w:p w14:paraId="18339083" w14:textId="74B64F5B" w:rsidR="004E1E87" w:rsidRPr="004E1E87" w:rsidRDefault="004E1E87" w:rsidP="004E1E87">
            <w:pPr>
              <w:rPr>
                <w:rFonts w:cstheme="minorHAnsi"/>
                <w:szCs w:val="20"/>
              </w:rPr>
            </w:pPr>
            <w:r w:rsidRPr="004E1E87">
              <w:rPr>
                <w:rFonts w:cstheme="minorHAnsi"/>
                <w:szCs w:val="20"/>
              </w:rPr>
              <w:t>N/A</w:t>
            </w:r>
          </w:p>
        </w:tc>
        <w:tc>
          <w:tcPr>
            <w:tcW w:w="2644" w:type="pct"/>
            <w:vAlign w:val="bottom"/>
          </w:tcPr>
          <w:p w14:paraId="0D3BC06B" w14:textId="2EE7118A" w:rsidR="004E1E87" w:rsidRPr="00920905" w:rsidRDefault="004E1E87" w:rsidP="004E1E87">
            <w:r>
              <w:rPr>
                <w:rFonts w:cstheme="minorHAnsi"/>
                <w:color w:val="000000"/>
                <w:szCs w:val="20"/>
              </w:rPr>
              <w:t>(1) 48in Medium Temp Reach-in Display Cases Canopy LED replacing (2) 48in T12 Linear Fluorescent</w:t>
            </w:r>
          </w:p>
        </w:tc>
      </w:tr>
      <w:tr w:rsidR="004E1E87" w:rsidRPr="00800706" w14:paraId="620AB71F" w14:textId="77777777" w:rsidTr="004E1E87">
        <w:trPr>
          <w:trHeight w:val="243"/>
        </w:trPr>
        <w:tc>
          <w:tcPr>
            <w:tcW w:w="539" w:type="pct"/>
          </w:tcPr>
          <w:p w14:paraId="21EAD3F0" w14:textId="1166353C" w:rsidR="004E1E87" w:rsidRPr="00350BF1" w:rsidRDefault="004E1E87" w:rsidP="004E1E87">
            <w:pPr>
              <w:rPr>
                <w:rFonts w:cstheme="minorHAnsi"/>
                <w:szCs w:val="20"/>
              </w:rPr>
            </w:pPr>
            <w:r w:rsidRPr="004E1E87">
              <w:rPr>
                <w:rFonts w:cstheme="minorHAnsi"/>
                <w:szCs w:val="20"/>
              </w:rPr>
              <w:t>N/A</w:t>
            </w:r>
          </w:p>
        </w:tc>
        <w:tc>
          <w:tcPr>
            <w:tcW w:w="539" w:type="pct"/>
          </w:tcPr>
          <w:p w14:paraId="48D167B1" w14:textId="4B9B4AB0" w:rsidR="004E1E87" w:rsidRPr="00350BF1" w:rsidRDefault="004E1E87" w:rsidP="004E1E87">
            <w:pPr>
              <w:rPr>
                <w:rFonts w:cstheme="minorHAnsi"/>
                <w:szCs w:val="20"/>
              </w:rPr>
            </w:pPr>
            <w:r w:rsidRPr="004E1E87">
              <w:rPr>
                <w:rFonts w:cstheme="minorHAnsi"/>
                <w:szCs w:val="20"/>
              </w:rPr>
              <w:t>N/A</w:t>
            </w:r>
          </w:p>
        </w:tc>
        <w:tc>
          <w:tcPr>
            <w:tcW w:w="605" w:type="pct"/>
          </w:tcPr>
          <w:p w14:paraId="2483D269" w14:textId="519B6EEA" w:rsidR="004E1E87" w:rsidRPr="00350BF1" w:rsidRDefault="004E1E87" w:rsidP="004E1E87">
            <w:pPr>
              <w:rPr>
                <w:rFonts w:cstheme="minorHAnsi"/>
                <w:szCs w:val="20"/>
              </w:rPr>
            </w:pPr>
            <w:r>
              <w:rPr>
                <w:rFonts w:cstheme="minorHAnsi"/>
                <w:color w:val="000000"/>
                <w:szCs w:val="20"/>
              </w:rPr>
              <w:t>LT-93848</w:t>
            </w:r>
          </w:p>
        </w:tc>
        <w:tc>
          <w:tcPr>
            <w:tcW w:w="673" w:type="pct"/>
          </w:tcPr>
          <w:p w14:paraId="702BC934" w14:textId="110F4422" w:rsidR="004E1E87" w:rsidRPr="004E1E87" w:rsidRDefault="004E1E87" w:rsidP="004E1E87">
            <w:pPr>
              <w:rPr>
                <w:rFonts w:cstheme="minorHAnsi"/>
                <w:szCs w:val="20"/>
              </w:rPr>
            </w:pPr>
            <w:r w:rsidRPr="004E1E87">
              <w:rPr>
                <w:rFonts w:cstheme="minorHAnsi"/>
                <w:szCs w:val="20"/>
              </w:rPr>
              <w:t>N/A</w:t>
            </w:r>
          </w:p>
        </w:tc>
        <w:tc>
          <w:tcPr>
            <w:tcW w:w="2644" w:type="pct"/>
            <w:vAlign w:val="bottom"/>
          </w:tcPr>
          <w:p w14:paraId="5AD2BF88" w14:textId="7198B5DE" w:rsidR="004E1E87" w:rsidRPr="00920905" w:rsidRDefault="004E1E87" w:rsidP="004E1E87">
            <w:r>
              <w:rPr>
                <w:rFonts w:cstheme="minorHAnsi"/>
                <w:color w:val="000000"/>
                <w:szCs w:val="20"/>
              </w:rPr>
              <w:t>(1) 72in Retrofits in Low Temp Reach-in Display Cases LED replacing (1) 72in T12 Linear Fluorescent</w:t>
            </w:r>
          </w:p>
        </w:tc>
      </w:tr>
      <w:tr w:rsidR="004E1E87" w:rsidRPr="00800706" w14:paraId="5C04E4CA" w14:textId="77777777" w:rsidTr="004E1E87">
        <w:trPr>
          <w:trHeight w:val="243"/>
        </w:trPr>
        <w:tc>
          <w:tcPr>
            <w:tcW w:w="539" w:type="pct"/>
          </w:tcPr>
          <w:p w14:paraId="6913DFAD" w14:textId="1914FFB0" w:rsidR="004E1E87" w:rsidRPr="00350BF1" w:rsidRDefault="004E1E87" w:rsidP="004E1E87">
            <w:pPr>
              <w:rPr>
                <w:rFonts w:cstheme="minorHAnsi"/>
                <w:szCs w:val="20"/>
              </w:rPr>
            </w:pPr>
            <w:r w:rsidRPr="004E1E87">
              <w:rPr>
                <w:rFonts w:cstheme="minorHAnsi"/>
                <w:szCs w:val="20"/>
              </w:rPr>
              <w:t>N/A</w:t>
            </w:r>
          </w:p>
        </w:tc>
        <w:tc>
          <w:tcPr>
            <w:tcW w:w="539" w:type="pct"/>
          </w:tcPr>
          <w:p w14:paraId="3A78DC0B" w14:textId="1F8D25D2" w:rsidR="004E1E87" w:rsidRPr="00350BF1" w:rsidRDefault="004E1E87" w:rsidP="004E1E87">
            <w:pPr>
              <w:rPr>
                <w:rFonts w:cstheme="minorHAnsi"/>
                <w:szCs w:val="20"/>
              </w:rPr>
            </w:pPr>
            <w:r w:rsidRPr="004E1E87">
              <w:rPr>
                <w:rFonts w:cstheme="minorHAnsi"/>
                <w:szCs w:val="20"/>
              </w:rPr>
              <w:t>N/A</w:t>
            </w:r>
          </w:p>
        </w:tc>
        <w:tc>
          <w:tcPr>
            <w:tcW w:w="605" w:type="pct"/>
          </w:tcPr>
          <w:p w14:paraId="499E76ED" w14:textId="52FAE2F2" w:rsidR="004E1E87" w:rsidRPr="00350BF1" w:rsidRDefault="004E1E87" w:rsidP="004E1E87">
            <w:pPr>
              <w:rPr>
                <w:rFonts w:cstheme="minorHAnsi"/>
                <w:szCs w:val="20"/>
              </w:rPr>
            </w:pPr>
            <w:r>
              <w:rPr>
                <w:rFonts w:cstheme="minorHAnsi"/>
                <w:color w:val="000000"/>
                <w:szCs w:val="20"/>
              </w:rPr>
              <w:t>LT-97154</w:t>
            </w:r>
          </w:p>
        </w:tc>
        <w:tc>
          <w:tcPr>
            <w:tcW w:w="673" w:type="pct"/>
          </w:tcPr>
          <w:p w14:paraId="5F452F46" w14:textId="11B57963" w:rsidR="004E1E87" w:rsidRPr="004E1E87" w:rsidRDefault="004E1E87" w:rsidP="004E1E87">
            <w:pPr>
              <w:rPr>
                <w:rFonts w:cstheme="minorHAnsi"/>
                <w:szCs w:val="20"/>
              </w:rPr>
            </w:pPr>
            <w:r w:rsidRPr="004E1E87">
              <w:rPr>
                <w:rFonts w:cstheme="minorHAnsi"/>
                <w:szCs w:val="20"/>
              </w:rPr>
              <w:t>N/A</w:t>
            </w:r>
          </w:p>
        </w:tc>
        <w:tc>
          <w:tcPr>
            <w:tcW w:w="2644" w:type="pct"/>
            <w:vAlign w:val="bottom"/>
          </w:tcPr>
          <w:p w14:paraId="7C336DB6" w14:textId="0A860495" w:rsidR="004E1E87" w:rsidRPr="00920905" w:rsidRDefault="004E1E87" w:rsidP="004E1E87">
            <w:r>
              <w:rPr>
                <w:rFonts w:cstheme="minorHAnsi"/>
                <w:color w:val="000000"/>
                <w:szCs w:val="20"/>
              </w:rPr>
              <w:t>(1) 48in Medium Temp Reach-in Display Cases Canopy LED replacing (1) 48in T12 Linear Fluorescent</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4C9F4E7F" w14:textId="516B902D" w:rsidR="004E1E87" w:rsidRPr="004E1E87" w:rsidRDefault="008E25B1" w:rsidP="004E1E87">
      <w:pPr>
        <w:pStyle w:val="NoSpacing"/>
      </w:pPr>
      <w:r w:rsidRPr="004E1E87">
        <w:rPr>
          <w:b/>
        </w:rPr>
        <w:t>Eligibility r</w:t>
      </w:r>
      <w:r w:rsidR="00697868" w:rsidRPr="004E1E87">
        <w:rPr>
          <w:b/>
        </w:rPr>
        <w:t>equirements</w:t>
      </w:r>
      <w:r w:rsidR="00697868" w:rsidRPr="004E1E87">
        <w:t xml:space="preserve"> </w:t>
      </w:r>
    </w:p>
    <w:p w14:paraId="18265D66" w14:textId="77777777" w:rsidR="004E1E87" w:rsidRDefault="004E1E87" w:rsidP="004E1E87">
      <w:pPr>
        <w:pStyle w:val="Reminders"/>
        <w:rPr>
          <w:rFonts w:asciiTheme="minorHAnsi" w:hAnsiTheme="minorHAnsi" w:cstheme="minorHAnsi"/>
          <w:szCs w:val="22"/>
        </w:rPr>
      </w:pPr>
    </w:p>
    <w:p w14:paraId="12D9D02C" w14:textId="28B39CAD" w:rsidR="004E1E87" w:rsidRDefault="004E1E87" w:rsidP="004E1E87">
      <w:pPr>
        <w:spacing w:before="40" w:after="40"/>
        <w:rPr>
          <w:rFonts w:cstheme="minorHAnsi"/>
          <w:szCs w:val="22"/>
        </w:rPr>
      </w:pPr>
      <w:r>
        <w:rPr>
          <w:rFonts w:cstheme="minorHAnsi"/>
          <w:szCs w:val="22"/>
        </w:rPr>
        <w:t>To qualify for a rebate, the product must be listed on Design Lights Consortium’s Qualified Products List.</w:t>
      </w:r>
      <w:r w:rsidR="00B56164">
        <w:rPr>
          <w:rFonts w:cstheme="minorHAnsi"/>
          <w:szCs w:val="22"/>
        </w:rPr>
        <w:t xml:space="preserve">  Current requirements</w:t>
      </w:r>
      <w:r w:rsidR="001B3FA6">
        <w:rPr>
          <w:rFonts w:cstheme="minorHAnsi"/>
          <w:szCs w:val="22"/>
        </w:rPr>
        <w:t xml:space="preserve"> (version 4.1)</w:t>
      </w:r>
      <w:r w:rsidR="00B56164">
        <w:rPr>
          <w:rFonts w:cstheme="minorHAnsi"/>
          <w:szCs w:val="22"/>
        </w:rPr>
        <w:t xml:space="preserve"> for listing on the Qualified Products List are as follows:</w:t>
      </w:r>
    </w:p>
    <w:p w14:paraId="4913F1B7" w14:textId="77777777" w:rsidR="004E1E87" w:rsidRDefault="004E1E87" w:rsidP="00EA7FFE">
      <w:pPr>
        <w:spacing w:before="40" w:after="40"/>
        <w:rPr>
          <w:rFonts w:cstheme="minorHAnsi"/>
          <w:szCs w:val="22"/>
        </w:rPr>
      </w:pPr>
    </w:p>
    <w:p w14:paraId="1D2CC922" w14:textId="759CFC3F" w:rsidR="004E1E87" w:rsidRPr="00EA7FFE" w:rsidRDefault="004E1E87" w:rsidP="00EA7FFE">
      <w:pPr>
        <w:pStyle w:val="ListParagraph"/>
        <w:numPr>
          <w:ilvl w:val="0"/>
          <w:numId w:val="49"/>
        </w:numPr>
        <w:spacing w:before="40" w:after="40"/>
        <w:rPr>
          <w:rFonts w:cstheme="minorHAnsi"/>
          <w:szCs w:val="22"/>
        </w:rPr>
      </w:pPr>
      <w:r w:rsidRPr="00EA7FFE">
        <w:rPr>
          <w:rFonts w:cstheme="minorHAnsi"/>
          <w:szCs w:val="22"/>
        </w:rPr>
        <w:t xml:space="preserve">Minimum Luminaire Efficacy (Lm/w) - </w:t>
      </w:r>
      <w:r w:rsidR="00B56164">
        <w:rPr>
          <w:rFonts w:cstheme="minorHAnsi"/>
          <w:szCs w:val="22"/>
        </w:rPr>
        <w:t>80</w:t>
      </w:r>
      <w:r w:rsidR="00B56164" w:rsidRPr="00EA7FFE">
        <w:rPr>
          <w:rFonts w:cstheme="minorHAnsi"/>
          <w:szCs w:val="22"/>
        </w:rPr>
        <w:t xml:space="preserve"> </w:t>
      </w:r>
      <w:r w:rsidRPr="00EA7FFE">
        <w:rPr>
          <w:rFonts w:cstheme="minorHAnsi"/>
          <w:szCs w:val="22"/>
        </w:rPr>
        <w:t>Lm/W</w:t>
      </w:r>
    </w:p>
    <w:p w14:paraId="5A2CD40C" w14:textId="77777777" w:rsidR="004E1E87" w:rsidRPr="00EA7FFE" w:rsidRDefault="004E1E87" w:rsidP="00EA7FFE">
      <w:pPr>
        <w:pStyle w:val="ListParagraph"/>
        <w:numPr>
          <w:ilvl w:val="0"/>
          <w:numId w:val="49"/>
        </w:numPr>
        <w:spacing w:before="40" w:after="40"/>
        <w:rPr>
          <w:rFonts w:cstheme="minorHAnsi"/>
          <w:szCs w:val="22"/>
        </w:rPr>
      </w:pPr>
      <w:r w:rsidRPr="00EA7FFE">
        <w:rPr>
          <w:rFonts w:cstheme="minorHAnsi"/>
          <w:szCs w:val="22"/>
        </w:rPr>
        <w:t>Minimum Lifetime - must be ≥ 50,000 hours</w:t>
      </w:r>
    </w:p>
    <w:p w14:paraId="04CFC121" w14:textId="77777777" w:rsidR="004E1E87" w:rsidRPr="00EA7FFE" w:rsidRDefault="004E1E87" w:rsidP="00EA7FFE">
      <w:pPr>
        <w:pStyle w:val="ListParagraph"/>
        <w:numPr>
          <w:ilvl w:val="0"/>
          <w:numId w:val="49"/>
        </w:numPr>
        <w:spacing w:before="40" w:after="40"/>
        <w:rPr>
          <w:rFonts w:cstheme="minorHAnsi"/>
          <w:szCs w:val="22"/>
        </w:rPr>
      </w:pPr>
      <w:r w:rsidRPr="00EA7FFE">
        <w:rPr>
          <w:rFonts w:cstheme="minorHAnsi"/>
          <w:szCs w:val="22"/>
        </w:rPr>
        <w:t>Manufacturer Warranty - 5 years</w:t>
      </w:r>
    </w:p>
    <w:p w14:paraId="3130D0A0" w14:textId="77777777" w:rsidR="004E1E87" w:rsidRPr="00EA7FFE" w:rsidRDefault="004E1E87" w:rsidP="00EA7FFE">
      <w:pPr>
        <w:pStyle w:val="ListParagraph"/>
        <w:numPr>
          <w:ilvl w:val="0"/>
          <w:numId w:val="49"/>
        </w:numPr>
        <w:spacing w:before="40" w:after="40"/>
        <w:rPr>
          <w:rFonts w:cstheme="minorHAnsi"/>
          <w:szCs w:val="22"/>
        </w:rPr>
      </w:pPr>
      <w:r w:rsidRPr="00EA7FFE">
        <w:rPr>
          <w:rFonts w:cstheme="minorHAnsi"/>
          <w:szCs w:val="22"/>
        </w:rPr>
        <w:t>Power Factor - ≥ 0.9</w:t>
      </w:r>
    </w:p>
    <w:p w14:paraId="38C06876" w14:textId="77777777" w:rsidR="004E1E87" w:rsidRPr="00EA7FFE" w:rsidRDefault="004E1E87" w:rsidP="00EA7FFE">
      <w:pPr>
        <w:pStyle w:val="ListParagraph"/>
        <w:numPr>
          <w:ilvl w:val="0"/>
          <w:numId w:val="49"/>
        </w:numPr>
        <w:spacing w:before="40" w:after="40"/>
        <w:rPr>
          <w:rFonts w:cstheme="minorHAnsi"/>
          <w:szCs w:val="22"/>
        </w:rPr>
      </w:pPr>
      <w:r w:rsidRPr="00EA7FFE">
        <w:rPr>
          <w:rFonts w:cstheme="minorHAnsi"/>
          <w:szCs w:val="22"/>
        </w:rPr>
        <w:t>Total Harmonic Distortion - ≤ 20%</w:t>
      </w:r>
    </w:p>
    <w:p w14:paraId="487444A4" w14:textId="22860316" w:rsidR="004E1E87" w:rsidRPr="00EA7FFE" w:rsidRDefault="004E1E87" w:rsidP="00EA7FFE">
      <w:pPr>
        <w:pStyle w:val="ListParagraph"/>
        <w:numPr>
          <w:ilvl w:val="0"/>
          <w:numId w:val="49"/>
        </w:numPr>
        <w:spacing w:before="40" w:after="40"/>
        <w:rPr>
          <w:rFonts w:cstheme="minorHAnsi"/>
          <w:szCs w:val="22"/>
        </w:rPr>
      </w:pPr>
      <w:r w:rsidRPr="00EA7FFE">
        <w:rPr>
          <w:rFonts w:cstheme="minorHAnsi"/>
          <w:szCs w:val="22"/>
        </w:rPr>
        <w:t xml:space="preserve">Minimum Light Output – </w:t>
      </w:r>
      <w:r w:rsidR="00B56164">
        <w:rPr>
          <w:rFonts w:cstheme="minorHAnsi"/>
          <w:szCs w:val="22"/>
        </w:rPr>
        <w:t>50 lm/ft</w:t>
      </w:r>
    </w:p>
    <w:p w14:paraId="2F7A3640" w14:textId="77777777" w:rsidR="004E1E87" w:rsidRPr="00EA7FFE" w:rsidRDefault="004E1E87" w:rsidP="00EA7FFE">
      <w:pPr>
        <w:pStyle w:val="ListParagraph"/>
        <w:numPr>
          <w:ilvl w:val="0"/>
          <w:numId w:val="49"/>
        </w:numPr>
        <w:spacing w:before="40" w:after="40"/>
        <w:rPr>
          <w:rFonts w:cstheme="minorHAnsi"/>
          <w:szCs w:val="22"/>
        </w:rPr>
      </w:pPr>
      <w:r w:rsidRPr="00EA7FFE">
        <w:rPr>
          <w:rFonts w:cstheme="minorHAnsi"/>
          <w:szCs w:val="22"/>
        </w:rPr>
        <w:t>Zonal Lumen Density - ≥95%: 10°-90°</w:t>
      </w:r>
    </w:p>
    <w:p w14:paraId="7E7FF396" w14:textId="77777777" w:rsidR="004E1E87" w:rsidRPr="00EA7FFE" w:rsidRDefault="004E1E87" w:rsidP="00EA7FFE">
      <w:pPr>
        <w:pStyle w:val="ListParagraph"/>
        <w:numPr>
          <w:ilvl w:val="0"/>
          <w:numId w:val="49"/>
        </w:numPr>
        <w:spacing w:before="40" w:after="40"/>
        <w:rPr>
          <w:rFonts w:cstheme="minorHAnsi"/>
          <w:szCs w:val="22"/>
        </w:rPr>
      </w:pPr>
      <w:r w:rsidRPr="00EA7FFE">
        <w:rPr>
          <w:rFonts w:cstheme="minorHAnsi"/>
          <w:szCs w:val="22"/>
        </w:rPr>
        <w:t>Allowable CCT - ≤ 5,000K</w:t>
      </w:r>
    </w:p>
    <w:p w14:paraId="0DB0C67E" w14:textId="77777777" w:rsidR="004E1E87" w:rsidRPr="00EA7FFE" w:rsidRDefault="004E1E87" w:rsidP="00EA7FFE">
      <w:pPr>
        <w:pStyle w:val="ListParagraph"/>
        <w:numPr>
          <w:ilvl w:val="0"/>
          <w:numId w:val="49"/>
        </w:numPr>
        <w:spacing w:before="40" w:after="40"/>
        <w:rPr>
          <w:rFonts w:cstheme="minorHAnsi"/>
          <w:szCs w:val="22"/>
        </w:rPr>
      </w:pPr>
      <w:r w:rsidRPr="00EA7FFE">
        <w:rPr>
          <w:rFonts w:cstheme="minorHAnsi"/>
          <w:szCs w:val="22"/>
        </w:rPr>
        <w:t>Minimum CRI - 80 CRI</w:t>
      </w:r>
    </w:p>
    <w:p w14:paraId="51BB9322" w14:textId="77777777" w:rsidR="004E1E87" w:rsidRPr="00EA7FFE" w:rsidRDefault="004E1E87" w:rsidP="00EA7FFE">
      <w:pPr>
        <w:pStyle w:val="ListParagraph"/>
        <w:numPr>
          <w:ilvl w:val="0"/>
          <w:numId w:val="49"/>
        </w:numPr>
        <w:spacing w:before="40" w:after="40"/>
        <w:rPr>
          <w:rFonts w:cstheme="minorHAnsi"/>
          <w:szCs w:val="22"/>
        </w:rPr>
      </w:pPr>
      <w:r w:rsidRPr="00EA7FFE">
        <w:rPr>
          <w:rFonts w:cstheme="minorHAnsi"/>
          <w:szCs w:val="22"/>
        </w:rPr>
        <w:t>Off-State Power - 0W</w:t>
      </w:r>
    </w:p>
    <w:p w14:paraId="24086482" w14:textId="77777777" w:rsidR="004E1E87" w:rsidRPr="00EA7FFE" w:rsidRDefault="004E1E87" w:rsidP="00EA7FFE">
      <w:pPr>
        <w:pStyle w:val="ListParagraph"/>
        <w:numPr>
          <w:ilvl w:val="0"/>
          <w:numId w:val="49"/>
        </w:numPr>
        <w:spacing w:before="40" w:after="40"/>
        <w:rPr>
          <w:rFonts w:cstheme="minorHAnsi"/>
          <w:szCs w:val="22"/>
        </w:rPr>
      </w:pPr>
      <w:r w:rsidRPr="00EA7FFE">
        <w:rPr>
          <w:rFonts w:cstheme="minorHAnsi"/>
          <w:szCs w:val="22"/>
        </w:rPr>
        <w:t>Zonal Lumen Density</w:t>
      </w:r>
    </w:p>
    <w:p w14:paraId="71048AF1" w14:textId="77777777" w:rsidR="004E1E87" w:rsidRDefault="004E1E87" w:rsidP="004E1E87">
      <w:pPr>
        <w:numPr>
          <w:ilvl w:val="1"/>
          <w:numId w:val="39"/>
        </w:numPr>
        <w:spacing w:before="40" w:after="40"/>
        <w:rPr>
          <w:rFonts w:cstheme="minorHAnsi"/>
          <w:szCs w:val="22"/>
        </w:rPr>
      </w:pPr>
      <w:r>
        <w:rPr>
          <w:rFonts w:cstheme="minorHAnsi"/>
          <w:szCs w:val="22"/>
        </w:rPr>
        <w:t>Vertical Refrigerated Case Luminaires - ≥95%: 10</w:t>
      </w:r>
      <w:r>
        <w:rPr>
          <w:rFonts w:cs="Arial"/>
          <w:szCs w:val="22"/>
        </w:rPr>
        <w:t>°</w:t>
      </w:r>
      <w:r>
        <w:rPr>
          <w:rFonts w:cstheme="minorHAnsi"/>
          <w:szCs w:val="22"/>
        </w:rPr>
        <w:t>-90</w:t>
      </w:r>
      <w:r>
        <w:rPr>
          <w:rFonts w:cs="Arial"/>
          <w:szCs w:val="22"/>
        </w:rPr>
        <w:t>°</w:t>
      </w:r>
    </w:p>
    <w:p w14:paraId="565336D6" w14:textId="77777777" w:rsidR="004E1E87" w:rsidRDefault="004E1E87" w:rsidP="004E1E87">
      <w:pPr>
        <w:numPr>
          <w:ilvl w:val="1"/>
          <w:numId w:val="39"/>
        </w:numPr>
        <w:spacing w:before="40" w:after="40"/>
        <w:rPr>
          <w:rFonts w:cstheme="minorHAnsi"/>
          <w:szCs w:val="22"/>
        </w:rPr>
      </w:pPr>
      <w:r>
        <w:rPr>
          <w:rFonts w:cs="Arial"/>
          <w:szCs w:val="22"/>
        </w:rPr>
        <w:t xml:space="preserve">Horizontal Refrigerated Case Luminaires - </w:t>
      </w:r>
      <w:r>
        <w:rPr>
          <w:rFonts w:cstheme="minorHAnsi"/>
          <w:szCs w:val="22"/>
        </w:rPr>
        <w:t>≥95%: 0</w:t>
      </w:r>
      <w:r>
        <w:rPr>
          <w:rFonts w:cs="Arial"/>
          <w:szCs w:val="22"/>
        </w:rPr>
        <w:t>°</w:t>
      </w:r>
      <w:r>
        <w:rPr>
          <w:rFonts w:cstheme="minorHAnsi"/>
          <w:szCs w:val="22"/>
        </w:rPr>
        <w:t>-90</w:t>
      </w:r>
      <w:r>
        <w:rPr>
          <w:rFonts w:cs="Arial"/>
          <w:szCs w:val="22"/>
        </w:rPr>
        <w:t>°</w:t>
      </w:r>
    </w:p>
    <w:p w14:paraId="2AE82BB3" w14:textId="77777777" w:rsidR="004E1E87" w:rsidRDefault="004E1E87" w:rsidP="004E1E87">
      <w:pPr>
        <w:pStyle w:val="NoSpacing"/>
        <w:rPr>
          <w:color w:val="FF0000"/>
        </w:rPr>
      </w:pPr>
    </w:p>
    <w:p w14:paraId="70D5E7F2" w14:textId="2686DF6C" w:rsidR="00697868" w:rsidRPr="004E1E87" w:rsidRDefault="00697868" w:rsidP="004E1E87">
      <w:pPr>
        <w:pStyle w:val="NoSpacing"/>
        <w:rPr>
          <w:b/>
        </w:rPr>
      </w:pPr>
      <w:r w:rsidRPr="004E1E87">
        <w:rPr>
          <w:b/>
        </w:rPr>
        <w:t>Implementation</w:t>
      </w:r>
      <w:r w:rsidR="009844A1" w:rsidRPr="004E1E87">
        <w:rPr>
          <w:b/>
        </w:rPr>
        <w:t xml:space="preserve"> and installation</w:t>
      </w:r>
      <w:r w:rsidRPr="004E1E87">
        <w:rPr>
          <w:b/>
        </w:rPr>
        <w:t xml:space="preserve"> </w:t>
      </w:r>
      <w:r w:rsidR="008E25B1" w:rsidRPr="004E1E87">
        <w:rPr>
          <w:b/>
        </w:rPr>
        <w:t>r</w:t>
      </w:r>
      <w:r w:rsidRPr="004E1E87">
        <w:rPr>
          <w:b/>
        </w:rPr>
        <w:t>equirements</w:t>
      </w:r>
    </w:p>
    <w:p w14:paraId="1F35FA3E" w14:textId="77777777" w:rsidR="004E1E87" w:rsidRDefault="004E1E87" w:rsidP="004E1E87">
      <w:pPr>
        <w:pStyle w:val="NoSpacing"/>
        <w:rPr>
          <w:b/>
          <w:color w:val="FF0000"/>
        </w:rPr>
      </w:pPr>
    </w:p>
    <w:p w14:paraId="4633EF6B" w14:textId="525B47D7" w:rsidR="004E1E87" w:rsidRDefault="004E1E87" w:rsidP="004E1E87">
      <w:pPr>
        <w:spacing w:before="40" w:after="40"/>
        <w:rPr>
          <w:rFonts w:cstheme="minorHAnsi"/>
          <w:szCs w:val="22"/>
        </w:rPr>
      </w:pPr>
      <w:r>
        <w:rPr>
          <w:rFonts w:cstheme="minorHAnsi"/>
          <w:szCs w:val="22"/>
        </w:rPr>
        <w:t>Documentation of the above criteria is required for qualification of the proposed/installed lighting system.  Documentation is also required to verify the base</w:t>
      </w:r>
      <w:r w:rsidR="00B56164">
        <w:rPr>
          <w:rFonts w:cstheme="minorHAnsi"/>
          <w:szCs w:val="22"/>
        </w:rPr>
        <w:t xml:space="preserve"> </w:t>
      </w:r>
      <w:r>
        <w:rPr>
          <w:rFonts w:cstheme="minorHAnsi"/>
          <w:szCs w:val="22"/>
        </w:rPr>
        <w:t>case lighting system.</w:t>
      </w:r>
    </w:p>
    <w:p w14:paraId="74CDE55A" w14:textId="77777777" w:rsidR="004E1E87" w:rsidRPr="00920905" w:rsidRDefault="004E1E87" w:rsidP="004E1E87">
      <w:pPr>
        <w:pStyle w:val="NoSpacing"/>
      </w:pP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6E0F6BF4" w14:textId="77777777" w:rsidR="005F4762" w:rsidRDefault="005F4762" w:rsidP="005F4762">
      <w:pPr>
        <w:spacing w:before="40" w:after="40"/>
        <w:rPr>
          <w:b/>
          <w:szCs w:val="22"/>
        </w:rPr>
      </w:pPr>
      <w:r>
        <w:rPr>
          <w:b/>
          <w:szCs w:val="22"/>
        </w:rPr>
        <w:t>T8 Fluorescent (Baseline Technology)</w:t>
      </w:r>
    </w:p>
    <w:p w14:paraId="60AD74C9" w14:textId="77777777" w:rsidR="005F4762" w:rsidRDefault="005F4762" w:rsidP="005F4762">
      <w:pPr>
        <w:spacing w:before="40" w:after="40"/>
        <w:rPr>
          <w:szCs w:val="22"/>
        </w:rPr>
      </w:pPr>
      <w:r>
        <w:rPr>
          <w:szCs w:val="22"/>
        </w:rPr>
        <w:t xml:space="preserve">The baseline for vertical LED is a 5-foot T8 fluorescent lighting fixture for medium temperature (MT) display cases and a 5-foot T8 High Output (HO) fluorescent lighting fixture for low temperature (LT) display cases. The reason different fixtures are used is because colder temperatures make the fixtures operate less efficiently and output less light, so high output fixtures are used in the low temperature applications. </w:t>
      </w:r>
    </w:p>
    <w:p w14:paraId="79663AAD" w14:textId="77777777" w:rsidR="005F4762" w:rsidRDefault="005F4762" w:rsidP="005F4762">
      <w:pPr>
        <w:spacing w:before="40" w:after="40"/>
        <w:rPr>
          <w:szCs w:val="22"/>
        </w:rPr>
      </w:pPr>
    </w:p>
    <w:p w14:paraId="61E6021F" w14:textId="26CDF769" w:rsidR="005F4762" w:rsidRDefault="005F4762" w:rsidP="005F4762">
      <w:pPr>
        <w:spacing w:before="40" w:after="40"/>
        <w:rPr>
          <w:szCs w:val="22"/>
        </w:rPr>
      </w:pPr>
      <w:r>
        <w:rPr>
          <w:szCs w:val="22"/>
        </w:rPr>
        <w:t>The fixture code used as the medium temperature base</w:t>
      </w:r>
      <w:r w:rsidR="00AF5C98">
        <w:rPr>
          <w:szCs w:val="22"/>
        </w:rPr>
        <w:t xml:space="preserve"> </w:t>
      </w:r>
      <w:r>
        <w:rPr>
          <w:szCs w:val="22"/>
        </w:rPr>
        <w:t xml:space="preserve">case for this work paper is F51LL from Appendix B: Table of Standard Fixture Wattages of the 2012 Statewide Customized Offering Procedures Manual for </w:t>
      </w:r>
      <w:r w:rsidRPr="00AA75F9">
        <w:rPr>
          <w:szCs w:val="22"/>
        </w:rPr>
        <w:t>Business</w:t>
      </w:r>
      <w:r w:rsidR="006B0160">
        <w:rPr>
          <w:szCs w:val="22"/>
        </w:rPr>
        <w:t>, included below as Attachment 2</w:t>
      </w:r>
      <w:r w:rsidR="00AA75F9">
        <w:rPr>
          <w:szCs w:val="22"/>
        </w:rPr>
        <w:t>.</w:t>
      </w:r>
      <w:r w:rsidRPr="00AA75F9">
        <w:rPr>
          <w:szCs w:val="22"/>
        </w:rPr>
        <w:t xml:space="preserve"> </w:t>
      </w:r>
      <w:r>
        <w:rPr>
          <w:szCs w:val="22"/>
        </w:rPr>
        <w:t>This fixture consumes 36 Watts. The system used as the low temperature base</w:t>
      </w:r>
      <w:r w:rsidR="00AF5C98">
        <w:rPr>
          <w:szCs w:val="22"/>
        </w:rPr>
        <w:t xml:space="preserve"> </w:t>
      </w:r>
      <w:r>
        <w:rPr>
          <w:szCs w:val="22"/>
        </w:rPr>
        <w:t xml:space="preserve">case for this work paper is an F40T8/HO. This fixture consumes 56.3 Watts, based on field test </w:t>
      </w:r>
      <w:r w:rsidRPr="0061566D">
        <w:rPr>
          <w:szCs w:val="22"/>
        </w:rPr>
        <w:t xml:space="preserve">data </w:t>
      </w:r>
      <w:r w:rsidR="00D879FA">
        <w:rPr>
          <w:szCs w:val="22"/>
        </w:rPr>
        <w:t>[223]</w:t>
      </w:r>
      <w:r w:rsidRPr="0061566D">
        <w:rPr>
          <w:szCs w:val="22"/>
        </w:rPr>
        <w:t>.</w:t>
      </w:r>
      <w:r>
        <w:rPr>
          <w:szCs w:val="22"/>
        </w:rPr>
        <w:t xml:space="preserve"> </w:t>
      </w:r>
    </w:p>
    <w:p w14:paraId="4FEC4217" w14:textId="77777777" w:rsidR="005F4762" w:rsidRDefault="005F4762" w:rsidP="005F4762">
      <w:pPr>
        <w:spacing w:before="40" w:after="40"/>
        <w:rPr>
          <w:szCs w:val="22"/>
        </w:rPr>
      </w:pPr>
    </w:p>
    <w:p w14:paraId="35B05C99" w14:textId="46994273" w:rsidR="005F4762" w:rsidRDefault="005F4762" w:rsidP="005F4762">
      <w:pPr>
        <w:spacing w:before="40" w:after="40"/>
        <w:rPr>
          <w:szCs w:val="22"/>
        </w:rPr>
      </w:pPr>
      <w:r>
        <w:rPr>
          <w:szCs w:val="22"/>
        </w:rPr>
        <w:t>The baseline for horizontal LED is a 3-foot and 4-foot T8 fluorescent lighting fixture for MT display cases. The fixture code used as the MT base</w:t>
      </w:r>
      <w:r w:rsidR="00AF5C98">
        <w:rPr>
          <w:szCs w:val="22"/>
        </w:rPr>
        <w:t xml:space="preserve"> </w:t>
      </w:r>
      <w:r>
        <w:rPr>
          <w:szCs w:val="22"/>
        </w:rPr>
        <w:t xml:space="preserve">case for this work paper is F32ILL and F42ILL from </w:t>
      </w:r>
      <w:r w:rsidRPr="0061566D">
        <w:rPr>
          <w:szCs w:val="22"/>
        </w:rPr>
        <w:t xml:space="preserve">Appendix B </w:t>
      </w:r>
      <w:r w:rsidR="006B0160">
        <w:rPr>
          <w:szCs w:val="22"/>
        </w:rPr>
        <w:t>(Attachment 2)</w:t>
      </w:r>
      <w:r w:rsidR="0061566D" w:rsidRPr="0061566D">
        <w:rPr>
          <w:szCs w:val="22"/>
        </w:rPr>
        <w:t>.</w:t>
      </w:r>
      <w:r w:rsidR="0061566D">
        <w:rPr>
          <w:szCs w:val="22"/>
        </w:rPr>
        <w:t xml:space="preserve"> </w:t>
      </w:r>
      <w:r>
        <w:rPr>
          <w:szCs w:val="22"/>
        </w:rPr>
        <w:t>The 3-foot fixture consumes 46 Watts for 2 lamps. The 4-foot fixture consumes 59 Watts for 2 lamps.</w:t>
      </w:r>
    </w:p>
    <w:p w14:paraId="49DD372B" w14:textId="77777777" w:rsidR="005F4762" w:rsidRDefault="005F4762" w:rsidP="005F4762">
      <w:pPr>
        <w:spacing w:before="40" w:after="40"/>
        <w:rPr>
          <w:szCs w:val="22"/>
        </w:rPr>
      </w:pPr>
    </w:p>
    <w:p w14:paraId="469A4171" w14:textId="77777777" w:rsidR="005F4762" w:rsidRDefault="005F4762" w:rsidP="005F4762">
      <w:pPr>
        <w:spacing w:before="40" w:after="40"/>
        <w:rPr>
          <w:b/>
          <w:szCs w:val="22"/>
        </w:rPr>
      </w:pPr>
      <w:r>
        <w:rPr>
          <w:b/>
          <w:szCs w:val="22"/>
        </w:rPr>
        <w:t>T12 Fluorescent (Baseline Technology)</w:t>
      </w:r>
    </w:p>
    <w:p w14:paraId="26CD5735" w14:textId="77777777" w:rsidR="005F4762" w:rsidRDefault="005F4762" w:rsidP="005F4762">
      <w:pPr>
        <w:spacing w:before="40" w:after="40"/>
        <w:rPr>
          <w:szCs w:val="22"/>
        </w:rPr>
      </w:pPr>
      <w:r>
        <w:rPr>
          <w:szCs w:val="22"/>
        </w:rPr>
        <w:t>The baseline for vertical LED is a 5-foot and 6-foot T12 HO fluorescent lighting fixture for both MT and LT display cases. The 5-foot T12 HO uses fixture code F52SHE, consuming 176 Watts for a 2-lamp system, 88 Watts/lamp. The 6-foot T12 HO uses fixture code F62SHE, consuming 194 Watts for a 2-lamp system, 97 Watts/lamp.</w:t>
      </w:r>
    </w:p>
    <w:p w14:paraId="2E9746D9" w14:textId="77777777" w:rsidR="005F4762" w:rsidRDefault="005F4762" w:rsidP="005F4762">
      <w:pPr>
        <w:spacing w:before="40" w:after="40"/>
        <w:rPr>
          <w:szCs w:val="22"/>
        </w:rPr>
      </w:pPr>
    </w:p>
    <w:p w14:paraId="7C85CE51" w14:textId="0096FE50" w:rsidR="005F4762" w:rsidRDefault="005F4762" w:rsidP="005F4762">
      <w:pPr>
        <w:spacing w:before="40" w:after="40"/>
        <w:rPr>
          <w:szCs w:val="22"/>
        </w:rPr>
      </w:pPr>
      <w:r>
        <w:rPr>
          <w:szCs w:val="22"/>
        </w:rPr>
        <w:t>The baseline for horizontal LED is a 3-foot and 4-foot T12 fluorescent lighting fixture for MT display cases. The fixture code used as the MT base</w:t>
      </w:r>
      <w:r w:rsidR="00AF5C98">
        <w:rPr>
          <w:szCs w:val="22"/>
        </w:rPr>
        <w:t xml:space="preserve"> </w:t>
      </w:r>
      <w:r>
        <w:rPr>
          <w:szCs w:val="22"/>
        </w:rPr>
        <w:t xml:space="preserve">case for this work paper is F32SE, F42EIS, and F42SHS. The 3-foot fixture consumes 74 Watts for 2 lamps. The 4-foot fixture consumes 82 Watts for 2-lamps (F42EIS) and 72.5 Watts for 1 HO lamp (F42SHS). LED is replacing either (1) HO T12 lamp or (2) T12 lamps. The 4-foot T12 fluorescent will use 4-foot T8 as the code baseline. </w:t>
      </w:r>
    </w:p>
    <w:p w14:paraId="3448F150" w14:textId="77777777" w:rsidR="005F4762" w:rsidRDefault="005F4762" w:rsidP="005F4762">
      <w:pPr>
        <w:spacing w:before="40" w:after="40"/>
        <w:rPr>
          <w:szCs w:val="22"/>
        </w:rPr>
      </w:pPr>
    </w:p>
    <w:p w14:paraId="6D5E5583" w14:textId="77777777" w:rsidR="005F4762" w:rsidRDefault="005F4762" w:rsidP="005F4762">
      <w:pPr>
        <w:spacing w:before="40" w:after="40"/>
        <w:rPr>
          <w:b/>
          <w:szCs w:val="22"/>
        </w:rPr>
      </w:pPr>
      <w:r>
        <w:rPr>
          <w:b/>
          <w:szCs w:val="22"/>
        </w:rPr>
        <w:t>LED (Proposed Technology)</w:t>
      </w:r>
    </w:p>
    <w:p w14:paraId="57037F6B" w14:textId="7860BEC0" w:rsidR="005F4762" w:rsidRDefault="005F4762" w:rsidP="005F4762">
      <w:pPr>
        <w:pStyle w:val="Reminders"/>
        <w:tabs>
          <w:tab w:val="num" w:pos="360"/>
        </w:tabs>
        <w:rPr>
          <w:rFonts w:asciiTheme="minorHAnsi" w:hAnsiTheme="minorHAnsi" w:cstheme="minorHAnsi"/>
          <w:szCs w:val="22"/>
        </w:rPr>
      </w:pPr>
      <w:r>
        <w:rPr>
          <w:rFonts w:asciiTheme="minorHAnsi" w:hAnsiTheme="minorHAnsi"/>
          <w:i w:val="0"/>
          <w:color w:val="auto"/>
          <w:szCs w:val="22"/>
        </w:rPr>
        <w:t>The measure case involves LED lights installed in refrigerated display cases. The LED lighting system also provides the additional benefit of reduced heat dissipation into the cold space, thereby reducing the cooling load. As a result, the new lighting systems reduce compressor run time and energy consumption. This work paper applies to lighting for reach-in glass door display cases of low temperature (“freezer” – below 32</w:t>
      </w:r>
      <w:r>
        <w:rPr>
          <w:rFonts w:asciiTheme="minorHAnsi" w:hAnsiTheme="minorHAnsi"/>
          <w:i w:val="0"/>
          <w:color w:val="auto"/>
          <w:szCs w:val="22"/>
        </w:rPr>
        <w:sym w:font="Symbol" w:char="F0B0"/>
      </w:r>
      <w:r>
        <w:rPr>
          <w:rFonts w:asciiTheme="minorHAnsi" w:hAnsiTheme="minorHAnsi"/>
          <w:i w:val="0"/>
          <w:color w:val="auto"/>
          <w:szCs w:val="22"/>
        </w:rPr>
        <w:t>F) and medium temperature (“cooler – above 32</w:t>
      </w:r>
      <w:r>
        <w:rPr>
          <w:rFonts w:asciiTheme="minorHAnsi" w:hAnsiTheme="minorHAnsi"/>
          <w:i w:val="0"/>
          <w:color w:val="auto"/>
          <w:szCs w:val="22"/>
        </w:rPr>
        <w:sym w:font="Symbol" w:char="F0B0"/>
      </w:r>
      <w:r>
        <w:rPr>
          <w:rFonts w:asciiTheme="minorHAnsi" w:hAnsiTheme="minorHAnsi"/>
          <w:i w:val="0"/>
          <w:color w:val="auto"/>
          <w:szCs w:val="22"/>
        </w:rPr>
        <w:t xml:space="preserve">F) cabinets for single-compressor systems in food stores, </w:t>
      </w:r>
      <w:r w:rsidR="00F14D78">
        <w:rPr>
          <w:rFonts w:asciiTheme="minorHAnsi" w:hAnsiTheme="minorHAnsi"/>
          <w:i w:val="0"/>
          <w:color w:val="auto"/>
          <w:szCs w:val="22"/>
        </w:rPr>
        <w:t>small office</w:t>
      </w:r>
      <w:r>
        <w:rPr>
          <w:rFonts w:asciiTheme="minorHAnsi" w:hAnsiTheme="minorHAnsi"/>
          <w:i w:val="0"/>
          <w:color w:val="auto"/>
          <w:szCs w:val="22"/>
        </w:rPr>
        <w:t>, fast food restaurants, and small retail and multiplex compressors in grocery stores, sit down restaurants, multistory large retail, single story large retail, and refrigerated warehouses.</w:t>
      </w:r>
    </w:p>
    <w:p w14:paraId="11D9F41A" w14:textId="3C3C1D63" w:rsidR="00697868" w:rsidRPr="00500C4E" w:rsidRDefault="005F4762" w:rsidP="005F4762">
      <w:pPr>
        <w:pStyle w:val="Heading2"/>
        <w:rPr>
          <w:rFonts w:asciiTheme="minorHAnsi" w:hAnsiTheme="minorHAnsi"/>
        </w:rPr>
      </w:pPr>
      <w:r w:rsidRPr="00500C4E">
        <w:rPr>
          <w:rFonts w:asciiTheme="minorHAnsi" w:hAnsiTheme="minorHAnsi"/>
        </w:rPr>
        <w:t xml:space="preserve"> </w:t>
      </w:r>
      <w:r w:rsidR="00697868"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00697868" w:rsidRPr="00500C4E">
        <w:rPr>
          <w:rFonts w:asciiTheme="minorHAnsi" w:hAnsiTheme="minorHAnsi"/>
        </w:rPr>
        <w:t xml:space="preserve"> </w:t>
      </w:r>
      <w:r w:rsidR="00B4065F" w:rsidRPr="00500C4E">
        <w:rPr>
          <w:rFonts w:asciiTheme="minorHAnsi" w:hAnsiTheme="minorHAnsi"/>
        </w:rPr>
        <w:t>Mechanisms</w:t>
      </w:r>
    </w:p>
    <w:p w14:paraId="1939E16E" w14:textId="77777777" w:rsidR="00BD0F7E" w:rsidRPr="00CB4445" w:rsidRDefault="00BD0F7E" w:rsidP="00BD0F7E">
      <w:pPr>
        <w:pStyle w:val="NoSpacing"/>
      </w:pPr>
      <w:r>
        <w:t>The delivery method is</w:t>
      </w:r>
      <w:r w:rsidRPr="00CB4445">
        <w:t xml:space="preserve">: </w:t>
      </w:r>
    </w:p>
    <w:p w14:paraId="5C89F7D3" w14:textId="77777777" w:rsidR="00BD0F7E" w:rsidRDefault="00BD0F7E" w:rsidP="00BD0F7E">
      <w:pPr>
        <w:pStyle w:val="NoSpacing"/>
        <w:ind w:left="720"/>
        <w:rPr>
          <w:b/>
        </w:rPr>
      </w:pPr>
      <w:r>
        <w:rPr>
          <w:b/>
        </w:rPr>
        <w:t>Financial Support – Direct Install</w:t>
      </w:r>
    </w:p>
    <w:p w14:paraId="7B35F89B" w14:textId="6FEB1687" w:rsidR="00BD0F7E" w:rsidRDefault="00BD0F7E" w:rsidP="00BD0F7E">
      <w:pPr>
        <w:ind w:left="720"/>
        <w:rPr>
          <w:rFonts w:ascii="Calibri" w:hAnsi="Calibri" w:cs="Calibri"/>
          <w:b/>
          <w:szCs w:val="22"/>
        </w:rPr>
      </w:pPr>
      <w:r>
        <w:rPr>
          <w:rFonts w:ascii="Calibri" w:hAnsi="Calibri" w:cs="Calibri"/>
          <w:b/>
          <w:szCs w:val="22"/>
        </w:rPr>
        <w:t>Financial Support – Downs-Stream Incentive – Deemed</w:t>
      </w:r>
    </w:p>
    <w:p w14:paraId="608F4639" w14:textId="3DB17827" w:rsidR="00BD0F7E" w:rsidRPr="00CB4445" w:rsidRDefault="00BD0F7E" w:rsidP="00BD0F7E">
      <w:pPr>
        <w:ind w:left="720"/>
        <w:rPr>
          <w:rFonts w:ascii="Calibri" w:hAnsi="Calibri" w:cs="Calibri"/>
          <w:b/>
          <w:szCs w:val="22"/>
        </w:rPr>
      </w:pPr>
      <w:r>
        <w:rPr>
          <w:rFonts w:ascii="Calibri" w:hAnsi="Calibri" w:cs="Calibri"/>
          <w:b/>
          <w:szCs w:val="22"/>
        </w:rPr>
        <w:t>Midstream Programs / Mid-Stream incentive</w:t>
      </w:r>
    </w:p>
    <w:p w14:paraId="6194D777" w14:textId="77777777" w:rsidR="00BD0F7E" w:rsidRDefault="00BD0F7E" w:rsidP="00BD0F7E">
      <w:pPr>
        <w:rPr>
          <w:rFonts w:ascii="Calibri" w:hAnsi="Calibri" w:cs="Calibri"/>
          <w:szCs w:val="22"/>
        </w:rPr>
      </w:pPr>
    </w:p>
    <w:p w14:paraId="1437D126" w14:textId="77777777" w:rsidR="00BD0F7E" w:rsidRDefault="00BD0F7E" w:rsidP="00BD0F7E">
      <w:pPr>
        <w:rPr>
          <w:rFonts w:ascii="Calibri" w:hAnsi="Calibri" w:cs="Calibri"/>
          <w:szCs w:val="22"/>
        </w:rPr>
      </w:pPr>
      <w:r w:rsidRPr="00CA7669">
        <w:rPr>
          <w:rFonts w:ascii="Calibri" w:hAnsi="Calibri" w:cs="Calibri"/>
          <w:szCs w:val="22"/>
        </w:rPr>
        <w:t>The install type is</w:t>
      </w:r>
      <w:r>
        <w:rPr>
          <w:rFonts w:ascii="Calibri" w:hAnsi="Calibri" w:cs="Calibri"/>
          <w:szCs w:val="22"/>
        </w:rPr>
        <w:t>:</w:t>
      </w:r>
    </w:p>
    <w:p w14:paraId="33C9D8F4" w14:textId="6602CBC1" w:rsidR="00BD0F7E" w:rsidRPr="00BD0F7E" w:rsidRDefault="00BD0F7E" w:rsidP="00BD0F7E">
      <w:pPr>
        <w:pStyle w:val="ListParagraph"/>
        <w:rPr>
          <w:rFonts w:ascii="Calibri" w:hAnsi="Calibri" w:cs="Calibri"/>
          <w:b/>
          <w:szCs w:val="22"/>
        </w:rPr>
      </w:pPr>
      <w:r>
        <w:rPr>
          <w:rFonts w:ascii="Calibri" w:hAnsi="Calibri" w:cs="Calibri"/>
          <w:b/>
          <w:szCs w:val="22"/>
        </w:rPr>
        <w:t>Retrofit (RET) for Financial Support – Direct Install</w:t>
      </w:r>
    </w:p>
    <w:p w14:paraId="22BA6334" w14:textId="77777777" w:rsidR="00B548F4" w:rsidRDefault="00B548F4" w:rsidP="00B548F4">
      <w:pPr>
        <w:pStyle w:val="Reminder"/>
        <w:rPr>
          <w:rFonts w:ascii="Calibri" w:hAnsi="Calibri"/>
          <w:i w:val="0"/>
          <w:iCs/>
          <w:color w:val="auto"/>
        </w:rPr>
      </w:pPr>
    </w:p>
    <w:p w14:paraId="1CAE26BC" w14:textId="77777777" w:rsidR="00B548F4" w:rsidRDefault="00B548F4" w:rsidP="00B548F4">
      <w:pPr>
        <w:pStyle w:val="Reminder"/>
        <w:rPr>
          <w:rFonts w:ascii="Calibri" w:hAnsi="Calibri"/>
          <w:i w:val="0"/>
          <w:color w:val="auto"/>
          <w:szCs w:val="20"/>
        </w:rPr>
      </w:pPr>
      <w:r>
        <w:rPr>
          <w:rFonts w:ascii="Calibri" w:hAnsi="Calibri"/>
          <w:i w:val="0"/>
          <w:iCs/>
          <w:color w:val="auto"/>
        </w:rPr>
        <w:t>The Non Residential Direct Install program quality control ensures correct documentation of existing measure, base case, and specification of the energy efficient product installed.  SCE requires a detailed Product Location Form (PLF) for each project submitted for rebate or incentive.  The PLF is a form which information for measures installed in all building types related to the Non Residential Direct Install program.  The PLF contains the following fields: Service Account Address, Measures Proposed/Installed, Product Make/Model, Install Locations (detailed to define separate spaces/floors, as well as specific locations within the space including but not limited to:  Bathrooms, Hallways, Meeting Rooms, Offices, Warehouse, etc.). </w:t>
      </w:r>
    </w:p>
    <w:p w14:paraId="6010C6F2" w14:textId="77777777" w:rsidR="00B548F4" w:rsidRDefault="00B548F4" w:rsidP="00B548F4">
      <w:pPr>
        <w:pStyle w:val="Reminder"/>
        <w:ind w:left="720"/>
        <w:rPr>
          <w:rFonts w:ascii="Calibri" w:hAnsi="Calibri"/>
          <w:i w:val="0"/>
          <w:iCs/>
          <w:color w:val="auto"/>
        </w:rPr>
      </w:pPr>
    </w:p>
    <w:p w14:paraId="7EAD2B25" w14:textId="77777777" w:rsidR="00B548F4" w:rsidRDefault="00B548F4" w:rsidP="00B548F4">
      <w:pPr>
        <w:pStyle w:val="Reminder"/>
        <w:rPr>
          <w:rFonts w:ascii="Calibri" w:hAnsi="Calibri"/>
          <w:i w:val="0"/>
          <w:iCs/>
          <w:color w:val="auto"/>
        </w:rPr>
      </w:pPr>
      <w:r>
        <w:rPr>
          <w:rFonts w:ascii="Calibri" w:hAnsi="Calibri"/>
          <w:i w:val="0"/>
          <w:iCs/>
          <w:color w:val="auto"/>
        </w:rPr>
        <w:t xml:space="preserve">Customers are solicited to participate primarily through field visits.  Contractors conduct energy consultation and provide recommendation that can help eligible customers use less energy.  If the customer agrees, the Direct Install contractor will help them complete an authorization form and schedule an installation appointment.  </w:t>
      </w:r>
    </w:p>
    <w:p w14:paraId="545D2699" w14:textId="77777777" w:rsidR="00B548F4" w:rsidRDefault="00B548F4" w:rsidP="00B548F4">
      <w:pPr>
        <w:pStyle w:val="Reminder"/>
        <w:rPr>
          <w:rFonts w:ascii="Calibri" w:hAnsi="Calibri"/>
          <w:i w:val="0"/>
          <w:iCs/>
          <w:color w:val="auto"/>
        </w:rPr>
      </w:pPr>
    </w:p>
    <w:p w14:paraId="149E94AD" w14:textId="77777777" w:rsidR="00B548F4" w:rsidRDefault="00B548F4" w:rsidP="00B548F4">
      <w:pPr>
        <w:pStyle w:val="Reminder"/>
        <w:rPr>
          <w:rFonts w:ascii="Calibri" w:hAnsi="Calibri"/>
          <w:i w:val="0"/>
          <w:iCs/>
          <w:color w:val="auto"/>
        </w:rPr>
      </w:pPr>
      <w:r>
        <w:rPr>
          <w:rFonts w:ascii="Calibri" w:hAnsi="Calibri"/>
          <w:i w:val="0"/>
          <w:iCs/>
          <w:color w:val="auto"/>
        </w:rPr>
        <w:t>SCE can also provide photos to show measure functionality and a sample close up photos to substantiate the measure base case where applicable.  These photos would be part of the required project package.  The project package is identified with the Service Account Number and attached to SCE’s SMART database (SCE Project Tracking System) at each specific project level. The above described information is entered and tracked in the program’s tracking database.  This level of data is provided in the Participation Data that is provided to the CPUC on a quarterly basis. </w:t>
      </w:r>
    </w:p>
    <w:p w14:paraId="6F0B399D" w14:textId="77777777" w:rsidR="00B548F4" w:rsidRPr="00B548F4" w:rsidRDefault="00B548F4" w:rsidP="00B548F4">
      <w:pPr>
        <w:rPr>
          <w:rFonts w:ascii="Calibri" w:hAnsi="Calibri" w:cs="Calibri"/>
          <w:szCs w:val="22"/>
        </w:rPr>
      </w:pP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047FB780" w14:textId="77777777" w:rsidTr="006F1B21">
        <w:trPr>
          <w:trHeight w:val="20"/>
        </w:trPr>
        <w:tc>
          <w:tcPr>
            <w:tcW w:w="1778" w:type="pct"/>
          </w:tcPr>
          <w:p w14:paraId="51BD30E3" w14:textId="6A8CF748" w:rsidR="006F1B21" w:rsidRPr="00500C4E" w:rsidRDefault="006F1B21">
            <w:pPr>
              <w:rPr>
                <w:sz w:val="18"/>
                <w:szCs w:val="18"/>
              </w:rPr>
            </w:pPr>
            <w:r w:rsidRPr="00500C4E">
              <w:rPr>
                <w:sz w:val="18"/>
                <w:szCs w:val="18"/>
              </w:rPr>
              <w:t>Retrofit</w:t>
            </w:r>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174F5BCA" w:rsidR="00C05AAF" w:rsidRPr="00920905" w:rsidRDefault="00A90F1A" w:rsidP="00920905">
            <w:pPr>
              <w:pStyle w:val="NoSpacing"/>
              <w:rPr>
                <w:sz w:val="18"/>
                <w:szCs w:val="18"/>
              </w:rPr>
            </w:pPr>
            <w:r>
              <w:rPr>
                <w:rFonts w:eastAsiaTheme="minorHAnsi" w:cstheme="minorBidi"/>
                <w:sz w:val="18"/>
                <w:szCs w:val="18"/>
              </w:rPr>
              <w:t>Mid-Stream Programs</w:t>
            </w:r>
          </w:p>
        </w:tc>
        <w:tc>
          <w:tcPr>
            <w:tcW w:w="3703" w:type="pct"/>
          </w:tcPr>
          <w:p w14:paraId="77E76594" w14:textId="343D38AA" w:rsidR="00C05AAF" w:rsidRPr="003D2981" w:rsidRDefault="00A84BF9" w:rsidP="00A84BF9">
            <w:pPr>
              <w:pStyle w:val="NoSpacing"/>
              <w:rPr>
                <w:i/>
                <w:sz w:val="18"/>
                <w:szCs w:val="18"/>
              </w:rPr>
            </w:pPr>
            <w:r w:rsidRPr="003D2981">
              <w:rPr>
                <w:rFonts w:cs="Helv"/>
                <w:i/>
                <w:sz w:val="18"/>
                <w:szCs w:val="18"/>
              </w:rPr>
              <w:t xml:space="preserve">See Mid-Stream Incentive in the </w:t>
            </w:r>
            <w:r w:rsidR="003D2981" w:rsidRPr="003D2981">
              <w:rPr>
                <w:i/>
                <w:sz w:val="18"/>
                <w:szCs w:val="18"/>
              </w:rPr>
              <w:t>Incentive Method Descriptions table.</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51E7B5E" w14:textId="77777777" w:rsidR="00A84BF9" w:rsidRDefault="00AA4CDC" w:rsidP="00920905">
            <w:pPr>
              <w:autoSpaceDE w:val="0"/>
              <w:autoSpaceDN w:val="0"/>
              <w:adjustRightInd w:val="0"/>
              <w:spacing w:line="240" w:lineRule="atLeast"/>
              <w:rPr>
                <w:rFonts w:cs="Helv"/>
                <w:sz w:val="18"/>
                <w:szCs w:val="18"/>
              </w:rPr>
            </w:pPr>
            <w:r w:rsidRPr="00920905">
              <w:rPr>
                <w:rFonts w:cs="Helv"/>
                <w:sz w:val="18"/>
                <w:szCs w:val="18"/>
              </w:rPr>
              <w:t>Mid-Stream Incentive</w:t>
            </w:r>
          </w:p>
          <w:p w14:paraId="37602999" w14:textId="6D6F977E" w:rsidR="001B2301" w:rsidRPr="00920905" w:rsidRDefault="00A84BF9" w:rsidP="00920905">
            <w:pPr>
              <w:autoSpaceDE w:val="0"/>
              <w:autoSpaceDN w:val="0"/>
              <w:adjustRightInd w:val="0"/>
              <w:spacing w:line="240" w:lineRule="atLeast"/>
              <w:rPr>
                <w:sz w:val="18"/>
                <w:szCs w:val="18"/>
              </w:rPr>
            </w:pPr>
            <w:r w:rsidRPr="00920905">
              <w:rPr>
                <w:rFonts w:cs="Helv"/>
                <w:sz w:val="18"/>
                <w:szCs w:val="18"/>
              </w:rPr>
              <w:t xml:space="preserve">Mid-Stream </w:t>
            </w:r>
            <w:r>
              <w:rPr>
                <w:rFonts w:cs="Helv"/>
                <w:sz w:val="18"/>
                <w:szCs w:val="18"/>
              </w:rPr>
              <w:t>Buy Down</w:t>
            </w:r>
          </w:p>
        </w:tc>
        <w:tc>
          <w:tcPr>
            <w:tcW w:w="3703" w:type="pct"/>
          </w:tcPr>
          <w:p w14:paraId="7F28A081" w14:textId="15FE2ED3" w:rsidR="001B2301" w:rsidRPr="00920905" w:rsidRDefault="00A84BF9" w:rsidP="00EE29DF">
            <w:pPr>
              <w:autoSpaceDE w:val="0"/>
              <w:autoSpaceDN w:val="0"/>
              <w:adjustRightInd w:val="0"/>
              <w:spacing w:line="240" w:lineRule="atLeast"/>
              <w:rPr>
                <w:sz w:val="18"/>
                <w:szCs w:val="18"/>
              </w:rPr>
            </w:pPr>
            <w:r w:rsidRPr="00920905">
              <w:rPr>
                <w:rFonts w:cs="Helv"/>
                <w:sz w:val="18"/>
                <w:szCs w:val="18"/>
              </w:rPr>
              <w:t>The program gives a financial incentive to a midstream market actor</w:t>
            </w:r>
            <w:r w:rsidR="0039615F">
              <w:rPr>
                <w:rFonts w:cs="Helv"/>
                <w:sz w:val="18"/>
                <w:szCs w:val="18"/>
              </w:rPr>
              <w:t xml:space="preserve"> (</w:t>
            </w:r>
            <w:r>
              <w:rPr>
                <w:rFonts w:cs="Helv"/>
                <w:sz w:val="18"/>
                <w:szCs w:val="18"/>
              </w:rPr>
              <w:t>distributor</w:t>
            </w:r>
            <w:r w:rsidR="003D2981">
              <w:rPr>
                <w:rFonts w:cs="Helv"/>
                <w:sz w:val="18"/>
                <w:szCs w:val="18"/>
              </w:rPr>
              <w:t>,</w:t>
            </w:r>
            <w:r w:rsidRPr="00920905">
              <w:rPr>
                <w:rFonts w:cs="Helv"/>
                <w:sz w:val="18"/>
                <w:szCs w:val="18"/>
              </w:rPr>
              <w:t xml:space="preserve"> </w:t>
            </w:r>
            <w:r>
              <w:rPr>
                <w:rFonts w:cs="Helv"/>
                <w:sz w:val="18"/>
                <w:szCs w:val="18"/>
              </w:rPr>
              <w:t>vendor</w:t>
            </w:r>
            <w:r w:rsidR="003D2981">
              <w:rPr>
                <w:rFonts w:cs="Helv"/>
                <w:sz w:val="18"/>
                <w:szCs w:val="18"/>
              </w:rPr>
              <w:t>, or retailer</w:t>
            </w:r>
            <w:r w:rsidR="0039615F">
              <w:rPr>
                <w:rFonts w:cs="Helv"/>
                <w:sz w:val="18"/>
                <w:szCs w:val="18"/>
              </w:rPr>
              <w:t>)</w:t>
            </w:r>
            <w:r w:rsidRPr="00920905">
              <w:rPr>
                <w:rFonts w:cs="Helv"/>
                <w:sz w:val="18"/>
                <w:szCs w:val="18"/>
              </w:rPr>
              <w:t xml:space="preserve"> to encourage the p</w:t>
            </w:r>
            <w:r>
              <w:rPr>
                <w:rFonts w:cs="Helv"/>
                <w:sz w:val="18"/>
                <w:szCs w:val="18"/>
              </w:rPr>
              <w:t>romotion of efficient measures.</w:t>
            </w:r>
            <w:r w:rsidR="00AA4CDC" w:rsidRPr="00920905">
              <w:rPr>
                <w:rFonts w:cs="Helv"/>
                <w:sz w:val="18"/>
                <w:szCs w:val="18"/>
              </w:rPr>
              <w:t xml:space="preserve"> </w:t>
            </w:r>
            <w:r w:rsidR="003D2981">
              <w:rPr>
                <w:rFonts w:cs="Helv"/>
                <w:sz w:val="18"/>
                <w:szCs w:val="18"/>
              </w:rPr>
              <w:t>B</w:t>
            </w:r>
            <w:r w:rsidRPr="00920905">
              <w:rPr>
                <w:rFonts w:cs="Helv"/>
                <w:sz w:val="18"/>
                <w:szCs w:val="18"/>
              </w:rPr>
              <w:t>uy</w:t>
            </w:r>
            <w:r>
              <w:rPr>
                <w:rFonts w:cs="Helv"/>
                <w:sz w:val="18"/>
                <w:szCs w:val="18"/>
              </w:rPr>
              <w:t xml:space="preserve"> </w:t>
            </w:r>
            <w:r w:rsidR="003D2981">
              <w:rPr>
                <w:rFonts w:cs="Helv"/>
                <w:sz w:val="18"/>
                <w:szCs w:val="18"/>
              </w:rPr>
              <w:t>D</w:t>
            </w:r>
            <w:r w:rsidRPr="00920905">
              <w:rPr>
                <w:rFonts w:cs="Helv"/>
                <w:sz w:val="18"/>
                <w:szCs w:val="18"/>
              </w:rPr>
              <w:t>own</w:t>
            </w:r>
            <w:r w:rsidR="003D2981">
              <w:rPr>
                <w:rFonts w:cs="Helv"/>
                <w:sz w:val="18"/>
                <w:szCs w:val="18"/>
              </w:rPr>
              <w:t xml:space="preserve"> means that the incentive is required to be passed down to the</w:t>
            </w:r>
            <w:r w:rsidRPr="00920905">
              <w:rPr>
                <w:rFonts w:cs="Helv"/>
                <w:sz w:val="18"/>
                <w:szCs w:val="18"/>
              </w:rPr>
              <w:t xml:space="preserve"> end-use customer.</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8"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410254FC" w14:textId="2C8FFC43" w:rsidR="00F06CCF"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5264AD9C" w14:textId="77777777" w:rsidR="00A64346" w:rsidRDefault="00A64346" w:rsidP="00A64346"/>
    <w:p w14:paraId="7B651083" w14:textId="77777777" w:rsidR="00A64346" w:rsidRDefault="00A64346" w:rsidP="00A64346"/>
    <w:p w14:paraId="4CE95160" w14:textId="77777777" w:rsidR="006A60A6" w:rsidRPr="00A64346" w:rsidRDefault="006A60A6" w:rsidP="00A64346"/>
    <w:p w14:paraId="127C5859" w14:textId="44305229" w:rsidR="00E326BA" w:rsidRPr="00920905" w:rsidRDefault="00E326BA" w:rsidP="00920905">
      <w:pPr>
        <w:pStyle w:val="Caption"/>
        <w:keepNext/>
        <w:jc w:val="center"/>
        <w:rPr>
          <w:rFonts w:cs="Arial"/>
          <w:szCs w:val="22"/>
        </w:rPr>
      </w:pPr>
      <w:bookmarkStart w:id="9" w:name="_Toc385592671"/>
      <w:bookmarkStart w:id="10" w:name="_Toc214003087"/>
      <w:r w:rsidRPr="00920905">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324056DC" w:rsidR="00E326BA" w:rsidRPr="00BD0F7E" w:rsidRDefault="00BD0F7E" w:rsidP="00920905">
            <w:pPr>
              <w:rPr>
                <w:rFonts w:cs="Arial"/>
                <w:b/>
                <w:szCs w:val="20"/>
              </w:rPr>
            </w:pPr>
            <w:r w:rsidRPr="00BD0F7E">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3DB15D09" w:rsidR="00E326BA" w:rsidRPr="00BD0F7E" w:rsidRDefault="00BD0F7E" w:rsidP="00920905">
            <w:pPr>
              <w:rPr>
                <w:rFonts w:cs="Arial"/>
                <w:szCs w:val="20"/>
              </w:rPr>
            </w:pPr>
            <w:r w:rsidRPr="00BD0F7E">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0033FB22" w:rsidR="00E326BA" w:rsidRPr="00BD0F7E" w:rsidRDefault="00BD0F7E" w:rsidP="00920905">
            <w:pPr>
              <w:rPr>
                <w:rFonts w:cs="Arial"/>
                <w:szCs w:val="20"/>
              </w:rPr>
            </w:pPr>
            <w:r w:rsidRPr="00BD0F7E">
              <w:rPr>
                <w:rFonts w:cs="Arial"/>
                <w:szCs w:val="20"/>
              </w:rPr>
              <w:t>No</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4E813BFC" w:rsidR="00E326BA" w:rsidRPr="00BD0F7E" w:rsidRDefault="00BD0F7E" w:rsidP="00920905">
            <w:pPr>
              <w:rPr>
                <w:rFonts w:cs="Arial"/>
                <w:szCs w:val="20"/>
              </w:rPr>
            </w:pPr>
            <w:r w:rsidRPr="00BD0F7E">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66ABAB81" w:rsidR="00E326BA" w:rsidRPr="00BD0F7E" w:rsidRDefault="00BD0F7E" w:rsidP="00920905">
            <w:pPr>
              <w:rPr>
                <w:rFonts w:cs="Arial"/>
                <w:szCs w:val="20"/>
              </w:rPr>
            </w:pPr>
            <w:r w:rsidRPr="00BD0F7E">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73AA0DE2" w:rsidR="00E326BA" w:rsidRPr="00BD0F7E" w:rsidRDefault="00BD0F7E" w:rsidP="00920905">
            <w:pPr>
              <w:rPr>
                <w:rFonts w:cs="Arial"/>
                <w:szCs w:val="20"/>
              </w:rPr>
            </w:pPr>
            <w:r w:rsidRPr="00BD0F7E">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4D0FA036" w14:textId="40885F4C" w:rsidR="00505CEC" w:rsidRPr="00BD0F7E" w:rsidDel="00505CEC" w:rsidRDefault="00BD0F7E" w:rsidP="00920905">
            <w:pPr>
              <w:rPr>
                <w:rFonts w:cs="Arial"/>
                <w:szCs w:val="20"/>
              </w:rPr>
            </w:pPr>
            <w:r w:rsidRPr="00BD0F7E">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76021E79" w:rsidR="00D86A9D" w:rsidRPr="00BD0F7E" w:rsidRDefault="00BD0F7E" w:rsidP="00175D14">
            <w:pPr>
              <w:rPr>
                <w:rFonts w:cs="Arial"/>
                <w:szCs w:val="20"/>
              </w:rPr>
            </w:pPr>
            <w:r w:rsidRPr="00BD0F7E">
              <w:rPr>
                <w:rFonts w:cstheme="minorHAnsi"/>
                <w:szCs w:val="20"/>
              </w:rPr>
              <w:t>N/A</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2E3CB695" w:rsidR="00E326BA" w:rsidRPr="00BD0F7E" w:rsidRDefault="00BD0F7E" w:rsidP="00920905">
            <w:pPr>
              <w:rPr>
                <w:rFonts w:cs="Arial"/>
                <w:szCs w:val="20"/>
              </w:rPr>
            </w:pPr>
            <w:r w:rsidRPr="00BD0F7E">
              <w:rPr>
                <w:rFonts w:cs="Arial"/>
                <w:szCs w:val="20"/>
              </w:rPr>
              <w:t>DEER does not contain this type of measure</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4A879C1D" w:rsidR="00E326BA" w:rsidRPr="00BD0F7E" w:rsidRDefault="00BD0F7E" w:rsidP="00920905">
            <w:pPr>
              <w:rPr>
                <w:rFonts w:cs="Arial"/>
                <w:szCs w:val="20"/>
              </w:rPr>
            </w:pPr>
            <w:r w:rsidRPr="00BD0F7E">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1B0B92AC"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500C4E" w14:paraId="4A5E1950" w14:textId="77777777" w:rsidTr="00920905">
        <w:tc>
          <w:tcPr>
            <w:tcW w:w="673" w:type="pct"/>
          </w:tcPr>
          <w:p w14:paraId="00952921" w14:textId="77777777" w:rsidR="00907697" w:rsidRPr="00BD0F7E" w:rsidRDefault="00907697" w:rsidP="005729C8">
            <w:pPr>
              <w:rPr>
                <w:rFonts w:cstheme="minorHAnsi"/>
                <w:szCs w:val="20"/>
              </w:rPr>
            </w:pPr>
            <w:r w:rsidRPr="00BD0F7E">
              <w:rPr>
                <w:rFonts w:cstheme="minorHAnsi"/>
                <w:szCs w:val="20"/>
              </w:rPr>
              <w:t>Com-Default&gt;2yrs</w:t>
            </w:r>
          </w:p>
        </w:tc>
        <w:tc>
          <w:tcPr>
            <w:tcW w:w="2019" w:type="pct"/>
          </w:tcPr>
          <w:p w14:paraId="755799BF" w14:textId="77777777" w:rsidR="00907697" w:rsidRPr="00BD0F7E" w:rsidRDefault="00907697" w:rsidP="005729C8">
            <w:pPr>
              <w:rPr>
                <w:rFonts w:cstheme="minorHAnsi"/>
                <w:szCs w:val="20"/>
              </w:rPr>
            </w:pPr>
            <w:r w:rsidRPr="00BD0F7E">
              <w:rPr>
                <w:rFonts w:cstheme="minorHAnsi"/>
                <w:szCs w:val="20"/>
              </w:rPr>
              <w:t>All other EEMs with no evaluated NTGR; existing EEM in programs with same delivery mechanism for more than 2 years</w:t>
            </w:r>
          </w:p>
        </w:tc>
        <w:tc>
          <w:tcPr>
            <w:tcW w:w="434" w:type="pct"/>
          </w:tcPr>
          <w:p w14:paraId="3CB22E86" w14:textId="77777777" w:rsidR="00907697" w:rsidRPr="00BD0F7E" w:rsidRDefault="00907697" w:rsidP="005729C8">
            <w:pPr>
              <w:rPr>
                <w:rFonts w:cstheme="minorHAnsi"/>
                <w:szCs w:val="20"/>
              </w:rPr>
            </w:pPr>
            <w:r w:rsidRPr="00BD0F7E">
              <w:rPr>
                <w:rFonts w:cstheme="minorHAnsi"/>
                <w:szCs w:val="20"/>
              </w:rPr>
              <w:t>Com</w:t>
            </w:r>
          </w:p>
        </w:tc>
        <w:tc>
          <w:tcPr>
            <w:tcW w:w="529" w:type="pct"/>
          </w:tcPr>
          <w:p w14:paraId="1AAF8C8B" w14:textId="77777777" w:rsidR="00907697" w:rsidRPr="00BD0F7E" w:rsidRDefault="00907697" w:rsidP="005729C8">
            <w:pPr>
              <w:rPr>
                <w:rFonts w:cstheme="minorHAnsi"/>
                <w:szCs w:val="20"/>
              </w:rPr>
            </w:pPr>
            <w:r w:rsidRPr="00BD0F7E">
              <w:rPr>
                <w:rFonts w:cstheme="minorHAnsi"/>
                <w:szCs w:val="20"/>
              </w:rPr>
              <w:t>Any</w:t>
            </w:r>
          </w:p>
        </w:tc>
        <w:tc>
          <w:tcPr>
            <w:tcW w:w="915" w:type="pct"/>
          </w:tcPr>
          <w:p w14:paraId="5BAF7D5F" w14:textId="77777777" w:rsidR="00907697" w:rsidRPr="00BD0F7E" w:rsidRDefault="00907697" w:rsidP="005729C8">
            <w:pPr>
              <w:rPr>
                <w:rFonts w:cstheme="minorHAnsi"/>
                <w:szCs w:val="20"/>
              </w:rPr>
            </w:pPr>
            <w:r w:rsidRPr="00BD0F7E">
              <w:rPr>
                <w:rFonts w:cstheme="minorHAnsi"/>
                <w:szCs w:val="20"/>
              </w:rPr>
              <w:t>Any</w:t>
            </w:r>
          </w:p>
        </w:tc>
        <w:tc>
          <w:tcPr>
            <w:tcW w:w="430" w:type="pct"/>
          </w:tcPr>
          <w:p w14:paraId="76698D49" w14:textId="77777777" w:rsidR="00907697" w:rsidRPr="00BD0F7E" w:rsidRDefault="00907697" w:rsidP="005729C8">
            <w:pPr>
              <w:rPr>
                <w:rFonts w:cstheme="minorHAnsi"/>
                <w:szCs w:val="20"/>
              </w:rPr>
            </w:pPr>
            <w:r w:rsidRPr="00BD0F7E">
              <w:rPr>
                <w:rFonts w:cstheme="minorHAnsi"/>
                <w:szCs w:val="20"/>
              </w:rPr>
              <w:t>0.6</w:t>
            </w:r>
          </w:p>
        </w:tc>
      </w:tr>
      <w:tr w:rsidR="00BD0F7E" w:rsidRPr="00500C4E" w14:paraId="359CD226" w14:textId="77777777" w:rsidTr="00855069">
        <w:tc>
          <w:tcPr>
            <w:tcW w:w="673" w:type="pct"/>
            <w:vAlign w:val="bottom"/>
          </w:tcPr>
          <w:p w14:paraId="735EB9BB" w14:textId="2E63458B" w:rsidR="00BD0F7E" w:rsidRPr="00500C4E" w:rsidRDefault="00BD0F7E" w:rsidP="00BD0F7E">
            <w:pPr>
              <w:rPr>
                <w:color w:val="FF0000"/>
                <w:szCs w:val="20"/>
              </w:rPr>
            </w:pPr>
            <w:r w:rsidRPr="00B96828">
              <w:rPr>
                <w:rFonts w:cstheme="minorHAnsi"/>
                <w:szCs w:val="20"/>
              </w:rPr>
              <w:t>Com-Default-HTR-di</w:t>
            </w:r>
          </w:p>
        </w:tc>
        <w:tc>
          <w:tcPr>
            <w:tcW w:w="2019" w:type="pct"/>
          </w:tcPr>
          <w:p w14:paraId="14082137" w14:textId="316FB9A4" w:rsidR="00BD0F7E" w:rsidRPr="00500C4E" w:rsidRDefault="00BD0F7E" w:rsidP="00BD0F7E">
            <w:pPr>
              <w:rPr>
                <w:color w:val="FF0000"/>
                <w:szCs w:val="20"/>
              </w:rPr>
            </w:pPr>
            <w:r w:rsidRPr="00B96828">
              <w:rPr>
                <w:rFonts w:cstheme="minorHAnsi"/>
                <w:szCs w:val="20"/>
              </w:rPr>
              <w:t>All other EEM with no evaluated NTGR; direct install to hard-to-reach only.</w:t>
            </w:r>
          </w:p>
        </w:tc>
        <w:tc>
          <w:tcPr>
            <w:tcW w:w="434" w:type="pct"/>
          </w:tcPr>
          <w:p w14:paraId="16EEEC36" w14:textId="2631A1BF" w:rsidR="00BD0F7E" w:rsidRPr="00500C4E" w:rsidRDefault="00BD0F7E" w:rsidP="00BD0F7E">
            <w:pPr>
              <w:rPr>
                <w:color w:val="FF0000"/>
                <w:szCs w:val="20"/>
              </w:rPr>
            </w:pPr>
            <w:r w:rsidRPr="00D5728E">
              <w:rPr>
                <w:szCs w:val="20"/>
              </w:rPr>
              <w:t>Com</w:t>
            </w:r>
          </w:p>
        </w:tc>
        <w:tc>
          <w:tcPr>
            <w:tcW w:w="529" w:type="pct"/>
          </w:tcPr>
          <w:p w14:paraId="66E8940E" w14:textId="5916D5B5" w:rsidR="00BD0F7E" w:rsidRPr="00500C4E" w:rsidRDefault="00BD0F7E" w:rsidP="00BD0F7E">
            <w:pPr>
              <w:rPr>
                <w:color w:val="FF0000"/>
                <w:szCs w:val="20"/>
              </w:rPr>
            </w:pPr>
            <w:r w:rsidRPr="00D5728E">
              <w:rPr>
                <w:szCs w:val="20"/>
              </w:rPr>
              <w:t>Any</w:t>
            </w:r>
          </w:p>
        </w:tc>
        <w:tc>
          <w:tcPr>
            <w:tcW w:w="915" w:type="pct"/>
          </w:tcPr>
          <w:p w14:paraId="5C1158DE" w14:textId="77777777" w:rsidR="00BD0F7E" w:rsidRPr="00D5728E" w:rsidRDefault="00BD0F7E" w:rsidP="00BD0F7E">
            <w:pPr>
              <w:rPr>
                <w:szCs w:val="20"/>
              </w:rPr>
            </w:pPr>
            <w:r w:rsidRPr="00D5728E">
              <w:rPr>
                <w:szCs w:val="20"/>
              </w:rPr>
              <w:t>DirInstall</w:t>
            </w:r>
          </w:p>
          <w:p w14:paraId="0384BF05" w14:textId="77777777" w:rsidR="00BD0F7E" w:rsidRPr="00500C4E" w:rsidRDefault="00BD0F7E" w:rsidP="00BD0F7E">
            <w:pPr>
              <w:rPr>
                <w:color w:val="FF0000"/>
                <w:szCs w:val="20"/>
              </w:rPr>
            </w:pPr>
          </w:p>
        </w:tc>
        <w:tc>
          <w:tcPr>
            <w:tcW w:w="430" w:type="pct"/>
          </w:tcPr>
          <w:p w14:paraId="16A0E5CE" w14:textId="208B2DDE" w:rsidR="00BD0F7E" w:rsidRPr="00500C4E" w:rsidRDefault="00BD0F7E" w:rsidP="00BD0F7E">
            <w:pPr>
              <w:rPr>
                <w:color w:val="FF0000"/>
                <w:szCs w:val="20"/>
              </w:rPr>
            </w:pPr>
            <w:r w:rsidRPr="00D5728E">
              <w:rPr>
                <w:szCs w:val="20"/>
              </w:rPr>
              <w:t>0.85</w:t>
            </w:r>
          </w:p>
        </w:tc>
      </w:tr>
    </w:tbl>
    <w:p w14:paraId="2595EDF1" w14:textId="00AA298C" w:rsidR="000968C6" w:rsidRPr="0066399B" w:rsidRDefault="00FB2590" w:rsidP="000968C6">
      <w:pPr>
        <w:pStyle w:val="Reminders"/>
        <w:rPr>
          <w:rFonts w:asciiTheme="minorHAnsi" w:hAnsiTheme="minorHAnsi" w:cstheme="minorHAnsi"/>
          <w:i w:val="0"/>
          <w:color w:val="auto"/>
          <w:sz w:val="20"/>
          <w:szCs w:val="20"/>
        </w:rPr>
      </w:pPr>
      <w:r w:rsidRPr="0066399B">
        <w:rPr>
          <w:rFonts w:asciiTheme="minorHAnsi" w:hAnsiTheme="minorHAnsi" w:cstheme="minorHAnsi"/>
          <w:i w:val="0"/>
          <w:color w:val="auto"/>
          <w:sz w:val="20"/>
          <w:szCs w:val="20"/>
        </w:rPr>
        <w:t>Note: Direct install measures that are not hard-to-reach will use the default NTG value.</w:t>
      </w:r>
    </w:p>
    <w:p w14:paraId="71A2A2BE" w14:textId="77777777" w:rsidR="00E2772A" w:rsidRDefault="00E2772A" w:rsidP="00E2772A">
      <w:pPr>
        <w:pStyle w:val="Reminder"/>
        <w:rPr>
          <w:rFonts w:ascii="Calibri" w:hAnsi="Calibri"/>
          <w:i w:val="0"/>
          <w:iCs/>
          <w:color w:val="auto"/>
        </w:rPr>
      </w:pPr>
    </w:p>
    <w:p w14:paraId="3C3C9CEA" w14:textId="77777777" w:rsidR="00B548F4" w:rsidRDefault="00B548F4" w:rsidP="00B548F4">
      <w:pPr>
        <w:rPr>
          <w:color w:val="000000" w:themeColor="text1"/>
        </w:rPr>
      </w:pPr>
      <w:r w:rsidRPr="00952D5F">
        <w:rPr>
          <w:color w:val="000000" w:themeColor="text1"/>
        </w:rPr>
        <w:t xml:space="preserve">This work paper includes measures that are offered via direct install activities into hard-to-reach (HTR) customer </w:t>
      </w:r>
      <w:r>
        <w:rPr>
          <w:color w:val="000000" w:themeColor="text1"/>
        </w:rPr>
        <w:t>facilities</w:t>
      </w:r>
      <w:r w:rsidRPr="00952D5F">
        <w:rPr>
          <w:color w:val="000000" w:themeColor="text1"/>
        </w:rPr>
        <w:t xml:space="preserve">.  </w:t>
      </w:r>
      <w:r>
        <w:rPr>
          <w:color w:val="000000" w:themeColor="text1"/>
        </w:rPr>
        <w:t>“</w:t>
      </w:r>
      <w:r w:rsidRPr="00952D5F">
        <w:rPr>
          <w:color w:val="000000" w:themeColor="text1"/>
        </w:rPr>
        <w:t>Final Resolution E-4700</w:t>
      </w:r>
      <w:r>
        <w:rPr>
          <w:color w:val="000000" w:themeColor="text1"/>
        </w:rPr>
        <w:t>”</w:t>
      </w:r>
      <w:r w:rsidRPr="00952D5F">
        <w:rPr>
          <w:color w:val="000000" w:themeColor="text1"/>
        </w:rPr>
        <w:t xml:space="preserve">, dated December 18, 2014, defines specific criteria to classify customer </w:t>
      </w:r>
      <w:r>
        <w:rPr>
          <w:color w:val="000000" w:themeColor="text1"/>
        </w:rPr>
        <w:t>facilities</w:t>
      </w:r>
      <w:r w:rsidRPr="00952D5F">
        <w:rPr>
          <w:color w:val="000000" w:themeColor="text1"/>
        </w:rPr>
        <w:t xml:space="preserve"> as HTR</w:t>
      </w:r>
      <w:r>
        <w:rPr>
          <w:color w:val="000000" w:themeColor="text1"/>
        </w:rPr>
        <w:t xml:space="preserve"> and also states that two criteria are sufficient to identify HTR customers </w:t>
      </w:r>
      <w:r w:rsidRPr="00067D8C">
        <w:rPr>
          <w:color w:val="000000" w:themeColor="text1"/>
        </w:rPr>
        <w:t>if one of the criteria met is the geographic criteria</w:t>
      </w:r>
      <w:r>
        <w:rPr>
          <w:color w:val="000000" w:themeColor="text1"/>
        </w:rPr>
        <w:t xml:space="preserve">.  </w:t>
      </w:r>
    </w:p>
    <w:p w14:paraId="16EAEB7A" w14:textId="77777777" w:rsidR="00130C79" w:rsidRDefault="00130C79" w:rsidP="00B548F4">
      <w:pPr>
        <w:rPr>
          <w:color w:val="000000" w:themeColor="text1"/>
        </w:rPr>
      </w:pPr>
    </w:p>
    <w:p w14:paraId="7C5C7E91" w14:textId="3282D34C" w:rsidR="00B548F4" w:rsidRDefault="00B548F4" w:rsidP="00B548F4">
      <w:pPr>
        <w:rPr>
          <w:color w:val="000000" w:themeColor="text1"/>
        </w:rPr>
      </w:pPr>
      <w:r>
        <w:rPr>
          <w:color w:val="000000" w:themeColor="text1"/>
        </w:rPr>
        <w:t>SCE’s</w:t>
      </w:r>
      <w:r w:rsidRPr="00A96A74">
        <w:rPr>
          <w:color w:val="000000" w:themeColor="text1"/>
        </w:rPr>
        <w:t xml:space="preserve"> Commercial Direct Install program delivers free and low cost energy</w:t>
      </w:r>
      <w:r>
        <w:rPr>
          <w:color w:val="000000" w:themeColor="text1"/>
        </w:rPr>
        <w:t xml:space="preserve"> </w:t>
      </w:r>
      <w:r w:rsidRPr="00A96A74">
        <w:rPr>
          <w:color w:val="000000" w:themeColor="text1"/>
        </w:rPr>
        <w:t>efficiency hardware retrofits through installation contractors to reduce peak demand</w:t>
      </w:r>
      <w:r>
        <w:rPr>
          <w:color w:val="000000" w:themeColor="text1"/>
        </w:rPr>
        <w:t xml:space="preserve"> </w:t>
      </w:r>
      <w:r w:rsidRPr="00A96A74">
        <w:rPr>
          <w:color w:val="000000" w:themeColor="text1"/>
        </w:rPr>
        <w:t>and energy savings for small and medium commercial customers.</w:t>
      </w:r>
      <w:r>
        <w:rPr>
          <w:color w:val="000000" w:themeColor="text1"/>
        </w:rPr>
        <w:t xml:space="preserve">  The barriers for customer participation include limited capital resources, lack of expertise and understanding of the </w:t>
      </w:r>
      <w:r w:rsidRPr="00A96A74">
        <w:rPr>
          <w:color w:val="000000" w:themeColor="text1"/>
        </w:rPr>
        <w:t xml:space="preserve">benefits of energy </w:t>
      </w:r>
      <w:r>
        <w:rPr>
          <w:color w:val="000000" w:themeColor="text1"/>
        </w:rPr>
        <w:t xml:space="preserve">efficiency, a suspicion of the </w:t>
      </w:r>
      <w:r w:rsidRPr="00A96A74">
        <w:rPr>
          <w:color w:val="000000" w:themeColor="text1"/>
        </w:rPr>
        <w:t>“free offer” and its legitimacy, and language and cultural barriers.</w:t>
      </w:r>
      <w:r>
        <w:rPr>
          <w:color w:val="000000" w:themeColor="text1"/>
        </w:rPr>
        <w:t xml:space="preserve">  The program also addresses the ongoing concern with “split incentives”, where the customer is not the owner of the property, and therefore, lack incentive to improve their energy usage.  SCE’s Commercial Direct Install program will track the following three (3) customer data points to identify direct install activities in HTR customer facilities.  If geography and business size criteria are satisfied, SCE will identify the customer as HTR.  If geography and language criteria are satisfied, SCE will identify the customer as HTR.  </w:t>
      </w:r>
      <w:r w:rsidRPr="008170A7">
        <w:rPr>
          <w:color w:val="000000" w:themeColor="text1"/>
        </w:rPr>
        <w:t>Other</w:t>
      </w:r>
      <w:r>
        <w:rPr>
          <w:color w:val="000000" w:themeColor="text1"/>
        </w:rPr>
        <w:t xml:space="preserve"> measures in the Commercial Direct Install program will receive default NTG (NTGR_ID: Com-Default&gt;2), unless otherwise specified in DEER.</w:t>
      </w:r>
    </w:p>
    <w:p w14:paraId="4C9DF469" w14:textId="77777777" w:rsidR="00C73BD7" w:rsidRDefault="00C73BD7" w:rsidP="00B548F4">
      <w:pPr>
        <w:rPr>
          <w:color w:val="000000" w:themeColor="text1"/>
        </w:rPr>
      </w:pPr>
    </w:p>
    <w:p w14:paraId="03707E69" w14:textId="352A5088" w:rsidR="00B548F4" w:rsidRPr="00C73BD7" w:rsidRDefault="00B548F4" w:rsidP="00C73BD7">
      <w:pPr>
        <w:pStyle w:val="ListParagraph"/>
        <w:numPr>
          <w:ilvl w:val="0"/>
          <w:numId w:val="44"/>
        </w:numPr>
        <w:rPr>
          <w:color w:val="000000" w:themeColor="text1"/>
        </w:rPr>
      </w:pPr>
      <w:r w:rsidRPr="00C73BD7">
        <w:rPr>
          <w:b/>
          <w:color w:val="000000" w:themeColor="text1"/>
        </w:rPr>
        <w:t>Business Size</w:t>
      </w:r>
      <w:r w:rsidRPr="00C73BD7">
        <w:rPr>
          <w:color w:val="000000" w:themeColor="text1"/>
        </w:rPr>
        <w:t xml:space="preserve"> – Customer must have less than ten employees </w:t>
      </w:r>
    </w:p>
    <w:p w14:paraId="0DAE2DD5" w14:textId="3625397B" w:rsidR="00B548F4" w:rsidRPr="00C73BD7" w:rsidRDefault="00B548F4" w:rsidP="00C73BD7">
      <w:pPr>
        <w:pStyle w:val="ListParagraph"/>
        <w:numPr>
          <w:ilvl w:val="0"/>
          <w:numId w:val="44"/>
        </w:numPr>
        <w:rPr>
          <w:color w:val="000000" w:themeColor="text1"/>
        </w:rPr>
      </w:pPr>
      <w:r w:rsidRPr="00C73BD7">
        <w:rPr>
          <w:b/>
          <w:color w:val="000000" w:themeColor="text1"/>
        </w:rPr>
        <w:t>Language</w:t>
      </w:r>
      <w:r w:rsidRPr="00C73BD7">
        <w:rPr>
          <w:color w:val="000000" w:themeColor="text1"/>
        </w:rPr>
        <w:t xml:space="preserve"> – Customer’s primary language spoken is not English</w:t>
      </w:r>
    </w:p>
    <w:p w14:paraId="6E20F3E2" w14:textId="4C363217" w:rsidR="00B548F4" w:rsidRPr="00C73BD7" w:rsidRDefault="00B548F4" w:rsidP="00C73BD7">
      <w:pPr>
        <w:pStyle w:val="ListParagraph"/>
        <w:numPr>
          <w:ilvl w:val="0"/>
          <w:numId w:val="44"/>
        </w:numPr>
        <w:rPr>
          <w:color w:val="000000" w:themeColor="text1"/>
        </w:rPr>
      </w:pPr>
      <w:r w:rsidRPr="00C73BD7">
        <w:rPr>
          <w:b/>
          <w:color w:val="000000" w:themeColor="text1"/>
        </w:rPr>
        <w:t>Geography</w:t>
      </w:r>
      <w:r w:rsidRPr="00C73BD7">
        <w:rPr>
          <w:color w:val="000000" w:themeColor="text1"/>
        </w:rPr>
        <w:t xml:space="preserve"> – Businesses in areas other than the United States Office of Management and Budget (OMB) Combined Statistical Areas (CSA) of the San Francisco Bay Area,  the Greater Los Angeles Area and the Greater Sacramento Area  or the OBM metropolitan statistical areas or San Diego County</w:t>
      </w:r>
    </w:p>
    <w:p w14:paraId="01390517" w14:textId="77777777" w:rsidR="00B548F4" w:rsidRPr="00067D8C" w:rsidRDefault="00B548F4" w:rsidP="00B548F4">
      <w:pPr>
        <w:ind w:left="720"/>
        <w:rPr>
          <w:color w:val="000000" w:themeColor="text1"/>
        </w:rPr>
      </w:pPr>
      <w:r w:rsidRPr="00952D5F">
        <w:rPr>
          <w:color w:val="000000" w:themeColor="text1"/>
        </w:rPr>
        <w:t>The “Required Corrections to Measure Level Input Parameters Identified by Commission Staff per D.14-10-046 Order Paragraph 16”, dated November 3, 2014,</w:t>
      </w:r>
      <w:r>
        <w:rPr>
          <w:color w:val="000000" w:themeColor="text1"/>
        </w:rPr>
        <w:t xml:space="preserve"> </w:t>
      </w:r>
      <w:r w:rsidRPr="00952D5F">
        <w:rPr>
          <w:color w:val="000000" w:themeColor="text1"/>
        </w:rPr>
        <w:t xml:space="preserve">includes additional </w:t>
      </w:r>
      <w:r>
        <w:rPr>
          <w:color w:val="000000" w:themeColor="text1"/>
        </w:rPr>
        <w:t>clarification for the geographic criteria:</w:t>
      </w:r>
    </w:p>
    <w:p w14:paraId="0384EAB2" w14:textId="77777777" w:rsidR="00B548F4" w:rsidRPr="00067D8C" w:rsidRDefault="00B548F4" w:rsidP="00B548F4">
      <w:pPr>
        <w:ind w:left="720"/>
        <w:rPr>
          <w:color w:val="000000" w:themeColor="text1"/>
        </w:rPr>
      </w:pPr>
      <w:r>
        <w:rPr>
          <w:color w:val="000000" w:themeColor="text1"/>
        </w:rPr>
        <w:t>“</w:t>
      </w:r>
      <w:r w:rsidRPr="00067D8C">
        <w:rPr>
          <w:color w:val="000000" w:themeColor="text1"/>
        </w:rPr>
        <w:t>Notes on OMB CSA designations:</w:t>
      </w:r>
    </w:p>
    <w:p w14:paraId="1D2C7001" w14:textId="77777777" w:rsidR="00B548F4" w:rsidRPr="00067D8C" w:rsidRDefault="00B548F4" w:rsidP="00B548F4">
      <w:pPr>
        <w:ind w:left="720"/>
        <w:rPr>
          <w:color w:val="000000" w:themeColor="text1"/>
        </w:rPr>
      </w:pPr>
      <w:r w:rsidRPr="00067D8C">
        <w:rPr>
          <w:color w:val="000000" w:themeColor="text1"/>
        </w:rPr>
        <w:t>The OMB has designated a 12-county CSA titled the San Jose-San Francisco-Oakland, CA Combined Statistical Area which includes the nine counties of Alameda, Contra Costa, Marin, Napa, San Francisco, San Mateo, Santa Clara, Solano, and Sonoma which border the San Francisco Bay plus the three counties of San Joaquin, Santa Cruz, and San Benito that are economically tied to the nine counties that that border the San Francisco Bay.”</w:t>
      </w:r>
    </w:p>
    <w:p w14:paraId="4CD1A452" w14:textId="77777777" w:rsidR="00B548F4" w:rsidRPr="00067D8C" w:rsidRDefault="00B548F4" w:rsidP="00B548F4">
      <w:pPr>
        <w:ind w:left="720"/>
        <w:rPr>
          <w:color w:val="000000" w:themeColor="text1"/>
        </w:rPr>
      </w:pPr>
      <w:r w:rsidRPr="00067D8C">
        <w:rPr>
          <w:color w:val="000000" w:themeColor="text1"/>
        </w:rPr>
        <w:t>The OMB definition of this CSA includes Los Angeles, Orange, San Bernardino, Riverside and Ventura counties.</w:t>
      </w:r>
    </w:p>
    <w:p w14:paraId="2199C30F" w14:textId="77777777" w:rsidR="00B548F4" w:rsidRDefault="00B548F4" w:rsidP="00B548F4">
      <w:pPr>
        <w:ind w:left="720"/>
        <w:rPr>
          <w:color w:val="000000" w:themeColor="text1"/>
        </w:rPr>
      </w:pPr>
      <w:r w:rsidRPr="00067D8C">
        <w:rPr>
          <w:color w:val="000000" w:themeColor="text1"/>
        </w:rPr>
        <w:t>The OMB definition of this CSA includes Sacramento, Yolo, El Dorado, Placer, Sutter, Yuba, and Nevada counties.”</w:t>
      </w:r>
      <w:r>
        <w:rPr>
          <w:color w:val="000000" w:themeColor="text1"/>
        </w:rPr>
        <w:t xml:space="preserve">  </w:t>
      </w:r>
    </w:p>
    <w:p w14:paraId="45E210C1" w14:textId="77777777" w:rsidR="00E2772A" w:rsidRPr="00920905" w:rsidRDefault="00E2772A"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A0A2197"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r w:rsidRPr="00920905">
              <w:rPr>
                <w:rFonts w:cstheme="minorHAnsi"/>
                <w:b/>
                <w:szCs w:val="20"/>
              </w:rPr>
              <w:t>GSIAValue</w:t>
            </w:r>
          </w:p>
        </w:tc>
      </w:tr>
      <w:tr w:rsidR="002F4E34" w:rsidRPr="00500C4E" w14:paraId="3AEFCD58" w14:textId="77777777" w:rsidTr="00920905">
        <w:tc>
          <w:tcPr>
            <w:tcW w:w="722" w:type="pct"/>
          </w:tcPr>
          <w:p w14:paraId="20565B79" w14:textId="77777777" w:rsidR="002F4E34" w:rsidRPr="0066399B" w:rsidRDefault="002F4E34" w:rsidP="005729C8">
            <w:pPr>
              <w:rPr>
                <w:szCs w:val="20"/>
              </w:rPr>
            </w:pPr>
            <w:r w:rsidRPr="0066399B">
              <w:rPr>
                <w:szCs w:val="20"/>
              </w:rPr>
              <w:t>Def-GSIA</w:t>
            </w:r>
          </w:p>
        </w:tc>
        <w:tc>
          <w:tcPr>
            <w:tcW w:w="1404" w:type="pct"/>
          </w:tcPr>
          <w:p w14:paraId="2BFFF598" w14:textId="77777777" w:rsidR="002F4E34" w:rsidRPr="0066399B" w:rsidRDefault="002F4E34" w:rsidP="005729C8">
            <w:pPr>
              <w:rPr>
                <w:szCs w:val="20"/>
              </w:rPr>
            </w:pPr>
            <w:r w:rsidRPr="0066399B">
              <w:rPr>
                <w:szCs w:val="20"/>
              </w:rPr>
              <w:t>Default GSIA values</w:t>
            </w:r>
          </w:p>
        </w:tc>
        <w:tc>
          <w:tcPr>
            <w:tcW w:w="688" w:type="pct"/>
          </w:tcPr>
          <w:p w14:paraId="157D8A62" w14:textId="77777777" w:rsidR="002F4E34" w:rsidRPr="0066399B" w:rsidRDefault="002F4E34" w:rsidP="005729C8">
            <w:pPr>
              <w:rPr>
                <w:szCs w:val="20"/>
              </w:rPr>
            </w:pPr>
            <w:r w:rsidRPr="0066399B">
              <w:rPr>
                <w:szCs w:val="20"/>
              </w:rPr>
              <w:t>Any</w:t>
            </w:r>
          </w:p>
        </w:tc>
        <w:tc>
          <w:tcPr>
            <w:tcW w:w="858" w:type="pct"/>
          </w:tcPr>
          <w:p w14:paraId="0C3293FE" w14:textId="77777777" w:rsidR="002F4E34" w:rsidRPr="0066399B" w:rsidRDefault="002F4E34" w:rsidP="005729C8">
            <w:pPr>
              <w:rPr>
                <w:szCs w:val="20"/>
              </w:rPr>
            </w:pPr>
            <w:r w:rsidRPr="0066399B">
              <w:rPr>
                <w:szCs w:val="20"/>
              </w:rPr>
              <w:t>Any</w:t>
            </w:r>
          </w:p>
        </w:tc>
        <w:tc>
          <w:tcPr>
            <w:tcW w:w="693" w:type="pct"/>
          </w:tcPr>
          <w:p w14:paraId="0B642835" w14:textId="77777777" w:rsidR="002F4E34" w:rsidRPr="0066399B" w:rsidRDefault="002F4E34" w:rsidP="005729C8">
            <w:pPr>
              <w:rPr>
                <w:szCs w:val="20"/>
              </w:rPr>
            </w:pPr>
            <w:r w:rsidRPr="0066399B">
              <w:rPr>
                <w:szCs w:val="20"/>
              </w:rPr>
              <w:t>Any</w:t>
            </w:r>
          </w:p>
        </w:tc>
        <w:tc>
          <w:tcPr>
            <w:tcW w:w="634" w:type="pct"/>
          </w:tcPr>
          <w:p w14:paraId="1C671DD2" w14:textId="77777777" w:rsidR="002F4E34" w:rsidRPr="0066399B" w:rsidRDefault="002F4E34" w:rsidP="005729C8">
            <w:pPr>
              <w:rPr>
                <w:szCs w:val="20"/>
              </w:rPr>
            </w:pPr>
            <w:r w:rsidRPr="0066399B">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5FA372E5" w:rsidR="008B1357" w:rsidRDefault="008A6F4D" w:rsidP="00920905">
      <w:pPr>
        <w:pStyle w:val="NoSpacing"/>
      </w:pPr>
      <w:r>
        <w:t xml:space="preserve">Per </w:t>
      </w:r>
      <w:r w:rsidR="00C165B3">
        <w:t>Resolution E-4807 [510]</w:t>
      </w:r>
      <w:r>
        <w:t xml:space="preserve">, the EUL for LED Display Case lighting is the lesser of the EUL of the LEDs (16 years) </w:t>
      </w:r>
      <w:r w:rsidR="00C165B3">
        <w:t>or</w:t>
      </w:r>
      <w:r>
        <w:t xml:space="preserve"> the RUL of the display case (12/3=4 years). Thus, EUL of 4 years is used for the measure as shown</w:t>
      </w:r>
      <w:r w:rsidR="006A6D15" w:rsidRPr="0087393E">
        <w:t xml:space="preserve"> in the table below.</w:t>
      </w:r>
    </w:p>
    <w:p w14:paraId="5E190A1D" w14:textId="77777777" w:rsidR="00C44992" w:rsidRPr="00920905" w:rsidRDefault="00C44992" w:rsidP="00920905">
      <w:pPr>
        <w:pStyle w:val="NoSpacing"/>
      </w:pPr>
    </w:p>
    <w:tbl>
      <w:tblPr>
        <w:tblStyle w:val="TableGrid1"/>
        <w:tblW w:w="5000" w:type="pct"/>
        <w:tblLook w:val="04A0" w:firstRow="1" w:lastRow="0" w:firstColumn="1" w:lastColumn="0" w:noHBand="0" w:noVBand="1"/>
      </w:tblPr>
      <w:tblGrid>
        <w:gridCol w:w="1540"/>
        <w:gridCol w:w="2684"/>
        <w:gridCol w:w="885"/>
        <w:gridCol w:w="1270"/>
        <w:gridCol w:w="1519"/>
        <w:gridCol w:w="1452"/>
      </w:tblGrid>
      <w:tr w:rsidR="008B1357" w:rsidRPr="00500C4E" w14:paraId="5A9EC2BE" w14:textId="77777777" w:rsidTr="00920905">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0733AF36" w14:textId="77777777" w:rsidR="008B1357" w:rsidRPr="00920905" w:rsidRDefault="00BA2E7E" w:rsidP="00BA2E7E">
            <w:pPr>
              <w:rPr>
                <w:rFonts w:cstheme="minorHAnsi"/>
                <w:b/>
                <w:szCs w:val="20"/>
              </w:rPr>
            </w:pPr>
            <w:r w:rsidRPr="00920905">
              <w:rPr>
                <w:rFonts w:cstheme="minorHAnsi"/>
                <w:b/>
                <w:szCs w:val="20"/>
              </w:rPr>
              <w:t>UseCategory</w:t>
            </w:r>
          </w:p>
        </w:tc>
        <w:tc>
          <w:tcPr>
            <w:tcW w:w="813"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500C4E" w14:paraId="23E3B0B0" w14:textId="77777777" w:rsidTr="00920905">
        <w:trPr>
          <w:trHeight w:val="243"/>
        </w:trPr>
        <w:tc>
          <w:tcPr>
            <w:tcW w:w="824" w:type="pct"/>
          </w:tcPr>
          <w:p w14:paraId="17A1D7F4" w14:textId="49EB070E" w:rsidR="00BA2E7E" w:rsidRPr="00500C4E" w:rsidRDefault="00EE4D04" w:rsidP="00BA2E7E">
            <w:pPr>
              <w:rPr>
                <w:color w:val="FF0000"/>
                <w:szCs w:val="20"/>
              </w:rPr>
            </w:pPr>
            <w:r>
              <w:rPr>
                <w:rFonts w:cstheme="minorHAnsi"/>
                <w:szCs w:val="20"/>
              </w:rPr>
              <w:t>GrocDisp-FixtLtg-LED</w:t>
            </w:r>
          </w:p>
        </w:tc>
        <w:tc>
          <w:tcPr>
            <w:tcW w:w="1436" w:type="pct"/>
          </w:tcPr>
          <w:p w14:paraId="36E678D1" w14:textId="7D825317" w:rsidR="00BA2E7E" w:rsidRPr="00500C4E" w:rsidRDefault="00EE4D04" w:rsidP="00BA2E7E">
            <w:pPr>
              <w:rPr>
                <w:color w:val="FF0000"/>
                <w:szCs w:val="20"/>
              </w:rPr>
            </w:pPr>
            <w:r>
              <w:rPr>
                <w:rFonts w:cstheme="minorHAnsi"/>
                <w:szCs w:val="20"/>
              </w:rPr>
              <w:t>Display Case Lighting LED Lighting</w:t>
            </w:r>
          </w:p>
        </w:tc>
        <w:tc>
          <w:tcPr>
            <w:tcW w:w="474" w:type="pct"/>
          </w:tcPr>
          <w:p w14:paraId="42B5C736" w14:textId="77777777" w:rsidR="00BA2E7E" w:rsidRPr="00EE4D04" w:rsidRDefault="00BA2E7E" w:rsidP="00BA2E7E">
            <w:pPr>
              <w:rPr>
                <w:szCs w:val="20"/>
              </w:rPr>
            </w:pPr>
            <w:r w:rsidRPr="00EE4D04">
              <w:rPr>
                <w:szCs w:val="20"/>
              </w:rPr>
              <w:t>Com</w:t>
            </w:r>
          </w:p>
        </w:tc>
        <w:tc>
          <w:tcPr>
            <w:tcW w:w="676" w:type="pct"/>
          </w:tcPr>
          <w:p w14:paraId="52A841ED" w14:textId="386F925C" w:rsidR="00BA2E7E" w:rsidRPr="00EE4D04" w:rsidRDefault="00EE4D04" w:rsidP="00BA2E7E">
            <w:pPr>
              <w:rPr>
                <w:szCs w:val="20"/>
              </w:rPr>
            </w:pPr>
            <w:r w:rsidRPr="00EE4D04">
              <w:rPr>
                <w:rFonts w:cstheme="minorHAnsi"/>
                <w:szCs w:val="20"/>
              </w:rPr>
              <w:t>Lighting</w:t>
            </w:r>
          </w:p>
        </w:tc>
        <w:tc>
          <w:tcPr>
            <w:tcW w:w="813" w:type="pct"/>
          </w:tcPr>
          <w:p w14:paraId="1BF5FCBD" w14:textId="53D7E4BA" w:rsidR="00BA2E7E" w:rsidRPr="00EE4D04" w:rsidRDefault="008A6F4D" w:rsidP="00EE4D04">
            <w:pPr>
              <w:rPr>
                <w:szCs w:val="20"/>
              </w:rPr>
            </w:pPr>
            <w:r>
              <w:rPr>
                <w:szCs w:val="20"/>
              </w:rPr>
              <w:t>4</w:t>
            </w:r>
          </w:p>
        </w:tc>
        <w:tc>
          <w:tcPr>
            <w:tcW w:w="777" w:type="pct"/>
          </w:tcPr>
          <w:p w14:paraId="46ED97C1" w14:textId="52095963" w:rsidR="00BA2E7E" w:rsidRPr="00EE4D04" w:rsidRDefault="00DD0CBD" w:rsidP="00BA2E7E">
            <w:pPr>
              <w:rPr>
                <w:szCs w:val="20"/>
              </w:rPr>
            </w:pPr>
            <w:r>
              <w:rPr>
                <w:szCs w:val="20"/>
              </w:rPr>
              <w:t>0</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1D92C863" w14:textId="628ABF43" w:rsidR="00E2772A" w:rsidRPr="00E2772A" w:rsidRDefault="00E2772A" w:rsidP="00E2772A">
      <w:pPr>
        <w:pStyle w:val="NoSpacing"/>
      </w:pPr>
      <w:r w:rsidRPr="00E2772A">
        <w:t xml:space="preserve">Title 24 </w:t>
      </w:r>
      <w:r w:rsidR="00031DC5" w:rsidRPr="00E2772A">
        <w:t>20</w:t>
      </w:r>
      <w:r w:rsidR="00031DC5">
        <w:t>16</w:t>
      </w:r>
      <w:r w:rsidR="00031DC5" w:rsidRPr="00E2772A">
        <w:t xml:space="preserve"> </w:t>
      </w:r>
      <w:r w:rsidRPr="00E2772A">
        <w:t>[</w:t>
      </w:r>
      <w:r w:rsidR="00031DC5">
        <w:t>496</w:t>
      </w:r>
      <w:r w:rsidRPr="00E2772A">
        <w:t>] and Title 20 201</w:t>
      </w:r>
      <w:r>
        <w:t>5</w:t>
      </w:r>
      <w:r w:rsidRPr="00E2772A">
        <w:t xml:space="preserve"> [</w:t>
      </w:r>
      <w:r>
        <w:t>493</w:t>
      </w:r>
      <w:r w:rsidRPr="00E2772A">
        <w:t xml:space="preserve">] do not apply. </w:t>
      </w:r>
    </w:p>
    <w:p w14:paraId="586CCCF2" w14:textId="77777777" w:rsidR="00E2772A" w:rsidRDefault="00E2772A" w:rsidP="00920905">
      <w:pPr>
        <w:pStyle w:val="Caption"/>
        <w:keepNext/>
        <w:rPr>
          <w:rFonts w:cstheme="minorHAnsi"/>
          <w:szCs w:val="22"/>
        </w:rPr>
      </w:pPr>
    </w:p>
    <w:p w14:paraId="64ABA407" w14:textId="2C6B051E" w:rsidR="00FA42E8" w:rsidRDefault="008A208C" w:rsidP="00FA42E8">
      <w:pPr>
        <w:spacing w:before="40" w:after="40"/>
        <w:rPr>
          <w:rFonts w:cstheme="minorHAnsi"/>
          <w:szCs w:val="22"/>
        </w:rPr>
      </w:pPr>
      <w:r>
        <w:rPr>
          <w:rFonts w:cstheme="minorHAnsi"/>
          <w:szCs w:val="22"/>
        </w:rPr>
        <w:t>Title 24</w:t>
      </w:r>
      <w:r w:rsidR="00FA42E8">
        <w:rPr>
          <w:rFonts w:cstheme="minorHAnsi"/>
          <w:szCs w:val="22"/>
        </w:rPr>
        <w:t xml:space="preserve"> </w:t>
      </w:r>
      <w:r w:rsidR="00031DC5">
        <w:rPr>
          <w:rFonts w:cstheme="minorHAnsi"/>
          <w:szCs w:val="22"/>
        </w:rPr>
        <w:t xml:space="preserve">2016 </w:t>
      </w:r>
      <w:r w:rsidR="00FA42E8">
        <w:rPr>
          <w:rFonts w:cstheme="minorHAnsi"/>
          <w:szCs w:val="22"/>
        </w:rPr>
        <w:t>[</w:t>
      </w:r>
      <w:r w:rsidR="00031DC5">
        <w:rPr>
          <w:rFonts w:cstheme="minorHAnsi"/>
          <w:szCs w:val="22"/>
        </w:rPr>
        <w:t>496</w:t>
      </w:r>
      <w:r w:rsidR="00FA42E8">
        <w:rPr>
          <w:rFonts w:cstheme="minorHAnsi"/>
          <w:szCs w:val="22"/>
        </w:rPr>
        <w:t xml:space="preserve">] contains code related to refrigerated display cases that affect new (NEW) display case installations. </w:t>
      </w:r>
    </w:p>
    <w:p w14:paraId="27C08A7E" w14:textId="77777777" w:rsidR="00FA42E8" w:rsidRDefault="00FA42E8" w:rsidP="00FA42E8">
      <w:pPr>
        <w:autoSpaceDE w:val="0"/>
        <w:autoSpaceDN w:val="0"/>
        <w:adjustRightInd w:val="0"/>
        <w:rPr>
          <w:rFonts w:eastAsiaTheme="minorHAnsi" w:cs="TimesNewRomanPS-BoldMT"/>
          <w:b/>
          <w:bCs/>
          <w:szCs w:val="22"/>
        </w:rPr>
      </w:pPr>
    </w:p>
    <w:p w14:paraId="208DD778" w14:textId="77777777" w:rsidR="00FA42E8" w:rsidRDefault="00FA42E8" w:rsidP="00FA42E8">
      <w:pPr>
        <w:tabs>
          <w:tab w:val="num" w:pos="360"/>
        </w:tabs>
        <w:spacing w:before="40" w:after="40"/>
        <w:ind w:left="720"/>
        <w:rPr>
          <w:rFonts w:cstheme="minorHAnsi"/>
          <w:szCs w:val="22"/>
        </w:rPr>
      </w:pPr>
      <w:r>
        <w:rPr>
          <w:rFonts w:cstheme="minorHAnsi"/>
          <w:b/>
          <w:szCs w:val="22"/>
        </w:rPr>
        <w:t>Refrigerated Display Cases.</w:t>
      </w:r>
      <w:r>
        <w:rPr>
          <w:rFonts w:cstheme="minorHAnsi"/>
          <w:szCs w:val="22"/>
        </w:rPr>
        <w:t xml:space="preserve"> Lighting in refrigerated display cases, and lights on glass doors installed on walk-in coolers and freezers shall be controlled by one of the following:</w:t>
      </w:r>
    </w:p>
    <w:p w14:paraId="7C8FEC4F" w14:textId="77777777" w:rsidR="00FA42E8" w:rsidRDefault="00FA42E8" w:rsidP="00FA42E8">
      <w:pPr>
        <w:tabs>
          <w:tab w:val="num" w:pos="360"/>
        </w:tabs>
        <w:spacing w:before="40" w:after="40"/>
        <w:ind w:left="720"/>
        <w:rPr>
          <w:rFonts w:cstheme="minorHAnsi"/>
          <w:szCs w:val="22"/>
        </w:rPr>
      </w:pPr>
    </w:p>
    <w:p w14:paraId="38698B1C" w14:textId="77777777" w:rsidR="00FA42E8" w:rsidRDefault="00FA42E8" w:rsidP="00FA42E8">
      <w:pPr>
        <w:tabs>
          <w:tab w:val="num" w:pos="360"/>
        </w:tabs>
        <w:spacing w:before="40" w:after="40"/>
        <w:ind w:left="720"/>
        <w:rPr>
          <w:rFonts w:cstheme="minorHAnsi"/>
          <w:szCs w:val="22"/>
        </w:rPr>
      </w:pPr>
      <w:r>
        <w:rPr>
          <w:rFonts w:cstheme="minorHAnsi"/>
          <w:szCs w:val="22"/>
        </w:rPr>
        <w:t>A. Automatic time switch controls to turn off lights during non-business hours. Timed overrides for any line-up or walk-in case may only be used to turn the lights on for up to one hour. Manual overrides shall time-out automatically to turn the lights off after one hour.</w:t>
      </w:r>
    </w:p>
    <w:p w14:paraId="440A871D" w14:textId="77777777" w:rsidR="00FA42E8" w:rsidRDefault="00FA42E8" w:rsidP="00FA42E8">
      <w:pPr>
        <w:tabs>
          <w:tab w:val="num" w:pos="360"/>
        </w:tabs>
        <w:spacing w:before="40" w:after="40"/>
        <w:ind w:left="720"/>
        <w:rPr>
          <w:rFonts w:cstheme="minorHAnsi"/>
          <w:szCs w:val="22"/>
        </w:rPr>
      </w:pPr>
    </w:p>
    <w:p w14:paraId="6AAC66EA" w14:textId="6F375F6F" w:rsidR="00FA42E8" w:rsidRDefault="00FA42E8" w:rsidP="00A64346">
      <w:pPr>
        <w:autoSpaceDE w:val="0"/>
        <w:autoSpaceDN w:val="0"/>
        <w:adjustRightInd w:val="0"/>
        <w:ind w:left="720"/>
        <w:rPr>
          <w:rFonts w:cstheme="minorHAnsi"/>
          <w:szCs w:val="22"/>
        </w:rPr>
      </w:pPr>
      <w:r>
        <w:rPr>
          <w:rFonts w:cstheme="minorHAnsi"/>
          <w:szCs w:val="22"/>
        </w:rPr>
        <w:t>B. Motion sensor controls on each case that reduce</w:t>
      </w:r>
      <w:r w:rsidR="001C3FC8">
        <w:rPr>
          <w:rFonts w:cstheme="minorHAnsi"/>
          <w:szCs w:val="22"/>
        </w:rPr>
        <w:t xml:space="preserve"> </w:t>
      </w:r>
      <w:r w:rsidR="001C3FC8" w:rsidRPr="001C3FC8">
        <w:rPr>
          <w:rFonts w:cstheme="minorHAnsi"/>
          <w:szCs w:val="22"/>
        </w:rPr>
        <w:t>display case lighting power by at least 50 percent</w:t>
      </w:r>
      <w:r w:rsidR="001C3FC8">
        <w:rPr>
          <w:rFonts w:cstheme="minorHAnsi"/>
          <w:szCs w:val="22"/>
        </w:rPr>
        <w:t xml:space="preserve"> </w:t>
      </w:r>
      <w:r w:rsidR="001C3FC8" w:rsidRPr="001C3FC8">
        <w:rPr>
          <w:rFonts w:cstheme="minorHAnsi"/>
          <w:szCs w:val="22"/>
        </w:rPr>
        <w:t>within 30 minutes after the area near the case is vacated.</w:t>
      </w:r>
    </w:p>
    <w:p w14:paraId="631656F3" w14:textId="77777777" w:rsidR="00FA42E8" w:rsidRPr="00FA42E8" w:rsidRDefault="00FA42E8" w:rsidP="00FA42E8"/>
    <w:p w14:paraId="284601E7" w14:textId="231E31E4"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EE4D04" w:rsidRPr="00500C4E" w14:paraId="41E6B4DA" w14:textId="77777777" w:rsidTr="00920905">
        <w:trPr>
          <w:trHeight w:val="243"/>
        </w:trPr>
        <w:tc>
          <w:tcPr>
            <w:tcW w:w="1155" w:type="pct"/>
          </w:tcPr>
          <w:p w14:paraId="16A44F28" w14:textId="6211F734" w:rsidR="00EE4D04" w:rsidRPr="00500C4E" w:rsidRDefault="00EE4D04" w:rsidP="00031DC5">
            <w:pPr>
              <w:rPr>
                <w:rFonts w:cstheme="minorHAnsi"/>
                <w:szCs w:val="20"/>
              </w:rPr>
            </w:pPr>
            <w:r w:rsidRPr="00DC2AA2">
              <w:rPr>
                <w:rFonts w:cstheme="minorHAnsi"/>
                <w:szCs w:val="20"/>
              </w:rPr>
              <w:t>Title 24 (</w:t>
            </w:r>
            <w:r w:rsidR="00031DC5" w:rsidRPr="00DC2AA2">
              <w:rPr>
                <w:rFonts w:cstheme="minorHAnsi"/>
                <w:szCs w:val="20"/>
              </w:rPr>
              <w:t>201</w:t>
            </w:r>
            <w:r w:rsidR="00031DC5">
              <w:rPr>
                <w:rFonts w:cstheme="minorHAnsi"/>
                <w:szCs w:val="20"/>
              </w:rPr>
              <w:t>6</w:t>
            </w:r>
            <w:r w:rsidRPr="00DC2AA2">
              <w:rPr>
                <w:rFonts w:cstheme="minorHAnsi"/>
                <w:szCs w:val="20"/>
              </w:rPr>
              <w:t>)</w:t>
            </w:r>
          </w:p>
        </w:tc>
        <w:tc>
          <w:tcPr>
            <w:tcW w:w="2711" w:type="pct"/>
          </w:tcPr>
          <w:p w14:paraId="5C0F682E" w14:textId="2C2DFC59" w:rsidR="00EE4D04" w:rsidRDefault="002B47BC" w:rsidP="00EE4D04">
            <w:pPr>
              <w:rPr>
                <w:rFonts w:cstheme="minorHAnsi"/>
                <w:szCs w:val="20"/>
              </w:rPr>
            </w:pPr>
            <w:r w:rsidRPr="00E63A0B">
              <w:rPr>
                <w:rFonts w:cstheme="minorHAnsi"/>
                <w:szCs w:val="20"/>
              </w:rPr>
              <w:t>2</w:t>
            </w:r>
            <w:r>
              <w:rPr>
                <w:rFonts w:cstheme="minorHAnsi"/>
                <w:szCs w:val="20"/>
              </w:rPr>
              <w:t>016</w:t>
            </w:r>
            <w:r w:rsidRPr="00E63A0B">
              <w:rPr>
                <w:rFonts w:cstheme="minorHAnsi"/>
                <w:szCs w:val="20"/>
              </w:rPr>
              <w:t xml:space="preserve"> </w:t>
            </w:r>
            <w:r w:rsidR="00EE4D04">
              <w:rPr>
                <w:rFonts w:cstheme="minorHAnsi"/>
                <w:szCs w:val="20"/>
              </w:rPr>
              <w:t>Building Energy Efficiency Standards</w:t>
            </w:r>
          </w:p>
          <w:p w14:paraId="387D6828" w14:textId="3A070240" w:rsidR="00EE4D04" w:rsidRPr="00500C4E" w:rsidRDefault="00E2772A" w:rsidP="00EE4D04">
            <w:pPr>
              <w:rPr>
                <w:rFonts w:cstheme="minorHAnsi"/>
                <w:color w:val="FF0000"/>
                <w:szCs w:val="20"/>
              </w:rPr>
            </w:pPr>
            <w:r>
              <w:rPr>
                <w:rFonts w:cstheme="minorHAnsi"/>
                <w:szCs w:val="20"/>
              </w:rPr>
              <w:t>Section 120.6(b</w:t>
            </w:r>
            <w:r w:rsidR="00EE4D04">
              <w:rPr>
                <w:rFonts w:cstheme="minorHAnsi"/>
                <w:szCs w:val="20"/>
              </w:rPr>
              <w:t>)</w:t>
            </w:r>
            <w:r>
              <w:rPr>
                <w:rFonts w:cstheme="minorHAnsi"/>
                <w:szCs w:val="20"/>
              </w:rPr>
              <w:t>3</w:t>
            </w:r>
          </w:p>
        </w:tc>
        <w:tc>
          <w:tcPr>
            <w:tcW w:w="1134" w:type="pct"/>
          </w:tcPr>
          <w:p w14:paraId="3E1189F8" w14:textId="7B36A624" w:rsidR="00EE4D04" w:rsidRPr="00500C4E" w:rsidRDefault="00031DC5" w:rsidP="00EE4D04">
            <w:pPr>
              <w:rPr>
                <w:rFonts w:cstheme="minorHAnsi"/>
                <w:color w:val="FF0000"/>
                <w:szCs w:val="20"/>
              </w:rPr>
            </w:pPr>
            <w:r>
              <w:rPr>
                <w:rFonts w:cstheme="minorHAnsi"/>
                <w:szCs w:val="20"/>
              </w:rPr>
              <w:t>January 1, 2017</w:t>
            </w:r>
          </w:p>
        </w:tc>
      </w:tr>
    </w:tbl>
    <w:p w14:paraId="658749F7" w14:textId="6B8A7A0D" w:rsidR="00572D2F" w:rsidRPr="00920905" w:rsidRDefault="00572D2F" w:rsidP="00920905">
      <w:pPr>
        <w:pStyle w:val="Heading2"/>
        <w:rPr>
          <w:rFonts w:cstheme="minorHAnsi"/>
          <w:b w:val="0"/>
          <w:bCs w:val="0"/>
          <w:iCs w:val="0"/>
          <w:smallCaps w:val="0"/>
        </w:rPr>
      </w:pPr>
      <w:bookmarkStart w:id="11" w:name="_Toc304800207"/>
      <w:bookmarkStart w:id="12" w:name="_Toc324318343"/>
      <w:bookmarkStart w:id="13" w:name="_Toc324340487"/>
      <w:bookmarkStart w:id="14" w:name="_Toc383441992"/>
      <w:bookmarkStart w:id="15"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1"/>
      <w:bookmarkEnd w:id="12"/>
      <w:bookmarkEnd w:id="13"/>
      <w:bookmarkEnd w:id="14"/>
    </w:p>
    <w:p w14:paraId="4A400E38" w14:textId="77777777" w:rsidR="00EE4D04" w:rsidRPr="00EE4D04" w:rsidRDefault="00EE4D04" w:rsidP="00EE4D04">
      <w:pPr>
        <w:pStyle w:val="Reminders"/>
        <w:rPr>
          <w:rFonts w:asciiTheme="minorHAnsi" w:hAnsiTheme="minorHAnsi" w:cstheme="minorHAnsi"/>
          <w:i w:val="0"/>
          <w:color w:val="auto"/>
          <w:szCs w:val="22"/>
        </w:rPr>
      </w:pPr>
      <w:r w:rsidRPr="00EE4D04">
        <w:rPr>
          <w:rFonts w:asciiTheme="minorHAnsi" w:hAnsiTheme="minorHAnsi" w:cstheme="minorHAnsi"/>
          <w:i w:val="0"/>
          <w:color w:val="auto"/>
          <w:szCs w:val="22"/>
        </w:rPr>
        <w:t>Several Non-DEER studies were reviewed:</w:t>
      </w:r>
    </w:p>
    <w:p w14:paraId="166E4979" w14:textId="77777777" w:rsidR="00EE4D04" w:rsidRPr="00EE4D04" w:rsidRDefault="00EE4D04" w:rsidP="00EE4D04">
      <w:pPr>
        <w:pStyle w:val="ListParagraph"/>
        <w:numPr>
          <w:ilvl w:val="0"/>
          <w:numId w:val="32"/>
        </w:numPr>
        <w:rPr>
          <w:rFonts w:cs="Arial"/>
          <w:szCs w:val="22"/>
        </w:rPr>
      </w:pPr>
      <w:r w:rsidRPr="00EE4D04">
        <w:rPr>
          <w:rFonts w:cs="Arial"/>
          <w:szCs w:val="22"/>
        </w:rPr>
        <w:t>Demonstration Assessment of Lighting-Emitting Diode (LED) Freezer Case Lighting [227]: This is a DOE-sponsored study of a LED lighting and occupancy sensor retrofit of refrigerated display cases in an Albertsons store.</w:t>
      </w:r>
    </w:p>
    <w:p w14:paraId="2005533E" w14:textId="77777777" w:rsidR="00EE4D04" w:rsidRPr="00EE4D04" w:rsidRDefault="00EE4D04" w:rsidP="00EE4D04">
      <w:pPr>
        <w:pStyle w:val="ListParagraph"/>
        <w:numPr>
          <w:ilvl w:val="0"/>
          <w:numId w:val="32"/>
        </w:numPr>
        <w:rPr>
          <w:rFonts w:cs="Arial"/>
          <w:szCs w:val="22"/>
        </w:rPr>
      </w:pPr>
      <w:r w:rsidRPr="00EE4D04">
        <w:rPr>
          <w:rFonts w:cs="Arial"/>
          <w:szCs w:val="22"/>
        </w:rPr>
        <w:t>LED Freezer Case Lighting Systems [456]: The Sacramento Municipal Utility District led an effort to develop an LED freezer case lighting system with motion sensors and dimming controls.</w:t>
      </w:r>
    </w:p>
    <w:p w14:paraId="0757326A" w14:textId="77777777" w:rsidR="00EE4D04" w:rsidRPr="00EE4D04" w:rsidRDefault="00EE4D04" w:rsidP="00EE4D04">
      <w:pPr>
        <w:pStyle w:val="ListParagraph"/>
        <w:numPr>
          <w:ilvl w:val="0"/>
          <w:numId w:val="32"/>
        </w:numPr>
        <w:rPr>
          <w:rFonts w:cs="Arial"/>
          <w:szCs w:val="22"/>
        </w:rPr>
      </w:pPr>
      <w:r w:rsidRPr="00EE4D04">
        <w:rPr>
          <w:rFonts w:cs="Arial"/>
          <w:szCs w:val="22"/>
        </w:rPr>
        <w:t>LED Lighting for Low Temperature Refrigerated Display Cases [457]: Southern California Edison evaluated the savings potential of LEDs and aisle traffic sensors on low-temperature reach-in refrigerated display cases.</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5"/>
      <w:r w:rsidR="00755A45" w:rsidRPr="00500C4E">
        <w:rPr>
          <w:rFonts w:cstheme="minorHAnsi"/>
        </w:rPr>
        <w:t xml:space="preserve"> Methodology</w:t>
      </w:r>
    </w:p>
    <w:p w14:paraId="20D9E71A" w14:textId="7A909BAD" w:rsidR="00FA42E8" w:rsidRDefault="00FA42E8" w:rsidP="00FA42E8">
      <w:pPr>
        <w:pStyle w:val="Reminders"/>
        <w:rPr>
          <w:rFonts w:asciiTheme="minorHAnsi" w:hAnsiTheme="minorHAnsi" w:cstheme="minorHAnsi"/>
          <w:i w:val="0"/>
          <w:color w:val="auto"/>
          <w:szCs w:val="22"/>
        </w:rPr>
      </w:pPr>
      <w:r>
        <w:rPr>
          <w:rFonts w:asciiTheme="minorHAnsi" w:hAnsiTheme="minorHAnsi" w:cstheme="minorHAnsi"/>
          <w:i w:val="0"/>
          <w:color w:val="auto"/>
          <w:szCs w:val="22"/>
        </w:rPr>
        <w:t>Assuming that the lighting power requirements of each technology are known, determining the direct power and energy savings is relatively straightforward. Secondary effects on the refrigeration system are a more difficult to quantify as they depend on many other factors. The two most important factors are: percentage of heat generated by the lighting system ending up as load on the case and efficiency of the refrigeration system.</w:t>
      </w:r>
    </w:p>
    <w:p w14:paraId="62838186" w14:textId="77777777" w:rsidR="00FA42E8" w:rsidRDefault="00FA42E8" w:rsidP="00FA42E8">
      <w:pPr>
        <w:pStyle w:val="Reminders"/>
        <w:rPr>
          <w:rFonts w:asciiTheme="minorHAnsi" w:hAnsiTheme="minorHAnsi" w:cstheme="minorHAnsi"/>
          <w:i w:val="0"/>
          <w:color w:val="auto"/>
          <w:szCs w:val="22"/>
        </w:rPr>
      </w:pPr>
    </w:p>
    <w:p w14:paraId="6A0CCA8B" w14:textId="0B446853" w:rsidR="00FA42E8" w:rsidRDefault="00FA42E8" w:rsidP="00FA42E8">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power required by each lighting system for the baseline 3/4/5/6-foot T8 and T12 system is based o</w:t>
      </w:r>
      <w:bookmarkStart w:id="16" w:name="_Ref237925189"/>
      <w:r>
        <w:rPr>
          <w:rFonts w:asciiTheme="minorHAnsi" w:hAnsiTheme="minorHAnsi" w:cstheme="minorHAnsi"/>
          <w:i w:val="0"/>
          <w:color w:val="auto"/>
          <w:szCs w:val="22"/>
        </w:rPr>
        <w:t xml:space="preserve">n standard </w:t>
      </w:r>
      <w:r w:rsidRPr="00C44992">
        <w:rPr>
          <w:rFonts w:asciiTheme="minorHAnsi" w:hAnsiTheme="minorHAnsi" w:cstheme="minorHAnsi"/>
          <w:i w:val="0"/>
          <w:color w:val="auto"/>
          <w:szCs w:val="22"/>
        </w:rPr>
        <w:t xml:space="preserve">wattages </w:t>
      </w:r>
      <w:bookmarkEnd w:id="16"/>
      <w:r w:rsidR="0095402D">
        <w:rPr>
          <w:rFonts w:asciiTheme="minorHAnsi" w:hAnsiTheme="minorHAnsi" w:cstheme="minorHAnsi"/>
          <w:i w:val="0"/>
          <w:color w:val="auto"/>
          <w:szCs w:val="22"/>
        </w:rPr>
        <w:t>(see Attachment 2)</w:t>
      </w:r>
      <w:r w:rsidRPr="00C44992">
        <w:rPr>
          <w:rFonts w:asciiTheme="minorHAnsi" w:hAnsiTheme="minorHAnsi" w:cstheme="minorHAnsi"/>
          <w:i w:val="0"/>
          <w:color w:val="auto"/>
          <w:szCs w:val="22"/>
        </w:rPr>
        <w:t>.</w:t>
      </w:r>
      <w:r>
        <w:rPr>
          <w:rFonts w:asciiTheme="minorHAnsi" w:hAnsiTheme="minorHAnsi" w:cstheme="minorHAnsi"/>
          <w:i w:val="0"/>
          <w:color w:val="auto"/>
          <w:szCs w:val="22"/>
        </w:rPr>
        <w:t xml:space="preserve"> For the 5-foot and 6-foot vertical LED system, the power is based on the average wattage of current LED display case </w:t>
      </w:r>
      <w:r w:rsidRPr="008B0035">
        <w:rPr>
          <w:rFonts w:asciiTheme="minorHAnsi" w:hAnsiTheme="minorHAnsi" w:cstheme="minorHAnsi"/>
          <w:i w:val="0"/>
          <w:color w:val="auto"/>
          <w:szCs w:val="22"/>
        </w:rPr>
        <w:t>fixtures</w:t>
      </w:r>
      <w:bookmarkStart w:id="17" w:name="_Ref244339569"/>
      <w:r w:rsidRPr="008B0035">
        <w:rPr>
          <w:rFonts w:asciiTheme="minorHAnsi" w:hAnsiTheme="minorHAnsi" w:cstheme="minorHAnsi"/>
          <w:i w:val="0"/>
          <w:color w:val="auto"/>
          <w:szCs w:val="22"/>
        </w:rPr>
        <w:t xml:space="preserve"> </w:t>
      </w:r>
      <w:bookmarkEnd w:id="17"/>
      <w:r w:rsidR="0095402D">
        <w:rPr>
          <w:rFonts w:asciiTheme="minorHAnsi" w:hAnsiTheme="minorHAnsi" w:cstheme="minorHAnsi"/>
          <w:i w:val="0"/>
          <w:color w:val="auto"/>
          <w:szCs w:val="22"/>
        </w:rPr>
        <w:t>(see Attachment 3)</w:t>
      </w:r>
      <w:r w:rsidRPr="008B0035">
        <w:rPr>
          <w:rFonts w:asciiTheme="minorHAnsi" w:hAnsiTheme="minorHAnsi" w:cstheme="minorHAnsi"/>
          <w:i w:val="0"/>
          <w:color w:val="auto"/>
          <w:szCs w:val="22"/>
        </w:rPr>
        <w:t>.</w:t>
      </w:r>
      <w:r>
        <w:rPr>
          <w:rFonts w:asciiTheme="minorHAnsi" w:hAnsiTheme="minorHAnsi" w:cstheme="minorHAnsi"/>
          <w:i w:val="0"/>
          <w:color w:val="auto"/>
          <w:szCs w:val="22"/>
        </w:rPr>
        <w:t xml:space="preserve">  </w:t>
      </w:r>
      <w:r>
        <w:rPr>
          <w:rFonts w:asciiTheme="minorHAnsi" w:hAnsiTheme="minorHAnsi"/>
          <w:i w:val="0"/>
          <w:color w:val="auto"/>
          <w:szCs w:val="22"/>
        </w:rPr>
        <w:t xml:space="preserve">The 5-foot and 6-foot vertical LED system used as the basis for this work paper is an average between refrigerated display LED vertical lighting systems of three major lighting companies with a color temperature of about 4000K. The average center fixture consumes 20 watts and the average side fixture consumes 12 watts found in </w:t>
      </w:r>
      <w:r w:rsidR="0095402D">
        <w:rPr>
          <w:rFonts w:asciiTheme="minorHAnsi" w:hAnsiTheme="minorHAnsi"/>
          <w:i w:val="0"/>
          <w:color w:val="auto"/>
          <w:szCs w:val="22"/>
        </w:rPr>
        <w:t>A</w:t>
      </w:r>
      <w:r w:rsidR="0095402D" w:rsidRPr="00C44992">
        <w:rPr>
          <w:rFonts w:asciiTheme="minorHAnsi" w:hAnsiTheme="minorHAnsi"/>
          <w:i w:val="0"/>
          <w:color w:val="auto"/>
          <w:szCs w:val="22"/>
        </w:rPr>
        <w:t xml:space="preserve">ttachment </w:t>
      </w:r>
      <w:r w:rsidR="0095402D">
        <w:rPr>
          <w:rFonts w:asciiTheme="minorHAnsi" w:hAnsiTheme="minorHAnsi"/>
          <w:i w:val="0"/>
          <w:color w:val="auto"/>
          <w:szCs w:val="22"/>
        </w:rPr>
        <w:t>6</w:t>
      </w:r>
      <w:r w:rsidRPr="00C44992">
        <w:rPr>
          <w:rFonts w:asciiTheme="minorHAnsi" w:hAnsiTheme="minorHAnsi"/>
          <w:i w:val="0"/>
          <w:color w:val="auto"/>
          <w:szCs w:val="22"/>
        </w:rPr>
        <w:t xml:space="preserve">. </w:t>
      </w:r>
      <w:r w:rsidRPr="00C44992">
        <w:rPr>
          <w:rFonts w:asciiTheme="minorHAnsi" w:hAnsiTheme="minorHAnsi" w:cstheme="minorHAnsi"/>
          <w:i w:val="0"/>
          <w:color w:val="auto"/>
          <w:szCs w:val="22"/>
        </w:rPr>
        <w:t>The</w:t>
      </w:r>
      <w:r>
        <w:rPr>
          <w:rFonts w:asciiTheme="minorHAnsi" w:hAnsiTheme="minorHAnsi" w:cstheme="minorHAnsi"/>
          <w:i w:val="0"/>
          <w:color w:val="auto"/>
          <w:szCs w:val="22"/>
        </w:rPr>
        <w:t xml:space="preserve"> 3-foot and 4-foot horizontal LED fixture Wattage is an average of various manufacturers’ </w:t>
      </w:r>
      <w:r w:rsidRPr="00C44992">
        <w:rPr>
          <w:rFonts w:asciiTheme="minorHAnsi" w:hAnsiTheme="minorHAnsi" w:cstheme="minorHAnsi"/>
          <w:i w:val="0"/>
          <w:color w:val="auto"/>
          <w:szCs w:val="22"/>
        </w:rPr>
        <w:t xml:space="preserve">fixtures </w:t>
      </w:r>
      <w:r w:rsidR="0095402D">
        <w:rPr>
          <w:rFonts w:asciiTheme="minorHAnsi" w:hAnsiTheme="minorHAnsi" w:cstheme="minorHAnsi"/>
          <w:i w:val="0"/>
          <w:color w:val="auto"/>
          <w:szCs w:val="22"/>
        </w:rPr>
        <w:t>(see Attachment 5)</w:t>
      </w:r>
      <w:r w:rsidRPr="00C44992">
        <w:rPr>
          <w:rFonts w:asciiTheme="minorHAnsi" w:hAnsiTheme="minorHAnsi" w:cstheme="minorHAnsi"/>
          <w:i w:val="0"/>
          <w:color w:val="auto"/>
          <w:szCs w:val="22"/>
        </w:rPr>
        <w:t>. The</w:t>
      </w:r>
      <w:r>
        <w:rPr>
          <w:rFonts w:asciiTheme="minorHAnsi" w:hAnsiTheme="minorHAnsi" w:cstheme="minorHAnsi"/>
          <w:i w:val="0"/>
          <w:color w:val="auto"/>
          <w:szCs w:val="22"/>
        </w:rPr>
        <w:t xml:space="preserve"> wattages can be found in </w:t>
      </w:r>
      <w:r w:rsidR="0095402D">
        <w:rPr>
          <w:rFonts w:asciiTheme="minorHAnsi" w:hAnsiTheme="minorHAnsi" w:cstheme="minorHAnsi"/>
          <w:i w:val="0"/>
          <w:color w:val="auto"/>
          <w:szCs w:val="22"/>
        </w:rPr>
        <w:t>A</w:t>
      </w:r>
      <w:r w:rsidR="0095402D" w:rsidRPr="00C44992">
        <w:rPr>
          <w:rFonts w:asciiTheme="minorHAnsi" w:hAnsiTheme="minorHAnsi" w:cstheme="minorHAnsi"/>
          <w:i w:val="0"/>
          <w:color w:val="auto"/>
          <w:szCs w:val="22"/>
        </w:rPr>
        <w:t xml:space="preserve">ttachments </w:t>
      </w:r>
      <w:r w:rsidR="0095402D">
        <w:rPr>
          <w:rFonts w:asciiTheme="minorHAnsi" w:hAnsiTheme="minorHAnsi" w:cstheme="minorHAnsi"/>
          <w:i w:val="0"/>
          <w:color w:val="auto"/>
          <w:szCs w:val="22"/>
        </w:rPr>
        <w:t>7 and 8</w:t>
      </w:r>
      <w:r w:rsidRPr="00C44992">
        <w:rPr>
          <w:rFonts w:asciiTheme="minorHAnsi" w:hAnsiTheme="minorHAnsi" w:cstheme="minorHAnsi"/>
          <w:i w:val="0"/>
          <w:color w:val="auto"/>
          <w:szCs w:val="22"/>
        </w:rPr>
        <w:t>.</w:t>
      </w:r>
    </w:p>
    <w:p w14:paraId="07C320AC" w14:textId="77777777" w:rsidR="00FA42E8" w:rsidRDefault="00FA42E8" w:rsidP="00FA42E8">
      <w:pPr>
        <w:pStyle w:val="Reminders"/>
        <w:tabs>
          <w:tab w:val="num" w:pos="360"/>
        </w:tabs>
        <w:rPr>
          <w:rFonts w:asciiTheme="minorHAnsi" w:hAnsiTheme="minorHAnsi" w:cstheme="minorHAnsi"/>
          <w:i w:val="0"/>
          <w:color w:val="auto"/>
          <w:szCs w:val="22"/>
        </w:rPr>
      </w:pPr>
    </w:p>
    <w:p w14:paraId="63C928B8" w14:textId="77777777" w:rsidR="00FA42E8" w:rsidRDefault="00FA42E8" w:rsidP="00FA42E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The lighting power values for each system are shown in the following table.</w:t>
      </w:r>
    </w:p>
    <w:p w14:paraId="3A550A41" w14:textId="77777777" w:rsidR="00A64346" w:rsidRDefault="00A64346" w:rsidP="00FA42E8">
      <w:pPr>
        <w:pStyle w:val="Reminders"/>
        <w:tabs>
          <w:tab w:val="num" w:pos="360"/>
        </w:tabs>
        <w:rPr>
          <w:rFonts w:asciiTheme="minorHAnsi" w:hAnsiTheme="minorHAnsi" w:cstheme="minorHAnsi"/>
          <w:i w:val="0"/>
          <w:color w:val="auto"/>
          <w:szCs w:val="22"/>
        </w:rPr>
      </w:pPr>
    </w:p>
    <w:p w14:paraId="6B772CDD" w14:textId="77777777" w:rsidR="00A64346" w:rsidRDefault="00A64346" w:rsidP="00FA42E8">
      <w:pPr>
        <w:pStyle w:val="Reminders"/>
        <w:tabs>
          <w:tab w:val="num" w:pos="360"/>
        </w:tabs>
        <w:rPr>
          <w:rFonts w:asciiTheme="minorHAnsi" w:hAnsiTheme="minorHAnsi"/>
          <w:i w:val="0"/>
          <w:color w:val="auto"/>
          <w:szCs w:val="22"/>
        </w:rPr>
      </w:pPr>
    </w:p>
    <w:p w14:paraId="58EEFD1B" w14:textId="1E15094B" w:rsidR="00A213E5" w:rsidRPr="00500C4E" w:rsidRDefault="00A213E5" w:rsidP="00A213E5">
      <w:pPr>
        <w:pStyle w:val="Caption"/>
        <w:keepNext/>
        <w:rPr>
          <w:rFonts w:cstheme="minorHAnsi"/>
          <w:szCs w:val="22"/>
        </w:rPr>
      </w:pPr>
      <w:r>
        <w:rPr>
          <w:rFonts w:cstheme="minorHAnsi"/>
          <w:szCs w:val="22"/>
        </w:rPr>
        <w:t>Lighting Power Values</w:t>
      </w:r>
      <w:r>
        <w:rPr>
          <w:rFonts w:cstheme="minorHAnsi"/>
          <w:szCs w:val="22"/>
        </w:rPr>
        <w:tab/>
      </w:r>
      <w:r>
        <w:rPr>
          <w:rFonts w:cstheme="minorHAnsi"/>
          <w:szCs w:val="22"/>
        </w:rPr>
        <w:tab/>
      </w:r>
      <w:r>
        <w:rPr>
          <w:rFonts w:cstheme="minorHAnsi"/>
          <w:szCs w:val="22"/>
        </w:rPr>
        <w:tab/>
      </w:r>
      <w:r>
        <w:rPr>
          <w:rFonts w:cstheme="minorHAnsi"/>
          <w:szCs w:val="22"/>
        </w:rPr>
        <w:tab/>
      </w:r>
      <w:r>
        <w:rPr>
          <w:rFonts w:cstheme="minorHAnsi"/>
          <w:szCs w:val="22"/>
        </w:rPr>
        <w:tab/>
      </w:r>
    </w:p>
    <w:tbl>
      <w:tblPr>
        <w:tblStyle w:val="TableGrid1"/>
        <w:tblW w:w="5000" w:type="pct"/>
        <w:tblLook w:val="01E0" w:firstRow="1" w:lastRow="1" w:firstColumn="1" w:lastColumn="1" w:noHBand="0" w:noVBand="0"/>
      </w:tblPr>
      <w:tblGrid>
        <w:gridCol w:w="2695"/>
        <w:gridCol w:w="4591"/>
        <w:gridCol w:w="2064"/>
      </w:tblGrid>
      <w:tr w:rsidR="00A213E5" w:rsidRPr="00500C4E" w14:paraId="424EE8B2" w14:textId="77777777" w:rsidTr="00A213E5">
        <w:tc>
          <w:tcPr>
            <w:tcW w:w="1441" w:type="pct"/>
            <w:shd w:val="clear" w:color="auto" w:fill="D9D9D9" w:themeFill="background1" w:themeFillShade="D9"/>
          </w:tcPr>
          <w:p w14:paraId="6370D012" w14:textId="739F1841" w:rsidR="00A213E5" w:rsidRPr="00920905" w:rsidRDefault="00A213E5" w:rsidP="00A213E5">
            <w:pPr>
              <w:jc w:val="center"/>
              <w:rPr>
                <w:rFonts w:cstheme="minorHAnsi"/>
                <w:b/>
                <w:szCs w:val="20"/>
              </w:rPr>
            </w:pPr>
            <w:r>
              <w:rPr>
                <w:rFonts w:cstheme="minorHAnsi"/>
                <w:b/>
                <w:szCs w:val="20"/>
              </w:rPr>
              <w:t>Lighting System</w:t>
            </w:r>
          </w:p>
        </w:tc>
        <w:tc>
          <w:tcPr>
            <w:tcW w:w="2455" w:type="pct"/>
            <w:shd w:val="clear" w:color="auto" w:fill="D9D9D9" w:themeFill="background1" w:themeFillShade="D9"/>
          </w:tcPr>
          <w:p w14:paraId="79EB2584" w14:textId="2F2C5E8A" w:rsidR="00A213E5" w:rsidRPr="00920905" w:rsidRDefault="00A213E5" w:rsidP="00A213E5">
            <w:pPr>
              <w:jc w:val="center"/>
              <w:rPr>
                <w:rFonts w:cstheme="minorHAnsi"/>
                <w:b/>
                <w:szCs w:val="20"/>
              </w:rPr>
            </w:pPr>
            <w:r>
              <w:rPr>
                <w:rFonts w:cstheme="minorHAnsi"/>
                <w:b/>
                <w:szCs w:val="20"/>
              </w:rPr>
              <w:t>Power</w:t>
            </w:r>
          </w:p>
        </w:tc>
        <w:tc>
          <w:tcPr>
            <w:tcW w:w="1104" w:type="pct"/>
            <w:shd w:val="clear" w:color="auto" w:fill="D9D9D9" w:themeFill="background1" w:themeFillShade="D9"/>
          </w:tcPr>
          <w:p w14:paraId="4D0B3722" w14:textId="49D11AFF" w:rsidR="00A213E5" w:rsidRPr="00920905" w:rsidRDefault="00A213E5" w:rsidP="00A213E5">
            <w:pPr>
              <w:jc w:val="center"/>
              <w:rPr>
                <w:rFonts w:cstheme="minorHAnsi"/>
                <w:b/>
                <w:szCs w:val="20"/>
                <w:highlight w:val="yellow"/>
              </w:rPr>
            </w:pPr>
            <w:r>
              <w:rPr>
                <w:rFonts w:cstheme="minorHAnsi"/>
                <w:b/>
                <w:szCs w:val="20"/>
              </w:rPr>
              <w:t>Comments</w:t>
            </w:r>
          </w:p>
        </w:tc>
      </w:tr>
      <w:tr w:rsidR="00A213E5" w:rsidRPr="00500C4E" w14:paraId="4D203090" w14:textId="77777777" w:rsidTr="00A213E5">
        <w:tc>
          <w:tcPr>
            <w:tcW w:w="1441" w:type="pct"/>
          </w:tcPr>
          <w:p w14:paraId="6841CA3B" w14:textId="3E9267B0" w:rsidR="00A213E5" w:rsidRPr="00920905" w:rsidRDefault="00A213E5" w:rsidP="00A213E5">
            <w:pPr>
              <w:jc w:val="center"/>
              <w:rPr>
                <w:rFonts w:cstheme="minorHAnsi"/>
                <w:color w:val="FF0000"/>
                <w:szCs w:val="20"/>
              </w:rPr>
            </w:pPr>
            <w:r>
              <w:rPr>
                <w:bCs/>
                <w:szCs w:val="20"/>
              </w:rPr>
              <w:t>3’ T8 Fluorescent</w:t>
            </w:r>
          </w:p>
        </w:tc>
        <w:tc>
          <w:tcPr>
            <w:tcW w:w="2455" w:type="pct"/>
          </w:tcPr>
          <w:p w14:paraId="3EF823E8" w14:textId="58DBAF1D" w:rsidR="00A213E5" w:rsidRPr="00920905" w:rsidRDefault="00A213E5" w:rsidP="00A213E5">
            <w:pPr>
              <w:jc w:val="center"/>
              <w:rPr>
                <w:rFonts w:cstheme="minorHAnsi"/>
                <w:color w:val="FF0000"/>
                <w:szCs w:val="20"/>
              </w:rPr>
            </w:pPr>
            <w:r>
              <w:rPr>
                <w:szCs w:val="20"/>
              </w:rPr>
              <w:t>23 W</w:t>
            </w:r>
          </w:p>
        </w:tc>
        <w:tc>
          <w:tcPr>
            <w:tcW w:w="1104" w:type="pct"/>
          </w:tcPr>
          <w:p w14:paraId="50865964" w14:textId="04B4D732" w:rsidR="00A213E5" w:rsidRPr="00920905" w:rsidRDefault="00A213E5" w:rsidP="00A213E5">
            <w:pPr>
              <w:jc w:val="center"/>
              <w:rPr>
                <w:rFonts w:cstheme="minorHAnsi"/>
                <w:color w:val="FF0000"/>
                <w:szCs w:val="20"/>
              </w:rPr>
            </w:pPr>
            <w:r>
              <w:rPr>
                <w:bCs/>
                <w:szCs w:val="20"/>
              </w:rPr>
              <w:t>Per Lamp</w:t>
            </w:r>
          </w:p>
        </w:tc>
      </w:tr>
      <w:tr w:rsidR="00A213E5" w:rsidRPr="00500C4E" w14:paraId="69126C5E" w14:textId="77777777" w:rsidTr="00A213E5">
        <w:tc>
          <w:tcPr>
            <w:tcW w:w="1441" w:type="pct"/>
          </w:tcPr>
          <w:p w14:paraId="66F3D8FB" w14:textId="0EDABCDB" w:rsidR="00A213E5" w:rsidRPr="00920905" w:rsidRDefault="00A213E5" w:rsidP="00A213E5">
            <w:pPr>
              <w:jc w:val="center"/>
              <w:rPr>
                <w:rFonts w:cstheme="minorHAnsi"/>
                <w:color w:val="FF0000"/>
                <w:szCs w:val="20"/>
              </w:rPr>
            </w:pPr>
            <w:r>
              <w:rPr>
                <w:bCs/>
                <w:szCs w:val="20"/>
              </w:rPr>
              <w:t>3’ T12 Fluorescent</w:t>
            </w:r>
          </w:p>
        </w:tc>
        <w:tc>
          <w:tcPr>
            <w:tcW w:w="2455" w:type="pct"/>
          </w:tcPr>
          <w:p w14:paraId="33D7F8C4" w14:textId="28CD81B3" w:rsidR="00A213E5" w:rsidRPr="00920905" w:rsidRDefault="00A213E5" w:rsidP="00A213E5">
            <w:pPr>
              <w:jc w:val="center"/>
              <w:rPr>
                <w:rFonts w:cstheme="minorHAnsi"/>
                <w:color w:val="FF0000"/>
                <w:szCs w:val="20"/>
              </w:rPr>
            </w:pPr>
            <w:r>
              <w:rPr>
                <w:szCs w:val="20"/>
              </w:rPr>
              <w:t>37 W</w:t>
            </w:r>
          </w:p>
        </w:tc>
        <w:tc>
          <w:tcPr>
            <w:tcW w:w="1104" w:type="pct"/>
          </w:tcPr>
          <w:p w14:paraId="7F6F3A09" w14:textId="59EDFB64" w:rsidR="00A213E5" w:rsidRPr="00920905" w:rsidRDefault="00A213E5" w:rsidP="00A213E5">
            <w:pPr>
              <w:jc w:val="center"/>
              <w:rPr>
                <w:rFonts w:cstheme="minorHAnsi"/>
                <w:color w:val="FF0000"/>
                <w:szCs w:val="20"/>
              </w:rPr>
            </w:pPr>
            <w:r>
              <w:rPr>
                <w:bCs/>
                <w:szCs w:val="20"/>
              </w:rPr>
              <w:t>Per lamp</w:t>
            </w:r>
          </w:p>
        </w:tc>
      </w:tr>
      <w:tr w:rsidR="00A213E5" w:rsidRPr="00500C4E" w14:paraId="1C388E5E" w14:textId="77777777" w:rsidTr="00A213E5">
        <w:tc>
          <w:tcPr>
            <w:tcW w:w="1441" w:type="pct"/>
          </w:tcPr>
          <w:p w14:paraId="1C471DF5" w14:textId="19D21D72" w:rsidR="00A213E5" w:rsidRPr="00920905" w:rsidRDefault="00A213E5" w:rsidP="00A213E5">
            <w:pPr>
              <w:jc w:val="center"/>
              <w:rPr>
                <w:rFonts w:cstheme="minorHAnsi"/>
                <w:color w:val="FF0000"/>
                <w:szCs w:val="20"/>
              </w:rPr>
            </w:pPr>
            <w:r>
              <w:rPr>
                <w:szCs w:val="20"/>
              </w:rPr>
              <w:t>4’ T12 Fluorescent</w:t>
            </w:r>
          </w:p>
        </w:tc>
        <w:tc>
          <w:tcPr>
            <w:tcW w:w="2455" w:type="pct"/>
          </w:tcPr>
          <w:p w14:paraId="6F550768" w14:textId="2CC06A65" w:rsidR="00A213E5" w:rsidRPr="00920905" w:rsidRDefault="00A213E5" w:rsidP="00A213E5">
            <w:pPr>
              <w:jc w:val="center"/>
              <w:rPr>
                <w:rFonts w:cstheme="minorHAnsi"/>
                <w:color w:val="FF0000"/>
                <w:szCs w:val="20"/>
              </w:rPr>
            </w:pPr>
            <w:r>
              <w:rPr>
                <w:szCs w:val="20"/>
              </w:rPr>
              <w:t>41 W</w:t>
            </w:r>
          </w:p>
        </w:tc>
        <w:tc>
          <w:tcPr>
            <w:tcW w:w="1104" w:type="pct"/>
          </w:tcPr>
          <w:p w14:paraId="2C0A24F5" w14:textId="6CBE5F35" w:rsidR="00A213E5" w:rsidRPr="00920905" w:rsidRDefault="00A213E5" w:rsidP="00A213E5">
            <w:pPr>
              <w:jc w:val="center"/>
              <w:rPr>
                <w:rFonts w:cstheme="minorHAnsi"/>
                <w:color w:val="FF0000"/>
                <w:szCs w:val="20"/>
              </w:rPr>
            </w:pPr>
            <w:r>
              <w:rPr>
                <w:szCs w:val="20"/>
              </w:rPr>
              <w:t>Per Lamp</w:t>
            </w:r>
          </w:p>
        </w:tc>
      </w:tr>
      <w:tr w:rsidR="00A213E5" w:rsidRPr="00500C4E" w14:paraId="331B75F0" w14:textId="77777777" w:rsidTr="00A213E5">
        <w:tc>
          <w:tcPr>
            <w:tcW w:w="1441" w:type="pct"/>
          </w:tcPr>
          <w:p w14:paraId="77696857" w14:textId="5E576F23" w:rsidR="00A213E5" w:rsidRPr="00920905" w:rsidRDefault="00A213E5" w:rsidP="00A213E5">
            <w:pPr>
              <w:jc w:val="center"/>
              <w:rPr>
                <w:rFonts w:cstheme="minorHAnsi"/>
                <w:color w:val="FF0000"/>
                <w:szCs w:val="20"/>
              </w:rPr>
            </w:pPr>
            <w:r>
              <w:rPr>
                <w:bCs/>
                <w:szCs w:val="20"/>
              </w:rPr>
              <w:t>4’ T12 HO Fluorescent</w:t>
            </w:r>
          </w:p>
        </w:tc>
        <w:tc>
          <w:tcPr>
            <w:tcW w:w="2455" w:type="pct"/>
          </w:tcPr>
          <w:p w14:paraId="21D4C90B" w14:textId="5B4F675B" w:rsidR="00A213E5" w:rsidRPr="00920905" w:rsidRDefault="00A213E5" w:rsidP="00A213E5">
            <w:pPr>
              <w:jc w:val="center"/>
              <w:rPr>
                <w:rFonts w:cstheme="minorHAnsi"/>
                <w:color w:val="FF0000"/>
                <w:szCs w:val="20"/>
              </w:rPr>
            </w:pPr>
            <w:r>
              <w:rPr>
                <w:bCs/>
                <w:szCs w:val="20"/>
              </w:rPr>
              <w:t>72.5 W</w:t>
            </w:r>
          </w:p>
        </w:tc>
        <w:tc>
          <w:tcPr>
            <w:tcW w:w="1104" w:type="pct"/>
          </w:tcPr>
          <w:p w14:paraId="7B317326" w14:textId="103CFF81" w:rsidR="00A213E5" w:rsidRPr="00920905" w:rsidRDefault="00A213E5" w:rsidP="00A213E5">
            <w:pPr>
              <w:jc w:val="center"/>
              <w:rPr>
                <w:rFonts w:cstheme="minorHAnsi"/>
                <w:color w:val="FF0000"/>
                <w:szCs w:val="20"/>
              </w:rPr>
            </w:pPr>
            <w:r>
              <w:rPr>
                <w:bCs/>
                <w:szCs w:val="20"/>
              </w:rPr>
              <w:t>Per lamp</w:t>
            </w:r>
          </w:p>
        </w:tc>
      </w:tr>
      <w:tr w:rsidR="00A213E5" w:rsidRPr="00500C4E" w14:paraId="492F8708" w14:textId="77777777" w:rsidTr="00A213E5">
        <w:tc>
          <w:tcPr>
            <w:tcW w:w="1441" w:type="pct"/>
          </w:tcPr>
          <w:p w14:paraId="2F88099C" w14:textId="0F22AB7E" w:rsidR="00A213E5" w:rsidRPr="00920905" w:rsidRDefault="00A213E5" w:rsidP="00A213E5">
            <w:pPr>
              <w:jc w:val="center"/>
              <w:rPr>
                <w:rFonts w:cstheme="minorHAnsi"/>
                <w:color w:val="FF0000"/>
                <w:szCs w:val="20"/>
              </w:rPr>
            </w:pPr>
            <w:r>
              <w:rPr>
                <w:bCs/>
                <w:szCs w:val="20"/>
              </w:rPr>
              <w:t>3’ Canopy LED</w:t>
            </w:r>
          </w:p>
        </w:tc>
        <w:tc>
          <w:tcPr>
            <w:tcW w:w="2455" w:type="pct"/>
          </w:tcPr>
          <w:p w14:paraId="10E56B6F" w14:textId="4019BA05" w:rsidR="00A213E5" w:rsidRPr="00920905" w:rsidRDefault="00A213E5" w:rsidP="00A213E5">
            <w:pPr>
              <w:jc w:val="center"/>
              <w:rPr>
                <w:rFonts w:cstheme="minorHAnsi"/>
                <w:color w:val="FF0000"/>
                <w:szCs w:val="20"/>
              </w:rPr>
            </w:pPr>
            <w:r>
              <w:rPr>
                <w:bCs/>
                <w:szCs w:val="20"/>
              </w:rPr>
              <w:t>15.5 W</w:t>
            </w:r>
          </w:p>
        </w:tc>
        <w:tc>
          <w:tcPr>
            <w:tcW w:w="1104" w:type="pct"/>
          </w:tcPr>
          <w:p w14:paraId="4C5738EC" w14:textId="360222F7" w:rsidR="00A213E5" w:rsidRPr="00920905" w:rsidRDefault="00A213E5" w:rsidP="00A213E5">
            <w:pPr>
              <w:jc w:val="center"/>
              <w:rPr>
                <w:rFonts w:cstheme="minorHAnsi"/>
                <w:color w:val="FF0000"/>
                <w:szCs w:val="20"/>
              </w:rPr>
            </w:pPr>
            <w:r>
              <w:rPr>
                <w:bCs/>
                <w:szCs w:val="20"/>
              </w:rPr>
              <w:t>Per lamp</w:t>
            </w:r>
          </w:p>
        </w:tc>
      </w:tr>
      <w:tr w:rsidR="00A213E5" w:rsidRPr="00500C4E" w14:paraId="6FAA503A" w14:textId="77777777" w:rsidTr="00A213E5">
        <w:tc>
          <w:tcPr>
            <w:tcW w:w="1441" w:type="pct"/>
          </w:tcPr>
          <w:p w14:paraId="132CC2A6" w14:textId="0B042CB5" w:rsidR="00A213E5" w:rsidRPr="00920905" w:rsidRDefault="00A213E5" w:rsidP="00A213E5">
            <w:pPr>
              <w:jc w:val="center"/>
              <w:rPr>
                <w:rFonts w:cstheme="minorHAnsi"/>
                <w:color w:val="FF0000"/>
                <w:szCs w:val="20"/>
              </w:rPr>
            </w:pPr>
            <w:r>
              <w:rPr>
                <w:bCs/>
                <w:szCs w:val="20"/>
              </w:rPr>
              <w:t>3’ Shelf LED</w:t>
            </w:r>
          </w:p>
        </w:tc>
        <w:tc>
          <w:tcPr>
            <w:tcW w:w="2455" w:type="pct"/>
          </w:tcPr>
          <w:p w14:paraId="373408C3" w14:textId="3A33E077" w:rsidR="00A213E5" w:rsidRPr="00920905" w:rsidRDefault="00A213E5" w:rsidP="00A213E5">
            <w:pPr>
              <w:jc w:val="center"/>
              <w:rPr>
                <w:rFonts w:cstheme="minorHAnsi"/>
                <w:color w:val="FF0000"/>
                <w:szCs w:val="20"/>
              </w:rPr>
            </w:pPr>
            <w:r>
              <w:rPr>
                <w:bCs/>
                <w:szCs w:val="20"/>
              </w:rPr>
              <w:t>6.8 W</w:t>
            </w:r>
          </w:p>
        </w:tc>
        <w:tc>
          <w:tcPr>
            <w:tcW w:w="1104" w:type="pct"/>
          </w:tcPr>
          <w:p w14:paraId="6240EBFE" w14:textId="7336FE5C" w:rsidR="00A213E5" w:rsidRPr="00920905" w:rsidRDefault="00A213E5" w:rsidP="00A213E5">
            <w:pPr>
              <w:jc w:val="center"/>
              <w:rPr>
                <w:rFonts w:cstheme="minorHAnsi"/>
                <w:color w:val="FF0000"/>
                <w:szCs w:val="20"/>
              </w:rPr>
            </w:pPr>
            <w:r>
              <w:rPr>
                <w:bCs/>
                <w:szCs w:val="20"/>
              </w:rPr>
              <w:t>Per lamp</w:t>
            </w:r>
          </w:p>
        </w:tc>
      </w:tr>
      <w:tr w:rsidR="00A213E5" w:rsidRPr="00500C4E" w14:paraId="6CD065C1" w14:textId="77777777" w:rsidTr="00A213E5">
        <w:tc>
          <w:tcPr>
            <w:tcW w:w="1441" w:type="pct"/>
          </w:tcPr>
          <w:p w14:paraId="1BDDE031" w14:textId="1FC8F40E" w:rsidR="00A213E5" w:rsidRPr="00920905" w:rsidRDefault="00A213E5" w:rsidP="00A213E5">
            <w:pPr>
              <w:jc w:val="center"/>
              <w:rPr>
                <w:rFonts w:cstheme="minorHAnsi"/>
                <w:color w:val="FF0000"/>
                <w:szCs w:val="20"/>
              </w:rPr>
            </w:pPr>
            <w:r>
              <w:rPr>
                <w:bCs/>
                <w:szCs w:val="20"/>
              </w:rPr>
              <w:t>4’ Canopy LED</w:t>
            </w:r>
          </w:p>
        </w:tc>
        <w:tc>
          <w:tcPr>
            <w:tcW w:w="2455" w:type="pct"/>
          </w:tcPr>
          <w:p w14:paraId="29EE7F0F" w14:textId="7B476E76" w:rsidR="00A213E5" w:rsidRPr="00920905" w:rsidRDefault="00A213E5" w:rsidP="00A213E5">
            <w:pPr>
              <w:jc w:val="center"/>
              <w:rPr>
                <w:rFonts w:cstheme="minorHAnsi"/>
                <w:color w:val="FF0000"/>
                <w:szCs w:val="20"/>
              </w:rPr>
            </w:pPr>
            <w:r>
              <w:rPr>
                <w:bCs/>
                <w:szCs w:val="20"/>
              </w:rPr>
              <w:t>18.7 W</w:t>
            </w:r>
          </w:p>
        </w:tc>
        <w:tc>
          <w:tcPr>
            <w:tcW w:w="1104" w:type="pct"/>
          </w:tcPr>
          <w:p w14:paraId="3D8D3253" w14:textId="7E65999A" w:rsidR="00A213E5" w:rsidRPr="00920905" w:rsidRDefault="00A213E5" w:rsidP="00A213E5">
            <w:pPr>
              <w:jc w:val="center"/>
              <w:rPr>
                <w:rFonts w:cstheme="minorHAnsi"/>
                <w:color w:val="FF0000"/>
                <w:szCs w:val="20"/>
              </w:rPr>
            </w:pPr>
            <w:r>
              <w:rPr>
                <w:bCs/>
                <w:szCs w:val="20"/>
              </w:rPr>
              <w:t>Per lamp</w:t>
            </w:r>
          </w:p>
        </w:tc>
      </w:tr>
      <w:tr w:rsidR="00A213E5" w:rsidRPr="00500C4E" w14:paraId="1232BBDB" w14:textId="77777777" w:rsidTr="00A213E5">
        <w:tc>
          <w:tcPr>
            <w:tcW w:w="1441" w:type="pct"/>
          </w:tcPr>
          <w:p w14:paraId="388E5AF5" w14:textId="1AC2A926" w:rsidR="00A213E5" w:rsidRPr="00920905" w:rsidRDefault="00A213E5" w:rsidP="00A213E5">
            <w:pPr>
              <w:jc w:val="center"/>
              <w:rPr>
                <w:rFonts w:cstheme="minorHAnsi"/>
                <w:color w:val="FF0000"/>
                <w:szCs w:val="20"/>
              </w:rPr>
            </w:pPr>
            <w:r>
              <w:rPr>
                <w:bCs/>
                <w:szCs w:val="20"/>
              </w:rPr>
              <w:t>4’ Shelf LED</w:t>
            </w:r>
          </w:p>
        </w:tc>
        <w:tc>
          <w:tcPr>
            <w:tcW w:w="2455" w:type="pct"/>
          </w:tcPr>
          <w:p w14:paraId="484436EE" w14:textId="38DFE88D" w:rsidR="00A213E5" w:rsidRPr="00920905" w:rsidRDefault="00A213E5" w:rsidP="00A213E5">
            <w:pPr>
              <w:jc w:val="center"/>
              <w:rPr>
                <w:rFonts w:cstheme="minorHAnsi"/>
                <w:color w:val="FF0000"/>
                <w:szCs w:val="20"/>
              </w:rPr>
            </w:pPr>
            <w:r>
              <w:rPr>
                <w:bCs/>
                <w:szCs w:val="20"/>
              </w:rPr>
              <w:t>9.6 W</w:t>
            </w:r>
          </w:p>
        </w:tc>
        <w:tc>
          <w:tcPr>
            <w:tcW w:w="1104" w:type="pct"/>
          </w:tcPr>
          <w:p w14:paraId="7BFC1EB3" w14:textId="00E94996" w:rsidR="00A213E5" w:rsidRPr="00920905" w:rsidRDefault="00A213E5" w:rsidP="00A213E5">
            <w:pPr>
              <w:jc w:val="center"/>
              <w:rPr>
                <w:rFonts w:cstheme="minorHAnsi"/>
                <w:color w:val="FF0000"/>
                <w:szCs w:val="20"/>
              </w:rPr>
            </w:pPr>
            <w:r>
              <w:rPr>
                <w:bCs/>
                <w:szCs w:val="20"/>
              </w:rPr>
              <w:t>Per lamp</w:t>
            </w:r>
          </w:p>
        </w:tc>
      </w:tr>
      <w:tr w:rsidR="00A213E5" w:rsidRPr="00500C4E" w14:paraId="4AB0E378" w14:textId="77777777" w:rsidTr="00A213E5">
        <w:tc>
          <w:tcPr>
            <w:tcW w:w="1441" w:type="pct"/>
          </w:tcPr>
          <w:p w14:paraId="1FBA5731" w14:textId="10B8A33C" w:rsidR="00A213E5" w:rsidRPr="00920905" w:rsidRDefault="00A213E5" w:rsidP="00A213E5">
            <w:pPr>
              <w:jc w:val="center"/>
              <w:rPr>
                <w:rFonts w:cstheme="minorHAnsi"/>
                <w:color w:val="FF0000"/>
                <w:szCs w:val="20"/>
              </w:rPr>
            </w:pPr>
            <w:r>
              <w:rPr>
                <w:bCs/>
                <w:szCs w:val="20"/>
              </w:rPr>
              <w:t>5’ T8 Fluorescent</w:t>
            </w:r>
          </w:p>
        </w:tc>
        <w:tc>
          <w:tcPr>
            <w:tcW w:w="2455" w:type="pct"/>
          </w:tcPr>
          <w:p w14:paraId="4AAFA6BF" w14:textId="165B00EE" w:rsidR="00A213E5" w:rsidRPr="00920905" w:rsidRDefault="00A213E5" w:rsidP="00A213E5">
            <w:pPr>
              <w:jc w:val="center"/>
              <w:rPr>
                <w:rFonts w:cstheme="minorHAnsi"/>
                <w:color w:val="FF0000"/>
                <w:szCs w:val="20"/>
              </w:rPr>
            </w:pPr>
            <w:r>
              <w:rPr>
                <w:bCs/>
                <w:szCs w:val="20"/>
              </w:rPr>
              <w:t>36 W</w:t>
            </w:r>
          </w:p>
        </w:tc>
        <w:tc>
          <w:tcPr>
            <w:tcW w:w="1104" w:type="pct"/>
          </w:tcPr>
          <w:p w14:paraId="4F9CBAA3" w14:textId="3C3F580E" w:rsidR="00A213E5" w:rsidRPr="00920905" w:rsidRDefault="00A213E5" w:rsidP="00A213E5">
            <w:pPr>
              <w:jc w:val="center"/>
              <w:rPr>
                <w:rFonts w:cstheme="minorHAnsi"/>
                <w:color w:val="FF0000"/>
                <w:szCs w:val="20"/>
              </w:rPr>
            </w:pPr>
            <w:r>
              <w:rPr>
                <w:bCs/>
                <w:szCs w:val="20"/>
              </w:rPr>
              <w:t>Per lamp</w:t>
            </w:r>
          </w:p>
        </w:tc>
      </w:tr>
      <w:tr w:rsidR="00A213E5" w:rsidRPr="00500C4E" w14:paraId="13F031DE" w14:textId="77777777" w:rsidTr="00A213E5">
        <w:tc>
          <w:tcPr>
            <w:tcW w:w="1441" w:type="pct"/>
          </w:tcPr>
          <w:p w14:paraId="541F156B" w14:textId="6521EC02" w:rsidR="00A213E5" w:rsidRPr="00920905" w:rsidRDefault="00A213E5" w:rsidP="00A213E5">
            <w:pPr>
              <w:jc w:val="center"/>
              <w:rPr>
                <w:rFonts w:cstheme="minorHAnsi"/>
                <w:color w:val="FF0000"/>
                <w:szCs w:val="20"/>
              </w:rPr>
            </w:pPr>
            <w:r>
              <w:rPr>
                <w:bCs/>
                <w:szCs w:val="20"/>
              </w:rPr>
              <w:t>5’ T8/HO Fluorescent</w:t>
            </w:r>
          </w:p>
        </w:tc>
        <w:tc>
          <w:tcPr>
            <w:tcW w:w="2455" w:type="pct"/>
          </w:tcPr>
          <w:p w14:paraId="478582F6" w14:textId="329757D0" w:rsidR="00A213E5" w:rsidRPr="00920905" w:rsidRDefault="00A213E5" w:rsidP="00A213E5">
            <w:pPr>
              <w:jc w:val="center"/>
              <w:rPr>
                <w:rFonts w:cstheme="minorHAnsi"/>
                <w:color w:val="FF0000"/>
                <w:szCs w:val="20"/>
              </w:rPr>
            </w:pPr>
            <w:r>
              <w:rPr>
                <w:bCs/>
                <w:szCs w:val="20"/>
              </w:rPr>
              <w:t>56.3 W</w:t>
            </w:r>
          </w:p>
        </w:tc>
        <w:tc>
          <w:tcPr>
            <w:tcW w:w="1104" w:type="pct"/>
          </w:tcPr>
          <w:p w14:paraId="67FDF015" w14:textId="6EB5896F" w:rsidR="00A213E5" w:rsidRPr="00920905" w:rsidRDefault="00A213E5" w:rsidP="00A213E5">
            <w:pPr>
              <w:jc w:val="center"/>
              <w:rPr>
                <w:rFonts w:cstheme="minorHAnsi"/>
                <w:color w:val="FF0000"/>
                <w:szCs w:val="20"/>
              </w:rPr>
            </w:pPr>
            <w:r>
              <w:rPr>
                <w:bCs/>
                <w:szCs w:val="20"/>
              </w:rPr>
              <w:t>Per lamp</w:t>
            </w:r>
          </w:p>
        </w:tc>
      </w:tr>
      <w:tr w:rsidR="00A213E5" w:rsidRPr="00500C4E" w14:paraId="69DBA6F6" w14:textId="77777777" w:rsidTr="00A213E5">
        <w:tc>
          <w:tcPr>
            <w:tcW w:w="1441" w:type="pct"/>
          </w:tcPr>
          <w:p w14:paraId="499F4EF0" w14:textId="45665039" w:rsidR="00A213E5" w:rsidRPr="00920905" w:rsidRDefault="00A213E5" w:rsidP="00A213E5">
            <w:pPr>
              <w:jc w:val="center"/>
              <w:rPr>
                <w:rFonts w:cstheme="minorHAnsi"/>
                <w:color w:val="FF0000"/>
                <w:szCs w:val="20"/>
              </w:rPr>
            </w:pPr>
            <w:r>
              <w:rPr>
                <w:bCs/>
                <w:szCs w:val="20"/>
              </w:rPr>
              <w:t>5’ T12 HO Fluorescent</w:t>
            </w:r>
          </w:p>
        </w:tc>
        <w:tc>
          <w:tcPr>
            <w:tcW w:w="2455" w:type="pct"/>
          </w:tcPr>
          <w:p w14:paraId="7FA43050" w14:textId="01207FF0" w:rsidR="00A213E5" w:rsidRPr="00920905" w:rsidRDefault="00A213E5" w:rsidP="00A213E5">
            <w:pPr>
              <w:jc w:val="center"/>
              <w:rPr>
                <w:rFonts w:cstheme="minorHAnsi"/>
                <w:color w:val="FF0000"/>
                <w:szCs w:val="20"/>
              </w:rPr>
            </w:pPr>
            <w:r>
              <w:rPr>
                <w:bCs/>
                <w:szCs w:val="20"/>
              </w:rPr>
              <w:t>88 W</w:t>
            </w:r>
          </w:p>
        </w:tc>
        <w:tc>
          <w:tcPr>
            <w:tcW w:w="1104" w:type="pct"/>
          </w:tcPr>
          <w:p w14:paraId="58DE792D" w14:textId="56D8DCDF" w:rsidR="00A213E5" w:rsidRPr="00920905" w:rsidRDefault="00A213E5" w:rsidP="00A213E5">
            <w:pPr>
              <w:jc w:val="center"/>
              <w:rPr>
                <w:rFonts w:cstheme="minorHAnsi"/>
                <w:color w:val="FF0000"/>
                <w:szCs w:val="20"/>
              </w:rPr>
            </w:pPr>
            <w:r>
              <w:rPr>
                <w:bCs/>
                <w:szCs w:val="20"/>
              </w:rPr>
              <w:t>Per lamp</w:t>
            </w:r>
          </w:p>
        </w:tc>
      </w:tr>
      <w:tr w:rsidR="00A213E5" w:rsidRPr="00500C4E" w14:paraId="5CDB59C8" w14:textId="77777777" w:rsidTr="00A213E5">
        <w:tc>
          <w:tcPr>
            <w:tcW w:w="1441" w:type="pct"/>
          </w:tcPr>
          <w:p w14:paraId="088249D3" w14:textId="589E4A2D" w:rsidR="00A213E5" w:rsidRPr="00920905" w:rsidRDefault="00A213E5" w:rsidP="00A213E5">
            <w:pPr>
              <w:jc w:val="center"/>
              <w:rPr>
                <w:rFonts w:cstheme="minorHAnsi"/>
                <w:color w:val="FF0000"/>
                <w:szCs w:val="20"/>
              </w:rPr>
            </w:pPr>
            <w:r>
              <w:rPr>
                <w:bCs/>
                <w:szCs w:val="20"/>
              </w:rPr>
              <w:t>6’ T12 HO Fluorescent</w:t>
            </w:r>
          </w:p>
        </w:tc>
        <w:tc>
          <w:tcPr>
            <w:tcW w:w="2455" w:type="pct"/>
          </w:tcPr>
          <w:p w14:paraId="0956D256" w14:textId="4B908C9E" w:rsidR="00A213E5" w:rsidRPr="00920905" w:rsidRDefault="00A213E5" w:rsidP="00A213E5">
            <w:pPr>
              <w:jc w:val="center"/>
              <w:rPr>
                <w:rFonts w:cstheme="minorHAnsi"/>
                <w:color w:val="FF0000"/>
                <w:szCs w:val="20"/>
              </w:rPr>
            </w:pPr>
            <w:r>
              <w:rPr>
                <w:bCs/>
                <w:szCs w:val="20"/>
              </w:rPr>
              <w:t>97 W</w:t>
            </w:r>
          </w:p>
        </w:tc>
        <w:tc>
          <w:tcPr>
            <w:tcW w:w="1104" w:type="pct"/>
          </w:tcPr>
          <w:p w14:paraId="62CFE6EF" w14:textId="036F754D" w:rsidR="00A213E5" w:rsidRPr="00920905" w:rsidRDefault="00A213E5" w:rsidP="00A213E5">
            <w:pPr>
              <w:jc w:val="center"/>
              <w:rPr>
                <w:rFonts w:cstheme="minorHAnsi"/>
                <w:color w:val="FF0000"/>
                <w:szCs w:val="20"/>
              </w:rPr>
            </w:pPr>
            <w:r>
              <w:rPr>
                <w:bCs/>
                <w:szCs w:val="20"/>
              </w:rPr>
              <w:t>Per lamp</w:t>
            </w:r>
          </w:p>
        </w:tc>
      </w:tr>
      <w:tr w:rsidR="00A213E5" w:rsidRPr="00500C4E" w14:paraId="4678D95D" w14:textId="77777777" w:rsidTr="00A213E5">
        <w:tc>
          <w:tcPr>
            <w:tcW w:w="1441" w:type="pct"/>
          </w:tcPr>
          <w:p w14:paraId="6F0DD095" w14:textId="65F3ADAA" w:rsidR="00A213E5" w:rsidRPr="00920905" w:rsidRDefault="00A213E5" w:rsidP="00A213E5">
            <w:pPr>
              <w:jc w:val="center"/>
              <w:rPr>
                <w:rFonts w:cstheme="minorHAnsi"/>
                <w:color w:val="FF0000"/>
                <w:szCs w:val="20"/>
              </w:rPr>
            </w:pPr>
            <w:r>
              <w:rPr>
                <w:bCs/>
                <w:szCs w:val="20"/>
              </w:rPr>
              <w:t>5’ LED Side</w:t>
            </w:r>
          </w:p>
        </w:tc>
        <w:tc>
          <w:tcPr>
            <w:tcW w:w="2455" w:type="pct"/>
          </w:tcPr>
          <w:p w14:paraId="0007C70A" w14:textId="505A306B" w:rsidR="00A213E5" w:rsidRPr="00920905" w:rsidRDefault="00A213E5" w:rsidP="00A213E5">
            <w:pPr>
              <w:jc w:val="center"/>
              <w:rPr>
                <w:rFonts w:cstheme="minorHAnsi"/>
                <w:color w:val="FF0000"/>
                <w:szCs w:val="20"/>
              </w:rPr>
            </w:pPr>
            <w:r>
              <w:rPr>
                <w:bCs/>
                <w:szCs w:val="20"/>
              </w:rPr>
              <w:t>14 W</w:t>
            </w:r>
          </w:p>
        </w:tc>
        <w:tc>
          <w:tcPr>
            <w:tcW w:w="1104" w:type="pct"/>
          </w:tcPr>
          <w:p w14:paraId="456B751E" w14:textId="2F0054A9" w:rsidR="00A213E5" w:rsidRPr="00920905" w:rsidRDefault="00A213E5" w:rsidP="00A213E5">
            <w:pPr>
              <w:jc w:val="center"/>
              <w:rPr>
                <w:rFonts w:cstheme="minorHAnsi"/>
                <w:color w:val="FF0000"/>
                <w:szCs w:val="20"/>
              </w:rPr>
            </w:pPr>
            <w:r>
              <w:rPr>
                <w:bCs/>
                <w:szCs w:val="20"/>
              </w:rPr>
              <w:t>Per Lamp</w:t>
            </w:r>
          </w:p>
        </w:tc>
      </w:tr>
      <w:tr w:rsidR="00A213E5" w:rsidRPr="00500C4E" w14:paraId="19FD9868" w14:textId="77777777" w:rsidTr="00A213E5">
        <w:tc>
          <w:tcPr>
            <w:tcW w:w="1441" w:type="pct"/>
          </w:tcPr>
          <w:p w14:paraId="4DD5ED0E" w14:textId="3ABC9E6D" w:rsidR="00A213E5" w:rsidRPr="00920905" w:rsidRDefault="00A213E5" w:rsidP="00A213E5">
            <w:pPr>
              <w:jc w:val="center"/>
              <w:rPr>
                <w:rFonts w:cstheme="minorHAnsi"/>
                <w:color w:val="FF0000"/>
                <w:szCs w:val="20"/>
              </w:rPr>
            </w:pPr>
            <w:r>
              <w:rPr>
                <w:bCs/>
                <w:szCs w:val="20"/>
              </w:rPr>
              <w:t xml:space="preserve">5’ </w:t>
            </w:r>
            <w:smartTag w:uri="urn:schemas-microsoft-com:office:smarttags" w:element="place">
              <w:smartTag w:uri="urn:schemas-microsoft-com:office:smarttags" w:element="PlaceName">
                <w:r>
                  <w:rPr>
                    <w:bCs/>
                    <w:szCs w:val="20"/>
                  </w:rPr>
                  <w:t>LED</w:t>
                </w:r>
              </w:smartTag>
              <w:r>
                <w:rPr>
                  <w:bCs/>
                  <w:szCs w:val="20"/>
                </w:rPr>
                <w:t xml:space="preserve"> </w:t>
              </w:r>
              <w:smartTag w:uri="urn:schemas-microsoft-com:office:smarttags" w:element="PlaceType">
                <w:r>
                  <w:rPr>
                    <w:bCs/>
                    <w:szCs w:val="20"/>
                  </w:rPr>
                  <w:t>Center</w:t>
                </w:r>
              </w:smartTag>
            </w:smartTag>
          </w:p>
        </w:tc>
        <w:tc>
          <w:tcPr>
            <w:tcW w:w="2455" w:type="pct"/>
          </w:tcPr>
          <w:p w14:paraId="22F4239B" w14:textId="71169CED" w:rsidR="00A213E5" w:rsidRPr="00920905" w:rsidRDefault="00A213E5" w:rsidP="00A213E5">
            <w:pPr>
              <w:jc w:val="center"/>
              <w:rPr>
                <w:rFonts w:cstheme="minorHAnsi"/>
                <w:color w:val="FF0000"/>
                <w:szCs w:val="20"/>
              </w:rPr>
            </w:pPr>
            <w:r>
              <w:rPr>
                <w:bCs/>
                <w:szCs w:val="20"/>
              </w:rPr>
              <w:t>20 W</w:t>
            </w:r>
          </w:p>
        </w:tc>
        <w:tc>
          <w:tcPr>
            <w:tcW w:w="1104" w:type="pct"/>
          </w:tcPr>
          <w:p w14:paraId="0B06ABE8" w14:textId="0B8F2E6E" w:rsidR="00A213E5" w:rsidRPr="00920905" w:rsidRDefault="00A213E5" w:rsidP="00A213E5">
            <w:pPr>
              <w:jc w:val="center"/>
              <w:rPr>
                <w:rFonts w:cstheme="minorHAnsi"/>
                <w:color w:val="FF0000"/>
                <w:szCs w:val="20"/>
              </w:rPr>
            </w:pPr>
            <w:r>
              <w:rPr>
                <w:bCs/>
                <w:szCs w:val="20"/>
              </w:rPr>
              <w:t>Per Lamp</w:t>
            </w:r>
          </w:p>
        </w:tc>
      </w:tr>
      <w:tr w:rsidR="00A213E5" w:rsidRPr="00500C4E" w14:paraId="239C45A1" w14:textId="77777777" w:rsidTr="00A213E5">
        <w:tc>
          <w:tcPr>
            <w:tcW w:w="1441" w:type="pct"/>
          </w:tcPr>
          <w:p w14:paraId="5B16F332" w14:textId="0EF4EF08" w:rsidR="00A213E5" w:rsidRPr="00920905" w:rsidRDefault="00A213E5" w:rsidP="00A213E5">
            <w:pPr>
              <w:jc w:val="center"/>
              <w:rPr>
                <w:rFonts w:cstheme="minorHAnsi"/>
                <w:color w:val="FF0000"/>
                <w:szCs w:val="20"/>
              </w:rPr>
            </w:pPr>
            <w:r>
              <w:rPr>
                <w:bCs/>
                <w:szCs w:val="20"/>
              </w:rPr>
              <w:t>6’ LED Side</w:t>
            </w:r>
          </w:p>
        </w:tc>
        <w:tc>
          <w:tcPr>
            <w:tcW w:w="2455" w:type="pct"/>
          </w:tcPr>
          <w:p w14:paraId="1A7CBE8D" w14:textId="6582BACE" w:rsidR="00A213E5" w:rsidRPr="00920905" w:rsidRDefault="00A213E5" w:rsidP="00A213E5">
            <w:pPr>
              <w:jc w:val="center"/>
              <w:rPr>
                <w:rFonts w:cstheme="minorHAnsi"/>
                <w:color w:val="FF0000"/>
                <w:szCs w:val="20"/>
              </w:rPr>
            </w:pPr>
            <w:r>
              <w:rPr>
                <w:bCs/>
                <w:szCs w:val="20"/>
              </w:rPr>
              <w:t>17.2 W</w:t>
            </w:r>
          </w:p>
        </w:tc>
        <w:tc>
          <w:tcPr>
            <w:tcW w:w="1104" w:type="pct"/>
          </w:tcPr>
          <w:p w14:paraId="3EA6E497" w14:textId="634553D0" w:rsidR="00A213E5" w:rsidRPr="00920905" w:rsidRDefault="00A213E5" w:rsidP="00A213E5">
            <w:pPr>
              <w:jc w:val="center"/>
              <w:rPr>
                <w:rFonts w:cstheme="minorHAnsi"/>
                <w:color w:val="FF0000"/>
                <w:szCs w:val="20"/>
              </w:rPr>
            </w:pPr>
            <w:r>
              <w:rPr>
                <w:bCs/>
                <w:szCs w:val="20"/>
              </w:rPr>
              <w:t>Per Lamp</w:t>
            </w:r>
          </w:p>
        </w:tc>
      </w:tr>
      <w:tr w:rsidR="00A213E5" w:rsidRPr="00500C4E" w14:paraId="62A2D44F" w14:textId="77777777" w:rsidTr="00A213E5">
        <w:tc>
          <w:tcPr>
            <w:tcW w:w="1441" w:type="pct"/>
          </w:tcPr>
          <w:p w14:paraId="53D4605E" w14:textId="75AD50BD" w:rsidR="00A213E5" w:rsidRPr="00920905" w:rsidRDefault="00A213E5" w:rsidP="00A213E5">
            <w:pPr>
              <w:jc w:val="center"/>
              <w:rPr>
                <w:rFonts w:cstheme="minorHAnsi"/>
                <w:color w:val="FF0000"/>
                <w:szCs w:val="20"/>
              </w:rPr>
            </w:pPr>
            <w:r>
              <w:rPr>
                <w:bCs/>
                <w:szCs w:val="20"/>
              </w:rPr>
              <w:t>6’ LED Center</w:t>
            </w:r>
          </w:p>
        </w:tc>
        <w:tc>
          <w:tcPr>
            <w:tcW w:w="2455" w:type="pct"/>
          </w:tcPr>
          <w:p w14:paraId="1581E81E" w14:textId="14FF5E5F" w:rsidR="00A213E5" w:rsidRPr="00920905" w:rsidRDefault="00A213E5" w:rsidP="00A213E5">
            <w:pPr>
              <w:jc w:val="center"/>
              <w:rPr>
                <w:rFonts w:cstheme="minorHAnsi"/>
                <w:color w:val="FF0000"/>
                <w:szCs w:val="20"/>
              </w:rPr>
            </w:pPr>
            <w:r>
              <w:rPr>
                <w:bCs/>
                <w:szCs w:val="20"/>
              </w:rPr>
              <w:t>29.9 W</w:t>
            </w:r>
          </w:p>
        </w:tc>
        <w:tc>
          <w:tcPr>
            <w:tcW w:w="1104" w:type="pct"/>
          </w:tcPr>
          <w:p w14:paraId="33B284F1" w14:textId="23D411CB" w:rsidR="00A213E5" w:rsidRPr="00920905" w:rsidRDefault="00A213E5" w:rsidP="00A213E5">
            <w:pPr>
              <w:jc w:val="center"/>
              <w:rPr>
                <w:rFonts w:cstheme="minorHAnsi"/>
                <w:color w:val="FF0000"/>
                <w:szCs w:val="20"/>
              </w:rPr>
            </w:pPr>
            <w:r>
              <w:rPr>
                <w:bCs/>
                <w:szCs w:val="20"/>
              </w:rPr>
              <w:t>Per Lamp</w:t>
            </w:r>
          </w:p>
        </w:tc>
      </w:tr>
      <w:tr w:rsidR="00A213E5" w:rsidRPr="00500C4E" w14:paraId="1F154C4C" w14:textId="77777777" w:rsidTr="00A213E5">
        <w:tc>
          <w:tcPr>
            <w:tcW w:w="1441" w:type="pct"/>
          </w:tcPr>
          <w:p w14:paraId="390899B0" w14:textId="19BB63D4" w:rsidR="00A213E5" w:rsidRPr="00920905" w:rsidRDefault="00A213E5" w:rsidP="00A213E5">
            <w:pPr>
              <w:jc w:val="center"/>
              <w:rPr>
                <w:rFonts w:cstheme="minorHAnsi"/>
                <w:color w:val="FF0000"/>
                <w:szCs w:val="20"/>
              </w:rPr>
            </w:pPr>
            <w:r>
              <w:rPr>
                <w:bCs/>
                <w:szCs w:val="20"/>
              </w:rPr>
              <w:t>3’ T8 Fluorescent</w:t>
            </w:r>
          </w:p>
        </w:tc>
        <w:tc>
          <w:tcPr>
            <w:tcW w:w="2455" w:type="pct"/>
          </w:tcPr>
          <w:p w14:paraId="19FCD167" w14:textId="44F16FA4" w:rsidR="00A213E5" w:rsidRPr="00920905" w:rsidRDefault="00A213E5" w:rsidP="00A213E5">
            <w:pPr>
              <w:jc w:val="center"/>
              <w:rPr>
                <w:rFonts w:cstheme="minorHAnsi"/>
                <w:color w:val="FF0000"/>
                <w:szCs w:val="20"/>
              </w:rPr>
            </w:pPr>
            <w:r>
              <w:rPr>
                <w:szCs w:val="20"/>
              </w:rPr>
              <w:t>23 W</w:t>
            </w:r>
          </w:p>
        </w:tc>
        <w:tc>
          <w:tcPr>
            <w:tcW w:w="1104" w:type="pct"/>
          </w:tcPr>
          <w:p w14:paraId="12FA1571" w14:textId="7D54C62F" w:rsidR="00A213E5" w:rsidRPr="00920905" w:rsidRDefault="00A213E5" w:rsidP="00A213E5">
            <w:pPr>
              <w:jc w:val="center"/>
              <w:rPr>
                <w:rFonts w:cstheme="minorHAnsi"/>
                <w:color w:val="FF0000"/>
                <w:szCs w:val="20"/>
              </w:rPr>
            </w:pPr>
            <w:r>
              <w:rPr>
                <w:bCs/>
                <w:szCs w:val="20"/>
              </w:rPr>
              <w:t>Per Lamp</w:t>
            </w:r>
          </w:p>
        </w:tc>
      </w:tr>
      <w:tr w:rsidR="00A213E5" w:rsidRPr="00500C4E" w14:paraId="2732485B" w14:textId="77777777" w:rsidTr="00A213E5">
        <w:tc>
          <w:tcPr>
            <w:tcW w:w="1441" w:type="pct"/>
          </w:tcPr>
          <w:p w14:paraId="72BE2F15" w14:textId="3843F096" w:rsidR="00A213E5" w:rsidRPr="00920905" w:rsidRDefault="00A213E5" w:rsidP="00A213E5">
            <w:pPr>
              <w:jc w:val="center"/>
              <w:rPr>
                <w:rFonts w:cstheme="minorHAnsi"/>
                <w:color w:val="FF0000"/>
                <w:szCs w:val="20"/>
              </w:rPr>
            </w:pPr>
            <w:r>
              <w:rPr>
                <w:bCs/>
                <w:szCs w:val="20"/>
              </w:rPr>
              <w:t>3’ T12 Fluorescent</w:t>
            </w:r>
          </w:p>
        </w:tc>
        <w:tc>
          <w:tcPr>
            <w:tcW w:w="2455" w:type="pct"/>
          </w:tcPr>
          <w:p w14:paraId="0521310B" w14:textId="2171798B" w:rsidR="00A213E5" w:rsidRPr="00920905" w:rsidRDefault="00A213E5" w:rsidP="00A213E5">
            <w:pPr>
              <w:jc w:val="center"/>
              <w:rPr>
                <w:rFonts w:cstheme="minorHAnsi"/>
                <w:color w:val="FF0000"/>
                <w:szCs w:val="20"/>
              </w:rPr>
            </w:pPr>
            <w:r>
              <w:rPr>
                <w:szCs w:val="20"/>
              </w:rPr>
              <w:t>37 W</w:t>
            </w:r>
          </w:p>
        </w:tc>
        <w:tc>
          <w:tcPr>
            <w:tcW w:w="1104" w:type="pct"/>
          </w:tcPr>
          <w:p w14:paraId="65632293" w14:textId="1950952D" w:rsidR="00A213E5" w:rsidRPr="00920905" w:rsidRDefault="00A213E5" w:rsidP="00A213E5">
            <w:pPr>
              <w:jc w:val="center"/>
              <w:rPr>
                <w:rFonts w:cstheme="minorHAnsi"/>
                <w:color w:val="FF0000"/>
                <w:szCs w:val="20"/>
              </w:rPr>
            </w:pPr>
            <w:r>
              <w:rPr>
                <w:bCs/>
                <w:szCs w:val="20"/>
              </w:rPr>
              <w:t>Per lamp</w:t>
            </w:r>
          </w:p>
        </w:tc>
      </w:tr>
      <w:tr w:rsidR="00A213E5" w:rsidRPr="00500C4E" w14:paraId="715AB13C" w14:textId="77777777" w:rsidTr="00A213E5">
        <w:tc>
          <w:tcPr>
            <w:tcW w:w="1441" w:type="pct"/>
          </w:tcPr>
          <w:p w14:paraId="34DFD7F7" w14:textId="4377A45B" w:rsidR="00A213E5" w:rsidRPr="00920905" w:rsidRDefault="00A213E5" w:rsidP="00A213E5">
            <w:pPr>
              <w:jc w:val="center"/>
              <w:rPr>
                <w:rFonts w:cstheme="minorHAnsi"/>
                <w:color w:val="FF0000"/>
                <w:szCs w:val="20"/>
              </w:rPr>
            </w:pPr>
            <w:r>
              <w:rPr>
                <w:szCs w:val="20"/>
              </w:rPr>
              <w:t>4’ T12 Fluorescent</w:t>
            </w:r>
          </w:p>
        </w:tc>
        <w:tc>
          <w:tcPr>
            <w:tcW w:w="2455" w:type="pct"/>
          </w:tcPr>
          <w:p w14:paraId="0A6CF1E8" w14:textId="5FE91C0F" w:rsidR="00A213E5" w:rsidRPr="00920905" w:rsidRDefault="00A213E5" w:rsidP="00A213E5">
            <w:pPr>
              <w:jc w:val="center"/>
              <w:rPr>
                <w:rFonts w:cstheme="minorHAnsi"/>
                <w:color w:val="FF0000"/>
                <w:szCs w:val="20"/>
              </w:rPr>
            </w:pPr>
            <w:r>
              <w:rPr>
                <w:szCs w:val="20"/>
              </w:rPr>
              <w:t>41 W</w:t>
            </w:r>
          </w:p>
        </w:tc>
        <w:tc>
          <w:tcPr>
            <w:tcW w:w="1104" w:type="pct"/>
          </w:tcPr>
          <w:p w14:paraId="1088F639" w14:textId="0CE665F6" w:rsidR="00A213E5" w:rsidRPr="00920905" w:rsidRDefault="00A213E5" w:rsidP="00A213E5">
            <w:pPr>
              <w:jc w:val="center"/>
              <w:rPr>
                <w:rFonts w:cstheme="minorHAnsi"/>
                <w:color w:val="FF0000"/>
                <w:szCs w:val="20"/>
              </w:rPr>
            </w:pPr>
            <w:r>
              <w:rPr>
                <w:szCs w:val="20"/>
              </w:rPr>
              <w:t>Per Lamp</w:t>
            </w:r>
          </w:p>
        </w:tc>
      </w:tr>
      <w:tr w:rsidR="00A213E5" w:rsidRPr="00500C4E" w14:paraId="67AC90A2" w14:textId="77777777" w:rsidTr="00A213E5">
        <w:tc>
          <w:tcPr>
            <w:tcW w:w="1441" w:type="pct"/>
          </w:tcPr>
          <w:p w14:paraId="5A578AA5" w14:textId="7DE2412A" w:rsidR="00A213E5" w:rsidRPr="00920905" w:rsidRDefault="00A213E5" w:rsidP="00A213E5">
            <w:pPr>
              <w:jc w:val="center"/>
              <w:rPr>
                <w:rFonts w:cstheme="minorHAnsi"/>
                <w:color w:val="FF0000"/>
                <w:szCs w:val="20"/>
              </w:rPr>
            </w:pPr>
            <w:r>
              <w:rPr>
                <w:bCs/>
                <w:szCs w:val="20"/>
              </w:rPr>
              <w:t>4’ T12 HO Fluorescent</w:t>
            </w:r>
          </w:p>
        </w:tc>
        <w:tc>
          <w:tcPr>
            <w:tcW w:w="2455" w:type="pct"/>
          </w:tcPr>
          <w:p w14:paraId="6B6ED16D" w14:textId="6BEAEE4D" w:rsidR="00A213E5" w:rsidRPr="00920905" w:rsidRDefault="00A213E5" w:rsidP="00A213E5">
            <w:pPr>
              <w:jc w:val="center"/>
              <w:rPr>
                <w:rFonts w:cstheme="minorHAnsi"/>
                <w:color w:val="FF0000"/>
                <w:szCs w:val="20"/>
              </w:rPr>
            </w:pPr>
            <w:r>
              <w:rPr>
                <w:bCs/>
                <w:szCs w:val="20"/>
              </w:rPr>
              <w:t>72.5 W</w:t>
            </w:r>
          </w:p>
        </w:tc>
        <w:tc>
          <w:tcPr>
            <w:tcW w:w="1104" w:type="pct"/>
          </w:tcPr>
          <w:p w14:paraId="15653B9C" w14:textId="2EC4FE87" w:rsidR="00A213E5" w:rsidRPr="00920905" w:rsidRDefault="00A213E5" w:rsidP="00A213E5">
            <w:pPr>
              <w:jc w:val="center"/>
              <w:rPr>
                <w:rFonts w:cstheme="minorHAnsi"/>
                <w:color w:val="FF0000"/>
                <w:szCs w:val="20"/>
              </w:rPr>
            </w:pPr>
            <w:r>
              <w:rPr>
                <w:bCs/>
                <w:szCs w:val="20"/>
              </w:rPr>
              <w:t>Per lamp</w:t>
            </w:r>
          </w:p>
        </w:tc>
      </w:tr>
      <w:tr w:rsidR="00A213E5" w:rsidRPr="00500C4E" w14:paraId="07953FAF" w14:textId="77777777" w:rsidTr="00A213E5">
        <w:tc>
          <w:tcPr>
            <w:tcW w:w="1441" w:type="pct"/>
          </w:tcPr>
          <w:p w14:paraId="5DC71924" w14:textId="566552F0" w:rsidR="00A213E5" w:rsidRPr="00920905" w:rsidRDefault="00A213E5" w:rsidP="00A213E5">
            <w:pPr>
              <w:jc w:val="center"/>
              <w:rPr>
                <w:rFonts w:cstheme="minorHAnsi"/>
                <w:color w:val="FF0000"/>
                <w:szCs w:val="20"/>
              </w:rPr>
            </w:pPr>
            <w:r>
              <w:rPr>
                <w:bCs/>
                <w:szCs w:val="20"/>
              </w:rPr>
              <w:t>3’ Canopy LED</w:t>
            </w:r>
          </w:p>
        </w:tc>
        <w:tc>
          <w:tcPr>
            <w:tcW w:w="2455" w:type="pct"/>
          </w:tcPr>
          <w:p w14:paraId="3A1C5258" w14:textId="082BAF7C" w:rsidR="00A213E5" w:rsidRPr="00920905" w:rsidRDefault="00A213E5" w:rsidP="00A213E5">
            <w:pPr>
              <w:jc w:val="center"/>
              <w:rPr>
                <w:rFonts w:cstheme="minorHAnsi"/>
                <w:color w:val="FF0000"/>
                <w:szCs w:val="20"/>
              </w:rPr>
            </w:pPr>
            <w:r>
              <w:rPr>
                <w:bCs/>
                <w:szCs w:val="20"/>
              </w:rPr>
              <w:t>15.5 W</w:t>
            </w:r>
          </w:p>
        </w:tc>
        <w:tc>
          <w:tcPr>
            <w:tcW w:w="1104" w:type="pct"/>
          </w:tcPr>
          <w:p w14:paraId="6B8FD2C2" w14:textId="0EF7E9EA" w:rsidR="00A213E5" w:rsidRPr="00920905" w:rsidRDefault="00A213E5" w:rsidP="00A213E5">
            <w:pPr>
              <w:jc w:val="center"/>
              <w:rPr>
                <w:rFonts w:cstheme="minorHAnsi"/>
                <w:color w:val="FF0000"/>
                <w:szCs w:val="20"/>
              </w:rPr>
            </w:pPr>
            <w:r>
              <w:rPr>
                <w:bCs/>
                <w:szCs w:val="20"/>
              </w:rPr>
              <w:t>Per lamp</w:t>
            </w:r>
          </w:p>
        </w:tc>
      </w:tr>
    </w:tbl>
    <w:p w14:paraId="5A31C561" w14:textId="77777777" w:rsidR="00FA42E8" w:rsidRDefault="00FA42E8" w:rsidP="00D23770">
      <w:pPr>
        <w:pStyle w:val="Reminders"/>
        <w:rPr>
          <w:rFonts w:asciiTheme="minorHAnsi" w:hAnsiTheme="minorHAnsi" w:cstheme="minorHAnsi"/>
          <w:i w:val="0"/>
          <w:szCs w:val="22"/>
        </w:rPr>
      </w:pPr>
    </w:p>
    <w:p w14:paraId="11386720" w14:textId="77777777" w:rsidR="00A213E5" w:rsidRDefault="00A213E5" w:rsidP="00A213E5">
      <w:pPr>
        <w:rPr>
          <w:rFonts w:cstheme="minorHAnsi"/>
          <w:szCs w:val="22"/>
        </w:rPr>
      </w:pPr>
      <w:r>
        <w:rPr>
          <w:rFonts w:cstheme="minorHAnsi"/>
          <w:szCs w:val="22"/>
        </w:rPr>
        <w:t>The calculations shown below are an example of T8/HO to vertical LED systems. The calculations for the T8 and T12 baseline were determined using the same methodology.</w:t>
      </w:r>
    </w:p>
    <w:p w14:paraId="3441A241" w14:textId="77777777" w:rsidR="00A213E5" w:rsidRDefault="00A213E5" w:rsidP="00A213E5">
      <w:pPr>
        <w:rPr>
          <w:rFonts w:cstheme="minorHAnsi"/>
          <w:szCs w:val="22"/>
        </w:rPr>
      </w:pPr>
    </w:p>
    <w:p w14:paraId="00E29F70" w14:textId="77777777" w:rsidR="00A213E5" w:rsidRDefault="00A213E5" w:rsidP="00A213E5">
      <w:pPr>
        <w:rPr>
          <w:rFonts w:cstheme="minorHAnsi"/>
          <w:szCs w:val="22"/>
        </w:rPr>
      </w:pPr>
      <w:r>
        <w:rPr>
          <w:rFonts w:cstheme="minorHAnsi"/>
          <w:szCs w:val="22"/>
        </w:rPr>
        <w:t>The calculations are based on two different types of refrigeration systems. The single-compressor system is used for the following building types:</w:t>
      </w:r>
    </w:p>
    <w:p w14:paraId="443C36FB" w14:textId="77777777" w:rsidR="00A213E5" w:rsidRDefault="00A213E5" w:rsidP="00A213E5">
      <w:pPr>
        <w:numPr>
          <w:ilvl w:val="0"/>
          <w:numId w:val="45"/>
        </w:numPr>
        <w:rPr>
          <w:rFonts w:cstheme="minorHAnsi"/>
          <w:szCs w:val="22"/>
        </w:rPr>
      </w:pPr>
      <w:r>
        <w:rPr>
          <w:rFonts w:cstheme="minorHAnsi"/>
          <w:szCs w:val="22"/>
        </w:rPr>
        <w:t>Restaurant – Fast-Food</w:t>
      </w:r>
    </w:p>
    <w:p w14:paraId="551618C5" w14:textId="77777777" w:rsidR="00A213E5" w:rsidRDefault="00A213E5" w:rsidP="00A213E5">
      <w:pPr>
        <w:numPr>
          <w:ilvl w:val="0"/>
          <w:numId w:val="45"/>
        </w:numPr>
        <w:rPr>
          <w:rFonts w:cstheme="minorHAnsi"/>
          <w:szCs w:val="22"/>
        </w:rPr>
      </w:pPr>
      <w:r>
        <w:rPr>
          <w:rFonts w:cstheme="minorHAnsi"/>
          <w:szCs w:val="22"/>
        </w:rPr>
        <w:t>Retail – Small</w:t>
      </w:r>
    </w:p>
    <w:p w14:paraId="5FA9E37D" w14:textId="5A62F033" w:rsidR="000C402A" w:rsidRDefault="000C402A" w:rsidP="00A213E5">
      <w:pPr>
        <w:numPr>
          <w:ilvl w:val="0"/>
          <w:numId w:val="45"/>
        </w:numPr>
        <w:rPr>
          <w:rFonts w:cstheme="minorHAnsi"/>
          <w:szCs w:val="22"/>
        </w:rPr>
      </w:pPr>
      <w:r>
        <w:rPr>
          <w:rFonts w:cstheme="minorHAnsi"/>
          <w:szCs w:val="22"/>
        </w:rPr>
        <w:t xml:space="preserve">Office - </w:t>
      </w:r>
      <w:r w:rsidR="008D0AFA">
        <w:rPr>
          <w:rFonts w:cstheme="minorHAnsi"/>
          <w:szCs w:val="22"/>
        </w:rPr>
        <w:t>S</w:t>
      </w:r>
      <w:r>
        <w:rPr>
          <w:rFonts w:cstheme="minorHAnsi"/>
          <w:szCs w:val="22"/>
        </w:rPr>
        <w:t>mall</w:t>
      </w:r>
    </w:p>
    <w:p w14:paraId="4BC11263" w14:textId="77777777" w:rsidR="00A213E5" w:rsidRDefault="00A213E5" w:rsidP="00A213E5">
      <w:pPr>
        <w:rPr>
          <w:rFonts w:cstheme="minorHAnsi"/>
          <w:szCs w:val="22"/>
        </w:rPr>
      </w:pPr>
    </w:p>
    <w:p w14:paraId="48EB2B1E" w14:textId="77777777" w:rsidR="00A213E5" w:rsidRDefault="00A213E5" w:rsidP="00A213E5">
      <w:pPr>
        <w:rPr>
          <w:rFonts w:cstheme="minorHAnsi"/>
          <w:szCs w:val="22"/>
        </w:rPr>
      </w:pPr>
      <w:r>
        <w:rPr>
          <w:rFonts w:cstheme="minorHAnsi"/>
          <w:szCs w:val="22"/>
        </w:rPr>
        <w:t>While the multiplex compressor system is used for the following building types:</w:t>
      </w:r>
    </w:p>
    <w:p w14:paraId="00E1FEDC" w14:textId="77777777" w:rsidR="00A213E5" w:rsidRDefault="00A213E5" w:rsidP="00A213E5">
      <w:pPr>
        <w:numPr>
          <w:ilvl w:val="0"/>
          <w:numId w:val="46"/>
        </w:numPr>
        <w:rPr>
          <w:rFonts w:cstheme="minorHAnsi"/>
          <w:szCs w:val="22"/>
        </w:rPr>
      </w:pPr>
      <w:r>
        <w:rPr>
          <w:rFonts w:cstheme="minorHAnsi"/>
          <w:szCs w:val="22"/>
        </w:rPr>
        <w:t>Grocery</w:t>
      </w:r>
    </w:p>
    <w:p w14:paraId="78FAF30B" w14:textId="77777777" w:rsidR="00A213E5" w:rsidRDefault="00A213E5" w:rsidP="00A213E5">
      <w:pPr>
        <w:numPr>
          <w:ilvl w:val="0"/>
          <w:numId w:val="46"/>
        </w:numPr>
        <w:rPr>
          <w:rFonts w:cstheme="minorHAnsi"/>
          <w:szCs w:val="22"/>
        </w:rPr>
      </w:pPr>
      <w:r>
        <w:rPr>
          <w:rFonts w:cstheme="minorHAnsi"/>
          <w:szCs w:val="22"/>
        </w:rPr>
        <w:t>Restaurant – Sit-Down</w:t>
      </w:r>
    </w:p>
    <w:p w14:paraId="4E4AE4E2" w14:textId="77777777" w:rsidR="00A213E5" w:rsidRDefault="00A213E5" w:rsidP="00A213E5">
      <w:pPr>
        <w:numPr>
          <w:ilvl w:val="0"/>
          <w:numId w:val="46"/>
        </w:numPr>
        <w:rPr>
          <w:rFonts w:cstheme="minorHAnsi"/>
          <w:szCs w:val="22"/>
        </w:rPr>
      </w:pPr>
      <w:r>
        <w:rPr>
          <w:rFonts w:cstheme="minorHAnsi"/>
          <w:szCs w:val="22"/>
        </w:rPr>
        <w:t>Retail – Multistory Large</w:t>
      </w:r>
    </w:p>
    <w:p w14:paraId="2A3B8918" w14:textId="77777777" w:rsidR="00A213E5" w:rsidRDefault="00A213E5" w:rsidP="00A213E5">
      <w:pPr>
        <w:numPr>
          <w:ilvl w:val="0"/>
          <w:numId w:val="46"/>
        </w:numPr>
        <w:rPr>
          <w:rFonts w:cstheme="minorHAnsi"/>
          <w:szCs w:val="22"/>
        </w:rPr>
      </w:pPr>
      <w:r>
        <w:rPr>
          <w:rFonts w:cstheme="minorHAnsi"/>
          <w:szCs w:val="22"/>
        </w:rPr>
        <w:t>Retail – Single-Story Large</w:t>
      </w:r>
    </w:p>
    <w:p w14:paraId="49073323" w14:textId="77777777" w:rsidR="00A213E5" w:rsidRDefault="00A213E5" w:rsidP="00A213E5">
      <w:pPr>
        <w:numPr>
          <w:ilvl w:val="0"/>
          <w:numId w:val="46"/>
        </w:numPr>
        <w:rPr>
          <w:rFonts w:cstheme="minorHAnsi"/>
          <w:szCs w:val="22"/>
        </w:rPr>
      </w:pPr>
      <w:r>
        <w:rPr>
          <w:rFonts w:cstheme="minorHAnsi"/>
          <w:szCs w:val="22"/>
        </w:rPr>
        <w:t>Warehouse – Refrigerated</w:t>
      </w:r>
    </w:p>
    <w:p w14:paraId="674728EB" w14:textId="77777777" w:rsidR="00855069" w:rsidRDefault="00855069" w:rsidP="00855069">
      <w:pPr>
        <w:rPr>
          <w:b/>
          <w:u w:val="single"/>
        </w:rPr>
      </w:pPr>
    </w:p>
    <w:p w14:paraId="26CFBF88" w14:textId="77777777" w:rsidR="00855069" w:rsidRDefault="00855069" w:rsidP="00855069">
      <w:pPr>
        <w:rPr>
          <w:b/>
          <w:u w:val="single"/>
        </w:rPr>
      </w:pPr>
      <w:r w:rsidRPr="00240B61">
        <w:rPr>
          <w:b/>
          <w:u w:val="single"/>
        </w:rPr>
        <w:t>Lighting Power and Energy Calculations</w:t>
      </w:r>
    </w:p>
    <w:p w14:paraId="0BFECA52" w14:textId="77777777" w:rsidR="00777DA2" w:rsidRPr="00240B61" w:rsidRDefault="00777DA2" w:rsidP="00855069">
      <w:pPr>
        <w:rPr>
          <w:b/>
          <w:u w:val="single"/>
        </w:rPr>
      </w:pPr>
    </w:p>
    <w:p w14:paraId="0AF3975B" w14:textId="77777777" w:rsidR="00855069" w:rsidRDefault="00855069" w:rsidP="00855069">
      <w:pPr>
        <w:numPr>
          <w:ilvl w:val="0"/>
          <w:numId w:val="47"/>
        </w:numPr>
      </w:pPr>
      <w:r w:rsidRPr="00240B61">
        <w:t>The different configurations of each lighting system make direct comparison of these numbers fairly complicated.  A 5-door display case will typically be equipped with 6 fluorescent bulbs.  When equipped with LEDs, it will have 4 center strips and 2 end strips.  To provide a comparison that would take these differences into account, the lighting power values for fluorescent lamps were converted into per door values according to the following equations:</w:t>
      </w:r>
    </w:p>
    <w:p w14:paraId="6F8ABF77" w14:textId="77777777" w:rsidR="00BF41FE" w:rsidRPr="00240B61" w:rsidRDefault="00BF41FE" w:rsidP="00BF41FE"/>
    <w:p w14:paraId="3E023475" w14:textId="105AB89A" w:rsidR="00855069" w:rsidRDefault="00DB326D" w:rsidP="00BF41FE">
      <w:pPr>
        <w:ind w:left="720"/>
      </w:pPr>
      <w:r>
        <w:t xml:space="preserve">For </w:t>
      </w:r>
      <w:r w:rsidR="00BF41FE">
        <w:t>5’ T8/HO Fluorescent system;</w:t>
      </w:r>
    </w:p>
    <w:p w14:paraId="7DFC7EE3" w14:textId="77777777" w:rsidR="00BF41FE" w:rsidRPr="00240B61" w:rsidRDefault="00BF41FE" w:rsidP="00BF41FE">
      <w:pPr>
        <w:ind w:left="720"/>
      </w:pPr>
    </w:p>
    <w:p w14:paraId="75A34165" w14:textId="77777777" w:rsidR="00855069" w:rsidRPr="00240B61" w:rsidRDefault="00855069" w:rsidP="00855069">
      <w:r w:rsidRPr="00240B61">
        <w:t xml:space="preserve">  </w:t>
      </w:r>
      <w:r w:rsidRPr="00240B61">
        <w:tab/>
        <w:t xml:space="preserve"> </w:t>
      </w:r>
      <w:r w:rsidRPr="00240B61">
        <w:rPr>
          <w:position w:val="-30"/>
        </w:rPr>
        <w:object w:dxaOrig="4725" w:dyaOrig="645" w14:anchorId="67CC24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pt;height:30pt" o:ole="">
            <v:imagedata r:id="rId11" o:title=""/>
          </v:shape>
          <o:OLEObject Type="Embed" ProgID="Equation.3" ShapeID="_x0000_i1025" DrawAspect="Content" ObjectID="_1548158086" r:id="rId12"/>
        </w:object>
      </w:r>
    </w:p>
    <w:p w14:paraId="1310B82E" w14:textId="77777777" w:rsidR="00855069" w:rsidRPr="00240B61" w:rsidRDefault="00855069" w:rsidP="00855069"/>
    <w:p w14:paraId="03767330" w14:textId="60933A13" w:rsidR="00855069" w:rsidRPr="00240B61" w:rsidRDefault="00DB326D" w:rsidP="00855069">
      <w:pPr>
        <w:ind w:left="720"/>
      </w:pPr>
      <w:r>
        <w:t>where</w:t>
      </w:r>
    </w:p>
    <w:p w14:paraId="722DADEF" w14:textId="77777777" w:rsidR="00855069" w:rsidRPr="00240B61" w:rsidRDefault="00855069" w:rsidP="00855069">
      <w:pPr>
        <w:ind w:left="720"/>
      </w:pPr>
      <w:r w:rsidRPr="00240B61">
        <w:t>kW</w:t>
      </w:r>
      <w:r w:rsidRPr="00240B61">
        <w:rPr>
          <w:vertAlign w:val="subscript"/>
        </w:rPr>
        <w:t>T8/HO</w:t>
      </w:r>
      <w:r w:rsidRPr="00240B61">
        <w:t xml:space="preserve"> = direct power draw of T8/HO system, kW/door</w:t>
      </w:r>
    </w:p>
    <w:p w14:paraId="5D769E30" w14:textId="77777777" w:rsidR="00855069" w:rsidRPr="00240B61" w:rsidRDefault="00855069" w:rsidP="00855069"/>
    <w:p w14:paraId="2A9F74BA" w14:textId="77777777" w:rsidR="00855069" w:rsidRPr="00240B61" w:rsidRDefault="00855069" w:rsidP="00855069">
      <w:pPr>
        <w:ind w:left="720"/>
      </w:pPr>
      <w:r w:rsidRPr="00240B61">
        <w:t>For 5’ LED system;</w:t>
      </w:r>
    </w:p>
    <w:p w14:paraId="424DBC84" w14:textId="77777777" w:rsidR="00855069" w:rsidRPr="00240B61" w:rsidRDefault="00855069" w:rsidP="00855069">
      <w:pPr>
        <w:ind w:left="720"/>
        <w:rPr>
          <w:position w:val="-24"/>
        </w:rPr>
      </w:pPr>
    </w:p>
    <w:p w14:paraId="3B45EF97" w14:textId="77777777" w:rsidR="00855069" w:rsidRPr="00240B61" w:rsidRDefault="00855069" w:rsidP="00855069">
      <w:pPr>
        <w:ind w:left="720"/>
      </w:pPr>
      <w:r w:rsidRPr="00240B61">
        <w:rPr>
          <w:position w:val="-24"/>
        </w:rPr>
        <w:object w:dxaOrig="5700" w:dyaOrig="630" w14:anchorId="1D8FA6F2">
          <v:shape id="_x0000_i1026" type="#_x0000_t75" style="width:282pt;height:30pt" o:ole="">
            <v:imagedata r:id="rId13" o:title=""/>
          </v:shape>
          <o:OLEObject Type="Embed" ProgID="Equation.3" ShapeID="_x0000_i1026" DrawAspect="Content" ObjectID="_1548158087" r:id="rId14"/>
        </w:object>
      </w:r>
    </w:p>
    <w:p w14:paraId="05055351" w14:textId="77777777" w:rsidR="00855069" w:rsidRPr="00240B61" w:rsidRDefault="00855069" w:rsidP="00855069">
      <w:pPr>
        <w:ind w:left="720"/>
      </w:pPr>
    </w:p>
    <w:p w14:paraId="385A0DA3" w14:textId="77777777" w:rsidR="00855069" w:rsidRPr="00240B61" w:rsidRDefault="006A60A6" w:rsidP="00855069">
      <w:pPr>
        <w:ind w:left="720"/>
        <w:rPr>
          <w:position w:val="-12"/>
        </w:rPr>
      </w:pPr>
      <m:oMath>
        <m:sSub>
          <m:sSubPr>
            <m:ctrlPr>
              <w:rPr>
                <w:rFonts w:ascii="Cambria Math" w:hAnsi="Cambria Math"/>
                <w:i/>
                <w:szCs w:val="22"/>
              </w:rPr>
            </m:ctrlPr>
          </m:sSubPr>
          <m:e>
            <m:r>
              <w:rPr>
                <w:rFonts w:ascii="Cambria Math" w:hAnsi="Cambria Math"/>
              </w:rPr>
              <m:t>kW</m:t>
            </m:r>
          </m:e>
          <m:sub>
            <m:sSup>
              <m:sSupPr>
                <m:ctrlPr>
                  <w:rPr>
                    <w:rFonts w:ascii="Cambria Math" w:hAnsi="Cambria Math"/>
                    <w:i/>
                    <w:szCs w:val="22"/>
                  </w:rPr>
                </m:ctrlPr>
              </m:sSupPr>
              <m:e>
                <m:r>
                  <w:rPr>
                    <w:rFonts w:ascii="Cambria Math" w:hAnsi="Cambria Math"/>
                  </w:rPr>
                  <m:t>5</m:t>
                </m:r>
              </m:e>
              <m:sup>
                <m:r>
                  <w:rPr>
                    <w:rFonts w:ascii="Cambria Math" w:hAnsi="Cambria Math"/>
                  </w:rPr>
                  <m:t>'</m:t>
                </m:r>
              </m:sup>
            </m:sSup>
            <m:r>
              <w:rPr>
                <w:rFonts w:ascii="Cambria Math" w:hAnsi="Cambria Math"/>
              </w:rPr>
              <m:t>LED</m:t>
            </m:r>
          </m:sub>
        </m:sSub>
        <m:r>
          <w:rPr>
            <w:rFonts w:ascii="Cambria Math" w:hAnsi="Cambria Math"/>
          </w:rPr>
          <m:t>=</m:t>
        </m:r>
        <m:d>
          <m:dPr>
            <m:ctrlPr>
              <w:rPr>
                <w:rFonts w:ascii="Cambria Math" w:hAnsi="Cambria Math"/>
                <w:i/>
                <w:szCs w:val="22"/>
              </w:rPr>
            </m:ctrlPr>
          </m:dPr>
          <m:e>
            <m:r>
              <w:rPr>
                <w:rFonts w:ascii="Cambria Math" w:hAnsi="Cambria Math"/>
              </w:rPr>
              <m:t xml:space="preserve">0.014 </m:t>
            </m:r>
            <m:f>
              <m:fPr>
                <m:ctrlPr>
                  <w:rPr>
                    <w:rFonts w:ascii="Cambria Math" w:hAnsi="Cambria Math"/>
                    <w:i/>
                    <w:szCs w:val="22"/>
                  </w:rPr>
                </m:ctrlPr>
              </m:fPr>
              <m:num>
                <m:r>
                  <w:rPr>
                    <w:rFonts w:ascii="Cambria Math" w:hAnsi="Cambria Math"/>
                  </w:rPr>
                  <m:t>kW</m:t>
                </m:r>
              </m:num>
              <m:den>
                <m:r>
                  <w:rPr>
                    <w:rFonts w:ascii="Cambria Math" w:hAnsi="Cambria Math"/>
                  </w:rPr>
                  <m:t>LED</m:t>
                </m:r>
              </m:den>
            </m:f>
            <m:r>
              <w:rPr>
                <w:rFonts w:ascii="Cambria Math" w:hAnsi="Cambria Math"/>
              </w:rPr>
              <m:t xml:space="preserve">x 2 lamps+0.020 </m:t>
            </m:r>
            <m:f>
              <m:fPr>
                <m:ctrlPr>
                  <w:rPr>
                    <w:rFonts w:ascii="Cambria Math" w:hAnsi="Cambria Math"/>
                    <w:i/>
                    <w:szCs w:val="22"/>
                  </w:rPr>
                </m:ctrlPr>
              </m:fPr>
              <m:num>
                <m:r>
                  <w:rPr>
                    <w:rFonts w:ascii="Cambria Math" w:hAnsi="Cambria Math"/>
                  </w:rPr>
                  <m:t>kW</m:t>
                </m:r>
              </m:num>
              <m:den>
                <m:r>
                  <w:rPr>
                    <w:rFonts w:ascii="Cambria Math" w:hAnsi="Cambria Math"/>
                  </w:rPr>
                  <m:t>LED</m:t>
                </m:r>
              </m:den>
            </m:f>
            <m:r>
              <w:rPr>
                <w:rFonts w:ascii="Cambria Math" w:hAnsi="Cambria Math"/>
              </w:rPr>
              <m:t>x 4 lamps</m:t>
            </m:r>
          </m:e>
        </m:d>
        <m:d>
          <m:dPr>
            <m:ctrlPr>
              <w:rPr>
                <w:rFonts w:ascii="Cambria Math" w:hAnsi="Cambria Math"/>
                <w:i/>
                <w:szCs w:val="22"/>
              </w:rPr>
            </m:ctrlPr>
          </m:dPr>
          <m:e>
            <m:f>
              <m:fPr>
                <m:ctrlPr>
                  <w:rPr>
                    <w:rFonts w:ascii="Cambria Math" w:hAnsi="Cambria Math"/>
                    <w:i/>
                    <w:szCs w:val="22"/>
                  </w:rPr>
                </m:ctrlPr>
              </m:fPr>
              <m:num>
                <m:r>
                  <w:rPr>
                    <w:rFonts w:ascii="Cambria Math" w:hAnsi="Cambria Math"/>
                  </w:rPr>
                  <m:t>1</m:t>
                </m:r>
              </m:num>
              <m:den>
                <m:r>
                  <w:rPr>
                    <w:rFonts w:ascii="Cambria Math" w:hAnsi="Cambria Math"/>
                  </w:rPr>
                  <m:t>5 Doors</m:t>
                </m:r>
              </m:den>
            </m:f>
          </m:e>
        </m:d>
      </m:oMath>
      <w:r w:rsidR="00855069" w:rsidRPr="00240B61">
        <w:rPr>
          <w:position w:val="-12"/>
        </w:rPr>
        <w:t xml:space="preserve"> </w:t>
      </w:r>
    </w:p>
    <w:p w14:paraId="71C9FD6E" w14:textId="77777777" w:rsidR="00855069" w:rsidRPr="00240B61" w:rsidRDefault="00855069" w:rsidP="00855069">
      <w:pPr>
        <w:ind w:left="720"/>
        <w:rPr>
          <w:position w:val="-12"/>
        </w:rPr>
      </w:pPr>
    </w:p>
    <w:p w14:paraId="6D0C4F48" w14:textId="77777777" w:rsidR="00855069" w:rsidRPr="00240B61" w:rsidRDefault="006A60A6" w:rsidP="00855069">
      <w:pPr>
        <w:ind w:left="720"/>
      </w:pPr>
      <m:oMath>
        <m:sSub>
          <m:sSubPr>
            <m:ctrlPr>
              <w:rPr>
                <w:rFonts w:ascii="Cambria Math" w:hAnsi="Cambria Math"/>
                <w:i/>
                <w:szCs w:val="22"/>
              </w:rPr>
            </m:ctrlPr>
          </m:sSubPr>
          <m:e>
            <m:r>
              <w:rPr>
                <w:rFonts w:ascii="Cambria Math" w:hAnsi="Cambria Math"/>
              </w:rPr>
              <m:t>kW</m:t>
            </m:r>
          </m:e>
          <m:sub>
            <m:sSup>
              <m:sSupPr>
                <m:ctrlPr>
                  <w:rPr>
                    <w:rFonts w:ascii="Cambria Math" w:hAnsi="Cambria Math"/>
                    <w:i/>
                    <w:szCs w:val="22"/>
                  </w:rPr>
                </m:ctrlPr>
              </m:sSupPr>
              <m:e>
                <m:r>
                  <w:rPr>
                    <w:rFonts w:ascii="Cambria Math" w:hAnsi="Cambria Math"/>
                  </w:rPr>
                  <m:t>5</m:t>
                </m:r>
              </m:e>
              <m:sup>
                <m:r>
                  <w:rPr>
                    <w:rFonts w:ascii="Cambria Math" w:hAnsi="Cambria Math"/>
                  </w:rPr>
                  <m:t>'</m:t>
                </m:r>
              </m:sup>
            </m:sSup>
            <m:r>
              <w:rPr>
                <w:rFonts w:ascii="Cambria Math" w:hAnsi="Cambria Math"/>
              </w:rPr>
              <m:t>lED</m:t>
            </m:r>
          </m:sub>
        </m:sSub>
        <m:r>
          <w:rPr>
            <w:rFonts w:ascii="Cambria Math" w:hAnsi="Cambria Math"/>
          </w:rPr>
          <m:t>=0.0216 kW</m:t>
        </m:r>
      </m:oMath>
      <w:r w:rsidR="00855069" w:rsidRPr="00240B61">
        <w:t xml:space="preserve"> Per door.</w:t>
      </w:r>
    </w:p>
    <w:p w14:paraId="0C4A73C5" w14:textId="77777777" w:rsidR="00855069" w:rsidRPr="00240B61" w:rsidRDefault="00855069" w:rsidP="00855069">
      <w:pPr>
        <w:ind w:left="720"/>
      </w:pPr>
    </w:p>
    <w:p w14:paraId="1F4814BA" w14:textId="77777777" w:rsidR="00855069" w:rsidRPr="00240B61" w:rsidRDefault="00855069" w:rsidP="00855069">
      <w:pPr>
        <w:numPr>
          <w:ilvl w:val="0"/>
          <w:numId w:val="47"/>
        </w:numPr>
      </w:pPr>
      <w:r w:rsidRPr="00240B61">
        <w:t>Lighting power savings for the retrofit technologies is the difference between their direct power draw and that of the T8/HO.</w:t>
      </w:r>
    </w:p>
    <w:p w14:paraId="2B4FD3FA" w14:textId="77777777" w:rsidR="00855069" w:rsidRPr="00240B61" w:rsidRDefault="00855069" w:rsidP="00855069">
      <w:pPr>
        <w:ind w:left="720"/>
      </w:pPr>
    </w:p>
    <w:p w14:paraId="3083DE56" w14:textId="77777777" w:rsidR="00855069" w:rsidRPr="00240B61" w:rsidRDefault="00855069" w:rsidP="00855069">
      <w:pPr>
        <w:ind w:left="720"/>
      </w:pPr>
      <w:r w:rsidRPr="00240B61">
        <w:rPr>
          <w:position w:val="-14"/>
        </w:rPr>
        <w:object w:dxaOrig="3015" w:dyaOrig="345" w14:anchorId="2B044970">
          <v:shape id="_x0000_i1027" type="#_x0000_t75" style="width:150pt;height:17.4pt" o:ole="">
            <v:imagedata r:id="rId15" o:title=""/>
          </v:shape>
          <o:OLEObject Type="Embed" ProgID="Equation.3" ShapeID="_x0000_i1027" DrawAspect="Content" ObjectID="_1548158088" r:id="rId16"/>
        </w:object>
      </w:r>
    </w:p>
    <w:p w14:paraId="4DF54BC7" w14:textId="77777777" w:rsidR="00855069" w:rsidRPr="00240B61" w:rsidRDefault="00855069" w:rsidP="00855069">
      <w:pPr>
        <w:ind w:left="720"/>
      </w:pPr>
      <w:r w:rsidRPr="00240B61">
        <w:t>where</w:t>
      </w:r>
    </w:p>
    <w:p w14:paraId="5668F685" w14:textId="77777777" w:rsidR="00855069" w:rsidRPr="00240B61" w:rsidRDefault="00855069" w:rsidP="00855069">
      <w:pPr>
        <w:ind w:left="720"/>
      </w:pPr>
      <w:r w:rsidRPr="00240B61">
        <w:sym w:font="Symbol" w:char="F044"/>
      </w:r>
      <w:r w:rsidRPr="00240B61">
        <w:t>kW</w:t>
      </w:r>
      <w:r w:rsidRPr="00240B61">
        <w:rPr>
          <w:vertAlign w:val="subscript"/>
        </w:rPr>
        <w:t>lighting</w:t>
      </w:r>
      <w:r w:rsidRPr="00240B61">
        <w:t xml:space="preserve"> = lighting power savings, kW/door</w:t>
      </w:r>
    </w:p>
    <w:p w14:paraId="13C6355E" w14:textId="77777777" w:rsidR="00855069" w:rsidRPr="00240B61" w:rsidRDefault="00855069" w:rsidP="00855069">
      <w:pPr>
        <w:ind w:left="720"/>
      </w:pPr>
    </w:p>
    <w:p w14:paraId="35FA23F3" w14:textId="20A5A946" w:rsidR="00855069" w:rsidRPr="00240B61" w:rsidRDefault="00855069" w:rsidP="00855069">
      <w:pPr>
        <w:numPr>
          <w:ilvl w:val="0"/>
          <w:numId w:val="47"/>
        </w:numPr>
      </w:pPr>
      <w:r w:rsidRPr="00240B61">
        <w:t xml:space="preserve">Lighting energy savings is the product of power savings and run time.  Many supermarkets and other stores turn their case lighting systems off at night when the stores are closed or when shopper traffic is light.  This will impact both the lighting and refrigeration energy use.  It is assumed that lights are turned </w:t>
      </w:r>
      <w:r w:rsidRPr="00432DCD">
        <w:t>on for 1</w:t>
      </w:r>
      <w:r w:rsidR="00564ED3">
        <w:t>2</w:t>
      </w:r>
      <w:r w:rsidRPr="00432DCD">
        <w:t>.</w:t>
      </w:r>
      <w:r w:rsidR="00564ED3">
        <w:t>9</w:t>
      </w:r>
      <w:r w:rsidRPr="00432DCD">
        <w:t xml:space="preserve"> hours each day (or </w:t>
      </w:r>
      <w:r w:rsidR="009A13D7">
        <w:t>4,710</w:t>
      </w:r>
      <w:r w:rsidRPr="00432DCD">
        <w:t xml:space="preserve"> hours per year) </w:t>
      </w:r>
      <w:r w:rsidR="00D879FA">
        <w:t>[386]</w:t>
      </w:r>
      <w:r w:rsidRPr="00432DCD">
        <w:t>.</w:t>
      </w:r>
      <w:r w:rsidRPr="00432DCD">
        <w:rPr>
          <w:vertAlign w:val="superscript"/>
        </w:rPr>
        <w:t xml:space="preserve"> </w:t>
      </w:r>
      <w:r w:rsidRPr="00432DCD">
        <w:t>This</w:t>
      </w:r>
      <w:r w:rsidRPr="00240B61">
        <w:t xml:space="preserve"> value comes from DEER. </w:t>
      </w:r>
    </w:p>
    <w:p w14:paraId="58420215" w14:textId="77777777" w:rsidR="00855069" w:rsidRPr="00240B61" w:rsidRDefault="00855069" w:rsidP="00855069"/>
    <w:p w14:paraId="7756D38A" w14:textId="77777777" w:rsidR="00855069" w:rsidRPr="00240B61" w:rsidRDefault="0084662C" w:rsidP="00855069">
      <w:pPr>
        <w:ind w:left="720"/>
      </w:pPr>
      <w:r w:rsidRPr="00987221">
        <w:rPr>
          <w:position w:val="-28"/>
        </w:rPr>
        <w:object w:dxaOrig="3600" w:dyaOrig="660" w14:anchorId="5E821804">
          <v:shape id="_x0000_i1028" type="#_x0000_t75" style="width:178.8pt;height:36pt" o:ole="">
            <v:imagedata r:id="rId17" o:title=""/>
          </v:shape>
          <o:OLEObject Type="Embed" ProgID="Equation.3" ShapeID="_x0000_i1028" DrawAspect="Content" ObjectID="_1548158089" r:id="rId18"/>
        </w:object>
      </w:r>
    </w:p>
    <w:p w14:paraId="58FE5542" w14:textId="77777777" w:rsidR="00855069" w:rsidRPr="00240B61" w:rsidRDefault="00855069" w:rsidP="00855069">
      <w:pPr>
        <w:ind w:left="720"/>
      </w:pPr>
      <w:r w:rsidRPr="00240B61">
        <w:t>where</w:t>
      </w:r>
    </w:p>
    <w:p w14:paraId="3019B632" w14:textId="77777777" w:rsidR="00855069" w:rsidRPr="00240B61" w:rsidRDefault="00855069" w:rsidP="00855069">
      <w:pPr>
        <w:ind w:left="720"/>
      </w:pPr>
    </w:p>
    <w:p w14:paraId="656F613F" w14:textId="77777777" w:rsidR="00855069" w:rsidRPr="00240B61" w:rsidRDefault="00855069" w:rsidP="00855069">
      <w:pPr>
        <w:ind w:left="720"/>
      </w:pPr>
      <w:r w:rsidRPr="00240B61">
        <w:sym w:font="Symbol" w:char="F044"/>
      </w:r>
      <w:r w:rsidRPr="00240B61">
        <w:t>kWh</w:t>
      </w:r>
      <w:r w:rsidRPr="00240B61">
        <w:rPr>
          <w:vertAlign w:val="subscript"/>
        </w:rPr>
        <w:t>lighting</w:t>
      </w:r>
      <w:r w:rsidRPr="00240B61">
        <w:t xml:space="preserve"> = annual lighting energy savings, kWh/door/year</w:t>
      </w:r>
    </w:p>
    <w:p w14:paraId="7CF299DB" w14:textId="77777777" w:rsidR="00855069" w:rsidRPr="00240B61" w:rsidRDefault="00855069" w:rsidP="00855069">
      <w:pPr>
        <w:ind w:left="720"/>
      </w:pPr>
    </w:p>
    <w:p w14:paraId="02055CF3" w14:textId="77777777" w:rsidR="00855069" w:rsidRDefault="00855069" w:rsidP="00855069">
      <w:pPr>
        <w:rPr>
          <w:b/>
          <w:u w:val="single"/>
        </w:rPr>
      </w:pPr>
      <w:r w:rsidRPr="00240B61">
        <w:rPr>
          <w:b/>
          <w:u w:val="single"/>
        </w:rPr>
        <w:t>Cooling Load Calculation</w:t>
      </w:r>
    </w:p>
    <w:p w14:paraId="001BA136" w14:textId="77777777" w:rsidR="002A216B" w:rsidRPr="00240B61" w:rsidRDefault="002A216B" w:rsidP="00855069">
      <w:pPr>
        <w:rPr>
          <w:b/>
          <w:u w:val="single"/>
        </w:rPr>
      </w:pPr>
    </w:p>
    <w:p w14:paraId="22CB8975" w14:textId="77777777" w:rsidR="00855069" w:rsidRDefault="00855069" w:rsidP="00855069">
      <w:pPr>
        <w:numPr>
          <w:ilvl w:val="0"/>
          <w:numId w:val="47"/>
        </w:numPr>
      </w:pPr>
      <w:r w:rsidRPr="00240B61">
        <w:t>Heat generated by the lighting system results in additional cooling load on the refrigeration system.  Because of the different equipment present in the lighting systems, each has its own equation for determining the cooling load.</w:t>
      </w:r>
    </w:p>
    <w:p w14:paraId="3F043CC7" w14:textId="77777777" w:rsidR="002A216B" w:rsidRPr="00240B61" w:rsidRDefault="002A216B" w:rsidP="002A216B">
      <w:pPr>
        <w:ind w:left="720"/>
      </w:pPr>
    </w:p>
    <w:p w14:paraId="7565034D" w14:textId="0E5BA69E" w:rsidR="00855069" w:rsidRPr="00972B47" w:rsidRDefault="00855069" w:rsidP="00855069">
      <w:pPr>
        <w:numPr>
          <w:ilvl w:val="1"/>
          <w:numId w:val="47"/>
        </w:numPr>
      </w:pPr>
      <w:r w:rsidRPr="00240B61">
        <w:t>For T8/HO fluorescent, some heat is dissipated by the ballast, which is located outside the refrigerated space. The ballast efficiency factor (BEF) accounts for the ratio of output to input power of the ballast. A typical value for BEF is 0.89. Fluorescent lamps become less efficient at lower temperatures. However, this factor varies for different types of lamps and between manufacturers. There is uncertainty regarding the operating temperature inside the lens/jacket surrounding the lamp, but it is believed to be close to the 70</w:t>
      </w:r>
      <w:r w:rsidRPr="00240B61">
        <w:sym w:font="Symbol" w:char="F0B0"/>
      </w:r>
      <w:r w:rsidRPr="00240B61">
        <w:t>F temperature used to test lamps.  Therefore, k</w:t>
      </w:r>
      <w:r w:rsidRPr="00240B61">
        <w:rPr>
          <w:vertAlign w:val="subscript"/>
        </w:rPr>
        <w:t>temp</w:t>
      </w:r>
      <w:r w:rsidRPr="00240B61">
        <w:t xml:space="preserve"> is assumed to be 1. It is assumed that 7</w:t>
      </w:r>
      <w:r w:rsidR="00432DCD">
        <w:t>0</w:t>
      </w:r>
      <w:r w:rsidRPr="00240B61">
        <w:t xml:space="preserve">% of the power fed into the lamp is converted </w:t>
      </w:r>
      <w:r w:rsidRPr="00972B47">
        <w:t xml:space="preserve">to heat </w:t>
      </w:r>
      <w:r w:rsidR="00D879FA">
        <w:t>[485]</w:t>
      </w:r>
      <w:r w:rsidRPr="00972B47">
        <w:t xml:space="preserve">. </w:t>
      </w:r>
    </w:p>
    <w:p w14:paraId="3F3CA1DA" w14:textId="77777777" w:rsidR="00855069" w:rsidRPr="00240B61" w:rsidRDefault="00855069" w:rsidP="00855069"/>
    <w:p w14:paraId="1419EBDC" w14:textId="77777777" w:rsidR="00855069" w:rsidRPr="00240B61" w:rsidRDefault="006A60A6" w:rsidP="00855069">
      <w:pPr>
        <w:ind w:left="720" w:firstLine="720"/>
      </w:pPr>
      <m:oMath>
        <m:sSub>
          <m:sSubPr>
            <m:ctrlPr>
              <w:rPr>
                <w:rFonts w:ascii="Cambria Math" w:hAnsi="Cambria Math"/>
                <w:i/>
                <w:szCs w:val="22"/>
              </w:rPr>
            </m:ctrlPr>
          </m:sSubPr>
          <m:e>
            <m:acc>
              <m:accPr>
                <m:chr m:val="̇"/>
                <m:ctrlPr>
                  <w:rPr>
                    <w:rFonts w:ascii="Cambria Math" w:hAnsi="Cambria Math"/>
                    <w:i/>
                    <w:szCs w:val="22"/>
                  </w:rPr>
                </m:ctrlPr>
              </m:accPr>
              <m:e>
                <m:r>
                  <w:rPr>
                    <w:rFonts w:ascii="Cambria Math" w:hAnsi="Cambria Math"/>
                  </w:rPr>
                  <m:t>Q</m:t>
                </m:r>
              </m:e>
            </m:acc>
          </m:e>
          <m:sub>
            <m:r>
              <w:rPr>
                <w:rFonts w:ascii="Cambria Math" w:hAnsi="Cambria Math"/>
              </w:rPr>
              <m:t>T8/HO</m:t>
            </m:r>
          </m:sub>
        </m:sSub>
        <m:r>
          <w:rPr>
            <w:rFonts w:ascii="Cambria Math" w:hAnsi="Cambria Math"/>
          </w:rPr>
          <m:t>=</m:t>
        </m:r>
        <m:sSub>
          <m:sSubPr>
            <m:ctrlPr>
              <w:rPr>
                <w:rFonts w:ascii="Cambria Math" w:hAnsi="Cambria Math"/>
                <w:i/>
                <w:szCs w:val="22"/>
              </w:rPr>
            </m:ctrlPr>
          </m:sSubPr>
          <m:e>
            <m:r>
              <w:rPr>
                <w:rFonts w:ascii="Cambria Math" w:hAnsi="Cambria Math"/>
              </w:rPr>
              <m:t>kW</m:t>
            </m:r>
          </m:e>
          <m:sub>
            <m:r>
              <w:rPr>
                <w:rFonts w:ascii="Cambria Math" w:hAnsi="Cambria Math"/>
              </w:rPr>
              <m:t>T8/HO</m:t>
            </m:r>
          </m:sub>
        </m:sSub>
        <m:r>
          <w:rPr>
            <w:rFonts w:ascii="Cambria Math" w:hAnsi="Cambria Math"/>
          </w:rPr>
          <m:t xml:space="preserve"> x BEF x </m:t>
        </m:r>
        <m:sSub>
          <m:sSubPr>
            <m:ctrlPr>
              <w:rPr>
                <w:rFonts w:ascii="Cambria Math" w:hAnsi="Cambria Math"/>
                <w:i/>
                <w:szCs w:val="22"/>
              </w:rPr>
            </m:ctrlPr>
          </m:sSubPr>
          <m:e>
            <m:r>
              <w:rPr>
                <w:rFonts w:ascii="Cambria Math" w:hAnsi="Cambria Math"/>
              </w:rPr>
              <m:t>k</m:t>
            </m:r>
          </m:e>
          <m:sub>
            <m:r>
              <w:rPr>
                <w:rFonts w:ascii="Cambria Math" w:hAnsi="Cambria Math"/>
              </w:rPr>
              <m:t xml:space="preserve">temp </m:t>
            </m:r>
          </m:sub>
        </m:sSub>
        <m:r>
          <w:rPr>
            <w:rFonts w:ascii="Cambria Math" w:hAnsi="Cambria Math"/>
          </w:rPr>
          <m:t xml:space="preserve">x </m:t>
        </m:r>
        <m:sSub>
          <m:sSubPr>
            <m:ctrlPr>
              <w:rPr>
                <w:rFonts w:ascii="Cambria Math" w:hAnsi="Cambria Math"/>
                <w:i/>
                <w:szCs w:val="22"/>
              </w:rPr>
            </m:ctrlPr>
          </m:sSubPr>
          <m:e>
            <m:r>
              <w:rPr>
                <w:rFonts w:ascii="Cambria Math" w:hAnsi="Cambria Math"/>
              </w:rPr>
              <m:t>k</m:t>
            </m:r>
          </m:e>
          <m:sub>
            <m:r>
              <w:rPr>
                <w:rFonts w:ascii="Cambria Math" w:hAnsi="Cambria Math"/>
              </w:rPr>
              <m:t>lamp heat</m:t>
            </m:r>
          </m:sub>
        </m:sSub>
        <m:r>
          <w:rPr>
            <w:rFonts w:ascii="Cambria Math" w:hAnsi="Cambria Math"/>
          </w:rPr>
          <m:t xml:space="preserve"> x 3,413</m:t>
        </m:r>
        <m:f>
          <m:fPr>
            <m:ctrlPr>
              <w:rPr>
                <w:rFonts w:ascii="Cambria Math" w:hAnsi="Cambria Math"/>
                <w:i/>
                <w:szCs w:val="22"/>
              </w:rPr>
            </m:ctrlPr>
          </m:fPr>
          <m:num>
            <m:r>
              <w:rPr>
                <w:rFonts w:ascii="Cambria Math" w:hAnsi="Cambria Math"/>
              </w:rPr>
              <m:t>Btu/hr</m:t>
            </m:r>
          </m:num>
          <m:den>
            <m:r>
              <w:rPr>
                <w:rFonts w:ascii="Cambria Math" w:hAnsi="Cambria Math"/>
              </w:rPr>
              <m:t>kW</m:t>
            </m:r>
          </m:den>
        </m:f>
      </m:oMath>
      <w:r w:rsidR="00855069" w:rsidRPr="00240B61">
        <w:t xml:space="preserve"> </w:t>
      </w:r>
    </w:p>
    <w:p w14:paraId="417A0B39" w14:textId="77777777" w:rsidR="00855069" w:rsidRPr="00240B61" w:rsidRDefault="00855069" w:rsidP="00855069">
      <w:pPr>
        <w:ind w:left="720" w:firstLine="720"/>
      </w:pPr>
    </w:p>
    <w:p w14:paraId="020D5B4F" w14:textId="77777777" w:rsidR="00855069" w:rsidRPr="00240B61" w:rsidRDefault="00855069" w:rsidP="00855069">
      <w:pPr>
        <w:ind w:left="720" w:firstLine="720"/>
      </w:pPr>
      <w:r w:rsidRPr="00240B61">
        <w:t>where</w:t>
      </w:r>
    </w:p>
    <w:p w14:paraId="557491C2" w14:textId="77777777" w:rsidR="00855069" w:rsidRPr="00240B61" w:rsidRDefault="00855069" w:rsidP="00855069">
      <w:pPr>
        <w:ind w:left="720" w:firstLine="720"/>
      </w:pPr>
      <w:r w:rsidRPr="00240B61">
        <w:t>Q</w:t>
      </w:r>
      <w:r w:rsidRPr="00240B61">
        <w:rPr>
          <w:vertAlign w:val="subscript"/>
        </w:rPr>
        <w:t>T8/HO</w:t>
      </w:r>
      <w:r w:rsidRPr="00240B61">
        <w:tab/>
      </w:r>
      <w:r w:rsidRPr="00240B61">
        <w:tab/>
        <w:t>= cooling load due to lighting system, Btu/hr/door</w:t>
      </w:r>
    </w:p>
    <w:p w14:paraId="740891D2" w14:textId="77777777" w:rsidR="00855069" w:rsidRPr="00240B61" w:rsidRDefault="00855069" w:rsidP="00855069">
      <w:pPr>
        <w:ind w:left="720" w:firstLine="720"/>
      </w:pPr>
      <w:r w:rsidRPr="00240B61">
        <w:t>BEF</w:t>
      </w:r>
      <w:r w:rsidRPr="00240B61">
        <w:tab/>
      </w:r>
      <w:r w:rsidRPr="00240B61">
        <w:tab/>
        <w:t>= ballast efficiency factor, 0.89 (typical)</w:t>
      </w:r>
    </w:p>
    <w:p w14:paraId="07CF2E09" w14:textId="77777777" w:rsidR="00855069" w:rsidRPr="00240B61" w:rsidRDefault="00855069" w:rsidP="00855069">
      <w:pPr>
        <w:ind w:left="720" w:firstLine="720"/>
      </w:pPr>
      <w:r w:rsidRPr="00240B61">
        <w:t>k</w:t>
      </w:r>
      <w:r w:rsidRPr="00240B61">
        <w:rPr>
          <w:vertAlign w:val="subscript"/>
        </w:rPr>
        <w:t>temp</w:t>
      </w:r>
      <w:r w:rsidRPr="00240B61">
        <w:tab/>
      </w:r>
      <w:r w:rsidRPr="00240B61">
        <w:tab/>
        <w:t>= temperature correction factor, 1.0 (assumed)</w:t>
      </w:r>
    </w:p>
    <w:p w14:paraId="3225D5C7" w14:textId="77777777" w:rsidR="00855069" w:rsidRPr="00240B61" w:rsidRDefault="00855069" w:rsidP="00855069">
      <w:pPr>
        <w:ind w:left="720" w:firstLine="720"/>
      </w:pPr>
      <w:r w:rsidRPr="00240B61">
        <w:t>k</w:t>
      </w:r>
      <w:r w:rsidRPr="00240B61">
        <w:rPr>
          <w:vertAlign w:val="subscript"/>
        </w:rPr>
        <w:t>lamp heat</w:t>
      </w:r>
      <w:r w:rsidRPr="00240B61">
        <w:tab/>
      </w:r>
      <w:r>
        <w:tab/>
      </w:r>
      <w:r w:rsidRPr="00240B61">
        <w:t>= lamp heat factor, 0.79 (typical)</w:t>
      </w:r>
    </w:p>
    <w:p w14:paraId="70870A35" w14:textId="77777777" w:rsidR="00855069" w:rsidRPr="00240B61" w:rsidRDefault="00855069" w:rsidP="00855069">
      <w:pPr>
        <w:ind w:left="720" w:firstLine="720"/>
      </w:pPr>
    </w:p>
    <w:p w14:paraId="079F8812" w14:textId="28D7C5A6" w:rsidR="00855069" w:rsidRPr="00972B47" w:rsidRDefault="00855069" w:rsidP="00855069">
      <w:pPr>
        <w:numPr>
          <w:ilvl w:val="1"/>
          <w:numId w:val="47"/>
        </w:numPr>
      </w:pPr>
      <w:r w:rsidRPr="00240B61">
        <w:t xml:space="preserve">For LED, some heat is dissipated by the power supply, which is located outside the refrigerated space.  It is assumed that 80% of the total lighting power is converted to heat inside the case </w:t>
      </w:r>
      <w:r w:rsidR="00657715">
        <w:t>[28]</w:t>
      </w:r>
      <w:r w:rsidRPr="00972B47">
        <w:t>.</w:t>
      </w:r>
    </w:p>
    <w:p w14:paraId="0E33D4E9" w14:textId="77777777" w:rsidR="00855069" w:rsidRPr="00240B61" w:rsidRDefault="00855069" w:rsidP="00855069">
      <w:pPr>
        <w:ind w:left="1080" w:firstLine="360"/>
      </w:pPr>
    </w:p>
    <w:p w14:paraId="757BB539" w14:textId="77777777" w:rsidR="00855069" w:rsidRPr="00240B61" w:rsidRDefault="00855069" w:rsidP="00855069">
      <w:pPr>
        <w:ind w:left="1080" w:firstLine="360"/>
      </w:pPr>
      <w:r w:rsidRPr="00240B61">
        <w:rPr>
          <w:position w:val="-24"/>
        </w:rPr>
        <w:object w:dxaOrig="3525" w:dyaOrig="630" w14:anchorId="3FE0327C">
          <v:shape id="_x0000_i1029" type="#_x0000_t75" style="width:174pt;height:30pt" o:ole="">
            <v:imagedata r:id="rId19" o:title=""/>
          </v:shape>
          <o:OLEObject Type="Embed" ProgID="Equation.DSMT4" ShapeID="_x0000_i1029" DrawAspect="Content" ObjectID="_1548158090" r:id="rId20"/>
        </w:object>
      </w:r>
    </w:p>
    <w:p w14:paraId="25E44FF5" w14:textId="77777777" w:rsidR="00855069" w:rsidRPr="00240B61" w:rsidRDefault="00855069" w:rsidP="00855069">
      <w:pPr>
        <w:ind w:left="720" w:firstLine="720"/>
      </w:pPr>
      <w:r w:rsidRPr="00240B61">
        <w:t>where</w:t>
      </w:r>
    </w:p>
    <w:p w14:paraId="42DC3468" w14:textId="77777777" w:rsidR="00855069" w:rsidRPr="00240B61" w:rsidRDefault="00855069" w:rsidP="00855069">
      <w:pPr>
        <w:ind w:left="720" w:firstLine="720"/>
      </w:pPr>
      <w:r w:rsidRPr="00240B61">
        <w:t>Q</w:t>
      </w:r>
      <w:r w:rsidRPr="00240B61">
        <w:rPr>
          <w:vertAlign w:val="subscript"/>
        </w:rPr>
        <w:t>LED</w:t>
      </w:r>
      <w:r w:rsidRPr="00240B61">
        <w:tab/>
      </w:r>
      <w:r w:rsidRPr="00240B61">
        <w:tab/>
        <w:t>= cooling load due to lighting system, Btu/hr/door</w:t>
      </w:r>
    </w:p>
    <w:p w14:paraId="14D361C9" w14:textId="77777777" w:rsidR="00855069" w:rsidRPr="00240B61" w:rsidRDefault="00855069" w:rsidP="00855069">
      <w:pPr>
        <w:ind w:left="720" w:firstLine="720"/>
      </w:pPr>
      <w:r w:rsidRPr="00240B61">
        <w:t>k</w:t>
      </w:r>
      <w:r w:rsidRPr="00240B61">
        <w:rPr>
          <w:vertAlign w:val="subscript"/>
        </w:rPr>
        <w:t>lamp heat</w:t>
      </w:r>
      <w:r w:rsidRPr="00240B61">
        <w:tab/>
      </w:r>
      <w:r>
        <w:tab/>
      </w:r>
      <w:r w:rsidRPr="00240B61">
        <w:t>= lamp heat factor, 0.80 (typical)</w:t>
      </w:r>
    </w:p>
    <w:p w14:paraId="0C5B13FF" w14:textId="77777777" w:rsidR="00855069" w:rsidRPr="00240B61" w:rsidRDefault="00855069" w:rsidP="00855069"/>
    <w:p w14:paraId="1D1AC50D" w14:textId="77777777" w:rsidR="00855069" w:rsidRPr="00240B61" w:rsidRDefault="00855069" w:rsidP="00855069">
      <w:pPr>
        <w:numPr>
          <w:ilvl w:val="0"/>
          <w:numId w:val="47"/>
        </w:numPr>
      </w:pPr>
      <w:r w:rsidRPr="00240B61">
        <w:t>The change in lighting cooling load from T8 to each retrofit technology is quantified as the difference in measured cooling load between the two scenarios.</w:t>
      </w:r>
    </w:p>
    <w:p w14:paraId="27064C08" w14:textId="77777777" w:rsidR="00855069" w:rsidRPr="00240B61" w:rsidRDefault="00855069" w:rsidP="00855069"/>
    <w:p w14:paraId="379F8D3F" w14:textId="77777777" w:rsidR="00855069" w:rsidRPr="00240B61" w:rsidRDefault="00855069" w:rsidP="00855069">
      <w:pPr>
        <w:ind w:left="720"/>
      </w:pPr>
      <w:r w:rsidRPr="00240B61">
        <w:t>∆Q = Q</w:t>
      </w:r>
      <w:r w:rsidRPr="00240B61">
        <w:rPr>
          <w:vertAlign w:val="subscript"/>
        </w:rPr>
        <w:t>T8/HO</w:t>
      </w:r>
      <w:r w:rsidRPr="00240B61">
        <w:t xml:space="preserve"> – Q</w:t>
      </w:r>
      <w:r w:rsidRPr="00240B61">
        <w:rPr>
          <w:vertAlign w:val="subscript"/>
        </w:rPr>
        <w:t>LED</w:t>
      </w:r>
    </w:p>
    <w:p w14:paraId="7EFA8885" w14:textId="77777777" w:rsidR="00855069" w:rsidRPr="00240B61" w:rsidRDefault="00855069" w:rsidP="00855069">
      <w:pPr>
        <w:ind w:left="720"/>
      </w:pPr>
    </w:p>
    <w:p w14:paraId="6C543FF7" w14:textId="77777777" w:rsidR="00855069" w:rsidRPr="00240B61" w:rsidRDefault="00855069" w:rsidP="00855069">
      <w:pPr>
        <w:ind w:left="720"/>
      </w:pPr>
      <w:r w:rsidRPr="00240B61">
        <w:t>where</w:t>
      </w:r>
    </w:p>
    <w:p w14:paraId="7726C510" w14:textId="77777777" w:rsidR="00855069" w:rsidRPr="00240B61" w:rsidRDefault="00855069" w:rsidP="00855069">
      <w:pPr>
        <w:ind w:left="720"/>
      </w:pPr>
      <w:r w:rsidRPr="00240B61">
        <w:sym w:font="Symbol" w:char="F044"/>
      </w:r>
      <w:r w:rsidRPr="00240B61">
        <w:t>Q = change in lighting cooling load, Btu/hr/door</w:t>
      </w:r>
    </w:p>
    <w:p w14:paraId="4BFA8380" w14:textId="77777777" w:rsidR="0089118E" w:rsidRPr="00240B61" w:rsidRDefault="00855069" w:rsidP="00855069">
      <w:pPr>
        <w:pStyle w:val="Caption"/>
        <w:jc w:val="center"/>
      </w:pPr>
      <w:r w:rsidRPr="00240B61">
        <w:fldChar w:fldCharType="begin"/>
      </w:r>
      <w:r w:rsidRPr="00240B61">
        <w:instrText xml:space="preserve"> REF _Ref181435431 \h  \* MERGEFORMAT </w:instrText>
      </w:r>
      <w:r w:rsidRPr="00240B61">
        <w:fldChar w:fldCharType="separate"/>
      </w:r>
    </w:p>
    <w:p w14:paraId="5EDF3AE4" w14:textId="47006512" w:rsidR="00855069" w:rsidRPr="002A216B" w:rsidRDefault="00855069" w:rsidP="00855069">
      <w:pPr>
        <w:numPr>
          <w:ilvl w:val="0"/>
          <w:numId w:val="47"/>
        </w:numPr>
      </w:pPr>
      <w:r w:rsidRPr="00240B61">
        <w:fldChar w:fldCharType="end"/>
      </w:r>
      <w:r w:rsidR="002A216B">
        <w:t>Table</w:t>
      </w:r>
      <w:r>
        <w:t xml:space="preserve"> below</w:t>
      </w:r>
      <w:r w:rsidRPr="00240B61">
        <w:t xml:space="preserve"> contains a summary of all power, energy and cooling load values calculated thus far in the analysis. Summary for other measures can be found in </w:t>
      </w:r>
      <w:r w:rsidR="0095402D">
        <w:t>A</w:t>
      </w:r>
      <w:r w:rsidRPr="002A216B">
        <w:t xml:space="preserve">ttachments </w:t>
      </w:r>
      <w:r w:rsidR="0095402D">
        <w:t>6, 7, and 8</w:t>
      </w:r>
      <w:r w:rsidR="002A216B" w:rsidRPr="002A216B">
        <w:t>.</w:t>
      </w:r>
    </w:p>
    <w:p w14:paraId="34E32461" w14:textId="77777777" w:rsidR="00855069" w:rsidRPr="00240B61" w:rsidRDefault="00855069" w:rsidP="00855069">
      <w:pPr>
        <w:pStyle w:val="Caption"/>
        <w:jc w:val="center"/>
      </w:pPr>
      <w:bookmarkStart w:id="18" w:name="_Toc221704815"/>
      <w:bookmarkStart w:id="19" w:name="_Ref181435431"/>
    </w:p>
    <w:bookmarkEnd w:id="18"/>
    <w:bookmarkEnd w:id="19"/>
    <w:p w14:paraId="6FA726CC" w14:textId="77777777" w:rsidR="00855069" w:rsidRDefault="00855069" w:rsidP="00855069">
      <w:pPr>
        <w:pStyle w:val="Caption"/>
        <w:keepNext/>
        <w:rPr>
          <w:szCs w:val="22"/>
        </w:rPr>
      </w:pPr>
    </w:p>
    <w:p w14:paraId="08F77821" w14:textId="13DBBB25" w:rsidR="00855069" w:rsidRPr="00855069" w:rsidRDefault="00855069" w:rsidP="00855069">
      <w:pPr>
        <w:pStyle w:val="Caption"/>
        <w:keepNext/>
        <w:rPr>
          <w:rFonts w:cstheme="minorHAnsi"/>
          <w:szCs w:val="22"/>
        </w:rPr>
      </w:pPr>
      <w:r w:rsidRPr="00855069">
        <w:rPr>
          <w:rFonts w:cstheme="minorHAnsi"/>
          <w:szCs w:val="22"/>
        </w:rPr>
        <w:t>Summary of direct power, energy and cooling load calculations for 5-foot T8 base case</w:t>
      </w:r>
    </w:p>
    <w:tbl>
      <w:tblPr>
        <w:tblStyle w:val="TableGrid1"/>
        <w:tblW w:w="5000" w:type="pct"/>
        <w:tblLook w:val="01E0" w:firstRow="1" w:lastRow="1" w:firstColumn="1" w:lastColumn="1" w:noHBand="0" w:noVBand="0"/>
      </w:tblPr>
      <w:tblGrid>
        <w:gridCol w:w="2694"/>
        <w:gridCol w:w="3600"/>
        <w:gridCol w:w="3056"/>
      </w:tblGrid>
      <w:tr w:rsidR="00855069" w:rsidRPr="00920905" w14:paraId="63FEE912" w14:textId="77777777" w:rsidTr="00130C79">
        <w:tc>
          <w:tcPr>
            <w:tcW w:w="1441" w:type="pct"/>
            <w:shd w:val="clear" w:color="auto" w:fill="D9D9D9" w:themeFill="background1" w:themeFillShade="D9"/>
            <w:vAlign w:val="center"/>
          </w:tcPr>
          <w:p w14:paraId="2C91DA91" w14:textId="41F55893" w:rsidR="00855069" w:rsidRPr="00920905" w:rsidRDefault="00855069" w:rsidP="00855069">
            <w:pPr>
              <w:jc w:val="center"/>
              <w:rPr>
                <w:rFonts w:cstheme="minorHAnsi"/>
                <w:b/>
                <w:szCs w:val="20"/>
              </w:rPr>
            </w:pPr>
            <w:r w:rsidRPr="00240B61">
              <w:rPr>
                <w:b/>
                <w:bCs/>
                <w:szCs w:val="20"/>
              </w:rPr>
              <w:t>Key Parameters</w:t>
            </w:r>
          </w:p>
        </w:tc>
        <w:tc>
          <w:tcPr>
            <w:tcW w:w="1925" w:type="pct"/>
            <w:shd w:val="clear" w:color="auto" w:fill="D9D9D9" w:themeFill="background1" w:themeFillShade="D9"/>
            <w:vAlign w:val="center"/>
          </w:tcPr>
          <w:p w14:paraId="727AC371" w14:textId="37C4D111" w:rsidR="00855069" w:rsidRPr="00920905" w:rsidRDefault="00855069" w:rsidP="00855069">
            <w:pPr>
              <w:jc w:val="center"/>
              <w:rPr>
                <w:rFonts w:cstheme="minorHAnsi"/>
                <w:b/>
                <w:szCs w:val="20"/>
              </w:rPr>
            </w:pPr>
            <w:r w:rsidRPr="00240B61">
              <w:rPr>
                <w:b/>
                <w:bCs/>
                <w:szCs w:val="20"/>
              </w:rPr>
              <w:t>5-foot T8 Fluorescent</w:t>
            </w:r>
          </w:p>
        </w:tc>
        <w:tc>
          <w:tcPr>
            <w:tcW w:w="1634" w:type="pct"/>
            <w:shd w:val="clear" w:color="auto" w:fill="D9D9D9" w:themeFill="background1" w:themeFillShade="D9"/>
            <w:vAlign w:val="center"/>
          </w:tcPr>
          <w:p w14:paraId="6AA8ACED" w14:textId="3EF219E3" w:rsidR="00855069" w:rsidRPr="00920905" w:rsidRDefault="00855069" w:rsidP="00855069">
            <w:pPr>
              <w:jc w:val="center"/>
              <w:rPr>
                <w:rFonts w:cstheme="minorHAnsi"/>
                <w:b/>
                <w:szCs w:val="20"/>
                <w:highlight w:val="yellow"/>
              </w:rPr>
            </w:pPr>
            <w:r w:rsidRPr="00240B61">
              <w:rPr>
                <w:b/>
                <w:bCs/>
                <w:szCs w:val="20"/>
              </w:rPr>
              <w:t>5-foot T8/HO Fluorescent</w:t>
            </w:r>
          </w:p>
        </w:tc>
      </w:tr>
      <w:tr w:rsidR="00855069" w:rsidRPr="00920905" w14:paraId="3DFDBC2C" w14:textId="77777777" w:rsidTr="00130C79">
        <w:tc>
          <w:tcPr>
            <w:tcW w:w="1441" w:type="pct"/>
            <w:vAlign w:val="bottom"/>
          </w:tcPr>
          <w:p w14:paraId="454043BC" w14:textId="3C5C2E83" w:rsidR="00855069" w:rsidRPr="00920905" w:rsidRDefault="00855069" w:rsidP="00855069">
            <w:pPr>
              <w:jc w:val="center"/>
              <w:rPr>
                <w:rFonts w:cstheme="minorHAnsi"/>
                <w:color w:val="FF0000"/>
                <w:szCs w:val="20"/>
              </w:rPr>
            </w:pPr>
            <w:r w:rsidRPr="00240B61">
              <w:rPr>
                <w:szCs w:val="20"/>
              </w:rPr>
              <w:t>Direct power (kW/lamp)</w:t>
            </w:r>
          </w:p>
        </w:tc>
        <w:tc>
          <w:tcPr>
            <w:tcW w:w="1925" w:type="pct"/>
            <w:vAlign w:val="center"/>
          </w:tcPr>
          <w:p w14:paraId="4D73683A" w14:textId="6255D52F" w:rsidR="00855069" w:rsidRPr="00920905" w:rsidRDefault="00432DCD" w:rsidP="00855069">
            <w:pPr>
              <w:jc w:val="center"/>
              <w:rPr>
                <w:rFonts w:cstheme="minorHAnsi"/>
                <w:color w:val="FF0000"/>
                <w:szCs w:val="20"/>
              </w:rPr>
            </w:pPr>
            <w:r>
              <w:rPr>
                <w:rFonts w:cs="Arial"/>
                <w:szCs w:val="20"/>
              </w:rPr>
              <w:t>0.036</w:t>
            </w:r>
          </w:p>
        </w:tc>
        <w:tc>
          <w:tcPr>
            <w:tcW w:w="1634" w:type="pct"/>
            <w:vAlign w:val="center"/>
          </w:tcPr>
          <w:p w14:paraId="5F72463F" w14:textId="2D21B159" w:rsidR="00855069" w:rsidRPr="00920905" w:rsidRDefault="00855069" w:rsidP="00855069">
            <w:pPr>
              <w:jc w:val="center"/>
              <w:rPr>
                <w:rFonts w:cstheme="minorHAnsi"/>
                <w:color w:val="FF0000"/>
                <w:szCs w:val="20"/>
              </w:rPr>
            </w:pPr>
            <w:r w:rsidRPr="00240B61">
              <w:rPr>
                <w:rFonts w:cs="Arial"/>
                <w:szCs w:val="20"/>
              </w:rPr>
              <w:t>0.0563</w:t>
            </w:r>
          </w:p>
        </w:tc>
      </w:tr>
      <w:tr w:rsidR="00855069" w:rsidRPr="00920905" w14:paraId="66F1A785" w14:textId="77777777" w:rsidTr="00130C79">
        <w:tc>
          <w:tcPr>
            <w:tcW w:w="1441" w:type="pct"/>
            <w:vAlign w:val="bottom"/>
          </w:tcPr>
          <w:p w14:paraId="4A28C34B" w14:textId="34FA511B" w:rsidR="00855069" w:rsidRPr="00920905" w:rsidRDefault="00855069" w:rsidP="00855069">
            <w:pPr>
              <w:jc w:val="center"/>
              <w:rPr>
                <w:rFonts w:cstheme="minorHAnsi"/>
                <w:color w:val="FF0000"/>
                <w:szCs w:val="20"/>
              </w:rPr>
            </w:pPr>
            <w:r w:rsidRPr="00240B61">
              <w:rPr>
                <w:szCs w:val="20"/>
              </w:rPr>
              <w:t>Direct power (kW/door)</w:t>
            </w:r>
          </w:p>
        </w:tc>
        <w:tc>
          <w:tcPr>
            <w:tcW w:w="1925" w:type="pct"/>
            <w:vAlign w:val="center"/>
          </w:tcPr>
          <w:p w14:paraId="18D8EFE3" w14:textId="68FD1918" w:rsidR="00855069" w:rsidRPr="00920905" w:rsidRDefault="00432DCD" w:rsidP="00855069">
            <w:pPr>
              <w:jc w:val="center"/>
              <w:rPr>
                <w:rFonts w:cstheme="minorHAnsi"/>
                <w:color w:val="FF0000"/>
                <w:szCs w:val="20"/>
              </w:rPr>
            </w:pPr>
            <w:r>
              <w:rPr>
                <w:rFonts w:cs="Arial"/>
                <w:szCs w:val="20"/>
              </w:rPr>
              <w:t>0.0432</w:t>
            </w:r>
          </w:p>
        </w:tc>
        <w:tc>
          <w:tcPr>
            <w:tcW w:w="1634" w:type="pct"/>
            <w:vAlign w:val="center"/>
          </w:tcPr>
          <w:p w14:paraId="5577908F" w14:textId="5B00DECC" w:rsidR="00855069" w:rsidRPr="00920905" w:rsidRDefault="00855069" w:rsidP="00855069">
            <w:pPr>
              <w:jc w:val="center"/>
              <w:rPr>
                <w:rFonts w:cstheme="minorHAnsi"/>
                <w:color w:val="FF0000"/>
                <w:szCs w:val="20"/>
              </w:rPr>
            </w:pPr>
            <w:r w:rsidRPr="00240B61">
              <w:rPr>
                <w:rFonts w:cs="Arial"/>
                <w:szCs w:val="20"/>
              </w:rPr>
              <w:t>0.0676</w:t>
            </w:r>
          </w:p>
        </w:tc>
      </w:tr>
      <w:tr w:rsidR="00855069" w:rsidRPr="00920905" w14:paraId="1DD42C1A" w14:textId="77777777" w:rsidTr="00130C79">
        <w:tc>
          <w:tcPr>
            <w:tcW w:w="1441" w:type="pct"/>
            <w:vAlign w:val="bottom"/>
          </w:tcPr>
          <w:p w14:paraId="5FB496E5" w14:textId="27F70BB9" w:rsidR="00855069" w:rsidRPr="00920905" w:rsidRDefault="00855069" w:rsidP="00855069">
            <w:pPr>
              <w:jc w:val="center"/>
              <w:rPr>
                <w:rFonts w:cstheme="minorHAnsi"/>
                <w:color w:val="FF0000"/>
                <w:szCs w:val="20"/>
              </w:rPr>
            </w:pPr>
            <w:r w:rsidRPr="00240B61">
              <w:rPr>
                <w:szCs w:val="20"/>
              </w:rPr>
              <w:t>Direct annual energy (kWh/door/year)*</w:t>
            </w:r>
          </w:p>
        </w:tc>
        <w:tc>
          <w:tcPr>
            <w:tcW w:w="1925" w:type="pct"/>
            <w:vAlign w:val="center"/>
          </w:tcPr>
          <w:p w14:paraId="2E0DB984" w14:textId="54155506" w:rsidR="00855069" w:rsidRPr="00920905" w:rsidRDefault="00432DCD" w:rsidP="00855069">
            <w:pPr>
              <w:jc w:val="center"/>
              <w:rPr>
                <w:rFonts w:cstheme="minorHAnsi"/>
                <w:color w:val="FF0000"/>
                <w:szCs w:val="20"/>
              </w:rPr>
            </w:pPr>
            <w:r>
              <w:rPr>
                <w:rFonts w:cs="Arial"/>
                <w:szCs w:val="20"/>
              </w:rPr>
              <w:t>210</w:t>
            </w:r>
          </w:p>
        </w:tc>
        <w:tc>
          <w:tcPr>
            <w:tcW w:w="1634" w:type="pct"/>
            <w:vAlign w:val="center"/>
          </w:tcPr>
          <w:p w14:paraId="5F92CD20" w14:textId="4539FA26" w:rsidR="00855069" w:rsidRPr="00920905" w:rsidRDefault="00432DCD" w:rsidP="00855069">
            <w:pPr>
              <w:jc w:val="center"/>
              <w:rPr>
                <w:rFonts w:cstheme="minorHAnsi"/>
                <w:color w:val="FF0000"/>
                <w:szCs w:val="20"/>
              </w:rPr>
            </w:pPr>
            <w:r>
              <w:rPr>
                <w:rFonts w:cs="Arial"/>
                <w:szCs w:val="20"/>
              </w:rPr>
              <w:t>328</w:t>
            </w:r>
          </w:p>
        </w:tc>
      </w:tr>
      <w:tr w:rsidR="00855069" w:rsidRPr="00920905" w14:paraId="70032D8A" w14:textId="77777777" w:rsidTr="00130C79">
        <w:tc>
          <w:tcPr>
            <w:tcW w:w="1441" w:type="pct"/>
            <w:vAlign w:val="bottom"/>
          </w:tcPr>
          <w:p w14:paraId="3B7F0BE1" w14:textId="37EDBBC1" w:rsidR="00855069" w:rsidRDefault="00855069" w:rsidP="00855069">
            <w:pPr>
              <w:jc w:val="center"/>
              <w:rPr>
                <w:szCs w:val="20"/>
              </w:rPr>
            </w:pPr>
            <w:r w:rsidRPr="00240B61">
              <w:rPr>
                <w:szCs w:val="20"/>
              </w:rPr>
              <w:t>Cooling load due to lighting system (Btu/hr/door)</w:t>
            </w:r>
          </w:p>
        </w:tc>
        <w:tc>
          <w:tcPr>
            <w:tcW w:w="1925" w:type="pct"/>
            <w:vAlign w:val="center"/>
          </w:tcPr>
          <w:p w14:paraId="13F7880A" w14:textId="2954EB42" w:rsidR="00855069" w:rsidRDefault="00432DCD" w:rsidP="00855069">
            <w:pPr>
              <w:jc w:val="center"/>
              <w:rPr>
                <w:szCs w:val="20"/>
              </w:rPr>
            </w:pPr>
            <w:r>
              <w:rPr>
                <w:rFonts w:cs="Arial"/>
                <w:szCs w:val="20"/>
              </w:rPr>
              <w:t>48</w:t>
            </w:r>
          </w:p>
        </w:tc>
        <w:tc>
          <w:tcPr>
            <w:tcW w:w="1634" w:type="pct"/>
            <w:vAlign w:val="center"/>
          </w:tcPr>
          <w:p w14:paraId="1A2A9E2F" w14:textId="48A61DC4" w:rsidR="00855069" w:rsidRDefault="00432DCD" w:rsidP="00855069">
            <w:pPr>
              <w:jc w:val="center"/>
              <w:rPr>
                <w:szCs w:val="20"/>
              </w:rPr>
            </w:pPr>
            <w:r>
              <w:rPr>
                <w:rFonts w:cs="Arial"/>
                <w:szCs w:val="20"/>
              </w:rPr>
              <w:t>74</w:t>
            </w:r>
          </w:p>
        </w:tc>
      </w:tr>
    </w:tbl>
    <w:p w14:paraId="5E88437C" w14:textId="77777777" w:rsidR="00855069" w:rsidRPr="00240B61" w:rsidRDefault="00855069" w:rsidP="00855069">
      <w:pPr>
        <w:rPr>
          <w:b/>
          <w:u w:val="single"/>
        </w:rPr>
      </w:pPr>
    </w:p>
    <w:p w14:paraId="57ABA702" w14:textId="77777777" w:rsidR="00855069" w:rsidRPr="00240B61" w:rsidRDefault="00855069" w:rsidP="00855069">
      <w:pPr>
        <w:rPr>
          <w:b/>
          <w:u w:val="single"/>
        </w:rPr>
      </w:pPr>
    </w:p>
    <w:p w14:paraId="6F32D011" w14:textId="77777777" w:rsidR="00855069" w:rsidRDefault="00855069" w:rsidP="00855069">
      <w:pPr>
        <w:rPr>
          <w:b/>
          <w:u w:val="single"/>
        </w:rPr>
      </w:pPr>
      <w:r w:rsidRPr="00240B61">
        <w:rPr>
          <w:b/>
          <w:u w:val="single"/>
        </w:rPr>
        <w:t>Compressor Efficiency</w:t>
      </w:r>
    </w:p>
    <w:p w14:paraId="1974A5B4" w14:textId="77777777" w:rsidR="008461C9" w:rsidRPr="00240B61" w:rsidRDefault="008461C9" w:rsidP="00855069">
      <w:pPr>
        <w:rPr>
          <w:b/>
          <w:u w:val="single"/>
        </w:rPr>
      </w:pPr>
    </w:p>
    <w:p w14:paraId="0B64FBF0" w14:textId="77777777" w:rsidR="00855069" w:rsidRPr="00240B61" w:rsidRDefault="00855069" w:rsidP="00855069">
      <w:r w:rsidRPr="00240B61">
        <w:t xml:space="preserve">Once the lighting cooling load was determined, the following steps were followed to determine the compressor power requirements and energy savings.  Because this work paper addresses lighting for several different types of equipment with various refrigeration system configurations, compressor analysis is </w:t>
      </w:r>
      <w:r w:rsidRPr="00240B61">
        <w:rPr>
          <w:i/>
        </w:rPr>
        <w:t>limited to the differential cooling load imposed by the lighting system, not the total cooling load</w:t>
      </w:r>
      <w:r w:rsidRPr="00240B61">
        <w:t xml:space="preserve"> </w:t>
      </w:r>
      <w:r w:rsidRPr="00240B61">
        <w:rPr>
          <w:i/>
        </w:rPr>
        <w:t>of a particular display case or walk-in box</w:t>
      </w:r>
      <w:r w:rsidRPr="00240B61">
        <w:t xml:space="preserve">.  Compressor analyses for two different types of refrigeration systems are included.  The first analysis focuses on smaller single-compressor systems typically seen in small convenience and grocery stores.  The second analysis deals with larger supermarket systems comprised of several multiplex compressors serving multiple refrigeration cases in the store. The differential compressor power requirements are based on calculated cooling load and energy-efficiency ratios (EER) obtained from manufacturers’ data, for the compressor sizes expected in each type of system.  </w:t>
      </w:r>
    </w:p>
    <w:p w14:paraId="3C21DF0F" w14:textId="77777777" w:rsidR="00855069" w:rsidRPr="00240B61" w:rsidRDefault="00855069" w:rsidP="00855069"/>
    <w:p w14:paraId="7A77171D" w14:textId="77777777" w:rsidR="00855069" w:rsidRPr="00240B61" w:rsidRDefault="00855069" w:rsidP="00855069">
      <w:pPr>
        <w:numPr>
          <w:ilvl w:val="0"/>
          <w:numId w:val="47"/>
        </w:numPr>
      </w:pPr>
      <w:r w:rsidRPr="00240B61">
        <w:t>Determine the saturated condensing temperature (</w:t>
      </w:r>
      <w:smartTag w:uri="urn:schemas-microsoft-com:office:smarttags" w:element="stockticker">
        <w:r w:rsidRPr="00240B61">
          <w:t>SCT</w:t>
        </w:r>
      </w:smartTag>
      <w:r w:rsidRPr="00240B61">
        <w:t>)</w:t>
      </w:r>
    </w:p>
    <w:p w14:paraId="45BEBD7A" w14:textId="77777777" w:rsidR="00855069" w:rsidRPr="00240B61" w:rsidRDefault="00855069" w:rsidP="00855069"/>
    <w:p w14:paraId="4177DA98" w14:textId="77777777" w:rsidR="00855069" w:rsidRPr="00240B61" w:rsidRDefault="00855069" w:rsidP="00855069">
      <w:pPr>
        <w:ind w:left="720"/>
      </w:pPr>
      <w:r w:rsidRPr="00240B61">
        <w:t>For medium temperature (MT):</w:t>
      </w:r>
      <w:r w:rsidRPr="00240B61">
        <w:tab/>
      </w:r>
      <w:r w:rsidRPr="00240B61">
        <w:rPr>
          <w:position w:val="-14"/>
        </w:rPr>
        <w:object w:dxaOrig="1740" w:dyaOrig="345" w14:anchorId="16FDA181">
          <v:shape id="_x0000_i1030" type="#_x0000_t75" style="width:89.4pt;height:17.4pt" o:ole="">
            <v:imagedata r:id="rId21" o:title=""/>
          </v:shape>
          <o:OLEObject Type="Embed" ProgID="Equation.3" ShapeID="_x0000_i1030" DrawAspect="Content" ObjectID="_1548158091" r:id="rId22"/>
        </w:object>
      </w:r>
    </w:p>
    <w:p w14:paraId="2E09DAED" w14:textId="77777777" w:rsidR="00855069" w:rsidRPr="00240B61" w:rsidRDefault="00855069" w:rsidP="00855069">
      <w:pPr>
        <w:ind w:left="720"/>
      </w:pPr>
    </w:p>
    <w:p w14:paraId="4B208A8B" w14:textId="77777777" w:rsidR="00855069" w:rsidRPr="00240B61" w:rsidRDefault="00855069" w:rsidP="00855069">
      <w:pPr>
        <w:ind w:left="720"/>
      </w:pPr>
      <w:r w:rsidRPr="00240B61">
        <w:t>For low temperature (LT):</w:t>
      </w:r>
      <w:r w:rsidRPr="00240B61">
        <w:tab/>
      </w:r>
      <w:r w:rsidRPr="00240B61">
        <w:rPr>
          <w:position w:val="-14"/>
        </w:rPr>
        <w:object w:dxaOrig="1755" w:dyaOrig="345" w14:anchorId="1B299F44">
          <v:shape id="_x0000_i1031" type="#_x0000_t75" style="width:84pt;height:17.4pt" o:ole="">
            <v:imagedata r:id="rId23" o:title=""/>
          </v:shape>
          <o:OLEObject Type="Embed" ProgID="Equation.3" ShapeID="_x0000_i1031" DrawAspect="Content" ObjectID="_1548158092" r:id="rId24"/>
        </w:object>
      </w:r>
    </w:p>
    <w:p w14:paraId="3A6FC52C" w14:textId="77777777" w:rsidR="00855069" w:rsidRPr="00240B61" w:rsidRDefault="00855069" w:rsidP="00855069">
      <w:pPr>
        <w:ind w:left="720"/>
      </w:pPr>
    </w:p>
    <w:p w14:paraId="6CEBF82E" w14:textId="77777777" w:rsidR="00855069" w:rsidRPr="00240B61" w:rsidRDefault="00855069" w:rsidP="00855069">
      <w:pPr>
        <w:ind w:left="720"/>
      </w:pPr>
      <w:r w:rsidRPr="00240B61">
        <w:t>where</w:t>
      </w:r>
    </w:p>
    <w:p w14:paraId="055B7050" w14:textId="1FF06842" w:rsidR="00EA7FFE" w:rsidRPr="00EA7FFE" w:rsidRDefault="00855069" w:rsidP="00EA7FFE">
      <w:pPr>
        <w:ind w:left="1620" w:hanging="900"/>
      </w:pPr>
      <w:r w:rsidRPr="00240B61">
        <w:t>DB</w:t>
      </w:r>
      <w:r w:rsidRPr="00240B61">
        <w:rPr>
          <w:vertAlign w:val="subscript"/>
        </w:rPr>
        <w:t>adj</w:t>
      </w:r>
      <w:r w:rsidRPr="00240B61">
        <w:tab/>
        <w:t>= dry-bulb temperature (</w:t>
      </w:r>
      <w:r w:rsidRPr="00240B61">
        <w:sym w:font="Symbol" w:char="F0B0"/>
      </w:r>
      <w:r w:rsidRPr="00240B61">
        <w:t>F) of ambient or adjacent space where the compressor/condensing units reside.  Defaults are based on climate zone design values in the table below.</w:t>
      </w:r>
    </w:p>
    <w:p w14:paraId="78EC7A80" w14:textId="77777777" w:rsidR="00855069" w:rsidRPr="00855069" w:rsidRDefault="00855069" w:rsidP="00855069"/>
    <w:p w14:paraId="2B3D086D" w14:textId="77777777" w:rsidR="00855069" w:rsidRPr="00240B61" w:rsidRDefault="00855069" w:rsidP="00855069">
      <w:pPr>
        <w:pStyle w:val="Caption"/>
        <w:rPr>
          <w:rFonts w:cstheme="minorHAnsi"/>
          <w:szCs w:val="22"/>
        </w:rPr>
      </w:pPr>
      <w:r w:rsidRPr="00240B61">
        <w:rPr>
          <w:rFonts w:cstheme="minorHAnsi"/>
          <w:szCs w:val="22"/>
        </w:rPr>
        <w:t>Climate Zone Design Dry Bulb Temperature and Representative City</w:t>
      </w:r>
    </w:p>
    <w:tbl>
      <w:tblPr>
        <w:tblStyle w:val="TableGrid1"/>
        <w:tblW w:w="5000" w:type="pct"/>
        <w:tblLook w:val="01E0" w:firstRow="1" w:lastRow="1" w:firstColumn="1" w:lastColumn="1" w:noHBand="0" w:noVBand="0"/>
      </w:tblPr>
      <w:tblGrid>
        <w:gridCol w:w="2209"/>
        <w:gridCol w:w="3761"/>
        <w:gridCol w:w="1690"/>
        <w:gridCol w:w="1690"/>
      </w:tblGrid>
      <w:tr w:rsidR="00855069" w:rsidRPr="00920905" w14:paraId="55D0DCC2" w14:textId="24D0ABAE" w:rsidTr="00855069">
        <w:tc>
          <w:tcPr>
            <w:tcW w:w="1181" w:type="pct"/>
            <w:shd w:val="clear" w:color="auto" w:fill="D9D9D9" w:themeFill="background1" w:themeFillShade="D9"/>
          </w:tcPr>
          <w:p w14:paraId="49FC79CF" w14:textId="30D4319A" w:rsidR="00855069" w:rsidRPr="00855069" w:rsidRDefault="00855069" w:rsidP="00855069">
            <w:pPr>
              <w:jc w:val="center"/>
              <w:rPr>
                <w:rFonts w:cstheme="minorHAnsi"/>
                <w:b/>
                <w:szCs w:val="20"/>
              </w:rPr>
            </w:pPr>
            <w:r w:rsidRPr="00855069">
              <w:rPr>
                <w:rFonts w:cs="Arial"/>
                <w:b/>
                <w:szCs w:val="20"/>
              </w:rPr>
              <w:t>Climate Zone</w:t>
            </w:r>
          </w:p>
        </w:tc>
        <w:tc>
          <w:tcPr>
            <w:tcW w:w="2011" w:type="pct"/>
            <w:shd w:val="clear" w:color="auto" w:fill="D9D9D9" w:themeFill="background1" w:themeFillShade="D9"/>
          </w:tcPr>
          <w:p w14:paraId="75D9D562" w14:textId="584A986B" w:rsidR="00855069" w:rsidRPr="00855069" w:rsidRDefault="00855069" w:rsidP="00855069">
            <w:pPr>
              <w:jc w:val="center"/>
              <w:rPr>
                <w:rFonts w:cstheme="minorHAnsi"/>
                <w:b/>
                <w:szCs w:val="20"/>
              </w:rPr>
            </w:pPr>
            <w:r w:rsidRPr="00855069">
              <w:rPr>
                <w:rFonts w:cs="Arial"/>
                <w:b/>
                <w:szCs w:val="20"/>
              </w:rPr>
              <w:t>Description</w:t>
            </w:r>
          </w:p>
        </w:tc>
        <w:tc>
          <w:tcPr>
            <w:tcW w:w="904" w:type="pct"/>
            <w:shd w:val="clear" w:color="auto" w:fill="D9D9D9" w:themeFill="background1" w:themeFillShade="D9"/>
          </w:tcPr>
          <w:p w14:paraId="40DC12FA" w14:textId="0B2F4777" w:rsidR="00855069" w:rsidRPr="00855069" w:rsidRDefault="00855069" w:rsidP="00855069">
            <w:pPr>
              <w:jc w:val="center"/>
              <w:rPr>
                <w:rFonts w:cstheme="minorHAnsi"/>
                <w:b/>
                <w:szCs w:val="20"/>
                <w:highlight w:val="yellow"/>
              </w:rPr>
            </w:pPr>
            <w:r w:rsidRPr="00855069">
              <w:rPr>
                <w:rFonts w:cs="Arial"/>
                <w:b/>
                <w:szCs w:val="20"/>
              </w:rPr>
              <w:t>Representative City</w:t>
            </w:r>
          </w:p>
        </w:tc>
        <w:tc>
          <w:tcPr>
            <w:tcW w:w="904" w:type="pct"/>
            <w:shd w:val="clear" w:color="auto" w:fill="D9D9D9" w:themeFill="background1" w:themeFillShade="D9"/>
          </w:tcPr>
          <w:p w14:paraId="7456FC89" w14:textId="2FD555CE" w:rsidR="00855069" w:rsidRPr="00855069" w:rsidRDefault="00855069" w:rsidP="00855069">
            <w:pPr>
              <w:jc w:val="center"/>
              <w:rPr>
                <w:b/>
                <w:bCs/>
                <w:szCs w:val="20"/>
              </w:rPr>
            </w:pPr>
            <w:r w:rsidRPr="00855069">
              <w:rPr>
                <w:rFonts w:cs="Arial"/>
                <w:b/>
                <w:szCs w:val="20"/>
              </w:rPr>
              <w:t>Summer Design Dry-Bulb (ASHRAE Climatic Region X Data, 0.5% Column via proxy Title 24) [°F]</w:t>
            </w:r>
          </w:p>
        </w:tc>
      </w:tr>
      <w:tr w:rsidR="00855069" w:rsidRPr="00920905" w14:paraId="2159D6FB" w14:textId="7D4FA5C0" w:rsidTr="00855069">
        <w:tc>
          <w:tcPr>
            <w:tcW w:w="1181" w:type="pct"/>
          </w:tcPr>
          <w:p w14:paraId="2357D0D8" w14:textId="6FDE7BEC" w:rsidR="00855069" w:rsidRPr="00920905" w:rsidRDefault="00855069" w:rsidP="00855069">
            <w:pPr>
              <w:jc w:val="center"/>
              <w:rPr>
                <w:rFonts w:cstheme="minorHAnsi"/>
                <w:color w:val="FF0000"/>
                <w:szCs w:val="20"/>
              </w:rPr>
            </w:pPr>
            <w:r w:rsidRPr="00240B61">
              <w:rPr>
                <w:rFonts w:cs="Arial"/>
                <w:szCs w:val="20"/>
              </w:rPr>
              <w:t>6</w:t>
            </w:r>
          </w:p>
        </w:tc>
        <w:tc>
          <w:tcPr>
            <w:tcW w:w="2011" w:type="pct"/>
          </w:tcPr>
          <w:p w14:paraId="7AF3B739" w14:textId="04E306CE" w:rsidR="00855069" w:rsidRPr="00920905" w:rsidRDefault="00855069" w:rsidP="00855069">
            <w:pPr>
              <w:jc w:val="center"/>
              <w:rPr>
                <w:rFonts w:cstheme="minorHAnsi"/>
                <w:color w:val="FF0000"/>
                <w:szCs w:val="20"/>
              </w:rPr>
            </w:pPr>
            <w:r w:rsidRPr="00240B61">
              <w:rPr>
                <w:rFonts w:cs="Arial"/>
                <w:szCs w:val="20"/>
              </w:rPr>
              <w:t>South Coast</w:t>
            </w:r>
          </w:p>
        </w:tc>
        <w:tc>
          <w:tcPr>
            <w:tcW w:w="904" w:type="pct"/>
            <w:vAlign w:val="center"/>
          </w:tcPr>
          <w:p w14:paraId="72C8EDDB" w14:textId="5AF9493F" w:rsidR="00855069" w:rsidRPr="00920905" w:rsidRDefault="00855069" w:rsidP="00855069">
            <w:pPr>
              <w:jc w:val="center"/>
              <w:rPr>
                <w:rFonts w:cstheme="minorHAnsi"/>
                <w:color w:val="FF0000"/>
                <w:szCs w:val="20"/>
              </w:rPr>
            </w:pPr>
            <w:r w:rsidRPr="008A248B">
              <w:rPr>
                <w:rFonts w:ascii="Calibri" w:hAnsi="Calibri"/>
                <w:color w:val="000000"/>
                <w:szCs w:val="20"/>
              </w:rPr>
              <w:t>Torrance</w:t>
            </w:r>
          </w:p>
        </w:tc>
        <w:tc>
          <w:tcPr>
            <w:tcW w:w="904" w:type="pct"/>
          </w:tcPr>
          <w:p w14:paraId="7396A4D1" w14:textId="287BD01A" w:rsidR="00855069" w:rsidRPr="00240B61" w:rsidRDefault="00855069" w:rsidP="00855069">
            <w:pPr>
              <w:jc w:val="center"/>
              <w:rPr>
                <w:rFonts w:cs="Arial"/>
                <w:szCs w:val="20"/>
              </w:rPr>
            </w:pPr>
            <w:r>
              <w:rPr>
                <w:rFonts w:cs="Arial"/>
                <w:szCs w:val="20"/>
              </w:rPr>
              <w:t>86</w:t>
            </w:r>
          </w:p>
        </w:tc>
      </w:tr>
      <w:tr w:rsidR="00855069" w:rsidRPr="00920905" w14:paraId="377FA3B0" w14:textId="753DDFAE" w:rsidTr="00855069">
        <w:tc>
          <w:tcPr>
            <w:tcW w:w="1181" w:type="pct"/>
          </w:tcPr>
          <w:p w14:paraId="0E992EBB" w14:textId="4C8D095E" w:rsidR="00855069" w:rsidRPr="00920905" w:rsidRDefault="00855069" w:rsidP="00855069">
            <w:pPr>
              <w:jc w:val="center"/>
              <w:rPr>
                <w:rFonts w:cstheme="minorHAnsi"/>
                <w:color w:val="FF0000"/>
                <w:szCs w:val="20"/>
              </w:rPr>
            </w:pPr>
            <w:r w:rsidRPr="00240B61">
              <w:rPr>
                <w:rFonts w:cs="Arial"/>
                <w:szCs w:val="20"/>
              </w:rPr>
              <w:t>8</w:t>
            </w:r>
          </w:p>
        </w:tc>
        <w:tc>
          <w:tcPr>
            <w:tcW w:w="2011" w:type="pct"/>
          </w:tcPr>
          <w:p w14:paraId="25A283B8" w14:textId="6360F064" w:rsidR="00855069" w:rsidRPr="00920905" w:rsidRDefault="00855069" w:rsidP="00855069">
            <w:pPr>
              <w:jc w:val="center"/>
              <w:rPr>
                <w:rFonts w:cstheme="minorHAnsi"/>
                <w:color w:val="FF0000"/>
                <w:szCs w:val="20"/>
              </w:rPr>
            </w:pPr>
            <w:r w:rsidRPr="00240B61">
              <w:rPr>
                <w:rFonts w:cs="Arial"/>
                <w:szCs w:val="20"/>
              </w:rPr>
              <w:t>South Coast</w:t>
            </w:r>
          </w:p>
        </w:tc>
        <w:tc>
          <w:tcPr>
            <w:tcW w:w="904" w:type="pct"/>
            <w:vAlign w:val="center"/>
          </w:tcPr>
          <w:p w14:paraId="66A3DDC4" w14:textId="43BB322F" w:rsidR="00855069" w:rsidRPr="00920905" w:rsidRDefault="00855069" w:rsidP="00855069">
            <w:pPr>
              <w:jc w:val="center"/>
              <w:rPr>
                <w:rFonts w:cstheme="minorHAnsi"/>
                <w:color w:val="FF0000"/>
                <w:szCs w:val="20"/>
              </w:rPr>
            </w:pPr>
            <w:r w:rsidRPr="008A248B">
              <w:rPr>
                <w:rFonts w:ascii="Calibri" w:hAnsi="Calibri"/>
                <w:color w:val="000000"/>
                <w:szCs w:val="20"/>
              </w:rPr>
              <w:t>Fullerton</w:t>
            </w:r>
          </w:p>
        </w:tc>
        <w:tc>
          <w:tcPr>
            <w:tcW w:w="904" w:type="pct"/>
          </w:tcPr>
          <w:p w14:paraId="61BB1CDB" w14:textId="7F80FE47" w:rsidR="00855069" w:rsidRDefault="00855069" w:rsidP="00855069">
            <w:pPr>
              <w:jc w:val="center"/>
              <w:rPr>
                <w:rFonts w:cs="Arial"/>
                <w:szCs w:val="20"/>
              </w:rPr>
            </w:pPr>
            <w:r>
              <w:rPr>
                <w:rFonts w:cs="Arial"/>
                <w:szCs w:val="20"/>
              </w:rPr>
              <w:t>94</w:t>
            </w:r>
          </w:p>
        </w:tc>
      </w:tr>
      <w:tr w:rsidR="00855069" w14:paraId="2BB9A35C" w14:textId="624EE721" w:rsidTr="00855069">
        <w:tc>
          <w:tcPr>
            <w:tcW w:w="1181" w:type="pct"/>
          </w:tcPr>
          <w:p w14:paraId="36B7579A" w14:textId="4BB230DF" w:rsidR="00855069" w:rsidRDefault="00855069" w:rsidP="00855069">
            <w:pPr>
              <w:jc w:val="center"/>
              <w:rPr>
                <w:szCs w:val="20"/>
              </w:rPr>
            </w:pPr>
            <w:r w:rsidRPr="00240B61">
              <w:rPr>
                <w:rFonts w:cs="Arial"/>
                <w:szCs w:val="20"/>
              </w:rPr>
              <w:t>9</w:t>
            </w:r>
          </w:p>
        </w:tc>
        <w:tc>
          <w:tcPr>
            <w:tcW w:w="2011" w:type="pct"/>
          </w:tcPr>
          <w:p w14:paraId="32A87F6B" w14:textId="2876DDD2" w:rsidR="00855069" w:rsidRDefault="00855069" w:rsidP="00855069">
            <w:pPr>
              <w:jc w:val="center"/>
              <w:rPr>
                <w:szCs w:val="20"/>
              </w:rPr>
            </w:pPr>
            <w:r w:rsidRPr="00240B61">
              <w:rPr>
                <w:rFonts w:cs="Arial"/>
                <w:szCs w:val="20"/>
              </w:rPr>
              <w:t>South Inland</w:t>
            </w:r>
          </w:p>
        </w:tc>
        <w:tc>
          <w:tcPr>
            <w:tcW w:w="904" w:type="pct"/>
            <w:vAlign w:val="center"/>
          </w:tcPr>
          <w:p w14:paraId="052D08DC" w14:textId="771EFACE" w:rsidR="00855069" w:rsidRDefault="00855069" w:rsidP="00855069">
            <w:pPr>
              <w:jc w:val="center"/>
              <w:rPr>
                <w:szCs w:val="20"/>
              </w:rPr>
            </w:pPr>
            <w:r w:rsidRPr="008A248B">
              <w:rPr>
                <w:rFonts w:ascii="Calibri" w:hAnsi="Calibri"/>
                <w:color w:val="000000"/>
                <w:szCs w:val="20"/>
              </w:rPr>
              <w:t>Burbank-Glendale</w:t>
            </w:r>
          </w:p>
        </w:tc>
        <w:tc>
          <w:tcPr>
            <w:tcW w:w="904" w:type="pct"/>
          </w:tcPr>
          <w:p w14:paraId="0805DA92" w14:textId="7A88A7BE" w:rsidR="00855069" w:rsidRDefault="00855069" w:rsidP="00855069">
            <w:pPr>
              <w:jc w:val="center"/>
              <w:rPr>
                <w:rFonts w:cs="Arial"/>
                <w:szCs w:val="20"/>
              </w:rPr>
            </w:pPr>
            <w:r>
              <w:rPr>
                <w:rFonts w:cs="Arial"/>
                <w:szCs w:val="20"/>
              </w:rPr>
              <w:t>96</w:t>
            </w:r>
          </w:p>
        </w:tc>
      </w:tr>
      <w:tr w:rsidR="00855069" w14:paraId="6DB1330E" w14:textId="77777777" w:rsidTr="00855069">
        <w:tc>
          <w:tcPr>
            <w:tcW w:w="1181" w:type="pct"/>
          </w:tcPr>
          <w:p w14:paraId="7B8C91A4" w14:textId="67982E6A" w:rsidR="00855069" w:rsidRPr="00240B61" w:rsidRDefault="00855069" w:rsidP="00855069">
            <w:pPr>
              <w:jc w:val="center"/>
              <w:rPr>
                <w:szCs w:val="20"/>
              </w:rPr>
            </w:pPr>
            <w:r w:rsidRPr="00240B61">
              <w:rPr>
                <w:rFonts w:cs="Arial"/>
                <w:szCs w:val="20"/>
              </w:rPr>
              <w:t>10</w:t>
            </w:r>
          </w:p>
        </w:tc>
        <w:tc>
          <w:tcPr>
            <w:tcW w:w="2011" w:type="pct"/>
          </w:tcPr>
          <w:p w14:paraId="5ABC2CB3" w14:textId="5439853A" w:rsidR="00855069" w:rsidRDefault="00855069" w:rsidP="00855069">
            <w:pPr>
              <w:jc w:val="center"/>
              <w:rPr>
                <w:rFonts w:cs="Arial"/>
                <w:szCs w:val="20"/>
              </w:rPr>
            </w:pPr>
            <w:r w:rsidRPr="00240B61">
              <w:rPr>
                <w:rFonts w:cs="Arial"/>
                <w:szCs w:val="20"/>
              </w:rPr>
              <w:t>South Inland</w:t>
            </w:r>
          </w:p>
        </w:tc>
        <w:tc>
          <w:tcPr>
            <w:tcW w:w="904" w:type="pct"/>
            <w:vAlign w:val="center"/>
          </w:tcPr>
          <w:p w14:paraId="000BAD11" w14:textId="3DB8F16A" w:rsidR="00855069" w:rsidRDefault="00855069" w:rsidP="00855069">
            <w:pPr>
              <w:jc w:val="center"/>
              <w:rPr>
                <w:rFonts w:cs="Arial"/>
                <w:szCs w:val="20"/>
              </w:rPr>
            </w:pPr>
            <w:r w:rsidRPr="008A248B">
              <w:rPr>
                <w:rFonts w:ascii="Calibri" w:hAnsi="Calibri"/>
                <w:color w:val="000000"/>
                <w:szCs w:val="20"/>
              </w:rPr>
              <w:t>Riverside</w:t>
            </w:r>
          </w:p>
        </w:tc>
        <w:tc>
          <w:tcPr>
            <w:tcW w:w="904" w:type="pct"/>
          </w:tcPr>
          <w:p w14:paraId="5AFB1714" w14:textId="7B124632" w:rsidR="00855069" w:rsidRDefault="00855069" w:rsidP="00855069">
            <w:pPr>
              <w:jc w:val="center"/>
              <w:rPr>
                <w:rFonts w:cs="Arial"/>
                <w:szCs w:val="20"/>
              </w:rPr>
            </w:pPr>
            <w:r w:rsidRPr="00240B61">
              <w:rPr>
                <w:rFonts w:cs="Arial"/>
                <w:szCs w:val="20"/>
              </w:rPr>
              <w:t>100</w:t>
            </w:r>
          </w:p>
        </w:tc>
      </w:tr>
      <w:tr w:rsidR="00855069" w14:paraId="3B235841" w14:textId="77777777" w:rsidTr="00855069">
        <w:tc>
          <w:tcPr>
            <w:tcW w:w="1181" w:type="pct"/>
          </w:tcPr>
          <w:p w14:paraId="19611AE0" w14:textId="071BF270" w:rsidR="00855069" w:rsidRPr="00240B61" w:rsidRDefault="00855069" w:rsidP="00855069">
            <w:pPr>
              <w:jc w:val="center"/>
              <w:rPr>
                <w:szCs w:val="20"/>
              </w:rPr>
            </w:pPr>
            <w:r w:rsidRPr="00240B61">
              <w:rPr>
                <w:rFonts w:cs="Arial"/>
                <w:szCs w:val="20"/>
              </w:rPr>
              <w:t>13</w:t>
            </w:r>
          </w:p>
        </w:tc>
        <w:tc>
          <w:tcPr>
            <w:tcW w:w="2011" w:type="pct"/>
          </w:tcPr>
          <w:p w14:paraId="3D50CC6E" w14:textId="56307958" w:rsidR="00855069" w:rsidRDefault="00855069" w:rsidP="00855069">
            <w:pPr>
              <w:jc w:val="center"/>
              <w:rPr>
                <w:rFonts w:cs="Arial"/>
                <w:szCs w:val="20"/>
              </w:rPr>
            </w:pPr>
            <w:r w:rsidRPr="00240B61">
              <w:rPr>
                <w:rFonts w:cs="Arial"/>
                <w:szCs w:val="20"/>
              </w:rPr>
              <w:t>Central Valley</w:t>
            </w:r>
          </w:p>
        </w:tc>
        <w:tc>
          <w:tcPr>
            <w:tcW w:w="904" w:type="pct"/>
            <w:vAlign w:val="center"/>
          </w:tcPr>
          <w:p w14:paraId="5FBF759F" w14:textId="1CAC09D3" w:rsidR="00855069" w:rsidRDefault="00855069" w:rsidP="00855069">
            <w:pPr>
              <w:jc w:val="center"/>
              <w:rPr>
                <w:rFonts w:cs="Arial"/>
                <w:szCs w:val="20"/>
              </w:rPr>
            </w:pPr>
            <w:r w:rsidRPr="008A248B">
              <w:rPr>
                <w:rFonts w:ascii="Calibri" w:hAnsi="Calibri"/>
                <w:color w:val="000000"/>
                <w:szCs w:val="20"/>
              </w:rPr>
              <w:t>Fresno</w:t>
            </w:r>
          </w:p>
        </w:tc>
        <w:tc>
          <w:tcPr>
            <w:tcW w:w="904" w:type="pct"/>
          </w:tcPr>
          <w:p w14:paraId="4F10308C" w14:textId="0F01A9DD" w:rsidR="00855069" w:rsidRDefault="00855069" w:rsidP="00855069">
            <w:pPr>
              <w:jc w:val="center"/>
              <w:rPr>
                <w:rFonts w:cs="Arial"/>
                <w:szCs w:val="20"/>
              </w:rPr>
            </w:pPr>
            <w:r w:rsidRPr="00240B61">
              <w:rPr>
                <w:rFonts w:cs="Arial"/>
                <w:szCs w:val="20"/>
              </w:rPr>
              <w:t>101</w:t>
            </w:r>
          </w:p>
        </w:tc>
      </w:tr>
      <w:tr w:rsidR="00855069" w14:paraId="3230BA70" w14:textId="77777777" w:rsidTr="00855069">
        <w:tc>
          <w:tcPr>
            <w:tcW w:w="1181" w:type="pct"/>
          </w:tcPr>
          <w:p w14:paraId="7865193E" w14:textId="4DDE3E54" w:rsidR="00855069" w:rsidRPr="00240B61" w:rsidRDefault="00855069" w:rsidP="00855069">
            <w:pPr>
              <w:jc w:val="center"/>
              <w:rPr>
                <w:szCs w:val="20"/>
              </w:rPr>
            </w:pPr>
            <w:r w:rsidRPr="00240B61">
              <w:rPr>
                <w:rFonts w:cs="Arial"/>
                <w:szCs w:val="20"/>
              </w:rPr>
              <w:t>14</w:t>
            </w:r>
          </w:p>
        </w:tc>
        <w:tc>
          <w:tcPr>
            <w:tcW w:w="2011" w:type="pct"/>
          </w:tcPr>
          <w:p w14:paraId="59865FCD" w14:textId="6209FB73" w:rsidR="00855069" w:rsidRDefault="00855069" w:rsidP="00855069">
            <w:pPr>
              <w:jc w:val="center"/>
              <w:rPr>
                <w:rFonts w:cs="Arial"/>
                <w:szCs w:val="20"/>
              </w:rPr>
            </w:pPr>
            <w:r w:rsidRPr="00240B61">
              <w:rPr>
                <w:rFonts w:cs="Arial"/>
                <w:szCs w:val="20"/>
              </w:rPr>
              <w:t>Desert</w:t>
            </w:r>
          </w:p>
        </w:tc>
        <w:tc>
          <w:tcPr>
            <w:tcW w:w="904" w:type="pct"/>
            <w:vAlign w:val="center"/>
          </w:tcPr>
          <w:p w14:paraId="1316141E" w14:textId="340049F0" w:rsidR="00855069" w:rsidRDefault="00855069" w:rsidP="00855069">
            <w:pPr>
              <w:jc w:val="center"/>
              <w:rPr>
                <w:rFonts w:cs="Arial"/>
                <w:szCs w:val="20"/>
              </w:rPr>
            </w:pPr>
            <w:r w:rsidRPr="008A248B">
              <w:rPr>
                <w:rFonts w:ascii="Calibri" w:hAnsi="Calibri"/>
                <w:color w:val="000000"/>
                <w:szCs w:val="20"/>
              </w:rPr>
              <w:t>Palmdale</w:t>
            </w:r>
          </w:p>
        </w:tc>
        <w:tc>
          <w:tcPr>
            <w:tcW w:w="904" w:type="pct"/>
          </w:tcPr>
          <w:p w14:paraId="510E71CE" w14:textId="0A2149E4" w:rsidR="00855069" w:rsidRDefault="00855069" w:rsidP="00855069">
            <w:pPr>
              <w:jc w:val="center"/>
              <w:rPr>
                <w:rFonts w:cs="Arial"/>
                <w:szCs w:val="20"/>
              </w:rPr>
            </w:pPr>
            <w:r>
              <w:rPr>
                <w:rFonts w:cs="Arial"/>
                <w:szCs w:val="20"/>
              </w:rPr>
              <w:t>103</w:t>
            </w:r>
          </w:p>
        </w:tc>
      </w:tr>
      <w:tr w:rsidR="00855069" w14:paraId="7BF18770" w14:textId="77777777" w:rsidTr="00855069">
        <w:tc>
          <w:tcPr>
            <w:tcW w:w="1181" w:type="pct"/>
          </w:tcPr>
          <w:p w14:paraId="025E8DF2" w14:textId="3A1C712B" w:rsidR="00855069" w:rsidRPr="00240B61" w:rsidRDefault="00855069" w:rsidP="00855069">
            <w:pPr>
              <w:jc w:val="center"/>
              <w:rPr>
                <w:szCs w:val="20"/>
              </w:rPr>
            </w:pPr>
            <w:r w:rsidRPr="00240B61">
              <w:rPr>
                <w:rFonts w:cs="Arial"/>
                <w:szCs w:val="20"/>
              </w:rPr>
              <w:t>15</w:t>
            </w:r>
          </w:p>
        </w:tc>
        <w:tc>
          <w:tcPr>
            <w:tcW w:w="2011" w:type="pct"/>
          </w:tcPr>
          <w:p w14:paraId="007822C2" w14:textId="702E4114" w:rsidR="00855069" w:rsidRDefault="00855069" w:rsidP="00855069">
            <w:pPr>
              <w:jc w:val="center"/>
              <w:rPr>
                <w:rFonts w:cs="Arial"/>
                <w:szCs w:val="20"/>
              </w:rPr>
            </w:pPr>
            <w:r w:rsidRPr="00240B61">
              <w:rPr>
                <w:rFonts w:cs="Arial"/>
                <w:szCs w:val="20"/>
              </w:rPr>
              <w:t>Desert</w:t>
            </w:r>
          </w:p>
        </w:tc>
        <w:tc>
          <w:tcPr>
            <w:tcW w:w="904" w:type="pct"/>
            <w:vAlign w:val="center"/>
          </w:tcPr>
          <w:p w14:paraId="1BDA158B" w14:textId="3983A0E4" w:rsidR="00855069" w:rsidRDefault="00855069" w:rsidP="00855069">
            <w:pPr>
              <w:jc w:val="center"/>
              <w:rPr>
                <w:rFonts w:cs="Arial"/>
                <w:szCs w:val="20"/>
              </w:rPr>
            </w:pPr>
            <w:r w:rsidRPr="008A248B">
              <w:rPr>
                <w:rFonts w:ascii="Calibri" w:hAnsi="Calibri"/>
                <w:color w:val="000000"/>
                <w:szCs w:val="20"/>
              </w:rPr>
              <w:t>Palm Springs-Intl</w:t>
            </w:r>
          </w:p>
        </w:tc>
        <w:tc>
          <w:tcPr>
            <w:tcW w:w="904" w:type="pct"/>
          </w:tcPr>
          <w:p w14:paraId="18792E4A" w14:textId="09C011CA" w:rsidR="00855069" w:rsidRDefault="00855069" w:rsidP="00855069">
            <w:pPr>
              <w:jc w:val="center"/>
              <w:rPr>
                <w:rFonts w:cs="Arial"/>
                <w:szCs w:val="20"/>
              </w:rPr>
            </w:pPr>
            <w:r>
              <w:rPr>
                <w:rFonts w:cs="Arial"/>
                <w:szCs w:val="20"/>
              </w:rPr>
              <w:t>113</w:t>
            </w:r>
          </w:p>
        </w:tc>
      </w:tr>
      <w:tr w:rsidR="00855069" w14:paraId="67515812" w14:textId="77777777" w:rsidTr="00855069">
        <w:tc>
          <w:tcPr>
            <w:tcW w:w="1181" w:type="pct"/>
          </w:tcPr>
          <w:p w14:paraId="7DB3EF07" w14:textId="28772663" w:rsidR="00855069" w:rsidRPr="00240B61" w:rsidRDefault="00855069" w:rsidP="00855069">
            <w:pPr>
              <w:jc w:val="center"/>
              <w:rPr>
                <w:szCs w:val="20"/>
              </w:rPr>
            </w:pPr>
            <w:r w:rsidRPr="00240B61">
              <w:rPr>
                <w:rFonts w:cs="Arial"/>
                <w:szCs w:val="20"/>
              </w:rPr>
              <w:t>16</w:t>
            </w:r>
          </w:p>
        </w:tc>
        <w:tc>
          <w:tcPr>
            <w:tcW w:w="2011" w:type="pct"/>
          </w:tcPr>
          <w:p w14:paraId="7AE5EA15" w14:textId="7E0859AF" w:rsidR="00855069" w:rsidRDefault="00855069" w:rsidP="00855069">
            <w:pPr>
              <w:jc w:val="center"/>
              <w:rPr>
                <w:rFonts w:cs="Arial"/>
                <w:szCs w:val="20"/>
              </w:rPr>
            </w:pPr>
            <w:r w:rsidRPr="00240B61">
              <w:rPr>
                <w:rFonts w:cs="Arial"/>
                <w:szCs w:val="20"/>
              </w:rPr>
              <w:t>Mountain</w:t>
            </w:r>
          </w:p>
        </w:tc>
        <w:tc>
          <w:tcPr>
            <w:tcW w:w="904" w:type="pct"/>
            <w:vAlign w:val="center"/>
          </w:tcPr>
          <w:p w14:paraId="61522249" w14:textId="216597D8" w:rsidR="00855069" w:rsidRDefault="00855069" w:rsidP="00855069">
            <w:pPr>
              <w:jc w:val="center"/>
              <w:rPr>
                <w:rFonts w:cs="Arial"/>
                <w:szCs w:val="20"/>
              </w:rPr>
            </w:pPr>
            <w:r w:rsidRPr="008A248B">
              <w:rPr>
                <w:rFonts w:ascii="Calibri" w:hAnsi="Calibri"/>
                <w:color w:val="000000"/>
                <w:szCs w:val="20"/>
              </w:rPr>
              <w:t>Blue Canyon</w:t>
            </w:r>
          </w:p>
        </w:tc>
        <w:tc>
          <w:tcPr>
            <w:tcW w:w="904" w:type="pct"/>
          </w:tcPr>
          <w:p w14:paraId="26FA31B3" w14:textId="517F0A51" w:rsidR="00855069" w:rsidRDefault="00855069" w:rsidP="00855069">
            <w:pPr>
              <w:jc w:val="center"/>
              <w:rPr>
                <w:rFonts w:cs="Arial"/>
                <w:szCs w:val="20"/>
              </w:rPr>
            </w:pPr>
            <w:r>
              <w:rPr>
                <w:rFonts w:cs="Arial"/>
                <w:szCs w:val="20"/>
              </w:rPr>
              <w:t>85</w:t>
            </w:r>
          </w:p>
        </w:tc>
      </w:tr>
    </w:tbl>
    <w:p w14:paraId="476ACD98" w14:textId="314C98BA" w:rsidR="00855069" w:rsidRPr="00240B61" w:rsidRDefault="00855069" w:rsidP="00855069">
      <w:pPr>
        <w:rPr>
          <w:sz w:val="20"/>
          <w:szCs w:val="20"/>
        </w:rPr>
      </w:pPr>
      <w:r w:rsidRPr="00240B61">
        <w:rPr>
          <w:sz w:val="20"/>
          <w:szCs w:val="20"/>
        </w:rPr>
        <w:t>Source:</w:t>
      </w:r>
      <w:r w:rsidRPr="00240B61">
        <w:rPr>
          <w:sz w:val="20"/>
          <w:szCs w:val="20"/>
        </w:rPr>
        <w:tab/>
        <w:t>ASHRAE 1982. Climatic Data for Region X</w:t>
      </w:r>
      <w:r w:rsidRPr="008461C9">
        <w:rPr>
          <w:sz w:val="20"/>
          <w:szCs w:val="20"/>
        </w:rPr>
        <w:t xml:space="preserve">. </w:t>
      </w:r>
      <w:r w:rsidR="00657715">
        <w:rPr>
          <w:sz w:val="20"/>
          <w:szCs w:val="20"/>
        </w:rPr>
        <w:t>[221]</w:t>
      </w:r>
      <w:r w:rsidRPr="00240B61">
        <w:rPr>
          <w:sz w:val="20"/>
          <w:szCs w:val="20"/>
          <w:vertAlign w:val="superscript"/>
        </w:rPr>
        <w:t xml:space="preserve"> </w:t>
      </w:r>
    </w:p>
    <w:p w14:paraId="2AC080D2" w14:textId="77777777" w:rsidR="00855069" w:rsidRDefault="00855069" w:rsidP="00855069">
      <w:pPr>
        <w:rPr>
          <w:b/>
          <w:u w:val="single"/>
        </w:rPr>
      </w:pPr>
    </w:p>
    <w:p w14:paraId="45DE6526" w14:textId="77777777" w:rsidR="00855069" w:rsidRDefault="00855069" w:rsidP="00855069">
      <w:pPr>
        <w:rPr>
          <w:b/>
          <w:u w:val="single"/>
        </w:rPr>
      </w:pPr>
      <w:r w:rsidRPr="00240B61">
        <w:rPr>
          <w:b/>
          <w:u w:val="single"/>
        </w:rPr>
        <w:t>For small single compressor systems:</w:t>
      </w:r>
    </w:p>
    <w:p w14:paraId="361ABB20" w14:textId="77777777" w:rsidR="00855069" w:rsidRPr="00240B61" w:rsidRDefault="00855069" w:rsidP="00855069">
      <w:pPr>
        <w:rPr>
          <w:b/>
          <w:u w:val="single"/>
        </w:rPr>
      </w:pPr>
    </w:p>
    <w:p w14:paraId="7FDB3DEA" w14:textId="77777777" w:rsidR="00855069" w:rsidRPr="00240B61" w:rsidRDefault="00855069" w:rsidP="00855069">
      <w:pPr>
        <w:numPr>
          <w:ilvl w:val="0"/>
          <w:numId w:val="47"/>
        </w:numPr>
      </w:pPr>
      <w:r w:rsidRPr="00240B61">
        <w:t>Determine the EER for both MT and LT applications</w:t>
      </w:r>
    </w:p>
    <w:p w14:paraId="18E3356B" w14:textId="77777777" w:rsidR="00855069" w:rsidRPr="00240B61" w:rsidRDefault="00855069" w:rsidP="00855069">
      <w:pPr>
        <w:numPr>
          <w:ilvl w:val="1"/>
          <w:numId w:val="47"/>
        </w:numPr>
      </w:pPr>
      <w:r w:rsidRPr="00240B61">
        <w:t xml:space="preserve">Compressor performance curves were obtained from a review of manufacturer data for small reciprocating compressors as a function of </w:t>
      </w:r>
      <w:smartTag w:uri="urn:schemas-microsoft-com:office:smarttags" w:element="stockticker">
        <w:r w:rsidRPr="00240B61">
          <w:t>SCT</w:t>
        </w:r>
      </w:smartTag>
      <w:r w:rsidRPr="00240B61">
        <w:t>, cooling load, and cooling capacity of compressor.</w:t>
      </w:r>
    </w:p>
    <w:p w14:paraId="5F8503A4" w14:textId="77777777" w:rsidR="00855069" w:rsidRPr="00240B61" w:rsidRDefault="00855069" w:rsidP="00855069">
      <w:pPr>
        <w:numPr>
          <w:ilvl w:val="1"/>
          <w:numId w:val="47"/>
        </w:numPr>
      </w:pPr>
      <w:r w:rsidRPr="00240B61">
        <w:t>Part-load ratio (</w:t>
      </w:r>
      <w:smartTag w:uri="urn:schemas-microsoft-com:office:smarttags" w:element="stockticker">
        <w:r w:rsidRPr="00240B61">
          <w:t>PLR</w:t>
        </w:r>
      </w:smartTag>
      <w:r w:rsidRPr="00240B61">
        <w:t>):</w:t>
      </w:r>
    </w:p>
    <w:p w14:paraId="0CE98625" w14:textId="77777777" w:rsidR="00855069" w:rsidRPr="00240B61" w:rsidRDefault="00855069" w:rsidP="00855069">
      <w:pPr>
        <w:ind w:left="1440"/>
      </w:pPr>
      <w:r w:rsidRPr="00240B61">
        <w:t>It is the ratio of total cooling load to compressor capacity.  It indicates the percentage of compressor capacity needed to remove the total cooling load.  It is calculated by following equation:</w:t>
      </w:r>
    </w:p>
    <w:p w14:paraId="75CBEB91" w14:textId="77777777" w:rsidR="00855069" w:rsidRPr="00240B61" w:rsidRDefault="00855069" w:rsidP="00855069">
      <w:pPr>
        <w:ind w:left="1440"/>
      </w:pPr>
    </w:p>
    <w:p w14:paraId="2B19075F" w14:textId="77777777" w:rsidR="00855069" w:rsidRPr="00240B61" w:rsidRDefault="00855069" w:rsidP="00855069">
      <w:pPr>
        <w:ind w:left="1440"/>
      </w:pPr>
      <w:r w:rsidRPr="00240B61">
        <w:rPr>
          <w:position w:val="-32"/>
        </w:rPr>
        <w:object w:dxaOrig="1470" w:dyaOrig="735" w14:anchorId="6D178C26">
          <v:shape id="_x0000_i1032" type="#_x0000_t75" style="width:1in;height:36pt" o:ole="">
            <v:imagedata r:id="rId25" o:title=""/>
          </v:shape>
          <o:OLEObject Type="Embed" ProgID="Equation.3" ShapeID="_x0000_i1032" DrawAspect="Content" ObjectID="_1548158093" r:id="rId26"/>
        </w:object>
      </w:r>
    </w:p>
    <w:p w14:paraId="7A3C9E5A" w14:textId="77777777" w:rsidR="00855069" w:rsidRPr="00240B61" w:rsidRDefault="00855069" w:rsidP="00855069">
      <w:pPr>
        <w:ind w:left="1440"/>
      </w:pPr>
    </w:p>
    <w:p w14:paraId="0293D08B" w14:textId="77777777" w:rsidR="00855069" w:rsidRPr="00240B61" w:rsidRDefault="00855069" w:rsidP="00855069">
      <w:pPr>
        <w:ind w:left="1440"/>
      </w:pPr>
      <w:r w:rsidRPr="00240B61">
        <w:t>where,</w:t>
      </w:r>
    </w:p>
    <w:p w14:paraId="7BB4230F" w14:textId="77777777" w:rsidR="00855069" w:rsidRPr="00240B61" w:rsidRDefault="00855069" w:rsidP="00855069">
      <w:pPr>
        <w:ind w:left="1440"/>
      </w:pPr>
      <w:smartTag w:uri="urn:schemas-microsoft-com:office:smarttags" w:element="stockticker">
        <w:r w:rsidRPr="00240B61">
          <w:t>PLR</w:t>
        </w:r>
      </w:smartTag>
      <w:r w:rsidRPr="00240B61">
        <w:tab/>
      </w:r>
      <w:r w:rsidRPr="00240B61">
        <w:tab/>
        <w:t>= Part Load Ratio</w:t>
      </w:r>
    </w:p>
    <w:p w14:paraId="48B1E9FE" w14:textId="77777777" w:rsidR="00855069" w:rsidRPr="00240B61" w:rsidRDefault="00855069" w:rsidP="00855069">
      <w:pPr>
        <w:ind w:left="1440"/>
      </w:pPr>
      <w:r w:rsidRPr="00240B61">
        <w:t>Q</w:t>
      </w:r>
      <w:r w:rsidRPr="00240B61">
        <w:rPr>
          <w:vertAlign w:val="subscript"/>
        </w:rPr>
        <w:t>coolinge</w:t>
      </w:r>
      <w:r w:rsidRPr="00240B61">
        <w:rPr>
          <w:vertAlign w:val="subscript"/>
        </w:rPr>
        <w:tab/>
      </w:r>
      <w:r w:rsidRPr="00240B61">
        <w:rPr>
          <w:vertAlign w:val="subscript"/>
        </w:rPr>
        <w:tab/>
      </w:r>
      <w:r w:rsidRPr="00240B61">
        <w:t>= cooling load</w:t>
      </w:r>
    </w:p>
    <w:p w14:paraId="6C6A8345" w14:textId="77777777" w:rsidR="00855069" w:rsidRPr="00240B61" w:rsidRDefault="00855069" w:rsidP="00855069">
      <w:pPr>
        <w:ind w:left="1440"/>
      </w:pPr>
      <w:r w:rsidRPr="00240B61">
        <w:t>Q</w:t>
      </w:r>
      <w:r w:rsidRPr="00240B61">
        <w:rPr>
          <w:vertAlign w:val="subscript"/>
        </w:rPr>
        <w:t>capacity</w:t>
      </w:r>
      <w:r w:rsidRPr="00240B61">
        <w:tab/>
      </w:r>
      <w:r w:rsidRPr="00240B61">
        <w:tab/>
        <w:t>= total compressor capacity</w:t>
      </w:r>
    </w:p>
    <w:p w14:paraId="4D3AF1A4" w14:textId="77777777" w:rsidR="00855069" w:rsidRPr="00240B61" w:rsidRDefault="00855069" w:rsidP="00855069">
      <w:pPr>
        <w:ind w:left="1440"/>
      </w:pPr>
    </w:p>
    <w:p w14:paraId="6954F8EB" w14:textId="77777777" w:rsidR="00855069" w:rsidRPr="00240B61" w:rsidRDefault="00855069" w:rsidP="00855069">
      <w:pPr>
        <w:ind w:left="1440"/>
      </w:pPr>
      <w:r w:rsidRPr="00240B61">
        <w:rPr>
          <w:u w:val="single"/>
        </w:rPr>
        <w:t xml:space="preserve">NOTE: </w:t>
      </w:r>
      <w:r w:rsidRPr="00240B61">
        <w:t>Compressor capacity is determined by multiplying cooling load by compressor over-sizing factor of 15%:</w:t>
      </w:r>
    </w:p>
    <w:p w14:paraId="7BDE2F20" w14:textId="77777777" w:rsidR="00855069" w:rsidRPr="00240B61" w:rsidRDefault="00855069" w:rsidP="00855069">
      <w:pPr>
        <w:ind w:left="1440"/>
      </w:pPr>
    </w:p>
    <w:p w14:paraId="15C2E413" w14:textId="77777777" w:rsidR="00855069" w:rsidRPr="00240B61" w:rsidRDefault="00855069" w:rsidP="00855069">
      <w:pPr>
        <w:ind w:left="1440"/>
      </w:pPr>
      <w:r w:rsidRPr="00240B61">
        <w:t>Q</w:t>
      </w:r>
      <w:r w:rsidRPr="00240B61">
        <w:rPr>
          <w:vertAlign w:val="subscript"/>
        </w:rPr>
        <w:t>capacity</w:t>
      </w:r>
      <w:r w:rsidRPr="00240B61">
        <w:t xml:space="preserve"> = Q</w:t>
      </w:r>
      <w:r w:rsidRPr="00240B61">
        <w:rPr>
          <w:vertAlign w:val="subscript"/>
        </w:rPr>
        <w:t>cooling</w:t>
      </w:r>
      <w:r w:rsidRPr="00240B61">
        <w:t xml:space="preserve"> * 1.15</w:t>
      </w:r>
    </w:p>
    <w:p w14:paraId="70B473B5" w14:textId="77777777" w:rsidR="00855069" w:rsidRPr="00240B61" w:rsidRDefault="00855069" w:rsidP="00855069">
      <w:pPr>
        <w:ind w:left="1440"/>
      </w:pPr>
    </w:p>
    <w:p w14:paraId="55C7D98B" w14:textId="77777777" w:rsidR="00855069" w:rsidRPr="008461C9" w:rsidRDefault="00855069" w:rsidP="00855069">
      <w:pPr>
        <w:ind w:left="1440"/>
      </w:pPr>
      <w:r w:rsidRPr="008461C9">
        <w:t xml:space="preserve">Therefore, </w:t>
      </w:r>
      <w:smartTag w:uri="urn:schemas-microsoft-com:office:smarttags" w:element="stockticker">
        <w:r w:rsidRPr="008461C9">
          <w:t>PLR</w:t>
        </w:r>
      </w:smartTag>
      <w:r w:rsidRPr="008461C9">
        <w:t xml:space="preserve"> = 1/1.15 = 0.87</w:t>
      </w:r>
    </w:p>
    <w:p w14:paraId="6EF18DD3" w14:textId="77777777" w:rsidR="00855069" w:rsidRPr="008461C9" w:rsidRDefault="00855069" w:rsidP="00855069">
      <w:pPr>
        <w:ind w:left="1440"/>
      </w:pPr>
    </w:p>
    <w:p w14:paraId="43DAB9CF" w14:textId="03FBC9A9" w:rsidR="00855069" w:rsidRPr="008461C9" w:rsidRDefault="00855069" w:rsidP="00855069">
      <w:pPr>
        <w:numPr>
          <w:ilvl w:val="1"/>
          <w:numId w:val="47"/>
        </w:numPr>
      </w:pPr>
      <w:r w:rsidRPr="008461C9">
        <w:t>For medium temperature compressors, the following equation is used to determine the EER</w:t>
      </w:r>
      <w:r w:rsidRPr="008461C9">
        <w:rPr>
          <w:vertAlign w:val="subscript"/>
        </w:rPr>
        <w:t>MT</w:t>
      </w:r>
      <w:r w:rsidRPr="008461C9">
        <w:t xml:space="preserve"> (Btu/hr/watts) [</w:t>
      </w:r>
      <w:r w:rsidR="008461C9" w:rsidRPr="008461C9">
        <w:t>E</w:t>
      </w:r>
      <w:r w:rsidRPr="008461C9">
        <w:fldChar w:fldCharType="begin"/>
      </w:r>
      <w:r w:rsidRPr="008461C9">
        <w:instrText xml:space="preserve"> NOTEREF _Ref364241192 \h  \* MERGEFORMAT </w:instrText>
      </w:r>
      <w:r w:rsidRPr="008461C9">
        <w:fldChar w:fldCharType="end"/>
      </w:r>
      <w:r w:rsidRPr="008461C9">
        <w:t>]</w:t>
      </w:r>
    </w:p>
    <w:p w14:paraId="3917123E" w14:textId="77777777" w:rsidR="00855069" w:rsidRPr="00240B61" w:rsidRDefault="00855069" w:rsidP="00855069"/>
    <w:p w14:paraId="45239869" w14:textId="77777777" w:rsidR="00855069" w:rsidRPr="00240B61" w:rsidRDefault="00855069" w:rsidP="00855069">
      <w:pPr>
        <w:ind w:left="2340" w:hanging="900"/>
      </w:pPr>
      <w:r w:rsidRPr="00240B61">
        <w:t>EER</w:t>
      </w:r>
      <w:r w:rsidRPr="00240B61">
        <w:rPr>
          <w:vertAlign w:val="subscript"/>
        </w:rPr>
        <w:t>MT</w:t>
      </w:r>
      <w:r w:rsidRPr="00240B61">
        <w:t xml:space="preserve"> = a + (b * </w:t>
      </w:r>
      <w:smartTag w:uri="urn:schemas-microsoft-com:office:smarttags" w:element="stockticker">
        <w:r w:rsidRPr="00240B61">
          <w:t>SCT</w:t>
        </w:r>
      </w:smartTag>
      <w:r w:rsidRPr="00240B61">
        <w:t xml:space="preserve">) + (c * </w:t>
      </w:r>
      <w:smartTag w:uri="urn:schemas-microsoft-com:office:smarttags" w:element="stockticker">
        <w:r w:rsidRPr="00240B61">
          <w:t>PLR</w:t>
        </w:r>
      </w:smartTag>
      <w:r w:rsidRPr="00240B61">
        <w:t xml:space="preserve">) + (d * </w:t>
      </w:r>
      <w:smartTag w:uri="urn:schemas-microsoft-com:office:smarttags" w:element="stockticker">
        <w:r w:rsidRPr="00240B61">
          <w:t>SCT</w:t>
        </w:r>
      </w:smartTag>
      <w:r w:rsidRPr="00240B61">
        <w:rPr>
          <w:vertAlign w:val="superscript"/>
        </w:rPr>
        <w:t>2</w:t>
      </w:r>
      <w:r w:rsidRPr="00240B61">
        <w:t xml:space="preserve">) + (e * </w:t>
      </w:r>
      <w:smartTag w:uri="urn:schemas-microsoft-com:office:smarttags" w:element="stockticker">
        <w:r w:rsidRPr="00240B61">
          <w:t>PLR</w:t>
        </w:r>
      </w:smartTag>
      <w:r w:rsidRPr="00240B61">
        <w:rPr>
          <w:vertAlign w:val="superscript"/>
        </w:rPr>
        <w:t>2</w:t>
      </w:r>
      <w:r w:rsidRPr="00240B61">
        <w:t xml:space="preserve">) + (f * </w:t>
      </w:r>
      <w:smartTag w:uri="urn:schemas-microsoft-com:office:smarttags" w:element="stockticker">
        <w:r w:rsidRPr="00240B61">
          <w:t>SCT</w:t>
        </w:r>
      </w:smartTag>
      <w:r w:rsidRPr="00240B61">
        <w:t xml:space="preserve"> * </w:t>
      </w:r>
      <w:smartTag w:uri="urn:schemas-microsoft-com:office:smarttags" w:element="stockticker">
        <w:r w:rsidRPr="00240B61">
          <w:t>PLR</w:t>
        </w:r>
      </w:smartTag>
      <w:r w:rsidRPr="00240B61">
        <w:t xml:space="preserve">) + (g * </w:t>
      </w:r>
      <w:smartTag w:uri="urn:schemas-microsoft-com:office:smarttags" w:element="stockticker">
        <w:r w:rsidRPr="00240B61">
          <w:t>SCT</w:t>
        </w:r>
      </w:smartTag>
      <w:r w:rsidRPr="00240B61">
        <w:rPr>
          <w:vertAlign w:val="superscript"/>
        </w:rPr>
        <w:t>3</w:t>
      </w:r>
      <w:r w:rsidRPr="00240B61">
        <w:t xml:space="preserve">) + (h * </w:t>
      </w:r>
      <w:smartTag w:uri="urn:schemas-microsoft-com:office:smarttags" w:element="stockticker">
        <w:r w:rsidRPr="00240B61">
          <w:t>PLR</w:t>
        </w:r>
      </w:smartTag>
      <w:r w:rsidRPr="00240B61">
        <w:rPr>
          <w:vertAlign w:val="superscript"/>
        </w:rPr>
        <w:t>3</w:t>
      </w:r>
      <w:r w:rsidRPr="00240B61">
        <w:t xml:space="preserve">) + (i * </w:t>
      </w:r>
      <w:smartTag w:uri="urn:schemas-microsoft-com:office:smarttags" w:element="stockticker">
        <w:r w:rsidRPr="00240B61">
          <w:t>SCT</w:t>
        </w:r>
      </w:smartTag>
      <w:r w:rsidRPr="00240B61">
        <w:t xml:space="preserve"> * </w:t>
      </w:r>
      <w:smartTag w:uri="urn:schemas-microsoft-com:office:smarttags" w:element="stockticker">
        <w:r w:rsidRPr="00240B61">
          <w:t>PLR</w:t>
        </w:r>
      </w:smartTag>
      <w:r w:rsidRPr="00240B61">
        <w:rPr>
          <w:vertAlign w:val="superscript"/>
        </w:rPr>
        <w:t>2</w:t>
      </w:r>
      <w:r w:rsidRPr="00240B61">
        <w:t xml:space="preserve">) + </w:t>
      </w:r>
      <w:r w:rsidRPr="00240B61">
        <w:br/>
        <w:t xml:space="preserve">(j * </w:t>
      </w:r>
      <w:smartTag w:uri="urn:schemas-microsoft-com:office:smarttags" w:element="stockticker">
        <w:r w:rsidRPr="00240B61">
          <w:t>SCT</w:t>
        </w:r>
      </w:smartTag>
      <w:r w:rsidRPr="00240B61">
        <w:rPr>
          <w:vertAlign w:val="superscript"/>
        </w:rPr>
        <w:t>2</w:t>
      </w:r>
      <w:r w:rsidRPr="00240B61">
        <w:t xml:space="preserve"> * </w:t>
      </w:r>
      <w:smartTag w:uri="urn:schemas-microsoft-com:office:smarttags" w:element="stockticker">
        <w:r w:rsidRPr="00240B61">
          <w:t>PLR</w:t>
        </w:r>
      </w:smartTag>
      <w:r w:rsidRPr="00240B61">
        <w:t>)</w:t>
      </w:r>
    </w:p>
    <w:p w14:paraId="019ABD5B" w14:textId="77777777" w:rsidR="00855069" w:rsidRPr="00240B61" w:rsidRDefault="00855069" w:rsidP="00855069">
      <w:pPr>
        <w:ind w:left="2340" w:hanging="900"/>
      </w:pPr>
      <w:r w:rsidRPr="00240B61">
        <w:t>where,</w:t>
      </w:r>
    </w:p>
    <w:p w14:paraId="285EEAEE" w14:textId="77777777" w:rsidR="00855069" w:rsidRPr="00240B61" w:rsidRDefault="00855069" w:rsidP="00855069">
      <w:pPr>
        <w:ind w:left="2340" w:hanging="900"/>
      </w:pPr>
      <w:r w:rsidRPr="00240B61">
        <w:t>a</w:t>
      </w:r>
      <w:r w:rsidRPr="00240B61">
        <w:tab/>
        <w:t>= 3.75346018700468</w:t>
      </w:r>
    </w:p>
    <w:p w14:paraId="5C678001" w14:textId="77777777" w:rsidR="00855069" w:rsidRPr="00240B61" w:rsidRDefault="00855069" w:rsidP="00855069">
      <w:pPr>
        <w:ind w:left="2340" w:hanging="900"/>
      </w:pPr>
      <w:r w:rsidRPr="00240B61">
        <w:t>b</w:t>
      </w:r>
      <w:r w:rsidRPr="00240B61">
        <w:tab/>
        <w:t>= -0.049642253137389</w:t>
      </w:r>
    </w:p>
    <w:p w14:paraId="09A6A003" w14:textId="77777777" w:rsidR="00855069" w:rsidRPr="00240B61" w:rsidRDefault="00855069" w:rsidP="00855069">
      <w:pPr>
        <w:ind w:left="2340" w:hanging="900"/>
      </w:pPr>
      <w:r w:rsidRPr="00240B61">
        <w:t>c</w:t>
      </w:r>
      <w:r w:rsidRPr="00240B61">
        <w:tab/>
        <w:t>= 29.4589834935596</w:t>
      </w:r>
    </w:p>
    <w:p w14:paraId="585555A0" w14:textId="77777777" w:rsidR="00855069" w:rsidRPr="00240B61" w:rsidRDefault="00855069" w:rsidP="00855069">
      <w:pPr>
        <w:ind w:left="2340" w:hanging="900"/>
      </w:pPr>
      <w:r w:rsidRPr="00240B61">
        <w:t>d</w:t>
      </w:r>
      <w:r w:rsidRPr="00240B61">
        <w:tab/>
        <w:t>= 0.000342066982768282</w:t>
      </w:r>
    </w:p>
    <w:p w14:paraId="5CC2C05A" w14:textId="77777777" w:rsidR="00855069" w:rsidRPr="00240B61" w:rsidRDefault="00855069" w:rsidP="00855069">
      <w:pPr>
        <w:ind w:left="2340" w:hanging="900"/>
      </w:pPr>
      <w:r w:rsidRPr="00240B61">
        <w:t>e</w:t>
      </w:r>
      <w:r w:rsidRPr="00240B61">
        <w:tab/>
        <w:t>= -11.7705583766926</w:t>
      </w:r>
    </w:p>
    <w:p w14:paraId="365A25BF" w14:textId="77777777" w:rsidR="00855069" w:rsidRPr="00240B61" w:rsidRDefault="00855069" w:rsidP="00855069">
      <w:pPr>
        <w:ind w:left="2340" w:hanging="900"/>
      </w:pPr>
      <w:r w:rsidRPr="00240B61">
        <w:t>f</w:t>
      </w:r>
      <w:r w:rsidRPr="00240B61">
        <w:tab/>
        <w:t>= -0.212941092717051</w:t>
      </w:r>
    </w:p>
    <w:p w14:paraId="3B66DD30" w14:textId="77777777" w:rsidR="00855069" w:rsidRPr="00240B61" w:rsidRDefault="00855069" w:rsidP="00855069">
      <w:pPr>
        <w:ind w:left="2340" w:hanging="900"/>
      </w:pPr>
      <w:r w:rsidRPr="00240B61">
        <w:t>g</w:t>
      </w:r>
      <w:r w:rsidRPr="00240B61">
        <w:tab/>
        <w:t>= -1.46606221890819E-06</w:t>
      </w:r>
    </w:p>
    <w:p w14:paraId="74405B3E" w14:textId="77777777" w:rsidR="00855069" w:rsidRPr="00240B61" w:rsidRDefault="00855069" w:rsidP="00855069">
      <w:pPr>
        <w:ind w:left="2340" w:hanging="900"/>
      </w:pPr>
      <w:r w:rsidRPr="00240B61">
        <w:t>h</w:t>
      </w:r>
      <w:r w:rsidRPr="00240B61">
        <w:tab/>
        <w:t>= 6.80170133906075</w:t>
      </w:r>
    </w:p>
    <w:p w14:paraId="63F94D70" w14:textId="77777777" w:rsidR="00855069" w:rsidRPr="00240B61" w:rsidRDefault="00855069" w:rsidP="00855069">
      <w:pPr>
        <w:ind w:left="2340" w:hanging="900"/>
      </w:pPr>
      <w:r w:rsidRPr="00240B61">
        <w:t>i</w:t>
      </w:r>
      <w:r w:rsidRPr="00240B61">
        <w:tab/>
        <w:t>= -0.020187240339536</w:t>
      </w:r>
    </w:p>
    <w:p w14:paraId="6E1C9B86" w14:textId="77777777" w:rsidR="00855069" w:rsidRPr="00240B61" w:rsidRDefault="00855069" w:rsidP="00855069">
      <w:pPr>
        <w:ind w:left="2340" w:hanging="900"/>
      </w:pPr>
      <w:r w:rsidRPr="00240B61">
        <w:t>j</w:t>
      </w:r>
      <w:r w:rsidRPr="00240B61">
        <w:tab/>
        <w:t>= 0.000657941213335828</w:t>
      </w:r>
    </w:p>
    <w:p w14:paraId="5A875BB7" w14:textId="77777777" w:rsidR="00855069" w:rsidRPr="00240B61" w:rsidRDefault="00855069" w:rsidP="00855069">
      <w:pPr>
        <w:ind w:left="2340" w:hanging="900"/>
      </w:pPr>
      <w:smartTag w:uri="urn:schemas-microsoft-com:office:smarttags" w:element="stockticker">
        <w:r w:rsidRPr="00240B61">
          <w:t>PLR</w:t>
        </w:r>
      </w:smartTag>
      <w:r w:rsidRPr="00240B61">
        <w:tab/>
        <w:t>= 0.87</w:t>
      </w:r>
    </w:p>
    <w:p w14:paraId="15D65506" w14:textId="77777777" w:rsidR="00855069" w:rsidRPr="00240B61" w:rsidRDefault="00855069" w:rsidP="00855069"/>
    <w:p w14:paraId="5A887CFA" w14:textId="628BF395" w:rsidR="00855069" w:rsidRPr="00240B61" w:rsidRDefault="00855069" w:rsidP="00855069">
      <w:pPr>
        <w:numPr>
          <w:ilvl w:val="1"/>
          <w:numId w:val="47"/>
        </w:numPr>
      </w:pPr>
      <w:r w:rsidRPr="00240B61">
        <w:t>For low temperature compressors, the following equation is used to determine the EERLT (Btu/hr/watts</w:t>
      </w:r>
      <w:r w:rsidRPr="006D04C7">
        <w:t xml:space="preserve">) </w:t>
      </w:r>
      <w:r w:rsidR="00D879FA">
        <w:t>[404]</w:t>
      </w:r>
    </w:p>
    <w:p w14:paraId="412F6CB2" w14:textId="77777777" w:rsidR="00855069" w:rsidRPr="00240B61" w:rsidRDefault="00855069" w:rsidP="00855069"/>
    <w:p w14:paraId="5369B564" w14:textId="77777777" w:rsidR="00855069" w:rsidRPr="00240B61" w:rsidRDefault="00855069" w:rsidP="006D04C7">
      <w:pPr>
        <w:ind w:left="1440"/>
      </w:pPr>
      <w:r w:rsidRPr="00240B61">
        <w:t>EER</w:t>
      </w:r>
      <w:r w:rsidRPr="00240B61">
        <w:rPr>
          <w:vertAlign w:val="subscript"/>
        </w:rPr>
        <w:t>LT</w:t>
      </w:r>
      <w:r w:rsidRPr="00240B61">
        <w:t xml:space="preserve"> = a + (b * </w:t>
      </w:r>
      <w:smartTag w:uri="urn:schemas-microsoft-com:office:smarttags" w:element="stockticker">
        <w:r w:rsidRPr="00240B61">
          <w:t>SCT</w:t>
        </w:r>
      </w:smartTag>
      <w:r w:rsidRPr="00240B61">
        <w:t xml:space="preserve">) + (c * </w:t>
      </w:r>
      <w:smartTag w:uri="urn:schemas-microsoft-com:office:smarttags" w:element="stockticker">
        <w:r w:rsidRPr="00240B61">
          <w:t>PLR</w:t>
        </w:r>
      </w:smartTag>
      <w:r w:rsidRPr="00240B61">
        <w:t xml:space="preserve">) + (d * </w:t>
      </w:r>
      <w:smartTag w:uri="urn:schemas-microsoft-com:office:smarttags" w:element="stockticker">
        <w:r w:rsidRPr="00240B61">
          <w:t>SCT</w:t>
        </w:r>
      </w:smartTag>
      <w:r w:rsidRPr="00240B61">
        <w:rPr>
          <w:vertAlign w:val="superscript"/>
        </w:rPr>
        <w:t>2</w:t>
      </w:r>
      <w:r w:rsidRPr="00240B61">
        <w:t xml:space="preserve">) + (e * </w:t>
      </w:r>
      <w:smartTag w:uri="urn:schemas-microsoft-com:office:smarttags" w:element="stockticker">
        <w:r w:rsidRPr="00240B61">
          <w:t>PLR</w:t>
        </w:r>
      </w:smartTag>
      <w:r w:rsidRPr="00240B61">
        <w:rPr>
          <w:vertAlign w:val="superscript"/>
        </w:rPr>
        <w:t>2</w:t>
      </w:r>
      <w:r w:rsidRPr="00240B61">
        <w:t xml:space="preserve">) + (f * </w:t>
      </w:r>
      <w:smartTag w:uri="urn:schemas-microsoft-com:office:smarttags" w:element="stockticker">
        <w:r w:rsidRPr="00240B61">
          <w:t>SCT</w:t>
        </w:r>
      </w:smartTag>
      <w:r w:rsidRPr="00240B61">
        <w:t xml:space="preserve"> * </w:t>
      </w:r>
      <w:smartTag w:uri="urn:schemas-microsoft-com:office:smarttags" w:element="stockticker">
        <w:r w:rsidRPr="00240B61">
          <w:t>PLR</w:t>
        </w:r>
      </w:smartTag>
      <w:r w:rsidRPr="00240B61">
        <w:t xml:space="preserve">) + (g * </w:t>
      </w:r>
      <w:smartTag w:uri="urn:schemas-microsoft-com:office:smarttags" w:element="stockticker">
        <w:r w:rsidRPr="00240B61">
          <w:t>SCT</w:t>
        </w:r>
      </w:smartTag>
      <w:r w:rsidRPr="00240B61">
        <w:rPr>
          <w:vertAlign w:val="superscript"/>
        </w:rPr>
        <w:t>3</w:t>
      </w:r>
      <w:r w:rsidRPr="00240B61">
        <w:t xml:space="preserve">) + (h * </w:t>
      </w:r>
      <w:smartTag w:uri="urn:schemas-microsoft-com:office:smarttags" w:element="stockticker">
        <w:r w:rsidRPr="00240B61">
          <w:t>PLR</w:t>
        </w:r>
      </w:smartTag>
      <w:r w:rsidRPr="00240B61">
        <w:rPr>
          <w:vertAlign w:val="superscript"/>
        </w:rPr>
        <w:t>3</w:t>
      </w:r>
      <w:r w:rsidRPr="00240B61">
        <w:t xml:space="preserve">) + (i * </w:t>
      </w:r>
      <w:smartTag w:uri="urn:schemas-microsoft-com:office:smarttags" w:element="stockticker">
        <w:r w:rsidRPr="00240B61">
          <w:t>SCT</w:t>
        </w:r>
      </w:smartTag>
      <w:r w:rsidRPr="00240B61">
        <w:t xml:space="preserve"> * </w:t>
      </w:r>
      <w:smartTag w:uri="urn:schemas-microsoft-com:office:smarttags" w:element="stockticker">
        <w:r w:rsidRPr="00240B61">
          <w:t>PLR</w:t>
        </w:r>
      </w:smartTag>
      <w:r w:rsidRPr="00240B61">
        <w:rPr>
          <w:vertAlign w:val="superscript"/>
        </w:rPr>
        <w:t>2</w:t>
      </w:r>
      <w:r w:rsidRPr="00240B61">
        <w:t xml:space="preserve">) + </w:t>
      </w:r>
      <w:r w:rsidRPr="00240B61">
        <w:br/>
        <w:t xml:space="preserve">(j * </w:t>
      </w:r>
      <w:smartTag w:uri="urn:schemas-microsoft-com:office:smarttags" w:element="stockticker">
        <w:r w:rsidRPr="00240B61">
          <w:t>SCT</w:t>
        </w:r>
      </w:smartTag>
      <w:r w:rsidRPr="00240B61">
        <w:rPr>
          <w:vertAlign w:val="superscript"/>
        </w:rPr>
        <w:t>2</w:t>
      </w:r>
      <w:r w:rsidRPr="00240B61">
        <w:t xml:space="preserve"> * </w:t>
      </w:r>
      <w:smartTag w:uri="urn:schemas-microsoft-com:office:smarttags" w:element="stockticker">
        <w:r w:rsidRPr="00240B61">
          <w:t>PLR</w:t>
        </w:r>
      </w:smartTag>
      <w:r w:rsidRPr="00240B61">
        <w:t>)</w:t>
      </w:r>
    </w:p>
    <w:p w14:paraId="1960972B" w14:textId="77777777" w:rsidR="00855069" w:rsidRPr="00240B61" w:rsidRDefault="00855069" w:rsidP="00855069">
      <w:pPr>
        <w:ind w:left="2520" w:hanging="1080"/>
      </w:pPr>
    </w:p>
    <w:p w14:paraId="29941E4B" w14:textId="77777777" w:rsidR="00855069" w:rsidRPr="00240B61" w:rsidRDefault="00855069" w:rsidP="00855069">
      <w:pPr>
        <w:ind w:left="2520" w:hanging="1080"/>
      </w:pPr>
      <w:r w:rsidRPr="00240B61">
        <w:t>where,</w:t>
      </w:r>
    </w:p>
    <w:p w14:paraId="325AFCA3" w14:textId="77777777" w:rsidR="00855069" w:rsidRPr="00240B61" w:rsidRDefault="00855069" w:rsidP="00855069">
      <w:pPr>
        <w:ind w:left="2520" w:hanging="1080"/>
      </w:pPr>
      <w:r w:rsidRPr="00240B61">
        <w:t>a</w:t>
      </w:r>
      <w:r w:rsidRPr="00240B61">
        <w:tab/>
        <w:t>= 9.86650982829017</w:t>
      </w:r>
    </w:p>
    <w:p w14:paraId="679AC770" w14:textId="77777777" w:rsidR="00855069" w:rsidRPr="00240B61" w:rsidRDefault="00855069" w:rsidP="00855069">
      <w:pPr>
        <w:ind w:left="2520" w:hanging="1080"/>
      </w:pPr>
      <w:r w:rsidRPr="00240B61">
        <w:t>b</w:t>
      </w:r>
      <w:r w:rsidRPr="00240B61">
        <w:tab/>
        <w:t>= -0.230356886617629</w:t>
      </w:r>
    </w:p>
    <w:p w14:paraId="37E205CE" w14:textId="77777777" w:rsidR="00855069" w:rsidRPr="00240B61" w:rsidRDefault="00855069" w:rsidP="00855069">
      <w:pPr>
        <w:ind w:left="2520" w:hanging="1080"/>
      </w:pPr>
      <w:r w:rsidRPr="00240B61">
        <w:t>c</w:t>
      </w:r>
      <w:r w:rsidRPr="00240B61">
        <w:tab/>
        <w:t>= 22.905553824974</w:t>
      </w:r>
    </w:p>
    <w:p w14:paraId="75057BCF" w14:textId="77777777" w:rsidR="00855069" w:rsidRPr="00240B61" w:rsidRDefault="00855069" w:rsidP="00855069">
      <w:pPr>
        <w:ind w:left="2520" w:hanging="1080"/>
      </w:pPr>
      <w:r w:rsidRPr="00240B61">
        <w:t>d</w:t>
      </w:r>
      <w:r w:rsidRPr="00240B61">
        <w:tab/>
        <w:t>= 0.00218892905109218</w:t>
      </w:r>
    </w:p>
    <w:p w14:paraId="6E6BBB71" w14:textId="77777777" w:rsidR="00855069" w:rsidRPr="00240B61" w:rsidRDefault="00855069" w:rsidP="00855069">
      <w:pPr>
        <w:ind w:left="2520" w:hanging="1080"/>
      </w:pPr>
      <w:r w:rsidRPr="00240B61">
        <w:t>e</w:t>
      </w:r>
      <w:r w:rsidRPr="00240B61">
        <w:tab/>
        <w:t>= -2.48866737934442</w:t>
      </w:r>
    </w:p>
    <w:p w14:paraId="3602D902" w14:textId="77777777" w:rsidR="00855069" w:rsidRPr="00240B61" w:rsidRDefault="00855069" w:rsidP="00855069">
      <w:pPr>
        <w:ind w:left="2520" w:hanging="1080"/>
      </w:pPr>
      <w:r w:rsidRPr="00240B61">
        <w:t>f</w:t>
      </w:r>
      <w:r w:rsidRPr="00240B61">
        <w:tab/>
        <w:t>= -0.248051519588758</w:t>
      </w:r>
    </w:p>
    <w:p w14:paraId="264BFE6A" w14:textId="77777777" w:rsidR="00855069" w:rsidRPr="00240B61" w:rsidRDefault="00855069" w:rsidP="00855069">
      <w:pPr>
        <w:ind w:left="2520" w:hanging="1080"/>
      </w:pPr>
      <w:r w:rsidRPr="00240B61">
        <w:t>g</w:t>
      </w:r>
      <w:r w:rsidRPr="00240B61">
        <w:tab/>
        <w:t>= -7.57495453950879E-06</w:t>
      </w:r>
    </w:p>
    <w:p w14:paraId="4C6BF66F" w14:textId="77777777" w:rsidR="00855069" w:rsidRPr="00240B61" w:rsidRDefault="00855069" w:rsidP="00855069">
      <w:pPr>
        <w:ind w:left="2520" w:hanging="1080"/>
      </w:pPr>
      <w:r w:rsidRPr="00240B61">
        <w:t>h</w:t>
      </w:r>
      <w:r w:rsidRPr="00240B61">
        <w:tab/>
        <w:t>= 2.03606248623924</w:t>
      </w:r>
    </w:p>
    <w:p w14:paraId="64D9D691" w14:textId="77777777" w:rsidR="00855069" w:rsidRPr="00240B61" w:rsidRDefault="00855069" w:rsidP="00855069">
      <w:pPr>
        <w:ind w:left="2520" w:hanging="1080"/>
      </w:pPr>
      <w:r w:rsidRPr="00240B61">
        <w:t>i</w:t>
      </w:r>
      <w:r w:rsidRPr="00240B61">
        <w:tab/>
        <w:t>= -0.0214774331896676</w:t>
      </w:r>
    </w:p>
    <w:p w14:paraId="14095524" w14:textId="77777777" w:rsidR="00855069" w:rsidRPr="00240B61" w:rsidRDefault="00855069" w:rsidP="00855069">
      <w:pPr>
        <w:ind w:left="2520" w:hanging="1080"/>
      </w:pPr>
      <w:r w:rsidRPr="00240B61">
        <w:t>j</w:t>
      </w:r>
      <w:r w:rsidRPr="00240B61">
        <w:tab/>
        <w:t>= 0.000938305518020252</w:t>
      </w:r>
    </w:p>
    <w:p w14:paraId="4513FF19" w14:textId="77777777" w:rsidR="00855069" w:rsidRPr="00240B61" w:rsidRDefault="00855069" w:rsidP="00855069">
      <w:pPr>
        <w:ind w:left="2520" w:hanging="1080"/>
        <w:rPr>
          <w:vertAlign w:val="subscript"/>
        </w:rPr>
      </w:pPr>
      <w:smartTag w:uri="urn:schemas-microsoft-com:office:smarttags" w:element="stockticker">
        <w:r w:rsidRPr="00240B61">
          <w:t>PLR</w:t>
        </w:r>
      </w:smartTag>
      <w:r w:rsidRPr="00240B61">
        <w:tab/>
        <w:t>= 0.87</w:t>
      </w:r>
    </w:p>
    <w:p w14:paraId="2B2E44B0" w14:textId="77777777" w:rsidR="00855069" w:rsidRPr="00240B61" w:rsidRDefault="00855069" w:rsidP="00855069"/>
    <w:p w14:paraId="290DEF47" w14:textId="77777777" w:rsidR="00855069" w:rsidRPr="00240B61" w:rsidRDefault="00855069" w:rsidP="00855069">
      <w:pPr>
        <w:numPr>
          <w:ilvl w:val="1"/>
          <w:numId w:val="47"/>
        </w:numPr>
      </w:pPr>
      <w:r w:rsidRPr="00240B61">
        <w:t xml:space="preserve">Typically, reduction in cooling load results in a decreased EER for a retrofit measure due to a change in the </w:t>
      </w:r>
      <w:smartTag w:uri="urn:schemas-microsoft-com:office:smarttags" w:element="stockticker">
        <w:r w:rsidRPr="00240B61">
          <w:t>PLR</w:t>
        </w:r>
      </w:smartTag>
      <w:r w:rsidRPr="00240B61">
        <w:t xml:space="preserve">.  However, this analysis deals with the change in cooling load for many different sizes of equipment in multiple applications with varying baseline cooling loads. Therefore, it would be difficult to assume a new </w:t>
      </w:r>
      <w:smartTag w:uri="urn:schemas-microsoft-com:office:smarttags" w:element="stockticker">
        <w:r w:rsidRPr="00240B61">
          <w:t>PLR</w:t>
        </w:r>
      </w:smartTag>
      <w:r w:rsidRPr="00240B61">
        <w:t xml:space="preserve"> that would be applicable to all types of equipment addressed here.  To simplify the analysis, EER is assumed to remain constant for both the baseline and retrofit situations.</w:t>
      </w:r>
    </w:p>
    <w:p w14:paraId="1082DC5C" w14:textId="77777777" w:rsidR="00855069" w:rsidRPr="00240B61" w:rsidRDefault="00855069" w:rsidP="00855069"/>
    <w:p w14:paraId="42496EEF" w14:textId="77777777" w:rsidR="00855069" w:rsidRDefault="00855069" w:rsidP="00855069">
      <w:pPr>
        <w:rPr>
          <w:b/>
          <w:u w:val="single"/>
        </w:rPr>
      </w:pPr>
      <w:r w:rsidRPr="00240B61">
        <w:rPr>
          <w:b/>
          <w:u w:val="single"/>
        </w:rPr>
        <w:t>Power &amp; Energy Use</w:t>
      </w:r>
    </w:p>
    <w:p w14:paraId="074C7D48" w14:textId="77777777" w:rsidR="00855069" w:rsidRPr="00240B61" w:rsidRDefault="00855069" w:rsidP="00855069">
      <w:pPr>
        <w:rPr>
          <w:b/>
          <w:u w:val="single"/>
        </w:rPr>
      </w:pPr>
    </w:p>
    <w:p w14:paraId="16319C8C" w14:textId="77777777" w:rsidR="00855069" w:rsidRPr="00240B61" w:rsidRDefault="00855069" w:rsidP="00855069">
      <w:pPr>
        <w:numPr>
          <w:ilvl w:val="0"/>
          <w:numId w:val="47"/>
        </w:numPr>
      </w:pPr>
      <w:r w:rsidRPr="00240B61">
        <w:t xml:space="preserve">Power savings </w:t>
      </w:r>
    </w:p>
    <w:p w14:paraId="084F528C" w14:textId="77777777" w:rsidR="00855069" w:rsidRPr="00240B61" w:rsidRDefault="00855069" w:rsidP="00855069">
      <w:pPr>
        <w:numPr>
          <w:ilvl w:val="1"/>
          <w:numId w:val="47"/>
        </w:numPr>
      </w:pPr>
      <w:r w:rsidRPr="00240B61">
        <w:t>Differential power used by the compressor to remove the cooling load imposed by the lighting system is determined based on calculated cooling load and EER, as outlined below.</w:t>
      </w:r>
    </w:p>
    <w:p w14:paraId="661E745D" w14:textId="77777777" w:rsidR="00855069" w:rsidRPr="00240B61" w:rsidRDefault="00855069" w:rsidP="00855069">
      <w:pPr>
        <w:ind w:left="1440" w:firstLine="360"/>
      </w:pPr>
    </w:p>
    <w:p w14:paraId="3962F3C5" w14:textId="77777777" w:rsidR="00855069" w:rsidRPr="00240B61" w:rsidRDefault="00855069" w:rsidP="00855069">
      <w:pPr>
        <w:tabs>
          <w:tab w:val="left" w:pos="2520"/>
        </w:tabs>
        <w:ind w:left="3060" w:hanging="1620"/>
      </w:pPr>
      <w:r w:rsidRPr="00240B61">
        <w:rPr>
          <w:position w:val="-28"/>
        </w:rPr>
        <w:object w:dxaOrig="2415" w:dyaOrig="690" w14:anchorId="3B688877">
          <v:shape id="_x0000_i1033" type="#_x0000_t75" style="width:120pt;height:36pt" o:ole="">
            <v:imagedata r:id="rId27" o:title=""/>
          </v:shape>
          <o:OLEObject Type="Embed" ProgID="Equation.3" ShapeID="_x0000_i1033" DrawAspect="Content" ObjectID="_1548158094" r:id="rId28"/>
        </w:object>
      </w:r>
    </w:p>
    <w:p w14:paraId="242E9A32" w14:textId="77777777" w:rsidR="00855069" w:rsidRPr="00240B61" w:rsidRDefault="00855069" w:rsidP="00855069">
      <w:pPr>
        <w:tabs>
          <w:tab w:val="left" w:pos="2520"/>
        </w:tabs>
        <w:ind w:left="3060" w:hanging="1620"/>
      </w:pPr>
    </w:p>
    <w:p w14:paraId="2ADE2A89" w14:textId="77777777" w:rsidR="00855069" w:rsidRPr="00240B61" w:rsidRDefault="00855069" w:rsidP="00855069">
      <w:pPr>
        <w:tabs>
          <w:tab w:val="left" w:pos="2520"/>
        </w:tabs>
        <w:ind w:left="3060" w:hanging="1620"/>
      </w:pPr>
      <w:r w:rsidRPr="00240B61">
        <w:t>where</w:t>
      </w:r>
    </w:p>
    <w:p w14:paraId="2812905B" w14:textId="77777777" w:rsidR="00855069" w:rsidRPr="00240B61" w:rsidRDefault="00855069" w:rsidP="00855069">
      <w:pPr>
        <w:tabs>
          <w:tab w:val="left" w:pos="2520"/>
        </w:tabs>
        <w:ind w:left="3060" w:hanging="1620"/>
      </w:pPr>
      <w:r w:rsidRPr="00240B61">
        <w:sym w:font="Symbol" w:char="F044"/>
      </w:r>
      <w:r w:rsidRPr="00240B61">
        <w:t>kW</w:t>
      </w:r>
      <w:r w:rsidRPr="00240B61">
        <w:rPr>
          <w:vertAlign w:val="subscript"/>
        </w:rPr>
        <w:t>comp</w:t>
      </w:r>
      <w:r w:rsidRPr="00240B61">
        <w:rPr>
          <w:vertAlign w:val="subscript"/>
        </w:rPr>
        <w:tab/>
      </w:r>
      <w:r w:rsidRPr="00240B61">
        <w:t xml:space="preserve">= change in compressor power, kW/door </w:t>
      </w:r>
    </w:p>
    <w:p w14:paraId="6B38AA94" w14:textId="77777777" w:rsidR="00855069" w:rsidRPr="00240B61" w:rsidRDefault="00855069" w:rsidP="00855069">
      <w:pPr>
        <w:tabs>
          <w:tab w:val="left" w:pos="2520"/>
        </w:tabs>
        <w:ind w:left="3060" w:hanging="1620"/>
      </w:pPr>
      <w:r w:rsidRPr="00240B61">
        <w:sym w:font="Symbol" w:char="F044"/>
      </w:r>
      <w:r w:rsidRPr="00240B61">
        <w:t>Q</w:t>
      </w:r>
      <w:r w:rsidRPr="00240B61">
        <w:rPr>
          <w:vertAlign w:val="subscript"/>
        </w:rPr>
        <w:t>door</w:t>
      </w:r>
      <w:r w:rsidRPr="00240B61">
        <w:rPr>
          <w:vertAlign w:val="subscript"/>
        </w:rPr>
        <w:tab/>
      </w:r>
      <w:r w:rsidRPr="00240B61">
        <w:t xml:space="preserve">= change in cooling load per door for MT or LT, Btu/hr/door </w:t>
      </w:r>
    </w:p>
    <w:p w14:paraId="77F4E074" w14:textId="77777777" w:rsidR="00855069" w:rsidRPr="00240B61" w:rsidRDefault="00855069" w:rsidP="00855069">
      <w:pPr>
        <w:tabs>
          <w:tab w:val="left" w:pos="2520"/>
        </w:tabs>
        <w:ind w:left="3060" w:hanging="1620"/>
      </w:pPr>
      <w:r w:rsidRPr="00240B61">
        <w:t>EER</w:t>
      </w:r>
      <w:r w:rsidRPr="00240B61">
        <w:tab/>
        <w:t>= EER for LT or MT, Btu/hr/watts</w:t>
      </w:r>
    </w:p>
    <w:p w14:paraId="0853C98A" w14:textId="77777777" w:rsidR="00855069" w:rsidRPr="00240B61" w:rsidRDefault="00855069" w:rsidP="00855069">
      <w:pPr>
        <w:tabs>
          <w:tab w:val="left" w:pos="2520"/>
        </w:tabs>
        <w:ind w:left="3060" w:hanging="1620"/>
      </w:pPr>
    </w:p>
    <w:p w14:paraId="11676F4E" w14:textId="77777777" w:rsidR="00855069" w:rsidRPr="00240B61" w:rsidRDefault="00855069" w:rsidP="00855069">
      <w:pPr>
        <w:numPr>
          <w:ilvl w:val="1"/>
          <w:numId w:val="47"/>
        </w:numPr>
      </w:pPr>
      <w:r w:rsidRPr="00240B61">
        <w:t>Total power savings (ΔkW) is the sum of lighting and compressor savings.</w:t>
      </w:r>
    </w:p>
    <w:p w14:paraId="4825B157" w14:textId="77777777" w:rsidR="00855069" w:rsidRPr="00240B61" w:rsidRDefault="00855069" w:rsidP="00855069">
      <w:pPr>
        <w:tabs>
          <w:tab w:val="left" w:pos="2520"/>
        </w:tabs>
        <w:ind w:left="3060" w:hanging="1620"/>
      </w:pPr>
    </w:p>
    <w:p w14:paraId="691144AC" w14:textId="77777777" w:rsidR="00855069" w:rsidRPr="00240B61" w:rsidRDefault="00855069" w:rsidP="00855069">
      <w:pPr>
        <w:tabs>
          <w:tab w:val="left" w:pos="2520"/>
        </w:tabs>
        <w:ind w:left="3060" w:hanging="1620"/>
      </w:pPr>
      <w:r w:rsidRPr="00240B61">
        <w:t xml:space="preserve"> </w:t>
      </w:r>
      <w:r w:rsidRPr="00240B61">
        <w:rPr>
          <w:position w:val="-14"/>
        </w:rPr>
        <w:object w:dxaOrig="2775" w:dyaOrig="345" w14:anchorId="3447FE0B">
          <v:shape id="_x0000_i1034" type="#_x0000_t75" style="width:138pt;height:17.4pt" o:ole="">
            <v:imagedata r:id="rId29" o:title=""/>
          </v:shape>
          <o:OLEObject Type="Embed" ProgID="Equation.3" ShapeID="_x0000_i1034" DrawAspect="Content" ObjectID="_1548158095" r:id="rId30"/>
        </w:object>
      </w:r>
    </w:p>
    <w:p w14:paraId="5684742B" w14:textId="77777777" w:rsidR="00855069" w:rsidRPr="00240B61" w:rsidRDefault="00855069" w:rsidP="00855069"/>
    <w:p w14:paraId="32696EDD" w14:textId="77777777" w:rsidR="00855069" w:rsidRPr="00240B61" w:rsidRDefault="00855069" w:rsidP="00855069">
      <w:pPr>
        <w:numPr>
          <w:ilvl w:val="0"/>
          <w:numId w:val="47"/>
        </w:numPr>
      </w:pPr>
      <w:r w:rsidRPr="00240B61">
        <w:t>Equivalent full load hours (EFLH) of operation</w:t>
      </w:r>
    </w:p>
    <w:p w14:paraId="11CED494" w14:textId="77777777" w:rsidR="00855069" w:rsidRPr="00240B61" w:rsidRDefault="00855069" w:rsidP="00855069">
      <w:pPr>
        <w:ind w:left="1440"/>
        <w:jc w:val="both"/>
      </w:pPr>
      <w:r w:rsidRPr="00240B61">
        <w:t>EFLH is determined by multiplying annual available operation hours (8,760) by overall duty cycle factor.  Duty cycle is a function of compressor capacity, defrost and weather, as shown below.</w:t>
      </w:r>
    </w:p>
    <w:p w14:paraId="46BDDF66" w14:textId="77777777" w:rsidR="00855069" w:rsidRPr="00240B61" w:rsidRDefault="00855069" w:rsidP="00855069">
      <w:pPr>
        <w:ind w:left="1800"/>
      </w:pPr>
    </w:p>
    <w:p w14:paraId="7D301747" w14:textId="17823F36" w:rsidR="00855069" w:rsidRPr="00240B61" w:rsidRDefault="00855069" w:rsidP="00855069">
      <w:pPr>
        <w:pStyle w:val="Caption"/>
        <w:keepNext/>
        <w:ind w:left="1440"/>
      </w:pPr>
      <w:r w:rsidRPr="00240B61">
        <w:rPr>
          <w:b w:val="0"/>
          <w:szCs w:val="24"/>
        </w:rPr>
        <w:t xml:space="preserve">The following equation shows the relationship between capacity, defrost and weather factor.  Capacity factor is a function of compressor capacity and cooling load, determined by subtracting the </w:t>
      </w:r>
      <w:smartTag w:uri="urn:schemas-microsoft-com:office:smarttags" w:element="stockticker">
        <w:r w:rsidRPr="00240B61">
          <w:rPr>
            <w:b w:val="0"/>
            <w:szCs w:val="24"/>
          </w:rPr>
          <w:t>PLR</w:t>
        </w:r>
      </w:smartTag>
      <w:r w:rsidRPr="00240B61">
        <w:rPr>
          <w:b w:val="0"/>
          <w:szCs w:val="24"/>
        </w:rPr>
        <w:t xml:space="preserve"> from 1. Using a compressor capacity factor of 15% results in a </w:t>
      </w:r>
      <w:smartTag w:uri="urn:schemas-microsoft-com:office:smarttags" w:element="stockticker">
        <w:r w:rsidRPr="00240B61">
          <w:rPr>
            <w:b w:val="0"/>
            <w:szCs w:val="24"/>
          </w:rPr>
          <w:t>PLR</w:t>
        </w:r>
      </w:smartTag>
      <w:r w:rsidRPr="00240B61">
        <w:rPr>
          <w:b w:val="0"/>
          <w:szCs w:val="24"/>
        </w:rPr>
        <w:t xml:space="preserve"> of 87%.  The defrost factor depends on the number and duration of defrost cycles and is determined by dividing the defrost duration (in hours) by 24 hours.  Weather factor is a function of CTZ.  Using DOE-2 simulation results for a typical supermarket, weather factors were determined </w:t>
      </w:r>
      <w:r w:rsidRPr="00486BA2">
        <w:rPr>
          <w:b w:val="0"/>
          <w:szCs w:val="24"/>
        </w:rPr>
        <w:t>for each CTZ [</w:t>
      </w:r>
      <w:r w:rsidR="0002163D" w:rsidRPr="00486BA2">
        <w:rPr>
          <w:b w:val="0"/>
          <w:szCs w:val="24"/>
        </w:rPr>
        <w:t>E</w:t>
      </w:r>
      <w:r w:rsidRPr="00486BA2">
        <w:rPr>
          <w:b w:val="0"/>
          <w:szCs w:val="24"/>
        </w:rPr>
        <w:t>]</w:t>
      </w:r>
      <w:r w:rsidRPr="00240B61">
        <w:t xml:space="preserve"> </w:t>
      </w:r>
    </w:p>
    <w:p w14:paraId="38FA0D15" w14:textId="77777777" w:rsidR="00855069" w:rsidRPr="00240B61" w:rsidRDefault="00855069" w:rsidP="00855069">
      <w:pPr>
        <w:ind w:left="1800"/>
      </w:pPr>
    </w:p>
    <w:p w14:paraId="6BD4B611" w14:textId="77777777" w:rsidR="00855069" w:rsidRPr="00240B61" w:rsidRDefault="00855069" w:rsidP="00855069">
      <w:pPr>
        <w:ind w:left="1440"/>
      </w:pPr>
      <w:r w:rsidRPr="00240B61">
        <w:t>Duty cycle = Capacity factor x Defrost factor x Weather factor</w:t>
      </w:r>
    </w:p>
    <w:p w14:paraId="5A59A967" w14:textId="77777777" w:rsidR="00855069" w:rsidRPr="00240B61" w:rsidRDefault="00855069" w:rsidP="00855069">
      <w:pPr>
        <w:ind w:left="1440"/>
      </w:pPr>
    </w:p>
    <w:p w14:paraId="3CC4BEBE" w14:textId="77777777" w:rsidR="00855069" w:rsidRPr="00240B61" w:rsidRDefault="00855069" w:rsidP="00855069">
      <w:pPr>
        <w:tabs>
          <w:tab w:val="left" w:pos="3600"/>
        </w:tabs>
        <w:ind w:left="1440"/>
      </w:pPr>
      <w:r w:rsidRPr="00240B61">
        <w:t>where,</w:t>
      </w:r>
    </w:p>
    <w:p w14:paraId="62D64F32" w14:textId="77777777" w:rsidR="00855069" w:rsidRPr="00240B61" w:rsidRDefault="00855069" w:rsidP="00855069">
      <w:pPr>
        <w:tabs>
          <w:tab w:val="left" w:pos="3240"/>
        </w:tabs>
        <w:ind w:left="1440"/>
      </w:pPr>
      <w:r w:rsidRPr="00240B61">
        <w:t xml:space="preserve">Capacity factor </w:t>
      </w:r>
      <w:r w:rsidRPr="00240B61">
        <w:tab/>
        <w:t xml:space="preserve">= function of </w:t>
      </w:r>
      <w:smartTag w:uri="urn:schemas-microsoft-com:office:smarttags" w:element="stockticker">
        <w:r w:rsidRPr="00240B61">
          <w:t>PLR</w:t>
        </w:r>
      </w:smartTag>
      <w:r w:rsidRPr="00240B61">
        <w:t>, (1-</w:t>
      </w:r>
      <w:smartTag w:uri="urn:schemas-microsoft-com:office:smarttags" w:element="stockticker">
        <w:r w:rsidRPr="00240B61">
          <w:t>PLR</w:t>
        </w:r>
      </w:smartTag>
      <w:r w:rsidRPr="00240B61">
        <w:t>)</w:t>
      </w:r>
    </w:p>
    <w:p w14:paraId="52A918A4" w14:textId="77777777" w:rsidR="00855069" w:rsidRPr="00240B61" w:rsidRDefault="00855069" w:rsidP="00855069">
      <w:pPr>
        <w:tabs>
          <w:tab w:val="left" w:pos="3240"/>
        </w:tabs>
        <w:ind w:left="1440"/>
      </w:pPr>
      <w:r w:rsidRPr="00240B61">
        <w:t xml:space="preserve">Defrost factor </w:t>
      </w:r>
      <w:r w:rsidRPr="00240B61">
        <w:tab/>
        <w:t>= 10% (2.4 hrs / 24 hrs) for LT, (1 – 0.10)</w:t>
      </w:r>
    </w:p>
    <w:p w14:paraId="3C231F80" w14:textId="77777777" w:rsidR="00855069" w:rsidRPr="00240B61" w:rsidRDefault="00855069" w:rsidP="00855069">
      <w:pPr>
        <w:tabs>
          <w:tab w:val="left" w:pos="3240"/>
        </w:tabs>
        <w:ind w:left="1440"/>
      </w:pPr>
      <w:r w:rsidRPr="00240B61">
        <w:tab/>
        <w:t>= 5% (1.2 hrs / 24 hrs) for MT, (1 – 0.05)</w:t>
      </w:r>
    </w:p>
    <w:p w14:paraId="2A7C35C3" w14:textId="77777777" w:rsidR="00855069" w:rsidRPr="00240B61" w:rsidRDefault="00855069" w:rsidP="00855069">
      <w:pPr>
        <w:tabs>
          <w:tab w:val="left" w:pos="3240"/>
        </w:tabs>
        <w:ind w:left="1440"/>
      </w:pPr>
      <w:r w:rsidRPr="00240B61">
        <w:t xml:space="preserve">Weather factor </w:t>
      </w:r>
      <w:r w:rsidRPr="00240B61">
        <w:tab/>
        <w:t>= function of CTZ (see discussion below)</w:t>
      </w:r>
    </w:p>
    <w:p w14:paraId="7A273F85" w14:textId="77777777" w:rsidR="00855069" w:rsidRPr="00240B61" w:rsidRDefault="00855069" w:rsidP="00855069">
      <w:pPr>
        <w:ind w:left="2340" w:hanging="180"/>
      </w:pPr>
    </w:p>
    <w:p w14:paraId="3C5171FA" w14:textId="48326631" w:rsidR="00855069" w:rsidRPr="00240B61" w:rsidRDefault="00855069" w:rsidP="00486BA2">
      <w:pPr>
        <w:ind w:left="1440"/>
      </w:pPr>
      <w:r w:rsidRPr="00240B61">
        <w:t>To estimate weather factor for each CTZ, the annual energy usage of a refrigeration system for a typical supermarket in each CTZ, based on a DOE-2 computer simulation, was used</w:t>
      </w:r>
      <w:r w:rsidRPr="00486BA2">
        <w:rPr>
          <w:b/>
        </w:rPr>
        <w:t xml:space="preserve">. </w:t>
      </w:r>
      <w:r w:rsidRPr="00486BA2">
        <w:t>[</w:t>
      </w:r>
      <w:r w:rsidRPr="00486BA2">
        <w:fldChar w:fldCharType="begin"/>
      </w:r>
      <w:r w:rsidRPr="00486BA2">
        <w:instrText xml:space="preserve"> NOTEREF _Ref364241192 \h  \* MERGEFORMAT </w:instrText>
      </w:r>
      <w:r w:rsidRPr="00486BA2">
        <w:fldChar w:fldCharType="separate"/>
      </w:r>
      <w:r w:rsidR="00486BA2" w:rsidRPr="00486BA2">
        <w:rPr>
          <w:bCs/>
        </w:rPr>
        <w:t>E</w:t>
      </w:r>
      <w:r w:rsidRPr="00486BA2">
        <w:fldChar w:fldCharType="end"/>
      </w:r>
      <w:r w:rsidRPr="00486BA2">
        <w:t>] Using CTZ</w:t>
      </w:r>
      <w:r w:rsidRPr="00240B61">
        <w:t xml:space="preserve"> 15 as a benchmark with 85% weather factor, weather factors for the other 15 CTZs were estimated.  The following equation shows this methodology.  The following table illustrates the annual energy usage of refrigeration for each CTZ and corresponding weather factors.</w:t>
      </w:r>
    </w:p>
    <w:p w14:paraId="1B8E6754" w14:textId="77777777" w:rsidR="00855069" w:rsidRPr="00240B61" w:rsidRDefault="00855069" w:rsidP="00855069">
      <w:pPr>
        <w:ind w:left="1800"/>
      </w:pPr>
    </w:p>
    <w:p w14:paraId="411EBD62" w14:textId="77777777" w:rsidR="00855069" w:rsidRPr="00240B61" w:rsidRDefault="00855069" w:rsidP="00855069">
      <w:pPr>
        <w:ind w:left="1440"/>
      </w:pPr>
      <w:r w:rsidRPr="00240B61">
        <w:rPr>
          <w:position w:val="-32"/>
        </w:rPr>
        <w:object w:dxaOrig="4050" w:dyaOrig="795" w14:anchorId="48E9CA68">
          <v:shape id="_x0000_i1035" type="#_x0000_t75" style="width:204pt;height:36pt" o:ole="">
            <v:imagedata r:id="rId31" o:title=""/>
          </v:shape>
          <o:OLEObject Type="Embed" ProgID="Equation.3" ShapeID="_x0000_i1035" DrawAspect="Content" ObjectID="_1548158096" r:id="rId32"/>
        </w:object>
      </w:r>
    </w:p>
    <w:p w14:paraId="53543776" w14:textId="77777777" w:rsidR="00855069" w:rsidRPr="00240B61" w:rsidRDefault="00855069" w:rsidP="00855069">
      <w:pPr>
        <w:ind w:left="1440"/>
      </w:pPr>
    </w:p>
    <w:p w14:paraId="60E0820E" w14:textId="77777777" w:rsidR="00855069" w:rsidRPr="00240B61" w:rsidRDefault="00855069" w:rsidP="00855069">
      <w:pPr>
        <w:ind w:left="1440"/>
      </w:pPr>
      <w:r w:rsidRPr="00240B61">
        <w:t>where,</w:t>
      </w:r>
    </w:p>
    <w:p w14:paraId="1FEA4B46" w14:textId="77777777" w:rsidR="00855069" w:rsidRPr="00240B61" w:rsidRDefault="00855069" w:rsidP="00855069">
      <w:pPr>
        <w:tabs>
          <w:tab w:val="left" w:pos="3600"/>
        </w:tabs>
        <w:ind w:left="1440"/>
      </w:pPr>
      <w:r w:rsidRPr="00240B61">
        <w:t>WF</w:t>
      </w:r>
      <w:r w:rsidRPr="00240B61">
        <w:rPr>
          <w:vertAlign w:val="subscript"/>
        </w:rPr>
        <w:t>CTZ</w:t>
      </w:r>
      <w:r w:rsidRPr="00240B61">
        <w:tab/>
        <w:t>= weather factor for each CTZ</w:t>
      </w:r>
    </w:p>
    <w:p w14:paraId="7A567D64" w14:textId="77777777" w:rsidR="00855069" w:rsidRPr="00240B61" w:rsidRDefault="00855069" w:rsidP="00855069">
      <w:pPr>
        <w:tabs>
          <w:tab w:val="left" w:pos="3600"/>
        </w:tabs>
        <w:ind w:left="3600" w:hanging="2160"/>
      </w:pPr>
      <w:r w:rsidRPr="00240B61">
        <w:t>Annual kWh CTZ</w:t>
      </w:r>
      <w:r w:rsidRPr="00240B61">
        <w:tab/>
        <w:t>= annual energy usage of refrigeration system for each CTZ, kWh/yr</w:t>
      </w:r>
    </w:p>
    <w:p w14:paraId="631551AC" w14:textId="77777777" w:rsidR="00855069" w:rsidRPr="00240B61" w:rsidRDefault="00855069" w:rsidP="00855069">
      <w:pPr>
        <w:tabs>
          <w:tab w:val="left" w:pos="3600"/>
        </w:tabs>
        <w:ind w:left="3600" w:hanging="2160"/>
      </w:pPr>
      <w:r w:rsidRPr="00240B61">
        <w:t>Annual kWh CTZ</w:t>
      </w:r>
      <w:r w:rsidRPr="00240B61">
        <w:rPr>
          <w:vertAlign w:val="subscript"/>
        </w:rPr>
        <w:t>15</w:t>
      </w:r>
      <w:r w:rsidRPr="00240B61">
        <w:tab/>
        <w:t>= annual energy usage of refrigeration system for CTZ 15, kWh/yr</w:t>
      </w:r>
    </w:p>
    <w:p w14:paraId="43EB2680" w14:textId="77777777" w:rsidR="00855069" w:rsidRPr="00240B61" w:rsidRDefault="00855069" w:rsidP="00855069">
      <w:pPr>
        <w:tabs>
          <w:tab w:val="left" w:pos="3600"/>
        </w:tabs>
        <w:ind w:left="1440"/>
      </w:pPr>
      <w:r w:rsidRPr="00240B61">
        <w:t>WF</w:t>
      </w:r>
      <w:r w:rsidRPr="00240B61">
        <w:rPr>
          <w:vertAlign w:val="subscript"/>
        </w:rPr>
        <w:t>CTZ-15</w:t>
      </w:r>
      <w:r w:rsidRPr="00240B61">
        <w:tab/>
        <w:t>= weather factor for CTZ 15, 85%</w:t>
      </w:r>
    </w:p>
    <w:p w14:paraId="76D5853A" w14:textId="77777777" w:rsidR="00457E8E" w:rsidRDefault="00457E8E" w:rsidP="00855069">
      <w:pPr>
        <w:rPr>
          <w:rFonts w:cstheme="minorHAnsi"/>
          <w:szCs w:val="22"/>
        </w:rPr>
      </w:pPr>
      <w:bookmarkStart w:id="20" w:name="_Toc179971694"/>
      <w:bookmarkStart w:id="21" w:name="_Ref179104612"/>
      <w:bookmarkStart w:id="22" w:name="_Toc178566394"/>
    </w:p>
    <w:p w14:paraId="5600FE8A" w14:textId="77777777" w:rsidR="00A64346" w:rsidRDefault="00A64346" w:rsidP="00855069">
      <w:pPr>
        <w:rPr>
          <w:rFonts w:cstheme="minorHAnsi"/>
          <w:b/>
          <w:szCs w:val="22"/>
        </w:rPr>
      </w:pPr>
    </w:p>
    <w:p w14:paraId="108B342C" w14:textId="77777777" w:rsidR="006A60A6" w:rsidRDefault="006A60A6" w:rsidP="00855069">
      <w:pPr>
        <w:rPr>
          <w:rFonts w:cstheme="minorHAnsi"/>
          <w:b/>
          <w:szCs w:val="22"/>
        </w:rPr>
      </w:pPr>
    </w:p>
    <w:p w14:paraId="7F31CF78" w14:textId="77777777" w:rsidR="00A64346" w:rsidRDefault="00A64346" w:rsidP="00855069">
      <w:pPr>
        <w:rPr>
          <w:rFonts w:cstheme="minorHAnsi"/>
          <w:b/>
          <w:szCs w:val="22"/>
        </w:rPr>
      </w:pPr>
    </w:p>
    <w:p w14:paraId="34F1188B" w14:textId="77777777" w:rsidR="00A64346" w:rsidRDefault="00A64346" w:rsidP="00855069">
      <w:pPr>
        <w:rPr>
          <w:rFonts w:cstheme="minorHAnsi"/>
          <w:b/>
          <w:szCs w:val="22"/>
        </w:rPr>
      </w:pPr>
    </w:p>
    <w:p w14:paraId="20476058" w14:textId="77777777" w:rsidR="00A64346" w:rsidRDefault="00A64346" w:rsidP="00855069">
      <w:pPr>
        <w:rPr>
          <w:rFonts w:cstheme="minorHAnsi"/>
          <w:b/>
          <w:szCs w:val="22"/>
        </w:rPr>
      </w:pPr>
    </w:p>
    <w:p w14:paraId="6D47CD42" w14:textId="77777777" w:rsidR="00A64346" w:rsidRDefault="00A64346" w:rsidP="00855069">
      <w:pPr>
        <w:rPr>
          <w:rFonts w:cstheme="minorHAnsi"/>
          <w:b/>
          <w:szCs w:val="22"/>
        </w:rPr>
      </w:pPr>
    </w:p>
    <w:p w14:paraId="2F30CF5F" w14:textId="249B59EC" w:rsidR="00855069" w:rsidRPr="00457E8E" w:rsidRDefault="00457E8E" w:rsidP="00855069">
      <w:pPr>
        <w:rPr>
          <w:b/>
        </w:rPr>
      </w:pPr>
      <w:r w:rsidRPr="00457E8E">
        <w:rPr>
          <w:rFonts w:cstheme="minorHAnsi"/>
          <w:b/>
          <w:szCs w:val="22"/>
        </w:rPr>
        <w:t>Weather Factor Values for SCE Climate Zones</w:t>
      </w:r>
    </w:p>
    <w:tbl>
      <w:tblPr>
        <w:tblStyle w:val="TableGrid1"/>
        <w:tblW w:w="5000" w:type="pct"/>
        <w:tblLook w:val="01E0" w:firstRow="1" w:lastRow="1" w:firstColumn="1" w:lastColumn="1" w:noHBand="0" w:noVBand="0"/>
      </w:tblPr>
      <w:tblGrid>
        <w:gridCol w:w="2695"/>
        <w:gridCol w:w="4591"/>
        <w:gridCol w:w="2064"/>
      </w:tblGrid>
      <w:tr w:rsidR="00457E8E" w:rsidRPr="00920905" w14:paraId="2E23D4C3" w14:textId="77777777" w:rsidTr="008B0035">
        <w:tc>
          <w:tcPr>
            <w:tcW w:w="1441" w:type="pct"/>
            <w:shd w:val="clear" w:color="auto" w:fill="D9D9D9" w:themeFill="background1" w:themeFillShade="D9"/>
            <w:vAlign w:val="bottom"/>
          </w:tcPr>
          <w:p w14:paraId="5C7CF77E" w14:textId="4F8EBE32" w:rsidR="00457E8E" w:rsidRPr="00457E8E" w:rsidRDefault="00457E8E" w:rsidP="00457E8E">
            <w:pPr>
              <w:jc w:val="center"/>
              <w:rPr>
                <w:rFonts w:cstheme="minorHAnsi"/>
                <w:b/>
                <w:szCs w:val="20"/>
              </w:rPr>
            </w:pPr>
            <w:r w:rsidRPr="00457E8E">
              <w:rPr>
                <w:b/>
                <w:bCs/>
                <w:szCs w:val="20"/>
              </w:rPr>
              <w:t>CTZ</w:t>
            </w:r>
          </w:p>
        </w:tc>
        <w:tc>
          <w:tcPr>
            <w:tcW w:w="2455" w:type="pct"/>
            <w:shd w:val="clear" w:color="auto" w:fill="D9D9D9" w:themeFill="background1" w:themeFillShade="D9"/>
            <w:vAlign w:val="bottom"/>
          </w:tcPr>
          <w:p w14:paraId="412F8752" w14:textId="100872FD" w:rsidR="00457E8E" w:rsidRPr="00457E8E" w:rsidRDefault="00457E8E" w:rsidP="00457E8E">
            <w:pPr>
              <w:jc w:val="center"/>
              <w:rPr>
                <w:rFonts w:cstheme="minorHAnsi"/>
                <w:b/>
                <w:szCs w:val="20"/>
              </w:rPr>
            </w:pPr>
            <w:r w:rsidRPr="00457E8E">
              <w:rPr>
                <w:b/>
                <w:bCs/>
                <w:szCs w:val="20"/>
              </w:rPr>
              <w:t>Refrigeration Annual Energy Usage (kWh/yr)*</w:t>
            </w:r>
          </w:p>
        </w:tc>
        <w:tc>
          <w:tcPr>
            <w:tcW w:w="1104" w:type="pct"/>
            <w:shd w:val="clear" w:color="auto" w:fill="D9D9D9" w:themeFill="background1" w:themeFillShade="D9"/>
            <w:vAlign w:val="bottom"/>
          </w:tcPr>
          <w:p w14:paraId="576739DE" w14:textId="62D718C5" w:rsidR="00457E8E" w:rsidRPr="00457E8E" w:rsidRDefault="00457E8E" w:rsidP="00457E8E">
            <w:pPr>
              <w:jc w:val="center"/>
              <w:rPr>
                <w:rFonts w:cstheme="minorHAnsi"/>
                <w:b/>
                <w:szCs w:val="20"/>
                <w:highlight w:val="yellow"/>
              </w:rPr>
            </w:pPr>
            <w:r w:rsidRPr="00457E8E">
              <w:rPr>
                <w:b/>
                <w:bCs/>
                <w:szCs w:val="20"/>
              </w:rPr>
              <w:t>Weather Factor (%)</w:t>
            </w:r>
          </w:p>
        </w:tc>
      </w:tr>
      <w:tr w:rsidR="00457E8E" w:rsidRPr="00920905" w14:paraId="0C799006" w14:textId="77777777" w:rsidTr="008B0035">
        <w:tc>
          <w:tcPr>
            <w:tcW w:w="1441" w:type="pct"/>
          </w:tcPr>
          <w:p w14:paraId="2FA611E3" w14:textId="161A6117" w:rsidR="00457E8E" w:rsidRPr="00920905" w:rsidRDefault="00457E8E" w:rsidP="00457E8E">
            <w:pPr>
              <w:jc w:val="center"/>
              <w:rPr>
                <w:rFonts w:cstheme="minorHAnsi"/>
                <w:color w:val="FF0000"/>
                <w:szCs w:val="20"/>
              </w:rPr>
            </w:pPr>
            <w:r w:rsidRPr="00240B61">
              <w:rPr>
                <w:szCs w:val="20"/>
              </w:rPr>
              <w:t>6</w:t>
            </w:r>
          </w:p>
        </w:tc>
        <w:tc>
          <w:tcPr>
            <w:tcW w:w="2455" w:type="pct"/>
          </w:tcPr>
          <w:p w14:paraId="1108EB2A" w14:textId="0A6DC4F3" w:rsidR="00457E8E" w:rsidRPr="00920905" w:rsidRDefault="00457E8E" w:rsidP="00457E8E">
            <w:pPr>
              <w:jc w:val="center"/>
              <w:rPr>
                <w:rFonts w:cstheme="minorHAnsi"/>
                <w:color w:val="FF0000"/>
                <w:szCs w:val="20"/>
              </w:rPr>
            </w:pPr>
            <w:r w:rsidRPr="00240B61">
              <w:rPr>
                <w:szCs w:val="20"/>
              </w:rPr>
              <w:t>502,982</w:t>
            </w:r>
          </w:p>
        </w:tc>
        <w:tc>
          <w:tcPr>
            <w:tcW w:w="1104" w:type="pct"/>
          </w:tcPr>
          <w:p w14:paraId="1E32587E" w14:textId="3BE76E26" w:rsidR="00457E8E" w:rsidRPr="00920905" w:rsidRDefault="00457E8E" w:rsidP="00457E8E">
            <w:pPr>
              <w:jc w:val="center"/>
              <w:rPr>
                <w:rFonts w:cstheme="minorHAnsi"/>
                <w:color w:val="FF0000"/>
                <w:szCs w:val="20"/>
              </w:rPr>
            </w:pPr>
            <w:r w:rsidRPr="00240B61">
              <w:rPr>
                <w:szCs w:val="20"/>
              </w:rPr>
              <w:t>78.9%</w:t>
            </w:r>
          </w:p>
        </w:tc>
      </w:tr>
      <w:tr w:rsidR="00457E8E" w:rsidRPr="00920905" w14:paraId="74A480AC" w14:textId="77777777" w:rsidTr="008B0035">
        <w:tc>
          <w:tcPr>
            <w:tcW w:w="1441" w:type="pct"/>
          </w:tcPr>
          <w:p w14:paraId="2E96FD23" w14:textId="272D7719" w:rsidR="00457E8E" w:rsidRPr="00920905" w:rsidRDefault="00457E8E" w:rsidP="00457E8E">
            <w:pPr>
              <w:jc w:val="center"/>
              <w:rPr>
                <w:rFonts w:cstheme="minorHAnsi"/>
                <w:color w:val="FF0000"/>
                <w:szCs w:val="20"/>
              </w:rPr>
            </w:pPr>
            <w:r w:rsidRPr="00240B61">
              <w:rPr>
                <w:szCs w:val="20"/>
              </w:rPr>
              <w:t>8</w:t>
            </w:r>
          </w:p>
        </w:tc>
        <w:tc>
          <w:tcPr>
            <w:tcW w:w="2455" w:type="pct"/>
          </w:tcPr>
          <w:p w14:paraId="717A0213" w14:textId="0371951E" w:rsidR="00457E8E" w:rsidRPr="00920905" w:rsidRDefault="00457E8E" w:rsidP="00457E8E">
            <w:pPr>
              <w:jc w:val="center"/>
              <w:rPr>
                <w:rFonts w:cstheme="minorHAnsi"/>
                <w:color w:val="FF0000"/>
                <w:szCs w:val="20"/>
              </w:rPr>
            </w:pPr>
            <w:r w:rsidRPr="00240B61">
              <w:rPr>
                <w:szCs w:val="20"/>
              </w:rPr>
              <w:t>506,024</w:t>
            </w:r>
          </w:p>
        </w:tc>
        <w:tc>
          <w:tcPr>
            <w:tcW w:w="1104" w:type="pct"/>
          </w:tcPr>
          <w:p w14:paraId="70AE955A" w14:textId="3776E13D" w:rsidR="00457E8E" w:rsidRPr="00920905" w:rsidRDefault="00457E8E" w:rsidP="00457E8E">
            <w:pPr>
              <w:jc w:val="center"/>
              <w:rPr>
                <w:rFonts w:cstheme="minorHAnsi"/>
                <w:color w:val="FF0000"/>
                <w:szCs w:val="20"/>
              </w:rPr>
            </w:pPr>
            <w:r w:rsidRPr="00240B61">
              <w:rPr>
                <w:szCs w:val="20"/>
              </w:rPr>
              <w:t>79.4%</w:t>
            </w:r>
          </w:p>
        </w:tc>
      </w:tr>
      <w:tr w:rsidR="00457E8E" w:rsidRPr="00920905" w14:paraId="2E8B61A8" w14:textId="77777777" w:rsidTr="008B0035">
        <w:tc>
          <w:tcPr>
            <w:tcW w:w="1441" w:type="pct"/>
          </w:tcPr>
          <w:p w14:paraId="65E944BD" w14:textId="638E138D" w:rsidR="00457E8E" w:rsidRPr="00920905" w:rsidRDefault="00457E8E" w:rsidP="00457E8E">
            <w:pPr>
              <w:jc w:val="center"/>
              <w:rPr>
                <w:rFonts w:cstheme="minorHAnsi"/>
                <w:color w:val="FF0000"/>
                <w:szCs w:val="20"/>
              </w:rPr>
            </w:pPr>
            <w:r w:rsidRPr="00240B61">
              <w:rPr>
                <w:szCs w:val="20"/>
              </w:rPr>
              <w:t>9</w:t>
            </w:r>
          </w:p>
        </w:tc>
        <w:tc>
          <w:tcPr>
            <w:tcW w:w="2455" w:type="pct"/>
          </w:tcPr>
          <w:p w14:paraId="40FEE30C" w14:textId="411A24FF" w:rsidR="00457E8E" w:rsidRPr="00920905" w:rsidRDefault="00457E8E" w:rsidP="00457E8E">
            <w:pPr>
              <w:jc w:val="center"/>
              <w:rPr>
                <w:rFonts w:cstheme="minorHAnsi"/>
                <w:color w:val="FF0000"/>
                <w:szCs w:val="20"/>
              </w:rPr>
            </w:pPr>
            <w:r w:rsidRPr="00240B61">
              <w:rPr>
                <w:szCs w:val="20"/>
              </w:rPr>
              <w:t>500,936</w:t>
            </w:r>
          </w:p>
        </w:tc>
        <w:tc>
          <w:tcPr>
            <w:tcW w:w="1104" w:type="pct"/>
          </w:tcPr>
          <w:p w14:paraId="0D591BC7" w14:textId="5759EBAA" w:rsidR="00457E8E" w:rsidRPr="00920905" w:rsidRDefault="00457E8E" w:rsidP="00457E8E">
            <w:pPr>
              <w:jc w:val="center"/>
              <w:rPr>
                <w:rFonts w:cstheme="minorHAnsi"/>
                <w:color w:val="FF0000"/>
                <w:szCs w:val="20"/>
              </w:rPr>
            </w:pPr>
            <w:r w:rsidRPr="00240B61">
              <w:rPr>
                <w:szCs w:val="20"/>
              </w:rPr>
              <w:t>78.6%</w:t>
            </w:r>
          </w:p>
        </w:tc>
      </w:tr>
      <w:tr w:rsidR="00457E8E" w14:paraId="16607A00" w14:textId="77777777" w:rsidTr="008B0035">
        <w:tc>
          <w:tcPr>
            <w:tcW w:w="1441" w:type="pct"/>
          </w:tcPr>
          <w:p w14:paraId="342E44FF" w14:textId="75CAE5A1" w:rsidR="00457E8E" w:rsidRDefault="00457E8E" w:rsidP="00457E8E">
            <w:pPr>
              <w:jc w:val="center"/>
              <w:rPr>
                <w:szCs w:val="20"/>
              </w:rPr>
            </w:pPr>
            <w:r w:rsidRPr="00240B61">
              <w:rPr>
                <w:szCs w:val="20"/>
              </w:rPr>
              <w:t>10</w:t>
            </w:r>
          </w:p>
        </w:tc>
        <w:tc>
          <w:tcPr>
            <w:tcW w:w="2455" w:type="pct"/>
          </w:tcPr>
          <w:p w14:paraId="6E19B1BE" w14:textId="1CA60658" w:rsidR="00457E8E" w:rsidRDefault="00457E8E" w:rsidP="00457E8E">
            <w:pPr>
              <w:jc w:val="center"/>
              <w:rPr>
                <w:szCs w:val="20"/>
              </w:rPr>
            </w:pPr>
            <w:r w:rsidRPr="00240B61">
              <w:rPr>
                <w:szCs w:val="20"/>
              </w:rPr>
              <w:t>495,565</w:t>
            </w:r>
          </w:p>
        </w:tc>
        <w:tc>
          <w:tcPr>
            <w:tcW w:w="1104" w:type="pct"/>
          </w:tcPr>
          <w:p w14:paraId="6AC4AE52" w14:textId="576763EB" w:rsidR="00457E8E" w:rsidRDefault="00457E8E" w:rsidP="00457E8E">
            <w:pPr>
              <w:jc w:val="center"/>
              <w:rPr>
                <w:szCs w:val="20"/>
              </w:rPr>
            </w:pPr>
            <w:r w:rsidRPr="00240B61">
              <w:rPr>
                <w:szCs w:val="20"/>
              </w:rPr>
              <w:t>77.7%</w:t>
            </w:r>
          </w:p>
        </w:tc>
      </w:tr>
      <w:tr w:rsidR="00457E8E" w14:paraId="7B838B26" w14:textId="77777777" w:rsidTr="008B0035">
        <w:tc>
          <w:tcPr>
            <w:tcW w:w="1441" w:type="pct"/>
          </w:tcPr>
          <w:p w14:paraId="2A8BA56C" w14:textId="34711DB7" w:rsidR="00457E8E" w:rsidRPr="00240B61" w:rsidRDefault="00457E8E" w:rsidP="00457E8E">
            <w:pPr>
              <w:jc w:val="center"/>
              <w:rPr>
                <w:szCs w:val="20"/>
              </w:rPr>
            </w:pPr>
            <w:r w:rsidRPr="00240B61">
              <w:rPr>
                <w:szCs w:val="20"/>
              </w:rPr>
              <w:t>13</w:t>
            </w:r>
          </w:p>
        </w:tc>
        <w:tc>
          <w:tcPr>
            <w:tcW w:w="2455" w:type="pct"/>
          </w:tcPr>
          <w:p w14:paraId="4A55DA4E" w14:textId="728DCC2B" w:rsidR="00457E8E" w:rsidRDefault="00457E8E" w:rsidP="00457E8E">
            <w:pPr>
              <w:jc w:val="center"/>
              <w:rPr>
                <w:rFonts w:cs="Arial"/>
                <w:szCs w:val="20"/>
              </w:rPr>
            </w:pPr>
            <w:r w:rsidRPr="00240B61">
              <w:rPr>
                <w:szCs w:val="20"/>
              </w:rPr>
              <w:t>496,488</w:t>
            </w:r>
          </w:p>
        </w:tc>
        <w:tc>
          <w:tcPr>
            <w:tcW w:w="1104" w:type="pct"/>
          </w:tcPr>
          <w:p w14:paraId="5AA4B368" w14:textId="44DE93E5" w:rsidR="00457E8E" w:rsidRDefault="00457E8E" w:rsidP="00457E8E">
            <w:pPr>
              <w:jc w:val="center"/>
              <w:rPr>
                <w:rFonts w:cs="Arial"/>
                <w:szCs w:val="20"/>
              </w:rPr>
            </w:pPr>
            <w:r w:rsidRPr="00240B61">
              <w:rPr>
                <w:szCs w:val="20"/>
              </w:rPr>
              <w:t>77.9%</w:t>
            </w:r>
          </w:p>
        </w:tc>
      </w:tr>
      <w:tr w:rsidR="00457E8E" w14:paraId="267078E1" w14:textId="77777777" w:rsidTr="008B0035">
        <w:tc>
          <w:tcPr>
            <w:tcW w:w="1441" w:type="pct"/>
          </w:tcPr>
          <w:p w14:paraId="7EE8AE1B" w14:textId="29DC7EDA" w:rsidR="00457E8E" w:rsidRPr="00240B61" w:rsidRDefault="00457E8E" w:rsidP="00457E8E">
            <w:pPr>
              <w:jc w:val="center"/>
              <w:rPr>
                <w:szCs w:val="20"/>
              </w:rPr>
            </w:pPr>
            <w:r w:rsidRPr="00240B61">
              <w:rPr>
                <w:szCs w:val="20"/>
              </w:rPr>
              <w:t>14</w:t>
            </w:r>
          </w:p>
        </w:tc>
        <w:tc>
          <w:tcPr>
            <w:tcW w:w="2455" w:type="pct"/>
          </w:tcPr>
          <w:p w14:paraId="3F6C4BB7" w14:textId="0AFB2FB0" w:rsidR="00457E8E" w:rsidRDefault="00457E8E" w:rsidP="00457E8E">
            <w:pPr>
              <w:jc w:val="center"/>
              <w:rPr>
                <w:rFonts w:cs="Arial"/>
                <w:szCs w:val="20"/>
              </w:rPr>
            </w:pPr>
            <w:r w:rsidRPr="00240B61">
              <w:rPr>
                <w:szCs w:val="20"/>
              </w:rPr>
              <w:t>491,056</w:t>
            </w:r>
          </w:p>
        </w:tc>
        <w:tc>
          <w:tcPr>
            <w:tcW w:w="1104" w:type="pct"/>
          </w:tcPr>
          <w:p w14:paraId="38A17E21" w14:textId="61613925" w:rsidR="00457E8E" w:rsidRDefault="00457E8E" w:rsidP="00457E8E">
            <w:pPr>
              <w:jc w:val="center"/>
              <w:rPr>
                <w:rFonts w:cs="Arial"/>
                <w:szCs w:val="20"/>
              </w:rPr>
            </w:pPr>
            <w:r w:rsidRPr="00240B61">
              <w:rPr>
                <w:szCs w:val="20"/>
              </w:rPr>
              <w:t>77.0%</w:t>
            </w:r>
          </w:p>
        </w:tc>
      </w:tr>
      <w:tr w:rsidR="00457E8E" w14:paraId="78C8A066" w14:textId="77777777" w:rsidTr="008B0035">
        <w:tc>
          <w:tcPr>
            <w:tcW w:w="1441" w:type="pct"/>
          </w:tcPr>
          <w:p w14:paraId="322F82E7" w14:textId="69DA21D9" w:rsidR="00457E8E" w:rsidRPr="00240B61" w:rsidRDefault="00457E8E" w:rsidP="00457E8E">
            <w:pPr>
              <w:jc w:val="center"/>
              <w:rPr>
                <w:szCs w:val="20"/>
              </w:rPr>
            </w:pPr>
            <w:r w:rsidRPr="00240B61">
              <w:rPr>
                <w:szCs w:val="20"/>
              </w:rPr>
              <w:t>15</w:t>
            </w:r>
          </w:p>
        </w:tc>
        <w:tc>
          <w:tcPr>
            <w:tcW w:w="2455" w:type="pct"/>
          </w:tcPr>
          <w:p w14:paraId="63BD9E6C" w14:textId="705160C3" w:rsidR="00457E8E" w:rsidRDefault="00457E8E" w:rsidP="00457E8E">
            <w:pPr>
              <w:jc w:val="center"/>
              <w:rPr>
                <w:rFonts w:cs="Arial"/>
                <w:szCs w:val="20"/>
              </w:rPr>
            </w:pPr>
            <w:r w:rsidRPr="00240B61">
              <w:rPr>
                <w:szCs w:val="20"/>
              </w:rPr>
              <w:t>541,873</w:t>
            </w:r>
          </w:p>
        </w:tc>
        <w:tc>
          <w:tcPr>
            <w:tcW w:w="1104" w:type="pct"/>
          </w:tcPr>
          <w:p w14:paraId="7C739283" w14:textId="7CFA1E5C" w:rsidR="00457E8E" w:rsidRDefault="00457E8E" w:rsidP="00457E8E">
            <w:pPr>
              <w:jc w:val="center"/>
              <w:rPr>
                <w:rFonts w:cs="Arial"/>
                <w:szCs w:val="20"/>
              </w:rPr>
            </w:pPr>
            <w:r w:rsidRPr="00240B61">
              <w:rPr>
                <w:szCs w:val="20"/>
              </w:rPr>
              <w:t>85.0%</w:t>
            </w:r>
          </w:p>
        </w:tc>
      </w:tr>
      <w:tr w:rsidR="00457E8E" w14:paraId="50AEE136" w14:textId="77777777" w:rsidTr="008B0035">
        <w:tc>
          <w:tcPr>
            <w:tcW w:w="1441" w:type="pct"/>
          </w:tcPr>
          <w:p w14:paraId="623A1695" w14:textId="7FD72F88" w:rsidR="00457E8E" w:rsidRPr="00240B61" w:rsidRDefault="00457E8E" w:rsidP="00457E8E">
            <w:pPr>
              <w:jc w:val="center"/>
              <w:rPr>
                <w:szCs w:val="20"/>
              </w:rPr>
            </w:pPr>
            <w:r w:rsidRPr="00240B61">
              <w:rPr>
                <w:szCs w:val="20"/>
              </w:rPr>
              <w:t>16</w:t>
            </w:r>
          </w:p>
        </w:tc>
        <w:tc>
          <w:tcPr>
            <w:tcW w:w="2455" w:type="pct"/>
          </w:tcPr>
          <w:p w14:paraId="69814178" w14:textId="7D475F07" w:rsidR="00457E8E" w:rsidRDefault="00457E8E" w:rsidP="00457E8E">
            <w:pPr>
              <w:jc w:val="center"/>
              <w:rPr>
                <w:rFonts w:cs="Arial"/>
                <w:szCs w:val="20"/>
              </w:rPr>
            </w:pPr>
            <w:r w:rsidRPr="00240B61">
              <w:rPr>
                <w:szCs w:val="20"/>
              </w:rPr>
              <w:t>452,877</w:t>
            </w:r>
          </w:p>
        </w:tc>
        <w:tc>
          <w:tcPr>
            <w:tcW w:w="1104" w:type="pct"/>
          </w:tcPr>
          <w:p w14:paraId="1EB995A7" w14:textId="36157BAA" w:rsidR="00457E8E" w:rsidRDefault="00457E8E" w:rsidP="00457E8E">
            <w:pPr>
              <w:jc w:val="center"/>
              <w:rPr>
                <w:rFonts w:cs="Arial"/>
                <w:szCs w:val="20"/>
              </w:rPr>
            </w:pPr>
            <w:r w:rsidRPr="00240B61">
              <w:rPr>
                <w:szCs w:val="20"/>
              </w:rPr>
              <w:t>71.0%</w:t>
            </w:r>
          </w:p>
        </w:tc>
      </w:tr>
    </w:tbl>
    <w:bookmarkEnd w:id="20"/>
    <w:bookmarkEnd w:id="21"/>
    <w:bookmarkEnd w:id="22"/>
    <w:p w14:paraId="6AE7EDD0" w14:textId="7A88FC67" w:rsidR="00855069" w:rsidRPr="00240B61" w:rsidRDefault="00855069" w:rsidP="00457E8E">
      <w:r w:rsidRPr="00240B61">
        <w:t xml:space="preserve">*From DOE-2 simulations for a typical </w:t>
      </w:r>
      <w:r w:rsidR="00247A3F">
        <w:t>supermarket [N</w:t>
      </w:r>
      <w:r w:rsidRPr="00486BA2">
        <w:t>]</w:t>
      </w:r>
    </w:p>
    <w:p w14:paraId="5E9B2E36" w14:textId="77777777" w:rsidR="00855069" w:rsidRPr="00240B61" w:rsidRDefault="00855069" w:rsidP="00855069">
      <w:pPr>
        <w:ind w:left="1800"/>
      </w:pPr>
    </w:p>
    <w:p w14:paraId="0248ABF5" w14:textId="77777777" w:rsidR="00855069" w:rsidRPr="00240B61" w:rsidRDefault="00855069" w:rsidP="00855069">
      <w:pPr>
        <w:ind w:left="1440"/>
      </w:pPr>
      <w:r w:rsidRPr="00240B61">
        <w:t xml:space="preserve">Accordingly, EFLH = 8,760 x Duty cycle    (hrs/yr) </w:t>
      </w:r>
    </w:p>
    <w:p w14:paraId="38F97D6B" w14:textId="77777777" w:rsidR="00855069" w:rsidRPr="00240B61" w:rsidRDefault="00855069" w:rsidP="00855069">
      <w:pPr>
        <w:ind w:left="1440" w:firstLine="360"/>
      </w:pPr>
    </w:p>
    <w:p w14:paraId="564D3A2E" w14:textId="77777777" w:rsidR="00855069" w:rsidRPr="00240B61" w:rsidRDefault="00855069" w:rsidP="00855069">
      <w:pPr>
        <w:numPr>
          <w:ilvl w:val="0"/>
          <w:numId w:val="47"/>
        </w:numPr>
      </w:pPr>
      <w:r w:rsidRPr="00240B61">
        <w:t>Energy savings (</w:t>
      </w:r>
      <w:r w:rsidRPr="00240B61">
        <w:rPr>
          <w:rFonts w:cstheme="minorHAnsi"/>
        </w:rPr>
        <w:t>∆</w:t>
      </w:r>
      <w:r w:rsidRPr="00240B61">
        <w:t>kWh):</w:t>
      </w:r>
    </w:p>
    <w:p w14:paraId="6BBDCC0D" w14:textId="77777777" w:rsidR="00855069" w:rsidRPr="00240B61" w:rsidRDefault="00855069" w:rsidP="00855069">
      <w:pPr>
        <w:numPr>
          <w:ilvl w:val="1"/>
          <w:numId w:val="47"/>
        </w:numPr>
      </w:pPr>
      <w:r w:rsidRPr="00240B61">
        <w:t>Annual energy savings of the compressor (ΔkWh</w:t>
      </w:r>
      <w:r w:rsidRPr="00240B61">
        <w:rPr>
          <w:vertAlign w:val="subscript"/>
        </w:rPr>
        <w:t>comp</w:t>
      </w:r>
      <w:r w:rsidRPr="00240B61">
        <w:t>) is determined based on calculated differential compressor power and EFLH, as outlined below.</w:t>
      </w:r>
    </w:p>
    <w:p w14:paraId="6B4A0AA7" w14:textId="77777777" w:rsidR="00855069" w:rsidRPr="00240B61" w:rsidRDefault="00855069" w:rsidP="00855069">
      <w:pPr>
        <w:ind w:left="1440"/>
      </w:pPr>
    </w:p>
    <w:p w14:paraId="1287934B" w14:textId="77777777" w:rsidR="00855069" w:rsidRPr="00240B61" w:rsidRDefault="00855069" w:rsidP="00855069">
      <w:pPr>
        <w:ind w:left="1440"/>
      </w:pPr>
      <w:r w:rsidRPr="00240B61">
        <w:rPr>
          <w:position w:val="-14"/>
        </w:rPr>
        <w:object w:dxaOrig="2910" w:dyaOrig="345" w14:anchorId="4C06CC86">
          <v:shape id="_x0000_i1036" type="#_x0000_t75" style="width:2in;height:17.4pt" o:ole="">
            <v:imagedata r:id="rId33" o:title=""/>
          </v:shape>
          <o:OLEObject Type="Embed" ProgID="Equation.3" ShapeID="_x0000_i1036" DrawAspect="Content" ObjectID="_1548158097" r:id="rId34"/>
        </w:object>
      </w:r>
    </w:p>
    <w:p w14:paraId="762A6A00" w14:textId="77777777" w:rsidR="00855069" w:rsidRPr="00240B61" w:rsidRDefault="00855069" w:rsidP="00855069">
      <w:pPr>
        <w:ind w:left="1440"/>
      </w:pPr>
    </w:p>
    <w:p w14:paraId="54318653" w14:textId="77777777" w:rsidR="00855069" w:rsidRPr="00240B61" w:rsidRDefault="00855069" w:rsidP="00855069">
      <w:pPr>
        <w:numPr>
          <w:ilvl w:val="1"/>
          <w:numId w:val="47"/>
        </w:numPr>
      </w:pPr>
      <w:r w:rsidRPr="00240B61">
        <w:t xml:space="preserve">Total energy savings (ΔkWh) is the sum of compressor and lighting energy.   </w:t>
      </w:r>
    </w:p>
    <w:p w14:paraId="0AFAEF9A" w14:textId="77777777" w:rsidR="00855069" w:rsidRPr="00240B61" w:rsidRDefault="00855069" w:rsidP="00855069">
      <w:pPr>
        <w:ind w:left="1440"/>
      </w:pPr>
    </w:p>
    <w:p w14:paraId="57C6AB6E" w14:textId="77777777" w:rsidR="00855069" w:rsidRPr="00240B61" w:rsidRDefault="00855069" w:rsidP="00855069">
      <w:pPr>
        <w:ind w:left="1440"/>
      </w:pPr>
      <w:r w:rsidRPr="00240B61">
        <w:rPr>
          <w:position w:val="-14"/>
        </w:rPr>
        <w:object w:dxaOrig="3210" w:dyaOrig="345" w14:anchorId="3BE11B3A">
          <v:shape id="_x0000_i1037" type="#_x0000_t75" style="width:161.4pt;height:17.4pt" o:ole="">
            <v:imagedata r:id="rId35" o:title=""/>
          </v:shape>
          <o:OLEObject Type="Embed" ProgID="Equation.3" ShapeID="_x0000_i1037" DrawAspect="Content" ObjectID="_1548158098" r:id="rId36"/>
        </w:object>
      </w:r>
    </w:p>
    <w:p w14:paraId="7BAB758C" w14:textId="77777777" w:rsidR="00855069" w:rsidRPr="00240B61" w:rsidRDefault="00855069" w:rsidP="00855069"/>
    <w:p w14:paraId="7BC96CD9" w14:textId="77777777" w:rsidR="00855069" w:rsidRPr="00240B61" w:rsidRDefault="00855069" w:rsidP="00855069">
      <w:pPr>
        <w:rPr>
          <w:b/>
          <w:u w:val="single"/>
        </w:rPr>
      </w:pPr>
      <w:r w:rsidRPr="00240B61">
        <w:rPr>
          <w:b/>
          <w:u w:val="single"/>
        </w:rPr>
        <w:t>For large multiplex compressor systems:</w:t>
      </w:r>
    </w:p>
    <w:p w14:paraId="7961BDBC" w14:textId="77777777" w:rsidR="00855069" w:rsidRPr="00240B61" w:rsidRDefault="00855069" w:rsidP="00855069">
      <w:pPr>
        <w:numPr>
          <w:ilvl w:val="0"/>
          <w:numId w:val="47"/>
        </w:numPr>
      </w:pPr>
      <w:r w:rsidRPr="00240B61">
        <w:t>Determine the EER for both MT and LT applications</w:t>
      </w:r>
    </w:p>
    <w:p w14:paraId="35B8CDB5" w14:textId="77777777" w:rsidR="00855069" w:rsidRPr="00240B61" w:rsidRDefault="00855069" w:rsidP="00855069">
      <w:pPr>
        <w:numPr>
          <w:ilvl w:val="1"/>
          <w:numId w:val="47"/>
        </w:numPr>
      </w:pPr>
      <w:r w:rsidRPr="00240B61">
        <w:t xml:space="preserve">Compressor performance curves were obtained from a review of manufacturer data for large reciprocating compressors as a function of </w:t>
      </w:r>
      <w:smartTag w:uri="urn:schemas-microsoft-com:office:smarttags" w:element="stockticker">
        <w:r w:rsidRPr="00240B61">
          <w:t>SCT</w:t>
        </w:r>
      </w:smartTag>
      <w:r w:rsidRPr="00240B61">
        <w:t xml:space="preserve"> and SET. In multiplex systems, suction pressure controls ensure SET remains constant, so no </w:t>
      </w:r>
      <w:smartTag w:uri="urn:schemas-microsoft-com:office:smarttags" w:element="stockticker">
        <w:r w:rsidRPr="00240B61">
          <w:t>PLR</w:t>
        </w:r>
      </w:smartTag>
      <w:r w:rsidRPr="00240B61">
        <w:t xml:space="preserve"> analysis is necessary.</w:t>
      </w:r>
    </w:p>
    <w:p w14:paraId="0DB86EB3" w14:textId="726D080C" w:rsidR="00855069" w:rsidRPr="00240B61" w:rsidRDefault="00855069" w:rsidP="00855069">
      <w:pPr>
        <w:numPr>
          <w:ilvl w:val="1"/>
          <w:numId w:val="47"/>
        </w:numPr>
        <w:spacing w:before="240"/>
      </w:pPr>
      <w:r w:rsidRPr="00240B61">
        <w:t>For medium temperature compressors, the following equation is used to determine the EER</w:t>
      </w:r>
      <w:r w:rsidRPr="00240B61">
        <w:rPr>
          <w:vertAlign w:val="subscript"/>
        </w:rPr>
        <w:t>MT</w:t>
      </w:r>
      <w:r w:rsidRPr="00240B61">
        <w:t xml:space="preserve"> (Btu/hr/watts) at </w:t>
      </w:r>
      <w:r w:rsidRPr="00486BA2">
        <w:t>SET of 28</w:t>
      </w:r>
      <w:r w:rsidRPr="00486BA2">
        <w:sym w:font="Symbol" w:char="F0B0"/>
      </w:r>
      <w:r w:rsidRPr="00486BA2">
        <w:t>F. [</w:t>
      </w:r>
      <w:r w:rsidR="00486BA2" w:rsidRPr="00486BA2">
        <w:t>E]</w:t>
      </w:r>
      <w:r w:rsidRPr="00240B61">
        <w:t xml:space="preserve"> </w:t>
      </w:r>
    </w:p>
    <w:p w14:paraId="777B899D" w14:textId="77777777" w:rsidR="00855069" w:rsidRPr="00240B61" w:rsidRDefault="00855069" w:rsidP="00855069">
      <w:pPr>
        <w:numPr>
          <w:ilvl w:val="1"/>
          <w:numId w:val="47"/>
        </w:numPr>
        <w:spacing w:before="240"/>
      </w:pPr>
      <w:r w:rsidRPr="00240B61">
        <w:t>EER</w:t>
      </w:r>
      <w:r w:rsidRPr="00240B61">
        <w:rPr>
          <w:vertAlign w:val="subscript"/>
        </w:rPr>
        <w:t>MT</w:t>
      </w:r>
      <w:r w:rsidRPr="00240B61">
        <w:t xml:space="preserve"> = a  * </w:t>
      </w:r>
      <w:smartTag w:uri="urn:schemas-microsoft-com:office:smarttags" w:element="stockticker">
        <w:r w:rsidRPr="00240B61">
          <w:t>SCT</w:t>
        </w:r>
      </w:smartTag>
      <w:r w:rsidRPr="00240B61">
        <w:rPr>
          <w:vertAlign w:val="superscript"/>
        </w:rPr>
        <w:t>3</w:t>
      </w:r>
      <w:r w:rsidRPr="00240B61">
        <w:t xml:space="preserve"> + b * </w:t>
      </w:r>
      <w:smartTag w:uri="urn:schemas-microsoft-com:office:smarttags" w:element="stockticker">
        <w:r w:rsidRPr="00240B61">
          <w:t>SCT</w:t>
        </w:r>
      </w:smartTag>
      <w:r w:rsidRPr="00240B61">
        <w:rPr>
          <w:vertAlign w:val="superscript"/>
        </w:rPr>
        <w:t>2</w:t>
      </w:r>
      <w:r w:rsidRPr="00240B61">
        <w:t xml:space="preserve"> + c * </w:t>
      </w:r>
      <w:smartTag w:uri="urn:schemas-microsoft-com:office:smarttags" w:element="stockticker">
        <w:r w:rsidRPr="00240B61">
          <w:t>SCT</w:t>
        </w:r>
      </w:smartTag>
      <w:r w:rsidRPr="00240B61">
        <w:t xml:space="preserve"> + d</w:t>
      </w:r>
    </w:p>
    <w:p w14:paraId="595B3BE7" w14:textId="77777777" w:rsidR="00855069" w:rsidRPr="00240B61" w:rsidRDefault="00855069" w:rsidP="00855069">
      <w:pPr>
        <w:ind w:left="2340" w:hanging="900"/>
      </w:pPr>
    </w:p>
    <w:p w14:paraId="1C15EE1A" w14:textId="77777777" w:rsidR="00855069" w:rsidRPr="00240B61" w:rsidRDefault="00855069" w:rsidP="00855069">
      <w:pPr>
        <w:ind w:left="2340" w:hanging="900"/>
      </w:pPr>
      <w:r w:rsidRPr="00240B61">
        <w:t>where,</w:t>
      </w:r>
    </w:p>
    <w:p w14:paraId="105C257A" w14:textId="77777777" w:rsidR="00855069" w:rsidRPr="00240B61" w:rsidRDefault="00855069" w:rsidP="00855069">
      <w:pPr>
        <w:ind w:left="2340" w:hanging="900"/>
      </w:pPr>
      <w:r w:rsidRPr="00240B61">
        <w:t>a</w:t>
      </w:r>
      <w:r w:rsidRPr="00240B61">
        <w:tab/>
        <w:t>= 0.00002515</w:t>
      </w:r>
    </w:p>
    <w:p w14:paraId="3A167E7B" w14:textId="77777777" w:rsidR="00855069" w:rsidRPr="00240B61" w:rsidRDefault="00855069" w:rsidP="00855069">
      <w:pPr>
        <w:ind w:left="2340" w:hanging="900"/>
      </w:pPr>
      <w:r w:rsidRPr="00240B61">
        <w:t>b</w:t>
      </w:r>
      <w:r w:rsidRPr="00240B61">
        <w:tab/>
        <w:t>= 0.0100767</w:t>
      </w:r>
    </w:p>
    <w:p w14:paraId="0BFF0144" w14:textId="77777777" w:rsidR="00855069" w:rsidRPr="00240B61" w:rsidRDefault="00855069" w:rsidP="00855069">
      <w:pPr>
        <w:ind w:left="2340" w:hanging="900"/>
      </w:pPr>
      <w:r w:rsidRPr="00240B61">
        <w:t>c</w:t>
      </w:r>
      <w:r w:rsidRPr="00240B61">
        <w:tab/>
        <w:t>= -1.45844836</w:t>
      </w:r>
    </w:p>
    <w:p w14:paraId="50E0333E" w14:textId="77777777" w:rsidR="00855069" w:rsidRPr="00240B61" w:rsidRDefault="00855069" w:rsidP="00855069">
      <w:pPr>
        <w:ind w:left="2340" w:hanging="900"/>
      </w:pPr>
      <w:r w:rsidRPr="00240B61">
        <w:t>d</w:t>
      </w:r>
      <w:r w:rsidRPr="00240B61">
        <w:tab/>
        <w:t>= 82.96962576</w:t>
      </w:r>
    </w:p>
    <w:p w14:paraId="441AAB70" w14:textId="77777777" w:rsidR="00855069" w:rsidRPr="00240B61" w:rsidRDefault="00855069" w:rsidP="00855069"/>
    <w:p w14:paraId="4E2FC054" w14:textId="6ABEC5DE" w:rsidR="00855069" w:rsidRPr="00240B61" w:rsidRDefault="00855069" w:rsidP="00855069">
      <w:pPr>
        <w:numPr>
          <w:ilvl w:val="1"/>
          <w:numId w:val="47"/>
        </w:numPr>
      </w:pPr>
      <w:r w:rsidRPr="00240B61">
        <w:t>For low temperature compressors, the following equation is used to determine the EERLT (Btu/hr/watts)</w:t>
      </w:r>
      <w:r w:rsidR="00486BA2" w:rsidRPr="00486BA2">
        <w:t xml:space="preserve"> [E]</w:t>
      </w:r>
    </w:p>
    <w:p w14:paraId="18F22BC9" w14:textId="77777777" w:rsidR="00855069" w:rsidRPr="00240B61" w:rsidRDefault="00855069" w:rsidP="00855069"/>
    <w:p w14:paraId="1D868C9F" w14:textId="77777777" w:rsidR="00855069" w:rsidRPr="00240B61" w:rsidRDefault="00855069" w:rsidP="00855069">
      <w:pPr>
        <w:numPr>
          <w:ilvl w:val="1"/>
          <w:numId w:val="47"/>
        </w:numPr>
      </w:pPr>
      <w:r w:rsidRPr="00240B61">
        <w:t>EER</w:t>
      </w:r>
      <w:r w:rsidRPr="00240B61">
        <w:rPr>
          <w:vertAlign w:val="subscript"/>
        </w:rPr>
        <w:t>LT</w:t>
      </w:r>
      <w:r w:rsidRPr="00240B61">
        <w:t xml:space="preserve"> = a * </w:t>
      </w:r>
      <w:smartTag w:uri="urn:schemas-microsoft-com:office:smarttags" w:element="stockticker">
        <w:r w:rsidRPr="00240B61">
          <w:t>SCT</w:t>
        </w:r>
      </w:smartTag>
      <w:r w:rsidRPr="00240B61">
        <w:rPr>
          <w:vertAlign w:val="superscript"/>
        </w:rPr>
        <w:t>3</w:t>
      </w:r>
      <w:r w:rsidRPr="00240B61">
        <w:t xml:space="preserve"> + b * </w:t>
      </w:r>
      <w:smartTag w:uri="urn:schemas-microsoft-com:office:smarttags" w:element="stockticker">
        <w:r w:rsidRPr="00240B61">
          <w:t>SCT</w:t>
        </w:r>
      </w:smartTag>
      <w:r w:rsidRPr="00240B61">
        <w:rPr>
          <w:vertAlign w:val="superscript"/>
        </w:rPr>
        <w:t>2</w:t>
      </w:r>
      <w:r w:rsidRPr="00240B61">
        <w:t xml:space="preserve"> + c * </w:t>
      </w:r>
      <w:smartTag w:uri="urn:schemas-microsoft-com:office:smarttags" w:element="stockticker">
        <w:r w:rsidRPr="00240B61">
          <w:t>SCT</w:t>
        </w:r>
      </w:smartTag>
      <w:r w:rsidRPr="00240B61">
        <w:t xml:space="preserve"> + d</w:t>
      </w:r>
    </w:p>
    <w:p w14:paraId="4DCD77FE" w14:textId="77777777" w:rsidR="00855069" w:rsidRPr="00240B61" w:rsidRDefault="00855069" w:rsidP="00855069">
      <w:pPr>
        <w:ind w:left="2520" w:hanging="1080"/>
      </w:pPr>
    </w:p>
    <w:p w14:paraId="5E812902" w14:textId="77777777" w:rsidR="00855069" w:rsidRPr="00240B61" w:rsidRDefault="00855069" w:rsidP="00855069">
      <w:pPr>
        <w:ind w:left="2520" w:hanging="1080"/>
      </w:pPr>
      <w:r w:rsidRPr="00240B61">
        <w:t>where,</w:t>
      </w:r>
    </w:p>
    <w:p w14:paraId="1C0F147C" w14:textId="77777777" w:rsidR="00855069" w:rsidRPr="00240B61" w:rsidRDefault="00855069" w:rsidP="00855069">
      <w:pPr>
        <w:ind w:left="2520" w:hanging="1080"/>
      </w:pPr>
      <w:r w:rsidRPr="00240B61">
        <w:t>a</w:t>
      </w:r>
      <w:r w:rsidRPr="00240B61">
        <w:tab/>
        <w:t>= 0.00000491</w:t>
      </w:r>
    </w:p>
    <w:p w14:paraId="09919BF6" w14:textId="77777777" w:rsidR="00855069" w:rsidRPr="00240B61" w:rsidRDefault="00855069" w:rsidP="00855069">
      <w:pPr>
        <w:ind w:left="2520" w:hanging="1080"/>
      </w:pPr>
      <w:r w:rsidRPr="00240B61">
        <w:t>b</w:t>
      </w:r>
      <w:r w:rsidRPr="00240B61">
        <w:tab/>
        <w:t>= -0.00107023</w:t>
      </w:r>
    </w:p>
    <w:p w14:paraId="3218E7B6" w14:textId="77777777" w:rsidR="00855069" w:rsidRPr="00240B61" w:rsidRDefault="00855069" w:rsidP="00855069">
      <w:pPr>
        <w:ind w:left="2520" w:hanging="1080"/>
      </w:pPr>
      <w:r w:rsidRPr="00240B61">
        <w:t>c</w:t>
      </w:r>
      <w:r w:rsidRPr="00240B61">
        <w:tab/>
        <w:t>= -0.03013591</w:t>
      </w:r>
    </w:p>
    <w:p w14:paraId="007E0591" w14:textId="77777777" w:rsidR="00855069" w:rsidRPr="00240B61" w:rsidRDefault="00855069" w:rsidP="00855069">
      <w:pPr>
        <w:ind w:left="2520" w:hanging="1080"/>
      </w:pPr>
      <w:r w:rsidRPr="00240B61">
        <w:t>d</w:t>
      </w:r>
      <w:r w:rsidRPr="00240B61">
        <w:tab/>
        <w:t>= 15.74788397</w:t>
      </w:r>
    </w:p>
    <w:p w14:paraId="7DA833FC" w14:textId="77777777" w:rsidR="00855069" w:rsidRPr="00240B61" w:rsidRDefault="00855069" w:rsidP="00855069"/>
    <w:p w14:paraId="38DF401C" w14:textId="77777777" w:rsidR="00855069" w:rsidRPr="00240B61" w:rsidRDefault="00855069" w:rsidP="00855069">
      <w:pPr>
        <w:numPr>
          <w:ilvl w:val="1"/>
          <w:numId w:val="47"/>
        </w:numPr>
      </w:pPr>
      <w:r w:rsidRPr="00240B61">
        <w:t xml:space="preserve">This analysis assumes no change in EER due to a reduction in cooling load for a retrofit measure.  </w:t>
      </w:r>
    </w:p>
    <w:p w14:paraId="67AB5766" w14:textId="77777777" w:rsidR="00855069" w:rsidRPr="00240B61" w:rsidRDefault="00855069" w:rsidP="00855069">
      <w:pPr>
        <w:ind w:left="1440"/>
      </w:pPr>
    </w:p>
    <w:p w14:paraId="3344CD1B" w14:textId="77777777" w:rsidR="00855069" w:rsidRPr="00240B61" w:rsidRDefault="00855069" w:rsidP="00855069">
      <w:pPr>
        <w:numPr>
          <w:ilvl w:val="0"/>
          <w:numId w:val="47"/>
        </w:numPr>
        <w:tabs>
          <w:tab w:val="num" w:pos="1440"/>
        </w:tabs>
      </w:pPr>
      <w:r w:rsidRPr="00240B61">
        <w:t>These demand and energy savings values are reported per door.  No further normalization is required.</w:t>
      </w:r>
    </w:p>
    <w:p w14:paraId="717D519B" w14:textId="77777777" w:rsidR="00855069" w:rsidRPr="00240B61" w:rsidRDefault="00855069" w:rsidP="00855069"/>
    <w:p w14:paraId="6FB0AE7A" w14:textId="5CB31088" w:rsidR="00855069" w:rsidRPr="00240B61" w:rsidRDefault="00486BA2" w:rsidP="00855069">
      <w:r>
        <w:t>Table shown below</w:t>
      </w:r>
      <w:r w:rsidR="00855069" w:rsidRPr="00240B61">
        <w:t xml:space="preserve"> summarizes the demand and energy savings of 5’ T8 fixtures for MT and LT applications for all SCE climate zones</w:t>
      </w:r>
      <w:r w:rsidR="00855069">
        <w:t xml:space="preserve"> in the grocery market sector. </w:t>
      </w:r>
      <w:r w:rsidR="00855069" w:rsidRPr="00240B61">
        <w:t xml:space="preserve">The calculations and the savings for the rest of the applicable market sectors and measures can be found in </w:t>
      </w:r>
      <w:r w:rsidR="0095402D">
        <w:t>A</w:t>
      </w:r>
      <w:r w:rsidR="0095402D" w:rsidRPr="00240B61">
        <w:t xml:space="preserve">ttachments </w:t>
      </w:r>
      <w:r w:rsidR="0095402D">
        <w:t>6, 7, and 8.</w:t>
      </w:r>
    </w:p>
    <w:p w14:paraId="6822723B" w14:textId="77777777" w:rsidR="00855069" w:rsidRDefault="00855069" w:rsidP="00855069"/>
    <w:p w14:paraId="4EBCFDA4" w14:textId="77777777" w:rsidR="00457E8E" w:rsidRPr="00240B61" w:rsidRDefault="00457E8E" w:rsidP="00855069"/>
    <w:p w14:paraId="0C8541A4" w14:textId="39B71061" w:rsidR="00855069" w:rsidRDefault="00855069" w:rsidP="00457E8E">
      <w:pPr>
        <w:pStyle w:val="Caption"/>
        <w:rPr>
          <w:rFonts w:cstheme="minorHAnsi"/>
          <w:szCs w:val="22"/>
        </w:rPr>
      </w:pPr>
      <w:r w:rsidRPr="00240B61">
        <w:rPr>
          <w:rFonts w:cstheme="minorHAnsi"/>
          <w:szCs w:val="22"/>
        </w:rPr>
        <w:t>Demand and Energy Savings for 5-foot T8 to LED Retrofit</w:t>
      </w:r>
    </w:p>
    <w:tbl>
      <w:tblPr>
        <w:tblStyle w:val="TableGrid1"/>
        <w:tblW w:w="5000" w:type="pct"/>
        <w:tblLook w:val="01E0" w:firstRow="1" w:lastRow="1" w:firstColumn="1" w:lastColumn="1" w:noHBand="0" w:noVBand="0"/>
      </w:tblPr>
      <w:tblGrid>
        <w:gridCol w:w="853"/>
        <w:gridCol w:w="2212"/>
        <w:gridCol w:w="1057"/>
        <w:gridCol w:w="1195"/>
        <w:gridCol w:w="39"/>
        <w:gridCol w:w="1277"/>
        <w:gridCol w:w="1369"/>
        <w:gridCol w:w="37"/>
        <w:gridCol w:w="1311"/>
      </w:tblGrid>
      <w:tr w:rsidR="005D149F" w:rsidRPr="00457E8E" w14:paraId="5F5C527B" w14:textId="6306EEA6" w:rsidTr="00D15484">
        <w:tc>
          <w:tcPr>
            <w:tcW w:w="456" w:type="pct"/>
            <w:vMerge w:val="restart"/>
            <w:shd w:val="clear" w:color="auto" w:fill="D9D9D9" w:themeFill="background1" w:themeFillShade="D9"/>
            <w:vAlign w:val="bottom"/>
          </w:tcPr>
          <w:p w14:paraId="52887F41" w14:textId="450BFAD4" w:rsidR="005D149F" w:rsidRPr="00457E8E" w:rsidRDefault="005D149F" w:rsidP="005D149F">
            <w:pPr>
              <w:jc w:val="center"/>
              <w:rPr>
                <w:rFonts w:cstheme="minorHAnsi"/>
                <w:b/>
                <w:szCs w:val="20"/>
              </w:rPr>
            </w:pPr>
            <w:r w:rsidRPr="00457E8E">
              <w:rPr>
                <w:b/>
                <w:bCs/>
                <w:szCs w:val="20"/>
              </w:rPr>
              <w:t>Climate</w:t>
            </w:r>
            <w:r w:rsidRPr="00240B61">
              <w:rPr>
                <w:rFonts w:cs="Arial"/>
                <w:b/>
                <w:szCs w:val="20"/>
              </w:rPr>
              <w:t xml:space="preserve"> Zone</w:t>
            </w:r>
          </w:p>
        </w:tc>
        <w:tc>
          <w:tcPr>
            <w:tcW w:w="1183" w:type="pct"/>
            <w:vMerge w:val="restart"/>
            <w:shd w:val="clear" w:color="auto" w:fill="D9D9D9" w:themeFill="background1" w:themeFillShade="D9"/>
            <w:vAlign w:val="bottom"/>
          </w:tcPr>
          <w:p w14:paraId="5986B49B" w14:textId="77A28036" w:rsidR="005D149F" w:rsidRPr="00457E8E" w:rsidRDefault="005D149F" w:rsidP="005D149F">
            <w:pPr>
              <w:jc w:val="center"/>
              <w:rPr>
                <w:rFonts w:cstheme="minorHAnsi"/>
                <w:b/>
                <w:szCs w:val="20"/>
              </w:rPr>
            </w:pPr>
            <w:r w:rsidRPr="00240B61">
              <w:rPr>
                <w:rFonts w:cs="Arial"/>
                <w:b/>
                <w:szCs w:val="20"/>
              </w:rPr>
              <w:t>Representative City and Temperature</w:t>
            </w:r>
            <w:r w:rsidRPr="00240B61">
              <w:rPr>
                <w:rFonts w:cs="Arial"/>
                <w:b/>
                <w:szCs w:val="20"/>
              </w:rPr>
              <w:br/>
              <w:t>(Summer Design Dry-Bulb, ASHRAE Climatic Region X Data, 0.5% Column)</w:t>
            </w:r>
          </w:p>
        </w:tc>
        <w:tc>
          <w:tcPr>
            <w:tcW w:w="565" w:type="pct"/>
            <w:vMerge w:val="restart"/>
            <w:shd w:val="clear" w:color="auto" w:fill="D9D9D9" w:themeFill="background1" w:themeFillShade="D9"/>
            <w:vAlign w:val="bottom"/>
          </w:tcPr>
          <w:p w14:paraId="1FCB8FE7" w14:textId="301D98B8" w:rsidR="005D149F" w:rsidRPr="00457E8E" w:rsidRDefault="005D149F" w:rsidP="005D149F">
            <w:pPr>
              <w:jc w:val="center"/>
              <w:rPr>
                <w:rFonts w:cstheme="minorHAnsi"/>
                <w:b/>
                <w:szCs w:val="20"/>
                <w:highlight w:val="yellow"/>
              </w:rPr>
            </w:pPr>
            <w:r w:rsidRPr="00240B61">
              <w:rPr>
                <w:rFonts w:cs="Arial"/>
                <w:b/>
                <w:szCs w:val="20"/>
              </w:rPr>
              <w:t>Measure Unit</w:t>
            </w:r>
          </w:p>
        </w:tc>
        <w:tc>
          <w:tcPr>
            <w:tcW w:w="1343" w:type="pct"/>
            <w:gridSpan w:val="3"/>
            <w:shd w:val="clear" w:color="auto" w:fill="D9D9D9" w:themeFill="background1" w:themeFillShade="D9"/>
            <w:vAlign w:val="bottom"/>
          </w:tcPr>
          <w:p w14:paraId="0C6D1CBF" w14:textId="7871FA99" w:rsidR="005D149F" w:rsidRPr="00457E8E" w:rsidRDefault="005D149F" w:rsidP="005D149F">
            <w:pPr>
              <w:jc w:val="center"/>
              <w:rPr>
                <w:b/>
                <w:bCs/>
                <w:szCs w:val="20"/>
              </w:rPr>
            </w:pPr>
            <w:r w:rsidRPr="00240B61">
              <w:rPr>
                <w:rFonts w:cs="Arial"/>
                <w:b/>
                <w:szCs w:val="20"/>
              </w:rPr>
              <w:t>Grocery</w:t>
            </w:r>
          </w:p>
        </w:tc>
        <w:tc>
          <w:tcPr>
            <w:tcW w:w="1453" w:type="pct"/>
            <w:gridSpan w:val="3"/>
            <w:shd w:val="clear" w:color="auto" w:fill="D9D9D9" w:themeFill="background1" w:themeFillShade="D9"/>
            <w:vAlign w:val="bottom"/>
          </w:tcPr>
          <w:p w14:paraId="1BFE4F9E" w14:textId="47A7AB1B" w:rsidR="005D149F" w:rsidRPr="00457E8E" w:rsidRDefault="005D149F" w:rsidP="005D149F">
            <w:pPr>
              <w:jc w:val="center"/>
              <w:rPr>
                <w:b/>
                <w:bCs/>
                <w:szCs w:val="20"/>
              </w:rPr>
            </w:pPr>
            <w:r w:rsidRPr="00240B61">
              <w:rPr>
                <w:rFonts w:cs="Arial"/>
                <w:b/>
                <w:szCs w:val="20"/>
              </w:rPr>
              <w:t>Grocery</w:t>
            </w:r>
          </w:p>
        </w:tc>
      </w:tr>
      <w:tr w:rsidR="005D149F" w:rsidRPr="00920905" w14:paraId="2F6DD166" w14:textId="064116CD" w:rsidTr="00D15484">
        <w:trPr>
          <w:trHeight w:val="593"/>
        </w:trPr>
        <w:tc>
          <w:tcPr>
            <w:tcW w:w="456" w:type="pct"/>
            <w:vMerge/>
          </w:tcPr>
          <w:p w14:paraId="73D5100C" w14:textId="59002FDF" w:rsidR="005D149F" w:rsidRPr="00920905" w:rsidRDefault="005D149F" w:rsidP="005D149F">
            <w:pPr>
              <w:jc w:val="center"/>
              <w:rPr>
                <w:rFonts w:cstheme="minorHAnsi"/>
                <w:color w:val="FF0000"/>
                <w:szCs w:val="20"/>
              </w:rPr>
            </w:pPr>
          </w:p>
        </w:tc>
        <w:tc>
          <w:tcPr>
            <w:tcW w:w="1183" w:type="pct"/>
            <w:vMerge/>
          </w:tcPr>
          <w:p w14:paraId="4FD5949E" w14:textId="72931FA9" w:rsidR="005D149F" w:rsidRPr="00920905" w:rsidRDefault="005D149F" w:rsidP="005D149F">
            <w:pPr>
              <w:jc w:val="center"/>
              <w:rPr>
                <w:rFonts w:cstheme="minorHAnsi"/>
                <w:color w:val="FF0000"/>
                <w:szCs w:val="20"/>
              </w:rPr>
            </w:pPr>
          </w:p>
        </w:tc>
        <w:tc>
          <w:tcPr>
            <w:tcW w:w="565" w:type="pct"/>
            <w:vMerge/>
          </w:tcPr>
          <w:p w14:paraId="4FB35FC4" w14:textId="602B2764" w:rsidR="005D149F" w:rsidRPr="00920905" w:rsidRDefault="005D149F" w:rsidP="005D149F">
            <w:pPr>
              <w:jc w:val="center"/>
              <w:rPr>
                <w:rFonts w:cstheme="minorHAnsi"/>
                <w:color w:val="FF0000"/>
                <w:szCs w:val="20"/>
              </w:rPr>
            </w:pPr>
          </w:p>
        </w:tc>
        <w:tc>
          <w:tcPr>
            <w:tcW w:w="1343" w:type="pct"/>
            <w:gridSpan w:val="3"/>
            <w:vAlign w:val="bottom"/>
          </w:tcPr>
          <w:p w14:paraId="51F55074" w14:textId="40A86916" w:rsidR="005D149F" w:rsidRPr="00240B61" w:rsidRDefault="005D149F" w:rsidP="005D149F">
            <w:pPr>
              <w:jc w:val="center"/>
              <w:rPr>
                <w:szCs w:val="20"/>
              </w:rPr>
            </w:pPr>
            <w:r w:rsidRPr="00240B61">
              <w:rPr>
                <w:rFonts w:cs="Arial"/>
                <w:b/>
                <w:szCs w:val="20"/>
              </w:rPr>
              <w:t>MT, T8 to 5' LED retrofit</w:t>
            </w:r>
          </w:p>
        </w:tc>
        <w:tc>
          <w:tcPr>
            <w:tcW w:w="1453" w:type="pct"/>
            <w:gridSpan w:val="3"/>
            <w:vAlign w:val="bottom"/>
          </w:tcPr>
          <w:p w14:paraId="0A146502" w14:textId="17D43C26" w:rsidR="005D149F" w:rsidRPr="00240B61" w:rsidRDefault="005D149F" w:rsidP="005D149F">
            <w:pPr>
              <w:jc w:val="center"/>
              <w:rPr>
                <w:szCs w:val="20"/>
              </w:rPr>
            </w:pPr>
            <w:r w:rsidRPr="00240B61">
              <w:rPr>
                <w:rFonts w:cs="Arial"/>
                <w:b/>
                <w:szCs w:val="20"/>
              </w:rPr>
              <w:t>LT, T8/HO to 5' LED retrofit</w:t>
            </w:r>
          </w:p>
        </w:tc>
      </w:tr>
      <w:tr w:rsidR="005D149F" w:rsidRPr="00920905" w14:paraId="5AA4E523" w14:textId="77777777" w:rsidTr="00D15484">
        <w:trPr>
          <w:trHeight w:val="405"/>
        </w:trPr>
        <w:tc>
          <w:tcPr>
            <w:tcW w:w="456" w:type="pct"/>
            <w:vMerge/>
          </w:tcPr>
          <w:p w14:paraId="6A54960E" w14:textId="77777777" w:rsidR="005D149F" w:rsidRPr="00920905" w:rsidRDefault="005D149F" w:rsidP="005D149F">
            <w:pPr>
              <w:jc w:val="center"/>
              <w:rPr>
                <w:rFonts w:cstheme="minorHAnsi"/>
                <w:color w:val="FF0000"/>
                <w:szCs w:val="20"/>
              </w:rPr>
            </w:pPr>
          </w:p>
        </w:tc>
        <w:tc>
          <w:tcPr>
            <w:tcW w:w="1183" w:type="pct"/>
            <w:vMerge/>
          </w:tcPr>
          <w:p w14:paraId="4A0D93D7" w14:textId="77777777" w:rsidR="005D149F" w:rsidRPr="00920905" w:rsidRDefault="005D149F" w:rsidP="005D149F">
            <w:pPr>
              <w:jc w:val="center"/>
              <w:rPr>
                <w:rFonts w:cstheme="minorHAnsi"/>
                <w:color w:val="FF0000"/>
                <w:szCs w:val="20"/>
              </w:rPr>
            </w:pPr>
          </w:p>
        </w:tc>
        <w:tc>
          <w:tcPr>
            <w:tcW w:w="565" w:type="pct"/>
            <w:vMerge/>
          </w:tcPr>
          <w:p w14:paraId="05ED8982" w14:textId="77777777" w:rsidR="005D149F" w:rsidRPr="00920905" w:rsidRDefault="005D149F" w:rsidP="005D149F">
            <w:pPr>
              <w:jc w:val="center"/>
              <w:rPr>
                <w:rFonts w:cstheme="minorHAnsi"/>
                <w:color w:val="FF0000"/>
                <w:szCs w:val="20"/>
              </w:rPr>
            </w:pPr>
          </w:p>
        </w:tc>
        <w:tc>
          <w:tcPr>
            <w:tcW w:w="639" w:type="pct"/>
            <w:vAlign w:val="bottom"/>
          </w:tcPr>
          <w:p w14:paraId="5D2148C5" w14:textId="08995C5D" w:rsidR="005D149F" w:rsidRPr="00240B61" w:rsidRDefault="005D149F" w:rsidP="005D149F">
            <w:pPr>
              <w:jc w:val="center"/>
              <w:rPr>
                <w:szCs w:val="20"/>
              </w:rPr>
            </w:pPr>
            <w:r w:rsidRPr="00240B61">
              <w:rPr>
                <w:rFonts w:cs="Arial"/>
                <w:b/>
                <w:szCs w:val="20"/>
              </w:rPr>
              <w:t>Demand Savings (ΔkW/unit)</w:t>
            </w:r>
          </w:p>
        </w:tc>
        <w:tc>
          <w:tcPr>
            <w:tcW w:w="704" w:type="pct"/>
            <w:gridSpan w:val="2"/>
            <w:vAlign w:val="bottom"/>
          </w:tcPr>
          <w:p w14:paraId="04C0F102" w14:textId="7E78FF86" w:rsidR="005D149F" w:rsidRPr="00240B61" w:rsidRDefault="005D149F" w:rsidP="005D149F">
            <w:pPr>
              <w:jc w:val="center"/>
              <w:rPr>
                <w:szCs w:val="20"/>
              </w:rPr>
            </w:pPr>
            <w:r w:rsidRPr="00240B61">
              <w:rPr>
                <w:rFonts w:cs="Arial"/>
                <w:b/>
                <w:szCs w:val="20"/>
              </w:rPr>
              <w:t>Energy Savings (ΔkWh/unit)</w:t>
            </w:r>
          </w:p>
        </w:tc>
        <w:tc>
          <w:tcPr>
            <w:tcW w:w="732" w:type="pct"/>
            <w:vAlign w:val="bottom"/>
          </w:tcPr>
          <w:p w14:paraId="7D42B7E5" w14:textId="02EFAA2D" w:rsidR="005D149F" w:rsidRPr="00240B61" w:rsidRDefault="005D149F" w:rsidP="005D149F">
            <w:pPr>
              <w:jc w:val="center"/>
              <w:rPr>
                <w:szCs w:val="20"/>
              </w:rPr>
            </w:pPr>
            <w:r w:rsidRPr="00240B61">
              <w:rPr>
                <w:rFonts w:cs="Arial"/>
                <w:b/>
                <w:szCs w:val="20"/>
              </w:rPr>
              <w:t>Demand Savings (ΔkW/unit)</w:t>
            </w:r>
          </w:p>
        </w:tc>
        <w:tc>
          <w:tcPr>
            <w:tcW w:w="721" w:type="pct"/>
            <w:gridSpan w:val="2"/>
            <w:vAlign w:val="bottom"/>
          </w:tcPr>
          <w:p w14:paraId="78EA96B7" w14:textId="3F602271" w:rsidR="005D149F" w:rsidRPr="00240B61" w:rsidRDefault="005D149F" w:rsidP="005D149F">
            <w:pPr>
              <w:jc w:val="center"/>
              <w:rPr>
                <w:szCs w:val="20"/>
              </w:rPr>
            </w:pPr>
            <w:r w:rsidRPr="00240B61">
              <w:rPr>
                <w:rFonts w:cs="Arial"/>
                <w:b/>
                <w:szCs w:val="20"/>
              </w:rPr>
              <w:t>Energy Savings (ΔkWh/unit)</w:t>
            </w:r>
          </w:p>
        </w:tc>
      </w:tr>
      <w:tr w:rsidR="00D15484" w:rsidRPr="00920905" w14:paraId="6F8304D7" w14:textId="4B73A97C" w:rsidTr="00D15484">
        <w:tc>
          <w:tcPr>
            <w:tcW w:w="456" w:type="pct"/>
          </w:tcPr>
          <w:p w14:paraId="2306FED0" w14:textId="1E87B3CD" w:rsidR="00D15484" w:rsidRPr="00920905" w:rsidRDefault="00D15484" w:rsidP="00D15484">
            <w:pPr>
              <w:jc w:val="center"/>
              <w:rPr>
                <w:rFonts w:cstheme="minorHAnsi"/>
                <w:color w:val="FF0000"/>
                <w:szCs w:val="20"/>
              </w:rPr>
            </w:pPr>
            <w:r w:rsidRPr="00240B61">
              <w:rPr>
                <w:rFonts w:cs="Arial"/>
                <w:szCs w:val="20"/>
              </w:rPr>
              <w:t>6</w:t>
            </w:r>
          </w:p>
        </w:tc>
        <w:tc>
          <w:tcPr>
            <w:tcW w:w="1183" w:type="pct"/>
            <w:vAlign w:val="center"/>
          </w:tcPr>
          <w:p w14:paraId="5E6A3359" w14:textId="209165B1" w:rsidR="00D15484" w:rsidRPr="00920905" w:rsidRDefault="00D15484" w:rsidP="00D15484">
            <w:pPr>
              <w:jc w:val="center"/>
              <w:rPr>
                <w:rFonts w:cstheme="minorHAnsi"/>
                <w:color w:val="FF0000"/>
                <w:szCs w:val="20"/>
              </w:rPr>
            </w:pPr>
            <w:r w:rsidRPr="008A248B">
              <w:rPr>
                <w:color w:val="000000"/>
                <w:szCs w:val="20"/>
              </w:rPr>
              <w:t>Torrance</w:t>
            </w:r>
            <w:r>
              <w:rPr>
                <w:color w:val="000000"/>
                <w:szCs w:val="20"/>
              </w:rPr>
              <w:t xml:space="preserve"> - 86</w:t>
            </w:r>
            <w:r>
              <w:rPr>
                <w:rFonts w:cs="Calibri"/>
                <w:color w:val="000000"/>
                <w:szCs w:val="20"/>
              </w:rPr>
              <w:t>⁰</w:t>
            </w:r>
            <w:r>
              <w:rPr>
                <w:color w:val="000000"/>
                <w:szCs w:val="20"/>
              </w:rPr>
              <w:t>F</w:t>
            </w:r>
          </w:p>
        </w:tc>
        <w:tc>
          <w:tcPr>
            <w:tcW w:w="565" w:type="pct"/>
          </w:tcPr>
          <w:p w14:paraId="2B40C99B" w14:textId="2CA257BE" w:rsidR="00D15484" w:rsidRPr="00920905" w:rsidRDefault="00D15484" w:rsidP="00D15484">
            <w:pPr>
              <w:jc w:val="center"/>
              <w:rPr>
                <w:rFonts w:cstheme="minorHAnsi"/>
                <w:color w:val="FF0000"/>
                <w:szCs w:val="20"/>
              </w:rPr>
            </w:pPr>
            <w:r>
              <w:rPr>
                <w:rFonts w:cs="Arial"/>
                <w:szCs w:val="20"/>
              </w:rPr>
              <w:t>Door</w:t>
            </w:r>
          </w:p>
        </w:tc>
        <w:tc>
          <w:tcPr>
            <w:tcW w:w="660" w:type="pct"/>
            <w:gridSpan w:val="2"/>
            <w:vAlign w:val="bottom"/>
          </w:tcPr>
          <w:p w14:paraId="4CEF73FC" w14:textId="726D37DF" w:rsidR="00D15484" w:rsidRPr="00D15484" w:rsidRDefault="00D15484" w:rsidP="00D15484">
            <w:pPr>
              <w:jc w:val="center"/>
              <w:rPr>
                <w:rFonts w:cs="Arial"/>
                <w:szCs w:val="20"/>
              </w:rPr>
            </w:pPr>
            <w:r w:rsidRPr="00D15484">
              <w:rPr>
                <w:rFonts w:cs="Arial"/>
                <w:szCs w:val="20"/>
              </w:rPr>
              <w:t>0.02090</w:t>
            </w:r>
          </w:p>
        </w:tc>
        <w:tc>
          <w:tcPr>
            <w:tcW w:w="683" w:type="pct"/>
            <w:vAlign w:val="bottom"/>
          </w:tcPr>
          <w:p w14:paraId="16AA38B9" w14:textId="4650B2B1" w:rsidR="00D15484" w:rsidRPr="00D15484" w:rsidRDefault="00D15484" w:rsidP="00D15484">
            <w:pPr>
              <w:jc w:val="center"/>
              <w:rPr>
                <w:rFonts w:cs="Arial"/>
                <w:szCs w:val="20"/>
              </w:rPr>
            </w:pPr>
            <w:r w:rsidRPr="00D15484">
              <w:rPr>
                <w:rFonts w:cs="Arial"/>
                <w:szCs w:val="20"/>
              </w:rPr>
              <w:t>108.34</w:t>
            </w:r>
          </w:p>
        </w:tc>
        <w:tc>
          <w:tcPr>
            <w:tcW w:w="752" w:type="pct"/>
            <w:gridSpan w:val="2"/>
            <w:vAlign w:val="bottom"/>
          </w:tcPr>
          <w:p w14:paraId="45FBB5FB" w14:textId="3821BFA1" w:rsidR="00D15484" w:rsidRPr="00D15484" w:rsidRDefault="00D15484" w:rsidP="00D15484">
            <w:pPr>
              <w:jc w:val="center"/>
              <w:rPr>
                <w:rFonts w:cs="Arial"/>
                <w:szCs w:val="20"/>
              </w:rPr>
            </w:pPr>
            <w:r w:rsidRPr="00D15484">
              <w:rPr>
                <w:rFonts w:cs="Arial"/>
                <w:szCs w:val="20"/>
              </w:rPr>
              <w:t>0.04725</w:t>
            </w:r>
          </w:p>
        </w:tc>
        <w:tc>
          <w:tcPr>
            <w:tcW w:w="701" w:type="pct"/>
            <w:vAlign w:val="bottom"/>
          </w:tcPr>
          <w:p w14:paraId="2F39D6E2" w14:textId="3C7392D3" w:rsidR="00D15484" w:rsidRPr="00D15484" w:rsidRDefault="00D15484" w:rsidP="00D15484">
            <w:pPr>
              <w:jc w:val="center"/>
              <w:rPr>
                <w:rFonts w:cs="Arial"/>
                <w:szCs w:val="20"/>
              </w:rPr>
            </w:pPr>
            <w:r w:rsidRPr="00D15484">
              <w:rPr>
                <w:rFonts w:cs="Arial"/>
                <w:szCs w:val="20"/>
              </w:rPr>
              <w:t>244.97</w:t>
            </w:r>
          </w:p>
        </w:tc>
      </w:tr>
      <w:tr w:rsidR="00D15484" w:rsidRPr="00920905" w14:paraId="1B3C8DC4" w14:textId="58F577F6" w:rsidTr="00D15484">
        <w:tc>
          <w:tcPr>
            <w:tcW w:w="456" w:type="pct"/>
          </w:tcPr>
          <w:p w14:paraId="105D9B87" w14:textId="53645647" w:rsidR="00D15484" w:rsidRPr="00920905" w:rsidRDefault="00D15484" w:rsidP="00D15484">
            <w:pPr>
              <w:jc w:val="center"/>
              <w:rPr>
                <w:rFonts w:cstheme="minorHAnsi"/>
                <w:color w:val="FF0000"/>
                <w:szCs w:val="20"/>
              </w:rPr>
            </w:pPr>
            <w:r w:rsidRPr="00240B61">
              <w:rPr>
                <w:rFonts w:cs="Arial"/>
                <w:szCs w:val="20"/>
              </w:rPr>
              <w:t>8</w:t>
            </w:r>
          </w:p>
        </w:tc>
        <w:tc>
          <w:tcPr>
            <w:tcW w:w="1183" w:type="pct"/>
            <w:vAlign w:val="center"/>
          </w:tcPr>
          <w:p w14:paraId="7224416A" w14:textId="28E26C1C" w:rsidR="00D15484" w:rsidRPr="00920905" w:rsidRDefault="00D15484" w:rsidP="00D15484">
            <w:pPr>
              <w:jc w:val="center"/>
              <w:rPr>
                <w:rFonts w:cstheme="minorHAnsi"/>
                <w:color w:val="FF0000"/>
                <w:szCs w:val="20"/>
              </w:rPr>
            </w:pPr>
            <w:r w:rsidRPr="008A248B">
              <w:rPr>
                <w:color w:val="000000"/>
                <w:szCs w:val="20"/>
              </w:rPr>
              <w:t>Fullerton</w:t>
            </w:r>
            <w:r>
              <w:rPr>
                <w:color w:val="000000"/>
                <w:szCs w:val="20"/>
              </w:rPr>
              <w:t xml:space="preserve"> - 94</w:t>
            </w:r>
            <w:r>
              <w:rPr>
                <w:rFonts w:cs="Calibri"/>
                <w:color w:val="000000"/>
                <w:szCs w:val="20"/>
              </w:rPr>
              <w:t>⁰</w:t>
            </w:r>
            <w:r>
              <w:rPr>
                <w:color w:val="000000"/>
                <w:szCs w:val="20"/>
              </w:rPr>
              <w:t>F</w:t>
            </w:r>
          </w:p>
        </w:tc>
        <w:tc>
          <w:tcPr>
            <w:tcW w:w="565" w:type="pct"/>
          </w:tcPr>
          <w:p w14:paraId="73EE6243" w14:textId="1E25521B" w:rsidR="00D15484" w:rsidRPr="00920905" w:rsidRDefault="00D15484" w:rsidP="00D15484">
            <w:pPr>
              <w:jc w:val="center"/>
              <w:rPr>
                <w:rFonts w:cstheme="minorHAnsi"/>
                <w:color w:val="FF0000"/>
                <w:szCs w:val="20"/>
              </w:rPr>
            </w:pPr>
            <w:r>
              <w:rPr>
                <w:rFonts w:cs="Arial"/>
                <w:szCs w:val="20"/>
              </w:rPr>
              <w:t>Door</w:t>
            </w:r>
          </w:p>
        </w:tc>
        <w:tc>
          <w:tcPr>
            <w:tcW w:w="660" w:type="pct"/>
            <w:gridSpan w:val="2"/>
            <w:vAlign w:val="bottom"/>
          </w:tcPr>
          <w:p w14:paraId="7C1402E0" w14:textId="608E24F8" w:rsidR="00D15484" w:rsidRPr="00D15484" w:rsidRDefault="00D15484" w:rsidP="00D15484">
            <w:pPr>
              <w:jc w:val="center"/>
              <w:rPr>
                <w:rFonts w:cs="Arial"/>
                <w:szCs w:val="20"/>
              </w:rPr>
            </w:pPr>
            <w:r w:rsidRPr="00D15484">
              <w:rPr>
                <w:rFonts w:cs="Arial"/>
                <w:szCs w:val="20"/>
              </w:rPr>
              <w:t>0.02155</w:t>
            </w:r>
          </w:p>
        </w:tc>
        <w:tc>
          <w:tcPr>
            <w:tcW w:w="683" w:type="pct"/>
            <w:vAlign w:val="bottom"/>
          </w:tcPr>
          <w:p w14:paraId="37ED7E79" w14:textId="658B8E16" w:rsidR="00D15484" w:rsidRPr="00D15484" w:rsidRDefault="00D15484" w:rsidP="00D15484">
            <w:pPr>
              <w:jc w:val="center"/>
              <w:rPr>
                <w:rFonts w:cs="Arial"/>
                <w:szCs w:val="20"/>
              </w:rPr>
            </w:pPr>
            <w:r w:rsidRPr="00D15484">
              <w:rPr>
                <w:rFonts w:cs="Arial"/>
                <w:szCs w:val="20"/>
              </w:rPr>
              <w:t>111.20</w:t>
            </w:r>
          </w:p>
        </w:tc>
        <w:tc>
          <w:tcPr>
            <w:tcW w:w="752" w:type="pct"/>
            <w:gridSpan w:val="2"/>
            <w:vAlign w:val="bottom"/>
          </w:tcPr>
          <w:p w14:paraId="4BE79482" w14:textId="6F6E907B" w:rsidR="00D15484" w:rsidRPr="00D15484" w:rsidRDefault="00D15484" w:rsidP="00D15484">
            <w:pPr>
              <w:jc w:val="center"/>
              <w:rPr>
                <w:rFonts w:cs="Arial"/>
                <w:szCs w:val="20"/>
              </w:rPr>
            </w:pPr>
            <w:r w:rsidRPr="00D15484">
              <w:rPr>
                <w:rFonts w:cs="Arial"/>
                <w:szCs w:val="20"/>
              </w:rPr>
              <w:t>0.04902</w:t>
            </w:r>
          </w:p>
        </w:tc>
        <w:tc>
          <w:tcPr>
            <w:tcW w:w="701" w:type="pct"/>
            <w:vAlign w:val="bottom"/>
          </w:tcPr>
          <w:p w14:paraId="5C080CBB" w14:textId="4B9C0D93" w:rsidR="00D15484" w:rsidRPr="00D15484" w:rsidRDefault="00D15484" w:rsidP="00D15484">
            <w:pPr>
              <w:jc w:val="center"/>
              <w:rPr>
                <w:rFonts w:cs="Arial"/>
                <w:szCs w:val="20"/>
              </w:rPr>
            </w:pPr>
            <w:r w:rsidRPr="00D15484">
              <w:rPr>
                <w:rFonts w:cs="Arial"/>
                <w:szCs w:val="20"/>
              </w:rPr>
              <w:t>252.99</w:t>
            </w:r>
          </w:p>
        </w:tc>
      </w:tr>
      <w:tr w:rsidR="00D15484" w14:paraId="463CE0F3" w14:textId="3BDD3F25" w:rsidTr="00D15484">
        <w:tc>
          <w:tcPr>
            <w:tcW w:w="456" w:type="pct"/>
          </w:tcPr>
          <w:p w14:paraId="7D17618E" w14:textId="40737791" w:rsidR="00D15484" w:rsidRDefault="00D15484" w:rsidP="00D15484">
            <w:pPr>
              <w:jc w:val="center"/>
              <w:rPr>
                <w:szCs w:val="20"/>
              </w:rPr>
            </w:pPr>
            <w:r w:rsidRPr="00240B61">
              <w:rPr>
                <w:rFonts w:cs="Arial"/>
                <w:szCs w:val="20"/>
              </w:rPr>
              <w:t>9</w:t>
            </w:r>
          </w:p>
        </w:tc>
        <w:tc>
          <w:tcPr>
            <w:tcW w:w="1183" w:type="pct"/>
            <w:vAlign w:val="center"/>
          </w:tcPr>
          <w:p w14:paraId="05067E20" w14:textId="382F2F07" w:rsidR="00D15484" w:rsidRDefault="00D15484" w:rsidP="00D15484">
            <w:pPr>
              <w:jc w:val="center"/>
              <w:rPr>
                <w:szCs w:val="20"/>
              </w:rPr>
            </w:pPr>
            <w:r w:rsidRPr="008A248B">
              <w:rPr>
                <w:color w:val="000000"/>
                <w:szCs w:val="20"/>
              </w:rPr>
              <w:t>Burbank-Glendale</w:t>
            </w:r>
            <w:r>
              <w:rPr>
                <w:color w:val="000000"/>
                <w:szCs w:val="20"/>
              </w:rPr>
              <w:t xml:space="preserve"> - 96</w:t>
            </w:r>
            <w:r>
              <w:rPr>
                <w:rFonts w:cs="Calibri"/>
                <w:color w:val="000000"/>
                <w:szCs w:val="20"/>
              </w:rPr>
              <w:t>⁰</w:t>
            </w:r>
            <w:r>
              <w:rPr>
                <w:color w:val="000000"/>
                <w:szCs w:val="20"/>
              </w:rPr>
              <w:t>F</w:t>
            </w:r>
          </w:p>
        </w:tc>
        <w:tc>
          <w:tcPr>
            <w:tcW w:w="565" w:type="pct"/>
          </w:tcPr>
          <w:p w14:paraId="652136B6" w14:textId="1734541D" w:rsidR="00D15484" w:rsidRDefault="00D15484" w:rsidP="00D15484">
            <w:pPr>
              <w:jc w:val="center"/>
              <w:rPr>
                <w:szCs w:val="20"/>
              </w:rPr>
            </w:pPr>
            <w:r>
              <w:rPr>
                <w:rFonts w:cs="Arial"/>
                <w:szCs w:val="20"/>
              </w:rPr>
              <w:t>Door</w:t>
            </w:r>
          </w:p>
        </w:tc>
        <w:tc>
          <w:tcPr>
            <w:tcW w:w="660" w:type="pct"/>
            <w:gridSpan w:val="2"/>
            <w:vAlign w:val="bottom"/>
          </w:tcPr>
          <w:p w14:paraId="13C8FE42" w14:textId="060D1137" w:rsidR="00D15484" w:rsidRPr="00D15484" w:rsidRDefault="00D15484" w:rsidP="00D15484">
            <w:pPr>
              <w:jc w:val="center"/>
              <w:rPr>
                <w:rFonts w:cs="Arial"/>
                <w:szCs w:val="20"/>
              </w:rPr>
            </w:pPr>
            <w:r w:rsidRPr="00D15484">
              <w:rPr>
                <w:rFonts w:cs="Arial"/>
                <w:szCs w:val="20"/>
              </w:rPr>
              <w:t>0.02209</w:t>
            </w:r>
          </w:p>
        </w:tc>
        <w:tc>
          <w:tcPr>
            <w:tcW w:w="683" w:type="pct"/>
            <w:vAlign w:val="bottom"/>
          </w:tcPr>
          <w:p w14:paraId="4C66AC3C" w14:textId="0E09DCDA" w:rsidR="00D15484" w:rsidRPr="00D15484" w:rsidRDefault="00D15484" w:rsidP="00D15484">
            <w:pPr>
              <w:jc w:val="center"/>
              <w:rPr>
                <w:rFonts w:cs="Arial"/>
                <w:szCs w:val="20"/>
              </w:rPr>
            </w:pPr>
            <w:r w:rsidRPr="00D15484">
              <w:rPr>
                <w:rFonts w:cs="Arial"/>
                <w:szCs w:val="20"/>
              </w:rPr>
              <w:t>114.63</w:t>
            </w:r>
          </w:p>
        </w:tc>
        <w:tc>
          <w:tcPr>
            <w:tcW w:w="752" w:type="pct"/>
            <w:gridSpan w:val="2"/>
            <w:vAlign w:val="bottom"/>
          </w:tcPr>
          <w:p w14:paraId="3EAEBC6B" w14:textId="2DF5F42D" w:rsidR="00D15484" w:rsidRPr="00D15484" w:rsidRDefault="00D15484" w:rsidP="00D15484">
            <w:pPr>
              <w:jc w:val="center"/>
              <w:rPr>
                <w:rFonts w:cs="Arial"/>
                <w:szCs w:val="20"/>
              </w:rPr>
            </w:pPr>
            <w:r w:rsidRPr="00D15484">
              <w:rPr>
                <w:rFonts w:cs="Arial"/>
                <w:szCs w:val="20"/>
              </w:rPr>
              <w:t>0.05036</w:t>
            </w:r>
          </w:p>
        </w:tc>
        <w:tc>
          <w:tcPr>
            <w:tcW w:w="701" w:type="pct"/>
            <w:vAlign w:val="bottom"/>
          </w:tcPr>
          <w:p w14:paraId="31CC46C8" w14:textId="6AD3E7DB" w:rsidR="00D15484" w:rsidRPr="00D15484" w:rsidRDefault="00D15484" w:rsidP="00D15484">
            <w:pPr>
              <w:jc w:val="center"/>
              <w:rPr>
                <w:rFonts w:cs="Arial"/>
                <w:szCs w:val="20"/>
              </w:rPr>
            </w:pPr>
            <w:r w:rsidRPr="00D15484">
              <w:rPr>
                <w:rFonts w:cs="Arial"/>
                <w:szCs w:val="20"/>
              </w:rPr>
              <w:t>261.26</w:t>
            </w:r>
          </w:p>
        </w:tc>
      </w:tr>
      <w:tr w:rsidR="00D15484" w14:paraId="30E1D80A" w14:textId="04C4466B" w:rsidTr="00D15484">
        <w:tc>
          <w:tcPr>
            <w:tcW w:w="456" w:type="pct"/>
          </w:tcPr>
          <w:p w14:paraId="288E9548" w14:textId="066580D9" w:rsidR="00D15484" w:rsidRPr="00240B61" w:rsidRDefault="00D15484" w:rsidP="00D15484">
            <w:pPr>
              <w:jc w:val="center"/>
              <w:rPr>
                <w:szCs w:val="20"/>
              </w:rPr>
            </w:pPr>
            <w:r w:rsidRPr="00240B61">
              <w:rPr>
                <w:rFonts w:cs="Arial"/>
                <w:szCs w:val="20"/>
              </w:rPr>
              <w:t>10</w:t>
            </w:r>
          </w:p>
        </w:tc>
        <w:tc>
          <w:tcPr>
            <w:tcW w:w="1183" w:type="pct"/>
            <w:vAlign w:val="center"/>
          </w:tcPr>
          <w:p w14:paraId="0101BE2E" w14:textId="24B72F81" w:rsidR="00D15484" w:rsidRDefault="00D15484" w:rsidP="00D15484">
            <w:pPr>
              <w:jc w:val="center"/>
              <w:rPr>
                <w:rFonts w:cs="Arial"/>
                <w:szCs w:val="20"/>
              </w:rPr>
            </w:pPr>
            <w:r w:rsidRPr="008A248B">
              <w:rPr>
                <w:color w:val="000000"/>
                <w:szCs w:val="20"/>
              </w:rPr>
              <w:t>Riverside</w:t>
            </w:r>
            <w:r>
              <w:rPr>
                <w:color w:val="000000"/>
                <w:szCs w:val="20"/>
              </w:rPr>
              <w:t xml:space="preserve"> - 100</w:t>
            </w:r>
            <w:r>
              <w:rPr>
                <w:rFonts w:cs="Calibri"/>
                <w:color w:val="000000"/>
                <w:szCs w:val="20"/>
              </w:rPr>
              <w:t>⁰</w:t>
            </w:r>
            <w:r>
              <w:rPr>
                <w:color w:val="000000"/>
                <w:szCs w:val="20"/>
              </w:rPr>
              <w:t>F</w:t>
            </w:r>
          </w:p>
        </w:tc>
        <w:tc>
          <w:tcPr>
            <w:tcW w:w="565" w:type="pct"/>
          </w:tcPr>
          <w:p w14:paraId="3AE9A814" w14:textId="05E50DAA" w:rsidR="00D15484" w:rsidRDefault="00D15484" w:rsidP="00D15484">
            <w:pPr>
              <w:jc w:val="center"/>
              <w:rPr>
                <w:rFonts w:cs="Arial"/>
                <w:szCs w:val="20"/>
              </w:rPr>
            </w:pPr>
            <w:r>
              <w:rPr>
                <w:rFonts w:cs="Arial"/>
                <w:szCs w:val="20"/>
              </w:rPr>
              <w:t>Door</w:t>
            </w:r>
          </w:p>
        </w:tc>
        <w:tc>
          <w:tcPr>
            <w:tcW w:w="660" w:type="pct"/>
            <w:gridSpan w:val="2"/>
            <w:vAlign w:val="bottom"/>
          </w:tcPr>
          <w:p w14:paraId="3AD05FCA" w14:textId="21102E88" w:rsidR="00D15484" w:rsidRPr="00D15484" w:rsidRDefault="00D15484" w:rsidP="00D15484">
            <w:pPr>
              <w:jc w:val="center"/>
              <w:rPr>
                <w:rFonts w:cs="Arial"/>
                <w:szCs w:val="20"/>
              </w:rPr>
            </w:pPr>
            <w:r w:rsidRPr="00D15484">
              <w:rPr>
                <w:rFonts w:cs="Arial"/>
                <w:szCs w:val="20"/>
              </w:rPr>
              <w:t>0.02251</w:t>
            </w:r>
          </w:p>
        </w:tc>
        <w:tc>
          <w:tcPr>
            <w:tcW w:w="683" w:type="pct"/>
            <w:vAlign w:val="bottom"/>
          </w:tcPr>
          <w:p w14:paraId="4E102074" w14:textId="267AA8C6" w:rsidR="00D15484" w:rsidRPr="00D15484" w:rsidRDefault="00D15484" w:rsidP="00D15484">
            <w:pPr>
              <w:jc w:val="center"/>
              <w:rPr>
                <w:rFonts w:cs="Arial"/>
                <w:szCs w:val="20"/>
              </w:rPr>
            </w:pPr>
            <w:r w:rsidRPr="00D15484">
              <w:rPr>
                <w:rFonts w:cs="Arial"/>
                <w:szCs w:val="20"/>
              </w:rPr>
              <w:t>113.93</w:t>
            </w:r>
          </w:p>
        </w:tc>
        <w:tc>
          <w:tcPr>
            <w:tcW w:w="752" w:type="pct"/>
            <w:gridSpan w:val="2"/>
            <w:vAlign w:val="bottom"/>
          </w:tcPr>
          <w:p w14:paraId="39D3D1EE" w14:textId="0EC9A8B8" w:rsidR="00D15484" w:rsidRPr="00D15484" w:rsidRDefault="00D15484" w:rsidP="00D15484">
            <w:pPr>
              <w:jc w:val="center"/>
              <w:rPr>
                <w:rFonts w:cs="Arial"/>
                <w:szCs w:val="20"/>
              </w:rPr>
            </w:pPr>
            <w:r w:rsidRPr="00D15484">
              <w:rPr>
                <w:rFonts w:cs="Arial"/>
                <w:szCs w:val="20"/>
              </w:rPr>
              <w:t>0.05151</w:t>
            </w:r>
          </w:p>
        </w:tc>
        <w:tc>
          <w:tcPr>
            <w:tcW w:w="701" w:type="pct"/>
            <w:vAlign w:val="bottom"/>
          </w:tcPr>
          <w:p w14:paraId="78CE2F97" w14:textId="712B08E5" w:rsidR="00D15484" w:rsidRPr="00D15484" w:rsidRDefault="00D15484" w:rsidP="00D15484">
            <w:pPr>
              <w:jc w:val="center"/>
              <w:rPr>
                <w:rFonts w:cs="Arial"/>
                <w:szCs w:val="20"/>
              </w:rPr>
            </w:pPr>
            <w:r w:rsidRPr="00D15484">
              <w:rPr>
                <w:rFonts w:cs="Arial"/>
                <w:szCs w:val="20"/>
              </w:rPr>
              <w:t>260.67</w:t>
            </w:r>
          </w:p>
        </w:tc>
      </w:tr>
      <w:tr w:rsidR="00D15484" w14:paraId="79C5161D" w14:textId="1904A0F4" w:rsidTr="00D15484">
        <w:tc>
          <w:tcPr>
            <w:tcW w:w="456" w:type="pct"/>
          </w:tcPr>
          <w:p w14:paraId="6329D597" w14:textId="709C1507" w:rsidR="00D15484" w:rsidRPr="00240B61" w:rsidRDefault="00D15484" w:rsidP="00D15484">
            <w:pPr>
              <w:jc w:val="center"/>
              <w:rPr>
                <w:szCs w:val="20"/>
              </w:rPr>
            </w:pPr>
            <w:r w:rsidRPr="00240B61">
              <w:rPr>
                <w:rFonts w:cs="Arial"/>
                <w:szCs w:val="20"/>
              </w:rPr>
              <w:t>13</w:t>
            </w:r>
          </w:p>
        </w:tc>
        <w:tc>
          <w:tcPr>
            <w:tcW w:w="1183" w:type="pct"/>
            <w:vAlign w:val="center"/>
          </w:tcPr>
          <w:p w14:paraId="56F3F984" w14:textId="5513B5D4" w:rsidR="00D15484" w:rsidRDefault="00D15484" w:rsidP="00D15484">
            <w:pPr>
              <w:jc w:val="center"/>
              <w:rPr>
                <w:rFonts w:cs="Arial"/>
                <w:szCs w:val="20"/>
              </w:rPr>
            </w:pPr>
            <w:r w:rsidRPr="008A248B">
              <w:rPr>
                <w:color w:val="000000"/>
                <w:szCs w:val="20"/>
              </w:rPr>
              <w:t>Fresno</w:t>
            </w:r>
            <w:r>
              <w:rPr>
                <w:color w:val="000000"/>
                <w:szCs w:val="20"/>
              </w:rPr>
              <w:t xml:space="preserve"> - 101</w:t>
            </w:r>
            <w:r>
              <w:rPr>
                <w:rFonts w:cs="Calibri"/>
                <w:color w:val="000000"/>
                <w:szCs w:val="20"/>
              </w:rPr>
              <w:t>⁰</w:t>
            </w:r>
            <w:r>
              <w:rPr>
                <w:color w:val="000000"/>
                <w:szCs w:val="20"/>
              </w:rPr>
              <w:t>F</w:t>
            </w:r>
          </w:p>
        </w:tc>
        <w:tc>
          <w:tcPr>
            <w:tcW w:w="565" w:type="pct"/>
          </w:tcPr>
          <w:p w14:paraId="68B819DD" w14:textId="3F51F6C7" w:rsidR="00D15484" w:rsidRDefault="00D15484" w:rsidP="00D15484">
            <w:pPr>
              <w:jc w:val="center"/>
              <w:rPr>
                <w:rFonts w:cs="Arial"/>
                <w:szCs w:val="20"/>
              </w:rPr>
            </w:pPr>
            <w:r>
              <w:rPr>
                <w:rFonts w:cs="Arial"/>
                <w:szCs w:val="20"/>
              </w:rPr>
              <w:t>Door</w:t>
            </w:r>
          </w:p>
        </w:tc>
        <w:tc>
          <w:tcPr>
            <w:tcW w:w="660" w:type="pct"/>
            <w:gridSpan w:val="2"/>
            <w:vAlign w:val="bottom"/>
          </w:tcPr>
          <w:p w14:paraId="41FAFA34" w14:textId="1E137561" w:rsidR="00D15484" w:rsidRPr="00D15484" w:rsidRDefault="00D15484" w:rsidP="00D15484">
            <w:pPr>
              <w:jc w:val="center"/>
              <w:rPr>
                <w:rFonts w:cs="Arial"/>
                <w:szCs w:val="20"/>
              </w:rPr>
            </w:pPr>
            <w:r w:rsidRPr="00D15484">
              <w:rPr>
                <w:rFonts w:cs="Arial"/>
                <w:szCs w:val="20"/>
              </w:rPr>
              <w:t>0.02236</w:t>
            </w:r>
          </w:p>
        </w:tc>
        <w:tc>
          <w:tcPr>
            <w:tcW w:w="683" w:type="pct"/>
            <w:vAlign w:val="bottom"/>
          </w:tcPr>
          <w:p w14:paraId="06F65E4E" w14:textId="60ABAA0C" w:rsidR="00D15484" w:rsidRPr="00D15484" w:rsidRDefault="00D15484" w:rsidP="00D15484">
            <w:pPr>
              <w:jc w:val="center"/>
              <w:rPr>
                <w:rFonts w:cs="Arial"/>
                <w:szCs w:val="20"/>
              </w:rPr>
            </w:pPr>
            <w:r w:rsidRPr="00D15484">
              <w:rPr>
                <w:rFonts w:cs="Arial"/>
                <w:szCs w:val="20"/>
              </w:rPr>
              <w:t>115.11</w:t>
            </w:r>
          </w:p>
        </w:tc>
        <w:tc>
          <w:tcPr>
            <w:tcW w:w="752" w:type="pct"/>
            <w:gridSpan w:val="2"/>
            <w:vAlign w:val="bottom"/>
          </w:tcPr>
          <w:p w14:paraId="639F4EAA" w14:textId="49F6E064" w:rsidR="00D15484" w:rsidRPr="00D15484" w:rsidRDefault="00D15484" w:rsidP="00D15484">
            <w:pPr>
              <w:jc w:val="center"/>
              <w:rPr>
                <w:rFonts w:cs="Arial"/>
                <w:szCs w:val="20"/>
              </w:rPr>
            </w:pPr>
            <w:r w:rsidRPr="00D15484">
              <w:rPr>
                <w:rFonts w:cs="Arial"/>
                <w:szCs w:val="20"/>
              </w:rPr>
              <w:t>0.05121</w:t>
            </w:r>
          </w:p>
        </w:tc>
        <w:tc>
          <w:tcPr>
            <w:tcW w:w="701" w:type="pct"/>
            <w:vAlign w:val="bottom"/>
          </w:tcPr>
          <w:p w14:paraId="619F7619" w14:textId="1620EAC1" w:rsidR="00D15484" w:rsidRPr="00D15484" w:rsidRDefault="00D15484" w:rsidP="00D15484">
            <w:pPr>
              <w:jc w:val="center"/>
              <w:rPr>
                <w:rFonts w:cs="Arial"/>
                <w:szCs w:val="20"/>
              </w:rPr>
            </w:pPr>
            <w:r w:rsidRPr="00D15484">
              <w:rPr>
                <w:rFonts w:cs="Arial"/>
                <w:szCs w:val="20"/>
              </w:rPr>
              <w:t>263.64</w:t>
            </w:r>
          </w:p>
        </w:tc>
      </w:tr>
      <w:tr w:rsidR="00D15484" w14:paraId="7E6DADE1" w14:textId="3D828588" w:rsidTr="00D15484">
        <w:tc>
          <w:tcPr>
            <w:tcW w:w="456" w:type="pct"/>
          </w:tcPr>
          <w:p w14:paraId="18EE46C8" w14:textId="3DD9FE1A" w:rsidR="00D15484" w:rsidRPr="00240B61" w:rsidRDefault="00D15484" w:rsidP="00D15484">
            <w:pPr>
              <w:jc w:val="center"/>
              <w:rPr>
                <w:szCs w:val="20"/>
              </w:rPr>
            </w:pPr>
            <w:r w:rsidRPr="00240B61">
              <w:rPr>
                <w:rFonts w:cs="Arial"/>
                <w:szCs w:val="20"/>
              </w:rPr>
              <w:t>14</w:t>
            </w:r>
          </w:p>
        </w:tc>
        <w:tc>
          <w:tcPr>
            <w:tcW w:w="1183" w:type="pct"/>
            <w:vAlign w:val="center"/>
          </w:tcPr>
          <w:p w14:paraId="081E1E08" w14:textId="6D94C5F1" w:rsidR="00D15484" w:rsidRDefault="00D15484" w:rsidP="00D15484">
            <w:pPr>
              <w:jc w:val="center"/>
              <w:rPr>
                <w:rFonts w:cs="Arial"/>
                <w:szCs w:val="20"/>
              </w:rPr>
            </w:pPr>
            <w:r w:rsidRPr="008A248B">
              <w:rPr>
                <w:color w:val="000000"/>
                <w:szCs w:val="20"/>
              </w:rPr>
              <w:t>Palmdale</w:t>
            </w:r>
            <w:r>
              <w:rPr>
                <w:color w:val="000000"/>
                <w:szCs w:val="20"/>
              </w:rPr>
              <w:t xml:space="preserve"> - 103</w:t>
            </w:r>
            <w:r>
              <w:rPr>
                <w:rFonts w:cs="Calibri"/>
                <w:color w:val="000000"/>
                <w:szCs w:val="20"/>
              </w:rPr>
              <w:t>⁰</w:t>
            </w:r>
            <w:r>
              <w:rPr>
                <w:color w:val="000000"/>
                <w:szCs w:val="20"/>
              </w:rPr>
              <w:t>F</w:t>
            </w:r>
          </w:p>
        </w:tc>
        <w:tc>
          <w:tcPr>
            <w:tcW w:w="565" w:type="pct"/>
          </w:tcPr>
          <w:p w14:paraId="0672D54D" w14:textId="50663594" w:rsidR="00D15484" w:rsidRDefault="00D15484" w:rsidP="00D15484">
            <w:pPr>
              <w:jc w:val="center"/>
              <w:rPr>
                <w:rFonts w:cs="Arial"/>
                <w:szCs w:val="20"/>
              </w:rPr>
            </w:pPr>
            <w:r>
              <w:rPr>
                <w:rFonts w:cs="Arial"/>
                <w:szCs w:val="20"/>
              </w:rPr>
              <w:t>Door</w:t>
            </w:r>
          </w:p>
        </w:tc>
        <w:tc>
          <w:tcPr>
            <w:tcW w:w="660" w:type="pct"/>
            <w:gridSpan w:val="2"/>
            <w:vAlign w:val="bottom"/>
          </w:tcPr>
          <w:p w14:paraId="1F28268D" w14:textId="495710B5" w:rsidR="00D15484" w:rsidRPr="00D15484" w:rsidRDefault="00D15484" w:rsidP="00D15484">
            <w:pPr>
              <w:jc w:val="center"/>
              <w:rPr>
                <w:rFonts w:cs="Arial"/>
                <w:szCs w:val="20"/>
              </w:rPr>
            </w:pPr>
            <w:r w:rsidRPr="00D15484">
              <w:rPr>
                <w:rFonts w:cs="Arial"/>
                <w:szCs w:val="20"/>
              </w:rPr>
              <w:t>0.02291</w:t>
            </w:r>
          </w:p>
        </w:tc>
        <w:tc>
          <w:tcPr>
            <w:tcW w:w="683" w:type="pct"/>
            <w:vAlign w:val="bottom"/>
          </w:tcPr>
          <w:p w14:paraId="0D4810FB" w14:textId="155DDDD0" w:rsidR="00D15484" w:rsidRPr="00D15484" w:rsidRDefault="00D15484" w:rsidP="00D15484">
            <w:pPr>
              <w:jc w:val="center"/>
              <w:rPr>
                <w:rFonts w:cs="Arial"/>
                <w:szCs w:val="20"/>
              </w:rPr>
            </w:pPr>
            <w:r w:rsidRPr="00D15484">
              <w:rPr>
                <w:rFonts w:cs="Arial"/>
                <w:szCs w:val="20"/>
              </w:rPr>
              <w:t>113.13</w:t>
            </w:r>
          </w:p>
        </w:tc>
        <w:tc>
          <w:tcPr>
            <w:tcW w:w="752" w:type="pct"/>
            <w:gridSpan w:val="2"/>
            <w:vAlign w:val="bottom"/>
          </w:tcPr>
          <w:p w14:paraId="32537E7E" w14:textId="0B102DF8" w:rsidR="00D15484" w:rsidRPr="00D15484" w:rsidRDefault="00D15484" w:rsidP="00D15484">
            <w:pPr>
              <w:jc w:val="center"/>
              <w:rPr>
                <w:rFonts w:cs="Arial"/>
                <w:szCs w:val="20"/>
              </w:rPr>
            </w:pPr>
            <w:r w:rsidRPr="00D15484">
              <w:rPr>
                <w:rFonts w:cs="Arial"/>
                <w:szCs w:val="20"/>
              </w:rPr>
              <w:t>0.05259</w:t>
            </w:r>
          </w:p>
        </w:tc>
        <w:tc>
          <w:tcPr>
            <w:tcW w:w="701" w:type="pct"/>
            <w:vAlign w:val="bottom"/>
          </w:tcPr>
          <w:p w14:paraId="53499430" w14:textId="6939923E" w:rsidR="00D15484" w:rsidRPr="00D15484" w:rsidRDefault="00D15484" w:rsidP="00D15484">
            <w:pPr>
              <w:jc w:val="center"/>
              <w:rPr>
                <w:rFonts w:cs="Arial"/>
                <w:szCs w:val="20"/>
              </w:rPr>
            </w:pPr>
            <w:r w:rsidRPr="00D15484">
              <w:rPr>
                <w:rFonts w:cs="Arial"/>
                <w:szCs w:val="20"/>
              </w:rPr>
              <w:t>259.66</w:t>
            </w:r>
          </w:p>
        </w:tc>
      </w:tr>
      <w:tr w:rsidR="00D15484" w14:paraId="17E03D9A" w14:textId="48C6D0DA" w:rsidTr="00D15484">
        <w:tc>
          <w:tcPr>
            <w:tcW w:w="456" w:type="pct"/>
          </w:tcPr>
          <w:p w14:paraId="50B498CF" w14:textId="2051205F" w:rsidR="00D15484" w:rsidRPr="00240B61" w:rsidRDefault="00D15484" w:rsidP="00D15484">
            <w:pPr>
              <w:jc w:val="center"/>
              <w:rPr>
                <w:szCs w:val="20"/>
              </w:rPr>
            </w:pPr>
            <w:r w:rsidRPr="00240B61">
              <w:rPr>
                <w:rFonts w:cs="Arial"/>
                <w:szCs w:val="20"/>
              </w:rPr>
              <w:t>15</w:t>
            </w:r>
          </w:p>
        </w:tc>
        <w:tc>
          <w:tcPr>
            <w:tcW w:w="1183" w:type="pct"/>
            <w:vAlign w:val="center"/>
          </w:tcPr>
          <w:p w14:paraId="3B5711A5" w14:textId="1BA48219" w:rsidR="00D15484" w:rsidRDefault="00D15484" w:rsidP="00D15484">
            <w:pPr>
              <w:jc w:val="center"/>
              <w:rPr>
                <w:rFonts w:cs="Arial"/>
                <w:szCs w:val="20"/>
              </w:rPr>
            </w:pPr>
            <w:r w:rsidRPr="008A248B">
              <w:rPr>
                <w:color w:val="000000"/>
                <w:szCs w:val="20"/>
              </w:rPr>
              <w:t>Palm Springs-Intl</w:t>
            </w:r>
            <w:r>
              <w:rPr>
                <w:color w:val="000000"/>
                <w:szCs w:val="20"/>
              </w:rPr>
              <w:t xml:space="preserve"> - 113</w:t>
            </w:r>
            <w:r>
              <w:rPr>
                <w:rFonts w:cs="Calibri"/>
                <w:color w:val="000000"/>
                <w:szCs w:val="20"/>
              </w:rPr>
              <w:t>⁰</w:t>
            </w:r>
            <w:r>
              <w:rPr>
                <w:color w:val="000000"/>
                <w:szCs w:val="20"/>
              </w:rPr>
              <w:t>F</w:t>
            </w:r>
          </w:p>
        </w:tc>
        <w:tc>
          <w:tcPr>
            <w:tcW w:w="565" w:type="pct"/>
          </w:tcPr>
          <w:p w14:paraId="164CB59E" w14:textId="49316086" w:rsidR="00D15484" w:rsidRDefault="00D15484" w:rsidP="00D15484">
            <w:pPr>
              <w:jc w:val="center"/>
              <w:rPr>
                <w:rFonts w:cs="Arial"/>
                <w:szCs w:val="20"/>
              </w:rPr>
            </w:pPr>
            <w:r>
              <w:rPr>
                <w:rFonts w:cs="Arial"/>
                <w:szCs w:val="20"/>
              </w:rPr>
              <w:t>Door</w:t>
            </w:r>
          </w:p>
        </w:tc>
        <w:tc>
          <w:tcPr>
            <w:tcW w:w="660" w:type="pct"/>
            <w:gridSpan w:val="2"/>
            <w:vAlign w:val="bottom"/>
          </w:tcPr>
          <w:p w14:paraId="70D69AB0" w14:textId="3271AD69" w:rsidR="00D15484" w:rsidRPr="00D15484" w:rsidRDefault="00D15484" w:rsidP="00D15484">
            <w:pPr>
              <w:jc w:val="center"/>
              <w:rPr>
                <w:rFonts w:cs="Arial"/>
                <w:szCs w:val="20"/>
              </w:rPr>
            </w:pPr>
            <w:r w:rsidRPr="00D15484">
              <w:rPr>
                <w:rFonts w:cs="Arial"/>
                <w:szCs w:val="20"/>
              </w:rPr>
              <w:t>0.02260</w:t>
            </w:r>
          </w:p>
        </w:tc>
        <w:tc>
          <w:tcPr>
            <w:tcW w:w="683" w:type="pct"/>
            <w:vAlign w:val="bottom"/>
          </w:tcPr>
          <w:p w14:paraId="070AB58D" w14:textId="76C80D34" w:rsidR="00D15484" w:rsidRPr="00D15484" w:rsidRDefault="00D15484" w:rsidP="00D15484">
            <w:pPr>
              <w:jc w:val="center"/>
              <w:rPr>
                <w:rFonts w:cs="Arial"/>
                <w:szCs w:val="20"/>
              </w:rPr>
            </w:pPr>
            <w:r w:rsidRPr="00D15484">
              <w:rPr>
                <w:rFonts w:cs="Arial"/>
                <w:szCs w:val="20"/>
              </w:rPr>
              <w:t>122.94</w:t>
            </w:r>
          </w:p>
        </w:tc>
        <w:tc>
          <w:tcPr>
            <w:tcW w:w="752" w:type="pct"/>
            <w:gridSpan w:val="2"/>
            <w:vAlign w:val="bottom"/>
          </w:tcPr>
          <w:p w14:paraId="52D94E89" w14:textId="19F12E92" w:rsidR="00D15484" w:rsidRPr="00D15484" w:rsidRDefault="00D15484" w:rsidP="00D15484">
            <w:pPr>
              <w:jc w:val="center"/>
              <w:rPr>
                <w:rFonts w:cs="Arial"/>
                <w:szCs w:val="20"/>
              </w:rPr>
            </w:pPr>
            <w:r w:rsidRPr="00D15484">
              <w:rPr>
                <w:rFonts w:cs="Arial"/>
                <w:szCs w:val="20"/>
              </w:rPr>
              <w:t>0.05247</w:t>
            </w:r>
          </w:p>
        </w:tc>
        <w:tc>
          <w:tcPr>
            <w:tcW w:w="701" w:type="pct"/>
            <w:vAlign w:val="bottom"/>
          </w:tcPr>
          <w:p w14:paraId="0E4705C1" w14:textId="49E2C74A" w:rsidR="00D15484" w:rsidRPr="00D15484" w:rsidRDefault="00D15484" w:rsidP="00D15484">
            <w:pPr>
              <w:jc w:val="center"/>
              <w:rPr>
                <w:rFonts w:cs="Arial"/>
                <w:szCs w:val="20"/>
              </w:rPr>
            </w:pPr>
            <w:r w:rsidRPr="00D15484">
              <w:rPr>
                <w:rFonts w:cs="Arial"/>
                <w:szCs w:val="20"/>
              </w:rPr>
              <w:t>285.41</w:t>
            </w:r>
          </w:p>
        </w:tc>
      </w:tr>
      <w:tr w:rsidR="00D15484" w14:paraId="12B021CF" w14:textId="55B46653" w:rsidTr="00D15484">
        <w:tc>
          <w:tcPr>
            <w:tcW w:w="456" w:type="pct"/>
          </w:tcPr>
          <w:p w14:paraId="422C8DF0" w14:textId="03FC3F29" w:rsidR="00D15484" w:rsidRPr="00240B61" w:rsidRDefault="00D15484" w:rsidP="00D15484">
            <w:pPr>
              <w:jc w:val="center"/>
              <w:rPr>
                <w:szCs w:val="20"/>
              </w:rPr>
            </w:pPr>
            <w:r w:rsidRPr="00240B61">
              <w:rPr>
                <w:rFonts w:cs="Arial"/>
                <w:szCs w:val="20"/>
              </w:rPr>
              <w:t>16</w:t>
            </w:r>
          </w:p>
        </w:tc>
        <w:tc>
          <w:tcPr>
            <w:tcW w:w="1183" w:type="pct"/>
            <w:vAlign w:val="center"/>
          </w:tcPr>
          <w:p w14:paraId="424DF8A5" w14:textId="7F0FC974" w:rsidR="00D15484" w:rsidRPr="00240B61" w:rsidRDefault="00D15484" w:rsidP="00D15484">
            <w:pPr>
              <w:jc w:val="center"/>
              <w:rPr>
                <w:szCs w:val="20"/>
              </w:rPr>
            </w:pPr>
            <w:r w:rsidRPr="008A248B">
              <w:rPr>
                <w:color w:val="000000"/>
                <w:szCs w:val="20"/>
              </w:rPr>
              <w:t>Blue Canyon</w:t>
            </w:r>
            <w:r>
              <w:rPr>
                <w:color w:val="000000"/>
                <w:szCs w:val="20"/>
              </w:rPr>
              <w:t xml:space="preserve"> - 85</w:t>
            </w:r>
            <w:r>
              <w:rPr>
                <w:rFonts w:cs="Calibri"/>
                <w:color w:val="000000"/>
                <w:szCs w:val="20"/>
              </w:rPr>
              <w:t>⁰</w:t>
            </w:r>
            <w:r>
              <w:rPr>
                <w:color w:val="000000"/>
                <w:szCs w:val="20"/>
              </w:rPr>
              <w:t>F</w:t>
            </w:r>
          </w:p>
        </w:tc>
        <w:tc>
          <w:tcPr>
            <w:tcW w:w="565" w:type="pct"/>
          </w:tcPr>
          <w:p w14:paraId="44489E38" w14:textId="676B3AD4" w:rsidR="00D15484" w:rsidRPr="00240B61" w:rsidRDefault="00D15484" w:rsidP="00D15484">
            <w:pPr>
              <w:jc w:val="center"/>
              <w:rPr>
                <w:szCs w:val="20"/>
              </w:rPr>
            </w:pPr>
            <w:r>
              <w:rPr>
                <w:rFonts w:cs="Arial"/>
                <w:szCs w:val="20"/>
              </w:rPr>
              <w:t>Door</w:t>
            </w:r>
          </w:p>
        </w:tc>
        <w:tc>
          <w:tcPr>
            <w:tcW w:w="660" w:type="pct"/>
            <w:gridSpan w:val="2"/>
            <w:vAlign w:val="bottom"/>
          </w:tcPr>
          <w:p w14:paraId="30EAA0BD" w14:textId="4CFA533D" w:rsidR="00D15484" w:rsidRPr="00D15484" w:rsidRDefault="00D15484" w:rsidP="00D15484">
            <w:pPr>
              <w:jc w:val="center"/>
              <w:rPr>
                <w:rFonts w:cs="Arial"/>
                <w:szCs w:val="20"/>
              </w:rPr>
            </w:pPr>
            <w:r w:rsidRPr="00D15484">
              <w:rPr>
                <w:rFonts w:cs="Arial"/>
                <w:szCs w:val="20"/>
              </w:rPr>
              <w:t>0.02105</w:t>
            </w:r>
          </w:p>
        </w:tc>
        <w:tc>
          <w:tcPr>
            <w:tcW w:w="683" w:type="pct"/>
            <w:vAlign w:val="bottom"/>
          </w:tcPr>
          <w:p w14:paraId="76827F3B" w14:textId="2BB9A917" w:rsidR="00D15484" w:rsidRPr="00D15484" w:rsidRDefault="00D15484" w:rsidP="00D15484">
            <w:pPr>
              <w:jc w:val="center"/>
              <w:rPr>
                <w:rFonts w:cs="Arial"/>
                <w:szCs w:val="20"/>
              </w:rPr>
            </w:pPr>
            <w:r w:rsidRPr="00D15484">
              <w:rPr>
                <w:rFonts w:cs="Arial"/>
                <w:szCs w:val="20"/>
              </w:rPr>
              <w:t>102.90</w:t>
            </w:r>
          </w:p>
        </w:tc>
        <w:tc>
          <w:tcPr>
            <w:tcW w:w="752" w:type="pct"/>
            <w:gridSpan w:val="2"/>
            <w:vAlign w:val="bottom"/>
          </w:tcPr>
          <w:p w14:paraId="342536B2" w14:textId="5B9911FB" w:rsidR="00D15484" w:rsidRPr="00D15484" w:rsidRDefault="00D15484" w:rsidP="00D15484">
            <w:pPr>
              <w:jc w:val="center"/>
              <w:rPr>
                <w:rFonts w:cs="Arial"/>
                <w:szCs w:val="20"/>
              </w:rPr>
            </w:pPr>
            <w:r w:rsidRPr="00D15484">
              <w:rPr>
                <w:rFonts w:cs="Arial"/>
                <w:szCs w:val="20"/>
              </w:rPr>
              <w:t>0.04757</w:t>
            </w:r>
          </w:p>
        </w:tc>
        <w:tc>
          <w:tcPr>
            <w:tcW w:w="701" w:type="pct"/>
            <w:vAlign w:val="bottom"/>
          </w:tcPr>
          <w:p w14:paraId="04C65440" w14:textId="6CACF4C3" w:rsidR="00D15484" w:rsidRPr="00D15484" w:rsidRDefault="00D15484" w:rsidP="00D15484">
            <w:pPr>
              <w:jc w:val="center"/>
              <w:rPr>
                <w:rFonts w:cs="Arial"/>
                <w:szCs w:val="20"/>
              </w:rPr>
            </w:pPr>
            <w:r w:rsidRPr="00D15484">
              <w:rPr>
                <w:rFonts w:cs="Arial"/>
                <w:szCs w:val="20"/>
              </w:rPr>
              <w:t>232.51</w:t>
            </w:r>
          </w:p>
        </w:tc>
      </w:tr>
    </w:tbl>
    <w:p w14:paraId="6C7EC920" w14:textId="5D9AB3D8" w:rsidR="00E16609" w:rsidRPr="00500C4E" w:rsidRDefault="00E16609" w:rsidP="00E16609">
      <w:pPr>
        <w:pStyle w:val="Heading1"/>
        <w:keepNext w:val="0"/>
        <w:rPr>
          <w:rFonts w:cstheme="minorHAnsi"/>
        </w:rPr>
      </w:pPr>
      <w:bookmarkStart w:id="23" w:name="_Toc214003093"/>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23"/>
      <w:r w:rsidRPr="00500C4E">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153"/>
        <w:gridCol w:w="3327"/>
        <w:gridCol w:w="287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EA7FFE" w:rsidRPr="00500C4E" w14:paraId="3D341893" w14:textId="77777777" w:rsidTr="008B0035">
        <w:tc>
          <w:tcPr>
            <w:tcW w:w="1686" w:type="pct"/>
            <w:vAlign w:val="bottom"/>
          </w:tcPr>
          <w:p w14:paraId="4FA2FF6D" w14:textId="4F103F03" w:rsidR="00EA7FFE" w:rsidRPr="00920905" w:rsidRDefault="00EA7FFE" w:rsidP="00EA7FFE">
            <w:pPr>
              <w:rPr>
                <w:rFonts w:cstheme="minorHAnsi"/>
                <w:color w:val="FF0000"/>
                <w:szCs w:val="20"/>
              </w:rPr>
            </w:pPr>
            <w:r w:rsidRPr="00240B61">
              <w:rPr>
                <w:rFonts w:cstheme="minorHAnsi"/>
                <w:szCs w:val="20"/>
              </w:rPr>
              <w:t>Grocery</w:t>
            </w:r>
          </w:p>
        </w:tc>
        <w:tc>
          <w:tcPr>
            <w:tcW w:w="1779" w:type="pct"/>
          </w:tcPr>
          <w:p w14:paraId="3B2DCD1E" w14:textId="14EE6728" w:rsidR="00EA7FFE" w:rsidRPr="00920905" w:rsidRDefault="00EA7FFE" w:rsidP="00EA7FFE">
            <w:pPr>
              <w:rPr>
                <w:rFonts w:cstheme="minorHAnsi"/>
                <w:color w:val="FF0000"/>
                <w:szCs w:val="20"/>
              </w:rPr>
            </w:pPr>
            <w:r w:rsidRPr="00240B61">
              <w:rPr>
                <w:rFonts w:cstheme="minorHAnsi"/>
                <w:szCs w:val="20"/>
              </w:rPr>
              <w:t>DEER:Indoor_Non-CFL_Ltg</w:t>
            </w:r>
          </w:p>
        </w:tc>
        <w:tc>
          <w:tcPr>
            <w:tcW w:w="1535" w:type="pct"/>
          </w:tcPr>
          <w:p w14:paraId="6722CD8A" w14:textId="30C153A7" w:rsidR="00EA7FFE" w:rsidRPr="00920905" w:rsidRDefault="00EA7FFE" w:rsidP="00EA7FFE">
            <w:pPr>
              <w:rPr>
                <w:rFonts w:cstheme="minorHAnsi"/>
                <w:color w:val="FF0000"/>
                <w:szCs w:val="20"/>
              </w:rPr>
            </w:pPr>
            <w:r w:rsidRPr="00240B61">
              <w:rPr>
                <w:rFonts w:cstheme="minorHAnsi"/>
                <w:szCs w:val="20"/>
              </w:rPr>
              <w:t>NON_RES</w:t>
            </w:r>
          </w:p>
        </w:tc>
      </w:tr>
      <w:tr w:rsidR="00CD2952" w:rsidRPr="00500C4E" w14:paraId="394F3D73" w14:textId="77777777" w:rsidTr="008B0035">
        <w:tc>
          <w:tcPr>
            <w:tcW w:w="1686" w:type="pct"/>
            <w:vAlign w:val="bottom"/>
          </w:tcPr>
          <w:p w14:paraId="58E0EF15" w14:textId="2FF53A1F" w:rsidR="00CD2952" w:rsidRPr="00240B61" w:rsidRDefault="00CD2952" w:rsidP="00CD2952">
            <w:pPr>
              <w:rPr>
                <w:rFonts w:cstheme="minorHAnsi"/>
                <w:szCs w:val="20"/>
              </w:rPr>
            </w:pPr>
            <w:r>
              <w:rPr>
                <w:rFonts w:cstheme="minorHAnsi"/>
                <w:szCs w:val="20"/>
              </w:rPr>
              <w:t>Office - Small</w:t>
            </w:r>
          </w:p>
        </w:tc>
        <w:tc>
          <w:tcPr>
            <w:tcW w:w="1779" w:type="pct"/>
          </w:tcPr>
          <w:p w14:paraId="4840EAE5" w14:textId="3274CF43" w:rsidR="00CD2952" w:rsidRPr="00240B61" w:rsidRDefault="00CD2952" w:rsidP="00CD2952">
            <w:pPr>
              <w:rPr>
                <w:rFonts w:cstheme="minorHAnsi"/>
                <w:szCs w:val="20"/>
              </w:rPr>
            </w:pPr>
            <w:r w:rsidRPr="00240B61">
              <w:rPr>
                <w:rFonts w:cstheme="minorHAnsi"/>
                <w:szCs w:val="20"/>
              </w:rPr>
              <w:t>DEER:Indoor_Non-CFL_Ltg</w:t>
            </w:r>
          </w:p>
        </w:tc>
        <w:tc>
          <w:tcPr>
            <w:tcW w:w="1535" w:type="pct"/>
          </w:tcPr>
          <w:p w14:paraId="7D802D1A" w14:textId="46400C3D" w:rsidR="00CD2952" w:rsidRPr="00240B61" w:rsidRDefault="00CD2952" w:rsidP="00CD2952">
            <w:pPr>
              <w:rPr>
                <w:rFonts w:cstheme="minorHAnsi"/>
                <w:szCs w:val="20"/>
              </w:rPr>
            </w:pPr>
            <w:r w:rsidRPr="00240B61">
              <w:rPr>
                <w:rFonts w:cstheme="minorHAnsi"/>
                <w:szCs w:val="20"/>
              </w:rPr>
              <w:t>NON_RES</w:t>
            </w:r>
          </w:p>
        </w:tc>
      </w:tr>
      <w:tr w:rsidR="00CD2952" w:rsidRPr="00500C4E" w14:paraId="0A135978" w14:textId="77777777" w:rsidTr="008B0035">
        <w:tc>
          <w:tcPr>
            <w:tcW w:w="1686" w:type="pct"/>
            <w:vAlign w:val="bottom"/>
          </w:tcPr>
          <w:p w14:paraId="461DCDA8" w14:textId="5B8EFBB5" w:rsidR="00CD2952" w:rsidRPr="00920905" w:rsidRDefault="00CD2952" w:rsidP="00CD2952">
            <w:pPr>
              <w:rPr>
                <w:rFonts w:cstheme="minorHAnsi"/>
                <w:color w:val="FF0000"/>
                <w:szCs w:val="20"/>
              </w:rPr>
            </w:pPr>
            <w:r w:rsidRPr="00240B61">
              <w:rPr>
                <w:rFonts w:cstheme="minorHAnsi"/>
                <w:szCs w:val="20"/>
              </w:rPr>
              <w:t>Restaurant - Sit-Down</w:t>
            </w:r>
          </w:p>
        </w:tc>
        <w:tc>
          <w:tcPr>
            <w:tcW w:w="1779" w:type="pct"/>
          </w:tcPr>
          <w:p w14:paraId="00677D7A" w14:textId="602C479E" w:rsidR="00CD2952" w:rsidRPr="00920905" w:rsidRDefault="00CD2952" w:rsidP="00CD2952">
            <w:pPr>
              <w:rPr>
                <w:rFonts w:cstheme="minorHAnsi"/>
                <w:color w:val="FF0000"/>
                <w:szCs w:val="20"/>
              </w:rPr>
            </w:pPr>
            <w:r w:rsidRPr="00240B61">
              <w:rPr>
                <w:rFonts w:cstheme="minorHAnsi"/>
                <w:szCs w:val="20"/>
              </w:rPr>
              <w:t>DEER:Indoor_Non-CFL_Ltg</w:t>
            </w:r>
          </w:p>
        </w:tc>
        <w:tc>
          <w:tcPr>
            <w:tcW w:w="1535" w:type="pct"/>
          </w:tcPr>
          <w:p w14:paraId="1D4563D3" w14:textId="64E5B0A4" w:rsidR="00CD2952" w:rsidRPr="00920905" w:rsidRDefault="00CD2952" w:rsidP="00CD2952">
            <w:pPr>
              <w:rPr>
                <w:rFonts w:cstheme="minorHAnsi"/>
                <w:color w:val="FF0000"/>
                <w:szCs w:val="20"/>
              </w:rPr>
            </w:pPr>
            <w:r w:rsidRPr="00240B61">
              <w:rPr>
                <w:rFonts w:cstheme="minorHAnsi"/>
                <w:szCs w:val="20"/>
              </w:rPr>
              <w:t>NON_RES</w:t>
            </w:r>
          </w:p>
        </w:tc>
      </w:tr>
      <w:tr w:rsidR="00CD2952" w:rsidRPr="00500C4E" w14:paraId="23C624E6" w14:textId="77777777" w:rsidTr="008B0035">
        <w:tc>
          <w:tcPr>
            <w:tcW w:w="1686" w:type="pct"/>
            <w:vAlign w:val="bottom"/>
          </w:tcPr>
          <w:p w14:paraId="0752D704" w14:textId="175B4332" w:rsidR="00CD2952" w:rsidRPr="00920905" w:rsidRDefault="00CD2952" w:rsidP="00CD2952">
            <w:pPr>
              <w:rPr>
                <w:rFonts w:cstheme="minorHAnsi"/>
                <w:color w:val="FF0000"/>
                <w:szCs w:val="20"/>
              </w:rPr>
            </w:pPr>
            <w:r w:rsidRPr="00240B61">
              <w:rPr>
                <w:rFonts w:cstheme="minorHAnsi"/>
                <w:szCs w:val="20"/>
              </w:rPr>
              <w:t>Restaurant - Fast-Food</w:t>
            </w:r>
          </w:p>
        </w:tc>
        <w:tc>
          <w:tcPr>
            <w:tcW w:w="1779" w:type="pct"/>
          </w:tcPr>
          <w:p w14:paraId="100F6516" w14:textId="1DC453BE" w:rsidR="00CD2952" w:rsidRPr="00920905" w:rsidRDefault="00CD2952" w:rsidP="00CD2952">
            <w:pPr>
              <w:rPr>
                <w:rFonts w:cstheme="minorHAnsi"/>
                <w:color w:val="FF0000"/>
                <w:szCs w:val="20"/>
              </w:rPr>
            </w:pPr>
            <w:r w:rsidRPr="00240B61">
              <w:rPr>
                <w:rFonts w:cstheme="minorHAnsi"/>
                <w:szCs w:val="20"/>
              </w:rPr>
              <w:t>DEER:Indoor_Non-CFL_Ltg</w:t>
            </w:r>
          </w:p>
        </w:tc>
        <w:tc>
          <w:tcPr>
            <w:tcW w:w="1535" w:type="pct"/>
          </w:tcPr>
          <w:p w14:paraId="39A5AC0C" w14:textId="5AB65E77" w:rsidR="00CD2952" w:rsidRPr="00920905" w:rsidRDefault="00CD2952" w:rsidP="00CD2952">
            <w:pPr>
              <w:rPr>
                <w:rFonts w:cstheme="minorHAnsi"/>
                <w:color w:val="FF0000"/>
                <w:szCs w:val="20"/>
              </w:rPr>
            </w:pPr>
            <w:r w:rsidRPr="00240B61">
              <w:rPr>
                <w:rFonts w:cstheme="minorHAnsi"/>
                <w:szCs w:val="20"/>
              </w:rPr>
              <w:t>NON_RES</w:t>
            </w:r>
          </w:p>
        </w:tc>
      </w:tr>
      <w:tr w:rsidR="00CD2952" w:rsidRPr="00500C4E" w14:paraId="407309D2" w14:textId="77777777" w:rsidTr="008B0035">
        <w:tc>
          <w:tcPr>
            <w:tcW w:w="1686" w:type="pct"/>
            <w:vAlign w:val="bottom"/>
          </w:tcPr>
          <w:p w14:paraId="2357089F" w14:textId="232D92FB" w:rsidR="00CD2952" w:rsidRPr="00920905" w:rsidRDefault="00CD2952" w:rsidP="00CD2952">
            <w:pPr>
              <w:rPr>
                <w:rFonts w:cstheme="minorHAnsi"/>
                <w:color w:val="FF0000"/>
                <w:szCs w:val="20"/>
              </w:rPr>
            </w:pPr>
            <w:r w:rsidRPr="00240B61">
              <w:rPr>
                <w:rFonts w:cstheme="minorHAnsi"/>
                <w:szCs w:val="20"/>
              </w:rPr>
              <w:t>Retail - Multistory Large</w:t>
            </w:r>
          </w:p>
        </w:tc>
        <w:tc>
          <w:tcPr>
            <w:tcW w:w="1779" w:type="pct"/>
          </w:tcPr>
          <w:p w14:paraId="5CF27ADA" w14:textId="0FCD5440" w:rsidR="00CD2952" w:rsidRPr="00920905" w:rsidRDefault="00CD2952" w:rsidP="00CD2952">
            <w:pPr>
              <w:rPr>
                <w:rFonts w:cstheme="minorHAnsi"/>
                <w:color w:val="FF0000"/>
                <w:szCs w:val="20"/>
              </w:rPr>
            </w:pPr>
            <w:r w:rsidRPr="00240B61">
              <w:rPr>
                <w:rFonts w:cstheme="minorHAnsi"/>
                <w:szCs w:val="20"/>
              </w:rPr>
              <w:t>DEER:Indoor_Non-CFL_Ltg</w:t>
            </w:r>
          </w:p>
        </w:tc>
        <w:tc>
          <w:tcPr>
            <w:tcW w:w="1535" w:type="pct"/>
          </w:tcPr>
          <w:p w14:paraId="5D5FD4C9" w14:textId="2152E1BC" w:rsidR="00CD2952" w:rsidRPr="00920905" w:rsidRDefault="00CD2952" w:rsidP="00CD2952">
            <w:pPr>
              <w:rPr>
                <w:rFonts w:cstheme="minorHAnsi"/>
                <w:color w:val="FF0000"/>
                <w:szCs w:val="20"/>
              </w:rPr>
            </w:pPr>
            <w:r w:rsidRPr="00240B61">
              <w:rPr>
                <w:rFonts w:cstheme="minorHAnsi"/>
                <w:szCs w:val="20"/>
              </w:rPr>
              <w:t>NON_RES</w:t>
            </w:r>
          </w:p>
        </w:tc>
      </w:tr>
      <w:tr w:rsidR="00CD2952" w:rsidRPr="00500C4E" w14:paraId="02FEAB27" w14:textId="77777777" w:rsidTr="008B0035">
        <w:tc>
          <w:tcPr>
            <w:tcW w:w="1686" w:type="pct"/>
            <w:vAlign w:val="bottom"/>
          </w:tcPr>
          <w:p w14:paraId="2622CD25" w14:textId="266C7B68" w:rsidR="00CD2952" w:rsidRPr="00920905" w:rsidRDefault="00CD2952" w:rsidP="00CD2952">
            <w:pPr>
              <w:rPr>
                <w:rFonts w:cstheme="minorHAnsi"/>
                <w:color w:val="FF0000"/>
                <w:szCs w:val="20"/>
              </w:rPr>
            </w:pPr>
            <w:r w:rsidRPr="00240B61">
              <w:rPr>
                <w:rFonts w:cstheme="minorHAnsi"/>
                <w:szCs w:val="20"/>
              </w:rPr>
              <w:t>Retail - Single-Story Large</w:t>
            </w:r>
          </w:p>
        </w:tc>
        <w:tc>
          <w:tcPr>
            <w:tcW w:w="1779" w:type="pct"/>
          </w:tcPr>
          <w:p w14:paraId="2024D37E" w14:textId="5325E5E1" w:rsidR="00CD2952" w:rsidRPr="00920905" w:rsidRDefault="00CD2952" w:rsidP="00CD2952">
            <w:pPr>
              <w:rPr>
                <w:rFonts w:cstheme="minorHAnsi"/>
                <w:color w:val="FF0000"/>
                <w:szCs w:val="20"/>
              </w:rPr>
            </w:pPr>
            <w:r w:rsidRPr="00240B61">
              <w:rPr>
                <w:rFonts w:cstheme="minorHAnsi"/>
                <w:szCs w:val="20"/>
              </w:rPr>
              <w:t>DEER:Indoor_Non-CFL_Ltg</w:t>
            </w:r>
          </w:p>
        </w:tc>
        <w:tc>
          <w:tcPr>
            <w:tcW w:w="1535" w:type="pct"/>
          </w:tcPr>
          <w:p w14:paraId="3FD25474" w14:textId="03AAAF5C" w:rsidR="00CD2952" w:rsidRPr="00920905" w:rsidRDefault="00CD2952" w:rsidP="00CD2952">
            <w:pPr>
              <w:rPr>
                <w:rFonts w:cstheme="minorHAnsi"/>
                <w:color w:val="FF0000"/>
                <w:szCs w:val="20"/>
              </w:rPr>
            </w:pPr>
            <w:r w:rsidRPr="00240B61">
              <w:rPr>
                <w:rFonts w:cstheme="minorHAnsi"/>
                <w:szCs w:val="20"/>
              </w:rPr>
              <w:t>NON_RES</w:t>
            </w:r>
          </w:p>
        </w:tc>
      </w:tr>
      <w:tr w:rsidR="00CD2952" w:rsidRPr="00500C4E" w14:paraId="5670DFA7" w14:textId="77777777" w:rsidTr="008B0035">
        <w:tc>
          <w:tcPr>
            <w:tcW w:w="1686" w:type="pct"/>
            <w:vAlign w:val="bottom"/>
          </w:tcPr>
          <w:p w14:paraId="67359F54" w14:textId="2AC6FE8D" w:rsidR="00CD2952" w:rsidRPr="00920905" w:rsidRDefault="00CD2952" w:rsidP="00CD2952">
            <w:pPr>
              <w:rPr>
                <w:rFonts w:cstheme="minorHAnsi"/>
                <w:color w:val="FF0000"/>
                <w:szCs w:val="20"/>
              </w:rPr>
            </w:pPr>
            <w:r w:rsidRPr="00240B61">
              <w:rPr>
                <w:rFonts w:cstheme="minorHAnsi"/>
                <w:szCs w:val="20"/>
              </w:rPr>
              <w:t>Retail - Small</w:t>
            </w:r>
          </w:p>
        </w:tc>
        <w:tc>
          <w:tcPr>
            <w:tcW w:w="1779" w:type="pct"/>
          </w:tcPr>
          <w:p w14:paraId="0F2E58D2" w14:textId="6FF0BF47" w:rsidR="00CD2952" w:rsidRPr="00920905" w:rsidRDefault="00CD2952" w:rsidP="00CD2952">
            <w:pPr>
              <w:rPr>
                <w:rFonts w:cstheme="minorHAnsi"/>
                <w:color w:val="FF0000"/>
                <w:szCs w:val="20"/>
              </w:rPr>
            </w:pPr>
            <w:r w:rsidRPr="00240B61">
              <w:rPr>
                <w:rFonts w:cstheme="minorHAnsi"/>
                <w:szCs w:val="20"/>
              </w:rPr>
              <w:t>DEER:Indoor_Non-CFL_Ltg</w:t>
            </w:r>
          </w:p>
        </w:tc>
        <w:tc>
          <w:tcPr>
            <w:tcW w:w="1535" w:type="pct"/>
          </w:tcPr>
          <w:p w14:paraId="00123B12" w14:textId="46160987" w:rsidR="00CD2952" w:rsidRPr="00920905" w:rsidRDefault="00CD2952" w:rsidP="00CD2952">
            <w:pPr>
              <w:rPr>
                <w:rFonts w:cstheme="minorHAnsi"/>
                <w:color w:val="FF0000"/>
                <w:szCs w:val="20"/>
              </w:rPr>
            </w:pPr>
            <w:r w:rsidRPr="00240B61">
              <w:rPr>
                <w:rFonts w:cstheme="minorHAnsi"/>
                <w:szCs w:val="20"/>
              </w:rPr>
              <w:t>NON_RES</w:t>
            </w:r>
          </w:p>
        </w:tc>
      </w:tr>
      <w:tr w:rsidR="00CD2952" w:rsidRPr="00500C4E" w14:paraId="04535ECA" w14:textId="77777777" w:rsidTr="00920905">
        <w:tc>
          <w:tcPr>
            <w:tcW w:w="1686" w:type="pct"/>
          </w:tcPr>
          <w:p w14:paraId="2DED9177" w14:textId="03AEF184" w:rsidR="00CD2952" w:rsidRPr="00920905" w:rsidRDefault="00CD2952" w:rsidP="00CD2952">
            <w:pPr>
              <w:rPr>
                <w:rFonts w:cstheme="minorHAnsi"/>
                <w:color w:val="FF0000"/>
                <w:szCs w:val="20"/>
              </w:rPr>
            </w:pPr>
            <w:r w:rsidRPr="00240B61">
              <w:rPr>
                <w:rFonts w:cstheme="minorHAnsi"/>
                <w:szCs w:val="20"/>
              </w:rPr>
              <w:t>Warehouse - Refrigerated</w:t>
            </w:r>
          </w:p>
        </w:tc>
        <w:tc>
          <w:tcPr>
            <w:tcW w:w="1779" w:type="pct"/>
          </w:tcPr>
          <w:p w14:paraId="0DF23B54" w14:textId="01E6FF22" w:rsidR="00CD2952" w:rsidRPr="00920905" w:rsidRDefault="00CD2952" w:rsidP="00CD2952">
            <w:pPr>
              <w:rPr>
                <w:rFonts w:cstheme="minorHAnsi"/>
                <w:color w:val="FF0000"/>
                <w:szCs w:val="20"/>
              </w:rPr>
            </w:pPr>
            <w:r w:rsidRPr="00240B61">
              <w:rPr>
                <w:rFonts w:cstheme="minorHAnsi"/>
                <w:szCs w:val="20"/>
              </w:rPr>
              <w:t>DEER:Indoor_Non-CFL_Ltg</w:t>
            </w:r>
          </w:p>
        </w:tc>
        <w:tc>
          <w:tcPr>
            <w:tcW w:w="1535" w:type="pct"/>
          </w:tcPr>
          <w:p w14:paraId="20DAC8BB" w14:textId="56786738" w:rsidR="00CD2952" w:rsidRPr="00920905" w:rsidRDefault="00CD2952" w:rsidP="00CD2952">
            <w:pPr>
              <w:rPr>
                <w:rFonts w:cstheme="minorHAnsi"/>
                <w:color w:val="FF0000"/>
                <w:szCs w:val="20"/>
              </w:rPr>
            </w:pPr>
            <w:r w:rsidRPr="00240B61">
              <w:rPr>
                <w:rFonts w:cstheme="minorHAnsi"/>
                <w:szCs w:val="20"/>
              </w:rPr>
              <w:t>NON_RES</w:t>
            </w:r>
          </w:p>
        </w:tc>
      </w:tr>
    </w:tbl>
    <w:p w14:paraId="52C9214C" w14:textId="5A04C955" w:rsidR="005552C3" w:rsidRDefault="00F95E2F" w:rsidP="00920905">
      <w:pPr>
        <w:pStyle w:val="Heading1"/>
      </w:pPr>
      <w:r>
        <w:t>Section 4. Costs</w:t>
      </w:r>
    </w:p>
    <w:p w14:paraId="4696E137" w14:textId="77777777" w:rsidR="00E16609" w:rsidRDefault="00E16609" w:rsidP="00824F1C">
      <w:pPr>
        <w:pStyle w:val="Heading2"/>
        <w:rPr>
          <w:rFonts w:asciiTheme="minorHAnsi" w:hAnsiTheme="minorHAnsi" w:cstheme="minorHAnsi"/>
        </w:rPr>
      </w:pPr>
      <w:bookmarkStart w:id="24" w:name="_MON_1399297811"/>
      <w:bookmarkStart w:id="25" w:name="_Toc214003097"/>
      <w:bookmarkEnd w:id="24"/>
      <w:r w:rsidRPr="00500C4E">
        <w:rPr>
          <w:rFonts w:asciiTheme="minorHAnsi" w:hAnsiTheme="minorHAnsi" w:cstheme="minorHAnsi"/>
        </w:rPr>
        <w:t>4.1 Base Case Cost</w:t>
      </w:r>
      <w:bookmarkEnd w:id="25"/>
    </w:p>
    <w:p w14:paraId="5BF63111" w14:textId="30BB79B3" w:rsidR="00FE5FAF" w:rsidRPr="007A3D88" w:rsidRDefault="006B5A6C" w:rsidP="00920905">
      <w:r>
        <w:t>SCE</w:t>
      </w:r>
      <w:r w:rsidR="009C1DC0">
        <w:t>17</w:t>
      </w:r>
      <w:r>
        <w:t>LC098_0</w:t>
      </w:r>
      <w:r w:rsidR="009C1DC0">
        <w:t>0</w:t>
      </w:r>
      <w:r>
        <w:t>_B001 through SCE1</w:t>
      </w:r>
      <w:r w:rsidR="009C1DC0">
        <w:t>7</w:t>
      </w:r>
      <w:r>
        <w:t>LC098_0</w:t>
      </w:r>
      <w:r w:rsidR="009C1DC0">
        <w:t>0</w:t>
      </w:r>
      <w:r w:rsidR="008A0769" w:rsidRPr="007A3D88">
        <w:t xml:space="preserve">_B015 are </w:t>
      </w:r>
      <w:r w:rsidR="007A3D88" w:rsidRPr="007A3D88">
        <w:t xml:space="preserve">created. The material costs are from web search and captured in </w:t>
      </w:r>
      <w:r w:rsidR="0095402D">
        <w:t>A</w:t>
      </w:r>
      <w:r w:rsidR="007A3D88" w:rsidRPr="007A3D88">
        <w:t xml:space="preserve">ttachment </w:t>
      </w:r>
      <w:r w:rsidR="0095402D">
        <w:t>9</w:t>
      </w:r>
      <w:r w:rsidR="007A3D88" w:rsidRPr="007A3D88">
        <w:t>. The labor cost is derived from WO17 [475].</w:t>
      </w:r>
      <w:r w:rsidR="008C4CE2">
        <w:t xml:space="preserve"> For a complete breakdown of </w:t>
      </w:r>
      <w:r w:rsidR="00C43D5C">
        <w:t xml:space="preserve">base </w:t>
      </w:r>
      <w:r w:rsidR="008C4CE2">
        <w:t>case costs, please refer to Attachment 1.</w:t>
      </w:r>
    </w:p>
    <w:p w14:paraId="44713B57" w14:textId="77777777" w:rsidR="005A0E53" w:rsidRPr="00500C4E" w:rsidRDefault="005A0E53" w:rsidP="005A0E53">
      <w:pPr>
        <w:pStyle w:val="Heading2"/>
        <w:rPr>
          <w:rFonts w:asciiTheme="minorHAnsi" w:hAnsiTheme="minorHAnsi" w:cstheme="minorHAnsi"/>
        </w:rPr>
      </w:pPr>
      <w:bookmarkStart w:id="26" w:name="_Toc214003098"/>
      <w:r w:rsidRPr="00500C4E">
        <w:rPr>
          <w:rFonts w:asciiTheme="minorHAnsi" w:hAnsiTheme="minorHAnsi" w:cstheme="minorHAnsi"/>
        </w:rPr>
        <w:t>4.2 Measure Case Cost</w:t>
      </w:r>
    </w:p>
    <w:p w14:paraId="1D4E3EB8" w14:textId="3AB58096" w:rsidR="007A3D88" w:rsidRPr="007A3D88" w:rsidRDefault="003C2FC3" w:rsidP="007A3D88">
      <w:r>
        <w:t>SCE1</w:t>
      </w:r>
      <w:r w:rsidR="009C1DC0">
        <w:t>7</w:t>
      </w:r>
      <w:r>
        <w:t>LC098_0</w:t>
      </w:r>
      <w:r w:rsidR="009C1DC0">
        <w:t>0</w:t>
      </w:r>
      <w:r>
        <w:t>_M001 through SCE1</w:t>
      </w:r>
      <w:r w:rsidR="009C1DC0">
        <w:t>7</w:t>
      </w:r>
      <w:r>
        <w:t>LC098_0</w:t>
      </w:r>
      <w:r w:rsidR="009C1DC0">
        <w:t>0</w:t>
      </w:r>
      <w:r w:rsidR="007A3D88">
        <w:t>_M</w:t>
      </w:r>
      <w:r>
        <w:t>004</w:t>
      </w:r>
      <w:r w:rsidR="007A3D88" w:rsidRPr="007A3D88">
        <w:t xml:space="preserve"> are created. The material costs are from web search and captured in </w:t>
      </w:r>
      <w:r w:rsidR="0095402D">
        <w:t>A</w:t>
      </w:r>
      <w:r w:rsidR="007A3D88" w:rsidRPr="007A3D88">
        <w:t xml:space="preserve">ttachment </w:t>
      </w:r>
      <w:r w:rsidR="0095402D">
        <w:t>9</w:t>
      </w:r>
      <w:r w:rsidR="007A3D88" w:rsidRPr="007A3D88">
        <w:t>. The labor cost is derived from WO17 [475].</w:t>
      </w:r>
      <w:r w:rsidR="008C4CE2">
        <w:t xml:space="preserve"> For a complete breakdown of measure case costs, please refer to Attachment 1.</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6"/>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57"/>
        <w:gridCol w:w="2698"/>
        <w:gridCol w:w="2611"/>
        <w:gridCol w:w="2784"/>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ED6DC8" w:rsidRPr="00500C4E" w14:paraId="345662A1" w14:textId="77777777" w:rsidTr="00B84808">
        <w:trPr>
          <w:trHeight w:val="498"/>
        </w:trPr>
        <w:tc>
          <w:tcPr>
            <w:tcW w:w="672" w:type="pct"/>
          </w:tcPr>
          <w:p w14:paraId="37FA56A6" w14:textId="23A2CF02" w:rsidR="00ED6DC8" w:rsidRPr="00920905" w:rsidRDefault="00ED6DC8" w:rsidP="00175D14">
            <w:pPr>
              <w:rPr>
                <w:rFonts w:cstheme="minorHAnsi"/>
                <w:szCs w:val="20"/>
              </w:rPr>
            </w:pPr>
            <w:r>
              <w:rPr>
                <w:rFonts w:cstheme="minorHAnsi"/>
                <w:szCs w:val="20"/>
              </w:rPr>
              <w:t>ROB</w:t>
            </w:r>
          </w:p>
        </w:tc>
        <w:tc>
          <w:tcPr>
            <w:tcW w:w="1443" w:type="pct"/>
          </w:tcPr>
          <w:p w14:paraId="19DAF9B8" w14:textId="51B9E89D" w:rsidR="00ED6DC8" w:rsidRPr="00920905" w:rsidRDefault="00ED6DC8" w:rsidP="00175D14">
            <w:pPr>
              <w:rPr>
                <w:rFonts w:cstheme="minorHAnsi"/>
                <w:szCs w:val="20"/>
              </w:rPr>
            </w:pPr>
            <w:r>
              <w:rPr>
                <w:rFonts w:cstheme="minorHAnsi"/>
                <w:szCs w:val="20"/>
              </w:rPr>
              <w:t>(MEC + MLC) – (BEC + BLC)</w:t>
            </w:r>
          </w:p>
        </w:tc>
        <w:tc>
          <w:tcPr>
            <w:tcW w:w="1396" w:type="pct"/>
          </w:tcPr>
          <w:p w14:paraId="30774948" w14:textId="6C82B6B6" w:rsidR="00ED6DC8" w:rsidRPr="00920905" w:rsidRDefault="00ED6DC8" w:rsidP="00175D14">
            <w:pPr>
              <w:rPr>
                <w:rFonts w:cstheme="minorHAnsi"/>
                <w:szCs w:val="20"/>
              </w:rPr>
            </w:pPr>
            <w:r>
              <w:rPr>
                <w:rFonts w:cstheme="minorHAnsi"/>
                <w:szCs w:val="20"/>
              </w:rPr>
              <w:t>(MEC + MLC) – (BEC + BLC)</w:t>
            </w:r>
          </w:p>
        </w:tc>
        <w:tc>
          <w:tcPr>
            <w:tcW w:w="1489" w:type="pct"/>
          </w:tcPr>
          <w:p w14:paraId="00AAD267" w14:textId="4994C54F" w:rsidR="00ED6DC8" w:rsidRPr="00920905" w:rsidRDefault="00ED6DC8" w:rsidP="00175D14">
            <w:pPr>
              <w:rPr>
                <w:rFonts w:cstheme="minorHAnsi"/>
                <w:szCs w:val="20"/>
              </w:rPr>
            </w:pPr>
            <w:r>
              <w:rPr>
                <w:rFonts w:cstheme="minorHAnsi"/>
                <w:szCs w:val="20"/>
              </w:rPr>
              <w:t>N/A</w:t>
            </w:r>
          </w:p>
        </w:tc>
      </w:tr>
      <w:tr w:rsidR="00211153" w:rsidRPr="00500C4E" w14:paraId="778A011A" w14:textId="77777777" w:rsidTr="00920905">
        <w:tc>
          <w:tcPr>
            <w:tcW w:w="672"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5251A727" w14:textId="5EE2236C" w:rsidR="006C5B6E" w:rsidRDefault="006C5B6E" w:rsidP="006C5B6E">
      <w:bookmarkStart w:id="27" w:name="_Toc214003099"/>
      <w:r>
        <w:t>For a complete breakdown of full and incremental measure costs, please refer to Attachment 1.</w:t>
      </w:r>
    </w:p>
    <w:p w14:paraId="503750D7" w14:textId="77777777" w:rsidR="007C2DBB" w:rsidRDefault="007C2DBB" w:rsidP="007C2DBB">
      <w:pPr>
        <w:rPr>
          <w:b/>
        </w:rPr>
      </w:pPr>
      <w:r>
        <w:rPr>
          <w:b/>
        </w:rPr>
        <w:t xml:space="preserve">Full and </w:t>
      </w:r>
      <w:r w:rsidRPr="00DE77D0">
        <w:rPr>
          <w:b/>
        </w:rPr>
        <w:t>Incremental Cost</w:t>
      </w:r>
      <w:r>
        <w:rPr>
          <w:b/>
        </w:rPr>
        <w:t>s</w:t>
      </w:r>
    </w:p>
    <w:tbl>
      <w:tblPr>
        <w:tblStyle w:val="TableGrid1"/>
        <w:tblW w:w="5000" w:type="pct"/>
        <w:tblLook w:val="01E0" w:firstRow="1" w:lastRow="1" w:firstColumn="1" w:lastColumn="1" w:noHBand="0" w:noVBand="0"/>
      </w:tblPr>
      <w:tblGrid>
        <w:gridCol w:w="1098"/>
        <w:gridCol w:w="1156"/>
        <w:gridCol w:w="2367"/>
        <w:gridCol w:w="2291"/>
        <w:gridCol w:w="2438"/>
      </w:tblGrid>
      <w:tr w:rsidR="007C2DBB" w:rsidRPr="00500C4E" w14:paraId="0E4BB4AF" w14:textId="77777777" w:rsidTr="00B56164">
        <w:tc>
          <w:tcPr>
            <w:tcW w:w="587" w:type="pct"/>
            <w:vMerge w:val="restart"/>
            <w:shd w:val="clear" w:color="auto" w:fill="D9D9D9" w:themeFill="background1" w:themeFillShade="D9"/>
          </w:tcPr>
          <w:p w14:paraId="752521CB" w14:textId="77777777" w:rsidR="007C2DBB" w:rsidRDefault="007C2DBB" w:rsidP="00B56164">
            <w:pPr>
              <w:rPr>
                <w:rFonts w:cstheme="minorHAnsi"/>
                <w:b/>
                <w:szCs w:val="20"/>
              </w:rPr>
            </w:pPr>
            <w:r>
              <w:rPr>
                <w:rFonts w:cstheme="minorHAnsi"/>
                <w:b/>
                <w:szCs w:val="20"/>
              </w:rPr>
              <w:t>Measure</w:t>
            </w:r>
          </w:p>
        </w:tc>
        <w:tc>
          <w:tcPr>
            <w:tcW w:w="618" w:type="pct"/>
            <w:vMerge w:val="restart"/>
            <w:shd w:val="clear" w:color="auto" w:fill="D9D9D9" w:themeFill="background1" w:themeFillShade="D9"/>
          </w:tcPr>
          <w:p w14:paraId="2C8E52D9" w14:textId="77777777" w:rsidR="007C2DBB" w:rsidRPr="00DE77D0" w:rsidRDefault="007C2DBB" w:rsidP="00B56164">
            <w:pPr>
              <w:rPr>
                <w:rFonts w:cstheme="minorHAnsi"/>
                <w:b/>
                <w:szCs w:val="20"/>
                <w:highlight w:val="yellow"/>
              </w:rPr>
            </w:pPr>
            <w:r>
              <w:rPr>
                <w:rFonts w:cstheme="minorHAnsi"/>
                <w:b/>
                <w:szCs w:val="20"/>
              </w:rPr>
              <w:t>Installation Type</w:t>
            </w:r>
          </w:p>
        </w:tc>
        <w:tc>
          <w:tcPr>
            <w:tcW w:w="1266" w:type="pct"/>
            <w:vMerge w:val="restart"/>
            <w:shd w:val="clear" w:color="auto" w:fill="D9D9D9" w:themeFill="background1" w:themeFillShade="D9"/>
          </w:tcPr>
          <w:p w14:paraId="6B0D0A19" w14:textId="77777777" w:rsidR="007C2DBB" w:rsidRPr="00DE77D0" w:rsidRDefault="007C2DBB" w:rsidP="00B56164">
            <w:pPr>
              <w:rPr>
                <w:rFonts w:cstheme="minorHAnsi"/>
                <w:b/>
                <w:szCs w:val="20"/>
              </w:rPr>
            </w:pPr>
            <w:r>
              <w:rPr>
                <w:rFonts w:cstheme="minorHAnsi"/>
                <w:b/>
                <w:szCs w:val="20"/>
              </w:rPr>
              <w:t>Incremental Measure Cost</w:t>
            </w:r>
          </w:p>
        </w:tc>
        <w:tc>
          <w:tcPr>
            <w:tcW w:w="2529" w:type="pct"/>
            <w:gridSpan w:val="2"/>
            <w:shd w:val="clear" w:color="auto" w:fill="D9D9D9" w:themeFill="background1" w:themeFillShade="D9"/>
          </w:tcPr>
          <w:p w14:paraId="6E4954EB" w14:textId="77777777" w:rsidR="007C2DBB" w:rsidRPr="00DE77D0" w:rsidRDefault="007C2DBB" w:rsidP="00B56164">
            <w:pPr>
              <w:rPr>
                <w:rFonts w:cstheme="minorHAnsi"/>
                <w:b/>
                <w:szCs w:val="20"/>
                <w:highlight w:val="yellow"/>
              </w:rPr>
            </w:pPr>
            <w:r>
              <w:rPr>
                <w:rFonts w:cstheme="minorHAnsi"/>
                <w:b/>
                <w:szCs w:val="20"/>
              </w:rPr>
              <w:t>Full Measure Cost</w:t>
            </w:r>
          </w:p>
        </w:tc>
      </w:tr>
      <w:tr w:rsidR="007C2DBB" w:rsidRPr="00500C4E" w14:paraId="3DEFFE4C" w14:textId="77777777" w:rsidTr="00B56164">
        <w:tc>
          <w:tcPr>
            <w:tcW w:w="587" w:type="pct"/>
            <w:vMerge/>
            <w:shd w:val="clear" w:color="auto" w:fill="D9D9D9" w:themeFill="background1" w:themeFillShade="D9"/>
          </w:tcPr>
          <w:p w14:paraId="095F540D" w14:textId="77777777" w:rsidR="007C2DBB" w:rsidRPr="00DE77D0" w:rsidRDefault="007C2DBB" w:rsidP="00B56164">
            <w:pPr>
              <w:rPr>
                <w:rFonts w:cstheme="minorHAnsi"/>
                <w:b/>
                <w:szCs w:val="20"/>
              </w:rPr>
            </w:pPr>
          </w:p>
        </w:tc>
        <w:tc>
          <w:tcPr>
            <w:tcW w:w="618" w:type="pct"/>
            <w:vMerge/>
            <w:shd w:val="clear" w:color="auto" w:fill="D9D9D9" w:themeFill="background1" w:themeFillShade="D9"/>
          </w:tcPr>
          <w:p w14:paraId="29282C39" w14:textId="77777777" w:rsidR="007C2DBB" w:rsidRPr="00DE77D0" w:rsidRDefault="007C2DBB" w:rsidP="00B56164">
            <w:pPr>
              <w:rPr>
                <w:rFonts w:cstheme="minorHAnsi"/>
                <w:b/>
                <w:szCs w:val="20"/>
              </w:rPr>
            </w:pPr>
          </w:p>
        </w:tc>
        <w:tc>
          <w:tcPr>
            <w:tcW w:w="1266" w:type="pct"/>
            <w:vMerge/>
            <w:shd w:val="clear" w:color="auto" w:fill="D9D9D9" w:themeFill="background1" w:themeFillShade="D9"/>
          </w:tcPr>
          <w:p w14:paraId="053554B6" w14:textId="77777777" w:rsidR="007C2DBB" w:rsidRPr="00DE77D0" w:rsidRDefault="007C2DBB" w:rsidP="00B56164">
            <w:pPr>
              <w:rPr>
                <w:rFonts w:cstheme="minorHAnsi"/>
                <w:b/>
                <w:szCs w:val="20"/>
              </w:rPr>
            </w:pPr>
          </w:p>
        </w:tc>
        <w:tc>
          <w:tcPr>
            <w:tcW w:w="1225" w:type="pct"/>
            <w:shd w:val="clear" w:color="auto" w:fill="F2F2F2" w:themeFill="background1" w:themeFillShade="F2"/>
          </w:tcPr>
          <w:p w14:paraId="69FF80F6" w14:textId="77777777" w:rsidR="007C2DBB" w:rsidRPr="00DE77D0" w:rsidRDefault="007C2DBB" w:rsidP="00B5616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304" w:type="pct"/>
            <w:shd w:val="clear" w:color="auto" w:fill="F2F2F2" w:themeFill="background1" w:themeFillShade="F2"/>
          </w:tcPr>
          <w:p w14:paraId="0A035C13" w14:textId="77777777" w:rsidR="007C2DBB" w:rsidRPr="00DE77D0" w:rsidRDefault="007C2DBB" w:rsidP="00B5616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886CDE" w:rsidRPr="00500C4E" w14:paraId="0F75A36D" w14:textId="77777777" w:rsidTr="00AF5C98">
        <w:tc>
          <w:tcPr>
            <w:tcW w:w="587" w:type="pct"/>
          </w:tcPr>
          <w:p w14:paraId="09C3F4F1" w14:textId="4500545F" w:rsidR="00886CDE" w:rsidRPr="00446BDB" w:rsidRDefault="00886CDE" w:rsidP="00886CDE">
            <w:pPr>
              <w:rPr>
                <w:szCs w:val="20"/>
              </w:rPr>
            </w:pPr>
            <w:r>
              <w:rPr>
                <w:rFonts w:cstheme="minorHAnsi"/>
                <w:szCs w:val="20"/>
              </w:rPr>
              <w:t>LT-17642</w:t>
            </w:r>
          </w:p>
        </w:tc>
        <w:tc>
          <w:tcPr>
            <w:tcW w:w="618" w:type="pct"/>
          </w:tcPr>
          <w:p w14:paraId="3D988AC2" w14:textId="6580A06D" w:rsidR="00886CDE" w:rsidRPr="00A607D9" w:rsidRDefault="00886CDE" w:rsidP="00886CDE">
            <w:pPr>
              <w:rPr>
                <w:rFonts w:cstheme="minorHAnsi"/>
                <w:szCs w:val="20"/>
              </w:rPr>
            </w:pPr>
            <w:r>
              <w:rPr>
                <w:rFonts w:cstheme="minorHAnsi"/>
                <w:szCs w:val="20"/>
              </w:rPr>
              <w:t>RET</w:t>
            </w:r>
          </w:p>
        </w:tc>
        <w:tc>
          <w:tcPr>
            <w:tcW w:w="1266" w:type="pct"/>
          </w:tcPr>
          <w:p w14:paraId="200FF9B6" w14:textId="42F6AC4C" w:rsidR="00886CDE" w:rsidRPr="00C043E0" w:rsidRDefault="00886CDE" w:rsidP="00886CDE">
            <w:pPr>
              <w:rPr>
                <w:rFonts w:ascii="Calibri" w:hAnsi="Calibri"/>
                <w:color w:val="000000"/>
                <w:szCs w:val="20"/>
              </w:rPr>
            </w:pPr>
            <w:r w:rsidRPr="00886CDE">
              <w:rPr>
                <w:rFonts w:cstheme="minorHAnsi"/>
                <w:szCs w:val="20"/>
              </w:rPr>
              <w:t>$97.21</w:t>
            </w:r>
          </w:p>
        </w:tc>
        <w:tc>
          <w:tcPr>
            <w:tcW w:w="1225" w:type="pct"/>
          </w:tcPr>
          <w:p w14:paraId="1FEB8EAA" w14:textId="2E9B1EDB" w:rsidR="00886CDE" w:rsidRDefault="00886CDE" w:rsidP="00886CDE">
            <w:pPr>
              <w:rPr>
                <w:rFonts w:cstheme="minorHAnsi"/>
                <w:szCs w:val="20"/>
              </w:rPr>
            </w:pPr>
            <w:r w:rsidRPr="00886CDE">
              <w:rPr>
                <w:rFonts w:cstheme="minorHAnsi"/>
                <w:szCs w:val="20"/>
              </w:rPr>
              <w:t>$256.02</w:t>
            </w:r>
          </w:p>
        </w:tc>
        <w:tc>
          <w:tcPr>
            <w:tcW w:w="1304" w:type="pct"/>
          </w:tcPr>
          <w:p w14:paraId="2ACCD78A" w14:textId="475D4770" w:rsidR="00886CDE" w:rsidRPr="00A607D9" w:rsidRDefault="0084662C" w:rsidP="00886CDE">
            <w:pPr>
              <w:rPr>
                <w:rFonts w:cstheme="minorHAnsi"/>
                <w:szCs w:val="20"/>
              </w:rPr>
            </w:pPr>
            <w:r>
              <w:rPr>
                <w:rFonts w:cstheme="minorHAnsi"/>
                <w:szCs w:val="20"/>
              </w:rPr>
              <w:t>N/A</w:t>
            </w:r>
          </w:p>
        </w:tc>
      </w:tr>
      <w:tr w:rsidR="00886CDE" w:rsidRPr="00500C4E" w14:paraId="3C93C37D" w14:textId="77777777" w:rsidTr="00AF5C98">
        <w:tc>
          <w:tcPr>
            <w:tcW w:w="587" w:type="pct"/>
          </w:tcPr>
          <w:p w14:paraId="2F0B3B5B" w14:textId="38B1933C" w:rsidR="00886CDE" w:rsidRPr="00446BDB" w:rsidRDefault="00886CDE" w:rsidP="00886CDE">
            <w:pPr>
              <w:rPr>
                <w:szCs w:val="20"/>
              </w:rPr>
            </w:pPr>
            <w:r>
              <w:rPr>
                <w:rFonts w:cstheme="minorHAnsi"/>
                <w:szCs w:val="20"/>
              </w:rPr>
              <w:t>LT-20643</w:t>
            </w:r>
          </w:p>
        </w:tc>
        <w:tc>
          <w:tcPr>
            <w:tcW w:w="618" w:type="pct"/>
          </w:tcPr>
          <w:p w14:paraId="5CF0D2B8" w14:textId="54225297" w:rsidR="00886CDE" w:rsidRPr="00A607D9" w:rsidRDefault="00886CDE" w:rsidP="00886CDE">
            <w:pPr>
              <w:rPr>
                <w:rFonts w:cstheme="minorHAnsi"/>
                <w:szCs w:val="20"/>
              </w:rPr>
            </w:pPr>
            <w:r>
              <w:rPr>
                <w:rFonts w:cstheme="minorHAnsi"/>
                <w:szCs w:val="20"/>
              </w:rPr>
              <w:t>RET</w:t>
            </w:r>
          </w:p>
        </w:tc>
        <w:tc>
          <w:tcPr>
            <w:tcW w:w="1266" w:type="pct"/>
          </w:tcPr>
          <w:p w14:paraId="1DD0D3AF" w14:textId="0C3CC750" w:rsidR="00886CDE" w:rsidRPr="00C043E0" w:rsidRDefault="00886CDE" w:rsidP="00886CDE">
            <w:pPr>
              <w:rPr>
                <w:rFonts w:ascii="Calibri" w:hAnsi="Calibri"/>
                <w:color w:val="000000"/>
                <w:szCs w:val="20"/>
              </w:rPr>
            </w:pPr>
            <w:r w:rsidRPr="00886CDE">
              <w:rPr>
                <w:rFonts w:cstheme="minorHAnsi"/>
                <w:szCs w:val="20"/>
              </w:rPr>
              <w:t>$89.13</w:t>
            </w:r>
          </w:p>
        </w:tc>
        <w:tc>
          <w:tcPr>
            <w:tcW w:w="1225" w:type="pct"/>
          </w:tcPr>
          <w:p w14:paraId="6F559732" w14:textId="0FFB8C02" w:rsidR="00886CDE" w:rsidRDefault="00886CDE" w:rsidP="00886CDE">
            <w:pPr>
              <w:rPr>
                <w:rFonts w:cstheme="minorHAnsi"/>
                <w:szCs w:val="20"/>
              </w:rPr>
            </w:pPr>
            <w:r w:rsidRPr="00886CDE">
              <w:rPr>
                <w:rFonts w:cstheme="minorHAnsi"/>
                <w:szCs w:val="20"/>
              </w:rPr>
              <w:t>$256.02</w:t>
            </w:r>
          </w:p>
        </w:tc>
        <w:tc>
          <w:tcPr>
            <w:tcW w:w="1304" w:type="pct"/>
          </w:tcPr>
          <w:p w14:paraId="419642F7" w14:textId="608A6A27" w:rsidR="00886CDE" w:rsidRPr="00A607D9" w:rsidRDefault="0084662C" w:rsidP="00886CDE">
            <w:pPr>
              <w:rPr>
                <w:rFonts w:cstheme="minorHAnsi"/>
                <w:szCs w:val="20"/>
              </w:rPr>
            </w:pPr>
            <w:r>
              <w:rPr>
                <w:rFonts w:cstheme="minorHAnsi"/>
                <w:szCs w:val="20"/>
              </w:rPr>
              <w:t>N/A</w:t>
            </w:r>
          </w:p>
        </w:tc>
      </w:tr>
      <w:tr w:rsidR="00886CDE" w:rsidRPr="00500C4E" w14:paraId="328A8C1C" w14:textId="77777777" w:rsidTr="00AF5C98">
        <w:tc>
          <w:tcPr>
            <w:tcW w:w="587" w:type="pct"/>
          </w:tcPr>
          <w:p w14:paraId="0BBF7060" w14:textId="0F6A2CA8" w:rsidR="00886CDE" w:rsidRPr="00446BDB" w:rsidRDefault="00886CDE" w:rsidP="00886CDE">
            <w:pPr>
              <w:rPr>
                <w:szCs w:val="20"/>
              </w:rPr>
            </w:pPr>
            <w:r>
              <w:rPr>
                <w:szCs w:val="20"/>
              </w:rPr>
              <w:t>LT-30954</w:t>
            </w:r>
          </w:p>
        </w:tc>
        <w:tc>
          <w:tcPr>
            <w:tcW w:w="618" w:type="pct"/>
          </w:tcPr>
          <w:p w14:paraId="4A46BDCF" w14:textId="43C73B2E" w:rsidR="00886CDE" w:rsidRPr="00A607D9" w:rsidRDefault="00886CDE" w:rsidP="00886CDE">
            <w:pPr>
              <w:rPr>
                <w:rFonts w:cstheme="minorHAnsi"/>
                <w:szCs w:val="20"/>
              </w:rPr>
            </w:pPr>
            <w:r>
              <w:rPr>
                <w:rFonts w:cstheme="minorHAnsi"/>
                <w:szCs w:val="20"/>
              </w:rPr>
              <w:t>RET</w:t>
            </w:r>
          </w:p>
        </w:tc>
        <w:tc>
          <w:tcPr>
            <w:tcW w:w="1266" w:type="pct"/>
          </w:tcPr>
          <w:p w14:paraId="16EC8B1D" w14:textId="12B70A87" w:rsidR="00886CDE" w:rsidRPr="00C043E0" w:rsidRDefault="00886CDE" w:rsidP="00886CDE">
            <w:pPr>
              <w:rPr>
                <w:rFonts w:ascii="Calibri" w:hAnsi="Calibri"/>
                <w:color w:val="000000"/>
                <w:szCs w:val="20"/>
              </w:rPr>
            </w:pPr>
            <w:r w:rsidRPr="00886CDE">
              <w:rPr>
                <w:rFonts w:cstheme="minorHAnsi"/>
                <w:szCs w:val="20"/>
              </w:rPr>
              <w:t>$100.24</w:t>
            </w:r>
          </w:p>
        </w:tc>
        <w:tc>
          <w:tcPr>
            <w:tcW w:w="1225" w:type="pct"/>
          </w:tcPr>
          <w:p w14:paraId="0BA19401" w14:textId="4036D10A" w:rsidR="00886CDE" w:rsidRDefault="00886CDE" w:rsidP="00886CDE">
            <w:pPr>
              <w:rPr>
                <w:rFonts w:cstheme="minorHAnsi"/>
                <w:szCs w:val="20"/>
              </w:rPr>
            </w:pPr>
            <w:r w:rsidRPr="00886CDE">
              <w:rPr>
                <w:rFonts w:cstheme="minorHAnsi"/>
                <w:szCs w:val="20"/>
              </w:rPr>
              <w:t>$256.02</w:t>
            </w:r>
          </w:p>
        </w:tc>
        <w:tc>
          <w:tcPr>
            <w:tcW w:w="1304" w:type="pct"/>
          </w:tcPr>
          <w:p w14:paraId="50B7B43E" w14:textId="39174B89" w:rsidR="00886CDE" w:rsidRPr="00A607D9" w:rsidRDefault="0084662C" w:rsidP="00886CDE">
            <w:pPr>
              <w:rPr>
                <w:rFonts w:cstheme="minorHAnsi"/>
                <w:szCs w:val="20"/>
              </w:rPr>
            </w:pPr>
            <w:r>
              <w:rPr>
                <w:rFonts w:cstheme="minorHAnsi"/>
                <w:szCs w:val="20"/>
              </w:rPr>
              <w:t>N/A</w:t>
            </w:r>
          </w:p>
        </w:tc>
      </w:tr>
      <w:tr w:rsidR="00886CDE" w:rsidRPr="00500C4E" w14:paraId="6A1EC1CF" w14:textId="77777777" w:rsidTr="00AF5C98">
        <w:tc>
          <w:tcPr>
            <w:tcW w:w="587" w:type="pct"/>
          </w:tcPr>
          <w:p w14:paraId="288750EC" w14:textId="773FE3EC" w:rsidR="00886CDE" w:rsidRPr="00446BDB" w:rsidRDefault="00886CDE" w:rsidP="00886CDE">
            <w:pPr>
              <w:rPr>
                <w:szCs w:val="20"/>
              </w:rPr>
            </w:pPr>
            <w:r>
              <w:rPr>
                <w:szCs w:val="20"/>
              </w:rPr>
              <w:t>LT-49651</w:t>
            </w:r>
          </w:p>
        </w:tc>
        <w:tc>
          <w:tcPr>
            <w:tcW w:w="618" w:type="pct"/>
          </w:tcPr>
          <w:p w14:paraId="6A384014" w14:textId="0218D185" w:rsidR="00886CDE" w:rsidRPr="00A607D9" w:rsidRDefault="00886CDE" w:rsidP="00886CDE">
            <w:pPr>
              <w:rPr>
                <w:rFonts w:cstheme="minorHAnsi"/>
                <w:szCs w:val="20"/>
              </w:rPr>
            </w:pPr>
            <w:r>
              <w:rPr>
                <w:rFonts w:cstheme="minorHAnsi"/>
                <w:szCs w:val="20"/>
              </w:rPr>
              <w:t>RET</w:t>
            </w:r>
          </w:p>
        </w:tc>
        <w:tc>
          <w:tcPr>
            <w:tcW w:w="1266" w:type="pct"/>
          </w:tcPr>
          <w:p w14:paraId="0AFF3103" w14:textId="131B94F1" w:rsidR="00886CDE" w:rsidRPr="00C043E0" w:rsidRDefault="00886CDE" w:rsidP="00886CDE">
            <w:pPr>
              <w:rPr>
                <w:rFonts w:ascii="Calibri" w:hAnsi="Calibri"/>
                <w:color w:val="000000"/>
                <w:szCs w:val="20"/>
              </w:rPr>
            </w:pPr>
            <w:r w:rsidRPr="00886CDE">
              <w:rPr>
                <w:rFonts w:cstheme="minorHAnsi"/>
                <w:szCs w:val="20"/>
              </w:rPr>
              <w:t>$90.62</w:t>
            </w:r>
          </w:p>
        </w:tc>
        <w:tc>
          <w:tcPr>
            <w:tcW w:w="1225" w:type="pct"/>
          </w:tcPr>
          <w:p w14:paraId="7B07E939" w14:textId="11FE3BD6" w:rsidR="00886CDE" w:rsidRDefault="00886CDE" w:rsidP="00886CDE">
            <w:pPr>
              <w:rPr>
                <w:rFonts w:cstheme="minorHAnsi"/>
                <w:szCs w:val="20"/>
              </w:rPr>
            </w:pPr>
            <w:r w:rsidRPr="00886CDE">
              <w:rPr>
                <w:rFonts w:cstheme="minorHAnsi"/>
                <w:szCs w:val="20"/>
              </w:rPr>
              <w:t>$242.38</w:t>
            </w:r>
          </w:p>
        </w:tc>
        <w:tc>
          <w:tcPr>
            <w:tcW w:w="1304" w:type="pct"/>
          </w:tcPr>
          <w:p w14:paraId="798B2531" w14:textId="4DB999CA" w:rsidR="00886CDE" w:rsidRPr="00A607D9" w:rsidRDefault="0084662C" w:rsidP="00886CDE">
            <w:pPr>
              <w:rPr>
                <w:rFonts w:cstheme="minorHAnsi"/>
                <w:szCs w:val="20"/>
              </w:rPr>
            </w:pPr>
            <w:r>
              <w:rPr>
                <w:rFonts w:cstheme="minorHAnsi"/>
                <w:szCs w:val="20"/>
              </w:rPr>
              <w:t>N/A</w:t>
            </w:r>
          </w:p>
        </w:tc>
      </w:tr>
      <w:tr w:rsidR="00886CDE" w:rsidRPr="00500C4E" w14:paraId="6648AD6B" w14:textId="77777777" w:rsidTr="00AF5C98">
        <w:tc>
          <w:tcPr>
            <w:tcW w:w="587" w:type="pct"/>
          </w:tcPr>
          <w:p w14:paraId="38FE0987" w14:textId="6917CC18" w:rsidR="00886CDE" w:rsidRPr="00446BDB" w:rsidRDefault="00886CDE" w:rsidP="00886CDE">
            <w:pPr>
              <w:rPr>
                <w:szCs w:val="20"/>
              </w:rPr>
            </w:pPr>
            <w:r>
              <w:rPr>
                <w:szCs w:val="20"/>
              </w:rPr>
              <w:t>LT-58674</w:t>
            </w:r>
          </w:p>
        </w:tc>
        <w:tc>
          <w:tcPr>
            <w:tcW w:w="618" w:type="pct"/>
          </w:tcPr>
          <w:p w14:paraId="04C04608" w14:textId="0D2A819C" w:rsidR="00886CDE" w:rsidRPr="00A607D9" w:rsidRDefault="00886CDE" w:rsidP="00886CDE">
            <w:pPr>
              <w:rPr>
                <w:rFonts w:cstheme="minorHAnsi"/>
                <w:szCs w:val="20"/>
              </w:rPr>
            </w:pPr>
            <w:r>
              <w:rPr>
                <w:rFonts w:cstheme="minorHAnsi"/>
                <w:szCs w:val="20"/>
              </w:rPr>
              <w:t>RET</w:t>
            </w:r>
          </w:p>
        </w:tc>
        <w:tc>
          <w:tcPr>
            <w:tcW w:w="1266" w:type="pct"/>
          </w:tcPr>
          <w:p w14:paraId="5F4B470B" w14:textId="242DA85C" w:rsidR="00886CDE" w:rsidRPr="00C043E0" w:rsidRDefault="00886CDE" w:rsidP="00886CDE">
            <w:pPr>
              <w:rPr>
                <w:rFonts w:ascii="Calibri" w:hAnsi="Calibri"/>
                <w:color w:val="000000"/>
                <w:szCs w:val="20"/>
              </w:rPr>
            </w:pPr>
            <w:r w:rsidRPr="00886CDE">
              <w:rPr>
                <w:rFonts w:cstheme="minorHAnsi"/>
                <w:szCs w:val="20"/>
              </w:rPr>
              <w:t>$86.80</w:t>
            </w:r>
          </w:p>
        </w:tc>
        <w:tc>
          <w:tcPr>
            <w:tcW w:w="1225" w:type="pct"/>
          </w:tcPr>
          <w:p w14:paraId="65F15C4B" w14:textId="614A33FE" w:rsidR="00886CDE" w:rsidRDefault="00886CDE" w:rsidP="00886CDE">
            <w:pPr>
              <w:rPr>
                <w:rFonts w:cstheme="minorHAnsi"/>
                <w:szCs w:val="20"/>
              </w:rPr>
            </w:pPr>
            <w:r w:rsidRPr="00886CDE">
              <w:rPr>
                <w:rFonts w:cstheme="minorHAnsi"/>
                <w:szCs w:val="20"/>
              </w:rPr>
              <w:t>$242.38</w:t>
            </w:r>
          </w:p>
        </w:tc>
        <w:tc>
          <w:tcPr>
            <w:tcW w:w="1304" w:type="pct"/>
          </w:tcPr>
          <w:p w14:paraId="776E8747" w14:textId="644DBE1C" w:rsidR="00886CDE" w:rsidRPr="00A607D9" w:rsidRDefault="0084662C" w:rsidP="00886CDE">
            <w:pPr>
              <w:rPr>
                <w:rFonts w:cstheme="minorHAnsi"/>
                <w:szCs w:val="20"/>
              </w:rPr>
            </w:pPr>
            <w:r>
              <w:rPr>
                <w:rFonts w:cstheme="minorHAnsi"/>
                <w:szCs w:val="20"/>
              </w:rPr>
              <w:t>N/A</w:t>
            </w:r>
          </w:p>
        </w:tc>
      </w:tr>
      <w:tr w:rsidR="00886CDE" w:rsidRPr="00500C4E" w14:paraId="4DAF11B7" w14:textId="77777777" w:rsidTr="00AF5C98">
        <w:tc>
          <w:tcPr>
            <w:tcW w:w="587" w:type="pct"/>
          </w:tcPr>
          <w:p w14:paraId="0D31E12D" w14:textId="50FD9C32" w:rsidR="00886CDE" w:rsidRPr="00446BDB" w:rsidRDefault="00886CDE" w:rsidP="00886CDE">
            <w:pPr>
              <w:rPr>
                <w:szCs w:val="20"/>
              </w:rPr>
            </w:pPr>
            <w:r>
              <w:rPr>
                <w:szCs w:val="20"/>
              </w:rPr>
              <w:t>LT-65612</w:t>
            </w:r>
          </w:p>
        </w:tc>
        <w:tc>
          <w:tcPr>
            <w:tcW w:w="618" w:type="pct"/>
          </w:tcPr>
          <w:p w14:paraId="4D984620" w14:textId="32BAEA2F" w:rsidR="00886CDE" w:rsidRPr="00A607D9" w:rsidRDefault="00886CDE" w:rsidP="00886CDE">
            <w:pPr>
              <w:rPr>
                <w:rFonts w:cstheme="minorHAnsi"/>
                <w:szCs w:val="20"/>
              </w:rPr>
            </w:pPr>
            <w:r>
              <w:rPr>
                <w:rFonts w:cstheme="minorHAnsi"/>
                <w:szCs w:val="20"/>
              </w:rPr>
              <w:t>RET</w:t>
            </w:r>
          </w:p>
        </w:tc>
        <w:tc>
          <w:tcPr>
            <w:tcW w:w="1266" w:type="pct"/>
          </w:tcPr>
          <w:p w14:paraId="65C71E1A" w14:textId="06A09DDA" w:rsidR="00886CDE" w:rsidRPr="00C043E0" w:rsidRDefault="00886CDE" w:rsidP="00886CDE">
            <w:pPr>
              <w:rPr>
                <w:rFonts w:ascii="Calibri" w:hAnsi="Calibri"/>
                <w:color w:val="000000"/>
                <w:szCs w:val="20"/>
              </w:rPr>
            </w:pPr>
            <w:r w:rsidRPr="00886CDE">
              <w:rPr>
                <w:rFonts w:cstheme="minorHAnsi"/>
                <w:szCs w:val="20"/>
              </w:rPr>
              <w:t>$92.87</w:t>
            </w:r>
          </w:p>
        </w:tc>
        <w:tc>
          <w:tcPr>
            <w:tcW w:w="1225" w:type="pct"/>
          </w:tcPr>
          <w:p w14:paraId="22DABB8A" w14:textId="76B97A67" w:rsidR="00886CDE" w:rsidRDefault="00886CDE" w:rsidP="00886CDE">
            <w:pPr>
              <w:rPr>
                <w:rFonts w:cstheme="minorHAnsi"/>
                <w:szCs w:val="20"/>
              </w:rPr>
            </w:pPr>
            <w:r w:rsidRPr="00886CDE">
              <w:rPr>
                <w:rFonts w:cstheme="minorHAnsi"/>
                <w:szCs w:val="20"/>
              </w:rPr>
              <w:t>$242.38</w:t>
            </w:r>
          </w:p>
        </w:tc>
        <w:tc>
          <w:tcPr>
            <w:tcW w:w="1304" w:type="pct"/>
          </w:tcPr>
          <w:p w14:paraId="3C596CC8" w14:textId="15832F50" w:rsidR="00886CDE" w:rsidRPr="00A607D9" w:rsidRDefault="0084662C" w:rsidP="00886CDE">
            <w:pPr>
              <w:rPr>
                <w:rFonts w:cstheme="minorHAnsi"/>
                <w:szCs w:val="20"/>
              </w:rPr>
            </w:pPr>
            <w:r>
              <w:rPr>
                <w:rFonts w:cstheme="minorHAnsi"/>
                <w:szCs w:val="20"/>
              </w:rPr>
              <w:t>N/A</w:t>
            </w:r>
          </w:p>
        </w:tc>
      </w:tr>
      <w:tr w:rsidR="00886CDE" w:rsidRPr="00500C4E" w14:paraId="6629E94A" w14:textId="77777777" w:rsidTr="00AF5C98">
        <w:tc>
          <w:tcPr>
            <w:tcW w:w="587" w:type="pct"/>
          </w:tcPr>
          <w:p w14:paraId="50478A3F" w14:textId="2C5DFE16" w:rsidR="00886CDE" w:rsidRPr="00446BDB" w:rsidRDefault="00886CDE" w:rsidP="00886CDE">
            <w:pPr>
              <w:rPr>
                <w:szCs w:val="20"/>
              </w:rPr>
            </w:pPr>
            <w:r>
              <w:rPr>
                <w:szCs w:val="20"/>
              </w:rPr>
              <w:t>LT-69439</w:t>
            </w:r>
          </w:p>
        </w:tc>
        <w:tc>
          <w:tcPr>
            <w:tcW w:w="618" w:type="pct"/>
          </w:tcPr>
          <w:p w14:paraId="638F7AE3" w14:textId="09874F54" w:rsidR="00886CDE" w:rsidRPr="00A607D9" w:rsidRDefault="00886CDE" w:rsidP="00886CDE">
            <w:pPr>
              <w:rPr>
                <w:rFonts w:cstheme="minorHAnsi"/>
                <w:szCs w:val="20"/>
              </w:rPr>
            </w:pPr>
            <w:r>
              <w:rPr>
                <w:rFonts w:cstheme="minorHAnsi"/>
                <w:szCs w:val="20"/>
              </w:rPr>
              <w:t>RET</w:t>
            </w:r>
          </w:p>
        </w:tc>
        <w:tc>
          <w:tcPr>
            <w:tcW w:w="1266" w:type="pct"/>
          </w:tcPr>
          <w:p w14:paraId="126A34CD" w14:textId="5AD47229" w:rsidR="00886CDE" w:rsidRPr="00C043E0" w:rsidRDefault="00886CDE" w:rsidP="00886CDE">
            <w:pPr>
              <w:rPr>
                <w:rFonts w:ascii="Calibri" w:hAnsi="Calibri"/>
                <w:color w:val="000000"/>
                <w:szCs w:val="20"/>
              </w:rPr>
            </w:pPr>
            <w:r w:rsidRPr="00886CDE">
              <w:rPr>
                <w:rFonts w:cstheme="minorHAnsi"/>
                <w:szCs w:val="20"/>
              </w:rPr>
              <w:t>$86.28</w:t>
            </w:r>
          </w:p>
        </w:tc>
        <w:tc>
          <w:tcPr>
            <w:tcW w:w="1225" w:type="pct"/>
          </w:tcPr>
          <w:p w14:paraId="0F786A40" w14:textId="4499A72C" w:rsidR="00886CDE" w:rsidRDefault="00886CDE" w:rsidP="00886CDE">
            <w:pPr>
              <w:rPr>
                <w:rFonts w:cstheme="minorHAnsi"/>
                <w:szCs w:val="20"/>
              </w:rPr>
            </w:pPr>
            <w:r w:rsidRPr="00886CDE">
              <w:rPr>
                <w:rFonts w:cstheme="minorHAnsi"/>
                <w:szCs w:val="20"/>
              </w:rPr>
              <w:t>$274.19</w:t>
            </w:r>
          </w:p>
        </w:tc>
        <w:tc>
          <w:tcPr>
            <w:tcW w:w="1304" w:type="pct"/>
          </w:tcPr>
          <w:p w14:paraId="1990E18F" w14:textId="64BABC31" w:rsidR="00886CDE" w:rsidRPr="00A607D9" w:rsidRDefault="0084662C" w:rsidP="00886CDE">
            <w:pPr>
              <w:rPr>
                <w:rFonts w:cstheme="minorHAnsi"/>
                <w:szCs w:val="20"/>
              </w:rPr>
            </w:pPr>
            <w:r>
              <w:rPr>
                <w:rFonts w:cstheme="minorHAnsi"/>
                <w:szCs w:val="20"/>
              </w:rPr>
              <w:t>N/A</w:t>
            </w:r>
          </w:p>
        </w:tc>
      </w:tr>
      <w:tr w:rsidR="00886CDE" w:rsidRPr="00500C4E" w14:paraId="54C4AEDC" w14:textId="77777777" w:rsidTr="00AF5C98">
        <w:tc>
          <w:tcPr>
            <w:tcW w:w="587" w:type="pct"/>
          </w:tcPr>
          <w:p w14:paraId="70E79A84" w14:textId="2CE95641" w:rsidR="00886CDE" w:rsidRPr="00446BDB" w:rsidRDefault="00886CDE" w:rsidP="00886CDE">
            <w:pPr>
              <w:rPr>
                <w:szCs w:val="20"/>
              </w:rPr>
            </w:pPr>
            <w:r>
              <w:rPr>
                <w:szCs w:val="20"/>
              </w:rPr>
              <w:t>LT-75912</w:t>
            </w:r>
          </w:p>
        </w:tc>
        <w:tc>
          <w:tcPr>
            <w:tcW w:w="618" w:type="pct"/>
          </w:tcPr>
          <w:p w14:paraId="001FA39B" w14:textId="26FB0D54" w:rsidR="00886CDE" w:rsidRPr="00A607D9" w:rsidRDefault="00886CDE" w:rsidP="00886CDE">
            <w:pPr>
              <w:rPr>
                <w:rFonts w:cstheme="minorHAnsi"/>
                <w:szCs w:val="20"/>
              </w:rPr>
            </w:pPr>
            <w:r>
              <w:rPr>
                <w:rFonts w:cstheme="minorHAnsi"/>
                <w:szCs w:val="20"/>
              </w:rPr>
              <w:t>RET</w:t>
            </w:r>
          </w:p>
        </w:tc>
        <w:tc>
          <w:tcPr>
            <w:tcW w:w="1266" w:type="pct"/>
          </w:tcPr>
          <w:p w14:paraId="58D42947" w14:textId="232C710D" w:rsidR="00886CDE" w:rsidRPr="00C043E0" w:rsidRDefault="00886CDE" w:rsidP="00886CDE">
            <w:pPr>
              <w:rPr>
                <w:rFonts w:ascii="Calibri" w:hAnsi="Calibri"/>
                <w:color w:val="000000"/>
                <w:szCs w:val="20"/>
              </w:rPr>
            </w:pPr>
            <w:r w:rsidRPr="00886CDE">
              <w:rPr>
                <w:rFonts w:cstheme="minorHAnsi"/>
                <w:szCs w:val="20"/>
              </w:rPr>
              <w:t>$89.18</w:t>
            </w:r>
          </w:p>
        </w:tc>
        <w:tc>
          <w:tcPr>
            <w:tcW w:w="1225" w:type="pct"/>
          </w:tcPr>
          <w:p w14:paraId="5E407CEF" w14:textId="55AF103C" w:rsidR="00886CDE" w:rsidRDefault="00886CDE" w:rsidP="00886CDE">
            <w:pPr>
              <w:rPr>
                <w:rFonts w:cstheme="minorHAnsi"/>
                <w:szCs w:val="20"/>
              </w:rPr>
            </w:pPr>
            <w:r w:rsidRPr="00886CDE">
              <w:rPr>
                <w:rFonts w:cstheme="minorHAnsi"/>
                <w:szCs w:val="20"/>
              </w:rPr>
              <w:t>$242.38</w:t>
            </w:r>
          </w:p>
        </w:tc>
        <w:tc>
          <w:tcPr>
            <w:tcW w:w="1304" w:type="pct"/>
          </w:tcPr>
          <w:p w14:paraId="6B05B384" w14:textId="6AD2A37A" w:rsidR="00886CDE" w:rsidRPr="00A607D9" w:rsidRDefault="0084662C" w:rsidP="00886CDE">
            <w:pPr>
              <w:rPr>
                <w:rFonts w:cstheme="minorHAnsi"/>
                <w:szCs w:val="20"/>
              </w:rPr>
            </w:pPr>
            <w:r>
              <w:rPr>
                <w:rFonts w:cstheme="minorHAnsi"/>
                <w:szCs w:val="20"/>
              </w:rPr>
              <w:t>N/A</w:t>
            </w:r>
          </w:p>
        </w:tc>
      </w:tr>
      <w:tr w:rsidR="00886CDE" w:rsidRPr="00500C4E" w14:paraId="23344095" w14:textId="77777777" w:rsidTr="00AF5C98">
        <w:tc>
          <w:tcPr>
            <w:tcW w:w="587" w:type="pct"/>
          </w:tcPr>
          <w:p w14:paraId="18751AF2" w14:textId="0E9EC14D" w:rsidR="00886CDE" w:rsidRPr="00446BDB" w:rsidRDefault="00886CDE" w:rsidP="00886CDE">
            <w:pPr>
              <w:rPr>
                <w:szCs w:val="20"/>
              </w:rPr>
            </w:pPr>
            <w:r>
              <w:rPr>
                <w:szCs w:val="20"/>
              </w:rPr>
              <w:t>LT-78303</w:t>
            </w:r>
          </w:p>
        </w:tc>
        <w:tc>
          <w:tcPr>
            <w:tcW w:w="618" w:type="pct"/>
          </w:tcPr>
          <w:p w14:paraId="5F977467" w14:textId="083B11C2" w:rsidR="00886CDE" w:rsidRPr="00A607D9" w:rsidRDefault="00886CDE" w:rsidP="00886CDE">
            <w:pPr>
              <w:rPr>
                <w:rFonts w:cstheme="minorHAnsi"/>
                <w:szCs w:val="20"/>
              </w:rPr>
            </w:pPr>
            <w:r>
              <w:rPr>
                <w:rFonts w:cstheme="minorHAnsi"/>
                <w:szCs w:val="20"/>
              </w:rPr>
              <w:t>RET</w:t>
            </w:r>
          </w:p>
        </w:tc>
        <w:tc>
          <w:tcPr>
            <w:tcW w:w="1266" w:type="pct"/>
          </w:tcPr>
          <w:p w14:paraId="50597FFD" w14:textId="7AF9D79C" w:rsidR="00886CDE" w:rsidRPr="00C043E0" w:rsidRDefault="00886CDE" w:rsidP="00886CDE">
            <w:pPr>
              <w:rPr>
                <w:rFonts w:ascii="Calibri" w:hAnsi="Calibri"/>
                <w:color w:val="000000"/>
                <w:szCs w:val="20"/>
              </w:rPr>
            </w:pPr>
            <w:r w:rsidRPr="00886CDE">
              <w:rPr>
                <w:rFonts w:cstheme="minorHAnsi"/>
                <w:szCs w:val="20"/>
              </w:rPr>
              <w:t>$80.72</w:t>
            </w:r>
          </w:p>
        </w:tc>
        <w:tc>
          <w:tcPr>
            <w:tcW w:w="1225" w:type="pct"/>
          </w:tcPr>
          <w:p w14:paraId="148FEE52" w14:textId="380EB20D" w:rsidR="00886CDE" w:rsidRDefault="00886CDE" w:rsidP="00886CDE">
            <w:pPr>
              <w:rPr>
                <w:rFonts w:cstheme="minorHAnsi"/>
                <w:szCs w:val="20"/>
              </w:rPr>
            </w:pPr>
            <w:r w:rsidRPr="00886CDE">
              <w:rPr>
                <w:rFonts w:cstheme="minorHAnsi"/>
                <w:szCs w:val="20"/>
              </w:rPr>
              <w:t>$274.19</w:t>
            </w:r>
          </w:p>
        </w:tc>
        <w:tc>
          <w:tcPr>
            <w:tcW w:w="1304" w:type="pct"/>
          </w:tcPr>
          <w:p w14:paraId="70B6785B" w14:textId="2DD66CF1" w:rsidR="00886CDE" w:rsidRPr="00A607D9" w:rsidRDefault="0084662C" w:rsidP="00886CDE">
            <w:pPr>
              <w:rPr>
                <w:rFonts w:cstheme="minorHAnsi"/>
                <w:szCs w:val="20"/>
              </w:rPr>
            </w:pPr>
            <w:r>
              <w:rPr>
                <w:rFonts w:cstheme="minorHAnsi"/>
                <w:szCs w:val="20"/>
              </w:rPr>
              <w:t>N/A</w:t>
            </w:r>
          </w:p>
        </w:tc>
      </w:tr>
      <w:tr w:rsidR="00886CDE" w:rsidRPr="00500C4E" w14:paraId="1ABBE6AB" w14:textId="77777777" w:rsidTr="00AF5C98">
        <w:tc>
          <w:tcPr>
            <w:tcW w:w="587" w:type="pct"/>
          </w:tcPr>
          <w:p w14:paraId="6D701291" w14:textId="7B6A5799" w:rsidR="00886CDE" w:rsidRPr="00446BDB" w:rsidRDefault="00886CDE" w:rsidP="00886CDE">
            <w:pPr>
              <w:rPr>
                <w:szCs w:val="20"/>
              </w:rPr>
            </w:pPr>
            <w:r>
              <w:rPr>
                <w:szCs w:val="20"/>
              </w:rPr>
              <w:t>LT-79548</w:t>
            </w:r>
          </w:p>
        </w:tc>
        <w:tc>
          <w:tcPr>
            <w:tcW w:w="618" w:type="pct"/>
          </w:tcPr>
          <w:p w14:paraId="7F852CBF" w14:textId="0F889E99" w:rsidR="00886CDE" w:rsidRPr="00A607D9" w:rsidRDefault="00886CDE" w:rsidP="00886CDE">
            <w:pPr>
              <w:rPr>
                <w:rFonts w:cstheme="minorHAnsi"/>
                <w:szCs w:val="20"/>
              </w:rPr>
            </w:pPr>
            <w:r>
              <w:rPr>
                <w:rFonts w:cstheme="minorHAnsi"/>
                <w:szCs w:val="20"/>
              </w:rPr>
              <w:t>RET</w:t>
            </w:r>
          </w:p>
        </w:tc>
        <w:tc>
          <w:tcPr>
            <w:tcW w:w="1266" w:type="pct"/>
          </w:tcPr>
          <w:p w14:paraId="3312A721" w14:textId="5DD17E58" w:rsidR="00886CDE" w:rsidRPr="00C043E0" w:rsidRDefault="00886CDE" w:rsidP="00886CDE">
            <w:pPr>
              <w:rPr>
                <w:rFonts w:ascii="Calibri" w:hAnsi="Calibri"/>
                <w:color w:val="000000"/>
                <w:szCs w:val="20"/>
              </w:rPr>
            </w:pPr>
            <w:r w:rsidRPr="00886CDE">
              <w:rPr>
                <w:rFonts w:cstheme="minorHAnsi"/>
                <w:szCs w:val="20"/>
              </w:rPr>
              <w:t>$137.42</w:t>
            </w:r>
          </w:p>
        </w:tc>
        <w:tc>
          <w:tcPr>
            <w:tcW w:w="1225" w:type="pct"/>
          </w:tcPr>
          <w:p w14:paraId="6DA26DAF" w14:textId="26D177EA" w:rsidR="00886CDE" w:rsidRDefault="00886CDE" w:rsidP="00886CDE">
            <w:pPr>
              <w:rPr>
                <w:rFonts w:cstheme="minorHAnsi"/>
                <w:szCs w:val="20"/>
              </w:rPr>
            </w:pPr>
            <w:r w:rsidRPr="00886CDE">
              <w:rPr>
                <w:rFonts w:cstheme="minorHAnsi"/>
                <w:szCs w:val="20"/>
              </w:rPr>
              <w:t>$333.63</w:t>
            </w:r>
          </w:p>
        </w:tc>
        <w:tc>
          <w:tcPr>
            <w:tcW w:w="1304" w:type="pct"/>
          </w:tcPr>
          <w:p w14:paraId="0B56C478" w14:textId="161E2981" w:rsidR="00886CDE" w:rsidRPr="00A607D9" w:rsidRDefault="0084662C" w:rsidP="00886CDE">
            <w:pPr>
              <w:rPr>
                <w:rFonts w:cstheme="minorHAnsi"/>
                <w:szCs w:val="20"/>
              </w:rPr>
            </w:pPr>
            <w:r>
              <w:rPr>
                <w:rFonts w:cstheme="minorHAnsi"/>
                <w:szCs w:val="20"/>
              </w:rPr>
              <w:t>N/A</w:t>
            </w:r>
          </w:p>
        </w:tc>
      </w:tr>
      <w:tr w:rsidR="00886CDE" w:rsidRPr="00500C4E" w14:paraId="54E8DC6B" w14:textId="77777777" w:rsidTr="00AF5C98">
        <w:tc>
          <w:tcPr>
            <w:tcW w:w="587" w:type="pct"/>
          </w:tcPr>
          <w:p w14:paraId="358CF501" w14:textId="39AF845D" w:rsidR="00886CDE" w:rsidRPr="00446BDB" w:rsidRDefault="00886CDE" w:rsidP="00886CDE">
            <w:pPr>
              <w:rPr>
                <w:szCs w:val="20"/>
              </w:rPr>
            </w:pPr>
            <w:r>
              <w:rPr>
                <w:szCs w:val="20"/>
              </w:rPr>
              <w:t>LT-80693</w:t>
            </w:r>
          </w:p>
        </w:tc>
        <w:tc>
          <w:tcPr>
            <w:tcW w:w="618" w:type="pct"/>
          </w:tcPr>
          <w:p w14:paraId="7B9FFAC1" w14:textId="07391260" w:rsidR="00886CDE" w:rsidRPr="00A607D9" w:rsidRDefault="00886CDE" w:rsidP="00886CDE">
            <w:pPr>
              <w:rPr>
                <w:rFonts w:cstheme="minorHAnsi"/>
                <w:szCs w:val="20"/>
              </w:rPr>
            </w:pPr>
            <w:r>
              <w:rPr>
                <w:rFonts w:cstheme="minorHAnsi"/>
                <w:szCs w:val="20"/>
              </w:rPr>
              <w:t>RET</w:t>
            </w:r>
          </w:p>
        </w:tc>
        <w:tc>
          <w:tcPr>
            <w:tcW w:w="1266" w:type="pct"/>
          </w:tcPr>
          <w:p w14:paraId="4363C4AF" w14:textId="48E8EDC7" w:rsidR="00886CDE" w:rsidRPr="00C043E0" w:rsidRDefault="00886CDE" w:rsidP="00886CDE">
            <w:pPr>
              <w:rPr>
                <w:rFonts w:ascii="Calibri" w:hAnsi="Calibri"/>
                <w:color w:val="000000"/>
                <w:szCs w:val="20"/>
              </w:rPr>
            </w:pPr>
            <w:r w:rsidRPr="00886CDE">
              <w:rPr>
                <w:rFonts w:cstheme="minorHAnsi"/>
                <w:szCs w:val="20"/>
              </w:rPr>
              <w:t>$94.47</w:t>
            </w:r>
          </w:p>
        </w:tc>
        <w:tc>
          <w:tcPr>
            <w:tcW w:w="1225" w:type="pct"/>
          </w:tcPr>
          <w:p w14:paraId="657D501A" w14:textId="4CF201A8" w:rsidR="00886CDE" w:rsidRDefault="00886CDE" w:rsidP="00886CDE">
            <w:pPr>
              <w:rPr>
                <w:rFonts w:cstheme="minorHAnsi"/>
                <w:szCs w:val="20"/>
              </w:rPr>
            </w:pPr>
            <w:r w:rsidRPr="00886CDE">
              <w:rPr>
                <w:rFonts w:cstheme="minorHAnsi"/>
                <w:szCs w:val="20"/>
              </w:rPr>
              <w:t>$274.19</w:t>
            </w:r>
          </w:p>
        </w:tc>
        <w:tc>
          <w:tcPr>
            <w:tcW w:w="1304" w:type="pct"/>
          </w:tcPr>
          <w:p w14:paraId="1376F02E" w14:textId="1E2AE613" w:rsidR="00886CDE" w:rsidRPr="00A607D9" w:rsidRDefault="0084662C" w:rsidP="00886CDE">
            <w:pPr>
              <w:rPr>
                <w:rFonts w:cstheme="minorHAnsi"/>
                <w:szCs w:val="20"/>
              </w:rPr>
            </w:pPr>
            <w:r>
              <w:rPr>
                <w:rFonts w:cstheme="minorHAnsi"/>
                <w:szCs w:val="20"/>
              </w:rPr>
              <w:t>N/A</w:t>
            </w:r>
          </w:p>
        </w:tc>
      </w:tr>
      <w:tr w:rsidR="00886CDE" w:rsidRPr="00500C4E" w14:paraId="0695126C" w14:textId="77777777" w:rsidTr="00AF5C98">
        <w:tc>
          <w:tcPr>
            <w:tcW w:w="587" w:type="pct"/>
          </w:tcPr>
          <w:p w14:paraId="045CC832" w14:textId="1D75C053" w:rsidR="00886CDE" w:rsidRPr="00446BDB" w:rsidRDefault="00886CDE" w:rsidP="00886CDE">
            <w:pPr>
              <w:rPr>
                <w:szCs w:val="20"/>
              </w:rPr>
            </w:pPr>
            <w:r>
              <w:rPr>
                <w:szCs w:val="20"/>
              </w:rPr>
              <w:t>LT-84544</w:t>
            </w:r>
          </w:p>
        </w:tc>
        <w:tc>
          <w:tcPr>
            <w:tcW w:w="618" w:type="pct"/>
          </w:tcPr>
          <w:p w14:paraId="7678D90A" w14:textId="3382A898" w:rsidR="00886CDE" w:rsidRPr="00A607D9" w:rsidRDefault="00886CDE" w:rsidP="00886CDE">
            <w:pPr>
              <w:rPr>
                <w:rFonts w:cstheme="minorHAnsi"/>
                <w:szCs w:val="20"/>
              </w:rPr>
            </w:pPr>
            <w:r>
              <w:rPr>
                <w:rFonts w:cstheme="minorHAnsi"/>
                <w:szCs w:val="20"/>
              </w:rPr>
              <w:t>RET</w:t>
            </w:r>
          </w:p>
        </w:tc>
        <w:tc>
          <w:tcPr>
            <w:tcW w:w="1266" w:type="pct"/>
          </w:tcPr>
          <w:p w14:paraId="152B3B4A" w14:textId="2AF6D624" w:rsidR="00886CDE" w:rsidRPr="00C043E0" w:rsidRDefault="00886CDE" w:rsidP="00886CDE">
            <w:pPr>
              <w:rPr>
                <w:rFonts w:ascii="Calibri" w:hAnsi="Calibri"/>
                <w:color w:val="000000"/>
                <w:szCs w:val="20"/>
              </w:rPr>
            </w:pPr>
            <w:r w:rsidRPr="00886CDE">
              <w:rPr>
                <w:rFonts w:cstheme="minorHAnsi"/>
                <w:szCs w:val="20"/>
              </w:rPr>
              <w:t>$72.56</w:t>
            </w:r>
          </w:p>
        </w:tc>
        <w:tc>
          <w:tcPr>
            <w:tcW w:w="1225" w:type="pct"/>
          </w:tcPr>
          <w:p w14:paraId="368E33AA" w14:textId="7B3665F7" w:rsidR="00886CDE" w:rsidRDefault="00886CDE" w:rsidP="00886CDE">
            <w:pPr>
              <w:rPr>
                <w:rFonts w:cstheme="minorHAnsi"/>
                <w:szCs w:val="20"/>
              </w:rPr>
            </w:pPr>
            <w:r w:rsidRPr="00886CDE">
              <w:rPr>
                <w:rFonts w:cstheme="minorHAnsi"/>
                <w:szCs w:val="20"/>
              </w:rPr>
              <w:t>$274.19</w:t>
            </w:r>
          </w:p>
        </w:tc>
        <w:tc>
          <w:tcPr>
            <w:tcW w:w="1304" w:type="pct"/>
          </w:tcPr>
          <w:p w14:paraId="0860D9ED" w14:textId="6EC920D2" w:rsidR="00886CDE" w:rsidRPr="00A607D9" w:rsidRDefault="0084662C" w:rsidP="00886CDE">
            <w:pPr>
              <w:rPr>
                <w:rFonts w:cstheme="minorHAnsi"/>
                <w:szCs w:val="20"/>
              </w:rPr>
            </w:pPr>
            <w:r>
              <w:rPr>
                <w:rFonts w:cstheme="minorHAnsi"/>
                <w:szCs w:val="20"/>
              </w:rPr>
              <w:t>N/A</w:t>
            </w:r>
          </w:p>
        </w:tc>
      </w:tr>
      <w:tr w:rsidR="00886CDE" w:rsidRPr="00500C4E" w14:paraId="174A3EA7" w14:textId="77777777" w:rsidTr="00AF5C98">
        <w:tc>
          <w:tcPr>
            <w:tcW w:w="587" w:type="pct"/>
          </w:tcPr>
          <w:p w14:paraId="1FF06AFD" w14:textId="495FF024" w:rsidR="00886CDE" w:rsidRPr="00446BDB" w:rsidRDefault="00886CDE" w:rsidP="00886CDE">
            <w:pPr>
              <w:rPr>
                <w:szCs w:val="20"/>
              </w:rPr>
            </w:pPr>
            <w:r>
              <w:rPr>
                <w:szCs w:val="20"/>
              </w:rPr>
              <w:t>LT-89513</w:t>
            </w:r>
          </w:p>
        </w:tc>
        <w:tc>
          <w:tcPr>
            <w:tcW w:w="618" w:type="pct"/>
          </w:tcPr>
          <w:p w14:paraId="654536C3" w14:textId="6E2EFFC6" w:rsidR="00886CDE" w:rsidRPr="00A607D9" w:rsidRDefault="00886CDE" w:rsidP="00886CDE">
            <w:pPr>
              <w:rPr>
                <w:rFonts w:cstheme="minorHAnsi"/>
                <w:szCs w:val="20"/>
              </w:rPr>
            </w:pPr>
            <w:r>
              <w:rPr>
                <w:rFonts w:cstheme="minorHAnsi"/>
                <w:szCs w:val="20"/>
              </w:rPr>
              <w:t>RET</w:t>
            </w:r>
          </w:p>
        </w:tc>
        <w:tc>
          <w:tcPr>
            <w:tcW w:w="1266" w:type="pct"/>
          </w:tcPr>
          <w:p w14:paraId="2B52C24A" w14:textId="5A81FDAA" w:rsidR="00886CDE" w:rsidRPr="00C043E0" w:rsidRDefault="00886CDE" w:rsidP="00886CDE">
            <w:pPr>
              <w:rPr>
                <w:rFonts w:ascii="Calibri" w:hAnsi="Calibri"/>
                <w:color w:val="000000"/>
                <w:szCs w:val="20"/>
              </w:rPr>
            </w:pPr>
            <w:r w:rsidRPr="00886CDE">
              <w:rPr>
                <w:rFonts w:cstheme="minorHAnsi"/>
                <w:szCs w:val="20"/>
              </w:rPr>
              <w:t>$86.41</w:t>
            </w:r>
          </w:p>
        </w:tc>
        <w:tc>
          <w:tcPr>
            <w:tcW w:w="1225" w:type="pct"/>
          </w:tcPr>
          <w:p w14:paraId="20F4567E" w14:textId="70F2B00F" w:rsidR="00886CDE" w:rsidRDefault="00886CDE" w:rsidP="00886CDE">
            <w:pPr>
              <w:rPr>
                <w:rFonts w:cstheme="minorHAnsi"/>
                <w:szCs w:val="20"/>
              </w:rPr>
            </w:pPr>
            <w:r w:rsidRPr="00886CDE">
              <w:rPr>
                <w:rFonts w:cstheme="minorHAnsi"/>
                <w:szCs w:val="20"/>
              </w:rPr>
              <w:t>$256.02</w:t>
            </w:r>
          </w:p>
        </w:tc>
        <w:tc>
          <w:tcPr>
            <w:tcW w:w="1304" w:type="pct"/>
          </w:tcPr>
          <w:p w14:paraId="58A6EFCC" w14:textId="34FD01CA" w:rsidR="00886CDE" w:rsidRPr="00A607D9" w:rsidRDefault="0084662C" w:rsidP="00886CDE">
            <w:pPr>
              <w:rPr>
                <w:rFonts w:cstheme="minorHAnsi"/>
                <w:szCs w:val="20"/>
              </w:rPr>
            </w:pPr>
            <w:r>
              <w:rPr>
                <w:rFonts w:cstheme="minorHAnsi"/>
                <w:szCs w:val="20"/>
              </w:rPr>
              <w:t>N/A</w:t>
            </w:r>
          </w:p>
        </w:tc>
      </w:tr>
      <w:tr w:rsidR="00886CDE" w:rsidRPr="00500C4E" w14:paraId="31249D5C" w14:textId="77777777" w:rsidTr="00AF5C98">
        <w:tc>
          <w:tcPr>
            <w:tcW w:w="587" w:type="pct"/>
          </w:tcPr>
          <w:p w14:paraId="16524278" w14:textId="008C7391" w:rsidR="00886CDE" w:rsidRPr="00446BDB" w:rsidRDefault="00886CDE" w:rsidP="00886CDE">
            <w:pPr>
              <w:rPr>
                <w:szCs w:val="20"/>
              </w:rPr>
            </w:pPr>
            <w:r>
              <w:rPr>
                <w:szCs w:val="20"/>
              </w:rPr>
              <w:t>LT-93848</w:t>
            </w:r>
          </w:p>
        </w:tc>
        <w:tc>
          <w:tcPr>
            <w:tcW w:w="618" w:type="pct"/>
          </w:tcPr>
          <w:p w14:paraId="6CCCB91A" w14:textId="1C1735CF" w:rsidR="00886CDE" w:rsidRPr="00A607D9" w:rsidRDefault="00886CDE" w:rsidP="00886CDE">
            <w:pPr>
              <w:rPr>
                <w:rFonts w:cstheme="minorHAnsi"/>
                <w:szCs w:val="20"/>
              </w:rPr>
            </w:pPr>
            <w:r>
              <w:rPr>
                <w:rFonts w:cstheme="minorHAnsi"/>
                <w:szCs w:val="20"/>
              </w:rPr>
              <w:t>RET</w:t>
            </w:r>
          </w:p>
        </w:tc>
        <w:tc>
          <w:tcPr>
            <w:tcW w:w="1266" w:type="pct"/>
          </w:tcPr>
          <w:p w14:paraId="04E60D8A" w14:textId="47ED53C0" w:rsidR="00886CDE" w:rsidRPr="00C043E0" w:rsidRDefault="00886CDE" w:rsidP="00886CDE">
            <w:pPr>
              <w:rPr>
                <w:rFonts w:ascii="Calibri" w:hAnsi="Calibri"/>
                <w:color w:val="000000"/>
                <w:szCs w:val="20"/>
              </w:rPr>
            </w:pPr>
            <w:r w:rsidRPr="00886CDE">
              <w:rPr>
                <w:rFonts w:cstheme="minorHAnsi"/>
                <w:szCs w:val="20"/>
              </w:rPr>
              <w:t>$137.42</w:t>
            </w:r>
          </w:p>
        </w:tc>
        <w:tc>
          <w:tcPr>
            <w:tcW w:w="1225" w:type="pct"/>
          </w:tcPr>
          <w:p w14:paraId="08A21A9D" w14:textId="29592F0E" w:rsidR="00886CDE" w:rsidRDefault="00886CDE" w:rsidP="00886CDE">
            <w:pPr>
              <w:rPr>
                <w:rFonts w:cstheme="minorHAnsi"/>
                <w:szCs w:val="20"/>
              </w:rPr>
            </w:pPr>
            <w:r w:rsidRPr="00886CDE">
              <w:rPr>
                <w:rFonts w:cstheme="minorHAnsi"/>
                <w:szCs w:val="20"/>
              </w:rPr>
              <w:t>$333.63</w:t>
            </w:r>
          </w:p>
        </w:tc>
        <w:tc>
          <w:tcPr>
            <w:tcW w:w="1304" w:type="pct"/>
          </w:tcPr>
          <w:p w14:paraId="4DE3A458" w14:textId="693A72A1" w:rsidR="00886CDE" w:rsidRPr="00A607D9" w:rsidRDefault="0084662C" w:rsidP="00886CDE">
            <w:pPr>
              <w:rPr>
                <w:rFonts w:cstheme="minorHAnsi"/>
                <w:szCs w:val="20"/>
              </w:rPr>
            </w:pPr>
            <w:r>
              <w:rPr>
                <w:rFonts w:cstheme="minorHAnsi"/>
                <w:szCs w:val="20"/>
              </w:rPr>
              <w:t>N/A</w:t>
            </w:r>
          </w:p>
        </w:tc>
      </w:tr>
      <w:tr w:rsidR="00886CDE" w:rsidRPr="00500C4E" w14:paraId="46AD2089" w14:textId="77777777" w:rsidTr="00AF5C98">
        <w:tc>
          <w:tcPr>
            <w:tcW w:w="587" w:type="pct"/>
          </w:tcPr>
          <w:p w14:paraId="64B5A0A5" w14:textId="273A3707" w:rsidR="00886CDE" w:rsidRPr="00446BDB" w:rsidRDefault="00886CDE" w:rsidP="00886CDE">
            <w:pPr>
              <w:rPr>
                <w:szCs w:val="20"/>
              </w:rPr>
            </w:pPr>
            <w:r>
              <w:rPr>
                <w:szCs w:val="20"/>
              </w:rPr>
              <w:t>LT-97154</w:t>
            </w:r>
          </w:p>
        </w:tc>
        <w:tc>
          <w:tcPr>
            <w:tcW w:w="618" w:type="pct"/>
          </w:tcPr>
          <w:p w14:paraId="26E0CC0F" w14:textId="417808D0" w:rsidR="00886CDE" w:rsidRPr="00A607D9" w:rsidRDefault="00886CDE" w:rsidP="00886CDE">
            <w:pPr>
              <w:rPr>
                <w:rFonts w:cstheme="minorHAnsi"/>
                <w:szCs w:val="20"/>
              </w:rPr>
            </w:pPr>
            <w:r>
              <w:rPr>
                <w:rFonts w:cstheme="minorHAnsi"/>
                <w:szCs w:val="20"/>
              </w:rPr>
              <w:t>RET</w:t>
            </w:r>
          </w:p>
        </w:tc>
        <w:tc>
          <w:tcPr>
            <w:tcW w:w="1266" w:type="pct"/>
          </w:tcPr>
          <w:p w14:paraId="1901276E" w14:textId="76B2C34A" w:rsidR="00886CDE" w:rsidRPr="00C043E0" w:rsidRDefault="00886CDE" w:rsidP="00886CDE">
            <w:pPr>
              <w:rPr>
                <w:rFonts w:ascii="Calibri" w:hAnsi="Calibri"/>
                <w:color w:val="000000"/>
                <w:szCs w:val="20"/>
              </w:rPr>
            </w:pPr>
            <w:r w:rsidRPr="00886CDE">
              <w:rPr>
                <w:rFonts w:cstheme="minorHAnsi"/>
                <w:szCs w:val="20"/>
              </w:rPr>
              <w:t>$89.13</w:t>
            </w:r>
          </w:p>
        </w:tc>
        <w:tc>
          <w:tcPr>
            <w:tcW w:w="1225" w:type="pct"/>
          </w:tcPr>
          <w:p w14:paraId="5C52617B" w14:textId="5D6EEC73" w:rsidR="00886CDE" w:rsidRDefault="00886CDE" w:rsidP="00886CDE">
            <w:pPr>
              <w:rPr>
                <w:rFonts w:cstheme="minorHAnsi"/>
                <w:szCs w:val="20"/>
              </w:rPr>
            </w:pPr>
            <w:r w:rsidRPr="00886CDE">
              <w:rPr>
                <w:rFonts w:cstheme="minorHAnsi"/>
                <w:szCs w:val="20"/>
              </w:rPr>
              <w:t>$256.02</w:t>
            </w:r>
          </w:p>
        </w:tc>
        <w:tc>
          <w:tcPr>
            <w:tcW w:w="1304" w:type="pct"/>
          </w:tcPr>
          <w:p w14:paraId="5F728033" w14:textId="024C78F0" w:rsidR="00886CDE" w:rsidRPr="00A607D9" w:rsidRDefault="0084662C" w:rsidP="00886CDE">
            <w:pPr>
              <w:rPr>
                <w:rFonts w:cstheme="minorHAnsi"/>
                <w:szCs w:val="20"/>
              </w:rPr>
            </w:pPr>
            <w:r>
              <w:rPr>
                <w:rFonts w:cstheme="minorHAnsi"/>
                <w:szCs w:val="20"/>
              </w:rPr>
              <w:t>N/A</w:t>
            </w:r>
          </w:p>
        </w:tc>
      </w:tr>
    </w:tbl>
    <w:p w14:paraId="51ACF760" w14:textId="739AECEC" w:rsidR="007C2DBB" w:rsidRPr="00920905" w:rsidRDefault="007C2DBB" w:rsidP="007C2DBB">
      <w:pPr>
        <w:rPr>
          <w:rFonts w:cstheme="minorHAnsi"/>
          <w:sz w:val="20"/>
          <w:szCs w:val="20"/>
        </w:rPr>
      </w:pPr>
    </w:p>
    <w:p w14:paraId="37E9FBDB" w14:textId="754E7BBE" w:rsidR="00E16609" w:rsidRPr="00920905" w:rsidRDefault="00E16609">
      <w:pPr>
        <w:rPr>
          <w:rFonts w:cstheme="minorHAnsi"/>
          <w:sz w:val="20"/>
          <w:szCs w:val="20"/>
        </w:rPr>
      </w:pPr>
      <w:r w:rsidRPr="00920905">
        <w:rPr>
          <w:rFonts w:cstheme="minorHAnsi"/>
          <w:sz w:val="20"/>
          <w:szCs w:val="20"/>
        </w:rPr>
        <w:br w:type="page"/>
      </w:r>
    </w:p>
    <w:bookmarkEnd w:id="27"/>
    <w:p w14:paraId="266FC965" w14:textId="77777777" w:rsidR="00E16609" w:rsidRPr="00500C4E" w:rsidRDefault="00E16609" w:rsidP="00E16609">
      <w:pPr>
        <w:pStyle w:val="Heading1"/>
        <w:rPr>
          <w:rFonts w:cstheme="minorHAnsi"/>
        </w:rPr>
      </w:pPr>
      <w:r w:rsidRPr="00500C4E">
        <w:rPr>
          <w:rFonts w:cstheme="minorHAnsi"/>
        </w:rPr>
        <w:t>Attachments</w:t>
      </w:r>
    </w:p>
    <w:p w14:paraId="298DE117" w14:textId="6012CD70" w:rsidR="00AB36DB" w:rsidRDefault="00EA7A53" w:rsidP="00E40CF9">
      <w:pPr>
        <w:pStyle w:val="Reminders"/>
        <w:rPr>
          <w:rFonts w:asciiTheme="minorHAnsi" w:hAnsiTheme="minorHAnsi" w:cstheme="minorHAnsi"/>
          <w:i w:val="0"/>
          <w:color w:val="auto"/>
          <w:szCs w:val="22"/>
        </w:rPr>
      </w:pPr>
      <w:r w:rsidRPr="00EA7A53">
        <w:rPr>
          <w:rFonts w:asciiTheme="minorHAnsi" w:hAnsiTheme="minorHAnsi" w:cstheme="minorHAnsi"/>
          <w:i w:val="0"/>
          <w:color w:val="auto"/>
          <w:szCs w:val="22"/>
        </w:rPr>
        <w:t>1</w:t>
      </w:r>
      <w:r>
        <w:rPr>
          <w:rFonts w:asciiTheme="minorHAnsi" w:hAnsiTheme="minorHAnsi" w:cstheme="minorHAnsi"/>
          <w:i w:val="0"/>
          <w:color w:val="auto"/>
          <w:szCs w:val="22"/>
        </w:rPr>
        <w:t>.</w:t>
      </w:r>
      <w:r w:rsidR="00DD0CBD">
        <w:rPr>
          <w:rFonts w:asciiTheme="minorHAnsi" w:hAnsiTheme="minorHAnsi" w:cstheme="minorHAnsi"/>
          <w:i w:val="0"/>
          <w:color w:val="auto"/>
          <w:szCs w:val="22"/>
        </w:rPr>
        <w:t xml:space="preserve"> SCE17LG098.0 A1 – Calculation Template_Final.xlsx</w:t>
      </w:r>
      <w:r w:rsidR="000D3A21" w:rsidDel="000D3A21">
        <w:rPr>
          <w:rFonts w:asciiTheme="minorHAnsi" w:hAnsiTheme="minorHAnsi" w:cstheme="minorHAnsi"/>
          <w:i w:val="0"/>
          <w:color w:val="auto"/>
          <w:szCs w:val="22"/>
        </w:rPr>
        <w:t xml:space="preserve"> </w:t>
      </w:r>
    </w:p>
    <w:p w14:paraId="19E07D0B" w14:textId="2233B08F" w:rsidR="00EA7A53" w:rsidRDefault="00EA7A53" w:rsidP="00E40CF9">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2. </w:t>
      </w:r>
      <w:r w:rsidR="00EB2A21">
        <w:rPr>
          <w:rFonts w:asciiTheme="minorHAnsi" w:hAnsiTheme="minorHAnsi" w:cstheme="minorHAnsi"/>
          <w:i w:val="0"/>
          <w:color w:val="auto"/>
          <w:szCs w:val="22"/>
        </w:rPr>
        <w:t>SCE17LG098.0 A2 – App B Std Fixt Wattages.pdf</w:t>
      </w:r>
    </w:p>
    <w:p w14:paraId="47A3321A" w14:textId="3A1C3AB4" w:rsidR="00EA7A53" w:rsidRDefault="00EA7A53" w:rsidP="00E40CF9">
      <w:pPr>
        <w:pStyle w:val="Reminders"/>
        <w:rPr>
          <w:rFonts w:asciiTheme="minorHAnsi" w:hAnsiTheme="minorHAnsi" w:cstheme="minorHAnsi"/>
          <w:i w:val="0"/>
          <w:color w:val="auto"/>
          <w:szCs w:val="22"/>
        </w:rPr>
      </w:pPr>
      <w:r>
        <w:rPr>
          <w:rFonts w:asciiTheme="minorHAnsi" w:hAnsiTheme="minorHAnsi" w:cstheme="minorHAnsi"/>
          <w:i w:val="0"/>
          <w:color w:val="auto"/>
          <w:szCs w:val="22"/>
        </w:rPr>
        <w:t>3.</w:t>
      </w:r>
      <w:r w:rsidR="00EB2A21" w:rsidRPr="00EB2A21">
        <w:t xml:space="preserve"> </w:t>
      </w:r>
      <w:r w:rsidR="00EB2A21" w:rsidRPr="00EB2A21">
        <w:rPr>
          <w:rFonts w:asciiTheme="minorHAnsi" w:hAnsiTheme="minorHAnsi" w:cstheme="minorHAnsi"/>
          <w:i w:val="0"/>
          <w:color w:val="auto"/>
          <w:szCs w:val="22"/>
        </w:rPr>
        <w:t>SCE17LG098.0 A3 - LED Disp Cases Fixt Specs</w:t>
      </w:r>
      <w:r w:rsidR="00EB2A21">
        <w:rPr>
          <w:rFonts w:asciiTheme="minorHAnsi" w:hAnsiTheme="minorHAnsi" w:cstheme="minorHAnsi"/>
          <w:i w:val="0"/>
          <w:color w:val="auto"/>
          <w:szCs w:val="22"/>
        </w:rPr>
        <w:t>.zip</w:t>
      </w:r>
      <w:r>
        <w:rPr>
          <w:rFonts w:asciiTheme="minorHAnsi" w:hAnsiTheme="minorHAnsi" w:cstheme="minorHAnsi"/>
          <w:i w:val="0"/>
          <w:color w:val="auto"/>
          <w:szCs w:val="22"/>
        </w:rPr>
        <w:t xml:space="preserve"> </w:t>
      </w:r>
    </w:p>
    <w:p w14:paraId="746874A3" w14:textId="46976C22" w:rsidR="00EA7A53" w:rsidRDefault="00EA7A53" w:rsidP="00E40CF9">
      <w:pPr>
        <w:pStyle w:val="Reminders"/>
        <w:rPr>
          <w:rFonts w:asciiTheme="minorHAnsi" w:hAnsiTheme="minorHAnsi" w:cstheme="minorHAnsi"/>
          <w:i w:val="0"/>
          <w:color w:val="auto"/>
          <w:szCs w:val="22"/>
        </w:rPr>
      </w:pPr>
      <w:r>
        <w:rPr>
          <w:rFonts w:asciiTheme="minorHAnsi" w:hAnsiTheme="minorHAnsi" w:cstheme="minorHAnsi"/>
          <w:i w:val="0"/>
          <w:color w:val="auto"/>
          <w:szCs w:val="22"/>
        </w:rPr>
        <w:t>4.</w:t>
      </w:r>
      <w:r w:rsidR="00EB2A21" w:rsidRPr="00EB2A21">
        <w:rPr>
          <w:rFonts w:asciiTheme="minorHAnsi" w:hAnsiTheme="minorHAnsi" w:cstheme="minorHAnsi"/>
          <w:i w:val="0"/>
          <w:color w:val="auto"/>
          <w:szCs w:val="22"/>
        </w:rPr>
        <w:t xml:space="preserve"> </w:t>
      </w:r>
      <w:r w:rsidR="00EB2A21">
        <w:rPr>
          <w:rFonts w:asciiTheme="minorHAnsi" w:hAnsiTheme="minorHAnsi" w:cstheme="minorHAnsi"/>
          <w:i w:val="0"/>
          <w:color w:val="auto"/>
          <w:szCs w:val="22"/>
        </w:rPr>
        <w:t>SCE17LG098.0 A4</w:t>
      </w:r>
      <w:r w:rsidR="00EB2A21" w:rsidRPr="00EB2A21">
        <w:rPr>
          <w:rFonts w:asciiTheme="minorHAnsi" w:hAnsiTheme="minorHAnsi" w:cstheme="minorHAnsi"/>
          <w:i w:val="0"/>
          <w:color w:val="auto"/>
          <w:szCs w:val="22"/>
        </w:rPr>
        <w:t xml:space="preserve"> </w:t>
      </w:r>
      <w:r w:rsidR="00EB2A21">
        <w:rPr>
          <w:rFonts w:asciiTheme="minorHAnsi" w:hAnsiTheme="minorHAnsi" w:cstheme="minorHAnsi"/>
          <w:i w:val="0"/>
          <w:color w:val="auto"/>
          <w:szCs w:val="22"/>
        </w:rPr>
        <w:t>–</w:t>
      </w:r>
      <w:r w:rsidR="00EB2A21" w:rsidRPr="00EB2A21">
        <w:rPr>
          <w:rFonts w:asciiTheme="minorHAnsi" w:hAnsiTheme="minorHAnsi" w:cstheme="minorHAnsi"/>
          <w:i w:val="0"/>
          <w:color w:val="auto"/>
          <w:szCs w:val="22"/>
        </w:rPr>
        <w:t xml:space="preserve"> </w:t>
      </w:r>
      <w:r w:rsidR="00EB2A21">
        <w:rPr>
          <w:rFonts w:asciiTheme="minorHAnsi" w:hAnsiTheme="minorHAnsi" w:cstheme="minorHAnsi"/>
          <w:i w:val="0"/>
          <w:color w:val="auto"/>
          <w:szCs w:val="22"/>
        </w:rPr>
        <w:t>Single Comp RI DIsp Case.pdf</w:t>
      </w:r>
    </w:p>
    <w:p w14:paraId="347B6B31" w14:textId="4AC8389F" w:rsidR="007074C9" w:rsidRDefault="00EA7A53" w:rsidP="00E40CF9">
      <w:pPr>
        <w:pStyle w:val="Reminders"/>
        <w:rPr>
          <w:rFonts w:asciiTheme="minorHAnsi" w:hAnsiTheme="minorHAnsi" w:cstheme="minorHAnsi"/>
          <w:i w:val="0"/>
          <w:color w:val="auto"/>
          <w:szCs w:val="22"/>
        </w:rPr>
      </w:pPr>
      <w:r>
        <w:rPr>
          <w:rFonts w:asciiTheme="minorHAnsi" w:hAnsiTheme="minorHAnsi" w:cstheme="minorHAnsi"/>
          <w:i w:val="0"/>
          <w:color w:val="auto"/>
          <w:szCs w:val="22"/>
        </w:rPr>
        <w:t>5.</w:t>
      </w:r>
      <w:r w:rsidR="00EB2A21">
        <w:rPr>
          <w:rFonts w:asciiTheme="minorHAnsi" w:hAnsiTheme="minorHAnsi" w:cstheme="minorHAnsi"/>
          <w:i w:val="0"/>
          <w:color w:val="auto"/>
          <w:szCs w:val="22"/>
        </w:rPr>
        <w:t xml:space="preserve"> </w:t>
      </w:r>
      <w:r w:rsidR="00EB2A21" w:rsidRPr="00EB2A21">
        <w:rPr>
          <w:rFonts w:asciiTheme="minorHAnsi" w:hAnsiTheme="minorHAnsi" w:cstheme="minorHAnsi"/>
          <w:i w:val="0"/>
          <w:color w:val="auto"/>
          <w:szCs w:val="22"/>
        </w:rPr>
        <w:t>SCE17LG098.0 A5 - 3&amp;4ft. LEDs</w:t>
      </w:r>
      <w:r w:rsidR="00EB2A21">
        <w:rPr>
          <w:rFonts w:asciiTheme="minorHAnsi" w:hAnsiTheme="minorHAnsi" w:cstheme="minorHAnsi"/>
          <w:i w:val="0"/>
          <w:color w:val="auto"/>
          <w:szCs w:val="22"/>
        </w:rPr>
        <w:t>.zip</w:t>
      </w:r>
    </w:p>
    <w:p w14:paraId="7DCC1655" w14:textId="7E3116C2" w:rsidR="007074C9" w:rsidRDefault="00EA7A53" w:rsidP="00E40CF9">
      <w:pPr>
        <w:pStyle w:val="Reminders"/>
        <w:rPr>
          <w:rFonts w:asciiTheme="minorHAnsi" w:hAnsiTheme="minorHAnsi" w:cstheme="minorHAnsi"/>
          <w:i w:val="0"/>
          <w:color w:val="auto"/>
          <w:szCs w:val="22"/>
        </w:rPr>
      </w:pPr>
      <w:r>
        <w:rPr>
          <w:rFonts w:asciiTheme="minorHAnsi" w:hAnsiTheme="minorHAnsi" w:cstheme="minorHAnsi"/>
          <w:i w:val="0"/>
          <w:color w:val="auto"/>
          <w:szCs w:val="22"/>
        </w:rPr>
        <w:t>6.</w:t>
      </w:r>
      <w:r w:rsidR="00D638B2">
        <w:rPr>
          <w:rFonts w:asciiTheme="minorHAnsi" w:hAnsiTheme="minorHAnsi" w:cstheme="minorHAnsi"/>
          <w:i w:val="0"/>
          <w:color w:val="auto"/>
          <w:szCs w:val="22"/>
        </w:rPr>
        <w:t xml:space="preserve"> SCE17LG098.0 </w:t>
      </w:r>
      <w:r w:rsidR="00DD0CBD">
        <w:rPr>
          <w:rFonts w:asciiTheme="minorHAnsi" w:hAnsiTheme="minorHAnsi" w:cstheme="minorHAnsi"/>
          <w:i w:val="0"/>
          <w:color w:val="auto"/>
          <w:szCs w:val="22"/>
        </w:rPr>
        <w:t>A6 – Vert LED.xlsx</w:t>
      </w:r>
      <w:r w:rsidR="008F1D4E">
        <w:rPr>
          <w:rFonts w:asciiTheme="minorHAnsi" w:hAnsiTheme="minorHAnsi" w:cstheme="minorHAnsi"/>
          <w:i w:val="0"/>
          <w:color w:val="auto"/>
          <w:szCs w:val="22"/>
        </w:rPr>
        <w:t xml:space="preserve"> </w:t>
      </w:r>
    </w:p>
    <w:p w14:paraId="1981AB6D" w14:textId="3C431001" w:rsidR="007074C9" w:rsidRDefault="00EA7A53" w:rsidP="00E40CF9">
      <w:pPr>
        <w:pStyle w:val="Reminders"/>
        <w:rPr>
          <w:rFonts w:asciiTheme="minorHAnsi" w:hAnsiTheme="minorHAnsi" w:cstheme="minorHAnsi"/>
          <w:i w:val="0"/>
          <w:color w:val="auto"/>
          <w:szCs w:val="22"/>
        </w:rPr>
      </w:pPr>
      <w:r>
        <w:rPr>
          <w:rFonts w:asciiTheme="minorHAnsi" w:hAnsiTheme="minorHAnsi" w:cstheme="minorHAnsi"/>
          <w:i w:val="0"/>
          <w:color w:val="auto"/>
          <w:szCs w:val="22"/>
        </w:rPr>
        <w:t>7.</w:t>
      </w:r>
      <w:r w:rsidR="008F1D4E">
        <w:rPr>
          <w:rFonts w:asciiTheme="minorHAnsi" w:hAnsiTheme="minorHAnsi" w:cstheme="minorHAnsi"/>
          <w:i w:val="0"/>
          <w:color w:val="auto"/>
          <w:szCs w:val="22"/>
        </w:rPr>
        <w:t xml:space="preserve"> </w:t>
      </w:r>
      <w:r w:rsidR="002174E6" w:rsidRPr="00EB2A21">
        <w:rPr>
          <w:rFonts w:asciiTheme="minorHAnsi" w:hAnsiTheme="minorHAnsi" w:cstheme="minorHAnsi"/>
          <w:i w:val="0"/>
          <w:color w:val="auto"/>
          <w:szCs w:val="22"/>
        </w:rPr>
        <w:t>SCE17LG098.0 A</w:t>
      </w:r>
      <w:r w:rsidR="002174E6">
        <w:rPr>
          <w:rFonts w:asciiTheme="minorHAnsi" w:hAnsiTheme="minorHAnsi" w:cstheme="minorHAnsi"/>
          <w:i w:val="0"/>
          <w:color w:val="auto"/>
          <w:szCs w:val="22"/>
        </w:rPr>
        <w:t>7</w:t>
      </w:r>
      <w:r w:rsidR="002174E6" w:rsidRPr="00EB2A21">
        <w:rPr>
          <w:rFonts w:asciiTheme="minorHAnsi" w:hAnsiTheme="minorHAnsi" w:cstheme="minorHAnsi"/>
          <w:i w:val="0"/>
          <w:color w:val="auto"/>
          <w:szCs w:val="22"/>
        </w:rPr>
        <w:t xml:space="preserve"> </w:t>
      </w:r>
      <w:r w:rsidR="002174E6">
        <w:rPr>
          <w:rFonts w:asciiTheme="minorHAnsi" w:hAnsiTheme="minorHAnsi" w:cstheme="minorHAnsi"/>
          <w:i w:val="0"/>
          <w:color w:val="auto"/>
          <w:szCs w:val="22"/>
        </w:rPr>
        <w:t>–</w:t>
      </w:r>
      <w:r w:rsidR="002174E6" w:rsidRPr="00EB2A21">
        <w:rPr>
          <w:rFonts w:asciiTheme="minorHAnsi" w:hAnsiTheme="minorHAnsi" w:cstheme="minorHAnsi"/>
          <w:i w:val="0"/>
          <w:color w:val="auto"/>
          <w:szCs w:val="22"/>
        </w:rPr>
        <w:t xml:space="preserve"> </w:t>
      </w:r>
      <w:r w:rsidR="002174E6">
        <w:rPr>
          <w:rFonts w:asciiTheme="minorHAnsi" w:hAnsiTheme="minorHAnsi" w:cstheme="minorHAnsi"/>
          <w:i w:val="0"/>
          <w:color w:val="auto"/>
          <w:szCs w:val="22"/>
        </w:rPr>
        <w:t xml:space="preserve">Horiz LED </w:t>
      </w:r>
      <w:r w:rsidR="002174E6" w:rsidRPr="00EB2A21">
        <w:rPr>
          <w:rFonts w:asciiTheme="minorHAnsi" w:hAnsiTheme="minorHAnsi" w:cstheme="minorHAnsi"/>
          <w:i w:val="0"/>
          <w:color w:val="auto"/>
          <w:szCs w:val="22"/>
        </w:rPr>
        <w:t>3ft</w:t>
      </w:r>
      <w:r w:rsidR="002174E6">
        <w:rPr>
          <w:rFonts w:asciiTheme="minorHAnsi" w:hAnsiTheme="minorHAnsi" w:cstheme="minorHAnsi"/>
          <w:i w:val="0"/>
          <w:color w:val="auto"/>
          <w:szCs w:val="22"/>
        </w:rPr>
        <w:t xml:space="preserve">.xlsx </w:t>
      </w:r>
    </w:p>
    <w:p w14:paraId="1E9A217B" w14:textId="73C9D632" w:rsidR="007074C9" w:rsidRDefault="00EA7A53" w:rsidP="00E40CF9">
      <w:pPr>
        <w:pStyle w:val="Reminders"/>
        <w:rPr>
          <w:rFonts w:asciiTheme="minorHAnsi" w:hAnsiTheme="minorHAnsi" w:cstheme="minorHAnsi"/>
          <w:i w:val="0"/>
          <w:color w:val="auto"/>
          <w:szCs w:val="22"/>
        </w:rPr>
      </w:pPr>
      <w:r>
        <w:rPr>
          <w:rFonts w:asciiTheme="minorHAnsi" w:hAnsiTheme="minorHAnsi" w:cstheme="minorHAnsi"/>
          <w:i w:val="0"/>
          <w:color w:val="auto"/>
          <w:szCs w:val="22"/>
        </w:rPr>
        <w:t>8.</w:t>
      </w:r>
      <w:r w:rsidR="008F1D4E">
        <w:rPr>
          <w:rFonts w:asciiTheme="minorHAnsi" w:hAnsiTheme="minorHAnsi" w:cstheme="minorHAnsi"/>
          <w:i w:val="0"/>
          <w:color w:val="auto"/>
          <w:szCs w:val="22"/>
        </w:rPr>
        <w:t xml:space="preserve"> </w:t>
      </w:r>
      <w:r w:rsidR="0084662C" w:rsidRPr="0084662C">
        <w:rPr>
          <w:rFonts w:asciiTheme="minorHAnsi" w:hAnsiTheme="minorHAnsi" w:cstheme="minorHAnsi"/>
          <w:i w:val="0"/>
          <w:color w:val="auto"/>
          <w:szCs w:val="22"/>
        </w:rPr>
        <w:t xml:space="preserve">SCE17LG098.0 A8 </w:t>
      </w:r>
      <w:r w:rsidR="0084662C">
        <w:rPr>
          <w:rFonts w:asciiTheme="minorHAnsi" w:hAnsiTheme="minorHAnsi" w:cstheme="minorHAnsi"/>
          <w:i w:val="0"/>
          <w:color w:val="auto"/>
          <w:szCs w:val="22"/>
        </w:rPr>
        <w:t>–</w:t>
      </w:r>
      <w:r w:rsidR="0084662C" w:rsidRPr="0084662C">
        <w:rPr>
          <w:rFonts w:asciiTheme="minorHAnsi" w:hAnsiTheme="minorHAnsi" w:cstheme="minorHAnsi"/>
          <w:i w:val="0"/>
          <w:color w:val="auto"/>
          <w:szCs w:val="22"/>
        </w:rPr>
        <w:t xml:space="preserve"> Horiz LED 4ft.xls</w:t>
      </w:r>
    </w:p>
    <w:p w14:paraId="355FD66E" w14:textId="212B2238" w:rsidR="007E045C" w:rsidRDefault="007E045C" w:rsidP="00E40CF9">
      <w:pPr>
        <w:pStyle w:val="Reminders"/>
        <w:rPr>
          <w:rFonts w:asciiTheme="minorHAnsi" w:hAnsiTheme="minorHAnsi" w:cstheme="minorHAnsi"/>
          <w:i w:val="0"/>
          <w:color w:val="auto"/>
          <w:szCs w:val="22"/>
        </w:rPr>
      </w:pPr>
      <w:r>
        <w:rPr>
          <w:rFonts w:asciiTheme="minorHAnsi" w:hAnsiTheme="minorHAnsi" w:cstheme="minorHAnsi"/>
          <w:i w:val="0"/>
          <w:color w:val="auto"/>
          <w:szCs w:val="22"/>
        </w:rPr>
        <w:t>9.</w:t>
      </w:r>
      <w:r w:rsidR="00C30A80" w:rsidDel="00C30A80">
        <w:rPr>
          <w:rFonts w:asciiTheme="minorHAnsi" w:hAnsiTheme="minorHAnsi" w:cstheme="minorHAnsi"/>
          <w:i w:val="0"/>
          <w:color w:val="auto"/>
          <w:szCs w:val="22"/>
        </w:rPr>
        <w:t xml:space="preserve"> </w:t>
      </w:r>
      <w:r w:rsidR="002174E6">
        <w:rPr>
          <w:rFonts w:asciiTheme="minorHAnsi" w:hAnsiTheme="minorHAnsi" w:cstheme="minorHAnsi"/>
          <w:i w:val="0"/>
          <w:color w:val="auto"/>
          <w:szCs w:val="22"/>
        </w:rPr>
        <w:t>SCE17LG098.0 A</w:t>
      </w:r>
      <w:r w:rsidR="0084662C">
        <w:rPr>
          <w:rFonts w:asciiTheme="minorHAnsi" w:hAnsiTheme="minorHAnsi" w:cstheme="minorHAnsi"/>
          <w:i w:val="0"/>
          <w:color w:val="auto"/>
          <w:szCs w:val="22"/>
        </w:rPr>
        <w:t>9</w:t>
      </w:r>
      <w:r w:rsidR="002174E6">
        <w:rPr>
          <w:rFonts w:asciiTheme="minorHAnsi" w:hAnsiTheme="minorHAnsi" w:cstheme="minorHAnsi"/>
          <w:i w:val="0"/>
          <w:color w:val="auto"/>
          <w:szCs w:val="22"/>
        </w:rPr>
        <w:t xml:space="preserve"> – Cost Calculations.xlsx</w:t>
      </w:r>
    </w:p>
    <w:p w14:paraId="6124CFB3" w14:textId="104B8994" w:rsidR="00EA7A53" w:rsidRDefault="00EA7A53" w:rsidP="00E40CF9">
      <w:pPr>
        <w:pStyle w:val="Reminders"/>
        <w:rPr>
          <w:rFonts w:asciiTheme="minorHAnsi" w:hAnsiTheme="minorHAnsi" w:cstheme="minorHAnsi"/>
          <w:i w:val="0"/>
          <w:color w:val="auto"/>
          <w:szCs w:val="22"/>
        </w:rPr>
      </w:pPr>
    </w:p>
    <w:p w14:paraId="54B2AC71" w14:textId="3CE9B77A" w:rsidR="00EA7A53" w:rsidRDefault="00EA7A53" w:rsidP="00E40CF9">
      <w:pPr>
        <w:pStyle w:val="Reminders"/>
        <w:rPr>
          <w:rFonts w:asciiTheme="minorHAnsi" w:hAnsiTheme="minorHAnsi" w:cstheme="minorHAnsi"/>
          <w:i w:val="0"/>
          <w:color w:val="auto"/>
          <w:szCs w:val="22"/>
        </w:rPr>
      </w:pPr>
    </w:p>
    <w:p w14:paraId="216DE88A" w14:textId="77777777" w:rsidR="00EA7A53" w:rsidRDefault="00EA7A53" w:rsidP="00E40CF9">
      <w:pPr>
        <w:pStyle w:val="Reminders"/>
        <w:rPr>
          <w:rFonts w:asciiTheme="minorHAnsi" w:hAnsiTheme="minorHAnsi" w:cstheme="minorHAnsi"/>
          <w:i w:val="0"/>
          <w:color w:val="auto"/>
          <w:szCs w:val="22"/>
        </w:rPr>
      </w:pPr>
    </w:p>
    <w:p w14:paraId="61EB240F" w14:textId="77777777" w:rsidR="00EA7A53" w:rsidRDefault="00EA7A53" w:rsidP="00E40CF9">
      <w:pPr>
        <w:pStyle w:val="Reminders"/>
        <w:rPr>
          <w:rFonts w:asciiTheme="minorHAnsi" w:hAnsiTheme="minorHAnsi" w:cstheme="minorHAnsi"/>
          <w:i w:val="0"/>
          <w:color w:val="auto"/>
          <w:szCs w:val="22"/>
        </w:rPr>
      </w:pPr>
    </w:p>
    <w:p w14:paraId="065CC69F" w14:textId="77777777" w:rsidR="00EA7A53" w:rsidRPr="00EA7A53" w:rsidRDefault="00EA7A53" w:rsidP="00E40CF9">
      <w:pPr>
        <w:pStyle w:val="Reminders"/>
        <w:rPr>
          <w:rFonts w:asciiTheme="minorHAnsi" w:hAnsiTheme="minorHAnsi" w:cstheme="minorHAnsi"/>
          <w:i w:val="0"/>
          <w:color w:val="auto"/>
          <w:szCs w:val="22"/>
        </w:rPr>
      </w:pPr>
    </w:p>
    <w:p w14:paraId="2ED4FFF5" w14:textId="228F5C92" w:rsidR="00C54EFF" w:rsidRPr="00500C4E" w:rsidRDefault="00C54EFF">
      <w:pPr>
        <w:spacing w:after="200" w:line="276" w:lineRule="auto"/>
        <w:rPr>
          <w:rFonts w:cstheme="minorHAnsi"/>
        </w:rPr>
      </w:pPr>
    </w:p>
    <w:p w14:paraId="3C6C156C" w14:textId="77777777" w:rsidR="00C54EFF" w:rsidRPr="00500C4E" w:rsidRDefault="00C54EFF" w:rsidP="00C54EFF">
      <w:pPr>
        <w:pStyle w:val="Heading1"/>
        <w:rPr>
          <w:rFonts w:cstheme="minorHAnsi"/>
        </w:rPr>
      </w:pPr>
      <w:r w:rsidRPr="00500C4E">
        <w:rPr>
          <w:rFonts w:cstheme="minorHAnsi"/>
        </w:rPr>
        <w:t>References</w:t>
      </w:r>
    </w:p>
    <w:p w14:paraId="13A48D8E" w14:textId="49445D0F" w:rsidR="00EA7A53" w:rsidRPr="004A6164" w:rsidRDefault="002174E6" w:rsidP="002174E6">
      <w:pPr>
        <w:pStyle w:val="ListParagraph"/>
        <w:numPr>
          <w:ilvl w:val="0"/>
          <w:numId w:val="50"/>
        </w:numPr>
        <w:rPr>
          <w:rFonts w:cstheme="minorHAnsi"/>
        </w:rPr>
      </w:pPr>
      <w:r w:rsidRPr="004A6164">
        <w:t xml:space="preserve"> </w:t>
      </w:r>
      <w:r w:rsidRPr="004A6164">
        <w:rPr>
          <w:rFonts w:cstheme="minorHAnsi"/>
        </w:rPr>
        <w:t>References_12122016_100741.xlsx</w:t>
      </w:r>
    </w:p>
    <w:p w14:paraId="54E8735D" w14:textId="77777777" w:rsidR="007A3D88" w:rsidRDefault="007A3D88">
      <w:pPr>
        <w:rPr>
          <w:rFonts w:cstheme="minorHAnsi"/>
          <w:color w:val="FF0000"/>
        </w:rPr>
      </w:pPr>
    </w:p>
    <w:p w14:paraId="6CA23E23" w14:textId="4DD919BD" w:rsidR="00EA7A53" w:rsidRDefault="00AF5C98" w:rsidP="00EA7A53">
      <w:pPr>
        <w:rPr>
          <w:rFonts w:cstheme="minorHAnsi"/>
        </w:rPr>
      </w:pPr>
      <w:r>
        <w:rPr>
          <w:rFonts w:cstheme="minorHAnsi"/>
        </w:rPr>
        <w:t>[</w:t>
      </w:r>
      <w:r w:rsidR="006B0160">
        <w:rPr>
          <w:rFonts w:cstheme="minorHAnsi"/>
        </w:rPr>
        <w:t>227</w:t>
      </w:r>
      <w:r>
        <w:rPr>
          <w:rFonts w:cstheme="minorHAnsi"/>
        </w:rPr>
        <w:t>]</w:t>
      </w:r>
      <w:r w:rsidR="006B0160">
        <w:rPr>
          <w:rFonts w:cstheme="minorHAnsi"/>
        </w:rPr>
        <w:t xml:space="preserve">, </w:t>
      </w:r>
      <w:r>
        <w:rPr>
          <w:rFonts w:cstheme="minorHAnsi"/>
        </w:rPr>
        <w:t>[</w:t>
      </w:r>
      <w:r w:rsidR="006B0160">
        <w:rPr>
          <w:rFonts w:cstheme="minorHAnsi"/>
        </w:rPr>
        <w:t>456</w:t>
      </w:r>
      <w:r>
        <w:rPr>
          <w:rFonts w:cstheme="minorHAnsi"/>
        </w:rPr>
        <w:t>]</w:t>
      </w:r>
      <w:r w:rsidR="006B0160">
        <w:rPr>
          <w:rFonts w:cstheme="minorHAnsi"/>
        </w:rPr>
        <w:t xml:space="preserve">, </w:t>
      </w:r>
      <w:r>
        <w:rPr>
          <w:rFonts w:cstheme="minorHAnsi"/>
        </w:rPr>
        <w:t>[</w:t>
      </w:r>
      <w:r w:rsidR="006B0160">
        <w:rPr>
          <w:rFonts w:cstheme="minorHAnsi"/>
        </w:rPr>
        <w:t>457</w:t>
      </w:r>
      <w:r>
        <w:rPr>
          <w:rFonts w:cstheme="minorHAnsi"/>
        </w:rPr>
        <w:t>]</w:t>
      </w:r>
      <w:r w:rsidR="006B0160">
        <w:rPr>
          <w:rFonts w:cstheme="minorHAnsi"/>
        </w:rPr>
        <w:t xml:space="preserve">, </w:t>
      </w:r>
      <w:r>
        <w:rPr>
          <w:rFonts w:cstheme="minorHAnsi"/>
        </w:rPr>
        <w:t>[</w:t>
      </w:r>
      <w:r w:rsidR="006B0160">
        <w:rPr>
          <w:rFonts w:cstheme="minorHAnsi"/>
        </w:rPr>
        <w:t>475</w:t>
      </w:r>
      <w:r>
        <w:rPr>
          <w:rFonts w:cstheme="minorHAnsi"/>
        </w:rPr>
        <w:t>]</w:t>
      </w:r>
      <w:r w:rsidR="006B0160">
        <w:rPr>
          <w:rFonts w:cstheme="minorHAnsi"/>
        </w:rPr>
        <w:t xml:space="preserve">, </w:t>
      </w:r>
      <w:r>
        <w:rPr>
          <w:rFonts w:cstheme="minorHAnsi"/>
        </w:rPr>
        <w:t>[</w:t>
      </w:r>
      <w:r w:rsidR="006B0160">
        <w:rPr>
          <w:rFonts w:cstheme="minorHAnsi"/>
        </w:rPr>
        <w:t>493</w:t>
      </w:r>
      <w:r>
        <w:rPr>
          <w:rFonts w:cstheme="minorHAnsi"/>
        </w:rPr>
        <w:t>]</w:t>
      </w:r>
      <w:r w:rsidR="006B0160">
        <w:rPr>
          <w:rFonts w:cstheme="minorHAnsi"/>
        </w:rPr>
        <w:t xml:space="preserve">, </w:t>
      </w:r>
      <w:r>
        <w:rPr>
          <w:rFonts w:cstheme="minorHAnsi"/>
        </w:rPr>
        <w:t>[</w:t>
      </w:r>
      <w:r w:rsidR="006B0160">
        <w:rPr>
          <w:rFonts w:cstheme="minorHAnsi"/>
        </w:rPr>
        <w:t>496</w:t>
      </w:r>
      <w:r>
        <w:rPr>
          <w:rFonts w:cstheme="minorHAnsi"/>
        </w:rPr>
        <w:t>]</w:t>
      </w:r>
    </w:p>
    <w:p w14:paraId="2B776E2C" w14:textId="77777777" w:rsidR="007A3D88" w:rsidRDefault="007A3D88" w:rsidP="00EA7A53">
      <w:pPr>
        <w:rPr>
          <w:rFonts w:cstheme="minorHAnsi"/>
        </w:rPr>
      </w:pPr>
    </w:p>
    <w:p w14:paraId="72627C5B" w14:textId="77777777" w:rsidR="00EA7A53" w:rsidRPr="00CB7327" w:rsidRDefault="00EA7A53" w:rsidP="00EA7A53">
      <w:pPr>
        <w:rPr>
          <w:rFonts w:cstheme="minorHAnsi"/>
        </w:rPr>
      </w:pPr>
    </w:p>
    <w:p w14:paraId="4E778435" w14:textId="77777777" w:rsidR="00EA7A53" w:rsidRPr="00CB7327" w:rsidRDefault="00EA7A53" w:rsidP="00EA7A53">
      <w:pPr>
        <w:rPr>
          <w:rFonts w:cstheme="minorHAnsi"/>
        </w:rPr>
      </w:pPr>
    </w:p>
    <w:p w14:paraId="5A17C10A" w14:textId="7F2CF9E7" w:rsidR="00EA7A53" w:rsidRPr="00CB7327" w:rsidRDefault="00EA7A53" w:rsidP="00EA7A53">
      <w:pPr>
        <w:rPr>
          <w:rFonts w:cstheme="minorHAnsi"/>
        </w:rPr>
      </w:pPr>
      <w:r>
        <w:rPr>
          <w:rFonts w:cstheme="minorHAnsi"/>
        </w:rPr>
        <w:t>[E]</w:t>
      </w:r>
      <w:r w:rsidR="00972B47">
        <w:rPr>
          <w:rFonts w:cstheme="minorHAnsi"/>
        </w:rPr>
        <w:t xml:space="preserve"> </w:t>
      </w:r>
      <w:r w:rsidR="009D630A" w:rsidRPr="00CB7327">
        <w:rPr>
          <w:rFonts w:cstheme="minorHAnsi"/>
        </w:rPr>
        <w:t>SCE’s Analysis of Compressor Manufacturer Data for Reciprocating Compressors. 2004</w:t>
      </w:r>
      <w:r w:rsidR="009D630A">
        <w:rPr>
          <w:rFonts w:cstheme="minorHAnsi"/>
        </w:rPr>
        <w:tab/>
      </w:r>
      <w:bookmarkStart w:id="28" w:name="_GoBack"/>
      <w:bookmarkEnd w:id="28"/>
    </w:p>
    <w:p w14:paraId="5C558A07" w14:textId="77777777" w:rsidR="00EA7A53" w:rsidRPr="00CB7327" w:rsidRDefault="00EA7A53" w:rsidP="00EA7A53">
      <w:pPr>
        <w:rPr>
          <w:rFonts w:cstheme="minorHAnsi"/>
        </w:rPr>
      </w:pPr>
    </w:p>
    <w:p w14:paraId="386B3926" w14:textId="35BB1F82" w:rsidR="00EA7A53" w:rsidRPr="00CB7327" w:rsidRDefault="00EA7A53" w:rsidP="00657715">
      <w:pPr>
        <w:rPr>
          <w:rFonts w:cstheme="minorHAnsi"/>
        </w:rPr>
      </w:pPr>
    </w:p>
    <w:p w14:paraId="047C4B36" w14:textId="77777777" w:rsidR="00EA7A53" w:rsidRPr="00CB7327" w:rsidRDefault="00EA7A53" w:rsidP="00EA7A53">
      <w:pPr>
        <w:rPr>
          <w:rFonts w:cstheme="minorHAnsi"/>
        </w:rPr>
      </w:pPr>
    </w:p>
    <w:p w14:paraId="48007202" w14:textId="77777777" w:rsidR="00EA7A53" w:rsidRPr="00CB7327" w:rsidRDefault="00EA7A53" w:rsidP="00EA7A53">
      <w:pPr>
        <w:rPr>
          <w:rFonts w:cstheme="minorHAnsi"/>
        </w:rPr>
      </w:pPr>
    </w:p>
    <w:p w14:paraId="4D7E176F" w14:textId="77777777" w:rsidR="00EA7A53" w:rsidRPr="00CB7327" w:rsidRDefault="00EA7A53" w:rsidP="00EA7A53">
      <w:pPr>
        <w:rPr>
          <w:rFonts w:cstheme="minorHAnsi"/>
        </w:rPr>
      </w:pPr>
    </w:p>
    <w:p w14:paraId="6A62FB3B" w14:textId="25489789" w:rsidR="009D630A" w:rsidRPr="00CB7327" w:rsidRDefault="009D630A" w:rsidP="00EA7A53">
      <w:pPr>
        <w:rPr>
          <w:rFonts w:cstheme="minorHAnsi"/>
        </w:rPr>
      </w:pPr>
    </w:p>
    <w:p w14:paraId="4674141E" w14:textId="77777777" w:rsidR="00EA7A53" w:rsidRDefault="00EA7A53">
      <w:pPr>
        <w:rPr>
          <w:rFonts w:cstheme="minorHAnsi"/>
          <w:color w:val="FF0000"/>
        </w:rPr>
      </w:pPr>
    </w:p>
    <w:p w14:paraId="1309694A" w14:textId="77777777" w:rsidR="00EA7A53" w:rsidRDefault="00EA7A53">
      <w:pPr>
        <w:rPr>
          <w:rFonts w:cstheme="minorHAnsi"/>
          <w:color w:val="FF0000"/>
        </w:rPr>
      </w:pPr>
    </w:p>
    <w:sectPr w:rsidR="00EA7A53" w:rsidSect="00E87C8F">
      <w:footerReference w:type="default" r:id="rId37"/>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0EE265" w14:textId="77777777" w:rsidR="00A64346" w:rsidRDefault="00A64346" w:rsidP="00447D6E">
      <w:r>
        <w:separator/>
      </w:r>
    </w:p>
    <w:p w14:paraId="741008E4" w14:textId="77777777" w:rsidR="00A64346" w:rsidRDefault="00A64346"/>
  </w:endnote>
  <w:endnote w:type="continuationSeparator" w:id="0">
    <w:p w14:paraId="68815D8D" w14:textId="77777777" w:rsidR="00A64346" w:rsidRDefault="00A64346" w:rsidP="00447D6E">
      <w:r>
        <w:continuationSeparator/>
      </w:r>
    </w:p>
    <w:p w14:paraId="45EEE75A" w14:textId="77777777" w:rsidR="00A64346" w:rsidRDefault="00A643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BE53" w14:textId="432D1B2E" w:rsidR="00A64346" w:rsidRDefault="006A60A6"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6-12-05T00:00:00Z">
          <w:dateFormat w:val="MMMM d, yyyy"/>
          <w:lid w:val="en-US"/>
          <w:storeMappedDataAs w:val="dateTime"/>
          <w:calendar w:val="gregorian"/>
        </w:date>
      </w:sdtPr>
      <w:sdtEndPr/>
      <w:sdtContent>
        <w:r w:rsidR="00A64346">
          <w:rPr>
            <w:rFonts w:cstheme="minorHAnsi"/>
            <w:b/>
            <w:sz w:val="36"/>
            <w:szCs w:val="36"/>
          </w:rPr>
          <w:t>December 5, 2016</w:t>
        </w:r>
      </w:sdtContent>
    </w:sdt>
  </w:p>
  <w:p w14:paraId="650DB54B" w14:textId="670C7D5C" w:rsidR="00A64346" w:rsidRPr="009500DC" w:rsidRDefault="00A64346"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74D06800" w:rsidR="00A64346" w:rsidRPr="009500DC" w:rsidRDefault="006A60A6"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A64346">
          <w:rPr>
            <w:rFonts w:cstheme="minorHAnsi"/>
            <w:b/>
            <w:sz w:val="20"/>
            <w:szCs w:val="20"/>
          </w:rPr>
          <w:t>SCE17LG098</w:t>
        </w:r>
      </w:sdtContent>
    </w:sdt>
    <w:r w:rsidR="00A64346">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A64346">
          <w:rPr>
            <w:rFonts w:cstheme="minorHAnsi"/>
            <w:b/>
            <w:sz w:val="20"/>
            <w:szCs w:val="20"/>
          </w:rPr>
          <w:t>Revision 0</w:t>
        </w:r>
      </w:sdtContent>
    </w:sdt>
    <w:r w:rsidR="00A64346" w:rsidRPr="009500DC">
      <w:rPr>
        <w:rFonts w:cstheme="minorHAnsi"/>
        <w:b/>
        <w:sz w:val="20"/>
        <w:szCs w:val="20"/>
      </w:rPr>
      <w:tab/>
    </w:r>
    <w:r w:rsidR="00A64346" w:rsidRPr="009500DC">
      <w:rPr>
        <w:rFonts w:cstheme="minorHAnsi"/>
        <w:b/>
        <w:sz w:val="20"/>
        <w:szCs w:val="20"/>
      </w:rPr>
      <w:fldChar w:fldCharType="begin"/>
    </w:r>
    <w:r w:rsidR="00A64346" w:rsidRPr="009500DC">
      <w:rPr>
        <w:rFonts w:cstheme="minorHAnsi"/>
        <w:b/>
        <w:sz w:val="20"/>
        <w:szCs w:val="20"/>
      </w:rPr>
      <w:instrText xml:space="preserve"> PAGE   \* MERGEFORMAT </w:instrText>
    </w:r>
    <w:r w:rsidR="00A64346" w:rsidRPr="009500DC">
      <w:rPr>
        <w:rFonts w:cstheme="minorHAnsi"/>
        <w:b/>
        <w:sz w:val="20"/>
        <w:szCs w:val="20"/>
      </w:rPr>
      <w:fldChar w:fldCharType="separate"/>
    </w:r>
    <w:r>
      <w:rPr>
        <w:rFonts w:cstheme="minorHAnsi"/>
        <w:b/>
        <w:noProof/>
        <w:sz w:val="20"/>
        <w:szCs w:val="20"/>
      </w:rPr>
      <w:t>21</w:t>
    </w:r>
    <w:r w:rsidR="00A64346" w:rsidRPr="009500DC">
      <w:rPr>
        <w:rFonts w:cstheme="minorHAnsi"/>
        <w:b/>
        <w:noProof/>
        <w:sz w:val="20"/>
        <w:szCs w:val="20"/>
      </w:rPr>
      <w:fldChar w:fldCharType="end"/>
    </w:r>
    <w:r w:rsidR="00A64346"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6-12-05T00:00:00Z">
          <w:dateFormat w:val="MMMM d, yyyy"/>
          <w:lid w:val="en-US"/>
          <w:storeMappedDataAs w:val="dateTime"/>
          <w:calendar w:val="gregorian"/>
        </w:date>
      </w:sdtPr>
      <w:sdtEndPr/>
      <w:sdtContent>
        <w:r w:rsidR="00A64346">
          <w:rPr>
            <w:rFonts w:cstheme="minorHAnsi"/>
            <w:b/>
            <w:sz w:val="20"/>
            <w:szCs w:val="20"/>
          </w:rPr>
          <w:t>December 5, 2016</w:t>
        </w:r>
      </w:sdtContent>
    </w:sdt>
  </w:p>
  <w:p w14:paraId="43C07EA5" w14:textId="544E4323" w:rsidR="00A64346" w:rsidRPr="009500DC" w:rsidRDefault="006A60A6"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A64346">
          <w:rPr>
            <w:rFonts w:cstheme="minorHAnsi"/>
            <w:b/>
            <w:sz w:val="20"/>
            <w:szCs w:val="20"/>
          </w:rPr>
          <w:t>Southern California Edison</w:t>
        </w:r>
      </w:sdtContent>
    </w:sdt>
  </w:p>
  <w:p w14:paraId="4AC7586E" w14:textId="77777777" w:rsidR="00A64346" w:rsidRDefault="00A64346"/>
  <w:p w14:paraId="5C9861A8" w14:textId="77777777" w:rsidR="00A64346" w:rsidRDefault="00A6434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59A1A8" w14:textId="77777777" w:rsidR="00A64346" w:rsidRDefault="00A64346" w:rsidP="00447D6E">
      <w:r>
        <w:separator/>
      </w:r>
    </w:p>
    <w:p w14:paraId="179B8FF0" w14:textId="77777777" w:rsidR="00A64346" w:rsidRDefault="00A64346"/>
  </w:footnote>
  <w:footnote w:type="continuationSeparator" w:id="0">
    <w:p w14:paraId="47F4525C" w14:textId="77777777" w:rsidR="00A64346" w:rsidRDefault="00A64346" w:rsidP="00447D6E">
      <w:r>
        <w:continuationSeparator/>
      </w:r>
    </w:p>
    <w:p w14:paraId="0308779B" w14:textId="77777777" w:rsidR="00A64346" w:rsidRDefault="00A6434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15:restartNumberingAfterBreak="0">
    <w:nsid w:val="1C6A5537"/>
    <w:multiLevelType w:val="hybridMultilevel"/>
    <w:tmpl w:val="00A8963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9"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E038E3"/>
    <w:multiLevelType w:val="hybridMultilevel"/>
    <w:tmpl w:val="414A15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F85ED1"/>
    <w:multiLevelType w:val="hybridMultilevel"/>
    <w:tmpl w:val="A9047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3F1B99"/>
    <w:multiLevelType w:val="hybridMultilevel"/>
    <w:tmpl w:val="EFD426CA"/>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417499"/>
    <w:multiLevelType w:val="hybridMultilevel"/>
    <w:tmpl w:val="04E2C76C"/>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9145D2"/>
    <w:multiLevelType w:val="hybridMultilevel"/>
    <w:tmpl w:val="8E6A21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4A7810F2"/>
    <w:multiLevelType w:val="hybridMultilevel"/>
    <w:tmpl w:val="A24CE9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1"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E74AB4"/>
    <w:multiLevelType w:val="hybridMultilevel"/>
    <w:tmpl w:val="688E6EE4"/>
    <w:lvl w:ilvl="0" w:tplc="04090001">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030"/>
        </w:tabs>
        <w:ind w:left="1030" w:hanging="360"/>
      </w:pPr>
      <w:rPr>
        <w:rFonts w:ascii="Courier New" w:hAnsi="Courier New" w:cs="Courier New" w:hint="default"/>
      </w:rPr>
    </w:lvl>
    <w:lvl w:ilvl="2" w:tplc="04090005">
      <w:start w:val="1"/>
      <w:numFmt w:val="bullet"/>
      <w:lvlText w:val=""/>
      <w:lvlJc w:val="left"/>
      <w:pPr>
        <w:tabs>
          <w:tab w:val="num" w:pos="1750"/>
        </w:tabs>
        <w:ind w:left="1750" w:hanging="360"/>
      </w:pPr>
      <w:rPr>
        <w:rFonts w:ascii="Wingdings" w:hAnsi="Wingdings" w:hint="default"/>
      </w:rPr>
    </w:lvl>
    <w:lvl w:ilvl="3" w:tplc="04090001">
      <w:start w:val="1"/>
      <w:numFmt w:val="bullet"/>
      <w:lvlText w:val=""/>
      <w:lvlJc w:val="left"/>
      <w:pPr>
        <w:tabs>
          <w:tab w:val="num" w:pos="2470"/>
        </w:tabs>
        <w:ind w:left="2470" w:hanging="360"/>
      </w:pPr>
      <w:rPr>
        <w:rFonts w:ascii="Symbol" w:hAnsi="Symbol" w:hint="default"/>
      </w:rPr>
    </w:lvl>
    <w:lvl w:ilvl="4" w:tplc="04090003">
      <w:start w:val="1"/>
      <w:numFmt w:val="bullet"/>
      <w:lvlText w:val="o"/>
      <w:lvlJc w:val="left"/>
      <w:pPr>
        <w:tabs>
          <w:tab w:val="num" w:pos="3190"/>
        </w:tabs>
        <w:ind w:left="3190" w:hanging="360"/>
      </w:pPr>
      <w:rPr>
        <w:rFonts w:ascii="Courier New" w:hAnsi="Courier New" w:cs="Courier New" w:hint="default"/>
      </w:rPr>
    </w:lvl>
    <w:lvl w:ilvl="5" w:tplc="04090005">
      <w:start w:val="1"/>
      <w:numFmt w:val="bullet"/>
      <w:lvlText w:val=""/>
      <w:lvlJc w:val="left"/>
      <w:pPr>
        <w:tabs>
          <w:tab w:val="num" w:pos="3910"/>
        </w:tabs>
        <w:ind w:left="3910" w:hanging="360"/>
      </w:pPr>
      <w:rPr>
        <w:rFonts w:ascii="Wingdings" w:hAnsi="Wingdings" w:hint="default"/>
      </w:rPr>
    </w:lvl>
    <w:lvl w:ilvl="6" w:tplc="04090001">
      <w:start w:val="1"/>
      <w:numFmt w:val="bullet"/>
      <w:lvlText w:val=""/>
      <w:lvlJc w:val="left"/>
      <w:pPr>
        <w:tabs>
          <w:tab w:val="num" w:pos="4630"/>
        </w:tabs>
        <w:ind w:left="4630" w:hanging="360"/>
      </w:pPr>
      <w:rPr>
        <w:rFonts w:ascii="Symbol" w:hAnsi="Symbol" w:hint="default"/>
      </w:rPr>
    </w:lvl>
    <w:lvl w:ilvl="7" w:tplc="04090003">
      <w:start w:val="1"/>
      <w:numFmt w:val="bullet"/>
      <w:lvlText w:val="o"/>
      <w:lvlJc w:val="left"/>
      <w:pPr>
        <w:tabs>
          <w:tab w:val="num" w:pos="5350"/>
        </w:tabs>
        <w:ind w:left="5350" w:hanging="360"/>
      </w:pPr>
      <w:rPr>
        <w:rFonts w:ascii="Courier New" w:hAnsi="Courier New" w:cs="Courier New" w:hint="default"/>
      </w:rPr>
    </w:lvl>
    <w:lvl w:ilvl="8" w:tplc="04090005">
      <w:start w:val="1"/>
      <w:numFmt w:val="bullet"/>
      <w:lvlText w:val=""/>
      <w:lvlJc w:val="left"/>
      <w:pPr>
        <w:tabs>
          <w:tab w:val="num" w:pos="6070"/>
        </w:tabs>
        <w:ind w:left="6070" w:hanging="360"/>
      </w:pPr>
      <w:rPr>
        <w:rFonts w:ascii="Wingdings" w:hAnsi="Wingdings" w:hint="default"/>
      </w:rPr>
    </w:lvl>
  </w:abstractNum>
  <w:abstractNum w:abstractNumId="33" w15:restartNumberingAfterBreak="0">
    <w:nsid w:val="540C0ED3"/>
    <w:multiLevelType w:val="hybridMultilevel"/>
    <w:tmpl w:val="D00A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A0127E"/>
    <w:multiLevelType w:val="hybridMultilevel"/>
    <w:tmpl w:val="D74883A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E3146C"/>
    <w:multiLevelType w:val="hybridMultilevel"/>
    <w:tmpl w:val="2D6E48BA"/>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Courier New"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Courier New" w:hint="default"/>
      </w:rPr>
    </w:lvl>
    <w:lvl w:ilvl="8" w:tplc="04090005">
      <w:start w:val="1"/>
      <w:numFmt w:val="bullet"/>
      <w:lvlText w:val=""/>
      <w:lvlJc w:val="left"/>
      <w:pPr>
        <w:tabs>
          <w:tab w:val="num" w:pos="6540"/>
        </w:tabs>
        <w:ind w:left="6540" w:hanging="360"/>
      </w:pPr>
      <w:rPr>
        <w:rFonts w:ascii="Wingdings" w:hAnsi="Wingdings" w:hint="default"/>
      </w:rPr>
    </w:lvl>
  </w:abstractNum>
  <w:abstractNum w:abstractNumId="37" w15:restartNumberingAfterBreak="0">
    <w:nsid w:val="653036D8"/>
    <w:multiLevelType w:val="hybridMultilevel"/>
    <w:tmpl w:val="04E2C76C"/>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C65A6F"/>
    <w:multiLevelType w:val="hybridMultilevel"/>
    <w:tmpl w:val="230E5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D04DBE"/>
    <w:multiLevelType w:val="hybridMultilevel"/>
    <w:tmpl w:val="83C6AF0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5A63793"/>
    <w:multiLevelType w:val="hybridMultilevel"/>
    <w:tmpl w:val="44305B5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0"/>
  </w:num>
  <w:num w:numId="3">
    <w:abstractNumId w:val="19"/>
  </w:num>
  <w:num w:numId="4">
    <w:abstractNumId w:val="17"/>
  </w:num>
  <w:num w:numId="5">
    <w:abstractNumId w:val="17"/>
  </w:num>
  <w:num w:numId="6">
    <w:abstractNumId w:val="2"/>
  </w:num>
  <w:num w:numId="7">
    <w:abstractNumId w:val="21"/>
  </w:num>
  <w:num w:numId="8">
    <w:abstractNumId w:val="18"/>
  </w:num>
  <w:num w:numId="9">
    <w:abstractNumId w:val="11"/>
  </w:num>
  <w:num w:numId="10">
    <w:abstractNumId w:val="5"/>
  </w:num>
  <w:num w:numId="11">
    <w:abstractNumId w:val="23"/>
  </w:num>
  <w:num w:numId="12">
    <w:abstractNumId w:val="16"/>
  </w:num>
  <w:num w:numId="13">
    <w:abstractNumId w:val="10"/>
  </w:num>
  <w:num w:numId="14">
    <w:abstractNumId w:val="44"/>
  </w:num>
  <w:num w:numId="15">
    <w:abstractNumId w:val="8"/>
  </w:num>
  <w:num w:numId="16">
    <w:abstractNumId w:val="12"/>
  </w:num>
  <w:num w:numId="17">
    <w:abstractNumId w:val="4"/>
  </w:num>
  <w:num w:numId="18">
    <w:abstractNumId w:val="0"/>
  </w:num>
  <w:num w:numId="19">
    <w:abstractNumId w:val="41"/>
  </w:num>
  <w:num w:numId="20">
    <w:abstractNumId w:val="3"/>
  </w:num>
  <w:num w:numId="21">
    <w:abstractNumId w:val="28"/>
  </w:num>
  <w:num w:numId="22">
    <w:abstractNumId w:val="31"/>
  </w:num>
  <w:num w:numId="23">
    <w:abstractNumId w:val="45"/>
  </w:num>
  <w:num w:numId="24">
    <w:abstractNumId w:val="39"/>
  </w:num>
  <w:num w:numId="25">
    <w:abstractNumId w:val="13"/>
  </w:num>
  <w:num w:numId="26">
    <w:abstractNumId w:val="15"/>
  </w:num>
  <w:num w:numId="27">
    <w:abstractNumId w:val="35"/>
  </w:num>
  <w:num w:numId="28">
    <w:abstractNumId w:val="14"/>
  </w:num>
  <w:num w:numId="29">
    <w:abstractNumId w:val="7"/>
  </w:num>
  <w:num w:numId="30">
    <w:abstractNumId w:val="1"/>
  </w:num>
  <w:num w:numId="31">
    <w:abstractNumId w:val="46"/>
  </w:num>
  <w:num w:numId="32">
    <w:abstractNumId w:val="27"/>
  </w:num>
  <w:num w:numId="33">
    <w:abstractNumId w:val="38"/>
  </w:num>
  <w:num w:numId="34">
    <w:abstractNumId w:val="9"/>
  </w:num>
  <w:num w:numId="35">
    <w:abstractNumId w:val="32"/>
  </w:num>
  <w:num w:numId="36">
    <w:abstractNumId w:val="30"/>
  </w:num>
  <w:num w:numId="37">
    <w:abstractNumId w:val="25"/>
  </w:num>
  <w:num w:numId="38">
    <w:abstractNumId w:val="37"/>
  </w:num>
  <w:num w:numId="39">
    <w:abstractNumId w:val="43"/>
  </w:num>
  <w:num w:numId="40">
    <w:abstractNumId w:val="34"/>
  </w:num>
  <w:num w:numId="41">
    <w:abstractNumId w:val="26"/>
  </w:num>
  <w:num w:numId="42">
    <w:abstractNumId w:val="29"/>
  </w:num>
  <w:num w:numId="43">
    <w:abstractNumId w:val="24"/>
  </w:num>
  <w:num w:numId="44">
    <w:abstractNumId w:val="33"/>
  </w:num>
  <w:num w:numId="45">
    <w:abstractNumId w:val="36"/>
  </w:num>
  <w:num w:numId="46">
    <w:abstractNumId w:val="22"/>
  </w:num>
  <w:num w:numId="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 w:numId="49">
    <w:abstractNumId w:val="40"/>
  </w:num>
  <w:num w:numId="5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902"/>
    <w:rsid w:val="0001002B"/>
    <w:rsid w:val="00010806"/>
    <w:rsid w:val="00013F71"/>
    <w:rsid w:val="000173BF"/>
    <w:rsid w:val="0002163D"/>
    <w:rsid w:val="00024252"/>
    <w:rsid w:val="000245B5"/>
    <w:rsid w:val="00027183"/>
    <w:rsid w:val="00031DC5"/>
    <w:rsid w:val="00033EA1"/>
    <w:rsid w:val="0003746D"/>
    <w:rsid w:val="0004020F"/>
    <w:rsid w:val="000436CB"/>
    <w:rsid w:val="00052E17"/>
    <w:rsid w:val="00056947"/>
    <w:rsid w:val="00061A8E"/>
    <w:rsid w:val="00064CB3"/>
    <w:rsid w:val="00070BEE"/>
    <w:rsid w:val="00072040"/>
    <w:rsid w:val="00073879"/>
    <w:rsid w:val="00076DF4"/>
    <w:rsid w:val="00076F51"/>
    <w:rsid w:val="00077223"/>
    <w:rsid w:val="0008524C"/>
    <w:rsid w:val="00086F7F"/>
    <w:rsid w:val="0009074D"/>
    <w:rsid w:val="00094CC4"/>
    <w:rsid w:val="0009592B"/>
    <w:rsid w:val="000968C6"/>
    <w:rsid w:val="000A63C9"/>
    <w:rsid w:val="000B3765"/>
    <w:rsid w:val="000B655B"/>
    <w:rsid w:val="000C0000"/>
    <w:rsid w:val="000C18CC"/>
    <w:rsid w:val="000C402A"/>
    <w:rsid w:val="000C687D"/>
    <w:rsid w:val="000C7ED1"/>
    <w:rsid w:val="000D3A21"/>
    <w:rsid w:val="000D789A"/>
    <w:rsid w:val="000E4B5F"/>
    <w:rsid w:val="000E706D"/>
    <w:rsid w:val="000F130A"/>
    <w:rsid w:val="000F4FD8"/>
    <w:rsid w:val="00107242"/>
    <w:rsid w:val="00111CC5"/>
    <w:rsid w:val="001206F7"/>
    <w:rsid w:val="00122CC8"/>
    <w:rsid w:val="001236C1"/>
    <w:rsid w:val="00130C79"/>
    <w:rsid w:val="00133EE8"/>
    <w:rsid w:val="00140B30"/>
    <w:rsid w:val="00147155"/>
    <w:rsid w:val="001502CC"/>
    <w:rsid w:val="001533E9"/>
    <w:rsid w:val="00153CB3"/>
    <w:rsid w:val="00154C3B"/>
    <w:rsid w:val="00160158"/>
    <w:rsid w:val="00165357"/>
    <w:rsid w:val="001722B7"/>
    <w:rsid w:val="001727D9"/>
    <w:rsid w:val="00174BA8"/>
    <w:rsid w:val="00174BB4"/>
    <w:rsid w:val="001752F6"/>
    <w:rsid w:val="00175D14"/>
    <w:rsid w:val="001811EE"/>
    <w:rsid w:val="00185AD4"/>
    <w:rsid w:val="001979AF"/>
    <w:rsid w:val="001A0EB4"/>
    <w:rsid w:val="001A1A86"/>
    <w:rsid w:val="001A5F62"/>
    <w:rsid w:val="001B015E"/>
    <w:rsid w:val="001B2301"/>
    <w:rsid w:val="001B3FA6"/>
    <w:rsid w:val="001B618B"/>
    <w:rsid w:val="001B6738"/>
    <w:rsid w:val="001C1338"/>
    <w:rsid w:val="001C3FC8"/>
    <w:rsid w:val="001C4140"/>
    <w:rsid w:val="001C550C"/>
    <w:rsid w:val="001C5A94"/>
    <w:rsid w:val="001C6E2F"/>
    <w:rsid w:val="001D2317"/>
    <w:rsid w:val="001D3223"/>
    <w:rsid w:val="001D33EF"/>
    <w:rsid w:val="001D5AB3"/>
    <w:rsid w:val="001E0519"/>
    <w:rsid w:val="001E0829"/>
    <w:rsid w:val="001E1320"/>
    <w:rsid w:val="001E1E29"/>
    <w:rsid w:val="001E556A"/>
    <w:rsid w:val="001F05CE"/>
    <w:rsid w:val="001F1905"/>
    <w:rsid w:val="001F4A65"/>
    <w:rsid w:val="00205C45"/>
    <w:rsid w:val="0021035B"/>
    <w:rsid w:val="00211153"/>
    <w:rsid w:val="002174E6"/>
    <w:rsid w:val="00222867"/>
    <w:rsid w:val="00223CD4"/>
    <w:rsid w:val="0022509B"/>
    <w:rsid w:val="0023254A"/>
    <w:rsid w:val="002344FB"/>
    <w:rsid w:val="00236216"/>
    <w:rsid w:val="002405CD"/>
    <w:rsid w:val="00240B74"/>
    <w:rsid w:val="00243B62"/>
    <w:rsid w:val="0024675B"/>
    <w:rsid w:val="002469DD"/>
    <w:rsid w:val="00247180"/>
    <w:rsid w:val="00247A3F"/>
    <w:rsid w:val="00254671"/>
    <w:rsid w:val="00257D36"/>
    <w:rsid w:val="00260452"/>
    <w:rsid w:val="00263C1C"/>
    <w:rsid w:val="00271415"/>
    <w:rsid w:val="00274FBE"/>
    <w:rsid w:val="002762E1"/>
    <w:rsid w:val="00277648"/>
    <w:rsid w:val="002811BC"/>
    <w:rsid w:val="00282678"/>
    <w:rsid w:val="00283DE8"/>
    <w:rsid w:val="00285552"/>
    <w:rsid w:val="00285966"/>
    <w:rsid w:val="00285A0D"/>
    <w:rsid w:val="00290ED8"/>
    <w:rsid w:val="00296B49"/>
    <w:rsid w:val="002A03FC"/>
    <w:rsid w:val="002A1843"/>
    <w:rsid w:val="002A216B"/>
    <w:rsid w:val="002A3D26"/>
    <w:rsid w:val="002A523E"/>
    <w:rsid w:val="002B1ADF"/>
    <w:rsid w:val="002B2672"/>
    <w:rsid w:val="002B47BC"/>
    <w:rsid w:val="002B502E"/>
    <w:rsid w:val="002B657B"/>
    <w:rsid w:val="002C2853"/>
    <w:rsid w:val="002C444C"/>
    <w:rsid w:val="002C458F"/>
    <w:rsid w:val="002C6C20"/>
    <w:rsid w:val="002C6C7A"/>
    <w:rsid w:val="002C7F78"/>
    <w:rsid w:val="002D5277"/>
    <w:rsid w:val="002D71FA"/>
    <w:rsid w:val="002D73AF"/>
    <w:rsid w:val="002E2841"/>
    <w:rsid w:val="002E4FD9"/>
    <w:rsid w:val="002E5B58"/>
    <w:rsid w:val="002E6228"/>
    <w:rsid w:val="002E738F"/>
    <w:rsid w:val="002F1437"/>
    <w:rsid w:val="002F2189"/>
    <w:rsid w:val="002F3943"/>
    <w:rsid w:val="002F4E34"/>
    <w:rsid w:val="002F6A42"/>
    <w:rsid w:val="002F79E7"/>
    <w:rsid w:val="003003EC"/>
    <w:rsid w:val="003035E3"/>
    <w:rsid w:val="0030363A"/>
    <w:rsid w:val="00317970"/>
    <w:rsid w:val="00317EB0"/>
    <w:rsid w:val="00326345"/>
    <w:rsid w:val="00332700"/>
    <w:rsid w:val="00332844"/>
    <w:rsid w:val="00332F7A"/>
    <w:rsid w:val="003342F6"/>
    <w:rsid w:val="0033496E"/>
    <w:rsid w:val="003358BD"/>
    <w:rsid w:val="00344E88"/>
    <w:rsid w:val="00345D80"/>
    <w:rsid w:val="003471D4"/>
    <w:rsid w:val="00350BF1"/>
    <w:rsid w:val="00353C49"/>
    <w:rsid w:val="003540B1"/>
    <w:rsid w:val="003557E9"/>
    <w:rsid w:val="003560BA"/>
    <w:rsid w:val="00364CC6"/>
    <w:rsid w:val="003650F6"/>
    <w:rsid w:val="0036726C"/>
    <w:rsid w:val="00374B7C"/>
    <w:rsid w:val="00382B0D"/>
    <w:rsid w:val="003832D2"/>
    <w:rsid w:val="003845E5"/>
    <w:rsid w:val="00393137"/>
    <w:rsid w:val="0039615F"/>
    <w:rsid w:val="00397406"/>
    <w:rsid w:val="003A3170"/>
    <w:rsid w:val="003A360E"/>
    <w:rsid w:val="003C2FC3"/>
    <w:rsid w:val="003D17FF"/>
    <w:rsid w:val="003D2871"/>
    <w:rsid w:val="003D2981"/>
    <w:rsid w:val="003D3389"/>
    <w:rsid w:val="003D5B83"/>
    <w:rsid w:val="003E4B46"/>
    <w:rsid w:val="003E6E47"/>
    <w:rsid w:val="003F0623"/>
    <w:rsid w:val="003F33DE"/>
    <w:rsid w:val="003F3A41"/>
    <w:rsid w:val="003F67E9"/>
    <w:rsid w:val="00401031"/>
    <w:rsid w:val="004023B7"/>
    <w:rsid w:val="004045A0"/>
    <w:rsid w:val="00405459"/>
    <w:rsid w:val="00413CDB"/>
    <w:rsid w:val="00414811"/>
    <w:rsid w:val="00414B5A"/>
    <w:rsid w:val="004150E7"/>
    <w:rsid w:val="004200FE"/>
    <w:rsid w:val="00421183"/>
    <w:rsid w:val="00421BA6"/>
    <w:rsid w:val="00421C17"/>
    <w:rsid w:val="00426CDE"/>
    <w:rsid w:val="00432DCD"/>
    <w:rsid w:val="00433EA1"/>
    <w:rsid w:val="00434CE5"/>
    <w:rsid w:val="00441957"/>
    <w:rsid w:val="00443D32"/>
    <w:rsid w:val="004469DD"/>
    <w:rsid w:val="004476B2"/>
    <w:rsid w:val="00447CE5"/>
    <w:rsid w:val="00447D6E"/>
    <w:rsid w:val="0045048F"/>
    <w:rsid w:val="0045181B"/>
    <w:rsid w:val="00452133"/>
    <w:rsid w:val="00452C7A"/>
    <w:rsid w:val="00456B53"/>
    <w:rsid w:val="00457E8E"/>
    <w:rsid w:val="0046286E"/>
    <w:rsid w:val="004673A2"/>
    <w:rsid w:val="00470E71"/>
    <w:rsid w:val="00471234"/>
    <w:rsid w:val="00472250"/>
    <w:rsid w:val="0047437C"/>
    <w:rsid w:val="00477522"/>
    <w:rsid w:val="00480E7B"/>
    <w:rsid w:val="004843E5"/>
    <w:rsid w:val="00484BF6"/>
    <w:rsid w:val="00486BA2"/>
    <w:rsid w:val="0049052C"/>
    <w:rsid w:val="00493457"/>
    <w:rsid w:val="00494628"/>
    <w:rsid w:val="0049566B"/>
    <w:rsid w:val="00497338"/>
    <w:rsid w:val="00497C1B"/>
    <w:rsid w:val="004A1650"/>
    <w:rsid w:val="004A6164"/>
    <w:rsid w:val="004B1184"/>
    <w:rsid w:val="004B4A3A"/>
    <w:rsid w:val="004B5CE5"/>
    <w:rsid w:val="004B750E"/>
    <w:rsid w:val="004C2244"/>
    <w:rsid w:val="004C23F1"/>
    <w:rsid w:val="004D033A"/>
    <w:rsid w:val="004D069A"/>
    <w:rsid w:val="004D2276"/>
    <w:rsid w:val="004E01F5"/>
    <w:rsid w:val="004E1C39"/>
    <w:rsid w:val="004E1E87"/>
    <w:rsid w:val="004E297E"/>
    <w:rsid w:val="004E4A96"/>
    <w:rsid w:val="004E76CA"/>
    <w:rsid w:val="004F1698"/>
    <w:rsid w:val="00500C4E"/>
    <w:rsid w:val="00505CEC"/>
    <w:rsid w:val="0051020F"/>
    <w:rsid w:val="00513CAB"/>
    <w:rsid w:val="0051577B"/>
    <w:rsid w:val="00516CF5"/>
    <w:rsid w:val="00523597"/>
    <w:rsid w:val="00523736"/>
    <w:rsid w:val="00527DD7"/>
    <w:rsid w:val="00532530"/>
    <w:rsid w:val="00535CA4"/>
    <w:rsid w:val="005476F6"/>
    <w:rsid w:val="00551D72"/>
    <w:rsid w:val="005540B6"/>
    <w:rsid w:val="005552C3"/>
    <w:rsid w:val="00560934"/>
    <w:rsid w:val="00563E58"/>
    <w:rsid w:val="00564960"/>
    <w:rsid w:val="00564ED3"/>
    <w:rsid w:val="00570654"/>
    <w:rsid w:val="00570F38"/>
    <w:rsid w:val="005720F2"/>
    <w:rsid w:val="005729C8"/>
    <w:rsid w:val="00572D2F"/>
    <w:rsid w:val="005734A4"/>
    <w:rsid w:val="00585D85"/>
    <w:rsid w:val="00594EF5"/>
    <w:rsid w:val="005A0E53"/>
    <w:rsid w:val="005A1078"/>
    <w:rsid w:val="005A4658"/>
    <w:rsid w:val="005A496B"/>
    <w:rsid w:val="005B28C1"/>
    <w:rsid w:val="005B3C04"/>
    <w:rsid w:val="005B6344"/>
    <w:rsid w:val="005B6666"/>
    <w:rsid w:val="005C1C74"/>
    <w:rsid w:val="005C2E48"/>
    <w:rsid w:val="005C3F23"/>
    <w:rsid w:val="005D149F"/>
    <w:rsid w:val="005D4DD7"/>
    <w:rsid w:val="005E12A9"/>
    <w:rsid w:val="005E19E7"/>
    <w:rsid w:val="005E1F92"/>
    <w:rsid w:val="005E483D"/>
    <w:rsid w:val="005F139E"/>
    <w:rsid w:val="005F2BF9"/>
    <w:rsid w:val="005F4762"/>
    <w:rsid w:val="005F69D5"/>
    <w:rsid w:val="005F7072"/>
    <w:rsid w:val="00600688"/>
    <w:rsid w:val="00602799"/>
    <w:rsid w:val="00602F18"/>
    <w:rsid w:val="00607342"/>
    <w:rsid w:val="00607C30"/>
    <w:rsid w:val="00607D3E"/>
    <w:rsid w:val="006110F3"/>
    <w:rsid w:val="00612041"/>
    <w:rsid w:val="00614AFF"/>
    <w:rsid w:val="0061566D"/>
    <w:rsid w:val="00621ABA"/>
    <w:rsid w:val="0062322A"/>
    <w:rsid w:val="0062343D"/>
    <w:rsid w:val="006303B6"/>
    <w:rsid w:val="00631157"/>
    <w:rsid w:val="006404E6"/>
    <w:rsid w:val="0064680F"/>
    <w:rsid w:val="0064729D"/>
    <w:rsid w:val="00647ABE"/>
    <w:rsid w:val="00650F6E"/>
    <w:rsid w:val="006516BA"/>
    <w:rsid w:val="00651997"/>
    <w:rsid w:val="00657715"/>
    <w:rsid w:val="0066399B"/>
    <w:rsid w:val="00664B05"/>
    <w:rsid w:val="00665498"/>
    <w:rsid w:val="00665C04"/>
    <w:rsid w:val="0066682D"/>
    <w:rsid w:val="006746FE"/>
    <w:rsid w:val="00676E9F"/>
    <w:rsid w:val="00680934"/>
    <w:rsid w:val="00685D5C"/>
    <w:rsid w:val="00692149"/>
    <w:rsid w:val="0069264D"/>
    <w:rsid w:val="0069578B"/>
    <w:rsid w:val="00697868"/>
    <w:rsid w:val="006A055F"/>
    <w:rsid w:val="006A126F"/>
    <w:rsid w:val="006A14E9"/>
    <w:rsid w:val="006A2A65"/>
    <w:rsid w:val="006A2CEB"/>
    <w:rsid w:val="006A5293"/>
    <w:rsid w:val="006A5598"/>
    <w:rsid w:val="006A60A6"/>
    <w:rsid w:val="006A67E4"/>
    <w:rsid w:val="006A6D15"/>
    <w:rsid w:val="006B0160"/>
    <w:rsid w:val="006B0DF3"/>
    <w:rsid w:val="006B0F11"/>
    <w:rsid w:val="006B27FA"/>
    <w:rsid w:val="006B4A48"/>
    <w:rsid w:val="006B5A6C"/>
    <w:rsid w:val="006C2C55"/>
    <w:rsid w:val="006C430A"/>
    <w:rsid w:val="006C5B6E"/>
    <w:rsid w:val="006D04C7"/>
    <w:rsid w:val="006D2809"/>
    <w:rsid w:val="006E27A3"/>
    <w:rsid w:val="006E3342"/>
    <w:rsid w:val="006E4B12"/>
    <w:rsid w:val="006E65D0"/>
    <w:rsid w:val="006F1B21"/>
    <w:rsid w:val="006F21E8"/>
    <w:rsid w:val="006F78D5"/>
    <w:rsid w:val="0070091B"/>
    <w:rsid w:val="007048AC"/>
    <w:rsid w:val="007074C9"/>
    <w:rsid w:val="00726338"/>
    <w:rsid w:val="00726AD5"/>
    <w:rsid w:val="00733C7D"/>
    <w:rsid w:val="00733CDA"/>
    <w:rsid w:val="00740761"/>
    <w:rsid w:val="00744C53"/>
    <w:rsid w:val="00745F77"/>
    <w:rsid w:val="007464DE"/>
    <w:rsid w:val="007529EA"/>
    <w:rsid w:val="00755A45"/>
    <w:rsid w:val="00760CDC"/>
    <w:rsid w:val="00764D0D"/>
    <w:rsid w:val="00777C53"/>
    <w:rsid w:val="00777DA2"/>
    <w:rsid w:val="00786E92"/>
    <w:rsid w:val="007933F1"/>
    <w:rsid w:val="007A3D88"/>
    <w:rsid w:val="007A5F52"/>
    <w:rsid w:val="007B090A"/>
    <w:rsid w:val="007B0C3A"/>
    <w:rsid w:val="007C2DBB"/>
    <w:rsid w:val="007C523A"/>
    <w:rsid w:val="007E045C"/>
    <w:rsid w:val="007E43F8"/>
    <w:rsid w:val="007E5076"/>
    <w:rsid w:val="007E656B"/>
    <w:rsid w:val="007F2997"/>
    <w:rsid w:val="007F50E8"/>
    <w:rsid w:val="007F54E2"/>
    <w:rsid w:val="007F7FBA"/>
    <w:rsid w:val="00800319"/>
    <w:rsid w:val="0080044E"/>
    <w:rsid w:val="00800706"/>
    <w:rsid w:val="0080189A"/>
    <w:rsid w:val="00801F7F"/>
    <w:rsid w:val="00803C2B"/>
    <w:rsid w:val="00811945"/>
    <w:rsid w:val="008208D8"/>
    <w:rsid w:val="00824F1C"/>
    <w:rsid w:val="00826688"/>
    <w:rsid w:val="0083369B"/>
    <w:rsid w:val="00835D38"/>
    <w:rsid w:val="00843763"/>
    <w:rsid w:val="008461C9"/>
    <w:rsid w:val="0084662C"/>
    <w:rsid w:val="00847A4E"/>
    <w:rsid w:val="00851DCA"/>
    <w:rsid w:val="00854798"/>
    <w:rsid w:val="00855069"/>
    <w:rsid w:val="00870252"/>
    <w:rsid w:val="00871D79"/>
    <w:rsid w:val="0087393E"/>
    <w:rsid w:val="008803C3"/>
    <w:rsid w:val="00881A42"/>
    <w:rsid w:val="00882386"/>
    <w:rsid w:val="0088361D"/>
    <w:rsid w:val="00885E0A"/>
    <w:rsid w:val="0088603B"/>
    <w:rsid w:val="00886CDE"/>
    <w:rsid w:val="008877AF"/>
    <w:rsid w:val="0089118E"/>
    <w:rsid w:val="00893FC3"/>
    <w:rsid w:val="0089577B"/>
    <w:rsid w:val="008A0769"/>
    <w:rsid w:val="008A208C"/>
    <w:rsid w:val="008A6F4D"/>
    <w:rsid w:val="008A7068"/>
    <w:rsid w:val="008B0035"/>
    <w:rsid w:val="008B1024"/>
    <w:rsid w:val="008B1357"/>
    <w:rsid w:val="008B2DF3"/>
    <w:rsid w:val="008B3142"/>
    <w:rsid w:val="008B4483"/>
    <w:rsid w:val="008C2E0E"/>
    <w:rsid w:val="008C4CE2"/>
    <w:rsid w:val="008C4DE0"/>
    <w:rsid w:val="008D0AFA"/>
    <w:rsid w:val="008D3930"/>
    <w:rsid w:val="008D59B5"/>
    <w:rsid w:val="008D67F9"/>
    <w:rsid w:val="008D6F1B"/>
    <w:rsid w:val="008E03E0"/>
    <w:rsid w:val="008E17CC"/>
    <w:rsid w:val="008E25B1"/>
    <w:rsid w:val="008E56FB"/>
    <w:rsid w:val="008F1D4E"/>
    <w:rsid w:val="008F2167"/>
    <w:rsid w:val="008F33B4"/>
    <w:rsid w:val="008F6298"/>
    <w:rsid w:val="0090077A"/>
    <w:rsid w:val="00900F47"/>
    <w:rsid w:val="00904ADA"/>
    <w:rsid w:val="00907697"/>
    <w:rsid w:val="00910A69"/>
    <w:rsid w:val="00912FC0"/>
    <w:rsid w:val="009138A0"/>
    <w:rsid w:val="0091424C"/>
    <w:rsid w:val="00917DE4"/>
    <w:rsid w:val="00920905"/>
    <w:rsid w:val="00920A61"/>
    <w:rsid w:val="00922B85"/>
    <w:rsid w:val="009233EA"/>
    <w:rsid w:val="00930CDC"/>
    <w:rsid w:val="00931E45"/>
    <w:rsid w:val="00933188"/>
    <w:rsid w:val="00933B9D"/>
    <w:rsid w:val="00935AF9"/>
    <w:rsid w:val="009403A5"/>
    <w:rsid w:val="009500DC"/>
    <w:rsid w:val="00951923"/>
    <w:rsid w:val="0095402D"/>
    <w:rsid w:val="00954BAD"/>
    <w:rsid w:val="00972B47"/>
    <w:rsid w:val="00972C81"/>
    <w:rsid w:val="00973C49"/>
    <w:rsid w:val="009824E9"/>
    <w:rsid w:val="009826E5"/>
    <w:rsid w:val="009844A1"/>
    <w:rsid w:val="00986E20"/>
    <w:rsid w:val="00995479"/>
    <w:rsid w:val="00995CB0"/>
    <w:rsid w:val="00997E77"/>
    <w:rsid w:val="009A13D7"/>
    <w:rsid w:val="009A2734"/>
    <w:rsid w:val="009B2A02"/>
    <w:rsid w:val="009B2B61"/>
    <w:rsid w:val="009B5B7B"/>
    <w:rsid w:val="009C1777"/>
    <w:rsid w:val="009C1DC0"/>
    <w:rsid w:val="009C2C86"/>
    <w:rsid w:val="009C6FE0"/>
    <w:rsid w:val="009D0753"/>
    <w:rsid w:val="009D10A4"/>
    <w:rsid w:val="009D5131"/>
    <w:rsid w:val="009D630A"/>
    <w:rsid w:val="009D6F71"/>
    <w:rsid w:val="009E1802"/>
    <w:rsid w:val="009E1CDE"/>
    <w:rsid w:val="009E2B06"/>
    <w:rsid w:val="009E3829"/>
    <w:rsid w:val="009E51E2"/>
    <w:rsid w:val="009F2566"/>
    <w:rsid w:val="009F7A61"/>
    <w:rsid w:val="00A11800"/>
    <w:rsid w:val="00A11C16"/>
    <w:rsid w:val="00A1423E"/>
    <w:rsid w:val="00A17664"/>
    <w:rsid w:val="00A20FAF"/>
    <w:rsid w:val="00A213E5"/>
    <w:rsid w:val="00A23AAA"/>
    <w:rsid w:val="00A24520"/>
    <w:rsid w:val="00A3164A"/>
    <w:rsid w:val="00A37F42"/>
    <w:rsid w:val="00A4411F"/>
    <w:rsid w:val="00A500D6"/>
    <w:rsid w:val="00A523FF"/>
    <w:rsid w:val="00A54756"/>
    <w:rsid w:val="00A54C66"/>
    <w:rsid w:val="00A57D36"/>
    <w:rsid w:val="00A61BB6"/>
    <w:rsid w:val="00A64346"/>
    <w:rsid w:val="00A65734"/>
    <w:rsid w:val="00A6687F"/>
    <w:rsid w:val="00A67907"/>
    <w:rsid w:val="00A71E8B"/>
    <w:rsid w:val="00A72EE3"/>
    <w:rsid w:val="00A73CC1"/>
    <w:rsid w:val="00A80270"/>
    <w:rsid w:val="00A82DB1"/>
    <w:rsid w:val="00A84127"/>
    <w:rsid w:val="00A84BF9"/>
    <w:rsid w:val="00A86DA2"/>
    <w:rsid w:val="00A90DFC"/>
    <w:rsid w:val="00A90F1A"/>
    <w:rsid w:val="00A91BF3"/>
    <w:rsid w:val="00AA0A9C"/>
    <w:rsid w:val="00AA16C0"/>
    <w:rsid w:val="00AA4CDC"/>
    <w:rsid w:val="00AA75F9"/>
    <w:rsid w:val="00AB21D4"/>
    <w:rsid w:val="00AB21F5"/>
    <w:rsid w:val="00AB3386"/>
    <w:rsid w:val="00AB36DB"/>
    <w:rsid w:val="00AC0B1D"/>
    <w:rsid w:val="00AC2F5B"/>
    <w:rsid w:val="00AC3DAD"/>
    <w:rsid w:val="00AC5309"/>
    <w:rsid w:val="00AC5B97"/>
    <w:rsid w:val="00AD4DD0"/>
    <w:rsid w:val="00AE0A8D"/>
    <w:rsid w:val="00AF0F97"/>
    <w:rsid w:val="00AF190A"/>
    <w:rsid w:val="00AF5C98"/>
    <w:rsid w:val="00AF6342"/>
    <w:rsid w:val="00B053FB"/>
    <w:rsid w:val="00B05647"/>
    <w:rsid w:val="00B07EE5"/>
    <w:rsid w:val="00B16117"/>
    <w:rsid w:val="00B21CC5"/>
    <w:rsid w:val="00B26778"/>
    <w:rsid w:val="00B26B83"/>
    <w:rsid w:val="00B32479"/>
    <w:rsid w:val="00B33FE2"/>
    <w:rsid w:val="00B403ED"/>
    <w:rsid w:val="00B4065F"/>
    <w:rsid w:val="00B45091"/>
    <w:rsid w:val="00B45447"/>
    <w:rsid w:val="00B527FA"/>
    <w:rsid w:val="00B548F4"/>
    <w:rsid w:val="00B56164"/>
    <w:rsid w:val="00B56947"/>
    <w:rsid w:val="00B60748"/>
    <w:rsid w:val="00B614F1"/>
    <w:rsid w:val="00B84808"/>
    <w:rsid w:val="00B866B4"/>
    <w:rsid w:val="00B94226"/>
    <w:rsid w:val="00BA0A8C"/>
    <w:rsid w:val="00BA0CEB"/>
    <w:rsid w:val="00BA2383"/>
    <w:rsid w:val="00BA2E7E"/>
    <w:rsid w:val="00BA590A"/>
    <w:rsid w:val="00BA5FE4"/>
    <w:rsid w:val="00BB0B39"/>
    <w:rsid w:val="00BB30D1"/>
    <w:rsid w:val="00BB39D8"/>
    <w:rsid w:val="00BB5F75"/>
    <w:rsid w:val="00BC6524"/>
    <w:rsid w:val="00BC78AA"/>
    <w:rsid w:val="00BD0F7E"/>
    <w:rsid w:val="00BD3931"/>
    <w:rsid w:val="00BD5B88"/>
    <w:rsid w:val="00BD5F58"/>
    <w:rsid w:val="00BE0AEB"/>
    <w:rsid w:val="00BF41FE"/>
    <w:rsid w:val="00C018E0"/>
    <w:rsid w:val="00C05AAF"/>
    <w:rsid w:val="00C118C7"/>
    <w:rsid w:val="00C13BCA"/>
    <w:rsid w:val="00C165B3"/>
    <w:rsid w:val="00C20877"/>
    <w:rsid w:val="00C20E7B"/>
    <w:rsid w:val="00C21456"/>
    <w:rsid w:val="00C230B8"/>
    <w:rsid w:val="00C24D03"/>
    <w:rsid w:val="00C25579"/>
    <w:rsid w:val="00C25E61"/>
    <w:rsid w:val="00C30A80"/>
    <w:rsid w:val="00C35A1B"/>
    <w:rsid w:val="00C413F3"/>
    <w:rsid w:val="00C43D5C"/>
    <w:rsid w:val="00C44992"/>
    <w:rsid w:val="00C54EFF"/>
    <w:rsid w:val="00C55D03"/>
    <w:rsid w:val="00C57BFA"/>
    <w:rsid w:val="00C63548"/>
    <w:rsid w:val="00C63F96"/>
    <w:rsid w:val="00C65450"/>
    <w:rsid w:val="00C6602D"/>
    <w:rsid w:val="00C677AF"/>
    <w:rsid w:val="00C67E59"/>
    <w:rsid w:val="00C72B8B"/>
    <w:rsid w:val="00C72CB5"/>
    <w:rsid w:val="00C73BD7"/>
    <w:rsid w:val="00C7450E"/>
    <w:rsid w:val="00C76D4F"/>
    <w:rsid w:val="00C805BC"/>
    <w:rsid w:val="00C959CA"/>
    <w:rsid w:val="00C95D16"/>
    <w:rsid w:val="00CA2AB4"/>
    <w:rsid w:val="00CB0100"/>
    <w:rsid w:val="00CB024B"/>
    <w:rsid w:val="00CB04D2"/>
    <w:rsid w:val="00CD2952"/>
    <w:rsid w:val="00CD7EFE"/>
    <w:rsid w:val="00CE0C66"/>
    <w:rsid w:val="00CE28CF"/>
    <w:rsid w:val="00CE4386"/>
    <w:rsid w:val="00CE4CDC"/>
    <w:rsid w:val="00CE5BEB"/>
    <w:rsid w:val="00CE69E9"/>
    <w:rsid w:val="00CE71F2"/>
    <w:rsid w:val="00CE7738"/>
    <w:rsid w:val="00CF3F65"/>
    <w:rsid w:val="00CF464D"/>
    <w:rsid w:val="00D15484"/>
    <w:rsid w:val="00D17EF4"/>
    <w:rsid w:val="00D23770"/>
    <w:rsid w:val="00D25074"/>
    <w:rsid w:val="00D30A45"/>
    <w:rsid w:val="00D34517"/>
    <w:rsid w:val="00D36798"/>
    <w:rsid w:val="00D47E80"/>
    <w:rsid w:val="00D638B2"/>
    <w:rsid w:val="00D70563"/>
    <w:rsid w:val="00D70D89"/>
    <w:rsid w:val="00D72051"/>
    <w:rsid w:val="00D7380B"/>
    <w:rsid w:val="00D73BA1"/>
    <w:rsid w:val="00D75D77"/>
    <w:rsid w:val="00D7639E"/>
    <w:rsid w:val="00D81A8D"/>
    <w:rsid w:val="00D835EF"/>
    <w:rsid w:val="00D85F09"/>
    <w:rsid w:val="00D86A9D"/>
    <w:rsid w:val="00D879FA"/>
    <w:rsid w:val="00DA089A"/>
    <w:rsid w:val="00DA11A0"/>
    <w:rsid w:val="00DA2822"/>
    <w:rsid w:val="00DA690B"/>
    <w:rsid w:val="00DA7225"/>
    <w:rsid w:val="00DA7B09"/>
    <w:rsid w:val="00DB0C35"/>
    <w:rsid w:val="00DB326D"/>
    <w:rsid w:val="00DB44E9"/>
    <w:rsid w:val="00DC1966"/>
    <w:rsid w:val="00DC3259"/>
    <w:rsid w:val="00DC5207"/>
    <w:rsid w:val="00DD0523"/>
    <w:rsid w:val="00DD0CBD"/>
    <w:rsid w:val="00DD6F4D"/>
    <w:rsid w:val="00DE20EF"/>
    <w:rsid w:val="00DE5758"/>
    <w:rsid w:val="00DE5FCF"/>
    <w:rsid w:val="00DF0D19"/>
    <w:rsid w:val="00DF2EE9"/>
    <w:rsid w:val="00DF69D7"/>
    <w:rsid w:val="00DF6FD8"/>
    <w:rsid w:val="00E05A80"/>
    <w:rsid w:val="00E06A37"/>
    <w:rsid w:val="00E071A5"/>
    <w:rsid w:val="00E07752"/>
    <w:rsid w:val="00E16609"/>
    <w:rsid w:val="00E16F08"/>
    <w:rsid w:val="00E233F3"/>
    <w:rsid w:val="00E26B34"/>
    <w:rsid w:val="00E2772A"/>
    <w:rsid w:val="00E314BA"/>
    <w:rsid w:val="00E325BE"/>
    <w:rsid w:val="00E326BA"/>
    <w:rsid w:val="00E34202"/>
    <w:rsid w:val="00E37F72"/>
    <w:rsid w:val="00E40BE5"/>
    <w:rsid w:val="00E40CF9"/>
    <w:rsid w:val="00E42A30"/>
    <w:rsid w:val="00E46C45"/>
    <w:rsid w:val="00E5625D"/>
    <w:rsid w:val="00E60463"/>
    <w:rsid w:val="00E648BB"/>
    <w:rsid w:val="00E67ACA"/>
    <w:rsid w:val="00E76B31"/>
    <w:rsid w:val="00E81F3E"/>
    <w:rsid w:val="00E844BB"/>
    <w:rsid w:val="00E84C48"/>
    <w:rsid w:val="00E859BD"/>
    <w:rsid w:val="00E86B70"/>
    <w:rsid w:val="00E87C8F"/>
    <w:rsid w:val="00E924C3"/>
    <w:rsid w:val="00E954EE"/>
    <w:rsid w:val="00E96759"/>
    <w:rsid w:val="00EA4437"/>
    <w:rsid w:val="00EA4D87"/>
    <w:rsid w:val="00EA7A53"/>
    <w:rsid w:val="00EA7FFE"/>
    <w:rsid w:val="00EB2438"/>
    <w:rsid w:val="00EB2A21"/>
    <w:rsid w:val="00EB34FC"/>
    <w:rsid w:val="00EB76E1"/>
    <w:rsid w:val="00EC2499"/>
    <w:rsid w:val="00ED6DC8"/>
    <w:rsid w:val="00EE28C8"/>
    <w:rsid w:val="00EE29DF"/>
    <w:rsid w:val="00EE4120"/>
    <w:rsid w:val="00EE4D04"/>
    <w:rsid w:val="00EE6434"/>
    <w:rsid w:val="00EF2E8A"/>
    <w:rsid w:val="00EF4E6B"/>
    <w:rsid w:val="00EF5416"/>
    <w:rsid w:val="00EF6231"/>
    <w:rsid w:val="00F02E78"/>
    <w:rsid w:val="00F06CCF"/>
    <w:rsid w:val="00F1053D"/>
    <w:rsid w:val="00F1069E"/>
    <w:rsid w:val="00F110D5"/>
    <w:rsid w:val="00F11E63"/>
    <w:rsid w:val="00F12733"/>
    <w:rsid w:val="00F14D78"/>
    <w:rsid w:val="00F171E1"/>
    <w:rsid w:val="00F20DCF"/>
    <w:rsid w:val="00F25B36"/>
    <w:rsid w:val="00F3052A"/>
    <w:rsid w:val="00F341E3"/>
    <w:rsid w:val="00F35D09"/>
    <w:rsid w:val="00F4304D"/>
    <w:rsid w:val="00F46612"/>
    <w:rsid w:val="00F474EF"/>
    <w:rsid w:val="00F4752B"/>
    <w:rsid w:val="00F476E8"/>
    <w:rsid w:val="00F52640"/>
    <w:rsid w:val="00F541AE"/>
    <w:rsid w:val="00F56792"/>
    <w:rsid w:val="00F571A6"/>
    <w:rsid w:val="00F6018B"/>
    <w:rsid w:val="00F60265"/>
    <w:rsid w:val="00F60E32"/>
    <w:rsid w:val="00F644FF"/>
    <w:rsid w:val="00F65ABA"/>
    <w:rsid w:val="00F65E15"/>
    <w:rsid w:val="00F7242E"/>
    <w:rsid w:val="00F74B33"/>
    <w:rsid w:val="00F810DD"/>
    <w:rsid w:val="00F9291A"/>
    <w:rsid w:val="00F95E2F"/>
    <w:rsid w:val="00F96DEB"/>
    <w:rsid w:val="00F96EDA"/>
    <w:rsid w:val="00FA1872"/>
    <w:rsid w:val="00FA42E8"/>
    <w:rsid w:val="00FA4F34"/>
    <w:rsid w:val="00FB2590"/>
    <w:rsid w:val="00FD5A8C"/>
    <w:rsid w:val="00FE286E"/>
    <w:rsid w:val="00FE3233"/>
    <w:rsid w:val="00FE4C68"/>
    <w:rsid w:val="00FE5FAF"/>
    <w:rsid w:val="00FE675D"/>
    <w:rsid w:val="00FE6D74"/>
    <w:rsid w:val="00FF4407"/>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6625"/>
    <o:shapelayout v:ext="edit">
      <o:idmap v:ext="edit" data="1"/>
    </o:shapelayout>
  </w:shapeDefaults>
  <w:decimalSymbol w:val="."/>
  <w:listSeparator w:val=","/>
  <w14:docId w14:val="5F77E0EA"/>
  <w15:docId w15:val="{13D03D86-8C7C-478E-8CA1-9E09E8CB8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customStyle="1" w:styleId="Cal1Char">
    <w:name w:val="Cal1 Char"/>
    <w:basedOn w:val="DefaultParagraphFont"/>
    <w:link w:val="Cal1"/>
    <w:locked/>
    <w:rsid w:val="00EE4D04"/>
    <w:rPr>
      <w:rFonts w:ascii="Times New Roman" w:eastAsia="Times New Roman" w:hAnsi="Times New Roman" w:cstheme="minorHAnsi"/>
    </w:rPr>
  </w:style>
  <w:style w:type="paragraph" w:customStyle="1" w:styleId="Cal1">
    <w:name w:val="Cal1"/>
    <w:basedOn w:val="Normal"/>
    <w:link w:val="Cal1Char"/>
    <w:qFormat/>
    <w:rsid w:val="00EE4D04"/>
    <w:pPr>
      <w:spacing w:before="40" w:after="40"/>
    </w:pPr>
    <w:rPr>
      <w:rFonts w:ascii="Times New Roman" w:hAnsi="Times New Roman" w:cstheme="minorHAns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738">
      <w:bodyDiv w:val="1"/>
      <w:marLeft w:val="0"/>
      <w:marRight w:val="0"/>
      <w:marTop w:val="0"/>
      <w:marBottom w:val="0"/>
      <w:divBdr>
        <w:top w:val="none" w:sz="0" w:space="0" w:color="auto"/>
        <w:left w:val="none" w:sz="0" w:space="0" w:color="auto"/>
        <w:bottom w:val="none" w:sz="0" w:space="0" w:color="auto"/>
        <w:right w:val="none" w:sz="0" w:space="0" w:color="auto"/>
      </w:divBdr>
    </w:div>
    <w:div w:id="125247286">
      <w:bodyDiv w:val="1"/>
      <w:marLeft w:val="0"/>
      <w:marRight w:val="0"/>
      <w:marTop w:val="0"/>
      <w:marBottom w:val="0"/>
      <w:divBdr>
        <w:top w:val="none" w:sz="0" w:space="0" w:color="auto"/>
        <w:left w:val="none" w:sz="0" w:space="0" w:color="auto"/>
        <w:bottom w:val="none" w:sz="0" w:space="0" w:color="auto"/>
        <w:right w:val="none" w:sz="0" w:space="0" w:color="auto"/>
      </w:divBdr>
    </w:div>
    <w:div w:id="307904437">
      <w:bodyDiv w:val="1"/>
      <w:marLeft w:val="0"/>
      <w:marRight w:val="0"/>
      <w:marTop w:val="0"/>
      <w:marBottom w:val="0"/>
      <w:divBdr>
        <w:top w:val="none" w:sz="0" w:space="0" w:color="auto"/>
        <w:left w:val="none" w:sz="0" w:space="0" w:color="auto"/>
        <w:bottom w:val="none" w:sz="0" w:space="0" w:color="auto"/>
        <w:right w:val="none" w:sz="0" w:space="0" w:color="auto"/>
      </w:divBdr>
    </w:div>
    <w:div w:id="324087700">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71383425">
      <w:bodyDiv w:val="1"/>
      <w:marLeft w:val="0"/>
      <w:marRight w:val="0"/>
      <w:marTop w:val="0"/>
      <w:marBottom w:val="0"/>
      <w:divBdr>
        <w:top w:val="none" w:sz="0" w:space="0" w:color="auto"/>
        <w:left w:val="none" w:sz="0" w:space="0" w:color="auto"/>
        <w:bottom w:val="none" w:sz="0" w:space="0" w:color="auto"/>
        <w:right w:val="none" w:sz="0" w:space="0" w:color="auto"/>
      </w:divBdr>
    </w:div>
    <w:div w:id="987250556">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94086696">
      <w:bodyDiv w:val="1"/>
      <w:marLeft w:val="0"/>
      <w:marRight w:val="0"/>
      <w:marTop w:val="0"/>
      <w:marBottom w:val="0"/>
      <w:divBdr>
        <w:top w:val="none" w:sz="0" w:space="0" w:color="auto"/>
        <w:left w:val="none" w:sz="0" w:space="0" w:color="auto"/>
        <w:bottom w:val="none" w:sz="0" w:space="0" w:color="auto"/>
        <w:right w:val="none" w:sz="0" w:space="0" w:color="auto"/>
      </w:divBdr>
    </w:div>
    <w:div w:id="1324167731">
      <w:bodyDiv w:val="1"/>
      <w:marLeft w:val="0"/>
      <w:marRight w:val="0"/>
      <w:marTop w:val="0"/>
      <w:marBottom w:val="0"/>
      <w:divBdr>
        <w:top w:val="none" w:sz="0" w:space="0" w:color="auto"/>
        <w:left w:val="none" w:sz="0" w:space="0" w:color="auto"/>
        <w:bottom w:val="none" w:sz="0" w:space="0" w:color="auto"/>
        <w:right w:val="none" w:sz="0" w:space="0" w:color="auto"/>
      </w:divBdr>
    </w:div>
    <w:div w:id="1523321542">
      <w:bodyDiv w:val="1"/>
      <w:marLeft w:val="0"/>
      <w:marRight w:val="0"/>
      <w:marTop w:val="0"/>
      <w:marBottom w:val="0"/>
      <w:divBdr>
        <w:top w:val="none" w:sz="0" w:space="0" w:color="auto"/>
        <w:left w:val="none" w:sz="0" w:space="0" w:color="auto"/>
        <w:bottom w:val="none" w:sz="0" w:space="0" w:color="auto"/>
        <w:right w:val="none" w:sz="0" w:space="0" w:color="auto"/>
      </w:divBdr>
    </w:div>
    <w:div w:id="1675299465">
      <w:bodyDiv w:val="1"/>
      <w:marLeft w:val="0"/>
      <w:marRight w:val="0"/>
      <w:marTop w:val="0"/>
      <w:marBottom w:val="0"/>
      <w:divBdr>
        <w:top w:val="none" w:sz="0" w:space="0" w:color="auto"/>
        <w:left w:val="none" w:sz="0" w:space="0" w:color="auto"/>
        <w:bottom w:val="none" w:sz="0" w:space="0" w:color="auto"/>
        <w:right w:val="none" w:sz="0" w:space="0" w:color="auto"/>
      </w:divBdr>
    </w:div>
    <w:div w:id="1994799234">
      <w:bodyDiv w:val="1"/>
      <w:marLeft w:val="0"/>
      <w:marRight w:val="0"/>
      <w:marTop w:val="0"/>
      <w:marBottom w:val="0"/>
      <w:divBdr>
        <w:top w:val="none" w:sz="0" w:space="0" w:color="auto"/>
        <w:left w:val="none" w:sz="0" w:space="0" w:color="auto"/>
        <w:bottom w:val="none" w:sz="0" w:space="0" w:color="auto"/>
        <w:right w:val="none" w:sz="0" w:space="0" w:color="auto"/>
      </w:divBdr>
    </w:div>
    <w:div w:id="2130542526">
      <w:bodyDiv w:val="1"/>
      <w:marLeft w:val="0"/>
      <w:marRight w:val="0"/>
      <w:marTop w:val="0"/>
      <w:marBottom w:val="0"/>
      <w:divBdr>
        <w:top w:val="none" w:sz="0" w:space="0" w:color="auto"/>
        <w:left w:val="none" w:sz="0" w:space="0" w:color="auto"/>
        <w:bottom w:val="none" w:sz="0" w:space="0" w:color="auto"/>
        <w:right w:val="none" w:sz="0" w:space="0" w:color="auto"/>
      </w:divBdr>
    </w:div>
    <w:div w:id="213872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image" Target="media/image6.wmf"/><Relationship Id="rId34" Type="http://schemas.openxmlformats.org/officeDocument/2006/relationships/oleObject" Target="embeddings/oleObject12.bin"/><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9.bin"/><Relationship Id="rId36" Type="http://schemas.openxmlformats.org/officeDocument/2006/relationships/oleObject" Target="embeddings/oleObject13.bin"/><Relationship Id="rId10" Type="http://schemas.openxmlformats.org/officeDocument/2006/relationships/hyperlink" Target="http://www.caltf.org/" TargetMode="External"/><Relationship Id="rId19" Type="http://schemas.openxmlformats.org/officeDocument/2006/relationships/image" Target="media/image5.wmf"/><Relationship Id="rId31" Type="http://schemas.openxmlformats.org/officeDocument/2006/relationships/image" Target="media/image11.wmf"/><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9.wmf"/><Relationship Id="rId30" Type="http://schemas.openxmlformats.org/officeDocument/2006/relationships/oleObject" Target="embeddings/oleObject10.bin"/><Relationship Id="rId35" Type="http://schemas.openxmlformats.org/officeDocument/2006/relationships/image" Target="media/image13.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27C83"/>
    <w:rsid w:val="001244C1"/>
    <w:rsid w:val="00146151"/>
    <w:rsid w:val="00204A7F"/>
    <w:rsid w:val="002358DE"/>
    <w:rsid w:val="002B514B"/>
    <w:rsid w:val="002C0C03"/>
    <w:rsid w:val="00311B0D"/>
    <w:rsid w:val="00323110"/>
    <w:rsid w:val="003A131F"/>
    <w:rsid w:val="00427C07"/>
    <w:rsid w:val="00560392"/>
    <w:rsid w:val="0057467D"/>
    <w:rsid w:val="005E211D"/>
    <w:rsid w:val="005E65E5"/>
    <w:rsid w:val="00636BF2"/>
    <w:rsid w:val="006801DD"/>
    <w:rsid w:val="006B7FA8"/>
    <w:rsid w:val="006E66AE"/>
    <w:rsid w:val="006E70D3"/>
    <w:rsid w:val="007E01B0"/>
    <w:rsid w:val="007E5495"/>
    <w:rsid w:val="008211B5"/>
    <w:rsid w:val="00874653"/>
    <w:rsid w:val="0089279A"/>
    <w:rsid w:val="008D285A"/>
    <w:rsid w:val="008F3AC2"/>
    <w:rsid w:val="00966FA8"/>
    <w:rsid w:val="0099188E"/>
    <w:rsid w:val="00A062ED"/>
    <w:rsid w:val="00A5022A"/>
    <w:rsid w:val="00A54C0E"/>
    <w:rsid w:val="00AE4C28"/>
    <w:rsid w:val="00AF2C4B"/>
    <w:rsid w:val="00B73964"/>
    <w:rsid w:val="00B74704"/>
    <w:rsid w:val="00C57E39"/>
    <w:rsid w:val="00C947B8"/>
    <w:rsid w:val="00CC258B"/>
    <w:rsid w:val="00D0496D"/>
    <w:rsid w:val="00D051F5"/>
    <w:rsid w:val="00D95736"/>
    <w:rsid w:val="00DA3F83"/>
    <w:rsid w:val="00DB790B"/>
    <w:rsid w:val="00E55280"/>
    <w:rsid w:val="00E845FC"/>
    <w:rsid w:val="00E96348"/>
    <w:rsid w:val="00E96E6B"/>
    <w:rsid w:val="00EC59D9"/>
    <w:rsid w:val="00F7350A"/>
    <w:rsid w:val="00F86E66"/>
    <w:rsid w:val="00FE7F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2016-12-05T00:00:00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C769504-D742-429B-AA06-509139EA2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5560</Words>
  <Characters>31698</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SCE17LG098</vt:lpstr>
    </vt:vector>
  </TitlesOfParts>
  <Company>Southern California Edison</Company>
  <LinksUpToDate>false</LinksUpToDate>
  <CharactersWithSpaces>37184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SCE17LG098</dc:title>
  <dc:creator>Jim Wyatt (PG&amp;E);Jason Wang (SCE)</dc:creator>
  <cp:lastModifiedBy>Steven Long</cp:lastModifiedBy>
  <cp:revision>3</cp:revision>
  <cp:lastPrinted>2015-09-29T21:32:00Z</cp:lastPrinted>
  <dcterms:created xsi:type="dcterms:W3CDTF">2017-02-09T23:05:00Z</dcterms:created>
  <dcterms:modified xsi:type="dcterms:W3CDTF">2017-02-09T23:08:00Z</dcterms:modified>
  <cp:contentStatus>Revision 0</cp:contentStatus>
</cp:coreProperties>
</file>