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64B04E91"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9A4B38">
            <w:t>SCE17LG085</w:t>
          </w:r>
        </w:sdtContent>
      </w:sdt>
    </w:p>
    <w:bookmarkEnd w:id="0"/>
    <w:p w14:paraId="7601CE2F" w14:textId="28B811E9" w:rsidR="00DA690B" w:rsidRPr="00500C4E" w:rsidRDefault="00256E3B"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9A4B38" w:rsidRPr="00500C4E">
            <w:rPr>
              <w:rStyle w:val="CaptionChar"/>
              <w:rFonts w:asciiTheme="minorHAnsi" w:hAnsiTheme="minorHAnsi" w:cstheme="minorHAnsi"/>
              <w:b/>
              <w:bCs w:val="0"/>
              <w:sz w:val="48"/>
              <w:szCs w:val="48"/>
            </w:rPr>
            <w:t xml:space="preserve">Revision </w:t>
          </w:r>
          <w:r w:rsidR="00E42CB6">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256E3B"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22EAA770" w:rsidR="00DA690B" w:rsidRPr="00500C4E" w:rsidRDefault="00CB25F6" w:rsidP="00DA690B">
      <w:pPr>
        <w:rPr>
          <w:rFonts w:cstheme="minorHAnsi"/>
          <w:b/>
          <w:sz w:val="72"/>
          <w:szCs w:val="72"/>
        </w:rPr>
      </w:pPr>
      <w:r w:rsidRPr="00CB25F6">
        <w:rPr>
          <w:rFonts w:cstheme="minorHAnsi"/>
          <w:b/>
          <w:sz w:val="72"/>
          <w:szCs w:val="72"/>
        </w:rPr>
        <w:t>Interior Compact Fluorescent Fixture</w:t>
      </w:r>
      <w:r w:rsidR="00DA690B" w:rsidRPr="00500C4E">
        <w:rPr>
          <w:rFonts w:cstheme="minorHAnsi"/>
          <w:b/>
          <w:sz w:val="72"/>
          <w:szCs w:val="72"/>
        </w:rPr>
        <w:t xml:space="preserve"> </w:t>
      </w: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0"/>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26255ACF" w:rsidR="00AC5309" w:rsidRPr="00500C4E" w:rsidRDefault="00F35BA5">
            <w:pPr>
              <w:rPr>
                <w:rFonts w:cs="Arial"/>
                <w:bCs/>
                <w:color w:val="FF0000"/>
                <w:szCs w:val="20"/>
              </w:rPr>
            </w:pPr>
            <w:r>
              <w:rPr>
                <w:rFonts w:cs="Arial"/>
                <w:szCs w:val="20"/>
              </w:rPr>
              <w:t>See Section 1.</w:t>
            </w:r>
          </w:p>
        </w:tc>
      </w:tr>
      <w:tr w:rsidR="00CB25F6" w:rsidRPr="00500C4E" w14:paraId="63B310F0" w14:textId="77777777" w:rsidTr="00920905">
        <w:trPr>
          <w:trHeight w:val="465"/>
        </w:trPr>
        <w:tc>
          <w:tcPr>
            <w:tcW w:w="1875" w:type="pct"/>
          </w:tcPr>
          <w:p w14:paraId="5050E2A3" w14:textId="2CBF1387" w:rsidR="00CB25F6" w:rsidRPr="00500C4E" w:rsidRDefault="00CB25F6" w:rsidP="00CB25F6">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78FA9894" w:rsidR="00CB25F6" w:rsidRPr="00500C4E" w:rsidRDefault="00012C9B" w:rsidP="00CB25F6">
            <w:pPr>
              <w:rPr>
                <w:rFonts w:cs="Arial"/>
                <w:color w:val="FF0000"/>
                <w:szCs w:val="20"/>
              </w:rPr>
            </w:pPr>
            <w:r>
              <w:t>Compact fluorescent (CFL) fixtures</w:t>
            </w:r>
          </w:p>
        </w:tc>
      </w:tr>
      <w:tr w:rsidR="00CB25F6" w:rsidRPr="00500C4E" w14:paraId="085771EF" w14:textId="77777777" w:rsidTr="00920905">
        <w:trPr>
          <w:trHeight w:val="465"/>
        </w:trPr>
        <w:tc>
          <w:tcPr>
            <w:tcW w:w="1875" w:type="pct"/>
          </w:tcPr>
          <w:p w14:paraId="679DB8A0" w14:textId="3D691398" w:rsidR="00CB25F6" w:rsidRPr="00500C4E" w:rsidRDefault="00CB25F6" w:rsidP="00CB25F6">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767FEF59" w:rsidR="00CB25F6" w:rsidRPr="00012C9B" w:rsidRDefault="00012C9B" w:rsidP="00CB25F6">
            <w:r>
              <w:t xml:space="preserve">Common/Dwelling </w:t>
            </w:r>
            <w:r w:rsidR="00431F0E">
              <w:t>measures: Incandescent fixtures</w:t>
            </w:r>
          </w:p>
        </w:tc>
      </w:tr>
      <w:tr w:rsidR="00D36798" w:rsidRPr="00500C4E" w14:paraId="5C218003" w14:textId="77777777" w:rsidTr="00920905">
        <w:trPr>
          <w:trHeight w:val="465"/>
        </w:trPr>
        <w:tc>
          <w:tcPr>
            <w:tcW w:w="1875" w:type="pct"/>
          </w:tcPr>
          <w:p w14:paraId="1DBA889C" w14:textId="101AEBA4"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72A514CD" w:rsidR="00D36798" w:rsidRPr="00500C4E" w:rsidRDefault="00CB25F6">
            <w:pPr>
              <w:rPr>
                <w:rFonts w:cs="Arial"/>
                <w:color w:val="FF0000"/>
                <w:szCs w:val="20"/>
              </w:rPr>
            </w:pPr>
            <w:r w:rsidRPr="00CB25F6">
              <w:rPr>
                <w:rFonts w:cs="Arial"/>
                <w:szCs w:val="20"/>
              </w:rPr>
              <w:t>Fixture</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4BE91489" w:rsidR="00290ED8" w:rsidRPr="00B03116" w:rsidRDefault="00D36798" w:rsidP="00E364F3">
            <w:pPr>
              <w:tabs>
                <w:tab w:val="left" w:pos="3480"/>
              </w:tabs>
              <w:rPr>
                <w:rFonts w:cs="Arial"/>
                <w:szCs w:val="20"/>
              </w:rPr>
            </w:pPr>
            <w:r w:rsidRPr="00B03116">
              <w:rPr>
                <w:rFonts w:cs="Arial"/>
                <w:szCs w:val="20"/>
              </w:rPr>
              <w:t>Refer to Excel Calculation Attachment</w:t>
            </w:r>
            <w:r w:rsidR="00B03116" w:rsidRPr="00B03116">
              <w:rPr>
                <w:rFonts w:cs="Arial"/>
                <w:szCs w:val="20"/>
              </w:rPr>
              <w:t xml:space="preserve"> 1.</w:t>
            </w:r>
            <w:r w:rsidR="00E12371" w:rsidRPr="00B03116">
              <w:rPr>
                <w:rFonts w:cs="Arial"/>
                <w:szCs w:val="20"/>
              </w:rPr>
              <w:tab/>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68BA3DFD" w:rsidR="00290ED8" w:rsidRPr="00B03116" w:rsidRDefault="00AC2F5B" w:rsidP="00AC2F5B">
            <w:pPr>
              <w:rPr>
                <w:rFonts w:cs="Arial"/>
                <w:szCs w:val="20"/>
              </w:rPr>
            </w:pPr>
            <w:r w:rsidRPr="00B03116">
              <w:rPr>
                <w:rFonts w:cs="Arial"/>
                <w:szCs w:val="20"/>
              </w:rPr>
              <w:t>Refer to Excel Calculation Attachment</w:t>
            </w:r>
            <w:r w:rsidR="00B03116" w:rsidRPr="00B03116">
              <w:rPr>
                <w:rFonts w:cs="Arial"/>
                <w:szCs w:val="20"/>
              </w:rPr>
              <w:t xml:space="preserve"> 2.</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46A5FBD0" w:rsidR="00290ED8" w:rsidRPr="00B03116" w:rsidRDefault="00AC2F5B" w:rsidP="00AC2F5B">
            <w:pPr>
              <w:rPr>
                <w:rFonts w:cs="Arial"/>
                <w:szCs w:val="20"/>
              </w:rPr>
            </w:pPr>
            <w:r w:rsidRPr="00B03116">
              <w:rPr>
                <w:rFonts w:cs="Arial"/>
                <w:szCs w:val="20"/>
              </w:rPr>
              <w:t>Refer to Excel Calculation Attachment</w:t>
            </w:r>
            <w:r w:rsidR="00B03116" w:rsidRPr="00B03116">
              <w:rPr>
                <w:rFonts w:cs="Arial"/>
                <w:szCs w:val="20"/>
              </w:rPr>
              <w:t xml:space="preserve"> 2.</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ABCA54C" w14:textId="77777777" w:rsidR="00B2325C" w:rsidRDefault="00B2325C">
            <w:proofErr w:type="spellStart"/>
            <w:r w:rsidRPr="002E259E">
              <w:t>ILtg</w:t>
            </w:r>
            <w:proofErr w:type="spellEnd"/>
            <w:r w:rsidRPr="002E259E">
              <w:t>-</w:t>
            </w:r>
            <w:proofErr w:type="spellStart"/>
            <w:r w:rsidRPr="002E259E">
              <w:t>CFLfix</w:t>
            </w:r>
            <w:proofErr w:type="spellEnd"/>
            <w:r w:rsidRPr="002E259E">
              <w:t>-Res</w:t>
            </w:r>
            <w:r>
              <w:t>: 16 years</w:t>
            </w:r>
          </w:p>
          <w:p w14:paraId="70DC1712" w14:textId="512CBB5C" w:rsidR="00B2325C" w:rsidRPr="00500C4E" w:rsidRDefault="00B2325C">
            <w:pPr>
              <w:rPr>
                <w:rFonts w:cs="Arial"/>
                <w:color w:val="FF0000"/>
                <w:szCs w:val="20"/>
              </w:rPr>
            </w:pPr>
            <w:proofErr w:type="spellStart"/>
            <w:r w:rsidRPr="002E259E">
              <w:t>ILtg-CFLfix-ResCmnArea</w:t>
            </w:r>
            <w:proofErr w:type="spellEnd"/>
            <w:r>
              <w:t>: 15 years</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08423BBE" w14:textId="79464A61" w:rsidR="00290ED8" w:rsidRPr="00500C4E" w:rsidRDefault="00CB25F6" w:rsidP="00264C23">
            <w:pPr>
              <w:rPr>
                <w:rFonts w:cs="Arial"/>
                <w:color w:val="FF0000"/>
                <w:szCs w:val="20"/>
              </w:rPr>
            </w:pPr>
            <w:r w:rsidRPr="00CB25F6">
              <w:rPr>
                <w:szCs w:val="20"/>
              </w:rPr>
              <w:t>Replace on Burnout (ROB)</w:t>
            </w:r>
            <w:r w:rsidR="00E12371">
              <w:rPr>
                <w:szCs w:val="20"/>
              </w:rPr>
              <w:t xml:space="preserve"> </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0560EE52" w14:textId="28332F7F" w:rsidR="00B2325C" w:rsidRDefault="00B2325C">
            <w:r w:rsidRPr="0039187B">
              <w:t>Res-Default&gt;2</w:t>
            </w:r>
            <w:r>
              <w:t>: 0.55</w:t>
            </w:r>
          </w:p>
          <w:p w14:paraId="40A9016A" w14:textId="6F6948A1" w:rsidR="00B2325C" w:rsidRPr="00500C4E" w:rsidRDefault="00B2325C">
            <w:pPr>
              <w:rPr>
                <w:rFonts w:cs="Arial"/>
                <w:color w:val="FF0000"/>
                <w:szCs w:val="20"/>
              </w:rPr>
            </w:pPr>
            <w:r w:rsidRPr="00466CFA">
              <w:t>Res-Default-HTR-di</w:t>
            </w:r>
            <w:r>
              <w:t>: 0.85</w:t>
            </w:r>
          </w:p>
        </w:tc>
      </w:tr>
      <w:tr w:rsidR="00290ED8" w:rsidRPr="00500C4E" w14:paraId="7D762862" w14:textId="77777777" w:rsidTr="00920905">
        <w:trPr>
          <w:trHeight w:val="465"/>
        </w:trPr>
        <w:tc>
          <w:tcPr>
            <w:tcW w:w="1875" w:type="pct"/>
          </w:tcPr>
          <w:p w14:paraId="00714D90" w14:textId="1DD84AA0"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147" w:type="pct"/>
        <w:tblLook w:val="01E0" w:firstRow="1" w:lastRow="1" w:firstColumn="1" w:lastColumn="1" w:noHBand="0" w:noVBand="0"/>
      </w:tblPr>
      <w:tblGrid>
        <w:gridCol w:w="536"/>
        <w:gridCol w:w="1211"/>
        <w:gridCol w:w="1510"/>
        <w:gridCol w:w="6601"/>
      </w:tblGrid>
      <w:tr w:rsidR="003845E5" w:rsidRPr="00500C4E" w14:paraId="5AFD7FBC" w14:textId="77777777" w:rsidTr="00E364F3">
        <w:trPr>
          <w:trHeight w:val="20"/>
        </w:trPr>
        <w:tc>
          <w:tcPr>
            <w:tcW w:w="272"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14"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66"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348"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DC7599" w:rsidRPr="00500C4E" w14:paraId="2B09A286" w14:textId="77777777" w:rsidTr="00E364F3">
        <w:trPr>
          <w:trHeight w:val="20"/>
        </w:trPr>
        <w:tc>
          <w:tcPr>
            <w:tcW w:w="272" w:type="pct"/>
          </w:tcPr>
          <w:p w14:paraId="74AF582F" w14:textId="337EA49C" w:rsidR="00DC7599" w:rsidRDefault="00E20416" w:rsidP="00DC7599">
            <w:pPr>
              <w:rPr>
                <w:rFonts w:cstheme="minorHAnsi"/>
                <w:szCs w:val="20"/>
              </w:rPr>
            </w:pPr>
            <w:r>
              <w:rPr>
                <w:rFonts w:cstheme="minorHAnsi"/>
                <w:szCs w:val="20"/>
              </w:rPr>
              <w:t>0</w:t>
            </w:r>
          </w:p>
        </w:tc>
        <w:tc>
          <w:tcPr>
            <w:tcW w:w="614" w:type="pct"/>
          </w:tcPr>
          <w:p w14:paraId="05D6FF16" w14:textId="40C59B11" w:rsidR="00DC7599" w:rsidRDefault="00E364F3" w:rsidP="00DC7599">
            <w:pPr>
              <w:rPr>
                <w:rFonts w:cstheme="minorHAnsi"/>
                <w:szCs w:val="20"/>
              </w:rPr>
            </w:pPr>
            <w:r>
              <w:rPr>
                <w:rFonts w:cstheme="minorHAnsi"/>
                <w:szCs w:val="20"/>
              </w:rPr>
              <w:t>11/2</w:t>
            </w:r>
            <w:r w:rsidR="00DC7599">
              <w:rPr>
                <w:rFonts w:cstheme="minorHAnsi"/>
                <w:szCs w:val="20"/>
              </w:rPr>
              <w:t>/2016</w:t>
            </w:r>
          </w:p>
        </w:tc>
        <w:tc>
          <w:tcPr>
            <w:tcW w:w="766" w:type="pct"/>
          </w:tcPr>
          <w:p w14:paraId="240493C9" w14:textId="14450082" w:rsidR="00DC7599" w:rsidRDefault="00DC7599" w:rsidP="00DC7599">
            <w:pPr>
              <w:rPr>
                <w:rFonts w:cstheme="minorHAnsi"/>
                <w:szCs w:val="20"/>
              </w:rPr>
            </w:pPr>
            <w:r>
              <w:rPr>
                <w:rFonts w:cstheme="minorHAnsi"/>
                <w:szCs w:val="20"/>
              </w:rPr>
              <w:t xml:space="preserve">Theodore </w:t>
            </w:r>
            <w:proofErr w:type="spellStart"/>
            <w:r>
              <w:rPr>
                <w:rFonts w:cstheme="minorHAnsi"/>
                <w:szCs w:val="20"/>
              </w:rPr>
              <w:t>D’Williams</w:t>
            </w:r>
            <w:proofErr w:type="spellEnd"/>
            <w:r>
              <w:rPr>
                <w:rFonts w:cstheme="minorHAnsi"/>
                <w:szCs w:val="20"/>
              </w:rPr>
              <w:t>/TRC</w:t>
            </w:r>
          </w:p>
        </w:tc>
        <w:tc>
          <w:tcPr>
            <w:tcW w:w="3348" w:type="pct"/>
          </w:tcPr>
          <w:p w14:paraId="644116A4" w14:textId="46DDCF17" w:rsidR="00E20416" w:rsidRDefault="00E20416" w:rsidP="00DC7599">
            <w:pPr>
              <w:pStyle w:val="ListParagraph"/>
              <w:numPr>
                <w:ilvl w:val="0"/>
                <w:numId w:val="48"/>
              </w:numPr>
              <w:ind w:left="227" w:hanging="270"/>
              <w:rPr>
                <w:rFonts w:cstheme="minorHAnsi"/>
                <w:bCs/>
                <w:szCs w:val="20"/>
              </w:rPr>
            </w:pPr>
            <w:r>
              <w:rPr>
                <w:rFonts w:cstheme="minorHAnsi"/>
                <w:bCs/>
                <w:szCs w:val="20"/>
              </w:rPr>
              <w:t>This work paper is a copy of SCE13LG085.4</w:t>
            </w:r>
          </w:p>
          <w:p w14:paraId="3AAC4634" w14:textId="77777777" w:rsidR="006352B5" w:rsidRPr="00B56E16" w:rsidRDefault="006352B5" w:rsidP="006352B5">
            <w:pPr>
              <w:pStyle w:val="ListParagraph"/>
              <w:numPr>
                <w:ilvl w:val="0"/>
                <w:numId w:val="48"/>
              </w:numPr>
              <w:ind w:left="227" w:hanging="270"/>
              <w:rPr>
                <w:rFonts w:cstheme="minorHAnsi"/>
                <w:bCs/>
                <w:szCs w:val="20"/>
              </w:rPr>
            </w:pPr>
            <w:r>
              <w:t>New calculation template for 2017 program year</w:t>
            </w:r>
          </w:p>
          <w:p w14:paraId="636370F3" w14:textId="4B547D4A" w:rsidR="00FD711B" w:rsidRDefault="00FD711B" w:rsidP="00DC7599">
            <w:pPr>
              <w:pStyle w:val="ListParagraph"/>
              <w:numPr>
                <w:ilvl w:val="0"/>
                <w:numId w:val="48"/>
              </w:numPr>
              <w:ind w:left="227" w:hanging="270"/>
              <w:rPr>
                <w:rFonts w:cstheme="minorHAnsi"/>
                <w:bCs/>
                <w:szCs w:val="20"/>
              </w:rPr>
            </w:pPr>
            <w:r>
              <w:rPr>
                <w:rFonts w:cstheme="minorHAnsi"/>
                <w:bCs/>
                <w:szCs w:val="20"/>
              </w:rPr>
              <w:t xml:space="preserve">Early Retirement (RET) was removed as an installation type </w:t>
            </w:r>
          </w:p>
          <w:p w14:paraId="0D001D40" w14:textId="57FBF7B4" w:rsidR="00DC7599" w:rsidRPr="00E317E6" w:rsidRDefault="00610068" w:rsidP="00E364F3">
            <w:pPr>
              <w:pStyle w:val="ListParagraph"/>
              <w:numPr>
                <w:ilvl w:val="0"/>
                <w:numId w:val="48"/>
              </w:numPr>
              <w:ind w:left="227" w:hanging="270"/>
              <w:rPr>
                <w:rFonts w:cstheme="minorHAnsi"/>
                <w:bCs/>
                <w:szCs w:val="20"/>
              </w:rPr>
            </w:pPr>
            <w:r>
              <w:t xml:space="preserve">Labor </w:t>
            </w:r>
            <w:r w:rsidR="00E364F3">
              <w:t>cost</w:t>
            </w:r>
            <w:r>
              <w:t xml:space="preserve"> revised based on </w:t>
            </w:r>
            <w:proofErr w:type="spellStart"/>
            <w:r>
              <w:t>RSMeans</w:t>
            </w:r>
            <w:proofErr w:type="spellEnd"/>
            <w:r>
              <w:t xml:space="preserve"> 2016</w:t>
            </w:r>
          </w:p>
          <w:p w14:paraId="5EA6409D" w14:textId="4B28152C" w:rsidR="000271E3" w:rsidRPr="00F913BC" w:rsidRDefault="00F8668E" w:rsidP="00F913BC">
            <w:pPr>
              <w:pStyle w:val="ListParagraph"/>
              <w:numPr>
                <w:ilvl w:val="0"/>
                <w:numId w:val="48"/>
              </w:numPr>
              <w:ind w:left="227" w:hanging="270"/>
              <w:rPr>
                <w:rFonts w:cstheme="minorHAnsi"/>
                <w:bCs/>
                <w:szCs w:val="20"/>
              </w:rPr>
            </w:pPr>
            <w:r w:rsidRPr="00475FBD">
              <w:t xml:space="preserve">Savings were updated </w:t>
            </w:r>
            <w:r w:rsidR="000D2343" w:rsidRPr="00475FBD">
              <w:t xml:space="preserve">based on DEER 2017 </w:t>
            </w:r>
            <w:r w:rsidR="00F913BC">
              <w:t>Assumptions</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43E8FCDC" w:rsidR="008877AF" w:rsidRPr="00EE4120" w:rsidRDefault="008877AF" w:rsidP="00A84BF9">
            <w:pPr>
              <w:rPr>
                <w:bCs/>
                <w:color w:val="FF0000"/>
              </w:rPr>
            </w:pPr>
          </w:p>
        </w:tc>
        <w:tc>
          <w:tcPr>
            <w:tcW w:w="351" w:type="pct"/>
          </w:tcPr>
          <w:p w14:paraId="23988046" w14:textId="028859C8" w:rsidR="008877AF" w:rsidRPr="00EE4120" w:rsidRDefault="008877AF" w:rsidP="00A84BF9">
            <w:pPr>
              <w:rPr>
                <w:bCs/>
                <w:color w:val="FF0000"/>
                <w:szCs w:val="20"/>
              </w:rPr>
            </w:pPr>
          </w:p>
        </w:tc>
        <w:tc>
          <w:tcPr>
            <w:tcW w:w="548" w:type="pct"/>
          </w:tcPr>
          <w:p w14:paraId="4AB37DB0" w14:textId="0D18913C" w:rsidR="008877AF" w:rsidRPr="00EE4120" w:rsidRDefault="008877AF" w:rsidP="00A84BF9">
            <w:pPr>
              <w:rPr>
                <w:bCs/>
                <w:color w:val="FF0000"/>
                <w:szCs w:val="20"/>
              </w:rPr>
            </w:pPr>
          </w:p>
        </w:tc>
        <w:tc>
          <w:tcPr>
            <w:tcW w:w="552" w:type="pct"/>
          </w:tcPr>
          <w:p w14:paraId="62E998F6" w14:textId="75490382" w:rsidR="008877AF" w:rsidRPr="00EE4120" w:rsidRDefault="008877AF" w:rsidP="00A84BF9">
            <w:pPr>
              <w:rPr>
                <w:bCs/>
                <w:color w:val="FF0000"/>
                <w:szCs w:val="20"/>
              </w:rPr>
            </w:pPr>
          </w:p>
        </w:tc>
        <w:tc>
          <w:tcPr>
            <w:tcW w:w="1634" w:type="pct"/>
          </w:tcPr>
          <w:p w14:paraId="369DEEE8" w14:textId="75F5E46C" w:rsidR="008877AF" w:rsidRPr="00F25B36" w:rsidRDefault="008877AF" w:rsidP="00B2325C">
            <w:pPr>
              <w:pStyle w:val="ListParagraph"/>
              <w:ind w:left="360"/>
              <w:rPr>
                <w:bCs/>
                <w:color w:val="FF0000"/>
                <w:szCs w:val="20"/>
              </w:rPr>
            </w:pPr>
          </w:p>
        </w:tc>
        <w:tc>
          <w:tcPr>
            <w:tcW w:w="1634" w:type="pct"/>
          </w:tcPr>
          <w:p w14:paraId="1ECCFDB6" w14:textId="3B06263E" w:rsidR="008877AF" w:rsidRPr="00F25B36" w:rsidRDefault="008877AF" w:rsidP="00B2325C">
            <w:pPr>
              <w:pStyle w:val="ListParagraph"/>
              <w:ind w:left="360"/>
              <w:rPr>
                <w:bCs/>
                <w:color w:val="FF0000"/>
                <w:szCs w:val="20"/>
              </w:rPr>
            </w:pPr>
          </w:p>
        </w:tc>
      </w:tr>
      <w:tr w:rsidR="008877AF" w:rsidRPr="00500C4E" w14:paraId="69D073CD" w14:textId="392DFDA5" w:rsidTr="00BA5FE4">
        <w:trPr>
          <w:trHeight w:val="20"/>
        </w:trPr>
        <w:tc>
          <w:tcPr>
            <w:tcW w:w="280" w:type="pct"/>
          </w:tcPr>
          <w:p w14:paraId="19E0D6ED" w14:textId="586D4D95" w:rsidR="008877AF" w:rsidRPr="00EE4120" w:rsidRDefault="008877AF" w:rsidP="00A84BF9">
            <w:pPr>
              <w:rPr>
                <w:color w:val="FF0000"/>
              </w:rPr>
            </w:pPr>
          </w:p>
        </w:tc>
        <w:tc>
          <w:tcPr>
            <w:tcW w:w="351" w:type="pct"/>
          </w:tcPr>
          <w:p w14:paraId="71879172" w14:textId="15C24211" w:rsidR="008877AF" w:rsidRPr="00EE4120" w:rsidRDefault="008877AF" w:rsidP="00A84BF9">
            <w:pPr>
              <w:autoSpaceDE w:val="0"/>
              <w:autoSpaceDN w:val="0"/>
              <w:adjustRightInd w:val="0"/>
              <w:rPr>
                <w:color w:val="FF0000"/>
                <w:szCs w:val="20"/>
              </w:rPr>
            </w:pPr>
          </w:p>
        </w:tc>
        <w:tc>
          <w:tcPr>
            <w:tcW w:w="548" w:type="pct"/>
          </w:tcPr>
          <w:p w14:paraId="61A20ED3" w14:textId="7AE3F1DA" w:rsidR="008877AF" w:rsidRPr="00EE4120" w:rsidRDefault="008877AF" w:rsidP="00A84BF9">
            <w:pPr>
              <w:autoSpaceDE w:val="0"/>
              <w:autoSpaceDN w:val="0"/>
              <w:adjustRightInd w:val="0"/>
              <w:rPr>
                <w:color w:val="FF0000"/>
                <w:szCs w:val="20"/>
              </w:rPr>
            </w:pPr>
          </w:p>
        </w:tc>
        <w:tc>
          <w:tcPr>
            <w:tcW w:w="552" w:type="pct"/>
          </w:tcPr>
          <w:p w14:paraId="211F8E7E" w14:textId="01176E02" w:rsidR="008877AF" w:rsidRPr="00EE4120" w:rsidRDefault="008877AF" w:rsidP="00A84BF9">
            <w:pPr>
              <w:rPr>
                <w:color w:val="FF0000"/>
                <w:szCs w:val="20"/>
              </w:rPr>
            </w:pPr>
          </w:p>
        </w:tc>
        <w:tc>
          <w:tcPr>
            <w:tcW w:w="1634" w:type="pct"/>
          </w:tcPr>
          <w:p w14:paraId="52AA4972" w14:textId="224D0DCE" w:rsidR="008877AF" w:rsidRPr="00F25B36" w:rsidRDefault="008877AF" w:rsidP="00B2325C">
            <w:pPr>
              <w:pStyle w:val="ListParagraph"/>
              <w:ind w:left="360"/>
              <w:rPr>
                <w:bCs/>
                <w:color w:val="FF0000"/>
                <w:szCs w:val="20"/>
              </w:rPr>
            </w:pPr>
          </w:p>
        </w:tc>
        <w:tc>
          <w:tcPr>
            <w:tcW w:w="1634" w:type="pct"/>
          </w:tcPr>
          <w:p w14:paraId="34686434" w14:textId="5C396E65" w:rsidR="008877AF" w:rsidRPr="00F25B36" w:rsidRDefault="008877AF" w:rsidP="00B2325C">
            <w:pPr>
              <w:pStyle w:val="ListParagraph"/>
              <w:ind w:left="360"/>
              <w:rPr>
                <w:bCs/>
                <w:color w:val="FF0000"/>
                <w:szCs w:val="20"/>
              </w:rPr>
            </w:pPr>
          </w:p>
        </w:tc>
      </w:tr>
    </w:tbl>
    <w:p w14:paraId="0A689F00" w14:textId="497205EB" w:rsidR="00DA2822" w:rsidRPr="00B2325C"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DA2822">
        <w:rPr>
          <w:szCs w:val="20"/>
        </w:rPr>
        <w:br w:type="page"/>
      </w:r>
    </w:p>
    <w:p w14:paraId="47240B01" w14:textId="1BBFFAE1"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1FFD38CC" w14:textId="557EFCE6" w:rsidR="00F171E1" w:rsidRPr="00920905" w:rsidRDefault="00F171E1" w:rsidP="00E364F3">
      <w:pPr>
        <w:pStyle w:val="Caption"/>
        <w:rPr>
          <w:szCs w:val="22"/>
        </w:rPr>
      </w:pPr>
      <w:r w:rsidRPr="00920905">
        <w:rPr>
          <w:szCs w:val="22"/>
        </w:rPr>
        <w:t>Base</w:t>
      </w:r>
      <w:r w:rsidR="005720F2" w:rsidRPr="00920905">
        <w:rPr>
          <w:szCs w:val="22"/>
        </w:rPr>
        <w:t>, Standard,</w:t>
      </w:r>
      <w:r w:rsidRPr="00920905">
        <w:rPr>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195C4065" w:rsidR="00566F81" w:rsidRPr="00920905" w:rsidRDefault="00051E45" w:rsidP="00566F81">
            <w:pPr>
              <w:rPr>
                <w:szCs w:val="20"/>
              </w:rPr>
            </w:pPr>
            <w:r w:rsidRPr="00051E45">
              <w:rPr>
                <w:szCs w:val="20"/>
              </w:rPr>
              <w:t>Interior CFL Fixture</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7EAC7525" w:rsidR="00D85F09" w:rsidRPr="00431F0E" w:rsidRDefault="00566F81" w:rsidP="00566F81">
            <w:r>
              <w:t>Incandescent fixtures (</w:t>
            </w:r>
            <w:r w:rsidRPr="008214A3">
              <w:rPr>
                <w:color w:val="000000"/>
                <w:szCs w:val="20"/>
              </w:rPr>
              <w:t xml:space="preserve">Total Watts = 3.53 x </w:t>
            </w:r>
            <w:proofErr w:type="spellStart"/>
            <w:r w:rsidRPr="008214A3">
              <w:rPr>
                <w:color w:val="000000"/>
                <w:szCs w:val="20"/>
              </w:rPr>
              <w:t>Msr</w:t>
            </w:r>
            <w:proofErr w:type="spellEnd"/>
            <w:r w:rsidRPr="008214A3">
              <w:rPr>
                <w:color w:val="000000"/>
                <w:szCs w:val="20"/>
              </w:rPr>
              <w:t xml:space="preserve"> Watts</w:t>
            </w:r>
            <w:r>
              <w:rPr>
                <w:color w:val="000000"/>
                <w:szCs w:val="20"/>
              </w:rPr>
              <w:t>)</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5C79B2CB" w:rsidR="002344FB" w:rsidRPr="00431F0E" w:rsidRDefault="008257BF" w:rsidP="00566F81">
            <w:pPr>
              <w:rPr>
                <w:szCs w:val="20"/>
              </w:rPr>
            </w:pPr>
            <w:r>
              <w:t>Incandescent fixtures (</w:t>
            </w:r>
            <w:r w:rsidRPr="008214A3">
              <w:rPr>
                <w:color w:val="000000"/>
                <w:szCs w:val="20"/>
              </w:rPr>
              <w:t xml:space="preserve">Total Watts = 3.53 x </w:t>
            </w:r>
            <w:proofErr w:type="spellStart"/>
            <w:r w:rsidRPr="008214A3">
              <w:rPr>
                <w:color w:val="000000"/>
                <w:szCs w:val="20"/>
              </w:rPr>
              <w:t>Msr</w:t>
            </w:r>
            <w:proofErr w:type="spellEnd"/>
            <w:r w:rsidRPr="008214A3">
              <w:rPr>
                <w:color w:val="000000"/>
                <w:szCs w:val="20"/>
              </w:rPr>
              <w:t xml:space="preserve"> Watts</w:t>
            </w:r>
            <w:r>
              <w:rPr>
                <w:color w:val="000000"/>
                <w:szCs w:val="20"/>
              </w:rPr>
              <w:t>)</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7A4CDEC6" w:rsidR="00D85F09" w:rsidRPr="00920905" w:rsidRDefault="00051E45" w:rsidP="00920905">
            <w:pPr>
              <w:rPr>
                <w:i/>
                <w:szCs w:val="20"/>
              </w:rPr>
            </w:pPr>
            <w:r w:rsidRPr="00051E45">
              <w:rPr>
                <w:szCs w:val="20"/>
              </w:rPr>
              <w:t>N/A</w:t>
            </w:r>
          </w:p>
        </w:tc>
      </w:tr>
    </w:tbl>
    <w:p w14:paraId="3D32C2EF" w14:textId="77777777" w:rsidR="00D85F09" w:rsidRPr="00800706" w:rsidRDefault="00D85F09" w:rsidP="00920905">
      <w:pPr>
        <w:pStyle w:val="NoSpacing"/>
      </w:pPr>
    </w:p>
    <w:p w14:paraId="00275FA1" w14:textId="108DBE5C" w:rsidR="00AC5309" w:rsidRPr="00800706" w:rsidRDefault="00AC5309" w:rsidP="00E317E6">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ayout w:type="fixed"/>
        <w:tblLook w:val="04A0" w:firstRow="1" w:lastRow="0" w:firstColumn="1" w:lastColumn="0" w:noHBand="0" w:noVBand="1"/>
      </w:tblPr>
      <w:tblGrid>
        <w:gridCol w:w="553"/>
        <w:gridCol w:w="822"/>
        <w:gridCol w:w="1015"/>
        <w:gridCol w:w="739"/>
        <w:gridCol w:w="6447"/>
      </w:tblGrid>
      <w:tr w:rsidR="003A3170" w:rsidRPr="008214A3" w14:paraId="4040004B" w14:textId="77777777" w:rsidTr="008214A3">
        <w:tc>
          <w:tcPr>
            <w:tcW w:w="1634" w:type="pct"/>
            <w:gridSpan w:val="4"/>
            <w:shd w:val="clear" w:color="auto" w:fill="D9D9D9" w:themeFill="background1" w:themeFillShade="D9"/>
          </w:tcPr>
          <w:p w14:paraId="528E7CD9" w14:textId="048A7F1B" w:rsidR="003A3170" w:rsidRPr="008214A3" w:rsidRDefault="003A3170" w:rsidP="005729C8">
            <w:pPr>
              <w:rPr>
                <w:rFonts w:cstheme="minorHAnsi"/>
                <w:b/>
                <w:szCs w:val="20"/>
              </w:rPr>
            </w:pPr>
            <w:r w:rsidRPr="008214A3">
              <w:rPr>
                <w:rFonts w:cstheme="minorHAnsi"/>
                <w:b/>
                <w:szCs w:val="20"/>
              </w:rPr>
              <w:t>Measure Codes</w:t>
            </w:r>
          </w:p>
        </w:tc>
        <w:tc>
          <w:tcPr>
            <w:tcW w:w="3366" w:type="pct"/>
            <w:vMerge w:val="restart"/>
            <w:shd w:val="clear" w:color="auto" w:fill="D9D9D9" w:themeFill="background1" w:themeFillShade="D9"/>
          </w:tcPr>
          <w:p w14:paraId="3F5879A8" w14:textId="54774EFB" w:rsidR="003A3170" w:rsidRPr="008214A3" w:rsidRDefault="003A3170" w:rsidP="005729C8">
            <w:pPr>
              <w:rPr>
                <w:rFonts w:cstheme="minorHAnsi"/>
                <w:b/>
                <w:szCs w:val="20"/>
              </w:rPr>
            </w:pPr>
            <w:r w:rsidRPr="008214A3">
              <w:rPr>
                <w:rFonts w:cstheme="minorHAnsi"/>
                <w:b/>
                <w:szCs w:val="20"/>
              </w:rPr>
              <w:t>Measure Name</w:t>
            </w:r>
          </w:p>
        </w:tc>
      </w:tr>
      <w:tr w:rsidR="003A3170" w:rsidRPr="008214A3" w14:paraId="0B10C1CA" w14:textId="77777777" w:rsidTr="008214A3">
        <w:tc>
          <w:tcPr>
            <w:tcW w:w="289" w:type="pct"/>
            <w:shd w:val="clear" w:color="auto" w:fill="F2F2F2" w:themeFill="background1" w:themeFillShade="F2"/>
          </w:tcPr>
          <w:p w14:paraId="01278571" w14:textId="40286C8C" w:rsidR="003A3170" w:rsidRPr="008214A3" w:rsidRDefault="003A3170" w:rsidP="00397406">
            <w:pPr>
              <w:rPr>
                <w:rFonts w:cstheme="minorHAnsi"/>
                <w:szCs w:val="20"/>
              </w:rPr>
            </w:pPr>
            <w:r w:rsidRPr="008214A3">
              <w:rPr>
                <w:rFonts w:cstheme="minorHAnsi"/>
                <w:szCs w:val="20"/>
              </w:rPr>
              <w:t>SCG</w:t>
            </w:r>
          </w:p>
        </w:tc>
        <w:tc>
          <w:tcPr>
            <w:tcW w:w="429" w:type="pct"/>
            <w:shd w:val="clear" w:color="auto" w:fill="F2F2F2" w:themeFill="background1" w:themeFillShade="F2"/>
          </w:tcPr>
          <w:p w14:paraId="29CA2505" w14:textId="46993DC0" w:rsidR="003A3170" w:rsidRPr="008214A3" w:rsidRDefault="003A3170" w:rsidP="00397406">
            <w:pPr>
              <w:rPr>
                <w:rFonts w:cstheme="minorHAnsi"/>
                <w:szCs w:val="20"/>
              </w:rPr>
            </w:pPr>
            <w:r w:rsidRPr="008214A3">
              <w:rPr>
                <w:rFonts w:cstheme="minorHAnsi"/>
                <w:szCs w:val="20"/>
              </w:rPr>
              <w:t>SDG&amp;E</w:t>
            </w:r>
          </w:p>
        </w:tc>
        <w:tc>
          <w:tcPr>
            <w:tcW w:w="530" w:type="pct"/>
            <w:shd w:val="clear" w:color="auto" w:fill="F2F2F2" w:themeFill="background1" w:themeFillShade="F2"/>
          </w:tcPr>
          <w:p w14:paraId="4AFAE784" w14:textId="7FE2DC11" w:rsidR="003A3170" w:rsidRPr="008214A3" w:rsidRDefault="003A3170" w:rsidP="00C959CA">
            <w:pPr>
              <w:rPr>
                <w:rFonts w:cstheme="minorHAnsi"/>
                <w:szCs w:val="20"/>
              </w:rPr>
            </w:pPr>
            <w:r w:rsidRPr="008214A3">
              <w:rPr>
                <w:rFonts w:cstheme="minorHAnsi"/>
                <w:szCs w:val="20"/>
              </w:rPr>
              <w:t>SCE</w:t>
            </w:r>
          </w:p>
        </w:tc>
        <w:tc>
          <w:tcPr>
            <w:tcW w:w="386" w:type="pct"/>
            <w:shd w:val="clear" w:color="auto" w:fill="F2F2F2" w:themeFill="background1" w:themeFillShade="F2"/>
          </w:tcPr>
          <w:p w14:paraId="16907D5C" w14:textId="3D2178E7" w:rsidR="003A3170" w:rsidRPr="008214A3" w:rsidRDefault="003A3170" w:rsidP="00D835EF">
            <w:pPr>
              <w:rPr>
                <w:rFonts w:cstheme="minorHAnsi"/>
                <w:szCs w:val="20"/>
              </w:rPr>
            </w:pPr>
            <w:r w:rsidRPr="008214A3">
              <w:rPr>
                <w:rFonts w:cstheme="minorHAnsi"/>
                <w:szCs w:val="20"/>
              </w:rPr>
              <w:t>PG&amp;E</w:t>
            </w:r>
          </w:p>
        </w:tc>
        <w:tc>
          <w:tcPr>
            <w:tcW w:w="3366" w:type="pct"/>
            <w:vMerge/>
          </w:tcPr>
          <w:p w14:paraId="4025F40F" w14:textId="38634C6A" w:rsidR="003A3170" w:rsidRPr="008214A3" w:rsidRDefault="003A3170" w:rsidP="005729C8">
            <w:pPr>
              <w:rPr>
                <w:rFonts w:cstheme="minorHAnsi"/>
                <w:szCs w:val="20"/>
              </w:rPr>
            </w:pPr>
          </w:p>
        </w:tc>
      </w:tr>
      <w:tr w:rsidR="008214A3" w:rsidRPr="008214A3" w14:paraId="0290ADBE" w14:textId="77777777" w:rsidTr="008214A3">
        <w:trPr>
          <w:trHeight w:val="243"/>
        </w:trPr>
        <w:tc>
          <w:tcPr>
            <w:tcW w:w="289" w:type="pct"/>
          </w:tcPr>
          <w:p w14:paraId="1CE709CC" w14:textId="77777777" w:rsidR="008214A3" w:rsidRPr="008214A3" w:rsidRDefault="008214A3" w:rsidP="008214A3">
            <w:pPr>
              <w:rPr>
                <w:rFonts w:cstheme="minorHAnsi"/>
                <w:color w:val="FF0000"/>
                <w:szCs w:val="20"/>
              </w:rPr>
            </w:pPr>
          </w:p>
        </w:tc>
        <w:tc>
          <w:tcPr>
            <w:tcW w:w="429" w:type="pct"/>
          </w:tcPr>
          <w:p w14:paraId="666F9F6A" w14:textId="77777777" w:rsidR="008214A3" w:rsidRPr="008214A3" w:rsidRDefault="008214A3" w:rsidP="008214A3">
            <w:pPr>
              <w:rPr>
                <w:rFonts w:cstheme="minorHAnsi"/>
                <w:color w:val="FF0000"/>
                <w:szCs w:val="20"/>
              </w:rPr>
            </w:pPr>
          </w:p>
        </w:tc>
        <w:tc>
          <w:tcPr>
            <w:tcW w:w="530" w:type="pct"/>
          </w:tcPr>
          <w:p w14:paraId="63438A36" w14:textId="40D65EC6" w:rsidR="008214A3" w:rsidRPr="008214A3" w:rsidRDefault="008214A3" w:rsidP="008214A3">
            <w:pPr>
              <w:rPr>
                <w:rFonts w:cstheme="minorHAnsi"/>
                <w:color w:val="FF0000"/>
                <w:szCs w:val="20"/>
              </w:rPr>
            </w:pPr>
            <w:r w:rsidRPr="008214A3">
              <w:rPr>
                <w:color w:val="000000"/>
                <w:szCs w:val="20"/>
              </w:rPr>
              <w:t>LT-79504</w:t>
            </w:r>
          </w:p>
        </w:tc>
        <w:tc>
          <w:tcPr>
            <w:tcW w:w="386" w:type="pct"/>
          </w:tcPr>
          <w:p w14:paraId="311A1841" w14:textId="5410B10B" w:rsidR="008214A3" w:rsidRPr="008214A3" w:rsidRDefault="008214A3" w:rsidP="008214A3">
            <w:pPr>
              <w:rPr>
                <w:rFonts w:cstheme="minorHAnsi"/>
                <w:color w:val="FF0000"/>
                <w:szCs w:val="20"/>
              </w:rPr>
            </w:pPr>
          </w:p>
        </w:tc>
        <w:tc>
          <w:tcPr>
            <w:tcW w:w="3366" w:type="pct"/>
          </w:tcPr>
          <w:p w14:paraId="512138E6" w14:textId="374E6A99" w:rsidR="008214A3" w:rsidRPr="008214A3" w:rsidRDefault="008214A3" w:rsidP="008214A3">
            <w:pPr>
              <w:rPr>
                <w:color w:val="FF0000"/>
                <w:szCs w:val="20"/>
              </w:rPr>
            </w:pPr>
            <w:r w:rsidRPr="008214A3">
              <w:rPr>
                <w:color w:val="000000"/>
                <w:szCs w:val="20"/>
              </w:rPr>
              <w:t xml:space="preserve">16 Watt Interior Fixture (Dwelling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3EC8DDF0" w14:textId="77777777" w:rsidTr="008214A3">
        <w:trPr>
          <w:trHeight w:val="243"/>
        </w:trPr>
        <w:tc>
          <w:tcPr>
            <w:tcW w:w="289" w:type="pct"/>
          </w:tcPr>
          <w:p w14:paraId="036611DE" w14:textId="77777777" w:rsidR="008214A3" w:rsidRPr="008214A3" w:rsidRDefault="008214A3" w:rsidP="008214A3">
            <w:pPr>
              <w:rPr>
                <w:rFonts w:cstheme="minorHAnsi"/>
                <w:szCs w:val="20"/>
              </w:rPr>
            </w:pPr>
          </w:p>
        </w:tc>
        <w:tc>
          <w:tcPr>
            <w:tcW w:w="429" w:type="pct"/>
          </w:tcPr>
          <w:p w14:paraId="7DC81BD5" w14:textId="77777777" w:rsidR="008214A3" w:rsidRPr="008214A3" w:rsidRDefault="008214A3" w:rsidP="008214A3">
            <w:pPr>
              <w:rPr>
                <w:rFonts w:cstheme="minorHAnsi"/>
                <w:szCs w:val="20"/>
              </w:rPr>
            </w:pPr>
          </w:p>
        </w:tc>
        <w:tc>
          <w:tcPr>
            <w:tcW w:w="530" w:type="pct"/>
          </w:tcPr>
          <w:p w14:paraId="00E0B555" w14:textId="17B44EDF" w:rsidR="008214A3" w:rsidRPr="008214A3" w:rsidRDefault="008214A3" w:rsidP="008214A3">
            <w:pPr>
              <w:rPr>
                <w:rFonts w:cstheme="minorHAnsi"/>
                <w:szCs w:val="20"/>
              </w:rPr>
            </w:pPr>
            <w:r w:rsidRPr="008214A3">
              <w:rPr>
                <w:color w:val="000000"/>
                <w:szCs w:val="20"/>
              </w:rPr>
              <w:t>LT-19423</w:t>
            </w:r>
          </w:p>
        </w:tc>
        <w:tc>
          <w:tcPr>
            <w:tcW w:w="386" w:type="pct"/>
          </w:tcPr>
          <w:p w14:paraId="479924EB" w14:textId="77777777" w:rsidR="008214A3" w:rsidRPr="008214A3" w:rsidRDefault="008214A3" w:rsidP="008214A3">
            <w:pPr>
              <w:rPr>
                <w:rFonts w:cstheme="minorHAnsi"/>
                <w:szCs w:val="20"/>
              </w:rPr>
            </w:pPr>
          </w:p>
        </w:tc>
        <w:tc>
          <w:tcPr>
            <w:tcW w:w="3366" w:type="pct"/>
          </w:tcPr>
          <w:p w14:paraId="592A1733" w14:textId="2A042DBE" w:rsidR="008214A3" w:rsidRPr="008214A3" w:rsidRDefault="008214A3" w:rsidP="008214A3">
            <w:pPr>
              <w:rPr>
                <w:szCs w:val="20"/>
              </w:rPr>
            </w:pPr>
            <w:r w:rsidRPr="008214A3">
              <w:rPr>
                <w:color w:val="000000"/>
                <w:szCs w:val="20"/>
              </w:rPr>
              <w:t xml:space="preserve">22 Watt Interior Fixture (Dwelling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2680ECA2" w14:textId="77777777" w:rsidTr="008214A3">
        <w:trPr>
          <w:trHeight w:val="243"/>
        </w:trPr>
        <w:tc>
          <w:tcPr>
            <w:tcW w:w="289" w:type="pct"/>
          </w:tcPr>
          <w:p w14:paraId="5EDEC73F" w14:textId="77777777" w:rsidR="008214A3" w:rsidRPr="008214A3" w:rsidRDefault="008214A3" w:rsidP="008214A3">
            <w:pPr>
              <w:rPr>
                <w:rFonts w:cstheme="minorHAnsi"/>
                <w:szCs w:val="20"/>
              </w:rPr>
            </w:pPr>
          </w:p>
        </w:tc>
        <w:tc>
          <w:tcPr>
            <w:tcW w:w="429" w:type="pct"/>
          </w:tcPr>
          <w:p w14:paraId="238EA769" w14:textId="77777777" w:rsidR="008214A3" w:rsidRPr="008214A3" w:rsidRDefault="008214A3" w:rsidP="008214A3">
            <w:pPr>
              <w:rPr>
                <w:rFonts w:cstheme="minorHAnsi"/>
                <w:szCs w:val="20"/>
              </w:rPr>
            </w:pPr>
          </w:p>
        </w:tc>
        <w:tc>
          <w:tcPr>
            <w:tcW w:w="530" w:type="pct"/>
          </w:tcPr>
          <w:p w14:paraId="32B933B9" w14:textId="3EB839E0" w:rsidR="008214A3" w:rsidRPr="008214A3" w:rsidRDefault="008214A3" w:rsidP="008214A3">
            <w:pPr>
              <w:rPr>
                <w:rFonts w:cstheme="minorHAnsi"/>
                <w:szCs w:val="20"/>
              </w:rPr>
            </w:pPr>
            <w:r w:rsidRPr="008214A3">
              <w:rPr>
                <w:color w:val="000000"/>
                <w:szCs w:val="20"/>
              </w:rPr>
              <w:t>LT-68432</w:t>
            </w:r>
          </w:p>
        </w:tc>
        <w:tc>
          <w:tcPr>
            <w:tcW w:w="386" w:type="pct"/>
          </w:tcPr>
          <w:p w14:paraId="06020C1D" w14:textId="77777777" w:rsidR="008214A3" w:rsidRPr="008214A3" w:rsidRDefault="008214A3" w:rsidP="008214A3">
            <w:pPr>
              <w:rPr>
                <w:rFonts w:cstheme="minorHAnsi"/>
                <w:szCs w:val="20"/>
              </w:rPr>
            </w:pPr>
          </w:p>
        </w:tc>
        <w:tc>
          <w:tcPr>
            <w:tcW w:w="3366" w:type="pct"/>
          </w:tcPr>
          <w:p w14:paraId="17976817" w14:textId="3B8A8C42" w:rsidR="008214A3" w:rsidRPr="008214A3" w:rsidRDefault="008214A3" w:rsidP="008214A3">
            <w:pPr>
              <w:rPr>
                <w:szCs w:val="20"/>
              </w:rPr>
            </w:pPr>
            <w:r w:rsidRPr="008214A3">
              <w:rPr>
                <w:color w:val="000000"/>
                <w:szCs w:val="20"/>
              </w:rPr>
              <w:t xml:space="preserve">23 Watt Interior Fixture (Dwelling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4A044F93" w14:textId="77777777" w:rsidTr="008214A3">
        <w:trPr>
          <w:trHeight w:val="243"/>
        </w:trPr>
        <w:tc>
          <w:tcPr>
            <w:tcW w:w="289" w:type="pct"/>
          </w:tcPr>
          <w:p w14:paraId="3B02D81F" w14:textId="77777777" w:rsidR="008214A3" w:rsidRPr="008214A3" w:rsidRDefault="008214A3" w:rsidP="008214A3">
            <w:pPr>
              <w:rPr>
                <w:rFonts w:cstheme="minorHAnsi"/>
                <w:szCs w:val="20"/>
              </w:rPr>
            </w:pPr>
          </w:p>
        </w:tc>
        <w:tc>
          <w:tcPr>
            <w:tcW w:w="429" w:type="pct"/>
          </w:tcPr>
          <w:p w14:paraId="7729EBDC" w14:textId="77777777" w:rsidR="008214A3" w:rsidRPr="008214A3" w:rsidRDefault="008214A3" w:rsidP="008214A3">
            <w:pPr>
              <w:rPr>
                <w:rFonts w:cstheme="minorHAnsi"/>
                <w:szCs w:val="20"/>
              </w:rPr>
            </w:pPr>
          </w:p>
        </w:tc>
        <w:tc>
          <w:tcPr>
            <w:tcW w:w="530" w:type="pct"/>
          </w:tcPr>
          <w:p w14:paraId="1E4A4585" w14:textId="28429BFF" w:rsidR="008214A3" w:rsidRPr="008214A3" w:rsidRDefault="008214A3" w:rsidP="008214A3">
            <w:pPr>
              <w:rPr>
                <w:rFonts w:cstheme="minorHAnsi"/>
                <w:szCs w:val="20"/>
              </w:rPr>
            </w:pPr>
            <w:r w:rsidRPr="008214A3">
              <w:rPr>
                <w:color w:val="000000"/>
                <w:szCs w:val="20"/>
              </w:rPr>
              <w:t>LT-80989</w:t>
            </w:r>
          </w:p>
        </w:tc>
        <w:tc>
          <w:tcPr>
            <w:tcW w:w="386" w:type="pct"/>
          </w:tcPr>
          <w:p w14:paraId="2259B6B1" w14:textId="77777777" w:rsidR="008214A3" w:rsidRPr="008214A3" w:rsidRDefault="008214A3" w:rsidP="008214A3">
            <w:pPr>
              <w:rPr>
                <w:rFonts w:cstheme="minorHAnsi"/>
                <w:szCs w:val="20"/>
              </w:rPr>
            </w:pPr>
          </w:p>
        </w:tc>
        <w:tc>
          <w:tcPr>
            <w:tcW w:w="3366" w:type="pct"/>
          </w:tcPr>
          <w:p w14:paraId="66C260B1" w14:textId="4F16BECE" w:rsidR="008214A3" w:rsidRPr="008214A3" w:rsidRDefault="008214A3" w:rsidP="008214A3">
            <w:pPr>
              <w:rPr>
                <w:szCs w:val="20"/>
              </w:rPr>
            </w:pPr>
            <w:r w:rsidRPr="008214A3">
              <w:rPr>
                <w:color w:val="000000"/>
                <w:szCs w:val="20"/>
              </w:rPr>
              <w:t xml:space="preserve">25 Watt Interior Fixture (Dwelling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3F5436B7" w14:textId="77777777" w:rsidTr="008214A3">
        <w:trPr>
          <w:trHeight w:val="243"/>
        </w:trPr>
        <w:tc>
          <w:tcPr>
            <w:tcW w:w="289" w:type="pct"/>
          </w:tcPr>
          <w:p w14:paraId="67C12B94" w14:textId="77777777" w:rsidR="008214A3" w:rsidRPr="008214A3" w:rsidRDefault="008214A3" w:rsidP="008214A3">
            <w:pPr>
              <w:rPr>
                <w:rFonts w:cstheme="minorHAnsi"/>
                <w:szCs w:val="20"/>
              </w:rPr>
            </w:pPr>
          </w:p>
        </w:tc>
        <w:tc>
          <w:tcPr>
            <w:tcW w:w="429" w:type="pct"/>
          </w:tcPr>
          <w:p w14:paraId="78B1B284" w14:textId="77777777" w:rsidR="008214A3" w:rsidRPr="008214A3" w:rsidRDefault="008214A3" w:rsidP="008214A3">
            <w:pPr>
              <w:rPr>
                <w:rFonts w:cstheme="minorHAnsi"/>
                <w:szCs w:val="20"/>
              </w:rPr>
            </w:pPr>
          </w:p>
        </w:tc>
        <w:tc>
          <w:tcPr>
            <w:tcW w:w="530" w:type="pct"/>
          </w:tcPr>
          <w:p w14:paraId="541A70E1" w14:textId="7CD2737E" w:rsidR="008214A3" w:rsidRPr="008214A3" w:rsidRDefault="008214A3" w:rsidP="008214A3">
            <w:pPr>
              <w:rPr>
                <w:rFonts w:cstheme="minorHAnsi"/>
                <w:szCs w:val="20"/>
              </w:rPr>
            </w:pPr>
            <w:r w:rsidRPr="008214A3">
              <w:rPr>
                <w:color w:val="000000"/>
                <w:szCs w:val="20"/>
              </w:rPr>
              <w:t>LT-97876</w:t>
            </w:r>
          </w:p>
        </w:tc>
        <w:tc>
          <w:tcPr>
            <w:tcW w:w="386" w:type="pct"/>
          </w:tcPr>
          <w:p w14:paraId="15695C8E" w14:textId="77777777" w:rsidR="008214A3" w:rsidRPr="008214A3" w:rsidRDefault="008214A3" w:rsidP="008214A3">
            <w:pPr>
              <w:rPr>
                <w:rFonts w:cstheme="minorHAnsi"/>
                <w:szCs w:val="20"/>
              </w:rPr>
            </w:pPr>
          </w:p>
        </w:tc>
        <w:tc>
          <w:tcPr>
            <w:tcW w:w="3366" w:type="pct"/>
          </w:tcPr>
          <w:p w14:paraId="06106DE2" w14:textId="1D4E7AF4" w:rsidR="008214A3" w:rsidRPr="008214A3" w:rsidRDefault="008214A3" w:rsidP="008214A3">
            <w:pPr>
              <w:rPr>
                <w:szCs w:val="20"/>
              </w:rPr>
            </w:pPr>
            <w:r w:rsidRPr="008214A3">
              <w:rPr>
                <w:color w:val="000000"/>
                <w:szCs w:val="20"/>
              </w:rPr>
              <w:t xml:space="preserve">26 Watt Interior Fixture (Dwelling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2FABE998" w14:textId="77777777" w:rsidTr="008214A3">
        <w:trPr>
          <w:trHeight w:val="243"/>
        </w:trPr>
        <w:tc>
          <w:tcPr>
            <w:tcW w:w="289" w:type="pct"/>
          </w:tcPr>
          <w:p w14:paraId="1CC3EC7D" w14:textId="77777777" w:rsidR="008214A3" w:rsidRPr="008214A3" w:rsidRDefault="008214A3" w:rsidP="008214A3">
            <w:pPr>
              <w:rPr>
                <w:rFonts w:cstheme="minorHAnsi"/>
                <w:szCs w:val="20"/>
              </w:rPr>
            </w:pPr>
          </w:p>
        </w:tc>
        <w:tc>
          <w:tcPr>
            <w:tcW w:w="429" w:type="pct"/>
          </w:tcPr>
          <w:p w14:paraId="2354415E" w14:textId="77777777" w:rsidR="008214A3" w:rsidRPr="008214A3" w:rsidRDefault="008214A3" w:rsidP="008214A3">
            <w:pPr>
              <w:rPr>
                <w:rFonts w:cstheme="minorHAnsi"/>
                <w:szCs w:val="20"/>
              </w:rPr>
            </w:pPr>
          </w:p>
        </w:tc>
        <w:tc>
          <w:tcPr>
            <w:tcW w:w="530" w:type="pct"/>
          </w:tcPr>
          <w:p w14:paraId="725C7156" w14:textId="5C78E5C6" w:rsidR="008214A3" w:rsidRPr="008214A3" w:rsidRDefault="008214A3" w:rsidP="008214A3">
            <w:pPr>
              <w:rPr>
                <w:rFonts w:cstheme="minorHAnsi"/>
                <w:szCs w:val="20"/>
              </w:rPr>
            </w:pPr>
            <w:r w:rsidRPr="008214A3">
              <w:rPr>
                <w:color w:val="000000"/>
                <w:szCs w:val="20"/>
              </w:rPr>
              <w:t>LT-39075</w:t>
            </w:r>
          </w:p>
        </w:tc>
        <w:tc>
          <w:tcPr>
            <w:tcW w:w="386" w:type="pct"/>
          </w:tcPr>
          <w:p w14:paraId="5F74E74D" w14:textId="77777777" w:rsidR="008214A3" w:rsidRPr="008214A3" w:rsidRDefault="008214A3" w:rsidP="008214A3">
            <w:pPr>
              <w:rPr>
                <w:rFonts w:cstheme="minorHAnsi"/>
                <w:szCs w:val="20"/>
              </w:rPr>
            </w:pPr>
          </w:p>
        </w:tc>
        <w:tc>
          <w:tcPr>
            <w:tcW w:w="3366" w:type="pct"/>
          </w:tcPr>
          <w:p w14:paraId="22DA66F1" w14:textId="44F84BFC" w:rsidR="008214A3" w:rsidRPr="008214A3" w:rsidRDefault="008214A3" w:rsidP="008214A3">
            <w:pPr>
              <w:rPr>
                <w:szCs w:val="20"/>
              </w:rPr>
            </w:pPr>
            <w:r w:rsidRPr="008214A3">
              <w:rPr>
                <w:color w:val="000000"/>
                <w:szCs w:val="20"/>
              </w:rPr>
              <w:t xml:space="preserve">27 Watt Interior Fixture (Dwelling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2AC17702" w14:textId="77777777" w:rsidTr="008214A3">
        <w:trPr>
          <w:trHeight w:val="243"/>
        </w:trPr>
        <w:tc>
          <w:tcPr>
            <w:tcW w:w="289" w:type="pct"/>
          </w:tcPr>
          <w:p w14:paraId="712D2EFA" w14:textId="77777777" w:rsidR="008214A3" w:rsidRPr="008214A3" w:rsidRDefault="008214A3" w:rsidP="008214A3">
            <w:pPr>
              <w:rPr>
                <w:rFonts w:cstheme="minorHAnsi"/>
                <w:szCs w:val="20"/>
              </w:rPr>
            </w:pPr>
          </w:p>
        </w:tc>
        <w:tc>
          <w:tcPr>
            <w:tcW w:w="429" w:type="pct"/>
          </w:tcPr>
          <w:p w14:paraId="6D7026F3" w14:textId="77777777" w:rsidR="008214A3" w:rsidRPr="008214A3" w:rsidRDefault="008214A3" w:rsidP="008214A3">
            <w:pPr>
              <w:rPr>
                <w:rFonts w:cstheme="minorHAnsi"/>
                <w:szCs w:val="20"/>
              </w:rPr>
            </w:pPr>
          </w:p>
        </w:tc>
        <w:tc>
          <w:tcPr>
            <w:tcW w:w="530" w:type="pct"/>
          </w:tcPr>
          <w:p w14:paraId="02933B7B" w14:textId="04DDE120" w:rsidR="008214A3" w:rsidRPr="008214A3" w:rsidRDefault="008214A3" w:rsidP="008214A3">
            <w:pPr>
              <w:rPr>
                <w:rFonts w:cstheme="minorHAnsi"/>
                <w:szCs w:val="20"/>
              </w:rPr>
            </w:pPr>
            <w:r w:rsidRPr="008214A3">
              <w:rPr>
                <w:color w:val="000000"/>
                <w:szCs w:val="20"/>
              </w:rPr>
              <w:t>LT-81657</w:t>
            </w:r>
          </w:p>
        </w:tc>
        <w:tc>
          <w:tcPr>
            <w:tcW w:w="386" w:type="pct"/>
          </w:tcPr>
          <w:p w14:paraId="655D9341" w14:textId="77777777" w:rsidR="008214A3" w:rsidRPr="008214A3" w:rsidRDefault="008214A3" w:rsidP="008214A3">
            <w:pPr>
              <w:rPr>
                <w:rFonts w:cstheme="minorHAnsi"/>
                <w:szCs w:val="20"/>
              </w:rPr>
            </w:pPr>
          </w:p>
        </w:tc>
        <w:tc>
          <w:tcPr>
            <w:tcW w:w="3366" w:type="pct"/>
          </w:tcPr>
          <w:p w14:paraId="51E71FF2" w14:textId="6A32DE3D" w:rsidR="008214A3" w:rsidRPr="008214A3" w:rsidRDefault="008214A3" w:rsidP="008214A3">
            <w:pPr>
              <w:rPr>
                <w:szCs w:val="20"/>
              </w:rPr>
            </w:pPr>
            <w:r w:rsidRPr="008214A3">
              <w:rPr>
                <w:color w:val="000000"/>
                <w:szCs w:val="20"/>
              </w:rPr>
              <w:t xml:space="preserve">30 Watt Interior Fixture (Dwelling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52AA38F7" w14:textId="77777777" w:rsidTr="008214A3">
        <w:trPr>
          <w:trHeight w:val="243"/>
        </w:trPr>
        <w:tc>
          <w:tcPr>
            <w:tcW w:w="289" w:type="pct"/>
          </w:tcPr>
          <w:p w14:paraId="5AFF5760" w14:textId="77777777" w:rsidR="008214A3" w:rsidRPr="008214A3" w:rsidRDefault="008214A3" w:rsidP="008214A3">
            <w:pPr>
              <w:rPr>
                <w:rFonts w:cstheme="minorHAnsi"/>
                <w:szCs w:val="20"/>
              </w:rPr>
            </w:pPr>
          </w:p>
        </w:tc>
        <w:tc>
          <w:tcPr>
            <w:tcW w:w="429" w:type="pct"/>
          </w:tcPr>
          <w:p w14:paraId="10C7DAF0" w14:textId="77777777" w:rsidR="008214A3" w:rsidRPr="008214A3" w:rsidRDefault="008214A3" w:rsidP="008214A3">
            <w:pPr>
              <w:rPr>
                <w:rFonts w:cstheme="minorHAnsi"/>
                <w:szCs w:val="20"/>
              </w:rPr>
            </w:pPr>
          </w:p>
        </w:tc>
        <w:tc>
          <w:tcPr>
            <w:tcW w:w="530" w:type="pct"/>
          </w:tcPr>
          <w:p w14:paraId="5E26F397" w14:textId="07DAF72B" w:rsidR="008214A3" w:rsidRPr="008214A3" w:rsidRDefault="008214A3" w:rsidP="008214A3">
            <w:pPr>
              <w:rPr>
                <w:rFonts w:cstheme="minorHAnsi"/>
                <w:szCs w:val="20"/>
              </w:rPr>
            </w:pPr>
            <w:r w:rsidRPr="008214A3">
              <w:rPr>
                <w:color w:val="000000"/>
                <w:szCs w:val="20"/>
              </w:rPr>
              <w:t>LT-23209</w:t>
            </w:r>
          </w:p>
        </w:tc>
        <w:tc>
          <w:tcPr>
            <w:tcW w:w="386" w:type="pct"/>
          </w:tcPr>
          <w:p w14:paraId="175BCFDC" w14:textId="77777777" w:rsidR="008214A3" w:rsidRPr="008214A3" w:rsidRDefault="008214A3" w:rsidP="008214A3">
            <w:pPr>
              <w:rPr>
                <w:rFonts w:cstheme="minorHAnsi"/>
                <w:szCs w:val="20"/>
              </w:rPr>
            </w:pPr>
          </w:p>
        </w:tc>
        <w:tc>
          <w:tcPr>
            <w:tcW w:w="3366" w:type="pct"/>
          </w:tcPr>
          <w:p w14:paraId="3841E2E5" w14:textId="4C2930E8" w:rsidR="008214A3" w:rsidRPr="008214A3" w:rsidRDefault="008214A3" w:rsidP="008214A3">
            <w:pPr>
              <w:rPr>
                <w:szCs w:val="20"/>
              </w:rPr>
            </w:pPr>
            <w:r w:rsidRPr="008214A3">
              <w:rPr>
                <w:color w:val="000000"/>
                <w:szCs w:val="20"/>
              </w:rPr>
              <w:t xml:space="preserve">32 Watt Interior Fixture (Dwelling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3C69D1A1" w14:textId="77777777" w:rsidTr="008214A3">
        <w:trPr>
          <w:trHeight w:val="243"/>
        </w:trPr>
        <w:tc>
          <w:tcPr>
            <w:tcW w:w="289" w:type="pct"/>
          </w:tcPr>
          <w:p w14:paraId="6BA56D28" w14:textId="77777777" w:rsidR="008214A3" w:rsidRPr="008214A3" w:rsidRDefault="008214A3" w:rsidP="008214A3">
            <w:pPr>
              <w:rPr>
                <w:rFonts w:cstheme="minorHAnsi"/>
                <w:szCs w:val="20"/>
              </w:rPr>
            </w:pPr>
          </w:p>
        </w:tc>
        <w:tc>
          <w:tcPr>
            <w:tcW w:w="429" w:type="pct"/>
          </w:tcPr>
          <w:p w14:paraId="44598E71" w14:textId="77777777" w:rsidR="008214A3" w:rsidRPr="008214A3" w:rsidRDefault="008214A3" w:rsidP="008214A3">
            <w:pPr>
              <w:rPr>
                <w:rFonts w:cstheme="minorHAnsi"/>
                <w:szCs w:val="20"/>
              </w:rPr>
            </w:pPr>
          </w:p>
        </w:tc>
        <w:tc>
          <w:tcPr>
            <w:tcW w:w="530" w:type="pct"/>
          </w:tcPr>
          <w:p w14:paraId="3ABA6915" w14:textId="62B628AD" w:rsidR="008214A3" w:rsidRPr="008214A3" w:rsidRDefault="008214A3" w:rsidP="008214A3">
            <w:pPr>
              <w:rPr>
                <w:rFonts w:cstheme="minorHAnsi"/>
                <w:szCs w:val="20"/>
              </w:rPr>
            </w:pPr>
            <w:r w:rsidRPr="008214A3">
              <w:rPr>
                <w:color w:val="000000"/>
                <w:szCs w:val="20"/>
              </w:rPr>
              <w:t>LT-59876</w:t>
            </w:r>
          </w:p>
        </w:tc>
        <w:tc>
          <w:tcPr>
            <w:tcW w:w="386" w:type="pct"/>
          </w:tcPr>
          <w:p w14:paraId="1C5E10EA" w14:textId="77777777" w:rsidR="008214A3" w:rsidRPr="008214A3" w:rsidRDefault="008214A3" w:rsidP="008214A3">
            <w:pPr>
              <w:rPr>
                <w:rFonts w:cstheme="minorHAnsi"/>
                <w:szCs w:val="20"/>
              </w:rPr>
            </w:pPr>
          </w:p>
        </w:tc>
        <w:tc>
          <w:tcPr>
            <w:tcW w:w="3366" w:type="pct"/>
          </w:tcPr>
          <w:p w14:paraId="5FBBA305" w14:textId="12844255" w:rsidR="008214A3" w:rsidRPr="008214A3" w:rsidRDefault="008214A3" w:rsidP="008214A3">
            <w:pPr>
              <w:rPr>
                <w:szCs w:val="20"/>
              </w:rPr>
            </w:pPr>
            <w:r w:rsidRPr="008214A3">
              <w:rPr>
                <w:color w:val="000000"/>
                <w:szCs w:val="20"/>
              </w:rPr>
              <w:t xml:space="preserve">36 Watt Interior Fixture (Dwelling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014D148E" w14:textId="77777777" w:rsidTr="008214A3">
        <w:trPr>
          <w:trHeight w:val="243"/>
        </w:trPr>
        <w:tc>
          <w:tcPr>
            <w:tcW w:w="289" w:type="pct"/>
          </w:tcPr>
          <w:p w14:paraId="429BED06" w14:textId="77777777" w:rsidR="008214A3" w:rsidRPr="008214A3" w:rsidRDefault="008214A3" w:rsidP="008214A3">
            <w:pPr>
              <w:rPr>
                <w:rFonts w:cstheme="minorHAnsi"/>
                <w:szCs w:val="20"/>
              </w:rPr>
            </w:pPr>
          </w:p>
        </w:tc>
        <w:tc>
          <w:tcPr>
            <w:tcW w:w="429" w:type="pct"/>
          </w:tcPr>
          <w:p w14:paraId="72E0C95B" w14:textId="77777777" w:rsidR="008214A3" w:rsidRPr="008214A3" w:rsidRDefault="008214A3" w:rsidP="008214A3">
            <w:pPr>
              <w:rPr>
                <w:rFonts w:cstheme="minorHAnsi"/>
                <w:szCs w:val="20"/>
              </w:rPr>
            </w:pPr>
          </w:p>
        </w:tc>
        <w:tc>
          <w:tcPr>
            <w:tcW w:w="530" w:type="pct"/>
          </w:tcPr>
          <w:p w14:paraId="3499A185" w14:textId="13250E73" w:rsidR="008214A3" w:rsidRPr="008214A3" w:rsidRDefault="008214A3" w:rsidP="008214A3">
            <w:pPr>
              <w:rPr>
                <w:rFonts w:cstheme="minorHAnsi"/>
                <w:szCs w:val="20"/>
              </w:rPr>
            </w:pPr>
            <w:r w:rsidRPr="008214A3">
              <w:rPr>
                <w:color w:val="000000"/>
                <w:szCs w:val="20"/>
              </w:rPr>
              <w:t>LT-87943</w:t>
            </w:r>
          </w:p>
        </w:tc>
        <w:tc>
          <w:tcPr>
            <w:tcW w:w="386" w:type="pct"/>
          </w:tcPr>
          <w:p w14:paraId="04D62FBB" w14:textId="77777777" w:rsidR="008214A3" w:rsidRPr="008214A3" w:rsidRDefault="008214A3" w:rsidP="008214A3">
            <w:pPr>
              <w:rPr>
                <w:rFonts w:cstheme="minorHAnsi"/>
                <w:szCs w:val="20"/>
              </w:rPr>
            </w:pPr>
          </w:p>
        </w:tc>
        <w:tc>
          <w:tcPr>
            <w:tcW w:w="3366" w:type="pct"/>
          </w:tcPr>
          <w:p w14:paraId="27F1C631" w14:textId="27926AD6" w:rsidR="008214A3" w:rsidRPr="008214A3" w:rsidRDefault="008214A3" w:rsidP="008214A3">
            <w:pPr>
              <w:rPr>
                <w:szCs w:val="20"/>
              </w:rPr>
            </w:pPr>
            <w:r w:rsidRPr="008214A3">
              <w:rPr>
                <w:color w:val="000000"/>
                <w:szCs w:val="20"/>
              </w:rPr>
              <w:t xml:space="preserve">39 Watt Interior Fixture (Dwelling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62CB7B79" w14:textId="77777777" w:rsidTr="008214A3">
        <w:trPr>
          <w:trHeight w:val="243"/>
        </w:trPr>
        <w:tc>
          <w:tcPr>
            <w:tcW w:w="289" w:type="pct"/>
          </w:tcPr>
          <w:p w14:paraId="051A3B65" w14:textId="77777777" w:rsidR="008214A3" w:rsidRPr="008214A3" w:rsidRDefault="008214A3" w:rsidP="008214A3">
            <w:pPr>
              <w:rPr>
                <w:rFonts w:cstheme="minorHAnsi"/>
                <w:szCs w:val="20"/>
              </w:rPr>
            </w:pPr>
          </w:p>
        </w:tc>
        <w:tc>
          <w:tcPr>
            <w:tcW w:w="429" w:type="pct"/>
          </w:tcPr>
          <w:p w14:paraId="5A6540D2" w14:textId="77777777" w:rsidR="008214A3" w:rsidRPr="008214A3" w:rsidRDefault="008214A3" w:rsidP="008214A3">
            <w:pPr>
              <w:rPr>
                <w:rFonts w:cstheme="minorHAnsi"/>
                <w:szCs w:val="20"/>
              </w:rPr>
            </w:pPr>
          </w:p>
        </w:tc>
        <w:tc>
          <w:tcPr>
            <w:tcW w:w="530" w:type="pct"/>
          </w:tcPr>
          <w:p w14:paraId="7974A74A" w14:textId="3EC9CA2A" w:rsidR="008214A3" w:rsidRPr="008214A3" w:rsidRDefault="008214A3" w:rsidP="008214A3">
            <w:pPr>
              <w:rPr>
                <w:rFonts w:cstheme="minorHAnsi"/>
                <w:szCs w:val="20"/>
              </w:rPr>
            </w:pPr>
            <w:r w:rsidRPr="008214A3">
              <w:rPr>
                <w:color w:val="000000"/>
                <w:szCs w:val="20"/>
              </w:rPr>
              <w:t>LT-49660</w:t>
            </w:r>
          </w:p>
        </w:tc>
        <w:tc>
          <w:tcPr>
            <w:tcW w:w="386" w:type="pct"/>
          </w:tcPr>
          <w:p w14:paraId="0B42AB29" w14:textId="77777777" w:rsidR="008214A3" w:rsidRPr="008214A3" w:rsidRDefault="008214A3" w:rsidP="008214A3">
            <w:pPr>
              <w:rPr>
                <w:rFonts w:cstheme="minorHAnsi"/>
                <w:szCs w:val="20"/>
              </w:rPr>
            </w:pPr>
          </w:p>
        </w:tc>
        <w:tc>
          <w:tcPr>
            <w:tcW w:w="3366" w:type="pct"/>
          </w:tcPr>
          <w:p w14:paraId="17ACFF51" w14:textId="606EF9C6" w:rsidR="008214A3" w:rsidRPr="008214A3" w:rsidRDefault="008214A3" w:rsidP="008214A3">
            <w:pPr>
              <w:rPr>
                <w:szCs w:val="20"/>
              </w:rPr>
            </w:pPr>
            <w:r w:rsidRPr="008214A3">
              <w:rPr>
                <w:color w:val="000000"/>
                <w:szCs w:val="20"/>
              </w:rPr>
              <w:t xml:space="preserve">40 Watt Interior Fixture (Dwelling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2674630D" w14:textId="77777777" w:rsidTr="008214A3">
        <w:trPr>
          <w:trHeight w:val="243"/>
        </w:trPr>
        <w:tc>
          <w:tcPr>
            <w:tcW w:w="289" w:type="pct"/>
          </w:tcPr>
          <w:p w14:paraId="334CC1E0" w14:textId="77777777" w:rsidR="008214A3" w:rsidRPr="008214A3" w:rsidRDefault="008214A3" w:rsidP="008214A3">
            <w:pPr>
              <w:rPr>
                <w:rFonts w:cstheme="minorHAnsi"/>
                <w:szCs w:val="20"/>
              </w:rPr>
            </w:pPr>
          </w:p>
        </w:tc>
        <w:tc>
          <w:tcPr>
            <w:tcW w:w="429" w:type="pct"/>
          </w:tcPr>
          <w:p w14:paraId="22B67DF3" w14:textId="77777777" w:rsidR="008214A3" w:rsidRPr="008214A3" w:rsidRDefault="008214A3" w:rsidP="008214A3">
            <w:pPr>
              <w:rPr>
                <w:rFonts w:cstheme="minorHAnsi"/>
                <w:szCs w:val="20"/>
              </w:rPr>
            </w:pPr>
          </w:p>
        </w:tc>
        <w:tc>
          <w:tcPr>
            <w:tcW w:w="530" w:type="pct"/>
          </w:tcPr>
          <w:p w14:paraId="4E0AA95F" w14:textId="41DD10D8" w:rsidR="008214A3" w:rsidRPr="008214A3" w:rsidRDefault="008214A3" w:rsidP="008214A3">
            <w:pPr>
              <w:rPr>
                <w:rFonts w:cstheme="minorHAnsi"/>
                <w:szCs w:val="20"/>
              </w:rPr>
            </w:pPr>
            <w:r w:rsidRPr="008214A3">
              <w:rPr>
                <w:color w:val="000000"/>
                <w:szCs w:val="20"/>
              </w:rPr>
              <w:t>LT-49593</w:t>
            </w:r>
          </w:p>
        </w:tc>
        <w:tc>
          <w:tcPr>
            <w:tcW w:w="386" w:type="pct"/>
          </w:tcPr>
          <w:p w14:paraId="0A10700A" w14:textId="77777777" w:rsidR="008214A3" w:rsidRPr="008214A3" w:rsidRDefault="008214A3" w:rsidP="008214A3">
            <w:pPr>
              <w:rPr>
                <w:rFonts w:cstheme="minorHAnsi"/>
                <w:szCs w:val="20"/>
              </w:rPr>
            </w:pPr>
          </w:p>
        </w:tc>
        <w:tc>
          <w:tcPr>
            <w:tcW w:w="3366" w:type="pct"/>
          </w:tcPr>
          <w:p w14:paraId="33A6F0E5" w14:textId="3528EB0D" w:rsidR="008214A3" w:rsidRPr="008214A3" w:rsidRDefault="008214A3" w:rsidP="008214A3">
            <w:pPr>
              <w:rPr>
                <w:szCs w:val="20"/>
              </w:rPr>
            </w:pPr>
            <w:r w:rsidRPr="008214A3">
              <w:rPr>
                <w:color w:val="000000"/>
                <w:szCs w:val="20"/>
              </w:rPr>
              <w:t xml:space="preserve">44 Watt Interior Fixture (Dwelling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1A719B27" w14:textId="77777777" w:rsidTr="008214A3">
        <w:trPr>
          <w:trHeight w:val="243"/>
        </w:trPr>
        <w:tc>
          <w:tcPr>
            <w:tcW w:w="289" w:type="pct"/>
          </w:tcPr>
          <w:p w14:paraId="5886BBBF" w14:textId="77777777" w:rsidR="008214A3" w:rsidRPr="008214A3" w:rsidRDefault="008214A3" w:rsidP="008214A3">
            <w:pPr>
              <w:rPr>
                <w:rFonts w:cstheme="minorHAnsi"/>
                <w:szCs w:val="20"/>
              </w:rPr>
            </w:pPr>
          </w:p>
        </w:tc>
        <w:tc>
          <w:tcPr>
            <w:tcW w:w="429" w:type="pct"/>
          </w:tcPr>
          <w:p w14:paraId="43DD60BC" w14:textId="77777777" w:rsidR="008214A3" w:rsidRPr="008214A3" w:rsidRDefault="008214A3" w:rsidP="008214A3">
            <w:pPr>
              <w:rPr>
                <w:rFonts w:cstheme="minorHAnsi"/>
                <w:szCs w:val="20"/>
              </w:rPr>
            </w:pPr>
          </w:p>
        </w:tc>
        <w:tc>
          <w:tcPr>
            <w:tcW w:w="530" w:type="pct"/>
          </w:tcPr>
          <w:p w14:paraId="1ED4D7AD" w14:textId="0B62D9F2" w:rsidR="008214A3" w:rsidRPr="008214A3" w:rsidRDefault="008214A3" w:rsidP="008214A3">
            <w:pPr>
              <w:rPr>
                <w:rFonts w:cstheme="minorHAnsi"/>
                <w:szCs w:val="20"/>
              </w:rPr>
            </w:pPr>
            <w:r w:rsidRPr="008214A3">
              <w:rPr>
                <w:color w:val="000000"/>
                <w:szCs w:val="20"/>
              </w:rPr>
              <w:t>LT-67654</w:t>
            </w:r>
          </w:p>
        </w:tc>
        <w:tc>
          <w:tcPr>
            <w:tcW w:w="386" w:type="pct"/>
          </w:tcPr>
          <w:p w14:paraId="6662D758" w14:textId="77777777" w:rsidR="008214A3" w:rsidRPr="008214A3" w:rsidRDefault="008214A3" w:rsidP="008214A3">
            <w:pPr>
              <w:rPr>
                <w:rFonts w:cstheme="minorHAnsi"/>
                <w:szCs w:val="20"/>
              </w:rPr>
            </w:pPr>
          </w:p>
        </w:tc>
        <w:tc>
          <w:tcPr>
            <w:tcW w:w="3366" w:type="pct"/>
          </w:tcPr>
          <w:p w14:paraId="78EC4074" w14:textId="667EA69B" w:rsidR="008214A3" w:rsidRPr="008214A3" w:rsidRDefault="008214A3" w:rsidP="008214A3">
            <w:pPr>
              <w:rPr>
                <w:szCs w:val="20"/>
              </w:rPr>
            </w:pPr>
            <w:r w:rsidRPr="008214A3">
              <w:rPr>
                <w:color w:val="000000"/>
                <w:szCs w:val="20"/>
              </w:rPr>
              <w:t xml:space="preserve">46 Watt Interior Fixture (Dwelling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1B7000D0" w14:textId="77777777" w:rsidTr="008214A3">
        <w:trPr>
          <w:trHeight w:val="243"/>
        </w:trPr>
        <w:tc>
          <w:tcPr>
            <w:tcW w:w="289" w:type="pct"/>
          </w:tcPr>
          <w:p w14:paraId="1359E822" w14:textId="77777777" w:rsidR="008214A3" w:rsidRPr="008214A3" w:rsidRDefault="008214A3" w:rsidP="008214A3">
            <w:pPr>
              <w:rPr>
                <w:rFonts w:cstheme="minorHAnsi"/>
                <w:szCs w:val="20"/>
              </w:rPr>
            </w:pPr>
          </w:p>
        </w:tc>
        <w:tc>
          <w:tcPr>
            <w:tcW w:w="429" w:type="pct"/>
          </w:tcPr>
          <w:p w14:paraId="7B2B2655" w14:textId="77777777" w:rsidR="008214A3" w:rsidRPr="008214A3" w:rsidRDefault="008214A3" w:rsidP="008214A3">
            <w:pPr>
              <w:rPr>
                <w:rFonts w:cstheme="minorHAnsi"/>
                <w:szCs w:val="20"/>
              </w:rPr>
            </w:pPr>
          </w:p>
        </w:tc>
        <w:tc>
          <w:tcPr>
            <w:tcW w:w="530" w:type="pct"/>
          </w:tcPr>
          <w:p w14:paraId="416A7DBF" w14:textId="1204EE24" w:rsidR="008214A3" w:rsidRPr="008214A3" w:rsidRDefault="008214A3" w:rsidP="008214A3">
            <w:pPr>
              <w:rPr>
                <w:rFonts w:cstheme="minorHAnsi"/>
                <w:szCs w:val="20"/>
              </w:rPr>
            </w:pPr>
            <w:r w:rsidRPr="008214A3">
              <w:rPr>
                <w:color w:val="000000"/>
                <w:szCs w:val="20"/>
              </w:rPr>
              <w:t>LT-85876</w:t>
            </w:r>
          </w:p>
        </w:tc>
        <w:tc>
          <w:tcPr>
            <w:tcW w:w="386" w:type="pct"/>
          </w:tcPr>
          <w:p w14:paraId="2D66CD66" w14:textId="77777777" w:rsidR="008214A3" w:rsidRPr="008214A3" w:rsidRDefault="008214A3" w:rsidP="008214A3">
            <w:pPr>
              <w:rPr>
                <w:rFonts w:cstheme="minorHAnsi"/>
                <w:szCs w:val="20"/>
              </w:rPr>
            </w:pPr>
          </w:p>
        </w:tc>
        <w:tc>
          <w:tcPr>
            <w:tcW w:w="3366" w:type="pct"/>
          </w:tcPr>
          <w:p w14:paraId="5BE280B2" w14:textId="2B70E070" w:rsidR="008214A3" w:rsidRPr="008214A3" w:rsidRDefault="008214A3" w:rsidP="008214A3">
            <w:pPr>
              <w:rPr>
                <w:szCs w:val="20"/>
              </w:rPr>
            </w:pPr>
            <w:r w:rsidRPr="008214A3">
              <w:rPr>
                <w:color w:val="000000"/>
                <w:szCs w:val="20"/>
              </w:rPr>
              <w:t xml:space="preserve">52 Watt Interior Fixture (Dwelling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01E86F1C" w14:textId="77777777" w:rsidTr="008214A3">
        <w:trPr>
          <w:trHeight w:val="243"/>
        </w:trPr>
        <w:tc>
          <w:tcPr>
            <w:tcW w:w="289" w:type="pct"/>
          </w:tcPr>
          <w:p w14:paraId="32DBDE5D" w14:textId="77777777" w:rsidR="008214A3" w:rsidRPr="008214A3" w:rsidRDefault="008214A3" w:rsidP="008214A3">
            <w:pPr>
              <w:rPr>
                <w:rFonts w:cstheme="minorHAnsi"/>
                <w:szCs w:val="20"/>
              </w:rPr>
            </w:pPr>
          </w:p>
        </w:tc>
        <w:tc>
          <w:tcPr>
            <w:tcW w:w="429" w:type="pct"/>
          </w:tcPr>
          <w:p w14:paraId="37EE7578" w14:textId="77777777" w:rsidR="008214A3" w:rsidRPr="008214A3" w:rsidRDefault="008214A3" w:rsidP="008214A3">
            <w:pPr>
              <w:rPr>
                <w:rFonts w:cstheme="minorHAnsi"/>
                <w:szCs w:val="20"/>
              </w:rPr>
            </w:pPr>
          </w:p>
        </w:tc>
        <w:tc>
          <w:tcPr>
            <w:tcW w:w="530" w:type="pct"/>
          </w:tcPr>
          <w:p w14:paraId="521D54B5" w14:textId="7E4C5310" w:rsidR="008214A3" w:rsidRPr="008214A3" w:rsidRDefault="008214A3" w:rsidP="008214A3">
            <w:pPr>
              <w:rPr>
                <w:rFonts w:cstheme="minorHAnsi"/>
                <w:szCs w:val="20"/>
              </w:rPr>
            </w:pPr>
            <w:r w:rsidRPr="008214A3">
              <w:rPr>
                <w:color w:val="000000"/>
                <w:szCs w:val="20"/>
              </w:rPr>
              <w:t>LT-19143</w:t>
            </w:r>
          </w:p>
        </w:tc>
        <w:tc>
          <w:tcPr>
            <w:tcW w:w="386" w:type="pct"/>
          </w:tcPr>
          <w:p w14:paraId="4A4794F8" w14:textId="77777777" w:rsidR="008214A3" w:rsidRPr="008214A3" w:rsidRDefault="008214A3" w:rsidP="008214A3">
            <w:pPr>
              <w:rPr>
                <w:rFonts w:cstheme="minorHAnsi"/>
                <w:szCs w:val="20"/>
              </w:rPr>
            </w:pPr>
          </w:p>
        </w:tc>
        <w:tc>
          <w:tcPr>
            <w:tcW w:w="3366" w:type="pct"/>
          </w:tcPr>
          <w:p w14:paraId="372AD98B" w14:textId="67D4B60C" w:rsidR="008214A3" w:rsidRPr="008214A3" w:rsidRDefault="008214A3" w:rsidP="008214A3">
            <w:pPr>
              <w:rPr>
                <w:szCs w:val="20"/>
              </w:rPr>
            </w:pPr>
            <w:r w:rsidRPr="008214A3">
              <w:rPr>
                <w:color w:val="000000"/>
                <w:szCs w:val="20"/>
              </w:rPr>
              <w:t xml:space="preserve">54 Watt Interior Fixture (Dwelling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2E8D4031" w14:textId="77777777" w:rsidTr="008214A3">
        <w:trPr>
          <w:trHeight w:val="243"/>
        </w:trPr>
        <w:tc>
          <w:tcPr>
            <w:tcW w:w="289" w:type="pct"/>
          </w:tcPr>
          <w:p w14:paraId="4CFB2ED5" w14:textId="77777777" w:rsidR="008214A3" w:rsidRPr="008214A3" w:rsidRDefault="008214A3" w:rsidP="008214A3">
            <w:pPr>
              <w:rPr>
                <w:rFonts w:cstheme="minorHAnsi"/>
                <w:szCs w:val="20"/>
              </w:rPr>
            </w:pPr>
          </w:p>
        </w:tc>
        <w:tc>
          <w:tcPr>
            <w:tcW w:w="429" w:type="pct"/>
          </w:tcPr>
          <w:p w14:paraId="5B407AEB" w14:textId="77777777" w:rsidR="008214A3" w:rsidRPr="008214A3" w:rsidRDefault="008214A3" w:rsidP="008214A3">
            <w:pPr>
              <w:rPr>
                <w:rFonts w:cstheme="minorHAnsi"/>
                <w:szCs w:val="20"/>
              </w:rPr>
            </w:pPr>
          </w:p>
        </w:tc>
        <w:tc>
          <w:tcPr>
            <w:tcW w:w="530" w:type="pct"/>
          </w:tcPr>
          <w:p w14:paraId="53B87C89" w14:textId="268540A7" w:rsidR="008214A3" w:rsidRPr="008214A3" w:rsidRDefault="008214A3" w:rsidP="008214A3">
            <w:pPr>
              <w:rPr>
                <w:rFonts w:cstheme="minorHAnsi"/>
                <w:szCs w:val="20"/>
              </w:rPr>
            </w:pPr>
            <w:r w:rsidRPr="008214A3">
              <w:rPr>
                <w:color w:val="000000"/>
                <w:szCs w:val="20"/>
              </w:rPr>
              <w:t>LT-34841</w:t>
            </w:r>
          </w:p>
        </w:tc>
        <w:tc>
          <w:tcPr>
            <w:tcW w:w="386" w:type="pct"/>
          </w:tcPr>
          <w:p w14:paraId="678E7493" w14:textId="77777777" w:rsidR="008214A3" w:rsidRPr="008214A3" w:rsidRDefault="008214A3" w:rsidP="008214A3">
            <w:pPr>
              <w:rPr>
                <w:rFonts w:cstheme="minorHAnsi"/>
                <w:szCs w:val="20"/>
              </w:rPr>
            </w:pPr>
          </w:p>
        </w:tc>
        <w:tc>
          <w:tcPr>
            <w:tcW w:w="3366" w:type="pct"/>
          </w:tcPr>
          <w:p w14:paraId="5F1B1F51" w14:textId="782C1605" w:rsidR="008214A3" w:rsidRPr="008214A3" w:rsidRDefault="008214A3" w:rsidP="008214A3">
            <w:pPr>
              <w:rPr>
                <w:szCs w:val="20"/>
              </w:rPr>
            </w:pPr>
            <w:r w:rsidRPr="008214A3">
              <w:rPr>
                <w:color w:val="000000"/>
                <w:szCs w:val="20"/>
              </w:rPr>
              <w:t xml:space="preserve">55 Watt Interior Fixture (Dwelling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1414CECF" w14:textId="77777777" w:rsidTr="008214A3">
        <w:trPr>
          <w:trHeight w:val="243"/>
        </w:trPr>
        <w:tc>
          <w:tcPr>
            <w:tcW w:w="289" w:type="pct"/>
          </w:tcPr>
          <w:p w14:paraId="7BE46280" w14:textId="77777777" w:rsidR="008214A3" w:rsidRPr="008214A3" w:rsidRDefault="008214A3" w:rsidP="008214A3">
            <w:pPr>
              <w:rPr>
                <w:rFonts w:cstheme="minorHAnsi"/>
                <w:szCs w:val="20"/>
              </w:rPr>
            </w:pPr>
          </w:p>
        </w:tc>
        <w:tc>
          <w:tcPr>
            <w:tcW w:w="429" w:type="pct"/>
          </w:tcPr>
          <w:p w14:paraId="03A3CC61" w14:textId="77777777" w:rsidR="008214A3" w:rsidRPr="008214A3" w:rsidRDefault="008214A3" w:rsidP="008214A3">
            <w:pPr>
              <w:rPr>
                <w:rFonts w:cstheme="minorHAnsi"/>
                <w:szCs w:val="20"/>
              </w:rPr>
            </w:pPr>
          </w:p>
        </w:tc>
        <w:tc>
          <w:tcPr>
            <w:tcW w:w="530" w:type="pct"/>
          </w:tcPr>
          <w:p w14:paraId="3DE44CBA" w14:textId="74DF99F5" w:rsidR="008214A3" w:rsidRPr="008214A3" w:rsidRDefault="008214A3" w:rsidP="008214A3">
            <w:pPr>
              <w:rPr>
                <w:rFonts w:cstheme="minorHAnsi"/>
                <w:szCs w:val="20"/>
              </w:rPr>
            </w:pPr>
            <w:r w:rsidRPr="008214A3">
              <w:rPr>
                <w:color w:val="000000"/>
                <w:szCs w:val="20"/>
              </w:rPr>
              <w:t>LT-38978</w:t>
            </w:r>
          </w:p>
        </w:tc>
        <w:tc>
          <w:tcPr>
            <w:tcW w:w="386" w:type="pct"/>
          </w:tcPr>
          <w:p w14:paraId="7A604AD7" w14:textId="77777777" w:rsidR="008214A3" w:rsidRPr="008214A3" w:rsidRDefault="008214A3" w:rsidP="008214A3">
            <w:pPr>
              <w:rPr>
                <w:rFonts w:cstheme="minorHAnsi"/>
                <w:szCs w:val="20"/>
              </w:rPr>
            </w:pPr>
          </w:p>
        </w:tc>
        <w:tc>
          <w:tcPr>
            <w:tcW w:w="3366" w:type="pct"/>
          </w:tcPr>
          <w:p w14:paraId="5B24210D" w14:textId="4BBAC84D" w:rsidR="008214A3" w:rsidRPr="008214A3" w:rsidRDefault="008214A3" w:rsidP="008214A3">
            <w:pPr>
              <w:rPr>
                <w:szCs w:val="20"/>
              </w:rPr>
            </w:pPr>
            <w:r w:rsidRPr="008214A3">
              <w:rPr>
                <w:color w:val="000000"/>
                <w:szCs w:val="20"/>
              </w:rPr>
              <w:t xml:space="preserve">64 Watt Interior Fixture (Dwelling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28689253" w14:textId="77777777" w:rsidTr="008214A3">
        <w:trPr>
          <w:trHeight w:val="243"/>
        </w:trPr>
        <w:tc>
          <w:tcPr>
            <w:tcW w:w="289" w:type="pct"/>
          </w:tcPr>
          <w:p w14:paraId="7D4EA1EE" w14:textId="77777777" w:rsidR="008214A3" w:rsidRPr="008214A3" w:rsidRDefault="008214A3" w:rsidP="008214A3">
            <w:pPr>
              <w:rPr>
                <w:rFonts w:cstheme="minorHAnsi"/>
                <w:szCs w:val="20"/>
              </w:rPr>
            </w:pPr>
          </w:p>
        </w:tc>
        <w:tc>
          <w:tcPr>
            <w:tcW w:w="429" w:type="pct"/>
          </w:tcPr>
          <w:p w14:paraId="4CA71348" w14:textId="77777777" w:rsidR="008214A3" w:rsidRPr="008214A3" w:rsidRDefault="008214A3" w:rsidP="008214A3">
            <w:pPr>
              <w:rPr>
                <w:rFonts w:cstheme="minorHAnsi"/>
                <w:szCs w:val="20"/>
              </w:rPr>
            </w:pPr>
          </w:p>
        </w:tc>
        <w:tc>
          <w:tcPr>
            <w:tcW w:w="530" w:type="pct"/>
          </w:tcPr>
          <w:p w14:paraId="409B99AE" w14:textId="5AE3C9A9" w:rsidR="008214A3" w:rsidRPr="008214A3" w:rsidRDefault="008214A3" w:rsidP="008214A3">
            <w:pPr>
              <w:rPr>
                <w:rFonts w:cstheme="minorHAnsi"/>
                <w:szCs w:val="20"/>
              </w:rPr>
            </w:pPr>
            <w:r w:rsidRPr="008214A3">
              <w:rPr>
                <w:color w:val="000000"/>
                <w:szCs w:val="20"/>
              </w:rPr>
              <w:t>LT-56473</w:t>
            </w:r>
          </w:p>
        </w:tc>
        <w:tc>
          <w:tcPr>
            <w:tcW w:w="386" w:type="pct"/>
          </w:tcPr>
          <w:p w14:paraId="2C6390F6" w14:textId="77777777" w:rsidR="008214A3" w:rsidRPr="008214A3" w:rsidRDefault="008214A3" w:rsidP="008214A3">
            <w:pPr>
              <w:rPr>
                <w:rFonts w:cstheme="minorHAnsi"/>
                <w:szCs w:val="20"/>
              </w:rPr>
            </w:pPr>
          </w:p>
        </w:tc>
        <w:tc>
          <w:tcPr>
            <w:tcW w:w="3366" w:type="pct"/>
          </w:tcPr>
          <w:p w14:paraId="02BD04AA" w14:textId="27E03B84" w:rsidR="008214A3" w:rsidRPr="008214A3" w:rsidRDefault="008214A3" w:rsidP="008214A3">
            <w:pPr>
              <w:rPr>
                <w:szCs w:val="20"/>
              </w:rPr>
            </w:pPr>
            <w:r w:rsidRPr="008214A3">
              <w:rPr>
                <w:color w:val="000000"/>
                <w:szCs w:val="20"/>
              </w:rPr>
              <w:t xml:space="preserve">69 Watt Interior Fixture (Dwelling Area) CFL replacing CFL Fixture Base Case, </w:t>
            </w:r>
            <w:r w:rsidRPr="008214A3">
              <w:rPr>
                <w:color w:val="000000"/>
                <w:szCs w:val="20"/>
              </w:rPr>
              <w:lastRenderedPageBreak/>
              <w:t xml:space="preserve">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7AF86EA5" w14:textId="77777777" w:rsidTr="008214A3">
        <w:trPr>
          <w:trHeight w:val="243"/>
        </w:trPr>
        <w:tc>
          <w:tcPr>
            <w:tcW w:w="289" w:type="pct"/>
          </w:tcPr>
          <w:p w14:paraId="4EC24635" w14:textId="77777777" w:rsidR="008214A3" w:rsidRPr="008214A3" w:rsidRDefault="008214A3" w:rsidP="008214A3">
            <w:pPr>
              <w:rPr>
                <w:rFonts w:cstheme="minorHAnsi"/>
                <w:szCs w:val="20"/>
              </w:rPr>
            </w:pPr>
          </w:p>
        </w:tc>
        <w:tc>
          <w:tcPr>
            <w:tcW w:w="429" w:type="pct"/>
          </w:tcPr>
          <w:p w14:paraId="0E0C37BF" w14:textId="77777777" w:rsidR="008214A3" w:rsidRPr="008214A3" w:rsidRDefault="008214A3" w:rsidP="008214A3">
            <w:pPr>
              <w:rPr>
                <w:rFonts w:cstheme="minorHAnsi"/>
                <w:szCs w:val="20"/>
              </w:rPr>
            </w:pPr>
          </w:p>
        </w:tc>
        <w:tc>
          <w:tcPr>
            <w:tcW w:w="530" w:type="pct"/>
          </w:tcPr>
          <w:p w14:paraId="05C361B9" w14:textId="21531FCF" w:rsidR="008214A3" w:rsidRPr="008214A3" w:rsidRDefault="008214A3" w:rsidP="008214A3">
            <w:pPr>
              <w:rPr>
                <w:rFonts w:cstheme="minorHAnsi"/>
                <w:szCs w:val="20"/>
              </w:rPr>
            </w:pPr>
            <w:r w:rsidRPr="008214A3">
              <w:rPr>
                <w:color w:val="000000"/>
                <w:szCs w:val="20"/>
              </w:rPr>
              <w:t>LT-78567</w:t>
            </w:r>
          </w:p>
        </w:tc>
        <w:tc>
          <w:tcPr>
            <w:tcW w:w="386" w:type="pct"/>
          </w:tcPr>
          <w:p w14:paraId="3388A6B0" w14:textId="77777777" w:rsidR="008214A3" w:rsidRPr="008214A3" w:rsidRDefault="008214A3" w:rsidP="008214A3">
            <w:pPr>
              <w:rPr>
                <w:rFonts w:cstheme="minorHAnsi"/>
                <w:szCs w:val="20"/>
              </w:rPr>
            </w:pPr>
          </w:p>
        </w:tc>
        <w:tc>
          <w:tcPr>
            <w:tcW w:w="3366" w:type="pct"/>
          </w:tcPr>
          <w:p w14:paraId="1C6F756C" w14:textId="2C7239F7" w:rsidR="008214A3" w:rsidRPr="008214A3" w:rsidRDefault="008214A3" w:rsidP="008214A3">
            <w:pPr>
              <w:rPr>
                <w:szCs w:val="20"/>
              </w:rPr>
            </w:pPr>
            <w:r w:rsidRPr="008214A3">
              <w:rPr>
                <w:color w:val="000000"/>
                <w:szCs w:val="20"/>
              </w:rPr>
              <w:t xml:space="preserve">72 Watt Interior Fixture (Dwelling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067C3B93" w14:textId="77777777" w:rsidTr="008214A3">
        <w:trPr>
          <w:trHeight w:val="243"/>
        </w:trPr>
        <w:tc>
          <w:tcPr>
            <w:tcW w:w="289" w:type="pct"/>
          </w:tcPr>
          <w:p w14:paraId="27B9BBE9" w14:textId="77777777" w:rsidR="008214A3" w:rsidRPr="008214A3" w:rsidRDefault="008214A3" w:rsidP="008214A3">
            <w:pPr>
              <w:rPr>
                <w:rFonts w:cstheme="minorHAnsi"/>
                <w:szCs w:val="20"/>
              </w:rPr>
            </w:pPr>
          </w:p>
        </w:tc>
        <w:tc>
          <w:tcPr>
            <w:tcW w:w="429" w:type="pct"/>
          </w:tcPr>
          <w:p w14:paraId="1B6A98D0" w14:textId="77777777" w:rsidR="008214A3" w:rsidRPr="008214A3" w:rsidRDefault="008214A3" w:rsidP="008214A3">
            <w:pPr>
              <w:rPr>
                <w:rFonts w:cstheme="minorHAnsi"/>
                <w:szCs w:val="20"/>
              </w:rPr>
            </w:pPr>
          </w:p>
        </w:tc>
        <w:tc>
          <w:tcPr>
            <w:tcW w:w="530" w:type="pct"/>
          </w:tcPr>
          <w:p w14:paraId="63751BC2" w14:textId="21F49CB6" w:rsidR="008214A3" w:rsidRPr="008214A3" w:rsidRDefault="008214A3" w:rsidP="008214A3">
            <w:pPr>
              <w:rPr>
                <w:rFonts w:cstheme="minorHAnsi"/>
                <w:szCs w:val="20"/>
              </w:rPr>
            </w:pPr>
            <w:r w:rsidRPr="008214A3">
              <w:rPr>
                <w:color w:val="000000"/>
                <w:szCs w:val="20"/>
              </w:rPr>
              <w:t>LT-90776</w:t>
            </w:r>
          </w:p>
        </w:tc>
        <w:tc>
          <w:tcPr>
            <w:tcW w:w="386" w:type="pct"/>
          </w:tcPr>
          <w:p w14:paraId="1EB6C429" w14:textId="77777777" w:rsidR="008214A3" w:rsidRPr="008214A3" w:rsidRDefault="008214A3" w:rsidP="008214A3">
            <w:pPr>
              <w:rPr>
                <w:rFonts w:cstheme="minorHAnsi"/>
                <w:szCs w:val="20"/>
              </w:rPr>
            </w:pPr>
          </w:p>
        </w:tc>
        <w:tc>
          <w:tcPr>
            <w:tcW w:w="3366" w:type="pct"/>
          </w:tcPr>
          <w:p w14:paraId="649014D6" w14:textId="206AC3E6" w:rsidR="008214A3" w:rsidRPr="008214A3" w:rsidRDefault="008214A3" w:rsidP="008214A3">
            <w:pPr>
              <w:rPr>
                <w:szCs w:val="20"/>
              </w:rPr>
            </w:pPr>
            <w:r w:rsidRPr="008214A3">
              <w:rPr>
                <w:color w:val="000000"/>
                <w:szCs w:val="20"/>
              </w:rPr>
              <w:t xml:space="preserve">92 Watt Interior Fixture (Dwelling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15FDD683" w14:textId="77777777" w:rsidTr="008214A3">
        <w:trPr>
          <w:trHeight w:val="243"/>
        </w:trPr>
        <w:tc>
          <w:tcPr>
            <w:tcW w:w="289" w:type="pct"/>
          </w:tcPr>
          <w:p w14:paraId="6706241B" w14:textId="77777777" w:rsidR="008214A3" w:rsidRPr="008214A3" w:rsidRDefault="008214A3" w:rsidP="008214A3">
            <w:pPr>
              <w:rPr>
                <w:rFonts w:cstheme="minorHAnsi"/>
                <w:szCs w:val="20"/>
              </w:rPr>
            </w:pPr>
          </w:p>
        </w:tc>
        <w:tc>
          <w:tcPr>
            <w:tcW w:w="429" w:type="pct"/>
          </w:tcPr>
          <w:p w14:paraId="71A4185E" w14:textId="77777777" w:rsidR="008214A3" w:rsidRPr="008214A3" w:rsidRDefault="008214A3" w:rsidP="008214A3">
            <w:pPr>
              <w:rPr>
                <w:rFonts w:cstheme="minorHAnsi"/>
                <w:szCs w:val="20"/>
              </w:rPr>
            </w:pPr>
          </w:p>
        </w:tc>
        <w:tc>
          <w:tcPr>
            <w:tcW w:w="530" w:type="pct"/>
          </w:tcPr>
          <w:p w14:paraId="3F47B1F4" w14:textId="0BFC0858" w:rsidR="008214A3" w:rsidRPr="008214A3" w:rsidRDefault="008214A3" w:rsidP="008214A3">
            <w:pPr>
              <w:rPr>
                <w:rFonts w:cstheme="minorHAnsi"/>
                <w:szCs w:val="20"/>
              </w:rPr>
            </w:pPr>
            <w:r w:rsidRPr="008214A3">
              <w:rPr>
                <w:color w:val="000000"/>
                <w:szCs w:val="20"/>
              </w:rPr>
              <w:t>LT-39256</w:t>
            </w:r>
          </w:p>
        </w:tc>
        <w:tc>
          <w:tcPr>
            <w:tcW w:w="386" w:type="pct"/>
          </w:tcPr>
          <w:p w14:paraId="3C82B562" w14:textId="77777777" w:rsidR="008214A3" w:rsidRPr="008214A3" w:rsidRDefault="008214A3" w:rsidP="008214A3">
            <w:pPr>
              <w:rPr>
                <w:rFonts w:cstheme="minorHAnsi"/>
                <w:szCs w:val="20"/>
              </w:rPr>
            </w:pPr>
          </w:p>
        </w:tc>
        <w:tc>
          <w:tcPr>
            <w:tcW w:w="3366" w:type="pct"/>
          </w:tcPr>
          <w:p w14:paraId="7D753EF9" w14:textId="41733B04" w:rsidR="008214A3" w:rsidRPr="008214A3" w:rsidRDefault="008214A3" w:rsidP="008214A3">
            <w:pPr>
              <w:rPr>
                <w:szCs w:val="20"/>
              </w:rPr>
            </w:pPr>
            <w:r w:rsidRPr="008214A3">
              <w:rPr>
                <w:color w:val="000000"/>
                <w:szCs w:val="20"/>
              </w:rPr>
              <w:t xml:space="preserve">16 Watt Interior Fixture (Common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1410115A" w14:textId="77777777" w:rsidTr="008214A3">
        <w:trPr>
          <w:trHeight w:val="243"/>
        </w:trPr>
        <w:tc>
          <w:tcPr>
            <w:tcW w:w="289" w:type="pct"/>
          </w:tcPr>
          <w:p w14:paraId="461B2366" w14:textId="77777777" w:rsidR="008214A3" w:rsidRPr="008214A3" w:rsidRDefault="008214A3" w:rsidP="008214A3">
            <w:pPr>
              <w:rPr>
                <w:rFonts w:cstheme="minorHAnsi"/>
                <w:szCs w:val="20"/>
              </w:rPr>
            </w:pPr>
          </w:p>
        </w:tc>
        <w:tc>
          <w:tcPr>
            <w:tcW w:w="429" w:type="pct"/>
          </w:tcPr>
          <w:p w14:paraId="1A29E8A8" w14:textId="77777777" w:rsidR="008214A3" w:rsidRPr="008214A3" w:rsidRDefault="008214A3" w:rsidP="008214A3">
            <w:pPr>
              <w:rPr>
                <w:rFonts w:cstheme="minorHAnsi"/>
                <w:szCs w:val="20"/>
              </w:rPr>
            </w:pPr>
          </w:p>
        </w:tc>
        <w:tc>
          <w:tcPr>
            <w:tcW w:w="530" w:type="pct"/>
          </w:tcPr>
          <w:p w14:paraId="54CF3E63" w14:textId="3C46FA01" w:rsidR="008214A3" w:rsidRPr="008214A3" w:rsidRDefault="008214A3" w:rsidP="008214A3">
            <w:pPr>
              <w:rPr>
                <w:rFonts w:cstheme="minorHAnsi"/>
                <w:szCs w:val="20"/>
              </w:rPr>
            </w:pPr>
            <w:r w:rsidRPr="008214A3">
              <w:rPr>
                <w:color w:val="000000"/>
                <w:szCs w:val="20"/>
              </w:rPr>
              <w:t>LT-93432</w:t>
            </w:r>
          </w:p>
        </w:tc>
        <w:tc>
          <w:tcPr>
            <w:tcW w:w="386" w:type="pct"/>
          </w:tcPr>
          <w:p w14:paraId="2D992F23" w14:textId="77777777" w:rsidR="008214A3" w:rsidRPr="008214A3" w:rsidRDefault="008214A3" w:rsidP="008214A3">
            <w:pPr>
              <w:rPr>
                <w:rFonts w:cstheme="minorHAnsi"/>
                <w:szCs w:val="20"/>
              </w:rPr>
            </w:pPr>
          </w:p>
        </w:tc>
        <w:tc>
          <w:tcPr>
            <w:tcW w:w="3366" w:type="pct"/>
          </w:tcPr>
          <w:p w14:paraId="68B21D04" w14:textId="65E7AD84" w:rsidR="008214A3" w:rsidRPr="008214A3" w:rsidRDefault="008214A3" w:rsidP="008214A3">
            <w:pPr>
              <w:rPr>
                <w:szCs w:val="20"/>
              </w:rPr>
            </w:pPr>
            <w:r w:rsidRPr="008214A3">
              <w:rPr>
                <w:color w:val="000000"/>
                <w:szCs w:val="20"/>
              </w:rPr>
              <w:t xml:space="preserve">22 Watt Interior Fixture (Common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0F1D870D" w14:textId="77777777" w:rsidTr="008214A3">
        <w:trPr>
          <w:trHeight w:val="243"/>
        </w:trPr>
        <w:tc>
          <w:tcPr>
            <w:tcW w:w="289" w:type="pct"/>
          </w:tcPr>
          <w:p w14:paraId="47765694" w14:textId="77777777" w:rsidR="008214A3" w:rsidRPr="008214A3" w:rsidRDefault="008214A3" w:rsidP="008214A3">
            <w:pPr>
              <w:rPr>
                <w:rFonts w:cstheme="minorHAnsi"/>
                <w:szCs w:val="20"/>
              </w:rPr>
            </w:pPr>
          </w:p>
        </w:tc>
        <w:tc>
          <w:tcPr>
            <w:tcW w:w="429" w:type="pct"/>
          </w:tcPr>
          <w:p w14:paraId="21E43E0A" w14:textId="77777777" w:rsidR="008214A3" w:rsidRPr="008214A3" w:rsidRDefault="008214A3" w:rsidP="008214A3">
            <w:pPr>
              <w:rPr>
                <w:rFonts w:cstheme="minorHAnsi"/>
                <w:szCs w:val="20"/>
              </w:rPr>
            </w:pPr>
          </w:p>
        </w:tc>
        <w:tc>
          <w:tcPr>
            <w:tcW w:w="530" w:type="pct"/>
          </w:tcPr>
          <w:p w14:paraId="4C2CCA0B" w14:textId="1A68059A" w:rsidR="008214A3" w:rsidRPr="008214A3" w:rsidRDefault="008214A3" w:rsidP="008214A3">
            <w:pPr>
              <w:rPr>
                <w:rFonts w:cstheme="minorHAnsi"/>
                <w:szCs w:val="20"/>
              </w:rPr>
            </w:pPr>
            <w:r w:rsidRPr="008214A3">
              <w:rPr>
                <w:color w:val="000000"/>
                <w:szCs w:val="20"/>
              </w:rPr>
              <w:t>LT-50765</w:t>
            </w:r>
          </w:p>
        </w:tc>
        <w:tc>
          <w:tcPr>
            <w:tcW w:w="386" w:type="pct"/>
          </w:tcPr>
          <w:p w14:paraId="6D4FDB9D" w14:textId="77777777" w:rsidR="008214A3" w:rsidRPr="008214A3" w:rsidRDefault="008214A3" w:rsidP="008214A3">
            <w:pPr>
              <w:rPr>
                <w:rFonts w:cstheme="minorHAnsi"/>
                <w:szCs w:val="20"/>
              </w:rPr>
            </w:pPr>
          </w:p>
        </w:tc>
        <w:tc>
          <w:tcPr>
            <w:tcW w:w="3366" w:type="pct"/>
          </w:tcPr>
          <w:p w14:paraId="2BA90B26" w14:textId="70CA758D" w:rsidR="008214A3" w:rsidRPr="008214A3" w:rsidRDefault="008214A3" w:rsidP="008214A3">
            <w:pPr>
              <w:rPr>
                <w:szCs w:val="20"/>
              </w:rPr>
            </w:pPr>
            <w:r w:rsidRPr="008214A3">
              <w:rPr>
                <w:color w:val="000000"/>
                <w:szCs w:val="20"/>
              </w:rPr>
              <w:t xml:space="preserve">23 Watt Interior Fixture (Common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1BA41A5F" w14:textId="77777777" w:rsidTr="008214A3">
        <w:trPr>
          <w:trHeight w:val="243"/>
        </w:trPr>
        <w:tc>
          <w:tcPr>
            <w:tcW w:w="289" w:type="pct"/>
          </w:tcPr>
          <w:p w14:paraId="7AD2B3D1" w14:textId="77777777" w:rsidR="008214A3" w:rsidRPr="008214A3" w:rsidRDefault="008214A3" w:rsidP="008214A3">
            <w:pPr>
              <w:rPr>
                <w:rFonts w:cstheme="minorHAnsi"/>
                <w:szCs w:val="20"/>
              </w:rPr>
            </w:pPr>
          </w:p>
        </w:tc>
        <w:tc>
          <w:tcPr>
            <w:tcW w:w="429" w:type="pct"/>
          </w:tcPr>
          <w:p w14:paraId="00495EAD" w14:textId="77777777" w:rsidR="008214A3" w:rsidRPr="008214A3" w:rsidRDefault="008214A3" w:rsidP="008214A3">
            <w:pPr>
              <w:rPr>
                <w:rFonts w:cstheme="minorHAnsi"/>
                <w:szCs w:val="20"/>
              </w:rPr>
            </w:pPr>
          </w:p>
        </w:tc>
        <w:tc>
          <w:tcPr>
            <w:tcW w:w="530" w:type="pct"/>
          </w:tcPr>
          <w:p w14:paraId="19C1CF2B" w14:textId="0D6FC5F5" w:rsidR="008214A3" w:rsidRPr="008214A3" w:rsidRDefault="008214A3" w:rsidP="008214A3">
            <w:pPr>
              <w:rPr>
                <w:rFonts w:cstheme="minorHAnsi"/>
                <w:szCs w:val="20"/>
              </w:rPr>
            </w:pPr>
            <w:r w:rsidRPr="008214A3">
              <w:rPr>
                <w:color w:val="000000"/>
                <w:szCs w:val="20"/>
              </w:rPr>
              <w:t>LT-40994</w:t>
            </w:r>
          </w:p>
        </w:tc>
        <w:tc>
          <w:tcPr>
            <w:tcW w:w="386" w:type="pct"/>
          </w:tcPr>
          <w:p w14:paraId="3B356091" w14:textId="77777777" w:rsidR="008214A3" w:rsidRPr="008214A3" w:rsidRDefault="008214A3" w:rsidP="008214A3">
            <w:pPr>
              <w:rPr>
                <w:rFonts w:cstheme="minorHAnsi"/>
                <w:szCs w:val="20"/>
              </w:rPr>
            </w:pPr>
          </w:p>
        </w:tc>
        <w:tc>
          <w:tcPr>
            <w:tcW w:w="3366" w:type="pct"/>
          </w:tcPr>
          <w:p w14:paraId="09C66883" w14:textId="56E5E231" w:rsidR="008214A3" w:rsidRPr="008214A3" w:rsidRDefault="008214A3" w:rsidP="008214A3">
            <w:pPr>
              <w:rPr>
                <w:szCs w:val="20"/>
              </w:rPr>
            </w:pPr>
            <w:r w:rsidRPr="008214A3">
              <w:rPr>
                <w:color w:val="000000"/>
                <w:szCs w:val="20"/>
              </w:rPr>
              <w:t xml:space="preserve">25 Watt Interior Fixture (Common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13FABC8F" w14:textId="77777777" w:rsidTr="008214A3">
        <w:trPr>
          <w:trHeight w:val="243"/>
        </w:trPr>
        <w:tc>
          <w:tcPr>
            <w:tcW w:w="289" w:type="pct"/>
          </w:tcPr>
          <w:p w14:paraId="5A08A5BD" w14:textId="77777777" w:rsidR="008214A3" w:rsidRPr="008214A3" w:rsidRDefault="008214A3" w:rsidP="008214A3">
            <w:pPr>
              <w:rPr>
                <w:rFonts w:cstheme="minorHAnsi"/>
                <w:szCs w:val="20"/>
              </w:rPr>
            </w:pPr>
          </w:p>
        </w:tc>
        <w:tc>
          <w:tcPr>
            <w:tcW w:w="429" w:type="pct"/>
          </w:tcPr>
          <w:p w14:paraId="18CB3075" w14:textId="77777777" w:rsidR="008214A3" w:rsidRPr="008214A3" w:rsidRDefault="008214A3" w:rsidP="008214A3">
            <w:pPr>
              <w:rPr>
                <w:rFonts w:cstheme="minorHAnsi"/>
                <w:szCs w:val="20"/>
              </w:rPr>
            </w:pPr>
          </w:p>
        </w:tc>
        <w:tc>
          <w:tcPr>
            <w:tcW w:w="530" w:type="pct"/>
          </w:tcPr>
          <w:p w14:paraId="460EC874" w14:textId="5C130599" w:rsidR="008214A3" w:rsidRPr="008214A3" w:rsidRDefault="008214A3" w:rsidP="008214A3">
            <w:pPr>
              <w:rPr>
                <w:rFonts w:cstheme="minorHAnsi"/>
                <w:szCs w:val="20"/>
              </w:rPr>
            </w:pPr>
            <w:r w:rsidRPr="008214A3">
              <w:rPr>
                <w:color w:val="000000"/>
                <w:szCs w:val="20"/>
              </w:rPr>
              <w:t>LT-89854</w:t>
            </w:r>
          </w:p>
        </w:tc>
        <w:tc>
          <w:tcPr>
            <w:tcW w:w="386" w:type="pct"/>
          </w:tcPr>
          <w:p w14:paraId="402CDCB6" w14:textId="77777777" w:rsidR="008214A3" w:rsidRPr="008214A3" w:rsidRDefault="008214A3" w:rsidP="008214A3">
            <w:pPr>
              <w:rPr>
                <w:rFonts w:cstheme="minorHAnsi"/>
                <w:szCs w:val="20"/>
              </w:rPr>
            </w:pPr>
          </w:p>
        </w:tc>
        <w:tc>
          <w:tcPr>
            <w:tcW w:w="3366" w:type="pct"/>
          </w:tcPr>
          <w:p w14:paraId="141C1267" w14:textId="03B7661F" w:rsidR="008214A3" w:rsidRPr="008214A3" w:rsidRDefault="008214A3" w:rsidP="008214A3">
            <w:pPr>
              <w:rPr>
                <w:szCs w:val="20"/>
              </w:rPr>
            </w:pPr>
            <w:r w:rsidRPr="008214A3">
              <w:rPr>
                <w:color w:val="000000"/>
                <w:szCs w:val="20"/>
              </w:rPr>
              <w:t xml:space="preserve">26 Watt Interior Fixture (Common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16B1DAE5" w14:textId="77777777" w:rsidTr="008214A3">
        <w:trPr>
          <w:trHeight w:val="243"/>
        </w:trPr>
        <w:tc>
          <w:tcPr>
            <w:tcW w:w="289" w:type="pct"/>
          </w:tcPr>
          <w:p w14:paraId="152063D6" w14:textId="77777777" w:rsidR="008214A3" w:rsidRPr="008214A3" w:rsidRDefault="008214A3" w:rsidP="008214A3">
            <w:pPr>
              <w:rPr>
                <w:rFonts w:cstheme="minorHAnsi"/>
                <w:szCs w:val="20"/>
              </w:rPr>
            </w:pPr>
          </w:p>
        </w:tc>
        <w:tc>
          <w:tcPr>
            <w:tcW w:w="429" w:type="pct"/>
          </w:tcPr>
          <w:p w14:paraId="16A2D0D3" w14:textId="77777777" w:rsidR="008214A3" w:rsidRPr="008214A3" w:rsidRDefault="008214A3" w:rsidP="008214A3">
            <w:pPr>
              <w:rPr>
                <w:rFonts w:cstheme="minorHAnsi"/>
                <w:szCs w:val="20"/>
              </w:rPr>
            </w:pPr>
          </w:p>
        </w:tc>
        <w:tc>
          <w:tcPr>
            <w:tcW w:w="530" w:type="pct"/>
          </w:tcPr>
          <w:p w14:paraId="7F31FE73" w14:textId="59F25A20" w:rsidR="008214A3" w:rsidRPr="008214A3" w:rsidRDefault="008214A3" w:rsidP="008214A3">
            <w:pPr>
              <w:rPr>
                <w:rFonts w:cstheme="minorHAnsi"/>
                <w:szCs w:val="20"/>
              </w:rPr>
            </w:pPr>
            <w:r w:rsidRPr="008214A3">
              <w:rPr>
                <w:color w:val="000000"/>
                <w:szCs w:val="20"/>
              </w:rPr>
              <w:t>LT-24867</w:t>
            </w:r>
          </w:p>
        </w:tc>
        <w:tc>
          <w:tcPr>
            <w:tcW w:w="386" w:type="pct"/>
          </w:tcPr>
          <w:p w14:paraId="3BFB6CC7" w14:textId="77777777" w:rsidR="008214A3" w:rsidRPr="008214A3" w:rsidRDefault="008214A3" w:rsidP="008214A3">
            <w:pPr>
              <w:rPr>
                <w:rFonts w:cstheme="minorHAnsi"/>
                <w:szCs w:val="20"/>
              </w:rPr>
            </w:pPr>
          </w:p>
        </w:tc>
        <w:tc>
          <w:tcPr>
            <w:tcW w:w="3366" w:type="pct"/>
          </w:tcPr>
          <w:p w14:paraId="3788D075" w14:textId="6E96D50C" w:rsidR="008214A3" w:rsidRPr="008214A3" w:rsidRDefault="008214A3" w:rsidP="008214A3">
            <w:pPr>
              <w:rPr>
                <w:szCs w:val="20"/>
              </w:rPr>
            </w:pPr>
            <w:r w:rsidRPr="008214A3">
              <w:rPr>
                <w:color w:val="000000"/>
                <w:szCs w:val="20"/>
              </w:rPr>
              <w:t xml:space="preserve">27 Watt Interior Fixture (Common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03744280" w14:textId="77777777" w:rsidTr="008214A3">
        <w:trPr>
          <w:trHeight w:val="243"/>
        </w:trPr>
        <w:tc>
          <w:tcPr>
            <w:tcW w:w="289" w:type="pct"/>
          </w:tcPr>
          <w:p w14:paraId="4027341F" w14:textId="77777777" w:rsidR="008214A3" w:rsidRPr="008214A3" w:rsidRDefault="008214A3" w:rsidP="008214A3">
            <w:pPr>
              <w:rPr>
                <w:rFonts w:cstheme="minorHAnsi"/>
                <w:szCs w:val="20"/>
              </w:rPr>
            </w:pPr>
          </w:p>
        </w:tc>
        <w:tc>
          <w:tcPr>
            <w:tcW w:w="429" w:type="pct"/>
          </w:tcPr>
          <w:p w14:paraId="3B075431" w14:textId="77777777" w:rsidR="008214A3" w:rsidRPr="008214A3" w:rsidRDefault="008214A3" w:rsidP="008214A3">
            <w:pPr>
              <w:rPr>
                <w:rFonts w:cstheme="minorHAnsi"/>
                <w:szCs w:val="20"/>
              </w:rPr>
            </w:pPr>
          </w:p>
        </w:tc>
        <w:tc>
          <w:tcPr>
            <w:tcW w:w="530" w:type="pct"/>
          </w:tcPr>
          <w:p w14:paraId="2335A7DB" w14:textId="432D25F8" w:rsidR="008214A3" w:rsidRPr="008214A3" w:rsidRDefault="008214A3" w:rsidP="008214A3">
            <w:pPr>
              <w:rPr>
                <w:rFonts w:cstheme="minorHAnsi"/>
                <w:szCs w:val="20"/>
              </w:rPr>
            </w:pPr>
            <w:r w:rsidRPr="008214A3">
              <w:rPr>
                <w:color w:val="000000"/>
                <w:szCs w:val="20"/>
              </w:rPr>
              <w:t>LT-73649</w:t>
            </w:r>
          </w:p>
        </w:tc>
        <w:tc>
          <w:tcPr>
            <w:tcW w:w="386" w:type="pct"/>
          </w:tcPr>
          <w:p w14:paraId="5C753E0B" w14:textId="77777777" w:rsidR="008214A3" w:rsidRPr="008214A3" w:rsidRDefault="008214A3" w:rsidP="008214A3">
            <w:pPr>
              <w:rPr>
                <w:rFonts w:cstheme="minorHAnsi"/>
                <w:szCs w:val="20"/>
              </w:rPr>
            </w:pPr>
          </w:p>
        </w:tc>
        <w:tc>
          <w:tcPr>
            <w:tcW w:w="3366" w:type="pct"/>
          </w:tcPr>
          <w:p w14:paraId="18DA22C3" w14:textId="38205109" w:rsidR="008214A3" w:rsidRPr="008214A3" w:rsidRDefault="008214A3" w:rsidP="008214A3">
            <w:pPr>
              <w:rPr>
                <w:szCs w:val="20"/>
              </w:rPr>
            </w:pPr>
            <w:r w:rsidRPr="008214A3">
              <w:rPr>
                <w:color w:val="000000"/>
                <w:szCs w:val="20"/>
              </w:rPr>
              <w:t xml:space="preserve">30 Watt Interior Fixture (Common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7888D82A" w14:textId="77777777" w:rsidTr="008214A3">
        <w:trPr>
          <w:trHeight w:val="243"/>
        </w:trPr>
        <w:tc>
          <w:tcPr>
            <w:tcW w:w="289" w:type="pct"/>
          </w:tcPr>
          <w:p w14:paraId="1E27C9B2" w14:textId="77777777" w:rsidR="008214A3" w:rsidRPr="008214A3" w:rsidRDefault="008214A3" w:rsidP="008214A3">
            <w:pPr>
              <w:rPr>
                <w:rFonts w:cstheme="minorHAnsi"/>
                <w:szCs w:val="20"/>
              </w:rPr>
            </w:pPr>
          </w:p>
        </w:tc>
        <w:tc>
          <w:tcPr>
            <w:tcW w:w="429" w:type="pct"/>
          </w:tcPr>
          <w:p w14:paraId="7771770B" w14:textId="77777777" w:rsidR="008214A3" w:rsidRPr="008214A3" w:rsidRDefault="008214A3" w:rsidP="008214A3">
            <w:pPr>
              <w:rPr>
                <w:rFonts w:cstheme="minorHAnsi"/>
                <w:szCs w:val="20"/>
              </w:rPr>
            </w:pPr>
          </w:p>
        </w:tc>
        <w:tc>
          <w:tcPr>
            <w:tcW w:w="530" w:type="pct"/>
          </w:tcPr>
          <w:p w14:paraId="56F0E8D7" w14:textId="155494BA" w:rsidR="008214A3" w:rsidRPr="008214A3" w:rsidRDefault="008214A3" w:rsidP="008214A3">
            <w:pPr>
              <w:rPr>
                <w:rFonts w:cstheme="minorHAnsi"/>
                <w:szCs w:val="20"/>
              </w:rPr>
            </w:pPr>
            <w:r w:rsidRPr="008214A3">
              <w:rPr>
                <w:color w:val="000000"/>
                <w:szCs w:val="20"/>
              </w:rPr>
              <w:t>LT-59687</w:t>
            </w:r>
          </w:p>
        </w:tc>
        <w:tc>
          <w:tcPr>
            <w:tcW w:w="386" w:type="pct"/>
          </w:tcPr>
          <w:p w14:paraId="73216614" w14:textId="77777777" w:rsidR="008214A3" w:rsidRPr="008214A3" w:rsidRDefault="008214A3" w:rsidP="008214A3">
            <w:pPr>
              <w:rPr>
                <w:rFonts w:cstheme="minorHAnsi"/>
                <w:szCs w:val="20"/>
              </w:rPr>
            </w:pPr>
          </w:p>
        </w:tc>
        <w:tc>
          <w:tcPr>
            <w:tcW w:w="3366" w:type="pct"/>
          </w:tcPr>
          <w:p w14:paraId="635615A2" w14:textId="647160F1" w:rsidR="008214A3" w:rsidRPr="008214A3" w:rsidRDefault="008214A3" w:rsidP="008214A3">
            <w:pPr>
              <w:rPr>
                <w:szCs w:val="20"/>
              </w:rPr>
            </w:pPr>
            <w:r w:rsidRPr="008214A3">
              <w:rPr>
                <w:color w:val="000000"/>
                <w:szCs w:val="20"/>
              </w:rPr>
              <w:t xml:space="preserve">32 Watt Interior Fixture (Common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53F3C910" w14:textId="77777777" w:rsidTr="008214A3">
        <w:trPr>
          <w:trHeight w:val="243"/>
        </w:trPr>
        <w:tc>
          <w:tcPr>
            <w:tcW w:w="289" w:type="pct"/>
          </w:tcPr>
          <w:p w14:paraId="05159F9C" w14:textId="77777777" w:rsidR="008214A3" w:rsidRPr="008214A3" w:rsidRDefault="008214A3" w:rsidP="008214A3">
            <w:pPr>
              <w:rPr>
                <w:rFonts w:cstheme="minorHAnsi"/>
                <w:szCs w:val="20"/>
              </w:rPr>
            </w:pPr>
          </w:p>
        </w:tc>
        <w:tc>
          <w:tcPr>
            <w:tcW w:w="429" w:type="pct"/>
          </w:tcPr>
          <w:p w14:paraId="2998DAAC" w14:textId="77777777" w:rsidR="008214A3" w:rsidRPr="008214A3" w:rsidRDefault="008214A3" w:rsidP="008214A3">
            <w:pPr>
              <w:rPr>
                <w:rFonts w:cstheme="minorHAnsi"/>
                <w:szCs w:val="20"/>
              </w:rPr>
            </w:pPr>
          </w:p>
        </w:tc>
        <w:tc>
          <w:tcPr>
            <w:tcW w:w="530" w:type="pct"/>
          </w:tcPr>
          <w:p w14:paraId="6809B865" w14:textId="1A2AC5F7" w:rsidR="008214A3" w:rsidRPr="008214A3" w:rsidRDefault="008214A3" w:rsidP="008214A3">
            <w:pPr>
              <w:rPr>
                <w:rFonts w:cstheme="minorHAnsi"/>
                <w:szCs w:val="20"/>
              </w:rPr>
            </w:pPr>
            <w:r w:rsidRPr="008214A3">
              <w:rPr>
                <w:color w:val="000000"/>
                <w:szCs w:val="20"/>
              </w:rPr>
              <w:t>LT-45765</w:t>
            </w:r>
          </w:p>
        </w:tc>
        <w:tc>
          <w:tcPr>
            <w:tcW w:w="386" w:type="pct"/>
          </w:tcPr>
          <w:p w14:paraId="57F3F892" w14:textId="77777777" w:rsidR="008214A3" w:rsidRPr="008214A3" w:rsidRDefault="008214A3" w:rsidP="008214A3">
            <w:pPr>
              <w:rPr>
                <w:rFonts w:cstheme="minorHAnsi"/>
                <w:szCs w:val="20"/>
              </w:rPr>
            </w:pPr>
          </w:p>
        </w:tc>
        <w:tc>
          <w:tcPr>
            <w:tcW w:w="3366" w:type="pct"/>
          </w:tcPr>
          <w:p w14:paraId="4593D8DF" w14:textId="725CBE86" w:rsidR="008214A3" w:rsidRPr="008214A3" w:rsidRDefault="008214A3" w:rsidP="008214A3">
            <w:pPr>
              <w:rPr>
                <w:szCs w:val="20"/>
              </w:rPr>
            </w:pPr>
            <w:r w:rsidRPr="008214A3">
              <w:rPr>
                <w:color w:val="000000"/>
                <w:szCs w:val="20"/>
              </w:rPr>
              <w:t xml:space="preserve">36 Watt Interior Fixture (Common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1B89F2CA" w14:textId="77777777" w:rsidTr="008214A3">
        <w:trPr>
          <w:trHeight w:val="243"/>
        </w:trPr>
        <w:tc>
          <w:tcPr>
            <w:tcW w:w="289" w:type="pct"/>
          </w:tcPr>
          <w:p w14:paraId="4A7553C9" w14:textId="77777777" w:rsidR="008214A3" w:rsidRPr="008214A3" w:rsidRDefault="008214A3" w:rsidP="008214A3">
            <w:pPr>
              <w:rPr>
                <w:rFonts w:cstheme="minorHAnsi"/>
                <w:szCs w:val="20"/>
              </w:rPr>
            </w:pPr>
          </w:p>
        </w:tc>
        <w:tc>
          <w:tcPr>
            <w:tcW w:w="429" w:type="pct"/>
          </w:tcPr>
          <w:p w14:paraId="121C3238" w14:textId="77777777" w:rsidR="008214A3" w:rsidRPr="008214A3" w:rsidRDefault="008214A3" w:rsidP="008214A3">
            <w:pPr>
              <w:rPr>
                <w:rFonts w:cstheme="minorHAnsi"/>
                <w:szCs w:val="20"/>
              </w:rPr>
            </w:pPr>
          </w:p>
        </w:tc>
        <w:tc>
          <w:tcPr>
            <w:tcW w:w="530" w:type="pct"/>
          </w:tcPr>
          <w:p w14:paraId="5EBF4CE8" w14:textId="7B86FA8E" w:rsidR="008214A3" w:rsidRPr="008214A3" w:rsidRDefault="008214A3" w:rsidP="008214A3">
            <w:pPr>
              <w:rPr>
                <w:rFonts w:cstheme="minorHAnsi"/>
                <w:szCs w:val="20"/>
              </w:rPr>
            </w:pPr>
            <w:r w:rsidRPr="008214A3">
              <w:rPr>
                <w:color w:val="000000"/>
                <w:szCs w:val="20"/>
              </w:rPr>
              <w:t>LT-79523</w:t>
            </w:r>
          </w:p>
        </w:tc>
        <w:tc>
          <w:tcPr>
            <w:tcW w:w="386" w:type="pct"/>
          </w:tcPr>
          <w:p w14:paraId="6BF653D1" w14:textId="77777777" w:rsidR="008214A3" w:rsidRPr="008214A3" w:rsidRDefault="008214A3" w:rsidP="008214A3">
            <w:pPr>
              <w:rPr>
                <w:rFonts w:cstheme="minorHAnsi"/>
                <w:szCs w:val="20"/>
              </w:rPr>
            </w:pPr>
          </w:p>
        </w:tc>
        <w:tc>
          <w:tcPr>
            <w:tcW w:w="3366" w:type="pct"/>
          </w:tcPr>
          <w:p w14:paraId="63FA7C93" w14:textId="602BD0EC" w:rsidR="008214A3" w:rsidRPr="008214A3" w:rsidRDefault="008214A3" w:rsidP="008214A3">
            <w:pPr>
              <w:rPr>
                <w:szCs w:val="20"/>
              </w:rPr>
            </w:pPr>
            <w:r w:rsidRPr="008214A3">
              <w:rPr>
                <w:color w:val="000000"/>
                <w:szCs w:val="20"/>
              </w:rPr>
              <w:t xml:space="preserve">39 Watt Interior Fixture (Common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2A431EBB" w14:textId="77777777" w:rsidTr="008214A3">
        <w:trPr>
          <w:trHeight w:val="243"/>
        </w:trPr>
        <w:tc>
          <w:tcPr>
            <w:tcW w:w="289" w:type="pct"/>
          </w:tcPr>
          <w:p w14:paraId="1633EBA1" w14:textId="77777777" w:rsidR="008214A3" w:rsidRPr="008214A3" w:rsidRDefault="008214A3" w:rsidP="008214A3">
            <w:pPr>
              <w:rPr>
                <w:rFonts w:cstheme="minorHAnsi"/>
                <w:szCs w:val="20"/>
              </w:rPr>
            </w:pPr>
          </w:p>
        </w:tc>
        <w:tc>
          <w:tcPr>
            <w:tcW w:w="429" w:type="pct"/>
          </w:tcPr>
          <w:p w14:paraId="60E33476" w14:textId="77777777" w:rsidR="008214A3" w:rsidRPr="008214A3" w:rsidRDefault="008214A3" w:rsidP="008214A3">
            <w:pPr>
              <w:rPr>
                <w:rFonts w:cstheme="minorHAnsi"/>
                <w:szCs w:val="20"/>
              </w:rPr>
            </w:pPr>
          </w:p>
        </w:tc>
        <w:tc>
          <w:tcPr>
            <w:tcW w:w="530" w:type="pct"/>
          </w:tcPr>
          <w:p w14:paraId="07607CD2" w14:textId="35A1388C" w:rsidR="008214A3" w:rsidRPr="008214A3" w:rsidRDefault="008214A3" w:rsidP="008214A3">
            <w:pPr>
              <w:rPr>
                <w:rFonts w:cstheme="minorHAnsi"/>
                <w:szCs w:val="20"/>
              </w:rPr>
            </w:pPr>
            <w:r w:rsidRPr="008214A3">
              <w:rPr>
                <w:color w:val="000000"/>
                <w:szCs w:val="20"/>
              </w:rPr>
              <w:t>LT-35476</w:t>
            </w:r>
          </w:p>
        </w:tc>
        <w:tc>
          <w:tcPr>
            <w:tcW w:w="386" w:type="pct"/>
          </w:tcPr>
          <w:p w14:paraId="1BA131A0" w14:textId="77777777" w:rsidR="008214A3" w:rsidRPr="008214A3" w:rsidRDefault="008214A3" w:rsidP="008214A3">
            <w:pPr>
              <w:rPr>
                <w:rFonts w:cstheme="minorHAnsi"/>
                <w:szCs w:val="20"/>
              </w:rPr>
            </w:pPr>
          </w:p>
        </w:tc>
        <w:tc>
          <w:tcPr>
            <w:tcW w:w="3366" w:type="pct"/>
          </w:tcPr>
          <w:p w14:paraId="11F9767C" w14:textId="305991F8" w:rsidR="008214A3" w:rsidRPr="008214A3" w:rsidRDefault="008214A3" w:rsidP="008214A3">
            <w:pPr>
              <w:rPr>
                <w:szCs w:val="20"/>
              </w:rPr>
            </w:pPr>
            <w:r w:rsidRPr="008214A3">
              <w:rPr>
                <w:color w:val="000000"/>
                <w:szCs w:val="20"/>
              </w:rPr>
              <w:t xml:space="preserve">40 Watt Interior Fixture (Common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2A2AEB79" w14:textId="77777777" w:rsidTr="008214A3">
        <w:trPr>
          <w:trHeight w:val="243"/>
        </w:trPr>
        <w:tc>
          <w:tcPr>
            <w:tcW w:w="289" w:type="pct"/>
          </w:tcPr>
          <w:p w14:paraId="6BFEC1CD" w14:textId="77777777" w:rsidR="008214A3" w:rsidRPr="008214A3" w:rsidRDefault="008214A3" w:rsidP="008214A3">
            <w:pPr>
              <w:rPr>
                <w:rFonts w:cstheme="minorHAnsi"/>
                <w:szCs w:val="20"/>
              </w:rPr>
            </w:pPr>
          </w:p>
        </w:tc>
        <w:tc>
          <w:tcPr>
            <w:tcW w:w="429" w:type="pct"/>
          </w:tcPr>
          <w:p w14:paraId="275DB575" w14:textId="77777777" w:rsidR="008214A3" w:rsidRPr="008214A3" w:rsidRDefault="008214A3" w:rsidP="008214A3">
            <w:pPr>
              <w:rPr>
                <w:rFonts w:cstheme="minorHAnsi"/>
                <w:szCs w:val="20"/>
              </w:rPr>
            </w:pPr>
          </w:p>
        </w:tc>
        <w:tc>
          <w:tcPr>
            <w:tcW w:w="530" w:type="pct"/>
          </w:tcPr>
          <w:p w14:paraId="51071734" w14:textId="62DCE2F8" w:rsidR="008214A3" w:rsidRPr="008214A3" w:rsidRDefault="008214A3" w:rsidP="008214A3">
            <w:pPr>
              <w:rPr>
                <w:rFonts w:cstheme="minorHAnsi"/>
                <w:szCs w:val="20"/>
              </w:rPr>
            </w:pPr>
            <w:r w:rsidRPr="008214A3">
              <w:rPr>
                <w:color w:val="000000"/>
                <w:szCs w:val="20"/>
              </w:rPr>
              <w:t>LT-62735</w:t>
            </w:r>
          </w:p>
        </w:tc>
        <w:tc>
          <w:tcPr>
            <w:tcW w:w="386" w:type="pct"/>
          </w:tcPr>
          <w:p w14:paraId="18120D98" w14:textId="77777777" w:rsidR="008214A3" w:rsidRPr="008214A3" w:rsidRDefault="008214A3" w:rsidP="008214A3">
            <w:pPr>
              <w:rPr>
                <w:rFonts w:cstheme="minorHAnsi"/>
                <w:szCs w:val="20"/>
              </w:rPr>
            </w:pPr>
          </w:p>
        </w:tc>
        <w:tc>
          <w:tcPr>
            <w:tcW w:w="3366" w:type="pct"/>
          </w:tcPr>
          <w:p w14:paraId="07A042AF" w14:textId="2DE2D5DC" w:rsidR="008214A3" w:rsidRPr="008214A3" w:rsidRDefault="008214A3" w:rsidP="008214A3">
            <w:pPr>
              <w:rPr>
                <w:szCs w:val="20"/>
              </w:rPr>
            </w:pPr>
            <w:r w:rsidRPr="008214A3">
              <w:rPr>
                <w:color w:val="000000"/>
                <w:szCs w:val="20"/>
              </w:rPr>
              <w:t xml:space="preserve">44 Watt Interior Fixture (Common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694D3171" w14:textId="77777777" w:rsidTr="008214A3">
        <w:trPr>
          <w:trHeight w:val="243"/>
        </w:trPr>
        <w:tc>
          <w:tcPr>
            <w:tcW w:w="289" w:type="pct"/>
          </w:tcPr>
          <w:p w14:paraId="4B9847C4" w14:textId="77777777" w:rsidR="008214A3" w:rsidRPr="008214A3" w:rsidRDefault="008214A3" w:rsidP="008214A3">
            <w:pPr>
              <w:rPr>
                <w:rFonts w:cstheme="minorHAnsi"/>
                <w:szCs w:val="20"/>
              </w:rPr>
            </w:pPr>
          </w:p>
        </w:tc>
        <w:tc>
          <w:tcPr>
            <w:tcW w:w="429" w:type="pct"/>
          </w:tcPr>
          <w:p w14:paraId="2C05F6A2" w14:textId="77777777" w:rsidR="008214A3" w:rsidRPr="008214A3" w:rsidRDefault="008214A3" w:rsidP="008214A3">
            <w:pPr>
              <w:rPr>
                <w:rFonts w:cstheme="minorHAnsi"/>
                <w:szCs w:val="20"/>
              </w:rPr>
            </w:pPr>
          </w:p>
        </w:tc>
        <w:tc>
          <w:tcPr>
            <w:tcW w:w="530" w:type="pct"/>
          </w:tcPr>
          <w:p w14:paraId="7BD362D0" w14:textId="3BB2ED5D" w:rsidR="008214A3" w:rsidRPr="008214A3" w:rsidRDefault="008214A3" w:rsidP="008214A3">
            <w:pPr>
              <w:rPr>
                <w:rFonts w:cstheme="minorHAnsi"/>
                <w:szCs w:val="20"/>
              </w:rPr>
            </w:pPr>
            <w:r w:rsidRPr="008214A3">
              <w:rPr>
                <w:color w:val="000000"/>
                <w:szCs w:val="20"/>
              </w:rPr>
              <w:t>LT-50587</w:t>
            </w:r>
          </w:p>
        </w:tc>
        <w:tc>
          <w:tcPr>
            <w:tcW w:w="386" w:type="pct"/>
          </w:tcPr>
          <w:p w14:paraId="7782CE14" w14:textId="77777777" w:rsidR="008214A3" w:rsidRPr="008214A3" w:rsidRDefault="008214A3" w:rsidP="008214A3">
            <w:pPr>
              <w:rPr>
                <w:rFonts w:cstheme="minorHAnsi"/>
                <w:szCs w:val="20"/>
              </w:rPr>
            </w:pPr>
          </w:p>
        </w:tc>
        <w:tc>
          <w:tcPr>
            <w:tcW w:w="3366" w:type="pct"/>
          </w:tcPr>
          <w:p w14:paraId="7028D3AB" w14:textId="2FED42FF" w:rsidR="008214A3" w:rsidRPr="008214A3" w:rsidRDefault="008214A3" w:rsidP="008214A3">
            <w:pPr>
              <w:rPr>
                <w:szCs w:val="20"/>
              </w:rPr>
            </w:pPr>
            <w:r w:rsidRPr="008214A3">
              <w:rPr>
                <w:color w:val="000000"/>
                <w:szCs w:val="20"/>
              </w:rPr>
              <w:t xml:space="preserve">46 Watt Interior Fixture (Common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552C853B" w14:textId="77777777" w:rsidTr="008214A3">
        <w:trPr>
          <w:trHeight w:val="243"/>
        </w:trPr>
        <w:tc>
          <w:tcPr>
            <w:tcW w:w="289" w:type="pct"/>
          </w:tcPr>
          <w:p w14:paraId="516EB2A9" w14:textId="77777777" w:rsidR="008214A3" w:rsidRPr="008214A3" w:rsidRDefault="008214A3" w:rsidP="008214A3">
            <w:pPr>
              <w:rPr>
                <w:rFonts w:cstheme="minorHAnsi"/>
                <w:szCs w:val="20"/>
              </w:rPr>
            </w:pPr>
          </w:p>
        </w:tc>
        <w:tc>
          <w:tcPr>
            <w:tcW w:w="429" w:type="pct"/>
          </w:tcPr>
          <w:p w14:paraId="1EC8EBD7" w14:textId="77777777" w:rsidR="008214A3" w:rsidRPr="008214A3" w:rsidRDefault="008214A3" w:rsidP="008214A3">
            <w:pPr>
              <w:rPr>
                <w:rFonts w:cstheme="minorHAnsi"/>
                <w:szCs w:val="20"/>
              </w:rPr>
            </w:pPr>
          </w:p>
        </w:tc>
        <w:tc>
          <w:tcPr>
            <w:tcW w:w="530" w:type="pct"/>
          </w:tcPr>
          <w:p w14:paraId="1D0C66E8" w14:textId="38EE8883" w:rsidR="008214A3" w:rsidRPr="008214A3" w:rsidRDefault="008214A3" w:rsidP="008214A3">
            <w:pPr>
              <w:rPr>
                <w:rFonts w:cstheme="minorHAnsi"/>
                <w:szCs w:val="20"/>
              </w:rPr>
            </w:pPr>
            <w:r w:rsidRPr="008214A3">
              <w:rPr>
                <w:color w:val="000000"/>
                <w:szCs w:val="20"/>
              </w:rPr>
              <w:t>LT-78765</w:t>
            </w:r>
          </w:p>
        </w:tc>
        <w:tc>
          <w:tcPr>
            <w:tcW w:w="386" w:type="pct"/>
          </w:tcPr>
          <w:p w14:paraId="7FD496E9" w14:textId="77777777" w:rsidR="008214A3" w:rsidRPr="008214A3" w:rsidRDefault="008214A3" w:rsidP="008214A3">
            <w:pPr>
              <w:rPr>
                <w:rFonts w:cstheme="minorHAnsi"/>
                <w:szCs w:val="20"/>
              </w:rPr>
            </w:pPr>
          </w:p>
        </w:tc>
        <w:tc>
          <w:tcPr>
            <w:tcW w:w="3366" w:type="pct"/>
          </w:tcPr>
          <w:p w14:paraId="19AE7789" w14:textId="1A313A71" w:rsidR="008214A3" w:rsidRPr="008214A3" w:rsidRDefault="008214A3" w:rsidP="008214A3">
            <w:pPr>
              <w:rPr>
                <w:szCs w:val="20"/>
              </w:rPr>
            </w:pPr>
            <w:r w:rsidRPr="008214A3">
              <w:rPr>
                <w:color w:val="000000"/>
                <w:szCs w:val="20"/>
              </w:rPr>
              <w:t xml:space="preserve">52 Watt Interior Fixture (Common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682EE34A" w14:textId="77777777" w:rsidTr="008214A3">
        <w:trPr>
          <w:trHeight w:val="243"/>
        </w:trPr>
        <w:tc>
          <w:tcPr>
            <w:tcW w:w="289" w:type="pct"/>
          </w:tcPr>
          <w:p w14:paraId="280006B2" w14:textId="77777777" w:rsidR="008214A3" w:rsidRPr="008214A3" w:rsidRDefault="008214A3" w:rsidP="008214A3">
            <w:pPr>
              <w:rPr>
                <w:rFonts w:cstheme="minorHAnsi"/>
                <w:szCs w:val="20"/>
              </w:rPr>
            </w:pPr>
          </w:p>
        </w:tc>
        <w:tc>
          <w:tcPr>
            <w:tcW w:w="429" w:type="pct"/>
          </w:tcPr>
          <w:p w14:paraId="240DA179" w14:textId="77777777" w:rsidR="008214A3" w:rsidRPr="008214A3" w:rsidRDefault="008214A3" w:rsidP="008214A3">
            <w:pPr>
              <w:rPr>
                <w:rFonts w:cstheme="minorHAnsi"/>
                <w:szCs w:val="20"/>
              </w:rPr>
            </w:pPr>
          </w:p>
        </w:tc>
        <w:tc>
          <w:tcPr>
            <w:tcW w:w="530" w:type="pct"/>
          </w:tcPr>
          <w:p w14:paraId="39F86B62" w14:textId="0F441478" w:rsidR="008214A3" w:rsidRPr="008214A3" w:rsidRDefault="008214A3" w:rsidP="008214A3">
            <w:pPr>
              <w:rPr>
                <w:rFonts w:cstheme="minorHAnsi"/>
                <w:szCs w:val="20"/>
              </w:rPr>
            </w:pPr>
            <w:r w:rsidRPr="008214A3">
              <w:rPr>
                <w:color w:val="000000"/>
                <w:szCs w:val="20"/>
              </w:rPr>
              <w:t>LT-90987</w:t>
            </w:r>
          </w:p>
        </w:tc>
        <w:tc>
          <w:tcPr>
            <w:tcW w:w="386" w:type="pct"/>
          </w:tcPr>
          <w:p w14:paraId="0A3C72EF" w14:textId="77777777" w:rsidR="008214A3" w:rsidRPr="008214A3" w:rsidRDefault="008214A3" w:rsidP="008214A3">
            <w:pPr>
              <w:rPr>
                <w:rFonts w:cstheme="minorHAnsi"/>
                <w:szCs w:val="20"/>
              </w:rPr>
            </w:pPr>
          </w:p>
        </w:tc>
        <w:tc>
          <w:tcPr>
            <w:tcW w:w="3366" w:type="pct"/>
          </w:tcPr>
          <w:p w14:paraId="4C11F69E" w14:textId="0D6E826B" w:rsidR="008214A3" w:rsidRPr="008214A3" w:rsidRDefault="008214A3" w:rsidP="008214A3">
            <w:pPr>
              <w:rPr>
                <w:szCs w:val="20"/>
              </w:rPr>
            </w:pPr>
            <w:r w:rsidRPr="008214A3">
              <w:rPr>
                <w:color w:val="000000"/>
                <w:szCs w:val="20"/>
              </w:rPr>
              <w:t xml:space="preserve">54 Watt Interior Fixture (Common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2741570F" w14:textId="77777777" w:rsidTr="008214A3">
        <w:trPr>
          <w:trHeight w:val="243"/>
        </w:trPr>
        <w:tc>
          <w:tcPr>
            <w:tcW w:w="289" w:type="pct"/>
          </w:tcPr>
          <w:p w14:paraId="69D26A31" w14:textId="77777777" w:rsidR="008214A3" w:rsidRPr="008214A3" w:rsidRDefault="008214A3" w:rsidP="008214A3">
            <w:pPr>
              <w:rPr>
                <w:rFonts w:cstheme="minorHAnsi"/>
                <w:szCs w:val="20"/>
              </w:rPr>
            </w:pPr>
          </w:p>
        </w:tc>
        <w:tc>
          <w:tcPr>
            <w:tcW w:w="429" w:type="pct"/>
          </w:tcPr>
          <w:p w14:paraId="4840D19C" w14:textId="77777777" w:rsidR="008214A3" w:rsidRPr="008214A3" w:rsidRDefault="008214A3" w:rsidP="008214A3">
            <w:pPr>
              <w:rPr>
                <w:rFonts w:cstheme="minorHAnsi"/>
                <w:szCs w:val="20"/>
              </w:rPr>
            </w:pPr>
          </w:p>
        </w:tc>
        <w:tc>
          <w:tcPr>
            <w:tcW w:w="530" w:type="pct"/>
          </w:tcPr>
          <w:p w14:paraId="79B63884" w14:textId="319FC618" w:rsidR="008214A3" w:rsidRPr="008214A3" w:rsidRDefault="008214A3" w:rsidP="008214A3">
            <w:pPr>
              <w:rPr>
                <w:rFonts w:cstheme="minorHAnsi"/>
                <w:szCs w:val="20"/>
              </w:rPr>
            </w:pPr>
            <w:r w:rsidRPr="008214A3">
              <w:rPr>
                <w:color w:val="000000"/>
                <w:szCs w:val="20"/>
              </w:rPr>
              <w:t>LT-27559</w:t>
            </w:r>
          </w:p>
        </w:tc>
        <w:tc>
          <w:tcPr>
            <w:tcW w:w="386" w:type="pct"/>
          </w:tcPr>
          <w:p w14:paraId="5EA320E7" w14:textId="77777777" w:rsidR="008214A3" w:rsidRPr="008214A3" w:rsidRDefault="008214A3" w:rsidP="008214A3">
            <w:pPr>
              <w:rPr>
                <w:rFonts w:cstheme="minorHAnsi"/>
                <w:szCs w:val="20"/>
              </w:rPr>
            </w:pPr>
          </w:p>
        </w:tc>
        <w:tc>
          <w:tcPr>
            <w:tcW w:w="3366" w:type="pct"/>
          </w:tcPr>
          <w:p w14:paraId="33322EFC" w14:textId="5B3E62D3" w:rsidR="008214A3" w:rsidRPr="008214A3" w:rsidRDefault="008214A3" w:rsidP="008214A3">
            <w:pPr>
              <w:rPr>
                <w:szCs w:val="20"/>
              </w:rPr>
            </w:pPr>
            <w:r w:rsidRPr="008214A3">
              <w:rPr>
                <w:color w:val="000000"/>
                <w:szCs w:val="20"/>
              </w:rPr>
              <w:t xml:space="preserve">55 Watt Interior Fixture (Common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5A5C647B" w14:textId="77777777" w:rsidTr="008214A3">
        <w:trPr>
          <w:trHeight w:val="243"/>
        </w:trPr>
        <w:tc>
          <w:tcPr>
            <w:tcW w:w="289" w:type="pct"/>
          </w:tcPr>
          <w:p w14:paraId="10B5A84E" w14:textId="77777777" w:rsidR="008214A3" w:rsidRPr="008214A3" w:rsidRDefault="008214A3" w:rsidP="008214A3">
            <w:pPr>
              <w:rPr>
                <w:rFonts w:cstheme="minorHAnsi"/>
                <w:szCs w:val="20"/>
              </w:rPr>
            </w:pPr>
          </w:p>
        </w:tc>
        <w:tc>
          <w:tcPr>
            <w:tcW w:w="429" w:type="pct"/>
          </w:tcPr>
          <w:p w14:paraId="24066140" w14:textId="77777777" w:rsidR="008214A3" w:rsidRPr="008214A3" w:rsidRDefault="008214A3" w:rsidP="008214A3">
            <w:pPr>
              <w:rPr>
                <w:rFonts w:cstheme="minorHAnsi"/>
                <w:szCs w:val="20"/>
              </w:rPr>
            </w:pPr>
          </w:p>
        </w:tc>
        <w:tc>
          <w:tcPr>
            <w:tcW w:w="530" w:type="pct"/>
          </w:tcPr>
          <w:p w14:paraId="23CD8E79" w14:textId="0790F526" w:rsidR="008214A3" w:rsidRPr="008214A3" w:rsidRDefault="008214A3" w:rsidP="008214A3">
            <w:pPr>
              <w:rPr>
                <w:rFonts w:cstheme="minorHAnsi"/>
                <w:szCs w:val="20"/>
              </w:rPr>
            </w:pPr>
            <w:r w:rsidRPr="008214A3">
              <w:rPr>
                <w:color w:val="000000"/>
                <w:szCs w:val="20"/>
              </w:rPr>
              <w:t>LT-72843</w:t>
            </w:r>
          </w:p>
        </w:tc>
        <w:tc>
          <w:tcPr>
            <w:tcW w:w="386" w:type="pct"/>
          </w:tcPr>
          <w:p w14:paraId="1FDF709B" w14:textId="77777777" w:rsidR="008214A3" w:rsidRPr="008214A3" w:rsidRDefault="008214A3" w:rsidP="008214A3">
            <w:pPr>
              <w:rPr>
                <w:rFonts w:cstheme="minorHAnsi"/>
                <w:szCs w:val="20"/>
              </w:rPr>
            </w:pPr>
          </w:p>
        </w:tc>
        <w:tc>
          <w:tcPr>
            <w:tcW w:w="3366" w:type="pct"/>
          </w:tcPr>
          <w:p w14:paraId="59EFAA12" w14:textId="68D8CA7D" w:rsidR="008214A3" w:rsidRPr="008214A3" w:rsidRDefault="008214A3" w:rsidP="008214A3">
            <w:pPr>
              <w:rPr>
                <w:szCs w:val="20"/>
              </w:rPr>
            </w:pPr>
            <w:r w:rsidRPr="008214A3">
              <w:rPr>
                <w:color w:val="000000"/>
                <w:szCs w:val="20"/>
              </w:rPr>
              <w:t xml:space="preserve">64 Watt Interior Fixture (Common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57D3ED48" w14:textId="77777777" w:rsidTr="008214A3">
        <w:trPr>
          <w:trHeight w:val="243"/>
        </w:trPr>
        <w:tc>
          <w:tcPr>
            <w:tcW w:w="289" w:type="pct"/>
          </w:tcPr>
          <w:p w14:paraId="2587AAC3" w14:textId="77777777" w:rsidR="008214A3" w:rsidRPr="008214A3" w:rsidRDefault="008214A3" w:rsidP="008214A3">
            <w:pPr>
              <w:rPr>
                <w:rFonts w:cstheme="minorHAnsi"/>
                <w:szCs w:val="20"/>
              </w:rPr>
            </w:pPr>
          </w:p>
        </w:tc>
        <w:tc>
          <w:tcPr>
            <w:tcW w:w="429" w:type="pct"/>
          </w:tcPr>
          <w:p w14:paraId="60AEB9C7" w14:textId="77777777" w:rsidR="008214A3" w:rsidRPr="008214A3" w:rsidRDefault="008214A3" w:rsidP="008214A3">
            <w:pPr>
              <w:rPr>
                <w:rFonts w:cstheme="minorHAnsi"/>
                <w:szCs w:val="20"/>
              </w:rPr>
            </w:pPr>
          </w:p>
        </w:tc>
        <w:tc>
          <w:tcPr>
            <w:tcW w:w="530" w:type="pct"/>
          </w:tcPr>
          <w:p w14:paraId="2A19F750" w14:textId="6E1C36D1" w:rsidR="008214A3" w:rsidRPr="008214A3" w:rsidRDefault="008214A3" w:rsidP="008214A3">
            <w:pPr>
              <w:rPr>
                <w:rFonts w:cstheme="minorHAnsi"/>
                <w:szCs w:val="20"/>
              </w:rPr>
            </w:pPr>
            <w:r w:rsidRPr="008214A3">
              <w:rPr>
                <w:color w:val="000000"/>
                <w:szCs w:val="20"/>
              </w:rPr>
              <w:t>LT-45343</w:t>
            </w:r>
          </w:p>
        </w:tc>
        <w:tc>
          <w:tcPr>
            <w:tcW w:w="386" w:type="pct"/>
          </w:tcPr>
          <w:p w14:paraId="413180BE" w14:textId="77777777" w:rsidR="008214A3" w:rsidRPr="008214A3" w:rsidRDefault="008214A3" w:rsidP="008214A3">
            <w:pPr>
              <w:rPr>
                <w:rFonts w:cstheme="minorHAnsi"/>
                <w:szCs w:val="20"/>
              </w:rPr>
            </w:pPr>
          </w:p>
        </w:tc>
        <w:tc>
          <w:tcPr>
            <w:tcW w:w="3366" w:type="pct"/>
          </w:tcPr>
          <w:p w14:paraId="2324DA35" w14:textId="3ED777F4" w:rsidR="008214A3" w:rsidRPr="008214A3" w:rsidRDefault="008214A3" w:rsidP="008214A3">
            <w:pPr>
              <w:rPr>
                <w:szCs w:val="20"/>
              </w:rPr>
            </w:pPr>
            <w:r w:rsidRPr="008214A3">
              <w:rPr>
                <w:color w:val="000000"/>
                <w:szCs w:val="20"/>
              </w:rPr>
              <w:t xml:space="preserve">69 Watt Interior Fixture (Common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2F207F68" w14:textId="77777777" w:rsidTr="008214A3">
        <w:trPr>
          <w:trHeight w:val="243"/>
        </w:trPr>
        <w:tc>
          <w:tcPr>
            <w:tcW w:w="289" w:type="pct"/>
          </w:tcPr>
          <w:p w14:paraId="7842CEAD" w14:textId="77777777" w:rsidR="008214A3" w:rsidRPr="008214A3" w:rsidRDefault="008214A3" w:rsidP="008214A3">
            <w:pPr>
              <w:rPr>
                <w:rFonts w:cstheme="minorHAnsi"/>
                <w:szCs w:val="20"/>
              </w:rPr>
            </w:pPr>
          </w:p>
        </w:tc>
        <w:tc>
          <w:tcPr>
            <w:tcW w:w="429" w:type="pct"/>
          </w:tcPr>
          <w:p w14:paraId="35FFB5CA" w14:textId="77777777" w:rsidR="008214A3" w:rsidRPr="008214A3" w:rsidRDefault="008214A3" w:rsidP="008214A3">
            <w:pPr>
              <w:rPr>
                <w:rFonts w:cstheme="minorHAnsi"/>
                <w:szCs w:val="20"/>
              </w:rPr>
            </w:pPr>
          </w:p>
        </w:tc>
        <w:tc>
          <w:tcPr>
            <w:tcW w:w="530" w:type="pct"/>
          </w:tcPr>
          <w:p w14:paraId="2DEDD270" w14:textId="1BBE88D1" w:rsidR="008214A3" w:rsidRPr="008214A3" w:rsidRDefault="008214A3" w:rsidP="008214A3">
            <w:pPr>
              <w:rPr>
                <w:rFonts w:cstheme="minorHAnsi"/>
                <w:szCs w:val="20"/>
              </w:rPr>
            </w:pPr>
            <w:r w:rsidRPr="008214A3">
              <w:rPr>
                <w:color w:val="000000"/>
                <w:szCs w:val="20"/>
              </w:rPr>
              <w:t>LT-65832</w:t>
            </w:r>
          </w:p>
        </w:tc>
        <w:tc>
          <w:tcPr>
            <w:tcW w:w="386" w:type="pct"/>
          </w:tcPr>
          <w:p w14:paraId="17AED42D" w14:textId="77777777" w:rsidR="008214A3" w:rsidRPr="008214A3" w:rsidRDefault="008214A3" w:rsidP="008214A3">
            <w:pPr>
              <w:rPr>
                <w:rFonts w:cstheme="minorHAnsi"/>
                <w:szCs w:val="20"/>
              </w:rPr>
            </w:pPr>
          </w:p>
        </w:tc>
        <w:tc>
          <w:tcPr>
            <w:tcW w:w="3366" w:type="pct"/>
          </w:tcPr>
          <w:p w14:paraId="290E92BF" w14:textId="01C294CB" w:rsidR="008214A3" w:rsidRPr="008214A3" w:rsidRDefault="008214A3" w:rsidP="008214A3">
            <w:pPr>
              <w:rPr>
                <w:szCs w:val="20"/>
              </w:rPr>
            </w:pPr>
            <w:r w:rsidRPr="008214A3">
              <w:rPr>
                <w:color w:val="000000"/>
                <w:szCs w:val="20"/>
              </w:rPr>
              <w:t xml:space="preserve">72 Watt Interior Fixture (Common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r w:rsidR="008214A3" w:rsidRPr="008214A3" w14:paraId="109EB109" w14:textId="77777777" w:rsidTr="008214A3">
        <w:trPr>
          <w:trHeight w:val="243"/>
        </w:trPr>
        <w:tc>
          <w:tcPr>
            <w:tcW w:w="289" w:type="pct"/>
          </w:tcPr>
          <w:p w14:paraId="0CC48057" w14:textId="77777777" w:rsidR="008214A3" w:rsidRPr="008214A3" w:rsidRDefault="008214A3" w:rsidP="008214A3">
            <w:pPr>
              <w:rPr>
                <w:rFonts w:cstheme="minorHAnsi"/>
                <w:szCs w:val="20"/>
              </w:rPr>
            </w:pPr>
          </w:p>
        </w:tc>
        <w:tc>
          <w:tcPr>
            <w:tcW w:w="429" w:type="pct"/>
          </w:tcPr>
          <w:p w14:paraId="697C4EFD" w14:textId="77777777" w:rsidR="008214A3" w:rsidRPr="008214A3" w:rsidRDefault="008214A3" w:rsidP="008214A3">
            <w:pPr>
              <w:rPr>
                <w:rFonts w:cstheme="minorHAnsi"/>
                <w:szCs w:val="20"/>
              </w:rPr>
            </w:pPr>
          </w:p>
        </w:tc>
        <w:tc>
          <w:tcPr>
            <w:tcW w:w="530" w:type="pct"/>
          </w:tcPr>
          <w:p w14:paraId="60EF2164" w14:textId="6EA4F0E8" w:rsidR="008214A3" w:rsidRPr="008214A3" w:rsidRDefault="008214A3" w:rsidP="008214A3">
            <w:pPr>
              <w:rPr>
                <w:rFonts w:cstheme="minorHAnsi"/>
                <w:szCs w:val="20"/>
              </w:rPr>
            </w:pPr>
            <w:r w:rsidRPr="008214A3">
              <w:rPr>
                <w:color w:val="000000"/>
                <w:szCs w:val="20"/>
              </w:rPr>
              <w:t>LT-87453</w:t>
            </w:r>
          </w:p>
        </w:tc>
        <w:tc>
          <w:tcPr>
            <w:tcW w:w="386" w:type="pct"/>
          </w:tcPr>
          <w:p w14:paraId="50E0DF3B" w14:textId="77777777" w:rsidR="008214A3" w:rsidRPr="008214A3" w:rsidRDefault="008214A3" w:rsidP="008214A3">
            <w:pPr>
              <w:rPr>
                <w:rFonts w:cstheme="minorHAnsi"/>
                <w:szCs w:val="20"/>
              </w:rPr>
            </w:pPr>
          </w:p>
        </w:tc>
        <w:tc>
          <w:tcPr>
            <w:tcW w:w="3366" w:type="pct"/>
          </w:tcPr>
          <w:p w14:paraId="5DE0B578" w14:textId="57D0B772" w:rsidR="008214A3" w:rsidRPr="008214A3" w:rsidRDefault="008214A3" w:rsidP="008214A3">
            <w:pPr>
              <w:rPr>
                <w:szCs w:val="20"/>
              </w:rPr>
            </w:pPr>
            <w:r w:rsidRPr="008214A3">
              <w:rPr>
                <w:color w:val="000000"/>
                <w:szCs w:val="20"/>
              </w:rPr>
              <w:t xml:space="preserve">92 Watt Interior Fixture (Common Area) CFL replacing CFL Fixture Base Case, Total Watts = 3.53 x </w:t>
            </w:r>
            <w:proofErr w:type="spellStart"/>
            <w:r w:rsidRPr="008214A3">
              <w:rPr>
                <w:color w:val="000000"/>
                <w:szCs w:val="20"/>
              </w:rPr>
              <w:t>Msr</w:t>
            </w:r>
            <w:proofErr w:type="spellEnd"/>
            <w:r w:rsidRPr="008214A3">
              <w:rPr>
                <w:color w:val="000000"/>
                <w:szCs w:val="20"/>
              </w:rPr>
              <w:t xml:space="preserve"> Watts</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13784E1E" w14:textId="77777777" w:rsidR="00DC7599" w:rsidRDefault="00DC7599" w:rsidP="00AD2608">
      <w:pPr>
        <w:pStyle w:val="Reminders"/>
        <w:tabs>
          <w:tab w:val="num" w:pos="360"/>
        </w:tabs>
        <w:rPr>
          <w:rFonts w:asciiTheme="minorHAnsi" w:hAnsiTheme="minorHAnsi" w:cstheme="minorHAnsi"/>
          <w:b/>
          <w:i w:val="0"/>
          <w:color w:val="auto"/>
          <w:szCs w:val="22"/>
        </w:rPr>
      </w:pPr>
      <w:r>
        <w:rPr>
          <w:rFonts w:asciiTheme="minorHAnsi" w:hAnsiTheme="minorHAnsi" w:cstheme="minorHAnsi"/>
          <w:b/>
          <w:i w:val="0"/>
          <w:color w:val="auto"/>
          <w:szCs w:val="22"/>
        </w:rPr>
        <w:br w:type="page"/>
      </w:r>
    </w:p>
    <w:p w14:paraId="4FCDF9B9" w14:textId="3B10ED9C" w:rsidR="00566F81" w:rsidRPr="00566F81" w:rsidRDefault="00566F81" w:rsidP="00E364F3">
      <w:pPr>
        <w:pStyle w:val="Reminders"/>
        <w:tabs>
          <w:tab w:val="num" w:pos="360"/>
        </w:tabs>
        <w:ind w:left="360"/>
        <w:rPr>
          <w:rFonts w:asciiTheme="minorHAnsi" w:hAnsiTheme="minorHAnsi" w:cstheme="minorHAnsi"/>
          <w:b/>
          <w:i w:val="0"/>
          <w:color w:val="auto"/>
          <w:szCs w:val="22"/>
        </w:rPr>
      </w:pPr>
      <w:r w:rsidRPr="00566F81">
        <w:rPr>
          <w:rFonts w:asciiTheme="minorHAnsi" w:hAnsiTheme="minorHAnsi" w:cstheme="minorHAnsi"/>
          <w:b/>
          <w:i w:val="0"/>
          <w:color w:val="auto"/>
          <w:szCs w:val="22"/>
        </w:rPr>
        <w:lastRenderedPageBreak/>
        <w:t>Eligibility Requirements</w:t>
      </w:r>
    </w:p>
    <w:p w14:paraId="7F22E66A" w14:textId="68D2CB7A" w:rsidR="00566F81" w:rsidRDefault="00566F81" w:rsidP="00566F81">
      <w:pPr>
        <w:pStyle w:val="Reminders"/>
        <w:numPr>
          <w:ilvl w:val="0"/>
          <w:numId w:val="43"/>
        </w:numPr>
        <w:rPr>
          <w:rFonts w:asciiTheme="minorHAnsi" w:hAnsiTheme="minorHAnsi" w:cstheme="minorHAnsi"/>
          <w:i w:val="0"/>
          <w:color w:val="auto"/>
          <w:szCs w:val="22"/>
        </w:rPr>
      </w:pPr>
      <w:r>
        <w:rPr>
          <w:rFonts w:asciiTheme="minorHAnsi" w:hAnsiTheme="minorHAnsi" w:cstheme="minorHAnsi"/>
          <w:i w:val="0"/>
          <w:color w:val="auto"/>
          <w:szCs w:val="22"/>
        </w:rPr>
        <w:t xml:space="preserve">The Common and Dwelling Area measures are applicable to the </w:t>
      </w:r>
      <w:r w:rsidRPr="00566F81">
        <w:rPr>
          <w:rFonts w:asciiTheme="minorHAnsi" w:hAnsiTheme="minorHAnsi" w:cstheme="minorHAnsi"/>
          <w:i w:val="0"/>
          <w:color w:val="auto"/>
          <w:szCs w:val="22"/>
        </w:rPr>
        <w:t>Residential Multi-family</w:t>
      </w:r>
      <w:r>
        <w:rPr>
          <w:rFonts w:asciiTheme="minorHAnsi" w:hAnsiTheme="minorHAnsi" w:cstheme="minorHAnsi"/>
          <w:i w:val="0"/>
          <w:color w:val="auto"/>
          <w:szCs w:val="22"/>
        </w:rPr>
        <w:t xml:space="preserve"> and </w:t>
      </w:r>
      <w:r w:rsidRPr="00566F81">
        <w:rPr>
          <w:rFonts w:asciiTheme="minorHAnsi" w:hAnsiTheme="minorHAnsi" w:cstheme="minorHAnsi"/>
          <w:i w:val="0"/>
          <w:color w:val="auto"/>
          <w:szCs w:val="22"/>
        </w:rPr>
        <w:t>Residential Mobile Home - Double-Wide building types</w:t>
      </w:r>
      <w:r>
        <w:rPr>
          <w:rFonts w:asciiTheme="minorHAnsi" w:hAnsiTheme="minorHAnsi" w:cstheme="minorHAnsi"/>
          <w:i w:val="0"/>
          <w:color w:val="auto"/>
          <w:szCs w:val="22"/>
        </w:rPr>
        <w:t>.</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1D9FF5B2" w14:textId="55BF24E9" w:rsidR="00AD2608" w:rsidRPr="00AD2608" w:rsidRDefault="00E071D3" w:rsidP="00AD260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The measure case CFL </w:t>
      </w:r>
      <w:r w:rsidR="00ED5923">
        <w:rPr>
          <w:rFonts w:asciiTheme="minorHAnsi" w:hAnsiTheme="minorHAnsi" w:cstheme="minorHAnsi"/>
          <w:i w:val="0"/>
          <w:color w:val="auto"/>
          <w:szCs w:val="22"/>
        </w:rPr>
        <w:t xml:space="preserve">GU24 </w:t>
      </w:r>
      <w:r>
        <w:rPr>
          <w:rFonts w:asciiTheme="minorHAnsi" w:hAnsiTheme="minorHAnsi" w:cstheme="minorHAnsi"/>
          <w:i w:val="0"/>
          <w:color w:val="auto"/>
          <w:szCs w:val="22"/>
        </w:rPr>
        <w:t>fixtures will have lumen output that is comparable to the fixtures being replaced</w:t>
      </w:r>
      <w:r w:rsidR="00AD2608" w:rsidRPr="00AD2608">
        <w:rPr>
          <w:rFonts w:asciiTheme="minorHAnsi" w:hAnsiTheme="minorHAnsi" w:cstheme="minorHAnsi"/>
          <w:i w:val="0"/>
          <w:color w:val="auto"/>
          <w:szCs w:val="22"/>
        </w:rPr>
        <w:t>.</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253C8C3D" w14:textId="77777777" w:rsidR="00C901D8" w:rsidRDefault="00C901D8" w:rsidP="00C901D8">
      <w:pPr>
        <w:pStyle w:val="Reminders"/>
        <w:rPr>
          <w:rFonts w:asciiTheme="minorHAnsi" w:hAnsiTheme="minorHAnsi" w:cstheme="minorHAnsi"/>
          <w:i w:val="0"/>
          <w:color w:val="auto"/>
          <w:szCs w:val="22"/>
        </w:rPr>
      </w:pPr>
    </w:p>
    <w:p w14:paraId="192E28FA" w14:textId="77777777" w:rsidR="00C901D8" w:rsidRDefault="00C901D8" w:rsidP="00C901D8">
      <w:pPr>
        <w:pStyle w:val="Reminders"/>
        <w:rPr>
          <w:rFonts w:asciiTheme="minorHAnsi" w:hAnsiTheme="minorHAnsi" w:cstheme="minorHAnsi"/>
          <w:i w:val="0"/>
          <w:color w:val="auto"/>
          <w:szCs w:val="22"/>
        </w:rPr>
      </w:pPr>
      <w:r>
        <w:rPr>
          <w:rFonts w:asciiTheme="minorHAnsi" w:hAnsiTheme="minorHAnsi" w:cstheme="minorHAnsi"/>
          <w:i w:val="0"/>
          <w:color w:val="auto"/>
          <w:szCs w:val="22"/>
        </w:rPr>
        <w:t>ROB</w:t>
      </w:r>
    </w:p>
    <w:p w14:paraId="1AE6C15C" w14:textId="77777777" w:rsidR="00C901D8" w:rsidRDefault="00C901D8" w:rsidP="00C901D8">
      <w:pPr>
        <w:pStyle w:val="Reminders"/>
        <w:numPr>
          <w:ilvl w:val="0"/>
          <w:numId w:val="44"/>
        </w:numPr>
        <w:rPr>
          <w:rFonts w:asciiTheme="minorHAnsi" w:hAnsiTheme="minorHAnsi" w:cstheme="minorHAnsi"/>
          <w:i w:val="0"/>
          <w:color w:val="auto"/>
          <w:szCs w:val="22"/>
        </w:rPr>
      </w:pPr>
      <w:r w:rsidRPr="00597DAA">
        <w:rPr>
          <w:rFonts w:asciiTheme="minorHAnsi" w:hAnsiTheme="minorHAnsi" w:cstheme="minorHAnsi"/>
          <w:i w:val="0"/>
          <w:color w:val="auto"/>
          <w:szCs w:val="22"/>
        </w:rPr>
        <w:t xml:space="preserve">Financial Support: Down-Stream Incentive </w:t>
      </w:r>
      <w:r>
        <w:rPr>
          <w:rFonts w:asciiTheme="minorHAnsi" w:hAnsiTheme="minorHAnsi" w:cstheme="minorHAnsi"/>
          <w:i w:val="0"/>
          <w:color w:val="auto"/>
          <w:szCs w:val="22"/>
        </w:rPr>
        <w:t>–</w:t>
      </w:r>
      <w:r w:rsidRPr="00597DAA">
        <w:rPr>
          <w:rFonts w:asciiTheme="minorHAnsi" w:hAnsiTheme="minorHAnsi" w:cstheme="minorHAnsi"/>
          <w:i w:val="0"/>
          <w:color w:val="auto"/>
          <w:szCs w:val="22"/>
        </w:rPr>
        <w:t xml:space="preserve"> Deemed</w:t>
      </w:r>
    </w:p>
    <w:p w14:paraId="2194A54A" w14:textId="77777777" w:rsidR="00C901D8" w:rsidRDefault="00C901D8" w:rsidP="00C901D8">
      <w:pPr>
        <w:pStyle w:val="Reminders"/>
        <w:numPr>
          <w:ilvl w:val="0"/>
          <w:numId w:val="44"/>
        </w:numPr>
        <w:rPr>
          <w:rFonts w:asciiTheme="minorHAnsi" w:hAnsiTheme="minorHAnsi" w:cstheme="minorHAnsi"/>
          <w:i w:val="0"/>
          <w:color w:val="auto"/>
          <w:szCs w:val="22"/>
        </w:rPr>
      </w:pPr>
      <w:r>
        <w:rPr>
          <w:rFonts w:asciiTheme="minorHAnsi" w:hAnsiTheme="minorHAnsi" w:cstheme="minorHAnsi"/>
          <w:i w:val="0"/>
          <w:color w:val="auto"/>
          <w:szCs w:val="22"/>
        </w:rPr>
        <w:t>Financial Support:</w:t>
      </w:r>
      <w:r w:rsidRPr="0028356B">
        <w:rPr>
          <w:rFonts w:asciiTheme="minorHAnsi" w:hAnsiTheme="minorHAnsi" w:cstheme="minorHAnsi"/>
          <w:i w:val="0"/>
          <w:color w:val="auto"/>
          <w:szCs w:val="22"/>
        </w:rPr>
        <w:t xml:space="preserve"> Direct Install </w:t>
      </w:r>
    </w:p>
    <w:p w14:paraId="3234559B" w14:textId="77777777" w:rsidR="00E85FDE" w:rsidRPr="00557294" w:rsidRDefault="00E85FDE" w:rsidP="00E364F3">
      <w:pPr>
        <w:pStyle w:val="Reminders"/>
        <w:rPr>
          <w:rFonts w:asciiTheme="minorHAnsi" w:hAnsiTheme="minorHAnsi" w:cstheme="minorHAnsi"/>
          <w:i w:val="0"/>
          <w:color w:val="auto"/>
          <w:szCs w:val="22"/>
        </w:rPr>
      </w:pPr>
    </w:p>
    <w:p w14:paraId="6D9C3B45" w14:textId="69ACE374" w:rsidR="001B2301" w:rsidRPr="00920905" w:rsidRDefault="00C05AAF" w:rsidP="00E364F3">
      <w:pPr>
        <w:pStyle w:val="Caption"/>
        <w:rPr>
          <w:rFonts w:cstheme="minorHAnsi"/>
          <w:i/>
        </w:rPr>
      </w:pPr>
      <w:r w:rsidRPr="00920905">
        <w:t>Installation Type</w:t>
      </w:r>
      <w:r w:rsidR="002469DD" w:rsidRPr="00920905">
        <w:t xml:space="preserve"> </w:t>
      </w:r>
      <w:r w:rsidR="006F1B21" w:rsidRPr="00920905">
        <w:t>D</w:t>
      </w:r>
      <w:r w:rsidR="002469DD" w:rsidRPr="00920905">
        <w:t>escription</w:t>
      </w:r>
      <w:r w:rsidR="006F1B21" w:rsidRPr="00920905">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5ADB9432"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3E12BCCE"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7E7756AB" w:rsidR="00C05AAF" w:rsidRPr="00500C4E" w:rsidRDefault="00AA16C0" w:rsidP="00E364F3">
      <w:pPr>
        <w:pStyle w:val="Caption"/>
      </w:pPr>
      <w:r w:rsidRPr="00DE77D0">
        <w:t>Delivery Me</w:t>
      </w:r>
      <w:r>
        <w:t>thod</w:t>
      </w:r>
      <w:r w:rsidRPr="00DE77D0">
        <w:t xml:space="preserve"> </w:t>
      </w:r>
      <w:r>
        <w:t>D</w:t>
      </w:r>
      <w:r w:rsidRPr="00DE77D0">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45DF41F4" w14:textId="77777777" w:rsidR="00A509F0" w:rsidRDefault="00A509F0"/>
    <w:p w14:paraId="20F21A83" w14:textId="77777777" w:rsidR="00A509F0" w:rsidRPr="00F12B2A" w:rsidRDefault="00A509F0"/>
    <w:p w14:paraId="13A3DE38" w14:textId="64344F9E" w:rsidR="00AA16C0" w:rsidRPr="00500C4E" w:rsidRDefault="00AA16C0" w:rsidP="00E364F3">
      <w:pPr>
        <w:pStyle w:val="Caption"/>
      </w:pPr>
      <w:r>
        <w:t>Incentive</w:t>
      </w:r>
      <w:r w:rsidRPr="00DE77D0">
        <w:t xml:space="preserve"> Me</w:t>
      </w:r>
      <w:r>
        <w:t>thod</w:t>
      </w:r>
      <w:r w:rsidRPr="00DE77D0">
        <w:t xml:space="preserve"> </w:t>
      </w:r>
      <w:r>
        <w:t>D</w:t>
      </w:r>
      <w:r w:rsidRPr="00DE77D0">
        <w:t>escriptions</w:t>
      </w:r>
    </w:p>
    <w:tbl>
      <w:tblPr>
        <w:tblStyle w:val="TableGrid1"/>
        <w:tblW w:w="5000" w:type="pct"/>
        <w:tblLook w:val="04A0" w:firstRow="1" w:lastRow="0" w:firstColumn="1" w:lastColumn="0" w:noHBand="0" w:noVBand="1"/>
      </w:tblPr>
      <w:tblGrid>
        <w:gridCol w:w="2392"/>
        <w:gridCol w:w="7184"/>
      </w:tblGrid>
      <w:tr w:rsidR="001B2301" w:rsidRPr="00A3164A" w14:paraId="3BEB3D45" w14:textId="77777777" w:rsidTr="00E364F3">
        <w:tc>
          <w:tcPr>
            <w:tcW w:w="1249"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51"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E364F3">
        <w:tc>
          <w:tcPr>
            <w:tcW w:w="1249"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51"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E364F3">
        <w:tc>
          <w:tcPr>
            <w:tcW w:w="1249"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51"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1CE6238D" w14:textId="217B1106" w:rsidR="007F0FBB" w:rsidRDefault="007F0FBB">
      <w:pPr>
        <w:spacing w:after="200" w:line="276" w:lineRule="auto"/>
        <w:rPr>
          <w:rFonts w:cstheme="minorHAnsi"/>
          <w:b/>
          <w:bCs/>
          <w:iCs/>
          <w:smallCaps/>
          <w:sz w:val="28"/>
          <w:szCs w:val="28"/>
        </w:rPr>
      </w:pPr>
      <w:bookmarkStart w:id="8" w:name="_Toc214003084"/>
    </w:p>
    <w:p w14:paraId="72E47250" w14:textId="472648F9" w:rsidR="00E16609" w:rsidRPr="00500C4E" w:rsidRDefault="00824F1C" w:rsidP="00824F1C">
      <w:pPr>
        <w:pStyle w:val="Heading2"/>
        <w:rPr>
          <w:rFonts w:asciiTheme="minorHAnsi" w:hAnsiTheme="minorHAnsi" w:cstheme="minorHAnsi"/>
        </w:rPr>
      </w:pPr>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77777777" w:rsidR="00E326BA" w:rsidRPr="00920905" w:rsidRDefault="00E326BA" w:rsidP="00E364F3">
      <w:pPr>
        <w:pStyle w:val="Caption"/>
        <w:rPr>
          <w:rFonts w:cs="Arial"/>
          <w:szCs w:val="22"/>
        </w:rPr>
      </w:pPr>
      <w:bookmarkStart w:id="9" w:name="_Toc385592671"/>
      <w:bookmarkStart w:id="10" w:name="_Toc214003087"/>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63B00136"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88605F">
              <w:rPr>
                <w:rFonts w:cs="Arial"/>
                <w:b/>
                <w:szCs w:val="20"/>
              </w:rPr>
              <w:t xml:space="preserve"> </w:t>
            </w:r>
            <w:r w:rsidRPr="00920905">
              <w:rPr>
                <w:rFonts w:cs="Arial"/>
                <w:b/>
                <w:szCs w:val="20"/>
              </w:rPr>
              <w:t>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6B3E9EC2" w:rsidR="00E326BA" w:rsidRPr="00D43F48" w:rsidRDefault="00D43F48" w:rsidP="00920905">
            <w:pPr>
              <w:rPr>
                <w:rFonts w:cs="Arial"/>
                <w:b/>
                <w:szCs w:val="20"/>
              </w:rPr>
            </w:pPr>
            <w:r w:rsidRPr="00D43F48">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1E0AE48C" w:rsidR="00E326BA" w:rsidRPr="00D43F48" w:rsidRDefault="00D43F48" w:rsidP="00920905">
            <w:pPr>
              <w:rPr>
                <w:rFonts w:cs="Arial"/>
                <w:szCs w:val="20"/>
              </w:rPr>
            </w:pPr>
            <w:r w:rsidRPr="00D43F48">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7DDB5951" w:rsidR="00E326BA" w:rsidRPr="00D43F48" w:rsidRDefault="00D43F48" w:rsidP="00920905">
            <w:pPr>
              <w:rPr>
                <w:rFonts w:cs="Arial"/>
                <w:szCs w:val="20"/>
              </w:rPr>
            </w:pPr>
            <w:r w:rsidRPr="00D43F48">
              <w:rPr>
                <w:rFonts w:cs="Arial"/>
                <w:szCs w:val="20"/>
              </w:rPr>
              <w:t>Yes</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lastRenderedPageBreak/>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3A4E4899" w:rsidR="00E326BA" w:rsidRPr="00D43F48" w:rsidRDefault="00D43F48" w:rsidP="00920905">
            <w:pPr>
              <w:rPr>
                <w:rFonts w:cs="Arial"/>
                <w:szCs w:val="20"/>
              </w:rPr>
            </w:pPr>
            <w:r w:rsidRPr="00D43F48">
              <w:rPr>
                <w:rFonts w:cs="Arial"/>
                <w:szCs w:val="20"/>
              </w:rPr>
              <w:t>Yes</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6A24A797" w:rsidR="00E326BA" w:rsidRPr="00D43F48" w:rsidRDefault="00D43F48" w:rsidP="00920905">
            <w:pPr>
              <w:rPr>
                <w:rFonts w:cs="Arial"/>
                <w:szCs w:val="20"/>
              </w:rPr>
            </w:pPr>
            <w:r w:rsidRPr="00D43F48">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3E67ACA1" w:rsidR="00E326BA" w:rsidRPr="00D43F48" w:rsidRDefault="00D43F48" w:rsidP="00920905">
            <w:pPr>
              <w:rPr>
                <w:rFonts w:cs="Arial"/>
                <w:szCs w:val="20"/>
              </w:rPr>
            </w:pPr>
            <w:r w:rsidRPr="00D43F48">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185B94B6" w:rsidR="00505CEC" w:rsidRPr="00D43F48" w:rsidDel="00505CEC" w:rsidRDefault="00D43F48" w:rsidP="00920905">
            <w:pPr>
              <w:rPr>
                <w:rFonts w:cs="Arial"/>
                <w:szCs w:val="20"/>
              </w:rPr>
            </w:pPr>
            <w:r w:rsidRPr="00D43F48">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595052BE" w:rsidR="00D86A9D" w:rsidRPr="00D43F48" w:rsidRDefault="00D43F48" w:rsidP="00D43F48">
            <w:pPr>
              <w:rPr>
                <w:rFonts w:cs="Arial"/>
                <w:szCs w:val="20"/>
              </w:rPr>
            </w:pPr>
            <w:r w:rsidRPr="00CF0CF8">
              <w:rPr>
                <w:rFonts w:cstheme="minorHAnsi"/>
                <w:szCs w:val="20"/>
              </w:rPr>
              <w:t>DEER 201</w:t>
            </w:r>
            <w:r w:rsidR="006D4D77" w:rsidRPr="00CF0CF8">
              <w:rPr>
                <w:rFonts w:cstheme="minorHAnsi"/>
                <w:szCs w:val="20"/>
              </w:rPr>
              <w:t>7</w:t>
            </w:r>
            <w:r w:rsidR="00D86A9D" w:rsidRPr="00CF0CF8">
              <w:rPr>
                <w:rFonts w:cstheme="minorHAnsi"/>
                <w:szCs w:val="20"/>
              </w:rPr>
              <w:t>,</w:t>
            </w:r>
            <w:r w:rsidR="00D86A9D" w:rsidRPr="00D43F48">
              <w:rPr>
                <w:rFonts w:cstheme="minorHAnsi"/>
                <w:szCs w:val="20"/>
              </w:rPr>
              <w:t xml:space="preserve"> READI v</w:t>
            </w:r>
            <w:r w:rsidR="0088605F">
              <w:rPr>
                <w:rFonts w:cstheme="minorHAnsi"/>
                <w:szCs w:val="20"/>
              </w:rPr>
              <w:t>.</w:t>
            </w:r>
            <w:r w:rsidR="00D86A9D" w:rsidRPr="00D43F48">
              <w:rPr>
                <w:rFonts w:cstheme="minorHAnsi"/>
                <w:szCs w:val="20"/>
              </w:rPr>
              <w:t>2.</w:t>
            </w:r>
            <w:r w:rsidR="0088605F">
              <w:rPr>
                <w:rFonts w:cstheme="minorHAnsi"/>
                <w:szCs w:val="20"/>
              </w:rPr>
              <w:t>4.7</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1F25D01A" w:rsidR="00E326BA" w:rsidRPr="00920905" w:rsidRDefault="00D43F48" w:rsidP="00920905">
            <w:pPr>
              <w:rPr>
                <w:rFonts w:cs="Arial"/>
                <w:color w:val="FF0000"/>
                <w:szCs w:val="20"/>
              </w:rPr>
            </w:pPr>
            <w:r w:rsidRPr="00D43F48">
              <w:rPr>
                <w:rFonts w:cs="Arial"/>
                <w:szCs w:val="20"/>
              </w:rPr>
              <w:t>N/A</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38D62577" w:rsidR="00E326BA" w:rsidRPr="009E4726" w:rsidRDefault="00B82463" w:rsidP="00B82463">
            <w:pPr>
              <w:rPr>
                <w:rFonts w:ascii="Calibri" w:hAnsi="Calibri"/>
                <w:color w:val="000000"/>
                <w:szCs w:val="20"/>
              </w:rPr>
            </w:pPr>
            <w:r>
              <w:rPr>
                <w:rFonts w:ascii="Calibri" w:hAnsi="Calibri"/>
                <w:color w:val="000000"/>
                <w:szCs w:val="20"/>
              </w:rPr>
              <w:t xml:space="preserve">e.g. </w:t>
            </w:r>
            <w:r w:rsidR="009E5CB6" w:rsidRPr="009E5CB6">
              <w:rPr>
                <w:rFonts w:ascii="Calibri" w:hAnsi="Calibri"/>
                <w:color w:val="000000"/>
                <w:szCs w:val="20"/>
              </w:rPr>
              <w:t>R-In-CFLfixt-16w(16w)-dWP40</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E176DE4" w14:textId="5C17F457" w:rsidR="00223A57" w:rsidRDefault="000968C6" w:rsidP="00920905">
      <w:pPr>
        <w:pStyle w:val="NoSpacing"/>
      </w:pPr>
      <w:r w:rsidRPr="004D069A">
        <w:t>The NTG</w:t>
      </w:r>
      <w:r w:rsidR="00064CB3" w:rsidRPr="004D069A">
        <w:t xml:space="preserve"> </w:t>
      </w:r>
      <w:r w:rsidRPr="004D069A">
        <w:t>value</w:t>
      </w:r>
      <w:r w:rsidR="00BC6524" w:rsidRPr="004D069A">
        <w:t xml:space="preserve">s </w:t>
      </w:r>
      <w:r w:rsidR="00907D11">
        <w:t>in</w:t>
      </w:r>
      <w:r w:rsidR="00E20416">
        <w:t xml:space="preserve"> the Table below </w:t>
      </w:r>
      <w:r w:rsidR="00BC6524" w:rsidRPr="004D069A">
        <w:t>were obtained using</w:t>
      </w:r>
      <w:r w:rsidRPr="004D069A">
        <w:t xml:space="preserve"> </w:t>
      </w:r>
      <w:r w:rsidR="00F12733" w:rsidRPr="004D069A">
        <w:t xml:space="preserve">the </w:t>
      </w:r>
      <w:r w:rsidR="00BC6524" w:rsidRPr="004D069A">
        <w:t>DEER READI tool</w:t>
      </w:r>
      <w:r w:rsidR="00223A57">
        <w:t xml:space="preserve"> v.2.4.7</w:t>
      </w:r>
      <w:r w:rsidRPr="004D069A">
        <w:t xml:space="preserve">. </w:t>
      </w:r>
    </w:p>
    <w:p w14:paraId="53ED4F5E" w14:textId="77777777" w:rsidR="007125A0" w:rsidRDefault="007125A0" w:rsidP="00920905">
      <w:pPr>
        <w:pStyle w:val="NoSpacing"/>
      </w:pPr>
    </w:p>
    <w:p w14:paraId="303DD103" w14:textId="4D64E208" w:rsidR="0083788C" w:rsidRPr="00920905" w:rsidRDefault="0083788C" w:rsidP="00E364F3">
      <w:pPr>
        <w:pStyle w:val="Caption"/>
      </w:pPr>
      <w:r>
        <w:t>Net-to-Gross Ratio</w:t>
      </w:r>
    </w:p>
    <w:tbl>
      <w:tblPr>
        <w:tblStyle w:val="TableGrid1"/>
        <w:tblW w:w="5147" w:type="pct"/>
        <w:tblLayout w:type="fixed"/>
        <w:tblLook w:val="01E0" w:firstRow="1" w:lastRow="1" w:firstColumn="1" w:lastColumn="1" w:noHBand="0" w:noVBand="0"/>
      </w:tblPr>
      <w:tblGrid>
        <w:gridCol w:w="1292"/>
        <w:gridCol w:w="3868"/>
        <w:gridCol w:w="919"/>
        <w:gridCol w:w="1013"/>
        <w:gridCol w:w="2031"/>
        <w:gridCol w:w="735"/>
      </w:tblGrid>
      <w:tr w:rsidR="005F69D5" w:rsidRPr="00500C4E" w14:paraId="7ADA6C1A" w14:textId="77777777" w:rsidTr="00466CFA">
        <w:tc>
          <w:tcPr>
            <w:tcW w:w="655"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962"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66"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14"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1030"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373"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367A76" w:rsidRPr="00500C4E" w14:paraId="4E5D8808" w14:textId="77777777" w:rsidTr="00466CFA">
        <w:tc>
          <w:tcPr>
            <w:tcW w:w="655" w:type="pct"/>
          </w:tcPr>
          <w:p w14:paraId="1508931F" w14:textId="5025DABC" w:rsidR="00367A76" w:rsidRPr="00500C4E" w:rsidRDefault="00466CFA" w:rsidP="00367A76">
            <w:pPr>
              <w:rPr>
                <w:color w:val="FF0000"/>
                <w:szCs w:val="20"/>
              </w:rPr>
            </w:pPr>
            <w:r w:rsidRPr="00466CFA">
              <w:t>Res-Default-HTR-di</w:t>
            </w:r>
          </w:p>
        </w:tc>
        <w:tc>
          <w:tcPr>
            <w:tcW w:w="1962" w:type="pct"/>
          </w:tcPr>
          <w:p w14:paraId="0500D552" w14:textId="74C4A707" w:rsidR="00367A76" w:rsidRPr="00466CFA" w:rsidRDefault="00466CFA" w:rsidP="00367A76">
            <w:pPr>
              <w:rPr>
                <w:szCs w:val="20"/>
              </w:rPr>
            </w:pPr>
            <w:r w:rsidRPr="00466CFA">
              <w:rPr>
                <w:szCs w:val="20"/>
              </w:rPr>
              <w:t>All other EEM with no evaluated NTGR; direct install hard-to-reach only.</w:t>
            </w:r>
          </w:p>
        </w:tc>
        <w:tc>
          <w:tcPr>
            <w:tcW w:w="466" w:type="pct"/>
          </w:tcPr>
          <w:p w14:paraId="0C046217" w14:textId="3748B6D9" w:rsidR="00367A76" w:rsidRPr="00466CFA" w:rsidRDefault="00466CFA" w:rsidP="00367A76">
            <w:pPr>
              <w:rPr>
                <w:szCs w:val="20"/>
              </w:rPr>
            </w:pPr>
            <w:r w:rsidRPr="00466CFA">
              <w:rPr>
                <w:szCs w:val="20"/>
              </w:rPr>
              <w:t>Res</w:t>
            </w:r>
          </w:p>
        </w:tc>
        <w:tc>
          <w:tcPr>
            <w:tcW w:w="514" w:type="pct"/>
          </w:tcPr>
          <w:p w14:paraId="1F33C1C8" w14:textId="7B9B6DAF" w:rsidR="00367A76" w:rsidRPr="00466CFA" w:rsidRDefault="00466CFA" w:rsidP="00367A76">
            <w:pPr>
              <w:rPr>
                <w:szCs w:val="20"/>
              </w:rPr>
            </w:pPr>
            <w:r w:rsidRPr="00466CFA">
              <w:rPr>
                <w:szCs w:val="20"/>
              </w:rPr>
              <w:t>Any</w:t>
            </w:r>
          </w:p>
        </w:tc>
        <w:tc>
          <w:tcPr>
            <w:tcW w:w="1030" w:type="pct"/>
          </w:tcPr>
          <w:p w14:paraId="1F9DDCB1" w14:textId="14CBBE06" w:rsidR="00367A76" w:rsidRPr="00466CFA" w:rsidRDefault="00466CFA" w:rsidP="00367A76">
            <w:pPr>
              <w:rPr>
                <w:szCs w:val="20"/>
              </w:rPr>
            </w:pPr>
            <w:proofErr w:type="spellStart"/>
            <w:r w:rsidRPr="00466CFA">
              <w:rPr>
                <w:szCs w:val="20"/>
              </w:rPr>
              <w:t>DirInstall</w:t>
            </w:r>
            <w:proofErr w:type="spellEnd"/>
          </w:p>
        </w:tc>
        <w:tc>
          <w:tcPr>
            <w:tcW w:w="373" w:type="pct"/>
          </w:tcPr>
          <w:p w14:paraId="06282D46" w14:textId="77C82225" w:rsidR="00367A76" w:rsidRPr="00466CFA" w:rsidRDefault="00466CFA" w:rsidP="00367A76">
            <w:pPr>
              <w:rPr>
                <w:szCs w:val="20"/>
              </w:rPr>
            </w:pPr>
            <w:r w:rsidRPr="00466CFA">
              <w:rPr>
                <w:szCs w:val="20"/>
              </w:rPr>
              <w:t>0.85</w:t>
            </w:r>
          </w:p>
        </w:tc>
      </w:tr>
      <w:tr w:rsidR="009C3FBE" w:rsidRPr="00500C4E" w14:paraId="6CA3325B" w14:textId="77777777" w:rsidTr="00466CFA">
        <w:tc>
          <w:tcPr>
            <w:tcW w:w="655" w:type="pct"/>
          </w:tcPr>
          <w:p w14:paraId="75387E2F" w14:textId="1756AF7B" w:rsidR="009C3FBE" w:rsidRPr="00500C4E" w:rsidRDefault="009C3FBE" w:rsidP="009C3FBE">
            <w:pPr>
              <w:rPr>
                <w:color w:val="FF0000"/>
                <w:szCs w:val="20"/>
              </w:rPr>
            </w:pPr>
            <w:r w:rsidRPr="0039187B">
              <w:t>Res-Default&gt;2</w:t>
            </w:r>
          </w:p>
        </w:tc>
        <w:tc>
          <w:tcPr>
            <w:tcW w:w="1962" w:type="pct"/>
          </w:tcPr>
          <w:p w14:paraId="134DC4C4" w14:textId="6A50E4DC" w:rsidR="009C3FBE" w:rsidRPr="00500C4E" w:rsidRDefault="009C3FBE" w:rsidP="009C3FBE">
            <w:pPr>
              <w:rPr>
                <w:color w:val="FF0000"/>
                <w:szCs w:val="20"/>
              </w:rPr>
            </w:pPr>
            <w:r w:rsidRPr="000A0FE4">
              <w:t>All other EEM with no evaluated NTGR; existing EEM with same delivery mechanism for more than 2 years</w:t>
            </w:r>
          </w:p>
        </w:tc>
        <w:tc>
          <w:tcPr>
            <w:tcW w:w="466" w:type="pct"/>
          </w:tcPr>
          <w:p w14:paraId="29825810" w14:textId="1D3E95CA" w:rsidR="009C3FBE" w:rsidRPr="00500C4E" w:rsidRDefault="009C3FBE" w:rsidP="009C3FBE">
            <w:pPr>
              <w:rPr>
                <w:color w:val="FF0000"/>
                <w:szCs w:val="20"/>
              </w:rPr>
            </w:pPr>
            <w:r w:rsidRPr="00053F9E">
              <w:t>Res</w:t>
            </w:r>
          </w:p>
        </w:tc>
        <w:tc>
          <w:tcPr>
            <w:tcW w:w="514" w:type="pct"/>
          </w:tcPr>
          <w:p w14:paraId="087934E2" w14:textId="0CA224E2" w:rsidR="009C3FBE" w:rsidRPr="00500C4E" w:rsidRDefault="009C3FBE" w:rsidP="009C3FBE">
            <w:pPr>
              <w:rPr>
                <w:color w:val="FF0000"/>
                <w:szCs w:val="20"/>
              </w:rPr>
            </w:pPr>
            <w:r w:rsidRPr="00086AC7">
              <w:t>Any</w:t>
            </w:r>
          </w:p>
        </w:tc>
        <w:tc>
          <w:tcPr>
            <w:tcW w:w="1030" w:type="pct"/>
          </w:tcPr>
          <w:p w14:paraId="2CEE7820" w14:textId="457216AC" w:rsidR="009C3FBE" w:rsidRPr="00500C4E" w:rsidRDefault="009C3FBE" w:rsidP="009C3FBE">
            <w:pPr>
              <w:rPr>
                <w:color w:val="FF0000"/>
                <w:szCs w:val="20"/>
              </w:rPr>
            </w:pPr>
            <w:r w:rsidRPr="00DD5528">
              <w:t>Any</w:t>
            </w:r>
          </w:p>
        </w:tc>
        <w:tc>
          <w:tcPr>
            <w:tcW w:w="373" w:type="pct"/>
          </w:tcPr>
          <w:p w14:paraId="53833C0A" w14:textId="1AE4F14F" w:rsidR="009C3FBE" w:rsidRPr="00500C4E" w:rsidRDefault="009C3FBE" w:rsidP="009C3FBE">
            <w:pPr>
              <w:rPr>
                <w:color w:val="FF0000"/>
                <w:szCs w:val="20"/>
              </w:rPr>
            </w:pPr>
            <w:r w:rsidRPr="004154DF">
              <w:t>0.55</w:t>
            </w:r>
          </w:p>
        </w:tc>
      </w:tr>
    </w:tbl>
    <w:p w14:paraId="2595EDF1" w14:textId="3CCB08FF" w:rsidR="000968C6" w:rsidRDefault="00FB2590" w:rsidP="000968C6">
      <w:pPr>
        <w:pStyle w:val="Reminders"/>
        <w:rPr>
          <w:rFonts w:asciiTheme="minorHAnsi" w:hAnsiTheme="minorHAnsi" w:cstheme="minorHAnsi"/>
          <w:i w:val="0"/>
          <w:sz w:val="20"/>
          <w:szCs w:val="20"/>
        </w:rPr>
      </w:pPr>
      <w:r w:rsidRPr="009E4726">
        <w:rPr>
          <w:rFonts w:asciiTheme="minorHAnsi" w:hAnsiTheme="minorHAnsi" w:cstheme="minorHAnsi"/>
          <w:i w:val="0"/>
          <w:color w:val="auto"/>
          <w:sz w:val="20"/>
          <w:szCs w:val="20"/>
        </w:rPr>
        <w:t>Note: Direct install measures that are not hard-to-reach will use the default NTG value.</w:t>
      </w:r>
    </w:p>
    <w:p w14:paraId="0E13CC18" w14:textId="77777777" w:rsidR="00C018E0" w:rsidRPr="009E4726" w:rsidRDefault="00C018E0" w:rsidP="000968C6">
      <w:pPr>
        <w:pStyle w:val="Reminders"/>
        <w:rPr>
          <w:rFonts w:asciiTheme="minorHAnsi" w:hAnsiTheme="minorHAnsi" w:cstheme="minorHAnsi"/>
          <w:i w:val="0"/>
          <w:color w:val="auto"/>
          <w:szCs w:val="22"/>
        </w:rPr>
      </w:pPr>
    </w:p>
    <w:p w14:paraId="74C2E3BA" w14:textId="77777777" w:rsidR="009E4726" w:rsidRDefault="009E4726" w:rsidP="009E4726">
      <w:pPr>
        <w:pStyle w:val="Reminders"/>
        <w:rPr>
          <w:rFonts w:asciiTheme="minorHAnsi" w:hAnsiTheme="minorHAnsi" w:cstheme="minorHAnsi"/>
          <w:i w:val="0"/>
          <w:color w:val="auto"/>
          <w:szCs w:val="22"/>
        </w:rPr>
      </w:pPr>
      <w:r w:rsidRPr="009E4726">
        <w:rPr>
          <w:rFonts w:asciiTheme="minorHAnsi" w:hAnsiTheme="minorHAnsi" w:cstheme="minorHAnsi"/>
          <w:i w:val="0"/>
          <w:color w:val="auto"/>
          <w:szCs w:val="22"/>
        </w:rPr>
        <w:t xml:space="preserve">This work paper includes measures that are offered via direct install activities into hard-to-reach (HTR) customer homes.  “Final Resolution E-4700”, dated December 18, 2014, defines specific criteria to classify customer homes as HTR. The “Required Corrections to Measure Level Input Parameters Identified by Commission Staff per D.14-10-046 Order Paragraph 16”, dated November 3, 2014, includes additional clarification for the geographic criteria.  </w:t>
      </w:r>
    </w:p>
    <w:p w14:paraId="74BEA6DA" w14:textId="77777777" w:rsidR="009E4726" w:rsidRPr="009E4726" w:rsidRDefault="009E4726" w:rsidP="009E4726">
      <w:pPr>
        <w:pStyle w:val="Reminders"/>
        <w:rPr>
          <w:rFonts w:asciiTheme="minorHAnsi" w:hAnsiTheme="minorHAnsi" w:cstheme="minorHAnsi"/>
          <w:i w:val="0"/>
          <w:color w:val="auto"/>
          <w:szCs w:val="22"/>
        </w:rPr>
      </w:pPr>
    </w:p>
    <w:p w14:paraId="3C93A54D" w14:textId="73A75040" w:rsidR="009E4726" w:rsidRDefault="009E4726" w:rsidP="009E4726">
      <w:pPr>
        <w:pStyle w:val="Reminders"/>
        <w:rPr>
          <w:rFonts w:asciiTheme="minorHAnsi" w:hAnsiTheme="minorHAnsi" w:cstheme="minorHAnsi"/>
          <w:i w:val="0"/>
          <w:color w:val="auto"/>
          <w:szCs w:val="22"/>
        </w:rPr>
      </w:pPr>
      <w:r w:rsidRPr="009E4726">
        <w:rPr>
          <w:rFonts w:asciiTheme="minorHAnsi" w:hAnsiTheme="minorHAnsi" w:cstheme="minorHAnsi"/>
          <w:i w:val="0"/>
          <w:color w:val="auto"/>
          <w:szCs w:val="22"/>
        </w:rPr>
        <w:t>SCE’s Multi-Family Energy Efficiency Rebate (MFEER) program addresses the ongoing concern with “split incentives”, where the residents are not the owners of the property, so they lack incentive to improve their energy usage. Similarly, the property owners do not live on-site and pay higher utility expenses due to inefficient appliances, thus lack any incentive to upgrade. The MFEER is designed to drive this customer segment toward participation by offering property owners a variety of energy efficiency measures and services.  The MFEER program will offer and track measure installations in both common and dwelling areas of multifamily complexes and common areas of mobile home parks and condominiums.  Measures offered via direct install activities in both common and dwelling areas of multifamily complexes and common areas of mobile home parks and condominiums will receive the HTR NTG.  Other measures in the MFEER program will receive default NTG (NTGR_ID: Res-Default&gt;2), unless otherwise specified in DEER.</w:t>
      </w:r>
    </w:p>
    <w:p w14:paraId="5113DFEC" w14:textId="77777777" w:rsidR="009E4726" w:rsidRDefault="009E4726" w:rsidP="009E4726">
      <w:pPr>
        <w:pStyle w:val="Reminders"/>
        <w:rPr>
          <w:rFonts w:asciiTheme="minorHAnsi" w:hAnsiTheme="minorHAnsi" w:cstheme="minorHAnsi"/>
          <w:i w:val="0"/>
          <w:color w:val="auto"/>
          <w:szCs w:val="22"/>
        </w:rPr>
      </w:pPr>
    </w:p>
    <w:p w14:paraId="65CE11B9" w14:textId="77777777" w:rsidR="009E4726" w:rsidRDefault="009E4726" w:rsidP="009E4726">
      <w:pPr>
        <w:rPr>
          <w:color w:val="000000" w:themeColor="text1"/>
        </w:rPr>
      </w:pPr>
      <w:r w:rsidRPr="009E4726">
        <w:rPr>
          <w:color w:val="000000" w:themeColor="text1"/>
        </w:rPr>
        <w:t xml:space="preserve">This work paper includes measures that are offered via direct install activities into hard-to-reach (HTR) customer facilities.  “Final Resolution E-4700”, dated December 18, 2014, defines specific criteria to classify customer facilities as HTR and also states that two criteria are sufficient to identify HTR customers if one of the criteria met is the geographic criteria.  </w:t>
      </w:r>
    </w:p>
    <w:p w14:paraId="3DB1AA6E" w14:textId="77777777" w:rsidR="005C23BB" w:rsidRPr="009E4726" w:rsidRDefault="005C23BB" w:rsidP="009E4726">
      <w:pPr>
        <w:rPr>
          <w:color w:val="000000" w:themeColor="text1"/>
        </w:rPr>
      </w:pPr>
    </w:p>
    <w:p w14:paraId="2D8ACF1C" w14:textId="77777777" w:rsidR="009E4726" w:rsidRPr="009E4726" w:rsidRDefault="009E4726" w:rsidP="009E4726">
      <w:pPr>
        <w:rPr>
          <w:color w:val="000000" w:themeColor="text1"/>
        </w:rPr>
      </w:pPr>
      <w:r w:rsidRPr="009E4726">
        <w:rPr>
          <w:color w:val="000000" w:themeColor="text1"/>
        </w:rPr>
        <w:t xml:space="preserve">SCE’s Commercial Direct Install program delivers free and low cost energy efficiency hardware retrofits through installation contractors to reduce peak demand and energy savings for small and medium commercial customers.  The barriers for customer participation include limited capital resources, lack of </w:t>
      </w:r>
      <w:r w:rsidRPr="009E4726">
        <w:rPr>
          <w:color w:val="000000" w:themeColor="text1"/>
        </w:rPr>
        <w:lastRenderedPageBreak/>
        <w:t>expertise and understanding of the understanding of the benefits of energy efficiency, a suspicion of the “free offer” and its legitimacy, and language and cultural barriers.  The program also addresses the ongoing concern with “split incentives”, where the customer is not the owner of the property, and therefore, lack incentive to improve their energy usage.  SCE’s Commercial Direct Install program will track the following three (3) customer data points to identify direct install activities in HTR customer facilities.  If geography and business size criteria are satisfied, SCE will identify the customer as HTR.  If geography and language criteria are satisfied, SCE will identify the customer as HTR.  Other measures in the Commercial Direct Install program will receive default NTG (NTGR_ID: Com-Default&gt;2), unless otherwise specified in DEER.</w:t>
      </w:r>
    </w:p>
    <w:p w14:paraId="1CC89DA8" w14:textId="77777777" w:rsidR="009E4726" w:rsidRPr="009E4726" w:rsidRDefault="009E4726" w:rsidP="009E4726">
      <w:pPr>
        <w:rPr>
          <w:color w:val="000000" w:themeColor="text1"/>
        </w:rPr>
      </w:pPr>
    </w:p>
    <w:p w14:paraId="41382409" w14:textId="77777777" w:rsidR="009E4726" w:rsidRPr="009E4726" w:rsidRDefault="009E4726" w:rsidP="009E4726">
      <w:pPr>
        <w:rPr>
          <w:color w:val="000000" w:themeColor="text1"/>
        </w:rPr>
      </w:pPr>
      <w:proofErr w:type="gramStart"/>
      <w:r w:rsidRPr="009E4726">
        <w:rPr>
          <w:color w:val="000000" w:themeColor="text1"/>
        </w:rPr>
        <w:t>o</w:t>
      </w:r>
      <w:proofErr w:type="gramEnd"/>
      <w:r w:rsidRPr="009E4726">
        <w:rPr>
          <w:color w:val="000000" w:themeColor="text1"/>
        </w:rPr>
        <w:tab/>
      </w:r>
      <w:r w:rsidRPr="009E4726">
        <w:rPr>
          <w:b/>
          <w:color w:val="000000" w:themeColor="text1"/>
        </w:rPr>
        <w:t>Business Size</w:t>
      </w:r>
      <w:r w:rsidRPr="009E4726">
        <w:rPr>
          <w:color w:val="000000" w:themeColor="text1"/>
        </w:rPr>
        <w:t xml:space="preserve"> – Customer must have less than ten employees </w:t>
      </w:r>
    </w:p>
    <w:p w14:paraId="21CB5652" w14:textId="77777777" w:rsidR="009E4726" w:rsidRPr="009E4726" w:rsidRDefault="009E4726" w:rsidP="009E4726">
      <w:pPr>
        <w:rPr>
          <w:color w:val="000000" w:themeColor="text1"/>
        </w:rPr>
      </w:pPr>
      <w:proofErr w:type="gramStart"/>
      <w:r w:rsidRPr="009E4726">
        <w:rPr>
          <w:color w:val="000000" w:themeColor="text1"/>
        </w:rPr>
        <w:t>o</w:t>
      </w:r>
      <w:proofErr w:type="gramEnd"/>
      <w:r w:rsidRPr="009E4726">
        <w:rPr>
          <w:color w:val="000000" w:themeColor="text1"/>
        </w:rPr>
        <w:tab/>
      </w:r>
      <w:r w:rsidRPr="009E4726">
        <w:rPr>
          <w:b/>
          <w:color w:val="000000" w:themeColor="text1"/>
        </w:rPr>
        <w:t>Language</w:t>
      </w:r>
      <w:r w:rsidRPr="009E4726">
        <w:rPr>
          <w:color w:val="000000" w:themeColor="text1"/>
        </w:rPr>
        <w:t xml:space="preserve"> – Customer’s primary language spoken is not English</w:t>
      </w:r>
    </w:p>
    <w:p w14:paraId="10BB5498" w14:textId="77777777" w:rsidR="009E4726" w:rsidRPr="009E4726" w:rsidRDefault="009E4726" w:rsidP="009E4726">
      <w:pPr>
        <w:ind w:left="720" w:hanging="720"/>
        <w:rPr>
          <w:color w:val="000000" w:themeColor="text1"/>
        </w:rPr>
      </w:pPr>
      <w:r w:rsidRPr="009E4726">
        <w:rPr>
          <w:color w:val="000000" w:themeColor="text1"/>
        </w:rPr>
        <w:t>o</w:t>
      </w:r>
      <w:r w:rsidRPr="009E4726">
        <w:rPr>
          <w:color w:val="000000" w:themeColor="text1"/>
        </w:rPr>
        <w:tab/>
      </w:r>
      <w:r w:rsidRPr="009E4726">
        <w:rPr>
          <w:b/>
          <w:color w:val="000000" w:themeColor="text1"/>
        </w:rPr>
        <w:t>Geography</w:t>
      </w:r>
      <w:r w:rsidRPr="009E4726">
        <w:rPr>
          <w:color w:val="000000" w:themeColor="text1"/>
        </w:rPr>
        <w:t xml:space="preserve"> – Businesses in areas other than the United States Office of Management and Budget (OMB) Combined Statistical Areas (CSA) of the San Francisco Bay Area,  the Greater Los Angeles Area and the Greater Sacramento Area  or the OBM metropolitan statistical areas or San Diego County</w:t>
      </w:r>
    </w:p>
    <w:p w14:paraId="7DA905A9" w14:textId="77777777" w:rsidR="009E4726" w:rsidRPr="009E4726" w:rsidRDefault="009E4726" w:rsidP="009E4726">
      <w:pPr>
        <w:ind w:left="720"/>
        <w:rPr>
          <w:color w:val="000000" w:themeColor="text1"/>
        </w:rPr>
      </w:pPr>
      <w:r w:rsidRPr="009E4726">
        <w:rPr>
          <w:color w:val="000000" w:themeColor="text1"/>
        </w:rPr>
        <w:t>The “Required Corrections to Measure Level Input Parameters Identified by Commission Staff per D.14-10-046 Order Paragraph 16”, dated November 3, 2014, includes additional clarification for the geographic criteria:</w:t>
      </w:r>
    </w:p>
    <w:p w14:paraId="584B184F" w14:textId="77777777" w:rsidR="009E4726" w:rsidRPr="009E4726" w:rsidRDefault="009E4726" w:rsidP="009E4726">
      <w:pPr>
        <w:ind w:left="720"/>
        <w:rPr>
          <w:color w:val="000000" w:themeColor="text1"/>
        </w:rPr>
      </w:pPr>
      <w:r w:rsidRPr="009E4726">
        <w:rPr>
          <w:color w:val="000000" w:themeColor="text1"/>
        </w:rPr>
        <w:t>“Notes on OMB CSA designations:</w:t>
      </w:r>
    </w:p>
    <w:p w14:paraId="53F0688A" w14:textId="77777777" w:rsidR="009E4726" w:rsidRPr="009E4726" w:rsidRDefault="009E4726" w:rsidP="009E4726">
      <w:pPr>
        <w:ind w:left="720"/>
        <w:rPr>
          <w:color w:val="000000" w:themeColor="text1"/>
        </w:rPr>
      </w:pPr>
      <w:r w:rsidRPr="009E4726">
        <w:rPr>
          <w:color w:val="000000" w:themeColor="text1"/>
        </w:rPr>
        <w:t>The OMB has designated a 12-county CSA titled the San Jose-San Francisco-Oakland, CA Combined Statistical Area which includes the nine counties of Alameda, Contra Costa, Marin, Napa, San Francisco, San Mateo, Santa Clara, Solano, and Sonoma which border the San Francisco Bay plus the three counties of San Joaquin, Santa Cruz, and San Benito that are economically tied to the nine counties that that border the San Francisco Bay.”</w:t>
      </w:r>
    </w:p>
    <w:p w14:paraId="48E747CE" w14:textId="77777777" w:rsidR="009E4726" w:rsidRPr="009E4726" w:rsidRDefault="009E4726" w:rsidP="009E4726">
      <w:pPr>
        <w:ind w:left="720"/>
        <w:rPr>
          <w:color w:val="000000" w:themeColor="text1"/>
        </w:rPr>
      </w:pPr>
      <w:r w:rsidRPr="009E4726">
        <w:rPr>
          <w:color w:val="000000" w:themeColor="text1"/>
        </w:rPr>
        <w:t xml:space="preserve">The OMB definition of this CSA includes Los Angeles, Orange, </w:t>
      </w:r>
      <w:proofErr w:type="gramStart"/>
      <w:r w:rsidRPr="009E4726">
        <w:rPr>
          <w:color w:val="000000" w:themeColor="text1"/>
        </w:rPr>
        <w:t>San</w:t>
      </w:r>
      <w:proofErr w:type="gramEnd"/>
      <w:r w:rsidRPr="009E4726">
        <w:rPr>
          <w:color w:val="000000" w:themeColor="text1"/>
        </w:rPr>
        <w:t xml:space="preserve"> Bernardino, Riverside and Ventura counties.</w:t>
      </w:r>
    </w:p>
    <w:p w14:paraId="02823BC7" w14:textId="6BBA8339" w:rsidR="009E4726" w:rsidRPr="00B2325C" w:rsidRDefault="009E4726" w:rsidP="009E4726">
      <w:pPr>
        <w:pStyle w:val="Reminders"/>
        <w:ind w:left="720"/>
        <w:rPr>
          <w:rFonts w:asciiTheme="minorHAnsi" w:hAnsiTheme="minorHAnsi" w:cstheme="minorHAnsi"/>
          <w:i w:val="0"/>
          <w:color w:val="auto"/>
          <w:szCs w:val="22"/>
        </w:rPr>
      </w:pPr>
      <w:r w:rsidRPr="00B2325C">
        <w:rPr>
          <w:rFonts w:asciiTheme="minorHAnsi" w:hAnsiTheme="minorHAnsi"/>
          <w:i w:val="0"/>
          <w:color w:val="000000" w:themeColor="text1"/>
        </w:rPr>
        <w:t xml:space="preserve">The OMB definition of this CSA includes Sacramento, Yolo, </w:t>
      </w:r>
      <w:proofErr w:type="gramStart"/>
      <w:r w:rsidRPr="00B2325C">
        <w:rPr>
          <w:rFonts w:asciiTheme="minorHAnsi" w:hAnsiTheme="minorHAnsi"/>
          <w:i w:val="0"/>
          <w:color w:val="000000" w:themeColor="text1"/>
        </w:rPr>
        <w:t>El</w:t>
      </w:r>
      <w:proofErr w:type="gramEnd"/>
      <w:r w:rsidRPr="00B2325C">
        <w:rPr>
          <w:rFonts w:asciiTheme="minorHAnsi" w:hAnsiTheme="minorHAnsi"/>
          <w:i w:val="0"/>
          <w:color w:val="000000" w:themeColor="text1"/>
        </w:rPr>
        <w:t xml:space="preserve"> Dorado, Placer, Sutter, Yuba, and Nevada counties.”</w:t>
      </w:r>
    </w:p>
    <w:p w14:paraId="07395052" w14:textId="77777777" w:rsidR="009E4726" w:rsidRPr="00920905" w:rsidRDefault="009E4726"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25557114" w:rsidR="00240B74" w:rsidRDefault="000968C6" w:rsidP="00920905">
      <w:pPr>
        <w:pStyle w:val="NoSpacing"/>
      </w:pPr>
      <w:r w:rsidRPr="00920905">
        <w:t>Th</w:t>
      </w:r>
      <w:r w:rsidR="00061A8E" w:rsidRPr="00920905">
        <w:t>e IR</w:t>
      </w:r>
      <w:r w:rsidRPr="00920905">
        <w:t xml:space="preserve"> value</w:t>
      </w:r>
      <w:r w:rsidR="00061A8E" w:rsidRPr="00920905">
        <w:t>s</w:t>
      </w:r>
      <w:r w:rsidR="00F23F5D">
        <w:t xml:space="preserve"> in</w:t>
      </w:r>
      <w:r w:rsidR="00E20416">
        <w:t xml:space="preserve"> the Table below</w:t>
      </w:r>
      <w:r w:rsidRPr="00920905">
        <w:t xml:space="preserve"> </w:t>
      </w:r>
      <w:r w:rsidR="00061A8E" w:rsidRPr="00920905">
        <w:t>were</w:t>
      </w:r>
      <w:r w:rsidRPr="00920905">
        <w:t xml:space="preserve"> obtained </w:t>
      </w:r>
      <w:r w:rsidR="00BC6524" w:rsidRPr="00920905">
        <w:t>using the DEER READI tool</w:t>
      </w:r>
      <w:r w:rsidR="00F23F5D">
        <w:t xml:space="preserve"> v.2.4.7</w:t>
      </w:r>
      <w:r w:rsidR="00240B74" w:rsidRPr="00920905">
        <w:t>.</w:t>
      </w:r>
      <w:r w:rsidRPr="00920905">
        <w:t xml:space="preserve"> </w:t>
      </w:r>
    </w:p>
    <w:p w14:paraId="072341E0" w14:textId="77777777" w:rsidR="0083788C" w:rsidRDefault="0083788C" w:rsidP="00920905">
      <w:pPr>
        <w:pStyle w:val="NoSpacing"/>
      </w:pPr>
    </w:p>
    <w:p w14:paraId="1515D011" w14:textId="77777777" w:rsidR="00077803" w:rsidRDefault="00077803" w:rsidP="00E364F3">
      <w:pPr>
        <w:pStyle w:val="Caption"/>
      </w:pPr>
    </w:p>
    <w:p w14:paraId="1E5A48C6" w14:textId="685715F3" w:rsidR="0083788C" w:rsidRPr="00920905" w:rsidRDefault="0083788C" w:rsidP="00E364F3">
      <w:pPr>
        <w:pStyle w:val="Caption"/>
      </w:pPr>
      <w:r>
        <w:t>Gross Savings and Installation Adjustment</w:t>
      </w:r>
    </w:p>
    <w:tbl>
      <w:tblPr>
        <w:tblStyle w:val="TableGrid1"/>
        <w:tblW w:w="5000" w:type="pct"/>
        <w:tblLook w:val="01E0" w:firstRow="1" w:lastRow="1" w:firstColumn="1" w:lastColumn="1" w:noHBand="0" w:noVBand="0"/>
      </w:tblPr>
      <w:tblGrid>
        <w:gridCol w:w="1470"/>
        <w:gridCol w:w="3412"/>
        <w:gridCol w:w="1013"/>
        <w:gridCol w:w="1140"/>
        <w:gridCol w:w="1327"/>
        <w:gridCol w:w="1214"/>
      </w:tblGrid>
      <w:tr w:rsidR="006B4A48" w:rsidRPr="0087393E" w14:paraId="1322279D" w14:textId="77777777" w:rsidTr="00E364F3">
        <w:tc>
          <w:tcPr>
            <w:tcW w:w="767"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781"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529"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595"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9C3FBE" w:rsidRPr="00500C4E" w14:paraId="66F5BFF2" w14:textId="77777777" w:rsidTr="00E364F3">
        <w:trPr>
          <w:trHeight w:val="70"/>
        </w:trPr>
        <w:tc>
          <w:tcPr>
            <w:tcW w:w="767" w:type="pct"/>
          </w:tcPr>
          <w:p w14:paraId="2E8B4BA6" w14:textId="781F9824" w:rsidR="009C3FBE" w:rsidRPr="004C4107" w:rsidRDefault="004C4107" w:rsidP="009C3FBE">
            <w:pPr>
              <w:rPr>
                <w:szCs w:val="20"/>
              </w:rPr>
            </w:pPr>
            <w:proofErr w:type="spellStart"/>
            <w:r w:rsidRPr="004C4107">
              <w:rPr>
                <w:szCs w:val="20"/>
              </w:rPr>
              <w:t>MFm</w:t>
            </w:r>
            <w:proofErr w:type="spellEnd"/>
            <w:r w:rsidRPr="004C4107">
              <w:rPr>
                <w:szCs w:val="20"/>
              </w:rPr>
              <w:t>-</w:t>
            </w:r>
            <w:proofErr w:type="spellStart"/>
            <w:r w:rsidRPr="004C4107">
              <w:rPr>
                <w:szCs w:val="20"/>
              </w:rPr>
              <w:t>IntCF</w:t>
            </w:r>
            <w:proofErr w:type="spellEnd"/>
            <w:r w:rsidRPr="004C4107">
              <w:rPr>
                <w:szCs w:val="20"/>
              </w:rPr>
              <w:t>-All</w:t>
            </w:r>
          </w:p>
        </w:tc>
        <w:tc>
          <w:tcPr>
            <w:tcW w:w="1781" w:type="pct"/>
          </w:tcPr>
          <w:p w14:paraId="30E1ED62" w14:textId="0A2BC4E4" w:rsidR="009C3FBE" w:rsidRPr="004C4107" w:rsidRDefault="004C4107" w:rsidP="009C3FBE">
            <w:pPr>
              <w:rPr>
                <w:szCs w:val="20"/>
              </w:rPr>
            </w:pPr>
            <w:r w:rsidRPr="004C4107">
              <w:rPr>
                <w:szCs w:val="20"/>
              </w:rPr>
              <w:t>Interior Compact Fluorescent fixture; Annual Installation Rate;  Multi-family</w:t>
            </w:r>
          </w:p>
        </w:tc>
        <w:tc>
          <w:tcPr>
            <w:tcW w:w="529" w:type="pct"/>
          </w:tcPr>
          <w:p w14:paraId="665C866A" w14:textId="1B4BCEB9" w:rsidR="009C3FBE" w:rsidRPr="004C4107" w:rsidRDefault="004C4107" w:rsidP="009C3FBE">
            <w:pPr>
              <w:rPr>
                <w:szCs w:val="20"/>
              </w:rPr>
            </w:pPr>
            <w:r w:rsidRPr="004C4107">
              <w:rPr>
                <w:szCs w:val="20"/>
              </w:rPr>
              <w:t>Res</w:t>
            </w:r>
          </w:p>
        </w:tc>
        <w:tc>
          <w:tcPr>
            <w:tcW w:w="595" w:type="pct"/>
          </w:tcPr>
          <w:p w14:paraId="069D8B18" w14:textId="46463F3C" w:rsidR="009C3FBE" w:rsidRPr="004C4107" w:rsidRDefault="004C4107" w:rsidP="009C3FBE">
            <w:pPr>
              <w:rPr>
                <w:szCs w:val="20"/>
              </w:rPr>
            </w:pPr>
            <w:proofErr w:type="spellStart"/>
            <w:r w:rsidRPr="004C4107">
              <w:rPr>
                <w:szCs w:val="20"/>
              </w:rPr>
              <w:t>Mfm</w:t>
            </w:r>
            <w:proofErr w:type="spellEnd"/>
          </w:p>
        </w:tc>
        <w:tc>
          <w:tcPr>
            <w:tcW w:w="693" w:type="pct"/>
          </w:tcPr>
          <w:p w14:paraId="64EDD17D" w14:textId="69B9E324" w:rsidR="009C3FBE" w:rsidRPr="004C4107" w:rsidRDefault="004C4107" w:rsidP="009C3FBE">
            <w:pPr>
              <w:rPr>
                <w:szCs w:val="20"/>
              </w:rPr>
            </w:pPr>
            <w:proofErr w:type="spellStart"/>
            <w:r w:rsidRPr="004C4107">
              <w:rPr>
                <w:szCs w:val="20"/>
              </w:rPr>
              <w:t>NonUpStrm</w:t>
            </w:r>
            <w:proofErr w:type="spellEnd"/>
          </w:p>
        </w:tc>
        <w:tc>
          <w:tcPr>
            <w:tcW w:w="634" w:type="pct"/>
          </w:tcPr>
          <w:p w14:paraId="128A83FA" w14:textId="43504D9D" w:rsidR="009C3FBE" w:rsidRPr="004C4107" w:rsidRDefault="00F913BC" w:rsidP="009C3FBE">
            <w:pPr>
              <w:rPr>
                <w:szCs w:val="20"/>
              </w:rPr>
            </w:pPr>
            <w:r>
              <w:rPr>
                <w:szCs w:val="20"/>
              </w:rPr>
              <w:t>0.798</w:t>
            </w:r>
          </w:p>
        </w:tc>
      </w:tr>
    </w:tbl>
    <w:p w14:paraId="7F4D257D" w14:textId="77777777" w:rsidR="00F6280F" w:rsidRDefault="00F6280F" w:rsidP="008B1357">
      <w:pPr>
        <w:rPr>
          <w:rFonts w:cstheme="minorHAnsi"/>
          <w:b/>
          <w:szCs w:val="22"/>
        </w:rPr>
      </w:pPr>
    </w:p>
    <w:p w14:paraId="20F7D377" w14:textId="77777777" w:rsidR="00ED5923" w:rsidRDefault="00ED5923" w:rsidP="008B1357">
      <w:pPr>
        <w:rPr>
          <w:rFonts w:cstheme="minorHAnsi"/>
          <w:b/>
          <w:szCs w:val="22"/>
        </w:rPr>
      </w:pPr>
    </w:p>
    <w:p w14:paraId="5E784762" w14:textId="77777777" w:rsidR="00ED5923" w:rsidRDefault="00ED5923" w:rsidP="008B1357">
      <w:pPr>
        <w:rPr>
          <w:rFonts w:cstheme="minorHAnsi"/>
          <w:b/>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4E6870AA" w:rsidR="008B1357" w:rsidRDefault="006A6D15" w:rsidP="00920905">
      <w:pPr>
        <w:pStyle w:val="NoSpacing"/>
      </w:pPr>
      <w:r w:rsidRPr="0087393E">
        <w:lastRenderedPageBreak/>
        <w:t xml:space="preserve">The EUL and RUL values </w:t>
      </w:r>
      <w:r w:rsidR="00E364F3">
        <w:t xml:space="preserve">the </w:t>
      </w:r>
      <w:r w:rsidR="00103F62">
        <w:t xml:space="preserve">table below </w:t>
      </w:r>
      <w:r w:rsidR="00103F62" w:rsidRPr="0087393E">
        <w:t>was</w:t>
      </w:r>
      <w:r w:rsidRPr="0087393E">
        <w:t xml:space="preserve"> obtained </w:t>
      </w:r>
      <w:r w:rsidR="00BC6524" w:rsidRPr="0087393E">
        <w:t>using the DEER READI tool</w:t>
      </w:r>
      <w:r w:rsidR="00F23F5D">
        <w:t xml:space="preserve"> v.2.4.7</w:t>
      </w:r>
      <w:r w:rsidRPr="0087393E">
        <w:t xml:space="preserve">. DEER defines the RUL as 1/3 of the EUL value. </w:t>
      </w:r>
    </w:p>
    <w:p w14:paraId="02E9FBB9" w14:textId="77777777" w:rsidR="00F11A0E" w:rsidRDefault="00F11A0E" w:rsidP="00920905">
      <w:pPr>
        <w:pStyle w:val="NoSpacing"/>
      </w:pPr>
    </w:p>
    <w:p w14:paraId="6EA2F268" w14:textId="4EC732EE" w:rsidR="0083788C" w:rsidRPr="00920905" w:rsidRDefault="0083788C" w:rsidP="00E364F3">
      <w:pPr>
        <w:pStyle w:val="Caption"/>
      </w:pPr>
      <w:r>
        <w:t>Effective Useful Life</w:t>
      </w:r>
    </w:p>
    <w:tbl>
      <w:tblPr>
        <w:tblStyle w:val="TableGrid1"/>
        <w:tblW w:w="5291" w:type="pct"/>
        <w:tblLook w:val="04A0" w:firstRow="1" w:lastRow="0" w:firstColumn="1" w:lastColumn="0" w:noHBand="0" w:noVBand="1"/>
      </w:tblPr>
      <w:tblGrid>
        <w:gridCol w:w="2209"/>
        <w:gridCol w:w="3040"/>
        <w:gridCol w:w="920"/>
        <w:gridCol w:w="1475"/>
        <w:gridCol w:w="1291"/>
        <w:gridCol w:w="1198"/>
      </w:tblGrid>
      <w:tr w:rsidR="00F6280F" w:rsidRPr="00500C4E" w14:paraId="5A9EC2BE" w14:textId="77777777" w:rsidTr="00F6280F">
        <w:trPr>
          <w:trHeight w:val="251"/>
        </w:trPr>
        <w:tc>
          <w:tcPr>
            <w:tcW w:w="1090"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500"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5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728"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637"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591"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F6280F" w:rsidRPr="00500C4E" w14:paraId="4ED72136" w14:textId="77777777" w:rsidTr="00F6280F">
        <w:trPr>
          <w:trHeight w:val="255"/>
        </w:trPr>
        <w:tc>
          <w:tcPr>
            <w:tcW w:w="1090" w:type="pct"/>
          </w:tcPr>
          <w:p w14:paraId="1780BA14" w14:textId="7E8E8CAD" w:rsidR="00F11A0E" w:rsidRPr="00500C4E" w:rsidRDefault="00F11A0E" w:rsidP="00F11A0E">
            <w:pPr>
              <w:rPr>
                <w:color w:val="FF0000"/>
                <w:szCs w:val="20"/>
              </w:rPr>
            </w:pPr>
            <w:proofErr w:type="spellStart"/>
            <w:r w:rsidRPr="002E259E">
              <w:t>ILtg</w:t>
            </w:r>
            <w:proofErr w:type="spellEnd"/>
            <w:r w:rsidRPr="002E259E">
              <w:t>-</w:t>
            </w:r>
            <w:proofErr w:type="spellStart"/>
            <w:r w:rsidRPr="002E259E">
              <w:t>CFLfix</w:t>
            </w:r>
            <w:proofErr w:type="spellEnd"/>
            <w:r w:rsidRPr="002E259E">
              <w:t>-Res</w:t>
            </w:r>
          </w:p>
        </w:tc>
        <w:tc>
          <w:tcPr>
            <w:tcW w:w="1500" w:type="pct"/>
          </w:tcPr>
          <w:p w14:paraId="406F3E26" w14:textId="455B77DD" w:rsidR="00F11A0E" w:rsidRPr="00500C4E" w:rsidRDefault="00F11A0E" w:rsidP="00F11A0E">
            <w:pPr>
              <w:rPr>
                <w:color w:val="FF0000"/>
                <w:szCs w:val="20"/>
              </w:rPr>
            </w:pPr>
            <w:r w:rsidRPr="00945798">
              <w:t>CFL Fixtures - Indoor - Residential</w:t>
            </w:r>
          </w:p>
        </w:tc>
        <w:tc>
          <w:tcPr>
            <w:tcW w:w="454" w:type="pct"/>
          </w:tcPr>
          <w:p w14:paraId="06B00A14" w14:textId="7679A6E0" w:rsidR="00F11A0E" w:rsidRPr="00500C4E" w:rsidRDefault="00F11A0E" w:rsidP="00F11A0E">
            <w:pPr>
              <w:rPr>
                <w:color w:val="FF0000"/>
                <w:szCs w:val="20"/>
              </w:rPr>
            </w:pPr>
            <w:r w:rsidRPr="00E24BCE">
              <w:t>Res</w:t>
            </w:r>
          </w:p>
        </w:tc>
        <w:tc>
          <w:tcPr>
            <w:tcW w:w="728" w:type="pct"/>
          </w:tcPr>
          <w:p w14:paraId="2A7F65AD" w14:textId="562A2FE6" w:rsidR="00F11A0E" w:rsidRPr="00500C4E" w:rsidRDefault="00F11A0E" w:rsidP="00F11A0E">
            <w:pPr>
              <w:rPr>
                <w:color w:val="FF0000"/>
                <w:szCs w:val="20"/>
              </w:rPr>
            </w:pPr>
            <w:r w:rsidRPr="00CD126D">
              <w:t>Lighting</w:t>
            </w:r>
          </w:p>
        </w:tc>
        <w:tc>
          <w:tcPr>
            <w:tcW w:w="637" w:type="pct"/>
          </w:tcPr>
          <w:p w14:paraId="746C7177" w14:textId="2D3E94D1" w:rsidR="00F11A0E" w:rsidRPr="00500C4E" w:rsidRDefault="00F11A0E" w:rsidP="00F11A0E">
            <w:pPr>
              <w:rPr>
                <w:color w:val="FF0000"/>
                <w:szCs w:val="20"/>
              </w:rPr>
            </w:pPr>
            <w:r w:rsidRPr="005E1ED5">
              <w:t>16</w:t>
            </w:r>
          </w:p>
        </w:tc>
        <w:tc>
          <w:tcPr>
            <w:tcW w:w="591" w:type="pct"/>
          </w:tcPr>
          <w:p w14:paraId="7F49D757" w14:textId="255C071E" w:rsidR="00F11A0E" w:rsidRPr="00500C4E" w:rsidRDefault="00F11A0E" w:rsidP="00F11A0E">
            <w:pPr>
              <w:rPr>
                <w:color w:val="FF0000"/>
                <w:szCs w:val="20"/>
              </w:rPr>
            </w:pPr>
            <w:r w:rsidRPr="00E72A6C">
              <w:t>5.33</w:t>
            </w:r>
          </w:p>
        </w:tc>
      </w:tr>
      <w:tr w:rsidR="00F6280F" w:rsidRPr="00500C4E" w14:paraId="691BC345" w14:textId="77777777" w:rsidTr="00F6280F">
        <w:trPr>
          <w:trHeight w:val="255"/>
        </w:trPr>
        <w:tc>
          <w:tcPr>
            <w:tcW w:w="1090" w:type="pct"/>
          </w:tcPr>
          <w:p w14:paraId="2C96673C" w14:textId="3DB7BB7D" w:rsidR="00F11A0E" w:rsidRPr="00500C4E" w:rsidRDefault="00F11A0E" w:rsidP="00F11A0E">
            <w:pPr>
              <w:rPr>
                <w:color w:val="FF0000"/>
                <w:szCs w:val="20"/>
              </w:rPr>
            </w:pPr>
            <w:proofErr w:type="spellStart"/>
            <w:r w:rsidRPr="002E259E">
              <w:t>ILtg-CFLfix-ResCmnArea</w:t>
            </w:r>
            <w:proofErr w:type="spellEnd"/>
          </w:p>
        </w:tc>
        <w:tc>
          <w:tcPr>
            <w:tcW w:w="1500" w:type="pct"/>
          </w:tcPr>
          <w:p w14:paraId="21032950" w14:textId="61122124" w:rsidR="00F11A0E" w:rsidRPr="00500C4E" w:rsidRDefault="00F11A0E" w:rsidP="00F11A0E">
            <w:pPr>
              <w:rPr>
                <w:color w:val="FF0000"/>
                <w:szCs w:val="20"/>
              </w:rPr>
            </w:pPr>
            <w:r w:rsidRPr="00945798">
              <w:t>CFL Fixtures - Indoor - Residential Common Area</w:t>
            </w:r>
          </w:p>
        </w:tc>
        <w:tc>
          <w:tcPr>
            <w:tcW w:w="454" w:type="pct"/>
          </w:tcPr>
          <w:p w14:paraId="1154A49A" w14:textId="3403D397" w:rsidR="00F11A0E" w:rsidRPr="00500C4E" w:rsidRDefault="00F11A0E" w:rsidP="00F11A0E">
            <w:pPr>
              <w:rPr>
                <w:color w:val="FF0000"/>
                <w:szCs w:val="20"/>
              </w:rPr>
            </w:pPr>
            <w:r w:rsidRPr="00E24BCE">
              <w:t>Res</w:t>
            </w:r>
          </w:p>
        </w:tc>
        <w:tc>
          <w:tcPr>
            <w:tcW w:w="728" w:type="pct"/>
          </w:tcPr>
          <w:p w14:paraId="773B66CF" w14:textId="2B7C61D9" w:rsidR="00F11A0E" w:rsidRPr="00500C4E" w:rsidRDefault="00F11A0E" w:rsidP="00F11A0E">
            <w:pPr>
              <w:rPr>
                <w:color w:val="FF0000"/>
                <w:szCs w:val="20"/>
              </w:rPr>
            </w:pPr>
            <w:r w:rsidRPr="00CD126D">
              <w:t>Lighting</w:t>
            </w:r>
          </w:p>
        </w:tc>
        <w:tc>
          <w:tcPr>
            <w:tcW w:w="637" w:type="pct"/>
          </w:tcPr>
          <w:p w14:paraId="3CE3FC40" w14:textId="54DFD3F7" w:rsidR="00F11A0E" w:rsidRPr="00500C4E" w:rsidRDefault="00F11A0E" w:rsidP="00F11A0E">
            <w:pPr>
              <w:rPr>
                <w:color w:val="FF0000"/>
                <w:szCs w:val="20"/>
              </w:rPr>
            </w:pPr>
            <w:r w:rsidRPr="005E1ED5">
              <w:t>15</w:t>
            </w:r>
          </w:p>
        </w:tc>
        <w:tc>
          <w:tcPr>
            <w:tcW w:w="591" w:type="pct"/>
          </w:tcPr>
          <w:p w14:paraId="1150F034" w14:textId="5689E383" w:rsidR="00F11A0E" w:rsidRPr="00500C4E" w:rsidRDefault="00F11A0E" w:rsidP="00F11A0E">
            <w:pPr>
              <w:rPr>
                <w:color w:val="FF0000"/>
                <w:szCs w:val="20"/>
              </w:rPr>
            </w:pPr>
            <w:r w:rsidRPr="00E72A6C">
              <w:t>5</w:t>
            </w:r>
          </w:p>
        </w:tc>
      </w:tr>
    </w:tbl>
    <w:p w14:paraId="70FE2727" w14:textId="6E5D9B6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60E20C33" w14:textId="3F6B446B" w:rsidR="006A6197" w:rsidRPr="003F5041" w:rsidRDefault="006A6197" w:rsidP="006A6197">
      <w:pPr>
        <w:autoSpaceDE w:val="0"/>
        <w:autoSpaceDN w:val="0"/>
        <w:adjustRightInd w:val="0"/>
        <w:rPr>
          <w:rFonts w:ascii="Calibri" w:hAnsi="Calibri" w:cs="Calibri"/>
          <w:szCs w:val="22"/>
        </w:rPr>
      </w:pPr>
      <w:r w:rsidRPr="003F5041">
        <w:rPr>
          <w:rFonts w:ascii="Calibri" w:hAnsi="Calibri" w:cs="Calibri"/>
          <w:szCs w:val="22"/>
        </w:rPr>
        <w:t xml:space="preserve">This measure is not addressed in the </w:t>
      </w:r>
      <w:r w:rsidRPr="00C32C2D">
        <w:rPr>
          <w:rFonts w:ascii="Calibri" w:hAnsi="Calibri" w:cs="Calibri"/>
          <w:szCs w:val="22"/>
        </w:rPr>
        <w:t>Title 20 201</w:t>
      </w:r>
      <w:r w:rsidR="00C32C2D">
        <w:rPr>
          <w:rFonts w:ascii="Calibri" w:hAnsi="Calibri" w:cs="Calibri"/>
          <w:szCs w:val="22"/>
        </w:rPr>
        <w:t>5</w:t>
      </w:r>
      <w:r>
        <w:rPr>
          <w:rFonts w:ascii="Calibri" w:hAnsi="Calibri" w:cs="Calibri"/>
          <w:szCs w:val="22"/>
        </w:rPr>
        <w:t xml:space="preserve"> </w:t>
      </w:r>
      <w:r w:rsidRPr="003F5041">
        <w:rPr>
          <w:rFonts w:ascii="Calibri" w:hAnsi="Calibri" w:cs="Calibri"/>
          <w:szCs w:val="22"/>
        </w:rPr>
        <w:t xml:space="preserve">Appliance Efficiency Regulations </w:t>
      </w:r>
      <w:r>
        <w:rPr>
          <w:rFonts w:ascii="Calibri" w:hAnsi="Calibri" w:cs="Calibri"/>
          <w:szCs w:val="22"/>
        </w:rPr>
        <w:t>[</w:t>
      </w:r>
      <w:r w:rsidRPr="00EB22AD">
        <w:rPr>
          <w:rFonts w:ascii="Calibri" w:hAnsi="Calibri" w:cs="Calibri"/>
          <w:szCs w:val="22"/>
        </w:rPr>
        <w:t>4</w:t>
      </w:r>
      <w:r w:rsidR="00C32C2D" w:rsidRPr="00EB22AD">
        <w:rPr>
          <w:rFonts w:ascii="Calibri" w:hAnsi="Calibri" w:cs="Calibri"/>
          <w:szCs w:val="22"/>
        </w:rPr>
        <w:t>93</w:t>
      </w:r>
      <w:r>
        <w:rPr>
          <w:rFonts w:ascii="Calibri" w:hAnsi="Calibri" w:cs="Calibri"/>
          <w:szCs w:val="22"/>
        </w:rPr>
        <w:t>]</w:t>
      </w:r>
      <w:r w:rsidRPr="003F5041">
        <w:rPr>
          <w:rFonts w:ascii="Calibri" w:hAnsi="Calibri" w:cs="Calibri"/>
          <w:szCs w:val="22"/>
        </w:rPr>
        <w:t>.</w:t>
      </w:r>
    </w:p>
    <w:p w14:paraId="5AFAEE98" w14:textId="77777777" w:rsidR="006A6197" w:rsidRPr="003F5041" w:rsidRDefault="006A6197" w:rsidP="006A6197">
      <w:pPr>
        <w:autoSpaceDE w:val="0"/>
        <w:autoSpaceDN w:val="0"/>
        <w:adjustRightInd w:val="0"/>
        <w:rPr>
          <w:rFonts w:ascii="Calibri" w:hAnsi="Calibri" w:cs="Calibri"/>
          <w:szCs w:val="22"/>
        </w:rPr>
      </w:pPr>
    </w:p>
    <w:p w14:paraId="67A036E6" w14:textId="1D672165" w:rsidR="006A6197" w:rsidRPr="00077803" w:rsidRDefault="006A6197" w:rsidP="006A6197">
      <w:pPr>
        <w:autoSpaceDE w:val="0"/>
        <w:autoSpaceDN w:val="0"/>
        <w:adjustRightInd w:val="0"/>
        <w:rPr>
          <w:rFonts w:ascii="Calibri" w:hAnsi="Calibri" w:cs="Calibri"/>
        </w:rPr>
      </w:pPr>
      <w:r w:rsidRPr="00E07DC9">
        <w:rPr>
          <w:rFonts w:ascii="Calibri" w:hAnsi="Calibri" w:cs="Calibri"/>
          <w:szCs w:val="22"/>
        </w:rPr>
        <w:t>In Section 14</w:t>
      </w:r>
      <w:r w:rsidR="00705289">
        <w:rPr>
          <w:rFonts w:ascii="Calibri" w:hAnsi="Calibri" w:cs="Calibri"/>
          <w:szCs w:val="22"/>
        </w:rPr>
        <w:t>1</w:t>
      </w:r>
      <w:r w:rsidRPr="00E07DC9">
        <w:rPr>
          <w:rFonts w:ascii="Calibri" w:hAnsi="Calibri" w:cs="Calibri"/>
          <w:szCs w:val="22"/>
        </w:rPr>
        <w:t>.0(b</w:t>
      </w:r>
      <w:proofErr w:type="gramStart"/>
      <w:r w:rsidR="00E07DC9" w:rsidRPr="00E07DC9">
        <w:rPr>
          <w:rFonts w:ascii="Calibri" w:hAnsi="Calibri" w:cs="Calibri"/>
          <w:szCs w:val="22"/>
        </w:rPr>
        <w:t>)2I</w:t>
      </w:r>
      <w:proofErr w:type="gramEnd"/>
      <w:r w:rsidRPr="00E07DC9">
        <w:rPr>
          <w:rFonts w:ascii="Calibri" w:hAnsi="Calibri" w:cs="Calibri"/>
          <w:szCs w:val="22"/>
        </w:rPr>
        <w:t xml:space="preserve"> </w:t>
      </w:r>
      <w:proofErr w:type="spellStart"/>
      <w:r w:rsidRPr="00E07DC9">
        <w:rPr>
          <w:rFonts w:ascii="Calibri" w:hAnsi="Calibri" w:cs="Calibri"/>
          <w:szCs w:val="22"/>
        </w:rPr>
        <w:t>i</w:t>
      </w:r>
      <w:proofErr w:type="spellEnd"/>
      <w:r w:rsidRPr="00E07DC9">
        <w:rPr>
          <w:rFonts w:ascii="Calibri" w:hAnsi="Calibri" w:cs="Calibri"/>
          <w:szCs w:val="22"/>
        </w:rPr>
        <w:t xml:space="preserve"> and ii of California’s Title 24 201</w:t>
      </w:r>
      <w:r w:rsidR="006D4D77" w:rsidRPr="00E07DC9">
        <w:rPr>
          <w:rFonts w:ascii="Calibri" w:hAnsi="Calibri" w:cs="Calibri"/>
          <w:szCs w:val="22"/>
        </w:rPr>
        <w:t>6</w:t>
      </w:r>
      <w:r w:rsidRPr="00E07DC9">
        <w:rPr>
          <w:rFonts w:ascii="Calibri" w:hAnsi="Calibri" w:cs="Calibri"/>
          <w:szCs w:val="22"/>
        </w:rPr>
        <w:t xml:space="preserve"> Non-Residential Building Energy Efficiency </w:t>
      </w:r>
      <w:r w:rsidRPr="00077803">
        <w:rPr>
          <w:rFonts w:ascii="Calibri" w:hAnsi="Calibri" w:cs="Calibri"/>
        </w:rPr>
        <w:t>Standards [</w:t>
      </w:r>
      <w:r w:rsidR="00EB22AD">
        <w:rPr>
          <w:rFonts w:ascii="Calibri" w:hAnsi="Calibri" w:cs="Calibri"/>
        </w:rPr>
        <w:t>49</w:t>
      </w:r>
      <w:r w:rsidR="00E364F3">
        <w:rPr>
          <w:rFonts w:ascii="Calibri" w:hAnsi="Calibri" w:cs="Calibri"/>
        </w:rPr>
        <w:t>6</w:t>
      </w:r>
      <w:r w:rsidRPr="00077803">
        <w:rPr>
          <w:rFonts w:ascii="Calibri" w:hAnsi="Calibri" w:cs="Calibri"/>
        </w:rPr>
        <w:t>], the Alteration codes and standards language states:</w:t>
      </w:r>
    </w:p>
    <w:p w14:paraId="08671529" w14:textId="77777777" w:rsidR="006A6197" w:rsidRPr="00E364F3" w:rsidRDefault="006A6197" w:rsidP="006A6197">
      <w:pPr>
        <w:autoSpaceDE w:val="0"/>
        <w:autoSpaceDN w:val="0"/>
        <w:adjustRightInd w:val="0"/>
        <w:rPr>
          <w:rFonts w:ascii="Calibri" w:eastAsiaTheme="minorHAnsi" w:hAnsi="Calibri" w:cs="TimesNewRomanPSMT"/>
        </w:rPr>
      </w:pPr>
    </w:p>
    <w:p w14:paraId="53E3EDAB" w14:textId="77777777" w:rsidR="00E07DC9" w:rsidRPr="00E364F3" w:rsidRDefault="00E07DC9" w:rsidP="006A6197">
      <w:pPr>
        <w:autoSpaceDE w:val="0"/>
        <w:autoSpaceDN w:val="0"/>
        <w:adjustRightInd w:val="0"/>
        <w:rPr>
          <w:rFonts w:ascii="Calibri" w:eastAsiaTheme="minorHAnsi" w:hAnsi="Calibri" w:cs="TimesNewRomanPS-BoldMT"/>
          <w:b/>
          <w:bCs/>
        </w:rPr>
      </w:pPr>
      <w:proofErr w:type="gramStart"/>
      <w:r w:rsidRPr="00E364F3">
        <w:rPr>
          <w:rFonts w:ascii="Calibri" w:eastAsiaTheme="minorHAnsi" w:hAnsi="Calibri"/>
          <w:b/>
          <w:bCs/>
        </w:rPr>
        <w:t>Entire Luminaire Alterations.</w:t>
      </w:r>
      <w:proofErr w:type="gramEnd"/>
      <w:r w:rsidRPr="00E364F3">
        <w:rPr>
          <w:rFonts w:ascii="Calibri" w:eastAsiaTheme="minorHAnsi" w:hAnsi="Calibri"/>
          <w:b/>
          <w:bCs/>
        </w:rPr>
        <w:t xml:space="preserve"> </w:t>
      </w:r>
      <w:r w:rsidRPr="00E364F3">
        <w:rPr>
          <w:rFonts w:ascii="Calibri" w:eastAsiaTheme="minorHAnsi" w:hAnsi="Calibri"/>
        </w:rPr>
        <w:t>Entire luminaire alterations shall meet the following requirements:</w:t>
      </w:r>
      <w:r w:rsidRPr="00E364F3">
        <w:rPr>
          <w:rFonts w:ascii="Calibri" w:eastAsiaTheme="minorHAnsi" w:hAnsi="Calibri" w:cs="TimesNewRomanPS-BoldMT"/>
          <w:b/>
          <w:bCs/>
        </w:rPr>
        <w:t xml:space="preserve"> </w:t>
      </w:r>
    </w:p>
    <w:p w14:paraId="2D0ABE5C" w14:textId="77777777" w:rsidR="00E07DC9" w:rsidRPr="00E364F3" w:rsidRDefault="00E07DC9" w:rsidP="00E364F3">
      <w:pPr>
        <w:pStyle w:val="ListParagraph"/>
        <w:numPr>
          <w:ilvl w:val="1"/>
          <w:numId w:val="52"/>
        </w:numPr>
        <w:autoSpaceDE w:val="0"/>
        <w:autoSpaceDN w:val="0"/>
        <w:adjustRightInd w:val="0"/>
        <w:rPr>
          <w:rFonts w:ascii="Calibri" w:eastAsiaTheme="minorHAnsi" w:hAnsi="Calibri"/>
        </w:rPr>
      </w:pPr>
      <w:r w:rsidRPr="00E364F3">
        <w:rPr>
          <w:rFonts w:ascii="Calibri" w:eastAsiaTheme="minorHAnsi" w:hAnsi="Calibri"/>
        </w:rPr>
        <w:t>For each enclosed space, alterations that consist of either (a) removing and reinstalling a total of 10 percent or more of the existing luminaires; or (b) replacing or adding entire luminaires; or (c) adding, removing, or replacing walls or ceilings along with any redesign of the lighting system, shall meet the lighting power allowance in Section 140.6, and the altered luminaires shall meet the applicable requirements in Table 141.0-E; or</w:t>
      </w:r>
    </w:p>
    <w:p w14:paraId="74B607FD" w14:textId="3FB13D8C" w:rsidR="00E07DC9" w:rsidRPr="00E364F3" w:rsidRDefault="00E07DC9" w:rsidP="00E364F3">
      <w:pPr>
        <w:pStyle w:val="ListParagraph"/>
        <w:numPr>
          <w:ilvl w:val="1"/>
          <w:numId w:val="52"/>
        </w:numPr>
        <w:autoSpaceDE w:val="0"/>
        <w:autoSpaceDN w:val="0"/>
        <w:adjustRightInd w:val="0"/>
        <w:rPr>
          <w:rFonts w:ascii="Calibri" w:eastAsiaTheme="minorHAnsi" w:hAnsi="Calibri"/>
        </w:rPr>
      </w:pPr>
      <w:r w:rsidRPr="00E364F3">
        <w:rPr>
          <w:rFonts w:ascii="Calibri" w:eastAsiaTheme="minorHAnsi" w:hAnsi="Calibri"/>
        </w:rPr>
        <w:t>For alterations where existing luminaires are replaced with new luminaires, and that do not include adding, removing, or replacing walls or ceilings along with redesign of the lighting system, the replacement luminaires in each office, retail, and hotel occupancy shall have at least 50 percent, and in all other occupancies at least 35 percent, lower rated power at full light output compared to the existing luminaires being replaced, and shall meet the requirements of Sections 130.1(a)1, 2, and 3, 130.1(c)1A through C, 130.1(c)2, 130.1(c)3, 130.1(c)4, 130.1(c)5, 130.1(c)6A, and for parking garages 130.1(c)7B.</w:t>
      </w:r>
    </w:p>
    <w:p w14:paraId="2CC22A18" w14:textId="77777777" w:rsidR="00E07DC9" w:rsidRPr="00E364F3" w:rsidRDefault="00E07DC9" w:rsidP="00E364F3">
      <w:pPr>
        <w:pStyle w:val="ListParagraph"/>
        <w:autoSpaceDE w:val="0"/>
        <w:autoSpaceDN w:val="0"/>
        <w:adjustRightInd w:val="0"/>
        <w:rPr>
          <w:rFonts w:ascii="Calibri" w:eastAsiaTheme="minorHAnsi" w:hAnsi="Calibri"/>
        </w:rPr>
      </w:pPr>
    </w:p>
    <w:p w14:paraId="5B3635AD" w14:textId="44AE69EA" w:rsidR="00E07DC9" w:rsidRPr="00E364F3" w:rsidRDefault="00E07DC9" w:rsidP="00E364F3">
      <w:pPr>
        <w:autoSpaceDE w:val="0"/>
        <w:autoSpaceDN w:val="0"/>
        <w:adjustRightInd w:val="0"/>
        <w:rPr>
          <w:rFonts w:ascii="Calibri" w:eastAsiaTheme="minorHAnsi" w:hAnsi="Calibri"/>
        </w:rPr>
      </w:pPr>
      <w:r w:rsidRPr="00E364F3">
        <w:rPr>
          <w:rFonts w:ascii="Calibri" w:eastAsiaTheme="minorHAnsi" w:hAnsi="Calibri"/>
          <w:b/>
          <w:bCs/>
        </w:rPr>
        <w:t>EXCEPTION 1 to Section 141.0(b</w:t>
      </w:r>
      <w:proofErr w:type="gramStart"/>
      <w:r w:rsidRPr="00E364F3">
        <w:rPr>
          <w:rFonts w:ascii="Calibri" w:eastAsiaTheme="minorHAnsi" w:hAnsi="Calibri"/>
          <w:b/>
          <w:bCs/>
        </w:rPr>
        <w:t>)2I</w:t>
      </w:r>
      <w:proofErr w:type="gramEnd"/>
      <w:r w:rsidRPr="00E364F3">
        <w:rPr>
          <w:rFonts w:ascii="Calibri" w:eastAsiaTheme="minorHAnsi" w:hAnsi="Calibri"/>
          <w:b/>
          <w:bCs/>
        </w:rPr>
        <w:t xml:space="preserve">. </w:t>
      </w:r>
      <w:r w:rsidRPr="00E364F3">
        <w:rPr>
          <w:rFonts w:ascii="Calibri" w:eastAsiaTheme="minorHAnsi" w:hAnsi="Calibri"/>
        </w:rPr>
        <w:t>Alteration of portable luminaires, luminaires affixed to moveable partitions, or lighting excluded as specified in Section 140.6(a</w:t>
      </w:r>
      <w:proofErr w:type="gramStart"/>
      <w:r w:rsidRPr="00E364F3">
        <w:rPr>
          <w:rFonts w:ascii="Calibri" w:eastAsiaTheme="minorHAnsi" w:hAnsi="Calibri"/>
        </w:rPr>
        <w:t>)3</w:t>
      </w:r>
      <w:proofErr w:type="gramEnd"/>
      <w:r w:rsidRPr="00E364F3">
        <w:rPr>
          <w:rFonts w:ascii="Calibri" w:eastAsiaTheme="minorHAnsi" w:hAnsi="Calibri"/>
        </w:rPr>
        <w:t>.</w:t>
      </w:r>
    </w:p>
    <w:p w14:paraId="28B66FF5" w14:textId="77777777" w:rsidR="00E07DC9" w:rsidRPr="00E364F3" w:rsidRDefault="00E07DC9" w:rsidP="00E364F3">
      <w:pPr>
        <w:autoSpaceDE w:val="0"/>
        <w:autoSpaceDN w:val="0"/>
        <w:adjustRightInd w:val="0"/>
        <w:rPr>
          <w:rFonts w:ascii="Calibri" w:eastAsiaTheme="minorHAnsi" w:hAnsi="Calibri"/>
        </w:rPr>
      </w:pPr>
    </w:p>
    <w:p w14:paraId="699C223A" w14:textId="21C0B2BF" w:rsidR="00E07DC9" w:rsidRPr="00E364F3" w:rsidRDefault="00E07DC9" w:rsidP="00E364F3">
      <w:pPr>
        <w:autoSpaceDE w:val="0"/>
        <w:autoSpaceDN w:val="0"/>
        <w:adjustRightInd w:val="0"/>
        <w:rPr>
          <w:rFonts w:ascii="Calibri" w:eastAsiaTheme="minorHAnsi" w:hAnsi="Calibri"/>
        </w:rPr>
      </w:pPr>
      <w:r w:rsidRPr="00E364F3">
        <w:rPr>
          <w:rFonts w:ascii="Calibri" w:eastAsiaTheme="minorHAnsi" w:hAnsi="Calibri"/>
          <w:b/>
          <w:bCs/>
        </w:rPr>
        <w:t>EXCEPTION 2 to Section 141.0(b</w:t>
      </w:r>
      <w:proofErr w:type="gramStart"/>
      <w:r w:rsidRPr="00E364F3">
        <w:rPr>
          <w:rFonts w:ascii="Calibri" w:eastAsiaTheme="minorHAnsi" w:hAnsi="Calibri"/>
          <w:b/>
          <w:bCs/>
        </w:rPr>
        <w:t>)2I</w:t>
      </w:r>
      <w:proofErr w:type="gramEnd"/>
      <w:r w:rsidRPr="00E364F3">
        <w:rPr>
          <w:rFonts w:ascii="Calibri" w:eastAsiaTheme="minorHAnsi" w:hAnsi="Calibri"/>
          <w:b/>
          <w:bCs/>
        </w:rPr>
        <w:t xml:space="preserve">. </w:t>
      </w:r>
      <w:proofErr w:type="gramStart"/>
      <w:r w:rsidRPr="00E364F3">
        <w:rPr>
          <w:rFonts w:ascii="Calibri" w:eastAsiaTheme="minorHAnsi" w:hAnsi="Calibri"/>
        </w:rPr>
        <w:t>In an enclosed space where two or fewer luminaires are replaced or reinstalled.</w:t>
      </w:r>
      <w:proofErr w:type="gramEnd"/>
    </w:p>
    <w:p w14:paraId="79F1D634" w14:textId="77777777" w:rsidR="00E07DC9" w:rsidRPr="00E364F3" w:rsidRDefault="00E07DC9" w:rsidP="00E364F3">
      <w:pPr>
        <w:autoSpaceDE w:val="0"/>
        <w:autoSpaceDN w:val="0"/>
        <w:adjustRightInd w:val="0"/>
        <w:rPr>
          <w:rFonts w:ascii="Calibri" w:eastAsiaTheme="minorHAnsi" w:hAnsi="Calibri"/>
          <w:b/>
          <w:bCs/>
        </w:rPr>
      </w:pPr>
    </w:p>
    <w:p w14:paraId="339CCB67" w14:textId="2D90F645" w:rsidR="00E07DC9" w:rsidRPr="00E364F3" w:rsidRDefault="00E07DC9" w:rsidP="00E364F3">
      <w:pPr>
        <w:autoSpaceDE w:val="0"/>
        <w:autoSpaceDN w:val="0"/>
        <w:adjustRightInd w:val="0"/>
        <w:rPr>
          <w:rFonts w:ascii="Calibri" w:eastAsiaTheme="minorHAnsi" w:hAnsi="Calibri"/>
        </w:rPr>
      </w:pPr>
      <w:r w:rsidRPr="00E364F3">
        <w:rPr>
          <w:rFonts w:ascii="Calibri" w:eastAsiaTheme="minorHAnsi" w:hAnsi="Calibri"/>
          <w:b/>
          <w:bCs/>
        </w:rPr>
        <w:t>EXCEPTION 3 to Section 141.0(b</w:t>
      </w:r>
      <w:proofErr w:type="gramStart"/>
      <w:r w:rsidRPr="00E364F3">
        <w:rPr>
          <w:rFonts w:ascii="Calibri" w:eastAsiaTheme="minorHAnsi" w:hAnsi="Calibri"/>
          <w:b/>
          <w:bCs/>
        </w:rPr>
        <w:t>)2I</w:t>
      </w:r>
      <w:proofErr w:type="gramEnd"/>
      <w:r w:rsidRPr="00E364F3">
        <w:rPr>
          <w:rFonts w:ascii="Calibri" w:eastAsiaTheme="minorHAnsi" w:hAnsi="Calibri"/>
          <w:b/>
          <w:bCs/>
        </w:rPr>
        <w:t xml:space="preserve">. </w:t>
      </w:r>
      <w:proofErr w:type="gramStart"/>
      <w:r w:rsidRPr="00E364F3">
        <w:rPr>
          <w:rFonts w:ascii="Calibri" w:eastAsiaTheme="minorHAnsi" w:hAnsi="Calibri"/>
        </w:rPr>
        <w:t>Alterations that would directly cause the disturbance of asbestos, unless the alterations are made in conjunction with asbestos abatement.</w:t>
      </w:r>
      <w:proofErr w:type="gramEnd"/>
    </w:p>
    <w:p w14:paraId="4DB37EAD" w14:textId="77777777" w:rsidR="00E07DC9" w:rsidRPr="00E364F3" w:rsidRDefault="00E07DC9" w:rsidP="00E364F3">
      <w:pPr>
        <w:autoSpaceDE w:val="0"/>
        <w:autoSpaceDN w:val="0"/>
        <w:adjustRightInd w:val="0"/>
        <w:rPr>
          <w:rFonts w:ascii="Calibri" w:eastAsiaTheme="minorHAnsi" w:hAnsi="Calibri"/>
          <w:b/>
          <w:bCs/>
        </w:rPr>
      </w:pPr>
    </w:p>
    <w:p w14:paraId="0D92EF04" w14:textId="35F25C95" w:rsidR="00E07DC9" w:rsidRPr="00E364F3" w:rsidRDefault="00E07DC9">
      <w:pPr>
        <w:autoSpaceDE w:val="0"/>
        <w:autoSpaceDN w:val="0"/>
        <w:adjustRightInd w:val="0"/>
        <w:rPr>
          <w:rFonts w:eastAsiaTheme="minorHAnsi"/>
        </w:rPr>
      </w:pPr>
      <w:r w:rsidRPr="00E07DC9">
        <w:rPr>
          <w:rFonts w:eastAsiaTheme="minorHAnsi"/>
          <w:b/>
          <w:bCs/>
        </w:rPr>
        <w:t>EXCEPTION 4 to Section 141.0(b</w:t>
      </w:r>
      <w:proofErr w:type="gramStart"/>
      <w:r w:rsidRPr="00E07DC9">
        <w:rPr>
          <w:rFonts w:eastAsiaTheme="minorHAnsi"/>
          <w:b/>
          <w:bCs/>
        </w:rPr>
        <w:t>)2I</w:t>
      </w:r>
      <w:proofErr w:type="gramEnd"/>
      <w:r w:rsidRPr="00E07DC9">
        <w:rPr>
          <w:rFonts w:eastAsiaTheme="minorHAnsi"/>
          <w:b/>
          <w:bCs/>
        </w:rPr>
        <w:t xml:space="preserve">. </w:t>
      </w:r>
      <w:r w:rsidRPr="00E07DC9">
        <w:rPr>
          <w:rFonts w:eastAsiaTheme="minorHAnsi"/>
        </w:rPr>
        <w:t>Acceptance testing requirements of Section 130.4 are not</w:t>
      </w:r>
      <w:r w:rsidRPr="00E364F3">
        <w:rPr>
          <w:rFonts w:eastAsiaTheme="minorHAnsi"/>
        </w:rPr>
        <w:t xml:space="preserve"> </w:t>
      </w:r>
      <w:r w:rsidRPr="00E07DC9">
        <w:rPr>
          <w:rFonts w:eastAsiaTheme="minorHAnsi"/>
        </w:rPr>
        <w:t>required for alterations where lighting controls are added to control 20 or fewer luminaires.</w:t>
      </w:r>
    </w:p>
    <w:p w14:paraId="284601E7" w14:textId="2EA66FA0" w:rsidR="00B07EE5" w:rsidRPr="00500C4E" w:rsidRDefault="005A1078" w:rsidP="00E364F3">
      <w:pPr>
        <w:pStyle w:val="Caption"/>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619"/>
        <w:gridCol w:w="1745"/>
      </w:tblGrid>
      <w:tr w:rsidR="00881A42" w:rsidRPr="00500C4E" w14:paraId="51467286" w14:textId="77777777" w:rsidTr="00103F62">
        <w:tc>
          <w:tcPr>
            <w:tcW w:w="1155" w:type="pct"/>
            <w:shd w:val="clear" w:color="auto" w:fill="D9D9D9" w:themeFill="background1" w:themeFillShade="D9"/>
          </w:tcPr>
          <w:p w14:paraId="20C3C2B4" w14:textId="77777777" w:rsidR="00881A42" w:rsidRPr="00920905" w:rsidRDefault="00881A42" w:rsidP="00103F62">
            <w:pPr>
              <w:rPr>
                <w:rFonts w:cstheme="minorHAnsi"/>
                <w:b/>
                <w:szCs w:val="20"/>
              </w:rPr>
            </w:pPr>
            <w:r w:rsidRPr="00920905">
              <w:rPr>
                <w:rFonts w:cstheme="minorHAnsi"/>
                <w:b/>
                <w:szCs w:val="20"/>
              </w:rPr>
              <w:t>Code</w:t>
            </w:r>
          </w:p>
        </w:tc>
        <w:tc>
          <w:tcPr>
            <w:tcW w:w="2934" w:type="pct"/>
            <w:shd w:val="clear" w:color="auto" w:fill="D9D9D9" w:themeFill="background1" w:themeFillShade="D9"/>
          </w:tcPr>
          <w:p w14:paraId="11112752" w14:textId="30F242E1" w:rsidR="00881A42" w:rsidRPr="00920905" w:rsidRDefault="00B614F1" w:rsidP="00103F62">
            <w:pPr>
              <w:rPr>
                <w:rFonts w:cstheme="minorHAnsi"/>
                <w:b/>
                <w:szCs w:val="20"/>
              </w:rPr>
            </w:pPr>
            <w:r>
              <w:rPr>
                <w:rFonts w:cstheme="minorHAnsi"/>
                <w:b/>
                <w:szCs w:val="20"/>
              </w:rPr>
              <w:t>R</w:t>
            </w:r>
            <w:r w:rsidR="00881A42" w:rsidRPr="00920905">
              <w:rPr>
                <w:rFonts w:cstheme="minorHAnsi"/>
                <w:b/>
                <w:szCs w:val="20"/>
              </w:rPr>
              <w:t>eference</w:t>
            </w:r>
          </w:p>
        </w:tc>
        <w:tc>
          <w:tcPr>
            <w:tcW w:w="912" w:type="pct"/>
            <w:shd w:val="clear" w:color="auto" w:fill="D9D9D9" w:themeFill="background1" w:themeFillShade="D9"/>
          </w:tcPr>
          <w:p w14:paraId="5A1E238B" w14:textId="58FC8C8D" w:rsidR="00881A42" w:rsidRPr="00920905" w:rsidRDefault="00881A42" w:rsidP="00103F62">
            <w:pPr>
              <w:rPr>
                <w:rFonts w:cstheme="minorHAnsi"/>
                <w:b/>
                <w:szCs w:val="20"/>
              </w:rPr>
            </w:pPr>
            <w:r w:rsidRPr="00920905">
              <w:rPr>
                <w:rFonts w:cstheme="minorHAnsi"/>
                <w:b/>
                <w:szCs w:val="20"/>
              </w:rPr>
              <w:t>Effective Date</w:t>
            </w:r>
            <w:r w:rsidR="00CB04D2">
              <w:rPr>
                <w:rFonts w:cstheme="minorHAnsi"/>
                <w:b/>
                <w:szCs w:val="20"/>
              </w:rPr>
              <w:t>s</w:t>
            </w:r>
          </w:p>
        </w:tc>
      </w:tr>
      <w:tr w:rsidR="006A6197" w:rsidRPr="00500C4E" w14:paraId="41E6B4DA" w14:textId="77777777" w:rsidTr="00103F62">
        <w:trPr>
          <w:trHeight w:val="243"/>
        </w:trPr>
        <w:tc>
          <w:tcPr>
            <w:tcW w:w="1155" w:type="pct"/>
          </w:tcPr>
          <w:p w14:paraId="16A44F28" w14:textId="12705AD3" w:rsidR="006A6197" w:rsidRPr="00500C4E" w:rsidRDefault="006A6197" w:rsidP="00103F62">
            <w:pPr>
              <w:rPr>
                <w:rFonts w:cstheme="minorHAnsi"/>
                <w:szCs w:val="20"/>
              </w:rPr>
            </w:pPr>
            <w:r w:rsidRPr="00C66744">
              <w:t>Title 24 (201</w:t>
            </w:r>
            <w:r w:rsidR="005D2481">
              <w:t>6</w:t>
            </w:r>
            <w:r w:rsidRPr="00C66744">
              <w:t>)</w:t>
            </w:r>
          </w:p>
        </w:tc>
        <w:tc>
          <w:tcPr>
            <w:tcW w:w="2934" w:type="pct"/>
          </w:tcPr>
          <w:p w14:paraId="387D6828" w14:textId="227E8676" w:rsidR="006A6197" w:rsidRPr="00500C4E" w:rsidRDefault="006A6197" w:rsidP="00103F62">
            <w:pPr>
              <w:rPr>
                <w:rFonts w:cstheme="minorHAnsi"/>
                <w:color w:val="FF0000"/>
                <w:szCs w:val="20"/>
              </w:rPr>
            </w:pPr>
            <w:r w:rsidRPr="00C66744">
              <w:t>201</w:t>
            </w:r>
            <w:r w:rsidR="005D2481">
              <w:t>6</w:t>
            </w:r>
            <w:r w:rsidRPr="00C66744">
              <w:t xml:space="preserve"> Non-Residential</w:t>
            </w:r>
            <w:r w:rsidR="00276285">
              <w:t>, high-rise residential and hotel/motel buildings</w:t>
            </w:r>
            <w:r w:rsidRPr="00C66744">
              <w:t xml:space="preserve"> Building Energy Efficiency Standards, Section 14</w:t>
            </w:r>
            <w:r w:rsidR="00705289">
              <w:t>1</w:t>
            </w:r>
            <w:r w:rsidRPr="00C66744">
              <w:t>.0(b)</w:t>
            </w:r>
          </w:p>
        </w:tc>
        <w:tc>
          <w:tcPr>
            <w:tcW w:w="912" w:type="pct"/>
          </w:tcPr>
          <w:p w14:paraId="3E1189F8" w14:textId="50FC9F08" w:rsidR="006A6197" w:rsidRPr="00500C4E" w:rsidRDefault="005D2481" w:rsidP="00103F62">
            <w:pPr>
              <w:rPr>
                <w:rFonts w:cstheme="minorHAnsi"/>
                <w:color w:val="FF0000"/>
                <w:szCs w:val="20"/>
              </w:rPr>
            </w:pPr>
            <w:r>
              <w:t>J</w:t>
            </w:r>
            <w:r w:rsidR="00E364F3">
              <w:t>anuary 1, 2017</w:t>
            </w:r>
          </w:p>
        </w:tc>
      </w:tr>
      <w:tr w:rsidR="006A6197" w:rsidRPr="00500C4E" w14:paraId="55950BED" w14:textId="77777777" w:rsidTr="00103F62">
        <w:trPr>
          <w:trHeight w:val="243"/>
        </w:trPr>
        <w:tc>
          <w:tcPr>
            <w:tcW w:w="1155" w:type="pct"/>
          </w:tcPr>
          <w:p w14:paraId="4AB4ED28" w14:textId="14A30836" w:rsidR="006A6197" w:rsidRPr="00500C4E" w:rsidRDefault="006A6197" w:rsidP="00103F62">
            <w:pPr>
              <w:rPr>
                <w:rFonts w:cstheme="minorHAnsi"/>
                <w:szCs w:val="20"/>
              </w:rPr>
            </w:pPr>
            <w:r w:rsidRPr="00C66744">
              <w:t xml:space="preserve">Title 20 </w:t>
            </w:r>
            <w:r w:rsidRPr="007C68A0">
              <w:t>(2015)</w:t>
            </w:r>
          </w:p>
        </w:tc>
        <w:tc>
          <w:tcPr>
            <w:tcW w:w="2934" w:type="pct"/>
          </w:tcPr>
          <w:p w14:paraId="19FAE8D5" w14:textId="08AD28A0" w:rsidR="006A6197" w:rsidRPr="00500C4E" w:rsidRDefault="006A6197" w:rsidP="00103F62">
            <w:pPr>
              <w:rPr>
                <w:rFonts w:cstheme="minorHAnsi"/>
                <w:color w:val="FF0000"/>
                <w:szCs w:val="20"/>
              </w:rPr>
            </w:pPr>
            <w:r w:rsidRPr="00C66744">
              <w:t>N/A</w:t>
            </w:r>
          </w:p>
        </w:tc>
        <w:tc>
          <w:tcPr>
            <w:tcW w:w="912" w:type="pct"/>
          </w:tcPr>
          <w:p w14:paraId="49C2E9ED" w14:textId="75FC37EC" w:rsidR="006A6197" w:rsidRPr="00500C4E" w:rsidRDefault="006A6197" w:rsidP="00103F62">
            <w:pPr>
              <w:rPr>
                <w:rFonts w:cstheme="minorHAnsi"/>
                <w:color w:val="FF0000"/>
                <w:szCs w:val="20"/>
              </w:rPr>
            </w:pPr>
            <w:r w:rsidRPr="00C66744">
              <w:t>N/A</w:t>
            </w:r>
          </w:p>
        </w:tc>
      </w:tr>
    </w:tbl>
    <w:p w14:paraId="658749F7" w14:textId="6B8A7A0D" w:rsidR="00572D2F" w:rsidRPr="00920905" w:rsidRDefault="00572D2F" w:rsidP="00920905">
      <w:pPr>
        <w:pStyle w:val="Heading2"/>
        <w:rPr>
          <w:rFonts w:cstheme="minorHAnsi"/>
          <w:b w:val="0"/>
          <w:bCs w:val="0"/>
          <w:iCs w:val="0"/>
          <w:smallCaps w:val="0"/>
        </w:rPr>
      </w:pPr>
      <w:bookmarkStart w:id="11" w:name="_Toc304800207"/>
      <w:bookmarkStart w:id="12" w:name="_Toc324318343"/>
      <w:bookmarkStart w:id="13" w:name="_Toc324340487"/>
      <w:bookmarkStart w:id="14" w:name="_Toc383441992"/>
      <w:bookmarkStart w:id="15" w:name="_Toc214003090"/>
      <w:r w:rsidRPr="00920905">
        <w:rPr>
          <w:rFonts w:asciiTheme="minorHAnsi" w:hAnsiTheme="minorHAnsi" w:cstheme="minorHAnsi"/>
        </w:rPr>
        <w:lastRenderedPageBreak/>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658D85FE" w14:textId="6DF35E18" w:rsidR="00572D2F" w:rsidRPr="000E4FAF" w:rsidRDefault="000E4FAF" w:rsidP="000E4FAF">
      <w:pPr>
        <w:pStyle w:val="NoSpacing"/>
        <w:rPr>
          <w:b/>
        </w:rPr>
      </w:pPr>
      <w:r w:rsidRPr="000E4FAF">
        <w:t>No other studies were used in the development of this work paper.</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1BBB450B" w14:textId="3EE15763" w:rsidR="000E4FAF" w:rsidRPr="000E4FAF" w:rsidRDefault="000E4FAF" w:rsidP="00602F18">
      <w:pPr>
        <w:rPr>
          <w:rFonts w:cs="Arial"/>
          <w:szCs w:val="22"/>
        </w:rPr>
      </w:pPr>
      <w:r w:rsidRPr="000E4FAF">
        <w:rPr>
          <w:rFonts w:cs="Arial"/>
          <w:szCs w:val="22"/>
        </w:rPr>
        <w:t>The data use</w:t>
      </w:r>
      <w:r w:rsidR="00061AE4">
        <w:rPr>
          <w:rFonts w:cs="Arial"/>
          <w:szCs w:val="22"/>
        </w:rPr>
        <w:t>d for this work paper come</w:t>
      </w:r>
      <w:r w:rsidRPr="000E4FAF">
        <w:rPr>
          <w:rFonts w:cs="Arial"/>
          <w:szCs w:val="22"/>
        </w:rPr>
        <w:t xml:space="preserve"> directly</w:t>
      </w:r>
      <w:r w:rsidR="008257BF">
        <w:rPr>
          <w:rFonts w:cs="Arial"/>
          <w:szCs w:val="22"/>
        </w:rPr>
        <w:t xml:space="preserve"> from</w:t>
      </w:r>
      <w:r w:rsidRPr="000E4FAF">
        <w:rPr>
          <w:rFonts w:cs="Arial"/>
          <w:szCs w:val="22"/>
        </w:rPr>
        <w:t xml:space="preserve"> DEER</w:t>
      </w:r>
      <w:r w:rsidR="008257BF">
        <w:rPr>
          <w:rFonts w:cs="Arial"/>
          <w:szCs w:val="22"/>
        </w:rPr>
        <w:t>201</w:t>
      </w:r>
      <w:r w:rsidR="00940F92">
        <w:rPr>
          <w:rFonts w:cs="Arial"/>
          <w:szCs w:val="22"/>
        </w:rPr>
        <w:t>7</w:t>
      </w:r>
      <w:r w:rsidR="008257BF">
        <w:rPr>
          <w:rFonts w:cs="Arial"/>
          <w:szCs w:val="22"/>
        </w:rPr>
        <w:t>,</w:t>
      </w:r>
      <w:r w:rsidR="00940F92">
        <w:rPr>
          <w:rFonts w:cs="Arial"/>
          <w:szCs w:val="22"/>
        </w:rPr>
        <w:t xml:space="preserve"> DEER</w:t>
      </w:r>
      <w:r w:rsidRPr="000E4FAF">
        <w:rPr>
          <w:rFonts w:cs="Arial"/>
          <w:szCs w:val="22"/>
        </w:rPr>
        <w:t xml:space="preserve"> </w:t>
      </w:r>
      <w:r w:rsidR="008257BF">
        <w:rPr>
          <w:rFonts w:cs="Arial"/>
          <w:szCs w:val="22"/>
        </w:rPr>
        <w:t>R</w:t>
      </w:r>
      <w:r w:rsidRPr="000E4FAF">
        <w:rPr>
          <w:rFonts w:cs="Arial"/>
          <w:szCs w:val="22"/>
        </w:rPr>
        <w:t>EADI tool, version 2.</w:t>
      </w:r>
      <w:r w:rsidR="00C70931">
        <w:rPr>
          <w:rFonts w:cs="Arial"/>
          <w:szCs w:val="22"/>
        </w:rPr>
        <w:t>4.7</w:t>
      </w:r>
      <w:r w:rsidRPr="000E4FAF">
        <w:rPr>
          <w:rFonts w:cs="Arial"/>
          <w:szCs w:val="22"/>
        </w:rPr>
        <w:t>.</w:t>
      </w:r>
    </w:p>
    <w:p w14:paraId="015A5544" w14:textId="029FE42F" w:rsidR="00E16609" w:rsidRPr="00500C4E" w:rsidRDefault="00E16609" w:rsidP="00560934">
      <w:pPr>
        <w:pStyle w:val="Heading1"/>
        <w:keepNext w:val="0"/>
        <w:rPr>
          <w:rFonts w:cstheme="minorHAnsi"/>
        </w:rPr>
      </w:pPr>
      <w:proofErr w:type="gramStart"/>
      <w:r w:rsidRPr="00500C4E">
        <w:rPr>
          <w:rFonts w:cstheme="minorHAnsi"/>
        </w:rPr>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5"/>
      <w:r w:rsidR="00755A45" w:rsidRPr="00500C4E">
        <w:rPr>
          <w:rFonts w:cstheme="minorHAnsi"/>
        </w:rPr>
        <w:t xml:space="preserve"> Methodology</w:t>
      </w:r>
    </w:p>
    <w:p w14:paraId="6D50D7FC" w14:textId="0E08F928" w:rsidR="00A57A83" w:rsidRDefault="00F913BC" w:rsidP="0033191D">
      <w:pPr>
        <w:pStyle w:val="Caption"/>
        <w:rPr>
          <w:rFonts w:cstheme="minorHAnsi"/>
          <w:szCs w:val="22"/>
        </w:rPr>
      </w:pPr>
      <w:bookmarkStart w:id="16" w:name="_Ref325630022"/>
      <w:r>
        <w:rPr>
          <w:rFonts w:cstheme="minorHAnsi"/>
          <w:b w:val="0"/>
          <w:szCs w:val="22"/>
        </w:rPr>
        <w:t>The savings for all the measures are calculated using the WRR value of 3.53 taken from READ</w:t>
      </w:r>
      <w:r w:rsidR="00103F62">
        <w:rPr>
          <w:rFonts w:cstheme="minorHAnsi"/>
          <w:b w:val="0"/>
          <w:szCs w:val="22"/>
        </w:rPr>
        <w:t>I</w:t>
      </w:r>
      <w:r>
        <w:rPr>
          <w:rFonts w:cstheme="minorHAnsi"/>
          <w:b w:val="0"/>
          <w:szCs w:val="22"/>
        </w:rPr>
        <w:t xml:space="preserve"> v2.4.7 for the DEER measures indicated in the table below. </w:t>
      </w:r>
      <w:r w:rsidR="00212074" w:rsidRPr="0033191D">
        <w:rPr>
          <w:rFonts w:cstheme="minorHAnsi"/>
          <w:b w:val="0"/>
          <w:szCs w:val="22"/>
        </w:rPr>
        <w:t xml:space="preserve">All </w:t>
      </w:r>
      <w:r>
        <w:rPr>
          <w:rFonts w:cstheme="minorHAnsi"/>
          <w:b w:val="0"/>
          <w:szCs w:val="22"/>
        </w:rPr>
        <w:t>measure wattages and WRR values are taken directly from DEER 2017 and the appropriate Interactive Effects and Demand Factors are applied to calculate savings.</w:t>
      </w:r>
      <w:r w:rsidR="00A57A83" w:rsidRPr="0033191D">
        <w:rPr>
          <w:rFonts w:cstheme="minorHAnsi"/>
          <w:b w:val="0"/>
          <w:szCs w:val="22"/>
        </w:rPr>
        <w:t xml:space="preserve"> </w:t>
      </w:r>
    </w:p>
    <w:p w14:paraId="5DEDCFC3" w14:textId="77777777" w:rsidR="00F913BC" w:rsidRDefault="00F913BC" w:rsidP="00F913BC">
      <w:pPr>
        <w:pStyle w:val="Reminders"/>
        <w:rPr>
          <w:rFonts w:asciiTheme="minorHAnsi" w:hAnsiTheme="minorHAnsi"/>
          <w:i w:val="0"/>
          <w:color w:val="auto"/>
        </w:rPr>
      </w:pPr>
    </w:p>
    <w:p w14:paraId="5870DEBB" w14:textId="7C945FA3" w:rsidR="0033191D" w:rsidRPr="00F913BC" w:rsidRDefault="00F913BC" w:rsidP="00F913BC">
      <w:pPr>
        <w:pStyle w:val="Reminders"/>
        <w:rPr>
          <w:rFonts w:asciiTheme="minorHAnsi" w:hAnsiTheme="minorHAnsi"/>
          <w:i w:val="0"/>
        </w:rPr>
      </w:pPr>
      <w:r w:rsidRPr="00F913BC">
        <w:rPr>
          <w:rFonts w:asciiTheme="minorHAnsi" w:hAnsiTheme="minorHAnsi"/>
          <w:b/>
          <w:i w:val="0"/>
          <w:color w:val="auto"/>
          <w:szCs w:val="22"/>
        </w:rPr>
        <w:t>Energy Savings and Demand Reduction</w:t>
      </w:r>
      <w:r w:rsidR="0033191D" w:rsidRPr="00F913BC">
        <w:rPr>
          <w:rFonts w:asciiTheme="minorHAnsi" w:hAnsiTheme="minorHAnsi"/>
          <w:b/>
          <w:i w:val="0"/>
          <w:szCs w:val="22"/>
        </w:rPr>
        <w:tab/>
      </w:r>
    </w:p>
    <w:p w14:paraId="7D1D97FA" w14:textId="725ABAC5" w:rsidR="0033191D" w:rsidRDefault="0033191D" w:rsidP="0033191D">
      <w:pPr>
        <w:rPr>
          <w:szCs w:val="22"/>
        </w:rPr>
      </w:pPr>
      <w:r>
        <w:rPr>
          <w:szCs w:val="22"/>
        </w:rPr>
        <w:t xml:space="preserve">Examples of savings calculations for a 27W common area fixture, climate zone 06, </w:t>
      </w:r>
      <w:r w:rsidR="005F0420">
        <w:rPr>
          <w:szCs w:val="22"/>
        </w:rPr>
        <w:t xml:space="preserve">using HOU from </w:t>
      </w:r>
      <w:r w:rsidR="005F0420" w:rsidRPr="00920905">
        <w:t>DEER READI tool</w:t>
      </w:r>
      <w:r w:rsidR="005F0420">
        <w:t xml:space="preserve"> v.2.4.7 </w:t>
      </w:r>
      <w:r w:rsidR="00F913BC">
        <w:rPr>
          <w:szCs w:val="22"/>
        </w:rPr>
        <w:t>is</w:t>
      </w:r>
      <w:r>
        <w:rPr>
          <w:szCs w:val="22"/>
        </w:rPr>
        <w:t xml:space="preserve"> provided below:</w:t>
      </w:r>
    </w:p>
    <w:p w14:paraId="735C4F2C" w14:textId="77777777" w:rsidR="0033191D" w:rsidRDefault="0033191D" w:rsidP="0033191D">
      <w:pPr>
        <w:pStyle w:val="Normal2"/>
        <w:jc w:val="right"/>
        <w:rPr>
          <w:rFonts w:asciiTheme="minorHAnsi" w:hAnsiTheme="minorHAnsi"/>
          <w:sz w:val="22"/>
          <w:szCs w:val="22"/>
          <w:u w:val="single"/>
        </w:rPr>
      </w:pPr>
    </w:p>
    <w:p w14:paraId="375646D7" w14:textId="28E751E4" w:rsidR="0033191D" w:rsidRPr="00C043E0" w:rsidRDefault="00F913BC" w:rsidP="0033191D">
      <w:pPr>
        <w:rPr>
          <w:szCs w:val="22"/>
          <w:u w:val="single"/>
        </w:rPr>
      </w:pPr>
      <w:proofErr w:type="spellStart"/>
      <w:r>
        <w:rPr>
          <w:szCs w:val="22"/>
          <w:u w:val="single"/>
        </w:rPr>
        <w:t>MultiFamily</w:t>
      </w:r>
      <w:proofErr w:type="spellEnd"/>
      <w:r>
        <w:rPr>
          <w:szCs w:val="22"/>
          <w:u w:val="single"/>
        </w:rPr>
        <w:t xml:space="preserve"> Building Type (Common Area)</w:t>
      </w:r>
    </w:p>
    <w:p w14:paraId="03E889B0" w14:textId="77777777" w:rsidR="0033191D" w:rsidRDefault="0033191D" w:rsidP="0033191D">
      <w:pPr>
        <w:rPr>
          <w:i/>
          <w:sz w:val="18"/>
          <w:szCs w:val="18"/>
        </w:rPr>
      </w:pPr>
      <m:oMathPara>
        <m:oMathParaPr>
          <m:jc m:val="left"/>
        </m:oMathParaPr>
        <m:oMath>
          <m:r>
            <w:rPr>
              <w:rFonts w:ascii="Cambria Math" w:hAnsi="Cambria Math"/>
              <w:sz w:val="18"/>
              <w:szCs w:val="18"/>
            </w:rPr>
            <m:t>Energy Savings</m:t>
          </m:r>
          <m:d>
            <m:dPr>
              <m:begChr m:val="["/>
              <m:endChr m:val="]"/>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kWh</m:t>
                  </m:r>
                </m:num>
                <m:den>
                  <m:r>
                    <w:rPr>
                      <w:rFonts w:ascii="Cambria Math" w:hAnsi="Cambria Math"/>
                      <w:sz w:val="18"/>
                      <w:szCs w:val="18"/>
                    </w:rPr>
                    <m:t>lamp</m:t>
                  </m:r>
                </m:den>
              </m:f>
            </m:e>
          </m:d>
          <m:r>
            <w:rPr>
              <w:rFonts w:ascii="Cambria Math" w:hAnsi="Cambria Math"/>
              <w:sz w:val="18"/>
              <w:szCs w:val="18"/>
            </w:rPr>
            <m:t>=</m:t>
          </m:r>
          <m:d>
            <m:dPr>
              <m:ctrlPr>
                <w:rPr>
                  <w:rFonts w:ascii="Cambria Math" w:hAnsi="Cambria Math"/>
                  <w:i/>
                  <w:sz w:val="18"/>
                  <w:szCs w:val="18"/>
                </w:rPr>
              </m:ctrlPr>
            </m:dPr>
            <m:e>
              <m:r>
                <w:rPr>
                  <w:rFonts w:ascii="Cambria Math" w:hAnsi="Cambria Math"/>
                  <w:sz w:val="18"/>
                  <w:szCs w:val="18"/>
                </w:rPr>
                <m:t>∆kW*Watts Factor</m:t>
              </m:r>
            </m:e>
          </m:d>
          <m:r>
            <w:rPr>
              <w:rFonts w:ascii="Cambria Math" w:hAnsi="Cambria Math"/>
              <w:sz w:val="18"/>
              <w:szCs w:val="18"/>
            </w:rPr>
            <m:t>*</m:t>
          </m:r>
          <m:d>
            <m:dPr>
              <m:ctrlPr>
                <w:rPr>
                  <w:rFonts w:ascii="Cambria Math" w:hAnsi="Cambria Math"/>
                  <w:i/>
                  <w:sz w:val="18"/>
                  <w:szCs w:val="18"/>
                </w:rPr>
              </m:ctrlPr>
            </m:dPr>
            <m:e>
              <m:r>
                <w:rPr>
                  <w:rFonts w:ascii="Cambria Math" w:hAnsi="Cambria Math"/>
                  <w:sz w:val="18"/>
                  <w:szCs w:val="18"/>
                </w:rPr>
                <m:t>Hours of Operation</m:t>
              </m:r>
            </m:e>
          </m:d>
          <m:r>
            <w:rPr>
              <w:rFonts w:ascii="Cambria Math" w:hAnsi="Cambria Math"/>
              <w:sz w:val="18"/>
              <w:szCs w:val="18"/>
            </w:rPr>
            <m:t>*Interactive Effects</m:t>
          </m:r>
        </m:oMath>
      </m:oMathPara>
    </w:p>
    <w:p w14:paraId="0AF6E7C7" w14:textId="77777777" w:rsidR="0033191D" w:rsidRDefault="0033191D" w:rsidP="0033191D">
      <w:pPr>
        <w:rPr>
          <w:i/>
          <w:sz w:val="18"/>
          <w:szCs w:val="18"/>
        </w:rPr>
      </w:pPr>
    </w:p>
    <w:p w14:paraId="3D2671AB" w14:textId="1BC727AF" w:rsidR="0033191D" w:rsidRPr="00C043E0" w:rsidRDefault="0033191D" w:rsidP="0033191D">
      <w:pPr>
        <w:rPr>
          <w:b/>
          <w:sz w:val="18"/>
          <w:szCs w:val="18"/>
        </w:rPr>
      </w:pPr>
      <m:oMathPara>
        <m:oMathParaPr>
          <m:jc m:val="left"/>
        </m:oMathParaPr>
        <m:oMath>
          <m:r>
            <w:rPr>
              <w:rFonts w:ascii="Cambria Math" w:hAnsi="Cambria Math"/>
              <w:sz w:val="18"/>
              <w:szCs w:val="18"/>
            </w:rPr>
            <m:t xml:space="preserve">                                                =</m:t>
          </m:r>
          <m:d>
            <m:dPr>
              <m:ctrlPr>
                <w:rPr>
                  <w:rFonts w:ascii="Cambria Math" w:hAnsi="Cambria Math"/>
                  <w:i/>
                  <w:sz w:val="18"/>
                  <w:szCs w:val="18"/>
                </w:rPr>
              </m:ctrlPr>
            </m:dPr>
            <m:e>
              <m:r>
                <w:rPr>
                  <w:rFonts w:ascii="Cambria Math" w:hAnsi="Cambria Math"/>
                  <w:sz w:val="18"/>
                  <w:szCs w:val="18"/>
                </w:rPr>
                <m:t>0.027*3.53-0.027</m:t>
              </m:r>
            </m:e>
          </m:d>
          <m:r>
            <w:rPr>
              <w:rFonts w:ascii="Cambria Math" w:hAnsi="Cambria Math"/>
              <w:sz w:val="18"/>
              <w:szCs w:val="18"/>
            </w:rPr>
            <m:t>*</m:t>
          </m:r>
          <m:d>
            <m:dPr>
              <m:ctrlPr>
                <w:rPr>
                  <w:rFonts w:ascii="Cambria Math" w:hAnsi="Cambria Math"/>
                  <w:i/>
                  <w:sz w:val="18"/>
                  <w:szCs w:val="18"/>
                </w:rPr>
              </m:ctrlPr>
            </m:dPr>
            <m:e>
              <m:r>
                <w:rPr>
                  <w:rFonts w:ascii="Cambria Math" w:hAnsi="Cambria Math"/>
                  <w:sz w:val="18"/>
                  <w:szCs w:val="18"/>
                </w:rPr>
                <m:t>6142</m:t>
              </m:r>
            </m:e>
          </m:d>
          <m:r>
            <w:rPr>
              <w:rFonts w:ascii="Cambria Math" w:hAnsi="Cambria Math"/>
              <w:sz w:val="18"/>
              <w:szCs w:val="18"/>
            </w:rPr>
            <m:t>*1=</m:t>
          </m:r>
          <m:r>
            <m:rPr>
              <m:sty m:val="bi"/>
            </m:rPr>
            <w:rPr>
              <w:rFonts w:ascii="Cambria Math" w:hAnsi="Cambria Math"/>
              <w:sz w:val="18"/>
              <w:szCs w:val="18"/>
            </w:rPr>
            <m:t>419.56 kWh</m:t>
          </m:r>
        </m:oMath>
      </m:oMathPara>
    </w:p>
    <w:p w14:paraId="06E385B1" w14:textId="77777777" w:rsidR="0033191D" w:rsidRDefault="0033191D" w:rsidP="0033191D">
      <w:pPr>
        <w:rPr>
          <w:szCs w:val="22"/>
        </w:rPr>
      </w:pPr>
    </w:p>
    <w:p w14:paraId="618C7F3C" w14:textId="77777777" w:rsidR="0033191D" w:rsidRDefault="0033191D" w:rsidP="0033191D">
      <w:pPr>
        <w:rPr>
          <w:rFonts w:cstheme="minorHAnsi"/>
          <w:sz w:val="18"/>
          <w:szCs w:val="18"/>
        </w:rPr>
      </w:pPr>
      <m:oMathPara>
        <m:oMathParaPr>
          <m:jc m:val="left"/>
        </m:oMathParaPr>
        <m:oMath>
          <m:r>
            <w:rPr>
              <w:rFonts w:ascii="Cambria Math" w:hAnsi="Cambria Math"/>
              <w:sz w:val="18"/>
              <w:szCs w:val="18"/>
            </w:rPr>
            <m:t>Demand Reduction</m:t>
          </m:r>
          <m:d>
            <m:dPr>
              <m:begChr m:val="["/>
              <m:endChr m:val="]"/>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kW</m:t>
                  </m:r>
                </m:num>
                <m:den>
                  <m:r>
                    <w:rPr>
                      <w:rFonts w:ascii="Cambria Math" w:hAnsi="Cambria Math"/>
                      <w:sz w:val="18"/>
                      <w:szCs w:val="18"/>
                    </w:rPr>
                    <m:t>lamp</m:t>
                  </m:r>
                </m:den>
              </m:f>
            </m:e>
          </m:d>
          <m:r>
            <w:rPr>
              <w:rFonts w:ascii="Cambria Math" w:hAnsi="Cambria Math"/>
              <w:sz w:val="18"/>
              <w:szCs w:val="18"/>
            </w:rPr>
            <m:t>=</m:t>
          </m:r>
          <m:d>
            <m:dPr>
              <m:ctrlPr>
                <w:rPr>
                  <w:rFonts w:ascii="Cambria Math" w:hAnsi="Cambria Math"/>
                  <w:i/>
                  <w:sz w:val="18"/>
                  <w:szCs w:val="18"/>
                </w:rPr>
              </m:ctrlPr>
            </m:dPr>
            <m:e>
              <m:r>
                <w:rPr>
                  <w:rFonts w:ascii="Cambria Math" w:hAnsi="Cambria Math"/>
                  <w:sz w:val="18"/>
                  <w:szCs w:val="18"/>
                </w:rPr>
                <m:t>∆kW*Watts Factor</m:t>
              </m:r>
            </m:e>
          </m:d>
          <m:r>
            <w:rPr>
              <w:rFonts w:ascii="Cambria Math" w:hAnsi="Cambria Math"/>
              <w:sz w:val="18"/>
              <w:szCs w:val="18"/>
            </w:rPr>
            <m:t>*Interactive Effects*Coincident Diversity Factor</m:t>
          </m:r>
        </m:oMath>
      </m:oMathPara>
    </w:p>
    <w:p w14:paraId="65FA19E1" w14:textId="77777777" w:rsidR="0033191D" w:rsidRDefault="0033191D" w:rsidP="0033191D">
      <w:pPr>
        <w:rPr>
          <w:rFonts w:cstheme="minorHAnsi"/>
          <w:sz w:val="18"/>
          <w:szCs w:val="18"/>
        </w:rPr>
      </w:pPr>
    </w:p>
    <w:p w14:paraId="46BFBAF5" w14:textId="624C8C2E" w:rsidR="0033191D" w:rsidRPr="00C043E0" w:rsidRDefault="0033191D" w:rsidP="0033191D">
      <w:pPr>
        <w:rPr>
          <w:rFonts w:cstheme="minorHAnsi"/>
          <w:b/>
          <w:sz w:val="18"/>
          <w:szCs w:val="18"/>
        </w:rPr>
      </w:pPr>
      <m:oMathPara>
        <m:oMathParaPr>
          <m:jc m:val="left"/>
        </m:oMathParaPr>
        <m:oMath>
          <m:r>
            <w:rPr>
              <w:rFonts w:ascii="Cambria Math" w:hAnsi="Cambria Math"/>
              <w:sz w:val="18"/>
              <w:szCs w:val="18"/>
            </w:rPr>
            <m:t xml:space="preserve">                                                       =</m:t>
          </m:r>
          <m:d>
            <m:dPr>
              <m:ctrlPr>
                <w:rPr>
                  <w:rFonts w:ascii="Cambria Math" w:hAnsi="Cambria Math"/>
                  <w:i/>
                  <w:sz w:val="18"/>
                  <w:szCs w:val="18"/>
                </w:rPr>
              </m:ctrlPr>
            </m:dPr>
            <m:e>
              <m:r>
                <w:rPr>
                  <w:rFonts w:ascii="Cambria Math" w:hAnsi="Cambria Math"/>
                  <w:sz w:val="18"/>
                  <w:szCs w:val="18"/>
                </w:rPr>
                <m:t>0.027*3.53-0.027</m:t>
              </m:r>
            </m:e>
          </m:d>
          <m:r>
            <w:rPr>
              <w:rFonts w:ascii="Cambria Math" w:hAnsi="Cambria Math"/>
              <w:sz w:val="18"/>
              <w:szCs w:val="18"/>
            </w:rPr>
            <m:t>*1.25*0.043=</m:t>
          </m:r>
          <m:r>
            <m:rPr>
              <m:sty m:val="bi"/>
            </m:rPr>
            <w:rPr>
              <w:rFonts w:ascii="Cambria Math" w:hAnsi="Cambria Math"/>
              <w:sz w:val="18"/>
              <w:szCs w:val="18"/>
            </w:rPr>
            <m:t>0.03671 kW</m:t>
          </m:r>
        </m:oMath>
      </m:oMathPara>
    </w:p>
    <w:p w14:paraId="44742A43" w14:textId="77777777" w:rsidR="0033191D" w:rsidRDefault="0033191D" w:rsidP="0033191D">
      <w:pPr>
        <w:rPr>
          <w:rFonts w:cstheme="minorHAnsi"/>
          <w:b/>
          <w:szCs w:val="22"/>
        </w:rPr>
      </w:pPr>
    </w:p>
    <w:p w14:paraId="0AB83EA2" w14:textId="77777777" w:rsidR="0033191D" w:rsidRPr="00F15A73" w:rsidRDefault="0033191D" w:rsidP="0033191D">
      <w:pPr>
        <w:pStyle w:val="Reminders"/>
        <w:rPr>
          <w:rFonts w:asciiTheme="minorHAnsi" w:hAnsiTheme="minorHAnsi" w:cstheme="minorHAnsi"/>
          <w:i w:val="0"/>
          <w:color w:val="auto"/>
          <w:szCs w:val="22"/>
        </w:rPr>
      </w:pPr>
      <w:r>
        <w:rPr>
          <w:rFonts w:asciiTheme="minorHAnsi" w:hAnsiTheme="minorHAnsi" w:cstheme="minorHAnsi"/>
          <w:i w:val="0"/>
          <w:color w:val="auto"/>
          <w:szCs w:val="22"/>
        </w:rPr>
        <w:t>See the calculation template (Attachment 1) for all results.</w:t>
      </w:r>
    </w:p>
    <w:p w14:paraId="076B9F48" w14:textId="77777777" w:rsidR="0033191D" w:rsidRDefault="0033191D" w:rsidP="0033191D"/>
    <w:p w14:paraId="5CFA0CF4" w14:textId="40A18851" w:rsidR="0033191D" w:rsidRDefault="0033191D" w:rsidP="0033191D">
      <w:r>
        <w:t>The</w:t>
      </w:r>
      <w:r w:rsidR="00103F62">
        <w:t xml:space="preserve"> following are the DEER measure assumptions were</w:t>
      </w:r>
      <w:r>
        <w:t xml:space="preserve"> used for </w:t>
      </w:r>
      <w:r w:rsidR="00103F62">
        <w:t xml:space="preserve">calculating </w:t>
      </w:r>
      <w:r>
        <w:t xml:space="preserve">rest of the </w:t>
      </w:r>
      <w:r w:rsidR="00103F62">
        <w:t xml:space="preserve">savings </w:t>
      </w:r>
      <w:r>
        <w:t xml:space="preserve">values. </w:t>
      </w:r>
    </w:p>
    <w:p w14:paraId="57BC9CEB" w14:textId="77777777" w:rsidR="0033191D" w:rsidRPr="0033191D" w:rsidRDefault="0033191D" w:rsidP="0033191D"/>
    <w:tbl>
      <w:tblPr>
        <w:tblStyle w:val="TableGrid1"/>
        <w:tblW w:w="5048" w:type="pct"/>
        <w:tblLook w:val="01E0" w:firstRow="1" w:lastRow="1" w:firstColumn="1" w:lastColumn="1" w:noHBand="0" w:noVBand="0"/>
      </w:tblPr>
      <w:tblGrid>
        <w:gridCol w:w="1197"/>
        <w:gridCol w:w="5708"/>
        <w:gridCol w:w="2763"/>
      </w:tblGrid>
      <w:tr w:rsidR="00212074" w:rsidRPr="00212074" w14:paraId="21A5FFDE" w14:textId="2F7871C7" w:rsidTr="00103F62">
        <w:tc>
          <w:tcPr>
            <w:tcW w:w="619" w:type="pct"/>
            <w:shd w:val="clear" w:color="auto" w:fill="D9D9D9" w:themeFill="background1" w:themeFillShade="D9"/>
          </w:tcPr>
          <w:bookmarkEnd w:id="16"/>
          <w:p w14:paraId="6D8792EA" w14:textId="77777777" w:rsidR="00212074" w:rsidRPr="00CD0676" w:rsidRDefault="00212074" w:rsidP="00103F62">
            <w:pPr>
              <w:rPr>
                <w:rFonts w:cstheme="minorHAnsi"/>
                <w:b/>
                <w:szCs w:val="20"/>
                <w:highlight w:val="yellow"/>
              </w:rPr>
            </w:pPr>
            <w:r w:rsidRPr="00CD0676">
              <w:rPr>
                <w:rFonts w:cstheme="minorHAnsi"/>
                <w:b/>
                <w:szCs w:val="20"/>
              </w:rPr>
              <w:t>Solution Code</w:t>
            </w:r>
          </w:p>
        </w:tc>
        <w:tc>
          <w:tcPr>
            <w:tcW w:w="2952" w:type="pct"/>
            <w:shd w:val="clear" w:color="auto" w:fill="D9D9D9" w:themeFill="background1" w:themeFillShade="D9"/>
          </w:tcPr>
          <w:p w14:paraId="051C16DE" w14:textId="77777777" w:rsidR="00212074" w:rsidRPr="00CD0676" w:rsidRDefault="00212074" w:rsidP="00103F62">
            <w:pPr>
              <w:rPr>
                <w:rFonts w:cstheme="minorHAnsi"/>
                <w:b/>
                <w:szCs w:val="20"/>
              </w:rPr>
            </w:pPr>
            <w:r w:rsidRPr="00CD0676">
              <w:rPr>
                <w:rFonts w:cstheme="minorHAnsi"/>
                <w:b/>
                <w:szCs w:val="20"/>
              </w:rPr>
              <w:t>Measure Name</w:t>
            </w:r>
          </w:p>
        </w:tc>
        <w:tc>
          <w:tcPr>
            <w:tcW w:w="1429" w:type="pct"/>
            <w:shd w:val="clear" w:color="auto" w:fill="D9D9D9" w:themeFill="background1" w:themeFillShade="D9"/>
          </w:tcPr>
          <w:p w14:paraId="3AB1A5F3" w14:textId="31EC7B42" w:rsidR="00212074" w:rsidRPr="00CD0676" w:rsidRDefault="00212074" w:rsidP="00103F62">
            <w:pPr>
              <w:rPr>
                <w:rFonts w:cstheme="minorHAnsi"/>
                <w:b/>
                <w:szCs w:val="20"/>
              </w:rPr>
            </w:pPr>
            <w:r w:rsidRPr="00CD0676">
              <w:rPr>
                <w:rFonts w:cstheme="minorHAnsi"/>
                <w:b/>
                <w:szCs w:val="20"/>
              </w:rPr>
              <w:t xml:space="preserve">DEER </w:t>
            </w:r>
            <w:proofErr w:type="spellStart"/>
            <w:r w:rsidRPr="00CD0676">
              <w:rPr>
                <w:rFonts w:cstheme="minorHAnsi"/>
                <w:b/>
                <w:szCs w:val="20"/>
              </w:rPr>
              <w:t>MeasureID</w:t>
            </w:r>
            <w:proofErr w:type="spellEnd"/>
          </w:p>
        </w:tc>
      </w:tr>
      <w:tr w:rsidR="00212074" w:rsidRPr="00212074" w14:paraId="2FD4C4A9" w14:textId="4C384021" w:rsidTr="00103F62">
        <w:tc>
          <w:tcPr>
            <w:tcW w:w="619" w:type="pct"/>
          </w:tcPr>
          <w:p w14:paraId="7855AA7B" w14:textId="0477FBE0" w:rsidR="00212074" w:rsidRPr="00212074" w:rsidRDefault="00212074" w:rsidP="00103F62">
            <w:pPr>
              <w:rPr>
                <w:color w:val="000000"/>
                <w:szCs w:val="20"/>
              </w:rPr>
            </w:pPr>
            <w:r w:rsidRPr="00212074">
              <w:rPr>
                <w:color w:val="000000"/>
                <w:szCs w:val="20"/>
              </w:rPr>
              <w:t>LT-79504</w:t>
            </w:r>
          </w:p>
        </w:tc>
        <w:tc>
          <w:tcPr>
            <w:tcW w:w="2952" w:type="pct"/>
          </w:tcPr>
          <w:p w14:paraId="097A31CA" w14:textId="73F0E4CA" w:rsidR="00212074" w:rsidRPr="00212074" w:rsidRDefault="00212074" w:rsidP="00103F62">
            <w:pPr>
              <w:rPr>
                <w:color w:val="000000"/>
                <w:szCs w:val="20"/>
              </w:rPr>
            </w:pPr>
            <w:r w:rsidRPr="00212074">
              <w:rPr>
                <w:color w:val="000000"/>
                <w:szCs w:val="20"/>
              </w:rPr>
              <w:t xml:space="preserve">16 Watt Interior Fixture (Dwelling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25011E90" w14:textId="6CFF7776" w:rsidR="00212074" w:rsidRPr="00212074" w:rsidRDefault="00212074" w:rsidP="00103F62">
            <w:pPr>
              <w:rPr>
                <w:color w:val="000000"/>
                <w:szCs w:val="20"/>
              </w:rPr>
            </w:pPr>
            <w:r w:rsidRPr="00212074">
              <w:rPr>
                <w:color w:val="000000"/>
                <w:szCs w:val="20"/>
              </w:rPr>
              <w:t>R-In-CFLfixt-16w(16w)-dWP40</w:t>
            </w:r>
          </w:p>
        </w:tc>
      </w:tr>
      <w:tr w:rsidR="00212074" w:rsidRPr="00212074" w14:paraId="2F77F5A7" w14:textId="36FE355B" w:rsidTr="00103F62">
        <w:tc>
          <w:tcPr>
            <w:tcW w:w="619" w:type="pct"/>
          </w:tcPr>
          <w:p w14:paraId="10895CAB" w14:textId="3238BF28" w:rsidR="00212074" w:rsidRPr="00212074" w:rsidRDefault="00212074" w:rsidP="00103F62">
            <w:pPr>
              <w:rPr>
                <w:color w:val="000000"/>
                <w:szCs w:val="20"/>
              </w:rPr>
            </w:pPr>
            <w:r w:rsidRPr="00212074">
              <w:rPr>
                <w:color w:val="000000"/>
                <w:szCs w:val="20"/>
              </w:rPr>
              <w:t>LT-19423</w:t>
            </w:r>
          </w:p>
        </w:tc>
        <w:tc>
          <w:tcPr>
            <w:tcW w:w="2952" w:type="pct"/>
          </w:tcPr>
          <w:p w14:paraId="00B4B45D" w14:textId="63035C10" w:rsidR="00212074" w:rsidRPr="00212074" w:rsidRDefault="00212074" w:rsidP="00103F62">
            <w:pPr>
              <w:rPr>
                <w:color w:val="000000"/>
                <w:szCs w:val="20"/>
              </w:rPr>
            </w:pPr>
            <w:r w:rsidRPr="00212074">
              <w:rPr>
                <w:color w:val="000000"/>
                <w:szCs w:val="20"/>
              </w:rPr>
              <w:t xml:space="preserve">22 Watt Interior Fixture (Dwelling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5151C2FE" w14:textId="1F96EE7E" w:rsidR="00212074" w:rsidRPr="00212074" w:rsidRDefault="00212074" w:rsidP="00103F62">
            <w:pPr>
              <w:rPr>
                <w:color w:val="000000"/>
                <w:szCs w:val="20"/>
              </w:rPr>
            </w:pPr>
            <w:r w:rsidRPr="00212074">
              <w:rPr>
                <w:color w:val="000000"/>
                <w:szCs w:val="20"/>
              </w:rPr>
              <w:t>R-In-CFLfixt-22w(22w)-dWP55</w:t>
            </w:r>
          </w:p>
        </w:tc>
      </w:tr>
      <w:tr w:rsidR="00212074" w:rsidRPr="00212074" w14:paraId="24165469" w14:textId="48B2696F" w:rsidTr="00103F62">
        <w:tc>
          <w:tcPr>
            <w:tcW w:w="619" w:type="pct"/>
          </w:tcPr>
          <w:p w14:paraId="2817E568" w14:textId="0F97B414" w:rsidR="00212074" w:rsidRPr="00212074" w:rsidRDefault="00212074" w:rsidP="00103F62">
            <w:pPr>
              <w:rPr>
                <w:color w:val="000000"/>
                <w:szCs w:val="20"/>
              </w:rPr>
            </w:pPr>
            <w:r w:rsidRPr="00212074">
              <w:rPr>
                <w:color w:val="000000"/>
                <w:szCs w:val="20"/>
              </w:rPr>
              <w:t>LT-68432</w:t>
            </w:r>
          </w:p>
        </w:tc>
        <w:tc>
          <w:tcPr>
            <w:tcW w:w="2952" w:type="pct"/>
          </w:tcPr>
          <w:p w14:paraId="37C88EAD" w14:textId="14A0BD68" w:rsidR="00212074" w:rsidRPr="00212074" w:rsidRDefault="00212074" w:rsidP="00103F62">
            <w:pPr>
              <w:rPr>
                <w:color w:val="000000"/>
                <w:szCs w:val="20"/>
              </w:rPr>
            </w:pPr>
            <w:r w:rsidRPr="00212074">
              <w:rPr>
                <w:color w:val="000000"/>
                <w:szCs w:val="20"/>
              </w:rPr>
              <w:t xml:space="preserve">23 Watt Interior Fixture (Dwelling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7F839505" w14:textId="7C481EBA" w:rsidR="00212074" w:rsidRPr="00212074" w:rsidRDefault="00212074" w:rsidP="00103F62">
            <w:pPr>
              <w:rPr>
                <w:color w:val="000000"/>
                <w:szCs w:val="20"/>
              </w:rPr>
            </w:pPr>
            <w:r w:rsidRPr="00212074">
              <w:rPr>
                <w:color w:val="000000"/>
                <w:szCs w:val="20"/>
              </w:rPr>
              <w:t>R-In-CFLfixt-23w(23w)-dWP58</w:t>
            </w:r>
          </w:p>
        </w:tc>
      </w:tr>
      <w:tr w:rsidR="00212074" w:rsidRPr="00212074" w14:paraId="32C92194" w14:textId="75F8EEE1" w:rsidTr="00103F62">
        <w:tc>
          <w:tcPr>
            <w:tcW w:w="619" w:type="pct"/>
          </w:tcPr>
          <w:p w14:paraId="07B0FBF1" w14:textId="4E4C2891" w:rsidR="00212074" w:rsidRPr="00212074" w:rsidRDefault="00212074" w:rsidP="00103F62">
            <w:pPr>
              <w:rPr>
                <w:color w:val="000000"/>
                <w:szCs w:val="20"/>
              </w:rPr>
            </w:pPr>
            <w:r w:rsidRPr="00212074">
              <w:rPr>
                <w:color w:val="000000"/>
                <w:szCs w:val="20"/>
              </w:rPr>
              <w:t>LT-80989</w:t>
            </w:r>
          </w:p>
        </w:tc>
        <w:tc>
          <w:tcPr>
            <w:tcW w:w="2952" w:type="pct"/>
          </w:tcPr>
          <w:p w14:paraId="2BBDFE14" w14:textId="072768B4" w:rsidR="00212074" w:rsidRPr="00212074" w:rsidRDefault="00212074" w:rsidP="00103F62">
            <w:pPr>
              <w:rPr>
                <w:color w:val="000000"/>
                <w:szCs w:val="20"/>
              </w:rPr>
            </w:pPr>
            <w:r w:rsidRPr="00212074">
              <w:rPr>
                <w:color w:val="000000"/>
                <w:szCs w:val="20"/>
              </w:rPr>
              <w:t xml:space="preserve">25 Watt Interior Fixture (Dwelling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69F11690" w14:textId="75CFC64B" w:rsidR="00212074" w:rsidRPr="00212074" w:rsidRDefault="00212074" w:rsidP="00103F62">
            <w:pPr>
              <w:rPr>
                <w:color w:val="000000"/>
                <w:szCs w:val="20"/>
              </w:rPr>
            </w:pPr>
            <w:r w:rsidRPr="00212074">
              <w:rPr>
                <w:color w:val="000000"/>
                <w:szCs w:val="20"/>
              </w:rPr>
              <w:t>R-In-CFLfixt-25w(25w)-dWP63</w:t>
            </w:r>
          </w:p>
        </w:tc>
      </w:tr>
      <w:tr w:rsidR="00212074" w:rsidRPr="00212074" w14:paraId="487F45D2" w14:textId="60FB70A5" w:rsidTr="00103F62">
        <w:tc>
          <w:tcPr>
            <w:tcW w:w="619" w:type="pct"/>
          </w:tcPr>
          <w:p w14:paraId="6919FC36" w14:textId="234C6D84" w:rsidR="00212074" w:rsidRPr="00212074" w:rsidRDefault="00212074" w:rsidP="00103F62">
            <w:pPr>
              <w:rPr>
                <w:color w:val="000000"/>
                <w:szCs w:val="20"/>
              </w:rPr>
            </w:pPr>
            <w:r w:rsidRPr="00212074">
              <w:rPr>
                <w:color w:val="000000"/>
                <w:szCs w:val="20"/>
              </w:rPr>
              <w:t>LT-97876</w:t>
            </w:r>
          </w:p>
        </w:tc>
        <w:tc>
          <w:tcPr>
            <w:tcW w:w="2952" w:type="pct"/>
          </w:tcPr>
          <w:p w14:paraId="24ED8E78" w14:textId="2CC398B2" w:rsidR="00212074" w:rsidRPr="00212074" w:rsidRDefault="00212074" w:rsidP="00103F62">
            <w:pPr>
              <w:rPr>
                <w:color w:val="000000"/>
                <w:szCs w:val="20"/>
              </w:rPr>
            </w:pPr>
            <w:r w:rsidRPr="00212074">
              <w:rPr>
                <w:color w:val="000000"/>
                <w:szCs w:val="20"/>
              </w:rPr>
              <w:t xml:space="preserve">26 Watt Interior Fixture (Dwelling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291D5E15" w14:textId="3EF72DD9" w:rsidR="00212074" w:rsidRPr="00212074" w:rsidRDefault="00212074" w:rsidP="00103F62">
            <w:pPr>
              <w:rPr>
                <w:color w:val="000000"/>
                <w:szCs w:val="20"/>
              </w:rPr>
            </w:pPr>
            <w:r w:rsidRPr="00212074">
              <w:rPr>
                <w:color w:val="000000"/>
                <w:szCs w:val="20"/>
              </w:rPr>
              <w:t>R-In-CFLfixt-26w(26w)-dWP65</w:t>
            </w:r>
          </w:p>
        </w:tc>
      </w:tr>
      <w:tr w:rsidR="00212074" w:rsidRPr="00212074" w14:paraId="1570C6FB" w14:textId="66AF13EF" w:rsidTr="00103F62">
        <w:tc>
          <w:tcPr>
            <w:tcW w:w="619" w:type="pct"/>
          </w:tcPr>
          <w:p w14:paraId="55A653EB" w14:textId="41C2CDCF" w:rsidR="00212074" w:rsidRPr="00212074" w:rsidRDefault="00212074" w:rsidP="00103F62">
            <w:pPr>
              <w:rPr>
                <w:color w:val="000000"/>
                <w:szCs w:val="20"/>
              </w:rPr>
            </w:pPr>
            <w:r w:rsidRPr="00212074">
              <w:rPr>
                <w:color w:val="000000"/>
                <w:szCs w:val="20"/>
              </w:rPr>
              <w:t>LT-39075</w:t>
            </w:r>
          </w:p>
        </w:tc>
        <w:tc>
          <w:tcPr>
            <w:tcW w:w="2952" w:type="pct"/>
          </w:tcPr>
          <w:p w14:paraId="68EE34E9" w14:textId="4B8068A8" w:rsidR="00212074" w:rsidRPr="00212074" w:rsidRDefault="00212074" w:rsidP="00103F62">
            <w:pPr>
              <w:rPr>
                <w:color w:val="000000"/>
                <w:szCs w:val="20"/>
              </w:rPr>
            </w:pPr>
            <w:r w:rsidRPr="00212074">
              <w:rPr>
                <w:color w:val="000000"/>
                <w:szCs w:val="20"/>
              </w:rPr>
              <w:t xml:space="preserve">27 Watt Interior Fixture (Dwelling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659C9C87" w14:textId="2BA6A863" w:rsidR="00212074" w:rsidRPr="00212074" w:rsidRDefault="00212074" w:rsidP="00103F62">
            <w:pPr>
              <w:rPr>
                <w:color w:val="000000"/>
                <w:szCs w:val="20"/>
              </w:rPr>
            </w:pPr>
            <w:r w:rsidRPr="00212074">
              <w:rPr>
                <w:color w:val="000000"/>
                <w:szCs w:val="20"/>
              </w:rPr>
              <w:t>R-In-CFLfixt-27w(27w)-dWP68</w:t>
            </w:r>
          </w:p>
        </w:tc>
      </w:tr>
      <w:tr w:rsidR="00212074" w:rsidRPr="00212074" w14:paraId="3188E88D" w14:textId="442DC5AD" w:rsidTr="00103F62">
        <w:tc>
          <w:tcPr>
            <w:tcW w:w="619" w:type="pct"/>
          </w:tcPr>
          <w:p w14:paraId="228E5A16" w14:textId="64BA59EA" w:rsidR="00212074" w:rsidRPr="00212074" w:rsidRDefault="00212074" w:rsidP="00103F62">
            <w:pPr>
              <w:rPr>
                <w:color w:val="000000"/>
                <w:szCs w:val="20"/>
              </w:rPr>
            </w:pPr>
            <w:r w:rsidRPr="00212074">
              <w:rPr>
                <w:color w:val="000000"/>
                <w:szCs w:val="20"/>
              </w:rPr>
              <w:lastRenderedPageBreak/>
              <w:t>LT-81657</w:t>
            </w:r>
          </w:p>
        </w:tc>
        <w:tc>
          <w:tcPr>
            <w:tcW w:w="2952" w:type="pct"/>
          </w:tcPr>
          <w:p w14:paraId="4A22BBBC" w14:textId="48232234" w:rsidR="00212074" w:rsidRPr="00212074" w:rsidRDefault="00212074" w:rsidP="00103F62">
            <w:pPr>
              <w:rPr>
                <w:color w:val="000000"/>
                <w:szCs w:val="20"/>
              </w:rPr>
            </w:pPr>
            <w:r w:rsidRPr="00212074">
              <w:rPr>
                <w:color w:val="000000"/>
                <w:szCs w:val="20"/>
              </w:rPr>
              <w:t xml:space="preserve">30 Watt Interior Fixture (Dwelling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2B056780" w14:textId="3396AD8A" w:rsidR="00212074" w:rsidRPr="00212074" w:rsidRDefault="00212074" w:rsidP="00103F62">
            <w:pPr>
              <w:rPr>
                <w:color w:val="000000"/>
                <w:szCs w:val="20"/>
              </w:rPr>
            </w:pPr>
            <w:r w:rsidRPr="00212074">
              <w:rPr>
                <w:color w:val="000000"/>
                <w:szCs w:val="20"/>
              </w:rPr>
              <w:t>R-In-CFLfixt-30w(30w)-dWP75</w:t>
            </w:r>
          </w:p>
        </w:tc>
      </w:tr>
      <w:tr w:rsidR="00212074" w:rsidRPr="00212074" w14:paraId="5321BB4B" w14:textId="09605153" w:rsidTr="00103F62">
        <w:tc>
          <w:tcPr>
            <w:tcW w:w="619" w:type="pct"/>
          </w:tcPr>
          <w:p w14:paraId="6C4E271C" w14:textId="2A840BED" w:rsidR="00212074" w:rsidRPr="00212074" w:rsidRDefault="00212074" w:rsidP="00103F62">
            <w:pPr>
              <w:rPr>
                <w:color w:val="000000"/>
                <w:szCs w:val="20"/>
              </w:rPr>
            </w:pPr>
            <w:r w:rsidRPr="00212074">
              <w:rPr>
                <w:color w:val="000000"/>
                <w:szCs w:val="20"/>
              </w:rPr>
              <w:t>LT-23209</w:t>
            </w:r>
          </w:p>
        </w:tc>
        <w:tc>
          <w:tcPr>
            <w:tcW w:w="2952" w:type="pct"/>
          </w:tcPr>
          <w:p w14:paraId="0D3F5EBA" w14:textId="72FDE59F" w:rsidR="00212074" w:rsidRPr="00212074" w:rsidRDefault="00212074" w:rsidP="00103F62">
            <w:pPr>
              <w:rPr>
                <w:color w:val="000000"/>
                <w:szCs w:val="20"/>
              </w:rPr>
            </w:pPr>
            <w:r w:rsidRPr="00212074">
              <w:rPr>
                <w:color w:val="000000"/>
                <w:szCs w:val="20"/>
              </w:rPr>
              <w:t xml:space="preserve">32 Watt Interior Fixture (Dwelling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4F1C9CFE" w14:textId="368C5D3A" w:rsidR="00212074" w:rsidRPr="00212074" w:rsidRDefault="00212074" w:rsidP="00103F62">
            <w:pPr>
              <w:rPr>
                <w:color w:val="000000"/>
                <w:szCs w:val="20"/>
              </w:rPr>
            </w:pPr>
            <w:r w:rsidRPr="00212074">
              <w:rPr>
                <w:color w:val="000000"/>
                <w:szCs w:val="20"/>
              </w:rPr>
              <w:t>R-In-CFLfixt-32w(32w)-dWP80</w:t>
            </w:r>
          </w:p>
        </w:tc>
      </w:tr>
      <w:tr w:rsidR="00212074" w:rsidRPr="00212074" w14:paraId="463C9EEB" w14:textId="17BF8CD3" w:rsidTr="00103F62">
        <w:tc>
          <w:tcPr>
            <w:tcW w:w="619" w:type="pct"/>
          </w:tcPr>
          <w:p w14:paraId="501B0F27" w14:textId="3AAFE821" w:rsidR="00212074" w:rsidRPr="00212074" w:rsidRDefault="00212074" w:rsidP="00103F62">
            <w:pPr>
              <w:rPr>
                <w:color w:val="000000"/>
                <w:szCs w:val="20"/>
              </w:rPr>
            </w:pPr>
            <w:r w:rsidRPr="00212074">
              <w:rPr>
                <w:color w:val="000000"/>
                <w:szCs w:val="20"/>
              </w:rPr>
              <w:t>LT-59876</w:t>
            </w:r>
          </w:p>
        </w:tc>
        <w:tc>
          <w:tcPr>
            <w:tcW w:w="2952" w:type="pct"/>
          </w:tcPr>
          <w:p w14:paraId="39211C04" w14:textId="0348E0C3" w:rsidR="00212074" w:rsidRPr="00212074" w:rsidRDefault="00212074" w:rsidP="00103F62">
            <w:pPr>
              <w:rPr>
                <w:color w:val="000000"/>
                <w:szCs w:val="20"/>
              </w:rPr>
            </w:pPr>
            <w:r w:rsidRPr="00212074">
              <w:rPr>
                <w:color w:val="000000"/>
                <w:szCs w:val="20"/>
              </w:rPr>
              <w:t xml:space="preserve">36 Watt Interior Fixture (Dwelling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2A8A383F" w14:textId="41E14898" w:rsidR="00212074" w:rsidRPr="00212074" w:rsidRDefault="00212074" w:rsidP="00103F62">
            <w:pPr>
              <w:rPr>
                <w:color w:val="000000"/>
                <w:szCs w:val="20"/>
              </w:rPr>
            </w:pPr>
            <w:r w:rsidRPr="00212074">
              <w:rPr>
                <w:color w:val="000000"/>
                <w:szCs w:val="20"/>
              </w:rPr>
              <w:t>R-In-CFLfixt-36w(36w)-dWP91</w:t>
            </w:r>
          </w:p>
        </w:tc>
      </w:tr>
      <w:tr w:rsidR="00212074" w:rsidRPr="00212074" w14:paraId="50225F0D" w14:textId="139C8834" w:rsidTr="00103F62">
        <w:tc>
          <w:tcPr>
            <w:tcW w:w="619" w:type="pct"/>
          </w:tcPr>
          <w:p w14:paraId="1EA97291" w14:textId="1F21DE14" w:rsidR="00212074" w:rsidRPr="00212074" w:rsidRDefault="00212074" w:rsidP="00103F62">
            <w:pPr>
              <w:rPr>
                <w:color w:val="000000"/>
                <w:szCs w:val="20"/>
              </w:rPr>
            </w:pPr>
            <w:r w:rsidRPr="00212074">
              <w:rPr>
                <w:color w:val="000000"/>
                <w:szCs w:val="20"/>
              </w:rPr>
              <w:t>LT-87943</w:t>
            </w:r>
          </w:p>
        </w:tc>
        <w:tc>
          <w:tcPr>
            <w:tcW w:w="2952" w:type="pct"/>
          </w:tcPr>
          <w:p w14:paraId="659CEC4E" w14:textId="311C51D2" w:rsidR="00212074" w:rsidRPr="00212074" w:rsidRDefault="00212074" w:rsidP="00103F62">
            <w:pPr>
              <w:rPr>
                <w:color w:val="000000"/>
                <w:szCs w:val="20"/>
              </w:rPr>
            </w:pPr>
            <w:r w:rsidRPr="00212074">
              <w:rPr>
                <w:color w:val="000000"/>
                <w:szCs w:val="20"/>
              </w:rPr>
              <w:t xml:space="preserve">39 Watt Interior Fixture (Dwelling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7721F905" w14:textId="7AAAD6D7" w:rsidR="00212074" w:rsidRPr="00212074" w:rsidRDefault="00212074" w:rsidP="00103F62">
            <w:pPr>
              <w:rPr>
                <w:color w:val="000000"/>
                <w:szCs w:val="20"/>
              </w:rPr>
            </w:pPr>
            <w:r w:rsidRPr="00212074">
              <w:rPr>
                <w:color w:val="000000"/>
                <w:szCs w:val="20"/>
              </w:rPr>
              <w:t>R-In-CFLfixt-39w(39w)-dWP98</w:t>
            </w:r>
          </w:p>
        </w:tc>
      </w:tr>
      <w:tr w:rsidR="00212074" w:rsidRPr="00212074" w14:paraId="67BAC5CC" w14:textId="6D5B359E" w:rsidTr="00103F62">
        <w:tc>
          <w:tcPr>
            <w:tcW w:w="619" w:type="pct"/>
          </w:tcPr>
          <w:p w14:paraId="51A55315" w14:textId="5A8F4E22" w:rsidR="00212074" w:rsidRPr="00212074" w:rsidRDefault="00212074" w:rsidP="00103F62">
            <w:pPr>
              <w:rPr>
                <w:color w:val="000000"/>
                <w:szCs w:val="20"/>
              </w:rPr>
            </w:pPr>
            <w:r w:rsidRPr="00212074">
              <w:rPr>
                <w:color w:val="000000"/>
                <w:szCs w:val="20"/>
              </w:rPr>
              <w:t>LT-49660</w:t>
            </w:r>
          </w:p>
        </w:tc>
        <w:tc>
          <w:tcPr>
            <w:tcW w:w="2952" w:type="pct"/>
          </w:tcPr>
          <w:p w14:paraId="4E7132E8" w14:textId="7307362D" w:rsidR="00212074" w:rsidRPr="00212074" w:rsidRDefault="00212074" w:rsidP="00103F62">
            <w:pPr>
              <w:rPr>
                <w:color w:val="000000"/>
                <w:szCs w:val="20"/>
              </w:rPr>
            </w:pPr>
            <w:r w:rsidRPr="00212074">
              <w:rPr>
                <w:color w:val="000000"/>
                <w:szCs w:val="20"/>
              </w:rPr>
              <w:t xml:space="preserve">40 Watt Interior Fixture (Dwelling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5F24D187" w14:textId="0700FE54" w:rsidR="00212074" w:rsidRPr="00212074" w:rsidRDefault="00212074" w:rsidP="00103F62">
            <w:pPr>
              <w:rPr>
                <w:color w:val="000000"/>
                <w:szCs w:val="20"/>
              </w:rPr>
            </w:pPr>
            <w:r w:rsidRPr="00212074">
              <w:rPr>
                <w:color w:val="000000"/>
                <w:szCs w:val="20"/>
              </w:rPr>
              <w:t>R-In-CFLfixt-40w(40w)-dWP101</w:t>
            </w:r>
          </w:p>
        </w:tc>
      </w:tr>
      <w:tr w:rsidR="00212074" w:rsidRPr="00212074" w14:paraId="487AA5EC" w14:textId="22870DDF" w:rsidTr="00103F62">
        <w:tc>
          <w:tcPr>
            <w:tcW w:w="619" w:type="pct"/>
          </w:tcPr>
          <w:p w14:paraId="034302F2" w14:textId="331B176C" w:rsidR="00212074" w:rsidRPr="00212074" w:rsidRDefault="00212074" w:rsidP="00103F62">
            <w:pPr>
              <w:rPr>
                <w:color w:val="000000"/>
                <w:szCs w:val="20"/>
              </w:rPr>
            </w:pPr>
            <w:r w:rsidRPr="00212074">
              <w:rPr>
                <w:color w:val="000000"/>
                <w:szCs w:val="20"/>
              </w:rPr>
              <w:t>LT-49593</w:t>
            </w:r>
          </w:p>
        </w:tc>
        <w:tc>
          <w:tcPr>
            <w:tcW w:w="2952" w:type="pct"/>
          </w:tcPr>
          <w:p w14:paraId="3CD4BD9B" w14:textId="4C5726FD" w:rsidR="00212074" w:rsidRPr="00212074" w:rsidRDefault="00212074" w:rsidP="00103F62">
            <w:pPr>
              <w:rPr>
                <w:color w:val="000000"/>
                <w:szCs w:val="20"/>
              </w:rPr>
            </w:pPr>
            <w:r w:rsidRPr="00212074">
              <w:rPr>
                <w:color w:val="000000"/>
                <w:szCs w:val="20"/>
              </w:rPr>
              <w:t xml:space="preserve">44 Watt Interior Fixture (Dwelling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322BF815" w14:textId="4C2998AF" w:rsidR="00212074" w:rsidRPr="00212074" w:rsidRDefault="00212074" w:rsidP="00103F62">
            <w:pPr>
              <w:rPr>
                <w:color w:val="000000"/>
                <w:szCs w:val="20"/>
              </w:rPr>
            </w:pPr>
            <w:r w:rsidRPr="00212074">
              <w:rPr>
                <w:color w:val="000000"/>
                <w:szCs w:val="20"/>
              </w:rPr>
              <w:t>R-In-CFLfixt-44w(44w)-dWP111</w:t>
            </w:r>
          </w:p>
        </w:tc>
      </w:tr>
      <w:tr w:rsidR="00212074" w:rsidRPr="00212074" w14:paraId="12B27AEC" w14:textId="5BD90FD3" w:rsidTr="00103F62">
        <w:tc>
          <w:tcPr>
            <w:tcW w:w="619" w:type="pct"/>
          </w:tcPr>
          <w:p w14:paraId="243C2B93" w14:textId="0CCA833C" w:rsidR="00212074" w:rsidRPr="00212074" w:rsidRDefault="00212074" w:rsidP="00103F62">
            <w:pPr>
              <w:rPr>
                <w:color w:val="000000"/>
                <w:szCs w:val="20"/>
              </w:rPr>
            </w:pPr>
            <w:r w:rsidRPr="00212074">
              <w:rPr>
                <w:color w:val="000000"/>
                <w:szCs w:val="20"/>
              </w:rPr>
              <w:t>LT-67654</w:t>
            </w:r>
          </w:p>
        </w:tc>
        <w:tc>
          <w:tcPr>
            <w:tcW w:w="2952" w:type="pct"/>
          </w:tcPr>
          <w:p w14:paraId="33605BE7" w14:textId="26100F8C" w:rsidR="00212074" w:rsidRPr="00212074" w:rsidRDefault="00212074" w:rsidP="00103F62">
            <w:pPr>
              <w:rPr>
                <w:color w:val="000000"/>
                <w:szCs w:val="20"/>
              </w:rPr>
            </w:pPr>
            <w:r w:rsidRPr="00212074">
              <w:rPr>
                <w:color w:val="000000"/>
                <w:szCs w:val="20"/>
              </w:rPr>
              <w:t xml:space="preserve">46 Watt Interior Fixture (Dwelling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3140F575" w14:textId="72D345F1" w:rsidR="00212074" w:rsidRPr="00212074" w:rsidRDefault="00212074" w:rsidP="00103F62">
            <w:pPr>
              <w:rPr>
                <w:color w:val="000000"/>
                <w:szCs w:val="20"/>
              </w:rPr>
            </w:pPr>
            <w:r w:rsidRPr="00212074">
              <w:rPr>
                <w:color w:val="000000"/>
                <w:szCs w:val="20"/>
              </w:rPr>
              <w:t>R-In-CFLfixt-46w(46w)-dWP116</w:t>
            </w:r>
          </w:p>
        </w:tc>
      </w:tr>
      <w:tr w:rsidR="00212074" w:rsidRPr="00212074" w14:paraId="4DBDED5A" w14:textId="2415613F" w:rsidTr="00103F62">
        <w:tc>
          <w:tcPr>
            <w:tcW w:w="619" w:type="pct"/>
          </w:tcPr>
          <w:p w14:paraId="64226694" w14:textId="7421C0AB" w:rsidR="00212074" w:rsidRPr="00212074" w:rsidRDefault="00212074" w:rsidP="00103F62">
            <w:pPr>
              <w:rPr>
                <w:color w:val="000000"/>
                <w:szCs w:val="20"/>
              </w:rPr>
            </w:pPr>
            <w:r w:rsidRPr="00212074">
              <w:rPr>
                <w:color w:val="000000"/>
                <w:szCs w:val="20"/>
              </w:rPr>
              <w:t>LT-85876</w:t>
            </w:r>
          </w:p>
        </w:tc>
        <w:tc>
          <w:tcPr>
            <w:tcW w:w="2952" w:type="pct"/>
          </w:tcPr>
          <w:p w14:paraId="16C63A79" w14:textId="662622E9" w:rsidR="00212074" w:rsidRPr="00212074" w:rsidRDefault="00212074" w:rsidP="00103F62">
            <w:pPr>
              <w:rPr>
                <w:color w:val="000000"/>
                <w:szCs w:val="20"/>
              </w:rPr>
            </w:pPr>
            <w:r w:rsidRPr="00212074">
              <w:rPr>
                <w:color w:val="000000"/>
                <w:szCs w:val="20"/>
              </w:rPr>
              <w:t xml:space="preserve">52 Watt Interior Fixture (Dwelling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63407C43" w14:textId="2E2F1C9F" w:rsidR="00212074" w:rsidRPr="00212074" w:rsidRDefault="00212074" w:rsidP="00103F62">
            <w:pPr>
              <w:rPr>
                <w:color w:val="000000"/>
                <w:szCs w:val="20"/>
              </w:rPr>
            </w:pPr>
            <w:r w:rsidRPr="00212074">
              <w:rPr>
                <w:color w:val="000000"/>
                <w:szCs w:val="20"/>
              </w:rPr>
              <w:t>R-In-CFLfixt-52w(52w)-dWP131</w:t>
            </w:r>
          </w:p>
        </w:tc>
      </w:tr>
      <w:tr w:rsidR="00212074" w:rsidRPr="00212074" w14:paraId="30BB38CA" w14:textId="3BEBF008" w:rsidTr="00103F62">
        <w:tc>
          <w:tcPr>
            <w:tcW w:w="619" w:type="pct"/>
          </w:tcPr>
          <w:p w14:paraId="0A4774C8" w14:textId="0CC5260A" w:rsidR="00212074" w:rsidRPr="00212074" w:rsidRDefault="00212074" w:rsidP="00103F62">
            <w:pPr>
              <w:rPr>
                <w:color w:val="000000"/>
                <w:szCs w:val="20"/>
              </w:rPr>
            </w:pPr>
            <w:r w:rsidRPr="00212074">
              <w:rPr>
                <w:color w:val="000000"/>
                <w:szCs w:val="20"/>
              </w:rPr>
              <w:t>LT-19143</w:t>
            </w:r>
          </w:p>
        </w:tc>
        <w:tc>
          <w:tcPr>
            <w:tcW w:w="2952" w:type="pct"/>
          </w:tcPr>
          <w:p w14:paraId="7257E363" w14:textId="4EA469CD" w:rsidR="00212074" w:rsidRPr="00212074" w:rsidRDefault="00212074" w:rsidP="00103F62">
            <w:pPr>
              <w:rPr>
                <w:color w:val="000000"/>
                <w:szCs w:val="20"/>
              </w:rPr>
            </w:pPr>
            <w:r w:rsidRPr="00212074">
              <w:rPr>
                <w:color w:val="000000"/>
                <w:szCs w:val="20"/>
              </w:rPr>
              <w:t xml:space="preserve">54 Watt Interior Fixture (Dwelling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656426A4" w14:textId="6069D328" w:rsidR="00212074" w:rsidRPr="00212074" w:rsidRDefault="00212074" w:rsidP="00103F62">
            <w:pPr>
              <w:rPr>
                <w:color w:val="000000"/>
                <w:szCs w:val="20"/>
              </w:rPr>
            </w:pPr>
            <w:r w:rsidRPr="00212074">
              <w:rPr>
                <w:color w:val="000000"/>
                <w:szCs w:val="20"/>
              </w:rPr>
              <w:t>R-In-CFLfixt-54w(54w)-dWP136</w:t>
            </w:r>
          </w:p>
        </w:tc>
      </w:tr>
      <w:tr w:rsidR="00212074" w:rsidRPr="00212074" w14:paraId="29C1882E" w14:textId="4E2B4336" w:rsidTr="00103F62">
        <w:tc>
          <w:tcPr>
            <w:tcW w:w="619" w:type="pct"/>
          </w:tcPr>
          <w:p w14:paraId="197E5F8C" w14:textId="7C22589F" w:rsidR="00212074" w:rsidRPr="00212074" w:rsidRDefault="00212074" w:rsidP="00103F62">
            <w:pPr>
              <w:rPr>
                <w:color w:val="000000"/>
                <w:szCs w:val="20"/>
              </w:rPr>
            </w:pPr>
            <w:r w:rsidRPr="00212074">
              <w:rPr>
                <w:color w:val="000000"/>
                <w:szCs w:val="20"/>
              </w:rPr>
              <w:t>LT-34841</w:t>
            </w:r>
          </w:p>
        </w:tc>
        <w:tc>
          <w:tcPr>
            <w:tcW w:w="2952" w:type="pct"/>
          </w:tcPr>
          <w:p w14:paraId="20244040" w14:textId="691D4AC4" w:rsidR="00212074" w:rsidRPr="00212074" w:rsidRDefault="00212074" w:rsidP="00103F62">
            <w:pPr>
              <w:rPr>
                <w:color w:val="000000"/>
                <w:szCs w:val="20"/>
              </w:rPr>
            </w:pPr>
            <w:r w:rsidRPr="00212074">
              <w:rPr>
                <w:color w:val="000000"/>
                <w:szCs w:val="20"/>
              </w:rPr>
              <w:t xml:space="preserve">55 Watt Interior Fixture (Dwelling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6CBE3C17" w14:textId="56D685BD" w:rsidR="00212074" w:rsidRPr="00212074" w:rsidRDefault="00212074" w:rsidP="00103F62">
            <w:pPr>
              <w:rPr>
                <w:color w:val="000000"/>
                <w:szCs w:val="20"/>
              </w:rPr>
            </w:pPr>
            <w:r w:rsidRPr="00212074">
              <w:rPr>
                <w:color w:val="000000"/>
                <w:szCs w:val="20"/>
              </w:rPr>
              <w:t>R-In-CFLfixt-55w(55w)-dWP139</w:t>
            </w:r>
          </w:p>
        </w:tc>
      </w:tr>
      <w:tr w:rsidR="00212074" w:rsidRPr="00212074" w14:paraId="7A819A56" w14:textId="59143783" w:rsidTr="00103F62">
        <w:tc>
          <w:tcPr>
            <w:tcW w:w="619" w:type="pct"/>
          </w:tcPr>
          <w:p w14:paraId="009217A5" w14:textId="6669A749" w:rsidR="00212074" w:rsidRPr="00212074" w:rsidRDefault="00212074" w:rsidP="00103F62">
            <w:pPr>
              <w:rPr>
                <w:color w:val="000000"/>
                <w:szCs w:val="20"/>
              </w:rPr>
            </w:pPr>
            <w:r w:rsidRPr="00212074">
              <w:rPr>
                <w:color w:val="000000"/>
                <w:szCs w:val="20"/>
              </w:rPr>
              <w:t>LT-38978</w:t>
            </w:r>
          </w:p>
        </w:tc>
        <w:tc>
          <w:tcPr>
            <w:tcW w:w="2952" w:type="pct"/>
          </w:tcPr>
          <w:p w14:paraId="7FA1BAA0" w14:textId="205BCE8B" w:rsidR="00212074" w:rsidRPr="00212074" w:rsidRDefault="00212074" w:rsidP="00103F62">
            <w:pPr>
              <w:rPr>
                <w:color w:val="000000"/>
                <w:szCs w:val="20"/>
              </w:rPr>
            </w:pPr>
            <w:r w:rsidRPr="00212074">
              <w:rPr>
                <w:color w:val="000000"/>
                <w:szCs w:val="20"/>
              </w:rPr>
              <w:t xml:space="preserve">64 Watt Interior Fixture (Dwelling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77A291D9" w14:textId="7ED58630" w:rsidR="00212074" w:rsidRPr="00212074" w:rsidRDefault="00212074" w:rsidP="00103F62">
            <w:pPr>
              <w:rPr>
                <w:color w:val="000000"/>
                <w:szCs w:val="20"/>
              </w:rPr>
            </w:pPr>
            <w:r w:rsidRPr="00212074">
              <w:rPr>
                <w:color w:val="000000"/>
                <w:szCs w:val="20"/>
              </w:rPr>
              <w:t>R-In-CFLfixt-64w(64w)-dWP161</w:t>
            </w:r>
          </w:p>
        </w:tc>
      </w:tr>
      <w:tr w:rsidR="00212074" w:rsidRPr="00212074" w14:paraId="48AFC231" w14:textId="32C23C4D" w:rsidTr="00103F62">
        <w:tc>
          <w:tcPr>
            <w:tcW w:w="619" w:type="pct"/>
          </w:tcPr>
          <w:p w14:paraId="590AD78B" w14:textId="7D253A27" w:rsidR="00212074" w:rsidRPr="00212074" w:rsidRDefault="00212074" w:rsidP="00103F62">
            <w:pPr>
              <w:rPr>
                <w:color w:val="000000"/>
                <w:szCs w:val="20"/>
              </w:rPr>
            </w:pPr>
            <w:r w:rsidRPr="00212074">
              <w:rPr>
                <w:color w:val="000000"/>
                <w:szCs w:val="20"/>
              </w:rPr>
              <w:t>LT-56473</w:t>
            </w:r>
          </w:p>
        </w:tc>
        <w:tc>
          <w:tcPr>
            <w:tcW w:w="2952" w:type="pct"/>
          </w:tcPr>
          <w:p w14:paraId="0FFBC48B" w14:textId="53B152D1" w:rsidR="00212074" w:rsidRPr="00212074" w:rsidRDefault="00212074" w:rsidP="00103F62">
            <w:pPr>
              <w:rPr>
                <w:color w:val="000000"/>
                <w:szCs w:val="20"/>
              </w:rPr>
            </w:pPr>
            <w:r w:rsidRPr="00212074">
              <w:rPr>
                <w:color w:val="000000"/>
                <w:szCs w:val="20"/>
              </w:rPr>
              <w:t xml:space="preserve">69 Watt Interior Fixture (Dwelling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60902339" w14:textId="6089DA2B" w:rsidR="00212074" w:rsidRPr="00212074" w:rsidRDefault="00212074" w:rsidP="00103F62">
            <w:pPr>
              <w:rPr>
                <w:color w:val="000000"/>
                <w:szCs w:val="20"/>
              </w:rPr>
            </w:pPr>
            <w:r w:rsidRPr="00212074">
              <w:rPr>
                <w:color w:val="000000"/>
                <w:szCs w:val="20"/>
              </w:rPr>
              <w:t>R-In-CFLfixt-69w(69w)-dWP174</w:t>
            </w:r>
          </w:p>
        </w:tc>
      </w:tr>
      <w:tr w:rsidR="00212074" w:rsidRPr="00212074" w14:paraId="386F704B" w14:textId="14A425F7" w:rsidTr="00103F62">
        <w:tc>
          <w:tcPr>
            <w:tcW w:w="619" w:type="pct"/>
          </w:tcPr>
          <w:p w14:paraId="19B9A666" w14:textId="3D7DF962" w:rsidR="00212074" w:rsidRPr="00212074" w:rsidRDefault="00212074" w:rsidP="00103F62">
            <w:pPr>
              <w:rPr>
                <w:color w:val="000000"/>
                <w:szCs w:val="20"/>
              </w:rPr>
            </w:pPr>
            <w:r w:rsidRPr="00212074">
              <w:rPr>
                <w:color w:val="000000"/>
                <w:szCs w:val="20"/>
              </w:rPr>
              <w:t>LT-78567</w:t>
            </w:r>
          </w:p>
        </w:tc>
        <w:tc>
          <w:tcPr>
            <w:tcW w:w="2952" w:type="pct"/>
          </w:tcPr>
          <w:p w14:paraId="02314D4F" w14:textId="55303F53" w:rsidR="00212074" w:rsidRPr="00212074" w:rsidRDefault="00212074" w:rsidP="00103F62">
            <w:pPr>
              <w:rPr>
                <w:color w:val="000000"/>
                <w:szCs w:val="20"/>
              </w:rPr>
            </w:pPr>
            <w:r w:rsidRPr="00212074">
              <w:rPr>
                <w:color w:val="000000"/>
                <w:szCs w:val="20"/>
              </w:rPr>
              <w:t xml:space="preserve">72 Watt Interior Fixture (Dwelling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7851298D" w14:textId="238391D8" w:rsidR="00212074" w:rsidRPr="00212074" w:rsidRDefault="00212074" w:rsidP="00103F62">
            <w:pPr>
              <w:rPr>
                <w:color w:val="000000"/>
                <w:szCs w:val="20"/>
              </w:rPr>
            </w:pPr>
            <w:r w:rsidRPr="00212074">
              <w:rPr>
                <w:color w:val="000000"/>
                <w:szCs w:val="20"/>
              </w:rPr>
              <w:t>R-In-CFLfixt-72w(72w)-dWP182</w:t>
            </w:r>
          </w:p>
        </w:tc>
      </w:tr>
      <w:tr w:rsidR="00212074" w:rsidRPr="00212074" w14:paraId="0D4078AF" w14:textId="5CB40899" w:rsidTr="00103F62">
        <w:tc>
          <w:tcPr>
            <w:tcW w:w="619" w:type="pct"/>
          </w:tcPr>
          <w:p w14:paraId="2633C79D" w14:textId="1C17D0DE" w:rsidR="00212074" w:rsidRPr="00212074" w:rsidRDefault="00212074" w:rsidP="00103F62">
            <w:pPr>
              <w:rPr>
                <w:color w:val="000000"/>
                <w:szCs w:val="20"/>
              </w:rPr>
            </w:pPr>
            <w:r w:rsidRPr="00212074">
              <w:rPr>
                <w:color w:val="000000"/>
                <w:szCs w:val="20"/>
              </w:rPr>
              <w:t>LT-90776</w:t>
            </w:r>
          </w:p>
        </w:tc>
        <w:tc>
          <w:tcPr>
            <w:tcW w:w="2952" w:type="pct"/>
          </w:tcPr>
          <w:p w14:paraId="2B7D9EC3" w14:textId="37889357" w:rsidR="00212074" w:rsidRPr="00212074" w:rsidRDefault="00212074" w:rsidP="00103F62">
            <w:pPr>
              <w:rPr>
                <w:color w:val="000000"/>
                <w:szCs w:val="20"/>
              </w:rPr>
            </w:pPr>
            <w:r w:rsidRPr="00212074">
              <w:rPr>
                <w:color w:val="000000"/>
                <w:szCs w:val="20"/>
              </w:rPr>
              <w:t xml:space="preserve">92 Watt Interior Fixture (Dwelling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01BAB186" w14:textId="097EC65E" w:rsidR="00212074" w:rsidRPr="00212074" w:rsidRDefault="00212074" w:rsidP="00103F62">
            <w:pPr>
              <w:rPr>
                <w:color w:val="000000"/>
                <w:szCs w:val="20"/>
              </w:rPr>
            </w:pPr>
            <w:r w:rsidRPr="00212074">
              <w:rPr>
                <w:color w:val="000000"/>
                <w:szCs w:val="20"/>
              </w:rPr>
              <w:t>R-In-CFLfixt-92w(92w)-dWP232</w:t>
            </w:r>
          </w:p>
        </w:tc>
      </w:tr>
      <w:tr w:rsidR="00212074" w:rsidRPr="00212074" w14:paraId="16218714" w14:textId="72391048" w:rsidTr="00103F62">
        <w:tc>
          <w:tcPr>
            <w:tcW w:w="619" w:type="pct"/>
          </w:tcPr>
          <w:p w14:paraId="7D627CE1" w14:textId="25A26E14" w:rsidR="00212074" w:rsidRPr="00212074" w:rsidRDefault="00212074" w:rsidP="00103F62">
            <w:pPr>
              <w:rPr>
                <w:color w:val="000000"/>
                <w:szCs w:val="20"/>
              </w:rPr>
            </w:pPr>
            <w:r w:rsidRPr="00212074">
              <w:rPr>
                <w:color w:val="000000"/>
                <w:szCs w:val="20"/>
              </w:rPr>
              <w:t>LT-39256</w:t>
            </w:r>
          </w:p>
        </w:tc>
        <w:tc>
          <w:tcPr>
            <w:tcW w:w="2952" w:type="pct"/>
          </w:tcPr>
          <w:p w14:paraId="465DC37E" w14:textId="68023D30" w:rsidR="00212074" w:rsidRPr="00212074" w:rsidRDefault="00212074" w:rsidP="00103F62">
            <w:pPr>
              <w:rPr>
                <w:color w:val="000000"/>
                <w:szCs w:val="20"/>
              </w:rPr>
            </w:pPr>
            <w:r w:rsidRPr="00212074">
              <w:rPr>
                <w:color w:val="000000"/>
                <w:szCs w:val="20"/>
              </w:rPr>
              <w:t xml:space="preserve">16 Watt Interior Fixture (Common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1232999D" w14:textId="5F8CAEC8" w:rsidR="00212074" w:rsidRPr="00212074" w:rsidRDefault="00212074" w:rsidP="00103F62">
            <w:pPr>
              <w:rPr>
                <w:color w:val="000000"/>
                <w:szCs w:val="20"/>
              </w:rPr>
            </w:pPr>
            <w:r w:rsidRPr="00212074">
              <w:rPr>
                <w:color w:val="000000"/>
                <w:szCs w:val="20"/>
              </w:rPr>
              <w:t>R-InCmn-CFLfixt-16w(16w)-dWP40</w:t>
            </w:r>
          </w:p>
        </w:tc>
      </w:tr>
      <w:tr w:rsidR="00212074" w:rsidRPr="00212074" w14:paraId="36DE8171" w14:textId="3A3BE564" w:rsidTr="00103F62">
        <w:tc>
          <w:tcPr>
            <w:tcW w:w="619" w:type="pct"/>
          </w:tcPr>
          <w:p w14:paraId="1F47B6A0" w14:textId="4EB6AACE" w:rsidR="00212074" w:rsidRPr="00212074" w:rsidRDefault="00212074" w:rsidP="00103F62">
            <w:pPr>
              <w:rPr>
                <w:color w:val="000000"/>
                <w:szCs w:val="20"/>
              </w:rPr>
            </w:pPr>
            <w:r w:rsidRPr="00212074">
              <w:rPr>
                <w:color w:val="000000"/>
                <w:szCs w:val="20"/>
              </w:rPr>
              <w:t>LT-93432</w:t>
            </w:r>
          </w:p>
        </w:tc>
        <w:tc>
          <w:tcPr>
            <w:tcW w:w="2952" w:type="pct"/>
          </w:tcPr>
          <w:p w14:paraId="1D35DFFC" w14:textId="3F67927B" w:rsidR="00212074" w:rsidRPr="00212074" w:rsidRDefault="00212074" w:rsidP="00103F62">
            <w:pPr>
              <w:rPr>
                <w:color w:val="000000"/>
                <w:szCs w:val="20"/>
              </w:rPr>
            </w:pPr>
            <w:r w:rsidRPr="00212074">
              <w:rPr>
                <w:color w:val="000000"/>
                <w:szCs w:val="20"/>
              </w:rPr>
              <w:t xml:space="preserve">22 Watt Interior Fixture (Common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26DC0080" w14:textId="331A160F" w:rsidR="00212074" w:rsidRPr="00212074" w:rsidRDefault="00212074" w:rsidP="00103F62">
            <w:pPr>
              <w:rPr>
                <w:color w:val="000000"/>
                <w:szCs w:val="20"/>
              </w:rPr>
            </w:pPr>
            <w:r w:rsidRPr="00212074">
              <w:rPr>
                <w:color w:val="000000"/>
                <w:szCs w:val="20"/>
              </w:rPr>
              <w:t>R-InCmn-CFLfixt-22w(22w)-dWP55</w:t>
            </w:r>
          </w:p>
        </w:tc>
      </w:tr>
      <w:tr w:rsidR="00212074" w:rsidRPr="00212074" w14:paraId="594F51CA" w14:textId="610BF9CD" w:rsidTr="00103F62">
        <w:tc>
          <w:tcPr>
            <w:tcW w:w="619" w:type="pct"/>
          </w:tcPr>
          <w:p w14:paraId="11189D0D" w14:textId="78C713AD" w:rsidR="00212074" w:rsidRPr="00212074" w:rsidRDefault="00212074" w:rsidP="00103F62">
            <w:pPr>
              <w:rPr>
                <w:color w:val="000000"/>
                <w:szCs w:val="20"/>
              </w:rPr>
            </w:pPr>
            <w:r w:rsidRPr="00212074">
              <w:rPr>
                <w:color w:val="000000"/>
                <w:szCs w:val="20"/>
              </w:rPr>
              <w:t>LT-50765</w:t>
            </w:r>
          </w:p>
        </w:tc>
        <w:tc>
          <w:tcPr>
            <w:tcW w:w="2952" w:type="pct"/>
          </w:tcPr>
          <w:p w14:paraId="784DBCC2" w14:textId="485DA3F0" w:rsidR="00212074" w:rsidRPr="00212074" w:rsidRDefault="00212074" w:rsidP="00103F62">
            <w:pPr>
              <w:rPr>
                <w:color w:val="000000"/>
                <w:szCs w:val="20"/>
              </w:rPr>
            </w:pPr>
            <w:r w:rsidRPr="00212074">
              <w:rPr>
                <w:color w:val="000000"/>
                <w:szCs w:val="20"/>
              </w:rPr>
              <w:t xml:space="preserve">23 Watt Interior Fixture (Common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237B1C5E" w14:textId="0ACD0A67" w:rsidR="00212074" w:rsidRPr="00212074" w:rsidRDefault="00212074" w:rsidP="00103F62">
            <w:pPr>
              <w:rPr>
                <w:color w:val="000000"/>
                <w:szCs w:val="20"/>
              </w:rPr>
            </w:pPr>
            <w:r w:rsidRPr="00212074">
              <w:rPr>
                <w:color w:val="000000"/>
                <w:szCs w:val="20"/>
              </w:rPr>
              <w:t>R-InCmn-CFLfixt-23w(23w)-dWP58</w:t>
            </w:r>
          </w:p>
        </w:tc>
      </w:tr>
      <w:tr w:rsidR="00212074" w:rsidRPr="00212074" w14:paraId="7F1C8C03" w14:textId="44FC1565" w:rsidTr="00103F62">
        <w:tc>
          <w:tcPr>
            <w:tcW w:w="619" w:type="pct"/>
          </w:tcPr>
          <w:p w14:paraId="5301A133" w14:textId="39E6A632" w:rsidR="00212074" w:rsidRPr="00212074" w:rsidRDefault="00212074" w:rsidP="00103F62">
            <w:pPr>
              <w:rPr>
                <w:color w:val="000000"/>
                <w:szCs w:val="20"/>
              </w:rPr>
            </w:pPr>
            <w:r w:rsidRPr="00212074">
              <w:rPr>
                <w:color w:val="000000"/>
                <w:szCs w:val="20"/>
              </w:rPr>
              <w:t>LT-40994</w:t>
            </w:r>
          </w:p>
        </w:tc>
        <w:tc>
          <w:tcPr>
            <w:tcW w:w="2952" w:type="pct"/>
          </w:tcPr>
          <w:p w14:paraId="0092142C" w14:textId="48CE9BAF" w:rsidR="00212074" w:rsidRPr="00212074" w:rsidRDefault="00212074" w:rsidP="00103F62">
            <w:pPr>
              <w:rPr>
                <w:color w:val="000000"/>
                <w:szCs w:val="20"/>
              </w:rPr>
            </w:pPr>
            <w:r w:rsidRPr="00212074">
              <w:rPr>
                <w:color w:val="000000"/>
                <w:szCs w:val="20"/>
              </w:rPr>
              <w:t xml:space="preserve">25 Watt Interior Fixture (Common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15CD95F7" w14:textId="7714D9CC" w:rsidR="00212074" w:rsidRPr="00212074" w:rsidRDefault="00212074" w:rsidP="00103F62">
            <w:pPr>
              <w:rPr>
                <w:color w:val="000000"/>
                <w:szCs w:val="20"/>
              </w:rPr>
            </w:pPr>
            <w:r w:rsidRPr="00212074">
              <w:rPr>
                <w:color w:val="000000"/>
                <w:szCs w:val="20"/>
              </w:rPr>
              <w:t>R-InCmn-CFLfixt-25w(25w)-dWP63</w:t>
            </w:r>
          </w:p>
        </w:tc>
      </w:tr>
      <w:tr w:rsidR="00212074" w:rsidRPr="00212074" w14:paraId="52167BA9" w14:textId="0AFEE925" w:rsidTr="00103F62">
        <w:tc>
          <w:tcPr>
            <w:tcW w:w="619" w:type="pct"/>
          </w:tcPr>
          <w:p w14:paraId="0534397E" w14:textId="1015DB4E" w:rsidR="00212074" w:rsidRPr="00212074" w:rsidRDefault="00212074" w:rsidP="00103F62">
            <w:pPr>
              <w:rPr>
                <w:color w:val="000000"/>
                <w:szCs w:val="20"/>
              </w:rPr>
            </w:pPr>
            <w:r w:rsidRPr="00212074">
              <w:rPr>
                <w:color w:val="000000"/>
                <w:szCs w:val="20"/>
              </w:rPr>
              <w:t>LT-89854</w:t>
            </w:r>
          </w:p>
        </w:tc>
        <w:tc>
          <w:tcPr>
            <w:tcW w:w="2952" w:type="pct"/>
          </w:tcPr>
          <w:p w14:paraId="3F8E5317" w14:textId="1BBEDA15" w:rsidR="00212074" w:rsidRPr="00212074" w:rsidRDefault="00212074" w:rsidP="00103F62">
            <w:pPr>
              <w:rPr>
                <w:color w:val="000000"/>
                <w:szCs w:val="20"/>
              </w:rPr>
            </w:pPr>
            <w:r w:rsidRPr="00212074">
              <w:rPr>
                <w:color w:val="000000"/>
                <w:szCs w:val="20"/>
              </w:rPr>
              <w:t xml:space="preserve">26 Watt Interior Fixture (Common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7042DDB2" w14:textId="75F452C7" w:rsidR="00212074" w:rsidRPr="00212074" w:rsidRDefault="00212074" w:rsidP="00103F62">
            <w:pPr>
              <w:rPr>
                <w:color w:val="000000"/>
                <w:szCs w:val="20"/>
              </w:rPr>
            </w:pPr>
            <w:r w:rsidRPr="00212074">
              <w:rPr>
                <w:color w:val="000000"/>
                <w:szCs w:val="20"/>
              </w:rPr>
              <w:t>R-InCmn-CFLfixt-26w(26w)-dWP65</w:t>
            </w:r>
          </w:p>
        </w:tc>
      </w:tr>
      <w:tr w:rsidR="00212074" w:rsidRPr="00212074" w14:paraId="3981F27D" w14:textId="503FEAC7" w:rsidTr="00103F62">
        <w:tc>
          <w:tcPr>
            <w:tcW w:w="619" w:type="pct"/>
          </w:tcPr>
          <w:p w14:paraId="4392E839" w14:textId="3AFC4273" w:rsidR="00212074" w:rsidRPr="00212074" w:rsidRDefault="00212074" w:rsidP="00103F62">
            <w:pPr>
              <w:rPr>
                <w:color w:val="000000"/>
                <w:szCs w:val="20"/>
              </w:rPr>
            </w:pPr>
            <w:r w:rsidRPr="00212074">
              <w:rPr>
                <w:color w:val="000000"/>
                <w:szCs w:val="20"/>
              </w:rPr>
              <w:t>LT-24867</w:t>
            </w:r>
          </w:p>
        </w:tc>
        <w:tc>
          <w:tcPr>
            <w:tcW w:w="2952" w:type="pct"/>
          </w:tcPr>
          <w:p w14:paraId="75E3A6C6" w14:textId="1F162505" w:rsidR="00212074" w:rsidRPr="00212074" w:rsidRDefault="00212074" w:rsidP="00103F62">
            <w:pPr>
              <w:rPr>
                <w:color w:val="000000"/>
                <w:szCs w:val="20"/>
              </w:rPr>
            </w:pPr>
            <w:r w:rsidRPr="00212074">
              <w:rPr>
                <w:color w:val="000000"/>
                <w:szCs w:val="20"/>
              </w:rPr>
              <w:t xml:space="preserve">27 Watt Interior Fixture (Common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3F1EAA89" w14:textId="39189D3F" w:rsidR="00212074" w:rsidRPr="00212074" w:rsidRDefault="00212074" w:rsidP="00103F62">
            <w:pPr>
              <w:rPr>
                <w:color w:val="000000"/>
                <w:szCs w:val="20"/>
              </w:rPr>
            </w:pPr>
            <w:r w:rsidRPr="00212074">
              <w:rPr>
                <w:color w:val="000000"/>
                <w:szCs w:val="20"/>
              </w:rPr>
              <w:t>R-InCmn-CFLfixt-27w(27w)-dWP68</w:t>
            </w:r>
          </w:p>
        </w:tc>
      </w:tr>
      <w:tr w:rsidR="00212074" w:rsidRPr="00212074" w14:paraId="61062379" w14:textId="1681263C" w:rsidTr="00103F62">
        <w:tc>
          <w:tcPr>
            <w:tcW w:w="619" w:type="pct"/>
          </w:tcPr>
          <w:p w14:paraId="4940894A" w14:textId="370E112A" w:rsidR="00212074" w:rsidRPr="00212074" w:rsidRDefault="00212074" w:rsidP="00103F62">
            <w:pPr>
              <w:rPr>
                <w:color w:val="000000"/>
                <w:szCs w:val="20"/>
              </w:rPr>
            </w:pPr>
            <w:r w:rsidRPr="00212074">
              <w:rPr>
                <w:color w:val="000000"/>
                <w:szCs w:val="20"/>
              </w:rPr>
              <w:t>LT-73649</w:t>
            </w:r>
          </w:p>
        </w:tc>
        <w:tc>
          <w:tcPr>
            <w:tcW w:w="2952" w:type="pct"/>
          </w:tcPr>
          <w:p w14:paraId="4BDFBA97" w14:textId="4B33DDBF" w:rsidR="00212074" w:rsidRPr="00212074" w:rsidRDefault="00212074" w:rsidP="00103F62">
            <w:pPr>
              <w:rPr>
                <w:color w:val="000000"/>
                <w:szCs w:val="20"/>
              </w:rPr>
            </w:pPr>
            <w:r w:rsidRPr="00212074">
              <w:rPr>
                <w:color w:val="000000"/>
                <w:szCs w:val="20"/>
              </w:rPr>
              <w:t xml:space="preserve">30 Watt Interior Fixture (Common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73A484D1" w14:textId="00554498" w:rsidR="00212074" w:rsidRPr="00212074" w:rsidRDefault="00212074" w:rsidP="00103F62">
            <w:pPr>
              <w:rPr>
                <w:color w:val="000000"/>
                <w:szCs w:val="20"/>
              </w:rPr>
            </w:pPr>
            <w:r w:rsidRPr="00212074">
              <w:rPr>
                <w:color w:val="000000"/>
                <w:szCs w:val="20"/>
              </w:rPr>
              <w:t>R-InCmn-CFLfixt-30w(30w)-dWP75</w:t>
            </w:r>
          </w:p>
        </w:tc>
      </w:tr>
      <w:tr w:rsidR="00212074" w:rsidRPr="00212074" w14:paraId="2E8BC8B8" w14:textId="09882889" w:rsidTr="00103F62">
        <w:tc>
          <w:tcPr>
            <w:tcW w:w="619" w:type="pct"/>
          </w:tcPr>
          <w:p w14:paraId="438BB305" w14:textId="157A0AFB" w:rsidR="00212074" w:rsidRPr="00212074" w:rsidRDefault="00212074" w:rsidP="00103F62">
            <w:pPr>
              <w:rPr>
                <w:color w:val="000000"/>
                <w:szCs w:val="20"/>
              </w:rPr>
            </w:pPr>
            <w:r w:rsidRPr="00212074">
              <w:rPr>
                <w:color w:val="000000"/>
                <w:szCs w:val="20"/>
              </w:rPr>
              <w:t>LT-59687</w:t>
            </w:r>
          </w:p>
        </w:tc>
        <w:tc>
          <w:tcPr>
            <w:tcW w:w="2952" w:type="pct"/>
          </w:tcPr>
          <w:p w14:paraId="615FAD64" w14:textId="5837D12D" w:rsidR="00212074" w:rsidRPr="00212074" w:rsidRDefault="00212074" w:rsidP="00103F62">
            <w:pPr>
              <w:rPr>
                <w:color w:val="000000"/>
                <w:szCs w:val="20"/>
              </w:rPr>
            </w:pPr>
            <w:r w:rsidRPr="00212074">
              <w:rPr>
                <w:color w:val="000000"/>
                <w:szCs w:val="20"/>
              </w:rPr>
              <w:t xml:space="preserve">32 Watt Interior Fixture (Common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4787C4BE" w14:textId="6235325D" w:rsidR="00212074" w:rsidRPr="00212074" w:rsidRDefault="00212074" w:rsidP="00103F62">
            <w:pPr>
              <w:rPr>
                <w:color w:val="000000"/>
                <w:szCs w:val="20"/>
              </w:rPr>
            </w:pPr>
            <w:r w:rsidRPr="00212074">
              <w:rPr>
                <w:color w:val="000000"/>
                <w:szCs w:val="20"/>
              </w:rPr>
              <w:t>R-InCmn-CFLfixt-32w(32w)-dWP80</w:t>
            </w:r>
          </w:p>
        </w:tc>
      </w:tr>
      <w:tr w:rsidR="00212074" w:rsidRPr="00212074" w14:paraId="28D91496" w14:textId="3E9396F9" w:rsidTr="00103F62">
        <w:tc>
          <w:tcPr>
            <w:tcW w:w="619" w:type="pct"/>
          </w:tcPr>
          <w:p w14:paraId="43A00A31" w14:textId="5FD496D3" w:rsidR="00212074" w:rsidRPr="00212074" w:rsidRDefault="00212074" w:rsidP="00103F62">
            <w:pPr>
              <w:rPr>
                <w:color w:val="000000"/>
                <w:szCs w:val="20"/>
              </w:rPr>
            </w:pPr>
            <w:r w:rsidRPr="00212074">
              <w:rPr>
                <w:color w:val="000000"/>
                <w:szCs w:val="20"/>
              </w:rPr>
              <w:t>LT-45765</w:t>
            </w:r>
          </w:p>
        </w:tc>
        <w:tc>
          <w:tcPr>
            <w:tcW w:w="2952" w:type="pct"/>
          </w:tcPr>
          <w:p w14:paraId="6DB3E159" w14:textId="41A8D6B2" w:rsidR="00212074" w:rsidRPr="00212074" w:rsidRDefault="00212074" w:rsidP="00103F62">
            <w:pPr>
              <w:rPr>
                <w:color w:val="000000"/>
                <w:szCs w:val="20"/>
              </w:rPr>
            </w:pPr>
            <w:r w:rsidRPr="00212074">
              <w:rPr>
                <w:color w:val="000000"/>
                <w:szCs w:val="20"/>
              </w:rPr>
              <w:t xml:space="preserve">36 Watt Interior Fixture (Common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3F13A227" w14:textId="2DDA0E00" w:rsidR="00212074" w:rsidRPr="00212074" w:rsidRDefault="00212074" w:rsidP="00103F62">
            <w:pPr>
              <w:rPr>
                <w:color w:val="000000"/>
                <w:szCs w:val="20"/>
              </w:rPr>
            </w:pPr>
            <w:r w:rsidRPr="00212074">
              <w:rPr>
                <w:color w:val="000000"/>
                <w:szCs w:val="20"/>
              </w:rPr>
              <w:t>R-InCmn-CFLfixt-36w(36w)-dWP91</w:t>
            </w:r>
          </w:p>
        </w:tc>
      </w:tr>
      <w:tr w:rsidR="00212074" w:rsidRPr="00212074" w14:paraId="5C0B7201" w14:textId="6F4087E2" w:rsidTr="00103F62">
        <w:tc>
          <w:tcPr>
            <w:tcW w:w="619" w:type="pct"/>
          </w:tcPr>
          <w:p w14:paraId="2AF77EB5" w14:textId="313D34BC" w:rsidR="00212074" w:rsidRPr="00212074" w:rsidRDefault="00212074" w:rsidP="00103F62">
            <w:pPr>
              <w:rPr>
                <w:color w:val="000000"/>
                <w:szCs w:val="20"/>
              </w:rPr>
            </w:pPr>
            <w:r w:rsidRPr="00212074">
              <w:rPr>
                <w:color w:val="000000"/>
                <w:szCs w:val="20"/>
              </w:rPr>
              <w:t>LT-79523</w:t>
            </w:r>
          </w:p>
        </w:tc>
        <w:tc>
          <w:tcPr>
            <w:tcW w:w="2952" w:type="pct"/>
          </w:tcPr>
          <w:p w14:paraId="73C4B2C7" w14:textId="34BCD13A" w:rsidR="00212074" w:rsidRPr="00212074" w:rsidRDefault="00212074" w:rsidP="00103F62">
            <w:pPr>
              <w:rPr>
                <w:color w:val="000000"/>
                <w:szCs w:val="20"/>
              </w:rPr>
            </w:pPr>
            <w:r w:rsidRPr="00212074">
              <w:rPr>
                <w:color w:val="000000"/>
                <w:szCs w:val="20"/>
              </w:rPr>
              <w:t xml:space="preserve">39 Watt Interior Fixture (Common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19A9E184" w14:textId="2157F3AA" w:rsidR="00212074" w:rsidRPr="00212074" w:rsidRDefault="00212074" w:rsidP="00103F62">
            <w:pPr>
              <w:rPr>
                <w:color w:val="000000"/>
                <w:szCs w:val="20"/>
              </w:rPr>
            </w:pPr>
            <w:r w:rsidRPr="00212074">
              <w:rPr>
                <w:color w:val="000000"/>
                <w:szCs w:val="20"/>
              </w:rPr>
              <w:t>R-InCmn-CFLfixt-39w(39w)-dWP98</w:t>
            </w:r>
          </w:p>
        </w:tc>
      </w:tr>
      <w:tr w:rsidR="00212074" w:rsidRPr="00212074" w14:paraId="4CE16F95" w14:textId="253D3489" w:rsidTr="00103F62">
        <w:tc>
          <w:tcPr>
            <w:tcW w:w="619" w:type="pct"/>
          </w:tcPr>
          <w:p w14:paraId="3E2177FD" w14:textId="351E0914" w:rsidR="00212074" w:rsidRPr="00212074" w:rsidRDefault="00212074" w:rsidP="00103F62">
            <w:pPr>
              <w:rPr>
                <w:color w:val="000000"/>
                <w:szCs w:val="20"/>
              </w:rPr>
            </w:pPr>
            <w:r w:rsidRPr="00212074">
              <w:rPr>
                <w:color w:val="000000"/>
                <w:szCs w:val="20"/>
              </w:rPr>
              <w:t>LT-35476</w:t>
            </w:r>
          </w:p>
        </w:tc>
        <w:tc>
          <w:tcPr>
            <w:tcW w:w="2952" w:type="pct"/>
          </w:tcPr>
          <w:p w14:paraId="250506C5" w14:textId="5DC1E8B8" w:rsidR="00212074" w:rsidRPr="00212074" w:rsidRDefault="00212074" w:rsidP="00103F62">
            <w:pPr>
              <w:rPr>
                <w:color w:val="000000"/>
                <w:szCs w:val="20"/>
              </w:rPr>
            </w:pPr>
            <w:r w:rsidRPr="00212074">
              <w:rPr>
                <w:color w:val="000000"/>
                <w:szCs w:val="20"/>
              </w:rPr>
              <w:t xml:space="preserve">40 Watt Interior Fixture (Common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38152C5C" w14:textId="462B762E" w:rsidR="00212074" w:rsidRPr="00212074" w:rsidRDefault="00212074" w:rsidP="00103F62">
            <w:pPr>
              <w:rPr>
                <w:color w:val="000000"/>
                <w:szCs w:val="20"/>
              </w:rPr>
            </w:pPr>
            <w:r w:rsidRPr="00212074">
              <w:rPr>
                <w:color w:val="000000"/>
                <w:szCs w:val="20"/>
              </w:rPr>
              <w:t>R-InCmn-CFLfixt-40w(40w)-dWP101</w:t>
            </w:r>
          </w:p>
        </w:tc>
      </w:tr>
      <w:tr w:rsidR="00212074" w:rsidRPr="00212074" w14:paraId="59218E01" w14:textId="1F538EEE" w:rsidTr="00103F62">
        <w:tc>
          <w:tcPr>
            <w:tcW w:w="619" w:type="pct"/>
          </w:tcPr>
          <w:p w14:paraId="7F8293EC" w14:textId="5DF8B4E2" w:rsidR="00212074" w:rsidRPr="00212074" w:rsidRDefault="00212074" w:rsidP="00103F62">
            <w:pPr>
              <w:rPr>
                <w:color w:val="000000"/>
                <w:szCs w:val="20"/>
              </w:rPr>
            </w:pPr>
            <w:r w:rsidRPr="00212074">
              <w:rPr>
                <w:color w:val="000000"/>
                <w:szCs w:val="20"/>
              </w:rPr>
              <w:lastRenderedPageBreak/>
              <w:t>LT-62735</w:t>
            </w:r>
          </w:p>
        </w:tc>
        <w:tc>
          <w:tcPr>
            <w:tcW w:w="2952" w:type="pct"/>
          </w:tcPr>
          <w:p w14:paraId="4F71BB0C" w14:textId="5687EDB1" w:rsidR="00212074" w:rsidRPr="00212074" w:rsidRDefault="00212074" w:rsidP="00103F62">
            <w:pPr>
              <w:rPr>
                <w:color w:val="000000"/>
                <w:szCs w:val="20"/>
              </w:rPr>
            </w:pPr>
            <w:r w:rsidRPr="00212074">
              <w:rPr>
                <w:color w:val="000000"/>
                <w:szCs w:val="20"/>
              </w:rPr>
              <w:t xml:space="preserve">44 Watt Interior Fixture (Common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639EFB34" w14:textId="0C61B01C" w:rsidR="00212074" w:rsidRPr="00212074" w:rsidRDefault="00212074" w:rsidP="00103F62">
            <w:pPr>
              <w:rPr>
                <w:color w:val="000000"/>
                <w:szCs w:val="20"/>
              </w:rPr>
            </w:pPr>
            <w:r w:rsidRPr="00212074">
              <w:rPr>
                <w:color w:val="000000"/>
                <w:szCs w:val="20"/>
              </w:rPr>
              <w:t>R-InCmn-CFLfixt-44w(44w)-dWP111</w:t>
            </w:r>
          </w:p>
        </w:tc>
      </w:tr>
      <w:tr w:rsidR="00212074" w:rsidRPr="00212074" w14:paraId="70CFEA34" w14:textId="6517E350" w:rsidTr="00103F62">
        <w:tc>
          <w:tcPr>
            <w:tcW w:w="619" w:type="pct"/>
          </w:tcPr>
          <w:p w14:paraId="7751A39D" w14:textId="1B9F3CAC" w:rsidR="00212074" w:rsidRPr="00212074" w:rsidRDefault="00212074" w:rsidP="00103F62">
            <w:pPr>
              <w:rPr>
                <w:color w:val="000000"/>
                <w:szCs w:val="20"/>
              </w:rPr>
            </w:pPr>
            <w:r w:rsidRPr="00212074">
              <w:rPr>
                <w:color w:val="000000"/>
                <w:szCs w:val="20"/>
              </w:rPr>
              <w:t>LT-50587</w:t>
            </w:r>
          </w:p>
        </w:tc>
        <w:tc>
          <w:tcPr>
            <w:tcW w:w="2952" w:type="pct"/>
          </w:tcPr>
          <w:p w14:paraId="11FEA36B" w14:textId="725CFD31" w:rsidR="00212074" w:rsidRPr="00212074" w:rsidRDefault="00212074" w:rsidP="00103F62">
            <w:pPr>
              <w:rPr>
                <w:color w:val="000000"/>
                <w:szCs w:val="20"/>
              </w:rPr>
            </w:pPr>
            <w:r w:rsidRPr="00212074">
              <w:rPr>
                <w:color w:val="000000"/>
                <w:szCs w:val="20"/>
              </w:rPr>
              <w:t xml:space="preserve">46 Watt Interior Fixture (Common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607863B4" w14:textId="1AADDD25" w:rsidR="00212074" w:rsidRPr="00212074" w:rsidRDefault="00212074" w:rsidP="00103F62">
            <w:pPr>
              <w:rPr>
                <w:color w:val="000000"/>
                <w:szCs w:val="20"/>
              </w:rPr>
            </w:pPr>
            <w:r w:rsidRPr="00212074">
              <w:rPr>
                <w:color w:val="000000"/>
                <w:szCs w:val="20"/>
              </w:rPr>
              <w:t>R-InCmn-CFLfixt-46w(46w)-dWP116</w:t>
            </w:r>
          </w:p>
        </w:tc>
      </w:tr>
      <w:tr w:rsidR="00212074" w:rsidRPr="00212074" w14:paraId="2C574BAD" w14:textId="0595E2F6" w:rsidTr="00103F62">
        <w:tc>
          <w:tcPr>
            <w:tcW w:w="619" w:type="pct"/>
          </w:tcPr>
          <w:p w14:paraId="7358BEC7" w14:textId="3578D1BE" w:rsidR="00212074" w:rsidRPr="00212074" w:rsidRDefault="00212074" w:rsidP="00103F62">
            <w:pPr>
              <w:rPr>
                <w:color w:val="000000"/>
                <w:szCs w:val="20"/>
              </w:rPr>
            </w:pPr>
            <w:r w:rsidRPr="00212074">
              <w:rPr>
                <w:color w:val="000000"/>
                <w:szCs w:val="20"/>
              </w:rPr>
              <w:t>LT-78765</w:t>
            </w:r>
          </w:p>
        </w:tc>
        <w:tc>
          <w:tcPr>
            <w:tcW w:w="2952" w:type="pct"/>
          </w:tcPr>
          <w:p w14:paraId="2E9BDC18" w14:textId="275E8260" w:rsidR="00212074" w:rsidRPr="00212074" w:rsidRDefault="00212074" w:rsidP="00103F62">
            <w:pPr>
              <w:rPr>
                <w:color w:val="000000"/>
                <w:szCs w:val="20"/>
              </w:rPr>
            </w:pPr>
            <w:r w:rsidRPr="00212074">
              <w:rPr>
                <w:color w:val="000000"/>
                <w:szCs w:val="20"/>
              </w:rPr>
              <w:t xml:space="preserve">52 Watt Interior Fixture (Common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6230A06D" w14:textId="1B09860C" w:rsidR="00212074" w:rsidRPr="00212074" w:rsidRDefault="00212074" w:rsidP="00103F62">
            <w:pPr>
              <w:rPr>
                <w:color w:val="000000"/>
                <w:szCs w:val="20"/>
              </w:rPr>
            </w:pPr>
            <w:r w:rsidRPr="00212074">
              <w:rPr>
                <w:color w:val="000000"/>
                <w:szCs w:val="20"/>
              </w:rPr>
              <w:t>R-InCmn-CFLfixt-52w(52w)-dWP131</w:t>
            </w:r>
          </w:p>
        </w:tc>
      </w:tr>
      <w:tr w:rsidR="00212074" w:rsidRPr="00212074" w14:paraId="5A7FD94B" w14:textId="7E87641D" w:rsidTr="00103F62">
        <w:tc>
          <w:tcPr>
            <w:tcW w:w="619" w:type="pct"/>
          </w:tcPr>
          <w:p w14:paraId="2BFF0636" w14:textId="35D3F1FF" w:rsidR="00212074" w:rsidRPr="00212074" w:rsidRDefault="00212074" w:rsidP="00103F62">
            <w:pPr>
              <w:rPr>
                <w:color w:val="000000"/>
                <w:szCs w:val="20"/>
              </w:rPr>
            </w:pPr>
            <w:r w:rsidRPr="00212074">
              <w:rPr>
                <w:color w:val="000000"/>
                <w:szCs w:val="20"/>
              </w:rPr>
              <w:t>LT-90987</w:t>
            </w:r>
          </w:p>
        </w:tc>
        <w:tc>
          <w:tcPr>
            <w:tcW w:w="2952" w:type="pct"/>
          </w:tcPr>
          <w:p w14:paraId="719E21B4" w14:textId="2ACFEB6A" w:rsidR="00212074" w:rsidRPr="00212074" w:rsidRDefault="00212074" w:rsidP="00103F62">
            <w:pPr>
              <w:rPr>
                <w:color w:val="000000"/>
                <w:szCs w:val="20"/>
              </w:rPr>
            </w:pPr>
            <w:r w:rsidRPr="00212074">
              <w:rPr>
                <w:color w:val="000000"/>
                <w:szCs w:val="20"/>
              </w:rPr>
              <w:t xml:space="preserve">54 Watt Interior Fixture (Common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2B18A9AB" w14:textId="57683746" w:rsidR="00212074" w:rsidRPr="00212074" w:rsidRDefault="00212074" w:rsidP="00103F62">
            <w:pPr>
              <w:rPr>
                <w:color w:val="000000"/>
                <w:szCs w:val="20"/>
              </w:rPr>
            </w:pPr>
            <w:r w:rsidRPr="00212074">
              <w:rPr>
                <w:color w:val="000000"/>
                <w:szCs w:val="20"/>
              </w:rPr>
              <w:t>R-InCmn-CFLfixt-54w(54w)-dWP136</w:t>
            </w:r>
          </w:p>
        </w:tc>
      </w:tr>
      <w:tr w:rsidR="00212074" w:rsidRPr="00212074" w14:paraId="690D4D6F" w14:textId="6C31C5C8" w:rsidTr="00103F62">
        <w:tc>
          <w:tcPr>
            <w:tcW w:w="619" w:type="pct"/>
          </w:tcPr>
          <w:p w14:paraId="75C00974" w14:textId="1B13B1FF" w:rsidR="00212074" w:rsidRPr="00212074" w:rsidRDefault="00212074" w:rsidP="00103F62">
            <w:pPr>
              <w:rPr>
                <w:color w:val="000000"/>
                <w:szCs w:val="20"/>
              </w:rPr>
            </w:pPr>
            <w:r w:rsidRPr="00212074">
              <w:rPr>
                <w:color w:val="000000"/>
                <w:szCs w:val="20"/>
              </w:rPr>
              <w:t>LT-27559</w:t>
            </w:r>
          </w:p>
        </w:tc>
        <w:tc>
          <w:tcPr>
            <w:tcW w:w="2952" w:type="pct"/>
          </w:tcPr>
          <w:p w14:paraId="6337A6F7" w14:textId="29428D40" w:rsidR="00212074" w:rsidRPr="00212074" w:rsidRDefault="00212074" w:rsidP="00103F62">
            <w:pPr>
              <w:rPr>
                <w:color w:val="000000"/>
                <w:szCs w:val="20"/>
              </w:rPr>
            </w:pPr>
            <w:r w:rsidRPr="00212074">
              <w:rPr>
                <w:color w:val="000000"/>
                <w:szCs w:val="20"/>
              </w:rPr>
              <w:t xml:space="preserve">55 Watt Interior Fixture (Common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4C7D807E" w14:textId="541D6C1E" w:rsidR="00212074" w:rsidRPr="00212074" w:rsidRDefault="00212074" w:rsidP="00103F62">
            <w:pPr>
              <w:rPr>
                <w:color w:val="000000"/>
                <w:szCs w:val="20"/>
              </w:rPr>
            </w:pPr>
            <w:r w:rsidRPr="00212074">
              <w:rPr>
                <w:color w:val="000000"/>
                <w:szCs w:val="20"/>
              </w:rPr>
              <w:t>R-InCmn-CFLfixt-55w(55w)-dWP139</w:t>
            </w:r>
          </w:p>
        </w:tc>
      </w:tr>
      <w:tr w:rsidR="00212074" w:rsidRPr="00212074" w14:paraId="418CC11A" w14:textId="05B73EEA" w:rsidTr="00103F62">
        <w:tc>
          <w:tcPr>
            <w:tcW w:w="619" w:type="pct"/>
          </w:tcPr>
          <w:p w14:paraId="3E609742" w14:textId="69044776" w:rsidR="00212074" w:rsidRPr="00212074" w:rsidRDefault="00212074" w:rsidP="00103F62">
            <w:pPr>
              <w:rPr>
                <w:color w:val="000000"/>
                <w:szCs w:val="20"/>
              </w:rPr>
            </w:pPr>
            <w:r w:rsidRPr="00212074">
              <w:rPr>
                <w:color w:val="000000"/>
                <w:szCs w:val="20"/>
              </w:rPr>
              <w:t>LT-72843</w:t>
            </w:r>
          </w:p>
        </w:tc>
        <w:tc>
          <w:tcPr>
            <w:tcW w:w="2952" w:type="pct"/>
          </w:tcPr>
          <w:p w14:paraId="1A978317" w14:textId="7E436976" w:rsidR="00212074" w:rsidRPr="00212074" w:rsidRDefault="00212074" w:rsidP="00103F62">
            <w:pPr>
              <w:rPr>
                <w:color w:val="000000"/>
                <w:szCs w:val="20"/>
              </w:rPr>
            </w:pPr>
            <w:r w:rsidRPr="00212074">
              <w:rPr>
                <w:color w:val="000000"/>
                <w:szCs w:val="20"/>
              </w:rPr>
              <w:t xml:space="preserve">64 Watt Interior Fixture (Common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61F54204" w14:textId="07C9A620" w:rsidR="00212074" w:rsidRPr="00212074" w:rsidRDefault="00212074" w:rsidP="00103F62">
            <w:pPr>
              <w:rPr>
                <w:color w:val="000000"/>
                <w:szCs w:val="20"/>
              </w:rPr>
            </w:pPr>
            <w:r w:rsidRPr="00212074">
              <w:rPr>
                <w:color w:val="000000"/>
                <w:szCs w:val="20"/>
              </w:rPr>
              <w:t>R-InCmn-CFLfixt-64w(64w)-dWP161</w:t>
            </w:r>
          </w:p>
        </w:tc>
      </w:tr>
      <w:tr w:rsidR="00212074" w:rsidRPr="00212074" w14:paraId="6D002F51" w14:textId="18F27756" w:rsidTr="00103F62">
        <w:tc>
          <w:tcPr>
            <w:tcW w:w="619" w:type="pct"/>
          </w:tcPr>
          <w:p w14:paraId="4FD8E1AE" w14:textId="14D405CE" w:rsidR="00212074" w:rsidRPr="00212074" w:rsidRDefault="00212074" w:rsidP="00103F62">
            <w:pPr>
              <w:rPr>
                <w:color w:val="000000"/>
                <w:szCs w:val="20"/>
              </w:rPr>
            </w:pPr>
            <w:r w:rsidRPr="00212074">
              <w:rPr>
                <w:color w:val="000000"/>
                <w:szCs w:val="20"/>
              </w:rPr>
              <w:t>LT-45343</w:t>
            </w:r>
          </w:p>
        </w:tc>
        <w:tc>
          <w:tcPr>
            <w:tcW w:w="2952" w:type="pct"/>
          </w:tcPr>
          <w:p w14:paraId="4E56A4E1" w14:textId="3E4EAE91" w:rsidR="00212074" w:rsidRPr="00212074" w:rsidRDefault="00212074" w:rsidP="00103F62">
            <w:pPr>
              <w:rPr>
                <w:color w:val="000000"/>
                <w:szCs w:val="20"/>
              </w:rPr>
            </w:pPr>
            <w:r w:rsidRPr="00212074">
              <w:rPr>
                <w:color w:val="000000"/>
                <w:szCs w:val="20"/>
              </w:rPr>
              <w:t xml:space="preserve">69 Watt Interior Fixture (Common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28D8D697" w14:textId="5DF6CA54" w:rsidR="00212074" w:rsidRPr="00212074" w:rsidRDefault="00212074" w:rsidP="00103F62">
            <w:pPr>
              <w:rPr>
                <w:color w:val="000000"/>
                <w:szCs w:val="20"/>
              </w:rPr>
            </w:pPr>
            <w:r w:rsidRPr="00212074">
              <w:rPr>
                <w:color w:val="000000"/>
                <w:szCs w:val="20"/>
              </w:rPr>
              <w:t>R-InCmn-CFLfixt-69w(69w)-dWP174</w:t>
            </w:r>
          </w:p>
        </w:tc>
      </w:tr>
      <w:tr w:rsidR="00212074" w:rsidRPr="00212074" w14:paraId="2A4651DA" w14:textId="21AD291D" w:rsidTr="00103F62">
        <w:tc>
          <w:tcPr>
            <w:tcW w:w="619" w:type="pct"/>
          </w:tcPr>
          <w:p w14:paraId="3B241FA0" w14:textId="11BE6356" w:rsidR="00212074" w:rsidRPr="00212074" w:rsidRDefault="00212074" w:rsidP="00103F62">
            <w:pPr>
              <w:rPr>
                <w:color w:val="000000"/>
                <w:szCs w:val="20"/>
              </w:rPr>
            </w:pPr>
            <w:r w:rsidRPr="00212074">
              <w:rPr>
                <w:color w:val="000000"/>
                <w:szCs w:val="20"/>
              </w:rPr>
              <w:t>LT-65832</w:t>
            </w:r>
          </w:p>
        </w:tc>
        <w:tc>
          <w:tcPr>
            <w:tcW w:w="2952" w:type="pct"/>
          </w:tcPr>
          <w:p w14:paraId="73DE17DC" w14:textId="6CB6FDB1" w:rsidR="00212074" w:rsidRPr="00212074" w:rsidRDefault="00212074" w:rsidP="00103F62">
            <w:pPr>
              <w:rPr>
                <w:color w:val="000000"/>
                <w:szCs w:val="20"/>
              </w:rPr>
            </w:pPr>
            <w:r w:rsidRPr="00212074">
              <w:rPr>
                <w:color w:val="000000"/>
                <w:szCs w:val="20"/>
              </w:rPr>
              <w:t xml:space="preserve">72 Watt Interior Fixture (Common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0B0EF13D" w14:textId="5FBCD4E7" w:rsidR="00212074" w:rsidRPr="00212074" w:rsidRDefault="00212074" w:rsidP="00103F62">
            <w:pPr>
              <w:rPr>
                <w:color w:val="000000"/>
                <w:szCs w:val="20"/>
              </w:rPr>
            </w:pPr>
            <w:r w:rsidRPr="00212074">
              <w:rPr>
                <w:color w:val="000000"/>
                <w:szCs w:val="20"/>
              </w:rPr>
              <w:t>R-InCmn-CFLfixt-72w(72w)-dWP182</w:t>
            </w:r>
          </w:p>
        </w:tc>
      </w:tr>
      <w:tr w:rsidR="00212074" w:rsidRPr="00212074" w14:paraId="42595B8F" w14:textId="5749715F" w:rsidTr="00103F62">
        <w:tc>
          <w:tcPr>
            <w:tcW w:w="619" w:type="pct"/>
          </w:tcPr>
          <w:p w14:paraId="66BEE6A5" w14:textId="1CAC021A" w:rsidR="00212074" w:rsidRPr="00212074" w:rsidRDefault="00212074" w:rsidP="00103F62">
            <w:pPr>
              <w:rPr>
                <w:color w:val="000000"/>
                <w:szCs w:val="20"/>
              </w:rPr>
            </w:pPr>
            <w:r w:rsidRPr="00212074">
              <w:rPr>
                <w:color w:val="000000"/>
                <w:szCs w:val="20"/>
              </w:rPr>
              <w:t>LT-87453</w:t>
            </w:r>
          </w:p>
        </w:tc>
        <w:tc>
          <w:tcPr>
            <w:tcW w:w="2952" w:type="pct"/>
          </w:tcPr>
          <w:p w14:paraId="44A32899" w14:textId="0C2C0CC1" w:rsidR="00212074" w:rsidRPr="00212074" w:rsidRDefault="00212074" w:rsidP="00103F62">
            <w:pPr>
              <w:rPr>
                <w:color w:val="000000"/>
                <w:szCs w:val="20"/>
              </w:rPr>
            </w:pPr>
            <w:r w:rsidRPr="00212074">
              <w:rPr>
                <w:color w:val="000000"/>
                <w:szCs w:val="20"/>
              </w:rPr>
              <w:t xml:space="preserve">92 Watt Interior Fixture (Common Area) CFL replacing CFL Fixture Base Case, Total Watts = 3.53 x </w:t>
            </w:r>
            <w:proofErr w:type="spellStart"/>
            <w:r w:rsidRPr="00212074">
              <w:rPr>
                <w:color w:val="000000"/>
                <w:szCs w:val="20"/>
              </w:rPr>
              <w:t>Msr</w:t>
            </w:r>
            <w:proofErr w:type="spellEnd"/>
            <w:r w:rsidRPr="00212074">
              <w:rPr>
                <w:color w:val="000000"/>
                <w:szCs w:val="20"/>
              </w:rPr>
              <w:t xml:space="preserve"> Watts</w:t>
            </w:r>
          </w:p>
        </w:tc>
        <w:tc>
          <w:tcPr>
            <w:tcW w:w="1429" w:type="pct"/>
          </w:tcPr>
          <w:p w14:paraId="378F3CE7" w14:textId="6A407A55" w:rsidR="00212074" w:rsidRPr="00212074" w:rsidRDefault="00212074" w:rsidP="00103F62">
            <w:pPr>
              <w:rPr>
                <w:color w:val="000000"/>
                <w:szCs w:val="20"/>
              </w:rPr>
            </w:pPr>
            <w:r w:rsidRPr="00212074">
              <w:rPr>
                <w:color w:val="000000"/>
                <w:szCs w:val="20"/>
              </w:rPr>
              <w:t>R-InCmn-CFLfixt-92w(92w)-dWP232</w:t>
            </w:r>
          </w:p>
        </w:tc>
      </w:tr>
    </w:tbl>
    <w:p w14:paraId="6C7EC920" w14:textId="49C926A2" w:rsidR="00E16609" w:rsidRPr="00500C4E" w:rsidRDefault="00E16609" w:rsidP="00E16609">
      <w:pPr>
        <w:pStyle w:val="Heading1"/>
        <w:keepNext w:val="0"/>
        <w:rPr>
          <w:rFonts w:cstheme="minorHAnsi"/>
        </w:rPr>
      </w:pPr>
      <w:bookmarkStart w:id="17" w:name="_Toc214003093"/>
      <w:proofErr w:type="gramStart"/>
      <w:r w:rsidRPr="00500C4E">
        <w:rPr>
          <w:rFonts w:cstheme="minorHAnsi"/>
        </w:rPr>
        <w:t>Section 3</w:t>
      </w:r>
      <w:r w:rsidR="00317970">
        <w:rPr>
          <w:rFonts w:cstheme="minorHAnsi"/>
        </w:rPr>
        <w:t>.</w:t>
      </w:r>
      <w:proofErr w:type="gramEnd"/>
      <w:r w:rsidR="00317970" w:rsidRPr="00500C4E">
        <w:rPr>
          <w:rFonts w:cstheme="minorHAnsi"/>
        </w:rPr>
        <w:t xml:space="preserve"> </w:t>
      </w:r>
      <w:r w:rsidRPr="00500C4E">
        <w:rPr>
          <w:rFonts w:cstheme="minorHAnsi"/>
        </w:rPr>
        <w:t>Load Shape</w:t>
      </w:r>
      <w:bookmarkEnd w:id="17"/>
      <w:r w:rsidRPr="00500C4E">
        <w:rPr>
          <w:rFonts w:cstheme="minorHAnsi"/>
        </w:rPr>
        <w:t>s</w:t>
      </w:r>
    </w:p>
    <w:p w14:paraId="7449CD6E" w14:textId="57D389E3"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w:t>
      </w:r>
      <w:r w:rsidR="00E364F3">
        <w:rPr>
          <w:rFonts w:cstheme="minorHAnsi"/>
          <w:szCs w:val="22"/>
        </w:rPr>
        <w:t xml:space="preserve">e </w:t>
      </w:r>
      <w:r w:rsidR="000173BF" w:rsidRPr="00500C4E">
        <w:rPr>
          <w:rFonts w:cstheme="minorHAnsi"/>
          <w:szCs w:val="22"/>
        </w:rPr>
        <w:t>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179A7C8B" w14:textId="77777777" w:rsidR="00AF1CD7" w:rsidRPr="00500C4E" w:rsidRDefault="00AF1CD7" w:rsidP="00E16609">
      <w:pPr>
        <w:rPr>
          <w:rFonts w:cstheme="minorHAnsi"/>
          <w:szCs w:val="22"/>
        </w:rPr>
      </w:pPr>
    </w:p>
    <w:p w14:paraId="4E5AEDD2" w14:textId="62016B43" w:rsidR="00E16609" w:rsidRPr="00500C4E" w:rsidRDefault="002A3D26" w:rsidP="00E364F3">
      <w:pPr>
        <w:pStyle w:val="Caption"/>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4050"/>
        <w:gridCol w:w="2766"/>
        <w:gridCol w:w="2760"/>
      </w:tblGrid>
      <w:tr w:rsidR="00263C1C" w:rsidRPr="00500C4E" w14:paraId="55343A07" w14:textId="77777777" w:rsidTr="00061AE4">
        <w:tc>
          <w:tcPr>
            <w:tcW w:w="2115"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444"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441"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061AE4" w:rsidRPr="00500C4E" w14:paraId="30FCF56A" w14:textId="77777777" w:rsidTr="00061AE4">
        <w:tc>
          <w:tcPr>
            <w:tcW w:w="2115" w:type="pct"/>
          </w:tcPr>
          <w:p w14:paraId="156C6B68" w14:textId="13D96FC1" w:rsidR="00061AE4" w:rsidRPr="00061AE4" w:rsidRDefault="00061AE4" w:rsidP="00061AE4">
            <w:pPr>
              <w:rPr>
                <w:rFonts w:cstheme="minorHAnsi"/>
                <w:color w:val="FF0000"/>
                <w:szCs w:val="20"/>
              </w:rPr>
            </w:pPr>
            <w:r w:rsidRPr="00061AE4">
              <w:rPr>
                <w:rFonts w:ascii="Calibri" w:hAnsi="Calibri"/>
                <w:szCs w:val="20"/>
              </w:rPr>
              <w:t>Residential Mobile Home - Double-Wide</w:t>
            </w:r>
          </w:p>
        </w:tc>
        <w:tc>
          <w:tcPr>
            <w:tcW w:w="1444" w:type="pct"/>
          </w:tcPr>
          <w:p w14:paraId="7B6136F1" w14:textId="2D8D513C" w:rsidR="00061AE4" w:rsidRPr="00920905" w:rsidRDefault="00061AE4" w:rsidP="00061AE4">
            <w:pPr>
              <w:rPr>
                <w:rFonts w:cstheme="minorHAnsi"/>
                <w:color w:val="FF0000"/>
                <w:szCs w:val="20"/>
              </w:rPr>
            </w:pPr>
            <w:proofErr w:type="spellStart"/>
            <w:r w:rsidRPr="00003915">
              <w:t>DEER:Indoor_CFL_Ltg</w:t>
            </w:r>
            <w:proofErr w:type="spellEnd"/>
          </w:p>
        </w:tc>
        <w:tc>
          <w:tcPr>
            <w:tcW w:w="1441" w:type="pct"/>
          </w:tcPr>
          <w:p w14:paraId="5B85A44D" w14:textId="1768D85D" w:rsidR="00061AE4" w:rsidRPr="00920905" w:rsidRDefault="00061AE4" w:rsidP="00061AE4">
            <w:pPr>
              <w:rPr>
                <w:rFonts w:cstheme="minorHAnsi"/>
                <w:color w:val="FF0000"/>
                <w:szCs w:val="20"/>
              </w:rPr>
            </w:pPr>
            <w:r w:rsidRPr="00A8364A">
              <w:t>RES</w:t>
            </w:r>
          </w:p>
        </w:tc>
      </w:tr>
      <w:tr w:rsidR="00061AE4" w:rsidRPr="00500C4E" w14:paraId="74774392" w14:textId="77777777" w:rsidTr="00061AE4">
        <w:tc>
          <w:tcPr>
            <w:tcW w:w="2115" w:type="pct"/>
          </w:tcPr>
          <w:p w14:paraId="735FBC5F" w14:textId="13AFC63B" w:rsidR="00061AE4" w:rsidRPr="00061AE4" w:rsidRDefault="00061AE4" w:rsidP="00061AE4">
            <w:pPr>
              <w:rPr>
                <w:rFonts w:cstheme="minorHAnsi"/>
                <w:color w:val="FF0000"/>
                <w:szCs w:val="20"/>
              </w:rPr>
            </w:pPr>
            <w:r w:rsidRPr="00061AE4">
              <w:rPr>
                <w:rFonts w:ascii="Calibri" w:hAnsi="Calibri"/>
                <w:szCs w:val="20"/>
              </w:rPr>
              <w:t>Residential Multi-family</w:t>
            </w:r>
          </w:p>
        </w:tc>
        <w:tc>
          <w:tcPr>
            <w:tcW w:w="1444" w:type="pct"/>
          </w:tcPr>
          <w:p w14:paraId="3ACA72B0" w14:textId="21722A6A" w:rsidR="00061AE4" w:rsidRPr="00920905" w:rsidRDefault="00061AE4" w:rsidP="00061AE4">
            <w:pPr>
              <w:rPr>
                <w:rFonts w:cstheme="minorHAnsi"/>
                <w:color w:val="FF0000"/>
                <w:szCs w:val="20"/>
              </w:rPr>
            </w:pPr>
            <w:proofErr w:type="spellStart"/>
            <w:r w:rsidRPr="00003915">
              <w:t>DEER:Indoor_CFL_Ltg</w:t>
            </w:r>
            <w:proofErr w:type="spellEnd"/>
          </w:p>
        </w:tc>
        <w:tc>
          <w:tcPr>
            <w:tcW w:w="1441" w:type="pct"/>
          </w:tcPr>
          <w:p w14:paraId="039E8C41" w14:textId="2C41308B" w:rsidR="00061AE4" w:rsidRPr="00920905" w:rsidRDefault="00061AE4" w:rsidP="00061AE4">
            <w:pPr>
              <w:rPr>
                <w:rFonts w:cstheme="minorHAnsi"/>
                <w:color w:val="FF0000"/>
                <w:szCs w:val="20"/>
              </w:rPr>
            </w:pPr>
            <w:r w:rsidRPr="00A8364A">
              <w:t>RES</w:t>
            </w:r>
          </w:p>
        </w:tc>
      </w:tr>
    </w:tbl>
    <w:p w14:paraId="52C9214C" w14:textId="5A04C955" w:rsidR="005552C3" w:rsidRDefault="00F95E2F" w:rsidP="00920905">
      <w:pPr>
        <w:pStyle w:val="Heading1"/>
      </w:pPr>
      <w:proofErr w:type="gramStart"/>
      <w:r>
        <w:t>Section 4.</w:t>
      </w:r>
      <w:proofErr w:type="gramEnd"/>
      <w:r>
        <w:t xml:space="preserve"> Costs</w:t>
      </w:r>
    </w:p>
    <w:p w14:paraId="4696E137" w14:textId="77777777" w:rsidR="00E16609" w:rsidRDefault="00E16609" w:rsidP="00824F1C">
      <w:pPr>
        <w:pStyle w:val="Heading2"/>
        <w:rPr>
          <w:rFonts w:asciiTheme="minorHAnsi" w:hAnsiTheme="minorHAnsi" w:cstheme="minorHAnsi"/>
        </w:rPr>
      </w:pPr>
      <w:bookmarkStart w:id="18" w:name="_MON_1399297811"/>
      <w:bookmarkStart w:id="19" w:name="_Toc214003097"/>
      <w:bookmarkEnd w:id="18"/>
      <w:r w:rsidRPr="00500C4E">
        <w:rPr>
          <w:rFonts w:asciiTheme="minorHAnsi" w:hAnsiTheme="minorHAnsi" w:cstheme="minorHAnsi"/>
        </w:rPr>
        <w:t>4.1 Base Case Cost</w:t>
      </w:r>
      <w:bookmarkEnd w:id="19"/>
    </w:p>
    <w:p w14:paraId="750002B8" w14:textId="6CA00E86" w:rsidR="00D93E13" w:rsidRPr="007375D4" w:rsidRDefault="007375D4" w:rsidP="00B37E45">
      <w:r w:rsidRPr="00C0394B">
        <w:t>Base case material costs a</w:t>
      </w:r>
      <w:r w:rsidR="00F019E7">
        <w:t xml:space="preserve">re sourced from online retailers. Costs were collected for various wattages for CFL and Incandescent </w:t>
      </w:r>
      <w:r w:rsidR="00103F62" w:rsidRPr="00C0394B">
        <w:t xml:space="preserve">ceiling </w:t>
      </w:r>
      <w:r w:rsidR="00103F62">
        <w:t>flush</w:t>
      </w:r>
      <w:r w:rsidR="00103F62" w:rsidRPr="00C0394B">
        <w:t xml:space="preserve"> mount</w:t>
      </w:r>
      <w:r w:rsidRPr="00C0394B">
        <w:t>, bathroom wall sconce, and pendant type fixtures. The costs for the different fixture types were averaged</w:t>
      </w:r>
      <w:r w:rsidR="00F019E7">
        <w:t xml:space="preserve"> to develop the base case material cost</w:t>
      </w:r>
      <w:r w:rsidRPr="00C0394B">
        <w:t xml:space="preserve">. </w:t>
      </w:r>
      <w:r w:rsidR="00E364F3">
        <w:t xml:space="preserve">Based on review of </w:t>
      </w:r>
      <w:r w:rsidR="00F019E7">
        <w:t xml:space="preserve">current </w:t>
      </w:r>
      <w:r w:rsidR="00E364F3">
        <w:t xml:space="preserve">online retailer pricing, the base case material costs </w:t>
      </w:r>
      <w:r w:rsidR="00F019E7">
        <w:t xml:space="preserve">used within the work paper </w:t>
      </w:r>
      <w:r w:rsidR="00E364F3">
        <w:t xml:space="preserve">were found to be reasonable. </w:t>
      </w:r>
      <w:r w:rsidR="00B37E45">
        <w:t>A linear regression was created based on the costs identified per interior incandescent and compact</w:t>
      </w:r>
      <w:r w:rsidR="00BB4D8A">
        <w:t xml:space="preserve"> fluorescent</w:t>
      </w:r>
      <w:r w:rsidR="00B37E45">
        <w:t xml:space="preserve"> fixture</w:t>
      </w:r>
      <w:r w:rsidR="00BB4D8A">
        <w:t>s</w:t>
      </w:r>
      <w:r w:rsidR="00B37E45">
        <w:t xml:space="preserve"> </w:t>
      </w:r>
      <w:r w:rsidR="00313EDB">
        <w:t xml:space="preserve">over a range of </w:t>
      </w:r>
      <w:r w:rsidR="00B37E45">
        <w:t>wattage</w:t>
      </w:r>
      <w:r w:rsidR="00313EDB">
        <w:t>s</w:t>
      </w:r>
      <w:r w:rsidR="00B37E45">
        <w:t xml:space="preserve">. The linear regression was used to </w:t>
      </w:r>
      <w:r w:rsidR="00A26EC1" w:rsidRPr="00126080">
        <w:t xml:space="preserve">extrapolate </w:t>
      </w:r>
      <w:r w:rsidR="00BB4D8A">
        <w:t xml:space="preserve">the costs for </w:t>
      </w:r>
      <w:r w:rsidR="003B5C60">
        <w:t>the wattages identified under each of the</w:t>
      </w:r>
      <w:r w:rsidR="00BB4D8A">
        <w:t xml:space="preserve"> solution codes </w:t>
      </w:r>
      <w:r w:rsidR="003B5C60">
        <w:t xml:space="preserve">included </w:t>
      </w:r>
      <w:r w:rsidR="00BB4D8A">
        <w:t>within th</w:t>
      </w:r>
      <w:r w:rsidR="003B5C60">
        <w:t>is</w:t>
      </w:r>
      <w:r w:rsidR="00BB4D8A">
        <w:t xml:space="preserve"> </w:t>
      </w:r>
      <w:proofErr w:type="spellStart"/>
      <w:r w:rsidR="00BB4D8A">
        <w:t>workpaper</w:t>
      </w:r>
      <w:proofErr w:type="spellEnd"/>
      <w:r w:rsidR="00B37E45">
        <w:t>.</w:t>
      </w:r>
      <w:r w:rsidRPr="00126080">
        <w:t xml:space="preserve"> </w:t>
      </w:r>
      <w:r w:rsidR="00313EDB">
        <w:t>Using the extrapolated values, t</w:t>
      </w:r>
      <w:r w:rsidR="00313EDB" w:rsidRPr="00C0394B">
        <w:t>he base case cost</w:t>
      </w:r>
      <w:r w:rsidR="00313EDB">
        <w:t>s</w:t>
      </w:r>
      <w:r w:rsidR="00313EDB" w:rsidRPr="00C0394B">
        <w:t xml:space="preserve"> </w:t>
      </w:r>
      <w:r w:rsidR="00313EDB">
        <w:t xml:space="preserve">are calculated based on CFL and incandescent costs being </w:t>
      </w:r>
      <w:r w:rsidR="00313EDB" w:rsidRPr="00C0394B">
        <w:t xml:space="preserve">weighted 40% </w:t>
      </w:r>
      <w:r w:rsidR="00313EDB">
        <w:t>and 60%, respectively as per DEER 2016 (Attachment 2)</w:t>
      </w:r>
      <w:r w:rsidR="00313EDB" w:rsidRPr="00126080">
        <w:t xml:space="preserve">. </w:t>
      </w:r>
      <w:r w:rsidRPr="00126080">
        <w:t xml:space="preserve">The </w:t>
      </w:r>
      <w:r w:rsidR="00151C97" w:rsidRPr="00126080">
        <w:t xml:space="preserve">RS Means </w:t>
      </w:r>
      <w:r w:rsidR="00B13290" w:rsidRPr="00126080">
        <w:t>Online</w:t>
      </w:r>
      <w:r w:rsidR="00B13290" w:rsidRPr="00E364F3">
        <w:t xml:space="preserve"> </w:t>
      </w:r>
      <w:r w:rsidR="000D1693">
        <w:t xml:space="preserve">Electrical 2016, section 26 51 13 504920 Incandescent fixture, interior, ceiling/wall, surface mounted </w:t>
      </w:r>
      <w:r w:rsidRPr="00C0394B">
        <w:t xml:space="preserve">labor cost </w:t>
      </w:r>
      <w:r w:rsidR="00151C97" w:rsidRPr="00E364F3">
        <w:t xml:space="preserve">is </w:t>
      </w:r>
      <w:r w:rsidRPr="00C0394B">
        <w:t>$</w:t>
      </w:r>
      <w:r w:rsidR="00151C97" w:rsidRPr="00E364F3">
        <w:t>44.00</w:t>
      </w:r>
      <w:r w:rsidRPr="00C0394B">
        <w:t>.</w:t>
      </w:r>
    </w:p>
    <w:p w14:paraId="530D95CF" w14:textId="77777777" w:rsidR="007375D4" w:rsidRPr="007375D4" w:rsidRDefault="007375D4" w:rsidP="00920905"/>
    <w:p w14:paraId="44713B57" w14:textId="77777777" w:rsidR="005A0E53" w:rsidRPr="00500C4E" w:rsidRDefault="005A0E53" w:rsidP="005A0E53">
      <w:pPr>
        <w:pStyle w:val="Heading2"/>
        <w:rPr>
          <w:rFonts w:asciiTheme="minorHAnsi" w:hAnsiTheme="minorHAnsi" w:cstheme="minorHAnsi"/>
        </w:rPr>
      </w:pPr>
      <w:bookmarkStart w:id="20" w:name="_Toc214003098"/>
      <w:r w:rsidRPr="00500C4E">
        <w:rPr>
          <w:rFonts w:asciiTheme="minorHAnsi" w:hAnsiTheme="minorHAnsi" w:cstheme="minorHAnsi"/>
        </w:rPr>
        <w:lastRenderedPageBreak/>
        <w:t>4.2 Measure Case Cost</w:t>
      </w:r>
    </w:p>
    <w:p w14:paraId="46E9BEB6" w14:textId="6B2B880E" w:rsidR="00FE5FAF" w:rsidRPr="00481AE8" w:rsidRDefault="007375D4" w:rsidP="00FE5FAF">
      <w:r w:rsidRPr="00B13290">
        <w:t xml:space="preserve">Measure case material costs are </w:t>
      </w:r>
      <w:r w:rsidR="00F019E7">
        <w:t xml:space="preserve">sourced </w:t>
      </w:r>
      <w:r w:rsidRPr="00B13290">
        <w:t xml:space="preserve">from an online retailer and are an average of the CFL ceiling </w:t>
      </w:r>
      <w:proofErr w:type="spellStart"/>
      <w:r w:rsidRPr="00B13290">
        <w:t>flushmount</w:t>
      </w:r>
      <w:proofErr w:type="spellEnd"/>
      <w:r w:rsidRPr="00B13290">
        <w:t>, bathroom wall sconce, and pendant type fixtures.</w:t>
      </w:r>
      <w:r w:rsidR="00E364F3">
        <w:t xml:space="preserve"> Based on review of</w:t>
      </w:r>
      <w:r w:rsidR="00F019E7">
        <w:t xml:space="preserve"> current</w:t>
      </w:r>
      <w:r w:rsidR="00E364F3">
        <w:t xml:space="preserve"> online retailer pricing, the measure cost material costs</w:t>
      </w:r>
      <w:r w:rsidR="00F019E7">
        <w:t xml:space="preserve"> used within this work paper</w:t>
      </w:r>
      <w:r w:rsidR="00E364F3">
        <w:t xml:space="preserve"> were found to be reasonable. </w:t>
      </w:r>
      <w:r w:rsidR="009C554E">
        <w:t>Measure cost methodology is identical to that described</w:t>
      </w:r>
      <w:r w:rsidR="00F019E7">
        <w:t xml:space="preserve"> above</w:t>
      </w:r>
      <w:r w:rsidR="009C554E">
        <w:t xml:space="preserve"> in the base case. </w:t>
      </w:r>
      <w:r w:rsidRPr="00151C97" w:rsidDel="00E317E6">
        <w:t>The labor costs are</w:t>
      </w:r>
      <w:r w:rsidR="00F019E7">
        <w:t xml:space="preserve"> also</w:t>
      </w:r>
      <w:r w:rsidRPr="00151C97" w:rsidDel="00E317E6">
        <w:t xml:space="preserve"> the same as in the base case</w:t>
      </w:r>
      <w:r w:rsidR="007F0040">
        <w:t>.</w:t>
      </w:r>
    </w:p>
    <w:p w14:paraId="103576AE" w14:textId="77777777" w:rsidR="007375D4" w:rsidRDefault="007375D4" w:rsidP="00FE5FAF">
      <w:pPr>
        <w:rPr>
          <w:color w:val="FF0000"/>
        </w:rPr>
      </w:pP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0"/>
    </w:p>
    <w:p w14:paraId="0402FB1A" w14:textId="1FB2F9F0" w:rsidR="00A80270" w:rsidRPr="00920905" w:rsidRDefault="004673A2" w:rsidP="00E364F3">
      <w:pPr>
        <w:pStyle w:val="Caption"/>
      </w:pPr>
      <w:r>
        <w:t xml:space="preserve">Full and </w:t>
      </w:r>
      <w:r w:rsidR="006B0F11" w:rsidRPr="00920905">
        <w:t xml:space="preserve">Incremental </w:t>
      </w:r>
      <w:r>
        <w:t>Measure</w:t>
      </w:r>
      <w:r w:rsidR="006B0F11" w:rsidRPr="00920905">
        <w:t xml:space="preserve"> Cost </w:t>
      </w:r>
      <w:r w:rsidR="00FF73B4">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A2194D" w:rsidRPr="00500C4E" w14:paraId="345662A1" w14:textId="77777777" w:rsidTr="00A2194D">
        <w:trPr>
          <w:trHeight w:val="278"/>
        </w:trPr>
        <w:tc>
          <w:tcPr>
            <w:tcW w:w="672" w:type="pct"/>
          </w:tcPr>
          <w:p w14:paraId="37FA56A6" w14:textId="51BC3F68" w:rsidR="00A2194D" w:rsidRPr="00920905" w:rsidRDefault="00A2194D" w:rsidP="00175D14">
            <w:pPr>
              <w:rPr>
                <w:rFonts w:cstheme="minorHAnsi"/>
                <w:szCs w:val="20"/>
              </w:rPr>
            </w:pPr>
            <w:r>
              <w:rPr>
                <w:rFonts w:cstheme="minorHAnsi"/>
                <w:szCs w:val="20"/>
              </w:rPr>
              <w:t>ROB</w:t>
            </w:r>
          </w:p>
        </w:tc>
        <w:tc>
          <w:tcPr>
            <w:tcW w:w="1443" w:type="pct"/>
          </w:tcPr>
          <w:p w14:paraId="19DAF9B8" w14:textId="51B9E89D" w:rsidR="00A2194D" w:rsidRPr="00920905" w:rsidRDefault="00A2194D" w:rsidP="00175D14">
            <w:pPr>
              <w:rPr>
                <w:rFonts w:cstheme="minorHAnsi"/>
                <w:szCs w:val="20"/>
              </w:rPr>
            </w:pPr>
            <w:r>
              <w:rPr>
                <w:rFonts w:cstheme="minorHAnsi"/>
                <w:szCs w:val="20"/>
              </w:rPr>
              <w:t>(MEC + MLC) – (BEC + BLC)</w:t>
            </w:r>
          </w:p>
        </w:tc>
        <w:tc>
          <w:tcPr>
            <w:tcW w:w="1396" w:type="pct"/>
          </w:tcPr>
          <w:p w14:paraId="30774948" w14:textId="6C82B6B6" w:rsidR="00A2194D" w:rsidRPr="00920905" w:rsidRDefault="00A2194D" w:rsidP="00175D14">
            <w:pPr>
              <w:rPr>
                <w:rFonts w:cstheme="minorHAnsi"/>
                <w:szCs w:val="20"/>
              </w:rPr>
            </w:pPr>
            <w:r>
              <w:rPr>
                <w:rFonts w:cstheme="minorHAnsi"/>
                <w:szCs w:val="20"/>
              </w:rPr>
              <w:t>(MEC + MLC) – (BEC + BLC)</w:t>
            </w:r>
          </w:p>
        </w:tc>
        <w:tc>
          <w:tcPr>
            <w:tcW w:w="1489" w:type="pct"/>
          </w:tcPr>
          <w:p w14:paraId="00AAD267" w14:textId="67FA429B" w:rsidR="00A2194D" w:rsidRPr="00920905" w:rsidRDefault="00A2194D"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222B5DC8" w14:textId="77777777" w:rsidR="00796C43" w:rsidRDefault="00796C43" w:rsidP="00E364F3">
      <w:pPr>
        <w:pStyle w:val="Caption"/>
      </w:pPr>
    </w:p>
    <w:p w14:paraId="0AF3F83F" w14:textId="0AE90BB0" w:rsidR="00FF73B4" w:rsidRDefault="00931E45" w:rsidP="00E364F3">
      <w:pPr>
        <w:pStyle w:val="Caption"/>
      </w:pPr>
      <w:r>
        <w:t xml:space="preserve">Full and </w:t>
      </w:r>
      <w:r w:rsidR="00FF73B4" w:rsidRPr="00DE77D0">
        <w:t>Incremental Cost</w:t>
      </w:r>
      <w:r w:rsidR="00FF73B4">
        <w:t>s</w:t>
      </w:r>
      <w:r w:rsidR="00431F0E">
        <w:t xml:space="preserve"> (a sample)</w:t>
      </w:r>
    </w:p>
    <w:tbl>
      <w:tblPr>
        <w:tblStyle w:val="TableGrid1"/>
        <w:tblW w:w="5000" w:type="pct"/>
        <w:tblLook w:val="01E0" w:firstRow="1" w:lastRow="1" w:firstColumn="1" w:lastColumn="1" w:noHBand="0" w:noVBand="0"/>
      </w:tblPr>
      <w:tblGrid>
        <w:gridCol w:w="1071"/>
        <w:gridCol w:w="1394"/>
        <w:gridCol w:w="2373"/>
        <w:gridCol w:w="2294"/>
        <w:gridCol w:w="2444"/>
      </w:tblGrid>
      <w:tr w:rsidR="00F474EF" w:rsidRPr="00500C4E" w14:paraId="7122FF83" w14:textId="77777777" w:rsidTr="00103F62">
        <w:tc>
          <w:tcPr>
            <w:tcW w:w="559" w:type="pct"/>
            <w:vMerge w:val="restart"/>
            <w:shd w:val="clear" w:color="auto" w:fill="D9D9D9" w:themeFill="background1" w:themeFillShade="D9"/>
          </w:tcPr>
          <w:p w14:paraId="1B2725EC" w14:textId="589C410F" w:rsidR="00F474EF" w:rsidRDefault="00F474EF" w:rsidP="00103F62">
            <w:pPr>
              <w:rPr>
                <w:rFonts w:cstheme="minorHAnsi"/>
                <w:b/>
                <w:szCs w:val="20"/>
              </w:rPr>
            </w:pPr>
            <w:r>
              <w:rPr>
                <w:rFonts w:cstheme="minorHAnsi"/>
                <w:b/>
                <w:szCs w:val="20"/>
              </w:rPr>
              <w:t>Measure</w:t>
            </w:r>
          </w:p>
        </w:tc>
        <w:tc>
          <w:tcPr>
            <w:tcW w:w="728" w:type="pct"/>
            <w:vMerge w:val="restart"/>
            <w:shd w:val="clear" w:color="auto" w:fill="D9D9D9" w:themeFill="background1" w:themeFillShade="D9"/>
          </w:tcPr>
          <w:p w14:paraId="51D383F5" w14:textId="5E310F5C" w:rsidR="00F474EF" w:rsidRPr="00DE77D0" w:rsidRDefault="00F474EF" w:rsidP="00103F62">
            <w:pPr>
              <w:rPr>
                <w:rFonts w:cstheme="minorHAnsi"/>
                <w:b/>
                <w:szCs w:val="20"/>
                <w:highlight w:val="yellow"/>
              </w:rPr>
            </w:pPr>
            <w:r>
              <w:rPr>
                <w:rFonts w:cstheme="minorHAnsi"/>
                <w:b/>
                <w:szCs w:val="20"/>
              </w:rPr>
              <w:t>Installation Type</w:t>
            </w:r>
          </w:p>
        </w:tc>
        <w:tc>
          <w:tcPr>
            <w:tcW w:w="1239" w:type="pct"/>
            <w:vMerge w:val="restart"/>
            <w:shd w:val="clear" w:color="auto" w:fill="D9D9D9" w:themeFill="background1" w:themeFillShade="D9"/>
          </w:tcPr>
          <w:p w14:paraId="3A7A2512" w14:textId="77777777" w:rsidR="00F474EF" w:rsidRPr="00DE77D0" w:rsidRDefault="00F474EF" w:rsidP="00103F62">
            <w:pPr>
              <w:rPr>
                <w:rFonts w:cstheme="minorHAnsi"/>
                <w:b/>
                <w:szCs w:val="20"/>
              </w:rPr>
            </w:pPr>
            <w:r>
              <w:rPr>
                <w:rFonts w:cstheme="minorHAnsi"/>
                <w:b/>
                <w:szCs w:val="20"/>
              </w:rPr>
              <w:t>Incremental Measure Cost</w:t>
            </w:r>
          </w:p>
        </w:tc>
        <w:tc>
          <w:tcPr>
            <w:tcW w:w="2474" w:type="pct"/>
            <w:gridSpan w:val="2"/>
            <w:shd w:val="clear" w:color="auto" w:fill="D9D9D9" w:themeFill="background1" w:themeFillShade="D9"/>
          </w:tcPr>
          <w:p w14:paraId="7AECFFEC" w14:textId="77777777" w:rsidR="00F474EF" w:rsidRPr="00DE77D0" w:rsidRDefault="00F474EF" w:rsidP="00103F62">
            <w:pPr>
              <w:rPr>
                <w:rFonts w:cstheme="minorHAnsi"/>
                <w:b/>
                <w:szCs w:val="20"/>
                <w:highlight w:val="yellow"/>
              </w:rPr>
            </w:pPr>
            <w:r>
              <w:rPr>
                <w:rFonts w:cstheme="minorHAnsi"/>
                <w:b/>
                <w:szCs w:val="20"/>
              </w:rPr>
              <w:t>Full Measure Cost</w:t>
            </w:r>
          </w:p>
        </w:tc>
      </w:tr>
      <w:tr w:rsidR="00F474EF" w:rsidRPr="00500C4E" w14:paraId="06496C2D" w14:textId="77777777" w:rsidTr="00103F62">
        <w:tc>
          <w:tcPr>
            <w:tcW w:w="559" w:type="pct"/>
            <w:vMerge/>
            <w:shd w:val="clear" w:color="auto" w:fill="D9D9D9" w:themeFill="background1" w:themeFillShade="D9"/>
          </w:tcPr>
          <w:p w14:paraId="756DF1A0" w14:textId="77777777" w:rsidR="00F474EF" w:rsidRPr="00DE77D0" w:rsidRDefault="00F474EF" w:rsidP="00103F62">
            <w:pPr>
              <w:rPr>
                <w:rFonts w:cstheme="minorHAnsi"/>
                <w:b/>
                <w:szCs w:val="20"/>
              </w:rPr>
            </w:pPr>
          </w:p>
        </w:tc>
        <w:tc>
          <w:tcPr>
            <w:tcW w:w="728" w:type="pct"/>
            <w:vMerge/>
            <w:shd w:val="clear" w:color="auto" w:fill="D9D9D9" w:themeFill="background1" w:themeFillShade="D9"/>
          </w:tcPr>
          <w:p w14:paraId="66B12B51" w14:textId="47E69EFB" w:rsidR="00F474EF" w:rsidRPr="00DE77D0" w:rsidRDefault="00F474EF" w:rsidP="00103F62">
            <w:pPr>
              <w:rPr>
                <w:rFonts w:cstheme="minorHAnsi"/>
                <w:b/>
                <w:szCs w:val="20"/>
              </w:rPr>
            </w:pPr>
          </w:p>
        </w:tc>
        <w:tc>
          <w:tcPr>
            <w:tcW w:w="1239" w:type="pct"/>
            <w:vMerge/>
            <w:shd w:val="clear" w:color="auto" w:fill="D9D9D9" w:themeFill="background1" w:themeFillShade="D9"/>
          </w:tcPr>
          <w:p w14:paraId="35D79D77" w14:textId="77777777" w:rsidR="00F474EF" w:rsidRPr="00DE77D0" w:rsidRDefault="00F474EF" w:rsidP="00103F62">
            <w:pPr>
              <w:rPr>
                <w:rFonts w:cstheme="minorHAnsi"/>
                <w:b/>
                <w:szCs w:val="20"/>
              </w:rPr>
            </w:pPr>
          </w:p>
        </w:tc>
        <w:tc>
          <w:tcPr>
            <w:tcW w:w="1198" w:type="pct"/>
            <w:shd w:val="clear" w:color="auto" w:fill="F2F2F2" w:themeFill="background1" w:themeFillShade="F2"/>
          </w:tcPr>
          <w:p w14:paraId="2BC0AC4F" w14:textId="77777777" w:rsidR="00F474EF" w:rsidRPr="00DE77D0" w:rsidRDefault="00F474EF" w:rsidP="00103F62">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276" w:type="pct"/>
            <w:shd w:val="clear" w:color="auto" w:fill="F2F2F2" w:themeFill="background1" w:themeFillShade="F2"/>
          </w:tcPr>
          <w:p w14:paraId="199F1085" w14:textId="77777777" w:rsidR="00F474EF" w:rsidRPr="00DE77D0" w:rsidRDefault="00F474EF" w:rsidP="00103F62">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431F0E" w:rsidRPr="00500C4E" w14:paraId="64E9A8E4" w14:textId="77777777" w:rsidTr="00103F62">
        <w:tc>
          <w:tcPr>
            <w:tcW w:w="559" w:type="pct"/>
          </w:tcPr>
          <w:p w14:paraId="73C0EEF5" w14:textId="17DC28CF" w:rsidR="00431F0E" w:rsidRPr="00920905" w:rsidRDefault="00431F0E" w:rsidP="00103F62">
            <w:pPr>
              <w:rPr>
                <w:rFonts w:cstheme="minorHAnsi"/>
                <w:color w:val="FF0000"/>
                <w:szCs w:val="20"/>
              </w:rPr>
            </w:pPr>
            <w:r>
              <w:rPr>
                <w:rFonts w:ascii="Calibri" w:hAnsi="Calibri"/>
                <w:color w:val="000000"/>
                <w:szCs w:val="20"/>
              </w:rPr>
              <w:t>LT-19423</w:t>
            </w:r>
          </w:p>
        </w:tc>
        <w:tc>
          <w:tcPr>
            <w:tcW w:w="728" w:type="pct"/>
          </w:tcPr>
          <w:p w14:paraId="3EDB244E" w14:textId="24F63002" w:rsidR="00431F0E" w:rsidRPr="00A2194D" w:rsidRDefault="00406180" w:rsidP="00103F62">
            <w:pPr>
              <w:rPr>
                <w:rFonts w:ascii="Calibri" w:hAnsi="Calibri"/>
                <w:color w:val="000000"/>
                <w:szCs w:val="20"/>
              </w:rPr>
            </w:pPr>
            <w:r>
              <w:rPr>
                <w:rFonts w:ascii="Calibri" w:hAnsi="Calibri"/>
                <w:color w:val="000000"/>
                <w:szCs w:val="20"/>
              </w:rPr>
              <w:t>ROB</w:t>
            </w:r>
          </w:p>
        </w:tc>
        <w:tc>
          <w:tcPr>
            <w:tcW w:w="1239" w:type="pct"/>
          </w:tcPr>
          <w:p w14:paraId="780C91CF" w14:textId="1C8569F8" w:rsidR="00431F0E" w:rsidRPr="00920905" w:rsidRDefault="00431F0E" w:rsidP="00103F62">
            <w:pPr>
              <w:rPr>
                <w:rFonts w:cstheme="minorHAnsi"/>
                <w:color w:val="FF0000"/>
                <w:szCs w:val="20"/>
              </w:rPr>
            </w:pPr>
            <w:r>
              <w:rPr>
                <w:rFonts w:ascii="Calibri" w:hAnsi="Calibri"/>
                <w:color w:val="000000"/>
                <w:szCs w:val="20"/>
              </w:rPr>
              <w:t>$29.24</w:t>
            </w:r>
          </w:p>
        </w:tc>
        <w:tc>
          <w:tcPr>
            <w:tcW w:w="1198" w:type="pct"/>
          </w:tcPr>
          <w:p w14:paraId="1542AB5C" w14:textId="1D0D6FD1" w:rsidR="00431F0E" w:rsidRPr="00920905" w:rsidRDefault="00431F0E" w:rsidP="00103F62">
            <w:pPr>
              <w:rPr>
                <w:rFonts w:cstheme="minorHAnsi"/>
                <w:color w:val="FF0000"/>
                <w:szCs w:val="20"/>
              </w:rPr>
            </w:pPr>
            <w:r>
              <w:rPr>
                <w:rFonts w:ascii="Calibri" w:hAnsi="Calibri"/>
                <w:color w:val="000000"/>
                <w:szCs w:val="20"/>
              </w:rPr>
              <w:t>$29.24</w:t>
            </w:r>
          </w:p>
        </w:tc>
        <w:tc>
          <w:tcPr>
            <w:tcW w:w="1276" w:type="pct"/>
          </w:tcPr>
          <w:p w14:paraId="39B4B752" w14:textId="06DA277A" w:rsidR="00431F0E" w:rsidRPr="00920905" w:rsidRDefault="00431F0E" w:rsidP="00103F62">
            <w:pPr>
              <w:rPr>
                <w:rFonts w:cstheme="minorHAnsi"/>
                <w:color w:val="FF0000"/>
                <w:szCs w:val="20"/>
              </w:rPr>
            </w:pPr>
            <w:r>
              <w:rPr>
                <w:rFonts w:ascii="Calibri" w:hAnsi="Calibri"/>
                <w:color w:val="000000"/>
                <w:szCs w:val="20"/>
              </w:rPr>
              <w:t>N/A</w:t>
            </w:r>
          </w:p>
        </w:tc>
      </w:tr>
      <w:tr w:rsidR="00431F0E" w:rsidRPr="00500C4E" w14:paraId="696CA99C" w14:textId="77777777" w:rsidTr="00103F62">
        <w:tc>
          <w:tcPr>
            <w:tcW w:w="559" w:type="pct"/>
          </w:tcPr>
          <w:p w14:paraId="0BB79096" w14:textId="67098855" w:rsidR="00431F0E" w:rsidRDefault="00431F0E" w:rsidP="00103F62">
            <w:pPr>
              <w:rPr>
                <w:rFonts w:cstheme="minorHAnsi"/>
                <w:color w:val="FF0000"/>
                <w:szCs w:val="20"/>
              </w:rPr>
            </w:pPr>
            <w:r>
              <w:rPr>
                <w:rFonts w:ascii="Calibri" w:hAnsi="Calibri"/>
                <w:color w:val="000000"/>
                <w:szCs w:val="20"/>
              </w:rPr>
              <w:t>LT-23209</w:t>
            </w:r>
          </w:p>
        </w:tc>
        <w:tc>
          <w:tcPr>
            <w:tcW w:w="728" w:type="pct"/>
          </w:tcPr>
          <w:p w14:paraId="1C328803" w14:textId="742A4551" w:rsidR="00431F0E" w:rsidRPr="00A2194D" w:rsidRDefault="00406180" w:rsidP="00103F62">
            <w:pPr>
              <w:rPr>
                <w:rFonts w:ascii="Calibri" w:hAnsi="Calibri"/>
                <w:color w:val="000000"/>
                <w:szCs w:val="20"/>
              </w:rPr>
            </w:pPr>
            <w:r>
              <w:rPr>
                <w:rFonts w:ascii="Calibri" w:hAnsi="Calibri"/>
                <w:color w:val="000000"/>
                <w:szCs w:val="20"/>
              </w:rPr>
              <w:t>ROB</w:t>
            </w:r>
          </w:p>
        </w:tc>
        <w:tc>
          <w:tcPr>
            <w:tcW w:w="1239" w:type="pct"/>
          </w:tcPr>
          <w:p w14:paraId="5998936F" w14:textId="7F620893" w:rsidR="00431F0E" w:rsidRPr="00920905" w:rsidRDefault="00431F0E" w:rsidP="00103F62">
            <w:pPr>
              <w:rPr>
                <w:rFonts w:cstheme="minorHAnsi"/>
                <w:color w:val="FF0000"/>
                <w:szCs w:val="20"/>
              </w:rPr>
            </w:pPr>
            <w:r>
              <w:rPr>
                <w:rFonts w:ascii="Calibri" w:hAnsi="Calibri"/>
                <w:color w:val="000000"/>
                <w:szCs w:val="20"/>
              </w:rPr>
              <w:t>$38.25</w:t>
            </w:r>
          </w:p>
        </w:tc>
        <w:tc>
          <w:tcPr>
            <w:tcW w:w="1198" w:type="pct"/>
          </w:tcPr>
          <w:p w14:paraId="4D5CF9F1" w14:textId="6EEFF9A4" w:rsidR="00431F0E" w:rsidRPr="00920905" w:rsidRDefault="00431F0E" w:rsidP="00103F62">
            <w:pPr>
              <w:rPr>
                <w:rFonts w:cstheme="minorHAnsi"/>
                <w:color w:val="FF0000"/>
                <w:szCs w:val="20"/>
              </w:rPr>
            </w:pPr>
            <w:r>
              <w:rPr>
                <w:rFonts w:ascii="Calibri" w:hAnsi="Calibri"/>
                <w:color w:val="000000"/>
                <w:szCs w:val="20"/>
              </w:rPr>
              <w:t>$38.25</w:t>
            </w:r>
          </w:p>
        </w:tc>
        <w:tc>
          <w:tcPr>
            <w:tcW w:w="1276" w:type="pct"/>
          </w:tcPr>
          <w:p w14:paraId="02ED6C9E" w14:textId="6FE20BA4" w:rsidR="00431F0E" w:rsidRPr="00920905" w:rsidRDefault="00431F0E" w:rsidP="00103F62">
            <w:pPr>
              <w:rPr>
                <w:rFonts w:cstheme="minorHAnsi"/>
                <w:color w:val="FF0000"/>
                <w:szCs w:val="20"/>
              </w:rPr>
            </w:pPr>
            <w:r>
              <w:rPr>
                <w:rFonts w:ascii="Calibri" w:hAnsi="Calibri"/>
                <w:color w:val="000000"/>
                <w:szCs w:val="20"/>
              </w:rPr>
              <w:t>N/A</w:t>
            </w:r>
          </w:p>
        </w:tc>
      </w:tr>
      <w:tr w:rsidR="00431F0E" w:rsidRPr="00500C4E" w14:paraId="67431E14" w14:textId="77777777" w:rsidTr="00103F62">
        <w:tc>
          <w:tcPr>
            <w:tcW w:w="559" w:type="pct"/>
          </w:tcPr>
          <w:p w14:paraId="41B3D6A3" w14:textId="6638C866" w:rsidR="00431F0E" w:rsidRDefault="00431F0E" w:rsidP="00103F62">
            <w:pPr>
              <w:rPr>
                <w:rFonts w:cstheme="minorHAnsi"/>
                <w:color w:val="FF0000"/>
                <w:szCs w:val="20"/>
              </w:rPr>
            </w:pPr>
            <w:r>
              <w:rPr>
                <w:rFonts w:ascii="Calibri" w:hAnsi="Calibri"/>
                <w:color w:val="000000"/>
                <w:szCs w:val="20"/>
              </w:rPr>
              <w:t>LT-39075</w:t>
            </w:r>
          </w:p>
        </w:tc>
        <w:tc>
          <w:tcPr>
            <w:tcW w:w="728" w:type="pct"/>
          </w:tcPr>
          <w:p w14:paraId="2B3E13AB" w14:textId="1371980C" w:rsidR="00431F0E" w:rsidRPr="00A2194D" w:rsidRDefault="00406180" w:rsidP="00103F62">
            <w:pPr>
              <w:rPr>
                <w:rFonts w:ascii="Calibri" w:hAnsi="Calibri"/>
                <w:color w:val="000000"/>
                <w:szCs w:val="20"/>
              </w:rPr>
            </w:pPr>
            <w:r>
              <w:rPr>
                <w:rFonts w:ascii="Calibri" w:hAnsi="Calibri"/>
                <w:color w:val="000000"/>
                <w:szCs w:val="20"/>
              </w:rPr>
              <w:t>ROB</w:t>
            </w:r>
          </w:p>
        </w:tc>
        <w:tc>
          <w:tcPr>
            <w:tcW w:w="1239" w:type="pct"/>
          </w:tcPr>
          <w:p w14:paraId="0785428B" w14:textId="6FCC0014" w:rsidR="00431F0E" w:rsidRPr="00920905" w:rsidRDefault="00431F0E" w:rsidP="00103F62">
            <w:pPr>
              <w:rPr>
                <w:rFonts w:cstheme="minorHAnsi"/>
                <w:color w:val="FF0000"/>
                <w:szCs w:val="20"/>
              </w:rPr>
            </w:pPr>
            <w:r>
              <w:rPr>
                <w:rFonts w:ascii="Calibri" w:hAnsi="Calibri"/>
                <w:color w:val="000000"/>
                <w:szCs w:val="20"/>
              </w:rPr>
              <w:t>$35.46</w:t>
            </w:r>
          </w:p>
        </w:tc>
        <w:tc>
          <w:tcPr>
            <w:tcW w:w="1198" w:type="pct"/>
          </w:tcPr>
          <w:p w14:paraId="1E56838C" w14:textId="002BFA74" w:rsidR="00431F0E" w:rsidRPr="00920905" w:rsidRDefault="00431F0E" w:rsidP="00103F62">
            <w:pPr>
              <w:rPr>
                <w:rFonts w:cstheme="minorHAnsi"/>
                <w:color w:val="FF0000"/>
                <w:szCs w:val="20"/>
              </w:rPr>
            </w:pPr>
            <w:r>
              <w:rPr>
                <w:rFonts w:ascii="Calibri" w:hAnsi="Calibri"/>
                <w:color w:val="000000"/>
                <w:szCs w:val="20"/>
              </w:rPr>
              <w:t>$35.46</w:t>
            </w:r>
          </w:p>
        </w:tc>
        <w:tc>
          <w:tcPr>
            <w:tcW w:w="1276" w:type="pct"/>
          </w:tcPr>
          <w:p w14:paraId="78015C69" w14:textId="4DE5867E" w:rsidR="00431F0E" w:rsidRPr="00920905" w:rsidRDefault="00431F0E" w:rsidP="00103F62">
            <w:pPr>
              <w:rPr>
                <w:rFonts w:cstheme="minorHAnsi"/>
                <w:color w:val="FF0000"/>
                <w:szCs w:val="20"/>
              </w:rPr>
            </w:pPr>
            <w:r>
              <w:rPr>
                <w:rFonts w:ascii="Calibri" w:hAnsi="Calibri"/>
                <w:color w:val="000000"/>
                <w:szCs w:val="20"/>
              </w:rPr>
              <w:t>N/A</w:t>
            </w:r>
          </w:p>
        </w:tc>
      </w:tr>
      <w:tr w:rsidR="00431F0E" w:rsidRPr="00500C4E" w14:paraId="19AFA6E4" w14:textId="77777777" w:rsidTr="00103F62">
        <w:tc>
          <w:tcPr>
            <w:tcW w:w="559" w:type="pct"/>
          </w:tcPr>
          <w:p w14:paraId="65499FA8" w14:textId="2990D956" w:rsidR="00431F0E" w:rsidRDefault="00431F0E" w:rsidP="00103F62">
            <w:pPr>
              <w:rPr>
                <w:rFonts w:cstheme="minorHAnsi"/>
                <w:color w:val="FF0000"/>
                <w:szCs w:val="20"/>
              </w:rPr>
            </w:pPr>
            <w:r>
              <w:rPr>
                <w:rFonts w:ascii="Calibri" w:hAnsi="Calibri"/>
                <w:color w:val="000000"/>
                <w:szCs w:val="20"/>
              </w:rPr>
              <w:t>LT-59876</w:t>
            </w:r>
          </w:p>
        </w:tc>
        <w:tc>
          <w:tcPr>
            <w:tcW w:w="728" w:type="pct"/>
          </w:tcPr>
          <w:p w14:paraId="547EDAF4" w14:textId="239311CC" w:rsidR="00431F0E" w:rsidRPr="00A2194D" w:rsidRDefault="00406180" w:rsidP="00103F62">
            <w:pPr>
              <w:rPr>
                <w:rFonts w:ascii="Calibri" w:hAnsi="Calibri"/>
                <w:color w:val="000000"/>
                <w:szCs w:val="20"/>
              </w:rPr>
            </w:pPr>
            <w:r>
              <w:rPr>
                <w:rFonts w:ascii="Calibri" w:hAnsi="Calibri"/>
                <w:color w:val="000000"/>
                <w:szCs w:val="20"/>
              </w:rPr>
              <w:t>ROB</w:t>
            </w:r>
          </w:p>
        </w:tc>
        <w:tc>
          <w:tcPr>
            <w:tcW w:w="1239" w:type="pct"/>
          </w:tcPr>
          <w:p w14:paraId="21A2A433" w14:textId="1C7AEC13" w:rsidR="00431F0E" w:rsidRPr="00920905" w:rsidRDefault="00431F0E" w:rsidP="00103F62">
            <w:pPr>
              <w:rPr>
                <w:rFonts w:cstheme="minorHAnsi"/>
                <w:color w:val="FF0000"/>
                <w:szCs w:val="20"/>
              </w:rPr>
            </w:pPr>
            <w:r>
              <w:rPr>
                <w:rFonts w:ascii="Calibri" w:hAnsi="Calibri"/>
                <w:color w:val="000000"/>
                <w:szCs w:val="20"/>
              </w:rPr>
              <w:t>$43.22</w:t>
            </w:r>
          </w:p>
        </w:tc>
        <w:tc>
          <w:tcPr>
            <w:tcW w:w="1198" w:type="pct"/>
          </w:tcPr>
          <w:p w14:paraId="7781FF08" w14:textId="32BF60F5" w:rsidR="00431F0E" w:rsidRPr="00920905" w:rsidRDefault="00431F0E" w:rsidP="00103F62">
            <w:pPr>
              <w:rPr>
                <w:rFonts w:cstheme="minorHAnsi"/>
                <w:color w:val="FF0000"/>
                <w:szCs w:val="20"/>
              </w:rPr>
            </w:pPr>
            <w:r>
              <w:rPr>
                <w:rFonts w:ascii="Calibri" w:hAnsi="Calibri"/>
                <w:color w:val="000000"/>
                <w:szCs w:val="20"/>
              </w:rPr>
              <w:t>$43.22</w:t>
            </w:r>
          </w:p>
        </w:tc>
        <w:tc>
          <w:tcPr>
            <w:tcW w:w="1276" w:type="pct"/>
          </w:tcPr>
          <w:p w14:paraId="5121D330" w14:textId="7965699C" w:rsidR="00431F0E" w:rsidRPr="00920905" w:rsidRDefault="00431F0E" w:rsidP="00103F62">
            <w:pPr>
              <w:rPr>
                <w:rFonts w:cstheme="minorHAnsi"/>
                <w:color w:val="FF0000"/>
                <w:szCs w:val="20"/>
              </w:rPr>
            </w:pPr>
            <w:r>
              <w:rPr>
                <w:rFonts w:ascii="Calibri" w:hAnsi="Calibri"/>
                <w:color w:val="000000"/>
                <w:szCs w:val="20"/>
              </w:rPr>
              <w:t>N/A</w:t>
            </w:r>
          </w:p>
        </w:tc>
      </w:tr>
      <w:tr w:rsidR="00431F0E" w:rsidRPr="00500C4E" w14:paraId="78CECCCA" w14:textId="77777777" w:rsidTr="00103F62">
        <w:tc>
          <w:tcPr>
            <w:tcW w:w="559" w:type="pct"/>
          </w:tcPr>
          <w:p w14:paraId="46753F1B" w14:textId="772D7282" w:rsidR="00431F0E" w:rsidRDefault="00431F0E" w:rsidP="00103F62">
            <w:pPr>
              <w:rPr>
                <w:rFonts w:cstheme="minorHAnsi"/>
                <w:color w:val="FF0000"/>
                <w:szCs w:val="20"/>
              </w:rPr>
            </w:pPr>
            <w:r>
              <w:rPr>
                <w:rFonts w:ascii="Calibri" w:hAnsi="Calibri"/>
                <w:color w:val="000000"/>
                <w:szCs w:val="20"/>
              </w:rPr>
              <w:t>LT-68432</w:t>
            </w:r>
          </w:p>
        </w:tc>
        <w:tc>
          <w:tcPr>
            <w:tcW w:w="728" w:type="pct"/>
          </w:tcPr>
          <w:p w14:paraId="1B02DC0E" w14:textId="1C7418BD" w:rsidR="00431F0E" w:rsidRPr="00A2194D" w:rsidRDefault="00406180" w:rsidP="00103F62">
            <w:pPr>
              <w:rPr>
                <w:rFonts w:ascii="Calibri" w:hAnsi="Calibri"/>
                <w:color w:val="000000"/>
                <w:szCs w:val="20"/>
              </w:rPr>
            </w:pPr>
            <w:r>
              <w:rPr>
                <w:rFonts w:ascii="Calibri" w:hAnsi="Calibri"/>
                <w:color w:val="000000"/>
                <w:szCs w:val="20"/>
              </w:rPr>
              <w:t>ROB</w:t>
            </w:r>
          </w:p>
        </w:tc>
        <w:tc>
          <w:tcPr>
            <w:tcW w:w="1239" w:type="pct"/>
          </w:tcPr>
          <w:p w14:paraId="57C0D87B" w14:textId="731C0020" w:rsidR="00431F0E" w:rsidRPr="00920905" w:rsidRDefault="00431F0E" w:rsidP="00103F62">
            <w:pPr>
              <w:rPr>
                <w:rFonts w:cstheme="minorHAnsi"/>
                <w:color w:val="FF0000"/>
                <w:szCs w:val="20"/>
              </w:rPr>
            </w:pPr>
            <w:r>
              <w:rPr>
                <w:rFonts w:ascii="Calibri" w:hAnsi="Calibri"/>
                <w:color w:val="000000"/>
                <w:szCs w:val="20"/>
              </w:rPr>
              <w:t>$30.48</w:t>
            </w:r>
          </w:p>
        </w:tc>
        <w:tc>
          <w:tcPr>
            <w:tcW w:w="1198" w:type="pct"/>
          </w:tcPr>
          <w:p w14:paraId="1C3DC6E5" w14:textId="143DC490" w:rsidR="00431F0E" w:rsidRPr="00920905" w:rsidRDefault="00431F0E" w:rsidP="00103F62">
            <w:pPr>
              <w:rPr>
                <w:rFonts w:cstheme="minorHAnsi"/>
                <w:color w:val="FF0000"/>
                <w:szCs w:val="20"/>
              </w:rPr>
            </w:pPr>
            <w:r>
              <w:rPr>
                <w:rFonts w:ascii="Calibri" w:hAnsi="Calibri"/>
                <w:color w:val="000000"/>
                <w:szCs w:val="20"/>
              </w:rPr>
              <w:t>$30.48</w:t>
            </w:r>
          </w:p>
        </w:tc>
        <w:tc>
          <w:tcPr>
            <w:tcW w:w="1276" w:type="pct"/>
          </w:tcPr>
          <w:p w14:paraId="0903FB5D" w14:textId="42917DB5" w:rsidR="00431F0E" w:rsidRPr="00920905" w:rsidRDefault="00431F0E" w:rsidP="00103F62">
            <w:pPr>
              <w:rPr>
                <w:rFonts w:cstheme="minorHAnsi"/>
                <w:color w:val="FF0000"/>
                <w:szCs w:val="20"/>
              </w:rPr>
            </w:pPr>
            <w:r>
              <w:rPr>
                <w:rFonts w:ascii="Calibri" w:hAnsi="Calibri"/>
                <w:color w:val="000000"/>
                <w:szCs w:val="20"/>
              </w:rPr>
              <w:t>N/A</w:t>
            </w:r>
          </w:p>
        </w:tc>
      </w:tr>
      <w:tr w:rsidR="00431F0E" w:rsidRPr="00500C4E" w14:paraId="3AA9A05C" w14:textId="77777777" w:rsidTr="00103F62">
        <w:tc>
          <w:tcPr>
            <w:tcW w:w="559" w:type="pct"/>
          </w:tcPr>
          <w:p w14:paraId="6863A74C" w14:textId="78214CB6" w:rsidR="00431F0E" w:rsidRDefault="00431F0E" w:rsidP="00103F62">
            <w:pPr>
              <w:rPr>
                <w:rFonts w:cstheme="minorHAnsi"/>
                <w:color w:val="FF0000"/>
                <w:szCs w:val="20"/>
              </w:rPr>
            </w:pPr>
            <w:r>
              <w:rPr>
                <w:rFonts w:ascii="Calibri" w:hAnsi="Calibri"/>
                <w:color w:val="000000"/>
                <w:szCs w:val="20"/>
              </w:rPr>
              <w:t>LT-79504</w:t>
            </w:r>
          </w:p>
        </w:tc>
        <w:tc>
          <w:tcPr>
            <w:tcW w:w="728" w:type="pct"/>
          </w:tcPr>
          <w:p w14:paraId="521608E4" w14:textId="048578D9" w:rsidR="00431F0E" w:rsidRPr="00A2194D" w:rsidRDefault="00406180" w:rsidP="00103F62">
            <w:pPr>
              <w:rPr>
                <w:rFonts w:ascii="Calibri" w:hAnsi="Calibri"/>
                <w:color w:val="000000"/>
                <w:szCs w:val="20"/>
              </w:rPr>
            </w:pPr>
            <w:r>
              <w:rPr>
                <w:rFonts w:ascii="Calibri" w:hAnsi="Calibri"/>
                <w:color w:val="000000"/>
                <w:szCs w:val="20"/>
              </w:rPr>
              <w:t>ROB</w:t>
            </w:r>
          </w:p>
        </w:tc>
        <w:tc>
          <w:tcPr>
            <w:tcW w:w="1239" w:type="pct"/>
          </w:tcPr>
          <w:p w14:paraId="325FFD74" w14:textId="0D6AE09B" w:rsidR="00431F0E" w:rsidRPr="00920905" w:rsidRDefault="00431F0E" w:rsidP="00103F62">
            <w:pPr>
              <w:rPr>
                <w:rFonts w:cstheme="minorHAnsi"/>
                <w:color w:val="FF0000"/>
                <w:szCs w:val="20"/>
              </w:rPr>
            </w:pPr>
            <w:r>
              <w:rPr>
                <w:rFonts w:ascii="Calibri" w:hAnsi="Calibri"/>
                <w:color w:val="000000"/>
                <w:szCs w:val="20"/>
              </w:rPr>
              <w:t>$24.52</w:t>
            </w:r>
          </w:p>
        </w:tc>
        <w:tc>
          <w:tcPr>
            <w:tcW w:w="1198" w:type="pct"/>
          </w:tcPr>
          <w:p w14:paraId="278B10D3" w14:textId="5837604A" w:rsidR="00431F0E" w:rsidRPr="00920905" w:rsidRDefault="00431F0E" w:rsidP="00103F62">
            <w:pPr>
              <w:rPr>
                <w:rFonts w:cstheme="minorHAnsi"/>
                <w:color w:val="FF0000"/>
                <w:szCs w:val="20"/>
              </w:rPr>
            </w:pPr>
            <w:r>
              <w:rPr>
                <w:rFonts w:ascii="Calibri" w:hAnsi="Calibri"/>
                <w:color w:val="000000"/>
                <w:szCs w:val="20"/>
              </w:rPr>
              <w:t>$24.52</w:t>
            </w:r>
          </w:p>
        </w:tc>
        <w:tc>
          <w:tcPr>
            <w:tcW w:w="1276" w:type="pct"/>
          </w:tcPr>
          <w:p w14:paraId="1D1145A6" w14:textId="6290624B" w:rsidR="00431F0E" w:rsidRPr="00920905" w:rsidRDefault="00431F0E" w:rsidP="00103F62">
            <w:pPr>
              <w:rPr>
                <w:rFonts w:cstheme="minorHAnsi"/>
                <w:color w:val="FF0000"/>
                <w:szCs w:val="20"/>
              </w:rPr>
            </w:pPr>
            <w:r>
              <w:rPr>
                <w:rFonts w:ascii="Calibri" w:hAnsi="Calibri"/>
                <w:color w:val="000000"/>
                <w:szCs w:val="20"/>
              </w:rPr>
              <w:t>N/A</w:t>
            </w:r>
          </w:p>
        </w:tc>
      </w:tr>
      <w:tr w:rsidR="00431F0E" w:rsidRPr="00500C4E" w14:paraId="7001B3B9" w14:textId="77777777" w:rsidTr="00103F62">
        <w:tc>
          <w:tcPr>
            <w:tcW w:w="559" w:type="pct"/>
          </w:tcPr>
          <w:p w14:paraId="35947115" w14:textId="05A741B0" w:rsidR="00431F0E" w:rsidRDefault="00431F0E" w:rsidP="00103F62">
            <w:pPr>
              <w:rPr>
                <w:rFonts w:cstheme="minorHAnsi"/>
                <w:color w:val="FF0000"/>
                <w:szCs w:val="20"/>
              </w:rPr>
            </w:pPr>
            <w:r>
              <w:rPr>
                <w:rFonts w:ascii="Calibri" w:hAnsi="Calibri"/>
                <w:color w:val="000000"/>
                <w:szCs w:val="20"/>
              </w:rPr>
              <w:t>LT-80989</w:t>
            </w:r>
          </w:p>
        </w:tc>
        <w:tc>
          <w:tcPr>
            <w:tcW w:w="728" w:type="pct"/>
          </w:tcPr>
          <w:p w14:paraId="1AC2FF48" w14:textId="4F64566E" w:rsidR="00431F0E" w:rsidRPr="00A2194D" w:rsidRDefault="00406180" w:rsidP="00103F62">
            <w:pPr>
              <w:rPr>
                <w:rFonts w:ascii="Calibri" w:hAnsi="Calibri"/>
                <w:color w:val="000000"/>
                <w:szCs w:val="20"/>
              </w:rPr>
            </w:pPr>
            <w:r>
              <w:rPr>
                <w:rFonts w:ascii="Calibri" w:hAnsi="Calibri"/>
                <w:color w:val="000000"/>
                <w:szCs w:val="20"/>
              </w:rPr>
              <w:t>ROB</w:t>
            </w:r>
          </w:p>
        </w:tc>
        <w:tc>
          <w:tcPr>
            <w:tcW w:w="1239" w:type="pct"/>
          </w:tcPr>
          <w:p w14:paraId="45C84007" w14:textId="2D059FFC" w:rsidR="00431F0E" w:rsidRPr="00920905" w:rsidRDefault="00431F0E" w:rsidP="00103F62">
            <w:pPr>
              <w:rPr>
                <w:rFonts w:cstheme="minorHAnsi"/>
                <w:color w:val="FF0000"/>
                <w:szCs w:val="20"/>
              </w:rPr>
            </w:pPr>
            <w:r>
              <w:rPr>
                <w:rFonts w:ascii="Calibri" w:hAnsi="Calibri"/>
                <w:color w:val="000000"/>
                <w:szCs w:val="20"/>
              </w:rPr>
              <w:t>$32.97</w:t>
            </w:r>
          </w:p>
        </w:tc>
        <w:tc>
          <w:tcPr>
            <w:tcW w:w="1198" w:type="pct"/>
          </w:tcPr>
          <w:p w14:paraId="2E4D2256" w14:textId="4BD763AF" w:rsidR="00431F0E" w:rsidRPr="00920905" w:rsidRDefault="00431F0E" w:rsidP="00103F62">
            <w:pPr>
              <w:rPr>
                <w:rFonts w:cstheme="minorHAnsi"/>
                <w:color w:val="FF0000"/>
                <w:szCs w:val="20"/>
              </w:rPr>
            </w:pPr>
            <w:r>
              <w:rPr>
                <w:rFonts w:ascii="Calibri" w:hAnsi="Calibri"/>
                <w:color w:val="000000"/>
                <w:szCs w:val="20"/>
              </w:rPr>
              <w:t>$32.97</w:t>
            </w:r>
          </w:p>
        </w:tc>
        <w:tc>
          <w:tcPr>
            <w:tcW w:w="1276" w:type="pct"/>
          </w:tcPr>
          <w:p w14:paraId="602B1641" w14:textId="5817B368" w:rsidR="00431F0E" w:rsidRPr="00920905" w:rsidRDefault="00431F0E" w:rsidP="00103F62">
            <w:pPr>
              <w:rPr>
                <w:rFonts w:cstheme="minorHAnsi"/>
                <w:color w:val="FF0000"/>
                <w:szCs w:val="20"/>
              </w:rPr>
            </w:pPr>
            <w:r>
              <w:rPr>
                <w:rFonts w:ascii="Calibri" w:hAnsi="Calibri"/>
                <w:color w:val="000000"/>
                <w:szCs w:val="20"/>
              </w:rPr>
              <w:t>N/A</w:t>
            </w:r>
          </w:p>
        </w:tc>
      </w:tr>
      <w:tr w:rsidR="00431F0E" w:rsidRPr="00500C4E" w14:paraId="3FEC148E" w14:textId="77777777" w:rsidTr="00103F62">
        <w:tc>
          <w:tcPr>
            <w:tcW w:w="559" w:type="pct"/>
          </w:tcPr>
          <w:p w14:paraId="3925F631" w14:textId="7C8B5B24" w:rsidR="00431F0E" w:rsidRDefault="00431F0E" w:rsidP="00103F62">
            <w:pPr>
              <w:rPr>
                <w:rFonts w:cstheme="minorHAnsi"/>
                <w:color w:val="FF0000"/>
                <w:szCs w:val="20"/>
              </w:rPr>
            </w:pPr>
            <w:r>
              <w:rPr>
                <w:rFonts w:ascii="Calibri" w:hAnsi="Calibri"/>
                <w:color w:val="000000"/>
                <w:szCs w:val="20"/>
              </w:rPr>
              <w:t>LT-81657</w:t>
            </w:r>
          </w:p>
        </w:tc>
        <w:tc>
          <w:tcPr>
            <w:tcW w:w="728" w:type="pct"/>
          </w:tcPr>
          <w:p w14:paraId="0062829B" w14:textId="64E1B82F" w:rsidR="00431F0E" w:rsidRPr="00A2194D" w:rsidRDefault="00406180" w:rsidP="00103F62">
            <w:pPr>
              <w:rPr>
                <w:rFonts w:ascii="Calibri" w:hAnsi="Calibri"/>
                <w:color w:val="000000"/>
                <w:szCs w:val="20"/>
              </w:rPr>
            </w:pPr>
            <w:r>
              <w:rPr>
                <w:rFonts w:ascii="Calibri" w:hAnsi="Calibri"/>
                <w:color w:val="000000"/>
                <w:szCs w:val="20"/>
              </w:rPr>
              <w:t>ROB</w:t>
            </w:r>
          </w:p>
        </w:tc>
        <w:tc>
          <w:tcPr>
            <w:tcW w:w="1239" w:type="pct"/>
          </w:tcPr>
          <w:p w14:paraId="5E392EC0" w14:textId="3ACB5202" w:rsidR="00431F0E" w:rsidRPr="00920905" w:rsidRDefault="00431F0E" w:rsidP="00103F62">
            <w:pPr>
              <w:rPr>
                <w:rFonts w:cstheme="minorHAnsi"/>
                <w:color w:val="FF0000"/>
                <w:szCs w:val="20"/>
              </w:rPr>
            </w:pPr>
            <w:r>
              <w:rPr>
                <w:rFonts w:ascii="Calibri" w:hAnsi="Calibri"/>
                <w:color w:val="000000"/>
                <w:szCs w:val="20"/>
              </w:rPr>
              <w:t>$35.76</w:t>
            </w:r>
          </w:p>
        </w:tc>
        <w:tc>
          <w:tcPr>
            <w:tcW w:w="1198" w:type="pct"/>
          </w:tcPr>
          <w:p w14:paraId="52C36FAA" w14:textId="2515F896" w:rsidR="00431F0E" w:rsidRPr="00920905" w:rsidRDefault="00431F0E" w:rsidP="00103F62">
            <w:pPr>
              <w:rPr>
                <w:rFonts w:cstheme="minorHAnsi"/>
                <w:color w:val="FF0000"/>
                <w:szCs w:val="20"/>
              </w:rPr>
            </w:pPr>
            <w:r>
              <w:rPr>
                <w:rFonts w:ascii="Calibri" w:hAnsi="Calibri"/>
                <w:color w:val="000000"/>
                <w:szCs w:val="20"/>
              </w:rPr>
              <w:t>$35.76</w:t>
            </w:r>
          </w:p>
        </w:tc>
        <w:tc>
          <w:tcPr>
            <w:tcW w:w="1276" w:type="pct"/>
          </w:tcPr>
          <w:p w14:paraId="2E9FB4E9" w14:textId="204A86A8" w:rsidR="00431F0E" w:rsidRPr="00920905" w:rsidRDefault="00431F0E" w:rsidP="00103F62">
            <w:pPr>
              <w:rPr>
                <w:rFonts w:cstheme="minorHAnsi"/>
                <w:color w:val="FF0000"/>
                <w:szCs w:val="20"/>
              </w:rPr>
            </w:pPr>
            <w:r>
              <w:rPr>
                <w:rFonts w:ascii="Calibri" w:hAnsi="Calibri"/>
                <w:color w:val="000000"/>
                <w:szCs w:val="20"/>
              </w:rPr>
              <w:t>N/A</w:t>
            </w:r>
          </w:p>
        </w:tc>
      </w:tr>
      <w:tr w:rsidR="00431F0E" w:rsidRPr="00500C4E" w14:paraId="77B23F8D" w14:textId="77777777" w:rsidTr="00103F62">
        <w:tc>
          <w:tcPr>
            <w:tcW w:w="559" w:type="pct"/>
          </w:tcPr>
          <w:p w14:paraId="5F260DCE" w14:textId="0B09CEF2" w:rsidR="00431F0E" w:rsidRDefault="00431F0E" w:rsidP="00103F62">
            <w:pPr>
              <w:rPr>
                <w:rFonts w:cstheme="minorHAnsi"/>
                <w:color w:val="FF0000"/>
                <w:szCs w:val="20"/>
              </w:rPr>
            </w:pPr>
            <w:r>
              <w:rPr>
                <w:rFonts w:ascii="Calibri" w:hAnsi="Calibri"/>
                <w:color w:val="000000"/>
                <w:szCs w:val="20"/>
              </w:rPr>
              <w:t>LT-87943</w:t>
            </w:r>
          </w:p>
        </w:tc>
        <w:tc>
          <w:tcPr>
            <w:tcW w:w="728" w:type="pct"/>
          </w:tcPr>
          <w:p w14:paraId="51EC878E" w14:textId="08CBBDBE" w:rsidR="00431F0E" w:rsidRPr="00A2194D" w:rsidRDefault="00406180" w:rsidP="00103F62">
            <w:pPr>
              <w:rPr>
                <w:rFonts w:ascii="Calibri" w:hAnsi="Calibri"/>
                <w:color w:val="000000"/>
                <w:szCs w:val="20"/>
              </w:rPr>
            </w:pPr>
            <w:r>
              <w:rPr>
                <w:rFonts w:ascii="Calibri" w:hAnsi="Calibri"/>
                <w:color w:val="000000"/>
                <w:szCs w:val="20"/>
              </w:rPr>
              <w:t>ROB</w:t>
            </w:r>
          </w:p>
        </w:tc>
        <w:tc>
          <w:tcPr>
            <w:tcW w:w="1239" w:type="pct"/>
          </w:tcPr>
          <w:p w14:paraId="7A1925C1" w14:textId="5CD0AA8C" w:rsidR="00431F0E" w:rsidRPr="00920905" w:rsidRDefault="00431F0E" w:rsidP="00103F62">
            <w:pPr>
              <w:rPr>
                <w:rFonts w:cstheme="minorHAnsi"/>
                <w:color w:val="FF0000"/>
                <w:szCs w:val="20"/>
              </w:rPr>
            </w:pPr>
            <w:r>
              <w:rPr>
                <w:rFonts w:ascii="Calibri" w:hAnsi="Calibri"/>
                <w:color w:val="000000"/>
                <w:szCs w:val="20"/>
              </w:rPr>
              <w:t>$46.96</w:t>
            </w:r>
          </w:p>
        </w:tc>
        <w:tc>
          <w:tcPr>
            <w:tcW w:w="1198" w:type="pct"/>
          </w:tcPr>
          <w:p w14:paraId="31CA4EC8" w14:textId="4C2BA456" w:rsidR="00431F0E" w:rsidRPr="00920905" w:rsidRDefault="00431F0E" w:rsidP="00103F62">
            <w:pPr>
              <w:rPr>
                <w:rFonts w:cstheme="minorHAnsi"/>
                <w:color w:val="FF0000"/>
                <w:szCs w:val="20"/>
              </w:rPr>
            </w:pPr>
            <w:r>
              <w:rPr>
                <w:rFonts w:ascii="Calibri" w:hAnsi="Calibri"/>
                <w:color w:val="000000"/>
                <w:szCs w:val="20"/>
              </w:rPr>
              <w:t>$46.96</w:t>
            </w:r>
          </w:p>
        </w:tc>
        <w:tc>
          <w:tcPr>
            <w:tcW w:w="1276" w:type="pct"/>
          </w:tcPr>
          <w:p w14:paraId="393D1743" w14:textId="661CA7C1" w:rsidR="00431F0E" w:rsidRPr="00920905" w:rsidRDefault="00431F0E" w:rsidP="00103F62">
            <w:pPr>
              <w:rPr>
                <w:rFonts w:cstheme="minorHAnsi"/>
                <w:color w:val="FF0000"/>
                <w:szCs w:val="20"/>
              </w:rPr>
            </w:pPr>
            <w:r>
              <w:rPr>
                <w:rFonts w:ascii="Calibri" w:hAnsi="Calibri"/>
                <w:color w:val="000000"/>
                <w:szCs w:val="20"/>
              </w:rPr>
              <w:t>N/A</w:t>
            </w:r>
          </w:p>
        </w:tc>
      </w:tr>
      <w:tr w:rsidR="00431F0E" w:rsidRPr="00500C4E" w14:paraId="08C2EE55" w14:textId="77777777" w:rsidTr="00103F62">
        <w:tc>
          <w:tcPr>
            <w:tcW w:w="559" w:type="pct"/>
          </w:tcPr>
          <w:p w14:paraId="2CB6AA60" w14:textId="6EA9B717" w:rsidR="00431F0E" w:rsidRDefault="00431F0E" w:rsidP="00103F62">
            <w:pPr>
              <w:rPr>
                <w:rFonts w:cstheme="minorHAnsi"/>
                <w:color w:val="FF0000"/>
                <w:szCs w:val="20"/>
              </w:rPr>
            </w:pPr>
            <w:r>
              <w:rPr>
                <w:rFonts w:ascii="Calibri" w:hAnsi="Calibri"/>
                <w:color w:val="000000"/>
                <w:szCs w:val="20"/>
              </w:rPr>
              <w:t>LT-97876</w:t>
            </w:r>
          </w:p>
        </w:tc>
        <w:tc>
          <w:tcPr>
            <w:tcW w:w="728" w:type="pct"/>
          </w:tcPr>
          <w:p w14:paraId="76B2EC47" w14:textId="6AA1C6BB" w:rsidR="00431F0E" w:rsidRPr="00A2194D" w:rsidRDefault="00406180" w:rsidP="00103F62">
            <w:pPr>
              <w:rPr>
                <w:rFonts w:ascii="Calibri" w:hAnsi="Calibri"/>
                <w:color w:val="000000"/>
                <w:szCs w:val="20"/>
              </w:rPr>
            </w:pPr>
            <w:r>
              <w:rPr>
                <w:rFonts w:ascii="Calibri" w:hAnsi="Calibri"/>
                <w:color w:val="000000"/>
                <w:szCs w:val="20"/>
              </w:rPr>
              <w:t>ROB</w:t>
            </w:r>
          </w:p>
        </w:tc>
        <w:tc>
          <w:tcPr>
            <w:tcW w:w="1239" w:type="pct"/>
          </w:tcPr>
          <w:p w14:paraId="491F63F7" w14:textId="1A1B506C" w:rsidR="00431F0E" w:rsidRPr="00920905" w:rsidRDefault="00431F0E" w:rsidP="00103F62">
            <w:pPr>
              <w:rPr>
                <w:rFonts w:cstheme="minorHAnsi"/>
                <w:color w:val="FF0000"/>
                <w:szCs w:val="20"/>
              </w:rPr>
            </w:pPr>
            <w:r>
              <w:rPr>
                <w:rFonts w:ascii="Calibri" w:hAnsi="Calibri"/>
                <w:color w:val="000000"/>
                <w:szCs w:val="20"/>
              </w:rPr>
              <w:t>$34.21</w:t>
            </w:r>
          </w:p>
        </w:tc>
        <w:tc>
          <w:tcPr>
            <w:tcW w:w="1198" w:type="pct"/>
          </w:tcPr>
          <w:p w14:paraId="544AE474" w14:textId="24E8FE1A" w:rsidR="00431F0E" w:rsidRPr="00920905" w:rsidRDefault="00431F0E" w:rsidP="00103F62">
            <w:pPr>
              <w:rPr>
                <w:rFonts w:cstheme="minorHAnsi"/>
                <w:color w:val="FF0000"/>
                <w:szCs w:val="20"/>
              </w:rPr>
            </w:pPr>
            <w:r>
              <w:rPr>
                <w:rFonts w:ascii="Calibri" w:hAnsi="Calibri"/>
                <w:color w:val="000000"/>
                <w:szCs w:val="20"/>
              </w:rPr>
              <w:t>$34.21</w:t>
            </w:r>
          </w:p>
        </w:tc>
        <w:tc>
          <w:tcPr>
            <w:tcW w:w="1276" w:type="pct"/>
          </w:tcPr>
          <w:p w14:paraId="582B1B4B" w14:textId="745C9750" w:rsidR="00431F0E" w:rsidRPr="00920905" w:rsidRDefault="00431F0E" w:rsidP="00103F62">
            <w:pPr>
              <w:rPr>
                <w:rFonts w:cstheme="minorHAnsi"/>
                <w:color w:val="FF0000"/>
                <w:szCs w:val="20"/>
              </w:rPr>
            </w:pPr>
            <w:r>
              <w:rPr>
                <w:rFonts w:ascii="Calibri" w:hAnsi="Calibri"/>
                <w:color w:val="000000"/>
                <w:szCs w:val="20"/>
              </w:rPr>
              <w:t>N/A</w:t>
            </w:r>
          </w:p>
        </w:tc>
      </w:tr>
    </w:tbl>
    <w:p w14:paraId="37E9FBDB" w14:textId="754E7BBE" w:rsidR="00E16609" w:rsidRPr="00920905" w:rsidRDefault="00E16609">
      <w:pPr>
        <w:rPr>
          <w:rFonts w:cstheme="minorHAnsi"/>
          <w:sz w:val="20"/>
          <w:szCs w:val="20"/>
        </w:rPr>
      </w:pPr>
      <w:bookmarkStart w:id="21" w:name="_Toc214003099"/>
      <w:r w:rsidRPr="00920905">
        <w:rPr>
          <w:rFonts w:cstheme="minorHAnsi"/>
          <w:sz w:val="20"/>
          <w:szCs w:val="20"/>
        </w:rPr>
        <w:br w:type="page"/>
      </w:r>
    </w:p>
    <w:bookmarkEnd w:id="21"/>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696CD661" w14:textId="6F3AB62D" w:rsidR="00C45FA7" w:rsidRDefault="00256E3B" w:rsidP="00256E3B">
      <w:pPr>
        <w:pStyle w:val="ListParagraph"/>
        <w:numPr>
          <w:ilvl w:val="0"/>
          <w:numId w:val="55"/>
        </w:numPr>
        <w:rPr>
          <w:rFonts w:cstheme="minorHAnsi"/>
        </w:rPr>
      </w:pPr>
      <w:r w:rsidRPr="00256E3B">
        <w:rPr>
          <w:rFonts w:cstheme="minorHAnsi"/>
        </w:rPr>
        <w:t>SCE17LG085.0 A1 - Calculation Template_Final_Revised_1_26_17</w:t>
      </w:r>
      <w:bookmarkStart w:id="22" w:name="_GoBack"/>
      <w:bookmarkEnd w:id="22"/>
      <w:r w:rsidR="00A2194D">
        <w:rPr>
          <w:rFonts w:cstheme="minorHAnsi"/>
        </w:rPr>
        <w:t>.xlsx</w:t>
      </w:r>
    </w:p>
    <w:p w14:paraId="5CC94803" w14:textId="1569CE8C" w:rsidR="00A2194D" w:rsidRPr="00A2194D" w:rsidRDefault="00A2194D" w:rsidP="00A2194D">
      <w:pPr>
        <w:pStyle w:val="ListParagraph"/>
        <w:numPr>
          <w:ilvl w:val="0"/>
          <w:numId w:val="55"/>
        </w:numPr>
        <w:rPr>
          <w:rFonts w:cstheme="minorHAnsi"/>
        </w:rPr>
      </w:pPr>
      <w:r>
        <w:rPr>
          <w:rFonts w:cstheme="minorHAnsi"/>
        </w:rPr>
        <w:t>SCE17LG085.0 A2 – Interior Compact Fluorescent Costs.xlsx</w:t>
      </w:r>
    </w:p>
    <w:p w14:paraId="4392D766" w14:textId="77777777" w:rsidR="00C45FA7" w:rsidRDefault="00C45FA7" w:rsidP="00C45FA7">
      <w:pPr>
        <w:pStyle w:val="ListParagraph"/>
        <w:rPr>
          <w:rFonts w:cstheme="minorHAnsi"/>
        </w:rPr>
      </w:pPr>
    </w:p>
    <w:p w14:paraId="656696B0" w14:textId="77777777" w:rsidR="0083788C" w:rsidRDefault="0083788C" w:rsidP="00E364F3">
      <w:pPr>
        <w:pStyle w:val="ListParagraph"/>
        <w:rPr>
          <w:rFonts w:cstheme="minorHAnsi"/>
        </w:rPr>
      </w:pPr>
    </w:p>
    <w:p w14:paraId="678875B9" w14:textId="77777777" w:rsidR="0083788C" w:rsidRDefault="0083788C" w:rsidP="00E364F3">
      <w:pPr>
        <w:rPr>
          <w:rFonts w:cstheme="minorHAnsi"/>
        </w:rPr>
      </w:pPr>
    </w:p>
    <w:p w14:paraId="2C853DBD" w14:textId="77777777" w:rsidR="00E42CB6" w:rsidRDefault="00E42CB6">
      <w:pPr>
        <w:spacing w:after="200" w:line="276" w:lineRule="auto"/>
        <w:rPr>
          <w:rFonts w:cstheme="minorHAnsi"/>
          <w:b/>
          <w:bCs/>
          <w:smallCaps/>
          <w:kern w:val="32"/>
          <w:sz w:val="36"/>
          <w:szCs w:val="32"/>
        </w:rPr>
      </w:pPr>
      <w:r>
        <w:rPr>
          <w:rFonts w:cstheme="minorHAnsi"/>
        </w:rPr>
        <w:br w:type="page"/>
      </w:r>
    </w:p>
    <w:p w14:paraId="791921C1" w14:textId="3B156A74" w:rsidR="0083788C" w:rsidRPr="00E317E6" w:rsidRDefault="00E42CB6" w:rsidP="004A6D03">
      <w:pPr>
        <w:pStyle w:val="Heading1"/>
        <w:rPr>
          <w:rFonts w:cstheme="minorHAnsi"/>
        </w:rPr>
      </w:pPr>
      <w:r>
        <w:rPr>
          <w:rFonts w:cstheme="minorHAnsi"/>
        </w:rPr>
        <w:lastRenderedPageBreak/>
        <w:t>Reference</w:t>
      </w:r>
    </w:p>
    <w:p w14:paraId="5760D3A3" w14:textId="3BB01F0D" w:rsidR="0083788C" w:rsidRPr="00B13290" w:rsidRDefault="00A2194D" w:rsidP="00A2194D">
      <w:pPr>
        <w:pStyle w:val="ListParagraph"/>
        <w:numPr>
          <w:ilvl w:val="0"/>
          <w:numId w:val="56"/>
        </w:numPr>
      </w:pPr>
      <w:r w:rsidRPr="00A2194D">
        <w:t>References_12122016_100741.xlsx</w:t>
      </w:r>
    </w:p>
    <w:p w14:paraId="0F39285E" w14:textId="77777777" w:rsidR="0083788C" w:rsidRDefault="0083788C" w:rsidP="00E364F3">
      <w:pPr>
        <w:rPr>
          <w:rFonts w:cstheme="minorHAnsi"/>
        </w:rPr>
      </w:pPr>
    </w:p>
    <w:p w14:paraId="2C6358AC" w14:textId="10A0A2C2" w:rsidR="003A1B86" w:rsidRPr="003A1B86" w:rsidRDefault="003A1B86">
      <w:r w:rsidRPr="003A1B86">
        <w:t>[</w:t>
      </w:r>
      <w:r w:rsidR="00E364F3">
        <w:t>493</w:t>
      </w:r>
      <w:r w:rsidRPr="003A1B86">
        <w:t>]</w:t>
      </w:r>
    </w:p>
    <w:p w14:paraId="3DDEEF70" w14:textId="40524572" w:rsidR="00480E7B" w:rsidRPr="003A1B86" w:rsidRDefault="003A1B86">
      <w:r w:rsidRPr="003A1B86">
        <w:t>[49</w:t>
      </w:r>
      <w:r w:rsidR="00E364F3">
        <w:t>6</w:t>
      </w:r>
      <w:r w:rsidRPr="003A1B86">
        <w:t>]</w:t>
      </w:r>
    </w:p>
    <w:sectPr w:rsidR="00480E7B" w:rsidRPr="003A1B86" w:rsidSect="00E87C8F">
      <w:footerReference w:type="default" r:id="rId12"/>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C9341" w14:textId="77777777" w:rsidR="00F913BC" w:rsidRDefault="00F913BC" w:rsidP="00447D6E">
      <w:r>
        <w:separator/>
      </w:r>
    </w:p>
    <w:p w14:paraId="1709ED5F" w14:textId="77777777" w:rsidR="00F913BC" w:rsidRDefault="00F913BC"/>
  </w:endnote>
  <w:endnote w:type="continuationSeparator" w:id="0">
    <w:p w14:paraId="335EAAE2" w14:textId="77777777" w:rsidR="00F913BC" w:rsidRDefault="00F913BC" w:rsidP="00447D6E">
      <w:r>
        <w:continuationSeparator/>
      </w:r>
    </w:p>
    <w:p w14:paraId="51CE65B6" w14:textId="77777777" w:rsidR="00F913BC" w:rsidRDefault="00F913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2E74272D" w:rsidR="00F913BC" w:rsidRDefault="00256E3B"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6-11-02T00:00:00Z">
          <w:dateFormat w:val="MMMM d, yyyy"/>
          <w:lid w:val="en-US"/>
          <w:storeMappedDataAs w:val="dateTime"/>
          <w:calendar w:val="gregorian"/>
        </w:date>
      </w:sdtPr>
      <w:sdtEndPr/>
      <w:sdtContent>
        <w:r w:rsidR="00F913BC">
          <w:rPr>
            <w:rFonts w:cstheme="minorHAnsi"/>
            <w:b/>
            <w:sz w:val="36"/>
            <w:szCs w:val="36"/>
          </w:rPr>
          <w:t>November 2, 2016</w:t>
        </w:r>
      </w:sdtContent>
    </w:sdt>
  </w:p>
  <w:p w14:paraId="650DB54B" w14:textId="670C7D5C" w:rsidR="00F913BC" w:rsidRPr="009500DC" w:rsidRDefault="00F913BC"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7F83D279" w:rsidR="00F913BC" w:rsidRPr="009500DC" w:rsidRDefault="00256E3B"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F913BC">
          <w:rPr>
            <w:rFonts w:cstheme="minorHAnsi"/>
            <w:b/>
            <w:sz w:val="20"/>
            <w:szCs w:val="20"/>
          </w:rPr>
          <w:t>SCE17LG085</w:t>
        </w:r>
      </w:sdtContent>
    </w:sdt>
    <w:r w:rsidR="00F913BC">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F913BC">
          <w:rPr>
            <w:rFonts w:cstheme="minorHAnsi"/>
            <w:b/>
            <w:sz w:val="20"/>
            <w:szCs w:val="20"/>
          </w:rPr>
          <w:t>Revision 0</w:t>
        </w:r>
      </w:sdtContent>
    </w:sdt>
    <w:r w:rsidR="00F913BC" w:rsidRPr="009500DC">
      <w:rPr>
        <w:rFonts w:cstheme="minorHAnsi"/>
        <w:b/>
        <w:sz w:val="20"/>
        <w:szCs w:val="20"/>
      </w:rPr>
      <w:tab/>
    </w:r>
    <w:r w:rsidR="00F913BC" w:rsidRPr="009500DC">
      <w:rPr>
        <w:rFonts w:cstheme="minorHAnsi"/>
        <w:b/>
        <w:sz w:val="20"/>
        <w:szCs w:val="20"/>
      </w:rPr>
      <w:fldChar w:fldCharType="begin"/>
    </w:r>
    <w:r w:rsidR="00F913BC" w:rsidRPr="009500DC">
      <w:rPr>
        <w:rFonts w:cstheme="minorHAnsi"/>
        <w:b/>
        <w:sz w:val="20"/>
        <w:szCs w:val="20"/>
      </w:rPr>
      <w:instrText xml:space="preserve"> PAGE   \* MERGEFORMAT </w:instrText>
    </w:r>
    <w:r w:rsidR="00F913BC" w:rsidRPr="009500DC">
      <w:rPr>
        <w:rFonts w:cstheme="minorHAnsi"/>
        <w:b/>
        <w:sz w:val="20"/>
        <w:szCs w:val="20"/>
      </w:rPr>
      <w:fldChar w:fldCharType="separate"/>
    </w:r>
    <w:r>
      <w:rPr>
        <w:rFonts w:cstheme="minorHAnsi"/>
        <w:b/>
        <w:noProof/>
        <w:sz w:val="20"/>
        <w:szCs w:val="20"/>
      </w:rPr>
      <w:t>14</w:t>
    </w:r>
    <w:r w:rsidR="00F913BC" w:rsidRPr="009500DC">
      <w:rPr>
        <w:rFonts w:cstheme="minorHAnsi"/>
        <w:b/>
        <w:noProof/>
        <w:sz w:val="20"/>
        <w:szCs w:val="20"/>
      </w:rPr>
      <w:fldChar w:fldCharType="end"/>
    </w:r>
    <w:r w:rsidR="00F913BC"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11-02T00:00:00Z">
          <w:dateFormat w:val="MMMM d, yyyy"/>
          <w:lid w:val="en-US"/>
          <w:storeMappedDataAs w:val="dateTime"/>
          <w:calendar w:val="gregorian"/>
        </w:date>
      </w:sdtPr>
      <w:sdtEndPr/>
      <w:sdtContent>
        <w:r w:rsidR="00F913BC">
          <w:rPr>
            <w:rFonts w:cstheme="minorHAnsi"/>
            <w:b/>
            <w:sz w:val="20"/>
            <w:szCs w:val="20"/>
          </w:rPr>
          <w:t>November 2, 2016</w:t>
        </w:r>
      </w:sdtContent>
    </w:sdt>
  </w:p>
  <w:p w14:paraId="43C07EA5" w14:textId="544E4323" w:rsidR="00F913BC" w:rsidRPr="009500DC" w:rsidRDefault="00256E3B"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913BC">
          <w:rPr>
            <w:rFonts w:cstheme="minorHAnsi"/>
            <w:b/>
            <w:sz w:val="20"/>
            <w:szCs w:val="20"/>
          </w:rPr>
          <w:t>Southern California Edison</w:t>
        </w:r>
      </w:sdtContent>
    </w:sdt>
  </w:p>
  <w:p w14:paraId="4AC7586E" w14:textId="77777777" w:rsidR="00F913BC" w:rsidRDefault="00F913BC"/>
  <w:p w14:paraId="5C9861A8" w14:textId="77777777" w:rsidR="00F913BC" w:rsidRDefault="00F913B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F42023" w14:textId="77777777" w:rsidR="00F913BC" w:rsidRDefault="00F913BC" w:rsidP="00447D6E">
      <w:r>
        <w:separator/>
      </w:r>
    </w:p>
    <w:p w14:paraId="5E81A3CC" w14:textId="77777777" w:rsidR="00F913BC" w:rsidRDefault="00F913BC"/>
  </w:footnote>
  <w:footnote w:type="continuationSeparator" w:id="0">
    <w:p w14:paraId="74B0B6A6" w14:textId="77777777" w:rsidR="00F913BC" w:rsidRDefault="00F913BC" w:rsidP="00447D6E">
      <w:r>
        <w:continuationSeparator/>
      </w:r>
    </w:p>
    <w:p w14:paraId="3A5BFE35" w14:textId="77777777" w:rsidR="00F913BC" w:rsidRDefault="00F913B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09AD5BE1"/>
    <w:multiLevelType w:val="hybridMultilevel"/>
    <w:tmpl w:val="0BCE2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D635F7"/>
    <w:multiLevelType w:val="hybridMultilevel"/>
    <w:tmpl w:val="A1B8B5F8"/>
    <w:lvl w:ilvl="0" w:tplc="11F899AA">
      <w:start w:val="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1046A2"/>
    <w:multiLevelType w:val="hybridMultilevel"/>
    <w:tmpl w:val="0FD4A8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5367E31"/>
    <w:multiLevelType w:val="hybridMultilevel"/>
    <w:tmpl w:val="E8BE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0">
    <w:nsid w:val="1CEC4B5A"/>
    <w:multiLevelType w:val="hybridMultilevel"/>
    <w:tmpl w:val="6F6275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D20144D"/>
    <w:multiLevelType w:val="hybridMultilevel"/>
    <w:tmpl w:val="60E0C6A6"/>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B862A7"/>
    <w:multiLevelType w:val="hybridMultilevel"/>
    <w:tmpl w:val="ECC048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A7052F1"/>
    <w:multiLevelType w:val="hybridMultilevel"/>
    <w:tmpl w:val="55003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BC02ED8"/>
    <w:multiLevelType w:val="hybridMultilevel"/>
    <w:tmpl w:val="BCE41D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6">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21635C4"/>
    <w:multiLevelType w:val="hybridMultilevel"/>
    <w:tmpl w:val="986848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D3D0694"/>
    <w:multiLevelType w:val="hybridMultilevel"/>
    <w:tmpl w:val="F4C02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66B2A9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490A5992"/>
    <w:multiLevelType w:val="hybridMultilevel"/>
    <w:tmpl w:val="C6683B84"/>
    <w:lvl w:ilvl="0" w:tplc="4288A9C0">
      <w:start w:val="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94655FE"/>
    <w:multiLevelType w:val="hybridMultilevel"/>
    <w:tmpl w:val="794E2F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C866B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4FE41242"/>
    <w:multiLevelType w:val="hybridMultilevel"/>
    <w:tmpl w:val="20B2B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1B01602"/>
    <w:multiLevelType w:val="hybridMultilevel"/>
    <w:tmpl w:val="928C67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8D578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6D940AEF"/>
    <w:multiLevelType w:val="hybridMultilevel"/>
    <w:tmpl w:val="D7E05F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F38162A"/>
    <w:multiLevelType w:val="hybridMultilevel"/>
    <w:tmpl w:val="16F2B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8215476"/>
    <w:multiLevelType w:val="hybridMultilevel"/>
    <w:tmpl w:val="E522F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8ED702E"/>
    <w:multiLevelType w:val="hybridMultilevel"/>
    <w:tmpl w:val="EB98A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EED2DED"/>
    <w:multiLevelType w:val="hybridMultilevel"/>
    <w:tmpl w:val="48680FAE"/>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start w:val="1"/>
      <w:numFmt w:val="bullet"/>
      <w:lvlText w:val=""/>
      <w:lvlJc w:val="left"/>
      <w:pPr>
        <w:ind w:left="2208" w:hanging="360"/>
      </w:pPr>
      <w:rPr>
        <w:rFonts w:ascii="Wingdings" w:hAnsi="Wingdings" w:hint="default"/>
      </w:rPr>
    </w:lvl>
    <w:lvl w:ilvl="3" w:tplc="04090001">
      <w:start w:val="1"/>
      <w:numFmt w:val="bullet"/>
      <w:lvlText w:val=""/>
      <w:lvlJc w:val="left"/>
      <w:pPr>
        <w:ind w:left="2928" w:hanging="360"/>
      </w:pPr>
      <w:rPr>
        <w:rFonts w:ascii="Symbol" w:hAnsi="Symbol" w:hint="default"/>
      </w:rPr>
    </w:lvl>
    <w:lvl w:ilvl="4" w:tplc="04090003">
      <w:start w:val="1"/>
      <w:numFmt w:val="bullet"/>
      <w:lvlText w:val="o"/>
      <w:lvlJc w:val="left"/>
      <w:pPr>
        <w:ind w:left="3648" w:hanging="360"/>
      </w:pPr>
      <w:rPr>
        <w:rFonts w:ascii="Courier New" w:hAnsi="Courier New" w:cs="Courier New" w:hint="default"/>
      </w:rPr>
    </w:lvl>
    <w:lvl w:ilvl="5" w:tplc="04090005">
      <w:start w:val="1"/>
      <w:numFmt w:val="bullet"/>
      <w:lvlText w:val=""/>
      <w:lvlJc w:val="left"/>
      <w:pPr>
        <w:ind w:left="4368" w:hanging="360"/>
      </w:pPr>
      <w:rPr>
        <w:rFonts w:ascii="Wingdings" w:hAnsi="Wingdings" w:hint="default"/>
      </w:rPr>
    </w:lvl>
    <w:lvl w:ilvl="6" w:tplc="04090001">
      <w:start w:val="1"/>
      <w:numFmt w:val="bullet"/>
      <w:lvlText w:val=""/>
      <w:lvlJc w:val="left"/>
      <w:pPr>
        <w:ind w:left="5088" w:hanging="360"/>
      </w:pPr>
      <w:rPr>
        <w:rFonts w:ascii="Symbol" w:hAnsi="Symbol" w:hint="default"/>
      </w:rPr>
    </w:lvl>
    <w:lvl w:ilvl="7" w:tplc="04090003">
      <w:start w:val="1"/>
      <w:numFmt w:val="bullet"/>
      <w:lvlText w:val="o"/>
      <w:lvlJc w:val="left"/>
      <w:pPr>
        <w:ind w:left="5808" w:hanging="360"/>
      </w:pPr>
      <w:rPr>
        <w:rFonts w:ascii="Courier New" w:hAnsi="Courier New" w:cs="Courier New" w:hint="default"/>
      </w:rPr>
    </w:lvl>
    <w:lvl w:ilvl="8" w:tplc="04090005">
      <w:start w:val="1"/>
      <w:numFmt w:val="bullet"/>
      <w:lvlText w:val=""/>
      <w:lvlJc w:val="left"/>
      <w:pPr>
        <w:ind w:left="6528" w:hanging="360"/>
      </w:pPr>
      <w:rPr>
        <w:rFonts w:ascii="Wingdings" w:hAnsi="Wingdings" w:hint="default"/>
      </w:rPr>
    </w:lvl>
  </w:abstractNum>
  <w:num w:numId="1">
    <w:abstractNumId w:val="24"/>
  </w:num>
  <w:num w:numId="2">
    <w:abstractNumId w:val="28"/>
  </w:num>
  <w:num w:numId="3">
    <w:abstractNumId w:val="26"/>
  </w:num>
  <w:num w:numId="4">
    <w:abstractNumId w:val="24"/>
  </w:num>
  <w:num w:numId="5">
    <w:abstractNumId w:val="24"/>
  </w:num>
  <w:num w:numId="6">
    <w:abstractNumId w:val="2"/>
  </w:num>
  <w:num w:numId="7">
    <w:abstractNumId w:val="29"/>
  </w:num>
  <w:num w:numId="8">
    <w:abstractNumId w:val="25"/>
  </w:num>
  <w:num w:numId="9">
    <w:abstractNumId w:val="16"/>
  </w:num>
  <w:num w:numId="10">
    <w:abstractNumId w:val="9"/>
  </w:num>
  <w:num w:numId="11">
    <w:abstractNumId w:val="30"/>
  </w:num>
  <w:num w:numId="12">
    <w:abstractNumId w:val="22"/>
  </w:num>
  <w:num w:numId="13">
    <w:abstractNumId w:val="15"/>
  </w:num>
  <w:num w:numId="14">
    <w:abstractNumId w:val="49"/>
  </w:num>
  <w:num w:numId="15">
    <w:abstractNumId w:val="13"/>
  </w:num>
  <w:num w:numId="16">
    <w:abstractNumId w:val="17"/>
  </w:num>
  <w:num w:numId="17">
    <w:abstractNumId w:val="8"/>
  </w:num>
  <w:num w:numId="18">
    <w:abstractNumId w:val="0"/>
  </w:num>
  <w:num w:numId="19">
    <w:abstractNumId w:val="47"/>
  </w:num>
  <w:num w:numId="20">
    <w:abstractNumId w:val="5"/>
  </w:num>
  <w:num w:numId="21">
    <w:abstractNumId w:val="33"/>
  </w:num>
  <w:num w:numId="22">
    <w:abstractNumId w:val="37"/>
  </w:num>
  <w:num w:numId="23">
    <w:abstractNumId w:val="50"/>
  </w:num>
  <w:num w:numId="24">
    <w:abstractNumId w:val="43"/>
  </w:num>
  <w:num w:numId="25">
    <w:abstractNumId w:val="18"/>
  </w:num>
  <w:num w:numId="26">
    <w:abstractNumId w:val="20"/>
  </w:num>
  <w:num w:numId="27">
    <w:abstractNumId w:val="41"/>
  </w:num>
  <w:num w:numId="28">
    <w:abstractNumId w:val="19"/>
  </w:num>
  <w:num w:numId="29">
    <w:abstractNumId w:val="12"/>
  </w:num>
  <w:num w:numId="30">
    <w:abstractNumId w:val="1"/>
  </w:num>
  <w:num w:numId="31">
    <w:abstractNumId w:val="52"/>
  </w:num>
  <w:num w:numId="32">
    <w:abstractNumId w:val="32"/>
  </w:num>
  <w:num w:numId="33">
    <w:abstractNumId w:val="42"/>
  </w:num>
  <w:num w:numId="34">
    <w:abstractNumId w:val="14"/>
  </w:num>
  <w:num w:numId="35">
    <w:abstractNumId w:val="23"/>
  </w:num>
  <w:num w:numId="36">
    <w:abstractNumId w:val="6"/>
  </w:num>
  <w:num w:numId="37">
    <w:abstractNumId w:val="10"/>
  </w:num>
  <w:num w:numId="38">
    <w:abstractNumId w:val="27"/>
  </w:num>
  <w:num w:numId="39">
    <w:abstractNumId w:val="45"/>
  </w:num>
  <w:num w:numId="40">
    <w:abstractNumId w:val="11"/>
  </w:num>
  <w:num w:numId="41">
    <w:abstractNumId w:val="7"/>
  </w:num>
  <w:num w:numId="42">
    <w:abstractNumId w:val="36"/>
  </w:num>
  <w:num w:numId="43">
    <w:abstractNumId w:val="51"/>
  </w:num>
  <w:num w:numId="44">
    <w:abstractNumId w:val="48"/>
  </w:num>
  <w:num w:numId="45">
    <w:abstractNumId w:val="4"/>
  </w:num>
  <w:num w:numId="46">
    <w:abstractNumId w:val="35"/>
  </w:num>
  <w:num w:numId="47">
    <w:abstractNumId w:val="39"/>
  </w:num>
  <w:num w:numId="48">
    <w:abstractNumId w:val="31"/>
  </w:num>
  <w:num w:numId="49">
    <w:abstractNumId w:val="53"/>
  </w:num>
  <w:num w:numId="50">
    <w:abstractNumId w:val="3"/>
  </w:num>
  <w:num w:numId="51">
    <w:abstractNumId w:val="34"/>
  </w:num>
  <w:num w:numId="52">
    <w:abstractNumId w:val="44"/>
  </w:num>
  <w:num w:numId="53">
    <w:abstractNumId w:val="38"/>
  </w:num>
  <w:num w:numId="54">
    <w:abstractNumId w:val="40"/>
  </w:num>
  <w:num w:numId="55">
    <w:abstractNumId w:val="46"/>
  </w:num>
  <w:num w:numId="56">
    <w:abstractNumId w:val="2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290B"/>
    <w:rsid w:val="00005902"/>
    <w:rsid w:val="0001002B"/>
    <w:rsid w:val="00010806"/>
    <w:rsid w:val="00012C9B"/>
    <w:rsid w:val="00013F71"/>
    <w:rsid w:val="000173BF"/>
    <w:rsid w:val="00017622"/>
    <w:rsid w:val="00024252"/>
    <w:rsid w:val="000245B5"/>
    <w:rsid w:val="00027183"/>
    <w:rsid w:val="000271E3"/>
    <w:rsid w:val="00033EA1"/>
    <w:rsid w:val="0003746D"/>
    <w:rsid w:val="0004020F"/>
    <w:rsid w:val="000436B9"/>
    <w:rsid w:val="000436CB"/>
    <w:rsid w:val="00045D1B"/>
    <w:rsid w:val="00051E45"/>
    <w:rsid w:val="00052E17"/>
    <w:rsid w:val="00056947"/>
    <w:rsid w:val="00061A8E"/>
    <w:rsid w:val="00061AE4"/>
    <w:rsid w:val="00064CB3"/>
    <w:rsid w:val="00070BEE"/>
    <w:rsid w:val="00072040"/>
    <w:rsid w:val="0007244A"/>
    <w:rsid w:val="00076DF4"/>
    <w:rsid w:val="00076F51"/>
    <w:rsid w:val="00077803"/>
    <w:rsid w:val="0008524C"/>
    <w:rsid w:val="00085405"/>
    <w:rsid w:val="00086F7F"/>
    <w:rsid w:val="0009074D"/>
    <w:rsid w:val="0009592B"/>
    <w:rsid w:val="000968C6"/>
    <w:rsid w:val="000A454B"/>
    <w:rsid w:val="000A4C34"/>
    <w:rsid w:val="000A59CD"/>
    <w:rsid w:val="000A63C9"/>
    <w:rsid w:val="000B3765"/>
    <w:rsid w:val="000B4F14"/>
    <w:rsid w:val="000B655B"/>
    <w:rsid w:val="000C0000"/>
    <w:rsid w:val="000C18CC"/>
    <w:rsid w:val="000C271F"/>
    <w:rsid w:val="000C687D"/>
    <w:rsid w:val="000C7ED1"/>
    <w:rsid w:val="000D1693"/>
    <w:rsid w:val="000D2343"/>
    <w:rsid w:val="000D789A"/>
    <w:rsid w:val="000E4B5F"/>
    <w:rsid w:val="000E4FAF"/>
    <w:rsid w:val="000E706D"/>
    <w:rsid w:val="000F130A"/>
    <w:rsid w:val="000F4FD8"/>
    <w:rsid w:val="00103F62"/>
    <w:rsid w:val="00107242"/>
    <w:rsid w:val="00111CC5"/>
    <w:rsid w:val="001170D2"/>
    <w:rsid w:val="001206F7"/>
    <w:rsid w:val="0012102C"/>
    <w:rsid w:val="001236C1"/>
    <w:rsid w:val="00126080"/>
    <w:rsid w:val="00126C81"/>
    <w:rsid w:val="00133EE8"/>
    <w:rsid w:val="00140B30"/>
    <w:rsid w:val="00142785"/>
    <w:rsid w:val="00146608"/>
    <w:rsid w:val="00147155"/>
    <w:rsid w:val="00151C97"/>
    <w:rsid w:val="00153CB3"/>
    <w:rsid w:val="001549C1"/>
    <w:rsid w:val="00154C3B"/>
    <w:rsid w:val="00155982"/>
    <w:rsid w:val="00160158"/>
    <w:rsid w:val="00165357"/>
    <w:rsid w:val="00167EE0"/>
    <w:rsid w:val="0017070A"/>
    <w:rsid w:val="00171E8E"/>
    <w:rsid w:val="001722B7"/>
    <w:rsid w:val="001727D9"/>
    <w:rsid w:val="00174BB4"/>
    <w:rsid w:val="00175D14"/>
    <w:rsid w:val="001811EE"/>
    <w:rsid w:val="00185AD4"/>
    <w:rsid w:val="001979AF"/>
    <w:rsid w:val="001A0EB4"/>
    <w:rsid w:val="001A1A86"/>
    <w:rsid w:val="001A5F62"/>
    <w:rsid w:val="001B015E"/>
    <w:rsid w:val="001B2301"/>
    <w:rsid w:val="001B618B"/>
    <w:rsid w:val="001C1338"/>
    <w:rsid w:val="001C4140"/>
    <w:rsid w:val="001C5A94"/>
    <w:rsid w:val="001D2317"/>
    <w:rsid w:val="001D3223"/>
    <w:rsid w:val="001D33EF"/>
    <w:rsid w:val="001D5AB3"/>
    <w:rsid w:val="001E0519"/>
    <w:rsid w:val="001E0829"/>
    <w:rsid w:val="001E1320"/>
    <w:rsid w:val="001E20F3"/>
    <w:rsid w:val="001E47FE"/>
    <w:rsid w:val="001E556A"/>
    <w:rsid w:val="001F05CE"/>
    <w:rsid w:val="001F1905"/>
    <w:rsid w:val="001F3352"/>
    <w:rsid w:val="001F4A65"/>
    <w:rsid w:val="00201693"/>
    <w:rsid w:val="00201F84"/>
    <w:rsid w:val="00205C45"/>
    <w:rsid w:val="0021035B"/>
    <w:rsid w:val="00211153"/>
    <w:rsid w:val="00212074"/>
    <w:rsid w:val="0021494E"/>
    <w:rsid w:val="00223A57"/>
    <w:rsid w:val="0022537A"/>
    <w:rsid w:val="0023254A"/>
    <w:rsid w:val="002344FB"/>
    <w:rsid w:val="00236216"/>
    <w:rsid w:val="002405CD"/>
    <w:rsid w:val="00240B74"/>
    <w:rsid w:val="00243B62"/>
    <w:rsid w:val="00245404"/>
    <w:rsid w:val="0024675B"/>
    <w:rsid w:val="002469DD"/>
    <w:rsid w:val="00247180"/>
    <w:rsid w:val="00254671"/>
    <w:rsid w:val="00256E3B"/>
    <w:rsid w:val="0025707D"/>
    <w:rsid w:val="00257D36"/>
    <w:rsid w:val="00260B2B"/>
    <w:rsid w:val="00263C1C"/>
    <w:rsid w:val="00264C23"/>
    <w:rsid w:val="00271415"/>
    <w:rsid w:val="00274FBE"/>
    <w:rsid w:val="00275F20"/>
    <w:rsid w:val="00276285"/>
    <w:rsid w:val="002762E1"/>
    <w:rsid w:val="002811BC"/>
    <w:rsid w:val="0028356B"/>
    <w:rsid w:val="00283DE8"/>
    <w:rsid w:val="00285552"/>
    <w:rsid w:val="00285966"/>
    <w:rsid w:val="00285A0D"/>
    <w:rsid w:val="00290ED8"/>
    <w:rsid w:val="00296B49"/>
    <w:rsid w:val="002A03FC"/>
    <w:rsid w:val="002A1843"/>
    <w:rsid w:val="002A3D26"/>
    <w:rsid w:val="002A523E"/>
    <w:rsid w:val="002B1ADF"/>
    <w:rsid w:val="002B502E"/>
    <w:rsid w:val="002B657B"/>
    <w:rsid w:val="002C2853"/>
    <w:rsid w:val="002C3366"/>
    <w:rsid w:val="002C444C"/>
    <w:rsid w:val="002C458F"/>
    <w:rsid w:val="002C67BC"/>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35E3"/>
    <w:rsid w:val="0030363A"/>
    <w:rsid w:val="00313EDB"/>
    <w:rsid w:val="003147AF"/>
    <w:rsid w:val="00317970"/>
    <w:rsid w:val="00317EB0"/>
    <w:rsid w:val="0033191D"/>
    <w:rsid w:val="00332700"/>
    <w:rsid w:val="003351A0"/>
    <w:rsid w:val="003358BD"/>
    <w:rsid w:val="00337201"/>
    <w:rsid w:val="00343B97"/>
    <w:rsid w:val="00344E88"/>
    <w:rsid w:val="00345D80"/>
    <w:rsid w:val="003471D4"/>
    <w:rsid w:val="0034779D"/>
    <w:rsid w:val="00350BF1"/>
    <w:rsid w:val="00353C49"/>
    <w:rsid w:val="003540B1"/>
    <w:rsid w:val="003557E9"/>
    <w:rsid w:val="003560BA"/>
    <w:rsid w:val="003566EC"/>
    <w:rsid w:val="00364CC6"/>
    <w:rsid w:val="003650F6"/>
    <w:rsid w:val="0036726C"/>
    <w:rsid w:val="00367A76"/>
    <w:rsid w:val="003832D2"/>
    <w:rsid w:val="003845E5"/>
    <w:rsid w:val="00393137"/>
    <w:rsid w:val="0039615F"/>
    <w:rsid w:val="00397406"/>
    <w:rsid w:val="003A1B86"/>
    <w:rsid w:val="003A3170"/>
    <w:rsid w:val="003A360E"/>
    <w:rsid w:val="003B2E46"/>
    <w:rsid w:val="003B5C60"/>
    <w:rsid w:val="003D17FF"/>
    <w:rsid w:val="003D2871"/>
    <w:rsid w:val="003D2981"/>
    <w:rsid w:val="003D5B83"/>
    <w:rsid w:val="003E6E47"/>
    <w:rsid w:val="003F0623"/>
    <w:rsid w:val="003F2189"/>
    <w:rsid w:val="003F33DE"/>
    <w:rsid w:val="003F3A41"/>
    <w:rsid w:val="003F67E9"/>
    <w:rsid w:val="00401031"/>
    <w:rsid w:val="004023B7"/>
    <w:rsid w:val="004045A0"/>
    <w:rsid w:val="00406180"/>
    <w:rsid w:val="00411D5B"/>
    <w:rsid w:val="00413CDB"/>
    <w:rsid w:val="004200FE"/>
    <w:rsid w:val="00421183"/>
    <w:rsid w:val="00421BA6"/>
    <w:rsid w:val="00421C17"/>
    <w:rsid w:val="00423D78"/>
    <w:rsid w:val="00426CDE"/>
    <w:rsid w:val="00431F0E"/>
    <w:rsid w:val="00433EA1"/>
    <w:rsid w:val="00441957"/>
    <w:rsid w:val="00443D32"/>
    <w:rsid w:val="004469DD"/>
    <w:rsid w:val="004476B2"/>
    <w:rsid w:val="00447CE5"/>
    <w:rsid w:val="00447D6E"/>
    <w:rsid w:val="0045048F"/>
    <w:rsid w:val="0045181B"/>
    <w:rsid w:val="00452133"/>
    <w:rsid w:val="00452C7A"/>
    <w:rsid w:val="00453EDC"/>
    <w:rsid w:val="00456B53"/>
    <w:rsid w:val="0046286E"/>
    <w:rsid w:val="00466CFA"/>
    <w:rsid w:val="004673A2"/>
    <w:rsid w:val="00471234"/>
    <w:rsid w:val="00472250"/>
    <w:rsid w:val="0047437C"/>
    <w:rsid w:val="00475FBD"/>
    <w:rsid w:val="00477522"/>
    <w:rsid w:val="00480E7B"/>
    <w:rsid w:val="00481AE8"/>
    <w:rsid w:val="004843E5"/>
    <w:rsid w:val="00484BF6"/>
    <w:rsid w:val="0049052C"/>
    <w:rsid w:val="004908C2"/>
    <w:rsid w:val="00493457"/>
    <w:rsid w:val="00494628"/>
    <w:rsid w:val="0049566B"/>
    <w:rsid w:val="00497338"/>
    <w:rsid w:val="004A1650"/>
    <w:rsid w:val="004A487C"/>
    <w:rsid w:val="004A6D03"/>
    <w:rsid w:val="004A7BA1"/>
    <w:rsid w:val="004B1184"/>
    <w:rsid w:val="004B4A3A"/>
    <w:rsid w:val="004B5CE5"/>
    <w:rsid w:val="004B750E"/>
    <w:rsid w:val="004C2244"/>
    <w:rsid w:val="004C23F1"/>
    <w:rsid w:val="004C4107"/>
    <w:rsid w:val="004D069A"/>
    <w:rsid w:val="004E01F5"/>
    <w:rsid w:val="004E297E"/>
    <w:rsid w:val="004E6F81"/>
    <w:rsid w:val="004E76CA"/>
    <w:rsid w:val="004F1698"/>
    <w:rsid w:val="004F4D0B"/>
    <w:rsid w:val="00500C4E"/>
    <w:rsid w:val="005052BA"/>
    <w:rsid w:val="00505CEC"/>
    <w:rsid w:val="0051020F"/>
    <w:rsid w:val="00513CAB"/>
    <w:rsid w:val="00515FB8"/>
    <w:rsid w:val="00516CF5"/>
    <w:rsid w:val="00523597"/>
    <w:rsid w:val="00523736"/>
    <w:rsid w:val="00532530"/>
    <w:rsid w:val="00535CA4"/>
    <w:rsid w:val="005476F6"/>
    <w:rsid w:val="00551D72"/>
    <w:rsid w:val="005540B6"/>
    <w:rsid w:val="005552C3"/>
    <w:rsid w:val="00557294"/>
    <w:rsid w:val="00560934"/>
    <w:rsid w:val="00563E58"/>
    <w:rsid w:val="00564960"/>
    <w:rsid w:val="00566F81"/>
    <w:rsid w:val="00570654"/>
    <w:rsid w:val="00570F38"/>
    <w:rsid w:val="005720F2"/>
    <w:rsid w:val="005729C8"/>
    <w:rsid w:val="00572D2F"/>
    <w:rsid w:val="005734A4"/>
    <w:rsid w:val="005778B2"/>
    <w:rsid w:val="00594EF5"/>
    <w:rsid w:val="00597DAA"/>
    <w:rsid w:val="005A0E53"/>
    <w:rsid w:val="005A1078"/>
    <w:rsid w:val="005A4658"/>
    <w:rsid w:val="005A496B"/>
    <w:rsid w:val="005A7449"/>
    <w:rsid w:val="005B28C1"/>
    <w:rsid w:val="005B4538"/>
    <w:rsid w:val="005B6344"/>
    <w:rsid w:val="005B6507"/>
    <w:rsid w:val="005C1C74"/>
    <w:rsid w:val="005C23BB"/>
    <w:rsid w:val="005C2E48"/>
    <w:rsid w:val="005C3AF6"/>
    <w:rsid w:val="005C3F23"/>
    <w:rsid w:val="005D2481"/>
    <w:rsid w:val="005D4DD7"/>
    <w:rsid w:val="005E12A9"/>
    <w:rsid w:val="005E16B2"/>
    <w:rsid w:val="005E3EDB"/>
    <w:rsid w:val="005E4BD6"/>
    <w:rsid w:val="005E60CF"/>
    <w:rsid w:val="005F0420"/>
    <w:rsid w:val="005F139E"/>
    <w:rsid w:val="005F2A9D"/>
    <w:rsid w:val="005F69D5"/>
    <w:rsid w:val="005F7947"/>
    <w:rsid w:val="00602799"/>
    <w:rsid w:val="00602F18"/>
    <w:rsid w:val="00605997"/>
    <w:rsid w:val="00607C30"/>
    <w:rsid w:val="00610068"/>
    <w:rsid w:val="006110F3"/>
    <w:rsid w:val="00612041"/>
    <w:rsid w:val="00614AFF"/>
    <w:rsid w:val="00621ABA"/>
    <w:rsid w:val="0062322A"/>
    <w:rsid w:val="006262BD"/>
    <w:rsid w:val="00631157"/>
    <w:rsid w:val="006352B5"/>
    <w:rsid w:val="006404E6"/>
    <w:rsid w:val="0064680F"/>
    <w:rsid w:val="0064729D"/>
    <w:rsid w:val="00647ABE"/>
    <w:rsid w:val="00651175"/>
    <w:rsid w:val="006516BA"/>
    <w:rsid w:val="00664B05"/>
    <w:rsid w:val="00665C04"/>
    <w:rsid w:val="0066682D"/>
    <w:rsid w:val="006746FE"/>
    <w:rsid w:val="00676E9F"/>
    <w:rsid w:val="00680934"/>
    <w:rsid w:val="00680BDB"/>
    <w:rsid w:val="006850DC"/>
    <w:rsid w:val="00685D5C"/>
    <w:rsid w:val="0069264D"/>
    <w:rsid w:val="0069578B"/>
    <w:rsid w:val="00697868"/>
    <w:rsid w:val="006A055F"/>
    <w:rsid w:val="006A126F"/>
    <w:rsid w:val="006A14E9"/>
    <w:rsid w:val="006A2A65"/>
    <w:rsid w:val="006A4F6B"/>
    <w:rsid w:val="006A5293"/>
    <w:rsid w:val="006A6197"/>
    <w:rsid w:val="006A67E4"/>
    <w:rsid w:val="006A6D15"/>
    <w:rsid w:val="006B0DF3"/>
    <w:rsid w:val="006B0F11"/>
    <w:rsid w:val="006B27FA"/>
    <w:rsid w:val="006B4A48"/>
    <w:rsid w:val="006B77A3"/>
    <w:rsid w:val="006C2C55"/>
    <w:rsid w:val="006C430A"/>
    <w:rsid w:val="006D2809"/>
    <w:rsid w:val="006D45C3"/>
    <w:rsid w:val="006D4D77"/>
    <w:rsid w:val="006E27A3"/>
    <w:rsid w:val="006E3342"/>
    <w:rsid w:val="006E4B12"/>
    <w:rsid w:val="006E65D0"/>
    <w:rsid w:val="006F03BE"/>
    <w:rsid w:val="006F14BA"/>
    <w:rsid w:val="006F1B21"/>
    <w:rsid w:val="006F21E8"/>
    <w:rsid w:val="006F68FA"/>
    <w:rsid w:val="006F78D5"/>
    <w:rsid w:val="0070091B"/>
    <w:rsid w:val="00702B3D"/>
    <w:rsid w:val="007048AC"/>
    <w:rsid w:val="00705289"/>
    <w:rsid w:val="007125A0"/>
    <w:rsid w:val="007156E6"/>
    <w:rsid w:val="00726338"/>
    <w:rsid w:val="00726AD5"/>
    <w:rsid w:val="00727C91"/>
    <w:rsid w:val="00733C7D"/>
    <w:rsid w:val="007366E5"/>
    <w:rsid w:val="007375D4"/>
    <w:rsid w:val="00737705"/>
    <w:rsid w:val="00740761"/>
    <w:rsid w:val="00745F77"/>
    <w:rsid w:val="007464DE"/>
    <w:rsid w:val="00750437"/>
    <w:rsid w:val="007529EA"/>
    <w:rsid w:val="00755A45"/>
    <w:rsid w:val="00760CDC"/>
    <w:rsid w:val="00762609"/>
    <w:rsid w:val="00762BAD"/>
    <w:rsid w:val="00764D0D"/>
    <w:rsid w:val="00766A7E"/>
    <w:rsid w:val="00777C53"/>
    <w:rsid w:val="007850DE"/>
    <w:rsid w:val="00786E92"/>
    <w:rsid w:val="007933F1"/>
    <w:rsid w:val="00796C43"/>
    <w:rsid w:val="007A514D"/>
    <w:rsid w:val="007A5F52"/>
    <w:rsid w:val="007B090A"/>
    <w:rsid w:val="007B55CF"/>
    <w:rsid w:val="007C193C"/>
    <w:rsid w:val="007C1CD6"/>
    <w:rsid w:val="007C1EC4"/>
    <w:rsid w:val="007C68A0"/>
    <w:rsid w:val="007D21AF"/>
    <w:rsid w:val="007D574A"/>
    <w:rsid w:val="007E43F8"/>
    <w:rsid w:val="007E4F97"/>
    <w:rsid w:val="007E5076"/>
    <w:rsid w:val="007E656B"/>
    <w:rsid w:val="007E7A3F"/>
    <w:rsid w:val="007F0040"/>
    <w:rsid w:val="007F0FBB"/>
    <w:rsid w:val="007F2997"/>
    <w:rsid w:val="007F50E8"/>
    <w:rsid w:val="007F54E2"/>
    <w:rsid w:val="007F7FBA"/>
    <w:rsid w:val="00800319"/>
    <w:rsid w:val="0080044E"/>
    <w:rsid w:val="00800706"/>
    <w:rsid w:val="0080189A"/>
    <w:rsid w:val="00801F7F"/>
    <w:rsid w:val="00803C2B"/>
    <w:rsid w:val="00811945"/>
    <w:rsid w:val="008214A3"/>
    <w:rsid w:val="00824F1C"/>
    <w:rsid w:val="008257BF"/>
    <w:rsid w:val="00826688"/>
    <w:rsid w:val="0083110A"/>
    <w:rsid w:val="00832A8F"/>
    <w:rsid w:val="0083369B"/>
    <w:rsid w:val="00835D38"/>
    <w:rsid w:val="0083788C"/>
    <w:rsid w:val="00843763"/>
    <w:rsid w:val="00847A4E"/>
    <w:rsid w:val="00855BA6"/>
    <w:rsid w:val="00864021"/>
    <w:rsid w:val="00871D79"/>
    <w:rsid w:val="0087393E"/>
    <w:rsid w:val="00881A42"/>
    <w:rsid w:val="00882386"/>
    <w:rsid w:val="0088361D"/>
    <w:rsid w:val="00885E0A"/>
    <w:rsid w:val="0088603B"/>
    <w:rsid w:val="0088605F"/>
    <w:rsid w:val="008877AF"/>
    <w:rsid w:val="00893FC3"/>
    <w:rsid w:val="0089577B"/>
    <w:rsid w:val="00895C2E"/>
    <w:rsid w:val="008B07BD"/>
    <w:rsid w:val="008B1024"/>
    <w:rsid w:val="008B1357"/>
    <w:rsid w:val="008B2DF3"/>
    <w:rsid w:val="008C1E83"/>
    <w:rsid w:val="008C2E0E"/>
    <w:rsid w:val="008C38A6"/>
    <w:rsid w:val="008C3A48"/>
    <w:rsid w:val="008C4DE0"/>
    <w:rsid w:val="008D0078"/>
    <w:rsid w:val="008D3930"/>
    <w:rsid w:val="008D4CD5"/>
    <w:rsid w:val="008D5D04"/>
    <w:rsid w:val="008D67F9"/>
    <w:rsid w:val="008E1067"/>
    <w:rsid w:val="008E17CC"/>
    <w:rsid w:val="008E25B1"/>
    <w:rsid w:val="008E55D5"/>
    <w:rsid w:val="008E56FB"/>
    <w:rsid w:val="008F13B2"/>
    <w:rsid w:val="008F1F8F"/>
    <w:rsid w:val="008F2167"/>
    <w:rsid w:val="008F33B4"/>
    <w:rsid w:val="008F6298"/>
    <w:rsid w:val="0090077A"/>
    <w:rsid w:val="00900F47"/>
    <w:rsid w:val="00904ADA"/>
    <w:rsid w:val="00904C82"/>
    <w:rsid w:val="00907697"/>
    <w:rsid w:val="00907D11"/>
    <w:rsid w:val="00910A69"/>
    <w:rsid w:val="009138A0"/>
    <w:rsid w:val="0091424C"/>
    <w:rsid w:val="00917DE4"/>
    <w:rsid w:val="00920905"/>
    <w:rsid w:val="00922B85"/>
    <w:rsid w:val="00930CDC"/>
    <w:rsid w:val="00931E45"/>
    <w:rsid w:val="00933188"/>
    <w:rsid w:val="00935AF9"/>
    <w:rsid w:val="00937BF7"/>
    <w:rsid w:val="009403A5"/>
    <w:rsid w:val="00940F92"/>
    <w:rsid w:val="00943D4B"/>
    <w:rsid w:val="009500DC"/>
    <w:rsid w:val="00951923"/>
    <w:rsid w:val="00972C81"/>
    <w:rsid w:val="00976B14"/>
    <w:rsid w:val="009824E9"/>
    <w:rsid w:val="009826E5"/>
    <w:rsid w:val="009844A1"/>
    <w:rsid w:val="00986E20"/>
    <w:rsid w:val="00995479"/>
    <w:rsid w:val="00995CB0"/>
    <w:rsid w:val="00997E77"/>
    <w:rsid w:val="009A0505"/>
    <w:rsid w:val="009A2734"/>
    <w:rsid w:val="009A4A03"/>
    <w:rsid w:val="009A4B38"/>
    <w:rsid w:val="009B2A02"/>
    <w:rsid w:val="009B2B61"/>
    <w:rsid w:val="009B316A"/>
    <w:rsid w:val="009B5B7B"/>
    <w:rsid w:val="009C08BA"/>
    <w:rsid w:val="009C1777"/>
    <w:rsid w:val="009C1A72"/>
    <w:rsid w:val="009C2C86"/>
    <w:rsid w:val="009C3FBE"/>
    <w:rsid w:val="009C554E"/>
    <w:rsid w:val="009C6FE0"/>
    <w:rsid w:val="009D0753"/>
    <w:rsid w:val="009D10A4"/>
    <w:rsid w:val="009D5131"/>
    <w:rsid w:val="009D6F71"/>
    <w:rsid w:val="009E1802"/>
    <w:rsid w:val="009E1CDE"/>
    <w:rsid w:val="009E2B06"/>
    <w:rsid w:val="009E3829"/>
    <w:rsid w:val="009E4726"/>
    <w:rsid w:val="009E51E2"/>
    <w:rsid w:val="009E5CB6"/>
    <w:rsid w:val="009F7A61"/>
    <w:rsid w:val="00A11800"/>
    <w:rsid w:val="00A11C16"/>
    <w:rsid w:val="00A1423E"/>
    <w:rsid w:val="00A17664"/>
    <w:rsid w:val="00A20FAF"/>
    <w:rsid w:val="00A2194D"/>
    <w:rsid w:val="00A24520"/>
    <w:rsid w:val="00A26263"/>
    <w:rsid w:val="00A26EC1"/>
    <w:rsid w:val="00A30B68"/>
    <w:rsid w:val="00A3164A"/>
    <w:rsid w:val="00A34B4B"/>
    <w:rsid w:val="00A37D28"/>
    <w:rsid w:val="00A37F42"/>
    <w:rsid w:val="00A40BAA"/>
    <w:rsid w:val="00A40D74"/>
    <w:rsid w:val="00A4411F"/>
    <w:rsid w:val="00A466D3"/>
    <w:rsid w:val="00A500D6"/>
    <w:rsid w:val="00A509F0"/>
    <w:rsid w:val="00A523FF"/>
    <w:rsid w:val="00A54756"/>
    <w:rsid w:val="00A54C66"/>
    <w:rsid w:val="00A57A83"/>
    <w:rsid w:val="00A57D36"/>
    <w:rsid w:val="00A61BB6"/>
    <w:rsid w:val="00A65734"/>
    <w:rsid w:val="00A6687F"/>
    <w:rsid w:val="00A67907"/>
    <w:rsid w:val="00A73CC1"/>
    <w:rsid w:val="00A73E44"/>
    <w:rsid w:val="00A80270"/>
    <w:rsid w:val="00A82DB1"/>
    <w:rsid w:val="00A84127"/>
    <w:rsid w:val="00A84BF9"/>
    <w:rsid w:val="00A85F33"/>
    <w:rsid w:val="00A85F38"/>
    <w:rsid w:val="00A86DA2"/>
    <w:rsid w:val="00A90DFC"/>
    <w:rsid w:val="00A90F1A"/>
    <w:rsid w:val="00A91BF3"/>
    <w:rsid w:val="00AA0A9C"/>
    <w:rsid w:val="00AA16C0"/>
    <w:rsid w:val="00AA4CDC"/>
    <w:rsid w:val="00AB21D4"/>
    <w:rsid w:val="00AB21F5"/>
    <w:rsid w:val="00AB3386"/>
    <w:rsid w:val="00AB36DB"/>
    <w:rsid w:val="00AB6C12"/>
    <w:rsid w:val="00AC0B1D"/>
    <w:rsid w:val="00AC2F5B"/>
    <w:rsid w:val="00AC3DAD"/>
    <w:rsid w:val="00AC5309"/>
    <w:rsid w:val="00AC5B07"/>
    <w:rsid w:val="00AC5B97"/>
    <w:rsid w:val="00AD2608"/>
    <w:rsid w:val="00AD4DD0"/>
    <w:rsid w:val="00AE0A8D"/>
    <w:rsid w:val="00AE24CD"/>
    <w:rsid w:val="00AF1CD7"/>
    <w:rsid w:val="00AF543F"/>
    <w:rsid w:val="00AF6342"/>
    <w:rsid w:val="00AF68B2"/>
    <w:rsid w:val="00B03116"/>
    <w:rsid w:val="00B040CC"/>
    <w:rsid w:val="00B053FB"/>
    <w:rsid w:val="00B05647"/>
    <w:rsid w:val="00B065A5"/>
    <w:rsid w:val="00B07EE5"/>
    <w:rsid w:val="00B13290"/>
    <w:rsid w:val="00B16B96"/>
    <w:rsid w:val="00B21CC5"/>
    <w:rsid w:val="00B23110"/>
    <w:rsid w:val="00B2325C"/>
    <w:rsid w:val="00B26778"/>
    <w:rsid w:val="00B26B83"/>
    <w:rsid w:val="00B32479"/>
    <w:rsid w:val="00B33FE2"/>
    <w:rsid w:val="00B370D3"/>
    <w:rsid w:val="00B37E45"/>
    <w:rsid w:val="00B403ED"/>
    <w:rsid w:val="00B4065F"/>
    <w:rsid w:val="00B45091"/>
    <w:rsid w:val="00B45447"/>
    <w:rsid w:val="00B55BE2"/>
    <w:rsid w:val="00B564A0"/>
    <w:rsid w:val="00B56E16"/>
    <w:rsid w:val="00B614F1"/>
    <w:rsid w:val="00B6375B"/>
    <w:rsid w:val="00B63E6E"/>
    <w:rsid w:val="00B65D13"/>
    <w:rsid w:val="00B82463"/>
    <w:rsid w:val="00B83D62"/>
    <w:rsid w:val="00B866B4"/>
    <w:rsid w:val="00B941E1"/>
    <w:rsid w:val="00B94226"/>
    <w:rsid w:val="00BA0A8C"/>
    <w:rsid w:val="00BA0CEB"/>
    <w:rsid w:val="00BA2383"/>
    <w:rsid w:val="00BA2E7E"/>
    <w:rsid w:val="00BA590A"/>
    <w:rsid w:val="00BA5FE4"/>
    <w:rsid w:val="00BA6184"/>
    <w:rsid w:val="00BA7F5F"/>
    <w:rsid w:val="00BB0B39"/>
    <w:rsid w:val="00BB30D1"/>
    <w:rsid w:val="00BB39D8"/>
    <w:rsid w:val="00BB4D8A"/>
    <w:rsid w:val="00BB5F75"/>
    <w:rsid w:val="00BC2163"/>
    <w:rsid w:val="00BC6524"/>
    <w:rsid w:val="00BD3931"/>
    <w:rsid w:val="00BD5B88"/>
    <w:rsid w:val="00BD5F58"/>
    <w:rsid w:val="00BE0AEB"/>
    <w:rsid w:val="00BE4E20"/>
    <w:rsid w:val="00BE7F76"/>
    <w:rsid w:val="00C018E0"/>
    <w:rsid w:val="00C0394B"/>
    <w:rsid w:val="00C04A84"/>
    <w:rsid w:val="00C05AAF"/>
    <w:rsid w:val="00C118C7"/>
    <w:rsid w:val="00C20877"/>
    <w:rsid w:val="00C20E7B"/>
    <w:rsid w:val="00C210A0"/>
    <w:rsid w:val="00C21456"/>
    <w:rsid w:val="00C23EF6"/>
    <w:rsid w:val="00C24D03"/>
    <w:rsid w:val="00C25E61"/>
    <w:rsid w:val="00C32C2D"/>
    <w:rsid w:val="00C35A1B"/>
    <w:rsid w:val="00C413F3"/>
    <w:rsid w:val="00C43073"/>
    <w:rsid w:val="00C45FA7"/>
    <w:rsid w:val="00C50893"/>
    <w:rsid w:val="00C54EFF"/>
    <w:rsid w:val="00C55D03"/>
    <w:rsid w:val="00C63548"/>
    <w:rsid w:val="00C63F96"/>
    <w:rsid w:val="00C648AF"/>
    <w:rsid w:val="00C65450"/>
    <w:rsid w:val="00C677AF"/>
    <w:rsid w:val="00C67E59"/>
    <w:rsid w:val="00C70931"/>
    <w:rsid w:val="00C72AD9"/>
    <w:rsid w:val="00C72B8B"/>
    <w:rsid w:val="00C72CB5"/>
    <w:rsid w:val="00C76D4F"/>
    <w:rsid w:val="00C805BC"/>
    <w:rsid w:val="00C901D8"/>
    <w:rsid w:val="00C959CA"/>
    <w:rsid w:val="00C95D16"/>
    <w:rsid w:val="00CA2AB4"/>
    <w:rsid w:val="00CB0100"/>
    <w:rsid w:val="00CB04D2"/>
    <w:rsid w:val="00CB25F6"/>
    <w:rsid w:val="00CC4511"/>
    <w:rsid w:val="00CD0676"/>
    <w:rsid w:val="00CD7EFE"/>
    <w:rsid w:val="00CE0C66"/>
    <w:rsid w:val="00CE28CF"/>
    <w:rsid w:val="00CE4386"/>
    <w:rsid w:val="00CE4CDC"/>
    <w:rsid w:val="00CE5BEB"/>
    <w:rsid w:val="00CE60CA"/>
    <w:rsid w:val="00CE69E9"/>
    <w:rsid w:val="00CE71F2"/>
    <w:rsid w:val="00CE7DE7"/>
    <w:rsid w:val="00CF0CF8"/>
    <w:rsid w:val="00CF208F"/>
    <w:rsid w:val="00CF3F65"/>
    <w:rsid w:val="00CF464D"/>
    <w:rsid w:val="00CF4FE4"/>
    <w:rsid w:val="00D141A2"/>
    <w:rsid w:val="00D17EF4"/>
    <w:rsid w:val="00D23770"/>
    <w:rsid w:val="00D25059"/>
    <w:rsid w:val="00D25074"/>
    <w:rsid w:val="00D34517"/>
    <w:rsid w:val="00D36798"/>
    <w:rsid w:val="00D43074"/>
    <w:rsid w:val="00D43F48"/>
    <w:rsid w:val="00D47E80"/>
    <w:rsid w:val="00D70563"/>
    <w:rsid w:val="00D70D89"/>
    <w:rsid w:val="00D72051"/>
    <w:rsid w:val="00D7380B"/>
    <w:rsid w:val="00D75D77"/>
    <w:rsid w:val="00D7639E"/>
    <w:rsid w:val="00D835EF"/>
    <w:rsid w:val="00D85F09"/>
    <w:rsid w:val="00D86A9D"/>
    <w:rsid w:val="00D93E13"/>
    <w:rsid w:val="00DA089A"/>
    <w:rsid w:val="00DA11A0"/>
    <w:rsid w:val="00DA2822"/>
    <w:rsid w:val="00DA511D"/>
    <w:rsid w:val="00DA690B"/>
    <w:rsid w:val="00DA7225"/>
    <w:rsid w:val="00DB248C"/>
    <w:rsid w:val="00DB44E9"/>
    <w:rsid w:val="00DB5C70"/>
    <w:rsid w:val="00DC1966"/>
    <w:rsid w:val="00DC3259"/>
    <w:rsid w:val="00DC341F"/>
    <w:rsid w:val="00DC7599"/>
    <w:rsid w:val="00DD0523"/>
    <w:rsid w:val="00DD256A"/>
    <w:rsid w:val="00DD7FE7"/>
    <w:rsid w:val="00DE5758"/>
    <w:rsid w:val="00DE5FCF"/>
    <w:rsid w:val="00DF0D19"/>
    <w:rsid w:val="00DF2EE9"/>
    <w:rsid w:val="00DF6FD8"/>
    <w:rsid w:val="00DF7940"/>
    <w:rsid w:val="00E05A80"/>
    <w:rsid w:val="00E06998"/>
    <w:rsid w:val="00E06A37"/>
    <w:rsid w:val="00E071A5"/>
    <w:rsid w:val="00E071D3"/>
    <w:rsid w:val="00E07752"/>
    <w:rsid w:val="00E07DC9"/>
    <w:rsid w:val="00E12371"/>
    <w:rsid w:val="00E16609"/>
    <w:rsid w:val="00E16F08"/>
    <w:rsid w:val="00E20416"/>
    <w:rsid w:val="00E233F3"/>
    <w:rsid w:val="00E26B34"/>
    <w:rsid w:val="00E314BA"/>
    <w:rsid w:val="00E317E6"/>
    <w:rsid w:val="00E325BE"/>
    <w:rsid w:val="00E326BA"/>
    <w:rsid w:val="00E34202"/>
    <w:rsid w:val="00E364F3"/>
    <w:rsid w:val="00E3796E"/>
    <w:rsid w:val="00E37F72"/>
    <w:rsid w:val="00E40BE5"/>
    <w:rsid w:val="00E40CF9"/>
    <w:rsid w:val="00E42A30"/>
    <w:rsid w:val="00E42CB6"/>
    <w:rsid w:val="00E44C83"/>
    <w:rsid w:val="00E5625D"/>
    <w:rsid w:val="00E57A6F"/>
    <w:rsid w:val="00E648BB"/>
    <w:rsid w:val="00E67ACA"/>
    <w:rsid w:val="00E76B31"/>
    <w:rsid w:val="00E81F3E"/>
    <w:rsid w:val="00E844BB"/>
    <w:rsid w:val="00E84C48"/>
    <w:rsid w:val="00E859BD"/>
    <w:rsid w:val="00E85FDE"/>
    <w:rsid w:val="00E86B70"/>
    <w:rsid w:val="00E87C8F"/>
    <w:rsid w:val="00E924C3"/>
    <w:rsid w:val="00E954EE"/>
    <w:rsid w:val="00E96759"/>
    <w:rsid w:val="00EA4437"/>
    <w:rsid w:val="00EA4D87"/>
    <w:rsid w:val="00EB22AD"/>
    <w:rsid w:val="00EB34FC"/>
    <w:rsid w:val="00EB58B1"/>
    <w:rsid w:val="00EB5E20"/>
    <w:rsid w:val="00EB76E1"/>
    <w:rsid w:val="00EC2499"/>
    <w:rsid w:val="00EC6BCA"/>
    <w:rsid w:val="00ED5923"/>
    <w:rsid w:val="00ED6CFD"/>
    <w:rsid w:val="00EE29DF"/>
    <w:rsid w:val="00EE4120"/>
    <w:rsid w:val="00EF2E8A"/>
    <w:rsid w:val="00EF4E6B"/>
    <w:rsid w:val="00EF5416"/>
    <w:rsid w:val="00F019E7"/>
    <w:rsid w:val="00F02F97"/>
    <w:rsid w:val="00F06CCF"/>
    <w:rsid w:val="00F1053D"/>
    <w:rsid w:val="00F110D5"/>
    <w:rsid w:val="00F11A0E"/>
    <w:rsid w:val="00F11E63"/>
    <w:rsid w:val="00F12733"/>
    <w:rsid w:val="00F12B2A"/>
    <w:rsid w:val="00F171E1"/>
    <w:rsid w:val="00F20DCF"/>
    <w:rsid w:val="00F23F5D"/>
    <w:rsid w:val="00F25B36"/>
    <w:rsid w:val="00F3052A"/>
    <w:rsid w:val="00F341E3"/>
    <w:rsid w:val="00F35BA5"/>
    <w:rsid w:val="00F35D09"/>
    <w:rsid w:val="00F379E0"/>
    <w:rsid w:val="00F4304D"/>
    <w:rsid w:val="00F44BF0"/>
    <w:rsid w:val="00F46612"/>
    <w:rsid w:val="00F474EF"/>
    <w:rsid w:val="00F4752B"/>
    <w:rsid w:val="00F476E8"/>
    <w:rsid w:val="00F541AE"/>
    <w:rsid w:val="00F56792"/>
    <w:rsid w:val="00F571A6"/>
    <w:rsid w:val="00F6018B"/>
    <w:rsid w:val="00F60265"/>
    <w:rsid w:val="00F60E32"/>
    <w:rsid w:val="00F6280F"/>
    <w:rsid w:val="00F644FF"/>
    <w:rsid w:val="00F65ABA"/>
    <w:rsid w:val="00F65E15"/>
    <w:rsid w:val="00F7242E"/>
    <w:rsid w:val="00F74B33"/>
    <w:rsid w:val="00F810DD"/>
    <w:rsid w:val="00F8668E"/>
    <w:rsid w:val="00F90687"/>
    <w:rsid w:val="00F913BC"/>
    <w:rsid w:val="00F91858"/>
    <w:rsid w:val="00F95E2F"/>
    <w:rsid w:val="00F96DEB"/>
    <w:rsid w:val="00FA1872"/>
    <w:rsid w:val="00FA31D1"/>
    <w:rsid w:val="00FA4F34"/>
    <w:rsid w:val="00FA658F"/>
    <w:rsid w:val="00FB2590"/>
    <w:rsid w:val="00FB375E"/>
    <w:rsid w:val="00FB42A6"/>
    <w:rsid w:val="00FD5A8C"/>
    <w:rsid w:val="00FD711B"/>
    <w:rsid w:val="00FD79EC"/>
    <w:rsid w:val="00FE286E"/>
    <w:rsid w:val="00FE3233"/>
    <w:rsid w:val="00FE4C68"/>
    <w:rsid w:val="00FE5FAF"/>
    <w:rsid w:val="00FE6D74"/>
    <w:rsid w:val="00FF33BE"/>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rsid w:val="00572D2F"/>
    <w:rPr>
      <w:rFonts w:ascii="Arial" w:hAnsi="Arial"/>
      <w:sz w:val="20"/>
      <w:szCs w:val="20"/>
    </w:rPr>
  </w:style>
  <w:style w:type="character" w:customStyle="1" w:styleId="EndnoteTextChar">
    <w:name w:val="Endnote Text Char"/>
    <w:basedOn w:val="DefaultParagraphFont"/>
    <w:link w:val="EndnoteText"/>
    <w:uiPriority w:val="99"/>
    <w:rsid w:val="00572D2F"/>
    <w:rPr>
      <w:rFonts w:ascii="Arial" w:eastAsia="Times New Roman" w:hAnsi="Arial" w:cs="Times New Roman"/>
      <w:sz w:val="20"/>
      <w:szCs w:val="20"/>
    </w:rPr>
  </w:style>
  <w:style w:type="character" w:styleId="EndnoteReference">
    <w:name w:val="endnote reference"/>
    <w:uiPriority w:val="99"/>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customStyle="1" w:styleId="Normal2Char">
    <w:name w:val="Normal2 Char"/>
    <w:link w:val="Normal2"/>
    <w:locked/>
    <w:rsid w:val="0033191D"/>
    <w:rPr>
      <w:rFonts w:ascii="Times New Roman" w:eastAsia="Times New Roman" w:hAnsi="Times New Roman" w:cs="Times New Roman"/>
      <w:sz w:val="24"/>
      <w:szCs w:val="20"/>
      <w:lang w:val="x-none" w:eastAsia="x-none"/>
    </w:rPr>
  </w:style>
  <w:style w:type="paragraph" w:customStyle="1" w:styleId="Normal2">
    <w:name w:val="Normal2"/>
    <w:basedOn w:val="Normal"/>
    <w:next w:val="Normal"/>
    <w:link w:val="Normal2Char"/>
    <w:rsid w:val="0033191D"/>
    <w:pPr>
      <w:spacing w:line="280" w:lineRule="atLeast"/>
    </w:pPr>
    <w:rPr>
      <w:rFonts w:ascii="Times New Roman" w:hAnsi="Times New Roman"/>
      <w:sz w:val="24"/>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rsid w:val="00572D2F"/>
    <w:rPr>
      <w:rFonts w:ascii="Arial" w:hAnsi="Arial"/>
      <w:sz w:val="20"/>
      <w:szCs w:val="20"/>
    </w:rPr>
  </w:style>
  <w:style w:type="character" w:customStyle="1" w:styleId="EndnoteTextChar">
    <w:name w:val="Endnote Text Char"/>
    <w:basedOn w:val="DefaultParagraphFont"/>
    <w:link w:val="EndnoteText"/>
    <w:uiPriority w:val="99"/>
    <w:rsid w:val="00572D2F"/>
    <w:rPr>
      <w:rFonts w:ascii="Arial" w:eastAsia="Times New Roman" w:hAnsi="Arial" w:cs="Times New Roman"/>
      <w:sz w:val="20"/>
      <w:szCs w:val="20"/>
    </w:rPr>
  </w:style>
  <w:style w:type="character" w:styleId="EndnoteReference">
    <w:name w:val="endnote reference"/>
    <w:uiPriority w:val="99"/>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customStyle="1" w:styleId="Normal2Char">
    <w:name w:val="Normal2 Char"/>
    <w:link w:val="Normal2"/>
    <w:locked/>
    <w:rsid w:val="0033191D"/>
    <w:rPr>
      <w:rFonts w:ascii="Times New Roman" w:eastAsia="Times New Roman" w:hAnsi="Times New Roman" w:cs="Times New Roman"/>
      <w:sz w:val="24"/>
      <w:szCs w:val="20"/>
      <w:lang w:val="x-none" w:eastAsia="x-none"/>
    </w:rPr>
  </w:style>
  <w:style w:type="paragraph" w:customStyle="1" w:styleId="Normal2">
    <w:name w:val="Normal2"/>
    <w:basedOn w:val="Normal"/>
    <w:next w:val="Normal"/>
    <w:link w:val="Normal2Char"/>
    <w:rsid w:val="0033191D"/>
    <w:pPr>
      <w:spacing w:line="280" w:lineRule="atLeast"/>
    </w:pPr>
    <w:rPr>
      <w:rFonts w:ascii="Times New Roman" w:hAnsi="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937019">
      <w:bodyDiv w:val="1"/>
      <w:marLeft w:val="0"/>
      <w:marRight w:val="0"/>
      <w:marTop w:val="0"/>
      <w:marBottom w:val="0"/>
      <w:divBdr>
        <w:top w:val="none" w:sz="0" w:space="0" w:color="auto"/>
        <w:left w:val="none" w:sz="0" w:space="0" w:color="auto"/>
        <w:bottom w:val="none" w:sz="0" w:space="0" w:color="auto"/>
        <w:right w:val="none" w:sz="0" w:space="0" w:color="auto"/>
      </w:divBdr>
    </w:div>
    <w:div w:id="524752082">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17656800">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36344956">
      <w:bodyDiv w:val="1"/>
      <w:marLeft w:val="0"/>
      <w:marRight w:val="0"/>
      <w:marTop w:val="0"/>
      <w:marBottom w:val="0"/>
      <w:divBdr>
        <w:top w:val="none" w:sz="0" w:space="0" w:color="auto"/>
        <w:left w:val="none" w:sz="0" w:space="0" w:color="auto"/>
        <w:bottom w:val="none" w:sz="0" w:space="0" w:color="auto"/>
        <w:right w:val="none" w:sz="0" w:space="0" w:color="auto"/>
      </w:divBdr>
    </w:div>
    <w:div w:id="1268124177">
      <w:bodyDiv w:val="1"/>
      <w:marLeft w:val="0"/>
      <w:marRight w:val="0"/>
      <w:marTop w:val="0"/>
      <w:marBottom w:val="0"/>
      <w:divBdr>
        <w:top w:val="none" w:sz="0" w:space="0" w:color="auto"/>
        <w:left w:val="none" w:sz="0" w:space="0" w:color="auto"/>
        <w:bottom w:val="none" w:sz="0" w:space="0" w:color="auto"/>
        <w:right w:val="none" w:sz="0" w:space="0" w:color="auto"/>
      </w:divBdr>
    </w:div>
    <w:div w:id="1271819877">
      <w:bodyDiv w:val="1"/>
      <w:marLeft w:val="0"/>
      <w:marRight w:val="0"/>
      <w:marTop w:val="0"/>
      <w:marBottom w:val="0"/>
      <w:divBdr>
        <w:top w:val="none" w:sz="0" w:space="0" w:color="auto"/>
        <w:left w:val="none" w:sz="0" w:space="0" w:color="auto"/>
        <w:bottom w:val="none" w:sz="0" w:space="0" w:color="auto"/>
        <w:right w:val="none" w:sz="0" w:space="0" w:color="auto"/>
      </w:divBdr>
    </w:div>
    <w:div w:id="193674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81B56"/>
    <w:rsid w:val="000D7C27"/>
    <w:rsid w:val="00143757"/>
    <w:rsid w:val="00146151"/>
    <w:rsid w:val="00176B8A"/>
    <w:rsid w:val="00203E2E"/>
    <w:rsid w:val="00204A7F"/>
    <w:rsid w:val="002239BE"/>
    <w:rsid w:val="00256BF5"/>
    <w:rsid w:val="002A1ECE"/>
    <w:rsid w:val="002A3914"/>
    <w:rsid w:val="002B514B"/>
    <w:rsid w:val="002C0C03"/>
    <w:rsid w:val="002C74E8"/>
    <w:rsid w:val="002D5D2C"/>
    <w:rsid w:val="00311B0D"/>
    <w:rsid w:val="003533A3"/>
    <w:rsid w:val="003A131F"/>
    <w:rsid w:val="003C47AB"/>
    <w:rsid w:val="00472BBE"/>
    <w:rsid w:val="004A3010"/>
    <w:rsid w:val="00560392"/>
    <w:rsid w:val="006B2E5F"/>
    <w:rsid w:val="006B7FA8"/>
    <w:rsid w:val="007209A4"/>
    <w:rsid w:val="00753BC3"/>
    <w:rsid w:val="007769F6"/>
    <w:rsid w:val="008211B5"/>
    <w:rsid w:val="00870FFA"/>
    <w:rsid w:val="00874653"/>
    <w:rsid w:val="00A5022A"/>
    <w:rsid w:val="00AA5877"/>
    <w:rsid w:val="00AE4C28"/>
    <w:rsid w:val="00AF009F"/>
    <w:rsid w:val="00AF2C4B"/>
    <w:rsid w:val="00B44E0E"/>
    <w:rsid w:val="00B73964"/>
    <w:rsid w:val="00B74704"/>
    <w:rsid w:val="00BD290C"/>
    <w:rsid w:val="00C947B8"/>
    <w:rsid w:val="00CA1BE9"/>
    <w:rsid w:val="00CA6122"/>
    <w:rsid w:val="00CE15BB"/>
    <w:rsid w:val="00D0496D"/>
    <w:rsid w:val="00D051F5"/>
    <w:rsid w:val="00D50167"/>
    <w:rsid w:val="00D6424A"/>
    <w:rsid w:val="00D80BDA"/>
    <w:rsid w:val="00EC59D9"/>
    <w:rsid w:val="00F34712"/>
    <w:rsid w:val="00F7350A"/>
    <w:rsid w:val="00F95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2016-11-02T00:00:00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4ED5BE1-FCAD-496B-8A28-1E284CCE5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4053</Words>
  <Characters>23108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SCE17LG085</vt:lpstr>
    </vt:vector>
  </TitlesOfParts>
  <Company>Southern California Edison</Company>
  <LinksUpToDate>false</LinksUpToDate>
  <CharactersWithSpaces>27107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SCE17LG085</dc:title>
  <dc:creator>Jim Wyatt (PG&amp;E);Jason Wang (SCE)</dc:creator>
  <cp:lastModifiedBy>Ajay Wadhera</cp:lastModifiedBy>
  <cp:revision>3</cp:revision>
  <dcterms:created xsi:type="dcterms:W3CDTF">2017-01-26T19:20:00Z</dcterms:created>
  <dcterms:modified xsi:type="dcterms:W3CDTF">2017-02-02T22:41:00Z</dcterms:modified>
  <cp:contentStatus>Revision 0</cp:contentStatus>
</cp:coreProperties>
</file>