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1ACABF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A3B68">
            <w:t>SCE17LG076</w:t>
          </w:r>
        </w:sdtContent>
      </w:sdt>
    </w:p>
    <w:bookmarkEnd w:id="0"/>
    <w:p w14:paraId="7601CE2F" w14:textId="04CE9624" w:rsidR="00DA690B" w:rsidRPr="00500C4E" w:rsidRDefault="00B7184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A3B68">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6BD87BF" w:rsidR="00DA690B" w:rsidRPr="00500C4E" w:rsidRDefault="00B7184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5A3B68">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72F7235D" w:rsidR="00523736" w:rsidRPr="00172910" w:rsidRDefault="00172910" w:rsidP="00172910">
      <w:pPr>
        <w:rPr>
          <w:rFonts w:cstheme="minorHAnsi"/>
          <w:b/>
          <w:sz w:val="72"/>
          <w:szCs w:val="72"/>
        </w:rPr>
      </w:pPr>
      <w:r>
        <w:rPr>
          <w:rFonts w:cstheme="minorHAnsi"/>
          <w:b/>
          <w:sz w:val="72"/>
          <w:szCs w:val="72"/>
        </w:rPr>
        <w:t>Integrated Linear Fluorescent Occupancy Sensor</w:t>
      </w:r>
      <w:r w:rsidR="00DA690B" w:rsidRPr="00500C4E">
        <w:rPr>
          <w:rFonts w:cstheme="minorHAnsi"/>
          <w:b/>
          <w:sz w:val="72"/>
          <w:szCs w:val="72"/>
        </w:rPr>
        <w:t xml:space="preserve"> </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0E117FDC" w:rsidR="00AC5309" w:rsidRPr="007A5E55" w:rsidRDefault="007A5E55">
            <w:pPr>
              <w:rPr>
                <w:rFonts w:cs="Arial"/>
                <w:bCs/>
                <w:szCs w:val="20"/>
              </w:rPr>
            </w:pPr>
            <w:r w:rsidRPr="007A5E55">
              <w:rPr>
                <w:rFonts w:cs="Arial"/>
                <w:szCs w:val="20"/>
              </w:rPr>
              <w:t>LT-76101, LT-41007</w:t>
            </w:r>
            <w:r w:rsidR="00AC5309" w:rsidRPr="007A5E55">
              <w:rPr>
                <w:rFonts w:cs="Arial"/>
                <w:szCs w:val="20"/>
              </w:rPr>
              <w:t xml:space="preserve"> </w:t>
            </w:r>
          </w:p>
        </w:tc>
      </w:tr>
      <w:tr w:rsidR="007A5E55" w:rsidRPr="00500C4E" w14:paraId="63B310F0" w14:textId="77777777" w:rsidTr="00920905">
        <w:trPr>
          <w:trHeight w:val="465"/>
        </w:trPr>
        <w:tc>
          <w:tcPr>
            <w:tcW w:w="1875" w:type="pct"/>
          </w:tcPr>
          <w:p w14:paraId="5050E2A3" w14:textId="2CBF1387" w:rsidR="007A5E55" w:rsidRPr="00500C4E" w:rsidRDefault="007A5E55" w:rsidP="007A5E5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F1A1377" w:rsidR="007A5E55" w:rsidRPr="007A5E55" w:rsidRDefault="007A5E55" w:rsidP="007A5E55">
            <w:pPr>
              <w:rPr>
                <w:rFonts w:cs="Arial"/>
                <w:szCs w:val="20"/>
              </w:rPr>
            </w:pPr>
            <w:r w:rsidRPr="007A5E55">
              <w:rPr>
                <w:szCs w:val="20"/>
              </w:rPr>
              <w:t>Integrated Occupancy Sensor</w:t>
            </w:r>
          </w:p>
        </w:tc>
      </w:tr>
      <w:tr w:rsidR="007A5E55" w:rsidRPr="00500C4E" w14:paraId="085771EF" w14:textId="77777777" w:rsidTr="00920905">
        <w:trPr>
          <w:trHeight w:val="465"/>
        </w:trPr>
        <w:tc>
          <w:tcPr>
            <w:tcW w:w="1875" w:type="pct"/>
          </w:tcPr>
          <w:p w14:paraId="679DB8A0" w14:textId="3D691398" w:rsidR="007A5E55" w:rsidRPr="00500C4E" w:rsidRDefault="007A5E55" w:rsidP="007A5E5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8A12562" w:rsidR="007A5E55" w:rsidRPr="007A5E55" w:rsidRDefault="007A5E55" w:rsidP="007A5E55">
            <w:pPr>
              <w:rPr>
                <w:rFonts w:cs="Arial"/>
                <w:szCs w:val="20"/>
              </w:rPr>
            </w:pPr>
            <w:r w:rsidRPr="007A5E55">
              <w:rPr>
                <w:szCs w:val="20"/>
              </w:rPr>
              <w:t>Manual Lighting Control</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06E2272C" w:rsidR="00D36798" w:rsidRPr="007A5E55" w:rsidRDefault="007A5E55">
            <w:pPr>
              <w:rPr>
                <w:rFonts w:cs="Arial"/>
                <w:szCs w:val="20"/>
              </w:rPr>
            </w:pPr>
            <w:r w:rsidRPr="007A5E55">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7A5E55" w:rsidRDefault="00D36798">
            <w:pPr>
              <w:rPr>
                <w:rFonts w:cs="Arial"/>
                <w:szCs w:val="20"/>
              </w:rPr>
            </w:pPr>
            <w:r w:rsidRPr="007A5E55">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7A5E55" w:rsidRDefault="00AC2F5B" w:rsidP="00AC2F5B">
            <w:pPr>
              <w:rPr>
                <w:rFonts w:cs="Arial"/>
                <w:szCs w:val="20"/>
              </w:rPr>
            </w:pPr>
            <w:r w:rsidRPr="007A5E55">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7A5E55" w:rsidRDefault="00AC2F5B" w:rsidP="00AC2F5B">
            <w:pPr>
              <w:rPr>
                <w:rFonts w:cs="Arial"/>
                <w:szCs w:val="20"/>
              </w:rPr>
            </w:pPr>
            <w:r w:rsidRPr="007A5E55">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4E8F1FC" w:rsidR="00290ED8" w:rsidRPr="007A5E55" w:rsidRDefault="007A5E55">
            <w:pPr>
              <w:rPr>
                <w:rFonts w:cs="Arial"/>
                <w:szCs w:val="20"/>
              </w:rPr>
            </w:pPr>
            <w:r w:rsidRPr="007A5E55">
              <w:rPr>
                <w:rFonts w:ascii="Calibri" w:hAnsi="Calibri"/>
                <w:szCs w:val="22"/>
              </w:rPr>
              <w:t>ILtg-OccSens: EUL 8yrs, RUL 2.7yrs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77980033" w:rsidR="00290ED8" w:rsidRPr="007A5E55" w:rsidRDefault="001C1338">
            <w:pPr>
              <w:rPr>
                <w:rFonts w:cs="Arial"/>
                <w:szCs w:val="20"/>
              </w:rPr>
            </w:pPr>
            <w:r w:rsidRPr="007A5E55">
              <w:rPr>
                <w:szCs w:val="20"/>
              </w:rPr>
              <w:t>Retrofit Add-on (REA)</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6029512F" w:rsidR="00290ED8" w:rsidRPr="00500C4E" w:rsidRDefault="007A5E55">
            <w:pPr>
              <w:rPr>
                <w:rFonts w:cs="Arial"/>
                <w:color w:val="FF0000"/>
                <w:szCs w:val="20"/>
              </w:rPr>
            </w:pPr>
            <w:r>
              <w:rPr>
                <w:rFonts w:cstheme="minorHAnsi"/>
                <w:szCs w:val="20"/>
              </w:rPr>
              <w:t>NonRes-sAll-mOccSens: 0.60, NonRes-sAll-mLtgCtrl-htr: 0.89, Com-Default&gt;2yrs: 0.60</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576"/>
        <w:gridCol w:w="1567"/>
        <w:gridCol w:w="5897"/>
      </w:tblGrid>
      <w:tr w:rsidR="003845E5" w:rsidRPr="00500C4E" w14:paraId="5AFD7FBC" w14:textId="77777777" w:rsidTr="007571E6">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823"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1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7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172910" w:rsidRPr="00500C4E" w14:paraId="0F8D645E" w14:textId="77777777" w:rsidTr="007571E6">
        <w:trPr>
          <w:trHeight w:val="20"/>
        </w:trPr>
        <w:tc>
          <w:tcPr>
            <w:tcW w:w="280" w:type="pct"/>
          </w:tcPr>
          <w:p w14:paraId="4A1A2996" w14:textId="77777777" w:rsidR="00172910" w:rsidRPr="00920905" w:rsidRDefault="00172910" w:rsidP="00172910">
            <w:pPr>
              <w:rPr>
                <w:rFonts w:cstheme="minorHAnsi"/>
                <w:color w:val="FF0000"/>
                <w:szCs w:val="20"/>
              </w:rPr>
            </w:pPr>
            <w:r w:rsidRPr="00172910">
              <w:rPr>
                <w:rFonts w:cstheme="minorHAnsi"/>
                <w:szCs w:val="20"/>
              </w:rPr>
              <w:t>0</w:t>
            </w:r>
          </w:p>
        </w:tc>
        <w:tc>
          <w:tcPr>
            <w:tcW w:w="823" w:type="pct"/>
          </w:tcPr>
          <w:p w14:paraId="68BA349C" w14:textId="1D957BDB" w:rsidR="00172910" w:rsidRPr="00920905" w:rsidRDefault="007571E6" w:rsidP="00A560E2">
            <w:pPr>
              <w:rPr>
                <w:rFonts w:cstheme="minorHAnsi"/>
                <w:color w:val="FF0000"/>
                <w:szCs w:val="20"/>
              </w:rPr>
            </w:pPr>
            <w:r>
              <w:rPr>
                <w:rFonts w:cstheme="minorHAnsi"/>
                <w:szCs w:val="20"/>
              </w:rPr>
              <w:t>12/</w:t>
            </w:r>
            <w:r w:rsidR="00A560E2">
              <w:rPr>
                <w:rFonts w:cstheme="minorHAnsi"/>
                <w:szCs w:val="20"/>
              </w:rPr>
              <w:t>21</w:t>
            </w:r>
            <w:r w:rsidR="00A80016">
              <w:rPr>
                <w:rFonts w:cstheme="minorHAnsi"/>
                <w:szCs w:val="20"/>
              </w:rPr>
              <w:t>/</w:t>
            </w:r>
            <w:r>
              <w:rPr>
                <w:rFonts w:cstheme="minorHAnsi"/>
                <w:szCs w:val="20"/>
              </w:rPr>
              <w:t>16</w:t>
            </w:r>
          </w:p>
        </w:tc>
        <w:tc>
          <w:tcPr>
            <w:tcW w:w="818" w:type="pct"/>
          </w:tcPr>
          <w:p w14:paraId="4A812BB3" w14:textId="78411425" w:rsidR="00172910" w:rsidRPr="00920905" w:rsidRDefault="007571E6" w:rsidP="00172910">
            <w:pPr>
              <w:rPr>
                <w:rFonts w:cstheme="minorHAnsi"/>
                <w:color w:val="FF0000"/>
                <w:szCs w:val="20"/>
              </w:rPr>
            </w:pPr>
            <w:r>
              <w:rPr>
                <w:rFonts w:cstheme="minorHAnsi"/>
                <w:szCs w:val="20"/>
              </w:rPr>
              <w:t>Siobhan McCabe, TRC Energy Services</w:t>
            </w:r>
          </w:p>
        </w:tc>
        <w:tc>
          <w:tcPr>
            <w:tcW w:w="3079" w:type="pct"/>
          </w:tcPr>
          <w:p w14:paraId="779BC96D" w14:textId="476F5B64" w:rsidR="007571E6" w:rsidRDefault="00D44FB0" w:rsidP="00E67CAC">
            <w:pPr>
              <w:pStyle w:val="ListParagraph"/>
              <w:numPr>
                <w:ilvl w:val="0"/>
                <w:numId w:val="39"/>
              </w:numPr>
            </w:pPr>
            <w:r>
              <w:t>This work paper is an update of SCE13LG076.3</w:t>
            </w:r>
            <w:r w:rsidR="007571E6">
              <w:t xml:space="preserve"> </w:t>
            </w:r>
          </w:p>
          <w:p w14:paraId="277DC708" w14:textId="77777777" w:rsidR="00D44FB0" w:rsidRDefault="00D44FB0" w:rsidP="00377D67">
            <w:pPr>
              <w:pStyle w:val="ListParagraph"/>
              <w:numPr>
                <w:ilvl w:val="0"/>
                <w:numId w:val="39"/>
              </w:numPr>
            </w:pPr>
            <w:r>
              <w:t>New calculation template for 2017 program year</w:t>
            </w:r>
          </w:p>
          <w:p w14:paraId="5BA3ECF6" w14:textId="03F3D2D8" w:rsidR="00D44FB0" w:rsidRDefault="00D44FB0" w:rsidP="00377D67">
            <w:pPr>
              <w:pStyle w:val="ListParagraph"/>
              <w:numPr>
                <w:ilvl w:val="0"/>
                <w:numId w:val="39"/>
              </w:numPr>
            </w:pPr>
            <w:r>
              <w:t>Updated costs based on online research and</w:t>
            </w:r>
            <w:r w:rsidR="00E67CAC">
              <w:t xml:space="preserve"> WO017</w:t>
            </w:r>
          </w:p>
          <w:p w14:paraId="58B8A07C" w14:textId="77777777" w:rsidR="007571E6" w:rsidRDefault="00D44FB0" w:rsidP="00E67CAC">
            <w:pPr>
              <w:pStyle w:val="ListParagraph"/>
              <w:numPr>
                <w:ilvl w:val="0"/>
                <w:numId w:val="39"/>
              </w:numPr>
            </w:pPr>
            <w:r>
              <w:t>Updated code language for Title 24 2016</w:t>
            </w:r>
          </w:p>
          <w:p w14:paraId="34F0A8ED" w14:textId="761A969C" w:rsidR="00D44FB0" w:rsidRPr="007571E6" w:rsidRDefault="00D44FB0" w:rsidP="00E67CAC">
            <w:pPr>
              <w:pStyle w:val="ListParagraph"/>
              <w:numPr>
                <w:ilvl w:val="0"/>
                <w:numId w:val="39"/>
              </w:numPr>
            </w:pPr>
            <w:r>
              <w:t>Revised savings due to changes in DEER interactive effects for 2016 Lighting Summary</w:t>
            </w:r>
          </w:p>
        </w:tc>
      </w:tr>
    </w:tbl>
    <w:p w14:paraId="656E2232" w14:textId="3DF188D1"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EE248A8" w:rsidR="008877AF" w:rsidRPr="00EE4120" w:rsidRDefault="008877AF" w:rsidP="00A84BF9">
            <w:pPr>
              <w:rPr>
                <w:bCs/>
                <w:color w:val="FF0000"/>
              </w:rPr>
            </w:pPr>
          </w:p>
        </w:tc>
        <w:tc>
          <w:tcPr>
            <w:tcW w:w="351" w:type="pct"/>
          </w:tcPr>
          <w:p w14:paraId="23988046" w14:textId="5E32D355" w:rsidR="008877AF" w:rsidRPr="00EE4120" w:rsidRDefault="008877AF" w:rsidP="00A84BF9">
            <w:pPr>
              <w:rPr>
                <w:bCs/>
                <w:color w:val="FF0000"/>
                <w:szCs w:val="20"/>
              </w:rPr>
            </w:pPr>
          </w:p>
        </w:tc>
        <w:tc>
          <w:tcPr>
            <w:tcW w:w="548" w:type="pct"/>
          </w:tcPr>
          <w:p w14:paraId="4AB37DB0" w14:textId="343E89A2" w:rsidR="008877AF" w:rsidRPr="00EE4120" w:rsidRDefault="008877AF" w:rsidP="00A84BF9">
            <w:pPr>
              <w:rPr>
                <w:bCs/>
                <w:color w:val="FF0000"/>
                <w:szCs w:val="20"/>
              </w:rPr>
            </w:pPr>
          </w:p>
        </w:tc>
        <w:tc>
          <w:tcPr>
            <w:tcW w:w="552" w:type="pct"/>
          </w:tcPr>
          <w:p w14:paraId="62E998F6" w14:textId="25727D52" w:rsidR="008877AF" w:rsidRPr="00EE4120" w:rsidRDefault="008877AF" w:rsidP="00A84BF9">
            <w:pPr>
              <w:rPr>
                <w:bCs/>
                <w:color w:val="FF0000"/>
                <w:szCs w:val="20"/>
              </w:rPr>
            </w:pPr>
          </w:p>
        </w:tc>
        <w:tc>
          <w:tcPr>
            <w:tcW w:w="1634" w:type="pct"/>
          </w:tcPr>
          <w:p w14:paraId="369DEEE8" w14:textId="757BB242" w:rsidR="008877AF" w:rsidRPr="00C57327" w:rsidRDefault="008877AF" w:rsidP="00F25B36">
            <w:pPr>
              <w:pStyle w:val="ListParagraph"/>
              <w:numPr>
                <w:ilvl w:val="0"/>
                <w:numId w:val="33"/>
              </w:numPr>
              <w:rPr>
                <w:bCs/>
                <w:szCs w:val="20"/>
              </w:rPr>
            </w:pPr>
          </w:p>
        </w:tc>
        <w:tc>
          <w:tcPr>
            <w:tcW w:w="1634" w:type="pct"/>
          </w:tcPr>
          <w:p w14:paraId="1ECCFDB6" w14:textId="08D52F13" w:rsidR="008877AF" w:rsidRPr="00C57327" w:rsidRDefault="008877AF" w:rsidP="00F25B36">
            <w:pPr>
              <w:pStyle w:val="ListParagraph"/>
              <w:numPr>
                <w:ilvl w:val="0"/>
                <w:numId w:val="33"/>
              </w:numPr>
              <w:rPr>
                <w:bCs/>
                <w:szCs w:val="20"/>
              </w:rPr>
            </w:pPr>
          </w:p>
        </w:tc>
      </w:tr>
      <w:tr w:rsidR="008877AF" w:rsidRPr="00500C4E" w14:paraId="69D073CD" w14:textId="392DFDA5" w:rsidTr="00BA5FE4">
        <w:trPr>
          <w:trHeight w:val="20"/>
        </w:trPr>
        <w:tc>
          <w:tcPr>
            <w:tcW w:w="280" w:type="pct"/>
          </w:tcPr>
          <w:p w14:paraId="19E0D6ED" w14:textId="247E25C4" w:rsidR="008877AF" w:rsidRPr="00EE4120" w:rsidRDefault="008877AF" w:rsidP="00A84BF9">
            <w:pPr>
              <w:rPr>
                <w:color w:val="FF0000"/>
              </w:rPr>
            </w:pPr>
          </w:p>
        </w:tc>
        <w:tc>
          <w:tcPr>
            <w:tcW w:w="351" w:type="pct"/>
          </w:tcPr>
          <w:p w14:paraId="71879172" w14:textId="4F8460B0" w:rsidR="008877AF" w:rsidRPr="00EE4120" w:rsidRDefault="008877AF" w:rsidP="00A84BF9">
            <w:pPr>
              <w:autoSpaceDE w:val="0"/>
              <w:autoSpaceDN w:val="0"/>
              <w:adjustRightInd w:val="0"/>
              <w:rPr>
                <w:color w:val="FF0000"/>
                <w:szCs w:val="20"/>
              </w:rPr>
            </w:pPr>
          </w:p>
        </w:tc>
        <w:tc>
          <w:tcPr>
            <w:tcW w:w="548" w:type="pct"/>
          </w:tcPr>
          <w:p w14:paraId="61A20ED3" w14:textId="38988DCA" w:rsidR="008877AF" w:rsidRPr="00EE4120" w:rsidRDefault="008877AF" w:rsidP="00A84BF9">
            <w:pPr>
              <w:autoSpaceDE w:val="0"/>
              <w:autoSpaceDN w:val="0"/>
              <w:adjustRightInd w:val="0"/>
              <w:rPr>
                <w:color w:val="FF0000"/>
                <w:szCs w:val="20"/>
              </w:rPr>
            </w:pPr>
          </w:p>
        </w:tc>
        <w:tc>
          <w:tcPr>
            <w:tcW w:w="552" w:type="pct"/>
          </w:tcPr>
          <w:p w14:paraId="211F8E7E" w14:textId="50FDEDCC" w:rsidR="008877AF" w:rsidRPr="00EE4120" w:rsidRDefault="008877AF" w:rsidP="00A84BF9">
            <w:pPr>
              <w:rPr>
                <w:color w:val="FF0000"/>
                <w:szCs w:val="20"/>
              </w:rPr>
            </w:pPr>
          </w:p>
        </w:tc>
        <w:tc>
          <w:tcPr>
            <w:tcW w:w="1634" w:type="pct"/>
          </w:tcPr>
          <w:p w14:paraId="52AA4972" w14:textId="65783E61" w:rsidR="008877AF" w:rsidRPr="00C57327" w:rsidRDefault="008877AF" w:rsidP="00F25B36">
            <w:pPr>
              <w:pStyle w:val="ListParagraph"/>
              <w:numPr>
                <w:ilvl w:val="0"/>
                <w:numId w:val="34"/>
              </w:numPr>
              <w:rPr>
                <w:bCs/>
                <w:szCs w:val="20"/>
              </w:rPr>
            </w:pPr>
          </w:p>
        </w:tc>
        <w:tc>
          <w:tcPr>
            <w:tcW w:w="1634" w:type="pct"/>
          </w:tcPr>
          <w:p w14:paraId="34686434" w14:textId="2A0A3AA3" w:rsidR="008877AF" w:rsidRPr="00C57327" w:rsidRDefault="008877AF" w:rsidP="008877AF">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167BA44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583D7CA5" w14:textId="77777777" w:rsidR="00AE28F1" w:rsidRDefault="00AE28F1" w:rsidP="00AE28F1">
      <w:pPr>
        <w:rPr>
          <w:rFonts w:cstheme="minorHAnsi"/>
          <w:szCs w:val="22"/>
        </w:rPr>
      </w:pPr>
      <w:r>
        <w:rPr>
          <w:rFonts w:cstheme="minorHAnsi"/>
          <w:szCs w:val="22"/>
        </w:rPr>
        <w:t xml:space="preserve">This work paper documents the E3 calculator input values used to forecast the impacts of fixture integrated occupancy sensors controlling less than 150W and greater than 150W. </w:t>
      </w:r>
    </w:p>
    <w:p w14:paraId="49E3ADCB" w14:textId="77777777" w:rsidR="00AE28F1" w:rsidRDefault="00AE28F1" w:rsidP="00AE28F1">
      <w:pPr>
        <w:rPr>
          <w:rFonts w:cstheme="minorHAnsi"/>
          <w:szCs w:val="22"/>
        </w:rPr>
      </w:pPr>
    </w:p>
    <w:p w14:paraId="3E8F1525" w14:textId="77777777" w:rsidR="00AE28F1" w:rsidRDefault="00AE28F1" w:rsidP="00AE28F1">
      <w:pPr>
        <w:rPr>
          <w:rFonts w:cstheme="minorHAnsi"/>
          <w:szCs w:val="22"/>
        </w:rPr>
      </w:pPr>
      <w:r>
        <w:rPr>
          <w:rFonts w:cstheme="minorHAnsi"/>
          <w:szCs w:val="22"/>
        </w:rPr>
        <w:t>The base case fixture for ≥150W is equipped with four 46” 54W T5 HO lamps and electronic ballast without occupancy controls.  The fixture consumes 234 Watts (F44PHL/2) which is obtained from the 2013 SPC Table of Standard Fixture Wattages [431].</w:t>
      </w:r>
    </w:p>
    <w:p w14:paraId="122B0276" w14:textId="77777777" w:rsidR="00AE28F1" w:rsidRDefault="00AE28F1" w:rsidP="00AE28F1">
      <w:pPr>
        <w:rPr>
          <w:rFonts w:cstheme="minorHAnsi"/>
          <w:szCs w:val="22"/>
        </w:rPr>
      </w:pPr>
    </w:p>
    <w:p w14:paraId="170A306D" w14:textId="77777777" w:rsidR="00AE28F1" w:rsidRDefault="00AE28F1" w:rsidP="00AE28F1">
      <w:pPr>
        <w:rPr>
          <w:rFonts w:cstheme="minorHAnsi"/>
          <w:szCs w:val="22"/>
        </w:rPr>
      </w:pPr>
      <w:r>
        <w:rPr>
          <w:rFonts w:cstheme="minorHAnsi"/>
          <w:szCs w:val="22"/>
        </w:rPr>
        <w:t>The base case fixture for &lt;150W is equipped with two 48” 32W T8 lamps and electronic ballast without occupancy controls.  The fixture consumes 59 Watts (fixture code F42ILL) [431].</w:t>
      </w:r>
    </w:p>
    <w:p w14:paraId="7CF08AFA" w14:textId="77777777" w:rsidR="00AE28F1" w:rsidRDefault="00AE28F1" w:rsidP="00AE28F1">
      <w:pPr>
        <w:rPr>
          <w:rFonts w:cstheme="minorHAnsi"/>
          <w:szCs w:val="22"/>
        </w:rPr>
      </w:pPr>
    </w:p>
    <w:p w14:paraId="3310A0AB" w14:textId="1A400B11" w:rsidR="00AE28F1" w:rsidRDefault="00AE28F1" w:rsidP="00AE28F1">
      <w:pPr>
        <w:rPr>
          <w:rFonts w:cstheme="minorHAnsi"/>
          <w:szCs w:val="22"/>
        </w:rPr>
      </w:pPr>
      <w:r>
        <w:rPr>
          <w:rFonts w:cstheme="minorHAnsi"/>
          <w:szCs w:val="22"/>
        </w:rPr>
        <w:t xml:space="preserve">The measure case for both cases is to install an integrated occupancy sensor on the base case fixture. One occupancy sensor will control one fixture. </w:t>
      </w:r>
    </w:p>
    <w:p w14:paraId="1FF07FBD" w14:textId="77777777" w:rsidR="00AE28F1" w:rsidRDefault="00AE28F1" w:rsidP="00AE28F1">
      <w:pPr>
        <w:rPr>
          <w:rFonts w:cstheme="minorHAnsi"/>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39F1B530" w:rsidR="00D85F09" w:rsidRPr="00AE28F1" w:rsidRDefault="00AE28F1" w:rsidP="00920905">
            <w:pPr>
              <w:rPr>
                <w:szCs w:val="20"/>
              </w:rPr>
            </w:pPr>
            <w:r w:rsidRPr="00AE28F1">
              <w:rPr>
                <w:szCs w:val="20"/>
              </w:rPr>
              <w:t>Integrated Occupancy Sensor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131E73D" w:rsidR="00D85F09" w:rsidRPr="00AE28F1" w:rsidRDefault="00AE28F1" w:rsidP="00920905">
            <w:pPr>
              <w:rPr>
                <w:i/>
                <w:szCs w:val="20"/>
              </w:rPr>
            </w:pPr>
            <w:r w:rsidRPr="00AE28F1">
              <w:rPr>
                <w:szCs w:val="20"/>
              </w:rPr>
              <w:t>Manual Lighting Control</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2385790" w:rsidR="002344FB" w:rsidRPr="00AE28F1" w:rsidRDefault="00AE28F1">
            <w:pPr>
              <w:rPr>
                <w:szCs w:val="20"/>
              </w:rPr>
            </w:pPr>
            <w:r w:rsidRPr="00AE28F1">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2414343" w:rsidR="00D85F09" w:rsidRPr="00AE28F1" w:rsidRDefault="00AE28F1" w:rsidP="00920905">
            <w:pPr>
              <w:rPr>
                <w:i/>
                <w:szCs w:val="20"/>
              </w:rPr>
            </w:pPr>
            <w:r w:rsidRPr="00AE28F1">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732"/>
        <w:gridCol w:w="921"/>
        <w:gridCol w:w="1199"/>
        <w:gridCol w:w="1015"/>
        <w:gridCol w:w="5709"/>
      </w:tblGrid>
      <w:tr w:rsidR="003A3170" w:rsidRPr="00800706" w14:paraId="4040004B" w14:textId="77777777" w:rsidTr="00AE28F1">
        <w:tc>
          <w:tcPr>
            <w:tcW w:w="201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98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AE28F1">
        <w:tc>
          <w:tcPr>
            <w:tcW w:w="382"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81"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26"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3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981" w:type="pct"/>
            <w:vMerge/>
          </w:tcPr>
          <w:p w14:paraId="4025F40F" w14:textId="38634C6A" w:rsidR="003A3170" w:rsidRPr="00800706" w:rsidRDefault="003A3170" w:rsidP="005729C8">
            <w:pPr>
              <w:rPr>
                <w:rFonts w:cstheme="minorHAnsi"/>
                <w:szCs w:val="20"/>
              </w:rPr>
            </w:pPr>
          </w:p>
        </w:tc>
      </w:tr>
      <w:tr w:rsidR="00AE28F1" w:rsidRPr="00800706" w14:paraId="0290ADBE" w14:textId="77777777" w:rsidTr="00AE28F1">
        <w:trPr>
          <w:trHeight w:val="243"/>
        </w:trPr>
        <w:tc>
          <w:tcPr>
            <w:tcW w:w="382" w:type="pct"/>
          </w:tcPr>
          <w:p w14:paraId="1CE709CC" w14:textId="77777777" w:rsidR="00AE28F1" w:rsidRPr="00920905" w:rsidRDefault="00AE28F1" w:rsidP="00AE28F1">
            <w:pPr>
              <w:rPr>
                <w:rFonts w:cstheme="minorHAnsi"/>
                <w:color w:val="FF0000"/>
                <w:szCs w:val="20"/>
              </w:rPr>
            </w:pPr>
          </w:p>
        </w:tc>
        <w:tc>
          <w:tcPr>
            <w:tcW w:w="481" w:type="pct"/>
          </w:tcPr>
          <w:p w14:paraId="666F9F6A" w14:textId="77777777" w:rsidR="00AE28F1" w:rsidRPr="00920905" w:rsidRDefault="00AE28F1" w:rsidP="00AE28F1">
            <w:pPr>
              <w:rPr>
                <w:rFonts w:cstheme="minorHAnsi"/>
                <w:color w:val="FF0000"/>
                <w:szCs w:val="20"/>
              </w:rPr>
            </w:pPr>
          </w:p>
        </w:tc>
        <w:tc>
          <w:tcPr>
            <w:tcW w:w="626" w:type="pct"/>
          </w:tcPr>
          <w:p w14:paraId="63438A36" w14:textId="702CA5EF" w:rsidR="00AE28F1" w:rsidRPr="00920905" w:rsidRDefault="00AE28F1" w:rsidP="00AE28F1">
            <w:pPr>
              <w:rPr>
                <w:rFonts w:cstheme="minorHAnsi"/>
                <w:color w:val="FF0000"/>
                <w:szCs w:val="20"/>
              </w:rPr>
            </w:pPr>
            <w:r>
              <w:rPr>
                <w:rFonts w:cstheme="minorHAnsi"/>
                <w:szCs w:val="20"/>
              </w:rPr>
              <w:t>LT-76101</w:t>
            </w:r>
          </w:p>
        </w:tc>
        <w:tc>
          <w:tcPr>
            <w:tcW w:w="530" w:type="pct"/>
          </w:tcPr>
          <w:p w14:paraId="311A1841" w14:textId="15BCF2B0" w:rsidR="00AE28F1" w:rsidRPr="00920905" w:rsidRDefault="00AE28F1" w:rsidP="00AE28F1">
            <w:pPr>
              <w:rPr>
                <w:rFonts w:cstheme="minorHAnsi"/>
                <w:color w:val="FF0000"/>
                <w:szCs w:val="20"/>
              </w:rPr>
            </w:pPr>
          </w:p>
        </w:tc>
        <w:tc>
          <w:tcPr>
            <w:tcW w:w="2981" w:type="pct"/>
            <w:vAlign w:val="center"/>
          </w:tcPr>
          <w:p w14:paraId="512138E6" w14:textId="0271A804" w:rsidR="00AE28F1" w:rsidRPr="00920905" w:rsidRDefault="00AE28F1" w:rsidP="00AE28F1">
            <w:pPr>
              <w:rPr>
                <w:color w:val="FF0000"/>
              </w:rPr>
            </w:pPr>
            <w:r>
              <w:rPr>
                <w:rFonts w:cstheme="minorHAnsi"/>
                <w:szCs w:val="20"/>
              </w:rPr>
              <w:t>Integrated Occupancy Sensor (fixture wattage ≥ 150 Watts)</w:t>
            </w:r>
          </w:p>
        </w:tc>
      </w:tr>
      <w:tr w:rsidR="00AE28F1" w:rsidRPr="00800706" w14:paraId="3EC8DDF0" w14:textId="77777777" w:rsidTr="00AE28F1">
        <w:trPr>
          <w:trHeight w:val="243"/>
        </w:trPr>
        <w:tc>
          <w:tcPr>
            <w:tcW w:w="382" w:type="pct"/>
          </w:tcPr>
          <w:p w14:paraId="036611DE" w14:textId="77777777" w:rsidR="00AE28F1" w:rsidRPr="00350BF1" w:rsidRDefault="00AE28F1" w:rsidP="00AE28F1">
            <w:pPr>
              <w:rPr>
                <w:rFonts w:cstheme="minorHAnsi"/>
                <w:szCs w:val="20"/>
              </w:rPr>
            </w:pPr>
          </w:p>
        </w:tc>
        <w:tc>
          <w:tcPr>
            <w:tcW w:w="481" w:type="pct"/>
          </w:tcPr>
          <w:p w14:paraId="7DC81BD5" w14:textId="77777777" w:rsidR="00AE28F1" w:rsidRPr="00350BF1" w:rsidRDefault="00AE28F1" w:rsidP="00AE28F1">
            <w:pPr>
              <w:rPr>
                <w:rFonts w:cstheme="minorHAnsi"/>
                <w:szCs w:val="20"/>
              </w:rPr>
            </w:pPr>
          </w:p>
        </w:tc>
        <w:tc>
          <w:tcPr>
            <w:tcW w:w="626" w:type="pct"/>
          </w:tcPr>
          <w:p w14:paraId="00E0B555" w14:textId="7BE6A314" w:rsidR="00AE28F1" w:rsidRPr="00350BF1" w:rsidRDefault="00AE28F1" w:rsidP="00AE28F1">
            <w:pPr>
              <w:rPr>
                <w:rFonts w:cstheme="minorHAnsi"/>
                <w:szCs w:val="20"/>
              </w:rPr>
            </w:pPr>
            <w:r>
              <w:rPr>
                <w:rFonts w:cstheme="minorHAnsi"/>
                <w:szCs w:val="20"/>
              </w:rPr>
              <w:t>LT-41007</w:t>
            </w:r>
          </w:p>
        </w:tc>
        <w:tc>
          <w:tcPr>
            <w:tcW w:w="530" w:type="pct"/>
          </w:tcPr>
          <w:p w14:paraId="479924EB" w14:textId="77777777" w:rsidR="00AE28F1" w:rsidRPr="00350BF1" w:rsidRDefault="00AE28F1" w:rsidP="00AE28F1">
            <w:pPr>
              <w:rPr>
                <w:rFonts w:cstheme="minorHAnsi"/>
                <w:szCs w:val="20"/>
              </w:rPr>
            </w:pPr>
          </w:p>
        </w:tc>
        <w:tc>
          <w:tcPr>
            <w:tcW w:w="2981" w:type="pct"/>
            <w:vAlign w:val="center"/>
          </w:tcPr>
          <w:p w14:paraId="592A1733" w14:textId="5D475CB8" w:rsidR="00AE28F1" w:rsidRPr="00920905" w:rsidRDefault="00AE28F1" w:rsidP="00AE28F1">
            <w:r>
              <w:rPr>
                <w:rFonts w:cstheme="minorHAnsi"/>
                <w:szCs w:val="20"/>
              </w:rPr>
              <w:t>Integrated Occupancy Sensor (fixture wattage &lt; 150 Watts)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74493687" w14:textId="0B41426A" w:rsidR="00AE28F1" w:rsidRDefault="00AE28F1" w:rsidP="00AE28F1">
      <w:pPr>
        <w:rPr>
          <w:rFonts w:cstheme="minorHAnsi"/>
          <w:szCs w:val="22"/>
        </w:rPr>
      </w:pPr>
      <w:r>
        <w:rPr>
          <w:rFonts w:cstheme="minorHAnsi"/>
          <w:szCs w:val="22"/>
        </w:rPr>
        <w:t>This work paper is only eligible for fixtures that do not already have an occupancy sensor. The measures apply to all</w:t>
      </w:r>
      <w:r w:rsidR="0081480F">
        <w:rPr>
          <w:rFonts w:cstheme="minorHAnsi"/>
          <w:szCs w:val="22"/>
        </w:rPr>
        <w:t xml:space="preserve"> commercial</w:t>
      </w:r>
      <w:r>
        <w:rPr>
          <w:rFonts w:cstheme="minorHAnsi"/>
          <w:szCs w:val="22"/>
        </w:rPr>
        <w:t xml:space="preserve"> building types and </w:t>
      </w:r>
      <w:r w:rsidR="0081480F">
        <w:rPr>
          <w:rFonts w:cstheme="minorHAnsi"/>
          <w:szCs w:val="22"/>
        </w:rPr>
        <w:t xml:space="preserve">SCE </w:t>
      </w:r>
      <w:r>
        <w:rPr>
          <w:rFonts w:cstheme="minorHAnsi"/>
          <w:szCs w:val="22"/>
        </w:rPr>
        <w:t>climate zones in an interior space. The customer may be required to present an invoice documenting the installation of measure case equipment.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087ADD9" w14:textId="77777777" w:rsidR="00AE28F1" w:rsidRDefault="00AE28F1" w:rsidP="00AE28F1">
      <w:pPr>
        <w:rPr>
          <w:rFonts w:cstheme="minorHAnsi"/>
          <w:szCs w:val="22"/>
        </w:rPr>
      </w:pPr>
      <w:r>
        <w:rPr>
          <w:rFonts w:cstheme="minorHAnsi"/>
          <w:szCs w:val="22"/>
        </w:rPr>
        <w:t>An integrated occupancy sensor is installed on the fixture itself, in contrast to typical occupancy sensors that are installed on walls or ceilings.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1F82709" w14:textId="77777777" w:rsidR="00AE28F1" w:rsidRDefault="00AE28F1" w:rsidP="00AE28F1">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program/install type for the measures is:</w:t>
      </w:r>
    </w:p>
    <w:p w14:paraId="77FE44B4" w14:textId="77777777" w:rsidR="00AE28F1" w:rsidRDefault="00AE28F1" w:rsidP="00AE28F1">
      <w:pPr>
        <w:pStyle w:val="Reminders"/>
        <w:numPr>
          <w:ilvl w:val="0"/>
          <w:numId w:val="37"/>
        </w:numPr>
        <w:rPr>
          <w:rFonts w:asciiTheme="minorHAnsi" w:hAnsiTheme="minorHAnsi" w:cstheme="minorHAnsi"/>
          <w:color w:val="auto"/>
          <w:szCs w:val="22"/>
        </w:rPr>
      </w:pPr>
      <w:r>
        <w:rPr>
          <w:rFonts w:asciiTheme="minorHAnsi" w:hAnsiTheme="minorHAnsi" w:cstheme="minorHAnsi"/>
          <w:i w:val="0"/>
          <w:color w:val="auto"/>
          <w:szCs w:val="22"/>
        </w:rPr>
        <w:t>Retrofit Add-on (REA)</w:t>
      </w:r>
    </w:p>
    <w:p w14:paraId="709EB5AF" w14:textId="77777777" w:rsidR="00AE28F1" w:rsidRDefault="00AE28F1"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30EB8826" w14:textId="77777777" w:rsidR="00AE28F1" w:rsidRDefault="00AE28F1" w:rsidP="00AE28F1">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lastRenderedPageBreak/>
        <w:t>The delivery methods for this work paper are:</w:t>
      </w:r>
    </w:p>
    <w:p w14:paraId="56D2DE5D" w14:textId="77777777" w:rsidR="00AE28F1" w:rsidRDefault="00AE28F1" w:rsidP="00AE28F1">
      <w:pPr>
        <w:pStyle w:val="Reminders"/>
        <w:numPr>
          <w:ilvl w:val="0"/>
          <w:numId w:val="38"/>
        </w:numPr>
        <w:rPr>
          <w:rFonts w:asciiTheme="minorHAnsi" w:hAnsiTheme="minorHAnsi" w:cstheme="minorHAnsi"/>
          <w:color w:val="auto"/>
          <w:szCs w:val="22"/>
        </w:rPr>
      </w:pPr>
      <w:r>
        <w:rPr>
          <w:rFonts w:asciiTheme="minorHAnsi" w:hAnsiTheme="minorHAnsi" w:cstheme="minorHAnsi"/>
          <w:i w:val="0"/>
          <w:color w:val="auto"/>
          <w:szCs w:val="22"/>
        </w:rPr>
        <w:t>Financial Support – Down-stream Incentive - Deemed</w:t>
      </w:r>
    </w:p>
    <w:p w14:paraId="72A97757" w14:textId="77777777" w:rsidR="00AE28F1" w:rsidRDefault="00AE28F1" w:rsidP="00AE28F1">
      <w:pPr>
        <w:pStyle w:val="Reminders"/>
        <w:numPr>
          <w:ilvl w:val="0"/>
          <w:numId w:val="38"/>
        </w:numPr>
        <w:rPr>
          <w:rFonts w:asciiTheme="minorHAnsi" w:hAnsiTheme="minorHAnsi" w:cstheme="minorHAnsi"/>
          <w:color w:val="auto"/>
          <w:szCs w:val="22"/>
        </w:rPr>
      </w:pPr>
      <w:r>
        <w:rPr>
          <w:rFonts w:asciiTheme="minorHAnsi" w:hAnsiTheme="minorHAnsi" w:cstheme="minorHAnsi"/>
          <w:i w:val="0"/>
          <w:color w:val="auto"/>
          <w:szCs w:val="22"/>
        </w:rPr>
        <w:t>Financial Support – Direct Install</w:t>
      </w:r>
    </w:p>
    <w:p w14:paraId="6A543179" w14:textId="77777777" w:rsidR="00AE28F1" w:rsidRDefault="00AE28F1" w:rsidP="00AE28F1">
      <w:pPr>
        <w:pStyle w:val="Reminders"/>
        <w:numPr>
          <w:ilvl w:val="0"/>
          <w:numId w:val="38"/>
        </w:numPr>
        <w:rPr>
          <w:rFonts w:asciiTheme="minorHAnsi" w:hAnsiTheme="minorHAnsi" w:cstheme="minorHAnsi"/>
          <w:color w:val="auto"/>
          <w:szCs w:val="22"/>
        </w:rPr>
      </w:pPr>
      <w:r>
        <w:rPr>
          <w:rFonts w:asciiTheme="minorHAnsi" w:hAnsiTheme="minorHAnsi" w:cstheme="minorHAnsi"/>
          <w:i w:val="0"/>
          <w:color w:val="auto"/>
          <w:szCs w:val="22"/>
        </w:rPr>
        <w:t>Midstream Programs – Mid-Stream Incentive</w:t>
      </w:r>
    </w:p>
    <w:p w14:paraId="6287A50E" w14:textId="77777777" w:rsidR="00B74E87" w:rsidRDefault="00B74E87" w:rsidP="00920905">
      <w:pPr>
        <w:pStyle w:val="NoSpacing"/>
        <w:rPr>
          <w:rFonts w:eastAsia="Times New Roman" w:cstheme="minorHAnsi"/>
          <w:color w:val="FF0000"/>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5F055526" w:rsidR="001B2301" w:rsidRPr="00920905" w:rsidRDefault="001B2301" w:rsidP="00920905">
            <w:pPr>
              <w:autoSpaceDE w:val="0"/>
              <w:autoSpaceDN w:val="0"/>
              <w:adjustRightInd w:val="0"/>
              <w:spacing w:line="240" w:lineRule="atLeast"/>
              <w:rPr>
                <w:sz w:val="18"/>
                <w:szCs w:val="18"/>
              </w:rPr>
            </w:pPr>
          </w:p>
        </w:tc>
        <w:tc>
          <w:tcPr>
            <w:tcW w:w="3703" w:type="pct"/>
          </w:tcPr>
          <w:p w14:paraId="7F28A081" w14:textId="2188DE60" w:rsidR="001B2301" w:rsidRPr="00920905" w:rsidRDefault="00A84BF9" w:rsidP="00463A69">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7706745" w14:textId="7BAB7933" w:rsidR="00935244" w:rsidRDefault="00935244" w:rsidP="00935244">
      <w:pPr>
        <w:rPr>
          <w:rFonts w:cstheme="minorHAnsi"/>
          <w:szCs w:val="22"/>
        </w:rPr>
      </w:pPr>
      <w:bookmarkStart w:id="9" w:name="_Toc385592671"/>
      <w:bookmarkStart w:id="10" w:name="_Toc214003087"/>
      <w:r>
        <w:rPr>
          <w:rFonts w:cstheme="minorHAnsi"/>
          <w:szCs w:val="22"/>
        </w:rPr>
        <w:t>These measures are included in READI v.</w:t>
      </w:r>
      <w:r w:rsidR="00055DB4">
        <w:rPr>
          <w:rFonts w:cstheme="minorHAnsi"/>
          <w:szCs w:val="22"/>
        </w:rPr>
        <w:t>2.4.7</w:t>
      </w:r>
      <w:r>
        <w:rPr>
          <w:rFonts w:cstheme="minorHAnsi"/>
          <w:szCs w:val="22"/>
        </w:rPr>
        <w:t xml:space="preserve">. However, the measures are limited to certain building types and the common units are expressed in “per kW controlled”.  ED’s Lighting Control Disposition </w:t>
      </w:r>
      <w:r w:rsidR="00E56608">
        <w:rPr>
          <w:rFonts w:cstheme="minorHAnsi"/>
          <w:szCs w:val="22"/>
        </w:rPr>
        <w:t>in Attachment 2</w:t>
      </w:r>
      <w:r>
        <w:rPr>
          <w:rFonts w:cstheme="minorHAnsi"/>
          <w:szCs w:val="22"/>
        </w:rPr>
        <w:t xml:space="preserve"> provides savings of all the DEER and ED Weighted building types expressed in both “per kW” and “per Sensor” which is used for this work paper.</w:t>
      </w:r>
      <w:r w:rsidR="00E67CAC">
        <w:rPr>
          <w:rFonts w:cstheme="minorHAnsi"/>
          <w:szCs w:val="22"/>
        </w:rPr>
        <w:t xml:space="preserve"> The Lighting Summary comes from a DEER 2016 update and contains different HVAC interactive effects.</w:t>
      </w:r>
    </w:p>
    <w:p w14:paraId="178E2A81" w14:textId="77777777" w:rsidR="00935244" w:rsidRDefault="00935244" w:rsidP="00935244">
      <w:pPr>
        <w:rPr>
          <w:rFonts w:cstheme="minorHAnsi"/>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0BE90473" w:rsidR="00E326BA" w:rsidRPr="00935244" w:rsidRDefault="00935244" w:rsidP="00935244">
            <w:pPr>
              <w:rPr>
                <w:rFonts w:cs="Arial"/>
                <w:b/>
                <w:szCs w:val="20"/>
              </w:rPr>
            </w:pPr>
            <w:r w:rsidRPr="00935244">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55C6F66" w:rsidR="00E326BA" w:rsidRPr="00935244" w:rsidRDefault="00E326BA" w:rsidP="00920905">
            <w:pPr>
              <w:rPr>
                <w:rFonts w:cs="Arial"/>
                <w:szCs w:val="20"/>
              </w:rPr>
            </w:pPr>
            <w:r w:rsidRPr="00935244">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462A3FB6" w:rsidR="00E326BA" w:rsidRPr="00935244" w:rsidRDefault="00E326BA" w:rsidP="00920905">
            <w:pPr>
              <w:rPr>
                <w:rFonts w:cs="Arial"/>
                <w:szCs w:val="20"/>
              </w:rPr>
            </w:pPr>
            <w:r w:rsidRPr="00935244">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27EBC06F" w:rsidR="00E326BA" w:rsidRPr="00935244" w:rsidRDefault="00935244" w:rsidP="00935244">
            <w:pPr>
              <w:rPr>
                <w:rFonts w:cs="Arial"/>
                <w:szCs w:val="20"/>
              </w:rPr>
            </w:pPr>
            <w:r w:rsidRPr="00935244">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A422430" w:rsidR="00E326BA" w:rsidRPr="00935244" w:rsidRDefault="00E326BA" w:rsidP="00935244">
            <w:pPr>
              <w:rPr>
                <w:rFonts w:cs="Arial"/>
                <w:szCs w:val="20"/>
              </w:rPr>
            </w:pPr>
            <w:r w:rsidRPr="00935244">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07B2F79D" w:rsidR="00E326BA" w:rsidRPr="00935244" w:rsidRDefault="00935244" w:rsidP="00935244">
            <w:pPr>
              <w:rPr>
                <w:rFonts w:cs="Arial"/>
                <w:szCs w:val="20"/>
              </w:rPr>
            </w:pPr>
            <w:r w:rsidRPr="00935244">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77D1FCC7" w:rsidR="00505CEC" w:rsidRPr="00935244" w:rsidDel="00505CEC" w:rsidRDefault="00505CEC" w:rsidP="00920905">
            <w:pPr>
              <w:rPr>
                <w:rFonts w:cs="Arial"/>
                <w:szCs w:val="20"/>
              </w:rPr>
            </w:pPr>
            <w:r w:rsidRPr="00935244">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3FBA2B2" w:rsidR="00D86A9D" w:rsidRPr="00935244" w:rsidRDefault="00935244" w:rsidP="00175D14">
            <w:pPr>
              <w:rPr>
                <w:rFonts w:cs="Arial"/>
                <w:szCs w:val="20"/>
              </w:rPr>
            </w:pPr>
            <w:r w:rsidRPr="00935244">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DEACC0A" w:rsidR="00E326BA" w:rsidRPr="00935244" w:rsidRDefault="00935244" w:rsidP="00920905">
            <w:pPr>
              <w:rPr>
                <w:rFonts w:cs="Arial"/>
                <w:szCs w:val="20"/>
              </w:rPr>
            </w:pPr>
            <w:r w:rsidRPr="00935244">
              <w:rPr>
                <w:rFonts w:cs="Arial"/>
                <w:szCs w:val="20"/>
              </w:rPr>
              <w:t>DEER does not contain all building types, different common unit</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2C1261BC" w:rsidR="00E326BA" w:rsidRPr="00935244" w:rsidRDefault="00935244" w:rsidP="00920905">
            <w:pPr>
              <w:rPr>
                <w:rFonts w:cs="Arial"/>
                <w:szCs w:val="20"/>
              </w:rPr>
            </w:pPr>
            <w:r w:rsidRPr="00935244">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41355913" w14:textId="77777777" w:rsidR="0056626A" w:rsidRDefault="0056626A"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DEFF934" w14:textId="77777777" w:rsidR="00853CB8" w:rsidRDefault="00853CB8" w:rsidP="00920905">
      <w:pPr>
        <w:pStyle w:val="NoSpacing"/>
      </w:pPr>
    </w:p>
    <w:tbl>
      <w:tblPr>
        <w:tblStyle w:val="TableGrid1"/>
        <w:tblW w:w="5000" w:type="pct"/>
        <w:tblLook w:val="01E0" w:firstRow="1" w:lastRow="1" w:firstColumn="1" w:lastColumn="1" w:noHBand="0" w:noVBand="0"/>
      </w:tblPr>
      <w:tblGrid>
        <w:gridCol w:w="1289"/>
        <w:gridCol w:w="3867"/>
        <w:gridCol w:w="831"/>
        <w:gridCol w:w="1013"/>
        <w:gridCol w:w="1752"/>
        <w:gridCol w:w="824"/>
      </w:tblGrid>
      <w:tr w:rsidR="00935244" w14:paraId="082DFFC2" w14:textId="77777777" w:rsidTr="00935244">
        <w:tc>
          <w:tcPr>
            <w:tcW w:w="67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D56974" w14:textId="77777777" w:rsidR="00935244" w:rsidRDefault="00935244">
            <w:pPr>
              <w:rPr>
                <w:rFonts w:cstheme="minorHAnsi"/>
                <w:b/>
                <w:szCs w:val="20"/>
              </w:rPr>
            </w:pPr>
            <w:r>
              <w:rPr>
                <w:rFonts w:cstheme="minorHAnsi"/>
                <w:b/>
                <w:szCs w:val="20"/>
              </w:rPr>
              <w:t>NTGR ID</w:t>
            </w:r>
          </w:p>
        </w:tc>
        <w:tc>
          <w:tcPr>
            <w:tcW w:w="20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3B4422" w14:textId="77777777" w:rsidR="00935244" w:rsidRDefault="00935244">
            <w:pPr>
              <w:rPr>
                <w:rFonts w:cstheme="minorHAnsi"/>
                <w:b/>
                <w:szCs w:val="20"/>
              </w:rPr>
            </w:pPr>
            <w:r>
              <w:rPr>
                <w:rFonts w:cstheme="minorHAnsi"/>
                <w:b/>
                <w:szCs w:val="20"/>
              </w:rPr>
              <w:t>Description</w:t>
            </w:r>
          </w:p>
        </w:tc>
        <w:tc>
          <w:tcPr>
            <w:tcW w:w="4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B1B7A4" w14:textId="77777777" w:rsidR="00935244" w:rsidRDefault="00935244">
            <w:pPr>
              <w:rPr>
                <w:rFonts w:cstheme="minorHAnsi"/>
                <w:b/>
                <w:szCs w:val="20"/>
              </w:rPr>
            </w:pPr>
            <w:r>
              <w:rPr>
                <w:rFonts w:cstheme="minorHAnsi"/>
                <w:b/>
                <w:szCs w:val="20"/>
              </w:rPr>
              <w:t>Sector</w:t>
            </w:r>
          </w:p>
        </w:tc>
        <w:tc>
          <w:tcPr>
            <w:tcW w:w="5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DEDD54" w14:textId="77777777" w:rsidR="00935244" w:rsidRDefault="00935244">
            <w:pPr>
              <w:rPr>
                <w:rFonts w:cstheme="minorHAnsi"/>
                <w:b/>
                <w:szCs w:val="20"/>
              </w:rPr>
            </w:pPr>
            <w:r>
              <w:rPr>
                <w:rFonts w:cstheme="minorHAnsi"/>
                <w:b/>
                <w:szCs w:val="20"/>
              </w:rPr>
              <w:t>BldgType</w:t>
            </w:r>
          </w:p>
        </w:tc>
        <w:tc>
          <w:tcPr>
            <w:tcW w:w="91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DDB5AE" w14:textId="77777777" w:rsidR="00935244" w:rsidRDefault="00935244">
            <w:pPr>
              <w:rPr>
                <w:rFonts w:cstheme="minorHAnsi"/>
                <w:b/>
                <w:szCs w:val="20"/>
              </w:rPr>
            </w:pPr>
            <w:r>
              <w:rPr>
                <w:rFonts w:cstheme="minorHAnsi"/>
                <w:b/>
                <w:szCs w:val="20"/>
              </w:rPr>
              <w:t>Measure Delivery</w:t>
            </w:r>
          </w:p>
        </w:tc>
        <w:tc>
          <w:tcPr>
            <w:tcW w:w="43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8FD011" w14:textId="77777777" w:rsidR="00935244" w:rsidRDefault="00935244">
            <w:pPr>
              <w:rPr>
                <w:rFonts w:cstheme="minorHAnsi"/>
                <w:b/>
                <w:szCs w:val="20"/>
              </w:rPr>
            </w:pPr>
            <w:r>
              <w:rPr>
                <w:rFonts w:cstheme="minorHAnsi"/>
                <w:b/>
                <w:szCs w:val="20"/>
              </w:rPr>
              <w:t>NTGR</w:t>
            </w:r>
          </w:p>
        </w:tc>
      </w:tr>
      <w:tr w:rsidR="00935244" w14:paraId="789667BC" w14:textId="77777777" w:rsidTr="00935244">
        <w:tc>
          <w:tcPr>
            <w:tcW w:w="673" w:type="pct"/>
            <w:tcBorders>
              <w:top w:val="single" w:sz="4" w:space="0" w:color="auto"/>
              <w:left w:val="single" w:sz="4" w:space="0" w:color="auto"/>
              <w:bottom w:val="single" w:sz="4" w:space="0" w:color="auto"/>
              <w:right w:val="single" w:sz="4" w:space="0" w:color="auto"/>
            </w:tcBorders>
            <w:vAlign w:val="center"/>
            <w:hideMark/>
          </w:tcPr>
          <w:p w14:paraId="67B9784F" w14:textId="77777777" w:rsidR="00935244" w:rsidRDefault="00935244">
            <w:pPr>
              <w:rPr>
                <w:color w:val="FF0000"/>
                <w:szCs w:val="20"/>
              </w:rPr>
            </w:pPr>
            <w:r>
              <w:rPr>
                <w:rFonts w:cstheme="minorHAnsi"/>
                <w:szCs w:val="20"/>
              </w:rPr>
              <w:t>NonRes-sAll-mOccSens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51496FCD" w14:textId="77777777" w:rsidR="00935244" w:rsidRDefault="00935244">
            <w:pPr>
              <w:rPr>
                <w:color w:val="FF0000"/>
                <w:szCs w:val="20"/>
              </w:rPr>
            </w:pPr>
            <w:r>
              <w:rPr>
                <w:rFonts w:cstheme="minorHAnsi"/>
                <w:szCs w:val="20"/>
              </w:rPr>
              <w:t>Occupancy Sensors</w:t>
            </w:r>
          </w:p>
        </w:tc>
        <w:tc>
          <w:tcPr>
            <w:tcW w:w="434" w:type="pct"/>
            <w:tcBorders>
              <w:top w:val="single" w:sz="4" w:space="0" w:color="auto"/>
              <w:left w:val="single" w:sz="4" w:space="0" w:color="auto"/>
              <w:bottom w:val="single" w:sz="4" w:space="0" w:color="auto"/>
              <w:right w:val="single" w:sz="4" w:space="0" w:color="auto"/>
            </w:tcBorders>
            <w:vAlign w:val="center"/>
            <w:hideMark/>
          </w:tcPr>
          <w:p w14:paraId="0952E40B" w14:textId="77777777" w:rsidR="00935244" w:rsidRDefault="00935244">
            <w:pPr>
              <w:rPr>
                <w:color w:val="FF0000"/>
                <w:szCs w:val="20"/>
              </w:rPr>
            </w:pPr>
            <w:r>
              <w:rPr>
                <w:rFonts w:cstheme="minorHAnsi"/>
                <w:szCs w:val="20"/>
              </w:rPr>
              <w:t>Com</w:t>
            </w:r>
          </w:p>
        </w:tc>
        <w:tc>
          <w:tcPr>
            <w:tcW w:w="529" w:type="pct"/>
            <w:tcBorders>
              <w:top w:val="single" w:sz="4" w:space="0" w:color="auto"/>
              <w:left w:val="single" w:sz="4" w:space="0" w:color="auto"/>
              <w:bottom w:val="single" w:sz="4" w:space="0" w:color="auto"/>
              <w:right w:val="single" w:sz="4" w:space="0" w:color="auto"/>
            </w:tcBorders>
            <w:vAlign w:val="center"/>
            <w:hideMark/>
          </w:tcPr>
          <w:p w14:paraId="4C0321EF" w14:textId="77777777" w:rsidR="00935244" w:rsidRDefault="00935244">
            <w:pPr>
              <w:rPr>
                <w:color w:val="FF0000"/>
                <w:szCs w:val="20"/>
              </w:rPr>
            </w:pPr>
            <w:r>
              <w:rPr>
                <w:rFonts w:cstheme="minorHAnsi"/>
                <w:szCs w:val="20"/>
              </w:rPr>
              <w:t>Any</w:t>
            </w:r>
          </w:p>
        </w:tc>
        <w:tc>
          <w:tcPr>
            <w:tcW w:w="915" w:type="pct"/>
            <w:tcBorders>
              <w:top w:val="single" w:sz="4" w:space="0" w:color="auto"/>
              <w:left w:val="single" w:sz="4" w:space="0" w:color="auto"/>
              <w:bottom w:val="single" w:sz="4" w:space="0" w:color="auto"/>
              <w:right w:val="single" w:sz="4" w:space="0" w:color="auto"/>
            </w:tcBorders>
            <w:vAlign w:val="center"/>
            <w:hideMark/>
          </w:tcPr>
          <w:p w14:paraId="2F39A08C" w14:textId="77777777" w:rsidR="00935244" w:rsidRDefault="00935244">
            <w:pPr>
              <w:rPr>
                <w:color w:val="FF0000"/>
                <w:szCs w:val="20"/>
              </w:rPr>
            </w:pPr>
            <w:r>
              <w:rPr>
                <w:rFonts w:cstheme="minorHAnsi"/>
                <w:szCs w:val="20"/>
              </w:rPr>
              <w:t>PreRebDown</w:t>
            </w:r>
          </w:p>
        </w:tc>
        <w:tc>
          <w:tcPr>
            <w:tcW w:w="430" w:type="pct"/>
            <w:tcBorders>
              <w:top w:val="single" w:sz="4" w:space="0" w:color="auto"/>
              <w:left w:val="single" w:sz="4" w:space="0" w:color="auto"/>
              <w:bottom w:val="single" w:sz="4" w:space="0" w:color="auto"/>
              <w:right w:val="single" w:sz="4" w:space="0" w:color="auto"/>
            </w:tcBorders>
            <w:vAlign w:val="center"/>
            <w:hideMark/>
          </w:tcPr>
          <w:p w14:paraId="50D0E2B7" w14:textId="77777777" w:rsidR="00935244" w:rsidRDefault="00935244">
            <w:pPr>
              <w:rPr>
                <w:color w:val="FF0000"/>
                <w:szCs w:val="20"/>
              </w:rPr>
            </w:pPr>
            <w:r>
              <w:rPr>
                <w:rFonts w:cstheme="minorHAnsi"/>
                <w:szCs w:val="20"/>
              </w:rPr>
              <w:t>0.60</w:t>
            </w:r>
          </w:p>
        </w:tc>
      </w:tr>
      <w:tr w:rsidR="00935244" w14:paraId="407B442B" w14:textId="77777777" w:rsidTr="00935244">
        <w:tc>
          <w:tcPr>
            <w:tcW w:w="673" w:type="pct"/>
            <w:tcBorders>
              <w:top w:val="single" w:sz="4" w:space="0" w:color="auto"/>
              <w:left w:val="single" w:sz="4" w:space="0" w:color="auto"/>
              <w:bottom w:val="single" w:sz="4" w:space="0" w:color="auto"/>
              <w:right w:val="single" w:sz="4" w:space="0" w:color="auto"/>
            </w:tcBorders>
            <w:vAlign w:val="center"/>
            <w:hideMark/>
          </w:tcPr>
          <w:p w14:paraId="3D168EA8" w14:textId="77777777" w:rsidR="00935244" w:rsidRDefault="00935244">
            <w:pPr>
              <w:rPr>
                <w:color w:val="FF0000"/>
                <w:szCs w:val="20"/>
              </w:rPr>
            </w:pPr>
            <w:r>
              <w:rPr>
                <w:rFonts w:cstheme="minorHAnsi"/>
                <w:szCs w:val="20"/>
              </w:rPr>
              <w:t>NonRes-sAll-mLtgCtrl-htr</w:t>
            </w:r>
          </w:p>
        </w:tc>
        <w:tc>
          <w:tcPr>
            <w:tcW w:w="2019" w:type="pct"/>
            <w:tcBorders>
              <w:top w:val="single" w:sz="4" w:space="0" w:color="auto"/>
              <w:left w:val="single" w:sz="4" w:space="0" w:color="auto"/>
              <w:bottom w:val="single" w:sz="4" w:space="0" w:color="auto"/>
              <w:right w:val="single" w:sz="4" w:space="0" w:color="auto"/>
            </w:tcBorders>
            <w:vAlign w:val="center"/>
            <w:hideMark/>
          </w:tcPr>
          <w:p w14:paraId="256BAA82" w14:textId="77777777" w:rsidR="00935244" w:rsidRDefault="00935244">
            <w:pPr>
              <w:rPr>
                <w:color w:val="FF0000"/>
                <w:szCs w:val="20"/>
              </w:rPr>
            </w:pPr>
            <w:r>
              <w:rPr>
                <w:rFonts w:cstheme="minorHAnsi"/>
                <w:szCs w:val="20"/>
              </w:rPr>
              <w:t>Lighting controls (not listed elsewhere)</w:t>
            </w:r>
          </w:p>
        </w:tc>
        <w:tc>
          <w:tcPr>
            <w:tcW w:w="434" w:type="pct"/>
            <w:tcBorders>
              <w:top w:val="single" w:sz="4" w:space="0" w:color="auto"/>
              <w:left w:val="single" w:sz="4" w:space="0" w:color="auto"/>
              <w:bottom w:val="single" w:sz="4" w:space="0" w:color="auto"/>
              <w:right w:val="single" w:sz="4" w:space="0" w:color="auto"/>
            </w:tcBorders>
            <w:vAlign w:val="center"/>
            <w:hideMark/>
          </w:tcPr>
          <w:p w14:paraId="2E791126" w14:textId="77777777" w:rsidR="00935244" w:rsidRDefault="00935244">
            <w:pPr>
              <w:rPr>
                <w:color w:val="FF0000"/>
                <w:szCs w:val="20"/>
              </w:rPr>
            </w:pPr>
            <w:r>
              <w:rPr>
                <w:rFonts w:cstheme="minorHAnsi"/>
                <w:szCs w:val="20"/>
              </w:rPr>
              <w:t>Com</w:t>
            </w:r>
          </w:p>
        </w:tc>
        <w:tc>
          <w:tcPr>
            <w:tcW w:w="529" w:type="pct"/>
            <w:tcBorders>
              <w:top w:val="single" w:sz="4" w:space="0" w:color="auto"/>
              <w:left w:val="single" w:sz="4" w:space="0" w:color="auto"/>
              <w:bottom w:val="single" w:sz="4" w:space="0" w:color="auto"/>
              <w:right w:val="single" w:sz="4" w:space="0" w:color="auto"/>
            </w:tcBorders>
            <w:vAlign w:val="center"/>
            <w:hideMark/>
          </w:tcPr>
          <w:p w14:paraId="7593A310" w14:textId="77777777" w:rsidR="00935244" w:rsidRDefault="00935244">
            <w:pPr>
              <w:rPr>
                <w:color w:val="FF0000"/>
                <w:szCs w:val="20"/>
              </w:rPr>
            </w:pPr>
            <w:r>
              <w:rPr>
                <w:rFonts w:cstheme="minorHAnsi"/>
                <w:szCs w:val="20"/>
              </w:rPr>
              <w:t>Any</w:t>
            </w:r>
          </w:p>
        </w:tc>
        <w:tc>
          <w:tcPr>
            <w:tcW w:w="915" w:type="pct"/>
            <w:tcBorders>
              <w:top w:val="single" w:sz="4" w:space="0" w:color="auto"/>
              <w:left w:val="single" w:sz="4" w:space="0" w:color="auto"/>
              <w:bottom w:val="single" w:sz="4" w:space="0" w:color="auto"/>
              <w:right w:val="single" w:sz="4" w:space="0" w:color="auto"/>
            </w:tcBorders>
            <w:vAlign w:val="center"/>
            <w:hideMark/>
          </w:tcPr>
          <w:p w14:paraId="3BE388DC" w14:textId="77777777" w:rsidR="00935244" w:rsidRDefault="00935244">
            <w:pPr>
              <w:rPr>
                <w:color w:val="FF0000"/>
                <w:szCs w:val="20"/>
              </w:rPr>
            </w:pPr>
            <w:r>
              <w:rPr>
                <w:rFonts w:cstheme="minorHAnsi"/>
                <w:szCs w:val="20"/>
              </w:rPr>
              <w:t>DirInstall</w:t>
            </w:r>
          </w:p>
        </w:tc>
        <w:tc>
          <w:tcPr>
            <w:tcW w:w="430" w:type="pct"/>
            <w:tcBorders>
              <w:top w:val="single" w:sz="4" w:space="0" w:color="auto"/>
              <w:left w:val="single" w:sz="4" w:space="0" w:color="auto"/>
              <w:bottom w:val="single" w:sz="4" w:space="0" w:color="auto"/>
              <w:right w:val="single" w:sz="4" w:space="0" w:color="auto"/>
            </w:tcBorders>
            <w:vAlign w:val="center"/>
            <w:hideMark/>
          </w:tcPr>
          <w:p w14:paraId="23063711" w14:textId="77777777" w:rsidR="00935244" w:rsidRDefault="00935244">
            <w:pPr>
              <w:rPr>
                <w:color w:val="FF0000"/>
                <w:szCs w:val="20"/>
              </w:rPr>
            </w:pPr>
            <w:r>
              <w:rPr>
                <w:rFonts w:cstheme="minorHAnsi"/>
                <w:szCs w:val="20"/>
              </w:rPr>
              <w:t>0.89</w:t>
            </w:r>
          </w:p>
        </w:tc>
      </w:tr>
      <w:tr w:rsidR="00935244" w14:paraId="7A6F2F35" w14:textId="77777777" w:rsidTr="00935244">
        <w:tc>
          <w:tcPr>
            <w:tcW w:w="673" w:type="pct"/>
            <w:tcBorders>
              <w:top w:val="single" w:sz="4" w:space="0" w:color="auto"/>
              <w:left w:val="single" w:sz="4" w:space="0" w:color="auto"/>
              <w:bottom w:val="single" w:sz="4" w:space="0" w:color="auto"/>
              <w:right w:val="single" w:sz="4" w:space="0" w:color="auto"/>
            </w:tcBorders>
            <w:vAlign w:val="center"/>
            <w:hideMark/>
          </w:tcPr>
          <w:p w14:paraId="53F2F9EA" w14:textId="77777777" w:rsidR="00935244" w:rsidRDefault="00935244">
            <w:pPr>
              <w:rPr>
                <w:color w:val="FF0000"/>
                <w:szCs w:val="20"/>
              </w:rPr>
            </w:pPr>
            <w:r>
              <w:rPr>
                <w:rFonts w:cstheme="minorHAnsi"/>
                <w:szCs w:val="20"/>
              </w:rPr>
              <w:t>Com-Default&gt;2yrs</w:t>
            </w:r>
          </w:p>
        </w:tc>
        <w:tc>
          <w:tcPr>
            <w:tcW w:w="2019" w:type="pct"/>
            <w:tcBorders>
              <w:top w:val="single" w:sz="4" w:space="0" w:color="auto"/>
              <w:left w:val="single" w:sz="4" w:space="0" w:color="auto"/>
              <w:bottom w:val="single" w:sz="4" w:space="0" w:color="auto"/>
              <w:right w:val="single" w:sz="4" w:space="0" w:color="auto"/>
            </w:tcBorders>
            <w:vAlign w:val="center"/>
            <w:hideMark/>
          </w:tcPr>
          <w:p w14:paraId="2B6A6D1C" w14:textId="77777777" w:rsidR="00935244" w:rsidRDefault="00935244">
            <w:pPr>
              <w:rPr>
                <w:color w:val="FF0000"/>
                <w:szCs w:val="20"/>
              </w:rPr>
            </w:pPr>
            <w:r>
              <w:rPr>
                <w:rFonts w:cstheme="minorHAnsi"/>
                <w:szCs w:val="20"/>
              </w:rPr>
              <w:t>All other EEMs with no evaluated NTGR; existing EEM in programs with same delivery mechanism for more than 2 years</w:t>
            </w:r>
          </w:p>
        </w:tc>
        <w:tc>
          <w:tcPr>
            <w:tcW w:w="434" w:type="pct"/>
            <w:tcBorders>
              <w:top w:val="single" w:sz="4" w:space="0" w:color="auto"/>
              <w:left w:val="single" w:sz="4" w:space="0" w:color="auto"/>
              <w:bottom w:val="single" w:sz="4" w:space="0" w:color="auto"/>
              <w:right w:val="single" w:sz="4" w:space="0" w:color="auto"/>
            </w:tcBorders>
            <w:vAlign w:val="center"/>
            <w:hideMark/>
          </w:tcPr>
          <w:p w14:paraId="2CE8A29D" w14:textId="77777777" w:rsidR="00935244" w:rsidRDefault="00935244">
            <w:pPr>
              <w:rPr>
                <w:color w:val="FF0000"/>
                <w:szCs w:val="20"/>
              </w:rPr>
            </w:pPr>
            <w:r>
              <w:rPr>
                <w:rFonts w:cstheme="minorHAnsi"/>
                <w:szCs w:val="20"/>
              </w:rPr>
              <w:t>Com</w:t>
            </w:r>
          </w:p>
        </w:tc>
        <w:tc>
          <w:tcPr>
            <w:tcW w:w="529" w:type="pct"/>
            <w:tcBorders>
              <w:top w:val="single" w:sz="4" w:space="0" w:color="auto"/>
              <w:left w:val="single" w:sz="4" w:space="0" w:color="auto"/>
              <w:bottom w:val="single" w:sz="4" w:space="0" w:color="auto"/>
              <w:right w:val="single" w:sz="4" w:space="0" w:color="auto"/>
            </w:tcBorders>
            <w:vAlign w:val="center"/>
            <w:hideMark/>
          </w:tcPr>
          <w:p w14:paraId="73B339E6" w14:textId="77777777" w:rsidR="00935244" w:rsidRDefault="00935244">
            <w:pPr>
              <w:rPr>
                <w:color w:val="FF0000"/>
                <w:szCs w:val="20"/>
              </w:rPr>
            </w:pPr>
            <w:r>
              <w:rPr>
                <w:rFonts w:cstheme="minorHAnsi"/>
                <w:szCs w:val="20"/>
              </w:rPr>
              <w:t>Any</w:t>
            </w:r>
          </w:p>
        </w:tc>
        <w:tc>
          <w:tcPr>
            <w:tcW w:w="915" w:type="pct"/>
            <w:tcBorders>
              <w:top w:val="single" w:sz="4" w:space="0" w:color="auto"/>
              <w:left w:val="single" w:sz="4" w:space="0" w:color="auto"/>
              <w:bottom w:val="single" w:sz="4" w:space="0" w:color="auto"/>
              <w:right w:val="single" w:sz="4" w:space="0" w:color="auto"/>
            </w:tcBorders>
            <w:vAlign w:val="center"/>
            <w:hideMark/>
          </w:tcPr>
          <w:p w14:paraId="3DC116BB" w14:textId="77777777" w:rsidR="00935244" w:rsidRDefault="00935244">
            <w:pPr>
              <w:rPr>
                <w:color w:val="FF0000"/>
                <w:szCs w:val="20"/>
              </w:rPr>
            </w:pPr>
            <w:r>
              <w:rPr>
                <w:rFonts w:cstheme="minorHAnsi"/>
                <w:szCs w:val="20"/>
              </w:rPr>
              <w:t>Any</w:t>
            </w:r>
          </w:p>
        </w:tc>
        <w:tc>
          <w:tcPr>
            <w:tcW w:w="430" w:type="pct"/>
            <w:tcBorders>
              <w:top w:val="single" w:sz="4" w:space="0" w:color="auto"/>
              <w:left w:val="single" w:sz="4" w:space="0" w:color="auto"/>
              <w:bottom w:val="single" w:sz="4" w:space="0" w:color="auto"/>
              <w:right w:val="single" w:sz="4" w:space="0" w:color="auto"/>
            </w:tcBorders>
            <w:vAlign w:val="center"/>
            <w:hideMark/>
          </w:tcPr>
          <w:p w14:paraId="3391C63F" w14:textId="77777777" w:rsidR="00935244" w:rsidRDefault="00935244">
            <w:pPr>
              <w:rPr>
                <w:color w:val="FF0000"/>
                <w:szCs w:val="20"/>
              </w:rPr>
            </w:pPr>
            <w:r>
              <w:rPr>
                <w:rFonts w:cstheme="minorHAnsi"/>
                <w:szCs w:val="20"/>
              </w:rPr>
              <w:t>0.60</w:t>
            </w:r>
          </w:p>
        </w:tc>
      </w:tr>
    </w:tbl>
    <w:p w14:paraId="2595EDF1" w14:textId="32DF10C5" w:rsidR="000968C6" w:rsidRPr="00935244" w:rsidRDefault="00FB2590" w:rsidP="000968C6">
      <w:pPr>
        <w:pStyle w:val="Reminders"/>
        <w:rPr>
          <w:rFonts w:asciiTheme="minorHAnsi" w:hAnsiTheme="minorHAnsi" w:cstheme="minorHAnsi"/>
          <w:i w:val="0"/>
          <w:color w:val="auto"/>
          <w:sz w:val="20"/>
          <w:szCs w:val="20"/>
        </w:rPr>
      </w:pPr>
      <w:r w:rsidRPr="00935244">
        <w:rPr>
          <w:rFonts w:asciiTheme="minorHAnsi" w:hAnsiTheme="minorHAnsi" w:cstheme="minorHAnsi"/>
          <w:i w:val="0"/>
          <w:color w:val="auto"/>
          <w:sz w:val="20"/>
          <w:szCs w:val="20"/>
        </w:rPr>
        <w:t>Note: Direct install measures that are not hard-to-reach will use the default NTG value.</w:t>
      </w:r>
    </w:p>
    <w:p w14:paraId="1C1EE78D" w14:textId="77777777" w:rsidR="00935244" w:rsidRDefault="00935244" w:rsidP="00935244">
      <w:pPr>
        <w:rPr>
          <w:color w:val="000000" w:themeColor="text1"/>
        </w:rPr>
      </w:pPr>
    </w:p>
    <w:p w14:paraId="29125881" w14:textId="77777777" w:rsidR="00935244" w:rsidRDefault="00935244" w:rsidP="00935244">
      <w:pPr>
        <w:rPr>
          <w:color w:val="000000" w:themeColor="text1"/>
          <w:szCs w:val="22"/>
        </w:rPr>
      </w:pPr>
      <w:r>
        <w:rPr>
          <w:color w:val="000000" w:themeColor="text1"/>
        </w:rPr>
        <w:t xml:space="preserve">This work paper includes measures that are offered via direct install activities into hard-to-reach (HTR) customer facilities.  “Final Resolution E-4700”, dated December 18, 2014, defines specific criteria to classify customer facilities as HTR and also states that two criteria are sufficient to identify HTR customers if one of the criteria met is the geographic criteria.  </w:t>
      </w:r>
    </w:p>
    <w:p w14:paraId="3FDA0BF4" w14:textId="77777777" w:rsidR="00935244" w:rsidRDefault="00935244" w:rsidP="00935244">
      <w:pPr>
        <w:rPr>
          <w:color w:val="000000" w:themeColor="text1"/>
        </w:rPr>
      </w:pPr>
      <w:r>
        <w:rPr>
          <w:color w:val="000000" w:themeColor="text1"/>
        </w:rPr>
        <w:t>SCE’s Commercial Direct Install program delivers free and low cost energy efficiency hardware retrofits through installation contractors to reduce peak demand and energy savings for small and medium commercial customers.  The barriers for customer participation include limited capital resources, lack of expertise and understanding of the understanding of the benefits of energy efficiency, a suspicion of the “free offer” and its legitimacy, and language and cultural barriers.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Other measures in the Commercial Direct Install program will receive default NTG (NTGR_ID: Com-Default&gt;2), unless otherwise specified in DEER.</w:t>
      </w:r>
    </w:p>
    <w:p w14:paraId="2B09673C" w14:textId="77777777" w:rsidR="00935244" w:rsidRDefault="00935244" w:rsidP="00935244">
      <w:pPr>
        <w:rPr>
          <w:color w:val="000000" w:themeColor="text1"/>
        </w:rPr>
      </w:pPr>
      <w:r>
        <w:rPr>
          <w:color w:val="000000" w:themeColor="text1"/>
        </w:rPr>
        <w:t>o</w:t>
      </w:r>
      <w:r>
        <w:rPr>
          <w:color w:val="000000" w:themeColor="text1"/>
        </w:rPr>
        <w:tab/>
      </w:r>
      <w:r>
        <w:rPr>
          <w:b/>
          <w:color w:val="000000" w:themeColor="text1"/>
        </w:rPr>
        <w:t>Business Size</w:t>
      </w:r>
      <w:r>
        <w:rPr>
          <w:color w:val="000000" w:themeColor="text1"/>
        </w:rPr>
        <w:t xml:space="preserve"> – Customer must have less than ten employees </w:t>
      </w:r>
    </w:p>
    <w:p w14:paraId="22CA293D" w14:textId="77777777" w:rsidR="00935244" w:rsidRDefault="00935244" w:rsidP="00935244">
      <w:pPr>
        <w:rPr>
          <w:color w:val="000000" w:themeColor="text1"/>
        </w:rPr>
      </w:pPr>
      <w:r>
        <w:rPr>
          <w:color w:val="000000" w:themeColor="text1"/>
        </w:rPr>
        <w:t>o</w:t>
      </w:r>
      <w:r>
        <w:rPr>
          <w:color w:val="000000" w:themeColor="text1"/>
        </w:rPr>
        <w:tab/>
      </w:r>
      <w:r>
        <w:rPr>
          <w:b/>
          <w:color w:val="000000" w:themeColor="text1"/>
        </w:rPr>
        <w:t>Language</w:t>
      </w:r>
      <w:r>
        <w:rPr>
          <w:color w:val="000000" w:themeColor="text1"/>
        </w:rPr>
        <w:t xml:space="preserve"> – Customer’s primary language spoken is not English</w:t>
      </w:r>
    </w:p>
    <w:p w14:paraId="409CC4BA" w14:textId="77777777" w:rsidR="00935244" w:rsidRDefault="00935244" w:rsidP="00935244">
      <w:pPr>
        <w:ind w:left="720" w:hanging="720"/>
        <w:rPr>
          <w:color w:val="000000" w:themeColor="text1"/>
        </w:rPr>
      </w:pPr>
      <w:r>
        <w:rPr>
          <w:color w:val="000000" w:themeColor="text1"/>
        </w:rPr>
        <w:t>o</w:t>
      </w:r>
      <w:r>
        <w:rPr>
          <w:color w:val="000000" w:themeColor="text1"/>
        </w:rPr>
        <w:tab/>
      </w:r>
      <w:r>
        <w:rPr>
          <w:b/>
          <w:color w:val="000000" w:themeColor="text1"/>
        </w:rPr>
        <w:t>Geography</w:t>
      </w:r>
      <w:r>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5933FCEB" w14:textId="77777777" w:rsidR="00935244" w:rsidRDefault="00935244" w:rsidP="00935244">
      <w:pPr>
        <w:ind w:left="720"/>
        <w:rPr>
          <w:color w:val="000000" w:themeColor="text1"/>
        </w:rPr>
      </w:pPr>
      <w:r>
        <w:rPr>
          <w:color w:val="000000" w:themeColor="text1"/>
        </w:rPr>
        <w:t>The “Required Corrections to Measure Level Input Parameters Identified by Commission Staff per D.14-10-046 Order Paragraph 16”, dated November 3, 2014, includes additional clarification for the geographic criteria:</w:t>
      </w:r>
    </w:p>
    <w:p w14:paraId="3A7AAC0C" w14:textId="77777777" w:rsidR="00935244" w:rsidRDefault="00935244" w:rsidP="00935244">
      <w:pPr>
        <w:ind w:left="720"/>
        <w:rPr>
          <w:color w:val="000000" w:themeColor="text1"/>
        </w:rPr>
      </w:pPr>
      <w:r>
        <w:rPr>
          <w:color w:val="000000" w:themeColor="text1"/>
        </w:rPr>
        <w:t>“Notes on OMB CSA designations:</w:t>
      </w:r>
    </w:p>
    <w:p w14:paraId="0F2718B0" w14:textId="77777777" w:rsidR="00935244" w:rsidRDefault="00935244" w:rsidP="00935244">
      <w:pPr>
        <w:ind w:left="720"/>
        <w:rPr>
          <w:color w:val="000000" w:themeColor="text1"/>
        </w:rPr>
      </w:pPr>
      <w:r>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69EAC09F" w14:textId="77777777" w:rsidR="00935244" w:rsidRDefault="00935244" w:rsidP="00935244">
      <w:pPr>
        <w:ind w:left="720"/>
        <w:rPr>
          <w:color w:val="000000" w:themeColor="text1"/>
        </w:rPr>
      </w:pPr>
      <w:r>
        <w:rPr>
          <w:color w:val="000000" w:themeColor="text1"/>
        </w:rPr>
        <w:t>The OMB definition of this CSA includes Los Angeles, Orange, San Bernardino, Riverside and Ventura counties.</w:t>
      </w:r>
    </w:p>
    <w:p w14:paraId="6DEC85CD" w14:textId="77777777" w:rsidR="00935244" w:rsidRDefault="00935244" w:rsidP="00935244">
      <w:pPr>
        <w:ind w:left="720"/>
        <w:rPr>
          <w:color w:val="000000" w:themeColor="text1"/>
        </w:rPr>
      </w:pPr>
      <w:r>
        <w:rPr>
          <w:color w:val="000000" w:themeColor="text1"/>
        </w:rPr>
        <w:lastRenderedPageBreak/>
        <w:t xml:space="preserve">The OMB definition of this CSA includes Sacramento, Yolo, El Dorado, Placer, Sutter, Yuba, and Nevada counties.”  </w:t>
      </w:r>
    </w:p>
    <w:p w14:paraId="329311E3" w14:textId="77777777" w:rsidR="00935244" w:rsidRPr="00920905" w:rsidRDefault="0093524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935244" w:rsidRDefault="002F4E34" w:rsidP="005729C8">
            <w:pPr>
              <w:rPr>
                <w:szCs w:val="20"/>
              </w:rPr>
            </w:pPr>
            <w:r w:rsidRPr="00935244">
              <w:rPr>
                <w:szCs w:val="20"/>
              </w:rPr>
              <w:t>Def-GSIA</w:t>
            </w:r>
          </w:p>
        </w:tc>
        <w:tc>
          <w:tcPr>
            <w:tcW w:w="1404" w:type="pct"/>
          </w:tcPr>
          <w:p w14:paraId="2BFFF598" w14:textId="77777777" w:rsidR="002F4E34" w:rsidRPr="00935244" w:rsidRDefault="002F4E34" w:rsidP="005729C8">
            <w:pPr>
              <w:rPr>
                <w:szCs w:val="20"/>
              </w:rPr>
            </w:pPr>
            <w:r w:rsidRPr="00935244">
              <w:rPr>
                <w:szCs w:val="20"/>
              </w:rPr>
              <w:t>Default GSIA values</w:t>
            </w:r>
          </w:p>
        </w:tc>
        <w:tc>
          <w:tcPr>
            <w:tcW w:w="688" w:type="pct"/>
          </w:tcPr>
          <w:p w14:paraId="157D8A62" w14:textId="77777777" w:rsidR="002F4E34" w:rsidRPr="00935244" w:rsidRDefault="002F4E34" w:rsidP="005729C8">
            <w:pPr>
              <w:rPr>
                <w:szCs w:val="20"/>
              </w:rPr>
            </w:pPr>
            <w:r w:rsidRPr="00935244">
              <w:rPr>
                <w:szCs w:val="20"/>
              </w:rPr>
              <w:t>Any</w:t>
            </w:r>
          </w:p>
        </w:tc>
        <w:tc>
          <w:tcPr>
            <w:tcW w:w="858" w:type="pct"/>
          </w:tcPr>
          <w:p w14:paraId="0C3293FE" w14:textId="77777777" w:rsidR="002F4E34" w:rsidRPr="00935244" w:rsidRDefault="002F4E34" w:rsidP="005729C8">
            <w:pPr>
              <w:rPr>
                <w:szCs w:val="20"/>
              </w:rPr>
            </w:pPr>
            <w:r w:rsidRPr="00935244">
              <w:rPr>
                <w:szCs w:val="20"/>
              </w:rPr>
              <w:t>Any</w:t>
            </w:r>
          </w:p>
        </w:tc>
        <w:tc>
          <w:tcPr>
            <w:tcW w:w="693" w:type="pct"/>
          </w:tcPr>
          <w:p w14:paraId="0B642835" w14:textId="77777777" w:rsidR="002F4E34" w:rsidRPr="00935244" w:rsidRDefault="002F4E34" w:rsidP="005729C8">
            <w:pPr>
              <w:rPr>
                <w:szCs w:val="20"/>
              </w:rPr>
            </w:pPr>
            <w:r w:rsidRPr="00935244">
              <w:rPr>
                <w:szCs w:val="20"/>
              </w:rPr>
              <w:t>Any</w:t>
            </w:r>
          </w:p>
        </w:tc>
        <w:tc>
          <w:tcPr>
            <w:tcW w:w="634" w:type="pct"/>
          </w:tcPr>
          <w:p w14:paraId="1C671DD2" w14:textId="77777777" w:rsidR="002F4E34" w:rsidRPr="00935244" w:rsidRDefault="002F4E34" w:rsidP="005729C8">
            <w:pPr>
              <w:rPr>
                <w:szCs w:val="20"/>
              </w:rPr>
            </w:pPr>
            <w:r w:rsidRPr="00935244">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2B707AC8" w14:textId="6E8EFE37" w:rsidR="00954DCE"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954DCE">
        <w:t xml:space="preserve">  </w:t>
      </w:r>
      <w:r w:rsidR="00954DCE" w:rsidRPr="0087393E">
        <w:t xml:space="preserve">EUL and RUL values were obtained </w:t>
      </w:r>
      <w:r w:rsidR="00954DCE">
        <w:t>in accordance with Draft Resolution E-4807 [510].</w:t>
      </w:r>
    </w:p>
    <w:p w14:paraId="15230481" w14:textId="77777777" w:rsidR="00954DCE" w:rsidRDefault="00954DCE" w:rsidP="00920905">
      <w:pPr>
        <w:pStyle w:val="NoSpacing"/>
      </w:pPr>
    </w:p>
    <w:p w14:paraId="2F31E8AC" w14:textId="77777777" w:rsidR="00695EBC" w:rsidRPr="00920905" w:rsidRDefault="00695EBC" w:rsidP="00920905">
      <w:pPr>
        <w:pStyle w:val="NoSpacing"/>
      </w:pP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935244">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935244" w:rsidRPr="00500C4E" w14:paraId="23E3B0B0" w14:textId="77777777" w:rsidTr="00935244">
        <w:trPr>
          <w:trHeight w:val="243"/>
        </w:trPr>
        <w:tc>
          <w:tcPr>
            <w:tcW w:w="824" w:type="pct"/>
            <w:vAlign w:val="bottom"/>
          </w:tcPr>
          <w:p w14:paraId="17A1D7F4" w14:textId="7799A61A" w:rsidR="00935244" w:rsidRPr="00500C4E" w:rsidRDefault="00935244" w:rsidP="00935244">
            <w:pPr>
              <w:rPr>
                <w:color w:val="FF0000"/>
                <w:szCs w:val="20"/>
              </w:rPr>
            </w:pPr>
            <w:r>
              <w:rPr>
                <w:rFonts w:ascii="Calibri" w:hAnsi="Calibri"/>
                <w:szCs w:val="22"/>
              </w:rPr>
              <w:t>ILtg-OccSens</w:t>
            </w:r>
          </w:p>
        </w:tc>
        <w:tc>
          <w:tcPr>
            <w:tcW w:w="1435" w:type="pct"/>
            <w:vAlign w:val="bottom"/>
          </w:tcPr>
          <w:p w14:paraId="36E678D1" w14:textId="2019DFDA" w:rsidR="00935244" w:rsidRPr="00500C4E" w:rsidRDefault="00935244" w:rsidP="00935244">
            <w:pPr>
              <w:rPr>
                <w:color w:val="FF0000"/>
                <w:szCs w:val="20"/>
              </w:rPr>
            </w:pPr>
            <w:r>
              <w:rPr>
                <w:rFonts w:ascii="Calibri" w:hAnsi="Calibri"/>
                <w:szCs w:val="22"/>
              </w:rPr>
              <w:t>Occupancy Sensors</w:t>
            </w:r>
          </w:p>
        </w:tc>
        <w:tc>
          <w:tcPr>
            <w:tcW w:w="473" w:type="pct"/>
          </w:tcPr>
          <w:p w14:paraId="42B5C736" w14:textId="67D05AE7" w:rsidR="00935244" w:rsidRPr="00500C4E" w:rsidRDefault="00935244" w:rsidP="00935244">
            <w:pPr>
              <w:rPr>
                <w:color w:val="FF0000"/>
                <w:szCs w:val="20"/>
              </w:rPr>
            </w:pPr>
            <w:r>
              <w:rPr>
                <w:szCs w:val="20"/>
              </w:rPr>
              <w:t>Com</w:t>
            </w:r>
          </w:p>
        </w:tc>
        <w:tc>
          <w:tcPr>
            <w:tcW w:w="679" w:type="pct"/>
          </w:tcPr>
          <w:p w14:paraId="52A841ED" w14:textId="03261D20" w:rsidR="00935244" w:rsidRPr="00500C4E" w:rsidRDefault="00935244" w:rsidP="00935244">
            <w:pPr>
              <w:rPr>
                <w:color w:val="FF0000"/>
                <w:szCs w:val="20"/>
              </w:rPr>
            </w:pPr>
            <w:r>
              <w:rPr>
                <w:szCs w:val="20"/>
              </w:rPr>
              <w:t>Lighting</w:t>
            </w:r>
          </w:p>
        </w:tc>
        <w:tc>
          <w:tcPr>
            <w:tcW w:w="812" w:type="pct"/>
          </w:tcPr>
          <w:p w14:paraId="1BF5FCBD" w14:textId="126CDDBE" w:rsidR="00935244" w:rsidRPr="00500C4E" w:rsidRDefault="00860772" w:rsidP="00935244">
            <w:pPr>
              <w:rPr>
                <w:color w:val="FF0000"/>
                <w:szCs w:val="20"/>
              </w:rPr>
            </w:pPr>
            <w:r>
              <w:rPr>
                <w:szCs w:val="20"/>
              </w:rPr>
              <w:t>5</w:t>
            </w:r>
          </w:p>
        </w:tc>
        <w:tc>
          <w:tcPr>
            <w:tcW w:w="776" w:type="pct"/>
          </w:tcPr>
          <w:p w14:paraId="46ED97C1" w14:textId="4F6DA80D" w:rsidR="00935244" w:rsidRPr="00500C4E" w:rsidRDefault="003A2433" w:rsidP="003A2433">
            <w:pPr>
              <w:rPr>
                <w:color w:val="FF0000"/>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0425A31B" w14:textId="46C6675B" w:rsidR="00935244" w:rsidRDefault="00935244" w:rsidP="00935244">
      <w:pPr>
        <w:spacing w:before="40" w:after="40"/>
        <w:rPr>
          <w:rFonts w:cstheme="minorHAnsi"/>
          <w:szCs w:val="22"/>
        </w:rPr>
      </w:pPr>
      <w:r>
        <w:rPr>
          <w:rFonts w:cstheme="minorHAnsi"/>
          <w:szCs w:val="22"/>
        </w:rPr>
        <w:t>Occupancy sensors are not affected by Title 24 201</w:t>
      </w:r>
      <w:r w:rsidR="00D44FB0">
        <w:rPr>
          <w:rFonts w:cstheme="minorHAnsi"/>
          <w:szCs w:val="22"/>
        </w:rPr>
        <w:t>6</w:t>
      </w:r>
      <w:r>
        <w:rPr>
          <w:rFonts w:cstheme="minorHAnsi"/>
          <w:szCs w:val="22"/>
        </w:rPr>
        <w:t xml:space="preserve"> [</w:t>
      </w:r>
      <w:r w:rsidR="005B36D6">
        <w:rPr>
          <w:rFonts w:cstheme="minorHAnsi"/>
          <w:szCs w:val="22"/>
        </w:rPr>
        <w:t>496</w:t>
      </w:r>
      <w:r w:rsidR="00A560E2">
        <w:rPr>
          <w:rFonts w:cstheme="minorHAnsi"/>
          <w:szCs w:val="22"/>
        </w:rPr>
        <w:t>]</w:t>
      </w:r>
      <w:r>
        <w:rPr>
          <w:rFonts w:cstheme="minorHAnsi"/>
          <w:szCs w:val="22"/>
        </w:rPr>
        <w:t xml:space="preserve"> due to the following:</w:t>
      </w:r>
    </w:p>
    <w:p w14:paraId="32EEF922" w14:textId="77777777" w:rsidR="00935244" w:rsidRDefault="00935244" w:rsidP="00935244">
      <w:pPr>
        <w:spacing w:before="40" w:after="40"/>
        <w:rPr>
          <w:rFonts w:cstheme="minorHAnsi"/>
          <w:szCs w:val="22"/>
        </w:rPr>
      </w:pPr>
      <w:r>
        <w:rPr>
          <w:rFonts w:cstheme="minorHAnsi"/>
          <w:szCs w:val="22"/>
        </w:rPr>
        <w:t xml:space="preserve"> </w:t>
      </w:r>
    </w:p>
    <w:p w14:paraId="4B328909" w14:textId="2F382210" w:rsidR="00935244" w:rsidRDefault="00377D67" w:rsidP="00935244">
      <w:pPr>
        <w:spacing w:before="40" w:after="40"/>
        <w:rPr>
          <w:rFonts w:cstheme="minorHAnsi"/>
          <w:szCs w:val="22"/>
        </w:rPr>
      </w:pPr>
      <w:r w:rsidRPr="00377D67">
        <w:rPr>
          <w:rFonts w:eastAsiaTheme="minorHAnsi" w:cs="TimesNewRomanPS-BoldMT"/>
          <w:b/>
          <w:bCs/>
          <w:szCs w:val="22"/>
        </w:rPr>
        <w:t xml:space="preserve">EXCEPTION 1 to Section 141.0(b)2K. </w:t>
      </w:r>
      <w:r w:rsidRPr="00E67CAC">
        <w:rPr>
          <w:rFonts w:eastAsiaTheme="minorHAnsi" w:cs="TimesNewRomanPS-BoldMT"/>
          <w:bCs/>
          <w:szCs w:val="22"/>
        </w:rPr>
        <w:t>Alterations strictly limited to addition of lighting controls</w:t>
      </w:r>
      <w:r>
        <w:rPr>
          <w:rFonts w:eastAsiaTheme="minorHAnsi" w:cs="TimesNewRomanPS-BoldMT"/>
          <w:b/>
          <w:bCs/>
          <w:szCs w:val="22"/>
        </w:rPr>
        <w:t>.</w:t>
      </w:r>
    </w:p>
    <w:p w14:paraId="6CBFFABB" w14:textId="77777777" w:rsidR="00935244" w:rsidRDefault="00935244" w:rsidP="00935244">
      <w:pPr>
        <w:spacing w:before="40" w:after="40"/>
        <w:rPr>
          <w:rFonts w:cstheme="minorHAnsi"/>
          <w:szCs w:val="22"/>
        </w:rPr>
      </w:pPr>
      <w:r>
        <w:rPr>
          <w:rFonts w:cstheme="minorHAnsi"/>
          <w:szCs w:val="22"/>
        </w:rPr>
        <w:t>Also, if an occupancy sensor is required by or used to comply with code, then it cannot be used to claim energy and demand savings. Therefore, this measure is only eligible in buildings built before July 1, 2014 in which the lighting fixtures are not being replaced.</w:t>
      </w:r>
    </w:p>
    <w:p w14:paraId="1C02B752" w14:textId="77777777" w:rsidR="00935244" w:rsidRDefault="00935244" w:rsidP="00935244">
      <w:pPr>
        <w:pStyle w:val="Caption"/>
        <w:keepNext/>
        <w:rPr>
          <w:rFonts w:cstheme="minorHAnsi"/>
          <w:szCs w:val="22"/>
        </w:rPr>
      </w:pPr>
    </w:p>
    <w:p w14:paraId="2F3F811C" w14:textId="77777777" w:rsidR="00935244" w:rsidRDefault="00935244" w:rsidP="00935244">
      <w:pPr>
        <w:pStyle w:val="Caption"/>
        <w:keepNext/>
        <w:rPr>
          <w:rFonts w:cstheme="minorHAnsi"/>
          <w:szCs w:val="22"/>
        </w:rPr>
      </w:pPr>
      <w:r>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935244" w14:paraId="552C1FC1" w14:textId="77777777" w:rsidTr="00935244">
        <w:tc>
          <w:tcPr>
            <w:tcW w:w="11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48CB1E" w14:textId="77777777" w:rsidR="00935244" w:rsidRDefault="00935244">
            <w:pPr>
              <w:rPr>
                <w:rFonts w:cstheme="minorHAnsi"/>
                <w:b/>
                <w:szCs w:val="20"/>
              </w:rPr>
            </w:pPr>
            <w:r>
              <w:rPr>
                <w:rFonts w:cstheme="minorHAnsi"/>
                <w:b/>
                <w:szCs w:val="20"/>
              </w:rPr>
              <w:t>Code</w:t>
            </w:r>
          </w:p>
        </w:tc>
        <w:tc>
          <w:tcPr>
            <w:tcW w:w="2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A4FD5D" w14:textId="77777777" w:rsidR="00935244" w:rsidRDefault="00935244">
            <w:pPr>
              <w:rPr>
                <w:rFonts w:cstheme="minorHAnsi"/>
                <w:b/>
                <w:szCs w:val="20"/>
              </w:rPr>
            </w:pPr>
            <w:r>
              <w:rPr>
                <w:rFonts w:cstheme="minorHAnsi"/>
                <w:b/>
                <w:szCs w:val="20"/>
              </w:rPr>
              <w:t>Reference</w:t>
            </w:r>
          </w:p>
        </w:tc>
        <w:tc>
          <w:tcPr>
            <w:tcW w:w="1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98ACDB" w14:textId="77777777" w:rsidR="00935244" w:rsidRDefault="00935244">
            <w:pPr>
              <w:rPr>
                <w:rFonts w:cstheme="minorHAnsi"/>
                <w:b/>
                <w:szCs w:val="20"/>
              </w:rPr>
            </w:pPr>
            <w:r>
              <w:rPr>
                <w:rFonts w:cstheme="minorHAnsi"/>
                <w:b/>
                <w:szCs w:val="20"/>
              </w:rPr>
              <w:t>Effective Dates</w:t>
            </w:r>
          </w:p>
        </w:tc>
      </w:tr>
      <w:tr w:rsidR="00935244" w14:paraId="78E4B355" w14:textId="77777777" w:rsidTr="00935244">
        <w:trPr>
          <w:trHeight w:val="243"/>
        </w:trPr>
        <w:tc>
          <w:tcPr>
            <w:tcW w:w="1155" w:type="pct"/>
            <w:tcBorders>
              <w:top w:val="single" w:sz="4" w:space="0" w:color="auto"/>
              <w:left w:val="single" w:sz="4" w:space="0" w:color="auto"/>
              <w:bottom w:val="single" w:sz="4" w:space="0" w:color="auto"/>
              <w:right w:val="single" w:sz="4" w:space="0" w:color="auto"/>
            </w:tcBorders>
            <w:hideMark/>
          </w:tcPr>
          <w:p w14:paraId="18CB12EC" w14:textId="177F807A" w:rsidR="00935244" w:rsidRDefault="00935244">
            <w:pPr>
              <w:rPr>
                <w:rFonts w:cstheme="minorHAnsi"/>
                <w:szCs w:val="20"/>
              </w:rPr>
            </w:pPr>
            <w:r>
              <w:rPr>
                <w:rFonts w:cstheme="minorHAnsi"/>
                <w:szCs w:val="20"/>
              </w:rPr>
              <w:t>Title 24 (201</w:t>
            </w:r>
            <w:r w:rsidR="00377D67">
              <w:rPr>
                <w:rFonts w:cstheme="minorHAnsi"/>
                <w:szCs w:val="20"/>
              </w:rPr>
              <w:t>6</w:t>
            </w:r>
            <w:r>
              <w:rPr>
                <w:rFonts w:cstheme="minorHAnsi"/>
                <w:szCs w:val="20"/>
              </w:rPr>
              <w:t>)</w:t>
            </w:r>
          </w:p>
        </w:tc>
        <w:tc>
          <w:tcPr>
            <w:tcW w:w="2711" w:type="pct"/>
            <w:tcBorders>
              <w:top w:val="single" w:sz="4" w:space="0" w:color="auto"/>
              <w:left w:val="single" w:sz="4" w:space="0" w:color="auto"/>
              <w:bottom w:val="single" w:sz="4" w:space="0" w:color="auto"/>
              <w:right w:val="single" w:sz="4" w:space="0" w:color="auto"/>
            </w:tcBorders>
            <w:hideMark/>
          </w:tcPr>
          <w:p w14:paraId="41A1991D" w14:textId="117098CC" w:rsidR="00935244" w:rsidRDefault="00935244">
            <w:pPr>
              <w:rPr>
                <w:rFonts w:cstheme="minorHAnsi"/>
                <w:szCs w:val="20"/>
              </w:rPr>
            </w:pPr>
            <w:r>
              <w:rPr>
                <w:rFonts w:cstheme="minorHAnsi"/>
                <w:szCs w:val="20"/>
              </w:rPr>
              <w:t>201</w:t>
            </w:r>
            <w:r w:rsidR="00377D67">
              <w:rPr>
                <w:rFonts w:cstheme="minorHAnsi"/>
                <w:szCs w:val="20"/>
              </w:rPr>
              <w:t>6</w:t>
            </w:r>
            <w:r>
              <w:rPr>
                <w:rFonts w:cstheme="minorHAnsi"/>
                <w:szCs w:val="20"/>
              </w:rPr>
              <w:t xml:space="preserve"> Non-Residential Compliance manual, Section 141.0(b)</w:t>
            </w:r>
          </w:p>
        </w:tc>
        <w:tc>
          <w:tcPr>
            <w:tcW w:w="1134" w:type="pct"/>
            <w:tcBorders>
              <w:top w:val="single" w:sz="4" w:space="0" w:color="auto"/>
              <w:left w:val="single" w:sz="4" w:space="0" w:color="auto"/>
              <w:bottom w:val="single" w:sz="4" w:space="0" w:color="auto"/>
              <w:right w:val="single" w:sz="4" w:space="0" w:color="auto"/>
            </w:tcBorders>
            <w:hideMark/>
          </w:tcPr>
          <w:p w14:paraId="6F7BBBE8" w14:textId="27A280BC" w:rsidR="00935244" w:rsidRDefault="00377D67">
            <w:pPr>
              <w:rPr>
                <w:rFonts w:cstheme="minorHAnsi"/>
                <w:szCs w:val="20"/>
              </w:rPr>
            </w:pPr>
            <w:r>
              <w:rPr>
                <w:rFonts w:cstheme="minorHAnsi"/>
                <w:szCs w:val="20"/>
              </w:rPr>
              <w:t xml:space="preserve"> January 1, 2017</w:t>
            </w:r>
          </w:p>
        </w:tc>
      </w:tr>
    </w:tbl>
    <w:p w14:paraId="536FFF1E" w14:textId="77777777" w:rsidR="00935244" w:rsidRDefault="00935244" w:rsidP="00935244">
      <w:pPr>
        <w:pStyle w:val="Heading2"/>
        <w:rPr>
          <w:rFonts w:cstheme="minorHAnsi"/>
          <w:b w:val="0"/>
          <w:bCs w:val="0"/>
          <w:iCs w:val="0"/>
        </w:rPr>
      </w:pPr>
      <w:r>
        <w:rPr>
          <w:rFonts w:asciiTheme="minorHAnsi" w:hAnsiTheme="minorHAnsi" w:cstheme="minorHAnsi"/>
        </w:rPr>
        <w:t>1.5 EM&amp;V, Market Potential, and Other Studies – Base Case and Measure Case Information</w:t>
      </w:r>
    </w:p>
    <w:p w14:paraId="0A9B046F" w14:textId="77777777" w:rsidR="00935244" w:rsidRDefault="00935244" w:rsidP="00935244">
      <w:pPr>
        <w:pStyle w:val="NoSpacing"/>
      </w:pPr>
      <w:r>
        <w:t>N/A.</w:t>
      </w:r>
    </w:p>
    <w:p w14:paraId="7805C454" w14:textId="77777777" w:rsidR="00935244" w:rsidRDefault="00935244" w:rsidP="00935244">
      <w:pPr>
        <w:pStyle w:val="Heading2"/>
        <w:rPr>
          <w:rFonts w:asciiTheme="minorHAnsi" w:hAnsiTheme="minorHAnsi" w:cstheme="minorHAnsi"/>
        </w:rPr>
      </w:pPr>
      <w:r>
        <w:rPr>
          <w:rFonts w:asciiTheme="minorHAnsi" w:hAnsiTheme="minorHAnsi" w:cstheme="minorHAnsi"/>
        </w:rPr>
        <w:t>1.6 Data Quality and Future Data Needs</w:t>
      </w:r>
    </w:p>
    <w:p w14:paraId="1049B897" w14:textId="2BF77BCE" w:rsidR="00935244" w:rsidRDefault="00935244" w:rsidP="00935244">
      <w:pPr>
        <w:rPr>
          <w:rFonts w:cs="Arial"/>
          <w:szCs w:val="22"/>
        </w:rPr>
      </w:pPr>
      <w:r>
        <w:rPr>
          <w:rFonts w:cs="Arial"/>
          <w:szCs w:val="22"/>
        </w:rPr>
        <w:t>N/A.</w:t>
      </w:r>
    </w:p>
    <w:p w14:paraId="7A8B93AA" w14:textId="77777777" w:rsidR="00954DCE" w:rsidRDefault="00954DCE" w:rsidP="00560934">
      <w:pPr>
        <w:pStyle w:val="Heading1"/>
        <w:keepNext w:val="0"/>
        <w:rPr>
          <w:rFonts w:cstheme="minorHAnsi"/>
        </w:rPr>
      </w:pPr>
      <w:bookmarkStart w:id="11" w:name="_Toc214003090"/>
    </w:p>
    <w:p w14:paraId="015A5544" w14:textId="5D4A17D2"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1"/>
      <w:r w:rsidR="00755A45" w:rsidRPr="00500C4E">
        <w:rPr>
          <w:rFonts w:cstheme="minorHAnsi"/>
        </w:rPr>
        <w:t xml:space="preserve"> Methodology</w:t>
      </w:r>
    </w:p>
    <w:p w14:paraId="669EE98A" w14:textId="31C54A14" w:rsidR="00F266E3" w:rsidRPr="00F266E3" w:rsidRDefault="00F266E3" w:rsidP="00F266E3">
      <w:pPr>
        <w:rPr>
          <w:rFonts w:cstheme="minorHAnsi"/>
          <w:szCs w:val="22"/>
        </w:rPr>
      </w:pPr>
      <w:r>
        <w:rPr>
          <w:rFonts w:cstheme="minorHAnsi"/>
          <w:szCs w:val="22"/>
        </w:rPr>
        <w:t>This work paper contains two measures as shown in table below with the measure type and controlled wattages.</w:t>
      </w:r>
    </w:p>
    <w:p w14:paraId="4C7B98B5" w14:textId="77777777" w:rsidR="008B40CD" w:rsidRDefault="008B40CD" w:rsidP="00E16609">
      <w:pPr>
        <w:pStyle w:val="Reminder"/>
        <w:rPr>
          <w:rFonts w:asciiTheme="minorHAnsi" w:hAnsiTheme="minorHAnsi" w:cstheme="minorHAnsi"/>
          <w:i w:val="0"/>
          <w:szCs w:val="22"/>
        </w:rPr>
      </w:pPr>
    </w:p>
    <w:p w14:paraId="165CE088" w14:textId="77777777" w:rsidR="00F266E3" w:rsidRDefault="00F266E3" w:rsidP="00F266E3">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Measure Types</w:t>
      </w:r>
    </w:p>
    <w:tbl>
      <w:tblPr>
        <w:tblStyle w:val="TableGrid1"/>
        <w:tblW w:w="5000" w:type="pct"/>
        <w:tblLook w:val="01E0" w:firstRow="1" w:lastRow="1" w:firstColumn="1" w:lastColumn="1" w:noHBand="0" w:noVBand="0"/>
      </w:tblPr>
      <w:tblGrid>
        <w:gridCol w:w="1100"/>
        <w:gridCol w:w="4519"/>
        <w:gridCol w:w="2840"/>
        <w:gridCol w:w="1117"/>
      </w:tblGrid>
      <w:tr w:rsidR="008B40CD" w14:paraId="451E6B57" w14:textId="77777777" w:rsidTr="008B40CD">
        <w:tc>
          <w:tcPr>
            <w:tcW w:w="57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9C2DA2" w14:textId="77777777" w:rsidR="008B40CD" w:rsidRDefault="008B40CD">
            <w:pPr>
              <w:rPr>
                <w:rFonts w:cstheme="minorHAnsi"/>
                <w:b/>
                <w:szCs w:val="20"/>
              </w:rPr>
            </w:pPr>
            <w:r>
              <w:rPr>
                <w:rFonts w:cstheme="minorHAnsi"/>
                <w:b/>
                <w:szCs w:val="20"/>
              </w:rPr>
              <w:t>Measure Code</w:t>
            </w:r>
          </w:p>
        </w:tc>
        <w:tc>
          <w:tcPr>
            <w:tcW w:w="23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8F7678" w14:textId="77777777" w:rsidR="008B40CD" w:rsidRDefault="008B40CD">
            <w:pPr>
              <w:rPr>
                <w:rFonts w:cstheme="minorHAnsi"/>
                <w:b/>
                <w:szCs w:val="20"/>
              </w:rPr>
            </w:pPr>
            <w:r>
              <w:rPr>
                <w:rFonts w:cstheme="minorHAnsi"/>
                <w:b/>
                <w:szCs w:val="20"/>
              </w:rPr>
              <w:t>Measure Name</w:t>
            </w:r>
          </w:p>
        </w:tc>
        <w:tc>
          <w:tcPr>
            <w:tcW w:w="148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C0B289" w14:textId="77777777" w:rsidR="008B40CD" w:rsidRDefault="008B40CD">
            <w:pPr>
              <w:rPr>
                <w:rFonts w:cstheme="minorHAnsi"/>
                <w:b/>
                <w:szCs w:val="20"/>
              </w:rPr>
            </w:pPr>
            <w:r>
              <w:rPr>
                <w:rFonts w:cstheme="minorHAnsi"/>
                <w:b/>
                <w:szCs w:val="20"/>
              </w:rPr>
              <w:t>Controlled Fixtures</w:t>
            </w:r>
          </w:p>
        </w:tc>
        <w:tc>
          <w:tcPr>
            <w:tcW w:w="58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8DFC8C" w14:textId="77777777" w:rsidR="008B40CD" w:rsidRDefault="008B40CD">
            <w:pPr>
              <w:rPr>
                <w:rFonts w:cstheme="minorHAnsi"/>
                <w:b/>
                <w:szCs w:val="20"/>
                <w:highlight w:val="yellow"/>
              </w:rPr>
            </w:pPr>
            <w:r>
              <w:rPr>
                <w:rFonts w:cstheme="minorHAnsi"/>
                <w:b/>
                <w:szCs w:val="20"/>
              </w:rPr>
              <w:t>Controlled Wattage</w:t>
            </w:r>
          </w:p>
        </w:tc>
      </w:tr>
      <w:tr w:rsidR="008B40CD" w14:paraId="7EE20B6E" w14:textId="77777777" w:rsidTr="00132003">
        <w:tc>
          <w:tcPr>
            <w:tcW w:w="574" w:type="pct"/>
            <w:tcBorders>
              <w:top w:val="single" w:sz="4" w:space="0" w:color="auto"/>
              <w:left w:val="single" w:sz="4" w:space="0" w:color="auto"/>
              <w:bottom w:val="single" w:sz="4" w:space="0" w:color="auto"/>
              <w:right w:val="single" w:sz="4" w:space="0" w:color="auto"/>
            </w:tcBorders>
            <w:hideMark/>
          </w:tcPr>
          <w:p w14:paraId="3B08B256" w14:textId="3D006B25" w:rsidR="008B40CD" w:rsidRDefault="008B40CD" w:rsidP="008B40CD">
            <w:pPr>
              <w:rPr>
                <w:rFonts w:cstheme="minorHAnsi"/>
                <w:color w:val="FF0000"/>
                <w:szCs w:val="20"/>
              </w:rPr>
            </w:pPr>
            <w:r>
              <w:rPr>
                <w:rFonts w:cstheme="minorHAnsi"/>
                <w:szCs w:val="20"/>
              </w:rPr>
              <w:t>LT-76101</w:t>
            </w:r>
          </w:p>
        </w:tc>
        <w:tc>
          <w:tcPr>
            <w:tcW w:w="2359" w:type="pct"/>
            <w:tcBorders>
              <w:top w:val="single" w:sz="4" w:space="0" w:color="auto"/>
              <w:left w:val="single" w:sz="4" w:space="0" w:color="auto"/>
              <w:bottom w:val="single" w:sz="4" w:space="0" w:color="auto"/>
              <w:right w:val="single" w:sz="4" w:space="0" w:color="auto"/>
            </w:tcBorders>
            <w:vAlign w:val="center"/>
            <w:hideMark/>
          </w:tcPr>
          <w:p w14:paraId="57AE5CE4" w14:textId="36BAFCF3" w:rsidR="008B40CD" w:rsidRDefault="008B40CD" w:rsidP="008B40CD">
            <w:pPr>
              <w:rPr>
                <w:rFonts w:cstheme="minorHAnsi"/>
                <w:color w:val="FF0000"/>
                <w:szCs w:val="20"/>
              </w:rPr>
            </w:pPr>
            <w:r>
              <w:rPr>
                <w:rFonts w:cstheme="minorHAnsi"/>
                <w:szCs w:val="20"/>
              </w:rPr>
              <w:t>Integrated Occupancy Sensor (fixture wattage ≥ 150 Watts)</w:t>
            </w:r>
          </w:p>
        </w:tc>
        <w:tc>
          <w:tcPr>
            <w:tcW w:w="1483" w:type="pct"/>
            <w:tcBorders>
              <w:top w:val="single" w:sz="4" w:space="0" w:color="auto"/>
              <w:left w:val="single" w:sz="4" w:space="0" w:color="auto"/>
              <w:bottom w:val="single" w:sz="4" w:space="0" w:color="auto"/>
              <w:right w:val="single" w:sz="4" w:space="0" w:color="auto"/>
            </w:tcBorders>
            <w:vAlign w:val="center"/>
            <w:hideMark/>
          </w:tcPr>
          <w:p w14:paraId="572E73E3" w14:textId="50EB8E9C" w:rsidR="008B40CD" w:rsidRDefault="008B40CD" w:rsidP="008B40CD">
            <w:pPr>
              <w:rPr>
                <w:rFonts w:cstheme="minorHAnsi"/>
                <w:color w:val="FF0000"/>
                <w:szCs w:val="20"/>
              </w:rPr>
            </w:pPr>
            <w:r>
              <w:rPr>
                <w:rFonts w:ascii="Calibri" w:hAnsi="Calibri"/>
                <w:color w:val="000000"/>
                <w:szCs w:val="20"/>
              </w:rPr>
              <w:t>46” 4-lamp 54W T5 HO with Electronic Ballast (F44PHL/2)</w:t>
            </w:r>
          </w:p>
        </w:tc>
        <w:tc>
          <w:tcPr>
            <w:tcW w:w="583" w:type="pct"/>
            <w:tcBorders>
              <w:top w:val="single" w:sz="4" w:space="0" w:color="auto"/>
              <w:left w:val="single" w:sz="4" w:space="0" w:color="auto"/>
              <w:bottom w:val="single" w:sz="4" w:space="0" w:color="auto"/>
              <w:right w:val="single" w:sz="4" w:space="0" w:color="auto"/>
            </w:tcBorders>
            <w:vAlign w:val="center"/>
            <w:hideMark/>
          </w:tcPr>
          <w:p w14:paraId="2C20BC3C" w14:textId="3C013400" w:rsidR="008B40CD" w:rsidRDefault="008B40CD" w:rsidP="008B40CD">
            <w:pPr>
              <w:rPr>
                <w:rFonts w:cstheme="minorHAnsi"/>
                <w:color w:val="FF0000"/>
                <w:szCs w:val="20"/>
              </w:rPr>
            </w:pPr>
            <w:r>
              <w:rPr>
                <w:rFonts w:ascii="Calibri" w:hAnsi="Calibri"/>
                <w:color w:val="000000"/>
                <w:szCs w:val="20"/>
              </w:rPr>
              <w:t>234</w:t>
            </w:r>
          </w:p>
        </w:tc>
      </w:tr>
      <w:tr w:rsidR="008B40CD" w14:paraId="2CF28C55" w14:textId="77777777" w:rsidTr="00132003">
        <w:tc>
          <w:tcPr>
            <w:tcW w:w="574" w:type="pct"/>
            <w:tcBorders>
              <w:top w:val="single" w:sz="4" w:space="0" w:color="auto"/>
              <w:left w:val="single" w:sz="4" w:space="0" w:color="auto"/>
              <w:bottom w:val="single" w:sz="4" w:space="0" w:color="auto"/>
              <w:right w:val="single" w:sz="4" w:space="0" w:color="auto"/>
            </w:tcBorders>
            <w:hideMark/>
          </w:tcPr>
          <w:p w14:paraId="40DD7FA9" w14:textId="252F9E16" w:rsidR="008B40CD" w:rsidRDefault="008B40CD" w:rsidP="008B40CD">
            <w:pPr>
              <w:rPr>
                <w:rFonts w:cstheme="minorHAnsi"/>
                <w:color w:val="FF0000"/>
                <w:szCs w:val="20"/>
              </w:rPr>
            </w:pPr>
            <w:r>
              <w:rPr>
                <w:rFonts w:cstheme="minorHAnsi"/>
                <w:szCs w:val="20"/>
              </w:rPr>
              <w:t>LT-41007</w:t>
            </w:r>
          </w:p>
        </w:tc>
        <w:tc>
          <w:tcPr>
            <w:tcW w:w="2359" w:type="pct"/>
            <w:tcBorders>
              <w:top w:val="single" w:sz="4" w:space="0" w:color="auto"/>
              <w:left w:val="single" w:sz="4" w:space="0" w:color="auto"/>
              <w:bottom w:val="single" w:sz="4" w:space="0" w:color="auto"/>
              <w:right w:val="single" w:sz="4" w:space="0" w:color="auto"/>
            </w:tcBorders>
            <w:vAlign w:val="center"/>
            <w:hideMark/>
          </w:tcPr>
          <w:p w14:paraId="0C774440" w14:textId="106C093F" w:rsidR="008B40CD" w:rsidRDefault="008B40CD" w:rsidP="008B40CD">
            <w:pPr>
              <w:rPr>
                <w:rFonts w:cstheme="minorHAnsi"/>
                <w:color w:val="FF0000"/>
                <w:szCs w:val="20"/>
              </w:rPr>
            </w:pPr>
            <w:r>
              <w:rPr>
                <w:rFonts w:cstheme="minorHAnsi"/>
                <w:szCs w:val="20"/>
              </w:rPr>
              <w:t>Integrated Occupancy Sensor (fixture wattage &lt; 150 Watts)</w:t>
            </w:r>
          </w:p>
        </w:tc>
        <w:tc>
          <w:tcPr>
            <w:tcW w:w="1483" w:type="pct"/>
            <w:tcBorders>
              <w:top w:val="single" w:sz="4" w:space="0" w:color="auto"/>
              <w:left w:val="single" w:sz="4" w:space="0" w:color="auto"/>
              <w:bottom w:val="single" w:sz="4" w:space="0" w:color="auto"/>
              <w:right w:val="single" w:sz="4" w:space="0" w:color="auto"/>
            </w:tcBorders>
            <w:vAlign w:val="center"/>
            <w:hideMark/>
          </w:tcPr>
          <w:p w14:paraId="5681F429" w14:textId="19A56A15" w:rsidR="008B40CD" w:rsidRDefault="008B40CD" w:rsidP="008B40CD">
            <w:pPr>
              <w:rPr>
                <w:rFonts w:cstheme="minorHAnsi"/>
                <w:color w:val="FF0000"/>
                <w:szCs w:val="20"/>
              </w:rPr>
            </w:pPr>
            <w:r>
              <w:rPr>
                <w:rFonts w:ascii="Calibri" w:hAnsi="Calibri"/>
                <w:color w:val="000000"/>
                <w:szCs w:val="20"/>
              </w:rPr>
              <w:t>48” 2-lamp 32W T8 with Electronic Ballast (F42ILL)</w:t>
            </w:r>
          </w:p>
        </w:tc>
        <w:tc>
          <w:tcPr>
            <w:tcW w:w="583" w:type="pct"/>
            <w:tcBorders>
              <w:top w:val="single" w:sz="4" w:space="0" w:color="auto"/>
              <w:left w:val="single" w:sz="4" w:space="0" w:color="auto"/>
              <w:bottom w:val="single" w:sz="4" w:space="0" w:color="auto"/>
              <w:right w:val="single" w:sz="4" w:space="0" w:color="auto"/>
            </w:tcBorders>
            <w:vAlign w:val="center"/>
            <w:hideMark/>
          </w:tcPr>
          <w:p w14:paraId="5280A97A" w14:textId="22252CBE" w:rsidR="008B40CD" w:rsidRDefault="008B40CD" w:rsidP="008B40CD">
            <w:pPr>
              <w:rPr>
                <w:rFonts w:cstheme="minorHAnsi"/>
                <w:color w:val="FF0000"/>
                <w:szCs w:val="20"/>
              </w:rPr>
            </w:pPr>
            <w:r>
              <w:rPr>
                <w:rFonts w:ascii="Calibri" w:hAnsi="Calibri"/>
                <w:color w:val="000000"/>
                <w:szCs w:val="20"/>
              </w:rPr>
              <w:t>59</w:t>
            </w:r>
          </w:p>
        </w:tc>
      </w:tr>
    </w:tbl>
    <w:p w14:paraId="525CC328" w14:textId="77777777" w:rsidR="008B40CD" w:rsidRDefault="008B40CD" w:rsidP="00E16609">
      <w:pPr>
        <w:pStyle w:val="Reminder"/>
        <w:rPr>
          <w:rFonts w:asciiTheme="minorHAnsi" w:hAnsiTheme="minorHAnsi" w:cstheme="minorHAnsi"/>
          <w:i w:val="0"/>
          <w:szCs w:val="22"/>
        </w:rPr>
      </w:pPr>
    </w:p>
    <w:p w14:paraId="27495AF8" w14:textId="00BFAB88" w:rsidR="00556112" w:rsidRDefault="00556112" w:rsidP="00556112">
      <w:pPr>
        <w:spacing w:before="40" w:after="40"/>
        <w:rPr>
          <w:rFonts w:cstheme="minorHAnsi"/>
          <w:szCs w:val="20"/>
        </w:rPr>
      </w:pPr>
      <w:r>
        <w:rPr>
          <w:rFonts w:cstheme="minorHAnsi"/>
          <w:szCs w:val="20"/>
        </w:rPr>
        <w:t>All savings in this work paper are provided by the Energy Division’s 2013‒2014 Workpaper Disposition for Occupancy Sensor Lighting Controls</w:t>
      </w:r>
      <w:r w:rsidR="00E56608">
        <w:rPr>
          <w:rFonts w:cstheme="minorHAnsi"/>
          <w:szCs w:val="20"/>
        </w:rPr>
        <w:t xml:space="preserve">. See Attachment </w:t>
      </w:r>
      <w:r w:rsidR="00CD0994">
        <w:rPr>
          <w:rFonts w:cstheme="minorHAnsi"/>
          <w:szCs w:val="20"/>
        </w:rPr>
        <w:t>3</w:t>
      </w:r>
      <w:r w:rsidR="00E56608">
        <w:rPr>
          <w:rFonts w:cstheme="minorHAnsi"/>
          <w:szCs w:val="20"/>
        </w:rPr>
        <w:t>.</w:t>
      </w:r>
    </w:p>
    <w:p w14:paraId="4433B542" w14:textId="77777777" w:rsidR="00556112" w:rsidRDefault="00556112" w:rsidP="00556112">
      <w:pPr>
        <w:spacing w:before="40" w:after="40"/>
        <w:rPr>
          <w:rFonts w:cstheme="minorHAnsi"/>
          <w:szCs w:val="20"/>
        </w:rPr>
      </w:pPr>
    </w:p>
    <w:p w14:paraId="0EBD84AA" w14:textId="77777777" w:rsidR="00556112" w:rsidRDefault="00556112" w:rsidP="00556112">
      <w:pPr>
        <w:spacing w:before="40" w:after="40"/>
        <w:rPr>
          <w:rFonts w:cstheme="minorHAnsi"/>
          <w:szCs w:val="20"/>
        </w:rPr>
      </w:pPr>
      <w:r>
        <w:rPr>
          <w:rFonts w:cstheme="minorHAnsi"/>
          <w:szCs w:val="20"/>
        </w:rPr>
        <w:t>To calculate energy savings and demand reduction for ED weighted building types, the Workpaper Disposition provides the occupancy reduction factor for kWh and lighting peak demand reduction factor for kW reduction. These factors are used with the building operating hours, interactive effects, and wattage controlled to come up with the energy savings and demand reduction.</w:t>
      </w:r>
    </w:p>
    <w:p w14:paraId="17971F83" w14:textId="77777777" w:rsidR="00556112" w:rsidRDefault="00556112" w:rsidP="00556112">
      <w:pPr>
        <w:spacing w:before="40" w:after="40"/>
        <w:rPr>
          <w:rFonts w:cstheme="minorHAnsi"/>
          <w:szCs w:val="20"/>
        </w:rPr>
      </w:pPr>
    </w:p>
    <w:p w14:paraId="1BA0AF72" w14:textId="0910B263" w:rsidR="00556112" w:rsidRDefault="00556112" w:rsidP="00556112">
      <w:pPr>
        <w:spacing w:before="40" w:after="40"/>
        <w:rPr>
          <w:rFonts w:cstheme="minorHAnsi"/>
          <w:szCs w:val="20"/>
        </w:rPr>
      </w:pPr>
      <w:r>
        <w:rPr>
          <w:rFonts w:cstheme="minorHAnsi"/>
          <w:szCs w:val="20"/>
        </w:rPr>
        <w:t xml:space="preserve">The DEER building types use the “per kW Controlled” value from READI </w:t>
      </w:r>
      <w:r w:rsidR="00055DB4">
        <w:rPr>
          <w:rFonts w:cstheme="minorHAnsi"/>
          <w:szCs w:val="20"/>
        </w:rPr>
        <w:t>2.4.7</w:t>
      </w:r>
      <w:r>
        <w:rPr>
          <w:rFonts w:cstheme="minorHAnsi"/>
          <w:szCs w:val="20"/>
        </w:rPr>
        <w:t xml:space="preserve"> with the wattage controlled to obtain the energy savings and demand reduction.</w:t>
      </w:r>
    </w:p>
    <w:p w14:paraId="16D782BA" w14:textId="77777777" w:rsidR="00377D67" w:rsidRDefault="00377D67" w:rsidP="00556112">
      <w:pPr>
        <w:spacing w:before="40" w:after="40"/>
        <w:rPr>
          <w:rFonts w:cstheme="minorHAnsi"/>
          <w:szCs w:val="20"/>
        </w:rPr>
      </w:pPr>
    </w:p>
    <w:p w14:paraId="64BEDB81" w14:textId="280F3C32" w:rsidR="00377D67" w:rsidRDefault="00377D67" w:rsidP="00556112">
      <w:pPr>
        <w:spacing w:before="40" w:after="40"/>
        <w:rPr>
          <w:rFonts w:cstheme="minorHAnsi"/>
          <w:szCs w:val="20"/>
        </w:rPr>
      </w:pPr>
      <w:r>
        <w:rPr>
          <w:rFonts w:cstheme="minorHAnsi"/>
          <w:szCs w:val="20"/>
        </w:rPr>
        <w:t xml:space="preserve">Due to no updates to those particular items above, significant changes to the methodology were not made. DEER interactive values and hours of use (HOU) were updated based on the DEER 2016 lighting summary. </w:t>
      </w:r>
    </w:p>
    <w:p w14:paraId="6B8513F7" w14:textId="77777777" w:rsidR="00377D67" w:rsidRDefault="00377D67" w:rsidP="00556112">
      <w:pPr>
        <w:spacing w:before="40" w:after="40"/>
        <w:rPr>
          <w:rFonts w:cstheme="minorHAnsi"/>
          <w:szCs w:val="20"/>
        </w:rPr>
      </w:pPr>
    </w:p>
    <w:p w14:paraId="6B5BE7B5" w14:textId="494DCF7B" w:rsidR="00377D67" w:rsidRDefault="00377D67" w:rsidP="00556112">
      <w:pPr>
        <w:spacing w:before="40" w:after="40"/>
        <w:rPr>
          <w:rFonts w:cstheme="minorHAnsi"/>
          <w:szCs w:val="20"/>
        </w:rPr>
      </w:pPr>
      <w:r>
        <w:rPr>
          <w:rFonts w:cstheme="minorHAnsi"/>
          <w:szCs w:val="20"/>
        </w:rPr>
        <w:t xml:space="preserve">Note that the savings for building type Lodging – </w:t>
      </w:r>
      <w:r w:rsidR="00F07C6A">
        <w:rPr>
          <w:rFonts w:cstheme="minorHAnsi"/>
          <w:szCs w:val="20"/>
        </w:rPr>
        <w:t>G</w:t>
      </w:r>
      <w:r>
        <w:rPr>
          <w:rFonts w:cstheme="minorHAnsi"/>
          <w:szCs w:val="20"/>
        </w:rPr>
        <w:t xml:space="preserve">uest </w:t>
      </w:r>
      <w:r w:rsidR="00F07C6A">
        <w:rPr>
          <w:rFonts w:cstheme="minorHAnsi"/>
          <w:szCs w:val="20"/>
        </w:rPr>
        <w:t>R</w:t>
      </w:r>
      <w:r>
        <w:rPr>
          <w:rFonts w:cstheme="minorHAnsi"/>
          <w:szCs w:val="20"/>
        </w:rPr>
        <w:t>oom (GsR) are the same as building type Motel.</w:t>
      </w:r>
    </w:p>
    <w:p w14:paraId="113B6574" w14:textId="77777777" w:rsidR="00556112" w:rsidRDefault="00556112" w:rsidP="00556112">
      <w:pPr>
        <w:pStyle w:val="Heading2"/>
        <w:keepNext w:val="0"/>
        <w:rPr>
          <w:rFonts w:asciiTheme="minorHAnsi" w:hAnsiTheme="minorHAnsi" w:cstheme="minorHAnsi"/>
        </w:rPr>
      </w:pPr>
      <w:r>
        <w:rPr>
          <w:rFonts w:asciiTheme="minorHAnsi" w:hAnsiTheme="minorHAnsi" w:cstheme="minorHAnsi"/>
        </w:rPr>
        <w:t xml:space="preserve">Energy Savings Methodology for ED Weighted Building Type </w:t>
      </w:r>
    </w:p>
    <w:p w14:paraId="2EAFBC5A" w14:textId="77777777" w:rsidR="00556112" w:rsidRDefault="00556112" w:rsidP="00556112">
      <w:pPr>
        <w:pStyle w:val="Heading2"/>
        <w:keepNext w:val="0"/>
        <w:rPr>
          <w:rFonts w:asciiTheme="minorHAnsi" w:hAnsiTheme="minorHAnsi" w:cstheme="minorHAnsi"/>
        </w:rPr>
      </w:pPr>
      <w:r>
        <w:rPr>
          <w:rFonts w:asciiTheme="minorHAnsi" w:hAnsiTheme="minorHAnsi" w:cstheme="minorHAnsi"/>
        </w:rPr>
        <w:t>Per Sensor</w:t>
      </w:r>
    </w:p>
    <w:p w14:paraId="26D99ECA" w14:textId="77777777" w:rsidR="00556112" w:rsidRDefault="00556112" w:rsidP="00556112">
      <w:pPr>
        <w:rPr>
          <w:rFonts w:cstheme="minorHAnsi"/>
          <w:szCs w:val="22"/>
        </w:rPr>
      </w:pPr>
      <w:r>
        <w:rPr>
          <w:rFonts w:cstheme="minorHAnsi"/>
          <w:szCs w:val="22"/>
        </w:rPr>
        <w:t xml:space="preserve">The annual energy savings is the product of the annual hours of use, energy interactive effects (EIE), occupancy sensor percent time off (PTO), and controlled kW as shown in </w:t>
      </w:r>
      <w:r>
        <w:rPr>
          <w:rFonts w:cstheme="minorHAnsi"/>
          <w:szCs w:val="22"/>
        </w:rPr>
        <w:fldChar w:fldCharType="begin"/>
      </w:r>
      <w:r>
        <w:rPr>
          <w:rFonts w:cstheme="minorHAnsi"/>
          <w:szCs w:val="22"/>
        </w:rPr>
        <w:instrText xml:space="preserve"> REF _Ref382990844 \h </w:instrText>
      </w:r>
      <w:r>
        <w:rPr>
          <w:rFonts w:cstheme="minorHAnsi"/>
          <w:szCs w:val="22"/>
        </w:rPr>
      </w:r>
      <w:r>
        <w:rPr>
          <w:rFonts w:cstheme="minorHAnsi"/>
          <w:szCs w:val="22"/>
        </w:rPr>
        <w:fldChar w:fldCharType="separate"/>
      </w:r>
      <w:r>
        <w:rPr>
          <w:szCs w:val="22"/>
        </w:rPr>
        <w:t xml:space="preserve">Equation </w:t>
      </w:r>
      <w:r>
        <w:rPr>
          <w:noProof/>
          <w:szCs w:val="22"/>
        </w:rPr>
        <w:t>1</w:t>
      </w:r>
      <w:r>
        <w:rPr>
          <w:rFonts w:cstheme="minorHAnsi"/>
          <w:szCs w:val="22"/>
        </w:rPr>
        <w:fldChar w:fldCharType="end"/>
      </w:r>
      <w:r>
        <w:rPr>
          <w:rFonts w:cstheme="minorHAnsi"/>
          <w:szCs w:val="22"/>
        </w:rPr>
        <w:t>.</w:t>
      </w:r>
    </w:p>
    <w:p w14:paraId="05AD79E9" w14:textId="77777777" w:rsidR="00556112" w:rsidRDefault="00556112" w:rsidP="00556112">
      <w:pPr>
        <w:rPr>
          <w:rFonts w:ascii="Times New Roman" w:hAnsi="Times New Roman"/>
          <w:sz w:val="24"/>
        </w:rPr>
      </w:pPr>
    </w:p>
    <w:p w14:paraId="6B2AA0E8" w14:textId="77777777" w:rsidR="00556112" w:rsidRDefault="00556112" w:rsidP="00556112">
      <w:pPr>
        <w:pStyle w:val="Caption"/>
        <w:rPr>
          <w:szCs w:val="22"/>
        </w:rPr>
      </w:pPr>
      <w:bookmarkStart w:id="12" w:name="_Ref382990844"/>
      <w:r>
        <w:rPr>
          <w:szCs w:val="22"/>
        </w:rPr>
        <w:t xml:space="preserve">Equation </w:t>
      </w:r>
      <w:r>
        <w:fldChar w:fldCharType="begin"/>
      </w:r>
      <w:r>
        <w:rPr>
          <w:szCs w:val="22"/>
        </w:rPr>
        <w:instrText xml:space="preserve"> SEQ Equation \* ARABIC </w:instrText>
      </w:r>
      <w:r>
        <w:fldChar w:fldCharType="separate"/>
      </w:r>
      <w:r>
        <w:rPr>
          <w:noProof/>
          <w:szCs w:val="22"/>
        </w:rPr>
        <w:t>1</w:t>
      </w:r>
      <w:r>
        <w:fldChar w:fldCharType="end"/>
      </w:r>
      <w:bookmarkEnd w:id="12"/>
    </w:p>
    <w:p w14:paraId="5D6BC623" w14:textId="7CAD6965" w:rsidR="00556112" w:rsidRDefault="0081480F" w:rsidP="00556112">
      <w:pPr>
        <w:pStyle w:val="Caption"/>
        <w:rPr>
          <w:rFonts w:cstheme="minorHAnsi"/>
          <w:szCs w:val="22"/>
        </w:rPr>
      </w:pPr>
      <w:r w:rsidRPr="00A80016">
        <w:rPr>
          <w:rFonts w:cstheme="minorHAnsi"/>
          <w:position w:val="-30"/>
          <w:szCs w:val="22"/>
        </w:rPr>
        <w:object w:dxaOrig="6940" w:dyaOrig="720" w14:anchorId="739C79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4pt;height:39pt" o:ole="">
            <v:imagedata r:id="rId11" o:title=""/>
          </v:shape>
          <o:OLEObject Type="Embed" ProgID="Equation.3" ShapeID="_x0000_i1025" DrawAspect="Content" ObjectID="_1544614778" r:id="rId12"/>
        </w:object>
      </w:r>
      <w:r w:rsidR="00556112">
        <w:rPr>
          <w:rFonts w:cstheme="minorHAnsi"/>
          <w:szCs w:val="22"/>
        </w:rPr>
        <w:t xml:space="preserve"> </w:t>
      </w:r>
    </w:p>
    <w:p w14:paraId="0A9D0F40" w14:textId="77777777" w:rsidR="00556112" w:rsidRDefault="00556112" w:rsidP="00556112">
      <w:pPr>
        <w:rPr>
          <w:rFonts w:cstheme="minorHAnsi"/>
          <w:szCs w:val="22"/>
        </w:rPr>
      </w:pPr>
    </w:p>
    <w:p w14:paraId="465EB842" w14:textId="0D96B8A5" w:rsidR="00556112" w:rsidRDefault="00556112" w:rsidP="00556112">
      <w:pPr>
        <w:rPr>
          <w:rFonts w:cstheme="minorHAnsi"/>
          <w:szCs w:val="22"/>
        </w:rPr>
      </w:pPr>
      <w:r>
        <w:rPr>
          <w:rFonts w:cstheme="minorHAnsi"/>
          <w:szCs w:val="22"/>
        </w:rPr>
        <w:t xml:space="preserve">The energy savings vary by solution code, building type, and climate zone because of different values for controlled wattage, operating hours, percent time off, and interactive effects. For example, </w:t>
      </w:r>
      <w:r>
        <w:rPr>
          <w:rFonts w:cstheme="minorHAnsi"/>
          <w:szCs w:val="22"/>
        </w:rPr>
        <w:fldChar w:fldCharType="begin"/>
      </w:r>
      <w:r>
        <w:rPr>
          <w:rFonts w:cstheme="minorHAnsi"/>
          <w:szCs w:val="22"/>
        </w:rPr>
        <w:instrText xml:space="preserve"> REF _Ref383068730 \h </w:instrText>
      </w:r>
      <w:r>
        <w:rPr>
          <w:rFonts w:cstheme="minorHAnsi"/>
          <w:szCs w:val="22"/>
        </w:rPr>
      </w:r>
      <w:r>
        <w:rPr>
          <w:rFonts w:cstheme="minorHAnsi"/>
          <w:szCs w:val="22"/>
        </w:rPr>
        <w:fldChar w:fldCharType="separate"/>
      </w:r>
      <w:r>
        <w:rPr>
          <w:szCs w:val="22"/>
        </w:rPr>
        <w:t xml:space="preserve">Equation </w:t>
      </w:r>
      <w:r>
        <w:rPr>
          <w:noProof/>
          <w:szCs w:val="22"/>
        </w:rPr>
        <w:t>2</w:t>
      </w:r>
      <w:r>
        <w:rPr>
          <w:rFonts w:cstheme="minorHAnsi"/>
          <w:szCs w:val="22"/>
        </w:rPr>
        <w:fldChar w:fldCharType="end"/>
      </w:r>
      <w:r>
        <w:rPr>
          <w:rFonts w:cstheme="minorHAnsi"/>
          <w:szCs w:val="22"/>
        </w:rPr>
        <w:t xml:space="preserve"> </w:t>
      </w:r>
      <w:r>
        <w:rPr>
          <w:rFonts w:cstheme="minorHAnsi"/>
          <w:szCs w:val="22"/>
        </w:rPr>
        <w:lastRenderedPageBreak/>
        <w:t xml:space="preserve">shows the calculation for a sensor controlling less than 150 Watts in an Assembly building located in climate zone 6. The operating hours and interactive effects values were taken from DEER </w:t>
      </w:r>
      <w:r w:rsidR="00D44FB0">
        <w:rPr>
          <w:rFonts w:cstheme="minorHAnsi"/>
          <w:szCs w:val="22"/>
        </w:rPr>
        <w:t>201</w:t>
      </w:r>
      <w:r w:rsidR="00A80016">
        <w:rPr>
          <w:rFonts w:cstheme="minorHAnsi"/>
          <w:szCs w:val="22"/>
        </w:rPr>
        <w:t>7</w:t>
      </w:r>
    </w:p>
    <w:p w14:paraId="3ACF83AF" w14:textId="77777777" w:rsidR="00556112" w:rsidRDefault="00556112" w:rsidP="00556112">
      <w:pPr>
        <w:pStyle w:val="Caption"/>
        <w:rPr>
          <w:rFonts w:cstheme="minorHAnsi"/>
          <w:szCs w:val="22"/>
        </w:rPr>
      </w:pPr>
    </w:p>
    <w:p w14:paraId="45FBA3E5" w14:textId="77777777" w:rsidR="00556112" w:rsidRDefault="00556112" w:rsidP="00556112">
      <w:pPr>
        <w:pStyle w:val="Caption"/>
        <w:rPr>
          <w:szCs w:val="22"/>
        </w:rPr>
      </w:pPr>
      <w:bookmarkStart w:id="13" w:name="_Ref383068730"/>
      <w:r>
        <w:rPr>
          <w:szCs w:val="22"/>
        </w:rPr>
        <w:t xml:space="preserve">Equation </w:t>
      </w:r>
      <w:r>
        <w:fldChar w:fldCharType="begin"/>
      </w:r>
      <w:r>
        <w:rPr>
          <w:szCs w:val="22"/>
        </w:rPr>
        <w:instrText xml:space="preserve"> SEQ Equation \* ARABIC </w:instrText>
      </w:r>
      <w:r>
        <w:fldChar w:fldCharType="separate"/>
      </w:r>
      <w:r>
        <w:rPr>
          <w:noProof/>
          <w:szCs w:val="22"/>
        </w:rPr>
        <w:t>2</w:t>
      </w:r>
      <w:r>
        <w:fldChar w:fldCharType="end"/>
      </w:r>
      <w:bookmarkEnd w:id="13"/>
    </w:p>
    <w:p w14:paraId="52659F9D" w14:textId="77777777" w:rsidR="00556112" w:rsidRDefault="00556112" w:rsidP="00556112">
      <w:pPr>
        <w:pStyle w:val="Caption"/>
        <w:tabs>
          <w:tab w:val="right" w:pos="9360"/>
        </w:tabs>
        <w:rPr>
          <w:rFonts w:cstheme="minorHAnsi"/>
          <w:szCs w:val="22"/>
        </w:rPr>
      </w:pPr>
    </w:p>
    <w:p w14:paraId="445E06D5" w14:textId="66CE383B" w:rsidR="00FC77F5" w:rsidRPr="00FC77F5" w:rsidRDefault="00FC77F5" w:rsidP="00FC77F5">
      <m:oMathPara>
        <m:oMathParaPr>
          <m:jc m:val="left"/>
        </m:oMathParaPr>
        <m:oMath>
          <m:r>
            <w:rPr>
              <w:rFonts w:ascii="Cambria Math" w:hAnsi="Cambria Math"/>
            </w:rPr>
            <m:t xml:space="preserve">Energy Savings </m:t>
          </m:r>
          <m:d>
            <m:dPr>
              <m:begChr m:val="["/>
              <m:endChr m:val="]"/>
              <m:ctrlPr>
                <w:rPr>
                  <w:rFonts w:ascii="Cambria Math" w:hAnsi="Cambria Math"/>
                  <w:i/>
                </w:rPr>
              </m:ctrlPr>
            </m:dPr>
            <m:e>
              <m:f>
                <m:fPr>
                  <m:ctrlPr>
                    <w:rPr>
                      <w:rFonts w:ascii="Cambria Math" w:hAnsi="Cambria Math"/>
                      <w:i/>
                    </w:rPr>
                  </m:ctrlPr>
                </m:fPr>
                <m:num>
                  <m:r>
                    <w:rPr>
                      <w:rFonts w:ascii="Cambria Math" w:hAnsi="Cambria Math"/>
                    </w:rPr>
                    <m:t>kWh</m:t>
                  </m:r>
                </m:num>
                <m:den>
                  <m:r>
                    <w:rPr>
                      <w:rFonts w:ascii="Cambria Math" w:hAnsi="Cambria Math"/>
                    </w:rPr>
                    <m:t>year</m:t>
                  </m:r>
                </m:den>
              </m:f>
            </m:e>
          </m:d>
          <m:r>
            <w:rPr>
              <w:rFonts w:ascii="Cambria Math" w:hAnsi="Cambria Math"/>
            </w:rPr>
            <m:t>=1670</m:t>
          </m:r>
          <m:f>
            <m:fPr>
              <m:ctrlPr>
                <w:rPr>
                  <w:rFonts w:ascii="Cambria Math" w:hAnsi="Cambria Math"/>
                  <w:i/>
                </w:rPr>
              </m:ctrlPr>
            </m:fPr>
            <m:num>
              <m:r>
                <w:rPr>
                  <w:rFonts w:ascii="Cambria Math" w:hAnsi="Cambria Math"/>
                </w:rPr>
                <m:t>hrs</m:t>
              </m:r>
            </m:num>
            <m:den>
              <m:r>
                <w:rPr>
                  <w:rFonts w:ascii="Cambria Math" w:hAnsi="Cambria Math"/>
                </w:rPr>
                <m:t>yr</m:t>
              </m:r>
            </m:den>
          </m:f>
          <m:r>
            <w:rPr>
              <w:rFonts w:ascii="Cambria Math" w:hAnsi="Cambria Math"/>
            </w:rPr>
            <m:t>x 19.91% x 1.1 x 0.059 kW=21.58 kWh</m:t>
          </m:r>
        </m:oMath>
      </m:oMathPara>
    </w:p>
    <w:p w14:paraId="1FA91E08" w14:textId="77777777" w:rsidR="00556112" w:rsidRDefault="00556112" w:rsidP="00556112">
      <w:pPr>
        <w:pStyle w:val="Heading2"/>
        <w:keepNext w:val="0"/>
        <w:rPr>
          <w:rFonts w:asciiTheme="minorHAnsi" w:hAnsiTheme="minorHAnsi" w:cstheme="minorHAnsi"/>
        </w:rPr>
      </w:pPr>
      <w:r>
        <w:rPr>
          <w:rFonts w:asciiTheme="minorHAnsi" w:hAnsiTheme="minorHAnsi" w:cstheme="minorHAnsi"/>
        </w:rPr>
        <w:t xml:space="preserve">Demand Reduction Methodology for ED Weighted Building Type </w:t>
      </w:r>
    </w:p>
    <w:p w14:paraId="35F1E423" w14:textId="77777777" w:rsidR="00556112" w:rsidRDefault="00556112" w:rsidP="00556112">
      <w:pPr>
        <w:pStyle w:val="Heading2"/>
        <w:keepNext w:val="0"/>
        <w:rPr>
          <w:rFonts w:asciiTheme="minorHAnsi" w:hAnsiTheme="minorHAnsi" w:cstheme="minorHAnsi"/>
        </w:rPr>
      </w:pPr>
      <w:r>
        <w:rPr>
          <w:rFonts w:asciiTheme="minorHAnsi" w:hAnsiTheme="minorHAnsi" w:cstheme="minorHAnsi"/>
        </w:rPr>
        <w:t>Per Sensor</w:t>
      </w:r>
    </w:p>
    <w:p w14:paraId="1BC9D448" w14:textId="77777777" w:rsidR="00556112" w:rsidRDefault="00556112" w:rsidP="00556112">
      <w:pPr>
        <w:rPr>
          <w:rFonts w:cstheme="minorHAnsi"/>
          <w:szCs w:val="22"/>
        </w:rPr>
      </w:pPr>
      <w:r>
        <w:rPr>
          <w:rFonts w:cstheme="minorHAnsi"/>
          <w:szCs w:val="22"/>
        </w:rPr>
        <w:t xml:space="preserve">The demand reduction per sensor is the product of the controlled kW, interactive effects (DIE), and lighting peak demand reduction factor as shown in </w:t>
      </w:r>
      <w:r>
        <w:rPr>
          <w:rFonts w:cstheme="minorHAnsi"/>
          <w:szCs w:val="22"/>
        </w:rPr>
        <w:fldChar w:fldCharType="begin"/>
      </w:r>
      <w:r>
        <w:rPr>
          <w:rFonts w:cstheme="minorHAnsi"/>
          <w:szCs w:val="22"/>
        </w:rPr>
        <w:instrText xml:space="preserve"> REF _Ref382991575 \h  \* MERGEFORMAT </w:instrText>
      </w:r>
      <w:r>
        <w:rPr>
          <w:rFonts w:cstheme="minorHAnsi"/>
          <w:szCs w:val="22"/>
        </w:rPr>
      </w:r>
      <w:r>
        <w:rPr>
          <w:rFonts w:cstheme="minorHAnsi"/>
          <w:szCs w:val="22"/>
        </w:rPr>
        <w:fldChar w:fldCharType="separate"/>
      </w:r>
      <w:r>
        <w:t xml:space="preserve">Equation </w:t>
      </w:r>
      <w:r>
        <w:rPr>
          <w:noProof/>
        </w:rPr>
        <w:t>3</w:t>
      </w:r>
      <w:r>
        <w:rPr>
          <w:rFonts w:cstheme="minorHAnsi"/>
          <w:szCs w:val="22"/>
        </w:rPr>
        <w:fldChar w:fldCharType="end"/>
      </w:r>
      <w:r>
        <w:rPr>
          <w:rFonts w:cstheme="minorHAnsi"/>
          <w:szCs w:val="22"/>
        </w:rPr>
        <w:t>.</w:t>
      </w:r>
    </w:p>
    <w:p w14:paraId="28E17F29" w14:textId="77777777" w:rsidR="00556112" w:rsidRDefault="00556112" w:rsidP="00556112">
      <w:pPr>
        <w:rPr>
          <w:rFonts w:cstheme="minorHAnsi"/>
          <w:szCs w:val="22"/>
        </w:rPr>
      </w:pPr>
    </w:p>
    <w:p w14:paraId="166248AE" w14:textId="781FBD49" w:rsidR="00556112" w:rsidRDefault="00556112" w:rsidP="00FC77F5">
      <w:pPr>
        <w:rPr>
          <w:rFonts w:cstheme="minorHAnsi"/>
          <w:szCs w:val="22"/>
        </w:rPr>
      </w:pPr>
      <w:bookmarkStart w:id="14" w:name="_Ref382991575"/>
      <w:r>
        <w:t xml:space="preserve">Equation </w:t>
      </w:r>
      <w:r w:rsidR="00B71843">
        <w:fldChar w:fldCharType="begin"/>
      </w:r>
      <w:r w:rsidR="00B71843">
        <w:instrText xml:space="preserve"> SEQ Equation \* ARABIC </w:instrText>
      </w:r>
      <w:r w:rsidR="00B71843">
        <w:fldChar w:fldCharType="separate"/>
      </w:r>
      <w:r>
        <w:rPr>
          <w:noProof/>
        </w:rPr>
        <w:t>3</w:t>
      </w:r>
      <w:r w:rsidR="00B71843">
        <w:rPr>
          <w:noProof/>
        </w:rPr>
        <w:fldChar w:fldCharType="end"/>
      </w:r>
      <w:bookmarkEnd w:id="14"/>
    </w:p>
    <w:p w14:paraId="0FA74D93" w14:textId="0A8F7FC9" w:rsidR="00FC77F5" w:rsidRPr="00FC77F5" w:rsidRDefault="00FC77F5" w:rsidP="00556112">
      <w:pPr>
        <w:rPr>
          <w:rFonts w:cstheme="minorHAnsi"/>
          <w:szCs w:val="22"/>
        </w:rPr>
      </w:pPr>
      <m:oMathPara>
        <m:oMathParaPr>
          <m:jc m:val="left"/>
        </m:oMathParaPr>
        <m:oMath>
          <m:r>
            <w:rPr>
              <w:rFonts w:ascii="Cambria Math" w:hAnsi="Cambria Math" w:cstheme="minorHAnsi"/>
              <w:szCs w:val="22"/>
            </w:rPr>
            <m:t xml:space="preserve">  Demand 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Sensor</m:t>
                  </m:r>
                </m:den>
              </m:f>
            </m:e>
          </m:d>
          <m:r>
            <w:rPr>
              <w:rFonts w:ascii="Cambria Math" w:hAnsi="Cambria Math" w:cstheme="minorHAnsi"/>
              <w:szCs w:val="22"/>
            </w:rPr>
            <m:t>=DIE x Fraction of Usage Reduction Factor x kW_Controlled</m:t>
          </m:r>
        </m:oMath>
      </m:oMathPara>
    </w:p>
    <w:p w14:paraId="538AFD12" w14:textId="77777777" w:rsidR="00556112" w:rsidRDefault="00556112" w:rsidP="00556112">
      <w:pPr>
        <w:rPr>
          <w:rFonts w:ascii="Times New Roman" w:hAnsi="Times New Roman"/>
          <w:sz w:val="24"/>
        </w:rPr>
      </w:pPr>
    </w:p>
    <w:p w14:paraId="161B8EC8" w14:textId="77777777" w:rsidR="00556112" w:rsidRDefault="00556112" w:rsidP="00556112">
      <w:pPr>
        <w:rPr>
          <w:rFonts w:cstheme="minorHAnsi"/>
          <w:szCs w:val="22"/>
        </w:rPr>
      </w:pPr>
      <w:r>
        <w:rPr>
          <w:rFonts w:cstheme="minorHAnsi"/>
          <w:szCs w:val="22"/>
        </w:rPr>
        <w:t xml:space="preserve">As with the energy savings, the demand reduction varies by solution code, building type, and climate zone because of different values for controlled wattage, interactive effects, and peak demand reduction. For example, </w:t>
      </w:r>
      <w:r>
        <w:rPr>
          <w:rFonts w:cstheme="minorHAnsi"/>
          <w:szCs w:val="22"/>
        </w:rPr>
        <w:fldChar w:fldCharType="begin"/>
      </w:r>
      <w:r>
        <w:rPr>
          <w:rFonts w:cstheme="minorHAnsi"/>
          <w:szCs w:val="22"/>
        </w:rPr>
        <w:instrText xml:space="preserve"> REF _Ref383068782 \h  \* MERGEFORMAT </w:instrText>
      </w:r>
      <w:r>
        <w:rPr>
          <w:rFonts w:cstheme="minorHAnsi"/>
          <w:szCs w:val="22"/>
        </w:rPr>
      </w:r>
      <w:r>
        <w:rPr>
          <w:rFonts w:cstheme="minorHAnsi"/>
          <w:szCs w:val="22"/>
        </w:rPr>
        <w:fldChar w:fldCharType="separate"/>
      </w:r>
      <w:r>
        <w:t xml:space="preserve">Equation </w:t>
      </w:r>
      <w:r>
        <w:rPr>
          <w:noProof/>
        </w:rPr>
        <w:t>4</w:t>
      </w:r>
      <w:r>
        <w:rPr>
          <w:rFonts w:cstheme="minorHAnsi"/>
          <w:szCs w:val="22"/>
        </w:rPr>
        <w:fldChar w:fldCharType="end"/>
      </w:r>
      <w:r>
        <w:rPr>
          <w:rFonts w:cstheme="minorHAnsi"/>
          <w:szCs w:val="22"/>
        </w:rPr>
        <w:t xml:space="preserve"> shows the calculation for a sensor controlling less than 150 Watts in an Assembly building type located in climate zone 6. </w:t>
      </w:r>
    </w:p>
    <w:p w14:paraId="3A415012" w14:textId="77777777" w:rsidR="00556112" w:rsidRDefault="00556112" w:rsidP="00556112">
      <w:pPr>
        <w:rPr>
          <w:rFonts w:cstheme="minorHAnsi"/>
          <w:szCs w:val="22"/>
        </w:rPr>
      </w:pPr>
    </w:p>
    <w:p w14:paraId="76A98BF7" w14:textId="77777777" w:rsidR="00556112" w:rsidRDefault="00556112" w:rsidP="00556112">
      <w:pPr>
        <w:pStyle w:val="Caption"/>
      </w:pPr>
      <w:bookmarkStart w:id="15" w:name="_Ref383068782"/>
      <w:r>
        <w:t xml:space="preserve">Equation </w:t>
      </w:r>
      <w:r w:rsidR="00B71843">
        <w:fldChar w:fldCharType="begin"/>
      </w:r>
      <w:r w:rsidR="00B71843">
        <w:instrText xml:space="preserve"> SEQ Equation \* ARABIC </w:instrText>
      </w:r>
      <w:r w:rsidR="00B71843">
        <w:fldChar w:fldCharType="separate"/>
      </w:r>
      <w:r>
        <w:rPr>
          <w:noProof/>
        </w:rPr>
        <w:t>4</w:t>
      </w:r>
      <w:r w:rsidR="00B71843">
        <w:rPr>
          <w:noProof/>
        </w:rPr>
        <w:fldChar w:fldCharType="end"/>
      </w:r>
      <w:bookmarkEnd w:id="15"/>
    </w:p>
    <w:p w14:paraId="616B833B" w14:textId="74AD9A9E" w:rsidR="00556112" w:rsidRDefault="00556112" w:rsidP="00556112">
      <w:pPr>
        <w:rPr>
          <w:rFonts w:cstheme="minorHAnsi"/>
          <w:szCs w:val="22"/>
        </w:rPr>
      </w:pPr>
    </w:p>
    <w:p w14:paraId="232D4DB0" w14:textId="1CA7B2A2" w:rsidR="00FC77F5" w:rsidRPr="00FC77F5" w:rsidRDefault="00FC77F5" w:rsidP="00556112">
      <w:pPr>
        <w:rPr>
          <w:rFonts w:ascii="Times New Roman" w:hAnsi="Times New Roman"/>
          <w:sz w:val="24"/>
        </w:rPr>
      </w:pPr>
      <m:oMathPara>
        <m:oMathParaPr>
          <m:jc m:val="left"/>
        </m:oMathParaPr>
        <m:oMath>
          <m:r>
            <w:rPr>
              <w:rFonts w:ascii="Cambria Math" w:hAnsi="Cambria Math"/>
              <w:sz w:val="24"/>
            </w:rPr>
            <m:t xml:space="preserve">Demand Savings </m:t>
          </m:r>
          <m:d>
            <m:dPr>
              <m:begChr m:val="["/>
              <m:endChr m:val="]"/>
              <m:ctrlPr>
                <w:rPr>
                  <w:rFonts w:ascii="Cambria Math" w:hAnsi="Cambria Math"/>
                  <w:i/>
                  <w:sz w:val="24"/>
                </w:rPr>
              </m:ctrlPr>
            </m:dPr>
            <m:e>
              <m:f>
                <m:fPr>
                  <m:ctrlPr>
                    <w:rPr>
                      <w:rFonts w:ascii="Cambria Math" w:hAnsi="Cambria Math"/>
                      <w:i/>
                      <w:sz w:val="24"/>
                    </w:rPr>
                  </m:ctrlPr>
                </m:fPr>
                <m:num>
                  <m:r>
                    <w:rPr>
                      <w:rFonts w:ascii="Cambria Math" w:hAnsi="Cambria Math"/>
                      <w:sz w:val="24"/>
                    </w:rPr>
                    <m:t>kW</m:t>
                  </m:r>
                </m:num>
                <m:den>
                  <m:r>
                    <w:rPr>
                      <w:rFonts w:ascii="Cambria Math" w:hAnsi="Cambria Math"/>
                      <w:sz w:val="24"/>
                    </w:rPr>
                    <m:t>Sensor</m:t>
                  </m:r>
                </m:den>
              </m:f>
            </m:e>
          </m:d>
          <m:r>
            <w:rPr>
              <w:rFonts w:ascii="Cambria Math" w:hAnsi="Cambria Math"/>
              <w:sz w:val="24"/>
            </w:rPr>
            <m:t>=1.23 x 0.077265 x 0.059=0.0056</m:t>
          </m:r>
        </m:oMath>
      </m:oMathPara>
    </w:p>
    <w:p w14:paraId="74965C0D" w14:textId="43119E67" w:rsidR="00556112" w:rsidRDefault="00556112" w:rsidP="00556112">
      <w:pPr>
        <w:rPr>
          <w:rFonts w:cstheme="minorHAnsi"/>
          <w:szCs w:val="22"/>
        </w:rPr>
      </w:pPr>
      <w:r>
        <w:rPr>
          <w:rFonts w:cstheme="minorHAnsi"/>
          <w:szCs w:val="22"/>
        </w:rPr>
        <w:t xml:space="preserve">The calculation spreadsheet attached at the end of this document </w:t>
      </w:r>
      <w:r w:rsidR="00E56608">
        <w:rPr>
          <w:rFonts w:cstheme="minorHAnsi"/>
          <w:szCs w:val="22"/>
        </w:rPr>
        <w:t xml:space="preserve">(Attachment 1) </w:t>
      </w:r>
      <w:r>
        <w:rPr>
          <w:rFonts w:cstheme="minorHAnsi"/>
          <w:szCs w:val="22"/>
        </w:rPr>
        <w:t xml:space="preserve">shows the calculation for all the permutations of solution code, building type, and climate zone. </w:t>
      </w:r>
    </w:p>
    <w:p w14:paraId="6C7EC920" w14:textId="49C926A2" w:rsidR="00E16609" w:rsidRPr="00500C4E" w:rsidRDefault="00E16609" w:rsidP="00E16609">
      <w:pPr>
        <w:pStyle w:val="Heading1"/>
        <w:keepNext w:val="0"/>
        <w:rPr>
          <w:rFonts w:cstheme="minorHAnsi"/>
        </w:rPr>
      </w:pPr>
      <w:bookmarkStart w:id="16"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3AB237A6" w14:textId="77777777" w:rsidR="00556112" w:rsidRPr="00500C4E" w:rsidRDefault="00556112" w:rsidP="00E16609">
      <w:pPr>
        <w:rPr>
          <w:rFonts w:cstheme="minorHAnsi"/>
          <w:szCs w:val="22"/>
        </w:rPr>
      </w:pP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556112" w14:paraId="32B882AF" w14:textId="77777777" w:rsidTr="00556112">
        <w:tc>
          <w:tcPr>
            <w:tcW w:w="1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EE3653" w14:textId="77777777" w:rsidR="00556112" w:rsidRDefault="00556112">
            <w:pPr>
              <w:rPr>
                <w:rFonts w:cstheme="minorHAnsi"/>
                <w:b/>
                <w:szCs w:val="20"/>
                <w:highlight w:val="yellow"/>
              </w:rPr>
            </w:pPr>
            <w:r>
              <w:rPr>
                <w:rFonts w:cstheme="minorHAnsi"/>
                <w:b/>
                <w:szCs w:val="20"/>
              </w:rPr>
              <w:t>Building Type</w:t>
            </w:r>
          </w:p>
        </w:tc>
        <w:tc>
          <w:tcPr>
            <w:tcW w:w="177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A6D27E" w14:textId="77777777" w:rsidR="00556112" w:rsidRDefault="00556112">
            <w:pPr>
              <w:rPr>
                <w:rFonts w:cstheme="minorHAnsi"/>
                <w:b/>
                <w:szCs w:val="20"/>
              </w:rPr>
            </w:pPr>
            <w:r>
              <w:rPr>
                <w:rFonts w:cstheme="minorHAnsi"/>
                <w:b/>
                <w:szCs w:val="20"/>
              </w:rPr>
              <w:t>Load Shape</w:t>
            </w:r>
          </w:p>
        </w:tc>
        <w:tc>
          <w:tcPr>
            <w:tcW w:w="1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E5D210" w14:textId="77777777" w:rsidR="00556112" w:rsidRDefault="00556112">
            <w:pPr>
              <w:rPr>
                <w:rFonts w:cstheme="minorHAnsi"/>
                <w:b/>
                <w:szCs w:val="20"/>
                <w:highlight w:val="yellow"/>
              </w:rPr>
            </w:pPr>
            <w:r>
              <w:rPr>
                <w:rFonts w:cstheme="minorHAnsi"/>
                <w:b/>
                <w:szCs w:val="20"/>
              </w:rPr>
              <w:t>E3 Alternate Building Type</w:t>
            </w:r>
          </w:p>
        </w:tc>
      </w:tr>
      <w:tr w:rsidR="00556112" w14:paraId="1050A3B9"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6B7A495D" w14:textId="77777777" w:rsidR="00556112" w:rsidRDefault="00556112">
            <w:pPr>
              <w:rPr>
                <w:rFonts w:cstheme="minorHAnsi"/>
                <w:color w:val="FF0000"/>
                <w:szCs w:val="20"/>
              </w:rPr>
            </w:pPr>
            <w:r>
              <w:rPr>
                <w:rFonts w:ascii="Calibri" w:hAnsi="Calibri" w:cs="Calibri"/>
                <w:szCs w:val="20"/>
              </w:rPr>
              <w:t>Assembly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D5D742A"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53E4102" w14:textId="77777777" w:rsidR="00556112" w:rsidRDefault="00556112">
            <w:pPr>
              <w:rPr>
                <w:rFonts w:cstheme="minorHAnsi"/>
                <w:color w:val="FF0000"/>
                <w:szCs w:val="20"/>
              </w:rPr>
            </w:pPr>
            <w:r>
              <w:rPr>
                <w:rFonts w:ascii="Calibri" w:hAnsi="Calibri"/>
                <w:color w:val="000000"/>
                <w:szCs w:val="22"/>
              </w:rPr>
              <w:t>Misc._Commercial</w:t>
            </w:r>
          </w:p>
        </w:tc>
      </w:tr>
      <w:tr w:rsidR="00556112" w14:paraId="428DCEDE"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00A5BA51" w14:textId="77777777" w:rsidR="00556112" w:rsidRDefault="00556112">
            <w:pPr>
              <w:rPr>
                <w:rFonts w:cstheme="minorHAnsi"/>
                <w:color w:val="FF0000"/>
                <w:szCs w:val="20"/>
              </w:rPr>
            </w:pPr>
            <w:r>
              <w:rPr>
                <w:rFonts w:ascii="Calibri" w:hAnsi="Calibri" w:cs="Calibri"/>
                <w:szCs w:val="20"/>
              </w:rPr>
              <w:t>Education - Primary School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0E95B30"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435C2F42" w14:textId="77777777" w:rsidR="00556112" w:rsidRDefault="00556112">
            <w:pPr>
              <w:rPr>
                <w:rFonts w:cstheme="minorHAnsi"/>
                <w:color w:val="FF0000"/>
                <w:szCs w:val="20"/>
              </w:rPr>
            </w:pPr>
            <w:r>
              <w:rPr>
                <w:rFonts w:ascii="Calibri" w:hAnsi="Calibri"/>
                <w:color w:val="000000"/>
                <w:szCs w:val="22"/>
              </w:rPr>
              <w:t>K_thru_12_School</w:t>
            </w:r>
          </w:p>
        </w:tc>
      </w:tr>
      <w:tr w:rsidR="00556112" w14:paraId="736A00E1"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5545F6F6" w14:textId="77777777" w:rsidR="00556112" w:rsidRDefault="00556112">
            <w:pPr>
              <w:rPr>
                <w:rFonts w:cstheme="minorHAnsi"/>
                <w:color w:val="FF0000"/>
                <w:szCs w:val="20"/>
              </w:rPr>
            </w:pPr>
            <w:r>
              <w:rPr>
                <w:rFonts w:ascii="Calibri" w:hAnsi="Calibri" w:cs="Calibri"/>
                <w:szCs w:val="20"/>
              </w:rPr>
              <w:t>Education - Secondary School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8200CD0"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098726A" w14:textId="77777777" w:rsidR="00556112" w:rsidRDefault="00556112">
            <w:pPr>
              <w:rPr>
                <w:rFonts w:cstheme="minorHAnsi"/>
                <w:color w:val="FF0000"/>
                <w:szCs w:val="20"/>
              </w:rPr>
            </w:pPr>
            <w:r>
              <w:rPr>
                <w:rFonts w:ascii="Calibri" w:hAnsi="Calibri"/>
                <w:color w:val="000000"/>
                <w:szCs w:val="22"/>
              </w:rPr>
              <w:t>K_thru_12_School</w:t>
            </w:r>
          </w:p>
        </w:tc>
      </w:tr>
      <w:tr w:rsidR="00556112" w14:paraId="43427B06"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44B0B6AB" w14:textId="77777777" w:rsidR="00556112" w:rsidRDefault="00556112">
            <w:pPr>
              <w:rPr>
                <w:rFonts w:cstheme="minorHAnsi"/>
                <w:color w:val="FF0000"/>
                <w:szCs w:val="20"/>
              </w:rPr>
            </w:pPr>
            <w:r>
              <w:rPr>
                <w:rFonts w:ascii="Calibri" w:hAnsi="Calibri" w:cs="Calibri"/>
                <w:szCs w:val="20"/>
              </w:rPr>
              <w:t>Education - Relocatable Classroom</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A5C97F6"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5D3E8A0A" w14:textId="77777777" w:rsidR="00556112" w:rsidRDefault="00556112">
            <w:pPr>
              <w:rPr>
                <w:rFonts w:cstheme="minorHAnsi"/>
                <w:color w:val="FF0000"/>
                <w:szCs w:val="20"/>
              </w:rPr>
            </w:pPr>
            <w:r>
              <w:rPr>
                <w:rFonts w:ascii="Calibri" w:hAnsi="Calibri"/>
                <w:color w:val="000000"/>
                <w:szCs w:val="22"/>
              </w:rPr>
              <w:t>K_thru_12_School</w:t>
            </w:r>
          </w:p>
        </w:tc>
      </w:tr>
      <w:tr w:rsidR="00556112" w14:paraId="2523BF45"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68766367" w14:textId="77777777" w:rsidR="00556112" w:rsidRDefault="00556112">
            <w:pPr>
              <w:rPr>
                <w:rFonts w:cstheme="minorHAnsi"/>
                <w:color w:val="FF0000"/>
                <w:szCs w:val="20"/>
              </w:rPr>
            </w:pPr>
            <w:r>
              <w:rPr>
                <w:rFonts w:ascii="Calibri" w:hAnsi="Calibri" w:cs="Calibri"/>
                <w:szCs w:val="20"/>
              </w:rPr>
              <w:t>Education - Community College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0D05889"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73E14BBE" w14:textId="77777777" w:rsidR="00556112" w:rsidRDefault="00556112">
            <w:pPr>
              <w:rPr>
                <w:rFonts w:cstheme="minorHAnsi"/>
                <w:color w:val="FF0000"/>
                <w:szCs w:val="20"/>
              </w:rPr>
            </w:pPr>
            <w:r>
              <w:rPr>
                <w:rFonts w:ascii="Calibri" w:hAnsi="Calibri"/>
                <w:color w:val="000000"/>
                <w:szCs w:val="22"/>
              </w:rPr>
              <w:t>K_thru_12_School</w:t>
            </w:r>
          </w:p>
        </w:tc>
      </w:tr>
      <w:tr w:rsidR="00556112" w14:paraId="58387103"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676D8EA9" w14:textId="77777777" w:rsidR="00556112" w:rsidRDefault="00556112">
            <w:pPr>
              <w:rPr>
                <w:rFonts w:cstheme="minorHAnsi"/>
                <w:color w:val="FF0000"/>
                <w:szCs w:val="20"/>
              </w:rPr>
            </w:pPr>
            <w:r>
              <w:rPr>
                <w:rFonts w:ascii="Calibri" w:hAnsi="Calibri" w:cs="Calibri"/>
                <w:szCs w:val="20"/>
              </w:rPr>
              <w:t>Education - University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106C601"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BE701AF" w14:textId="77777777" w:rsidR="00556112" w:rsidRDefault="00556112">
            <w:pPr>
              <w:rPr>
                <w:rFonts w:cstheme="minorHAnsi"/>
                <w:color w:val="FF0000"/>
                <w:szCs w:val="20"/>
              </w:rPr>
            </w:pPr>
            <w:r>
              <w:rPr>
                <w:rFonts w:ascii="Calibri" w:hAnsi="Calibri"/>
                <w:color w:val="000000"/>
                <w:szCs w:val="22"/>
              </w:rPr>
              <w:t>K_thru_12_School</w:t>
            </w:r>
          </w:p>
        </w:tc>
      </w:tr>
      <w:tr w:rsidR="00556112" w14:paraId="42E97630"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08546326" w14:textId="77777777" w:rsidR="00556112" w:rsidRDefault="00556112">
            <w:pPr>
              <w:rPr>
                <w:rFonts w:cstheme="minorHAnsi"/>
                <w:color w:val="FF0000"/>
                <w:szCs w:val="20"/>
              </w:rPr>
            </w:pPr>
            <w:r>
              <w:rPr>
                <w:rFonts w:ascii="Calibri" w:hAnsi="Calibri" w:cs="Calibri"/>
                <w:szCs w:val="20"/>
              </w:rPr>
              <w:t>Grocery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86C613A"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60DABF4A" w14:textId="77777777" w:rsidR="00556112" w:rsidRDefault="00556112">
            <w:pPr>
              <w:rPr>
                <w:rFonts w:cstheme="minorHAnsi"/>
                <w:color w:val="FF0000"/>
                <w:szCs w:val="20"/>
              </w:rPr>
            </w:pPr>
            <w:r>
              <w:rPr>
                <w:rFonts w:ascii="Calibri" w:hAnsi="Calibri"/>
                <w:color w:val="000000"/>
                <w:szCs w:val="22"/>
              </w:rPr>
              <w:t>Misc._Commercial</w:t>
            </w:r>
          </w:p>
        </w:tc>
      </w:tr>
      <w:tr w:rsidR="00556112" w14:paraId="36241579"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1167F664" w14:textId="77777777" w:rsidR="00556112" w:rsidRDefault="00556112">
            <w:pPr>
              <w:rPr>
                <w:rFonts w:cstheme="minorHAnsi"/>
                <w:color w:val="FF0000"/>
                <w:szCs w:val="20"/>
              </w:rPr>
            </w:pPr>
            <w:r>
              <w:rPr>
                <w:rFonts w:ascii="Calibri" w:hAnsi="Calibri" w:cs="Calibri"/>
                <w:szCs w:val="20"/>
              </w:rPr>
              <w:t>Lodging - Guest Rooms</w:t>
            </w:r>
          </w:p>
        </w:tc>
        <w:tc>
          <w:tcPr>
            <w:tcW w:w="1779" w:type="pct"/>
            <w:tcBorders>
              <w:top w:val="single" w:sz="4" w:space="0" w:color="auto"/>
              <w:left w:val="single" w:sz="4" w:space="0" w:color="auto"/>
              <w:bottom w:val="single" w:sz="4" w:space="0" w:color="auto"/>
              <w:right w:val="single" w:sz="4" w:space="0" w:color="auto"/>
            </w:tcBorders>
            <w:vAlign w:val="bottom"/>
            <w:hideMark/>
          </w:tcPr>
          <w:p w14:paraId="5C6423D5"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8BF837D" w14:textId="77777777" w:rsidR="00556112" w:rsidRDefault="00556112">
            <w:pPr>
              <w:rPr>
                <w:rFonts w:cstheme="minorHAnsi"/>
                <w:color w:val="FF0000"/>
                <w:szCs w:val="20"/>
              </w:rPr>
            </w:pPr>
            <w:r>
              <w:rPr>
                <w:rFonts w:ascii="Calibri" w:hAnsi="Calibri"/>
                <w:color w:val="000000"/>
                <w:szCs w:val="22"/>
              </w:rPr>
              <w:t>Hotel_Motel</w:t>
            </w:r>
          </w:p>
        </w:tc>
      </w:tr>
      <w:tr w:rsidR="00556112" w14:paraId="2AAA6EC6"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21588C3D" w14:textId="77777777" w:rsidR="00556112" w:rsidRDefault="00556112">
            <w:pPr>
              <w:rPr>
                <w:rFonts w:ascii="Calibri" w:hAnsi="Calibri" w:cs="Calibri"/>
                <w:szCs w:val="20"/>
              </w:rPr>
            </w:pPr>
            <w:r>
              <w:rPr>
                <w:rFonts w:ascii="Calibri" w:hAnsi="Calibri" w:cs="Calibri"/>
                <w:szCs w:val="20"/>
              </w:rPr>
              <w:lastRenderedPageBreak/>
              <w:t>Health/Medical - Hospital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5D08CC5C"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594DB36" w14:textId="77777777" w:rsidR="00556112" w:rsidRDefault="00556112">
            <w:pPr>
              <w:rPr>
                <w:rFonts w:cstheme="minorHAnsi"/>
                <w:color w:val="FF0000"/>
                <w:szCs w:val="20"/>
              </w:rPr>
            </w:pPr>
            <w:r>
              <w:rPr>
                <w:rFonts w:ascii="Calibri" w:hAnsi="Calibri"/>
                <w:color w:val="000000"/>
                <w:szCs w:val="22"/>
              </w:rPr>
              <w:t>Misc._Commercial</w:t>
            </w:r>
          </w:p>
        </w:tc>
      </w:tr>
      <w:tr w:rsidR="00556112" w14:paraId="340FB623"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676878B2" w14:textId="77777777" w:rsidR="00556112" w:rsidRDefault="00556112">
            <w:pPr>
              <w:rPr>
                <w:rFonts w:cstheme="minorHAnsi"/>
                <w:color w:val="FF0000"/>
                <w:szCs w:val="20"/>
              </w:rPr>
            </w:pPr>
            <w:r>
              <w:rPr>
                <w:rFonts w:ascii="Calibri" w:hAnsi="Calibri" w:cs="Calibri"/>
                <w:szCs w:val="20"/>
              </w:rPr>
              <w:t>Lodging - Hotel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DEB2B8B"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1F23609" w14:textId="77777777" w:rsidR="00556112" w:rsidRDefault="00556112">
            <w:pPr>
              <w:rPr>
                <w:rFonts w:cstheme="minorHAnsi"/>
                <w:color w:val="FF0000"/>
                <w:szCs w:val="20"/>
              </w:rPr>
            </w:pPr>
            <w:r>
              <w:rPr>
                <w:rFonts w:ascii="Calibri" w:hAnsi="Calibri"/>
                <w:color w:val="000000"/>
                <w:szCs w:val="22"/>
              </w:rPr>
              <w:t>Hotel_Motel</w:t>
            </w:r>
          </w:p>
        </w:tc>
      </w:tr>
      <w:tr w:rsidR="00556112" w14:paraId="7DB16DB7"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59CB1F66" w14:textId="77777777" w:rsidR="00556112" w:rsidRDefault="00556112">
            <w:pPr>
              <w:rPr>
                <w:rFonts w:cstheme="minorHAnsi"/>
                <w:color w:val="FF0000"/>
                <w:szCs w:val="20"/>
              </w:rPr>
            </w:pPr>
            <w:r>
              <w:rPr>
                <w:rFonts w:ascii="Calibri" w:hAnsi="Calibri" w:cs="Calibri"/>
                <w:szCs w:val="20"/>
              </w:rPr>
              <w:t>Manufacturing - Bio/Tech</w:t>
            </w:r>
          </w:p>
        </w:tc>
        <w:tc>
          <w:tcPr>
            <w:tcW w:w="1779" w:type="pct"/>
            <w:tcBorders>
              <w:top w:val="single" w:sz="4" w:space="0" w:color="auto"/>
              <w:left w:val="single" w:sz="4" w:space="0" w:color="auto"/>
              <w:bottom w:val="single" w:sz="4" w:space="0" w:color="auto"/>
              <w:right w:val="single" w:sz="4" w:space="0" w:color="auto"/>
            </w:tcBorders>
            <w:vAlign w:val="bottom"/>
            <w:hideMark/>
          </w:tcPr>
          <w:p w14:paraId="60807F38"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C9D6827" w14:textId="77777777" w:rsidR="00556112" w:rsidRDefault="00556112">
            <w:pPr>
              <w:rPr>
                <w:rFonts w:cstheme="minorHAnsi"/>
                <w:color w:val="FF0000"/>
                <w:szCs w:val="20"/>
              </w:rPr>
            </w:pPr>
            <w:r>
              <w:rPr>
                <w:rFonts w:ascii="Calibri" w:hAnsi="Calibri"/>
                <w:color w:val="000000"/>
                <w:szCs w:val="22"/>
              </w:rPr>
              <w:t>Industrial</w:t>
            </w:r>
          </w:p>
        </w:tc>
      </w:tr>
      <w:tr w:rsidR="00556112" w14:paraId="351293BF"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1ACB059C" w14:textId="77777777" w:rsidR="00556112" w:rsidRDefault="00556112">
            <w:pPr>
              <w:rPr>
                <w:rFonts w:cstheme="minorHAnsi"/>
                <w:color w:val="FF0000"/>
                <w:szCs w:val="20"/>
              </w:rPr>
            </w:pPr>
            <w:r>
              <w:rPr>
                <w:rFonts w:ascii="Calibri" w:hAnsi="Calibri" w:cs="Calibri"/>
                <w:szCs w:val="20"/>
              </w:rPr>
              <w:t>Manufacturing - Light Industrial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9A2FC86"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7CBE8C20" w14:textId="77777777" w:rsidR="00556112" w:rsidRDefault="00556112">
            <w:pPr>
              <w:rPr>
                <w:rFonts w:cstheme="minorHAnsi"/>
                <w:color w:val="FF0000"/>
                <w:szCs w:val="20"/>
              </w:rPr>
            </w:pPr>
            <w:r>
              <w:rPr>
                <w:rFonts w:ascii="Calibri" w:hAnsi="Calibri"/>
                <w:color w:val="000000"/>
                <w:szCs w:val="22"/>
              </w:rPr>
              <w:t>Industrial</w:t>
            </w:r>
          </w:p>
        </w:tc>
      </w:tr>
      <w:tr w:rsidR="00556112" w14:paraId="4D807816"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24BAE46C" w14:textId="77777777" w:rsidR="00556112" w:rsidRDefault="00556112">
            <w:pPr>
              <w:rPr>
                <w:rFonts w:cstheme="minorHAnsi"/>
                <w:color w:val="FF0000"/>
                <w:szCs w:val="20"/>
              </w:rPr>
            </w:pPr>
            <w:r>
              <w:rPr>
                <w:rFonts w:ascii="Calibri" w:hAnsi="Calibri" w:cs="Calibri"/>
                <w:szCs w:val="20"/>
              </w:rPr>
              <w:t>Lodging - Motel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30D9DB80"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0C6964B" w14:textId="77777777" w:rsidR="00556112" w:rsidRDefault="00556112">
            <w:pPr>
              <w:rPr>
                <w:rFonts w:cstheme="minorHAnsi"/>
                <w:color w:val="FF0000"/>
                <w:szCs w:val="20"/>
              </w:rPr>
            </w:pPr>
            <w:r>
              <w:rPr>
                <w:rFonts w:ascii="Calibri" w:hAnsi="Calibri"/>
                <w:color w:val="000000"/>
                <w:szCs w:val="22"/>
              </w:rPr>
              <w:t>Hotel_Motel</w:t>
            </w:r>
          </w:p>
        </w:tc>
      </w:tr>
      <w:tr w:rsidR="00556112" w14:paraId="5AE44BDB"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548BD0B6" w14:textId="77777777" w:rsidR="00556112" w:rsidRDefault="00556112">
            <w:pPr>
              <w:rPr>
                <w:rFonts w:cstheme="minorHAnsi"/>
                <w:color w:val="FF0000"/>
                <w:szCs w:val="20"/>
              </w:rPr>
            </w:pPr>
            <w:r>
              <w:rPr>
                <w:rFonts w:ascii="Calibri" w:hAnsi="Calibri" w:cs="Calibri"/>
                <w:szCs w:val="20"/>
              </w:rPr>
              <w:t>Health/Medical - Nursing Home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2D2C577"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AEE168F" w14:textId="77777777" w:rsidR="00556112" w:rsidRDefault="00556112">
            <w:pPr>
              <w:rPr>
                <w:rFonts w:cstheme="minorHAnsi"/>
                <w:color w:val="FF0000"/>
                <w:szCs w:val="20"/>
              </w:rPr>
            </w:pPr>
            <w:r>
              <w:rPr>
                <w:rFonts w:ascii="Calibri" w:hAnsi="Calibri"/>
                <w:color w:val="000000"/>
                <w:szCs w:val="22"/>
              </w:rPr>
              <w:t>Misc._Commercial</w:t>
            </w:r>
          </w:p>
        </w:tc>
      </w:tr>
      <w:tr w:rsidR="00556112" w14:paraId="53E9CA81"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033EFD95" w14:textId="77777777" w:rsidR="00556112" w:rsidRDefault="00556112">
            <w:pPr>
              <w:rPr>
                <w:rFonts w:cstheme="minorHAnsi"/>
                <w:color w:val="FF0000"/>
                <w:szCs w:val="20"/>
              </w:rPr>
            </w:pPr>
            <w:r>
              <w:rPr>
                <w:rFonts w:ascii="Calibri" w:hAnsi="Calibri" w:cs="Calibri"/>
                <w:szCs w:val="20"/>
              </w:rPr>
              <w:t>Office -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292FB9F"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7BCBC8F8" w14:textId="77777777" w:rsidR="00556112" w:rsidRDefault="00556112">
            <w:pPr>
              <w:rPr>
                <w:rFonts w:cstheme="minorHAnsi"/>
                <w:color w:val="FF0000"/>
                <w:szCs w:val="20"/>
              </w:rPr>
            </w:pPr>
            <w:r>
              <w:rPr>
                <w:rFonts w:ascii="Calibri" w:hAnsi="Calibri"/>
                <w:color w:val="000000"/>
                <w:szCs w:val="22"/>
              </w:rPr>
              <w:t>Large_Office</w:t>
            </w:r>
          </w:p>
        </w:tc>
      </w:tr>
      <w:tr w:rsidR="00556112" w14:paraId="174A64A6"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4B0A8CCE" w14:textId="77777777" w:rsidR="00556112" w:rsidRDefault="00556112">
            <w:pPr>
              <w:rPr>
                <w:rFonts w:cstheme="minorHAnsi"/>
                <w:color w:val="FF0000"/>
                <w:szCs w:val="20"/>
              </w:rPr>
            </w:pPr>
            <w:r>
              <w:rPr>
                <w:rFonts w:ascii="Calibri" w:hAnsi="Calibri" w:cs="Calibri"/>
                <w:szCs w:val="20"/>
              </w:rPr>
              <w:t>Office - Small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6EC8A1C9"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1F38BE4" w14:textId="77777777" w:rsidR="00556112" w:rsidRDefault="00556112">
            <w:pPr>
              <w:rPr>
                <w:rFonts w:cstheme="minorHAnsi"/>
                <w:color w:val="FF0000"/>
                <w:szCs w:val="20"/>
              </w:rPr>
            </w:pPr>
            <w:r>
              <w:rPr>
                <w:rFonts w:ascii="Calibri" w:hAnsi="Calibri"/>
                <w:color w:val="000000"/>
                <w:szCs w:val="22"/>
              </w:rPr>
              <w:t>Small_Office</w:t>
            </w:r>
          </w:p>
        </w:tc>
      </w:tr>
      <w:tr w:rsidR="00556112" w14:paraId="39E74F8A"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1C03FE56" w14:textId="77777777" w:rsidR="00556112" w:rsidRDefault="00556112">
            <w:pPr>
              <w:rPr>
                <w:rFonts w:cstheme="minorHAnsi"/>
                <w:color w:val="FF0000"/>
                <w:szCs w:val="20"/>
              </w:rPr>
            </w:pPr>
            <w:r>
              <w:rPr>
                <w:rFonts w:ascii="Calibri" w:hAnsi="Calibri" w:cs="Calibri"/>
                <w:szCs w:val="20"/>
              </w:rPr>
              <w:t>Restaurant - Fast-Food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6040EE66"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606B1FF" w14:textId="77777777" w:rsidR="00556112" w:rsidRDefault="00556112">
            <w:pPr>
              <w:rPr>
                <w:rFonts w:cstheme="minorHAnsi"/>
                <w:color w:val="FF0000"/>
                <w:szCs w:val="20"/>
              </w:rPr>
            </w:pPr>
            <w:r>
              <w:rPr>
                <w:rFonts w:ascii="Calibri" w:hAnsi="Calibri"/>
                <w:color w:val="000000"/>
                <w:szCs w:val="22"/>
              </w:rPr>
              <w:t>Misc._Commercial</w:t>
            </w:r>
          </w:p>
        </w:tc>
      </w:tr>
      <w:tr w:rsidR="00556112" w14:paraId="083A1A8A"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79E33B0B" w14:textId="77777777" w:rsidR="00556112" w:rsidRDefault="00556112">
            <w:pPr>
              <w:rPr>
                <w:rFonts w:cstheme="minorHAnsi"/>
                <w:color w:val="FF0000"/>
                <w:szCs w:val="20"/>
              </w:rPr>
            </w:pPr>
            <w:r>
              <w:rPr>
                <w:rFonts w:ascii="Calibri" w:hAnsi="Calibri" w:cs="Calibri"/>
                <w:szCs w:val="20"/>
              </w:rPr>
              <w:t>Restaurant - Sit-Down</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D5D1401"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6D51959" w14:textId="77777777" w:rsidR="00556112" w:rsidRDefault="00556112">
            <w:pPr>
              <w:rPr>
                <w:rFonts w:cstheme="minorHAnsi"/>
                <w:color w:val="FF0000"/>
                <w:szCs w:val="20"/>
              </w:rPr>
            </w:pPr>
            <w:r>
              <w:rPr>
                <w:rFonts w:ascii="Calibri" w:hAnsi="Calibri"/>
                <w:color w:val="000000"/>
                <w:szCs w:val="22"/>
              </w:rPr>
              <w:t>Misc._Commercial</w:t>
            </w:r>
          </w:p>
        </w:tc>
      </w:tr>
      <w:tr w:rsidR="00556112" w14:paraId="69BCCAA9"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3818E43E" w14:textId="77777777" w:rsidR="00556112" w:rsidRDefault="00556112">
            <w:pPr>
              <w:rPr>
                <w:rFonts w:cstheme="minorHAnsi"/>
                <w:color w:val="FF0000"/>
                <w:szCs w:val="20"/>
              </w:rPr>
            </w:pPr>
            <w:r>
              <w:rPr>
                <w:rFonts w:ascii="Calibri" w:hAnsi="Calibri" w:cs="Calibri"/>
                <w:szCs w:val="20"/>
              </w:rPr>
              <w:t>Retail - Multistory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DF8FCA3"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4400B216" w14:textId="77777777" w:rsidR="00556112" w:rsidRDefault="00556112">
            <w:pPr>
              <w:rPr>
                <w:rFonts w:cstheme="minorHAnsi"/>
                <w:color w:val="FF0000"/>
                <w:szCs w:val="20"/>
              </w:rPr>
            </w:pPr>
            <w:r>
              <w:rPr>
                <w:rFonts w:ascii="Calibri" w:hAnsi="Calibri"/>
                <w:color w:val="000000"/>
                <w:szCs w:val="22"/>
              </w:rPr>
              <w:t>Large_Retail_Store</w:t>
            </w:r>
          </w:p>
        </w:tc>
      </w:tr>
      <w:tr w:rsidR="00556112" w14:paraId="7EDEA221"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0AB798FA" w14:textId="77777777" w:rsidR="00556112" w:rsidRDefault="00556112">
            <w:pPr>
              <w:rPr>
                <w:rFonts w:cstheme="minorHAnsi"/>
                <w:color w:val="FF0000"/>
                <w:szCs w:val="20"/>
              </w:rPr>
            </w:pPr>
            <w:r>
              <w:rPr>
                <w:rFonts w:ascii="Calibri" w:hAnsi="Calibri" w:cs="Calibri"/>
                <w:szCs w:val="20"/>
              </w:rPr>
              <w:t>Retail - Single-Story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07471A8"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4E3914C5" w14:textId="77777777" w:rsidR="00556112" w:rsidRDefault="00556112">
            <w:pPr>
              <w:rPr>
                <w:rFonts w:cstheme="minorHAnsi"/>
                <w:color w:val="FF0000"/>
                <w:szCs w:val="20"/>
              </w:rPr>
            </w:pPr>
            <w:r>
              <w:rPr>
                <w:rFonts w:ascii="Calibri" w:hAnsi="Calibri"/>
                <w:color w:val="000000"/>
                <w:szCs w:val="22"/>
              </w:rPr>
              <w:t>Large_Retail_Store</w:t>
            </w:r>
          </w:p>
        </w:tc>
      </w:tr>
      <w:tr w:rsidR="00556112" w14:paraId="266EAB39"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3DFEC0A7" w14:textId="77777777" w:rsidR="00556112" w:rsidRDefault="00556112">
            <w:pPr>
              <w:rPr>
                <w:rFonts w:cstheme="minorHAnsi"/>
                <w:color w:val="FF0000"/>
                <w:szCs w:val="20"/>
              </w:rPr>
            </w:pPr>
            <w:r>
              <w:rPr>
                <w:rFonts w:ascii="Calibri" w:hAnsi="Calibri" w:cs="Calibri"/>
                <w:szCs w:val="20"/>
              </w:rPr>
              <w:t>Retail - Small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1319976"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6D9390F" w14:textId="77777777" w:rsidR="00556112" w:rsidRDefault="00556112">
            <w:pPr>
              <w:rPr>
                <w:rFonts w:cstheme="minorHAnsi"/>
                <w:color w:val="FF0000"/>
                <w:szCs w:val="20"/>
              </w:rPr>
            </w:pPr>
            <w:r>
              <w:rPr>
                <w:rFonts w:ascii="Calibri" w:hAnsi="Calibri"/>
                <w:color w:val="000000"/>
                <w:szCs w:val="22"/>
              </w:rPr>
              <w:t>Small_Retail_Store</w:t>
            </w:r>
          </w:p>
        </w:tc>
      </w:tr>
      <w:tr w:rsidR="00556112" w14:paraId="5603A64B"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7EAB7B13" w14:textId="77777777" w:rsidR="00556112" w:rsidRDefault="00556112">
            <w:pPr>
              <w:rPr>
                <w:rFonts w:cstheme="minorHAnsi"/>
                <w:color w:val="FF0000"/>
                <w:szCs w:val="20"/>
              </w:rPr>
            </w:pPr>
            <w:r>
              <w:rPr>
                <w:rFonts w:ascii="Calibri" w:hAnsi="Calibri" w:cs="Calibri"/>
                <w:szCs w:val="20"/>
              </w:rPr>
              <w:t>Storage - Conditioned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39D9226"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EFC743A" w14:textId="77777777" w:rsidR="00556112" w:rsidRDefault="00556112">
            <w:pPr>
              <w:rPr>
                <w:rFonts w:cstheme="minorHAnsi"/>
                <w:color w:val="FF0000"/>
                <w:szCs w:val="20"/>
              </w:rPr>
            </w:pPr>
            <w:r>
              <w:rPr>
                <w:rFonts w:ascii="Calibri" w:hAnsi="Calibri"/>
                <w:color w:val="000000"/>
                <w:szCs w:val="22"/>
              </w:rPr>
              <w:t>Misc._Commercial</w:t>
            </w:r>
          </w:p>
        </w:tc>
      </w:tr>
      <w:tr w:rsidR="00556112" w14:paraId="04151A7D" w14:textId="77777777" w:rsidTr="00556112">
        <w:tc>
          <w:tcPr>
            <w:tcW w:w="1686" w:type="pct"/>
            <w:tcBorders>
              <w:top w:val="single" w:sz="4" w:space="0" w:color="auto"/>
              <w:left w:val="single" w:sz="4" w:space="0" w:color="auto"/>
              <w:bottom w:val="single" w:sz="4" w:space="0" w:color="auto"/>
              <w:right w:val="single" w:sz="4" w:space="0" w:color="auto"/>
            </w:tcBorders>
            <w:vAlign w:val="center"/>
            <w:hideMark/>
          </w:tcPr>
          <w:p w14:paraId="650F6130" w14:textId="77777777" w:rsidR="00556112" w:rsidRDefault="00556112">
            <w:pPr>
              <w:rPr>
                <w:rFonts w:cstheme="minorHAnsi"/>
                <w:color w:val="FF0000"/>
                <w:szCs w:val="20"/>
              </w:rPr>
            </w:pPr>
            <w:r>
              <w:rPr>
                <w:rFonts w:ascii="Calibri" w:hAnsi="Calibri" w:cs="Calibri"/>
                <w:szCs w:val="20"/>
              </w:rPr>
              <w:t>Storage - Unconditioned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A105564"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7FA8A6D4" w14:textId="77777777" w:rsidR="00556112" w:rsidRDefault="00556112">
            <w:pPr>
              <w:rPr>
                <w:rFonts w:cstheme="minorHAnsi"/>
                <w:color w:val="FF0000"/>
                <w:szCs w:val="20"/>
              </w:rPr>
            </w:pPr>
            <w:r>
              <w:rPr>
                <w:rFonts w:ascii="Calibri" w:hAnsi="Calibri"/>
                <w:color w:val="000000"/>
                <w:szCs w:val="22"/>
              </w:rPr>
              <w:t>Misc._Commercial</w:t>
            </w:r>
          </w:p>
        </w:tc>
      </w:tr>
      <w:tr w:rsidR="00556112" w14:paraId="36362236" w14:textId="77777777" w:rsidTr="00556112">
        <w:tc>
          <w:tcPr>
            <w:tcW w:w="1686" w:type="pct"/>
            <w:tcBorders>
              <w:top w:val="single" w:sz="4" w:space="0" w:color="auto"/>
              <w:left w:val="single" w:sz="4" w:space="0" w:color="auto"/>
              <w:bottom w:val="single" w:sz="4" w:space="0" w:color="auto"/>
              <w:right w:val="single" w:sz="4" w:space="0" w:color="auto"/>
            </w:tcBorders>
            <w:hideMark/>
          </w:tcPr>
          <w:p w14:paraId="38A5F079" w14:textId="77777777" w:rsidR="00556112" w:rsidRDefault="00556112">
            <w:pPr>
              <w:rPr>
                <w:rFonts w:cstheme="minorHAnsi"/>
                <w:color w:val="FF0000"/>
                <w:szCs w:val="20"/>
              </w:rPr>
            </w:pPr>
            <w:r>
              <w:rPr>
                <w:rFonts w:ascii="Calibri" w:hAnsi="Calibri" w:cs="Calibri"/>
                <w:szCs w:val="20"/>
              </w:rPr>
              <w:t>Warehouse – Refrigerated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51071B3C" w14:textId="77777777" w:rsidR="00556112" w:rsidRDefault="00556112">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8ACBF5D" w14:textId="77777777" w:rsidR="00556112" w:rsidRDefault="00556112">
            <w:pPr>
              <w:rPr>
                <w:rFonts w:cstheme="minorHAnsi"/>
                <w:color w:val="FF0000"/>
                <w:szCs w:val="20"/>
              </w:rPr>
            </w:pPr>
            <w:r>
              <w:rPr>
                <w:rFonts w:ascii="Calibri" w:hAnsi="Calibri"/>
                <w:color w:val="000000"/>
                <w:szCs w:val="22"/>
              </w:rPr>
              <w:t>Misc._Commercial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71AA9335" w14:textId="77777777" w:rsidR="00556112" w:rsidRDefault="00556112" w:rsidP="0055611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For REA measures there is no base case cost.  </w:t>
      </w:r>
    </w:p>
    <w:p w14:paraId="44713B57" w14:textId="77777777" w:rsidR="005A0E53" w:rsidRPr="00500C4E" w:rsidRDefault="005A0E53" w:rsidP="005A0E53">
      <w:pPr>
        <w:pStyle w:val="Heading2"/>
        <w:rPr>
          <w:rFonts w:asciiTheme="minorHAnsi" w:hAnsiTheme="minorHAnsi" w:cstheme="minorHAnsi"/>
        </w:rPr>
      </w:pPr>
      <w:bookmarkStart w:id="19" w:name="_Toc214003098"/>
      <w:r w:rsidRPr="00500C4E">
        <w:rPr>
          <w:rFonts w:asciiTheme="minorHAnsi" w:hAnsiTheme="minorHAnsi" w:cstheme="minorHAnsi"/>
        </w:rPr>
        <w:t>4.2 Measure Case Cost</w:t>
      </w:r>
    </w:p>
    <w:p w14:paraId="135D96D9" w14:textId="2D76509F" w:rsidR="00485C17" w:rsidRDefault="00485C17" w:rsidP="0055611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Since the cost was based on DEER 2008 data, the measure cost was updated to current prices according to online </w:t>
      </w:r>
      <w:r w:rsidR="0022251E">
        <w:rPr>
          <w:rFonts w:asciiTheme="minorHAnsi" w:hAnsiTheme="minorHAnsi" w:cstheme="minorHAnsi"/>
          <w:i w:val="0"/>
          <w:color w:val="auto"/>
          <w:szCs w:val="22"/>
        </w:rPr>
        <w:t>retailers</w:t>
      </w:r>
      <w:r w:rsidR="00E611A3">
        <w:rPr>
          <w:rFonts w:asciiTheme="minorHAnsi" w:hAnsiTheme="minorHAnsi" w:cstheme="minorHAnsi"/>
          <w:i w:val="0"/>
          <w:color w:val="auto"/>
          <w:szCs w:val="22"/>
        </w:rPr>
        <w:t xml:space="preserve"> from December 2016</w:t>
      </w:r>
      <w:r>
        <w:rPr>
          <w:rFonts w:asciiTheme="minorHAnsi" w:hAnsiTheme="minorHAnsi" w:cstheme="minorHAnsi"/>
          <w:i w:val="0"/>
          <w:color w:val="auto"/>
          <w:szCs w:val="22"/>
        </w:rPr>
        <w:t xml:space="preserve">. </w:t>
      </w:r>
      <w:r w:rsidR="00E611A3">
        <w:rPr>
          <w:rFonts w:asciiTheme="minorHAnsi" w:hAnsiTheme="minorHAnsi" w:cstheme="minorHAnsi"/>
          <w:i w:val="0"/>
          <w:color w:val="auto"/>
          <w:szCs w:val="22"/>
        </w:rPr>
        <w:t xml:space="preserve">The DEER costs were defined as “per KW controlled,” which created the cost difference between measures. </w:t>
      </w:r>
      <w:r>
        <w:rPr>
          <w:rFonts w:asciiTheme="minorHAnsi" w:hAnsiTheme="minorHAnsi" w:cstheme="minorHAnsi"/>
          <w:i w:val="0"/>
          <w:color w:val="auto"/>
          <w:szCs w:val="22"/>
        </w:rPr>
        <w:t xml:space="preserve">Due to improvements with the equipment, there is no longer a cost difference between measures; the same control applies to both wattage groups. </w:t>
      </w:r>
      <w:r w:rsidR="0022251E">
        <w:rPr>
          <w:rFonts w:asciiTheme="minorHAnsi" w:hAnsiTheme="minorHAnsi" w:cstheme="minorHAnsi"/>
          <w:i w:val="0"/>
          <w:color w:val="auto"/>
          <w:szCs w:val="22"/>
        </w:rPr>
        <w:t xml:space="preserve">The average costs for integrated fixture mounted occupancy sensors from various online retailers was used to find the material costs. </w:t>
      </w:r>
      <w:r>
        <w:rPr>
          <w:rFonts w:asciiTheme="minorHAnsi" w:hAnsiTheme="minorHAnsi" w:cstheme="minorHAnsi"/>
          <w:i w:val="0"/>
          <w:color w:val="auto"/>
          <w:szCs w:val="22"/>
        </w:rPr>
        <w:t xml:space="preserve">The costs include material, shipping, tax and labor (from </w:t>
      </w:r>
      <w:r w:rsidR="00E56608">
        <w:rPr>
          <w:rFonts w:asciiTheme="minorHAnsi" w:hAnsiTheme="minorHAnsi" w:cstheme="minorHAnsi"/>
          <w:i w:val="0"/>
          <w:color w:val="auto"/>
          <w:szCs w:val="22"/>
        </w:rPr>
        <w:t>Table 4-6 in WO017 [475]</w:t>
      </w:r>
      <w:r>
        <w:rPr>
          <w:rFonts w:asciiTheme="minorHAnsi" w:hAnsiTheme="minorHAnsi" w:cstheme="minorHAnsi"/>
          <w:i w:val="0"/>
          <w:color w:val="auto"/>
          <w:szCs w:val="22"/>
        </w:rPr>
        <w:t>).</w:t>
      </w:r>
      <w:r w:rsidR="00E56608">
        <w:rPr>
          <w:rFonts w:asciiTheme="minorHAnsi" w:hAnsiTheme="minorHAnsi" w:cstheme="minorHAnsi"/>
          <w:i w:val="0"/>
          <w:color w:val="auto"/>
          <w:szCs w:val="22"/>
        </w:rPr>
        <w:t xml:space="preserve"> </w:t>
      </w:r>
      <w:r w:rsidR="00EF598F">
        <w:rPr>
          <w:rFonts w:asciiTheme="minorHAnsi" w:hAnsiTheme="minorHAnsi" w:cstheme="minorHAnsi"/>
          <w:i w:val="0"/>
          <w:color w:val="auto"/>
          <w:szCs w:val="22"/>
        </w:rPr>
        <w:t xml:space="preserve">The material costs were </w:t>
      </w:r>
      <w:r w:rsidR="00EF598F" w:rsidRPr="00EF598F">
        <w:rPr>
          <w:rFonts w:asciiTheme="minorHAnsi" w:hAnsiTheme="minorHAnsi" w:cstheme="minorHAnsi"/>
          <w:i w:val="0"/>
          <w:color w:val="auto"/>
          <w:szCs w:val="22"/>
        </w:rPr>
        <w:t>$58.25</w:t>
      </w:r>
      <w:r w:rsidR="00EF598F">
        <w:rPr>
          <w:rFonts w:asciiTheme="minorHAnsi" w:hAnsiTheme="minorHAnsi" w:cstheme="minorHAnsi"/>
          <w:i w:val="0"/>
          <w:color w:val="auto"/>
          <w:szCs w:val="22"/>
        </w:rPr>
        <w:t xml:space="preserve"> per fixture and labor costs were </w:t>
      </w:r>
      <w:r w:rsidR="00EF598F" w:rsidRPr="00EF598F">
        <w:rPr>
          <w:rFonts w:asciiTheme="minorHAnsi" w:hAnsiTheme="minorHAnsi" w:cstheme="minorHAnsi"/>
          <w:i w:val="0"/>
          <w:color w:val="auto"/>
          <w:szCs w:val="22"/>
        </w:rPr>
        <w:t>$90.46</w:t>
      </w:r>
      <w:r w:rsidR="00EF598F">
        <w:rPr>
          <w:rFonts w:asciiTheme="minorHAnsi" w:hAnsiTheme="minorHAnsi" w:cstheme="minorHAnsi"/>
          <w:i w:val="0"/>
          <w:color w:val="auto"/>
          <w:szCs w:val="22"/>
        </w:rPr>
        <w:t xml:space="preserve">.  </w:t>
      </w:r>
      <w:r w:rsidR="0022251E">
        <w:rPr>
          <w:rFonts w:asciiTheme="minorHAnsi" w:hAnsiTheme="minorHAnsi" w:cstheme="minorHAnsi"/>
          <w:i w:val="0"/>
          <w:color w:val="auto"/>
          <w:szCs w:val="22"/>
        </w:rPr>
        <w:t xml:space="preserve">Attachment </w:t>
      </w:r>
      <w:r w:rsidR="00CD0994">
        <w:rPr>
          <w:rFonts w:asciiTheme="minorHAnsi" w:hAnsiTheme="minorHAnsi" w:cstheme="minorHAnsi"/>
          <w:i w:val="0"/>
          <w:color w:val="auto"/>
          <w:szCs w:val="22"/>
        </w:rPr>
        <w:t>4</w:t>
      </w:r>
      <w:r w:rsidR="0022251E">
        <w:rPr>
          <w:rFonts w:asciiTheme="minorHAnsi" w:hAnsiTheme="minorHAnsi" w:cstheme="minorHAnsi"/>
          <w:i w:val="0"/>
          <w:color w:val="auto"/>
          <w:szCs w:val="22"/>
        </w:rPr>
        <w:t xml:space="preserve"> contains the research findings and calculations for full and incremental measure costs, which are the same for REA.</w:t>
      </w:r>
    </w:p>
    <w:p w14:paraId="56A08FE6" w14:textId="77777777" w:rsidR="00556112" w:rsidRDefault="00556112" w:rsidP="00556112">
      <w:pPr>
        <w:pStyle w:val="Reminders"/>
        <w:rPr>
          <w:rFonts w:asciiTheme="minorHAnsi" w:hAnsiTheme="minorHAnsi" w:cstheme="minorHAnsi"/>
          <w:i w:val="0"/>
          <w:color w:val="auto"/>
          <w:szCs w:val="22"/>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56112" w:rsidRPr="00500C4E" w14:paraId="31204A9D" w14:textId="77777777" w:rsidTr="00F474EF">
        <w:tc>
          <w:tcPr>
            <w:tcW w:w="587" w:type="pct"/>
          </w:tcPr>
          <w:p w14:paraId="20624498" w14:textId="6EF139D4" w:rsidR="00556112" w:rsidRPr="00920905" w:rsidRDefault="00556112" w:rsidP="00556112">
            <w:pPr>
              <w:rPr>
                <w:rFonts w:cstheme="minorHAnsi"/>
                <w:color w:val="FF0000"/>
                <w:szCs w:val="20"/>
              </w:rPr>
            </w:pPr>
            <w:r>
              <w:rPr>
                <w:rFonts w:cstheme="minorHAnsi"/>
                <w:szCs w:val="20"/>
              </w:rPr>
              <w:t>LT-76101</w:t>
            </w:r>
          </w:p>
        </w:tc>
        <w:tc>
          <w:tcPr>
            <w:tcW w:w="618" w:type="pct"/>
          </w:tcPr>
          <w:p w14:paraId="1B8D4FEE" w14:textId="2EBF6D51" w:rsidR="00556112" w:rsidRPr="00556112" w:rsidRDefault="00556112" w:rsidP="00556112">
            <w:pPr>
              <w:rPr>
                <w:rFonts w:cstheme="minorHAnsi"/>
                <w:szCs w:val="20"/>
              </w:rPr>
            </w:pPr>
            <w:r w:rsidRPr="00556112">
              <w:rPr>
                <w:rFonts w:cstheme="minorHAnsi"/>
                <w:szCs w:val="20"/>
              </w:rPr>
              <w:t>REA</w:t>
            </w:r>
          </w:p>
        </w:tc>
        <w:tc>
          <w:tcPr>
            <w:tcW w:w="1266" w:type="pct"/>
          </w:tcPr>
          <w:p w14:paraId="17400ED7" w14:textId="04F264AC" w:rsidR="00556112" w:rsidRPr="00556112" w:rsidRDefault="00556112" w:rsidP="00485C17">
            <w:pPr>
              <w:rPr>
                <w:rFonts w:cstheme="minorHAnsi"/>
                <w:szCs w:val="20"/>
              </w:rPr>
            </w:pPr>
            <w:r w:rsidRPr="00556112">
              <w:rPr>
                <w:rFonts w:cstheme="minorHAnsi"/>
                <w:szCs w:val="20"/>
              </w:rPr>
              <w:t>$</w:t>
            </w:r>
            <w:r w:rsidR="00E56608">
              <w:rPr>
                <w:rFonts w:cstheme="minorHAnsi"/>
                <w:szCs w:val="20"/>
              </w:rPr>
              <w:t>148.71</w:t>
            </w:r>
          </w:p>
        </w:tc>
        <w:tc>
          <w:tcPr>
            <w:tcW w:w="1225" w:type="pct"/>
          </w:tcPr>
          <w:p w14:paraId="0F861C7C" w14:textId="620CBFB9" w:rsidR="00556112" w:rsidRPr="00556112" w:rsidRDefault="00485C17" w:rsidP="00556112">
            <w:pPr>
              <w:rPr>
                <w:rFonts w:cstheme="minorHAnsi"/>
                <w:szCs w:val="20"/>
              </w:rPr>
            </w:pPr>
            <w:r>
              <w:rPr>
                <w:rFonts w:cstheme="minorHAnsi"/>
                <w:szCs w:val="20"/>
              </w:rPr>
              <w:t>$</w:t>
            </w:r>
            <w:r w:rsidR="00E56608">
              <w:rPr>
                <w:rFonts w:cstheme="minorHAnsi"/>
                <w:szCs w:val="20"/>
              </w:rPr>
              <w:t>148.71</w:t>
            </w:r>
          </w:p>
        </w:tc>
        <w:tc>
          <w:tcPr>
            <w:tcW w:w="1304" w:type="pct"/>
          </w:tcPr>
          <w:p w14:paraId="26FF7460" w14:textId="77777777" w:rsidR="00556112" w:rsidRPr="00556112" w:rsidRDefault="00556112" w:rsidP="00556112">
            <w:pPr>
              <w:rPr>
                <w:rFonts w:cstheme="minorHAnsi"/>
                <w:szCs w:val="20"/>
              </w:rPr>
            </w:pPr>
            <w:r w:rsidRPr="00556112">
              <w:rPr>
                <w:rFonts w:cstheme="minorHAnsi"/>
                <w:szCs w:val="20"/>
              </w:rPr>
              <w:t>N/A</w:t>
            </w:r>
          </w:p>
        </w:tc>
      </w:tr>
      <w:tr w:rsidR="00556112" w:rsidRPr="00500C4E" w14:paraId="64E9A8E4" w14:textId="77777777" w:rsidTr="00F474EF">
        <w:tc>
          <w:tcPr>
            <w:tcW w:w="587" w:type="pct"/>
          </w:tcPr>
          <w:p w14:paraId="73C0EEF5" w14:textId="58177344" w:rsidR="00556112" w:rsidRPr="00920905" w:rsidRDefault="00556112" w:rsidP="00556112">
            <w:pPr>
              <w:rPr>
                <w:rFonts w:cstheme="minorHAnsi"/>
                <w:color w:val="FF0000"/>
                <w:szCs w:val="20"/>
              </w:rPr>
            </w:pPr>
            <w:r>
              <w:rPr>
                <w:rFonts w:cstheme="minorHAnsi"/>
                <w:szCs w:val="20"/>
              </w:rPr>
              <w:lastRenderedPageBreak/>
              <w:t>LT-41007</w:t>
            </w:r>
          </w:p>
        </w:tc>
        <w:tc>
          <w:tcPr>
            <w:tcW w:w="618" w:type="pct"/>
          </w:tcPr>
          <w:p w14:paraId="3EDB244E" w14:textId="7FDB2A46" w:rsidR="00556112" w:rsidRPr="00556112" w:rsidRDefault="00556112" w:rsidP="00556112">
            <w:pPr>
              <w:rPr>
                <w:rFonts w:cstheme="minorHAnsi"/>
                <w:szCs w:val="20"/>
              </w:rPr>
            </w:pPr>
            <w:r w:rsidRPr="00556112">
              <w:rPr>
                <w:rFonts w:cstheme="minorHAnsi"/>
                <w:szCs w:val="20"/>
              </w:rPr>
              <w:t>REA</w:t>
            </w:r>
          </w:p>
        </w:tc>
        <w:tc>
          <w:tcPr>
            <w:tcW w:w="1266" w:type="pct"/>
          </w:tcPr>
          <w:p w14:paraId="780C91CF" w14:textId="27536BFE" w:rsidR="00556112" w:rsidRPr="00556112" w:rsidRDefault="00556112" w:rsidP="00485C17">
            <w:pPr>
              <w:rPr>
                <w:rFonts w:cstheme="minorHAnsi"/>
                <w:szCs w:val="20"/>
              </w:rPr>
            </w:pPr>
            <w:r w:rsidRPr="00556112">
              <w:rPr>
                <w:rFonts w:cstheme="minorHAnsi"/>
                <w:szCs w:val="20"/>
              </w:rPr>
              <w:t>$</w:t>
            </w:r>
            <w:r w:rsidR="00E56608">
              <w:rPr>
                <w:rFonts w:cstheme="minorHAnsi"/>
                <w:szCs w:val="20"/>
              </w:rPr>
              <w:t>148.71</w:t>
            </w:r>
          </w:p>
        </w:tc>
        <w:tc>
          <w:tcPr>
            <w:tcW w:w="1225" w:type="pct"/>
          </w:tcPr>
          <w:p w14:paraId="1542AB5C" w14:textId="1873EAE2" w:rsidR="00556112" w:rsidRPr="00556112" w:rsidRDefault="00556112" w:rsidP="00485C17">
            <w:pPr>
              <w:rPr>
                <w:rFonts w:cstheme="minorHAnsi"/>
                <w:szCs w:val="20"/>
              </w:rPr>
            </w:pPr>
            <w:r w:rsidRPr="00556112">
              <w:rPr>
                <w:rFonts w:cstheme="minorHAnsi"/>
                <w:szCs w:val="20"/>
              </w:rPr>
              <w:t>$</w:t>
            </w:r>
            <w:r w:rsidR="00E56608">
              <w:rPr>
                <w:rFonts w:cstheme="minorHAnsi"/>
                <w:szCs w:val="20"/>
              </w:rPr>
              <w:t>148.71</w:t>
            </w:r>
          </w:p>
        </w:tc>
        <w:tc>
          <w:tcPr>
            <w:tcW w:w="1304" w:type="pct"/>
          </w:tcPr>
          <w:p w14:paraId="39B4B752" w14:textId="3EF3292B" w:rsidR="00556112" w:rsidRPr="00556112" w:rsidRDefault="00556112" w:rsidP="00556112">
            <w:pPr>
              <w:rPr>
                <w:rFonts w:cstheme="minorHAnsi"/>
                <w:szCs w:val="20"/>
              </w:rPr>
            </w:pPr>
            <w:r w:rsidRPr="00556112">
              <w:rPr>
                <w:rFonts w:cstheme="minorHAnsi"/>
                <w:szCs w:val="20"/>
              </w:rPr>
              <w:t>N/A</w:t>
            </w:r>
          </w:p>
        </w:tc>
      </w:tr>
    </w:tbl>
    <w:p w14:paraId="37E9FBDB" w14:textId="754E7BBE" w:rsidR="00E16609" w:rsidRPr="00920905" w:rsidRDefault="00E16609">
      <w:pPr>
        <w:rPr>
          <w:rFonts w:cstheme="minorHAnsi"/>
          <w:sz w:val="20"/>
          <w:szCs w:val="20"/>
        </w:rPr>
      </w:pPr>
      <w:bookmarkStart w:id="20" w:name="_Toc214003099"/>
      <w:r w:rsidRPr="00920905">
        <w:rPr>
          <w:rFonts w:cstheme="minorHAnsi"/>
          <w:sz w:val="20"/>
          <w:szCs w:val="20"/>
        </w:rPr>
        <w:br w:type="page"/>
      </w:r>
    </w:p>
    <w:bookmarkEnd w:id="2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5863FA54" w14:textId="77777777" w:rsidR="00657CB3" w:rsidRPr="00657CB3" w:rsidRDefault="00657CB3" w:rsidP="002E73A2">
      <w:pPr>
        <w:pStyle w:val="Reminders"/>
        <w:numPr>
          <w:ilvl w:val="0"/>
          <w:numId w:val="42"/>
        </w:numPr>
        <w:rPr>
          <w:rFonts w:asciiTheme="minorHAnsi" w:hAnsiTheme="minorHAnsi" w:cs="Calibri"/>
          <w:i w:val="0"/>
          <w:color w:val="auto"/>
        </w:rPr>
      </w:pPr>
      <w:r w:rsidRPr="00657CB3">
        <w:rPr>
          <w:rFonts w:asciiTheme="minorHAnsi" w:hAnsiTheme="minorHAnsi" w:cstheme="minorHAnsi"/>
          <w:i w:val="0"/>
          <w:color w:val="auto"/>
          <w:szCs w:val="22"/>
        </w:rPr>
        <w:t>SCE17LG076.0 A1 - Calculation Template_Final.xlsm</w:t>
      </w:r>
    </w:p>
    <w:p w14:paraId="2629DB76" w14:textId="3BBF4CB4" w:rsidR="00C54EFF" w:rsidRPr="00657CB3" w:rsidRDefault="00657CB3" w:rsidP="002E73A2">
      <w:pPr>
        <w:pStyle w:val="Reminders"/>
        <w:numPr>
          <w:ilvl w:val="0"/>
          <w:numId w:val="42"/>
        </w:numPr>
        <w:rPr>
          <w:rFonts w:asciiTheme="minorHAnsi" w:hAnsiTheme="minorHAnsi" w:cs="Calibri"/>
          <w:i w:val="0"/>
          <w:color w:val="auto"/>
        </w:rPr>
      </w:pPr>
      <w:r w:rsidRPr="00657CB3">
        <w:rPr>
          <w:rFonts w:asciiTheme="minorHAnsi" w:hAnsiTheme="minorHAnsi" w:cs="Calibri"/>
          <w:i w:val="0"/>
          <w:color w:val="auto"/>
        </w:rPr>
        <w:t>SCE17LG076.0 A2 - Lighting Control Disposition.pdf</w:t>
      </w:r>
    </w:p>
    <w:p w14:paraId="34EE6304" w14:textId="7DC56EB3" w:rsidR="00657CB3" w:rsidRPr="00657CB3" w:rsidRDefault="00657CB3" w:rsidP="00657CB3">
      <w:pPr>
        <w:pStyle w:val="Reminders"/>
        <w:numPr>
          <w:ilvl w:val="0"/>
          <w:numId w:val="42"/>
        </w:numPr>
        <w:rPr>
          <w:rFonts w:asciiTheme="minorHAnsi" w:hAnsiTheme="minorHAnsi" w:cs="Calibri"/>
          <w:i w:val="0"/>
          <w:color w:val="auto"/>
        </w:rPr>
      </w:pPr>
      <w:r w:rsidRPr="00657CB3">
        <w:rPr>
          <w:rFonts w:asciiTheme="minorHAnsi" w:hAnsiTheme="minorHAnsi" w:cs="Calibri"/>
          <w:i w:val="0"/>
          <w:color w:val="auto"/>
        </w:rPr>
        <w:t>SCE17LG076.0 A3 - Cost Calculations 12092016.xlsx</w:t>
      </w:r>
    </w:p>
    <w:p w14:paraId="1A34B9B9" w14:textId="0B5767EF" w:rsidR="00657CB3" w:rsidRPr="00657CB3" w:rsidRDefault="00657CB3" w:rsidP="00657CB3">
      <w:pPr>
        <w:pStyle w:val="Reminders"/>
        <w:numPr>
          <w:ilvl w:val="0"/>
          <w:numId w:val="42"/>
        </w:numPr>
        <w:rPr>
          <w:rFonts w:asciiTheme="minorHAnsi" w:hAnsiTheme="minorHAnsi" w:cs="Calibri"/>
          <w:i w:val="0"/>
          <w:color w:val="auto"/>
        </w:rPr>
      </w:pPr>
      <w:r w:rsidRPr="00657CB3">
        <w:rPr>
          <w:rFonts w:asciiTheme="minorHAnsi" w:hAnsiTheme="minorHAnsi" w:cs="Calibri"/>
          <w:i w:val="0"/>
          <w:color w:val="auto"/>
        </w:rPr>
        <w:t>SCE17LG076.0 A4 - Savings Calculations 12092016.xlsx</w:t>
      </w:r>
    </w:p>
    <w:p w14:paraId="3BD99B9A" w14:textId="77777777" w:rsidR="00657CB3" w:rsidRDefault="00657CB3" w:rsidP="00657CB3">
      <w:pPr>
        <w:pStyle w:val="Reminders"/>
        <w:rPr>
          <w:rFonts w:asciiTheme="minorHAnsi" w:hAnsiTheme="minorHAnsi" w:cs="Calibri"/>
          <w:color w:val="auto"/>
        </w:rPr>
      </w:pPr>
    </w:p>
    <w:p w14:paraId="5C5CB0B1" w14:textId="77777777" w:rsidR="00657CB3" w:rsidRPr="00657CB3" w:rsidRDefault="00657CB3" w:rsidP="00657CB3">
      <w:pPr>
        <w:pStyle w:val="Reminders"/>
        <w:rPr>
          <w:rFonts w:asciiTheme="minorHAnsi" w:hAnsiTheme="minorHAnsi" w:cs="Calibri"/>
          <w:color w:val="auto"/>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3D10D6BF" w14:textId="77777777" w:rsidR="00657CB3" w:rsidRDefault="00657CB3" w:rsidP="00657CB3">
      <w:pPr>
        <w:pStyle w:val="ListParagraph"/>
        <w:numPr>
          <w:ilvl w:val="0"/>
          <w:numId w:val="43"/>
        </w:numPr>
      </w:pPr>
      <w:r w:rsidRPr="00F97342">
        <w:t>References_12122016_100741.xlsx</w:t>
      </w:r>
    </w:p>
    <w:p w14:paraId="5382407C" w14:textId="333AEF3A" w:rsidR="00D9055C" w:rsidRPr="00657CB3" w:rsidRDefault="00D9055C" w:rsidP="00657CB3">
      <w:pPr>
        <w:pStyle w:val="ListParagraph"/>
        <w:rPr>
          <w:color w:val="FF0000"/>
        </w:rPr>
      </w:pPr>
      <w:bookmarkStart w:id="21" w:name="_GoBack"/>
      <w:bookmarkEnd w:id="21"/>
    </w:p>
    <w:p w14:paraId="2479E6B3" w14:textId="5C57F317" w:rsidR="009B3700" w:rsidRDefault="00485C17">
      <w:r w:rsidRPr="009B3700" w:rsidDel="00485C17">
        <w:t xml:space="preserve"> </w:t>
      </w:r>
      <w:r w:rsidR="00D44FB0" w:rsidRPr="009B3700" w:rsidDel="00D44FB0">
        <w:t xml:space="preserve"> </w:t>
      </w:r>
      <w:r w:rsidR="009B3700" w:rsidRPr="009B3700">
        <w:t>[431]</w:t>
      </w:r>
    </w:p>
    <w:p w14:paraId="6FD1BAE0" w14:textId="5BFB0707" w:rsidR="00E56608" w:rsidRDefault="00E56608">
      <w:r>
        <w:t>[475]</w:t>
      </w:r>
    </w:p>
    <w:p w14:paraId="1262D448" w14:textId="41EB02A8" w:rsidR="00D44FB0" w:rsidRPr="009B3700" w:rsidRDefault="00D44FB0">
      <w:r>
        <w:t>[</w:t>
      </w:r>
      <w:r w:rsidR="00E56608">
        <w:t>496</w:t>
      </w:r>
      <w:r>
        <w:t>]</w:t>
      </w:r>
    </w:p>
    <w:p w14:paraId="48AD815B" w14:textId="43486463" w:rsidR="00556112" w:rsidRPr="00920905" w:rsidRDefault="00556112">
      <w:pPr>
        <w:rPr>
          <w:color w:val="FF0000"/>
        </w:rPr>
      </w:pPr>
    </w:p>
    <w:sectPr w:rsidR="00556112" w:rsidRPr="00920905"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B5869" w14:textId="77777777" w:rsidR="00F61833" w:rsidRDefault="00F61833" w:rsidP="00447D6E">
      <w:r>
        <w:separator/>
      </w:r>
    </w:p>
    <w:p w14:paraId="4A2B9B78" w14:textId="77777777" w:rsidR="00F61833" w:rsidRDefault="00F61833"/>
  </w:endnote>
  <w:endnote w:type="continuationSeparator" w:id="0">
    <w:p w14:paraId="1E6367ED" w14:textId="77777777" w:rsidR="00F61833" w:rsidRDefault="00F61833" w:rsidP="00447D6E">
      <w:r>
        <w:continuationSeparator/>
      </w:r>
    </w:p>
    <w:p w14:paraId="6696AFE9" w14:textId="77777777" w:rsidR="00F61833" w:rsidRDefault="00F61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71C55F3E" w:rsidR="00F61833" w:rsidRDefault="00B7184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2-21T00:00:00Z">
          <w:dateFormat w:val="MMMM d, yyyy"/>
          <w:lid w:val="en-US"/>
          <w:storeMappedDataAs w:val="dateTime"/>
          <w:calendar w:val="gregorian"/>
        </w:date>
      </w:sdtPr>
      <w:sdtEndPr/>
      <w:sdtContent>
        <w:r w:rsidR="00F61833">
          <w:rPr>
            <w:rFonts w:cstheme="minorHAnsi"/>
            <w:b/>
            <w:sz w:val="36"/>
            <w:szCs w:val="36"/>
          </w:rPr>
          <w:t>December 21, 2016</w:t>
        </w:r>
      </w:sdtContent>
    </w:sdt>
  </w:p>
  <w:p w14:paraId="650DB54B" w14:textId="670C7D5C" w:rsidR="00F61833" w:rsidRPr="009500DC" w:rsidRDefault="00F61833"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0AF2651" w:rsidR="00F61833" w:rsidRPr="009500DC" w:rsidRDefault="00B7184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61833">
          <w:rPr>
            <w:rFonts w:cstheme="minorHAnsi"/>
            <w:b/>
            <w:sz w:val="20"/>
            <w:szCs w:val="20"/>
          </w:rPr>
          <w:t>SCE17LG076</w:t>
        </w:r>
      </w:sdtContent>
    </w:sdt>
    <w:r w:rsidR="00F61833">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61833">
          <w:rPr>
            <w:rFonts w:cstheme="minorHAnsi"/>
            <w:b/>
            <w:sz w:val="20"/>
            <w:szCs w:val="20"/>
          </w:rPr>
          <w:t>Revision 0</w:t>
        </w:r>
      </w:sdtContent>
    </w:sdt>
    <w:r w:rsidR="00F61833" w:rsidRPr="009500DC">
      <w:rPr>
        <w:rFonts w:cstheme="minorHAnsi"/>
        <w:b/>
        <w:sz w:val="20"/>
        <w:szCs w:val="20"/>
      </w:rPr>
      <w:tab/>
    </w:r>
    <w:r w:rsidR="00F61833" w:rsidRPr="009500DC">
      <w:rPr>
        <w:rFonts w:cstheme="minorHAnsi"/>
        <w:b/>
        <w:sz w:val="20"/>
        <w:szCs w:val="20"/>
      </w:rPr>
      <w:fldChar w:fldCharType="begin"/>
    </w:r>
    <w:r w:rsidR="00F61833" w:rsidRPr="009500DC">
      <w:rPr>
        <w:rFonts w:cstheme="minorHAnsi"/>
        <w:b/>
        <w:sz w:val="20"/>
        <w:szCs w:val="20"/>
      </w:rPr>
      <w:instrText xml:space="preserve"> PAGE   \* MERGEFORMAT </w:instrText>
    </w:r>
    <w:r w:rsidR="00F61833" w:rsidRPr="009500DC">
      <w:rPr>
        <w:rFonts w:cstheme="minorHAnsi"/>
        <w:b/>
        <w:sz w:val="20"/>
        <w:szCs w:val="20"/>
      </w:rPr>
      <w:fldChar w:fldCharType="separate"/>
    </w:r>
    <w:r>
      <w:rPr>
        <w:rFonts w:cstheme="minorHAnsi"/>
        <w:b/>
        <w:noProof/>
        <w:sz w:val="20"/>
        <w:szCs w:val="20"/>
      </w:rPr>
      <w:t>13</w:t>
    </w:r>
    <w:r w:rsidR="00F61833" w:rsidRPr="009500DC">
      <w:rPr>
        <w:rFonts w:cstheme="minorHAnsi"/>
        <w:b/>
        <w:noProof/>
        <w:sz w:val="20"/>
        <w:szCs w:val="20"/>
      </w:rPr>
      <w:fldChar w:fldCharType="end"/>
    </w:r>
    <w:r w:rsidR="00F61833"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21T00:00:00Z">
          <w:dateFormat w:val="MMMM d, yyyy"/>
          <w:lid w:val="en-US"/>
          <w:storeMappedDataAs w:val="dateTime"/>
          <w:calendar w:val="gregorian"/>
        </w:date>
      </w:sdtPr>
      <w:sdtEndPr/>
      <w:sdtContent>
        <w:r w:rsidR="00F61833">
          <w:rPr>
            <w:rFonts w:cstheme="minorHAnsi"/>
            <w:b/>
            <w:sz w:val="20"/>
            <w:szCs w:val="20"/>
          </w:rPr>
          <w:t>December 21, 2016</w:t>
        </w:r>
      </w:sdtContent>
    </w:sdt>
  </w:p>
  <w:p w14:paraId="43C07EA5" w14:textId="544E4323" w:rsidR="00F61833" w:rsidRPr="009500DC" w:rsidRDefault="00B7184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61833">
          <w:rPr>
            <w:rFonts w:cstheme="minorHAnsi"/>
            <w:b/>
            <w:sz w:val="20"/>
            <w:szCs w:val="20"/>
          </w:rPr>
          <w:t>Southern California Edison</w:t>
        </w:r>
      </w:sdtContent>
    </w:sdt>
  </w:p>
  <w:p w14:paraId="4AC7586E" w14:textId="77777777" w:rsidR="00F61833" w:rsidRDefault="00F61833"/>
  <w:p w14:paraId="5C9861A8" w14:textId="77777777" w:rsidR="00F61833" w:rsidRDefault="00F618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07E84" w14:textId="77777777" w:rsidR="00F61833" w:rsidRDefault="00F61833" w:rsidP="00447D6E">
      <w:r>
        <w:separator/>
      </w:r>
    </w:p>
    <w:p w14:paraId="77625150" w14:textId="77777777" w:rsidR="00F61833" w:rsidRDefault="00F61833"/>
  </w:footnote>
  <w:footnote w:type="continuationSeparator" w:id="0">
    <w:p w14:paraId="65A9D336" w14:textId="77777777" w:rsidR="00F61833" w:rsidRDefault="00F61833" w:rsidP="00447D6E">
      <w:r>
        <w:continuationSeparator/>
      </w:r>
    </w:p>
    <w:p w14:paraId="3F189D7A" w14:textId="77777777" w:rsidR="00F61833" w:rsidRDefault="00F618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5C17CB6"/>
    <w:multiLevelType w:val="hybridMultilevel"/>
    <w:tmpl w:val="6298D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20DEF"/>
    <w:multiLevelType w:val="hybridMultilevel"/>
    <w:tmpl w:val="6D6E7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21334"/>
    <w:multiLevelType w:val="hybridMultilevel"/>
    <w:tmpl w:val="CB424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780937"/>
    <w:multiLevelType w:val="hybridMultilevel"/>
    <w:tmpl w:val="7B06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737886"/>
    <w:multiLevelType w:val="hybridMultilevel"/>
    <w:tmpl w:val="5860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6A496B"/>
    <w:multiLevelType w:val="hybridMultilevel"/>
    <w:tmpl w:val="8112F7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B02BDA"/>
    <w:multiLevelType w:val="hybridMultilevel"/>
    <w:tmpl w:val="FA08C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7C20FA"/>
    <w:multiLevelType w:val="hybridMultilevel"/>
    <w:tmpl w:val="950C93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F730AB"/>
    <w:multiLevelType w:val="hybridMultilevel"/>
    <w:tmpl w:val="AB544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7"/>
  </w:num>
  <w:num w:numId="11">
    <w:abstractNumId w:val="24"/>
  </w:num>
  <w:num w:numId="12">
    <w:abstractNumId w:val="18"/>
  </w:num>
  <w:num w:numId="13">
    <w:abstractNumId w:val="11"/>
  </w:num>
  <w:num w:numId="14">
    <w:abstractNumId w:val="38"/>
  </w:num>
  <w:num w:numId="15">
    <w:abstractNumId w:val="9"/>
  </w:num>
  <w:num w:numId="16">
    <w:abstractNumId w:val="13"/>
  </w:num>
  <w:num w:numId="17">
    <w:abstractNumId w:val="6"/>
  </w:num>
  <w:num w:numId="18">
    <w:abstractNumId w:val="0"/>
  </w:num>
  <w:num w:numId="19">
    <w:abstractNumId w:val="36"/>
  </w:num>
  <w:num w:numId="20">
    <w:abstractNumId w:val="4"/>
  </w:num>
  <w:num w:numId="21">
    <w:abstractNumId w:val="27"/>
  </w:num>
  <w:num w:numId="22">
    <w:abstractNumId w:val="29"/>
  </w:num>
  <w:num w:numId="23">
    <w:abstractNumId w:val="39"/>
  </w:num>
  <w:num w:numId="24">
    <w:abstractNumId w:val="35"/>
  </w:num>
  <w:num w:numId="25">
    <w:abstractNumId w:val="14"/>
  </w:num>
  <w:num w:numId="26">
    <w:abstractNumId w:val="17"/>
  </w:num>
  <w:num w:numId="27">
    <w:abstractNumId w:val="31"/>
  </w:num>
  <w:num w:numId="28">
    <w:abstractNumId w:val="15"/>
  </w:num>
  <w:num w:numId="29">
    <w:abstractNumId w:val="8"/>
  </w:num>
  <w:num w:numId="30">
    <w:abstractNumId w:val="1"/>
  </w:num>
  <w:num w:numId="31">
    <w:abstractNumId w:val="40"/>
  </w:num>
  <w:num w:numId="32">
    <w:abstractNumId w:val="26"/>
  </w:num>
  <w:num w:numId="33">
    <w:abstractNumId w:val="33"/>
  </w:num>
  <w:num w:numId="34">
    <w:abstractNumId w:val="10"/>
  </w:num>
  <w:num w:numId="35">
    <w:abstractNumId w:val="34"/>
  </w:num>
  <w:num w:numId="36">
    <w:abstractNumId w:val="30"/>
  </w:num>
  <w:num w:numId="37">
    <w:abstractNumId w:val="3"/>
  </w:num>
  <w:num w:numId="38">
    <w:abstractNumId w:val="32"/>
  </w:num>
  <w:num w:numId="39">
    <w:abstractNumId w:val="5"/>
  </w:num>
  <w:num w:numId="40">
    <w:abstractNumId w:val="16"/>
  </w:num>
  <w:num w:numId="41">
    <w:abstractNumId w:val="25"/>
  </w:num>
  <w:num w:numId="42">
    <w:abstractNumId w:val="28"/>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3A7"/>
    <w:rsid w:val="00005902"/>
    <w:rsid w:val="0001002B"/>
    <w:rsid w:val="00010806"/>
    <w:rsid w:val="00013F71"/>
    <w:rsid w:val="000173BF"/>
    <w:rsid w:val="000224E5"/>
    <w:rsid w:val="00024252"/>
    <w:rsid w:val="000245B5"/>
    <w:rsid w:val="00027183"/>
    <w:rsid w:val="00033EA1"/>
    <w:rsid w:val="0003746D"/>
    <w:rsid w:val="0004020F"/>
    <w:rsid w:val="000436CB"/>
    <w:rsid w:val="00052E17"/>
    <w:rsid w:val="00055DB4"/>
    <w:rsid w:val="00056947"/>
    <w:rsid w:val="0006005D"/>
    <w:rsid w:val="00061A8E"/>
    <w:rsid w:val="00064CB3"/>
    <w:rsid w:val="00070BEE"/>
    <w:rsid w:val="00072040"/>
    <w:rsid w:val="00076DF4"/>
    <w:rsid w:val="00076F51"/>
    <w:rsid w:val="0008524C"/>
    <w:rsid w:val="00086F7F"/>
    <w:rsid w:val="0009074D"/>
    <w:rsid w:val="0009592B"/>
    <w:rsid w:val="000968C6"/>
    <w:rsid w:val="000A0925"/>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15DB1"/>
    <w:rsid w:val="001206F7"/>
    <w:rsid w:val="001236C1"/>
    <w:rsid w:val="00132003"/>
    <w:rsid w:val="00133EE8"/>
    <w:rsid w:val="00140B30"/>
    <w:rsid w:val="00147155"/>
    <w:rsid w:val="00153CB3"/>
    <w:rsid w:val="00154C3B"/>
    <w:rsid w:val="00160158"/>
    <w:rsid w:val="00165357"/>
    <w:rsid w:val="001722B7"/>
    <w:rsid w:val="001727D9"/>
    <w:rsid w:val="00172910"/>
    <w:rsid w:val="00172927"/>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03EE"/>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2251E"/>
    <w:rsid w:val="00227002"/>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44FB"/>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77D67"/>
    <w:rsid w:val="003832D2"/>
    <w:rsid w:val="003845E5"/>
    <w:rsid w:val="00393137"/>
    <w:rsid w:val="0039615F"/>
    <w:rsid w:val="00397406"/>
    <w:rsid w:val="003A2433"/>
    <w:rsid w:val="003A3170"/>
    <w:rsid w:val="003A360E"/>
    <w:rsid w:val="003B2F70"/>
    <w:rsid w:val="003D17FF"/>
    <w:rsid w:val="003D2871"/>
    <w:rsid w:val="003D2981"/>
    <w:rsid w:val="003D5B83"/>
    <w:rsid w:val="003E6E47"/>
    <w:rsid w:val="003E7F3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3A69"/>
    <w:rsid w:val="004651A9"/>
    <w:rsid w:val="004673A2"/>
    <w:rsid w:val="00471234"/>
    <w:rsid w:val="00472250"/>
    <w:rsid w:val="0047437C"/>
    <w:rsid w:val="00477522"/>
    <w:rsid w:val="00480C77"/>
    <w:rsid w:val="00480E7B"/>
    <w:rsid w:val="004843E5"/>
    <w:rsid w:val="00484BF6"/>
    <w:rsid w:val="00485C17"/>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4F35DC"/>
    <w:rsid w:val="00500C4E"/>
    <w:rsid w:val="00502AFA"/>
    <w:rsid w:val="00505CEC"/>
    <w:rsid w:val="0051020F"/>
    <w:rsid w:val="00513CAB"/>
    <w:rsid w:val="00516CF5"/>
    <w:rsid w:val="00523597"/>
    <w:rsid w:val="00523736"/>
    <w:rsid w:val="00532530"/>
    <w:rsid w:val="00535CA4"/>
    <w:rsid w:val="005476F6"/>
    <w:rsid w:val="00551D72"/>
    <w:rsid w:val="005540B6"/>
    <w:rsid w:val="00554428"/>
    <w:rsid w:val="005552C3"/>
    <w:rsid w:val="00556112"/>
    <w:rsid w:val="00560934"/>
    <w:rsid w:val="00563E58"/>
    <w:rsid w:val="00564960"/>
    <w:rsid w:val="0056626A"/>
    <w:rsid w:val="00570654"/>
    <w:rsid w:val="00570F38"/>
    <w:rsid w:val="005720F2"/>
    <w:rsid w:val="005729C8"/>
    <w:rsid w:val="00572D2F"/>
    <w:rsid w:val="005734A4"/>
    <w:rsid w:val="00582280"/>
    <w:rsid w:val="00594EF5"/>
    <w:rsid w:val="005A047C"/>
    <w:rsid w:val="005A0E53"/>
    <w:rsid w:val="005A1078"/>
    <w:rsid w:val="005A3B68"/>
    <w:rsid w:val="005A4658"/>
    <w:rsid w:val="005A496B"/>
    <w:rsid w:val="005B28C1"/>
    <w:rsid w:val="005B36D6"/>
    <w:rsid w:val="005B6344"/>
    <w:rsid w:val="005C1C74"/>
    <w:rsid w:val="005C2E48"/>
    <w:rsid w:val="005C3F23"/>
    <w:rsid w:val="005D4DD7"/>
    <w:rsid w:val="005E12A9"/>
    <w:rsid w:val="005E27EF"/>
    <w:rsid w:val="005F139E"/>
    <w:rsid w:val="005F69D5"/>
    <w:rsid w:val="00600D65"/>
    <w:rsid w:val="006020D3"/>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57CB3"/>
    <w:rsid w:val="00664B05"/>
    <w:rsid w:val="00665C04"/>
    <w:rsid w:val="0066682D"/>
    <w:rsid w:val="006746FE"/>
    <w:rsid w:val="00676E9F"/>
    <w:rsid w:val="00680934"/>
    <w:rsid w:val="00684F91"/>
    <w:rsid w:val="00685D5C"/>
    <w:rsid w:val="0069264D"/>
    <w:rsid w:val="0069578B"/>
    <w:rsid w:val="00695EBC"/>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D29B9"/>
    <w:rsid w:val="006D30AB"/>
    <w:rsid w:val="006E27A3"/>
    <w:rsid w:val="006E3342"/>
    <w:rsid w:val="006E4B12"/>
    <w:rsid w:val="006E65D0"/>
    <w:rsid w:val="006F1B21"/>
    <w:rsid w:val="006F21E8"/>
    <w:rsid w:val="006F64D8"/>
    <w:rsid w:val="006F78D5"/>
    <w:rsid w:val="0070091B"/>
    <w:rsid w:val="007048AC"/>
    <w:rsid w:val="00713325"/>
    <w:rsid w:val="00726338"/>
    <w:rsid w:val="00726AD5"/>
    <w:rsid w:val="00733C7D"/>
    <w:rsid w:val="00736E16"/>
    <w:rsid w:val="00740761"/>
    <w:rsid w:val="00745F77"/>
    <w:rsid w:val="007464DE"/>
    <w:rsid w:val="007529EA"/>
    <w:rsid w:val="00755A45"/>
    <w:rsid w:val="007571C6"/>
    <w:rsid w:val="007571E6"/>
    <w:rsid w:val="00760CDC"/>
    <w:rsid w:val="00764D0D"/>
    <w:rsid w:val="00777C53"/>
    <w:rsid w:val="00786E92"/>
    <w:rsid w:val="007933F1"/>
    <w:rsid w:val="007A5E55"/>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480F"/>
    <w:rsid w:val="00824F1C"/>
    <w:rsid w:val="00826688"/>
    <w:rsid w:val="00827F29"/>
    <w:rsid w:val="0083369B"/>
    <w:rsid w:val="00835D38"/>
    <w:rsid w:val="00843763"/>
    <w:rsid w:val="00847A4E"/>
    <w:rsid w:val="00853CB8"/>
    <w:rsid w:val="00860772"/>
    <w:rsid w:val="00871D79"/>
    <w:rsid w:val="00872AE5"/>
    <w:rsid w:val="0087393E"/>
    <w:rsid w:val="00881A42"/>
    <w:rsid w:val="00882386"/>
    <w:rsid w:val="0088361D"/>
    <w:rsid w:val="00885E0A"/>
    <w:rsid w:val="0088603B"/>
    <w:rsid w:val="008877AF"/>
    <w:rsid w:val="00893FC3"/>
    <w:rsid w:val="0089577B"/>
    <w:rsid w:val="008B1024"/>
    <w:rsid w:val="008B1357"/>
    <w:rsid w:val="008B1DDB"/>
    <w:rsid w:val="008B2DF3"/>
    <w:rsid w:val="008B40CD"/>
    <w:rsid w:val="008C2E0E"/>
    <w:rsid w:val="008C4DE0"/>
    <w:rsid w:val="008D3930"/>
    <w:rsid w:val="008D67F9"/>
    <w:rsid w:val="008E134F"/>
    <w:rsid w:val="008E17CC"/>
    <w:rsid w:val="008E25B1"/>
    <w:rsid w:val="008E56FB"/>
    <w:rsid w:val="008F17FC"/>
    <w:rsid w:val="008F2167"/>
    <w:rsid w:val="008F33B4"/>
    <w:rsid w:val="008F6298"/>
    <w:rsid w:val="0090077A"/>
    <w:rsid w:val="00900F47"/>
    <w:rsid w:val="00904ADA"/>
    <w:rsid w:val="00907530"/>
    <w:rsid w:val="00907697"/>
    <w:rsid w:val="00910A69"/>
    <w:rsid w:val="009138A0"/>
    <w:rsid w:val="0091424C"/>
    <w:rsid w:val="00917DE4"/>
    <w:rsid w:val="00920905"/>
    <w:rsid w:val="00922B85"/>
    <w:rsid w:val="00930CDC"/>
    <w:rsid w:val="00931E45"/>
    <w:rsid w:val="00933188"/>
    <w:rsid w:val="00935244"/>
    <w:rsid w:val="00935AF9"/>
    <w:rsid w:val="009403A5"/>
    <w:rsid w:val="00941396"/>
    <w:rsid w:val="009500DC"/>
    <w:rsid w:val="00951923"/>
    <w:rsid w:val="00954DCE"/>
    <w:rsid w:val="00972C81"/>
    <w:rsid w:val="009824E9"/>
    <w:rsid w:val="009826E5"/>
    <w:rsid w:val="009844A1"/>
    <w:rsid w:val="00986E20"/>
    <w:rsid w:val="00987C1D"/>
    <w:rsid w:val="00995479"/>
    <w:rsid w:val="00995CB0"/>
    <w:rsid w:val="00997E77"/>
    <w:rsid w:val="009A2734"/>
    <w:rsid w:val="009B2A02"/>
    <w:rsid w:val="009B2B61"/>
    <w:rsid w:val="009B3700"/>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57FE"/>
    <w:rsid w:val="00A37D11"/>
    <w:rsid w:val="00A37F42"/>
    <w:rsid w:val="00A4411F"/>
    <w:rsid w:val="00A500D6"/>
    <w:rsid w:val="00A523FF"/>
    <w:rsid w:val="00A54756"/>
    <w:rsid w:val="00A54C66"/>
    <w:rsid w:val="00A560E2"/>
    <w:rsid w:val="00A57D36"/>
    <w:rsid w:val="00A61BB6"/>
    <w:rsid w:val="00A65734"/>
    <w:rsid w:val="00A6687F"/>
    <w:rsid w:val="00A67907"/>
    <w:rsid w:val="00A73CC1"/>
    <w:rsid w:val="00A80016"/>
    <w:rsid w:val="00A80270"/>
    <w:rsid w:val="00A82DB1"/>
    <w:rsid w:val="00A83D58"/>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777"/>
    <w:rsid w:val="00AC3DAD"/>
    <w:rsid w:val="00AC5309"/>
    <w:rsid w:val="00AC5B97"/>
    <w:rsid w:val="00AD4DD0"/>
    <w:rsid w:val="00AE0A8D"/>
    <w:rsid w:val="00AE28F1"/>
    <w:rsid w:val="00AF4C97"/>
    <w:rsid w:val="00AF6342"/>
    <w:rsid w:val="00B053FB"/>
    <w:rsid w:val="00B05647"/>
    <w:rsid w:val="00B07EE5"/>
    <w:rsid w:val="00B12BDB"/>
    <w:rsid w:val="00B172A8"/>
    <w:rsid w:val="00B21CC5"/>
    <w:rsid w:val="00B26778"/>
    <w:rsid w:val="00B26B83"/>
    <w:rsid w:val="00B278B5"/>
    <w:rsid w:val="00B32479"/>
    <w:rsid w:val="00B33FE2"/>
    <w:rsid w:val="00B403ED"/>
    <w:rsid w:val="00B4065F"/>
    <w:rsid w:val="00B45091"/>
    <w:rsid w:val="00B45447"/>
    <w:rsid w:val="00B614F1"/>
    <w:rsid w:val="00B62EEE"/>
    <w:rsid w:val="00B71843"/>
    <w:rsid w:val="00B74E87"/>
    <w:rsid w:val="00B74F96"/>
    <w:rsid w:val="00B83EDA"/>
    <w:rsid w:val="00B866B4"/>
    <w:rsid w:val="00B94226"/>
    <w:rsid w:val="00BA0A8C"/>
    <w:rsid w:val="00BA0CEB"/>
    <w:rsid w:val="00BA2383"/>
    <w:rsid w:val="00BA2E7E"/>
    <w:rsid w:val="00BA532A"/>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2F6F"/>
    <w:rsid w:val="00C24D03"/>
    <w:rsid w:val="00C25E61"/>
    <w:rsid w:val="00C35A1B"/>
    <w:rsid w:val="00C413AF"/>
    <w:rsid w:val="00C413F3"/>
    <w:rsid w:val="00C54EFF"/>
    <w:rsid w:val="00C55D03"/>
    <w:rsid w:val="00C57327"/>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C384D"/>
    <w:rsid w:val="00CD0994"/>
    <w:rsid w:val="00CD7EFE"/>
    <w:rsid w:val="00CE0C66"/>
    <w:rsid w:val="00CE28CF"/>
    <w:rsid w:val="00CE4386"/>
    <w:rsid w:val="00CE4CDC"/>
    <w:rsid w:val="00CE5BEB"/>
    <w:rsid w:val="00CE69E9"/>
    <w:rsid w:val="00CE71F2"/>
    <w:rsid w:val="00CF3F65"/>
    <w:rsid w:val="00CF464D"/>
    <w:rsid w:val="00CF66EF"/>
    <w:rsid w:val="00D167B9"/>
    <w:rsid w:val="00D17EF4"/>
    <w:rsid w:val="00D23770"/>
    <w:rsid w:val="00D25074"/>
    <w:rsid w:val="00D2764E"/>
    <w:rsid w:val="00D279BF"/>
    <w:rsid w:val="00D34517"/>
    <w:rsid w:val="00D36798"/>
    <w:rsid w:val="00D441C6"/>
    <w:rsid w:val="00D44FB0"/>
    <w:rsid w:val="00D47E80"/>
    <w:rsid w:val="00D61565"/>
    <w:rsid w:val="00D61A9C"/>
    <w:rsid w:val="00D70563"/>
    <w:rsid w:val="00D70D89"/>
    <w:rsid w:val="00D72051"/>
    <w:rsid w:val="00D7380B"/>
    <w:rsid w:val="00D75D77"/>
    <w:rsid w:val="00D7639E"/>
    <w:rsid w:val="00D7662E"/>
    <w:rsid w:val="00D81710"/>
    <w:rsid w:val="00D835EF"/>
    <w:rsid w:val="00D85F09"/>
    <w:rsid w:val="00D86A9D"/>
    <w:rsid w:val="00D9055C"/>
    <w:rsid w:val="00D97799"/>
    <w:rsid w:val="00DA089A"/>
    <w:rsid w:val="00DA11A0"/>
    <w:rsid w:val="00DA2822"/>
    <w:rsid w:val="00DA690B"/>
    <w:rsid w:val="00DA7225"/>
    <w:rsid w:val="00DB1BAE"/>
    <w:rsid w:val="00DB44E9"/>
    <w:rsid w:val="00DC1966"/>
    <w:rsid w:val="00DC3259"/>
    <w:rsid w:val="00DD0523"/>
    <w:rsid w:val="00DE5758"/>
    <w:rsid w:val="00DE5FCF"/>
    <w:rsid w:val="00DF0D19"/>
    <w:rsid w:val="00DF2EE9"/>
    <w:rsid w:val="00DF6FD8"/>
    <w:rsid w:val="00E05A80"/>
    <w:rsid w:val="00E06A37"/>
    <w:rsid w:val="00E071A5"/>
    <w:rsid w:val="00E07752"/>
    <w:rsid w:val="00E12FC7"/>
    <w:rsid w:val="00E16609"/>
    <w:rsid w:val="00E16F08"/>
    <w:rsid w:val="00E233F3"/>
    <w:rsid w:val="00E24885"/>
    <w:rsid w:val="00E26B34"/>
    <w:rsid w:val="00E314BA"/>
    <w:rsid w:val="00E31AB1"/>
    <w:rsid w:val="00E325BE"/>
    <w:rsid w:val="00E326BA"/>
    <w:rsid w:val="00E34202"/>
    <w:rsid w:val="00E37F72"/>
    <w:rsid w:val="00E40BE5"/>
    <w:rsid w:val="00E40CF9"/>
    <w:rsid w:val="00E42A30"/>
    <w:rsid w:val="00E454A7"/>
    <w:rsid w:val="00E5625D"/>
    <w:rsid w:val="00E56608"/>
    <w:rsid w:val="00E611A3"/>
    <w:rsid w:val="00E648BB"/>
    <w:rsid w:val="00E67ACA"/>
    <w:rsid w:val="00E67CAC"/>
    <w:rsid w:val="00E72F2F"/>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D0BDC"/>
    <w:rsid w:val="00EE29DF"/>
    <w:rsid w:val="00EE4120"/>
    <w:rsid w:val="00EE6349"/>
    <w:rsid w:val="00EF2E8A"/>
    <w:rsid w:val="00EF4E6B"/>
    <w:rsid w:val="00EF5416"/>
    <w:rsid w:val="00EF598F"/>
    <w:rsid w:val="00F034CB"/>
    <w:rsid w:val="00F06CCF"/>
    <w:rsid w:val="00F07C6A"/>
    <w:rsid w:val="00F1053D"/>
    <w:rsid w:val="00F110D5"/>
    <w:rsid w:val="00F11E63"/>
    <w:rsid w:val="00F12733"/>
    <w:rsid w:val="00F171E1"/>
    <w:rsid w:val="00F20A7A"/>
    <w:rsid w:val="00F20DCF"/>
    <w:rsid w:val="00F25B36"/>
    <w:rsid w:val="00F266E3"/>
    <w:rsid w:val="00F3052A"/>
    <w:rsid w:val="00F341E3"/>
    <w:rsid w:val="00F35D09"/>
    <w:rsid w:val="00F41A14"/>
    <w:rsid w:val="00F4304D"/>
    <w:rsid w:val="00F46612"/>
    <w:rsid w:val="00F473EB"/>
    <w:rsid w:val="00F474EF"/>
    <w:rsid w:val="00F4752B"/>
    <w:rsid w:val="00F476E8"/>
    <w:rsid w:val="00F541AE"/>
    <w:rsid w:val="00F56792"/>
    <w:rsid w:val="00F571A6"/>
    <w:rsid w:val="00F6018B"/>
    <w:rsid w:val="00F60265"/>
    <w:rsid w:val="00F60E32"/>
    <w:rsid w:val="00F61833"/>
    <w:rsid w:val="00F644FF"/>
    <w:rsid w:val="00F65ABA"/>
    <w:rsid w:val="00F65E15"/>
    <w:rsid w:val="00F7242E"/>
    <w:rsid w:val="00F74B33"/>
    <w:rsid w:val="00F810DD"/>
    <w:rsid w:val="00F95E2F"/>
    <w:rsid w:val="00F96DEB"/>
    <w:rsid w:val="00FA1872"/>
    <w:rsid w:val="00FA4F34"/>
    <w:rsid w:val="00FB2590"/>
    <w:rsid w:val="00FC77F5"/>
    <w:rsid w:val="00FD5A8C"/>
    <w:rsid w:val="00FE286E"/>
    <w:rsid w:val="00FE3233"/>
    <w:rsid w:val="00FE4C68"/>
    <w:rsid w:val="00FE5FAF"/>
    <w:rsid w:val="00FE6D74"/>
    <w:rsid w:val="00FE773C"/>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77E0EA"/>
  <w15:docId w15:val="{1CD6428E-C7F6-49A6-A938-25CFC5DA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72D2F"/>
    <w:rPr>
      <w:rFonts w:ascii="Arial" w:hAnsi="Arial"/>
      <w:sz w:val="20"/>
      <w:szCs w:val="20"/>
    </w:rPr>
  </w:style>
  <w:style w:type="character" w:customStyle="1" w:styleId="EndnoteTextChar">
    <w:name w:val="Endnote Text Char"/>
    <w:basedOn w:val="DefaultParagraphFont"/>
    <w:link w:val="EndnoteText"/>
    <w:uiPriority w:val="99"/>
    <w:semiHidden/>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98425">
      <w:bodyDiv w:val="1"/>
      <w:marLeft w:val="0"/>
      <w:marRight w:val="0"/>
      <w:marTop w:val="0"/>
      <w:marBottom w:val="0"/>
      <w:divBdr>
        <w:top w:val="none" w:sz="0" w:space="0" w:color="auto"/>
        <w:left w:val="none" w:sz="0" w:space="0" w:color="auto"/>
        <w:bottom w:val="none" w:sz="0" w:space="0" w:color="auto"/>
        <w:right w:val="none" w:sz="0" w:space="0" w:color="auto"/>
      </w:divBdr>
    </w:div>
    <w:div w:id="318928760">
      <w:bodyDiv w:val="1"/>
      <w:marLeft w:val="0"/>
      <w:marRight w:val="0"/>
      <w:marTop w:val="0"/>
      <w:marBottom w:val="0"/>
      <w:divBdr>
        <w:top w:val="none" w:sz="0" w:space="0" w:color="auto"/>
        <w:left w:val="none" w:sz="0" w:space="0" w:color="auto"/>
        <w:bottom w:val="none" w:sz="0" w:space="0" w:color="auto"/>
        <w:right w:val="none" w:sz="0" w:space="0" w:color="auto"/>
      </w:divBdr>
    </w:div>
    <w:div w:id="480074499">
      <w:bodyDiv w:val="1"/>
      <w:marLeft w:val="0"/>
      <w:marRight w:val="0"/>
      <w:marTop w:val="0"/>
      <w:marBottom w:val="0"/>
      <w:divBdr>
        <w:top w:val="none" w:sz="0" w:space="0" w:color="auto"/>
        <w:left w:val="none" w:sz="0" w:space="0" w:color="auto"/>
        <w:bottom w:val="none" w:sz="0" w:space="0" w:color="auto"/>
        <w:right w:val="none" w:sz="0" w:space="0" w:color="auto"/>
      </w:divBdr>
    </w:div>
    <w:div w:id="574751757">
      <w:bodyDiv w:val="1"/>
      <w:marLeft w:val="0"/>
      <w:marRight w:val="0"/>
      <w:marTop w:val="0"/>
      <w:marBottom w:val="0"/>
      <w:divBdr>
        <w:top w:val="none" w:sz="0" w:space="0" w:color="auto"/>
        <w:left w:val="none" w:sz="0" w:space="0" w:color="auto"/>
        <w:bottom w:val="none" w:sz="0" w:space="0" w:color="auto"/>
        <w:right w:val="none" w:sz="0" w:space="0" w:color="auto"/>
      </w:divBdr>
    </w:div>
    <w:div w:id="670524831">
      <w:bodyDiv w:val="1"/>
      <w:marLeft w:val="0"/>
      <w:marRight w:val="0"/>
      <w:marTop w:val="0"/>
      <w:marBottom w:val="0"/>
      <w:divBdr>
        <w:top w:val="none" w:sz="0" w:space="0" w:color="auto"/>
        <w:left w:val="none" w:sz="0" w:space="0" w:color="auto"/>
        <w:bottom w:val="none" w:sz="0" w:space="0" w:color="auto"/>
        <w:right w:val="none" w:sz="0" w:space="0" w:color="auto"/>
      </w:divBdr>
    </w:div>
    <w:div w:id="75544281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4447877">
      <w:bodyDiv w:val="1"/>
      <w:marLeft w:val="0"/>
      <w:marRight w:val="0"/>
      <w:marTop w:val="0"/>
      <w:marBottom w:val="0"/>
      <w:divBdr>
        <w:top w:val="none" w:sz="0" w:space="0" w:color="auto"/>
        <w:left w:val="none" w:sz="0" w:space="0" w:color="auto"/>
        <w:bottom w:val="none" w:sz="0" w:space="0" w:color="auto"/>
        <w:right w:val="none" w:sz="0" w:space="0" w:color="auto"/>
      </w:divBdr>
    </w:div>
    <w:div w:id="86621988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1387682">
      <w:bodyDiv w:val="1"/>
      <w:marLeft w:val="0"/>
      <w:marRight w:val="0"/>
      <w:marTop w:val="0"/>
      <w:marBottom w:val="0"/>
      <w:divBdr>
        <w:top w:val="none" w:sz="0" w:space="0" w:color="auto"/>
        <w:left w:val="none" w:sz="0" w:space="0" w:color="auto"/>
        <w:bottom w:val="none" w:sz="0" w:space="0" w:color="auto"/>
        <w:right w:val="none" w:sz="0" w:space="0" w:color="auto"/>
      </w:divBdr>
    </w:div>
    <w:div w:id="1167208566">
      <w:bodyDiv w:val="1"/>
      <w:marLeft w:val="0"/>
      <w:marRight w:val="0"/>
      <w:marTop w:val="0"/>
      <w:marBottom w:val="0"/>
      <w:divBdr>
        <w:top w:val="none" w:sz="0" w:space="0" w:color="auto"/>
        <w:left w:val="none" w:sz="0" w:space="0" w:color="auto"/>
        <w:bottom w:val="none" w:sz="0" w:space="0" w:color="auto"/>
        <w:right w:val="none" w:sz="0" w:space="0" w:color="auto"/>
      </w:divBdr>
    </w:div>
    <w:div w:id="1192458720">
      <w:bodyDiv w:val="1"/>
      <w:marLeft w:val="0"/>
      <w:marRight w:val="0"/>
      <w:marTop w:val="0"/>
      <w:marBottom w:val="0"/>
      <w:divBdr>
        <w:top w:val="none" w:sz="0" w:space="0" w:color="auto"/>
        <w:left w:val="none" w:sz="0" w:space="0" w:color="auto"/>
        <w:bottom w:val="none" w:sz="0" w:space="0" w:color="auto"/>
        <w:right w:val="none" w:sz="0" w:space="0" w:color="auto"/>
      </w:divBdr>
    </w:div>
    <w:div w:id="1221868083">
      <w:bodyDiv w:val="1"/>
      <w:marLeft w:val="0"/>
      <w:marRight w:val="0"/>
      <w:marTop w:val="0"/>
      <w:marBottom w:val="0"/>
      <w:divBdr>
        <w:top w:val="none" w:sz="0" w:space="0" w:color="auto"/>
        <w:left w:val="none" w:sz="0" w:space="0" w:color="auto"/>
        <w:bottom w:val="none" w:sz="0" w:space="0" w:color="auto"/>
        <w:right w:val="none" w:sz="0" w:space="0" w:color="auto"/>
      </w:divBdr>
    </w:div>
    <w:div w:id="1222868065">
      <w:bodyDiv w:val="1"/>
      <w:marLeft w:val="0"/>
      <w:marRight w:val="0"/>
      <w:marTop w:val="0"/>
      <w:marBottom w:val="0"/>
      <w:divBdr>
        <w:top w:val="none" w:sz="0" w:space="0" w:color="auto"/>
        <w:left w:val="none" w:sz="0" w:space="0" w:color="auto"/>
        <w:bottom w:val="none" w:sz="0" w:space="0" w:color="auto"/>
        <w:right w:val="none" w:sz="0" w:space="0" w:color="auto"/>
      </w:divBdr>
    </w:div>
    <w:div w:id="1242568114">
      <w:bodyDiv w:val="1"/>
      <w:marLeft w:val="0"/>
      <w:marRight w:val="0"/>
      <w:marTop w:val="0"/>
      <w:marBottom w:val="0"/>
      <w:divBdr>
        <w:top w:val="none" w:sz="0" w:space="0" w:color="auto"/>
        <w:left w:val="none" w:sz="0" w:space="0" w:color="auto"/>
        <w:bottom w:val="none" w:sz="0" w:space="0" w:color="auto"/>
        <w:right w:val="none" w:sz="0" w:space="0" w:color="auto"/>
      </w:divBdr>
    </w:div>
    <w:div w:id="1309432685">
      <w:bodyDiv w:val="1"/>
      <w:marLeft w:val="0"/>
      <w:marRight w:val="0"/>
      <w:marTop w:val="0"/>
      <w:marBottom w:val="0"/>
      <w:divBdr>
        <w:top w:val="none" w:sz="0" w:space="0" w:color="auto"/>
        <w:left w:val="none" w:sz="0" w:space="0" w:color="auto"/>
        <w:bottom w:val="none" w:sz="0" w:space="0" w:color="auto"/>
        <w:right w:val="none" w:sz="0" w:space="0" w:color="auto"/>
      </w:divBdr>
    </w:div>
    <w:div w:id="1511065776">
      <w:bodyDiv w:val="1"/>
      <w:marLeft w:val="0"/>
      <w:marRight w:val="0"/>
      <w:marTop w:val="0"/>
      <w:marBottom w:val="0"/>
      <w:divBdr>
        <w:top w:val="none" w:sz="0" w:space="0" w:color="auto"/>
        <w:left w:val="none" w:sz="0" w:space="0" w:color="auto"/>
        <w:bottom w:val="none" w:sz="0" w:space="0" w:color="auto"/>
        <w:right w:val="none" w:sz="0" w:space="0" w:color="auto"/>
      </w:divBdr>
    </w:div>
    <w:div w:id="1528760903">
      <w:bodyDiv w:val="1"/>
      <w:marLeft w:val="0"/>
      <w:marRight w:val="0"/>
      <w:marTop w:val="0"/>
      <w:marBottom w:val="0"/>
      <w:divBdr>
        <w:top w:val="none" w:sz="0" w:space="0" w:color="auto"/>
        <w:left w:val="none" w:sz="0" w:space="0" w:color="auto"/>
        <w:bottom w:val="none" w:sz="0" w:space="0" w:color="auto"/>
        <w:right w:val="none" w:sz="0" w:space="0" w:color="auto"/>
      </w:divBdr>
    </w:div>
    <w:div w:id="1767532465">
      <w:bodyDiv w:val="1"/>
      <w:marLeft w:val="0"/>
      <w:marRight w:val="0"/>
      <w:marTop w:val="0"/>
      <w:marBottom w:val="0"/>
      <w:divBdr>
        <w:top w:val="none" w:sz="0" w:space="0" w:color="auto"/>
        <w:left w:val="none" w:sz="0" w:space="0" w:color="auto"/>
        <w:bottom w:val="none" w:sz="0" w:space="0" w:color="auto"/>
        <w:right w:val="none" w:sz="0" w:space="0" w:color="auto"/>
      </w:divBdr>
    </w:div>
    <w:div w:id="1798185337">
      <w:bodyDiv w:val="1"/>
      <w:marLeft w:val="0"/>
      <w:marRight w:val="0"/>
      <w:marTop w:val="0"/>
      <w:marBottom w:val="0"/>
      <w:divBdr>
        <w:top w:val="none" w:sz="0" w:space="0" w:color="auto"/>
        <w:left w:val="none" w:sz="0" w:space="0" w:color="auto"/>
        <w:bottom w:val="none" w:sz="0" w:space="0" w:color="auto"/>
        <w:right w:val="none" w:sz="0" w:space="0" w:color="auto"/>
      </w:divBdr>
    </w:div>
    <w:div w:id="1826046198">
      <w:bodyDiv w:val="1"/>
      <w:marLeft w:val="0"/>
      <w:marRight w:val="0"/>
      <w:marTop w:val="0"/>
      <w:marBottom w:val="0"/>
      <w:divBdr>
        <w:top w:val="none" w:sz="0" w:space="0" w:color="auto"/>
        <w:left w:val="none" w:sz="0" w:space="0" w:color="auto"/>
        <w:bottom w:val="none" w:sz="0" w:space="0" w:color="auto"/>
        <w:right w:val="none" w:sz="0" w:space="0" w:color="auto"/>
      </w:divBdr>
    </w:div>
    <w:div w:id="1888762100">
      <w:bodyDiv w:val="1"/>
      <w:marLeft w:val="0"/>
      <w:marRight w:val="0"/>
      <w:marTop w:val="0"/>
      <w:marBottom w:val="0"/>
      <w:divBdr>
        <w:top w:val="none" w:sz="0" w:space="0" w:color="auto"/>
        <w:left w:val="none" w:sz="0" w:space="0" w:color="auto"/>
        <w:bottom w:val="none" w:sz="0" w:space="0" w:color="auto"/>
        <w:right w:val="none" w:sz="0" w:space="0" w:color="auto"/>
      </w:divBdr>
    </w:div>
    <w:div w:id="199514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515C"/>
    <w:rsid w:val="00204A7F"/>
    <w:rsid w:val="002B514B"/>
    <w:rsid w:val="002C0C03"/>
    <w:rsid w:val="00311B0D"/>
    <w:rsid w:val="00355516"/>
    <w:rsid w:val="003A131F"/>
    <w:rsid w:val="005141E1"/>
    <w:rsid w:val="00560392"/>
    <w:rsid w:val="0059158C"/>
    <w:rsid w:val="0062526B"/>
    <w:rsid w:val="006B7FA8"/>
    <w:rsid w:val="008211B5"/>
    <w:rsid w:val="00874653"/>
    <w:rsid w:val="0088630A"/>
    <w:rsid w:val="009C1CA0"/>
    <w:rsid w:val="00A27306"/>
    <w:rsid w:val="00A5022A"/>
    <w:rsid w:val="00AA114E"/>
    <w:rsid w:val="00AE4C28"/>
    <w:rsid w:val="00AF2C4B"/>
    <w:rsid w:val="00B73964"/>
    <w:rsid w:val="00B74704"/>
    <w:rsid w:val="00C252BB"/>
    <w:rsid w:val="00C947B8"/>
    <w:rsid w:val="00CE7114"/>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630A"/>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4E98A9-44BD-4588-BE99-E58EEE290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SCE17LG076</vt:lpstr>
    </vt:vector>
  </TitlesOfParts>
  <Company>Southern California Edison</Company>
  <LinksUpToDate>false</LinksUpToDate>
  <CharactersWithSpaces>17760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SCE17LG076</dc:title>
  <dc:subject/>
  <dc:creator>Jim Wyatt (PG&amp;E);Jason Wang (SCE)</dc:creator>
  <cp:keywords/>
  <cp:lastModifiedBy>Scott Mitchell</cp:lastModifiedBy>
  <cp:revision>2</cp:revision>
  <dcterms:created xsi:type="dcterms:W3CDTF">2016-12-30T22:47:00Z</dcterms:created>
  <dcterms:modified xsi:type="dcterms:W3CDTF">2016-12-30T22:47:00Z</dcterms:modified>
  <cp:contentStatus>Revision 0</cp:contentStatus>
</cp:coreProperties>
</file>