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718455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47927">
            <w:t>SCE17LG072</w:t>
          </w:r>
        </w:sdtContent>
      </w:sdt>
    </w:p>
    <w:bookmarkEnd w:id="0"/>
    <w:p w14:paraId="7601CE2F" w14:textId="6965A0D4" w:rsidR="00DA690B" w:rsidRPr="00500C4E" w:rsidRDefault="00B055B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7128C">
            <w:rPr>
              <w:rStyle w:val="CaptionChar"/>
              <w:rFonts w:asciiTheme="minorHAnsi" w:hAnsiTheme="minorHAnsi" w:cstheme="minorHAnsi"/>
              <w:b/>
              <w:bCs w:val="0"/>
              <w:sz w:val="48"/>
              <w:szCs w:val="48"/>
            </w:rPr>
            <w:t>Revision 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D63F637" w:rsidR="00DA690B" w:rsidRPr="00500C4E" w:rsidRDefault="00B055B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77390">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5B6E9DC" w:rsidR="00DA690B" w:rsidRPr="00500C4E" w:rsidRDefault="00DD3491" w:rsidP="00DA690B">
      <w:pPr>
        <w:rPr>
          <w:rFonts w:cstheme="minorHAnsi"/>
          <w:b/>
          <w:sz w:val="72"/>
          <w:szCs w:val="72"/>
        </w:rPr>
      </w:pPr>
      <w:r>
        <w:rPr>
          <w:rFonts w:cstheme="minorHAnsi"/>
          <w:b/>
          <w:sz w:val="72"/>
          <w:szCs w:val="72"/>
        </w:rPr>
        <w:t>Upstream Interior 3-way CFLs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473081AB" w:rsidR="00AC5309" w:rsidRPr="00500C4E" w:rsidRDefault="00DD3491" w:rsidP="00656D83">
            <w:pPr>
              <w:rPr>
                <w:rFonts w:cs="Arial"/>
                <w:bCs/>
                <w:color w:val="FF0000"/>
                <w:szCs w:val="20"/>
              </w:rPr>
            </w:pPr>
            <w:r w:rsidRPr="00DD3491">
              <w:rPr>
                <w:rFonts w:cs="Arial"/>
                <w:szCs w:val="20"/>
              </w:rPr>
              <w:t>LT-67349</w:t>
            </w:r>
            <w:r>
              <w:rPr>
                <w:rFonts w:cs="Arial"/>
                <w:szCs w:val="20"/>
              </w:rPr>
              <w:t xml:space="preserve">, </w:t>
            </w:r>
            <w:r w:rsidRPr="00DD3491">
              <w:rPr>
                <w:rFonts w:cs="Arial"/>
                <w:szCs w:val="20"/>
              </w:rPr>
              <w:t>LT-69524</w:t>
            </w:r>
            <w:r>
              <w:rPr>
                <w:rFonts w:cs="Arial"/>
                <w:szCs w:val="20"/>
              </w:rPr>
              <w:t xml:space="preserve">, </w:t>
            </w:r>
            <w:r w:rsidRPr="00DD3491">
              <w:rPr>
                <w:rFonts w:cs="Arial"/>
                <w:szCs w:val="20"/>
              </w:rPr>
              <w:t>LT-72839</w:t>
            </w:r>
            <w:r w:rsidR="00D67FF2">
              <w:rPr>
                <w:rFonts w:cs="Arial"/>
                <w:szCs w:val="20"/>
              </w:rPr>
              <w:t xml:space="preserve">, </w:t>
            </w:r>
            <w:r w:rsidR="00D67FF2" w:rsidRPr="00D67FF2">
              <w:rPr>
                <w:rFonts w:cs="Arial"/>
                <w:szCs w:val="20"/>
              </w:rPr>
              <w:t>LT-82135</w:t>
            </w:r>
            <w:r w:rsidR="00D67FF2">
              <w:rPr>
                <w:rFonts w:cs="Arial"/>
                <w:szCs w:val="20"/>
              </w:rPr>
              <w:t xml:space="preserve">, </w:t>
            </w:r>
            <w:r w:rsidR="00D67FF2" w:rsidRPr="00D67FF2">
              <w:rPr>
                <w:rFonts w:cs="Arial"/>
                <w:szCs w:val="20"/>
              </w:rPr>
              <w:t>LT-77992</w:t>
            </w:r>
            <w:r w:rsidR="00D67FF2">
              <w:rPr>
                <w:rFonts w:cs="Arial"/>
                <w:szCs w:val="20"/>
              </w:rPr>
              <w:t xml:space="preserve">, </w:t>
            </w:r>
            <w:r w:rsidR="00D67FF2" w:rsidRPr="00D67FF2">
              <w:rPr>
                <w:rFonts w:cs="Arial"/>
                <w:szCs w:val="20"/>
              </w:rPr>
              <w:t>LT-66979</w:t>
            </w:r>
            <w:r w:rsidR="00502335">
              <w:rPr>
                <w:rFonts w:cs="Arial"/>
                <w:szCs w:val="20"/>
              </w:rPr>
              <w:t>, LT-18900, and LT-18899</w:t>
            </w:r>
          </w:p>
        </w:tc>
      </w:tr>
      <w:tr w:rsidR="00656D83" w:rsidRPr="00500C4E" w14:paraId="63B310F0" w14:textId="77777777" w:rsidTr="00920905">
        <w:trPr>
          <w:trHeight w:val="465"/>
        </w:trPr>
        <w:tc>
          <w:tcPr>
            <w:tcW w:w="1875" w:type="pct"/>
          </w:tcPr>
          <w:p w14:paraId="5050E2A3" w14:textId="2CBF1387" w:rsidR="00656D83" w:rsidRPr="00500C4E" w:rsidRDefault="00656D83" w:rsidP="00656D83">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32E7DD7" w:rsidR="00656D83" w:rsidRPr="00500C4E" w:rsidRDefault="00DD3491" w:rsidP="00656D83">
            <w:pPr>
              <w:rPr>
                <w:rFonts w:cs="Arial"/>
                <w:color w:val="FF0000"/>
                <w:szCs w:val="20"/>
              </w:rPr>
            </w:pPr>
            <w:r>
              <w:rPr>
                <w:rFonts w:cs="Arial"/>
                <w:szCs w:val="20"/>
              </w:rPr>
              <w:t>3-way Compact Fluorescent Lamp (CFL)</w:t>
            </w:r>
          </w:p>
        </w:tc>
      </w:tr>
      <w:tr w:rsidR="00656D83" w:rsidRPr="00500C4E" w14:paraId="085771EF" w14:textId="77777777" w:rsidTr="00920905">
        <w:trPr>
          <w:trHeight w:val="465"/>
        </w:trPr>
        <w:tc>
          <w:tcPr>
            <w:tcW w:w="1875" w:type="pct"/>
          </w:tcPr>
          <w:p w14:paraId="679DB8A0" w14:textId="3D691398" w:rsidR="00656D83" w:rsidRPr="00500C4E" w:rsidRDefault="00656D83" w:rsidP="00656D83">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6CC76578" w:rsidR="00656D83" w:rsidRPr="00500C4E" w:rsidRDefault="00E269A0" w:rsidP="00D31890">
            <w:pPr>
              <w:rPr>
                <w:rFonts w:cs="Arial"/>
                <w:color w:val="FF0000"/>
                <w:szCs w:val="20"/>
              </w:rPr>
            </w:pPr>
            <w:r>
              <w:rPr>
                <w:rFonts w:cs="Arial"/>
                <w:szCs w:val="20"/>
              </w:rPr>
              <w:t>CFL</w:t>
            </w:r>
            <w:r w:rsidR="00D31890">
              <w:rPr>
                <w:rFonts w:cs="Arial"/>
                <w:szCs w:val="20"/>
              </w:rPr>
              <w:t xml:space="preserve">, LED </w:t>
            </w:r>
            <w:r w:rsidR="0007128C">
              <w:rPr>
                <w:rFonts w:cs="Arial"/>
                <w:szCs w:val="20"/>
              </w:rPr>
              <w:t>and</w:t>
            </w:r>
            <w:r w:rsidR="00D31890">
              <w:rPr>
                <w:rFonts w:cs="Arial"/>
                <w:szCs w:val="20"/>
              </w:rPr>
              <w:t xml:space="preserve"> </w:t>
            </w:r>
            <w:r w:rsidR="00CB001E">
              <w:rPr>
                <w:rFonts w:cs="Arial"/>
                <w:szCs w:val="20"/>
              </w:rPr>
              <w:t>Incandescent lamp</w:t>
            </w:r>
          </w:p>
        </w:tc>
      </w:tr>
      <w:tr w:rsidR="00656D83" w:rsidRPr="00500C4E" w14:paraId="5C218003" w14:textId="77777777" w:rsidTr="00920905">
        <w:trPr>
          <w:trHeight w:val="465"/>
        </w:trPr>
        <w:tc>
          <w:tcPr>
            <w:tcW w:w="1875" w:type="pct"/>
          </w:tcPr>
          <w:p w14:paraId="1DBA889C" w14:textId="032192ED" w:rsidR="00656D83" w:rsidRPr="00500C4E" w:rsidRDefault="00656D83" w:rsidP="00656D83">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1B918024" w:rsidR="00656D83" w:rsidRPr="00500C4E" w:rsidRDefault="00CB001E" w:rsidP="00CB001E">
            <w:pPr>
              <w:rPr>
                <w:rFonts w:cs="Arial"/>
                <w:color w:val="FF0000"/>
                <w:szCs w:val="20"/>
              </w:rPr>
            </w:pPr>
            <w:r>
              <w:rPr>
                <w:rFonts w:cs="Arial"/>
                <w:szCs w:val="20"/>
              </w:rPr>
              <w:t>Lamp</w:t>
            </w:r>
          </w:p>
        </w:tc>
      </w:tr>
      <w:tr w:rsidR="00D03511" w:rsidRPr="00500C4E" w14:paraId="66C8B424" w14:textId="77777777" w:rsidTr="00920905">
        <w:trPr>
          <w:trHeight w:val="465"/>
        </w:trPr>
        <w:tc>
          <w:tcPr>
            <w:tcW w:w="1875" w:type="pct"/>
          </w:tcPr>
          <w:p w14:paraId="0C38E296" w14:textId="625EE0BE" w:rsidR="00D03511" w:rsidRPr="00920905" w:rsidRDefault="00D03511" w:rsidP="00D03511">
            <w:pPr>
              <w:rPr>
                <w:rStyle w:val="Strong1"/>
                <w:szCs w:val="20"/>
              </w:rPr>
            </w:pPr>
            <w:r w:rsidRPr="00500C4E">
              <w:rPr>
                <w:rStyle w:val="Strong"/>
                <w:rFonts w:asciiTheme="minorHAnsi" w:hAnsiTheme="minorHAnsi"/>
                <w:sz w:val="20"/>
                <w:szCs w:val="20"/>
              </w:rPr>
              <w:t>Energy Savings</w:t>
            </w:r>
          </w:p>
        </w:tc>
        <w:tc>
          <w:tcPr>
            <w:tcW w:w="3125" w:type="pct"/>
          </w:tcPr>
          <w:p w14:paraId="7D5952C1" w14:textId="20104D50" w:rsidR="00D03511" w:rsidRPr="00500C4E" w:rsidRDefault="00D03511" w:rsidP="00D03511">
            <w:pPr>
              <w:rPr>
                <w:rFonts w:cs="Arial"/>
                <w:szCs w:val="20"/>
              </w:rPr>
            </w:pPr>
            <w:r>
              <w:rPr>
                <w:rFonts w:cs="Arial"/>
                <w:szCs w:val="20"/>
              </w:rPr>
              <w:t>Refer to Excel Calculation Attachment</w:t>
            </w:r>
          </w:p>
        </w:tc>
      </w:tr>
      <w:tr w:rsidR="00D03511" w:rsidRPr="00500C4E" w14:paraId="3432D116" w14:textId="77777777" w:rsidTr="00920905">
        <w:trPr>
          <w:trHeight w:val="465"/>
        </w:trPr>
        <w:tc>
          <w:tcPr>
            <w:tcW w:w="1875" w:type="pct"/>
          </w:tcPr>
          <w:p w14:paraId="3CB3B700" w14:textId="30D3563F" w:rsidR="00D03511" w:rsidRPr="00500C4E" w:rsidRDefault="00D03511" w:rsidP="00D0351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45FBA383" w:rsidR="00D03511" w:rsidRPr="00500C4E" w:rsidRDefault="00D03511" w:rsidP="00D03511">
            <w:pPr>
              <w:rPr>
                <w:rFonts w:cs="Arial"/>
                <w:szCs w:val="20"/>
              </w:rPr>
            </w:pPr>
            <w:r>
              <w:rPr>
                <w:rFonts w:cs="Arial"/>
                <w:szCs w:val="20"/>
              </w:rPr>
              <w:t>Refer to Excel Calculation Attachment</w:t>
            </w:r>
          </w:p>
        </w:tc>
      </w:tr>
      <w:tr w:rsidR="00D03511" w:rsidRPr="00500C4E" w14:paraId="2D16677E" w14:textId="77777777" w:rsidTr="00920905">
        <w:trPr>
          <w:trHeight w:val="465"/>
        </w:trPr>
        <w:tc>
          <w:tcPr>
            <w:tcW w:w="1875" w:type="pct"/>
          </w:tcPr>
          <w:p w14:paraId="1C8BF889" w14:textId="6745F31A"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1E977D53" w:rsidR="00D03511" w:rsidRPr="00500C4E" w:rsidRDefault="00D03511" w:rsidP="00D03511">
            <w:pPr>
              <w:rPr>
                <w:rFonts w:cs="Arial"/>
                <w:szCs w:val="20"/>
              </w:rPr>
            </w:pPr>
            <w:r>
              <w:rPr>
                <w:rFonts w:cs="Arial"/>
                <w:szCs w:val="20"/>
              </w:rPr>
              <w:t>Refer to Excel Calculation Attachment</w:t>
            </w:r>
          </w:p>
        </w:tc>
      </w:tr>
      <w:tr w:rsidR="00D03511" w:rsidRPr="00500C4E" w14:paraId="466E1409" w14:textId="77777777" w:rsidTr="00920905">
        <w:trPr>
          <w:trHeight w:val="465"/>
        </w:trPr>
        <w:tc>
          <w:tcPr>
            <w:tcW w:w="1875" w:type="pct"/>
          </w:tcPr>
          <w:p w14:paraId="4F8D0A97" w14:textId="25FD4E84"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18F1A996" w14:textId="7E847AFA" w:rsidR="00D03511" w:rsidRDefault="00CB001E" w:rsidP="00D03511">
            <w:pPr>
              <w:rPr>
                <w:rFonts w:cstheme="minorHAnsi"/>
                <w:szCs w:val="20"/>
              </w:rPr>
            </w:pPr>
            <w:proofErr w:type="spellStart"/>
            <w:r>
              <w:rPr>
                <w:rFonts w:cstheme="minorHAnsi"/>
                <w:szCs w:val="20"/>
              </w:rPr>
              <w:t>ILtg</w:t>
            </w:r>
            <w:proofErr w:type="spellEnd"/>
            <w:r>
              <w:rPr>
                <w:rFonts w:cstheme="minorHAnsi"/>
                <w:szCs w:val="20"/>
              </w:rPr>
              <w:t xml:space="preserve">-CFL-Com: </w:t>
            </w:r>
            <w:r w:rsidR="00A847B4" w:rsidRPr="00F76B57">
              <w:rPr>
                <w:rFonts w:cstheme="minorHAnsi"/>
                <w:szCs w:val="20"/>
              </w:rPr>
              <w:t xml:space="preserve">Rated Life of </w:t>
            </w:r>
            <w:r w:rsidR="00A847B4">
              <w:rPr>
                <w:rFonts w:cstheme="minorHAnsi"/>
                <w:szCs w:val="20"/>
              </w:rPr>
              <w:t>Lamp</w:t>
            </w:r>
            <w:r w:rsidR="00A847B4" w:rsidRPr="00F76B57">
              <w:rPr>
                <w:rFonts w:cstheme="minorHAnsi"/>
                <w:szCs w:val="20"/>
              </w:rPr>
              <w:t xml:space="preserve"> (</w:t>
            </w:r>
            <w:r w:rsidR="00A847B4">
              <w:rPr>
                <w:rFonts w:cstheme="minorHAnsi"/>
                <w:szCs w:val="20"/>
              </w:rPr>
              <w:t>1</w:t>
            </w:r>
            <w:r w:rsidR="00A847B4" w:rsidRPr="00F76B57">
              <w:rPr>
                <w:rFonts w:cstheme="minorHAnsi"/>
                <w:szCs w:val="20"/>
              </w:rPr>
              <w:t>0,000 hours) /</w:t>
            </w:r>
            <w:r w:rsidR="00A847B4">
              <w:rPr>
                <w:rFonts w:cstheme="minorHAnsi"/>
                <w:szCs w:val="20"/>
              </w:rPr>
              <w:t xml:space="preserve"> HOU</w:t>
            </w:r>
            <w:r w:rsidR="00A847B4" w:rsidRPr="00F76B57">
              <w:rPr>
                <w:rFonts w:cstheme="minorHAnsi"/>
                <w:szCs w:val="20"/>
              </w:rPr>
              <w:t>, OR 15 years</w:t>
            </w:r>
            <w:r w:rsidR="00A847B4">
              <w:rPr>
                <w:rFonts w:cstheme="minorHAnsi"/>
                <w:szCs w:val="20"/>
              </w:rPr>
              <w:t>,</w:t>
            </w:r>
            <w:r w:rsidR="00A847B4" w:rsidRPr="00F76B57">
              <w:rPr>
                <w:rFonts w:cstheme="minorHAnsi"/>
                <w:szCs w:val="20"/>
              </w:rPr>
              <w:t xml:space="preserve"> </w:t>
            </w:r>
            <w:r w:rsidR="00A847B4">
              <w:rPr>
                <w:rFonts w:cstheme="minorHAnsi"/>
                <w:szCs w:val="20"/>
              </w:rPr>
              <w:t>whichever is less</w:t>
            </w:r>
          </w:p>
          <w:p w14:paraId="70DC1712" w14:textId="5DD1718E" w:rsidR="00CB001E" w:rsidRPr="00500C4E" w:rsidRDefault="00CB001E" w:rsidP="00F15A73">
            <w:pPr>
              <w:rPr>
                <w:rFonts w:cs="Arial"/>
                <w:color w:val="FF0000"/>
                <w:szCs w:val="20"/>
              </w:rPr>
            </w:pPr>
            <w:proofErr w:type="spellStart"/>
            <w:r>
              <w:rPr>
                <w:rFonts w:cstheme="minorHAnsi"/>
                <w:szCs w:val="20"/>
              </w:rPr>
              <w:t>ILtg</w:t>
            </w:r>
            <w:proofErr w:type="spellEnd"/>
            <w:r>
              <w:rPr>
                <w:rFonts w:cstheme="minorHAnsi"/>
                <w:szCs w:val="20"/>
              </w:rPr>
              <w:t xml:space="preserve">-CFL-Res: </w:t>
            </w:r>
            <w:r w:rsidR="00F15A73">
              <w:rPr>
                <w:rFonts w:cstheme="minorHAnsi"/>
                <w:szCs w:val="20"/>
              </w:rPr>
              <w:t>3.5 years</w:t>
            </w:r>
          </w:p>
        </w:tc>
      </w:tr>
      <w:tr w:rsidR="00D03511" w:rsidRPr="00500C4E" w14:paraId="6FFAAB3B" w14:textId="77777777" w:rsidTr="00920905">
        <w:trPr>
          <w:trHeight w:val="465"/>
        </w:trPr>
        <w:tc>
          <w:tcPr>
            <w:tcW w:w="1875" w:type="pct"/>
          </w:tcPr>
          <w:p w14:paraId="080378E9" w14:textId="52D7A149"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08CC0443" w:rsidR="00D03511" w:rsidRPr="00AC0FB5" w:rsidRDefault="00CB001E" w:rsidP="00D03511">
            <w:pPr>
              <w:rPr>
                <w:rFonts w:cs="Arial"/>
                <w:color w:val="FF0000"/>
                <w:szCs w:val="20"/>
                <w:highlight w:val="yellow"/>
              </w:rPr>
            </w:pPr>
            <w:r>
              <w:rPr>
                <w:rFonts w:cs="Arial"/>
                <w:szCs w:val="20"/>
              </w:rPr>
              <w:t>Replace on Burnout (ROB)</w:t>
            </w:r>
          </w:p>
        </w:tc>
      </w:tr>
      <w:tr w:rsidR="00D03511" w:rsidRPr="00500C4E" w14:paraId="2EA80FC2" w14:textId="77777777" w:rsidTr="00920905">
        <w:trPr>
          <w:trHeight w:val="465"/>
        </w:trPr>
        <w:tc>
          <w:tcPr>
            <w:tcW w:w="1875" w:type="pct"/>
          </w:tcPr>
          <w:p w14:paraId="7E87F403" w14:textId="5683C17E"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AC2A30B" w:rsidR="00CB001E" w:rsidRPr="00500C4E" w:rsidRDefault="00D31890" w:rsidP="00656D83">
            <w:pPr>
              <w:rPr>
                <w:rFonts w:cs="Arial"/>
                <w:color w:val="FF0000"/>
                <w:szCs w:val="20"/>
              </w:rPr>
            </w:pPr>
            <w:r w:rsidRPr="00426CDE">
              <w:rPr>
                <w:rFonts w:cs="Arial"/>
                <w:szCs w:val="20"/>
              </w:rPr>
              <w:t>Refer to</w:t>
            </w:r>
            <w:r>
              <w:rPr>
                <w:rFonts w:cs="Arial"/>
                <w:szCs w:val="20"/>
              </w:rPr>
              <w:t xml:space="preserve"> Net to Gross Ratio Table</w:t>
            </w:r>
          </w:p>
        </w:tc>
      </w:tr>
      <w:tr w:rsidR="00290ED8" w:rsidRPr="00500C4E" w14:paraId="7D762862" w14:textId="77777777" w:rsidTr="00920905">
        <w:trPr>
          <w:trHeight w:val="465"/>
        </w:trPr>
        <w:tc>
          <w:tcPr>
            <w:tcW w:w="1875" w:type="pct"/>
          </w:tcPr>
          <w:p w14:paraId="00714D90" w14:textId="038B7052"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107"/>
        <w:gridCol w:w="1823"/>
        <w:gridCol w:w="6109"/>
      </w:tblGrid>
      <w:tr w:rsidR="003845E5" w:rsidRPr="00500C4E" w14:paraId="5AFD7FBC" w14:textId="77777777" w:rsidTr="00647927">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52"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9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B001E" w:rsidRPr="00500C4E" w14:paraId="0151297D" w14:textId="77777777" w:rsidTr="00647927">
        <w:trPr>
          <w:trHeight w:val="20"/>
        </w:trPr>
        <w:tc>
          <w:tcPr>
            <w:tcW w:w="280" w:type="pct"/>
          </w:tcPr>
          <w:p w14:paraId="0D6DF3A1" w14:textId="6094C841" w:rsidR="00CB001E" w:rsidRDefault="00647927" w:rsidP="00CB001E">
            <w:pPr>
              <w:rPr>
                <w:rFonts w:cstheme="minorHAnsi"/>
                <w:szCs w:val="20"/>
              </w:rPr>
            </w:pPr>
            <w:r>
              <w:rPr>
                <w:rFonts w:cstheme="minorHAnsi"/>
                <w:szCs w:val="20"/>
              </w:rPr>
              <w:t>0</w:t>
            </w:r>
          </w:p>
        </w:tc>
        <w:tc>
          <w:tcPr>
            <w:tcW w:w="578" w:type="pct"/>
          </w:tcPr>
          <w:p w14:paraId="2262AEA5" w14:textId="77777777" w:rsidR="00CB001E" w:rsidRDefault="00B71EF0" w:rsidP="00CB001E">
            <w:pPr>
              <w:rPr>
                <w:rFonts w:cstheme="minorHAnsi"/>
                <w:szCs w:val="20"/>
              </w:rPr>
            </w:pPr>
            <w:r>
              <w:rPr>
                <w:rFonts w:cstheme="minorHAnsi"/>
                <w:szCs w:val="20"/>
              </w:rPr>
              <w:t>11/2/16</w:t>
            </w:r>
          </w:p>
          <w:p w14:paraId="3ED2AB96" w14:textId="77777777" w:rsidR="003840E8" w:rsidRDefault="003840E8" w:rsidP="00CB001E">
            <w:pPr>
              <w:rPr>
                <w:rFonts w:cstheme="minorHAnsi"/>
                <w:szCs w:val="20"/>
              </w:rPr>
            </w:pPr>
          </w:p>
          <w:p w14:paraId="330D6373" w14:textId="77777777" w:rsidR="003840E8" w:rsidRDefault="003840E8" w:rsidP="00CB001E">
            <w:pPr>
              <w:rPr>
                <w:rFonts w:cstheme="minorHAnsi"/>
                <w:szCs w:val="20"/>
              </w:rPr>
            </w:pPr>
          </w:p>
          <w:p w14:paraId="23ACF0F8" w14:textId="77777777" w:rsidR="003840E8" w:rsidRDefault="003840E8" w:rsidP="00CB001E">
            <w:pPr>
              <w:rPr>
                <w:rFonts w:cstheme="minorHAnsi"/>
                <w:szCs w:val="20"/>
              </w:rPr>
            </w:pPr>
          </w:p>
          <w:p w14:paraId="3CA52ACB" w14:textId="77777777" w:rsidR="003840E8" w:rsidRDefault="003840E8" w:rsidP="00CB001E">
            <w:pPr>
              <w:rPr>
                <w:rFonts w:cstheme="minorHAnsi"/>
                <w:szCs w:val="20"/>
              </w:rPr>
            </w:pPr>
          </w:p>
          <w:p w14:paraId="4E283244" w14:textId="37F5AD05" w:rsidR="003840E8" w:rsidRDefault="003840E8" w:rsidP="00CB001E">
            <w:pPr>
              <w:rPr>
                <w:rFonts w:cstheme="minorHAnsi"/>
                <w:szCs w:val="20"/>
              </w:rPr>
            </w:pPr>
          </w:p>
        </w:tc>
        <w:tc>
          <w:tcPr>
            <w:tcW w:w="952" w:type="pct"/>
          </w:tcPr>
          <w:p w14:paraId="25101A91" w14:textId="77777777" w:rsidR="00CB001E" w:rsidRDefault="00647927" w:rsidP="00CB001E">
            <w:pPr>
              <w:rPr>
                <w:rFonts w:cstheme="minorHAnsi"/>
                <w:szCs w:val="20"/>
              </w:rPr>
            </w:pPr>
            <w:r>
              <w:rPr>
                <w:rFonts w:cstheme="minorHAnsi"/>
                <w:szCs w:val="20"/>
              </w:rPr>
              <w:t>David Douglass-</w:t>
            </w:r>
            <w:proofErr w:type="spellStart"/>
            <w:r>
              <w:rPr>
                <w:rFonts w:cstheme="minorHAnsi"/>
                <w:szCs w:val="20"/>
              </w:rPr>
              <w:t>Jaimes</w:t>
            </w:r>
            <w:proofErr w:type="spellEnd"/>
            <w:r>
              <w:rPr>
                <w:rFonts w:cstheme="minorHAnsi"/>
                <w:szCs w:val="20"/>
              </w:rPr>
              <w:t xml:space="preserve"> (TRC)</w:t>
            </w:r>
          </w:p>
          <w:p w14:paraId="75D7FEDF" w14:textId="77777777" w:rsidR="003840E8" w:rsidRDefault="003840E8" w:rsidP="00CB001E">
            <w:pPr>
              <w:rPr>
                <w:rFonts w:cstheme="minorHAnsi"/>
                <w:szCs w:val="20"/>
              </w:rPr>
            </w:pPr>
          </w:p>
          <w:p w14:paraId="7A5994D0" w14:textId="77777777" w:rsidR="003840E8" w:rsidRDefault="003840E8" w:rsidP="00CB001E">
            <w:pPr>
              <w:rPr>
                <w:rFonts w:cstheme="minorHAnsi"/>
                <w:szCs w:val="20"/>
              </w:rPr>
            </w:pPr>
          </w:p>
          <w:p w14:paraId="59AEEDAA" w14:textId="77777777" w:rsidR="003840E8" w:rsidRDefault="003840E8" w:rsidP="00CB001E">
            <w:pPr>
              <w:rPr>
                <w:rFonts w:cstheme="minorHAnsi"/>
                <w:szCs w:val="20"/>
              </w:rPr>
            </w:pPr>
          </w:p>
          <w:p w14:paraId="771D3F2E" w14:textId="66FB725B" w:rsidR="003840E8" w:rsidRDefault="003840E8" w:rsidP="00CB001E">
            <w:pPr>
              <w:rPr>
                <w:rFonts w:cstheme="minorHAnsi"/>
                <w:szCs w:val="20"/>
              </w:rPr>
            </w:pPr>
          </w:p>
        </w:tc>
        <w:tc>
          <w:tcPr>
            <w:tcW w:w="3190" w:type="pct"/>
          </w:tcPr>
          <w:p w14:paraId="30948017" w14:textId="23324266" w:rsidR="00647927" w:rsidRDefault="00647927" w:rsidP="00CB001E">
            <w:pPr>
              <w:pStyle w:val="ListParagraph"/>
              <w:numPr>
                <w:ilvl w:val="0"/>
                <w:numId w:val="45"/>
              </w:numPr>
              <w:rPr>
                <w:rFonts w:cstheme="minorHAnsi"/>
                <w:bCs/>
                <w:szCs w:val="20"/>
              </w:rPr>
            </w:pPr>
            <w:r>
              <w:rPr>
                <w:rFonts w:cstheme="minorHAnsi"/>
                <w:bCs/>
                <w:szCs w:val="20"/>
              </w:rPr>
              <w:t>This work paper is an update of SCE13LG072.2</w:t>
            </w:r>
          </w:p>
          <w:p w14:paraId="5A29FC26" w14:textId="75A6C1F8" w:rsidR="00647927" w:rsidRDefault="00647927" w:rsidP="00CB001E">
            <w:pPr>
              <w:pStyle w:val="ListParagraph"/>
              <w:numPr>
                <w:ilvl w:val="0"/>
                <w:numId w:val="45"/>
              </w:numPr>
              <w:rPr>
                <w:rFonts w:cstheme="minorHAnsi"/>
                <w:bCs/>
                <w:szCs w:val="20"/>
              </w:rPr>
            </w:pPr>
            <w:r>
              <w:rPr>
                <w:rFonts w:cstheme="minorHAnsi"/>
                <w:bCs/>
                <w:szCs w:val="20"/>
              </w:rPr>
              <w:t>New calculation template for 2017 program year</w:t>
            </w:r>
          </w:p>
          <w:p w14:paraId="1AB9AF06" w14:textId="607C43CE" w:rsidR="00F91659" w:rsidRDefault="00F91659" w:rsidP="00CB001E">
            <w:pPr>
              <w:pStyle w:val="ListParagraph"/>
              <w:numPr>
                <w:ilvl w:val="0"/>
                <w:numId w:val="45"/>
              </w:numPr>
              <w:rPr>
                <w:rFonts w:cstheme="minorHAnsi"/>
                <w:bCs/>
                <w:szCs w:val="20"/>
              </w:rPr>
            </w:pPr>
            <w:r>
              <w:rPr>
                <w:rFonts w:cstheme="minorHAnsi"/>
                <w:bCs/>
                <w:szCs w:val="20"/>
              </w:rPr>
              <w:t>Revised labor costs per WO17</w:t>
            </w:r>
          </w:p>
          <w:p w14:paraId="432FD084" w14:textId="335A82A5" w:rsidR="006E6263" w:rsidRDefault="006E6263" w:rsidP="00CB001E">
            <w:pPr>
              <w:pStyle w:val="ListParagraph"/>
              <w:numPr>
                <w:ilvl w:val="0"/>
                <w:numId w:val="45"/>
              </w:numPr>
              <w:rPr>
                <w:rFonts w:cstheme="minorHAnsi"/>
                <w:bCs/>
                <w:szCs w:val="20"/>
              </w:rPr>
            </w:pPr>
            <w:r>
              <w:rPr>
                <w:rFonts w:cstheme="minorHAnsi"/>
                <w:bCs/>
                <w:szCs w:val="20"/>
              </w:rPr>
              <w:t xml:space="preserve">Updated </w:t>
            </w:r>
            <w:r w:rsidR="00B71EF0">
              <w:rPr>
                <w:rFonts w:cstheme="minorHAnsi"/>
                <w:bCs/>
                <w:szCs w:val="20"/>
              </w:rPr>
              <w:t>references to</w:t>
            </w:r>
            <w:r>
              <w:rPr>
                <w:rFonts w:cstheme="minorHAnsi"/>
                <w:bCs/>
                <w:szCs w:val="20"/>
              </w:rPr>
              <w:t xml:space="preserve"> DEER2017 </w:t>
            </w:r>
          </w:p>
          <w:p w14:paraId="5DBCDD90" w14:textId="67C33761" w:rsidR="009C4672" w:rsidRDefault="00502335" w:rsidP="00CB001E">
            <w:pPr>
              <w:pStyle w:val="ListParagraph"/>
              <w:numPr>
                <w:ilvl w:val="0"/>
                <w:numId w:val="45"/>
              </w:numPr>
              <w:rPr>
                <w:rFonts w:cstheme="minorHAnsi"/>
                <w:bCs/>
                <w:szCs w:val="20"/>
              </w:rPr>
            </w:pPr>
            <w:r>
              <w:rPr>
                <w:rFonts w:cstheme="minorHAnsi"/>
                <w:bCs/>
                <w:szCs w:val="20"/>
              </w:rPr>
              <w:t>Added</w:t>
            </w:r>
            <w:r w:rsidR="009C4672">
              <w:rPr>
                <w:rFonts w:cstheme="minorHAnsi"/>
                <w:bCs/>
                <w:szCs w:val="20"/>
              </w:rPr>
              <w:t xml:space="preserve"> </w:t>
            </w:r>
            <w:r>
              <w:rPr>
                <w:rFonts w:cstheme="minorHAnsi"/>
                <w:bCs/>
                <w:szCs w:val="20"/>
              </w:rPr>
              <w:t>LT-18900 and LT-18899</w:t>
            </w:r>
          </w:p>
          <w:p w14:paraId="380DB7CE" w14:textId="2DE008E4" w:rsidR="004879CF" w:rsidRPr="00E269A0" w:rsidRDefault="004879CF" w:rsidP="0007128C">
            <w:pPr>
              <w:pStyle w:val="ListParagraph"/>
              <w:numPr>
                <w:ilvl w:val="0"/>
                <w:numId w:val="47"/>
              </w:numPr>
              <w:ind w:left="358"/>
              <w:rPr>
                <w:rFonts w:cstheme="minorHAnsi"/>
                <w:bCs/>
                <w:szCs w:val="20"/>
              </w:rPr>
            </w:pPr>
          </w:p>
        </w:tc>
      </w:tr>
      <w:tr w:rsidR="0007128C" w:rsidRPr="00500C4E" w14:paraId="47061A14" w14:textId="77777777" w:rsidTr="00647927">
        <w:trPr>
          <w:trHeight w:val="20"/>
        </w:trPr>
        <w:tc>
          <w:tcPr>
            <w:tcW w:w="280" w:type="pct"/>
          </w:tcPr>
          <w:p w14:paraId="56177F8D" w14:textId="6AC450B2" w:rsidR="0007128C" w:rsidRDefault="0007128C" w:rsidP="00CB001E">
            <w:pPr>
              <w:rPr>
                <w:rFonts w:cstheme="minorHAnsi"/>
                <w:szCs w:val="20"/>
              </w:rPr>
            </w:pPr>
            <w:r>
              <w:rPr>
                <w:rFonts w:cstheme="minorHAnsi"/>
                <w:szCs w:val="20"/>
              </w:rPr>
              <w:t>1</w:t>
            </w:r>
          </w:p>
        </w:tc>
        <w:tc>
          <w:tcPr>
            <w:tcW w:w="578" w:type="pct"/>
          </w:tcPr>
          <w:p w14:paraId="5E8532D1" w14:textId="09794256" w:rsidR="0007128C" w:rsidRDefault="0007128C" w:rsidP="00CB001E">
            <w:pPr>
              <w:rPr>
                <w:rFonts w:cstheme="minorHAnsi"/>
                <w:szCs w:val="20"/>
              </w:rPr>
            </w:pPr>
            <w:r>
              <w:rPr>
                <w:rFonts w:cstheme="minorHAnsi"/>
                <w:szCs w:val="20"/>
              </w:rPr>
              <w:t>6/19/2017</w:t>
            </w:r>
          </w:p>
        </w:tc>
        <w:tc>
          <w:tcPr>
            <w:tcW w:w="952" w:type="pct"/>
          </w:tcPr>
          <w:p w14:paraId="36FB59A9" w14:textId="329D37DA" w:rsidR="0007128C" w:rsidRDefault="0007128C" w:rsidP="00CB001E">
            <w:pPr>
              <w:rPr>
                <w:rFonts w:cstheme="minorHAnsi"/>
                <w:szCs w:val="20"/>
              </w:rPr>
            </w:pPr>
            <w:r>
              <w:rPr>
                <w:rFonts w:cstheme="minorHAnsi"/>
                <w:szCs w:val="20"/>
              </w:rPr>
              <w:t>Lake Casco (TRC)</w:t>
            </w:r>
          </w:p>
        </w:tc>
        <w:tc>
          <w:tcPr>
            <w:tcW w:w="3190" w:type="pct"/>
          </w:tcPr>
          <w:p w14:paraId="30D51E2D" w14:textId="77777777" w:rsidR="0007128C" w:rsidRDefault="0007128C" w:rsidP="0007128C">
            <w:pPr>
              <w:rPr>
                <w:rFonts w:cstheme="minorHAnsi"/>
                <w:bCs/>
                <w:szCs w:val="20"/>
              </w:rPr>
            </w:pPr>
            <w:r>
              <w:rPr>
                <w:rFonts w:cstheme="minorHAnsi"/>
                <w:bCs/>
                <w:szCs w:val="20"/>
              </w:rPr>
              <w:t>The following updates were made based on CPUC Lighting dispositions provided on March 1</w:t>
            </w:r>
            <w:r w:rsidRPr="00CC6DA4">
              <w:rPr>
                <w:rFonts w:cstheme="minorHAnsi"/>
                <w:bCs/>
                <w:szCs w:val="20"/>
                <w:vertAlign w:val="superscript"/>
              </w:rPr>
              <w:t>st</w:t>
            </w:r>
            <w:r>
              <w:rPr>
                <w:rFonts w:cstheme="minorHAnsi"/>
                <w:bCs/>
                <w:szCs w:val="20"/>
              </w:rPr>
              <w:t xml:space="preserve"> and May 26</w:t>
            </w:r>
            <w:r w:rsidRPr="00CC6DA4">
              <w:rPr>
                <w:rFonts w:cstheme="minorHAnsi"/>
                <w:bCs/>
                <w:szCs w:val="20"/>
                <w:vertAlign w:val="superscript"/>
              </w:rPr>
              <w:t>th</w:t>
            </w:r>
            <w:r>
              <w:rPr>
                <w:rFonts w:cstheme="minorHAnsi"/>
                <w:bCs/>
                <w:szCs w:val="20"/>
              </w:rPr>
              <w:t xml:space="preserve"> of 2017. </w:t>
            </w:r>
          </w:p>
          <w:p w14:paraId="7AF3786A" w14:textId="77777777" w:rsidR="0007128C" w:rsidRDefault="0007128C" w:rsidP="0007128C">
            <w:pPr>
              <w:pStyle w:val="ListParagraph"/>
              <w:numPr>
                <w:ilvl w:val="0"/>
                <w:numId w:val="45"/>
              </w:numPr>
              <w:rPr>
                <w:rFonts w:cstheme="minorHAnsi"/>
                <w:bCs/>
                <w:szCs w:val="20"/>
              </w:rPr>
            </w:pPr>
            <w:r>
              <w:rPr>
                <w:rFonts w:cstheme="minorHAnsi"/>
                <w:bCs/>
                <w:szCs w:val="20"/>
              </w:rPr>
              <w:t xml:space="preserve">New WRR values used for savings. </w:t>
            </w:r>
          </w:p>
          <w:p w14:paraId="695F7311" w14:textId="77777777" w:rsidR="0007128C" w:rsidRDefault="0007128C" w:rsidP="0007128C">
            <w:pPr>
              <w:pStyle w:val="ListParagraph"/>
              <w:numPr>
                <w:ilvl w:val="0"/>
                <w:numId w:val="45"/>
              </w:numPr>
              <w:rPr>
                <w:rFonts w:cstheme="minorHAnsi"/>
                <w:bCs/>
                <w:szCs w:val="20"/>
              </w:rPr>
            </w:pPr>
            <w:r>
              <w:rPr>
                <w:rFonts w:cstheme="minorHAnsi"/>
                <w:bCs/>
                <w:szCs w:val="20"/>
              </w:rPr>
              <w:t xml:space="preserve">Updated NTG values for upstream measures. </w:t>
            </w:r>
          </w:p>
          <w:p w14:paraId="63AB8B26" w14:textId="0DCE370F" w:rsidR="0007128C" w:rsidRDefault="0007128C" w:rsidP="0007128C">
            <w:pPr>
              <w:pStyle w:val="ListParagraph"/>
              <w:numPr>
                <w:ilvl w:val="0"/>
                <w:numId w:val="45"/>
              </w:numPr>
              <w:rPr>
                <w:rFonts w:cstheme="minorHAnsi"/>
                <w:bCs/>
                <w:szCs w:val="20"/>
              </w:rPr>
            </w:pPr>
            <w:r>
              <w:rPr>
                <w:rFonts w:cstheme="minorHAnsi"/>
                <w:bCs/>
                <w:szCs w:val="20"/>
              </w:rPr>
              <w:t>Costs updated for baseline equipment based on new assumed fractions of technologies in the baseline.</w:t>
            </w:r>
          </w:p>
        </w:tc>
      </w:tr>
    </w:tbl>
    <w:p w14:paraId="656E2232" w14:textId="17BB2762"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5B2983">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5B2983">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0CF60EA4" w:rsidR="008877AF" w:rsidRPr="00EE4120" w:rsidRDefault="008877AF" w:rsidP="005B2983">
            <w:pPr>
              <w:rPr>
                <w:bCs/>
                <w:color w:val="FF0000"/>
              </w:rPr>
            </w:pPr>
          </w:p>
        </w:tc>
        <w:tc>
          <w:tcPr>
            <w:tcW w:w="351" w:type="pct"/>
          </w:tcPr>
          <w:p w14:paraId="23988046" w14:textId="2863851A" w:rsidR="008877AF" w:rsidRPr="00EE4120" w:rsidRDefault="008877AF" w:rsidP="005B2983">
            <w:pPr>
              <w:rPr>
                <w:bCs/>
                <w:color w:val="FF0000"/>
                <w:szCs w:val="20"/>
              </w:rPr>
            </w:pPr>
          </w:p>
        </w:tc>
        <w:tc>
          <w:tcPr>
            <w:tcW w:w="548" w:type="pct"/>
          </w:tcPr>
          <w:p w14:paraId="4AB37DB0" w14:textId="47EE9F56" w:rsidR="008877AF" w:rsidRPr="00EE4120" w:rsidRDefault="008877AF" w:rsidP="005B2983">
            <w:pPr>
              <w:rPr>
                <w:bCs/>
                <w:color w:val="FF0000"/>
                <w:szCs w:val="20"/>
              </w:rPr>
            </w:pPr>
          </w:p>
        </w:tc>
        <w:tc>
          <w:tcPr>
            <w:tcW w:w="552" w:type="pct"/>
          </w:tcPr>
          <w:p w14:paraId="62E998F6" w14:textId="4A0549D7" w:rsidR="008877AF" w:rsidRPr="00EE4120" w:rsidRDefault="008877AF" w:rsidP="005B2983">
            <w:pPr>
              <w:rPr>
                <w:bCs/>
                <w:color w:val="FF0000"/>
                <w:szCs w:val="20"/>
              </w:rPr>
            </w:pPr>
          </w:p>
        </w:tc>
        <w:tc>
          <w:tcPr>
            <w:tcW w:w="1634" w:type="pct"/>
          </w:tcPr>
          <w:p w14:paraId="369DEEE8" w14:textId="71544C70" w:rsidR="008877AF" w:rsidRPr="00006C67" w:rsidRDefault="008877AF" w:rsidP="00006C67">
            <w:pPr>
              <w:rPr>
                <w:bCs/>
                <w:color w:val="FF0000"/>
                <w:szCs w:val="20"/>
              </w:rPr>
            </w:pPr>
          </w:p>
        </w:tc>
        <w:tc>
          <w:tcPr>
            <w:tcW w:w="1634" w:type="pct"/>
          </w:tcPr>
          <w:p w14:paraId="1ECCFDB6" w14:textId="4A607423" w:rsidR="008877AF" w:rsidRPr="00006C67" w:rsidRDefault="008877AF" w:rsidP="00006C67">
            <w:pPr>
              <w:rPr>
                <w:bCs/>
                <w:color w:val="FF0000"/>
                <w:szCs w:val="20"/>
              </w:rPr>
            </w:pPr>
          </w:p>
        </w:tc>
      </w:tr>
      <w:tr w:rsidR="008877AF" w:rsidRPr="00500C4E" w14:paraId="69D073CD" w14:textId="392DFDA5" w:rsidTr="00BA5FE4">
        <w:trPr>
          <w:trHeight w:val="20"/>
        </w:trPr>
        <w:tc>
          <w:tcPr>
            <w:tcW w:w="280" w:type="pct"/>
          </w:tcPr>
          <w:p w14:paraId="19E0D6ED" w14:textId="6B3A6BF9" w:rsidR="008877AF" w:rsidRPr="00EE4120" w:rsidRDefault="008877AF" w:rsidP="005B2983">
            <w:pPr>
              <w:rPr>
                <w:color w:val="FF0000"/>
              </w:rPr>
            </w:pPr>
          </w:p>
        </w:tc>
        <w:tc>
          <w:tcPr>
            <w:tcW w:w="351" w:type="pct"/>
          </w:tcPr>
          <w:p w14:paraId="71879172" w14:textId="72F2E4A4" w:rsidR="008877AF" w:rsidRPr="00EE4120" w:rsidRDefault="008877AF" w:rsidP="005B2983">
            <w:pPr>
              <w:autoSpaceDE w:val="0"/>
              <w:autoSpaceDN w:val="0"/>
              <w:adjustRightInd w:val="0"/>
              <w:rPr>
                <w:color w:val="FF0000"/>
                <w:szCs w:val="20"/>
              </w:rPr>
            </w:pPr>
          </w:p>
        </w:tc>
        <w:tc>
          <w:tcPr>
            <w:tcW w:w="548" w:type="pct"/>
          </w:tcPr>
          <w:p w14:paraId="61A20ED3" w14:textId="2992772E" w:rsidR="008877AF" w:rsidRPr="00EE4120" w:rsidRDefault="008877AF" w:rsidP="005B2983">
            <w:pPr>
              <w:autoSpaceDE w:val="0"/>
              <w:autoSpaceDN w:val="0"/>
              <w:adjustRightInd w:val="0"/>
              <w:rPr>
                <w:color w:val="FF0000"/>
                <w:szCs w:val="20"/>
              </w:rPr>
            </w:pPr>
          </w:p>
        </w:tc>
        <w:tc>
          <w:tcPr>
            <w:tcW w:w="552" w:type="pct"/>
          </w:tcPr>
          <w:p w14:paraId="211F8E7E" w14:textId="6350B090" w:rsidR="008877AF" w:rsidRPr="00EE4120" w:rsidRDefault="008877AF" w:rsidP="005B2983">
            <w:pPr>
              <w:rPr>
                <w:color w:val="FF0000"/>
                <w:szCs w:val="20"/>
              </w:rPr>
            </w:pPr>
          </w:p>
        </w:tc>
        <w:tc>
          <w:tcPr>
            <w:tcW w:w="1634" w:type="pct"/>
          </w:tcPr>
          <w:p w14:paraId="52AA4972" w14:textId="46772198" w:rsidR="008877AF" w:rsidRPr="00006C67" w:rsidRDefault="008877AF" w:rsidP="00006C67">
            <w:pPr>
              <w:rPr>
                <w:bCs/>
                <w:color w:val="FF0000"/>
                <w:szCs w:val="20"/>
              </w:rPr>
            </w:pPr>
          </w:p>
        </w:tc>
        <w:tc>
          <w:tcPr>
            <w:tcW w:w="1634" w:type="pct"/>
          </w:tcPr>
          <w:p w14:paraId="34686434" w14:textId="569C5509" w:rsidR="008877AF" w:rsidRPr="00006C67" w:rsidRDefault="008877AF" w:rsidP="00006C67">
            <w:p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5B2983"/>
        </w:tc>
        <w:tc>
          <w:tcPr>
            <w:tcW w:w="351" w:type="pct"/>
          </w:tcPr>
          <w:p w14:paraId="6F821B8B" w14:textId="77777777" w:rsidR="008877AF" w:rsidRPr="002A1843" w:rsidRDefault="008877AF" w:rsidP="005B2983">
            <w:pPr>
              <w:autoSpaceDE w:val="0"/>
              <w:autoSpaceDN w:val="0"/>
              <w:adjustRightInd w:val="0"/>
              <w:rPr>
                <w:szCs w:val="20"/>
              </w:rPr>
            </w:pPr>
          </w:p>
        </w:tc>
        <w:tc>
          <w:tcPr>
            <w:tcW w:w="548" w:type="pct"/>
          </w:tcPr>
          <w:p w14:paraId="6D6794C9" w14:textId="77777777" w:rsidR="008877AF" w:rsidRPr="002A1843" w:rsidRDefault="008877AF" w:rsidP="005B2983">
            <w:pPr>
              <w:autoSpaceDE w:val="0"/>
              <w:autoSpaceDN w:val="0"/>
              <w:adjustRightInd w:val="0"/>
              <w:rPr>
                <w:szCs w:val="20"/>
              </w:rPr>
            </w:pPr>
          </w:p>
        </w:tc>
        <w:tc>
          <w:tcPr>
            <w:tcW w:w="552" w:type="pct"/>
          </w:tcPr>
          <w:p w14:paraId="39C3D570" w14:textId="77777777" w:rsidR="008877AF" w:rsidRPr="002A1843" w:rsidRDefault="008877AF" w:rsidP="005B2983">
            <w:pPr>
              <w:rPr>
                <w:szCs w:val="20"/>
              </w:rPr>
            </w:pPr>
          </w:p>
        </w:tc>
        <w:tc>
          <w:tcPr>
            <w:tcW w:w="1634" w:type="pct"/>
          </w:tcPr>
          <w:p w14:paraId="28DFEB40" w14:textId="77777777" w:rsidR="008877AF" w:rsidRPr="002A1843" w:rsidRDefault="008877AF" w:rsidP="005B2983">
            <w:pPr>
              <w:rPr>
                <w:bCs/>
                <w:szCs w:val="20"/>
              </w:rPr>
            </w:pPr>
          </w:p>
        </w:tc>
        <w:tc>
          <w:tcPr>
            <w:tcW w:w="1634" w:type="pct"/>
          </w:tcPr>
          <w:p w14:paraId="56FE81C4" w14:textId="77777777" w:rsidR="008877AF" w:rsidRPr="002A1843" w:rsidRDefault="008877AF" w:rsidP="005B2983">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3B4D2E29"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576"/>
        <w:gridCol w:w="7000"/>
      </w:tblGrid>
      <w:tr w:rsidR="005720F2" w:rsidRPr="00800706" w14:paraId="282551D9" w14:textId="77777777" w:rsidTr="00E56293">
        <w:trPr>
          <w:trHeight w:val="20"/>
        </w:trPr>
        <w:tc>
          <w:tcPr>
            <w:tcW w:w="1345"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655"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E56293">
        <w:trPr>
          <w:trHeight w:val="20"/>
        </w:trPr>
        <w:tc>
          <w:tcPr>
            <w:tcW w:w="1345" w:type="pct"/>
          </w:tcPr>
          <w:p w14:paraId="25878B64" w14:textId="2358F1DE" w:rsidR="00D85F09" w:rsidRPr="00CB001E" w:rsidRDefault="00D85F09" w:rsidP="00920905">
            <w:pPr>
              <w:pStyle w:val="Reminders"/>
              <w:tabs>
                <w:tab w:val="num" w:pos="360"/>
              </w:tabs>
              <w:spacing w:before="0" w:after="0"/>
              <w:rPr>
                <w:rFonts w:asciiTheme="minorHAnsi" w:hAnsiTheme="minorHAnsi" w:cs="Arial"/>
                <w:i w:val="0"/>
                <w:color w:val="auto"/>
                <w:szCs w:val="20"/>
              </w:rPr>
            </w:pPr>
            <w:r w:rsidRPr="00C909B9">
              <w:rPr>
                <w:rFonts w:asciiTheme="minorHAnsi" w:hAnsiTheme="minorHAnsi" w:cs="Arial"/>
                <w:i w:val="0"/>
                <w:color w:val="auto"/>
                <w:szCs w:val="20"/>
              </w:rPr>
              <w:t>Measure</w:t>
            </w:r>
          </w:p>
        </w:tc>
        <w:tc>
          <w:tcPr>
            <w:tcW w:w="3655" w:type="pct"/>
          </w:tcPr>
          <w:p w14:paraId="5BFB3C97" w14:textId="3E0D87C4" w:rsidR="00D85F09" w:rsidRPr="00CB001E" w:rsidRDefault="00CB001E" w:rsidP="00B44C9F">
            <w:pPr>
              <w:rPr>
                <w:rFonts w:cs="Arial"/>
                <w:szCs w:val="20"/>
              </w:rPr>
            </w:pPr>
            <w:r w:rsidRPr="00CB001E">
              <w:rPr>
                <w:rFonts w:cs="Arial"/>
                <w:szCs w:val="20"/>
              </w:rPr>
              <w:t>3-way screw-in compact fluorescent lamp</w:t>
            </w:r>
          </w:p>
        </w:tc>
      </w:tr>
      <w:tr w:rsidR="00D85F09" w:rsidRPr="00800706" w14:paraId="1C9532C6" w14:textId="77777777" w:rsidTr="00E56293">
        <w:trPr>
          <w:trHeight w:val="20"/>
        </w:trPr>
        <w:tc>
          <w:tcPr>
            <w:tcW w:w="1345" w:type="pct"/>
          </w:tcPr>
          <w:p w14:paraId="33E87E80" w14:textId="1EC944A8" w:rsidR="00D85F09" w:rsidRPr="00CB001E" w:rsidRDefault="00786E92" w:rsidP="00920905">
            <w:pPr>
              <w:pStyle w:val="Reminders"/>
              <w:tabs>
                <w:tab w:val="num" w:pos="360"/>
              </w:tabs>
              <w:spacing w:before="0" w:after="0"/>
              <w:rPr>
                <w:rFonts w:asciiTheme="minorHAnsi" w:hAnsiTheme="minorHAnsi" w:cs="Arial"/>
                <w:i w:val="0"/>
                <w:color w:val="auto"/>
                <w:szCs w:val="20"/>
              </w:rPr>
            </w:pPr>
            <w:r w:rsidRPr="00C909B9">
              <w:rPr>
                <w:rFonts w:asciiTheme="minorHAnsi" w:hAnsiTheme="minorHAnsi" w:cs="Arial"/>
                <w:i w:val="0"/>
                <w:color w:val="auto"/>
                <w:szCs w:val="20"/>
              </w:rPr>
              <w:t>Existing Condition</w:t>
            </w:r>
          </w:p>
        </w:tc>
        <w:tc>
          <w:tcPr>
            <w:tcW w:w="3655" w:type="pct"/>
          </w:tcPr>
          <w:p w14:paraId="7949BAEE" w14:textId="5CCB75D6" w:rsidR="00D85F09" w:rsidRPr="00CB001E" w:rsidRDefault="00A43A6E" w:rsidP="00920905">
            <w:pPr>
              <w:rPr>
                <w:rFonts w:cs="Arial"/>
                <w:szCs w:val="20"/>
              </w:rPr>
            </w:pPr>
            <w:r w:rsidRPr="00CB001E">
              <w:rPr>
                <w:rFonts w:cs="Arial"/>
                <w:szCs w:val="20"/>
              </w:rPr>
              <w:t>N/A</w:t>
            </w:r>
          </w:p>
        </w:tc>
      </w:tr>
      <w:tr w:rsidR="002344FB" w:rsidRPr="00800706" w14:paraId="7FF41B99" w14:textId="77777777" w:rsidTr="00E56293">
        <w:trPr>
          <w:trHeight w:val="20"/>
        </w:trPr>
        <w:tc>
          <w:tcPr>
            <w:tcW w:w="1345" w:type="pct"/>
          </w:tcPr>
          <w:p w14:paraId="19934728" w14:textId="52D3BBF6" w:rsidR="002344FB" w:rsidRPr="00C909B9" w:rsidRDefault="002344FB">
            <w:pPr>
              <w:pStyle w:val="Reminders"/>
              <w:tabs>
                <w:tab w:val="num" w:pos="360"/>
              </w:tabs>
              <w:spacing w:before="0" w:after="0"/>
              <w:rPr>
                <w:rFonts w:asciiTheme="minorHAnsi" w:hAnsiTheme="minorHAnsi" w:cs="Arial"/>
                <w:i w:val="0"/>
                <w:color w:val="auto"/>
                <w:szCs w:val="20"/>
              </w:rPr>
            </w:pPr>
            <w:r w:rsidRPr="00C909B9">
              <w:rPr>
                <w:rFonts w:asciiTheme="minorHAnsi" w:hAnsiTheme="minorHAnsi" w:cs="Arial"/>
                <w:i w:val="0"/>
                <w:color w:val="auto"/>
                <w:szCs w:val="20"/>
              </w:rPr>
              <w:t>Code/Standard</w:t>
            </w:r>
          </w:p>
        </w:tc>
        <w:tc>
          <w:tcPr>
            <w:tcW w:w="3655" w:type="pct"/>
          </w:tcPr>
          <w:p w14:paraId="421D7A92" w14:textId="17F274B3" w:rsidR="002344FB" w:rsidRPr="00CB001E" w:rsidRDefault="00E269A0" w:rsidP="0007128C">
            <w:pPr>
              <w:rPr>
                <w:rFonts w:cs="Arial"/>
                <w:szCs w:val="20"/>
              </w:rPr>
            </w:pPr>
            <w:r>
              <w:rPr>
                <w:rFonts w:cs="Arial"/>
                <w:szCs w:val="20"/>
              </w:rPr>
              <w:t>CFL</w:t>
            </w:r>
            <w:r w:rsidR="006A2648">
              <w:rPr>
                <w:rFonts w:cs="Arial"/>
                <w:szCs w:val="20"/>
              </w:rPr>
              <w:t xml:space="preserve"> (</w:t>
            </w:r>
            <w:r w:rsidR="003840E8">
              <w:rPr>
                <w:rFonts w:cs="Arial"/>
                <w:szCs w:val="20"/>
              </w:rPr>
              <w:t>5</w:t>
            </w:r>
            <w:r w:rsidR="006A2648">
              <w:rPr>
                <w:rFonts w:cs="Arial"/>
                <w:szCs w:val="20"/>
              </w:rPr>
              <w:t>0%)</w:t>
            </w:r>
            <w:r w:rsidR="003840E8">
              <w:rPr>
                <w:rFonts w:cs="Arial"/>
                <w:szCs w:val="20"/>
              </w:rPr>
              <w:t xml:space="preserve">, LED (25%) </w:t>
            </w:r>
            <w:r w:rsidR="0007128C">
              <w:rPr>
                <w:rFonts w:cs="Arial"/>
                <w:szCs w:val="20"/>
              </w:rPr>
              <w:t>and</w:t>
            </w:r>
            <w:r>
              <w:rPr>
                <w:rFonts w:cs="Arial"/>
                <w:szCs w:val="20"/>
              </w:rPr>
              <w:t xml:space="preserve"> </w:t>
            </w:r>
            <w:r w:rsidR="00CB001E" w:rsidRPr="00CB001E">
              <w:rPr>
                <w:rFonts w:cs="Arial"/>
                <w:szCs w:val="20"/>
              </w:rPr>
              <w:t>Incandescent lamp</w:t>
            </w:r>
            <w:r w:rsidR="006A2648">
              <w:rPr>
                <w:rFonts w:cs="Arial"/>
                <w:szCs w:val="20"/>
              </w:rPr>
              <w:t xml:space="preserve"> (</w:t>
            </w:r>
            <w:r w:rsidR="003840E8">
              <w:rPr>
                <w:rFonts w:cs="Arial"/>
                <w:szCs w:val="20"/>
              </w:rPr>
              <w:t>25</w:t>
            </w:r>
            <w:r w:rsidR="006A2648">
              <w:rPr>
                <w:rFonts w:cs="Arial"/>
                <w:szCs w:val="20"/>
              </w:rPr>
              <w:t>%)</w:t>
            </w:r>
            <w:r>
              <w:rPr>
                <w:rFonts w:cs="Arial"/>
                <w:szCs w:val="20"/>
              </w:rPr>
              <w:t>,</w:t>
            </w:r>
            <w:r w:rsidR="00F72B4C">
              <w:rPr>
                <w:rFonts w:cs="Arial"/>
                <w:szCs w:val="20"/>
              </w:rPr>
              <w:t xml:space="preserve"> </w:t>
            </w:r>
            <w:r w:rsidR="00F72B4C">
              <w:rPr>
                <w:rFonts w:cstheme="minorHAnsi"/>
                <w:szCs w:val="22"/>
              </w:rPr>
              <w:t>with wattage determined by multiplying the measure case wattage by a wattage</w:t>
            </w:r>
            <w:r>
              <w:rPr>
                <w:rFonts w:cstheme="minorHAnsi"/>
                <w:szCs w:val="22"/>
              </w:rPr>
              <w:t xml:space="preserve"> reduction</w:t>
            </w:r>
            <w:r w:rsidR="00F72B4C">
              <w:rPr>
                <w:rFonts w:cstheme="minorHAnsi"/>
                <w:szCs w:val="22"/>
              </w:rPr>
              <w:t xml:space="preserve"> ratio</w:t>
            </w:r>
          </w:p>
        </w:tc>
      </w:tr>
      <w:tr w:rsidR="00D85F09" w:rsidRPr="00800706" w14:paraId="05B54372" w14:textId="77777777" w:rsidTr="00E56293">
        <w:trPr>
          <w:trHeight w:val="20"/>
        </w:trPr>
        <w:tc>
          <w:tcPr>
            <w:tcW w:w="1345" w:type="pct"/>
          </w:tcPr>
          <w:p w14:paraId="74307EFB" w14:textId="5792FB0B" w:rsidR="00D85F09" w:rsidRPr="00C909B9" w:rsidRDefault="005720F2" w:rsidP="00920905">
            <w:pPr>
              <w:pStyle w:val="Reminders"/>
              <w:tabs>
                <w:tab w:val="num" w:pos="360"/>
              </w:tabs>
              <w:spacing w:before="0" w:after="0"/>
              <w:rPr>
                <w:rFonts w:asciiTheme="minorHAnsi" w:hAnsiTheme="minorHAnsi" w:cstheme="minorHAnsi"/>
                <w:i w:val="0"/>
                <w:color w:val="auto"/>
                <w:szCs w:val="20"/>
              </w:rPr>
            </w:pPr>
            <w:r w:rsidRPr="00C909B9">
              <w:rPr>
                <w:rFonts w:asciiTheme="minorHAnsi" w:hAnsiTheme="minorHAnsi" w:cs="Arial"/>
                <w:i w:val="0"/>
                <w:color w:val="auto"/>
                <w:szCs w:val="20"/>
              </w:rPr>
              <w:t>Industry Standard Practice</w:t>
            </w:r>
          </w:p>
        </w:tc>
        <w:tc>
          <w:tcPr>
            <w:tcW w:w="3655" w:type="pct"/>
          </w:tcPr>
          <w:p w14:paraId="03844E1C" w14:textId="0BA4957F" w:rsidR="00D85F09" w:rsidRPr="00C909B9" w:rsidRDefault="00E56293" w:rsidP="00920905">
            <w:pPr>
              <w:rPr>
                <w:i/>
                <w:szCs w:val="20"/>
              </w:rPr>
            </w:pPr>
            <w:r w:rsidRPr="00C909B9">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40"/>
        <w:gridCol w:w="829"/>
        <w:gridCol w:w="1159"/>
        <w:gridCol w:w="720"/>
        <w:gridCol w:w="6228"/>
      </w:tblGrid>
      <w:tr w:rsidR="003A3170" w:rsidRPr="00904C3B" w14:paraId="4040004B" w14:textId="77777777" w:rsidTr="0007128C">
        <w:tc>
          <w:tcPr>
            <w:tcW w:w="1748" w:type="pct"/>
            <w:gridSpan w:val="4"/>
            <w:shd w:val="clear" w:color="auto" w:fill="D9D9D9" w:themeFill="background1" w:themeFillShade="D9"/>
          </w:tcPr>
          <w:p w14:paraId="528E7CD9" w14:textId="048A7F1B" w:rsidR="003A3170" w:rsidRPr="00904C3B" w:rsidRDefault="003A3170" w:rsidP="005729C8">
            <w:pPr>
              <w:rPr>
                <w:rFonts w:cstheme="minorHAnsi"/>
                <w:b/>
                <w:szCs w:val="20"/>
              </w:rPr>
            </w:pPr>
            <w:r w:rsidRPr="00904C3B">
              <w:rPr>
                <w:rFonts w:cstheme="minorHAnsi"/>
                <w:b/>
                <w:szCs w:val="20"/>
              </w:rPr>
              <w:t>Measure Codes</w:t>
            </w:r>
          </w:p>
        </w:tc>
        <w:tc>
          <w:tcPr>
            <w:tcW w:w="3252" w:type="pct"/>
            <w:vMerge w:val="restart"/>
            <w:shd w:val="clear" w:color="auto" w:fill="D9D9D9" w:themeFill="background1" w:themeFillShade="D9"/>
          </w:tcPr>
          <w:p w14:paraId="3F5879A8" w14:textId="54774EFB" w:rsidR="003A3170" w:rsidRPr="00904C3B" w:rsidRDefault="003A3170" w:rsidP="005729C8">
            <w:pPr>
              <w:rPr>
                <w:rFonts w:cstheme="minorHAnsi"/>
                <w:b/>
                <w:szCs w:val="20"/>
              </w:rPr>
            </w:pPr>
            <w:r w:rsidRPr="00904C3B">
              <w:rPr>
                <w:rFonts w:cstheme="minorHAnsi"/>
                <w:b/>
                <w:szCs w:val="20"/>
              </w:rPr>
              <w:t>Measure Name</w:t>
            </w:r>
          </w:p>
        </w:tc>
      </w:tr>
      <w:tr w:rsidR="00127174" w:rsidRPr="00904C3B" w14:paraId="0B10C1CA" w14:textId="77777777" w:rsidTr="0007128C">
        <w:tc>
          <w:tcPr>
            <w:tcW w:w="334" w:type="pct"/>
            <w:shd w:val="clear" w:color="auto" w:fill="F2F2F2" w:themeFill="background1" w:themeFillShade="F2"/>
          </w:tcPr>
          <w:p w14:paraId="01278571" w14:textId="40286C8C" w:rsidR="003A3170" w:rsidRPr="00904C3B" w:rsidRDefault="003A3170" w:rsidP="00397406">
            <w:pPr>
              <w:rPr>
                <w:rFonts w:cstheme="minorHAnsi"/>
                <w:szCs w:val="20"/>
              </w:rPr>
            </w:pPr>
            <w:r w:rsidRPr="00904C3B">
              <w:rPr>
                <w:rFonts w:cstheme="minorHAnsi"/>
                <w:szCs w:val="20"/>
              </w:rPr>
              <w:t>SCG</w:t>
            </w:r>
          </w:p>
        </w:tc>
        <w:tc>
          <w:tcPr>
            <w:tcW w:w="433" w:type="pct"/>
            <w:shd w:val="clear" w:color="auto" w:fill="F2F2F2" w:themeFill="background1" w:themeFillShade="F2"/>
          </w:tcPr>
          <w:p w14:paraId="29CA2505" w14:textId="46993DC0" w:rsidR="003A3170" w:rsidRPr="00904C3B" w:rsidRDefault="003A3170" w:rsidP="00397406">
            <w:pPr>
              <w:rPr>
                <w:rFonts w:cstheme="minorHAnsi"/>
                <w:szCs w:val="20"/>
              </w:rPr>
            </w:pPr>
            <w:r w:rsidRPr="00904C3B">
              <w:rPr>
                <w:rFonts w:cstheme="minorHAnsi"/>
                <w:szCs w:val="20"/>
              </w:rPr>
              <w:t>SDG&amp;E</w:t>
            </w:r>
          </w:p>
        </w:tc>
        <w:tc>
          <w:tcPr>
            <w:tcW w:w="605" w:type="pct"/>
            <w:shd w:val="clear" w:color="auto" w:fill="F2F2F2" w:themeFill="background1" w:themeFillShade="F2"/>
          </w:tcPr>
          <w:p w14:paraId="4AFAE784" w14:textId="7FE2DC11" w:rsidR="003A3170" w:rsidRPr="00904C3B" w:rsidRDefault="003A3170" w:rsidP="00C959CA">
            <w:pPr>
              <w:rPr>
                <w:rFonts w:cstheme="minorHAnsi"/>
                <w:szCs w:val="20"/>
              </w:rPr>
            </w:pPr>
            <w:r w:rsidRPr="00904C3B">
              <w:rPr>
                <w:rFonts w:cstheme="minorHAnsi"/>
                <w:szCs w:val="20"/>
              </w:rPr>
              <w:t>SCE</w:t>
            </w:r>
          </w:p>
        </w:tc>
        <w:tc>
          <w:tcPr>
            <w:tcW w:w="376" w:type="pct"/>
            <w:shd w:val="clear" w:color="auto" w:fill="F2F2F2" w:themeFill="background1" w:themeFillShade="F2"/>
          </w:tcPr>
          <w:p w14:paraId="16907D5C" w14:textId="3D2178E7" w:rsidR="003A3170" w:rsidRPr="00904C3B" w:rsidRDefault="003A3170" w:rsidP="00D835EF">
            <w:pPr>
              <w:rPr>
                <w:rFonts w:cstheme="minorHAnsi"/>
                <w:szCs w:val="20"/>
              </w:rPr>
            </w:pPr>
            <w:r w:rsidRPr="00904C3B">
              <w:rPr>
                <w:rFonts w:cstheme="minorHAnsi"/>
                <w:szCs w:val="20"/>
              </w:rPr>
              <w:t>PG&amp;E</w:t>
            </w:r>
          </w:p>
        </w:tc>
        <w:tc>
          <w:tcPr>
            <w:tcW w:w="3252" w:type="pct"/>
            <w:vMerge/>
          </w:tcPr>
          <w:p w14:paraId="4025F40F" w14:textId="38634C6A" w:rsidR="003A3170" w:rsidRPr="00904C3B" w:rsidRDefault="003A3170" w:rsidP="005729C8">
            <w:pPr>
              <w:rPr>
                <w:rFonts w:cstheme="minorHAnsi"/>
                <w:szCs w:val="20"/>
              </w:rPr>
            </w:pPr>
          </w:p>
        </w:tc>
      </w:tr>
      <w:tr w:rsidR="00904C3B" w:rsidRPr="00904C3B" w14:paraId="194C4EBA" w14:textId="77777777" w:rsidTr="0007128C">
        <w:trPr>
          <w:trHeight w:val="243"/>
        </w:trPr>
        <w:tc>
          <w:tcPr>
            <w:tcW w:w="334" w:type="pct"/>
          </w:tcPr>
          <w:p w14:paraId="0B161D83" w14:textId="77777777" w:rsidR="00904C3B" w:rsidRPr="00904C3B" w:rsidRDefault="00904C3B" w:rsidP="00904C3B">
            <w:pPr>
              <w:rPr>
                <w:rFonts w:cstheme="minorHAnsi"/>
                <w:szCs w:val="20"/>
              </w:rPr>
            </w:pPr>
          </w:p>
        </w:tc>
        <w:tc>
          <w:tcPr>
            <w:tcW w:w="433" w:type="pct"/>
          </w:tcPr>
          <w:p w14:paraId="6A76F06C" w14:textId="77777777" w:rsidR="00904C3B" w:rsidRPr="00904C3B" w:rsidRDefault="00904C3B" w:rsidP="00904C3B">
            <w:pPr>
              <w:rPr>
                <w:rFonts w:cstheme="minorHAnsi"/>
                <w:szCs w:val="20"/>
              </w:rPr>
            </w:pPr>
          </w:p>
        </w:tc>
        <w:tc>
          <w:tcPr>
            <w:tcW w:w="605" w:type="pct"/>
          </w:tcPr>
          <w:p w14:paraId="6FF24429" w14:textId="34471F5B" w:rsidR="00904C3B" w:rsidRPr="00904C3B" w:rsidRDefault="00904C3B" w:rsidP="00904C3B">
            <w:pPr>
              <w:rPr>
                <w:rFonts w:cstheme="minorHAnsi"/>
                <w:szCs w:val="20"/>
              </w:rPr>
            </w:pPr>
            <w:r w:rsidRPr="00904C3B">
              <w:rPr>
                <w:rFonts w:ascii="Calibri" w:hAnsi="Calibri"/>
                <w:color w:val="000000"/>
                <w:szCs w:val="20"/>
              </w:rPr>
              <w:t>LT-67349</w:t>
            </w:r>
          </w:p>
        </w:tc>
        <w:tc>
          <w:tcPr>
            <w:tcW w:w="376" w:type="pct"/>
          </w:tcPr>
          <w:p w14:paraId="3C2DCC6F" w14:textId="77777777" w:rsidR="00904C3B" w:rsidRPr="00904C3B" w:rsidRDefault="00904C3B" w:rsidP="00904C3B">
            <w:pPr>
              <w:rPr>
                <w:rFonts w:cstheme="minorHAnsi"/>
                <w:szCs w:val="20"/>
              </w:rPr>
            </w:pPr>
          </w:p>
        </w:tc>
        <w:tc>
          <w:tcPr>
            <w:tcW w:w="3252" w:type="pct"/>
          </w:tcPr>
          <w:p w14:paraId="44089BC3" w14:textId="4B73B4D8" w:rsidR="00904C3B" w:rsidRPr="00904C3B" w:rsidRDefault="00904C3B">
            <w:pPr>
              <w:rPr>
                <w:rFonts w:cstheme="minorHAnsi"/>
                <w:szCs w:val="20"/>
              </w:rPr>
            </w:pPr>
            <w:r w:rsidRPr="00904C3B">
              <w:rPr>
                <w:rFonts w:ascii="Calibri" w:hAnsi="Calibri"/>
                <w:color w:val="000000"/>
                <w:szCs w:val="20"/>
              </w:rPr>
              <w:t xml:space="preserve">26 Watt 3-Way CFL replacing Com CFL Base Case, Total Watts = </w:t>
            </w:r>
            <w:r w:rsidR="003840E8">
              <w:rPr>
                <w:rFonts w:ascii="Calibri" w:hAnsi="Calibri"/>
                <w:color w:val="000000"/>
                <w:szCs w:val="20"/>
              </w:rPr>
              <w:t>1.59</w:t>
            </w:r>
            <w:r w:rsidRPr="00904C3B">
              <w:rPr>
                <w:rFonts w:ascii="Calibri" w:hAnsi="Calibri"/>
                <w:color w:val="000000"/>
                <w:szCs w:val="20"/>
              </w:rPr>
              <w:t xml:space="preserve"> x </w:t>
            </w:r>
            <w:proofErr w:type="spellStart"/>
            <w:r w:rsidRPr="00904C3B">
              <w:rPr>
                <w:rFonts w:ascii="Calibri" w:hAnsi="Calibri"/>
                <w:color w:val="000000"/>
                <w:szCs w:val="20"/>
              </w:rPr>
              <w:t>Msr</w:t>
            </w:r>
            <w:proofErr w:type="spellEnd"/>
            <w:r w:rsidRPr="00904C3B">
              <w:rPr>
                <w:rFonts w:ascii="Calibri" w:hAnsi="Calibri"/>
                <w:color w:val="000000"/>
                <w:szCs w:val="20"/>
              </w:rPr>
              <w:t xml:space="preserve"> Watts</w:t>
            </w:r>
          </w:p>
        </w:tc>
      </w:tr>
      <w:tr w:rsidR="00904C3B" w:rsidRPr="00904C3B" w14:paraId="10A5AC2C" w14:textId="77777777" w:rsidTr="0007128C">
        <w:trPr>
          <w:trHeight w:val="243"/>
        </w:trPr>
        <w:tc>
          <w:tcPr>
            <w:tcW w:w="334" w:type="pct"/>
          </w:tcPr>
          <w:p w14:paraId="05DAFD23" w14:textId="77777777" w:rsidR="00904C3B" w:rsidRPr="00904C3B" w:rsidRDefault="00904C3B" w:rsidP="00904C3B">
            <w:pPr>
              <w:rPr>
                <w:rFonts w:cstheme="minorHAnsi"/>
                <w:szCs w:val="20"/>
              </w:rPr>
            </w:pPr>
          </w:p>
        </w:tc>
        <w:tc>
          <w:tcPr>
            <w:tcW w:w="433" w:type="pct"/>
          </w:tcPr>
          <w:p w14:paraId="3D2DE814" w14:textId="77777777" w:rsidR="00904C3B" w:rsidRPr="00904C3B" w:rsidRDefault="00904C3B" w:rsidP="00904C3B">
            <w:pPr>
              <w:rPr>
                <w:rFonts w:cstheme="minorHAnsi"/>
                <w:szCs w:val="20"/>
              </w:rPr>
            </w:pPr>
          </w:p>
        </w:tc>
        <w:tc>
          <w:tcPr>
            <w:tcW w:w="605" w:type="pct"/>
          </w:tcPr>
          <w:p w14:paraId="252D223B" w14:textId="119484DC" w:rsidR="00904C3B" w:rsidRPr="00904C3B" w:rsidRDefault="00904C3B" w:rsidP="00904C3B">
            <w:pPr>
              <w:rPr>
                <w:rFonts w:cstheme="minorHAnsi"/>
                <w:szCs w:val="20"/>
              </w:rPr>
            </w:pPr>
            <w:r w:rsidRPr="00904C3B">
              <w:rPr>
                <w:rFonts w:ascii="Calibri" w:hAnsi="Calibri"/>
                <w:color w:val="000000"/>
                <w:szCs w:val="20"/>
              </w:rPr>
              <w:t>LT-69524</w:t>
            </w:r>
          </w:p>
        </w:tc>
        <w:tc>
          <w:tcPr>
            <w:tcW w:w="376" w:type="pct"/>
          </w:tcPr>
          <w:p w14:paraId="4F86F88A" w14:textId="77777777" w:rsidR="00904C3B" w:rsidRPr="00904C3B" w:rsidRDefault="00904C3B" w:rsidP="00904C3B">
            <w:pPr>
              <w:rPr>
                <w:rFonts w:cstheme="minorHAnsi"/>
                <w:szCs w:val="20"/>
              </w:rPr>
            </w:pPr>
          </w:p>
        </w:tc>
        <w:tc>
          <w:tcPr>
            <w:tcW w:w="3252" w:type="pct"/>
          </w:tcPr>
          <w:p w14:paraId="07F9AE70" w14:textId="30ED96B0" w:rsidR="00904C3B" w:rsidRPr="00904C3B" w:rsidRDefault="00904C3B" w:rsidP="00904C3B">
            <w:pPr>
              <w:rPr>
                <w:rFonts w:cstheme="minorHAnsi"/>
                <w:szCs w:val="20"/>
              </w:rPr>
            </w:pPr>
            <w:r w:rsidRPr="00904C3B">
              <w:rPr>
                <w:rFonts w:ascii="Calibri" w:hAnsi="Calibri"/>
                <w:color w:val="000000"/>
                <w:szCs w:val="20"/>
              </w:rPr>
              <w:t xml:space="preserve">29 Watt 3-Way CFL replacing Com CFL Base Case, Total Watts </w:t>
            </w:r>
            <w:r w:rsidR="003840E8" w:rsidRPr="00904C3B">
              <w:rPr>
                <w:rFonts w:ascii="Calibri" w:hAnsi="Calibri"/>
                <w:color w:val="000000"/>
                <w:szCs w:val="20"/>
              </w:rPr>
              <w:t xml:space="preserve">= </w:t>
            </w:r>
            <w:r w:rsidR="003840E8">
              <w:rPr>
                <w:rFonts w:ascii="Calibri" w:hAnsi="Calibri"/>
                <w:color w:val="000000"/>
                <w:szCs w:val="20"/>
              </w:rPr>
              <w:t>1.59</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r w:rsidR="00904C3B" w:rsidRPr="00904C3B" w14:paraId="64BF063E" w14:textId="77777777" w:rsidTr="0007128C">
        <w:trPr>
          <w:trHeight w:val="243"/>
        </w:trPr>
        <w:tc>
          <w:tcPr>
            <w:tcW w:w="334" w:type="pct"/>
          </w:tcPr>
          <w:p w14:paraId="65FD7271" w14:textId="77777777" w:rsidR="00904C3B" w:rsidRPr="00904C3B" w:rsidRDefault="00904C3B" w:rsidP="00904C3B">
            <w:pPr>
              <w:rPr>
                <w:rFonts w:cstheme="minorHAnsi"/>
                <w:szCs w:val="20"/>
              </w:rPr>
            </w:pPr>
          </w:p>
        </w:tc>
        <w:tc>
          <w:tcPr>
            <w:tcW w:w="433" w:type="pct"/>
          </w:tcPr>
          <w:p w14:paraId="471C5342" w14:textId="77777777" w:rsidR="00904C3B" w:rsidRPr="00904C3B" w:rsidRDefault="00904C3B" w:rsidP="00904C3B">
            <w:pPr>
              <w:rPr>
                <w:rFonts w:cstheme="minorHAnsi"/>
                <w:szCs w:val="20"/>
              </w:rPr>
            </w:pPr>
          </w:p>
        </w:tc>
        <w:tc>
          <w:tcPr>
            <w:tcW w:w="605" w:type="pct"/>
          </w:tcPr>
          <w:p w14:paraId="24B2EEA2" w14:textId="305E86A7" w:rsidR="00904C3B" w:rsidRPr="00904C3B" w:rsidRDefault="00904C3B" w:rsidP="00904C3B">
            <w:pPr>
              <w:rPr>
                <w:rFonts w:cstheme="minorHAnsi"/>
                <w:szCs w:val="20"/>
              </w:rPr>
            </w:pPr>
            <w:r w:rsidRPr="00904C3B">
              <w:rPr>
                <w:rFonts w:ascii="Calibri" w:hAnsi="Calibri"/>
                <w:color w:val="000000"/>
                <w:szCs w:val="20"/>
              </w:rPr>
              <w:t>LT-72839</w:t>
            </w:r>
          </w:p>
        </w:tc>
        <w:tc>
          <w:tcPr>
            <w:tcW w:w="376" w:type="pct"/>
          </w:tcPr>
          <w:p w14:paraId="7F7986A7" w14:textId="77777777" w:rsidR="00904C3B" w:rsidRPr="00904C3B" w:rsidRDefault="00904C3B" w:rsidP="00904C3B">
            <w:pPr>
              <w:rPr>
                <w:rFonts w:cstheme="minorHAnsi"/>
                <w:szCs w:val="20"/>
              </w:rPr>
            </w:pPr>
          </w:p>
        </w:tc>
        <w:tc>
          <w:tcPr>
            <w:tcW w:w="3252" w:type="pct"/>
          </w:tcPr>
          <w:p w14:paraId="742FB1A5" w14:textId="25BABE13" w:rsidR="00904C3B" w:rsidRPr="00904C3B" w:rsidRDefault="00904C3B" w:rsidP="00904C3B">
            <w:pPr>
              <w:rPr>
                <w:rFonts w:cstheme="minorHAnsi"/>
                <w:szCs w:val="20"/>
              </w:rPr>
            </w:pPr>
            <w:r w:rsidRPr="00904C3B">
              <w:rPr>
                <w:rFonts w:ascii="Calibri" w:hAnsi="Calibri"/>
                <w:color w:val="000000"/>
                <w:szCs w:val="20"/>
              </w:rPr>
              <w:t xml:space="preserve">32 Watt 3-Way CFL replacing Com CFL Base Case, Total Watts </w:t>
            </w:r>
            <w:r w:rsidR="003840E8" w:rsidRPr="00904C3B">
              <w:rPr>
                <w:rFonts w:ascii="Calibri" w:hAnsi="Calibri"/>
                <w:color w:val="000000"/>
                <w:szCs w:val="20"/>
              </w:rPr>
              <w:t xml:space="preserve">= </w:t>
            </w:r>
            <w:r w:rsidR="003840E8">
              <w:rPr>
                <w:rFonts w:ascii="Calibri" w:hAnsi="Calibri"/>
                <w:color w:val="000000"/>
                <w:szCs w:val="20"/>
              </w:rPr>
              <w:t>1.59</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r w:rsidR="009C4672" w:rsidRPr="00904C3B" w14:paraId="24EE1E19" w14:textId="77777777" w:rsidTr="0007128C">
        <w:trPr>
          <w:trHeight w:val="243"/>
        </w:trPr>
        <w:tc>
          <w:tcPr>
            <w:tcW w:w="334" w:type="pct"/>
          </w:tcPr>
          <w:p w14:paraId="2C2960B2" w14:textId="77777777" w:rsidR="009C4672" w:rsidRPr="00904C3B" w:rsidRDefault="009C4672" w:rsidP="00904C3B">
            <w:pPr>
              <w:rPr>
                <w:rFonts w:cstheme="minorHAnsi"/>
                <w:szCs w:val="20"/>
              </w:rPr>
            </w:pPr>
          </w:p>
        </w:tc>
        <w:tc>
          <w:tcPr>
            <w:tcW w:w="433" w:type="pct"/>
          </w:tcPr>
          <w:p w14:paraId="4A6F6A2D" w14:textId="77777777" w:rsidR="009C4672" w:rsidRPr="00904C3B" w:rsidRDefault="009C4672" w:rsidP="00904C3B">
            <w:pPr>
              <w:rPr>
                <w:rFonts w:cstheme="minorHAnsi"/>
                <w:szCs w:val="20"/>
              </w:rPr>
            </w:pPr>
          </w:p>
        </w:tc>
        <w:tc>
          <w:tcPr>
            <w:tcW w:w="605" w:type="pct"/>
          </w:tcPr>
          <w:p w14:paraId="2F490E33" w14:textId="7F7DF684" w:rsidR="009C4672" w:rsidRPr="009C4672" w:rsidRDefault="009C4672" w:rsidP="00904C3B">
            <w:pPr>
              <w:rPr>
                <w:rFonts w:ascii="Calibri" w:hAnsi="Calibri"/>
                <w:color w:val="000000"/>
                <w:szCs w:val="22"/>
              </w:rPr>
            </w:pPr>
            <w:r w:rsidRPr="0007128C">
              <w:rPr>
                <w:rFonts w:ascii="Calibri" w:hAnsi="Calibri"/>
                <w:color w:val="000000"/>
                <w:szCs w:val="20"/>
              </w:rPr>
              <w:t>LT-18899</w:t>
            </w:r>
          </w:p>
        </w:tc>
        <w:tc>
          <w:tcPr>
            <w:tcW w:w="376" w:type="pct"/>
          </w:tcPr>
          <w:p w14:paraId="20B289CE" w14:textId="77777777" w:rsidR="009C4672" w:rsidRPr="00904C3B" w:rsidRDefault="009C4672" w:rsidP="00904C3B">
            <w:pPr>
              <w:rPr>
                <w:rFonts w:cstheme="minorHAnsi"/>
                <w:szCs w:val="20"/>
              </w:rPr>
            </w:pPr>
          </w:p>
        </w:tc>
        <w:tc>
          <w:tcPr>
            <w:tcW w:w="3252" w:type="pct"/>
          </w:tcPr>
          <w:p w14:paraId="7C5D5E0D" w14:textId="081A941B" w:rsidR="009C4672" w:rsidRPr="00904C3B" w:rsidRDefault="009C4672" w:rsidP="00904C3B">
            <w:pPr>
              <w:rPr>
                <w:rFonts w:ascii="Calibri" w:hAnsi="Calibri"/>
                <w:color w:val="000000"/>
                <w:szCs w:val="20"/>
              </w:rPr>
            </w:pPr>
            <w:r>
              <w:rPr>
                <w:rFonts w:ascii="Calibri" w:hAnsi="Calibri"/>
                <w:color w:val="000000"/>
                <w:szCs w:val="20"/>
              </w:rPr>
              <w:t>33</w:t>
            </w:r>
            <w:r w:rsidRPr="00904C3B">
              <w:rPr>
                <w:rFonts w:ascii="Calibri" w:hAnsi="Calibri"/>
                <w:color w:val="000000"/>
                <w:szCs w:val="20"/>
              </w:rPr>
              <w:t xml:space="preserve"> Watt 3-Way CFL replacing Com CFL Base Case, Total Watts </w:t>
            </w:r>
            <w:r w:rsidR="003840E8" w:rsidRPr="00904C3B">
              <w:rPr>
                <w:rFonts w:ascii="Calibri" w:hAnsi="Calibri"/>
                <w:color w:val="000000"/>
                <w:szCs w:val="20"/>
              </w:rPr>
              <w:t xml:space="preserve">= </w:t>
            </w:r>
            <w:r w:rsidR="003840E8">
              <w:rPr>
                <w:rFonts w:ascii="Calibri" w:hAnsi="Calibri"/>
                <w:color w:val="000000"/>
                <w:szCs w:val="20"/>
              </w:rPr>
              <w:t>1.59</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r w:rsidR="00904C3B" w:rsidRPr="00904C3B" w14:paraId="6BF33AF1" w14:textId="77777777" w:rsidTr="0007128C">
        <w:trPr>
          <w:trHeight w:val="243"/>
        </w:trPr>
        <w:tc>
          <w:tcPr>
            <w:tcW w:w="334" w:type="pct"/>
          </w:tcPr>
          <w:p w14:paraId="0ADEE4A5" w14:textId="77777777" w:rsidR="00904C3B" w:rsidRPr="00904C3B" w:rsidRDefault="00904C3B" w:rsidP="00904C3B">
            <w:pPr>
              <w:rPr>
                <w:rFonts w:cstheme="minorHAnsi"/>
                <w:szCs w:val="20"/>
              </w:rPr>
            </w:pPr>
          </w:p>
        </w:tc>
        <w:tc>
          <w:tcPr>
            <w:tcW w:w="433" w:type="pct"/>
          </w:tcPr>
          <w:p w14:paraId="23F65580" w14:textId="77777777" w:rsidR="00904C3B" w:rsidRPr="00904C3B" w:rsidRDefault="00904C3B" w:rsidP="00904C3B">
            <w:pPr>
              <w:rPr>
                <w:rFonts w:cstheme="minorHAnsi"/>
                <w:szCs w:val="20"/>
              </w:rPr>
            </w:pPr>
          </w:p>
        </w:tc>
        <w:tc>
          <w:tcPr>
            <w:tcW w:w="605" w:type="pct"/>
          </w:tcPr>
          <w:p w14:paraId="3C3AD4E2" w14:textId="35607781" w:rsidR="00904C3B" w:rsidRPr="00904C3B" w:rsidRDefault="00904C3B" w:rsidP="00904C3B">
            <w:pPr>
              <w:rPr>
                <w:rFonts w:cs="Arial"/>
                <w:szCs w:val="20"/>
              </w:rPr>
            </w:pPr>
            <w:r w:rsidRPr="00904C3B">
              <w:rPr>
                <w:rFonts w:ascii="Calibri" w:hAnsi="Calibri"/>
                <w:color w:val="000000"/>
                <w:szCs w:val="20"/>
              </w:rPr>
              <w:t>LT-82135</w:t>
            </w:r>
          </w:p>
        </w:tc>
        <w:tc>
          <w:tcPr>
            <w:tcW w:w="376" w:type="pct"/>
          </w:tcPr>
          <w:p w14:paraId="3805C396" w14:textId="77777777" w:rsidR="00904C3B" w:rsidRPr="00904C3B" w:rsidRDefault="00904C3B" w:rsidP="00904C3B">
            <w:pPr>
              <w:rPr>
                <w:rFonts w:cstheme="minorHAnsi"/>
                <w:szCs w:val="20"/>
              </w:rPr>
            </w:pPr>
          </w:p>
        </w:tc>
        <w:tc>
          <w:tcPr>
            <w:tcW w:w="3252" w:type="pct"/>
          </w:tcPr>
          <w:p w14:paraId="502D1108" w14:textId="7EB081EF" w:rsidR="00904C3B" w:rsidRPr="00904C3B" w:rsidRDefault="00904C3B">
            <w:pPr>
              <w:rPr>
                <w:rFonts w:cs="Arial"/>
                <w:color w:val="000000"/>
                <w:szCs w:val="20"/>
              </w:rPr>
            </w:pPr>
            <w:r w:rsidRPr="00904C3B">
              <w:rPr>
                <w:rFonts w:ascii="Calibri" w:hAnsi="Calibri"/>
                <w:color w:val="000000"/>
                <w:szCs w:val="20"/>
              </w:rPr>
              <w:t>26 Watt 3-Way CFL replacing Non-</w:t>
            </w:r>
            <w:proofErr w:type="spellStart"/>
            <w:r w:rsidRPr="00904C3B">
              <w:rPr>
                <w:rFonts w:ascii="Calibri" w:hAnsi="Calibri"/>
                <w:color w:val="000000"/>
                <w:szCs w:val="20"/>
              </w:rPr>
              <w:t>Refl</w:t>
            </w:r>
            <w:proofErr w:type="spellEnd"/>
            <w:r w:rsidRPr="00904C3B">
              <w:rPr>
                <w:rFonts w:ascii="Calibri" w:hAnsi="Calibri"/>
                <w:color w:val="000000"/>
                <w:szCs w:val="20"/>
              </w:rPr>
              <w:t xml:space="preserve"> CFL Base Case, Total Watts = </w:t>
            </w:r>
            <w:r w:rsidR="003840E8">
              <w:rPr>
                <w:rFonts w:ascii="Calibri" w:hAnsi="Calibri"/>
                <w:color w:val="000000"/>
                <w:szCs w:val="20"/>
              </w:rPr>
              <w:t>1.56</w:t>
            </w:r>
            <w:r w:rsidRPr="00904C3B">
              <w:rPr>
                <w:rFonts w:ascii="Calibri" w:hAnsi="Calibri"/>
                <w:color w:val="000000"/>
                <w:szCs w:val="20"/>
              </w:rPr>
              <w:t xml:space="preserve"> x </w:t>
            </w:r>
            <w:proofErr w:type="spellStart"/>
            <w:r w:rsidRPr="00904C3B">
              <w:rPr>
                <w:rFonts w:ascii="Calibri" w:hAnsi="Calibri"/>
                <w:color w:val="000000"/>
                <w:szCs w:val="20"/>
              </w:rPr>
              <w:t>Msr</w:t>
            </w:r>
            <w:proofErr w:type="spellEnd"/>
            <w:r w:rsidRPr="00904C3B">
              <w:rPr>
                <w:rFonts w:ascii="Calibri" w:hAnsi="Calibri"/>
                <w:color w:val="000000"/>
                <w:szCs w:val="20"/>
              </w:rPr>
              <w:t xml:space="preserve"> Watts</w:t>
            </w:r>
          </w:p>
        </w:tc>
      </w:tr>
      <w:tr w:rsidR="00904C3B" w:rsidRPr="00904C3B" w14:paraId="657D1924" w14:textId="77777777" w:rsidTr="0007128C">
        <w:trPr>
          <w:trHeight w:val="243"/>
        </w:trPr>
        <w:tc>
          <w:tcPr>
            <w:tcW w:w="334" w:type="pct"/>
          </w:tcPr>
          <w:p w14:paraId="4B93DD4F" w14:textId="77777777" w:rsidR="00904C3B" w:rsidRPr="00904C3B" w:rsidRDefault="00904C3B" w:rsidP="00904C3B">
            <w:pPr>
              <w:rPr>
                <w:rFonts w:cstheme="minorHAnsi"/>
                <w:szCs w:val="20"/>
              </w:rPr>
            </w:pPr>
          </w:p>
        </w:tc>
        <w:tc>
          <w:tcPr>
            <w:tcW w:w="433" w:type="pct"/>
          </w:tcPr>
          <w:p w14:paraId="029E0708" w14:textId="77777777" w:rsidR="00904C3B" w:rsidRPr="00904C3B" w:rsidRDefault="00904C3B" w:rsidP="00904C3B">
            <w:pPr>
              <w:rPr>
                <w:rFonts w:cstheme="minorHAnsi"/>
                <w:szCs w:val="20"/>
              </w:rPr>
            </w:pPr>
          </w:p>
        </w:tc>
        <w:tc>
          <w:tcPr>
            <w:tcW w:w="605" w:type="pct"/>
          </w:tcPr>
          <w:p w14:paraId="03805D88" w14:textId="50D56A9A" w:rsidR="00904C3B" w:rsidRPr="00904C3B" w:rsidRDefault="00904C3B" w:rsidP="00904C3B">
            <w:pPr>
              <w:rPr>
                <w:rFonts w:cs="Arial"/>
                <w:szCs w:val="20"/>
              </w:rPr>
            </w:pPr>
            <w:r w:rsidRPr="00904C3B">
              <w:rPr>
                <w:rFonts w:ascii="Calibri" w:hAnsi="Calibri"/>
                <w:color w:val="000000"/>
                <w:szCs w:val="20"/>
              </w:rPr>
              <w:t>LT-77992</w:t>
            </w:r>
          </w:p>
        </w:tc>
        <w:tc>
          <w:tcPr>
            <w:tcW w:w="376" w:type="pct"/>
          </w:tcPr>
          <w:p w14:paraId="6E90D08B" w14:textId="77777777" w:rsidR="00904C3B" w:rsidRPr="00904C3B" w:rsidRDefault="00904C3B" w:rsidP="00904C3B">
            <w:pPr>
              <w:rPr>
                <w:rFonts w:cstheme="minorHAnsi"/>
                <w:szCs w:val="20"/>
              </w:rPr>
            </w:pPr>
          </w:p>
        </w:tc>
        <w:tc>
          <w:tcPr>
            <w:tcW w:w="3252" w:type="pct"/>
          </w:tcPr>
          <w:p w14:paraId="449D66C9" w14:textId="54759B85" w:rsidR="00904C3B" w:rsidRPr="00904C3B" w:rsidRDefault="00904C3B" w:rsidP="00904C3B">
            <w:pPr>
              <w:rPr>
                <w:rFonts w:cs="Arial"/>
                <w:color w:val="000000"/>
                <w:szCs w:val="20"/>
              </w:rPr>
            </w:pPr>
            <w:r w:rsidRPr="00904C3B">
              <w:rPr>
                <w:rFonts w:ascii="Calibri" w:hAnsi="Calibri"/>
                <w:color w:val="000000"/>
                <w:szCs w:val="20"/>
              </w:rPr>
              <w:t>29 Watt 3-Way CFL replacing Non-</w:t>
            </w:r>
            <w:proofErr w:type="spellStart"/>
            <w:r w:rsidRPr="00904C3B">
              <w:rPr>
                <w:rFonts w:ascii="Calibri" w:hAnsi="Calibri"/>
                <w:color w:val="000000"/>
                <w:szCs w:val="20"/>
              </w:rPr>
              <w:t>Refl</w:t>
            </w:r>
            <w:proofErr w:type="spellEnd"/>
            <w:r w:rsidRPr="00904C3B">
              <w:rPr>
                <w:rFonts w:ascii="Calibri" w:hAnsi="Calibri"/>
                <w:color w:val="000000"/>
                <w:szCs w:val="20"/>
              </w:rPr>
              <w:t xml:space="preserve"> CFL Base Case, Total Watts </w:t>
            </w:r>
            <w:r w:rsidR="003840E8" w:rsidRPr="00904C3B">
              <w:rPr>
                <w:rFonts w:ascii="Calibri" w:hAnsi="Calibri"/>
                <w:color w:val="000000"/>
                <w:szCs w:val="20"/>
              </w:rPr>
              <w:t xml:space="preserve">= </w:t>
            </w:r>
            <w:r w:rsidR="003840E8">
              <w:rPr>
                <w:rFonts w:ascii="Calibri" w:hAnsi="Calibri"/>
                <w:color w:val="000000"/>
                <w:szCs w:val="20"/>
              </w:rPr>
              <w:t>1.56</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r w:rsidR="00904C3B" w:rsidRPr="00904C3B" w14:paraId="00113054" w14:textId="77777777" w:rsidTr="0007128C">
        <w:trPr>
          <w:trHeight w:val="243"/>
        </w:trPr>
        <w:tc>
          <w:tcPr>
            <w:tcW w:w="334" w:type="pct"/>
          </w:tcPr>
          <w:p w14:paraId="5AAE996B" w14:textId="77777777" w:rsidR="00904C3B" w:rsidRPr="00904C3B" w:rsidRDefault="00904C3B" w:rsidP="00904C3B">
            <w:pPr>
              <w:rPr>
                <w:rFonts w:cstheme="minorHAnsi"/>
                <w:szCs w:val="20"/>
              </w:rPr>
            </w:pPr>
          </w:p>
        </w:tc>
        <w:tc>
          <w:tcPr>
            <w:tcW w:w="433" w:type="pct"/>
          </w:tcPr>
          <w:p w14:paraId="774072B0" w14:textId="77777777" w:rsidR="00904C3B" w:rsidRPr="00904C3B" w:rsidRDefault="00904C3B" w:rsidP="00904C3B">
            <w:pPr>
              <w:rPr>
                <w:rFonts w:cstheme="minorHAnsi"/>
                <w:szCs w:val="20"/>
              </w:rPr>
            </w:pPr>
          </w:p>
        </w:tc>
        <w:tc>
          <w:tcPr>
            <w:tcW w:w="605" w:type="pct"/>
          </w:tcPr>
          <w:p w14:paraId="7E7CBB73" w14:textId="26676E83" w:rsidR="00904C3B" w:rsidRPr="00904C3B" w:rsidRDefault="00904C3B" w:rsidP="00904C3B">
            <w:pPr>
              <w:rPr>
                <w:rFonts w:cs="Arial"/>
                <w:szCs w:val="20"/>
              </w:rPr>
            </w:pPr>
            <w:r w:rsidRPr="00904C3B">
              <w:rPr>
                <w:rFonts w:ascii="Calibri" w:hAnsi="Calibri"/>
                <w:color w:val="000000"/>
                <w:szCs w:val="20"/>
              </w:rPr>
              <w:t>LT-66979</w:t>
            </w:r>
          </w:p>
        </w:tc>
        <w:tc>
          <w:tcPr>
            <w:tcW w:w="376" w:type="pct"/>
          </w:tcPr>
          <w:p w14:paraId="1230322D" w14:textId="77777777" w:rsidR="00904C3B" w:rsidRPr="00904C3B" w:rsidRDefault="00904C3B" w:rsidP="00904C3B">
            <w:pPr>
              <w:rPr>
                <w:rFonts w:cstheme="minorHAnsi"/>
                <w:szCs w:val="20"/>
              </w:rPr>
            </w:pPr>
          </w:p>
        </w:tc>
        <w:tc>
          <w:tcPr>
            <w:tcW w:w="3252" w:type="pct"/>
          </w:tcPr>
          <w:p w14:paraId="5E01A483" w14:textId="3EDC1429" w:rsidR="00904C3B" w:rsidRPr="00904C3B" w:rsidRDefault="00904C3B" w:rsidP="00904C3B">
            <w:pPr>
              <w:rPr>
                <w:rFonts w:cs="Arial"/>
                <w:color w:val="000000"/>
                <w:szCs w:val="20"/>
              </w:rPr>
            </w:pPr>
            <w:r w:rsidRPr="00904C3B">
              <w:rPr>
                <w:rFonts w:ascii="Calibri" w:hAnsi="Calibri"/>
                <w:color w:val="000000"/>
                <w:szCs w:val="20"/>
              </w:rPr>
              <w:t>32 Watt 3-Way CFL replacing Non-</w:t>
            </w:r>
            <w:proofErr w:type="spellStart"/>
            <w:r w:rsidRPr="00904C3B">
              <w:rPr>
                <w:rFonts w:ascii="Calibri" w:hAnsi="Calibri"/>
                <w:color w:val="000000"/>
                <w:szCs w:val="20"/>
              </w:rPr>
              <w:t>Refl</w:t>
            </w:r>
            <w:proofErr w:type="spellEnd"/>
            <w:r w:rsidRPr="00904C3B">
              <w:rPr>
                <w:rFonts w:ascii="Calibri" w:hAnsi="Calibri"/>
                <w:color w:val="000000"/>
                <w:szCs w:val="20"/>
              </w:rPr>
              <w:t xml:space="preserve"> CFL Base Case, Total Watts </w:t>
            </w:r>
            <w:r w:rsidR="003840E8" w:rsidRPr="00904C3B">
              <w:rPr>
                <w:rFonts w:ascii="Calibri" w:hAnsi="Calibri"/>
                <w:color w:val="000000"/>
                <w:szCs w:val="20"/>
              </w:rPr>
              <w:t xml:space="preserve">= </w:t>
            </w:r>
            <w:r w:rsidR="003840E8">
              <w:rPr>
                <w:rFonts w:ascii="Calibri" w:hAnsi="Calibri"/>
                <w:color w:val="000000"/>
                <w:szCs w:val="20"/>
              </w:rPr>
              <w:t>1.56</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r w:rsidR="009C4672" w:rsidRPr="00904C3B" w14:paraId="687A9F44" w14:textId="77777777" w:rsidTr="0007128C">
        <w:trPr>
          <w:trHeight w:val="243"/>
        </w:trPr>
        <w:tc>
          <w:tcPr>
            <w:tcW w:w="334" w:type="pct"/>
          </w:tcPr>
          <w:p w14:paraId="298166A0" w14:textId="77777777" w:rsidR="009C4672" w:rsidRPr="00904C3B" w:rsidRDefault="009C4672" w:rsidP="00904C3B">
            <w:pPr>
              <w:rPr>
                <w:rFonts w:cstheme="minorHAnsi"/>
                <w:szCs w:val="20"/>
              </w:rPr>
            </w:pPr>
          </w:p>
        </w:tc>
        <w:tc>
          <w:tcPr>
            <w:tcW w:w="433" w:type="pct"/>
          </w:tcPr>
          <w:p w14:paraId="644AD047" w14:textId="77777777" w:rsidR="009C4672" w:rsidRPr="00904C3B" w:rsidRDefault="009C4672" w:rsidP="00904C3B">
            <w:pPr>
              <w:rPr>
                <w:rFonts w:cstheme="minorHAnsi"/>
                <w:szCs w:val="20"/>
              </w:rPr>
            </w:pPr>
          </w:p>
        </w:tc>
        <w:tc>
          <w:tcPr>
            <w:tcW w:w="605" w:type="pct"/>
          </w:tcPr>
          <w:p w14:paraId="252530ED" w14:textId="0B07BD6B" w:rsidR="009C4672" w:rsidRPr="00904C3B" w:rsidRDefault="009C4672" w:rsidP="00904C3B">
            <w:pPr>
              <w:rPr>
                <w:rFonts w:ascii="Calibri" w:hAnsi="Calibri"/>
                <w:color w:val="000000"/>
                <w:szCs w:val="20"/>
              </w:rPr>
            </w:pPr>
            <w:r w:rsidRPr="009C4672">
              <w:rPr>
                <w:rFonts w:ascii="Calibri" w:hAnsi="Calibri"/>
                <w:color w:val="000000"/>
                <w:szCs w:val="20"/>
              </w:rPr>
              <w:t>LT-18900</w:t>
            </w:r>
          </w:p>
        </w:tc>
        <w:tc>
          <w:tcPr>
            <w:tcW w:w="376" w:type="pct"/>
          </w:tcPr>
          <w:p w14:paraId="1ED2B49D" w14:textId="77777777" w:rsidR="009C4672" w:rsidRPr="00904C3B" w:rsidRDefault="009C4672" w:rsidP="00904C3B">
            <w:pPr>
              <w:rPr>
                <w:rFonts w:cstheme="minorHAnsi"/>
                <w:szCs w:val="20"/>
              </w:rPr>
            </w:pPr>
          </w:p>
        </w:tc>
        <w:tc>
          <w:tcPr>
            <w:tcW w:w="3252" w:type="pct"/>
          </w:tcPr>
          <w:p w14:paraId="1467AD93" w14:textId="1BFE3061" w:rsidR="009C4672" w:rsidRPr="00904C3B" w:rsidRDefault="009C4672" w:rsidP="009C4672">
            <w:pPr>
              <w:rPr>
                <w:rFonts w:ascii="Calibri" w:hAnsi="Calibri"/>
                <w:color w:val="000000"/>
                <w:szCs w:val="20"/>
              </w:rPr>
            </w:pPr>
            <w:r w:rsidRPr="00904C3B">
              <w:rPr>
                <w:rFonts w:ascii="Calibri" w:hAnsi="Calibri"/>
                <w:color w:val="000000"/>
                <w:szCs w:val="20"/>
              </w:rPr>
              <w:t>3</w:t>
            </w:r>
            <w:r>
              <w:rPr>
                <w:rFonts w:ascii="Calibri" w:hAnsi="Calibri"/>
                <w:color w:val="000000"/>
                <w:szCs w:val="20"/>
              </w:rPr>
              <w:t>3</w:t>
            </w:r>
            <w:r w:rsidRPr="00904C3B">
              <w:rPr>
                <w:rFonts w:ascii="Calibri" w:hAnsi="Calibri"/>
                <w:color w:val="000000"/>
                <w:szCs w:val="20"/>
              </w:rPr>
              <w:t xml:space="preserve"> Watt 3-Way CFL replacing Non-</w:t>
            </w:r>
            <w:proofErr w:type="spellStart"/>
            <w:r w:rsidRPr="00904C3B">
              <w:rPr>
                <w:rFonts w:ascii="Calibri" w:hAnsi="Calibri"/>
                <w:color w:val="000000"/>
                <w:szCs w:val="20"/>
              </w:rPr>
              <w:t>Refl</w:t>
            </w:r>
            <w:proofErr w:type="spellEnd"/>
            <w:r w:rsidRPr="00904C3B">
              <w:rPr>
                <w:rFonts w:ascii="Calibri" w:hAnsi="Calibri"/>
                <w:color w:val="000000"/>
                <w:szCs w:val="20"/>
              </w:rPr>
              <w:t xml:space="preserve"> CFL Base Case, Total Watts </w:t>
            </w:r>
            <w:r w:rsidR="003840E8" w:rsidRPr="00904C3B">
              <w:rPr>
                <w:rFonts w:ascii="Calibri" w:hAnsi="Calibri"/>
                <w:color w:val="000000"/>
                <w:szCs w:val="20"/>
              </w:rPr>
              <w:t xml:space="preserve">= </w:t>
            </w:r>
            <w:r w:rsidR="003840E8">
              <w:rPr>
                <w:rFonts w:ascii="Calibri" w:hAnsi="Calibri"/>
                <w:color w:val="000000"/>
                <w:szCs w:val="20"/>
              </w:rPr>
              <w:t>1.56</w:t>
            </w:r>
            <w:r w:rsidR="003840E8" w:rsidRPr="00904C3B">
              <w:rPr>
                <w:rFonts w:ascii="Calibri" w:hAnsi="Calibri"/>
                <w:color w:val="000000"/>
                <w:szCs w:val="20"/>
              </w:rPr>
              <w:t xml:space="preserve"> x </w:t>
            </w:r>
            <w:proofErr w:type="spellStart"/>
            <w:r w:rsidR="003840E8" w:rsidRPr="00904C3B">
              <w:rPr>
                <w:rFonts w:ascii="Calibri" w:hAnsi="Calibri"/>
                <w:color w:val="000000"/>
                <w:szCs w:val="20"/>
              </w:rPr>
              <w:t>Msr</w:t>
            </w:r>
            <w:proofErr w:type="spellEnd"/>
            <w:r w:rsidR="003840E8" w:rsidRPr="00904C3B">
              <w:rPr>
                <w:rFonts w:ascii="Calibri" w:hAnsi="Calibri"/>
                <w:color w:val="000000"/>
                <w:szCs w:val="20"/>
              </w:rPr>
              <w:t xml:space="preserve"> Watts</w:t>
            </w:r>
          </w:p>
        </w:tc>
      </w:tr>
    </w:tbl>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011DDC" w14:textId="77777777" w:rsidR="00C54EE2" w:rsidRDefault="00C54EE2" w:rsidP="00C54EE2">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3-way lamps are composed of two filaments that enable three different power and light levels to simulate dimming. These require an appropriate socket and a 3-way 2-circuit switch. Like dimmable CFLs, the color temperature stays the same at each level.</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0CFF170" w14:textId="77777777" w:rsidR="001564FA" w:rsidRDefault="00644EFD" w:rsidP="00697868">
      <w:pPr>
        <w:pStyle w:val="Reminders"/>
        <w:tabs>
          <w:tab w:val="num" w:pos="360"/>
        </w:tabs>
        <w:rPr>
          <w:rFonts w:asciiTheme="minorHAnsi" w:hAnsiTheme="minorHAnsi"/>
          <w:b/>
          <w:i w:val="0"/>
          <w:color w:val="auto"/>
          <w:szCs w:val="22"/>
        </w:rPr>
      </w:pPr>
      <w:r w:rsidRPr="00644EFD">
        <w:rPr>
          <w:rFonts w:asciiTheme="minorHAnsi" w:hAnsiTheme="minorHAnsi"/>
          <w:b/>
          <w:i w:val="0"/>
          <w:color w:val="auto"/>
          <w:szCs w:val="22"/>
        </w:rPr>
        <w:t>Installation Type</w:t>
      </w:r>
      <w:r>
        <w:rPr>
          <w:rFonts w:asciiTheme="minorHAnsi" w:hAnsiTheme="minorHAnsi"/>
          <w:b/>
          <w:i w:val="0"/>
          <w:color w:val="auto"/>
          <w:szCs w:val="22"/>
        </w:rPr>
        <w:t>s</w:t>
      </w:r>
      <w:r w:rsidRPr="00644EFD">
        <w:rPr>
          <w:rFonts w:asciiTheme="minorHAnsi" w:hAnsiTheme="minorHAnsi"/>
          <w:b/>
          <w:i w:val="0"/>
          <w:color w:val="auto"/>
          <w:szCs w:val="22"/>
        </w:rPr>
        <w:t>:</w:t>
      </w:r>
    </w:p>
    <w:p w14:paraId="7DEC7CDF" w14:textId="246E46C2" w:rsidR="00644EFD" w:rsidRPr="00644EFD" w:rsidRDefault="00644EFD" w:rsidP="001564FA">
      <w:pPr>
        <w:pStyle w:val="Reminders"/>
        <w:numPr>
          <w:ilvl w:val="0"/>
          <w:numId w:val="38"/>
        </w:numPr>
        <w:rPr>
          <w:rFonts w:asciiTheme="minorHAnsi" w:hAnsiTheme="minorHAnsi"/>
          <w:i w:val="0"/>
          <w:color w:val="auto"/>
          <w:szCs w:val="22"/>
        </w:rPr>
      </w:pPr>
      <w:r w:rsidRPr="00644EFD">
        <w:rPr>
          <w:rFonts w:asciiTheme="minorHAnsi" w:hAnsiTheme="minorHAnsi"/>
          <w:i w:val="0"/>
          <w:color w:val="auto"/>
          <w:szCs w:val="22"/>
        </w:rPr>
        <w:t>ROB</w:t>
      </w:r>
    </w:p>
    <w:p w14:paraId="6499C70A" w14:textId="77777777" w:rsidR="00644EFD" w:rsidRDefault="00644EFD" w:rsidP="00644EFD">
      <w:pPr>
        <w:rPr>
          <w:szCs w:val="22"/>
        </w:rPr>
      </w:pPr>
      <w:r w:rsidRPr="00644EFD">
        <w:rPr>
          <w:b/>
          <w:szCs w:val="22"/>
        </w:rPr>
        <w:t>Delivery Mechanisms:</w:t>
      </w:r>
    </w:p>
    <w:p w14:paraId="53B5C8CF" w14:textId="2E5F8B51" w:rsidR="005E1928" w:rsidRPr="005E1928" w:rsidRDefault="005E1928" w:rsidP="005E1928">
      <w:pPr>
        <w:rPr>
          <w:szCs w:val="22"/>
        </w:rPr>
      </w:pPr>
      <w:r>
        <w:rPr>
          <w:szCs w:val="22"/>
        </w:rPr>
        <w:t xml:space="preserve">These measures are offered by </w:t>
      </w:r>
      <w:r w:rsidR="00C54EE2">
        <w:rPr>
          <w:szCs w:val="22"/>
        </w:rPr>
        <w:t>the SCE Upstream Primary Lighting Program</w:t>
      </w:r>
      <w:r>
        <w:rPr>
          <w:szCs w:val="22"/>
        </w:rPr>
        <w:t>.</w:t>
      </w:r>
    </w:p>
    <w:p w14:paraId="747F7CE8" w14:textId="5BE76DB1" w:rsidR="00644EFD" w:rsidRDefault="00C54EE2" w:rsidP="00C54EE2">
      <w:pPr>
        <w:pStyle w:val="Reminders"/>
        <w:numPr>
          <w:ilvl w:val="0"/>
          <w:numId w:val="38"/>
        </w:numPr>
        <w:rPr>
          <w:rFonts w:asciiTheme="minorHAnsi" w:hAnsiTheme="minorHAnsi"/>
          <w:i w:val="0"/>
          <w:color w:val="auto"/>
          <w:szCs w:val="22"/>
        </w:rPr>
      </w:pPr>
      <w:r w:rsidRPr="00C54EE2">
        <w:rPr>
          <w:rFonts w:asciiTheme="minorHAnsi" w:hAnsiTheme="minorHAnsi"/>
          <w:i w:val="0"/>
          <w:color w:val="auto"/>
          <w:szCs w:val="22"/>
        </w:rPr>
        <w:t>Upstream Programs – Up-Stream Buy Down</w:t>
      </w:r>
    </w:p>
    <w:p w14:paraId="715D523B" w14:textId="77777777" w:rsidR="00C54EE2" w:rsidRPr="00C54EE2" w:rsidRDefault="00C54EE2" w:rsidP="00C54EE2">
      <w:pPr>
        <w:pStyle w:val="Reminders"/>
        <w:ind w:left="720"/>
        <w:rPr>
          <w:rFonts w:asciiTheme="minorHAnsi" w:hAnsiTheme="minorHAnsi"/>
          <w:i w:val="0"/>
          <w:color w:val="auto"/>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lastRenderedPageBreak/>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282C9C29" w14:textId="0DD63E46" w:rsidR="00452639" w:rsidRDefault="00452639" w:rsidP="00962776">
      <w:pPr>
        <w:pStyle w:val="Caption"/>
        <w:keepNext/>
        <w:rPr>
          <w:rFonts w:cstheme="minorHAnsi"/>
          <w:b w:val="0"/>
          <w:szCs w:val="22"/>
        </w:rPr>
      </w:pPr>
      <w:bookmarkStart w:id="9" w:name="_Toc385592671"/>
      <w:bookmarkStart w:id="10" w:name="_Toc214003087"/>
      <w:r w:rsidRPr="00452639">
        <w:rPr>
          <w:rFonts w:cstheme="minorHAnsi"/>
          <w:b w:val="0"/>
          <w:szCs w:val="22"/>
        </w:rPr>
        <w:t xml:space="preserve">DEER </w:t>
      </w:r>
      <w:r w:rsidR="00B71EF0" w:rsidRPr="00452639">
        <w:rPr>
          <w:rFonts w:cstheme="minorHAnsi"/>
          <w:b w:val="0"/>
          <w:szCs w:val="22"/>
        </w:rPr>
        <w:t>201</w:t>
      </w:r>
      <w:r w:rsidR="00B71EF0">
        <w:rPr>
          <w:rFonts w:cstheme="minorHAnsi"/>
          <w:b w:val="0"/>
          <w:szCs w:val="22"/>
        </w:rPr>
        <w:t>7</w:t>
      </w:r>
      <w:r w:rsidR="00B71EF0" w:rsidRPr="00452639">
        <w:rPr>
          <w:rFonts w:cstheme="minorHAnsi"/>
          <w:b w:val="0"/>
          <w:szCs w:val="22"/>
        </w:rPr>
        <w:t xml:space="preserve"> </w:t>
      </w:r>
      <w:r w:rsidRPr="00452639">
        <w:rPr>
          <w:rFonts w:cstheme="minorHAnsi"/>
          <w:b w:val="0"/>
          <w:szCs w:val="22"/>
        </w:rPr>
        <w:t xml:space="preserve">has measures for screw-in CFLs, but not for 3-way CFLs. This work paper uses DEER </w:t>
      </w:r>
      <w:r w:rsidR="00B44C9F">
        <w:rPr>
          <w:rFonts w:cstheme="minorHAnsi"/>
          <w:b w:val="0"/>
          <w:szCs w:val="22"/>
        </w:rPr>
        <w:t xml:space="preserve">methodology and correction factors but not DEER </w:t>
      </w:r>
      <w:r w:rsidR="00F91659">
        <w:rPr>
          <w:rFonts w:cstheme="minorHAnsi"/>
          <w:b w:val="0"/>
          <w:szCs w:val="22"/>
        </w:rPr>
        <w:t>values</w:t>
      </w:r>
      <w:r w:rsidRPr="00452639">
        <w:rPr>
          <w:rFonts w:cstheme="minorHAnsi"/>
          <w:b w:val="0"/>
          <w:szCs w:val="22"/>
        </w:rPr>
        <w:t>.</w:t>
      </w:r>
    </w:p>
    <w:p w14:paraId="1EC53931" w14:textId="77777777" w:rsidR="00452639" w:rsidRPr="00452639" w:rsidRDefault="00452639" w:rsidP="00452639"/>
    <w:p w14:paraId="127C5859" w14:textId="44305229" w:rsidR="00E326BA" w:rsidRPr="00920905" w:rsidRDefault="00E326BA" w:rsidP="00962776">
      <w:pPr>
        <w:pStyle w:val="Caption"/>
        <w:keepNext/>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0CEB6B05" w:rsidR="00E326BA" w:rsidRPr="00962776" w:rsidRDefault="00B44C9F" w:rsidP="00920905">
            <w:pPr>
              <w:rPr>
                <w:rFonts w:cs="Arial"/>
                <w:b/>
                <w:szCs w:val="20"/>
              </w:rPr>
            </w:pPr>
            <w:r>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749C6745" w:rsidR="00E326BA" w:rsidRPr="00962776" w:rsidRDefault="0007128C" w:rsidP="00920905">
            <w:pPr>
              <w:rPr>
                <w:rFonts w:cs="Arial"/>
                <w:szCs w:val="20"/>
              </w:rPr>
            </w:pPr>
            <w:r>
              <w:rPr>
                <w:rFonts w:cs="Arial"/>
                <w:szCs w:val="20"/>
              </w:rPr>
              <w:t>Yes</w:t>
            </w:r>
          </w:p>
        </w:tc>
      </w:tr>
      <w:tr w:rsidR="00C54EE2" w:rsidRPr="00500C4E" w14:paraId="0E7FA0A8" w14:textId="77777777" w:rsidTr="00920905">
        <w:trPr>
          <w:trHeight w:val="20"/>
        </w:trPr>
        <w:tc>
          <w:tcPr>
            <w:tcW w:w="1548" w:type="pct"/>
          </w:tcPr>
          <w:p w14:paraId="2F3E70F4" w14:textId="2ACC010D" w:rsidR="00C54EE2" w:rsidRPr="00920905" w:rsidRDefault="00C54EE2" w:rsidP="00C54EE2">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2F32A799" w:rsidR="00C54EE2" w:rsidRPr="00962776" w:rsidRDefault="003840E8" w:rsidP="00C54EE2">
            <w:pPr>
              <w:rPr>
                <w:rFonts w:cs="Arial"/>
                <w:szCs w:val="20"/>
              </w:rPr>
            </w:pPr>
            <w:r>
              <w:rPr>
                <w:rFonts w:cs="Arial"/>
                <w:szCs w:val="20"/>
              </w:rPr>
              <w:t>No</w:t>
            </w:r>
          </w:p>
        </w:tc>
      </w:tr>
      <w:tr w:rsidR="00C54EE2" w:rsidRPr="00500C4E" w14:paraId="3C843C04" w14:textId="77777777" w:rsidTr="00920905">
        <w:trPr>
          <w:trHeight w:val="20"/>
        </w:trPr>
        <w:tc>
          <w:tcPr>
            <w:tcW w:w="1548" w:type="pct"/>
          </w:tcPr>
          <w:p w14:paraId="51431197" w14:textId="2E50B486" w:rsidR="00C54EE2" w:rsidRPr="00920905" w:rsidRDefault="00C54EE2" w:rsidP="00C54EE2">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1F40C46B" w:rsidR="00C54EE2" w:rsidRPr="00962776" w:rsidRDefault="00B44C9F" w:rsidP="00C54EE2">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7A79E0F" w:rsidR="00E326BA" w:rsidRPr="00962776" w:rsidRDefault="00E326BA" w:rsidP="00962776">
            <w:pPr>
              <w:rPr>
                <w:rFonts w:cs="Arial"/>
                <w:szCs w:val="20"/>
              </w:rPr>
            </w:pPr>
            <w:r w:rsidRPr="00962776">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7A31F51" w:rsidR="00E326BA" w:rsidRPr="00962776" w:rsidRDefault="00254671" w:rsidP="00962776">
            <w:pPr>
              <w:rPr>
                <w:rFonts w:cs="Arial"/>
                <w:szCs w:val="20"/>
              </w:rPr>
            </w:pPr>
            <w:r w:rsidRPr="00962776">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23C927BF" w:rsidR="00505CEC" w:rsidRPr="00962776" w:rsidDel="00505CEC" w:rsidRDefault="00505CEC" w:rsidP="00920905">
            <w:pPr>
              <w:rPr>
                <w:rFonts w:cs="Arial"/>
                <w:szCs w:val="20"/>
              </w:rPr>
            </w:pPr>
            <w:r w:rsidRPr="00962776">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502DDB5" w:rsidR="00D86A9D" w:rsidRPr="00962776" w:rsidRDefault="00D86A9D" w:rsidP="0037716E">
            <w:pPr>
              <w:rPr>
                <w:rFonts w:cs="Arial"/>
                <w:szCs w:val="20"/>
              </w:rPr>
            </w:pPr>
            <w:r w:rsidRPr="00962776">
              <w:rPr>
                <w:rFonts w:cstheme="minorHAnsi"/>
                <w:szCs w:val="20"/>
              </w:rPr>
              <w:t xml:space="preserve">DEER </w:t>
            </w:r>
            <w:r w:rsidR="0037716E" w:rsidRPr="00962776">
              <w:rPr>
                <w:rFonts w:cstheme="minorHAnsi"/>
                <w:szCs w:val="20"/>
              </w:rPr>
              <w:t>201</w:t>
            </w:r>
            <w:r w:rsidR="0037716E">
              <w:rPr>
                <w:rFonts w:cstheme="minorHAnsi"/>
                <w:szCs w:val="20"/>
              </w:rPr>
              <w:t>7</w:t>
            </w:r>
            <w:r w:rsidRPr="00962776">
              <w:rPr>
                <w:rFonts w:cstheme="minorHAnsi"/>
                <w:szCs w:val="20"/>
              </w:rPr>
              <w:t>, READI v2.</w:t>
            </w:r>
            <w:r w:rsidR="0037716E">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5545C3E" w:rsidR="00E326BA" w:rsidRPr="00B44C9F" w:rsidRDefault="003840E8" w:rsidP="00C54EE2">
            <w:pPr>
              <w:rPr>
                <w:rFonts w:cs="Arial"/>
                <w:szCs w:val="20"/>
              </w:rPr>
            </w:pPr>
            <w:r>
              <w:rPr>
                <w:rFonts w:cs="Arial"/>
                <w:szCs w:val="20"/>
              </w:rPr>
              <w:t>New WRR values provided in CPUC Lighting Disposition</w:t>
            </w:r>
            <w:r w:rsidR="0007128C">
              <w:rPr>
                <w:rFonts w:cs="Arial"/>
                <w:szCs w:val="20"/>
              </w:rPr>
              <w:t xml:space="preserve"> [Attachment 5]</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E10BE2A" w:rsidR="00E326BA" w:rsidRPr="00962776" w:rsidRDefault="00B44C9F" w:rsidP="00111CE7">
            <w:pPr>
              <w:rPr>
                <w:rFonts w:ascii="Calibri" w:hAnsi="Calibri"/>
                <w:szCs w:val="20"/>
              </w:rPr>
            </w:pPr>
            <w:r>
              <w:rPr>
                <w:rFonts w:ascii="Calibri" w:hAnsi="Calibri"/>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30C61653" w14:textId="3C68155F" w:rsidR="00741BD8" w:rsidRDefault="003840E8" w:rsidP="00741BD8">
      <w:pPr>
        <w:pStyle w:val="Reminders"/>
        <w:rPr>
          <w:rFonts w:asciiTheme="minorHAnsi" w:hAnsiTheme="minorHAnsi" w:cstheme="minorHAnsi"/>
          <w:i w:val="0"/>
          <w:color w:val="auto"/>
          <w:szCs w:val="22"/>
        </w:rPr>
      </w:pPr>
      <w:r w:rsidRPr="003840E8">
        <w:rPr>
          <w:rFonts w:asciiTheme="minorHAnsi" w:hAnsiTheme="minorHAnsi" w:cstheme="minorHAnsi"/>
          <w:i w:val="0"/>
          <w:color w:val="auto"/>
          <w:szCs w:val="22"/>
        </w:rPr>
        <w:t xml:space="preserve">The NTG values were obtained from the CPUC Lighting disposition provided on March 1st, 2017 [Attachment </w:t>
      </w:r>
      <w:r w:rsidR="00D31890">
        <w:rPr>
          <w:rFonts w:asciiTheme="minorHAnsi" w:hAnsiTheme="minorHAnsi" w:cstheme="minorHAnsi"/>
          <w:i w:val="0"/>
          <w:color w:val="auto"/>
          <w:szCs w:val="22"/>
        </w:rPr>
        <w:t>4</w:t>
      </w:r>
      <w:r w:rsidRPr="003840E8">
        <w:rPr>
          <w:rFonts w:asciiTheme="minorHAnsi" w:hAnsiTheme="minorHAnsi" w:cstheme="minorHAnsi"/>
          <w:i w:val="0"/>
          <w:color w:val="auto"/>
          <w:szCs w:val="22"/>
        </w:rPr>
        <w:t xml:space="preserve">]. The relevant NTG values for the measures in this work paper are </w:t>
      </w:r>
      <w:r w:rsidR="00436D41">
        <w:rPr>
          <w:rFonts w:asciiTheme="minorHAnsi" w:hAnsiTheme="minorHAnsi" w:cstheme="minorHAnsi"/>
          <w:i w:val="0"/>
          <w:color w:val="auto"/>
          <w:szCs w:val="22"/>
        </w:rPr>
        <w:t xml:space="preserve">provided </w:t>
      </w:r>
      <w:r w:rsidRPr="003840E8">
        <w:rPr>
          <w:rFonts w:asciiTheme="minorHAnsi" w:hAnsiTheme="minorHAnsi" w:cstheme="minorHAnsi"/>
          <w:i w:val="0"/>
          <w:color w:val="auto"/>
          <w:szCs w:val="22"/>
        </w:rPr>
        <w:t>in the table below</w:t>
      </w:r>
      <w:proofErr w:type="gramStart"/>
      <w:r w:rsidRPr="003840E8">
        <w:rPr>
          <w:rFonts w:asciiTheme="minorHAnsi" w:hAnsiTheme="minorHAnsi" w:cstheme="minorHAnsi"/>
          <w:i w:val="0"/>
          <w:color w:val="auto"/>
          <w:szCs w:val="22"/>
        </w:rPr>
        <w:t>.</w:t>
      </w:r>
      <w:r w:rsidR="000968C6" w:rsidRPr="00741BD8">
        <w:rPr>
          <w:rFonts w:asciiTheme="minorHAnsi" w:hAnsiTheme="minorHAnsi" w:cstheme="minorHAnsi"/>
          <w:i w:val="0"/>
          <w:color w:val="auto"/>
          <w:szCs w:val="22"/>
        </w:rPr>
        <w:t>.</w:t>
      </w:r>
      <w:proofErr w:type="gramEnd"/>
    </w:p>
    <w:p w14:paraId="00C43CEE" w14:textId="1B0B92AC" w:rsidR="000968C6" w:rsidRPr="00920905" w:rsidRDefault="000968C6" w:rsidP="00920905">
      <w:pPr>
        <w:pStyle w:val="NoSpacing"/>
      </w:pPr>
    </w:p>
    <w:tbl>
      <w:tblPr>
        <w:tblStyle w:val="TableGrid1"/>
        <w:tblW w:w="5000" w:type="pct"/>
        <w:tblLayout w:type="fixed"/>
        <w:tblLook w:val="01E0" w:firstRow="1" w:lastRow="1" w:firstColumn="1" w:lastColumn="1" w:noHBand="0" w:noVBand="0"/>
      </w:tblPr>
      <w:tblGrid>
        <w:gridCol w:w="2115"/>
        <w:gridCol w:w="2951"/>
        <w:gridCol w:w="923"/>
        <w:gridCol w:w="1013"/>
        <w:gridCol w:w="1752"/>
        <w:gridCol w:w="822"/>
      </w:tblGrid>
      <w:tr w:rsidR="005F69D5" w:rsidRPr="00500C4E" w14:paraId="7ADA6C1A" w14:textId="77777777" w:rsidTr="00B44C9F">
        <w:tc>
          <w:tcPr>
            <w:tcW w:w="1104"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541"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82"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9"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B055BD" w:rsidRPr="00500C4E" w14:paraId="5C8B04BC" w14:textId="77777777" w:rsidTr="00B44C9F">
        <w:tc>
          <w:tcPr>
            <w:tcW w:w="1104" w:type="pct"/>
          </w:tcPr>
          <w:p w14:paraId="28722997" w14:textId="63FFF67A" w:rsidR="00B055BD" w:rsidRPr="007A015F" w:rsidRDefault="00B055BD" w:rsidP="008B0973">
            <w:pPr>
              <w:jc w:val="both"/>
              <w:rPr>
                <w:szCs w:val="20"/>
              </w:rPr>
            </w:pPr>
            <w:bookmarkStart w:id="11" w:name="_GoBack" w:colFirst="1" w:colLast="1"/>
            <w:proofErr w:type="spellStart"/>
            <w:r>
              <w:rPr>
                <w:rFonts w:cs="Arial"/>
                <w:color w:val="000000"/>
                <w:szCs w:val="20"/>
              </w:rPr>
              <w:t>NonRes-sAll-mCFL</w:t>
            </w:r>
            <w:proofErr w:type="spellEnd"/>
          </w:p>
        </w:tc>
        <w:tc>
          <w:tcPr>
            <w:tcW w:w="1541" w:type="pct"/>
          </w:tcPr>
          <w:p w14:paraId="3EB26158" w14:textId="37F5D373" w:rsidR="00B055BD" w:rsidRPr="007A015F" w:rsidRDefault="00B055BD" w:rsidP="008B0973">
            <w:pPr>
              <w:jc w:val="both"/>
              <w:rPr>
                <w:szCs w:val="20"/>
              </w:rPr>
            </w:pPr>
            <w:r w:rsidRPr="00360A1D">
              <w:t>All nonresidential CFLs, all delivery mechanisms</w:t>
            </w:r>
          </w:p>
        </w:tc>
        <w:tc>
          <w:tcPr>
            <w:tcW w:w="482" w:type="pct"/>
          </w:tcPr>
          <w:p w14:paraId="5C4D3E7D" w14:textId="764B130E" w:rsidR="00B055BD" w:rsidRPr="007A015F" w:rsidRDefault="00B055BD" w:rsidP="008B0973">
            <w:pPr>
              <w:jc w:val="both"/>
              <w:rPr>
                <w:szCs w:val="20"/>
              </w:rPr>
            </w:pPr>
            <w:proofErr w:type="spellStart"/>
            <w:r>
              <w:rPr>
                <w:rFonts w:cstheme="minorHAnsi"/>
                <w:szCs w:val="20"/>
              </w:rPr>
              <w:t>NonRes</w:t>
            </w:r>
            <w:proofErr w:type="spellEnd"/>
          </w:p>
        </w:tc>
        <w:tc>
          <w:tcPr>
            <w:tcW w:w="529" w:type="pct"/>
          </w:tcPr>
          <w:p w14:paraId="1A63333B" w14:textId="72C9A8BF" w:rsidR="00B055BD" w:rsidRPr="007A015F" w:rsidRDefault="00B055BD" w:rsidP="008B0973">
            <w:pPr>
              <w:jc w:val="both"/>
              <w:rPr>
                <w:szCs w:val="20"/>
              </w:rPr>
            </w:pPr>
            <w:r>
              <w:rPr>
                <w:rFonts w:cstheme="minorHAnsi"/>
                <w:szCs w:val="20"/>
              </w:rPr>
              <w:t>Any</w:t>
            </w:r>
          </w:p>
        </w:tc>
        <w:tc>
          <w:tcPr>
            <w:tcW w:w="915" w:type="pct"/>
          </w:tcPr>
          <w:p w14:paraId="6AB10E89" w14:textId="61F9AF12" w:rsidR="00B055BD" w:rsidRPr="007A015F" w:rsidRDefault="00B055BD" w:rsidP="008B0973">
            <w:pPr>
              <w:jc w:val="both"/>
              <w:rPr>
                <w:szCs w:val="20"/>
              </w:rPr>
            </w:pPr>
            <w:r>
              <w:rPr>
                <w:rFonts w:cstheme="minorHAnsi"/>
                <w:szCs w:val="20"/>
              </w:rPr>
              <w:t>Any</w:t>
            </w:r>
          </w:p>
        </w:tc>
        <w:tc>
          <w:tcPr>
            <w:tcW w:w="429" w:type="pct"/>
          </w:tcPr>
          <w:p w14:paraId="25878F23" w14:textId="0008C00C" w:rsidR="00B055BD" w:rsidRPr="007A015F" w:rsidRDefault="00B055BD" w:rsidP="008B0973">
            <w:pPr>
              <w:jc w:val="both"/>
              <w:rPr>
                <w:szCs w:val="20"/>
              </w:rPr>
            </w:pPr>
            <w:r>
              <w:rPr>
                <w:rFonts w:cstheme="minorHAnsi"/>
                <w:szCs w:val="20"/>
              </w:rPr>
              <w:t>0.85</w:t>
            </w:r>
          </w:p>
        </w:tc>
      </w:tr>
      <w:tr w:rsidR="00B055BD" w:rsidRPr="00500C4E" w14:paraId="36141A11" w14:textId="77777777" w:rsidTr="00B44C9F">
        <w:tc>
          <w:tcPr>
            <w:tcW w:w="1104" w:type="pct"/>
          </w:tcPr>
          <w:p w14:paraId="6DFCFA9C" w14:textId="649EA600" w:rsidR="00B055BD" w:rsidRPr="00747767" w:rsidRDefault="00B055BD" w:rsidP="008B0973">
            <w:pPr>
              <w:jc w:val="both"/>
              <w:rPr>
                <w:szCs w:val="20"/>
              </w:rPr>
            </w:pPr>
            <w:r>
              <w:rPr>
                <w:rFonts w:cs="Arial"/>
                <w:color w:val="000000"/>
                <w:szCs w:val="20"/>
              </w:rPr>
              <w:t>Res-</w:t>
            </w:r>
            <w:proofErr w:type="spellStart"/>
            <w:r>
              <w:rPr>
                <w:rFonts w:cs="Arial"/>
                <w:color w:val="000000"/>
                <w:szCs w:val="20"/>
              </w:rPr>
              <w:t>sAll</w:t>
            </w:r>
            <w:proofErr w:type="spellEnd"/>
            <w:r>
              <w:rPr>
                <w:rFonts w:cs="Arial"/>
                <w:color w:val="000000"/>
                <w:szCs w:val="20"/>
              </w:rPr>
              <w:t>-</w:t>
            </w:r>
            <w:proofErr w:type="spellStart"/>
            <w:r>
              <w:rPr>
                <w:rFonts w:cs="Arial"/>
                <w:color w:val="000000"/>
                <w:szCs w:val="20"/>
              </w:rPr>
              <w:t>mCFL</w:t>
            </w:r>
            <w:proofErr w:type="spellEnd"/>
          </w:p>
        </w:tc>
        <w:tc>
          <w:tcPr>
            <w:tcW w:w="1541" w:type="pct"/>
          </w:tcPr>
          <w:p w14:paraId="1D27343A" w14:textId="477DD99C" w:rsidR="00B055BD" w:rsidRPr="00747767" w:rsidRDefault="00B055BD" w:rsidP="008B0973">
            <w:pPr>
              <w:jc w:val="both"/>
              <w:rPr>
                <w:szCs w:val="20"/>
              </w:rPr>
            </w:pPr>
            <w:r w:rsidRPr="00360A1D">
              <w:t>All residential CFLs, all delivery mechanisms</w:t>
            </w:r>
          </w:p>
        </w:tc>
        <w:tc>
          <w:tcPr>
            <w:tcW w:w="482" w:type="pct"/>
          </w:tcPr>
          <w:p w14:paraId="040B4ACC" w14:textId="57C3AA9D" w:rsidR="00B055BD" w:rsidRPr="00747767" w:rsidRDefault="00B055BD" w:rsidP="008B0973">
            <w:pPr>
              <w:jc w:val="both"/>
              <w:rPr>
                <w:szCs w:val="20"/>
              </w:rPr>
            </w:pPr>
            <w:r>
              <w:rPr>
                <w:rFonts w:cstheme="minorHAnsi"/>
                <w:szCs w:val="20"/>
              </w:rPr>
              <w:t>Res</w:t>
            </w:r>
          </w:p>
        </w:tc>
        <w:tc>
          <w:tcPr>
            <w:tcW w:w="529" w:type="pct"/>
          </w:tcPr>
          <w:p w14:paraId="404130A7" w14:textId="140F1749" w:rsidR="00B055BD" w:rsidRPr="007A015F" w:rsidRDefault="00B055BD" w:rsidP="008B0973">
            <w:pPr>
              <w:jc w:val="both"/>
              <w:rPr>
                <w:szCs w:val="20"/>
              </w:rPr>
            </w:pPr>
            <w:r>
              <w:rPr>
                <w:rFonts w:cstheme="minorHAnsi"/>
                <w:szCs w:val="20"/>
              </w:rPr>
              <w:t>Any</w:t>
            </w:r>
          </w:p>
        </w:tc>
        <w:tc>
          <w:tcPr>
            <w:tcW w:w="915" w:type="pct"/>
          </w:tcPr>
          <w:p w14:paraId="1FF44785" w14:textId="2FB683D2" w:rsidR="00B055BD" w:rsidRPr="007A015F" w:rsidRDefault="00B055BD" w:rsidP="008B0973">
            <w:pPr>
              <w:jc w:val="both"/>
              <w:rPr>
                <w:szCs w:val="20"/>
              </w:rPr>
            </w:pPr>
            <w:r>
              <w:rPr>
                <w:rFonts w:cstheme="minorHAnsi"/>
                <w:szCs w:val="20"/>
              </w:rPr>
              <w:t>Any</w:t>
            </w:r>
          </w:p>
        </w:tc>
        <w:tc>
          <w:tcPr>
            <w:tcW w:w="429" w:type="pct"/>
          </w:tcPr>
          <w:p w14:paraId="79686C6A" w14:textId="6ABC45D4" w:rsidR="00B055BD" w:rsidRPr="007A015F" w:rsidRDefault="00B055BD" w:rsidP="008B0973">
            <w:pPr>
              <w:jc w:val="both"/>
              <w:rPr>
                <w:szCs w:val="20"/>
              </w:rPr>
            </w:pPr>
            <w:r>
              <w:rPr>
                <w:rFonts w:cstheme="minorHAnsi"/>
                <w:szCs w:val="20"/>
              </w:rPr>
              <w:t>0.85</w:t>
            </w:r>
          </w:p>
        </w:tc>
      </w:tr>
      <w:bookmarkEnd w:id="11"/>
    </w:tbl>
    <w:p w14:paraId="7DD29BFD" w14:textId="77777777" w:rsidR="007A015F" w:rsidRPr="00920905" w:rsidRDefault="007A015F"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lastRenderedPageBreak/>
        <w:t>Spillage rates are not tracked in work papers; they are tracked in an external document which will be supplied to the Commission Staff.</w:t>
      </w: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E400EF1" w14:textId="09D65B90" w:rsidR="007271AE"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r w:rsidR="00CF5C0D">
        <w:t xml:space="preserve">  </w:t>
      </w:r>
      <w:r w:rsidR="007D10D7">
        <w:t>The GSIA</w:t>
      </w:r>
      <w:r w:rsidR="007271AE">
        <w:t xml:space="preserve"> </w:t>
      </w:r>
      <w:r w:rsidR="007D10D7">
        <w:t>“Com-CFL</w:t>
      </w:r>
      <w:r w:rsidR="007271AE">
        <w:t xml:space="preserve">-SCE” </w:t>
      </w:r>
      <w:r w:rsidR="007D10D7">
        <w:t>was</w:t>
      </w:r>
      <w:r w:rsidR="007271AE">
        <w:t xml:space="preserve"> not used because </w:t>
      </w:r>
      <w:r w:rsidR="007D10D7">
        <w:t>it is not for upstream</w:t>
      </w:r>
      <w:r w:rsidR="007271AE">
        <w:t>.</w:t>
      </w:r>
    </w:p>
    <w:p w14:paraId="65BDCB21" w14:textId="77777777" w:rsidR="007271AE" w:rsidRPr="00920905" w:rsidRDefault="007271AE"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F76B57" w:rsidRPr="00500C4E" w14:paraId="3AEFCD58" w14:textId="77777777" w:rsidTr="005B2983">
        <w:tc>
          <w:tcPr>
            <w:tcW w:w="722" w:type="pct"/>
            <w:vAlign w:val="center"/>
          </w:tcPr>
          <w:p w14:paraId="20565B79" w14:textId="73A3EA2D" w:rsidR="00F76B57" w:rsidRPr="00500C4E" w:rsidRDefault="00F76B57" w:rsidP="00F76B57">
            <w:pPr>
              <w:rPr>
                <w:color w:val="FF0000"/>
                <w:szCs w:val="20"/>
              </w:rPr>
            </w:pPr>
            <w:r>
              <w:rPr>
                <w:rFonts w:cstheme="minorHAnsi"/>
                <w:szCs w:val="20"/>
              </w:rPr>
              <w:t>Def-GSIA</w:t>
            </w:r>
          </w:p>
        </w:tc>
        <w:tc>
          <w:tcPr>
            <w:tcW w:w="1404" w:type="pct"/>
            <w:vAlign w:val="center"/>
          </w:tcPr>
          <w:p w14:paraId="2BFFF598" w14:textId="40B543E9" w:rsidR="00F76B57" w:rsidRPr="00500C4E" w:rsidRDefault="00F76B57" w:rsidP="00F76B57">
            <w:pPr>
              <w:rPr>
                <w:color w:val="FF0000"/>
                <w:szCs w:val="20"/>
              </w:rPr>
            </w:pPr>
            <w:r>
              <w:rPr>
                <w:rFonts w:cstheme="minorHAnsi"/>
                <w:szCs w:val="20"/>
              </w:rPr>
              <w:t>Default GSIA values</w:t>
            </w:r>
          </w:p>
        </w:tc>
        <w:tc>
          <w:tcPr>
            <w:tcW w:w="688" w:type="pct"/>
            <w:vAlign w:val="center"/>
          </w:tcPr>
          <w:p w14:paraId="157D8A62" w14:textId="2EA54961" w:rsidR="00F76B57" w:rsidRPr="00500C4E" w:rsidRDefault="00F76B57" w:rsidP="00F76B57">
            <w:pPr>
              <w:rPr>
                <w:color w:val="FF0000"/>
                <w:szCs w:val="20"/>
              </w:rPr>
            </w:pPr>
            <w:r>
              <w:rPr>
                <w:rFonts w:cstheme="minorHAnsi"/>
                <w:szCs w:val="20"/>
              </w:rPr>
              <w:t>Any</w:t>
            </w:r>
          </w:p>
        </w:tc>
        <w:tc>
          <w:tcPr>
            <w:tcW w:w="858" w:type="pct"/>
            <w:vAlign w:val="center"/>
          </w:tcPr>
          <w:p w14:paraId="0C3293FE" w14:textId="1E720634" w:rsidR="00F76B57" w:rsidRPr="00500C4E" w:rsidRDefault="00F76B57" w:rsidP="00F76B57">
            <w:pPr>
              <w:rPr>
                <w:color w:val="FF0000"/>
                <w:szCs w:val="20"/>
              </w:rPr>
            </w:pPr>
            <w:r w:rsidRPr="00697868">
              <w:rPr>
                <w:rFonts w:cstheme="minorHAnsi"/>
                <w:szCs w:val="20"/>
              </w:rPr>
              <w:t>Any</w:t>
            </w:r>
          </w:p>
        </w:tc>
        <w:tc>
          <w:tcPr>
            <w:tcW w:w="693" w:type="pct"/>
            <w:vAlign w:val="center"/>
          </w:tcPr>
          <w:p w14:paraId="0B642835" w14:textId="0F93BD07" w:rsidR="00F76B57" w:rsidRPr="00500C4E" w:rsidRDefault="00F76B57" w:rsidP="00F76B57">
            <w:pPr>
              <w:rPr>
                <w:color w:val="FF0000"/>
                <w:szCs w:val="20"/>
              </w:rPr>
            </w:pPr>
            <w:r>
              <w:rPr>
                <w:rFonts w:cstheme="minorHAnsi"/>
                <w:szCs w:val="20"/>
              </w:rPr>
              <w:t>Any</w:t>
            </w:r>
          </w:p>
        </w:tc>
        <w:tc>
          <w:tcPr>
            <w:tcW w:w="634" w:type="pct"/>
            <w:vAlign w:val="center"/>
          </w:tcPr>
          <w:p w14:paraId="1C671DD2" w14:textId="0A1B3C24" w:rsidR="00F76B57" w:rsidRPr="00500C4E" w:rsidRDefault="00F76B57" w:rsidP="00F76B57">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5C48253" w14:textId="288CDD5F" w:rsidR="008B08E3" w:rsidRDefault="006A6D15" w:rsidP="00920905">
      <w:pPr>
        <w:pStyle w:val="NoSpacing"/>
      </w:pPr>
      <w:r w:rsidRPr="0087393E">
        <w:t>DEER defines the RUL as 1/3 of the EUL value. The RUL value is only applicable to the first baseline period for an RET measure with an applicable code baseline. The relevant EUL and RUL values for the measures in this work paper are in the table below.</w:t>
      </w:r>
    </w:p>
    <w:p w14:paraId="30400528" w14:textId="77777777" w:rsidR="000A1774" w:rsidRDefault="000A1774" w:rsidP="00920905">
      <w:pPr>
        <w:pStyle w:val="NoSpacing"/>
      </w:pPr>
    </w:p>
    <w:p w14:paraId="46FE2A87" w14:textId="2CFFE377" w:rsidR="00F15A73" w:rsidRDefault="00452639" w:rsidP="00F15A73">
      <w:pPr>
        <w:rPr>
          <w:rFonts w:cstheme="minorHAnsi"/>
          <w:szCs w:val="22"/>
        </w:rPr>
      </w:pPr>
      <w:r>
        <w:rPr>
          <w:rFonts w:cstheme="minorHAnsi"/>
          <w:szCs w:val="22"/>
        </w:rPr>
        <w:t xml:space="preserve">Per the guidance document “Ex Ante Update for ESPI Uncertain Measures, Compact Fluorescent Lamps 30 Watts and </w:t>
      </w:r>
      <w:proofErr w:type="gramStart"/>
      <w:r>
        <w:rPr>
          <w:rFonts w:cstheme="minorHAnsi"/>
          <w:szCs w:val="22"/>
        </w:rPr>
        <w:t>Less</w:t>
      </w:r>
      <w:proofErr w:type="gramEnd"/>
      <w:r>
        <w:rPr>
          <w:rFonts w:cstheme="minorHAnsi"/>
          <w:szCs w:val="22"/>
        </w:rPr>
        <w:t>, 21 May 2015”, the EUL for residential CFLs is 3.5 years. For non-residential measures the EUL is 10,000 hours divided by the building type’s annual hours of operation.</w:t>
      </w:r>
      <w:r w:rsidR="006A2648">
        <w:rPr>
          <w:rFonts w:cstheme="minorHAnsi"/>
          <w:szCs w:val="22"/>
        </w:rPr>
        <w:t xml:space="preserve"> The RUL would be based on a weighting of CFL (60%) and Incandescent (40%) lamp life, but for simplicity, only the CFL EULs are used </w:t>
      </w:r>
      <w:r w:rsidR="00B50D04">
        <w:rPr>
          <w:rFonts w:cstheme="minorHAnsi"/>
          <w:szCs w:val="22"/>
        </w:rPr>
        <w:t>to determine</w:t>
      </w:r>
      <w:r w:rsidR="006A2648">
        <w:rPr>
          <w:rFonts w:cstheme="minorHAnsi"/>
          <w:szCs w:val="22"/>
        </w:rPr>
        <w:t xml:space="preserve"> RUL.</w:t>
      </w:r>
      <w:r w:rsidR="00B50D04">
        <w:rPr>
          <w:rFonts w:cstheme="minorHAnsi"/>
          <w:szCs w:val="22"/>
        </w:rPr>
        <w:t xml:space="preserve"> Therefore the EUL and RUL IDs are the same.</w:t>
      </w:r>
    </w:p>
    <w:p w14:paraId="02DA1817" w14:textId="77777777" w:rsidR="00452639" w:rsidRPr="00F15A73" w:rsidRDefault="00452639" w:rsidP="00F15A73">
      <w:pPr>
        <w:rPr>
          <w:rFonts w:cstheme="minorHAnsi"/>
          <w:szCs w:val="22"/>
        </w:rPr>
      </w:pPr>
    </w:p>
    <w:tbl>
      <w:tblPr>
        <w:tblStyle w:val="TableGrid1"/>
        <w:tblW w:w="5000" w:type="pct"/>
        <w:tblLook w:val="04A0" w:firstRow="1" w:lastRow="0" w:firstColumn="1" w:lastColumn="0" w:noHBand="0" w:noVBand="1"/>
      </w:tblPr>
      <w:tblGrid>
        <w:gridCol w:w="1245"/>
        <w:gridCol w:w="2354"/>
        <w:gridCol w:w="791"/>
        <w:gridCol w:w="1300"/>
        <w:gridCol w:w="2438"/>
        <w:gridCol w:w="1448"/>
      </w:tblGrid>
      <w:tr w:rsidR="008B1357" w:rsidRPr="00F76B57" w14:paraId="5A9EC2BE" w14:textId="77777777" w:rsidTr="00452639">
        <w:tc>
          <w:tcPr>
            <w:tcW w:w="650" w:type="pct"/>
            <w:shd w:val="clear" w:color="auto" w:fill="D9D9D9" w:themeFill="background1" w:themeFillShade="D9"/>
          </w:tcPr>
          <w:p w14:paraId="17686FBF" w14:textId="77777777" w:rsidR="008B1357" w:rsidRPr="00F76B57" w:rsidRDefault="008B1357" w:rsidP="00BA2E7E">
            <w:pPr>
              <w:rPr>
                <w:rFonts w:cstheme="minorHAnsi"/>
                <w:b/>
                <w:szCs w:val="20"/>
              </w:rPr>
            </w:pPr>
            <w:r w:rsidRPr="00F76B57">
              <w:rPr>
                <w:rFonts w:cstheme="minorHAnsi"/>
                <w:b/>
                <w:szCs w:val="20"/>
              </w:rPr>
              <w:t>EUL ID</w:t>
            </w:r>
          </w:p>
        </w:tc>
        <w:tc>
          <w:tcPr>
            <w:tcW w:w="1229" w:type="pct"/>
            <w:shd w:val="clear" w:color="auto" w:fill="D9D9D9" w:themeFill="background1" w:themeFillShade="D9"/>
          </w:tcPr>
          <w:p w14:paraId="1C93AC29" w14:textId="77777777" w:rsidR="008B1357" w:rsidRPr="00F76B57" w:rsidRDefault="008B1357" w:rsidP="00BA2E7E">
            <w:pPr>
              <w:rPr>
                <w:rFonts w:cstheme="minorHAnsi"/>
                <w:b/>
                <w:szCs w:val="20"/>
              </w:rPr>
            </w:pPr>
            <w:r w:rsidRPr="00F76B57">
              <w:rPr>
                <w:rFonts w:cstheme="minorHAnsi"/>
                <w:b/>
                <w:szCs w:val="20"/>
              </w:rPr>
              <w:t>Description</w:t>
            </w:r>
          </w:p>
        </w:tc>
        <w:tc>
          <w:tcPr>
            <w:tcW w:w="413" w:type="pct"/>
            <w:shd w:val="clear" w:color="auto" w:fill="D9D9D9" w:themeFill="background1" w:themeFillShade="D9"/>
          </w:tcPr>
          <w:p w14:paraId="68405617" w14:textId="77777777" w:rsidR="008B1357" w:rsidRPr="00F76B57" w:rsidRDefault="008B1357" w:rsidP="00BA2E7E">
            <w:pPr>
              <w:rPr>
                <w:rFonts w:cstheme="minorHAnsi"/>
                <w:b/>
                <w:szCs w:val="20"/>
              </w:rPr>
            </w:pPr>
            <w:r w:rsidRPr="00F76B57">
              <w:rPr>
                <w:rFonts w:cstheme="minorHAnsi"/>
                <w:b/>
                <w:szCs w:val="20"/>
              </w:rPr>
              <w:t>Sector</w:t>
            </w:r>
          </w:p>
        </w:tc>
        <w:tc>
          <w:tcPr>
            <w:tcW w:w="679" w:type="pct"/>
            <w:shd w:val="clear" w:color="auto" w:fill="D9D9D9" w:themeFill="background1" w:themeFillShade="D9"/>
          </w:tcPr>
          <w:p w14:paraId="0733AF36" w14:textId="77777777" w:rsidR="008B1357" w:rsidRPr="00F76B57" w:rsidRDefault="00BA2E7E" w:rsidP="00BA2E7E">
            <w:pPr>
              <w:rPr>
                <w:rFonts w:cstheme="minorHAnsi"/>
                <w:b/>
                <w:szCs w:val="20"/>
              </w:rPr>
            </w:pPr>
            <w:proofErr w:type="spellStart"/>
            <w:r w:rsidRPr="00F76B57">
              <w:rPr>
                <w:rFonts w:cstheme="minorHAnsi"/>
                <w:b/>
                <w:szCs w:val="20"/>
              </w:rPr>
              <w:t>UseCategory</w:t>
            </w:r>
            <w:proofErr w:type="spellEnd"/>
          </w:p>
        </w:tc>
        <w:tc>
          <w:tcPr>
            <w:tcW w:w="1273" w:type="pct"/>
            <w:shd w:val="clear" w:color="auto" w:fill="D9D9D9" w:themeFill="background1" w:themeFillShade="D9"/>
          </w:tcPr>
          <w:p w14:paraId="64D571F2" w14:textId="77777777" w:rsidR="008B1357" w:rsidRPr="00F76B57" w:rsidRDefault="008B1357" w:rsidP="00BA2E7E">
            <w:pPr>
              <w:rPr>
                <w:rFonts w:cstheme="minorHAnsi"/>
                <w:b/>
                <w:szCs w:val="20"/>
              </w:rPr>
            </w:pPr>
            <w:r w:rsidRPr="00F76B57">
              <w:rPr>
                <w:rFonts w:cstheme="minorHAnsi"/>
                <w:b/>
                <w:szCs w:val="20"/>
              </w:rPr>
              <w:t>EUL (Years)</w:t>
            </w:r>
          </w:p>
        </w:tc>
        <w:tc>
          <w:tcPr>
            <w:tcW w:w="756" w:type="pct"/>
            <w:shd w:val="clear" w:color="auto" w:fill="D9D9D9" w:themeFill="background1" w:themeFillShade="D9"/>
          </w:tcPr>
          <w:p w14:paraId="6B814E1E" w14:textId="77777777" w:rsidR="008B1357" w:rsidRPr="00F76B57" w:rsidRDefault="008B1357" w:rsidP="00BA2E7E">
            <w:pPr>
              <w:rPr>
                <w:rFonts w:cstheme="minorHAnsi"/>
                <w:b/>
                <w:szCs w:val="20"/>
              </w:rPr>
            </w:pPr>
            <w:r w:rsidRPr="00F76B57">
              <w:rPr>
                <w:rFonts w:cstheme="minorHAnsi"/>
                <w:b/>
                <w:szCs w:val="20"/>
              </w:rPr>
              <w:t>RUL (Years)</w:t>
            </w:r>
          </w:p>
        </w:tc>
      </w:tr>
      <w:tr w:rsidR="00452639" w:rsidRPr="00F76B57" w14:paraId="43846F25" w14:textId="77777777" w:rsidTr="00452639">
        <w:trPr>
          <w:trHeight w:val="243"/>
        </w:trPr>
        <w:tc>
          <w:tcPr>
            <w:tcW w:w="650" w:type="pct"/>
          </w:tcPr>
          <w:p w14:paraId="2D7F71F7" w14:textId="77777777" w:rsidR="00452639" w:rsidRPr="00F76B57" w:rsidRDefault="00452639" w:rsidP="005D7110">
            <w:pPr>
              <w:rPr>
                <w:rFonts w:ascii="Calibri" w:hAnsi="Calibri"/>
                <w:color w:val="000000"/>
                <w:szCs w:val="20"/>
              </w:rPr>
            </w:pPr>
            <w:proofErr w:type="spellStart"/>
            <w:r>
              <w:rPr>
                <w:rFonts w:cstheme="minorHAnsi"/>
                <w:szCs w:val="20"/>
              </w:rPr>
              <w:t>ILtg</w:t>
            </w:r>
            <w:proofErr w:type="spellEnd"/>
            <w:r>
              <w:rPr>
                <w:rFonts w:cstheme="minorHAnsi"/>
                <w:szCs w:val="20"/>
              </w:rPr>
              <w:t>-CFL-Res</w:t>
            </w:r>
          </w:p>
        </w:tc>
        <w:tc>
          <w:tcPr>
            <w:tcW w:w="1229" w:type="pct"/>
          </w:tcPr>
          <w:p w14:paraId="0D43DB4A" w14:textId="2CCD9E65" w:rsidR="00452639" w:rsidRPr="00F76B57" w:rsidRDefault="00452639" w:rsidP="005D7110">
            <w:pPr>
              <w:rPr>
                <w:rFonts w:ascii="Calibri" w:hAnsi="Calibri"/>
                <w:szCs w:val="20"/>
              </w:rPr>
            </w:pPr>
            <w:r w:rsidRPr="00DD0444">
              <w:rPr>
                <w:szCs w:val="20"/>
              </w:rPr>
              <w:t>Value from 5/21/15 Uncertain Measures CFL 30 Watts and Less guidance document</w:t>
            </w:r>
          </w:p>
        </w:tc>
        <w:tc>
          <w:tcPr>
            <w:tcW w:w="413" w:type="pct"/>
          </w:tcPr>
          <w:p w14:paraId="7F404F17" w14:textId="77777777" w:rsidR="00452639" w:rsidRPr="00F76B57" w:rsidRDefault="00452639" w:rsidP="005D7110">
            <w:pPr>
              <w:rPr>
                <w:szCs w:val="20"/>
              </w:rPr>
            </w:pPr>
            <w:r>
              <w:rPr>
                <w:szCs w:val="20"/>
              </w:rPr>
              <w:t>Res</w:t>
            </w:r>
          </w:p>
        </w:tc>
        <w:tc>
          <w:tcPr>
            <w:tcW w:w="679" w:type="pct"/>
          </w:tcPr>
          <w:p w14:paraId="612721CF" w14:textId="77777777" w:rsidR="00452639" w:rsidRPr="00F76B57" w:rsidRDefault="00452639" w:rsidP="005D7110">
            <w:pPr>
              <w:rPr>
                <w:szCs w:val="20"/>
              </w:rPr>
            </w:pPr>
            <w:r w:rsidRPr="00F76B57">
              <w:rPr>
                <w:szCs w:val="20"/>
              </w:rPr>
              <w:t>Lighting</w:t>
            </w:r>
          </w:p>
        </w:tc>
        <w:tc>
          <w:tcPr>
            <w:tcW w:w="1273" w:type="pct"/>
          </w:tcPr>
          <w:p w14:paraId="3548F72A" w14:textId="245B45D8" w:rsidR="00452639" w:rsidRPr="00F76B57" w:rsidRDefault="00452639" w:rsidP="005D7110">
            <w:pPr>
              <w:rPr>
                <w:rFonts w:cstheme="minorHAnsi"/>
                <w:szCs w:val="20"/>
              </w:rPr>
            </w:pPr>
            <w:r>
              <w:rPr>
                <w:rFonts w:cstheme="minorHAnsi"/>
                <w:szCs w:val="20"/>
              </w:rPr>
              <w:t>3.5</w:t>
            </w:r>
          </w:p>
        </w:tc>
        <w:tc>
          <w:tcPr>
            <w:tcW w:w="756" w:type="pct"/>
          </w:tcPr>
          <w:p w14:paraId="4B3ECE7D" w14:textId="5C93336D" w:rsidR="00452639" w:rsidRPr="00F76B57" w:rsidRDefault="006A2648" w:rsidP="005D7110">
            <w:pPr>
              <w:rPr>
                <w:szCs w:val="20"/>
              </w:rPr>
            </w:pPr>
            <w:r>
              <w:rPr>
                <w:szCs w:val="20"/>
              </w:rPr>
              <w:t>3.5 / 3 = 1.2</w:t>
            </w:r>
          </w:p>
        </w:tc>
      </w:tr>
      <w:tr w:rsidR="007D10D7" w:rsidRPr="00F76B57" w14:paraId="23E3B0B0" w14:textId="77777777" w:rsidTr="00452639">
        <w:trPr>
          <w:trHeight w:val="243"/>
        </w:trPr>
        <w:tc>
          <w:tcPr>
            <w:tcW w:w="650" w:type="pct"/>
          </w:tcPr>
          <w:p w14:paraId="17A1D7F4" w14:textId="4E8C7097" w:rsidR="007D10D7" w:rsidRPr="00F76B57" w:rsidRDefault="007D10D7" w:rsidP="007D10D7">
            <w:pPr>
              <w:rPr>
                <w:color w:val="FF0000"/>
                <w:szCs w:val="20"/>
              </w:rPr>
            </w:pPr>
            <w:proofErr w:type="spellStart"/>
            <w:r>
              <w:rPr>
                <w:rFonts w:cstheme="minorHAnsi"/>
                <w:szCs w:val="20"/>
              </w:rPr>
              <w:t>ILtg</w:t>
            </w:r>
            <w:proofErr w:type="spellEnd"/>
            <w:r>
              <w:rPr>
                <w:rFonts w:cstheme="minorHAnsi"/>
                <w:szCs w:val="20"/>
              </w:rPr>
              <w:t>-CFL-Com</w:t>
            </w:r>
          </w:p>
        </w:tc>
        <w:tc>
          <w:tcPr>
            <w:tcW w:w="1229" w:type="pct"/>
          </w:tcPr>
          <w:p w14:paraId="36E678D1" w14:textId="3E749449" w:rsidR="007D10D7" w:rsidRPr="00F76B57" w:rsidRDefault="007D10D7" w:rsidP="007D10D7">
            <w:pPr>
              <w:rPr>
                <w:szCs w:val="20"/>
              </w:rPr>
            </w:pPr>
            <w:r>
              <w:rPr>
                <w:rFonts w:cstheme="minorHAnsi"/>
                <w:szCs w:val="20"/>
              </w:rPr>
              <w:t>CFL Lamps – Indoor – Commercial – 10,000 Hours</w:t>
            </w:r>
          </w:p>
        </w:tc>
        <w:tc>
          <w:tcPr>
            <w:tcW w:w="413" w:type="pct"/>
          </w:tcPr>
          <w:p w14:paraId="42B5C736" w14:textId="77777777" w:rsidR="007D10D7" w:rsidRPr="00F76B57" w:rsidRDefault="007D10D7" w:rsidP="007D10D7">
            <w:pPr>
              <w:rPr>
                <w:szCs w:val="20"/>
              </w:rPr>
            </w:pPr>
            <w:r w:rsidRPr="00F76B57">
              <w:rPr>
                <w:szCs w:val="20"/>
              </w:rPr>
              <w:t>Com</w:t>
            </w:r>
          </w:p>
        </w:tc>
        <w:tc>
          <w:tcPr>
            <w:tcW w:w="679" w:type="pct"/>
          </w:tcPr>
          <w:p w14:paraId="52A841ED" w14:textId="6E730585" w:rsidR="007D10D7" w:rsidRPr="00F76B57" w:rsidRDefault="007D10D7" w:rsidP="007D10D7">
            <w:pPr>
              <w:rPr>
                <w:szCs w:val="20"/>
              </w:rPr>
            </w:pPr>
            <w:r w:rsidRPr="00F76B57">
              <w:rPr>
                <w:szCs w:val="20"/>
              </w:rPr>
              <w:t>Lighting</w:t>
            </w:r>
          </w:p>
        </w:tc>
        <w:tc>
          <w:tcPr>
            <w:tcW w:w="1273" w:type="pct"/>
          </w:tcPr>
          <w:p w14:paraId="1BF5FCBD" w14:textId="508E1488" w:rsidR="007D10D7" w:rsidRPr="00F76B57" w:rsidRDefault="007D10D7" w:rsidP="007D10D7">
            <w:pPr>
              <w:rPr>
                <w:szCs w:val="20"/>
              </w:rPr>
            </w:pPr>
            <w:r w:rsidRPr="00F76B57">
              <w:rPr>
                <w:rFonts w:cstheme="minorHAnsi"/>
                <w:szCs w:val="20"/>
              </w:rPr>
              <w:t xml:space="preserve">Rated Life of </w:t>
            </w:r>
            <w:r>
              <w:rPr>
                <w:rFonts w:cstheme="minorHAnsi"/>
                <w:szCs w:val="20"/>
              </w:rPr>
              <w:t>Lamp</w:t>
            </w:r>
            <w:r w:rsidRPr="00F76B57">
              <w:rPr>
                <w:rFonts w:cstheme="minorHAnsi"/>
                <w:szCs w:val="20"/>
              </w:rPr>
              <w:t xml:space="preserve"> (</w:t>
            </w:r>
            <w:r>
              <w:rPr>
                <w:rFonts w:cstheme="minorHAnsi"/>
                <w:szCs w:val="20"/>
              </w:rPr>
              <w:t>1</w:t>
            </w:r>
            <w:r w:rsidRPr="00F76B57">
              <w:rPr>
                <w:rFonts w:cstheme="minorHAnsi"/>
                <w:szCs w:val="20"/>
              </w:rPr>
              <w:t>0,000 hours) /</w:t>
            </w:r>
            <w:r>
              <w:rPr>
                <w:rFonts w:cstheme="minorHAnsi"/>
                <w:szCs w:val="20"/>
              </w:rPr>
              <w:t xml:space="preserve"> HOU</w:t>
            </w:r>
            <w:r w:rsidRPr="00F76B57">
              <w:rPr>
                <w:rFonts w:cstheme="minorHAnsi"/>
                <w:szCs w:val="20"/>
              </w:rPr>
              <w:t>, OR 15 years</w:t>
            </w:r>
            <w:r>
              <w:rPr>
                <w:rFonts w:cstheme="minorHAnsi"/>
                <w:szCs w:val="20"/>
              </w:rPr>
              <w:t>,</w:t>
            </w:r>
            <w:r w:rsidRPr="00F76B57">
              <w:rPr>
                <w:rFonts w:cstheme="minorHAnsi"/>
                <w:szCs w:val="20"/>
              </w:rPr>
              <w:t xml:space="preserve"> </w:t>
            </w:r>
            <w:r>
              <w:rPr>
                <w:rFonts w:cstheme="minorHAnsi"/>
                <w:szCs w:val="20"/>
              </w:rPr>
              <w:t>whichever is less</w:t>
            </w:r>
          </w:p>
        </w:tc>
        <w:tc>
          <w:tcPr>
            <w:tcW w:w="756" w:type="pct"/>
          </w:tcPr>
          <w:p w14:paraId="46ED97C1" w14:textId="36D01F64" w:rsidR="007D10D7" w:rsidRPr="00F76B57" w:rsidRDefault="006A2648" w:rsidP="007D10D7">
            <w:pPr>
              <w:rPr>
                <w:szCs w:val="20"/>
              </w:rPr>
            </w:pPr>
            <w:r>
              <w:rPr>
                <w:szCs w:val="20"/>
              </w:rPr>
              <w:t>EUL / 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6D63ACC" w14:textId="64B0651C" w:rsidR="00284686" w:rsidRDefault="00284686" w:rsidP="00284686">
      <w:pPr>
        <w:autoSpaceDE w:val="0"/>
        <w:autoSpaceDN w:val="0"/>
        <w:adjustRightInd w:val="0"/>
        <w:rPr>
          <w:rFonts w:cstheme="minorHAnsi"/>
          <w:szCs w:val="22"/>
        </w:rPr>
      </w:pPr>
      <w:r>
        <w:rPr>
          <w:rFonts w:cstheme="minorHAnsi"/>
          <w:szCs w:val="22"/>
        </w:rPr>
        <w:t xml:space="preserve">Title 24 </w:t>
      </w:r>
      <w:r w:rsidR="00B71EF0">
        <w:rPr>
          <w:rFonts w:cstheme="minorHAnsi"/>
          <w:szCs w:val="22"/>
        </w:rPr>
        <w:t xml:space="preserve">2016 </w:t>
      </w:r>
      <w:r>
        <w:rPr>
          <w:rFonts w:cstheme="minorHAnsi"/>
          <w:szCs w:val="22"/>
        </w:rPr>
        <w:t>[</w:t>
      </w:r>
      <w:r w:rsidR="00BF6EE0">
        <w:rPr>
          <w:rFonts w:cstheme="minorHAnsi"/>
          <w:szCs w:val="22"/>
        </w:rPr>
        <w:t>496</w:t>
      </w:r>
      <w:r>
        <w:rPr>
          <w:rFonts w:cstheme="minorHAnsi"/>
          <w:szCs w:val="22"/>
        </w:rPr>
        <w:t>] does not impact the measures in this work paper.</w:t>
      </w:r>
    </w:p>
    <w:p w14:paraId="5734EE4E" w14:textId="4E73CE0E" w:rsidR="00284686" w:rsidRDefault="00284686" w:rsidP="00284686">
      <w:pPr>
        <w:autoSpaceDE w:val="0"/>
        <w:autoSpaceDN w:val="0"/>
        <w:adjustRightInd w:val="0"/>
        <w:rPr>
          <w:rFonts w:cstheme="minorHAnsi"/>
          <w:szCs w:val="22"/>
        </w:rPr>
      </w:pPr>
      <w:r>
        <w:rPr>
          <w:rFonts w:cstheme="minorHAnsi"/>
          <w:szCs w:val="22"/>
        </w:rPr>
        <w:br/>
        <w:t>Title 20 2015 [493] includes standards for the lamp electrical power input of state-regulated general service incandescent lamps. However, instead of using Title 20 standards to determine maximum base case wattages, wattage ratios provided by the Energy Division (ED) are used. Title 20 also includes standards for medium base compact fluorescent lamps and dimmable systems. Eligible CFLs will comply with these requirements.</w:t>
      </w:r>
    </w:p>
    <w:p w14:paraId="4C247B6C" w14:textId="77777777" w:rsidR="0006384E" w:rsidRDefault="0006384E" w:rsidP="0006384E">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1469"/>
        <w:gridCol w:w="6546"/>
        <w:gridCol w:w="1561"/>
      </w:tblGrid>
      <w:tr w:rsidR="00881A42" w:rsidRPr="00500C4E" w14:paraId="51467286" w14:textId="77777777" w:rsidTr="00284686">
        <w:tc>
          <w:tcPr>
            <w:tcW w:w="767"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3418"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815"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284686" w:rsidRPr="00500C4E" w14:paraId="41E6B4DA" w14:textId="77777777" w:rsidTr="00284686">
        <w:trPr>
          <w:trHeight w:val="243"/>
        </w:trPr>
        <w:tc>
          <w:tcPr>
            <w:tcW w:w="767" w:type="pct"/>
            <w:vAlign w:val="center"/>
          </w:tcPr>
          <w:p w14:paraId="16A44F28" w14:textId="197C226F" w:rsidR="00284686" w:rsidRPr="00500C4E" w:rsidRDefault="00284686" w:rsidP="00284686">
            <w:pPr>
              <w:rPr>
                <w:rFonts w:cstheme="minorHAnsi"/>
                <w:szCs w:val="20"/>
              </w:rPr>
            </w:pPr>
            <w:r>
              <w:rPr>
                <w:rFonts w:cstheme="minorHAnsi"/>
                <w:szCs w:val="20"/>
              </w:rPr>
              <w:t>Title 20 (2015)</w:t>
            </w:r>
          </w:p>
        </w:tc>
        <w:tc>
          <w:tcPr>
            <w:tcW w:w="3418" w:type="pct"/>
            <w:vAlign w:val="center"/>
          </w:tcPr>
          <w:p w14:paraId="387D6828" w14:textId="6E860A32" w:rsidR="00284686" w:rsidRPr="00500C4E" w:rsidRDefault="00284686" w:rsidP="00284686">
            <w:pPr>
              <w:rPr>
                <w:rFonts w:cstheme="minorHAnsi"/>
                <w:color w:val="FF0000"/>
                <w:szCs w:val="20"/>
              </w:rPr>
            </w:pPr>
            <w:r>
              <w:rPr>
                <w:rFonts w:cstheme="minorHAnsi"/>
                <w:szCs w:val="20"/>
              </w:rPr>
              <w:t>Table K-5 Standards for Medium Base Compact Fluorescent Lamps</w:t>
            </w:r>
          </w:p>
        </w:tc>
        <w:tc>
          <w:tcPr>
            <w:tcW w:w="815" w:type="pct"/>
            <w:vAlign w:val="center"/>
          </w:tcPr>
          <w:p w14:paraId="3E1189F8" w14:textId="51D3EF31" w:rsidR="00284686" w:rsidRPr="00500C4E" w:rsidRDefault="00284686" w:rsidP="00284686">
            <w:pPr>
              <w:rPr>
                <w:rFonts w:cstheme="minorHAnsi"/>
                <w:color w:val="FF0000"/>
                <w:szCs w:val="20"/>
              </w:rPr>
            </w:pPr>
            <w:r>
              <w:rPr>
                <w:rFonts w:cstheme="minorHAnsi"/>
                <w:szCs w:val="20"/>
              </w:rPr>
              <w:t>July 1, 2015</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3DF6DF60" w14:textId="79A61AE4" w:rsidR="00284686" w:rsidRDefault="00284686" w:rsidP="00284686">
      <w:pPr>
        <w:pStyle w:val="Heading3"/>
        <w:rPr>
          <w:b w:val="0"/>
        </w:rPr>
      </w:pPr>
      <w:r>
        <w:rPr>
          <w:rFonts w:asciiTheme="minorHAnsi" w:hAnsiTheme="minorHAnsi"/>
        </w:rPr>
        <w:t xml:space="preserve">1.5.1 </w:t>
      </w:r>
      <w:r w:rsidRPr="00284686">
        <w:rPr>
          <w:rFonts w:asciiTheme="minorHAnsi" w:hAnsiTheme="minorHAnsi"/>
        </w:rPr>
        <w:t>California Baseline Lighting Efficiency Technology (CBLET)</w:t>
      </w:r>
      <w:r>
        <w:rPr>
          <w:rFonts w:asciiTheme="minorHAnsi" w:hAnsiTheme="minorHAnsi"/>
        </w:rPr>
        <w:t xml:space="preserve"> Report</w:t>
      </w:r>
    </w:p>
    <w:p w14:paraId="6810F1C0" w14:textId="5258EE43" w:rsidR="00A43381" w:rsidRDefault="00284686" w:rsidP="00A43381">
      <w:pPr>
        <w:rPr>
          <w:rFonts w:cs="Arial"/>
          <w:szCs w:val="22"/>
        </w:rPr>
      </w:pPr>
      <w:r>
        <w:rPr>
          <w:rFonts w:cs="Arial"/>
          <w:szCs w:val="22"/>
        </w:rPr>
        <w:t>The</w:t>
      </w:r>
      <w:r w:rsidR="00FA0445">
        <w:rPr>
          <w:rFonts w:cs="Arial"/>
          <w:szCs w:val="22"/>
        </w:rPr>
        <w:t xml:space="preserve"> 1997</w:t>
      </w:r>
      <w:r>
        <w:rPr>
          <w:rFonts w:cs="Arial"/>
          <w:szCs w:val="22"/>
        </w:rPr>
        <w:t xml:space="preserve"> CBLET Report Volume I [29]</w:t>
      </w:r>
      <w:r w:rsidR="00FA0445">
        <w:rPr>
          <w:rFonts w:cs="Arial"/>
          <w:szCs w:val="22"/>
        </w:rPr>
        <w:t xml:space="preserve"> examined characteristics of lighting in residential and commercial buildings, including energy use patterns and hours of operation. It provided % Watts and % hours energy correction factors for several lighting control types. These factors are meant to be applied to self-reported lighting character</w:t>
      </w:r>
      <w:r w:rsidR="000A60D3">
        <w:rPr>
          <w:rFonts w:cs="Arial"/>
          <w:szCs w:val="22"/>
        </w:rPr>
        <w:t>i</w:t>
      </w:r>
      <w:r w:rsidR="00FA0445">
        <w:rPr>
          <w:rFonts w:cs="Arial"/>
          <w:szCs w:val="22"/>
        </w:rPr>
        <w:t xml:space="preserve">stics. </w:t>
      </w:r>
      <w:proofErr w:type="gramStart"/>
      <w:r w:rsidR="00FA0445">
        <w:rPr>
          <w:rFonts w:cs="Arial"/>
          <w:szCs w:val="22"/>
        </w:rPr>
        <w:t>The two values for 3-way (0.57 and 1.25) are used in this work paper.</w:t>
      </w:r>
      <w:proofErr w:type="gramEnd"/>
    </w:p>
    <w:p w14:paraId="0D593CA8" w14:textId="6C295512" w:rsidR="00FA0445" w:rsidRDefault="00FA0445" w:rsidP="00FA0445">
      <w:pPr>
        <w:jc w:val="center"/>
        <w:rPr>
          <w:rFonts w:cs="Arial"/>
          <w:szCs w:val="22"/>
        </w:rPr>
      </w:pPr>
      <w:r>
        <w:rPr>
          <w:noProof/>
        </w:rPr>
        <w:drawing>
          <wp:inline distT="0" distB="0" distL="0" distR="0" wp14:anchorId="08B185CF" wp14:editId="1D6709D4">
            <wp:extent cx="2680335" cy="193167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stretch>
                      <a:fillRect/>
                    </a:stretch>
                  </pic:blipFill>
                  <pic:spPr>
                    <a:xfrm>
                      <a:off x="0" y="0"/>
                      <a:ext cx="2680335" cy="1931670"/>
                    </a:xfrm>
                    <a:prstGeom prst="rect">
                      <a:avLst/>
                    </a:prstGeom>
                  </pic:spPr>
                </pic:pic>
              </a:graphicData>
            </a:graphic>
          </wp:inline>
        </w:drawing>
      </w:r>
    </w:p>
    <w:p w14:paraId="4D9282CA" w14:textId="47BE0DE6" w:rsidR="00FA0445" w:rsidRPr="00FA0445" w:rsidRDefault="00FA0445" w:rsidP="00FA0445">
      <w:pPr>
        <w:jc w:val="center"/>
        <w:rPr>
          <w:rFonts w:cs="Arial"/>
          <w:b/>
          <w:szCs w:val="22"/>
        </w:rPr>
      </w:pPr>
      <w:r w:rsidRPr="00FA0445">
        <w:rPr>
          <w:rFonts w:cs="Arial"/>
          <w:b/>
          <w:szCs w:val="22"/>
        </w:rPr>
        <w:t>CBLET Energy Correction Factors</w:t>
      </w:r>
    </w:p>
    <w:p w14:paraId="1C2A7669" w14:textId="47B3B149" w:rsidR="00284686" w:rsidRPr="00284686" w:rsidRDefault="00CC7031" w:rsidP="00284686">
      <w:pPr>
        <w:pStyle w:val="Heading3"/>
        <w:rPr>
          <w:rFonts w:asciiTheme="minorHAnsi" w:hAnsiTheme="minorHAnsi"/>
        </w:rPr>
      </w:pPr>
      <w:r>
        <w:rPr>
          <w:rFonts w:asciiTheme="minorHAnsi" w:hAnsiTheme="minorHAnsi"/>
        </w:rPr>
        <w:t>1.5.2</w:t>
      </w:r>
      <w:r w:rsidR="00284686">
        <w:rPr>
          <w:rFonts w:asciiTheme="minorHAnsi" w:hAnsiTheme="minorHAnsi"/>
        </w:rPr>
        <w:t xml:space="preserve"> </w:t>
      </w:r>
      <w:r w:rsidR="00284686" w:rsidRPr="00284686">
        <w:rPr>
          <w:rFonts w:asciiTheme="minorHAnsi" w:hAnsiTheme="minorHAnsi"/>
        </w:rPr>
        <w:t>2006–08 Upstream Lighting Program (ULP) Final Evaluation Report</w:t>
      </w:r>
    </w:p>
    <w:p w14:paraId="4813016C" w14:textId="4101B190" w:rsidR="00284686" w:rsidRDefault="00284686" w:rsidP="00A43381">
      <w:pPr>
        <w:rPr>
          <w:rFonts w:cs="Arial"/>
          <w:szCs w:val="22"/>
        </w:rPr>
      </w:pPr>
      <w:proofErr w:type="gramStart"/>
      <w:r>
        <w:rPr>
          <w:rFonts w:cs="Arial"/>
          <w:szCs w:val="22"/>
        </w:rPr>
        <w:t>The</w:t>
      </w:r>
      <w:r w:rsidR="00FA0445">
        <w:rPr>
          <w:rFonts w:cs="Arial"/>
          <w:szCs w:val="22"/>
        </w:rPr>
        <w:t xml:space="preserve"> </w:t>
      </w:r>
      <w:r>
        <w:rPr>
          <w:rFonts w:cs="Arial"/>
          <w:szCs w:val="22"/>
        </w:rPr>
        <w:t>ULP Report Volumes 1 and 2 [328, 432]</w:t>
      </w:r>
      <w:r w:rsidR="000A60D3">
        <w:rPr>
          <w:rFonts w:cs="Arial"/>
          <w:szCs w:val="22"/>
        </w:rPr>
        <w:t xml:space="preserve"> present</w:t>
      </w:r>
      <w:r w:rsidR="00FA0445">
        <w:rPr>
          <w:rFonts w:cs="Arial"/>
          <w:szCs w:val="22"/>
        </w:rPr>
        <w:t xml:space="preserve"> results of the 2006–08 ULP impact evaluation.</w:t>
      </w:r>
      <w:proofErr w:type="gramEnd"/>
      <w:r w:rsidR="00FA0445">
        <w:rPr>
          <w:rFonts w:cs="Arial"/>
          <w:szCs w:val="22"/>
        </w:rPr>
        <w:t xml:space="preserve"> Part of the evaluation was a detailed lighting inventory</w:t>
      </w:r>
      <w:r w:rsidR="000A60D3">
        <w:rPr>
          <w:rFonts w:cs="Arial"/>
          <w:szCs w:val="22"/>
        </w:rPr>
        <w:t>. Table 6 shows the statewide results by location. These are used to determine what percent</w:t>
      </w:r>
      <w:r w:rsidR="00F35616">
        <w:rPr>
          <w:rFonts w:cs="Arial"/>
          <w:szCs w:val="22"/>
        </w:rPr>
        <w:t>ages</w:t>
      </w:r>
      <w:r w:rsidR="000A60D3">
        <w:rPr>
          <w:rFonts w:cs="Arial"/>
          <w:szCs w:val="22"/>
        </w:rPr>
        <w:t xml:space="preserve"> of the building will receive the High and Low 3-way energy correction factor</w:t>
      </w:r>
      <w:r w:rsidR="00F35616">
        <w:rPr>
          <w:rFonts w:cs="Arial"/>
          <w:szCs w:val="22"/>
        </w:rPr>
        <w:t>s</w:t>
      </w:r>
      <w:r w:rsidR="000A60D3">
        <w:rPr>
          <w:rFonts w:cs="Arial"/>
          <w:szCs w:val="22"/>
        </w:rPr>
        <w:t xml:space="preserve"> from the CBLET.</w:t>
      </w:r>
    </w:p>
    <w:p w14:paraId="0ABEC3BE" w14:textId="77777777" w:rsidR="00FA0445" w:rsidRDefault="00FA0445" w:rsidP="00A43381">
      <w:pPr>
        <w:rPr>
          <w:rFonts w:cs="Arial"/>
          <w:szCs w:val="22"/>
        </w:rPr>
      </w:pPr>
    </w:p>
    <w:p w14:paraId="056553CB" w14:textId="763F534C" w:rsidR="00FA0445" w:rsidRDefault="00FA0445" w:rsidP="00FA0445">
      <w:pPr>
        <w:jc w:val="center"/>
        <w:rPr>
          <w:rFonts w:cs="Arial"/>
          <w:szCs w:val="22"/>
        </w:rPr>
      </w:pPr>
      <w:r>
        <w:rPr>
          <w:noProof/>
        </w:rPr>
        <w:drawing>
          <wp:inline distT="0" distB="0" distL="0" distR="0" wp14:anchorId="766B7874" wp14:editId="13F8DF12">
            <wp:extent cx="3060700" cy="2553335"/>
            <wp:effectExtent l="19050" t="19050" r="25400" b="1841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a:stretch>
                      <a:fillRect/>
                    </a:stretch>
                  </pic:blipFill>
                  <pic:spPr>
                    <a:xfrm>
                      <a:off x="0" y="0"/>
                      <a:ext cx="3060700" cy="2553335"/>
                    </a:xfrm>
                    <a:prstGeom prst="rect">
                      <a:avLst/>
                    </a:prstGeom>
                    <a:ln>
                      <a:solidFill>
                        <a:schemeClr val="tx1"/>
                      </a:solidFill>
                    </a:ln>
                  </pic:spPr>
                </pic:pic>
              </a:graphicData>
            </a:graphic>
          </wp:inline>
        </w:drawing>
      </w:r>
    </w:p>
    <w:p w14:paraId="61280586" w14:textId="77777777" w:rsidR="00FA0445" w:rsidRPr="00284686" w:rsidRDefault="00FA0445" w:rsidP="00FA0445">
      <w:pPr>
        <w:jc w:val="center"/>
        <w:rPr>
          <w:rFonts w:cs="Arial"/>
          <w:szCs w:val="22"/>
        </w:rPr>
      </w:pP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5274C3FC" w14:textId="2C3A2494" w:rsidR="00602F18" w:rsidRPr="004B3AAC" w:rsidRDefault="004B3AAC" w:rsidP="004B3AAC">
      <w:pPr>
        <w:rPr>
          <w:rFonts w:cs="Arial"/>
          <w:szCs w:val="22"/>
        </w:rPr>
      </w:pPr>
      <w:r w:rsidRPr="004B3AAC">
        <w:rPr>
          <w:rFonts w:cs="Arial"/>
          <w:szCs w:val="22"/>
        </w:rPr>
        <w:t xml:space="preserve">No additional data needs are </w:t>
      </w:r>
      <w:r>
        <w:rPr>
          <w:rFonts w:cs="Arial"/>
          <w:szCs w:val="22"/>
        </w:rPr>
        <w:t>required</w:t>
      </w:r>
      <w:r w:rsidRPr="004B3AAC">
        <w:rPr>
          <w:rFonts w:cs="Arial"/>
          <w:szCs w:val="22"/>
        </w:rPr>
        <w:t>.</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3D6ADA2B" w14:textId="51F7FB71" w:rsidR="00F15A73" w:rsidRPr="00F15A73" w:rsidRDefault="00F15A73" w:rsidP="00501CF2">
      <w:pPr>
        <w:rPr>
          <w:rFonts w:cs="Arial"/>
          <w:b/>
          <w:szCs w:val="22"/>
        </w:rPr>
      </w:pPr>
      <w:bookmarkStart w:id="17" w:name="_Toc214003093"/>
      <w:r w:rsidRPr="00F15A73">
        <w:rPr>
          <w:rFonts w:cs="Arial"/>
          <w:b/>
          <w:szCs w:val="22"/>
        </w:rPr>
        <w:t>Energy Correction Factors</w:t>
      </w:r>
    </w:p>
    <w:p w14:paraId="4EA84C1C" w14:textId="6FC61C07" w:rsidR="00501CF2" w:rsidRDefault="009817BA" w:rsidP="00501CF2">
      <w:pPr>
        <w:rPr>
          <w:rFonts w:cs="Arial"/>
          <w:szCs w:val="22"/>
        </w:rPr>
      </w:pPr>
      <w:r>
        <w:rPr>
          <w:rFonts w:cs="Arial"/>
          <w:szCs w:val="22"/>
        </w:rPr>
        <w:t>T</w:t>
      </w:r>
      <w:r w:rsidR="00501CF2">
        <w:rPr>
          <w:rFonts w:cs="Arial"/>
          <w:szCs w:val="22"/>
        </w:rPr>
        <w:t xml:space="preserve">he 2011 PG&amp;E Work Paper Review (Attachment </w:t>
      </w:r>
      <w:r w:rsidR="009108DE">
        <w:rPr>
          <w:rFonts w:cs="Arial"/>
          <w:szCs w:val="22"/>
        </w:rPr>
        <w:t>2</w:t>
      </w:r>
      <w:proofErr w:type="gramStart"/>
      <w:r w:rsidR="00501CF2">
        <w:rPr>
          <w:rFonts w:cs="Arial"/>
          <w:szCs w:val="22"/>
        </w:rPr>
        <w:t>),</w:t>
      </w:r>
      <w:proofErr w:type="gramEnd"/>
      <w:r>
        <w:rPr>
          <w:rFonts w:cs="Arial"/>
          <w:szCs w:val="22"/>
        </w:rPr>
        <w:t xml:space="preserve"> specified which factors from the CBLET and the ULP report should be used to calculate energy savings</w:t>
      </w:r>
      <w:r w:rsidR="00501CF2">
        <w:rPr>
          <w:rFonts w:cs="Arial"/>
          <w:szCs w:val="22"/>
        </w:rPr>
        <w:t>:</w:t>
      </w:r>
    </w:p>
    <w:p w14:paraId="297C9FB2" w14:textId="77777777" w:rsidR="00501CF2" w:rsidRDefault="00501CF2" w:rsidP="00501CF2">
      <w:pPr>
        <w:rPr>
          <w:rFonts w:cs="Arial"/>
          <w:szCs w:val="22"/>
        </w:rPr>
      </w:pPr>
      <w:r>
        <w:rPr>
          <w:rFonts w:cs="Arial"/>
          <w:szCs w:val="22"/>
        </w:rPr>
        <w:t xml:space="preserve">            </w:t>
      </w:r>
    </w:p>
    <w:p w14:paraId="0973C45F" w14:textId="0334917E" w:rsidR="00501CF2" w:rsidRPr="009817BA" w:rsidRDefault="00501CF2" w:rsidP="009817BA">
      <w:pPr>
        <w:ind w:firstLine="720"/>
        <w:rPr>
          <w:rFonts w:cs="Arial"/>
          <w:i/>
          <w:szCs w:val="22"/>
        </w:rPr>
      </w:pPr>
      <w:r>
        <w:rPr>
          <w:rFonts w:cs="Arial"/>
          <w:i/>
          <w:szCs w:val="22"/>
        </w:rPr>
        <w:t>3-way Residential = 0.67 * 0.57 + 0.33 * 1.25 = 0.79</w:t>
      </w:r>
    </w:p>
    <w:p w14:paraId="39411527" w14:textId="77777777" w:rsidR="00501CF2" w:rsidRDefault="00501CF2" w:rsidP="00501CF2">
      <w:pPr>
        <w:ind w:firstLine="720"/>
        <w:rPr>
          <w:rFonts w:cs="Arial"/>
          <w:i/>
          <w:szCs w:val="22"/>
        </w:rPr>
      </w:pPr>
      <w:r>
        <w:rPr>
          <w:rFonts w:cs="Arial"/>
          <w:i/>
          <w:szCs w:val="22"/>
        </w:rPr>
        <w:t>3-way Non-residential = 0.5 * 0.57 + 0.5 * 1.25 = 0.91</w:t>
      </w:r>
    </w:p>
    <w:p w14:paraId="2C0D6B70" w14:textId="29B6E830" w:rsidR="00501CF2" w:rsidRDefault="00501CF2" w:rsidP="00501CF2">
      <w:pPr>
        <w:pStyle w:val="NoSpacing"/>
        <w:rPr>
          <w:rFonts w:eastAsia="Times New Roman" w:cstheme="minorHAnsi"/>
        </w:rPr>
      </w:pPr>
      <w:r w:rsidRPr="00501CF2">
        <w:rPr>
          <w:rFonts w:eastAsia="Times New Roman" w:cstheme="minorHAnsi"/>
        </w:rPr>
        <w:t xml:space="preserve"> </w:t>
      </w:r>
    </w:p>
    <w:p w14:paraId="3BB7A0D7" w14:textId="0EA21D31" w:rsidR="00F15A73" w:rsidRDefault="009817BA" w:rsidP="00501CF2">
      <w:pPr>
        <w:pStyle w:val="NoSpacing"/>
        <w:rPr>
          <w:rFonts w:eastAsia="Times New Roman" w:cstheme="minorHAnsi"/>
        </w:rPr>
      </w:pPr>
      <w:r>
        <w:rPr>
          <w:rFonts w:eastAsia="Times New Roman" w:cstheme="minorHAnsi"/>
        </w:rPr>
        <w:t>The final correction factors are:</w:t>
      </w:r>
    </w:p>
    <w:p w14:paraId="3F23704F" w14:textId="77777777" w:rsidR="00D7227A" w:rsidRDefault="00D7227A" w:rsidP="00501CF2">
      <w:pPr>
        <w:pStyle w:val="NoSpacing"/>
        <w:rPr>
          <w:rFonts w:eastAsia="Times New Roman" w:cstheme="minorHAnsi"/>
        </w:rPr>
      </w:pPr>
    </w:p>
    <w:tbl>
      <w:tblPr>
        <w:tblStyle w:val="TableGrid1"/>
        <w:tblW w:w="0" w:type="auto"/>
        <w:tblLook w:val="04A0" w:firstRow="1" w:lastRow="0" w:firstColumn="1" w:lastColumn="0" w:noHBand="0" w:noVBand="1"/>
      </w:tblPr>
      <w:tblGrid>
        <w:gridCol w:w="3192"/>
        <w:gridCol w:w="2046"/>
        <w:gridCol w:w="2070"/>
      </w:tblGrid>
      <w:tr w:rsidR="009817BA" w:rsidRPr="009817BA" w14:paraId="52326995" w14:textId="77777777" w:rsidTr="00D7227A">
        <w:tc>
          <w:tcPr>
            <w:tcW w:w="3192" w:type="dxa"/>
            <w:shd w:val="clear" w:color="auto" w:fill="BFBFBF" w:themeFill="background1" w:themeFillShade="BF"/>
            <w:hideMark/>
          </w:tcPr>
          <w:p w14:paraId="7AFF62C1" w14:textId="77777777" w:rsidR="009817BA" w:rsidRPr="009817BA" w:rsidRDefault="009817BA" w:rsidP="00D7227A">
            <w:pPr>
              <w:rPr>
                <w:b/>
                <w:szCs w:val="20"/>
              </w:rPr>
            </w:pPr>
            <w:r w:rsidRPr="009817BA">
              <w:rPr>
                <w:b/>
                <w:szCs w:val="20"/>
              </w:rPr>
              <w:t>Measure Type</w:t>
            </w:r>
          </w:p>
        </w:tc>
        <w:tc>
          <w:tcPr>
            <w:tcW w:w="2046" w:type="dxa"/>
            <w:shd w:val="clear" w:color="auto" w:fill="BFBFBF" w:themeFill="background1" w:themeFillShade="BF"/>
            <w:hideMark/>
          </w:tcPr>
          <w:p w14:paraId="327C7455" w14:textId="01B1A1E0" w:rsidR="009817BA" w:rsidRPr="009817BA" w:rsidRDefault="009817BA" w:rsidP="00D7227A">
            <w:pPr>
              <w:rPr>
                <w:b/>
                <w:szCs w:val="20"/>
              </w:rPr>
            </w:pPr>
            <w:r w:rsidRPr="009817BA">
              <w:rPr>
                <w:b/>
                <w:szCs w:val="20"/>
              </w:rPr>
              <w:t xml:space="preserve">Watts </w:t>
            </w:r>
            <w:r>
              <w:rPr>
                <w:b/>
                <w:szCs w:val="20"/>
              </w:rPr>
              <w:t>F</w:t>
            </w:r>
            <w:r w:rsidRPr="009817BA">
              <w:rPr>
                <w:b/>
                <w:szCs w:val="20"/>
              </w:rPr>
              <w:t>actor</w:t>
            </w:r>
          </w:p>
        </w:tc>
        <w:tc>
          <w:tcPr>
            <w:tcW w:w="2070" w:type="dxa"/>
            <w:shd w:val="clear" w:color="auto" w:fill="BFBFBF" w:themeFill="background1" w:themeFillShade="BF"/>
            <w:hideMark/>
          </w:tcPr>
          <w:p w14:paraId="6B87C235" w14:textId="70519AE7" w:rsidR="009817BA" w:rsidRPr="009817BA" w:rsidRDefault="009817BA" w:rsidP="00D7227A">
            <w:pPr>
              <w:rPr>
                <w:b/>
                <w:szCs w:val="20"/>
              </w:rPr>
            </w:pPr>
            <w:r w:rsidRPr="009817BA">
              <w:rPr>
                <w:b/>
                <w:szCs w:val="20"/>
              </w:rPr>
              <w:t xml:space="preserve">Hours </w:t>
            </w:r>
            <w:r>
              <w:rPr>
                <w:b/>
                <w:szCs w:val="20"/>
              </w:rPr>
              <w:t>F</w:t>
            </w:r>
            <w:r w:rsidRPr="009817BA">
              <w:rPr>
                <w:b/>
                <w:szCs w:val="20"/>
              </w:rPr>
              <w:t>actor</w:t>
            </w:r>
          </w:p>
        </w:tc>
      </w:tr>
      <w:tr w:rsidR="009817BA" w14:paraId="7D8A201F" w14:textId="77777777" w:rsidTr="00D7227A">
        <w:tc>
          <w:tcPr>
            <w:tcW w:w="3192" w:type="dxa"/>
            <w:hideMark/>
          </w:tcPr>
          <w:p w14:paraId="134B5655" w14:textId="77777777" w:rsidR="009817BA" w:rsidRDefault="009817BA" w:rsidP="00D7227A">
            <w:pPr>
              <w:rPr>
                <w:szCs w:val="20"/>
              </w:rPr>
            </w:pPr>
            <w:r>
              <w:rPr>
                <w:szCs w:val="20"/>
              </w:rPr>
              <w:t>Residential 3-way</w:t>
            </w:r>
          </w:p>
        </w:tc>
        <w:tc>
          <w:tcPr>
            <w:tcW w:w="2046" w:type="dxa"/>
            <w:hideMark/>
          </w:tcPr>
          <w:p w14:paraId="4C3BB8C5" w14:textId="77777777" w:rsidR="009817BA" w:rsidRDefault="009817BA" w:rsidP="00D7227A">
            <w:pPr>
              <w:rPr>
                <w:rFonts w:ascii="Times New Roman" w:hAnsi="Times New Roman"/>
                <w:szCs w:val="20"/>
              </w:rPr>
            </w:pPr>
            <w:r>
              <w:rPr>
                <w:szCs w:val="20"/>
              </w:rPr>
              <w:t>0.8</w:t>
            </w:r>
          </w:p>
        </w:tc>
        <w:tc>
          <w:tcPr>
            <w:tcW w:w="2070" w:type="dxa"/>
            <w:hideMark/>
          </w:tcPr>
          <w:p w14:paraId="2A2C38C1" w14:textId="77777777" w:rsidR="009817BA" w:rsidRDefault="009817BA" w:rsidP="00D7227A">
            <w:pPr>
              <w:rPr>
                <w:szCs w:val="20"/>
              </w:rPr>
            </w:pPr>
            <w:r>
              <w:rPr>
                <w:szCs w:val="20"/>
              </w:rPr>
              <w:t>0.79</w:t>
            </w:r>
          </w:p>
        </w:tc>
      </w:tr>
      <w:tr w:rsidR="009817BA" w14:paraId="086AC5D7" w14:textId="77777777" w:rsidTr="00D7227A">
        <w:tc>
          <w:tcPr>
            <w:tcW w:w="3192" w:type="dxa"/>
            <w:hideMark/>
          </w:tcPr>
          <w:p w14:paraId="0AF88421" w14:textId="77777777" w:rsidR="009817BA" w:rsidRDefault="009817BA" w:rsidP="00D7227A">
            <w:pPr>
              <w:rPr>
                <w:szCs w:val="20"/>
              </w:rPr>
            </w:pPr>
            <w:r>
              <w:rPr>
                <w:szCs w:val="20"/>
              </w:rPr>
              <w:t>Non-residential 3-way</w:t>
            </w:r>
          </w:p>
        </w:tc>
        <w:tc>
          <w:tcPr>
            <w:tcW w:w="2046" w:type="dxa"/>
            <w:hideMark/>
          </w:tcPr>
          <w:p w14:paraId="7AF1A4DA" w14:textId="77777777" w:rsidR="009817BA" w:rsidRDefault="009817BA" w:rsidP="00D7227A">
            <w:pPr>
              <w:rPr>
                <w:rFonts w:ascii="Times New Roman" w:hAnsi="Times New Roman"/>
                <w:szCs w:val="20"/>
              </w:rPr>
            </w:pPr>
            <w:r>
              <w:rPr>
                <w:szCs w:val="20"/>
              </w:rPr>
              <w:t>0.8</w:t>
            </w:r>
          </w:p>
        </w:tc>
        <w:tc>
          <w:tcPr>
            <w:tcW w:w="2070" w:type="dxa"/>
            <w:hideMark/>
          </w:tcPr>
          <w:p w14:paraId="234E283F" w14:textId="77777777" w:rsidR="009817BA" w:rsidRDefault="009817BA" w:rsidP="00D7227A">
            <w:pPr>
              <w:rPr>
                <w:szCs w:val="20"/>
              </w:rPr>
            </w:pPr>
            <w:r>
              <w:rPr>
                <w:szCs w:val="20"/>
              </w:rPr>
              <w:t>0.91</w:t>
            </w:r>
          </w:p>
        </w:tc>
      </w:tr>
    </w:tbl>
    <w:p w14:paraId="54E29E25" w14:textId="77777777" w:rsidR="009817BA" w:rsidRDefault="009817BA" w:rsidP="00501CF2">
      <w:pPr>
        <w:pStyle w:val="NoSpacing"/>
        <w:rPr>
          <w:rFonts w:eastAsia="Times New Roman" w:cstheme="minorHAnsi"/>
        </w:rPr>
      </w:pPr>
    </w:p>
    <w:p w14:paraId="7123354C" w14:textId="30C57F54" w:rsidR="00361731" w:rsidRDefault="00361731" w:rsidP="00501CF2">
      <w:pPr>
        <w:pStyle w:val="NoSpacing"/>
        <w:rPr>
          <w:rFonts w:eastAsia="Times New Roman" w:cstheme="minorHAnsi"/>
        </w:rPr>
      </w:pPr>
      <w:r>
        <w:rPr>
          <w:rFonts w:eastAsia="Times New Roman" w:cstheme="minorHAnsi"/>
        </w:rPr>
        <w:t>Note: The DEER hours</w:t>
      </w:r>
      <w:r w:rsidR="00743050">
        <w:rPr>
          <w:rFonts w:eastAsia="Times New Roman" w:cstheme="minorHAnsi"/>
        </w:rPr>
        <w:t xml:space="preserve"> of use</w:t>
      </w:r>
      <w:r>
        <w:rPr>
          <w:rFonts w:eastAsia="Times New Roman" w:cstheme="minorHAnsi"/>
        </w:rPr>
        <w:t xml:space="preserve"> for Residential 3-way CFLs have already been reduced to 541 * 0.79 = 427 hours/year. Therefore, the 0.79 factor is not reapplied.</w:t>
      </w:r>
    </w:p>
    <w:p w14:paraId="7700F4B6" w14:textId="77777777" w:rsidR="00361731" w:rsidRDefault="00361731" w:rsidP="00501CF2">
      <w:pPr>
        <w:pStyle w:val="NoSpacing"/>
        <w:rPr>
          <w:rFonts w:eastAsia="Times New Roman" w:cstheme="minorHAnsi"/>
        </w:rPr>
      </w:pPr>
    </w:p>
    <w:p w14:paraId="7CD51426" w14:textId="4534D93A" w:rsidR="00361731" w:rsidRDefault="00361731" w:rsidP="00501CF2">
      <w:pPr>
        <w:pStyle w:val="NoSpacing"/>
        <w:rPr>
          <w:rFonts w:eastAsia="Times New Roman" w:cstheme="minorHAnsi"/>
          <w:b/>
        </w:rPr>
      </w:pPr>
      <w:r w:rsidRPr="00361731">
        <w:rPr>
          <w:rFonts w:eastAsia="Times New Roman" w:cstheme="minorHAnsi"/>
          <w:b/>
        </w:rPr>
        <w:t>Wattage Reduction Ratios</w:t>
      </w:r>
      <w:r>
        <w:rPr>
          <w:rFonts w:eastAsia="Times New Roman" w:cstheme="minorHAnsi"/>
          <w:b/>
        </w:rPr>
        <w:t xml:space="preserve"> (WRRs)</w:t>
      </w:r>
    </w:p>
    <w:p w14:paraId="12891F06" w14:textId="699D586E" w:rsidR="003840E8" w:rsidRDefault="003840E8" w:rsidP="003840E8">
      <w:pPr>
        <w:pStyle w:val="Reminders"/>
        <w:rPr>
          <w:rFonts w:asciiTheme="minorHAnsi" w:hAnsiTheme="minorHAnsi" w:cstheme="minorHAnsi"/>
          <w:i w:val="0"/>
          <w:color w:val="auto"/>
          <w:szCs w:val="22"/>
        </w:rPr>
      </w:pPr>
      <w:r>
        <w:rPr>
          <w:rFonts w:asciiTheme="minorHAnsi" w:hAnsiTheme="minorHAnsi" w:cstheme="minorHAnsi"/>
          <w:i w:val="0"/>
          <w:color w:val="auto"/>
          <w:szCs w:val="22"/>
        </w:rPr>
        <w:t>All savings</w:t>
      </w:r>
      <w:r w:rsidR="00436D41">
        <w:rPr>
          <w:rFonts w:asciiTheme="minorHAnsi" w:hAnsiTheme="minorHAnsi" w:cstheme="minorHAnsi"/>
          <w:i w:val="0"/>
          <w:color w:val="auto"/>
          <w:szCs w:val="22"/>
        </w:rPr>
        <w:t xml:space="preserve"> in</w:t>
      </w:r>
      <w:r>
        <w:rPr>
          <w:rFonts w:asciiTheme="minorHAnsi" w:hAnsiTheme="minorHAnsi" w:cstheme="minorHAnsi"/>
          <w:i w:val="0"/>
          <w:color w:val="auto"/>
          <w:szCs w:val="22"/>
        </w:rPr>
        <w:t xml:space="preserve"> this work</w:t>
      </w:r>
      <w:r w:rsidR="00436D41">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paper were calculated using </w:t>
      </w:r>
      <w:r w:rsidRPr="00AB27A3">
        <w:rPr>
          <w:rFonts w:asciiTheme="minorHAnsi" w:hAnsiTheme="minorHAnsi" w:cstheme="minorHAnsi"/>
          <w:i w:val="0"/>
          <w:color w:val="auto"/>
          <w:szCs w:val="22"/>
        </w:rPr>
        <w:t>base case wattages determined by multiplying the measure case wattage by the following WRRs</w:t>
      </w:r>
      <w:r>
        <w:rPr>
          <w:rFonts w:asciiTheme="minorHAnsi" w:hAnsiTheme="minorHAnsi" w:cstheme="minorHAnsi"/>
          <w:i w:val="0"/>
          <w:color w:val="auto"/>
          <w:szCs w:val="22"/>
        </w:rPr>
        <w:t xml:space="preserve"> provided by the CPUC in the disposition provided on May 26</w:t>
      </w:r>
      <w:r w:rsidRPr="00CC6DA4">
        <w:rPr>
          <w:rFonts w:asciiTheme="minorHAnsi" w:hAnsiTheme="minorHAnsi" w:cstheme="minorHAnsi"/>
          <w:i w:val="0"/>
          <w:color w:val="auto"/>
          <w:szCs w:val="22"/>
          <w:vertAlign w:val="superscript"/>
        </w:rPr>
        <w:t>th</w:t>
      </w:r>
      <w:r>
        <w:rPr>
          <w:rFonts w:asciiTheme="minorHAnsi" w:hAnsiTheme="minorHAnsi" w:cstheme="minorHAnsi"/>
          <w:i w:val="0"/>
          <w:color w:val="auto"/>
          <w:szCs w:val="22"/>
        </w:rPr>
        <w:t xml:space="preserve">, 2017[Attachment </w:t>
      </w:r>
      <w:r w:rsidR="00CC1623">
        <w:rPr>
          <w:rFonts w:asciiTheme="minorHAnsi" w:hAnsiTheme="minorHAnsi" w:cstheme="minorHAnsi"/>
          <w:i w:val="0"/>
          <w:color w:val="auto"/>
          <w:szCs w:val="22"/>
        </w:rPr>
        <w:t>5</w:t>
      </w:r>
      <w:r>
        <w:rPr>
          <w:rFonts w:asciiTheme="minorHAnsi" w:hAnsiTheme="minorHAnsi" w:cstheme="minorHAnsi"/>
          <w:i w:val="0"/>
          <w:color w:val="auto"/>
          <w:szCs w:val="22"/>
        </w:rPr>
        <w:t>]</w:t>
      </w:r>
      <w:r w:rsidRPr="00AB27A3">
        <w:rPr>
          <w:rFonts w:asciiTheme="minorHAnsi" w:hAnsiTheme="minorHAnsi" w:cstheme="minorHAnsi"/>
          <w:i w:val="0"/>
          <w:color w:val="auto"/>
          <w:szCs w:val="22"/>
        </w:rPr>
        <w:t>:</w:t>
      </w:r>
    </w:p>
    <w:p w14:paraId="1EDDB643" w14:textId="77777777" w:rsidR="00D7227A" w:rsidRDefault="00D7227A" w:rsidP="00501CF2">
      <w:pPr>
        <w:pStyle w:val="NoSpacing"/>
        <w:rPr>
          <w:rFonts w:eastAsia="Times New Roman" w:cstheme="minorHAnsi"/>
        </w:rPr>
      </w:pPr>
    </w:p>
    <w:tbl>
      <w:tblPr>
        <w:tblStyle w:val="TableGrid1"/>
        <w:tblW w:w="0" w:type="auto"/>
        <w:tblLook w:val="04A0" w:firstRow="1" w:lastRow="0" w:firstColumn="1" w:lastColumn="0" w:noHBand="0" w:noVBand="1"/>
      </w:tblPr>
      <w:tblGrid>
        <w:gridCol w:w="3192"/>
        <w:gridCol w:w="1303"/>
      </w:tblGrid>
      <w:tr w:rsidR="00361731" w:rsidRPr="009817BA" w14:paraId="42573D1B" w14:textId="77777777" w:rsidTr="00D7227A">
        <w:tc>
          <w:tcPr>
            <w:tcW w:w="3192" w:type="dxa"/>
            <w:shd w:val="clear" w:color="auto" w:fill="BFBFBF" w:themeFill="background1" w:themeFillShade="BF"/>
            <w:hideMark/>
          </w:tcPr>
          <w:p w14:paraId="29924751" w14:textId="30CB4D5B" w:rsidR="00361731" w:rsidRPr="009817BA" w:rsidRDefault="00361731" w:rsidP="00D7227A">
            <w:pPr>
              <w:rPr>
                <w:b/>
                <w:szCs w:val="20"/>
              </w:rPr>
            </w:pPr>
            <w:r>
              <w:rPr>
                <w:b/>
                <w:szCs w:val="20"/>
              </w:rPr>
              <w:t>Lamp Type</w:t>
            </w:r>
          </w:p>
        </w:tc>
        <w:tc>
          <w:tcPr>
            <w:tcW w:w="1303" w:type="dxa"/>
            <w:shd w:val="clear" w:color="auto" w:fill="BFBFBF" w:themeFill="background1" w:themeFillShade="BF"/>
            <w:hideMark/>
          </w:tcPr>
          <w:p w14:paraId="6BC6C650" w14:textId="4FCB4DF4" w:rsidR="00361731" w:rsidRPr="009817BA" w:rsidRDefault="00361731" w:rsidP="00D7227A">
            <w:pPr>
              <w:rPr>
                <w:b/>
                <w:szCs w:val="20"/>
              </w:rPr>
            </w:pPr>
            <w:r>
              <w:rPr>
                <w:b/>
                <w:szCs w:val="20"/>
              </w:rPr>
              <w:t>WRR</w:t>
            </w:r>
          </w:p>
        </w:tc>
      </w:tr>
      <w:tr w:rsidR="00361731" w14:paraId="26FCA439" w14:textId="77777777" w:rsidTr="00D7227A">
        <w:tc>
          <w:tcPr>
            <w:tcW w:w="3192" w:type="dxa"/>
            <w:hideMark/>
          </w:tcPr>
          <w:p w14:paraId="6F7406FB" w14:textId="7D95C38E" w:rsidR="00361731" w:rsidRDefault="00361731" w:rsidP="00D7227A">
            <w:pPr>
              <w:rPr>
                <w:szCs w:val="20"/>
              </w:rPr>
            </w:pPr>
            <w:r>
              <w:rPr>
                <w:szCs w:val="20"/>
              </w:rPr>
              <w:t>Residential interior non-reflector</w:t>
            </w:r>
          </w:p>
        </w:tc>
        <w:tc>
          <w:tcPr>
            <w:tcW w:w="1303" w:type="dxa"/>
            <w:hideMark/>
          </w:tcPr>
          <w:p w14:paraId="513CC098" w14:textId="6B164DA8" w:rsidR="00361731" w:rsidRDefault="003840E8" w:rsidP="00D7227A">
            <w:pPr>
              <w:rPr>
                <w:rFonts w:ascii="Times New Roman" w:hAnsi="Times New Roman"/>
                <w:szCs w:val="20"/>
              </w:rPr>
            </w:pPr>
            <w:r>
              <w:rPr>
                <w:szCs w:val="20"/>
              </w:rPr>
              <w:t>1.56</w:t>
            </w:r>
          </w:p>
        </w:tc>
      </w:tr>
      <w:tr w:rsidR="00361731" w14:paraId="42FAD989" w14:textId="77777777" w:rsidTr="00D7227A">
        <w:tc>
          <w:tcPr>
            <w:tcW w:w="3192" w:type="dxa"/>
          </w:tcPr>
          <w:p w14:paraId="572EA153" w14:textId="23344F14" w:rsidR="00361731" w:rsidRDefault="00361731" w:rsidP="00D7227A">
            <w:pPr>
              <w:rPr>
                <w:szCs w:val="20"/>
              </w:rPr>
            </w:pPr>
            <w:r>
              <w:rPr>
                <w:szCs w:val="20"/>
              </w:rPr>
              <w:t>Commercial interior</w:t>
            </w:r>
          </w:p>
        </w:tc>
        <w:tc>
          <w:tcPr>
            <w:tcW w:w="1303" w:type="dxa"/>
          </w:tcPr>
          <w:p w14:paraId="32EFDED2" w14:textId="51AE0EC8" w:rsidR="00361731" w:rsidRDefault="003840E8" w:rsidP="00D7227A">
            <w:pPr>
              <w:rPr>
                <w:szCs w:val="20"/>
              </w:rPr>
            </w:pPr>
            <w:r>
              <w:rPr>
                <w:szCs w:val="20"/>
              </w:rPr>
              <w:t>1.59</w:t>
            </w:r>
          </w:p>
        </w:tc>
      </w:tr>
    </w:tbl>
    <w:p w14:paraId="28CA71A8" w14:textId="77777777" w:rsidR="00361731" w:rsidRDefault="00361731" w:rsidP="00501CF2">
      <w:pPr>
        <w:pStyle w:val="NoSpacing"/>
        <w:rPr>
          <w:rFonts w:eastAsia="Times New Roman" w:cstheme="minorHAnsi"/>
        </w:rPr>
      </w:pPr>
    </w:p>
    <w:p w14:paraId="56985705" w14:textId="77777777" w:rsidR="009747C6" w:rsidRDefault="009747C6" w:rsidP="009747C6">
      <w:pPr>
        <w:pStyle w:val="NoSpacing"/>
        <w:rPr>
          <w:rFonts w:eastAsia="Times New Roman" w:cstheme="minorHAnsi"/>
        </w:rPr>
      </w:pPr>
      <w:r>
        <w:rPr>
          <w:rFonts w:eastAsia="Times New Roman" w:cstheme="minorHAnsi"/>
        </w:rPr>
        <w:t xml:space="preserve">As the measures in this work paper specify exact wattages, not wattage </w:t>
      </w:r>
      <w:proofErr w:type="gramStart"/>
      <w:r>
        <w:rPr>
          <w:rFonts w:eastAsia="Times New Roman" w:cstheme="minorHAnsi"/>
        </w:rPr>
        <w:t>ranges,</w:t>
      </w:r>
      <w:proofErr w:type="gramEnd"/>
      <w:r>
        <w:rPr>
          <w:rFonts w:eastAsia="Times New Roman" w:cstheme="minorHAnsi"/>
        </w:rPr>
        <w:t xml:space="preserve"> no midrange wattages were used in the savings. </w:t>
      </w:r>
    </w:p>
    <w:p w14:paraId="37CD35DE" w14:textId="77777777" w:rsidR="009747C6" w:rsidRDefault="009747C6" w:rsidP="00501CF2">
      <w:pPr>
        <w:pStyle w:val="NoSpacing"/>
        <w:rPr>
          <w:rFonts w:eastAsia="Times New Roman" w:cstheme="minorHAnsi"/>
        </w:rPr>
      </w:pPr>
    </w:p>
    <w:p w14:paraId="2EB17FC0" w14:textId="65C692AB" w:rsidR="00F15A73" w:rsidRDefault="00F15A73" w:rsidP="00F15A73">
      <w:pPr>
        <w:rPr>
          <w:szCs w:val="22"/>
        </w:rPr>
      </w:pPr>
      <w:r>
        <w:rPr>
          <w:b/>
          <w:szCs w:val="22"/>
        </w:rPr>
        <w:t>Energy Savings and Demand Reduction</w:t>
      </w:r>
      <w:r w:rsidR="00495EAA">
        <w:rPr>
          <w:b/>
          <w:szCs w:val="22"/>
        </w:rPr>
        <w:tab/>
      </w:r>
    </w:p>
    <w:p w14:paraId="6A7EC4E9" w14:textId="63771710" w:rsidR="00F15A73" w:rsidRDefault="00F15A73" w:rsidP="00F15A73">
      <w:pPr>
        <w:rPr>
          <w:szCs w:val="22"/>
        </w:rPr>
      </w:pPr>
      <w:r>
        <w:rPr>
          <w:szCs w:val="22"/>
        </w:rPr>
        <w:t xml:space="preserve">Examples </w:t>
      </w:r>
      <w:r w:rsidR="00361731">
        <w:rPr>
          <w:szCs w:val="22"/>
        </w:rPr>
        <w:t>of savings calculations for a 26</w:t>
      </w:r>
      <w:r>
        <w:rPr>
          <w:szCs w:val="22"/>
        </w:rPr>
        <w:t>W 3-way CFL measure</w:t>
      </w:r>
      <w:r w:rsidR="00C043E0">
        <w:rPr>
          <w:szCs w:val="22"/>
        </w:rPr>
        <w:t>, climate zone 06,</w:t>
      </w:r>
      <w:r>
        <w:rPr>
          <w:szCs w:val="22"/>
        </w:rPr>
        <w:t xml:space="preserve"> are provided below:</w:t>
      </w:r>
    </w:p>
    <w:p w14:paraId="1C550885" w14:textId="77777777" w:rsidR="00F15A73" w:rsidRDefault="00F15A73" w:rsidP="00F15A73">
      <w:pPr>
        <w:pStyle w:val="Normal2"/>
        <w:jc w:val="right"/>
        <w:rPr>
          <w:rFonts w:asciiTheme="minorHAnsi" w:hAnsiTheme="minorHAnsi"/>
          <w:sz w:val="22"/>
          <w:szCs w:val="22"/>
          <w:u w:val="single"/>
        </w:rPr>
      </w:pPr>
    </w:p>
    <w:p w14:paraId="0534A30C" w14:textId="7BA01624" w:rsidR="00F15A73" w:rsidRPr="00C043E0" w:rsidRDefault="00F15A73" w:rsidP="00F15A73">
      <w:pPr>
        <w:rPr>
          <w:szCs w:val="22"/>
          <w:u w:val="single"/>
        </w:rPr>
      </w:pPr>
      <w:r w:rsidRPr="00C043E0">
        <w:rPr>
          <w:szCs w:val="22"/>
          <w:u w:val="single"/>
        </w:rPr>
        <w:t>Residential</w:t>
      </w:r>
      <w:r w:rsidR="008446D9">
        <w:rPr>
          <w:szCs w:val="22"/>
          <w:u w:val="single"/>
        </w:rPr>
        <w:t>:</w:t>
      </w:r>
      <w:r w:rsidRPr="00C043E0">
        <w:rPr>
          <w:szCs w:val="22"/>
          <w:u w:val="single"/>
        </w:rPr>
        <w:t xml:space="preserve"> Single Family Home</w:t>
      </w:r>
    </w:p>
    <w:p w14:paraId="25F6016A" w14:textId="77777777" w:rsidR="00F15A73" w:rsidRDefault="00F15A73" w:rsidP="00F15A73">
      <w:pPr>
        <w:rPr>
          <w:i/>
          <w:sz w:val="18"/>
          <w:szCs w:val="18"/>
        </w:rPr>
      </w:pPr>
      <m:oMathPara>
        <m:oMathParaPr>
          <m:jc m:val="left"/>
        </m:oMathParaPr>
        <m:oMath>
          <m:r>
            <w:rPr>
              <w:rFonts w:ascii="Cambria Math" w:hAnsi="Cambria Math"/>
              <w:sz w:val="18"/>
              <w:szCs w:val="18"/>
            </w:rPr>
            <m:t>Energy Savings</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Hours of Operation*Hours Factor</m:t>
              </m:r>
            </m:e>
          </m:d>
          <m:r>
            <w:rPr>
              <w:rFonts w:ascii="Cambria Math" w:hAnsi="Cambria Math"/>
              <w:sz w:val="18"/>
              <w:szCs w:val="18"/>
            </w:rPr>
            <m:t>*Interactive Effects</m:t>
          </m:r>
        </m:oMath>
      </m:oMathPara>
    </w:p>
    <w:p w14:paraId="69A118E5" w14:textId="77777777" w:rsidR="00F15A73" w:rsidRDefault="00F15A73" w:rsidP="00F15A73">
      <w:pPr>
        <w:rPr>
          <w:i/>
          <w:sz w:val="18"/>
          <w:szCs w:val="18"/>
        </w:rPr>
      </w:pPr>
    </w:p>
    <w:p w14:paraId="6444FDC7" w14:textId="3EDB6766" w:rsidR="00F15A73" w:rsidRPr="00C043E0" w:rsidRDefault="00F15A73" w:rsidP="00F15A73">
      <w:pPr>
        <w:rPr>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d>
                <m:dPr>
                  <m:ctrlPr>
                    <w:rPr>
                      <w:rFonts w:ascii="Cambria Math" w:hAnsi="Cambria Math"/>
                      <w:i/>
                      <w:sz w:val="18"/>
                      <w:szCs w:val="18"/>
                    </w:rPr>
                  </m:ctrlPr>
                </m:dPr>
                <m:e>
                  <m:r>
                    <w:rPr>
                      <w:rFonts w:ascii="Cambria Math" w:hAnsi="Cambria Math"/>
                      <w:sz w:val="18"/>
                      <w:szCs w:val="18"/>
                    </w:rPr>
                    <m:t>0.026*1.56-0.026</m:t>
                  </m:r>
                </m:e>
              </m:d>
              <m:r>
                <w:rPr>
                  <w:rFonts w:ascii="Cambria Math" w:hAnsi="Cambria Math"/>
                  <w:sz w:val="18"/>
                  <w:szCs w:val="18"/>
                </w:rPr>
                <m:t>*0.8</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427</m:t>
              </m:r>
            </m:e>
          </m:d>
          <m:r>
            <w:rPr>
              <w:rFonts w:ascii="Cambria Math" w:hAnsi="Cambria Math"/>
              <w:sz w:val="18"/>
              <w:szCs w:val="18"/>
            </w:rPr>
            <m:t>*1.01=</m:t>
          </m:r>
          <m:r>
            <m:rPr>
              <m:sty m:val="bi"/>
            </m:rPr>
            <w:rPr>
              <w:rFonts w:ascii="Cambria Math" w:hAnsi="Cambria Math"/>
              <w:sz w:val="18"/>
              <w:szCs w:val="18"/>
            </w:rPr>
            <m:t>5.023 kWh</m:t>
          </m:r>
        </m:oMath>
      </m:oMathPara>
    </w:p>
    <w:p w14:paraId="2FACD5E8" w14:textId="77777777" w:rsidR="00C043E0" w:rsidRDefault="00C043E0" w:rsidP="00F15A73">
      <w:pPr>
        <w:rPr>
          <w:szCs w:val="22"/>
        </w:rPr>
      </w:pPr>
    </w:p>
    <w:p w14:paraId="6FFAC046" w14:textId="77777777" w:rsidR="00C043E0" w:rsidRDefault="00C043E0" w:rsidP="00C043E0">
      <w:pPr>
        <w:rPr>
          <w:rFonts w:cstheme="minorHAnsi"/>
          <w:sz w:val="18"/>
          <w:szCs w:val="18"/>
        </w:rPr>
      </w:pPr>
      <m:oMathPara>
        <m:oMathParaPr>
          <m:jc m:val="left"/>
        </m:oMathParaPr>
        <m:oMath>
          <m:r>
            <w:rPr>
              <w:rFonts w:ascii="Cambria Math" w:hAnsi="Cambria Math"/>
              <w:sz w:val="18"/>
              <w:szCs w:val="18"/>
            </w:rPr>
            <m:t>Demand Reduction</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*Interactive Effects*Coincident Diversity Fac</m:t>
          </m:r>
          <m:r>
            <w:rPr>
              <w:rFonts w:ascii="Cambria Math" w:hAnsi="Cambria Math"/>
              <w:sz w:val="18"/>
              <w:szCs w:val="18"/>
            </w:rPr>
            <m:t>tor</m:t>
          </m:r>
        </m:oMath>
      </m:oMathPara>
    </w:p>
    <w:p w14:paraId="01AF2309" w14:textId="77777777" w:rsidR="00C043E0" w:rsidRDefault="00C043E0" w:rsidP="00C043E0">
      <w:pPr>
        <w:rPr>
          <w:rFonts w:cstheme="minorHAnsi"/>
          <w:sz w:val="18"/>
          <w:szCs w:val="18"/>
        </w:rPr>
      </w:pPr>
    </w:p>
    <w:p w14:paraId="36DFCF6F" w14:textId="4AEA78B8" w:rsidR="00C043E0" w:rsidRPr="00C043E0" w:rsidRDefault="00C043E0" w:rsidP="00C043E0">
      <w:pPr>
        <w:rPr>
          <w:rFonts w:cstheme="minorHAnsi"/>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d>
                <m:dPr>
                  <m:ctrlPr>
                    <w:rPr>
                      <w:rFonts w:ascii="Cambria Math" w:hAnsi="Cambria Math"/>
                      <w:i/>
                      <w:sz w:val="18"/>
                      <w:szCs w:val="18"/>
                    </w:rPr>
                  </m:ctrlPr>
                </m:dPr>
                <m:e>
                  <m:r>
                    <w:rPr>
                      <w:rFonts w:ascii="Cambria Math" w:hAnsi="Cambria Math"/>
                      <w:sz w:val="18"/>
                      <w:szCs w:val="18"/>
                    </w:rPr>
                    <m:t>0.026*1.56-0.026</m:t>
                  </m:r>
                </m:e>
              </m:d>
              <m:r>
                <w:rPr>
                  <w:rFonts w:ascii="Cambria Math" w:hAnsi="Cambria Math"/>
                  <w:sz w:val="18"/>
                  <w:szCs w:val="18"/>
                </w:rPr>
                <m:t>*0.8</m:t>
              </m:r>
            </m:e>
          </m:d>
          <m:r>
            <w:rPr>
              <w:rFonts w:ascii="Cambria Math" w:hAnsi="Cambria Math"/>
              <w:sz w:val="18"/>
              <w:szCs w:val="18"/>
            </w:rPr>
            <m:t>*1.36*0.043=</m:t>
          </m:r>
          <m:r>
            <m:rPr>
              <m:sty m:val="bi"/>
            </m:rPr>
            <w:rPr>
              <w:rFonts w:ascii="Cambria Math" w:hAnsi="Cambria Math"/>
              <w:sz w:val="18"/>
              <w:szCs w:val="18"/>
            </w:rPr>
            <m:t>0.00068 kW</m:t>
          </m:r>
        </m:oMath>
      </m:oMathPara>
    </w:p>
    <w:p w14:paraId="1496FA67" w14:textId="77777777" w:rsidR="00C043E0" w:rsidRDefault="00C043E0" w:rsidP="00C043E0">
      <w:pPr>
        <w:rPr>
          <w:rFonts w:cstheme="minorHAnsi"/>
          <w:b/>
          <w:szCs w:val="22"/>
        </w:rPr>
      </w:pPr>
    </w:p>
    <w:p w14:paraId="717655D4" w14:textId="77777777" w:rsidR="004230CA" w:rsidRDefault="004230CA" w:rsidP="00C043E0">
      <w:pPr>
        <w:rPr>
          <w:szCs w:val="22"/>
          <w:u w:val="single"/>
        </w:rPr>
      </w:pPr>
    </w:p>
    <w:p w14:paraId="63C7ABC3" w14:textId="77777777" w:rsidR="004230CA" w:rsidRDefault="004230CA" w:rsidP="00C043E0">
      <w:pPr>
        <w:rPr>
          <w:szCs w:val="22"/>
          <w:u w:val="single"/>
        </w:rPr>
      </w:pPr>
    </w:p>
    <w:p w14:paraId="2385E294" w14:textId="6A4BDE67" w:rsidR="00C043E0" w:rsidRPr="00C043E0" w:rsidRDefault="00C043E0" w:rsidP="00C043E0">
      <w:pPr>
        <w:rPr>
          <w:szCs w:val="22"/>
          <w:u w:val="single"/>
        </w:rPr>
      </w:pPr>
      <w:r>
        <w:rPr>
          <w:szCs w:val="22"/>
          <w:u w:val="single"/>
        </w:rPr>
        <w:t>Non-r</w:t>
      </w:r>
      <w:r w:rsidR="008446D9">
        <w:rPr>
          <w:szCs w:val="22"/>
          <w:u w:val="single"/>
        </w:rPr>
        <w:t>esidential:</w:t>
      </w:r>
      <w:r w:rsidRPr="00C043E0">
        <w:rPr>
          <w:szCs w:val="22"/>
          <w:u w:val="single"/>
        </w:rPr>
        <w:t xml:space="preserve"> Office – Small</w:t>
      </w:r>
    </w:p>
    <w:p w14:paraId="58A741A4" w14:textId="3E925A8A" w:rsidR="00F15A73" w:rsidRPr="00C043E0" w:rsidRDefault="00F15A73" w:rsidP="00F15A73">
      <w:pPr>
        <w:rPr>
          <w:rFonts w:cstheme="minorHAnsi"/>
          <w:b/>
          <w:sz w:val="18"/>
          <w:szCs w:val="18"/>
        </w:rPr>
      </w:pPr>
      <m:oMathPara>
        <m:oMathParaPr>
          <m:jc m:val="left"/>
        </m:oMathParaPr>
        <m:oMath>
          <m:r>
            <w:rPr>
              <w:rFonts w:ascii="Cambria Math" w:hAnsi="Cambria Math"/>
              <w:sz w:val="18"/>
              <w:szCs w:val="18"/>
            </w:rPr>
            <m:t>Energy Savings</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d>
                <m:dPr>
                  <m:ctrlPr>
                    <w:rPr>
                      <w:rFonts w:ascii="Cambria Math" w:hAnsi="Cambria Math"/>
                      <w:i/>
                      <w:sz w:val="18"/>
                      <w:szCs w:val="18"/>
                    </w:rPr>
                  </m:ctrlPr>
                </m:dPr>
                <m:e>
                  <m:r>
                    <w:rPr>
                      <w:rFonts w:ascii="Cambria Math" w:hAnsi="Cambria Math"/>
                      <w:sz w:val="18"/>
                      <w:szCs w:val="18"/>
                    </w:rPr>
                    <m:t>0.026*1.59-0.026</m:t>
                  </m:r>
                </m:e>
              </m:d>
              <m:r>
                <w:rPr>
                  <w:rFonts w:ascii="Cambria Math" w:hAnsi="Cambria Math"/>
                  <w:sz w:val="18"/>
                  <w:szCs w:val="18"/>
                </w:rPr>
                <m:t>*0.8</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1380*0.91</m:t>
              </m:r>
            </m:e>
          </m:d>
          <m:r>
            <w:rPr>
              <w:rFonts w:ascii="Cambria Math" w:hAnsi="Cambria Math"/>
              <w:sz w:val="18"/>
              <w:szCs w:val="18"/>
            </w:rPr>
            <m:t>*1.14=</m:t>
          </m:r>
          <m:r>
            <m:rPr>
              <m:sty m:val="bi"/>
            </m:rPr>
            <w:rPr>
              <w:rFonts w:ascii="Cambria Math" w:hAnsi="Cambria Math"/>
              <w:sz w:val="18"/>
              <w:szCs w:val="18"/>
            </w:rPr>
            <m:t>17.569 kWh</m:t>
          </m:r>
        </m:oMath>
      </m:oMathPara>
    </w:p>
    <w:p w14:paraId="7F110214" w14:textId="77777777" w:rsidR="00C043E0" w:rsidRPr="00C043E0" w:rsidRDefault="00C043E0" w:rsidP="00F15A73">
      <w:pPr>
        <w:rPr>
          <w:rFonts w:cstheme="minorHAnsi"/>
          <w:szCs w:val="22"/>
        </w:rPr>
      </w:pPr>
    </w:p>
    <w:p w14:paraId="473D844D" w14:textId="45B06104" w:rsidR="00F15A73" w:rsidRDefault="00F15A73" w:rsidP="00F15A73">
      <w:pPr>
        <w:rPr>
          <w:rFonts w:cstheme="minorHAnsi"/>
          <w:szCs w:val="22"/>
        </w:rPr>
      </w:pPr>
      <m:oMathPara>
        <m:oMathParaPr>
          <m:jc m:val="left"/>
        </m:oMathParaPr>
        <m:oMath>
          <m:r>
            <w:rPr>
              <w:rFonts w:ascii="Cambria Math" w:hAnsi="Cambria Math"/>
              <w:sz w:val="18"/>
              <w:szCs w:val="18"/>
            </w:rPr>
            <m:t>Demand Reduction</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d>
                <m:dPr>
                  <m:ctrlPr>
                    <w:rPr>
                      <w:rFonts w:ascii="Cambria Math" w:hAnsi="Cambria Math"/>
                      <w:i/>
                      <w:sz w:val="18"/>
                      <w:szCs w:val="18"/>
                    </w:rPr>
                  </m:ctrlPr>
                </m:dPr>
                <m:e>
                  <m:r>
                    <w:rPr>
                      <w:rFonts w:ascii="Cambria Math" w:hAnsi="Cambria Math"/>
                      <w:sz w:val="18"/>
                      <w:szCs w:val="18"/>
                    </w:rPr>
                    <m:t>0.026*1.59-0.026</m:t>
                  </m:r>
                </m:e>
              </m:d>
              <m:r>
                <w:rPr>
                  <w:rFonts w:ascii="Cambria Math" w:hAnsi="Cambria Math"/>
                  <w:sz w:val="18"/>
                  <w:szCs w:val="18"/>
                </w:rPr>
                <m:t>*0.8</m:t>
              </m:r>
            </m:e>
          </m:d>
          <m:r>
            <w:rPr>
              <w:rFonts w:ascii="Cambria Math" w:hAnsi="Cambria Math"/>
              <w:sz w:val="18"/>
              <w:szCs w:val="18"/>
            </w:rPr>
            <m:t>*1.26*0.4=</m:t>
          </m:r>
          <m:r>
            <m:rPr>
              <m:sty m:val="bi"/>
            </m:rPr>
            <w:rPr>
              <w:rFonts w:ascii="Cambria Math" w:hAnsi="Cambria Math"/>
              <w:sz w:val="18"/>
              <w:szCs w:val="18"/>
            </w:rPr>
            <m:t>0.00619 kW</m:t>
          </m:r>
        </m:oMath>
      </m:oMathPara>
    </w:p>
    <w:p w14:paraId="1E095724" w14:textId="77777777" w:rsidR="00F15A73" w:rsidRDefault="00F15A73" w:rsidP="00F15A73">
      <w:pPr>
        <w:pStyle w:val="Reminders"/>
        <w:rPr>
          <w:rFonts w:asciiTheme="minorHAnsi" w:hAnsiTheme="minorHAnsi" w:cstheme="minorHAnsi"/>
          <w:i w:val="0"/>
          <w:szCs w:val="22"/>
        </w:rPr>
      </w:pPr>
    </w:p>
    <w:p w14:paraId="2FD572CF" w14:textId="23958FB7" w:rsidR="00F15A73" w:rsidRPr="00F15A73" w:rsidRDefault="00F15A73" w:rsidP="00F15A73">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See the calculation template (Attachment 1) for all </w:t>
      </w:r>
      <w:r w:rsidR="008602D3">
        <w:rPr>
          <w:rFonts w:asciiTheme="minorHAnsi" w:hAnsiTheme="minorHAnsi" w:cstheme="minorHAnsi"/>
          <w:i w:val="0"/>
          <w:color w:val="auto"/>
          <w:szCs w:val="22"/>
        </w:rPr>
        <w:t>results</w:t>
      </w:r>
      <w:r>
        <w:rPr>
          <w:rFonts w:asciiTheme="minorHAnsi" w:hAnsiTheme="minorHAnsi" w:cstheme="minorHAnsi"/>
          <w:i w:val="0"/>
          <w:color w:val="auto"/>
          <w:szCs w:val="22"/>
        </w:rPr>
        <w:t>.</w:t>
      </w:r>
    </w:p>
    <w:p w14:paraId="229FD6EB" w14:textId="70D3229E" w:rsidR="00E16609" w:rsidRPr="0027229B" w:rsidRDefault="00E16609" w:rsidP="0027229B">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A90695" w:rsidRPr="00500C4E" w14:paraId="1FB64A38" w14:textId="77777777" w:rsidTr="00A90695">
        <w:tc>
          <w:tcPr>
            <w:tcW w:w="1686" w:type="pct"/>
            <w:vAlign w:val="center"/>
          </w:tcPr>
          <w:p w14:paraId="129F9965" w14:textId="694FCB6A" w:rsidR="00A90695" w:rsidRPr="00920905" w:rsidRDefault="00A90695" w:rsidP="00D95A65">
            <w:pPr>
              <w:rPr>
                <w:rFonts w:cstheme="minorHAnsi"/>
                <w:color w:val="FF0000"/>
                <w:szCs w:val="20"/>
              </w:rPr>
            </w:pPr>
            <w:r w:rsidRPr="00181968">
              <w:rPr>
                <w:rFonts w:cstheme="minorHAnsi"/>
                <w:szCs w:val="20"/>
              </w:rPr>
              <w:t>Office - Small</w:t>
            </w:r>
          </w:p>
        </w:tc>
        <w:tc>
          <w:tcPr>
            <w:tcW w:w="1779" w:type="pct"/>
            <w:vMerge w:val="restart"/>
          </w:tcPr>
          <w:p w14:paraId="0FCC70F1" w14:textId="1A10BF99" w:rsidR="00A90695" w:rsidRPr="00D95A65" w:rsidRDefault="00E46D61" w:rsidP="00D95A65">
            <w:pPr>
              <w:rPr>
                <w:rFonts w:cstheme="minorHAnsi"/>
                <w:szCs w:val="20"/>
              </w:rPr>
            </w:pPr>
            <w:proofErr w:type="spellStart"/>
            <w:r>
              <w:rPr>
                <w:rFonts w:cstheme="minorHAnsi"/>
                <w:szCs w:val="20"/>
              </w:rPr>
              <w:t>DEER:Indoor_</w:t>
            </w:r>
            <w:r w:rsidR="00A90695" w:rsidRPr="00D95A65">
              <w:rPr>
                <w:rFonts w:cstheme="minorHAnsi"/>
                <w:szCs w:val="20"/>
              </w:rPr>
              <w:t>CFL_Ltg</w:t>
            </w:r>
            <w:proofErr w:type="spellEnd"/>
          </w:p>
        </w:tc>
        <w:tc>
          <w:tcPr>
            <w:tcW w:w="1535" w:type="pct"/>
            <w:vMerge w:val="restart"/>
          </w:tcPr>
          <w:p w14:paraId="31157856" w14:textId="1C23A475" w:rsidR="00A90695" w:rsidRPr="00D95A65" w:rsidRDefault="00A90695" w:rsidP="008933A5">
            <w:pPr>
              <w:rPr>
                <w:rFonts w:cstheme="minorHAnsi"/>
                <w:szCs w:val="20"/>
              </w:rPr>
            </w:pPr>
            <w:r w:rsidRPr="00D95A65">
              <w:rPr>
                <w:rFonts w:cstheme="minorHAnsi"/>
                <w:szCs w:val="20"/>
              </w:rPr>
              <w:t>NON_RES</w:t>
            </w:r>
          </w:p>
        </w:tc>
      </w:tr>
      <w:tr w:rsidR="00A90695" w:rsidRPr="00500C4E" w14:paraId="2C6692B0" w14:textId="77777777" w:rsidTr="005D7110">
        <w:tc>
          <w:tcPr>
            <w:tcW w:w="1686" w:type="pct"/>
            <w:vAlign w:val="center"/>
          </w:tcPr>
          <w:p w14:paraId="2DBFF811" w14:textId="43C30C0B" w:rsidR="00A90695" w:rsidRPr="00810D90" w:rsidRDefault="00A90695" w:rsidP="00810D90">
            <w:pPr>
              <w:rPr>
                <w:rFonts w:cstheme="minorHAnsi"/>
                <w:szCs w:val="20"/>
              </w:rPr>
            </w:pPr>
            <w:r w:rsidRPr="00181968">
              <w:rPr>
                <w:rFonts w:cstheme="minorHAnsi"/>
                <w:szCs w:val="20"/>
              </w:rPr>
              <w:t>Restaurant - Sit-Down</w:t>
            </w:r>
          </w:p>
        </w:tc>
        <w:tc>
          <w:tcPr>
            <w:tcW w:w="1779" w:type="pct"/>
            <w:vMerge/>
          </w:tcPr>
          <w:p w14:paraId="389C6224" w14:textId="42434A0D" w:rsidR="00A90695" w:rsidRPr="00920905" w:rsidRDefault="00A90695" w:rsidP="00D95A65">
            <w:pPr>
              <w:rPr>
                <w:rFonts w:cstheme="minorHAnsi"/>
                <w:color w:val="FF0000"/>
                <w:szCs w:val="20"/>
              </w:rPr>
            </w:pPr>
          </w:p>
        </w:tc>
        <w:tc>
          <w:tcPr>
            <w:tcW w:w="1535" w:type="pct"/>
            <w:vMerge/>
          </w:tcPr>
          <w:p w14:paraId="626DE13B" w14:textId="0E6F6F4C" w:rsidR="00A90695" w:rsidRPr="00920905" w:rsidRDefault="00A90695" w:rsidP="00D95A65">
            <w:pPr>
              <w:rPr>
                <w:rFonts w:cstheme="minorHAnsi"/>
                <w:color w:val="FF0000"/>
                <w:szCs w:val="20"/>
              </w:rPr>
            </w:pPr>
          </w:p>
        </w:tc>
      </w:tr>
      <w:tr w:rsidR="00A90695" w:rsidRPr="00500C4E" w14:paraId="72BB80FA" w14:textId="77777777" w:rsidTr="005D7110">
        <w:tc>
          <w:tcPr>
            <w:tcW w:w="1686" w:type="pct"/>
            <w:vAlign w:val="center"/>
          </w:tcPr>
          <w:p w14:paraId="1257D591" w14:textId="3B3A6787" w:rsidR="00A90695" w:rsidRPr="00810D90" w:rsidRDefault="00A90695" w:rsidP="00810D90">
            <w:pPr>
              <w:rPr>
                <w:rFonts w:cstheme="minorHAnsi"/>
                <w:szCs w:val="20"/>
              </w:rPr>
            </w:pPr>
            <w:r w:rsidRPr="00181968">
              <w:rPr>
                <w:rFonts w:cstheme="minorHAnsi"/>
                <w:szCs w:val="20"/>
              </w:rPr>
              <w:t>Retail - Small</w:t>
            </w:r>
          </w:p>
        </w:tc>
        <w:tc>
          <w:tcPr>
            <w:tcW w:w="1779" w:type="pct"/>
            <w:vMerge/>
          </w:tcPr>
          <w:p w14:paraId="4EA8D0E0" w14:textId="4D6D8117" w:rsidR="00A90695" w:rsidRPr="00920905" w:rsidRDefault="00A90695" w:rsidP="00D95A65">
            <w:pPr>
              <w:rPr>
                <w:rFonts w:cstheme="minorHAnsi"/>
                <w:color w:val="FF0000"/>
                <w:szCs w:val="20"/>
              </w:rPr>
            </w:pPr>
          </w:p>
        </w:tc>
        <w:tc>
          <w:tcPr>
            <w:tcW w:w="1535" w:type="pct"/>
            <w:vMerge/>
          </w:tcPr>
          <w:p w14:paraId="3D61F9DE" w14:textId="42EE4E08" w:rsidR="00A90695" w:rsidRPr="00920905" w:rsidRDefault="00A90695" w:rsidP="00D95A65">
            <w:pPr>
              <w:rPr>
                <w:rFonts w:cstheme="minorHAnsi"/>
                <w:color w:val="FF0000"/>
                <w:szCs w:val="20"/>
              </w:rPr>
            </w:pPr>
          </w:p>
        </w:tc>
      </w:tr>
      <w:tr w:rsidR="0046426D" w:rsidRPr="00500C4E" w14:paraId="5DF17E6B" w14:textId="77777777" w:rsidTr="005D7110">
        <w:tc>
          <w:tcPr>
            <w:tcW w:w="1686" w:type="pct"/>
            <w:vAlign w:val="center"/>
          </w:tcPr>
          <w:p w14:paraId="7283F562" w14:textId="4CC2E091" w:rsidR="0046426D" w:rsidRDefault="0046426D" w:rsidP="0046426D">
            <w:pPr>
              <w:rPr>
                <w:rFonts w:cstheme="minorHAnsi"/>
                <w:szCs w:val="20"/>
              </w:rPr>
            </w:pPr>
            <w:r>
              <w:rPr>
                <w:rFonts w:cstheme="minorHAnsi"/>
                <w:szCs w:val="20"/>
              </w:rPr>
              <w:t>Residential Single Family</w:t>
            </w:r>
          </w:p>
        </w:tc>
        <w:tc>
          <w:tcPr>
            <w:tcW w:w="1779" w:type="pct"/>
          </w:tcPr>
          <w:p w14:paraId="4B69A484" w14:textId="6B81E7F9" w:rsidR="0046426D" w:rsidRPr="00920905" w:rsidRDefault="00E46D61" w:rsidP="0046426D">
            <w:pPr>
              <w:rPr>
                <w:rFonts w:cstheme="minorHAnsi"/>
                <w:color w:val="FF0000"/>
                <w:szCs w:val="20"/>
              </w:rPr>
            </w:pPr>
            <w:proofErr w:type="spellStart"/>
            <w:r>
              <w:rPr>
                <w:rFonts w:cstheme="minorHAnsi"/>
                <w:szCs w:val="20"/>
              </w:rPr>
              <w:t>DEER:Indoor_</w:t>
            </w:r>
            <w:r w:rsidR="0046426D" w:rsidRPr="00D95A65">
              <w:rPr>
                <w:rFonts w:cstheme="minorHAnsi"/>
                <w:szCs w:val="20"/>
              </w:rPr>
              <w:t>CFL_Ltg</w:t>
            </w:r>
            <w:proofErr w:type="spellEnd"/>
          </w:p>
        </w:tc>
        <w:tc>
          <w:tcPr>
            <w:tcW w:w="1535" w:type="pct"/>
          </w:tcPr>
          <w:p w14:paraId="2ED935CB" w14:textId="0B0CBA54" w:rsidR="0046426D" w:rsidRPr="00920905" w:rsidRDefault="0046426D" w:rsidP="0046426D">
            <w:pPr>
              <w:rPr>
                <w:rFonts w:cstheme="minorHAnsi"/>
                <w:color w:val="FF0000"/>
                <w:szCs w:val="20"/>
              </w:rPr>
            </w:pPr>
            <w:r w:rsidRPr="00D95A65">
              <w:rPr>
                <w:rFonts w:cstheme="minorHAnsi"/>
                <w:szCs w:val="20"/>
              </w:rPr>
              <w:t>RES</w:t>
            </w:r>
          </w:p>
        </w:tc>
      </w:tr>
    </w:tbl>
    <w:p w14:paraId="52C9214C" w14:textId="5A04C955" w:rsidR="005552C3" w:rsidRDefault="00F95E2F" w:rsidP="00920905">
      <w:pPr>
        <w:pStyle w:val="Heading1"/>
      </w:pPr>
      <w:proofErr w:type="gramStart"/>
      <w:r>
        <w:t>Section 4.</w:t>
      </w:r>
      <w:proofErr w:type="gramEnd"/>
      <w:r>
        <w:t xml:space="preserve"> Costs</w:t>
      </w:r>
    </w:p>
    <w:p w14:paraId="66E1979F" w14:textId="1AADCCAA" w:rsidR="006C7CB9" w:rsidRDefault="00E16609" w:rsidP="00C043E0">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0FD92C73" w14:textId="77777777" w:rsidR="00390F9F" w:rsidRDefault="00390F9F" w:rsidP="00390F9F">
      <w:r>
        <w:t xml:space="preserve">The base cost values include material costs for incandescent, CFL and LED lamps based on the mix of technologies given in the CPUC disposition for screw in lamps provided on March 1st, 2017. The disposition uses the following fractions to estimate baseline costs: 50% CFLs, 25% LEDs and 25% incandescent. The base costs for each of the technologies were found in the following ways: </w:t>
      </w:r>
    </w:p>
    <w:p w14:paraId="198AF1A0" w14:textId="77777777" w:rsidR="00390F9F" w:rsidRDefault="00390F9F" w:rsidP="00390F9F"/>
    <w:p w14:paraId="0264434C" w14:textId="58E5A459" w:rsidR="00390F9F" w:rsidRDefault="00390F9F" w:rsidP="0007128C">
      <w:pPr>
        <w:pStyle w:val="ListParagraph"/>
        <w:numPr>
          <w:ilvl w:val="0"/>
          <w:numId w:val="38"/>
        </w:numPr>
      </w:pPr>
      <w:r>
        <w:t xml:space="preserve">CFL Costs: The lamp costs are the same as the measure costs and are from the latest ex ante database through the READI tool v.4.7.1. The CFL costs for the 33W spiral lamp were assumed be equal to the 32W lamp. </w:t>
      </w:r>
    </w:p>
    <w:p w14:paraId="5B76689D" w14:textId="6AAE6458" w:rsidR="00390F9F" w:rsidRDefault="00390F9F" w:rsidP="0007128C">
      <w:pPr>
        <w:pStyle w:val="ListParagraph"/>
        <w:numPr>
          <w:ilvl w:val="0"/>
          <w:numId w:val="38"/>
        </w:numPr>
      </w:pPr>
      <w:r>
        <w:t xml:space="preserve">Incandescent Costs: Baseline incandescent lamp wattage was estimated based on the WRR values provided by the CPUC for each measure. The wattages were placed into bins of common incandescent lamp wattages for each style. A survey of online retailers was used to find the cost for each binned wattage and style. </w:t>
      </w:r>
    </w:p>
    <w:p w14:paraId="68983D1B" w14:textId="33EEC954" w:rsidR="00390F9F" w:rsidRDefault="00390F9F" w:rsidP="0007128C">
      <w:pPr>
        <w:pStyle w:val="ListParagraph"/>
        <w:numPr>
          <w:ilvl w:val="0"/>
          <w:numId w:val="38"/>
        </w:numPr>
      </w:pPr>
      <w:r>
        <w:t xml:space="preserve">LED Costs: A survey of online retailers was also used to find the LED costs. Suitable LED lamp products were estimated using the binned incandescent wattage for each measure, assuming the standard replacement suggested by the online retailer or manufacturer. </w:t>
      </w:r>
    </w:p>
    <w:p w14:paraId="336D1F22" w14:textId="77777777" w:rsidR="00390F9F" w:rsidRDefault="00390F9F" w:rsidP="00390F9F"/>
    <w:p w14:paraId="7C502B85" w14:textId="0AAB9B87" w:rsidR="00390F9F" w:rsidRDefault="00390F9F" w:rsidP="00390F9F">
      <w:r>
        <w:t>These material costs and calcul</w:t>
      </w:r>
      <w:r w:rsidR="00CC1623">
        <w:t>ations are found in Attachment 3</w:t>
      </w:r>
      <w:r>
        <w:t>.</w:t>
      </w:r>
    </w:p>
    <w:p w14:paraId="2AA29B28" w14:textId="77777777" w:rsidR="00390F9F" w:rsidRDefault="00390F9F" w:rsidP="00390F9F"/>
    <w:p w14:paraId="2F8EE76B" w14:textId="7EE63D9A" w:rsidR="00390F9F" w:rsidRDefault="00390F9F" w:rsidP="0007128C">
      <w:r>
        <w:t xml:space="preserve">Labor cost is from </w:t>
      </w:r>
      <w:proofErr w:type="gramStart"/>
      <w:r>
        <w:t>WO017[</w:t>
      </w:r>
      <w:proofErr w:type="gramEnd"/>
      <w:r>
        <w:t>475]. In WO017, the labor cost for a CFL A-Lamp or Twister is 0.08 hours at an hourly rate of $72.26/hour, totaling $5.75. There were no miscellaneous costs involved.</w:t>
      </w:r>
    </w:p>
    <w:p w14:paraId="61D63CB2" w14:textId="77777777" w:rsidR="00390F9F" w:rsidRPr="00436D41" w:rsidRDefault="00390F9F" w:rsidP="0007128C"/>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
        <w:gridCol w:w="2077"/>
        <w:gridCol w:w="4320"/>
        <w:gridCol w:w="1171"/>
        <w:gridCol w:w="1014"/>
      </w:tblGrid>
      <w:tr w:rsidR="00D31890" w:rsidRPr="000658F6" w14:paraId="7F5D19BA" w14:textId="32F6278E" w:rsidTr="0007128C">
        <w:trPr>
          <w:trHeight w:val="260"/>
        </w:trPr>
        <w:tc>
          <w:tcPr>
            <w:tcW w:w="522" w:type="pct"/>
            <w:shd w:val="clear" w:color="auto" w:fill="D9D9D9" w:themeFill="background1" w:themeFillShade="D9"/>
            <w:hideMark/>
          </w:tcPr>
          <w:p w14:paraId="0A02D45D" w14:textId="12C6533D" w:rsidR="00F4456B" w:rsidRPr="000658F6" w:rsidRDefault="00FA63EC" w:rsidP="00F4456B">
            <w:pPr>
              <w:rPr>
                <w:b/>
                <w:bCs/>
                <w:color w:val="000000"/>
                <w:sz w:val="20"/>
                <w:szCs w:val="20"/>
              </w:rPr>
            </w:pPr>
            <w:r w:rsidRPr="000658F6">
              <w:rPr>
                <w:b/>
                <w:bCs/>
                <w:color w:val="000000"/>
                <w:sz w:val="20"/>
                <w:szCs w:val="20"/>
              </w:rPr>
              <w:t xml:space="preserve">Measure </w:t>
            </w:r>
            <w:r w:rsidR="00F4456B" w:rsidRPr="000658F6">
              <w:rPr>
                <w:b/>
                <w:bCs/>
                <w:color w:val="000000"/>
                <w:sz w:val="20"/>
                <w:szCs w:val="20"/>
              </w:rPr>
              <w:t>Code</w:t>
            </w:r>
          </w:p>
        </w:tc>
        <w:tc>
          <w:tcPr>
            <w:tcW w:w="1084" w:type="pct"/>
            <w:shd w:val="clear" w:color="auto" w:fill="D9D9D9" w:themeFill="background1" w:themeFillShade="D9"/>
          </w:tcPr>
          <w:p w14:paraId="64E0FE8D" w14:textId="1A501F85" w:rsidR="00F4456B" w:rsidRPr="000658F6" w:rsidRDefault="00F4456B" w:rsidP="00F4456B">
            <w:pPr>
              <w:rPr>
                <w:rFonts w:ascii="Calibri" w:hAnsi="Calibri"/>
                <w:b/>
                <w:bCs/>
                <w:color w:val="000000"/>
                <w:sz w:val="20"/>
                <w:szCs w:val="20"/>
              </w:rPr>
            </w:pPr>
            <w:proofErr w:type="spellStart"/>
            <w:r w:rsidRPr="000658F6">
              <w:rPr>
                <w:rFonts w:ascii="Calibri" w:hAnsi="Calibri"/>
                <w:b/>
                <w:bCs/>
                <w:color w:val="000000"/>
                <w:sz w:val="20"/>
                <w:szCs w:val="20"/>
              </w:rPr>
              <w:t>CostID</w:t>
            </w:r>
            <w:proofErr w:type="spellEnd"/>
          </w:p>
        </w:tc>
        <w:tc>
          <w:tcPr>
            <w:tcW w:w="2254" w:type="pct"/>
            <w:shd w:val="clear" w:color="auto" w:fill="D9D9D9" w:themeFill="background1" w:themeFillShade="D9"/>
          </w:tcPr>
          <w:p w14:paraId="050BFA07" w14:textId="368E443F" w:rsidR="00F4456B" w:rsidRPr="000658F6" w:rsidRDefault="005B792E" w:rsidP="00F4456B">
            <w:pPr>
              <w:rPr>
                <w:rFonts w:ascii="Calibri" w:hAnsi="Calibri"/>
                <w:b/>
                <w:bCs/>
                <w:color w:val="000000"/>
                <w:sz w:val="20"/>
                <w:szCs w:val="20"/>
              </w:rPr>
            </w:pPr>
            <w:r w:rsidRPr="000658F6">
              <w:rPr>
                <w:rFonts w:ascii="Calibri" w:hAnsi="Calibri"/>
                <w:b/>
                <w:bCs/>
                <w:color w:val="000000"/>
                <w:sz w:val="20"/>
                <w:szCs w:val="20"/>
              </w:rPr>
              <w:t>Description</w:t>
            </w:r>
          </w:p>
        </w:tc>
        <w:tc>
          <w:tcPr>
            <w:tcW w:w="611" w:type="pct"/>
            <w:shd w:val="clear" w:color="auto" w:fill="D9D9D9" w:themeFill="background1" w:themeFillShade="D9"/>
          </w:tcPr>
          <w:p w14:paraId="43E9831A" w14:textId="07A57B62" w:rsidR="00F4456B" w:rsidRPr="000658F6" w:rsidRDefault="006E769F" w:rsidP="00F4456B">
            <w:pPr>
              <w:rPr>
                <w:rFonts w:ascii="Calibri" w:hAnsi="Calibri"/>
                <w:b/>
                <w:bCs/>
                <w:color w:val="000000"/>
                <w:sz w:val="20"/>
                <w:szCs w:val="20"/>
              </w:rPr>
            </w:pPr>
            <w:r w:rsidRPr="000658F6">
              <w:rPr>
                <w:rFonts w:ascii="Calibri" w:hAnsi="Calibri"/>
                <w:b/>
                <w:bCs/>
                <w:color w:val="000000"/>
                <w:sz w:val="20"/>
                <w:szCs w:val="20"/>
              </w:rPr>
              <w:t>Equipment</w:t>
            </w:r>
            <w:r w:rsidR="00F4456B" w:rsidRPr="000658F6">
              <w:rPr>
                <w:rFonts w:ascii="Calibri" w:hAnsi="Calibri"/>
                <w:b/>
                <w:bCs/>
                <w:color w:val="000000"/>
                <w:sz w:val="20"/>
                <w:szCs w:val="20"/>
              </w:rPr>
              <w:t xml:space="preserve"> Cost</w:t>
            </w:r>
          </w:p>
        </w:tc>
        <w:tc>
          <w:tcPr>
            <w:tcW w:w="529" w:type="pct"/>
            <w:shd w:val="clear" w:color="auto" w:fill="D9D9D9" w:themeFill="background1" w:themeFillShade="D9"/>
          </w:tcPr>
          <w:p w14:paraId="285834D3" w14:textId="214A68C8" w:rsidR="00F4456B" w:rsidRPr="000658F6" w:rsidRDefault="00F4456B" w:rsidP="00F4456B">
            <w:pPr>
              <w:rPr>
                <w:b/>
                <w:bCs/>
                <w:color w:val="000000"/>
                <w:sz w:val="20"/>
                <w:szCs w:val="20"/>
              </w:rPr>
            </w:pPr>
            <w:r w:rsidRPr="000658F6">
              <w:rPr>
                <w:rFonts w:ascii="Calibri" w:hAnsi="Calibri"/>
                <w:b/>
                <w:bCs/>
                <w:color w:val="000000"/>
                <w:sz w:val="20"/>
                <w:szCs w:val="20"/>
              </w:rPr>
              <w:t xml:space="preserve">Labor + </w:t>
            </w:r>
            <w:proofErr w:type="spellStart"/>
            <w:r w:rsidRPr="000658F6">
              <w:rPr>
                <w:rFonts w:ascii="Calibri" w:hAnsi="Calibri"/>
                <w:b/>
                <w:bCs/>
                <w:color w:val="000000"/>
                <w:sz w:val="20"/>
                <w:szCs w:val="20"/>
              </w:rPr>
              <w:t>Misc</w:t>
            </w:r>
            <w:proofErr w:type="spellEnd"/>
            <w:r w:rsidRPr="000658F6">
              <w:rPr>
                <w:rFonts w:ascii="Calibri" w:hAnsi="Calibri"/>
                <w:b/>
                <w:bCs/>
                <w:color w:val="000000"/>
                <w:sz w:val="20"/>
                <w:szCs w:val="20"/>
              </w:rPr>
              <w:t xml:space="preserve"> Cost</w:t>
            </w:r>
          </w:p>
        </w:tc>
      </w:tr>
      <w:tr w:rsidR="00442820" w:rsidRPr="000658F6" w14:paraId="72D6861C" w14:textId="268C31DC" w:rsidTr="0007128C">
        <w:tc>
          <w:tcPr>
            <w:tcW w:w="522" w:type="pct"/>
            <w:shd w:val="clear" w:color="auto" w:fill="auto"/>
            <w:noWrap/>
          </w:tcPr>
          <w:p w14:paraId="6C28F1B5" w14:textId="0ED60431" w:rsidR="00442820" w:rsidRPr="002A7614" w:rsidRDefault="00442820">
            <w:pPr>
              <w:rPr>
                <w:sz w:val="20"/>
                <w:szCs w:val="20"/>
              </w:rPr>
            </w:pPr>
            <w:r w:rsidRPr="0007128C">
              <w:rPr>
                <w:sz w:val="20"/>
                <w:szCs w:val="20"/>
              </w:rPr>
              <w:t>LT-67349</w:t>
            </w:r>
          </w:p>
        </w:tc>
        <w:tc>
          <w:tcPr>
            <w:tcW w:w="1084" w:type="pct"/>
          </w:tcPr>
          <w:p w14:paraId="567A5617" w14:textId="38519086"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_B001</w:t>
            </w:r>
          </w:p>
        </w:tc>
        <w:tc>
          <w:tcPr>
            <w:tcW w:w="2254" w:type="pct"/>
            <w:shd w:val="clear" w:color="auto" w:fill="auto"/>
          </w:tcPr>
          <w:p w14:paraId="60DBB70F" w14:textId="39BF5ABD" w:rsidR="00442820" w:rsidRPr="002A7614" w:rsidRDefault="00442820">
            <w:pPr>
              <w:rPr>
                <w:color w:val="000000"/>
                <w:sz w:val="20"/>
                <w:szCs w:val="20"/>
              </w:rPr>
            </w:pPr>
            <w:r w:rsidRPr="0007128C">
              <w:rPr>
                <w:sz w:val="20"/>
                <w:szCs w:val="20"/>
              </w:rPr>
              <w:t>Base case cost for mix of 50% CFL, 25% LED and 25% Incandescent</w:t>
            </w:r>
          </w:p>
        </w:tc>
        <w:tc>
          <w:tcPr>
            <w:tcW w:w="611" w:type="pct"/>
          </w:tcPr>
          <w:p w14:paraId="59DEA323" w14:textId="52732D41" w:rsidR="00442820" w:rsidRPr="00442820" w:rsidRDefault="00442820">
            <w:pPr>
              <w:rPr>
                <w:rFonts w:ascii="Calibri" w:hAnsi="Calibri"/>
                <w:color w:val="000000"/>
                <w:sz w:val="20"/>
                <w:szCs w:val="20"/>
              </w:rPr>
            </w:pPr>
            <w:r w:rsidRPr="00442820">
              <w:rPr>
                <w:rFonts w:ascii="Calibri" w:hAnsi="Calibri"/>
                <w:color w:val="000000"/>
                <w:sz w:val="20"/>
                <w:szCs w:val="20"/>
              </w:rPr>
              <w:t>$10.48</w:t>
            </w:r>
          </w:p>
        </w:tc>
        <w:tc>
          <w:tcPr>
            <w:tcW w:w="529" w:type="pct"/>
          </w:tcPr>
          <w:p w14:paraId="6B618D73" w14:textId="0FBEB7C7" w:rsidR="00442820" w:rsidRPr="002A7614" w:rsidRDefault="00442820">
            <w:pPr>
              <w:rPr>
                <w:sz w:val="20"/>
                <w:szCs w:val="20"/>
              </w:rPr>
            </w:pPr>
            <w:r w:rsidRPr="002A7614">
              <w:rPr>
                <w:rFonts w:ascii="Calibri" w:hAnsi="Calibri"/>
                <w:color w:val="000000"/>
                <w:sz w:val="20"/>
                <w:szCs w:val="20"/>
              </w:rPr>
              <w:t>$5.75</w:t>
            </w:r>
          </w:p>
        </w:tc>
      </w:tr>
      <w:tr w:rsidR="00442820" w:rsidRPr="000658F6" w14:paraId="1B01908A" w14:textId="77777777" w:rsidTr="0007128C">
        <w:tc>
          <w:tcPr>
            <w:tcW w:w="522" w:type="pct"/>
            <w:shd w:val="clear" w:color="auto" w:fill="auto"/>
            <w:noWrap/>
          </w:tcPr>
          <w:p w14:paraId="31B6DD6B" w14:textId="3B3A0D75" w:rsidR="00442820" w:rsidRPr="002A7614" w:rsidRDefault="00442820">
            <w:pPr>
              <w:rPr>
                <w:rFonts w:ascii="Calibri" w:hAnsi="Calibri"/>
                <w:color w:val="000000"/>
                <w:sz w:val="20"/>
                <w:szCs w:val="20"/>
              </w:rPr>
            </w:pPr>
            <w:r w:rsidRPr="0007128C">
              <w:rPr>
                <w:sz w:val="20"/>
                <w:szCs w:val="20"/>
              </w:rPr>
              <w:t>LT-69524</w:t>
            </w:r>
          </w:p>
        </w:tc>
        <w:tc>
          <w:tcPr>
            <w:tcW w:w="1084" w:type="pct"/>
          </w:tcPr>
          <w:p w14:paraId="4F5915D5" w14:textId="0763EA91"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_B002</w:t>
            </w:r>
          </w:p>
        </w:tc>
        <w:tc>
          <w:tcPr>
            <w:tcW w:w="2254" w:type="pct"/>
            <w:shd w:val="clear" w:color="auto" w:fill="auto"/>
          </w:tcPr>
          <w:p w14:paraId="27A75C8E" w14:textId="39C43DDA"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5A9674B3" w14:textId="258C767E" w:rsidR="00442820" w:rsidRPr="002A7614" w:rsidRDefault="00442820">
            <w:pPr>
              <w:rPr>
                <w:rFonts w:ascii="Calibri" w:hAnsi="Calibri"/>
                <w:color w:val="000000"/>
                <w:sz w:val="20"/>
                <w:szCs w:val="20"/>
              </w:rPr>
            </w:pPr>
            <w:r w:rsidRPr="00442820">
              <w:rPr>
                <w:rFonts w:ascii="Calibri" w:hAnsi="Calibri"/>
                <w:color w:val="000000"/>
                <w:sz w:val="20"/>
                <w:szCs w:val="20"/>
              </w:rPr>
              <w:t>$10.72</w:t>
            </w:r>
          </w:p>
        </w:tc>
        <w:tc>
          <w:tcPr>
            <w:tcW w:w="529" w:type="pct"/>
          </w:tcPr>
          <w:p w14:paraId="5907CAF2" w14:textId="4C041B6C" w:rsidR="00442820" w:rsidRPr="002A7614" w:rsidRDefault="00442820">
            <w:pPr>
              <w:rPr>
                <w:rFonts w:ascii="Calibri" w:hAnsi="Calibri"/>
                <w:color w:val="000000"/>
                <w:sz w:val="20"/>
                <w:szCs w:val="20"/>
              </w:rPr>
            </w:pPr>
            <w:r w:rsidRPr="002A7614">
              <w:rPr>
                <w:rFonts w:ascii="Calibri" w:hAnsi="Calibri"/>
                <w:color w:val="000000"/>
                <w:sz w:val="20"/>
                <w:szCs w:val="20"/>
              </w:rPr>
              <w:t>$5.75</w:t>
            </w:r>
          </w:p>
        </w:tc>
      </w:tr>
      <w:tr w:rsidR="00442820" w:rsidRPr="000658F6" w14:paraId="55891E34" w14:textId="77777777" w:rsidTr="0007128C">
        <w:tc>
          <w:tcPr>
            <w:tcW w:w="522" w:type="pct"/>
            <w:shd w:val="clear" w:color="auto" w:fill="auto"/>
            <w:noWrap/>
          </w:tcPr>
          <w:p w14:paraId="643274B1" w14:textId="77872E13" w:rsidR="00442820" w:rsidRPr="002A7614" w:rsidRDefault="00442820">
            <w:pPr>
              <w:rPr>
                <w:rFonts w:ascii="Calibri" w:hAnsi="Calibri"/>
                <w:color w:val="000000"/>
                <w:sz w:val="20"/>
                <w:szCs w:val="20"/>
              </w:rPr>
            </w:pPr>
            <w:r w:rsidRPr="0007128C">
              <w:rPr>
                <w:sz w:val="20"/>
                <w:szCs w:val="20"/>
              </w:rPr>
              <w:t>LT-72839</w:t>
            </w:r>
          </w:p>
        </w:tc>
        <w:tc>
          <w:tcPr>
            <w:tcW w:w="1084" w:type="pct"/>
          </w:tcPr>
          <w:p w14:paraId="7EB38602" w14:textId="3F225303"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_B003</w:t>
            </w:r>
          </w:p>
        </w:tc>
        <w:tc>
          <w:tcPr>
            <w:tcW w:w="2254" w:type="pct"/>
            <w:shd w:val="clear" w:color="auto" w:fill="auto"/>
          </w:tcPr>
          <w:p w14:paraId="48290784" w14:textId="3CA178FD"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6912387B" w14:textId="6363D2C0" w:rsidR="00442820" w:rsidRPr="002A7614" w:rsidRDefault="00442820" w:rsidP="0059380E">
            <w:pPr>
              <w:rPr>
                <w:rFonts w:ascii="Calibri" w:hAnsi="Calibri"/>
                <w:color w:val="000000"/>
                <w:sz w:val="20"/>
                <w:szCs w:val="20"/>
              </w:rPr>
            </w:pPr>
            <w:r w:rsidRPr="00442820">
              <w:rPr>
                <w:rFonts w:ascii="Calibri" w:hAnsi="Calibri"/>
                <w:color w:val="000000"/>
                <w:sz w:val="20"/>
                <w:szCs w:val="20"/>
              </w:rPr>
              <w:t>$11.71</w:t>
            </w:r>
          </w:p>
        </w:tc>
        <w:tc>
          <w:tcPr>
            <w:tcW w:w="529" w:type="pct"/>
          </w:tcPr>
          <w:p w14:paraId="7B0DA53D" w14:textId="549CD7FF" w:rsidR="00442820" w:rsidRPr="002A7614" w:rsidRDefault="00442820">
            <w:pPr>
              <w:rPr>
                <w:rFonts w:ascii="Calibri" w:hAnsi="Calibri"/>
                <w:color w:val="000000"/>
                <w:sz w:val="20"/>
                <w:szCs w:val="20"/>
              </w:rPr>
            </w:pPr>
            <w:r w:rsidRPr="002A7614">
              <w:rPr>
                <w:rFonts w:ascii="Calibri" w:hAnsi="Calibri"/>
                <w:color w:val="000000"/>
                <w:sz w:val="20"/>
                <w:szCs w:val="20"/>
              </w:rPr>
              <w:t>$5.75</w:t>
            </w:r>
          </w:p>
        </w:tc>
      </w:tr>
      <w:tr w:rsidR="00442820" w:rsidRPr="000658F6" w14:paraId="7A7B4983" w14:textId="77777777" w:rsidTr="0007128C">
        <w:tc>
          <w:tcPr>
            <w:tcW w:w="522" w:type="pct"/>
            <w:shd w:val="clear" w:color="auto" w:fill="auto"/>
            <w:noWrap/>
          </w:tcPr>
          <w:p w14:paraId="04BAF160" w14:textId="267088A5" w:rsidR="00442820" w:rsidRPr="002A7614" w:rsidRDefault="00442820">
            <w:pPr>
              <w:rPr>
                <w:rFonts w:ascii="Calibri" w:hAnsi="Calibri"/>
                <w:color w:val="000000"/>
                <w:sz w:val="20"/>
                <w:szCs w:val="20"/>
              </w:rPr>
            </w:pPr>
            <w:r w:rsidRPr="0007128C">
              <w:rPr>
                <w:sz w:val="20"/>
                <w:szCs w:val="20"/>
              </w:rPr>
              <w:t>LT-18899</w:t>
            </w:r>
          </w:p>
        </w:tc>
        <w:tc>
          <w:tcPr>
            <w:tcW w:w="1084" w:type="pct"/>
          </w:tcPr>
          <w:p w14:paraId="12CAA334" w14:textId="4301E062"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_B004</w:t>
            </w:r>
          </w:p>
        </w:tc>
        <w:tc>
          <w:tcPr>
            <w:tcW w:w="2254" w:type="pct"/>
            <w:shd w:val="clear" w:color="auto" w:fill="auto"/>
          </w:tcPr>
          <w:p w14:paraId="02E3C5A1" w14:textId="3A09F9ED"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77216CC1" w14:textId="114BABC3" w:rsidR="00442820" w:rsidRPr="002A7614" w:rsidRDefault="00442820">
            <w:pPr>
              <w:rPr>
                <w:rFonts w:ascii="Calibri" w:hAnsi="Calibri"/>
                <w:color w:val="000000"/>
                <w:sz w:val="20"/>
                <w:szCs w:val="20"/>
              </w:rPr>
            </w:pPr>
            <w:r w:rsidRPr="00442820">
              <w:rPr>
                <w:rFonts w:ascii="Calibri" w:hAnsi="Calibri"/>
                <w:color w:val="000000"/>
                <w:sz w:val="20"/>
                <w:szCs w:val="20"/>
              </w:rPr>
              <w:t>$11.71</w:t>
            </w:r>
          </w:p>
        </w:tc>
        <w:tc>
          <w:tcPr>
            <w:tcW w:w="529" w:type="pct"/>
          </w:tcPr>
          <w:p w14:paraId="58561BF4" w14:textId="12D17112" w:rsidR="00442820" w:rsidRPr="002A7614" w:rsidRDefault="00442820">
            <w:pPr>
              <w:rPr>
                <w:rFonts w:ascii="Calibri" w:hAnsi="Calibri"/>
                <w:color w:val="000000"/>
                <w:sz w:val="20"/>
                <w:szCs w:val="20"/>
              </w:rPr>
            </w:pPr>
            <w:r w:rsidRPr="002A7614">
              <w:rPr>
                <w:rFonts w:ascii="Calibri" w:hAnsi="Calibri"/>
                <w:color w:val="000000"/>
                <w:sz w:val="20"/>
                <w:szCs w:val="20"/>
              </w:rPr>
              <w:t>$5.75</w:t>
            </w:r>
          </w:p>
        </w:tc>
      </w:tr>
      <w:tr w:rsidR="00442820" w:rsidRPr="000658F6" w14:paraId="2A1E44C4" w14:textId="77777777" w:rsidTr="0007128C">
        <w:tc>
          <w:tcPr>
            <w:tcW w:w="522" w:type="pct"/>
            <w:shd w:val="clear" w:color="auto" w:fill="auto"/>
            <w:noWrap/>
          </w:tcPr>
          <w:p w14:paraId="22FC0773" w14:textId="5DC7438A" w:rsidR="00442820" w:rsidRPr="002A7614" w:rsidRDefault="00442820">
            <w:pPr>
              <w:rPr>
                <w:rFonts w:ascii="Calibri" w:hAnsi="Calibri"/>
                <w:color w:val="000000"/>
                <w:sz w:val="20"/>
                <w:szCs w:val="20"/>
              </w:rPr>
            </w:pPr>
            <w:r w:rsidRPr="0007128C">
              <w:rPr>
                <w:sz w:val="20"/>
                <w:szCs w:val="20"/>
              </w:rPr>
              <w:t>LT-82135</w:t>
            </w:r>
          </w:p>
        </w:tc>
        <w:tc>
          <w:tcPr>
            <w:tcW w:w="1084" w:type="pct"/>
          </w:tcPr>
          <w:p w14:paraId="39B67A41" w14:textId="30317022"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_B001</w:t>
            </w:r>
          </w:p>
        </w:tc>
        <w:tc>
          <w:tcPr>
            <w:tcW w:w="2254" w:type="pct"/>
            <w:shd w:val="clear" w:color="auto" w:fill="auto"/>
          </w:tcPr>
          <w:p w14:paraId="287CE149" w14:textId="73A78E08"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59DB86E8" w14:textId="3A3D4600" w:rsidR="00442820" w:rsidRPr="002A7614" w:rsidRDefault="00442820">
            <w:pPr>
              <w:rPr>
                <w:rFonts w:ascii="Calibri" w:hAnsi="Calibri"/>
                <w:color w:val="000000"/>
                <w:sz w:val="20"/>
                <w:szCs w:val="20"/>
              </w:rPr>
            </w:pPr>
            <w:r w:rsidRPr="00442820">
              <w:rPr>
                <w:rFonts w:ascii="Calibri" w:hAnsi="Calibri"/>
                <w:color w:val="000000"/>
                <w:sz w:val="20"/>
                <w:szCs w:val="20"/>
              </w:rPr>
              <w:t>$10.48</w:t>
            </w:r>
          </w:p>
        </w:tc>
        <w:tc>
          <w:tcPr>
            <w:tcW w:w="529" w:type="pct"/>
          </w:tcPr>
          <w:p w14:paraId="55D366DE" w14:textId="4EB3C82C" w:rsidR="00442820" w:rsidRPr="002A7614" w:rsidRDefault="00442820">
            <w:pPr>
              <w:rPr>
                <w:rFonts w:ascii="Calibri" w:hAnsi="Calibri"/>
                <w:color w:val="000000"/>
                <w:sz w:val="20"/>
                <w:szCs w:val="20"/>
              </w:rPr>
            </w:pPr>
            <w:r w:rsidRPr="002A7614">
              <w:rPr>
                <w:rFonts w:ascii="Calibri" w:hAnsi="Calibri"/>
                <w:color w:val="000000"/>
                <w:sz w:val="20"/>
                <w:szCs w:val="20"/>
              </w:rPr>
              <w:t>$5.75</w:t>
            </w:r>
          </w:p>
        </w:tc>
      </w:tr>
      <w:tr w:rsidR="00442820" w:rsidRPr="000658F6" w14:paraId="30C7635E" w14:textId="77777777" w:rsidTr="0007128C">
        <w:tc>
          <w:tcPr>
            <w:tcW w:w="522" w:type="pct"/>
            <w:shd w:val="clear" w:color="auto" w:fill="auto"/>
            <w:noWrap/>
          </w:tcPr>
          <w:p w14:paraId="4C22025E" w14:textId="7EC2CDD4" w:rsidR="00442820" w:rsidRPr="002A7614" w:rsidRDefault="00442820">
            <w:pPr>
              <w:rPr>
                <w:rFonts w:ascii="Calibri" w:hAnsi="Calibri"/>
                <w:color w:val="000000"/>
                <w:sz w:val="20"/>
                <w:szCs w:val="20"/>
              </w:rPr>
            </w:pPr>
            <w:r w:rsidRPr="0007128C">
              <w:rPr>
                <w:sz w:val="20"/>
                <w:szCs w:val="20"/>
              </w:rPr>
              <w:t>LT-77992</w:t>
            </w:r>
          </w:p>
        </w:tc>
        <w:tc>
          <w:tcPr>
            <w:tcW w:w="1084" w:type="pct"/>
          </w:tcPr>
          <w:p w14:paraId="4FC1ABA3" w14:textId="6C586B47" w:rsidR="00442820" w:rsidRPr="002A7614" w:rsidRDefault="00442820" w:rsidP="0007128C">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_B002</w:t>
            </w:r>
          </w:p>
        </w:tc>
        <w:tc>
          <w:tcPr>
            <w:tcW w:w="2254" w:type="pct"/>
            <w:shd w:val="clear" w:color="auto" w:fill="auto"/>
          </w:tcPr>
          <w:p w14:paraId="53E25DBC" w14:textId="17186481"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2E32E71D" w14:textId="0972E24A" w:rsidR="00442820" w:rsidRPr="002A7614" w:rsidRDefault="00442820">
            <w:pPr>
              <w:rPr>
                <w:rFonts w:ascii="Calibri" w:hAnsi="Calibri"/>
                <w:color w:val="000000"/>
                <w:sz w:val="20"/>
                <w:szCs w:val="20"/>
              </w:rPr>
            </w:pPr>
            <w:r w:rsidRPr="00442820">
              <w:rPr>
                <w:rFonts w:ascii="Calibri" w:hAnsi="Calibri"/>
                <w:color w:val="000000"/>
                <w:sz w:val="20"/>
                <w:szCs w:val="20"/>
              </w:rPr>
              <w:t>$10.72</w:t>
            </w:r>
          </w:p>
        </w:tc>
        <w:tc>
          <w:tcPr>
            <w:tcW w:w="529" w:type="pct"/>
          </w:tcPr>
          <w:p w14:paraId="71D91A00" w14:textId="55DA3C77" w:rsidR="00442820" w:rsidRPr="002A7614" w:rsidRDefault="00442820">
            <w:pPr>
              <w:rPr>
                <w:rFonts w:ascii="Calibri" w:hAnsi="Calibri"/>
                <w:color w:val="000000"/>
                <w:sz w:val="20"/>
                <w:szCs w:val="20"/>
              </w:rPr>
            </w:pPr>
            <w:r w:rsidRPr="0007128C">
              <w:rPr>
                <w:sz w:val="20"/>
                <w:szCs w:val="20"/>
              </w:rPr>
              <w:t>$5.75</w:t>
            </w:r>
          </w:p>
        </w:tc>
      </w:tr>
      <w:tr w:rsidR="00442820" w:rsidRPr="000658F6" w14:paraId="5E2EA5A4" w14:textId="77777777" w:rsidTr="0007128C">
        <w:tc>
          <w:tcPr>
            <w:tcW w:w="522" w:type="pct"/>
            <w:shd w:val="clear" w:color="auto" w:fill="auto"/>
            <w:noWrap/>
          </w:tcPr>
          <w:p w14:paraId="286D6C95" w14:textId="76185096" w:rsidR="00442820" w:rsidRPr="002A7614" w:rsidRDefault="00442820">
            <w:pPr>
              <w:rPr>
                <w:rFonts w:ascii="Calibri" w:hAnsi="Calibri"/>
                <w:color w:val="000000"/>
                <w:sz w:val="20"/>
                <w:szCs w:val="20"/>
              </w:rPr>
            </w:pPr>
            <w:r w:rsidRPr="0007128C">
              <w:rPr>
                <w:sz w:val="20"/>
                <w:szCs w:val="20"/>
              </w:rPr>
              <w:t>LT-66979</w:t>
            </w:r>
          </w:p>
        </w:tc>
        <w:tc>
          <w:tcPr>
            <w:tcW w:w="1084" w:type="pct"/>
          </w:tcPr>
          <w:p w14:paraId="08EB5C42" w14:textId="15B572C7"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_B003</w:t>
            </w:r>
          </w:p>
        </w:tc>
        <w:tc>
          <w:tcPr>
            <w:tcW w:w="2254" w:type="pct"/>
            <w:shd w:val="clear" w:color="auto" w:fill="auto"/>
          </w:tcPr>
          <w:p w14:paraId="483F186F" w14:textId="6D010007"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3799269A" w14:textId="52A367CB" w:rsidR="00442820" w:rsidRPr="002A7614" w:rsidRDefault="00442820" w:rsidP="0059380E">
            <w:pPr>
              <w:rPr>
                <w:rFonts w:ascii="Calibri" w:hAnsi="Calibri"/>
                <w:color w:val="000000"/>
                <w:sz w:val="20"/>
                <w:szCs w:val="20"/>
              </w:rPr>
            </w:pPr>
            <w:r w:rsidRPr="00442820">
              <w:rPr>
                <w:rFonts w:ascii="Calibri" w:hAnsi="Calibri"/>
                <w:color w:val="000000"/>
                <w:sz w:val="20"/>
                <w:szCs w:val="20"/>
              </w:rPr>
              <w:t>$11.71</w:t>
            </w:r>
          </w:p>
        </w:tc>
        <w:tc>
          <w:tcPr>
            <w:tcW w:w="529" w:type="pct"/>
          </w:tcPr>
          <w:p w14:paraId="096AB857" w14:textId="6D853EC5" w:rsidR="00442820" w:rsidRPr="002A7614" w:rsidRDefault="00442820">
            <w:pPr>
              <w:rPr>
                <w:rFonts w:ascii="Calibri" w:hAnsi="Calibri"/>
                <w:color w:val="000000"/>
                <w:sz w:val="20"/>
                <w:szCs w:val="20"/>
              </w:rPr>
            </w:pPr>
            <w:r w:rsidRPr="002A7614">
              <w:rPr>
                <w:rFonts w:ascii="Calibri" w:hAnsi="Calibri"/>
                <w:color w:val="000000"/>
                <w:sz w:val="20"/>
                <w:szCs w:val="20"/>
              </w:rPr>
              <w:t>$5.75</w:t>
            </w:r>
          </w:p>
        </w:tc>
      </w:tr>
      <w:tr w:rsidR="00442820" w:rsidRPr="000658F6" w14:paraId="17ACA331" w14:textId="77777777" w:rsidTr="0007128C">
        <w:tc>
          <w:tcPr>
            <w:tcW w:w="522" w:type="pct"/>
            <w:shd w:val="clear" w:color="auto" w:fill="auto"/>
            <w:noWrap/>
          </w:tcPr>
          <w:p w14:paraId="412588D8" w14:textId="5995AE51" w:rsidR="00442820" w:rsidRPr="002A7614" w:rsidRDefault="00442820">
            <w:pPr>
              <w:rPr>
                <w:rFonts w:ascii="Calibri" w:hAnsi="Calibri"/>
                <w:color w:val="000000"/>
                <w:sz w:val="20"/>
                <w:szCs w:val="20"/>
              </w:rPr>
            </w:pPr>
            <w:r w:rsidRPr="0007128C">
              <w:rPr>
                <w:sz w:val="20"/>
                <w:szCs w:val="20"/>
              </w:rPr>
              <w:t>LT-18900</w:t>
            </w:r>
          </w:p>
        </w:tc>
        <w:tc>
          <w:tcPr>
            <w:tcW w:w="1084" w:type="pct"/>
          </w:tcPr>
          <w:p w14:paraId="57FFA69A" w14:textId="562FA148" w:rsidR="00442820" w:rsidRPr="002A7614" w:rsidRDefault="00442820">
            <w:pPr>
              <w:rPr>
                <w:rFonts w:ascii="Calibri" w:hAnsi="Calibri"/>
                <w:color w:val="000000"/>
                <w:sz w:val="20"/>
                <w:szCs w:val="20"/>
              </w:rPr>
            </w:pPr>
            <w:r w:rsidRPr="0007128C">
              <w:rPr>
                <w:rFonts w:ascii="Calibri" w:hAnsi="Calibri"/>
                <w:color w:val="000000"/>
                <w:sz w:val="20"/>
                <w:szCs w:val="20"/>
              </w:rPr>
              <w:t>SCE17LG072_0</w:t>
            </w:r>
            <w:r>
              <w:rPr>
                <w:rFonts w:ascii="Calibri" w:hAnsi="Calibri"/>
                <w:color w:val="000000"/>
                <w:sz w:val="20"/>
                <w:szCs w:val="20"/>
              </w:rPr>
              <w:t>1</w:t>
            </w:r>
            <w:r w:rsidRPr="0007128C">
              <w:rPr>
                <w:rFonts w:ascii="Calibri" w:hAnsi="Calibri"/>
                <w:color w:val="000000"/>
                <w:sz w:val="20"/>
                <w:szCs w:val="20"/>
              </w:rPr>
              <w:t>_B004</w:t>
            </w:r>
          </w:p>
        </w:tc>
        <w:tc>
          <w:tcPr>
            <w:tcW w:w="2254" w:type="pct"/>
            <w:shd w:val="clear" w:color="auto" w:fill="auto"/>
          </w:tcPr>
          <w:p w14:paraId="05A73D83" w14:textId="7C4B3B5E" w:rsidR="00442820" w:rsidRPr="002A7614" w:rsidRDefault="00442820">
            <w:pPr>
              <w:rPr>
                <w:rFonts w:ascii="Calibri" w:hAnsi="Calibri"/>
                <w:color w:val="000000"/>
                <w:sz w:val="20"/>
                <w:szCs w:val="20"/>
              </w:rPr>
            </w:pPr>
            <w:r w:rsidRPr="0007128C">
              <w:rPr>
                <w:sz w:val="20"/>
                <w:szCs w:val="20"/>
              </w:rPr>
              <w:t>Base case cost for mix of 50% CFL, 25% LED and 25% Incandescent</w:t>
            </w:r>
          </w:p>
        </w:tc>
        <w:tc>
          <w:tcPr>
            <w:tcW w:w="611" w:type="pct"/>
          </w:tcPr>
          <w:p w14:paraId="7BEF7CB7" w14:textId="4758BAAB" w:rsidR="00442820" w:rsidRPr="002A7614" w:rsidRDefault="00442820" w:rsidP="0059380E">
            <w:pPr>
              <w:rPr>
                <w:rFonts w:ascii="Calibri" w:hAnsi="Calibri"/>
                <w:color w:val="000000"/>
                <w:sz w:val="20"/>
                <w:szCs w:val="20"/>
              </w:rPr>
            </w:pPr>
            <w:r w:rsidRPr="00442820">
              <w:rPr>
                <w:rFonts w:ascii="Calibri" w:hAnsi="Calibri"/>
                <w:color w:val="000000"/>
                <w:sz w:val="20"/>
                <w:szCs w:val="20"/>
              </w:rPr>
              <w:t>$11.71</w:t>
            </w:r>
          </w:p>
        </w:tc>
        <w:tc>
          <w:tcPr>
            <w:tcW w:w="529" w:type="pct"/>
          </w:tcPr>
          <w:p w14:paraId="2D90662D" w14:textId="33C525D6" w:rsidR="00442820" w:rsidRPr="002A7614" w:rsidRDefault="00442820">
            <w:pPr>
              <w:rPr>
                <w:rFonts w:ascii="Calibri" w:hAnsi="Calibri"/>
                <w:color w:val="000000"/>
                <w:sz w:val="20"/>
                <w:szCs w:val="20"/>
              </w:rPr>
            </w:pPr>
            <w:r w:rsidRPr="0007128C">
              <w:rPr>
                <w:sz w:val="20"/>
                <w:szCs w:val="20"/>
              </w:rPr>
              <w:t>$5.75</w:t>
            </w:r>
          </w:p>
        </w:tc>
      </w:tr>
    </w:tbl>
    <w:p w14:paraId="5A108E95" w14:textId="360F2555" w:rsidR="00000FCE" w:rsidRDefault="005A0E53" w:rsidP="00AD63ED">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29A2C5D6" w14:textId="7CB788BD" w:rsidR="00390F9F" w:rsidRDefault="00390F9F" w:rsidP="0007128C">
      <w:r>
        <w:t>All material</w:t>
      </w:r>
      <w:r w:rsidRPr="00961FFC">
        <w:t xml:space="preserve"> cost values are from the latest ex ante database through the READI v2.</w:t>
      </w:r>
      <w:r>
        <w:t xml:space="preserve">4.7. </w:t>
      </w:r>
      <w:r w:rsidRPr="00390F9F">
        <w:t>The CFL costs for the 33W spiral lamp were assumed be equal to the 32W lamp.</w:t>
      </w:r>
    </w:p>
    <w:p w14:paraId="7819088F" w14:textId="77777777" w:rsidR="00390F9F" w:rsidRDefault="00390F9F" w:rsidP="00390F9F"/>
    <w:p w14:paraId="576FE770" w14:textId="491CD07F" w:rsidR="00390F9F" w:rsidRDefault="00390F9F" w:rsidP="0007128C">
      <w:r>
        <w:t xml:space="preserve">Labor cost is from </w:t>
      </w:r>
      <w:r w:rsidR="0011178B">
        <w:t>WO017 [</w:t>
      </w:r>
      <w:r>
        <w:t>475]. In WO017, the labor cost for a CFL A-Lamp or Twister is 0.08 hours at an hourly rate of $72.26/hour, totaling $5.75. There were no miscellaneous costs involved.</w:t>
      </w:r>
    </w:p>
    <w:p w14:paraId="648C7337" w14:textId="77777777" w:rsidR="00390F9F" w:rsidRPr="00436D41" w:rsidRDefault="00390F9F" w:rsidP="0007128C"/>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254"/>
        <w:gridCol w:w="4049"/>
        <w:gridCol w:w="1171"/>
        <w:gridCol w:w="1014"/>
      </w:tblGrid>
      <w:tr w:rsidR="008441F5" w:rsidRPr="000658F6" w14:paraId="06614649" w14:textId="77777777" w:rsidTr="0007128C">
        <w:tc>
          <w:tcPr>
            <w:tcW w:w="571" w:type="pct"/>
            <w:shd w:val="clear" w:color="auto" w:fill="D9D9D9" w:themeFill="background1" w:themeFillShade="D9"/>
            <w:hideMark/>
          </w:tcPr>
          <w:p w14:paraId="44C500A8" w14:textId="318DF0F9" w:rsidR="008441F5" w:rsidRPr="000658F6" w:rsidRDefault="00FA63EC" w:rsidP="007D10D7">
            <w:pPr>
              <w:rPr>
                <w:b/>
                <w:bCs/>
                <w:color w:val="000000"/>
                <w:sz w:val="20"/>
                <w:szCs w:val="20"/>
              </w:rPr>
            </w:pPr>
            <w:r w:rsidRPr="000658F6">
              <w:rPr>
                <w:b/>
                <w:bCs/>
                <w:color w:val="000000"/>
                <w:sz w:val="20"/>
                <w:szCs w:val="20"/>
              </w:rPr>
              <w:t>Measure Code</w:t>
            </w:r>
          </w:p>
        </w:tc>
        <w:tc>
          <w:tcPr>
            <w:tcW w:w="1176" w:type="pct"/>
            <w:shd w:val="clear" w:color="auto" w:fill="D9D9D9" w:themeFill="background1" w:themeFillShade="D9"/>
          </w:tcPr>
          <w:p w14:paraId="54B70692" w14:textId="24876008" w:rsidR="008441F5" w:rsidRPr="000658F6" w:rsidRDefault="008441F5" w:rsidP="007D10D7">
            <w:pPr>
              <w:rPr>
                <w:rFonts w:ascii="Calibri" w:hAnsi="Calibri"/>
                <w:b/>
                <w:bCs/>
                <w:color w:val="000000"/>
                <w:sz w:val="20"/>
                <w:szCs w:val="20"/>
              </w:rPr>
            </w:pPr>
            <w:proofErr w:type="spellStart"/>
            <w:r w:rsidRPr="000658F6">
              <w:rPr>
                <w:rFonts w:ascii="Calibri" w:hAnsi="Calibri"/>
                <w:b/>
                <w:bCs/>
                <w:color w:val="000000"/>
                <w:sz w:val="20"/>
                <w:szCs w:val="20"/>
              </w:rPr>
              <w:t>CostID</w:t>
            </w:r>
            <w:proofErr w:type="spellEnd"/>
          </w:p>
        </w:tc>
        <w:tc>
          <w:tcPr>
            <w:tcW w:w="2113" w:type="pct"/>
            <w:shd w:val="clear" w:color="auto" w:fill="D9D9D9" w:themeFill="background1" w:themeFillShade="D9"/>
          </w:tcPr>
          <w:p w14:paraId="0C83EB34" w14:textId="5513CD49" w:rsidR="008441F5" w:rsidRPr="000658F6" w:rsidRDefault="005B792E" w:rsidP="007D10D7">
            <w:pPr>
              <w:rPr>
                <w:rFonts w:ascii="Calibri" w:hAnsi="Calibri"/>
                <w:b/>
                <w:bCs/>
                <w:color w:val="000000"/>
                <w:sz w:val="20"/>
                <w:szCs w:val="20"/>
              </w:rPr>
            </w:pPr>
            <w:r w:rsidRPr="000658F6">
              <w:rPr>
                <w:rFonts w:ascii="Calibri" w:hAnsi="Calibri"/>
                <w:b/>
                <w:bCs/>
                <w:color w:val="000000"/>
                <w:sz w:val="20"/>
                <w:szCs w:val="20"/>
              </w:rPr>
              <w:t>Description</w:t>
            </w:r>
          </w:p>
        </w:tc>
        <w:tc>
          <w:tcPr>
            <w:tcW w:w="611" w:type="pct"/>
            <w:shd w:val="clear" w:color="auto" w:fill="D9D9D9" w:themeFill="background1" w:themeFillShade="D9"/>
          </w:tcPr>
          <w:p w14:paraId="3BE2ED67" w14:textId="7EE22B71" w:rsidR="008441F5" w:rsidRPr="000658F6" w:rsidRDefault="006E769F" w:rsidP="007D10D7">
            <w:pPr>
              <w:rPr>
                <w:rFonts w:ascii="Calibri" w:hAnsi="Calibri"/>
                <w:b/>
                <w:bCs/>
                <w:color w:val="000000"/>
                <w:sz w:val="20"/>
                <w:szCs w:val="20"/>
              </w:rPr>
            </w:pPr>
            <w:r w:rsidRPr="000658F6">
              <w:rPr>
                <w:rFonts w:ascii="Calibri" w:hAnsi="Calibri"/>
                <w:b/>
                <w:bCs/>
                <w:color w:val="000000"/>
                <w:sz w:val="20"/>
                <w:szCs w:val="20"/>
              </w:rPr>
              <w:t>Equipment Cost</w:t>
            </w:r>
          </w:p>
        </w:tc>
        <w:tc>
          <w:tcPr>
            <w:tcW w:w="529" w:type="pct"/>
            <w:shd w:val="clear" w:color="auto" w:fill="D9D9D9" w:themeFill="background1" w:themeFillShade="D9"/>
          </w:tcPr>
          <w:p w14:paraId="0BBA5526" w14:textId="77777777" w:rsidR="008441F5" w:rsidRPr="000658F6" w:rsidRDefault="008441F5" w:rsidP="007D10D7">
            <w:pPr>
              <w:rPr>
                <w:b/>
                <w:bCs/>
                <w:color w:val="000000"/>
                <w:sz w:val="20"/>
                <w:szCs w:val="20"/>
              </w:rPr>
            </w:pPr>
            <w:r w:rsidRPr="000658F6">
              <w:rPr>
                <w:rFonts w:ascii="Calibri" w:hAnsi="Calibri"/>
                <w:b/>
                <w:bCs/>
                <w:color w:val="000000"/>
                <w:sz w:val="20"/>
                <w:szCs w:val="20"/>
              </w:rPr>
              <w:t xml:space="preserve">Labor + </w:t>
            </w:r>
            <w:proofErr w:type="spellStart"/>
            <w:r w:rsidRPr="000658F6">
              <w:rPr>
                <w:rFonts w:ascii="Calibri" w:hAnsi="Calibri"/>
                <w:b/>
                <w:bCs/>
                <w:color w:val="000000"/>
                <w:sz w:val="20"/>
                <w:szCs w:val="20"/>
              </w:rPr>
              <w:t>Misc</w:t>
            </w:r>
            <w:proofErr w:type="spellEnd"/>
            <w:r w:rsidRPr="000658F6">
              <w:rPr>
                <w:rFonts w:ascii="Calibri" w:hAnsi="Calibri"/>
                <w:b/>
                <w:bCs/>
                <w:color w:val="000000"/>
                <w:sz w:val="20"/>
                <w:szCs w:val="20"/>
              </w:rPr>
              <w:t xml:space="preserve"> Cost</w:t>
            </w:r>
          </w:p>
        </w:tc>
      </w:tr>
      <w:tr w:rsidR="00225EC1" w:rsidRPr="00225EC1" w14:paraId="398D317E" w14:textId="77777777" w:rsidTr="0007128C">
        <w:trPr>
          <w:trHeight w:val="70"/>
        </w:trPr>
        <w:tc>
          <w:tcPr>
            <w:tcW w:w="571" w:type="pct"/>
            <w:shd w:val="clear" w:color="auto" w:fill="auto"/>
            <w:noWrap/>
          </w:tcPr>
          <w:p w14:paraId="5CD209D4" w14:textId="787BD9A3" w:rsidR="00225EC1" w:rsidRPr="00225EC1" w:rsidRDefault="00225EC1" w:rsidP="00225EC1">
            <w:pPr>
              <w:rPr>
                <w:sz w:val="20"/>
                <w:szCs w:val="20"/>
              </w:rPr>
            </w:pPr>
            <w:r w:rsidRPr="0007128C">
              <w:rPr>
                <w:sz w:val="20"/>
                <w:szCs w:val="20"/>
              </w:rPr>
              <w:t>LT-67349</w:t>
            </w:r>
          </w:p>
        </w:tc>
        <w:tc>
          <w:tcPr>
            <w:tcW w:w="1176" w:type="pct"/>
            <w:vAlign w:val="bottom"/>
          </w:tcPr>
          <w:p w14:paraId="00CFE369" w14:textId="42592E09"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CFLscw-3way(26w)</w:t>
            </w:r>
          </w:p>
        </w:tc>
        <w:tc>
          <w:tcPr>
            <w:tcW w:w="2113" w:type="pct"/>
            <w:shd w:val="clear" w:color="auto" w:fill="auto"/>
            <w:vAlign w:val="bottom"/>
          </w:tcPr>
          <w:p w14:paraId="4253DB02" w14:textId="4DFA0F7F" w:rsidR="00225EC1" w:rsidRPr="00225EC1" w:rsidRDefault="00225EC1" w:rsidP="00225EC1">
            <w:pPr>
              <w:rPr>
                <w:color w:val="000000"/>
                <w:sz w:val="20"/>
                <w:szCs w:val="20"/>
              </w:rPr>
            </w:pPr>
            <w:r w:rsidRPr="0007128C">
              <w:rPr>
                <w:rFonts w:ascii="Calibri" w:hAnsi="Calibri"/>
                <w:color w:val="000000"/>
                <w:sz w:val="20"/>
                <w:szCs w:val="20"/>
              </w:rPr>
              <w:t>CFL Lamp: Non-Reflector, 3-Way, 26 Watts</w:t>
            </w:r>
          </w:p>
        </w:tc>
        <w:tc>
          <w:tcPr>
            <w:tcW w:w="611" w:type="pct"/>
          </w:tcPr>
          <w:p w14:paraId="2605A77B" w14:textId="71A316BB" w:rsidR="00225EC1" w:rsidRPr="00225EC1" w:rsidRDefault="00442820" w:rsidP="00225EC1">
            <w:pPr>
              <w:rPr>
                <w:sz w:val="20"/>
                <w:szCs w:val="20"/>
              </w:rPr>
            </w:pPr>
            <w:r>
              <w:rPr>
                <w:sz w:val="20"/>
                <w:szCs w:val="20"/>
              </w:rPr>
              <w:t>$12.55</w:t>
            </w:r>
          </w:p>
        </w:tc>
        <w:tc>
          <w:tcPr>
            <w:tcW w:w="529" w:type="pct"/>
          </w:tcPr>
          <w:p w14:paraId="41F6F120" w14:textId="6830101B" w:rsidR="00225EC1" w:rsidRPr="00225EC1" w:rsidRDefault="00225EC1" w:rsidP="00225EC1">
            <w:pPr>
              <w:rPr>
                <w:sz w:val="20"/>
                <w:szCs w:val="20"/>
              </w:rPr>
            </w:pPr>
            <w:r w:rsidRPr="00225EC1">
              <w:rPr>
                <w:rFonts w:ascii="Calibri" w:hAnsi="Calibri"/>
                <w:color w:val="000000"/>
                <w:sz w:val="20"/>
                <w:szCs w:val="20"/>
              </w:rPr>
              <w:t>$5.75</w:t>
            </w:r>
          </w:p>
        </w:tc>
      </w:tr>
      <w:tr w:rsidR="00225EC1" w:rsidRPr="00225EC1" w14:paraId="4F62E3DC" w14:textId="77777777" w:rsidTr="0007128C">
        <w:tc>
          <w:tcPr>
            <w:tcW w:w="571" w:type="pct"/>
            <w:shd w:val="clear" w:color="auto" w:fill="auto"/>
            <w:noWrap/>
          </w:tcPr>
          <w:p w14:paraId="78B07295" w14:textId="4078C6E1" w:rsidR="00225EC1" w:rsidRPr="00225EC1" w:rsidRDefault="00225EC1" w:rsidP="00225EC1">
            <w:pPr>
              <w:rPr>
                <w:sz w:val="20"/>
                <w:szCs w:val="20"/>
              </w:rPr>
            </w:pPr>
            <w:r w:rsidRPr="0007128C">
              <w:rPr>
                <w:sz w:val="20"/>
                <w:szCs w:val="20"/>
              </w:rPr>
              <w:t>LT-69524</w:t>
            </w:r>
          </w:p>
        </w:tc>
        <w:tc>
          <w:tcPr>
            <w:tcW w:w="1176" w:type="pct"/>
            <w:vAlign w:val="bottom"/>
          </w:tcPr>
          <w:p w14:paraId="2428A6BB" w14:textId="74728D96"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CFLscw-3way(29w)</w:t>
            </w:r>
          </w:p>
        </w:tc>
        <w:tc>
          <w:tcPr>
            <w:tcW w:w="2113" w:type="pct"/>
            <w:shd w:val="clear" w:color="auto" w:fill="auto"/>
            <w:vAlign w:val="bottom"/>
          </w:tcPr>
          <w:p w14:paraId="46911D4A" w14:textId="69AEAA40" w:rsidR="00225EC1" w:rsidRPr="00225EC1" w:rsidRDefault="00225EC1" w:rsidP="00225EC1">
            <w:pPr>
              <w:rPr>
                <w:color w:val="000000"/>
                <w:sz w:val="20"/>
                <w:szCs w:val="20"/>
              </w:rPr>
            </w:pPr>
            <w:r w:rsidRPr="0007128C">
              <w:rPr>
                <w:rFonts w:ascii="Calibri" w:hAnsi="Calibri"/>
                <w:color w:val="000000"/>
                <w:sz w:val="20"/>
                <w:szCs w:val="20"/>
              </w:rPr>
              <w:t>CFL Lamp: Non-Reflector, 3-Way, 29 Watts</w:t>
            </w:r>
          </w:p>
        </w:tc>
        <w:tc>
          <w:tcPr>
            <w:tcW w:w="611" w:type="pct"/>
          </w:tcPr>
          <w:p w14:paraId="481D730E" w14:textId="47D0D7A1" w:rsidR="00225EC1" w:rsidRPr="00225EC1" w:rsidRDefault="00442820" w:rsidP="00225EC1">
            <w:pPr>
              <w:rPr>
                <w:sz w:val="20"/>
                <w:szCs w:val="20"/>
              </w:rPr>
            </w:pPr>
            <w:r>
              <w:rPr>
                <w:sz w:val="20"/>
                <w:szCs w:val="20"/>
              </w:rPr>
              <w:t>$13.03</w:t>
            </w:r>
          </w:p>
        </w:tc>
        <w:tc>
          <w:tcPr>
            <w:tcW w:w="529" w:type="pct"/>
          </w:tcPr>
          <w:p w14:paraId="2CD3AB64" w14:textId="2F2C0C70" w:rsidR="00225EC1" w:rsidRPr="00225EC1" w:rsidRDefault="00225EC1" w:rsidP="00225EC1">
            <w:pPr>
              <w:rPr>
                <w:sz w:val="20"/>
                <w:szCs w:val="20"/>
              </w:rPr>
            </w:pPr>
            <w:r w:rsidRPr="00225EC1">
              <w:rPr>
                <w:rFonts w:ascii="Calibri" w:hAnsi="Calibri"/>
                <w:color w:val="000000"/>
                <w:sz w:val="20"/>
                <w:szCs w:val="20"/>
              </w:rPr>
              <w:t>$5.75</w:t>
            </w:r>
          </w:p>
        </w:tc>
      </w:tr>
      <w:tr w:rsidR="00225EC1" w:rsidRPr="00225EC1" w14:paraId="5589553C" w14:textId="77777777" w:rsidTr="0007128C">
        <w:tc>
          <w:tcPr>
            <w:tcW w:w="571" w:type="pct"/>
            <w:shd w:val="clear" w:color="auto" w:fill="auto"/>
            <w:noWrap/>
          </w:tcPr>
          <w:p w14:paraId="20D98376" w14:textId="0FD2CF48" w:rsidR="00225EC1" w:rsidRPr="00225EC1" w:rsidRDefault="00225EC1" w:rsidP="00225EC1">
            <w:pPr>
              <w:rPr>
                <w:rFonts w:ascii="Calibri" w:hAnsi="Calibri"/>
                <w:color w:val="000000"/>
                <w:sz w:val="20"/>
                <w:szCs w:val="20"/>
              </w:rPr>
            </w:pPr>
            <w:r w:rsidRPr="0007128C">
              <w:rPr>
                <w:sz w:val="20"/>
                <w:szCs w:val="20"/>
              </w:rPr>
              <w:t>LT-72839</w:t>
            </w:r>
          </w:p>
        </w:tc>
        <w:tc>
          <w:tcPr>
            <w:tcW w:w="1176" w:type="pct"/>
            <w:vAlign w:val="bottom"/>
          </w:tcPr>
          <w:p w14:paraId="5395161D" w14:textId="2566BE6C"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CFLscw-3way(32w)</w:t>
            </w:r>
          </w:p>
        </w:tc>
        <w:tc>
          <w:tcPr>
            <w:tcW w:w="2113" w:type="pct"/>
            <w:shd w:val="clear" w:color="auto" w:fill="auto"/>
            <w:vAlign w:val="bottom"/>
          </w:tcPr>
          <w:p w14:paraId="197E44FB" w14:textId="71A3F0BA"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32 Watts</w:t>
            </w:r>
          </w:p>
        </w:tc>
        <w:tc>
          <w:tcPr>
            <w:tcW w:w="611" w:type="pct"/>
          </w:tcPr>
          <w:p w14:paraId="1C2920FC" w14:textId="063628CD" w:rsidR="00225EC1" w:rsidRPr="00225EC1" w:rsidRDefault="00442820" w:rsidP="00225EC1">
            <w:pPr>
              <w:rPr>
                <w:rFonts w:ascii="Calibri" w:hAnsi="Calibri"/>
                <w:color w:val="000000"/>
                <w:sz w:val="20"/>
                <w:szCs w:val="20"/>
              </w:rPr>
            </w:pPr>
            <w:r>
              <w:rPr>
                <w:sz w:val="20"/>
                <w:szCs w:val="20"/>
              </w:rPr>
              <w:t>$13.51</w:t>
            </w:r>
          </w:p>
        </w:tc>
        <w:tc>
          <w:tcPr>
            <w:tcW w:w="529" w:type="pct"/>
          </w:tcPr>
          <w:p w14:paraId="70E3282E" w14:textId="47E5FDA1" w:rsidR="00225EC1" w:rsidRPr="00225EC1" w:rsidRDefault="00225EC1" w:rsidP="00225EC1">
            <w:pPr>
              <w:rPr>
                <w:rFonts w:ascii="Calibri" w:hAnsi="Calibri"/>
                <w:color w:val="000000"/>
                <w:sz w:val="20"/>
                <w:szCs w:val="20"/>
              </w:rPr>
            </w:pPr>
            <w:r w:rsidRPr="00225EC1">
              <w:rPr>
                <w:rFonts w:ascii="Calibri" w:hAnsi="Calibri"/>
                <w:color w:val="000000"/>
                <w:sz w:val="20"/>
                <w:szCs w:val="20"/>
              </w:rPr>
              <w:t>$5.75</w:t>
            </w:r>
          </w:p>
        </w:tc>
      </w:tr>
      <w:tr w:rsidR="00225EC1" w:rsidRPr="00225EC1" w14:paraId="1B0A92D2" w14:textId="77777777" w:rsidTr="0007128C">
        <w:tc>
          <w:tcPr>
            <w:tcW w:w="571" w:type="pct"/>
            <w:shd w:val="clear" w:color="auto" w:fill="auto"/>
            <w:noWrap/>
          </w:tcPr>
          <w:p w14:paraId="645E7047" w14:textId="578CE426" w:rsidR="00225EC1" w:rsidRPr="00225EC1" w:rsidRDefault="00225EC1" w:rsidP="00225EC1">
            <w:pPr>
              <w:rPr>
                <w:rFonts w:ascii="Calibri" w:hAnsi="Calibri"/>
                <w:color w:val="000000"/>
                <w:sz w:val="20"/>
                <w:szCs w:val="20"/>
              </w:rPr>
            </w:pPr>
            <w:r w:rsidRPr="0007128C">
              <w:rPr>
                <w:sz w:val="20"/>
                <w:szCs w:val="20"/>
              </w:rPr>
              <w:t>LT-18899</w:t>
            </w:r>
          </w:p>
        </w:tc>
        <w:tc>
          <w:tcPr>
            <w:tcW w:w="1176" w:type="pct"/>
            <w:vAlign w:val="bottom"/>
          </w:tcPr>
          <w:p w14:paraId="16064B75" w14:textId="53195CB8" w:rsidR="00225EC1" w:rsidRPr="00225EC1" w:rsidRDefault="00225EC1" w:rsidP="00225EC1">
            <w:pPr>
              <w:rPr>
                <w:rFonts w:ascii="Calibri" w:hAnsi="Calibri"/>
                <w:color w:val="000000"/>
                <w:sz w:val="20"/>
                <w:szCs w:val="20"/>
              </w:rPr>
            </w:pPr>
            <w:r w:rsidRPr="0007128C">
              <w:rPr>
                <w:rFonts w:ascii="Calibri" w:hAnsi="Calibri"/>
                <w:color w:val="000000"/>
                <w:sz w:val="20"/>
                <w:szCs w:val="20"/>
              </w:rPr>
              <w:t>SCE17LG072_00_M001</w:t>
            </w:r>
          </w:p>
        </w:tc>
        <w:tc>
          <w:tcPr>
            <w:tcW w:w="2113" w:type="pct"/>
            <w:shd w:val="clear" w:color="auto" w:fill="auto"/>
            <w:vAlign w:val="bottom"/>
          </w:tcPr>
          <w:p w14:paraId="0A897E0E" w14:textId="0F06F3A9"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33 Watts</w:t>
            </w:r>
          </w:p>
        </w:tc>
        <w:tc>
          <w:tcPr>
            <w:tcW w:w="611" w:type="pct"/>
          </w:tcPr>
          <w:p w14:paraId="57B59B8D" w14:textId="262F185A" w:rsidR="00225EC1" w:rsidRPr="00225EC1" w:rsidRDefault="00442820" w:rsidP="00225EC1">
            <w:pPr>
              <w:rPr>
                <w:rFonts w:ascii="Calibri" w:hAnsi="Calibri"/>
                <w:color w:val="000000"/>
                <w:sz w:val="20"/>
                <w:szCs w:val="20"/>
              </w:rPr>
            </w:pPr>
            <w:r>
              <w:rPr>
                <w:sz w:val="20"/>
                <w:szCs w:val="20"/>
              </w:rPr>
              <w:t>$13.51</w:t>
            </w:r>
          </w:p>
        </w:tc>
        <w:tc>
          <w:tcPr>
            <w:tcW w:w="529" w:type="pct"/>
          </w:tcPr>
          <w:p w14:paraId="6D1D6076" w14:textId="3168A20B" w:rsidR="00225EC1" w:rsidRPr="00225EC1" w:rsidRDefault="00225EC1" w:rsidP="00225EC1">
            <w:pPr>
              <w:rPr>
                <w:rFonts w:ascii="Calibri" w:hAnsi="Calibri"/>
                <w:color w:val="000000"/>
                <w:sz w:val="20"/>
                <w:szCs w:val="20"/>
              </w:rPr>
            </w:pPr>
            <w:r w:rsidRPr="00225EC1">
              <w:rPr>
                <w:rFonts w:ascii="Calibri" w:hAnsi="Calibri"/>
                <w:color w:val="000000"/>
                <w:sz w:val="20"/>
                <w:szCs w:val="20"/>
              </w:rPr>
              <w:t>$5.75</w:t>
            </w:r>
          </w:p>
        </w:tc>
      </w:tr>
      <w:tr w:rsidR="00225EC1" w:rsidRPr="00225EC1" w14:paraId="3ED0DEE6" w14:textId="77777777" w:rsidTr="0007128C">
        <w:tc>
          <w:tcPr>
            <w:tcW w:w="571" w:type="pct"/>
            <w:shd w:val="clear" w:color="auto" w:fill="auto"/>
            <w:noWrap/>
          </w:tcPr>
          <w:p w14:paraId="5130B565" w14:textId="58C3C9EA" w:rsidR="00225EC1" w:rsidRPr="00225EC1" w:rsidRDefault="00225EC1" w:rsidP="00225EC1">
            <w:pPr>
              <w:rPr>
                <w:rFonts w:ascii="Calibri" w:hAnsi="Calibri"/>
                <w:color w:val="000000"/>
                <w:sz w:val="20"/>
                <w:szCs w:val="20"/>
              </w:rPr>
            </w:pPr>
            <w:r w:rsidRPr="0007128C">
              <w:rPr>
                <w:sz w:val="20"/>
                <w:szCs w:val="20"/>
              </w:rPr>
              <w:t>LT-82135</w:t>
            </w:r>
          </w:p>
        </w:tc>
        <w:tc>
          <w:tcPr>
            <w:tcW w:w="1176" w:type="pct"/>
            <w:vAlign w:val="bottom"/>
          </w:tcPr>
          <w:p w14:paraId="54ABB849" w14:textId="6A25F803"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CFLscw-3way(26w)</w:t>
            </w:r>
          </w:p>
        </w:tc>
        <w:tc>
          <w:tcPr>
            <w:tcW w:w="2113" w:type="pct"/>
            <w:shd w:val="clear" w:color="auto" w:fill="auto"/>
            <w:vAlign w:val="bottom"/>
          </w:tcPr>
          <w:p w14:paraId="5AC9A521" w14:textId="4DA87B68"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26 Watts</w:t>
            </w:r>
          </w:p>
        </w:tc>
        <w:tc>
          <w:tcPr>
            <w:tcW w:w="611" w:type="pct"/>
          </w:tcPr>
          <w:p w14:paraId="04D0D050" w14:textId="2D64FD3B" w:rsidR="00225EC1" w:rsidRPr="00225EC1" w:rsidRDefault="00442820" w:rsidP="00225EC1">
            <w:pPr>
              <w:rPr>
                <w:rFonts w:ascii="Calibri" w:hAnsi="Calibri"/>
                <w:color w:val="000000"/>
                <w:sz w:val="20"/>
                <w:szCs w:val="20"/>
              </w:rPr>
            </w:pPr>
            <w:r>
              <w:rPr>
                <w:sz w:val="20"/>
                <w:szCs w:val="20"/>
              </w:rPr>
              <w:t>$12.55</w:t>
            </w:r>
          </w:p>
        </w:tc>
        <w:tc>
          <w:tcPr>
            <w:tcW w:w="529" w:type="pct"/>
          </w:tcPr>
          <w:p w14:paraId="59D44110" w14:textId="0FAB81D1" w:rsidR="00225EC1" w:rsidRPr="00225EC1" w:rsidRDefault="00225EC1" w:rsidP="00225EC1">
            <w:pPr>
              <w:rPr>
                <w:rFonts w:ascii="Calibri" w:hAnsi="Calibri"/>
                <w:color w:val="000000"/>
                <w:sz w:val="20"/>
                <w:szCs w:val="20"/>
              </w:rPr>
            </w:pPr>
            <w:r w:rsidRPr="00225EC1">
              <w:rPr>
                <w:rFonts w:ascii="Calibri" w:hAnsi="Calibri"/>
                <w:color w:val="000000"/>
                <w:sz w:val="20"/>
                <w:szCs w:val="20"/>
              </w:rPr>
              <w:t>$5.75</w:t>
            </w:r>
          </w:p>
        </w:tc>
      </w:tr>
      <w:tr w:rsidR="00225EC1" w:rsidRPr="00225EC1" w14:paraId="76B299CD" w14:textId="77777777" w:rsidTr="0007128C">
        <w:tc>
          <w:tcPr>
            <w:tcW w:w="571" w:type="pct"/>
            <w:shd w:val="clear" w:color="auto" w:fill="auto"/>
            <w:noWrap/>
          </w:tcPr>
          <w:p w14:paraId="27FE1964" w14:textId="4FA598F0" w:rsidR="00225EC1" w:rsidRPr="00225EC1" w:rsidRDefault="00225EC1" w:rsidP="00225EC1">
            <w:pPr>
              <w:rPr>
                <w:rFonts w:ascii="Calibri" w:hAnsi="Calibri"/>
                <w:color w:val="000000"/>
                <w:sz w:val="20"/>
                <w:szCs w:val="20"/>
              </w:rPr>
            </w:pPr>
            <w:r w:rsidRPr="0007128C">
              <w:rPr>
                <w:sz w:val="20"/>
                <w:szCs w:val="20"/>
              </w:rPr>
              <w:t>LT-77992</w:t>
            </w:r>
          </w:p>
        </w:tc>
        <w:tc>
          <w:tcPr>
            <w:tcW w:w="1176" w:type="pct"/>
            <w:vAlign w:val="bottom"/>
          </w:tcPr>
          <w:p w14:paraId="5A20EB2A" w14:textId="1EE92115"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CFLscw-3way(29w)</w:t>
            </w:r>
          </w:p>
        </w:tc>
        <w:tc>
          <w:tcPr>
            <w:tcW w:w="2113" w:type="pct"/>
            <w:shd w:val="clear" w:color="auto" w:fill="auto"/>
            <w:vAlign w:val="bottom"/>
          </w:tcPr>
          <w:p w14:paraId="3BEAA24B" w14:textId="70A6D9B3"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29 Watts</w:t>
            </w:r>
          </w:p>
        </w:tc>
        <w:tc>
          <w:tcPr>
            <w:tcW w:w="611" w:type="pct"/>
          </w:tcPr>
          <w:p w14:paraId="3360F0A3" w14:textId="7EC30ACC" w:rsidR="00225EC1" w:rsidRPr="00225EC1" w:rsidRDefault="00442820" w:rsidP="00225EC1">
            <w:pPr>
              <w:rPr>
                <w:rFonts w:ascii="Calibri" w:hAnsi="Calibri"/>
                <w:color w:val="000000"/>
                <w:sz w:val="20"/>
                <w:szCs w:val="20"/>
              </w:rPr>
            </w:pPr>
            <w:r>
              <w:rPr>
                <w:sz w:val="20"/>
                <w:szCs w:val="20"/>
              </w:rPr>
              <w:t>$13.03</w:t>
            </w:r>
          </w:p>
        </w:tc>
        <w:tc>
          <w:tcPr>
            <w:tcW w:w="529" w:type="pct"/>
          </w:tcPr>
          <w:p w14:paraId="28FC6B71" w14:textId="294DE6E3" w:rsidR="00225EC1" w:rsidRPr="00225EC1" w:rsidRDefault="00225EC1" w:rsidP="00225EC1">
            <w:pPr>
              <w:rPr>
                <w:rFonts w:ascii="Calibri" w:hAnsi="Calibri"/>
                <w:color w:val="000000"/>
                <w:sz w:val="20"/>
                <w:szCs w:val="20"/>
              </w:rPr>
            </w:pPr>
            <w:r w:rsidRPr="00225EC1">
              <w:rPr>
                <w:rFonts w:ascii="Calibri" w:hAnsi="Calibri"/>
                <w:color w:val="000000"/>
                <w:sz w:val="20"/>
                <w:szCs w:val="20"/>
              </w:rPr>
              <w:t>$5.75</w:t>
            </w:r>
          </w:p>
        </w:tc>
      </w:tr>
      <w:tr w:rsidR="00225EC1" w:rsidRPr="00225EC1" w14:paraId="417DB735" w14:textId="77777777" w:rsidTr="0007128C">
        <w:tc>
          <w:tcPr>
            <w:tcW w:w="571" w:type="pct"/>
            <w:shd w:val="clear" w:color="auto" w:fill="auto"/>
            <w:noWrap/>
          </w:tcPr>
          <w:p w14:paraId="07A8292E" w14:textId="673D71D3" w:rsidR="00225EC1" w:rsidRPr="00225EC1" w:rsidRDefault="00225EC1" w:rsidP="00225EC1">
            <w:pPr>
              <w:rPr>
                <w:rFonts w:ascii="Calibri" w:hAnsi="Calibri"/>
                <w:color w:val="000000"/>
                <w:sz w:val="20"/>
                <w:szCs w:val="20"/>
              </w:rPr>
            </w:pPr>
            <w:r w:rsidRPr="0007128C">
              <w:rPr>
                <w:sz w:val="20"/>
                <w:szCs w:val="20"/>
              </w:rPr>
              <w:t>LT-66979</w:t>
            </w:r>
          </w:p>
        </w:tc>
        <w:tc>
          <w:tcPr>
            <w:tcW w:w="1176" w:type="pct"/>
            <w:vAlign w:val="bottom"/>
          </w:tcPr>
          <w:p w14:paraId="59408BDF" w14:textId="3B448BDC"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CFLscw-3way(32w)</w:t>
            </w:r>
          </w:p>
        </w:tc>
        <w:tc>
          <w:tcPr>
            <w:tcW w:w="2113" w:type="pct"/>
            <w:shd w:val="clear" w:color="auto" w:fill="auto"/>
            <w:vAlign w:val="bottom"/>
          </w:tcPr>
          <w:p w14:paraId="1C42D2C4" w14:textId="4FB65974"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32 Watts</w:t>
            </w:r>
          </w:p>
        </w:tc>
        <w:tc>
          <w:tcPr>
            <w:tcW w:w="611" w:type="pct"/>
          </w:tcPr>
          <w:p w14:paraId="4A9C5A22" w14:textId="070C6BD3" w:rsidR="00225EC1" w:rsidRPr="00225EC1" w:rsidRDefault="00442820" w:rsidP="00225EC1">
            <w:pPr>
              <w:rPr>
                <w:rFonts w:ascii="Calibri" w:hAnsi="Calibri"/>
                <w:color w:val="000000"/>
                <w:sz w:val="20"/>
                <w:szCs w:val="20"/>
              </w:rPr>
            </w:pPr>
            <w:r>
              <w:rPr>
                <w:sz w:val="20"/>
                <w:szCs w:val="20"/>
              </w:rPr>
              <w:t>$13.51</w:t>
            </w:r>
          </w:p>
        </w:tc>
        <w:tc>
          <w:tcPr>
            <w:tcW w:w="529" w:type="pct"/>
          </w:tcPr>
          <w:p w14:paraId="6B3A9547" w14:textId="4D08B01F" w:rsidR="00225EC1" w:rsidRPr="00225EC1" w:rsidRDefault="00225EC1" w:rsidP="00225EC1">
            <w:pPr>
              <w:rPr>
                <w:rFonts w:ascii="Calibri" w:hAnsi="Calibri"/>
                <w:color w:val="000000"/>
                <w:sz w:val="20"/>
                <w:szCs w:val="20"/>
              </w:rPr>
            </w:pPr>
            <w:r w:rsidRPr="0007128C">
              <w:rPr>
                <w:sz w:val="20"/>
                <w:szCs w:val="20"/>
              </w:rPr>
              <w:t>$5.75</w:t>
            </w:r>
          </w:p>
        </w:tc>
      </w:tr>
      <w:tr w:rsidR="00225EC1" w:rsidRPr="00225EC1" w14:paraId="3A3F4A1C" w14:textId="77777777" w:rsidTr="0007128C">
        <w:tc>
          <w:tcPr>
            <w:tcW w:w="571" w:type="pct"/>
            <w:shd w:val="clear" w:color="auto" w:fill="auto"/>
            <w:noWrap/>
          </w:tcPr>
          <w:p w14:paraId="1F219BB6" w14:textId="0DFEE84D" w:rsidR="00225EC1" w:rsidRPr="00225EC1" w:rsidRDefault="00225EC1" w:rsidP="00225EC1">
            <w:pPr>
              <w:rPr>
                <w:rFonts w:ascii="Calibri" w:hAnsi="Calibri"/>
                <w:color w:val="000000"/>
                <w:sz w:val="20"/>
                <w:szCs w:val="20"/>
              </w:rPr>
            </w:pPr>
            <w:r w:rsidRPr="0007128C">
              <w:rPr>
                <w:sz w:val="20"/>
                <w:szCs w:val="20"/>
              </w:rPr>
              <w:t>LT-18900</w:t>
            </w:r>
          </w:p>
        </w:tc>
        <w:tc>
          <w:tcPr>
            <w:tcW w:w="1176" w:type="pct"/>
            <w:vAlign w:val="bottom"/>
          </w:tcPr>
          <w:p w14:paraId="675F5D92" w14:textId="3EDDC84B" w:rsidR="00225EC1" w:rsidRPr="00225EC1" w:rsidRDefault="00225EC1" w:rsidP="000D2756">
            <w:pPr>
              <w:rPr>
                <w:rFonts w:ascii="Calibri" w:hAnsi="Calibri"/>
                <w:color w:val="000000"/>
                <w:sz w:val="20"/>
                <w:szCs w:val="20"/>
              </w:rPr>
            </w:pPr>
            <w:r w:rsidRPr="0007128C">
              <w:rPr>
                <w:rFonts w:ascii="Calibri" w:hAnsi="Calibri"/>
                <w:color w:val="000000"/>
                <w:sz w:val="20"/>
                <w:szCs w:val="20"/>
              </w:rPr>
              <w:t>SCE17LG072_0</w:t>
            </w:r>
            <w:r w:rsidR="000D2756">
              <w:rPr>
                <w:rFonts w:ascii="Calibri" w:hAnsi="Calibri"/>
                <w:color w:val="000000"/>
                <w:sz w:val="20"/>
                <w:szCs w:val="20"/>
              </w:rPr>
              <w:t>1</w:t>
            </w:r>
            <w:r w:rsidRPr="0007128C">
              <w:rPr>
                <w:rFonts w:ascii="Calibri" w:hAnsi="Calibri"/>
                <w:color w:val="000000"/>
                <w:sz w:val="20"/>
                <w:szCs w:val="20"/>
              </w:rPr>
              <w:t>_M001</w:t>
            </w:r>
          </w:p>
        </w:tc>
        <w:tc>
          <w:tcPr>
            <w:tcW w:w="2113" w:type="pct"/>
            <w:shd w:val="clear" w:color="auto" w:fill="auto"/>
            <w:vAlign w:val="bottom"/>
          </w:tcPr>
          <w:p w14:paraId="50959CAE" w14:textId="516C49B3" w:rsidR="00225EC1" w:rsidRPr="00225EC1" w:rsidRDefault="00225EC1" w:rsidP="00225EC1">
            <w:pPr>
              <w:rPr>
                <w:rFonts w:ascii="Calibri" w:hAnsi="Calibri"/>
                <w:color w:val="000000"/>
                <w:sz w:val="20"/>
                <w:szCs w:val="20"/>
              </w:rPr>
            </w:pPr>
            <w:r w:rsidRPr="0007128C">
              <w:rPr>
                <w:rFonts w:ascii="Calibri" w:hAnsi="Calibri"/>
                <w:color w:val="000000"/>
                <w:sz w:val="20"/>
                <w:szCs w:val="20"/>
              </w:rPr>
              <w:t>CFL Lamp: Non-Reflector, 3-Way, 33 Watts</w:t>
            </w:r>
          </w:p>
        </w:tc>
        <w:tc>
          <w:tcPr>
            <w:tcW w:w="611" w:type="pct"/>
          </w:tcPr>
          <w:p w14:paraId="16A8959B" w14:textId="29285992" w:rsidR="00225EC1" w:rsidRPr="00225EC1" w:rsidRDefault="00442820" w:rsidP="00225EC1">
            <w:pPr>
              <w:rPr>
                <w:rFonts w:ascii="Calibri" w:hAnsi="Calibri"/>
                <w:color w:val="000000"/>
                <w:sz w:val="20"/>
                <w:szCs w:val="20"/>
              </w:rPr>
            </w:pPr>
            <w:r>
              <w:rPr>
                <w:sz w:val="20"/>
                <w:szCs w:val="20"/>
              </w:rPr>
              <w:t>$13.51</w:t>
            </w:r>
          </w:p>
        </w:tc>
        <w:tc>
          <w:tcPr>
            <w:tcW w:w="529" w:type="pct"/>
          </w:tcPr>
          <w:p w14:paraId="5C801F58" w14:textId="7FAE1766" w:rsidR="00225EC1" w:rsidRPr="00225EC1" w:rsidRDefault="00225EC1" w:rsidP="00225EC1">
            <w:pPr>
              <w:rPr>
                <w:rFonts w:ascii="Calibri" w:hAnsi="Calibri"/>
                <w:color w:val="000000"/>
                <w:sz w:val="20"/>
                <w:szCs w:val="20"/>
              </w:rPr>
            </w:pPr>
            <w:r w:rsidRPr="0007128C">
              <w:rPr>
                <w:sz w:val="20"/>
                <w:szCs w:val="20"/>
              </w:rPr>
              <w:t>$5.75</w:t>
            </w:r>
          </w:p>
        </w:tc>
      </w:tr>
    </w:tbl>
    <w:p w14:paraId="33A4650A" w14:textId="77777777" w:rsidR="008441F5" w:rsidRPr="0007128C" w:rsidRDefault="008441F5" w:rsidP="00000FCE">
      <w:pPr>
        <w:rPr>
          <w:sz w:val="20"/>
          <w:szCs w:val="2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647927" w:rsidRPr="00500C4E" w14:paraId="345662A1" w14:textId="77777777" w:rsidTr="0007128C">
        <w:trPr>
          <w:trHeight w:val="107"/>
        </w:trPr>
        <w:tc>
          <w:tcPr>
            <w:tcW w:w="672" w:type="pct"/>
          </w:tcPr>
          <w:p w14:paraId="646995A5" w14:textId="77777777" w:rsidR="00647927" w:rsidRPr="00920905" w:rsidRDefault="00647927" w:rsidP="00175D14">
            <w:pPr>
              <w:rPr>
                <w:rFonts w:cstheme="minorHAnsi"/>
                <w:szCs w:val="20"/>
              </w:rPr>
            </w:pPr>
            <w:r>
              <w:rPr>
                <w:rFonts w:cstheme="minorHAnsi"/>
                <w:szCs w:val="20"/>
              </w:rPr>
              <w:t>ROB</w:t>
            </w:r>
          </w:p>
          <w:p w14:paraId="37FA56A6" w14:textId="4C43A5B8" w:rsidR="00647927" w:rsidRPr="00920905" w:rsidRDefault="00647927" w:rsidP="00175D14">
            <w:pPr>
              <w:rPr>
                <w:rFonts w:cstheme="minorHAnsi"/>
                <w:szCs w:val="20"/>
              </w:rPr>
            </w:pPr>
          </w:p>
        </w:tc>
        <w:tc>
          <w:tcPr>
            <w:tcW w:w="1443" w:type="pct"/>
          </w:tcPr>
          <w:p w14:paraId="19DAF9B8" w14:textId="51B9E89D" w:rsidR="00647927" w:rsidRPr="00920905" w:rsidRDefault="00647927" w:rsidP="00175D14">
            <w:pPr>
              <w:rPr>
                <w:rFonts w:cstheme="minorHAnsi"/>
                <w:szCs w:val="20"/>
              </w:rPr>
            </w:pPr>
            <w:r>
              <w:rPr>
                <w:rFonts w:cstheme="minorHAnsi"/>
                <w:szCs w:val="20"/>
              </w:rPr>
              <w:t>(MEC + MLC) – (BEC + BLC)</w:t>
            </w:r>
          </w:p>
        </w:tc>
        <w:tc>
          <w:tcPr>
            <w:tcW w:w="1396" w:type="pct"/>
          </w:tcPr>
          <w:p w14:paraId="30774948" w14:textId="6C82B6B6" w:rsidR="00647927" w:rsidRPr="00920905" w:rsidRDefault="00647927" w:rsidP="00175D14">
            <w:pPr>
              <w:rPr>
                <w:rFonts w:cstheme="minorHAnsi"/>
                <w:szCs w:val="20"/>
              </w:rPr>
            </w:pPr>
            <w:r>
              <w:rPr>
                <w:rFonts w:cstheme="minorHAnsi"/>
                <w:szCs w:val="20"/>
              </w:rPr>
              <w:t>(MEC + MLC) – (BEC + BLC)</w:t>
            </w:r>
          </w:p>
        </w:tc>
        <w:tc>
          <w:tcPr>
            <w:tcW w:w="1489" w:type="pct"/>
          </w:tcPr>
          <w:p w14:paraId="00AAD267" w14:textId="4994C54F" w:rsidR="00647927" w:rsidRPr="00920905" w:rsidRDefault="00647927"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42820" w:rsidRPr="00500C4E" w14:paraId="64E9A8E4" w14:textId="77777777" w:rsidTr="0007128C">
        <w:tc>
          <w:tcPr>
            <w:tcW w:w="587" w:type="pct"/>
          </w:tcPr>
          <w:p w14:paraId="73C0EEF5" w14:textId="34F56D35" w:rsidR="00442820" w:rsidRPr="00A607D9" w:rsidRDefault="00442820" w:rsidP="00225EC1">
            <w:pPr>
              <w:rPr>
                <w:rFonts w:cstheme="minorHAnsi"/>
                <w:szCs w:val="20"/>
              </w:rPr>
            </w:pPr>
            <w:r w:rsidRPr="003F6175">
              <w:t>LT-67349</w:t>
            </w:r>
          </w:p>
        </w:tc>
        <w:tc>
          <w:tcPr>
            <w:tcW w:w="618" w:type="pct"/>
          </w:tcPr>
          <w:p w14:paraId="3EDB244E" w14:textId="26440A79" w:rsidR="00442820" w:rsidRPr="00A607D9" w:rsidRDefault="00442820" w:rsidP="00225EC1">
            <w:pPr>
              <w:rPr>
                <w:rFonts w:cstheme="minorHAnsi"/>
                <w:szCs w:val="20"/>
              </w:rPr>
            </w:pPr>
            <w:r w:rsidRPr="00A607D9">
              <w:rPr>
                <w:rFonts w:cstheme="minorHAnsi"/>
                <w:szCs w:val="20"/>
              </w:rPr>
              <w:t>ROB</w:t>
            </w:r>
          </w:p>
        </w:tc>
        <w:tc>
          <w:tcPr>
            <w:tcW w:w="1266" w:type="pct"/>
          </w:tcPr>
          <w:p w14:paraId="780C91CF" w14:textId="3D5D8DF0" w:rsidR="00442820" w:rsidRPr="00C043E0" w:rsidRDefault="00442820" w:rsidP="00225EC1">
            <w:pPr>
              <w:rPr>
                <w:rFonts w:ascii="Calibri" w:hAnsi="Calibri"/>
                <w:color w:val="000000"/>
                <w:szCs w:val="20"/>
              </w:rPr>
            </w:pPr>
            <w:r w:rsidRPr="0014721B">
              <w:t>$2.07</w:t>
            </w:r>
          </w:p>
        </w:tc>
        <w:tc>
          <w:tcPr>
            <w:tcW w:w="1225" w:type="pct"/>
          </w:tcPr>
          <w:p w14:paraId="1542AB5C" w14:textId="2AAAD0A6" w:rsidR="00442820" w:rsidRPr="00A607D9" w:rsidRDefault="00442820" w:rsidP="00225EC1">
            <w:pPr>
              <w:rPr>
                <w:rFonts w:cstheme="minorHAnsi"/>
                <w:szCs w:val="20"/>
              </w:rPr>
            </w:pPr>
            <w:r w:rsidRPr="00E81EF4">
              <w:t>$2.07</w:t>
            </w:r>
          </w:p>
        </w:tc>
        <w:tc>
          <w:tcPr>
            <w:tcW w:w="1304" w:type="pct"/>
          </w:tcPr>
          <w:p w14:paraId="39B4B752" w14:textId="0FA0A8B6" w:rsidR="00442820" w:rsidRPr="00A607D9" w:rsidRDefault="00442820" w:rsidP="00225EC1">
            <w:pPr>
              <w:rPr>
                <w:rFonts w:cstheme="minorHAnsi"/>
                <w:szCs w:val="20"/>
              </w:rPr>
            </w:pPr>
            <w:r w:rsidRPr="00A607D9">
              <w:rPr>
                <w:rFonts w:cstheme="minorHAnsi"/>
                <w:szCs w:val="20"/>
              </w:rPr>
              <w:t>N/A</w:t>
            </w:r>
          </w:p>
        </w:tc>
      </w:tr>
      <w:tr w:rsidR="00442820" w:rsidRPr="00500C4E" w14:paraId="7C437602" w14:textId="77777777" w:rsidTr="0007128C">
        <w:tc>
          <w:tcPr>
            <w:tcW w:w="587" w:type="pct"/>
          </w:tcPr>
          <w:p w14:paraId="37F514C1" w14:textId="0F51330B" w:rsidR="00442820" w:rsidRPr="00A607D9" w:rsidRDefault="00442820" w:rsidP="00225EC1">
            <w:pPr>
              <w:rPr>
                <w:rFonts w:cstheme="minorHAnsi"/>
                <w:szCs w:val="20"/>
              </w:rPr>
            </w:pPr>
            <w:r w:rsidRPr="003F6175">
              <w:t>LT-69524</w:t>
            </w:r>
          </w:p>
        </w:tc>
        <w:tc>
          <w:tcPr>
            <w:tcW w:w="618" w:type="pct"/>
          </w:tcPr>
          <w:p w14:paraId="502A03E2" w14:textId="1B5285AC" w:rsidR="00442820" w:rsidRPr="00A607D9" w:rsidRDefault="00442820" w:rsidP="00225EC1">
            <w:pPr>
              <w:rPr>
                <w:rFonts w:cstheme="minorHAnsi"/>
                <w:szCs w:val="20"/>
              </w:rPr>
            </w:pPr>
            <w:r w:rsidRPr="00A607D9">
              <w:rPr>
                <w:rFonts w:cstheme="minorHAnsi"/>
                <w:szCs w:val="20"/>
              </w:rPr>
              <w:t>ROB</w:t>
            </w:r>
          </w:p>
        </w:tc>
        <w:tc>
          <w:tcPr>
            <w:tcW w:w="1266" w:type="pct"/>
          </w:tcPr>
          <w:p w14:paraId="76E3D1C9" w14:textId="2E08F875" w:rsidR="00442820" w:rsidRPr="00C043E0" w:rsidRDefault="00442820" w:rsidP="00225EC1">
            <w:pPr>
              <w:rPr>
                <w:rFonts w:ascii="Calibri" w:hAnsi="Calibri"/>
                <w:color w:val="000000"/>
                <w:szCs w:val="20"/>
              </w:rPr>
            </w:pPr>
            <w:r w:rsidRPr="0014721B">
              <w:t>$2.31</w:t>
            </w:r>
          </w:p>
        </w:tc>
        <w:tc>
          <w:tcPr>
            <w:tcW w:w="1225" w:type="pct"/>
          </w:tcPr>
          <w:p w14:paraId="1CF40050" w14:textId="5CD6C1B3" w:rsidR="00442820" w:rsidRPr="00A607D9" w:rsidRDefault="00442820" w:rsidP="00225EC1">
            <w:pPr>
              <w:rPr>
                <w:rFonts w:cstheme="minorHAnsi"/>
                <w:szCs w:val="20"/>
              </w:rPr>
            </w:pPr>
            <w:r w:rsidRPr="00E81EF4">
              <w:t>$2.31</w:t>
            </w:r>
          </w:p>
        </w:tc>
        <w:tc>
          <w:tcPr>
            <w:tcW w:w="1304" w:type="pct"/>
          </w:tcPr>
          <w:p w14:paraId="57BCACF1" w14:textId="21751141" w:rsidR="00442820" w:rsidRPr="00A607D9" w:rsidRDefault="00442820" w:rsidP="00225EC1">
            <w:pPr>
              <w:rPr>
                <w:rFonts w:cstheme="minorHAnsi"/>
                <w:szCs w:val="20"/>
              </w:rPr>
            </w:pPr>
            <w:r w:rsidRPr="00A607D9">
              <w:rPr>
                <w:rFonts w:cstheme="minorHAnsi"/>
                <w:szCs w:val="20"/>
              </w:rPr>
              <w:t>N/A</w:t>
            </w:r>
          </w:p>
        </w:tc>
      </w:tr>
      <w:tr w:rsidR="00442820" w:rsidRPr="00500C4E" w14:paraId="3C6AD5F8" w14:textId="77777777" w:rsidTr="0007128C">
        <w:tc>
          <w:tcPr>
            <w:tcW w:w="587" w:type="pct"/>
          </w:tcPr>
          <w:p w14:paraId="5A610899" w14:textId="66B44877" w:rsidR="00442820" w:rsidRPr="00446BDB" w:rsidRDefault="00442820" w:rsidP="00225EC1">
            <w:pPr>
              <w:rPr>
                <w:szCs w:val="20"/>
              </w:rPr>
            </w:pPr>
            <w:r w:rsidRPr="003F6175">
              <w:t>LT-72839</w:t>
            </w:r>
          </w:p>
        </w:tc>
        <w:tc>
          <w:tcPr>
            <w:tcW w:w="618" w:type="pct"/>
          </w:tcPr>
          <w:p w14:paraId="5793BC3C" w14:textId="39D75E44" w:rsidR="00442820" w:rsidRPr="00A607D9" w:rsidRDefault="00442820" w:rsidP="00225EC1">
            <w:pPr>
              <w:rPr>
                <w:rFonts w:cstheme="minorHAnsi"/>
                <w:szCs w:val="20"/>
              </w:rPr>
            </w:pPr>
            <w:r w:rsidRPr="00A607D9">
              <w:rPr>
                <w:rFonts w:cstheme="minorHAnsi"/>
                <w:szCs w:val="20"/>
              </w:rPr>
              <w:t>ROB</w:t>
            </w:r>
          </w:p>
        </w:tc>
        <w:tc>
          <w:tcPr>
            <w:tcW w:w="1266" w:type="pct"/>
          </w:tcPr>
          <w:p w14:paraId="59A91DCA" w14:textId="4131B1E7" w:rsidR="00442820" w:rsidRPr="00C043E0" w:rsidRDefault="00442820" w:rsidP="00225EC1">
            <w:pPr>
              <w:rPr>
                <w:rFonts w:ascii="Calibri" w:hAnsi="Calibri"/>
                <w:color w:val="000000"/>
                <w:szCs w:val="20"/>
              </w:rPr>
            </w:pPr>
            <w:r w:rsidRPr="0014721B">
              <w:t>$1.80</w:t>
            </w:r>
          </w:p>
        </w:tc>
        <w:tc>
          <w:tcPr>
            <w:tcW w:w="1225" w:type="pct"/>
          </w:tcPr>
          <w:p w14:paraId="47E8BFF9" w14:textId="4D035244" w:rsidR="00442820" w:rsidRDefault="00442820" w:rsidP="00225EC1">
            <w:pPr>
              <w:rPr>
                <w:rFonts w:cstheme="minorHAnsi"/>
                <w:szCs w:val="20"/>
              </w:rPr>
            </w:pPr>
            <w:r w:rsidRPr="00E81EF4">
              <w:t>$1.80</w:t>
            </w:r>
          </w:p>
        </w:tc>
        <w:tc>
          <w:tcPr>
            <w:tcW w:w="1304" w:type="pct"/>
          </w:tcPr>
          <w:p w14:paraId="47199B62" w14:textId="647B0812" w:rsidR="00442820" w:rsidRPr="00A607D9" w:rsidRDefault="00442820" w:rsidP="00225EC1">
            <w:pPr>
              <w:rPr>
                <w:rFonts w:cstheme="minorHAnsi"/>
                <w:szCs w:val="20"/>
              </w:rPr>
            </w:pPr>
            <w:r w:rsidRPr="00A607D9">
              <w:rPr>
                <w:rFonts w:cstheme="minorHAnsi"/>
                <w:szCs w:val="20"/>
              </w:rPr>
              <w:t>N/A</w:t>
            </w:r>
          </w:p>
        </w:tc>
      </w:tr>
      <w:tr w:rsidR="00442820" w:rsidRPr="00500C4E" w14:paraId="6A2A7901" w14:textId="77777777" w:rsidTr="0007128C">
        <w:tc>
          <w:tcPr>
            <w:tcW w:w="587" w:type="pct"/>
          </w:tcPr>
          <w:p w14:paraId="34E5339E" w14:textId="799DECF0" w:rsidR="00442820" w:rsidRPr="000658F6" w:rsidRDefault="00442820" w:rsidP="00225EC1">
            <w:pPr>
              <w:rPr>
                <w:rFonts w:ascii="Calibri" w:hAnsi="Calibri"/>
                <w:color w:val="000000"/>
                <w:szCs w:val="20"/>
              </w:rPr>
            </w:pPr>
            <w:r w:rsidRPr="003F6175">
              <w:t>LT-18899</w:t>
            </w:r>
          </w:p>
        </w:tc>
        <w:tc>
          <w:tcPr>
            <w:tcW w:w="618" w:type="pct"/>
          </w:tcPr>
          <w:p w14:paraId="57FA04CC" w14:textId="55CC0E30" w:rsidR="00442820" w:rsidRPr="00A607D9" w:rsidRDefault="00442820" w:rsidP="00225EC1">
            <w:pPr>
              <w:rPr>
                <w:rFonts w:cstheme="minorHAnsi"/>
                <w:szCs w:val="20"/>
              </w:rPr>
            </w:pPr>
            <w:r w:rsidRPr="00A607D9">
              <w:rPr>
                <w:rFonts w:cstheme="minorHAnsi"/>
                <w:szCs w:val="20"/>
              </w:rPr>
              <w:t>ROB</w:t>
            </w:r>
          </w:p>
        </w:tc>
        <w:tc>
          <w:tcPr>
            <w:tcW w:w="1266" w:type="pct"/>
          </w:tcPr>
          <w:p w14:paraId="2D96DC21" w14:textId="767B0FDE" w:rsidR="00442820" w:rsidRPr="00C043E0" w:rsidRDefault="00442820" w:rsidP="00225EC1">
            <w:pPr>
              <w:rPr>
                <w:rFonts w:ascii="Calibri" w:hAnsi="Calibri"/>
                <w:color w:val="000000"/>
                <w:szCs w:val="20"/>
              </w:rPr>
            </w:pPr>
            <w:r w:rsidRPr="0014721B">
              <w:t>$1.80</w:t>
            </w:r>
          </w:p>
        </w:tc>
        <w:tc>
          <w:tcPr>
            <w:tcW w:w="1225" w:type="pct"/>
          </w:tcPr>
          <w:p w14:paraId="0F87A58C" w14:textId="79D38B20" w:rsidR="00442820" w:rsidRPr="00C043E0" w:rsidRDefault="00442820" w:rsidP="00225EC1">
            <w:pPr>
              <w:rPr>
                <w:rFonts w:ascii="Calibri" w:hAnsi="Calibri"/>
                <w:color w:val="000000"/>
                <w:szCs w:val="20"/>
              </w:rPr>
            </w:pPr>
            <w:r w:rsidRPr="00E81EF4">
              <w:t>$1.80</w:t>
            </w:r>
          </w:p>
        </w:tc>
        <w:tc>
          <w:tcPr>
            <w:tcW w:w="1304" w:type="pct"/>
          </w:tcPr>
          <w:p w14:paraId="61E6B13E" w14:textId="5EF1780C" w:rsidR="00442820" w:rsidRPr="00A607D9" w:rsidRDefault="00442820" w:rsidP="00225EC1">
            <w:pPr>
              <w:rPr>
                <w:rFonts w:cstheme="minorHAnsi"/>
                <w:szCs w:val="20"/>
              </w:rPr>
            </w:pPr>
            <w:r w:rsidRPr="00A607D9">
              <w:rPr>
                <w:rFonts w:cstheme="minorHAnsi"/>
                <w:szCs w:val="20"/>
              </w:rPr>
              <w:t>N/A</w:t>
            </w:r>
          </w:p>
        </w:tc>
      </w:tr>
      <w:tr w:rsidR="00442820" w:rsidRPr="00500C4E" w14:paraId="504018F3" w14:textId="77777777" w:rsidTr="0007128C">
        <w:tc>
          <w:tcPr>
            <w:tcW w:w="587" w:type="pct"/>
          </w:tcPr>
          <w:p w14:paraId="14F58A4A" w14:textId="5B19C1D2" w:rsidR="00442820" w:rsidRPr="000658F6" w:rsidRDefault="00442820" w:rsidP="00225EC1">
            <w:pPr>
              <w:rPr>
                <w:rFonts w:ascii="Calibri" w:hAnsi="Calibri"/>
                <w:color w:val="000000"/>
                <w:szCs w:val="20"/>
              </w:rPr>
            </w:pPr>
            <w:r w:rsidRPr="003F6175">
              <w:t>LT-82135</w:t>
            </w:r>
          </w:p>
        </w:tc>
        <w:tc>
          <w:tcPr>
            <w:tcW w:w="618" w:type="pct"/>
          </w:tcPr>
          <w:p w14:paraId="2AC6EA90" w14:textId="1049239A" w:rsidR="00442820" w:rsidRPr="00A607D9" w:rsidRDefault="00442820" w:rsidP="00225EC1">
            <w:pPr>
              <w:rPr>
                <w:rFonts w:cstheme="minorHAnsi"/>
                <w:szCs w:val="20"/>
              </w:rPr>
            </w:pPr>
            <w:r w:rsidRPr="00A607D9">
              <w:rPr>
                <w:rFonts w:cstheme="minorHAnsi"/>
                <w:szCs w:val="20"/>
              </w:rPr>
              <w:t>ROB</w:t>
            </w:r>
          </w:p>
        </w:tc>
        <w:tc>
          <w:tcPr>
            <w:tcW w:w="1266" w:type="pct"/>
          </w:tcPr>
          <w:p w14:paraId="2C215A33" w14:textId="6B6CB070" w:rsidR="00442820" w:rsidRPr="00C043E0" w:rsidRDefault="00442820" w:rsidP="00225EC1">
            <w:pPr>
              <w:rPr>
                <w:rFonts w:ascii="Calibri" w:hAnsi="Calibri"/>
                <w:color w:val="000000"/>
                <w:szCs w:val="20"/>
              </w:rPr>
            </w:pPr>
            <w:r w:rsidRPr="0014721B">
              <w:t>$2.07</w:t>
            </w:r>
          </w:p>
        </w:tc>
        <w:tc>
          <w:tcPr>
            <w:tcW w:w="1225" w:type="pct"/>
          </w:tcPr>
          <w:p w14:paraId="168E1FBC" w14:textId="1FAD2B0E" w:rsidR="00442820" w:rsidRPr="00C043E0" w:rsidRDefault="00442820" w:rsidP="00225EC1">
            <w:pPr>
              <w:rPr>
                <w:rFonts w:ascii="Calibri" w:hAnsi="Calibri"/>
                <w:color w:val="000000"/>
                <w:szCs w:val="20"/>
              </w:rPr>
            </w:pPr>
            <w:r w:rsidRPr="00E81EF4">
              <w:t>$2.07</w:t>
            </w:r>
          </w:p>
        </w:tc>
        <w:tc>
          <w:tcPr>
            <w:tcW w:w="1304" w:type="pct"/>
          </w:tcPr>
          <w:p w14:paraId="65643487" w14:textId="076C70F4" w:rsidR="00442820" w:rsidRPr="00A607D9" w:rsidRDefault="00442820" w:rsidP="00225EC1">
            <w:pPr>
              <w:rPr>
                <w:rFonts w:cstheme="minorHAnsi"/>
                <w:szCs w:val="20"/>
              </w:rPr>
            </w:pPr>
            <w:r w:rsidRPr="00A607D9">
              <w:rPr>
                <w:rFonts w:cstheme="minorHAnsi"/>
                <w:szCs w:val="20"/>
              </w:rPr>
              <w:t>N/A</w:t>
            </w:r>
          </w:p>
        </w:tc>
      </w:tr>
      <w:tr w:rsidR="00442820" w:rsidRPr="00500C4E" w14:paraId="34377445" w14:textId="77777777" w:rsidTr="0007128C">
        <w:tc>
          <w:tcPr>
            <w:tcW w:w="587" w:type="pct"/>
          </w:tcPr>
          <w:p w14:paraId="2865386D" w14:textId="7DBC5B93" w:rsidR="00442820" w:rsidRPr="000658F6" w:rsidRDefault="00442820" w:rsidP="00225EC1">
            <w:pPr>
              <w:rPr>
                <w:rFonts w:ascii="Calibri" w:hAnsi="Calibri"/>
                <w:color w:val="000000"/>
                <w:szCs w:val="20"/>
              </w:rPr>
            </w:pPr>
            <w:r w:rsidRPr="003F6175">
              <w:t>LT-77992</w:t>
            </w:r>
          </w:p>
        </w:tc>
        <w:tc>
          <w:tcPr>
            <w:tcW w:w="618" w:type="pct"/>
          </w:tcPr>
          <w:p w14:paraId="4E327108" w14:textId="60E78E74" w:rsidR="00442820" w:rsidRPr="00A607D9" w:rsidRDefault="00442820" w:rsidP="00225EC1">
            <w:pPr>
              <w:rPr>
                <w:rFonts w:cstheme="minorHAnsi"/>
                <w:szCs w:val="20"/>
              </w:rPr>
            </w:pPr>
            <w:r w:rsidRPr="00A607D9">
              <w:rPr>
                <w:rFonts w:cstheme="minorHAnsi"/>
                <w:szCs w:val="20"/>
              </w:rPr>
              <w:t>ROB</w:t>
            </w:r>
          </w:p>
        </w:tc>
        <w:tc>
          <w:tcPr>
            <w:tcW w:w="1266" w:type="pct"/>
          </w:tcPr>
          <w:p w14:paraId="00272C08" w14:textId="469DB882" w:rsidR="00442820" w:rsidRPr="00C043E0" w:rsidRDefault="00442820" w:rsidP="00225EC1">
            <w:pPr>
              <w:rPr>
                <w:rFonts w:ascii="Calibri" w:hAnsi="Calibri"/>
                <w:color w:val="000000"/>
                <w:szCs w:val="20"/>
              </w:rPr>
            </w:pPr>
            <w:r w:rsidRPr="0014721B">
              <w:t>$2.31</w:t>
            </w:r>
          </w:p>
        </w:tc>
        <w:tc>
          <w:tcPr>
            <w:tcW w:w="1225" w:type="pct"/>
          </w:tcPr>
          <w:p w14:paraId="79D0E680" w14:textId="7300F11F" w:rsidR="00442820" w:rsidRPr="00C043E0" w:rsidRDefault="00442820" w:rsidP="00225EC1">
            <w:pPr>
              <w:rPr>
                <w:rFonts w:ascii="Calibri" w:hAnsi="Calibri"/>
                <w:color w:val="000000"/>
                <w:szCs w:val="20"/>
              </w:rPr>
            </w:pPr>
            <w:r w:rsidRPr="00E81EF4">
              <w:t>$2.31</w:t>
            </w:r>
          </w:p>
        </w:tc>
        <w:tc>
          <w:tcPr>
            <w:tcW w:w="1304" w:type="pct"/>
          </w:tcPr>
          <w:p w14:paraId="5E27B429" w14:textId="6635E774" w:rsidR="00442820" w:rsidRPr="00A607D9" w:rsidRDefault="00442820" w:rsidP="00225EC1">
            <w:pPr>
              <w:rPr>
                <w:rFonts w:cstheme="minorHAnsi"/>
                <w:szCs w:val="20"/>
              </w:rPr>
            </w:pPr>
            <w:r w:rsidRPr="00A607D9">
              <w:rPr>
                <w:rFonts w:cstheme="minorHAnsi"/>
                <w:szCs w:val="20"/>
              </w:rPr>
              <w:t>N/A</w:t>
            </w:r>
          </w:p>
        </w:tc>
      </w:tr>
      <w:tr w:rsidR="00442820" w:rsidRPr="00500C4E" w14:paraId="245F50F9" w14:textId="77777777" w:rsidTr="003840E8">
        <w:tc>
          <w:tcPr>
            <w:tcW w:w="587" w:type="pct"/>
          </w:tcPr>
          <w:p w14:paraId="1253BB7E" w14:textId="6D163A6D" w:rsidR="00442820" w:rsidRDefault="00442820" w:rsidP="00225EC1">
            <w:pPr>
              <w:rPr>
                <w:rFonts w:ascii="Calibri" w:hAnsi="Calibri"/>
                <w:color w:val="000000"/>
                <w:szCs w:val="20"/>
              </w:rPr>
            </w:pPr>
            <w:r w:rsidRPr="003F6175">
              <w:t>LT-66979</w:t>
            </w:r>
          </w:p>
        </w:tc>
        <w:tc>
          <w:tcPr>
            <w:tcW w:w="618" w:type="pct"/>
          </w:tcPr>
          <w:p w14:paraId="314C951C" w14:textId="40C9C369" w:rsidR="00442820" w:rsidRPr="00A607D9" w:rsidRDefault="00442820" w:rsidP="00225EC1">
            <w:pPr>
              <w:rPr>
                <w:rFonts w:cstheme="minorHAnsi"/>
                <w:szCs w:val="20"/>
              </w:rPr>
            </w:pPr>
            <w:r>
              <w:rPr>
                <w:rFonts w:cstheme="minorHAnsi"/>
                <w:szCs w:val="20"/>
              </w:rPr>
              <w:t>ROB</w:t>
            </w:r>
          </w:p>
        </w:tc>
        <w:tc>
          <w:tcPr>
            <w:tcW w:w="1266" w:type="pct"/>
          </w:tcPr>
          <w:p w14:paraId="62011FD2" w14:textId="6EEE41C4" w:rsidR="00442820" w:rsidRPr="00C043E0" w:rsidRDefault="00442820" w:rsidP="00225EC1">
            <w:pPr>
              <w:rPr>
                <w:rFonts w:ascii="Calibri" w:hAnsi="Calibri"/>
                <w:color w:val="000000"/>
                <w:szCs w:val="20"/>
              </w:rPr>
            </w:pPr>
            <w:r w:rsidRPr="0014721B">
              <w:t>$1.80</w:t>
            </w:r>
          </w:p>
        </w:tc>
        <w:tc>
          <w:tcPr>
            <w:tcW w:w="1225" w:type="pct"/>
          </w:tcPr>
          <w:p w14:paraId="602EB485" w14:textId="5B2E76B8" w:rsidR="00442820" w:rsidRPr="00C043E0" w:rsidRDefault="00442820" w:rsidP="00225EC1">
            <w:pPr>
              <w:rPr>
                <w:rFonts w:ascii="Calibri" w:hAnsi="Calibri"/>
                <w:color w:val="000000"/>
                <w:szCs w:val="20"/>
              </w:rPr>
            </w:pPr>
            <w:r w:rsidRPr="00E81EF4">
              <w:t>$1.80</w:t>
            </w:r>
          </w:p>
        </w:tc>
        <w:tc>
          <w:tcPr>
            <w:tcW w:w="1304" w:type="pct"/>
          </w:tcPr>
          <w:p w14:paraId="7AD04E78" w14:textId="46DE04A7" w:rsidR="00442820" w:rsidRPr="00A607D9" w:rsidRDefault="00442820" w:rsidP="00225EC1">
            <w:pPr>
              <w:rPr>
                <w:rFonts w:cstheme="minorHAnsi"/>
                <w:szCs w:val="20"/>
              </w:rPr>
            </w:pPr>
            <w:r>
              <w:rPr>
                <w:rFonts w:cstheme="minorHAnsi"/>
                <w:szCs w:val="20"/>
              </w:rPr>
              <w:t>N/A</w:t>
            </w:r>
          </w:p>
        </w:tc>
      </w:tr>
      <w:tr w:rsidR="00442820" w:rsidRPr="00500C4E" w14:paraId="70AF8377" w14:textId="77777777" w:rsidTr="003840E8">
        <w:tc>
          <w:tcPr>
            <w:tcW w:w="587" w:type="pct"/>
          </w:tcPr>
          <w:p w14:paraId="77B23233" w14:textId="6CB66AF3" w:rsidR="00442820" w:rsidRDefault="00442820" w:rsidP="00225EC1">
            <w:pPr>
              <w:rPr>
                <w:rFonts w:ascii="Calibri" w:hAnsi="Calibri"/>
                <w:color w:val="000000"/>
                <w:szCs w:val="20"/>
              </w:rPr>
            </w:pPr>
            <w:r w:rsidRPr="003F6175">
              <w:t>LT-18900</w:t>
            </w:r>
          </w:p>
        </w:tc>
        <w:tc>
          <w:tcPr>
            <w:tcW w:w="618" w:type="pct"/>
          </w:tcPr>
          <w:p w14:paraId="0A3CD541" w14:textId="175A73A8" w:rsidR="00442820" w:rsidRPr="00A607D9" w:rsidRDefault="00442820" w:rsidP="00225EC1">
            <w:pPr>
              <w:rPr>
                <w:rFonts w:cstheme="minorHAnsi"/>
                <w:szCs w:val="20"/>
              </w:rPr>
            </w:pPr>
            <w:r>
              <w:rPr>
                <w:rFonts w:cstheme="minorHAnsi"/>
                <w:szCs w:val="20"/>
              </w:rPr>
              <w:t>ROB</w:t>
            </w:r>
          </w:p>
        </w:tc>
        <w:tc>
          <w:tcPr>
            <w:tcW w:w="1266" w:type="pct"/>
          </w:tcPr>
          <w:p w14:paraId="5ACDC25A" w14:textId="3EA975FC" w:rsidR="00442820" w:rsidRPr="00C043E0" w:rsidRDefault="00442820" w:rsidP="00225EC1">
            <w:pPr>
              <w:rPr>
                <w:rFonts w:ascii="Calibri" w:hAnsi="Calibri"/>
                <w:color w:val="000000"/>
                <w:szCs w:val="20"/>
              </w:rPr>
            </w:pPr>
            <w:r w:rsidRPr="0014721B">
              <w:t>$1.80</w:t>
            </w:r>
          </w:p>
        </w:tc>
        <w:tc>
          <w:tcPr>
            <w:tcW w:w="1225" w:type="pct"/>
          </w:tcPr>
          <w:p w14:paraId="22A5E930" w14:textId="6C3116CC" w:rsidR="00442820" w:rsidRPr="00C043E0" w:rsidRDefault="00442820" w:rsidP="00225EC1">
            <w:pPr>
              <w:rPr>
                <w:rFonts w:ascii="Calibri" w:hAnsi="Calibri"/>
                <w:color w:val="000000"/>
                <w:szCs w:val="20"/>
              </w:rPr>
            </w:pPr>
            <w:r w:rsidRPr="00E81EF4">
              <w:t>$1.80</w:t>
            </w:r>
          </w:p>
        </w:tc>
        <w:tc>
          <w:tcPr>
            <w:tcW w:w="1304" w:type="pct"/>
          </w:tcPr>
          <w:p w14:paraId="51EF9EE4" w14:textId="4E654D3D" w:rsidR="00442820" w:rsidRPr="00A607D9" w:rsidRDefault="00442820" w:rsidP="00225EC1">
            <w:pPr>
              <w:rPr>
                <w:rFonts w:cstheme="minorHAnsi"/>
                <w:szCs w:val="20"/>
              </w:rPr>
            </w:pPr>
            <w:r>
              <w:rPr>
                <w:rFonts w:cstheme="minorHAnsi"/>
                <w:szCs w:val="20"/>
              </w:rPr>
              <w:t>N/A</w:t>
            </w:r>
          </w:p>
        </w:tc>
      </w:tr>
    </w:tbl>
    <w:p w14:paraId="37E9FBDB" w14:textId="656CA015"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6C0A6530" w14:textId="73AA8DA8" w:rsidR="00501CF2" w:rsidRPr="0007128C" w:rsidRDefault="00D31890" w:rsidP="0007128C">
      <w:pPr>
        <w:pStyle w:val="ListParagraph"/>
        <w:numPr>
          <w:ilvl w:val="0"/>
          <w:numId w:val="40"/>
        </w:numPr>
        <w:rPr>
          <w:rFonts w:cstheme="minorHAnsi"/>
        </w:rPr>
      </w:pPr>
      <w:r w:rsidRPr="0007128C">
        <w:rPr>
          <w:rFonts w:cstheme="minorHAnsi"/>
        </w:rPr>
        <w:t>SCE17LG072.</w:t>
      </w:r>
      <w:r w:rsidR="0007128C">
        <w:rPr>
          <w:rFonts w:cstheme="minorHAnsi"/>
        </w:rPr>
        <w:t>1</w:t>
      </w:r>
      <w:r w:rsidRPr="0007128C">
        <w:rPr>
          <w:rFonts w:cstheme="minorHAnsi"/>
        </w:rPr>
        <w:t xml:space="preserve"> A1 - Calculation TemplatesSCE17LG072.</w:t>
      </w:r>
      <w:r w:rsidR="0007128C">
        <w:rPr>
          <w:rFonts w:cstheme="minorHAnsi"/>
        </w:rPr>
        <w:t>1</w:t>
      </w:r>
      <w:r w:rsidRPr="0007128C">
        <w:rPr>
          <w:rFonts w:cstheme="minorHAnsi"/>
        </w:rPr>
        <w:t xml:space="preserve"> A2 - </w:t>
      </w:r>
      <w:r w:rsidRPr="0007128C">
        <w:rPr>
          <w:rFonts w:ascii="Calibri" w:hAnsi="Calibri" w:cs="Calibri"/>
          <w:szCs w:val="22"/>
        </w:rPr>
        <w:t>PG&amp;E Lighting Study</w:t>
      </w:r>
    </w:p>
    <w:p w14:paraId="56065B9C" w14:textId="71095140" w:rsidR="00D31890" w:rsidRDefault="00D31890" w:rsidP="000C67AD">
      <w:pPr>
        <w:pStyle w:val="ListParagraph"/>
        <w:numPr>
          <w:ilvl w:val="0"/>
          <w:numId w:val="40"/>
        </w:numPr>
        <w:rPr>
          <w:rFonts w:cstheme="minorHAnsi"/>
        </w:rPr>
      </w:pPr>
      <w:r w:rsidRPr="00D31890">
        <w:rPr>
          <w:rFonts w:cstheme="minorHAnsi"/>
        </w:rPr>
        <w:t>SCE17LG072.</w:t>
      </w:r>
      <w:r w:rsidR="0007128C">
        <w:rPr>
          <w:rFonts w:cstheme="minorHAnsi"/>
        </w:rPr>
        <w:t>1</w:t>
      </w:r>
      <w:r w:rsidRPr="00D31890">
        <w:rPr>
          <w:rFonts w:cstheme="minorHAnsi"/>
        </w:rPr>
        <w:t xml:space="preserve"> </w:t>
      </w:r>
      <w:r>
        <w:rPr>
          <w:rFonts w:cstheme="minorHAnsi"/>
        </w:rPr>
        <w:t>A3 -</w:t>
      </w:r>
      <w:r w:rsidRPr="00D31890">
        <w:rPr>
          <w:rFonts w:cstheme="minorHAnsi"/>
        </w:rPr>
        <w:t xml:space="preserve"> </w:t>
      </w:r>
      <w:r>
        <w:rPr>
          <w:rFonts w:cstheme="minorHAnsi"/>
        </w:rPr>
        <w:t>Cost Calculations</w:t>
      </w:r>
    </w:p>
    <w:p w14:paraId="59544CAA" w14:textId="4980ABC2" w:rsidR="00D31890" w:rsidRDefault="00D31890" w:rsidP="000C67AD">
      <w:pPr>
        <w:pStyle w:val="ListParagraph"/>
        <w:numPr>
          <w:ilvl w:val="0"/>
          <w:numId w:val="40"/>
        </w:numPr>
        <w:rPr>
          <w:rFonts w:cstheme="minorHAnsi"/>
        </w:rPr>
      </w:pPr>
      <w:r w:rsidRPr="00D31890">
        <w:rPr>
          <w:rFonts w:cstheme="minorHAnsi"/>
        </w:rPr>
        <w:t>SCE17LG072.</w:t>
      </w:r>
      <w:r w:rsidR="0007128C">
        <w:rPr>
          <w:rFonts w:cstheme="minorHAnsi"/>
        </w:rPr>
        <w:t>1</w:t>
      </w:r>
      <w:r w:rsidRPr="00D31890">
        <w:rPr>
          <w:rFonts w:cstheme="minorHAnsi"/>
        </w:rPr>
        <w:t xml:space="preserve"> </w:t>
      </w:r>
      <w:r>
        <w:rPr>
          <w:rFonts w:cstheme="minorHAnsi"/>
        </w:rPr>
        <w:t xml:space="preserve">A4 - </w:t>
      </w:r>
      <w:r w:rsidRPr="00D31890">
        <w:rPr>
          <w:rFonts w:cstheme="minorHAnsi"/>
        </w:rPr>
        <w:t>2017SCrewInLampDisposition – 1March2017-Final</w:t>
      </w:r>
      <w:r w:rsidRPr="00D31890" w:rsidDel="00D31890">
        <w:rPr>
          <w:rFonts w:cstheme="minorHAnsi"/>
        </w:rPr>
        <w:t xml:space="preserve"> </w:t>
      </w:r>
    </w:p>
    <w:p w14:paraId="01C62023" w14:textId="7CFFA451" w:rsidR="00CC1623" w:rsidRPr="00436D41" w:rsidRDefault="00D31890" w:rsidP="0007128C">
      <w:pPr>
        <w:pStyle w:val="ListParagraph"/>
        <w:numPr>
          <w:ilvl w:val="0"/>
          <w:numId w:val="40"/>
        </w:numPr>
        <w:rPr>
          <w:rFonts w:cstheme="minorHAnsi"/>
        </w:rPr>
      </w:pPr>
      <w:r w:rsidRPr="00D31890">
        <w:rPr>
          <w:rFonts w:cstheme="minorHAnsi"/>
        </w:rPr>
        <w:t>SCE17LG072.</w:t>
      </w:r>
      <w:r w:rsidR="0007128C">
        <w:rPr>
          <w:rFonts w:cstheme="minorHAnsi"/>
        </w:rPr>
        <w:t>1</w:t>
      </w:r>
      <w:r w:rsidRPr="00D31890">
        <w:rPr>
          <w:rFonts w:cstheme="minorHAnsi"/>
        </w:rPr>
        <w:t xml:space="preserve"> </w:t>
      </w:r>
      <w:r>
        <w:rPr>
          <w:rFonts w:cstheme="minorHAnsi"/>
        </w:rPr>
        <w:t>A5</w:t>
      </w:r>
      <w:r w:rsidR="00CC1623">
        <w:rPr>
          <w:rFonts w:cstheme="minorHAnsi"/>
        </w:rPr>
        <w:t xml:space="preserve"> </w:t>
      </w:r>
      <w:r>
        <w:rPr>
          <w:rFonts w:cstheme="minorHAnsi"/>
        </w:rPr>
        <w:t xml:space="preserve">- </w:t>
      </w:r>
      <w:r w:rsidRPr="00D31890">
        <w:rPr>
          <w:rFonts w:cstheme="minorHAnsi"/>
        </w:rPr>
        <w:t>2017SCrewInLampDisposition – Revisions-26May2017</w:t>
      </w:r>
    </w:p>
    <w:p w14:paraId="1E935C74" w14:textId="0ACB4019" w:rsidR="00000223" w:rsidRPr="00D31890" w:rsidRDefault="00000223" w:rsidP="0007128C">
      <w:pPr>
        <w:pStyle w:val="ListParagraph"/>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7BA9D59" w14:textId="639FEF4D" w:rsidR="00405AB5" w:rsidRDefault="00596269" w:rsidP="00780CE0">
      <w:pPr>
        <w:rPr>
          <w:color w:val="FF0000"/>
        </w:rPr>
      </w:pPr>
      <w:r>
        <w:rPr>
          <w:color w:val="FF0000"/>
        </w:rPr>
        <w:object w:dxaOrig="1513" w:dyaOrig="961" w14:anchorId="09AC5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8pt" o:ole="">
            <v:imagedata r:id="rId14" o:title=""/>
          </v:shape>
          <o:OLEObject Type="Embed" ProgID="Excel.Sheet.12" ShapeID="_x0000_i1025" DrawAspect="Icon" ObjectID="_1560249313" r:id="rId15"/>
        </w:object>
      </w:r>
    </w:p>
    <w:p w14:paraId="134635CD" w14:textId="078AA9BB" w:rsidR="00C043E0" w:rsidRDefault="00C043E0" w:rsidP="00780CE0">
      <w:pPr>
        <w:rPr>
          <w:rFonts w:cstheme="minorHAnsi"/>
        </w:rPr>
      </w:pPr>
      <w:r>
        <w:rPr>
          <w:rFonts w:cstheme="minorHAnsi"/>
        </w:rPr>
        <w:t>[29]</w:t>
      </w:r>
    </w:p>
    <w:p w14:paraId="6D9E1D82" w14:textId="65DEF55E" w:rsidR="00C043E0" w:rsidRDefault="00C043E0" w:rsidP="00780CE0">
      <w:pPr>
        <w:rPr>
          <w:rFonts w:cstheme="minorHAnsi"/>
        </w:rPr>
      </w:pPr>
      <w:r>
        <w:rPr>
          <w:rFonts w:cstheme="minorHAnsi"/>
        </w:rPr>
        <w:t>[328]</w:t>
      </w:r>
    </w:p>
    <w:p w14:paraId="3577FBC7" w14:textId="56044527" w:rsidR="00C043E0" w:rsidRPr="00181968" w:rsidRDefault="00C043E0" w:rsidP="00780CE0">
      <w:pPr>
        <w:rPr>
          <w:rFonts w:cstheme="minorHAnsi"/>
        </w:rPr>
      </w:pPr>
      <w:r>
        <w:rPr>
          <w:rFonts w:cstheme="minorHAnsi"/>
        </w:rPr>
        <w:t>[432]</w:t>
      </w:r>
    </w:p>
    <w:p w14:paraId="26A33E68" w14:textId="107F04D9" w:rsidR="00780CE0" w:rsidRDefault="00780CE0" w:rsidP="00780CE0">
      <w:pPr>
        <w:rPr>
          <w:rFonts w:cstheme="minorHAnsi"/>
        </w:rPr>
      </w:pPr>
      <w:r w:rsidRPr="00181968">
        <w:rPr>
          <w:rFonts w:cstheme="minorHAnsi"/>
        </w:rPr>
        <w:t>[49</w:t>
      </w:r>
      <w:r w:rsidR="003B3CE6">
        <w:rPr>
          <w:rFonts w:cstheme="minorHAnsi"/>
        </w:rPr>
        <w:t>3</w:t>
      </w:r>
      <w:r w:rsidRPr="00181968">
        <w:rPr>
          <w:rFonts w:cstheme="minorHAnsi"/>
        </w:rPr>
        <w:t>]</w:t>
      </w:r>
    </w:p>
    <w:p w14:paraId="43CB73CF" w14:textId="77777777" w:rsidR="00BF6EE0" w:rsidRDefault="00BF6EE0" w:rsidP="00BF6EE0">
      <w:pPr>
        <w:rPr>
          <w:rFonts w:cstheme="minorHAnsi"/>
        </w:rPr>
      </w:pPr>
      <w:r>
        <w:rPr>
          <w:rFonts w:cstheme="minorHAnsi"/>
        </w:rPr>
        <w:t>[496</w:t>
      </w:r>
      <w:r w:rsidRPr="00181968">
        <w:rPr>
          <w:rFonts w:cstheme="minorHAnsi"/>
        </w:rPr>
        <w:t>]</w:t>
      </w:r>
    </w:p>
    <w:p w14:paraId="7895A3B8" w14:textId="57EA6BC3" w:rsidR="00780CE0" w:rsidRPr="001A3D82" w:rsidRDefault="00780CE0" w:rsidP="001A3D82">
      <w:pPr>
        <w:pStyle w:val="Caption"/>
        <w:rPr>
          <w:b w:val="0"/>
          <w:szCs w:val="22"/>
        </w:rPr>
      </w:pPr>
    </w:p>
    <w:sectPr w:rsidR="00780CE0" w:rsidRPr="001A3D82" w:rsidSect="00E87C8F">
      <w:footerReference w:type="default" r:id="rId16"/>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F8D674" w15:done="0"/>
  <w15:commentEx w15:paraId="789B9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795D5" w14:textId="77777777" w:rsidR="00771E30" w:rsidRDefault="00771E30" w:rsidP="00447D6E">
      <w:r>
        <w:separator/>
      </w:r>
    </w:p>
    <w:p w14:paraId="677BF820" w14:textId="77777777" w:rsidR="00771E30" w:rsidRDefault="00771E30"/>
  </w:endnote>
  <w:endnote w:type="continuationSeparator" w:id="0">
    <w:p w14:paraId="5E9882B6" w14:textId="77777777" w:rsidR="00771E30" w:rsidRDefault="00771E30" w:rsidP="00447D6E">
      <w:r>
        <w:continuationSeparator/>
      </w:r>
    </w:p>
    <w:p w14:paraId="1BDB5B28" w14:textId="77777777" w:rsidR="00771E30" w:rsidRDefault="0077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7EAE5833" w:rsidR="0007128C" w:rsidRDefault="00B055B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07128C">
          <w:rPr>
            <w:rFonts w:cstheme="minorHAnsi"/>
            <w:b/>
            <w:sz w:val="36"/>
            <w:szCs w:val="36"/>
          </w:rPr>
          <w:t>June 19, 2017</w:t>
        </w:r>
      </w:sdtContent>
    </w:sdt>
  </w:p>
  <w:p w14:paraId="650DB54B" w14:textId="670C7D5C" w:rsidR="0007128C" w:rsidRPr="009500DC" w:rsidRDefault="0007128C"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4160FFBE" w:rsidR="0007128C" w:rsidRPr="009500DC" w:rsidRDefault="00B055B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7128C">
          <w:rPr>
            <w:rFonts w:cstheme="minorHAnsi"/>
            <w:b/>
            <w:sz w:val="20"/>
            <w:szCs w:val="20"/>
          </w:rPr>
          <w:t>SCE17LG072</w:t>
        </w:r>
      </w:sdtContent>
    </w:sdt>
    <w:r w:rsidR="0007128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7128C">
          <w:rPr>
            <w:rFonts w:cstheme="minorHAnsi"/>
            <w:b/>
            <w:sz w:val="20"/>
            <w:szCs w:val="20"/>
          </w:rPr>
          <w:t>Revision 1</w:t>
        </w:r>
      </w:sdtContent>
    </w:sdt>
    <w:r w:rsidR="0007128C" w:rsidRPr="009500DC">
      <w:rPr>
        <w:rFonts w:cstheme="minorHAnsi"/>
        <w:b/>
        <w:sz w:val="20"/>
        <w:szCs w:val="20"/>
      </w:rPr>
      <w:tab/>
    </w:r>
    <w:r w:rsidR="0007128C" w:rsidRPr="009500DC">
      <w:rPr>
        <w:rFonts w:cstheme="minorHAnsi"/>
        <w:b/>
        <w:sz w:val="20"/>
        <w:szCs w:val="20"/>
      </w:rPr>
      <w:fldChar w:fldCharType="begin"/>
    </w:r>
    <w:r w:rsidR="0007128C" w:rsidRPr="009500DC">
      <w:rPr>
        <w:rFonts w:cstheme="minorHAnsi"/>
        <w:b/>
        <w:sz w:val="20"/>
        <w:szCs w:val="20"/>
      </w:rPr>
      <w:instrText xml:space="preserve"> PAGE   \* MERGEFORMAT </w:instrText>
    </w:r>
    <w:r w:rsidR="0007128C" w:rsidRPr="009500DC">
      <w:rPr>
        <w:rFonts w:cstheme="minorHAnsi"/>
        <w:b/>
        <w:sz w:val="20"/>
        <w:szCs w:val="20"/>
      </w:rPr>
      <w:fldChar w:fldCharType="separate"/>
    </w:r>
    <w:r>
      <w:rPr>
        <w:rFonts w:cstheme="minorHAnsi"/>
        <w:b/>
        <w:noProof/>
        <w:sz w:val="20"/>
        <w:szCs w:val="20"/>
      </w:rPr>
      <w:t>5</w:t>
    </w:r>
    <w:r w:rsidR="0007128C" w:rsidRPr="009500DC">
      <w:rPr>
        <w:rFonts w:cstheme="minorHAnsi"/>
        <w:b/>
        <w:noProof/>
        <w:sz w:val="20"/>
        <w:szCs w:val="20"/>
      </w:rPr>
      <w:fldChar w:fldCharType="end"/>
    </w:r>
    <w:r w:rsidR="0007128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07128C">
          <w:rPr>
            <w:rFonts w:cstheme="minorHAnsi"/>
            <w:b/>
            <w:sz w:val="20"/>
            <w:szCs w:val="20"/>
          </w:rPr>
          <w:t>June 19, 2017</w:t>
        </w:r>
      </w:sdtContent>
    </w:sdt>
  </w:p>
  <w:p w14:paraId="43C07EA5" w14:textId="544E4323" w:rsidR="0007128C" w:rsidRPr="009500DC" w:rsidRDefault="00B055B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7128C">
          <w:rPr>
            <w:rFonts w:cstheme="minorHAnsi"/>
            <w:b/>
            <w:sz w:val="20"/>
            <w:szCs w:val="20"/>
          </w:rPr>
          <w:t>Southern California Edison</w:t>
        </w:r>
      </w:sdtContent>
    </w:sdt>
  </w:p>
  <w:p w14:paraId="4AC7586E" w14:textId="77777777" w:rsidR="0007128C" w:rsidRDefault="0007128C"/>
  <w:p w14:paraId="5C9861A8" w14:textId="77777777" w:rsidR="0007128C" w:rsidRDefault="000712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295E3" w14:textId="77777777" w:rsidR="00771E30" w:rsidRDefault="00771E30" w:rsidP="00447D6E">
      <w:r>
        <w:separator/>
      </w:r>
    </w:p>
    <w:p w14:paraId="431CF065" w14:textId="77777777" w:rsidR="00771E30" w:rsidRDefault="00771E30"/>
  </w:footnote>
  <w:footnote w:type="continuationSeparator" w:id="0">
    <w:p w14:paraId="388B46E0" w14:textId="77777777" w:rsidR="00771E30" w:rsidRDefault="00771E30" w:rsidP="00447D6E">
      <w:r>
        <w:continuationSeparator/>
      </w:r>
    </w:p>
    <w:p w14:paraId="522ACFC6" w14:textId="77777777" w:rsidR="00771E30" w:rsidRDefault="00771E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0E972F3"/>
    <w:multiLevelType w:val="hybridMultilevel"/>
    <w:tmpl w:val="3C281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E2341E"/>
    <w:multiLevelType w:val="hybridMultilevel"/>
    <w:tmpl w:val="30FE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282186"/>
    <w:multiLevelType w:val="hybridMultilevel"/>
    <w:tmpl w:val="C05ADE9A"/>
    <w:lvl w:ilvl="0" w:tplc="69845E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B32FE"/>
    <w:multiLevelType w:val="hybridMultilevel"/>
    <w:tmpl w:val="CAA6E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4A6470"/>
    <w:multiLevelType w:val="hybridMultilevel"/>
    <w:tmpl w:val="DB98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9C6B6A"/>
    <w:multiLevelType w:val="hybridMultilevel"/>
    <w:tmpl w:val="E5CE9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F94846"/>
    <w:multiLevelType w:val="hybridMultilevel"/>
    <w:tmpl w:val="E8EC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64402A"/>
    <w:multiLevelType w:val="hybridMultilevel"/>
    <w:tmpl w:val="8FFC5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E7492F"/>
    <w:multiLevelType w:val="hybridMultilevel"/>
    <w:tmpl w:val="7658A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563CC3"/>
    <w:multiLevelType w:val="hybridMultilevel"/>
    <w:tmpl w:val="9B9A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601619"/>
    <w:multiLevelType w:val="hybridMultilevel"/>
    <w:tmpl w:val="070EF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3A7C71"/>
    <w:multiLevelType w:val="hybridMultilevel"/>
    <w:tmpl w:val="FE5497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EA84C39"/>
    <w:multiLevelType w:val="hybridMultilevel"/>
    <w:tmpl w:val="D7020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24"/>
  </w:num>
  <w:num w:numId="3">
    <w:abstractNumId w:val="23"/>
  </w:num>
  <w:num w:numId="4">
    <w:abstractNumId w:val="20"/>
  </w:num>
  <w:num w:numId="5">
    <w:abstractNumId w:val="20"/>
  </w:num>
  <w:num w:numId="6">
    <w:abstractNumId w:val="2"/>
  </w:num>
  <w:num w:numId="7">
    <w:abstractNumId w:val="26"/>
  </w:num>
  <w:num w:numId="8">
    <w:abstractNumId w:val="22"/>
  </w:num>
  <w:num w:numId="9">
    <w:abstractNumId w:val="13"/>
  </w:num>
  <w:num w:numId="10">
    <w:abstractNumId w:val="8"/>
  </w:num>
  <w:num w:numId="11">
    <w:abstractNumId w:val="27"/>
  </w:num>
  <w:num w:numId="12">
    <w:abstractNumId w:val="19"/>
  </w:num>
  <w:num w:numId="13">
    <w:abstractNumId w:val="12"/>
  </w:num>
  <w:num w:numId="14">
    <w:abstractNumId w:val="40"/>
  </w:num>
  <w:num w:numId="15">
    <w:abstractNumId w:val="10"/>
  </w:num>
  <w:num w:numId="16">
    <w:abstractNumId w:val="14"/>
  </w:num>
  <w:num w:numId="17">
    <w:abstractNumId w:val="6"/>
  </w:num>
  <w:num w:numId="18">
    <w:abstractNumId w:val="0"/>
  </w:num>
  <w:num w:numId="19">
    <w:abstractNumId w:val="39"/>
  </w:num>
  <w:num w:numId="20">
    <w:abstractNumId w:val="5"/>
  </w:num>
  <w:num w:numId="21">
    <w:abstractNumId w:val="30"/>
  </w:num>
  <w:num w:numId="22">
    <w:abstractNumId w:val="31"/>
  </w:num>
  <w:num w:numId="23">
    <w:abstractNumId w:val="41"/>
  </w:num>
  <w:num w:numId="24">
    <w:abstractNumId w:val="37"/>
  </w:num>
  <w:num w:numId="25">
    <w:abstractNumId w:val="16"/>
  </w:num>
  <w:num w:numId="26">
    <w:abstractNumId w:val="18"/>
  </w:num>
  <w:num w:numId="27">
    <w:abstractNumId w:val="33"/>
  </w:num>
  <w:num w:numId="28">
    <w:abstractNumId w:val="17"/>
  </w:num>
  <w:num w:numId="29">
    <w:abstractNumId w:val="9"/>
  </w:num>
  <w:num w:numId="30">
    <w:abstractNumId w:val="1"/>
  </w:num>
  <w:num w:numId="31">
    <w:abstractNumId w:val="42"/>
  </w:num>
  <w:num w:numId="32">
    <w:abstractNumId w:val="29"/>
  </w:num>
  <w:num w:numId="33">
    <w:abstractNumId w:val="36"/>
  </w:num>
  <w:num w:numId="34">
    <w:abstractNumId w:val="11"/>
  </w:num>
  <w:num w:numId="35">
    <w:abstractNumId w:val="43"/>
  </w:num>
  <w:num w:numId="36">
    <w:abstractNumId w:val="34"/>
  </w:num>
  <w:num w:numId="37">
    <w:abstractNumId w:val="4"/>
  </w:num>
  <w:num w:numId="38">
    <w:abstractNumId w:val="25"/>
  </w:num>
  <w:num w:numId="39">
    <w:abstractNumId w:val="7"/>
  </w:num>
  <w:num w:numId="40">
    <w:abstractNumId w:val="28"/>
  </w:num>
  <w:num w:numId="41">
    <w:abstractNumId w:val="21"/>
  </w:num>
  <w:num w:numId="42">
    <w:abstractNumId w:val="38"/>
  </w:num>
  <w:num w:numId="43">
    <w:abstractNumId w:val="3"/>
  </w:num>
  <w:num w:numId="44">
    <w:abstractNumId w:val="15"/>
  </w:num>
  <w:num w:numId="45">
    <w:abstractNumId w:val="44"/>
  </w:num>
  <w:num w:numId="46">
    <w:abstractNumId w:val="32"/>
  </w:num>
  <w:num w:numId="47">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ga, Kara">
    <w15:presenceInfo w15:providerId="AD" w15:userId="S-1-5-21-1786704334-1080620903-3496478664-3333"/>
  </w15:person>
  <w15:person w15:author="Casco, Lake">
    <w15:presenceInfo w15:providerId="AD" w15:userId="S-1-5-21-1786704334-1080620903-3496478664-623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223"/>
    <w:rsid w:val="00000FCE"/>
    <w:rsid w:val="000016DB"/>
    <w:rsid w:val="00005902"/>
    <w:rsid w:val="00005C13"/>
    <w:rsid w:val="00006C67"/>
    <w:rsid w:val="0001002B"/>
    <w:rsid w:val="00010806"/>
    <w:rsid w:val="00013F71"/>
    <w:rsid w:val="000173BF"/>
    <w:rsid w:val="00024252"/>
    <w:rsid w:val="000245B5"/>
    <w:rsid w:val="00027183"/>
    <w:rsid w:val="00033EA1"/>
    <w:rsid w:val="0003746D"/>
    <w:rsid w:val="0004020F"/>
    <w:rsid w:val="0004046F"/>
    <w:rsid w:val="00041294"/>
    <w:rsid w:val="000436CB"/>
    <w:rsid w:val="00051D9A"/>
    <w:rsid w:val="000526ED"/>
    <w:rsid w:val="00052E17"/>
    <w:rsid w:val="00056947"/>
    <w:rsid w:val="00061A8E"/>
    <w:rsid w:val="0006384E"/>
    <w:rsid w:val="00064CB3"/>
    <w:rsid w:val="000658F6"/>
    <w:rsid w:val="00070BEE"/>
    <w:rsid w:val="0007128C"/>
    <w:rsid w:val="00072040"/>
    <w:rsid w:val="00072FCD"/>
    <w:rsid w:val="00076DF4"/>
    <w:rsid w:val="00076F51"/>
    <w:rsid w:val="00077390"/>
    <w:rsid w:val="00081D1F"/>
    <w:rsid w:val="0008524C"/>
    <w:rsid w:val="00086F7F"/>
    <w:rsid w:val="0009074D"/>
    <w:rsid w:val="00090DD0"/>
    <w:rsid w:val="0009592B"/>
    <w:rsid w:val="000968C6"/>
    <w:rsid w:val="000A1774"/>
    <w:rsid w:val="000A60D3"/>
    <w:rsid w:val="000A63C9"/>
    <w:rsid w:val="000B3765"/>
    <w:rsid w:val="000B655B"/>
    <w:rsid w:val="000C0000"/>
    <w:rsid w:val="000C18CC"/>
    <w:rsid w:val="000C67AD"/>
    <w:rsid w:val="000C687D"/>
    <w:rsid w:val="000C7ED1"/>
    <w:rsid w:val="000D2756"/>
    <w:rsid w:val="000D789A"/>
    <w:rsid w:val="000E4B5F"/>
    <w:rsid w:val="000E706D"/>
    <w:rsid w:val="000F130A"/>
    <w:rsid w:val="000F4FD8"/>
    <w:rsid w:val="00101B50"/>
    <w:rsid w:val="00107242"/>
    <w:rsid w:val="0011178B"/>
    <w:rsid w:val="00111CC5"/>
    <w:rsid w:val="00111CE7"/>
    <w:rsid w:val="00113F99"/>
    <w:rsid w:val="001206F7"/>
    <w:rsid w:val="001236C1"/>
    <w:rsid w:val="00127174"/>
    <w:rsid w:val="00133EE8"/>
    <w:rsid w:val="00140B30"/>
    <w:rsid w:val="00142F62"/>
    <w:rsid w:val="00147155"/>
    <w:rsid w:val="00151589"/>
    <w:rsid w:val="00153CB3"/>
    <w:rsid w:val="00154A2B"/>
    <w:rsid w:val="00154C3B"/>
    <w:rsid w:val="001564FA"/>
    <w:rsid w:val="00160158"/>
    <w:rsid w:val="0016201D"/>
    <w:rsid w:val="00165357"/>
    <w:rsid w:val="00171158"/>
    <w:rsid w:val="001722B7"/>
    <w:rsid w:val="001727D9"/>
    <w:rsid w:val="00174BB4"/>
    <w:rsid w:val="00175D14"/>
    <w:rsid w:val="001811EE"/>
    <w:rsid w:val="00185AD4"/>
    <w:rsid w:val="00191CDA"/>
    <w:rsid w:val="001979AF"/>
    <w:rsid w:val="001A0EB4"/>
    <w:rsid w:val="001A1A86"/>
    <w:rsid w:val="001A3D82"/>
    <w:rsid w:val="001A5F62"/>
    <w:rsid w:val="001B015E"/>
    <w:rsid w:val="001B2301"/>
    <w:rsid w:val="001B618B"/>
    <w:rsid w:val="001C1338"/>
    <w:rsid w:val="001C4140"/>
    <w:rsid w:val="001C5A94"/>
    <w:rsid w:val="001D1A2A"/>
    <w:rsid w:val="001D2317"/>
    <w:rsid w:val="001D3223"/>
    <w:rsid w:val="001D33EF"/>
    <w:rsid w:val="001D3875"/>
    <w:rsid w:val="001D5AB3"/>
    <w:rsid w:val="001E0519"/>
    <w:rsid w:val="001E0829"/>
    <w:rsid w:val="001E1320"/>
    <w:rsid w:val="001E556A"/>
    <w:rsid w:val="001F05CE"/>
    <w:rsid w:val="001F1905"/>
    <w:rsid w:val="001F4A65"/>
    <w:rsid w:val="00205C45"/>
    <w:rsid w:val="0021035B"/>
    <w:rsid w:val="00211153"/>
    <w:rsid w:val="002156BC"/>
    <w:rsid w:val="00225EC1"/>
    <w:rsid w:val="0023254A"/>
    <w:rsid w:val="002344FB"/>
    <w:rsid w:val="00236216"/>
    <w:rsid w:val="002405CD"/>
    <w:rsid w:val="00240B74"/>
    <w:rsid w:val="0024350E"/>
    <w:rsid w:val="00243B62"/>
    <w:rsid w:val="00244099"/>
    <w:rsid w:val="0024675B"/>
    <w:rsid w:val="002469DD"/>
    <w:rsid w:val="00247180"/>
    <w:rsid w:val="00254671"/>
    <w:rsid w:val="00257D36"/>
    <w:rsid w:val="00263C1C"/>
    <w:rsid w:val="00271415"/>
    <w:rsid w:val="0027229B"/>
    <w:rsid w:val="00274FBE"/>
    <w:rsid w:val="002762E1"/>
    <w:rsid w:val="002811BC"/>
    <w:rsid w:val="00283DE8"/>
    <w:rsid w:val="00284686"/>
    <w:rsid w:val="00285552"/>
    <w:rsid w:val="00285966"/>
    <w:rsid w:val="00285A0D"/>
    <w:rsid w:val="00290ED8"/>
    <w:rsid w:val="00294CD6"/>
    <w:rsid w:val="00296B49"/>
    <w:rsid w:val="002A03FC"/>
    <w:rsid w:val="002A1843"/>
    <w:rsid w:val="002A3D26"/>
    <w:rsid w:val="002A523E"/>
    <w:rsid w:val="002A7614"/>
    <w:rsid w:val="002B0E21"/>
    <w:rsid w:val="002B1ADF"/>
    <w:rsid w:val="002B502E"/>
    <w:rsid w:val="002B657B"/>
    <w:rsid w:val="002C2853"/>
    <w:rsid w:val="002C444C"/>
    <w:rsid w:val="002C458F"/>
    <w:rsid w:val="002C6C20"/>
    <w:rsid w:val="002C6C7A"/>
    <w:rsid w:val="002C7F78"/>
    <w:rsid w:val="002D5277"/>
    <w:rsid w:val="002D71FA"/>
    <w:rsid w:val="002D73AF"/>
    <w:rsid w:val="002E1B23"/>
    <w:rsid w:val="002E4FD9"/>
    <w:rsid w:val="002E5B58"/>
    <w:rsid w:val="002F1437"/>
    <w:rsid w:val="002F35C6"/>
    <w:rsid w:val="002F3943"/>
    <w:rsid w:val="002F4E34"/>
    <w:rsid w:val="002F6A42"/>
    <w:rsid w:val="002F79E7"/>
    <w:rsid w:val="003003EC"/>
    <w:rsid w:val="003035E3"/>
    <w:rsid w:val="0030363A"/>
    <w:rsid w:val="00317970"/>
    <w:rsid w:val="00317EB0"/>
    <w:rsid w:val="00320048"/>
    <w:rsid w:val="00327FC9"/>
    <w:rsid w:val="00332700"/>
    <w:rsid w:val="003358BD"/>
    <w:rsid w:val="00343199"/>
    <w:rsid w:val="00344E88"/>
    <w:rsid w:val="00345D80"/>
    <w:rsid w:val="003471D4"/>
    <w:rsid w:val="00350090"/>
    <w:rsid w:val="00350BF1"/>
    <w:rsid w:val="00353C49"/>
    <w:rsid w:val="003540B1"/>
    <w:rsid w:val="003557E9"/>
    <w:rsid w:val="003560BA"/>
    <w:rsid w:val="00361731"/>
    <w:rsid w:val="00364CC6"/>
    <w:rsid w:val="003650F6"/>
    <w:rsid w:val="0036726C"/>
    <w:rsid w:val="0037716E"/>
    <w:rsid w:val="003832D2"/>
    <w:rsid w:val="003840E8"/>
    <w:rsid w:val="003845E5"/>
    <w:rsid w:val="00390F9F"/>
    <w:rsid w:val="00393137"/>
    <w:rsid w:val="00397406"/>
    <w:rsid w:val="003A3170"/>
    <w:rsid w:val="003A360E"/>
    <w:rsid w:val="003B3CE6"/>
    <w:rsid w:val="003C7539"/>
    <w:rsid w:val="003D17FF"/>
    <w:rsid w:val="003D2871"/>
    <w:rsid w:val="003D5B83"/>
    <w:rsid w:val="003E41A8"/>
    <w:rsid w:val="003E6E47"/>
    <w:rsid w:val="003F0623"/>
    <w:rsid w:val="003F33DE"/>
    <w:rsid w:val="003F35F8"/>
    <w:rsid w:val="003F3A41"/>
    <w:rsid w:val="003F67E9"/>
    <w:rsid w:val="004000A9"/>
    <w:rsid w:val="00401031"/>
    <w:rsid w:val="004023B7"/>
    <w:rsid w:val="004045A0"/>
    <w:rsid w:val="00405AB5"/>
    <w:rsid w:val="00413CDB"/>
    <w:rsid w:val="004200FE"/>
    <w:rsid w:val="00421183"/>
    <w:rsid w:val="00421BA6"/>
    <w:rsid w:val="00421C17"/>
    <w:rsid w:val="004230CA"/>
    <w:rsid w:val="00426CDE"/>
    <w:rsid w:val="00433EA1"/>
    <w:rsid w:val="00436D41"/>
    <w:rsid w:val="004405B6"/>
    <w:rsid w:val="00441957"/>
    <w:rsid w:val="00442820"/>
    <w:rsid w:val="00443D32"/>
    <w:rsid w:val="004469DD"/>
    <w:rsid w:val="00446BDB"/>
    <w:rsid w:val="004476B2"/>
    <w:rsid w:val="00447CE5"/>
    <w:rsid w:val="00447D6E"/>
    <w:rsid w:val="0045048F"/>
    <w:rsid w:val="0045181B"/>
    <w:rsid w:val="00452133"/>
    <w:rsid w:val="00452639"/>
    <w:rsid w:val="00452C7A"/>
    <w:rsid w:val="00456B53"/>
    <w:rsid w:val="0046286E"/>
    <w:rsid w:val="0046426D"/>
    <w:rsid w:val="004673A2"/>
    <w:rsid w:val="00471234"/>
    <w:rsid w:val="00472250"/>
    <w:rsid w:val="0047437C"/>
    <w:rsid w:val="00477522"/>
    <w:rsid w:val="00480E7B"/>
    <w:rsid w:val="004843E5"/>
    <w:rsid w:val="0048454C"/>
    <w:rsid w:val="00484BF6"/>
    <w:rsid w:val="004879CF"/>
    <w:rsid w:val="0049052C"/>
    <w:rsid w:val="00493457"/>
    <w:rsid w:val="00494628"/>
    <w:rsid w:val="0049558B"/>
    <w:rsid w:val="0049566B"/>
    <w:rsid w:val="00495EAA"/>
    <w:rsid w:val="00497338"/>
    <w:rsid w:val="004A1650"/>
    <w:rsid w:val="004B1184"/>
    <w:rsid w:val="004B2C4F"/>
    <w:rsid w:val="004B3AAC"/>
    <w:rsid w:val="004B436D"/>
    <w:rsid w:val="004B4A3A"/>
    <w:rsid w:val="004B5CE5"/>
    <w:rsid w:val="004B750E"/>
    <w:rsid w:val="004C120D"/>
    <w:rsid w:val="004C2237"/>
    <w:rsid w:val="004C2244"/>
    <w:rsid w:val="004C23F1"/>
    <w:rsid w:val="004D069A"/>
    <w:rsid w:val="004E01F5"/>
    <w:rsid w:val="004E1D53"/>
    <w:rsid w:val="004E297E"/>
    <w:rsid w:val="004E76CA"/>
    <w:rsid w:val="004F1698"/>
    <w:rsid w:val="00500C4E"/>
    <w:rsid w:val="00501CF2"/>
    <w:rsid w:val="00502335"/>
    <w:rsid w:val="00505CEC"/>
    <w:rsid w:val="0051020F"/>
    <w:rsid w:val="00513CAB"/>
    <w:rsid w:val="00516CF5"/>
    <w:rsid w:val="00523597"/>
    <w:rsid w:val="00523736"/>
    <w:rsid w:val="00532530"/>
    <w:rsid w:val="00535627"/>
    <w:rsid w:val="00535CA4"/>
    <w:rsid w:val="00541750"/>
    <w:rsid w:val="005476F6"/>
    <w:rsid w:val="00551D72"/>
    <w:rsid w:val="005524D6"/>
    <w:rsid w:val="00553BE9"/>
    <w:rsid w:val="005540B6"/>
    <w:rsid w:val="005552C3"/>
    <w:rsid w:val="00556546"/>
    <w:rsid w:val="00560934"/>
    <w:rsid w:val="00563E58"/>
    <w:rsid w:val="00564960"/>
    <w:rsid w:val="00570654"/>
    <w:rsid w:val="00570F38"/>
    <w:rsid w:val="00571A4E"/>
    <w:rsid w:val="005720F2"/>
    <w:rsid w:val="005729C8"/>
    <w:rsid w:val="00572D2F"/>
    <w:rsid w:val="005734A4"/>
    <w:rsid w:val="0059380E"/>
    <w:rsid w:val="00594EF5"/>
    <w:rsid w:val="00596269"/>
    <w:rsid w:val="005A0E53"/>
    <w:rsid w:val="005A1078"/>
    <w:rsid w:val="005A4658"/>
    <w:rsid w:val="005A496B"/>
    <w:rsid w:val="005B28C1"/>
    <w:rsid w:val="005B2983"/>
    <w:rsid w:val="005B4045"/>
    <w:rsid w:val="005B6344"/>
    <w:rsid w:val="005B792E"/>
    <w:rsid w:val="005C1C74"/>
    <w:rsid w:val="005C2E48"/>
    <w:rsid w:val="005C3F23"/>
    <w:rsid w:val="005D4572"/>
    <w:rsid w:val="005D4DD7"/>
    <w:rsid w:val="005D7110"/>
    <w:rsid w:val="005D793B"/>
    <w:rsid w:val="005E064D"/>
    <w:rsid w:val="005E12A9"/>
    <w:rsid w:val="005E1928"/>
    <w:rsid w:val="005E5211"/>
    <w:rsid w:val="005F139E"/>
    <w:rsid w:val="005F38D6"/>
    <w:rsid w:val="005F69D5"/>
    <w:rsid w:val="005F6AC0"/>
    <w:rsid w:val="005F78EB"/>
    <w:rsid w:val="00602799"/>
    <w:rsid w:val="00602F18"/>
    <w:rsid w:val="00607C30"/>
    <w:rsid w:val="006110F3"/>
    <w:rsid w:val="00612041"/>
    <w:rsid w:val="00614411"/>
    <w:rsid w:val="00614AFF"/>
    <w:rsid w:val="006151B3"/>
    <w:rsid w:val="00621ABA"/>
    <w:rsid w:val="0062322A"/>
    <w:rsid w:val="00631157"/>
    <w:rsid w:val="006404E6"/>
    <w:rsid w:val="00644EFD"/>
    <w:rsid w:val="0064680F"/>
    <w:rsid w:val="0064729D"/>
    <w:rsid w:val="00647927"/>
    <w:rsid w:val="00647ABE"/>
    <w:rsid w:val="006516BA"/>
    <w:rsid w:val="00656C58"/>
    <w:rsid w:val="00656D83"/>
    <w:rsid w:val="00664B05"/>
    <w:rsid w:val="00665C04"/>
    <w:rsid w:val="0066682D"/>
    <w:rsid w:val="006668AC"/>
    <w:rsid w:val="006746FE"/>
    <w:rsid w:val="00676E9F"/>
    <w:rsid w:val="006808F5"/>
    <w:rsid w:val="00680934"/>
    <w:rsid w:val="0068139E"/>
    <w:rsid w:val="00685D5C"/>
    <w:rsid w:val="0069264D"/>
    <w:rsid w:val="0069307B"/>
    <w:rsid w:val="0069578B"/>
    <w:rsid w:val="00696EA8"/>
    <w:rsid w:val="00697868"/>
    <w:rsid w:val="006A055F"/>
    <w:rsid w:val="006A126F"/>
    <w:rsid w:val="006A14E9"/>
    <w:rsid w:val="006A2648"/>
    <w:rsid w:val="006A2A65"/>
    <w:rsid w:val="006A5293"/>
    <w:rsid w:val="006A67E4"/>
    <w:rsid w:val="006A6D15"/>
    <w:rsid w:val="006B0DF3"/>
    <w:rsid w:val="006B0F11"/>
    <w:rsid w:val="006B27FA"/>
    <w:rsid w:val="006B4A48"/>
    <w:rsid w:val="006B5846"/>
    <w:rsid w:val="006C2C55"/>
    <w:rsid w:val="006C430A"/>
    <w:rsid w:val="006C7CB9"/>
    <w:rsid w:val="006D139D"/>
    <w:rsid w:val="006D2809"/>
    <w:rsid w:val="006E1811"/>
    <w:rsid w:val="006E27A3"/>
    <w:rsid w:val="006E3342"/>
    <w:rsid w:val="006E4B12"/>
    <w:rsid w:val="006E6263"/>
    <w:rsid w:val="006E65D0"/>
    <w:rsid w:val="006E769F"/>
    <w:rsid w:val="006F1B21"/>
    <w:rsid w:val="006F21E8"/>
    <w:rsid w:val="006F78D5"/>
    <w:rsid w:val="0070091B"/>
    <w:rsid w:val="007048AC"/>
    <w:rsid w:val="00706123"/>
    <w:rsid w:val="007246FB"/>
    <w:rsid w:val="00726338"/>
    <w:rsid w:val="00726AD5"/>
    <w:rsid w:val="007271AE"/>
    <w:rsid w:val="00733C7D"/>
    <w:rsid w:val="00740761"/>
    <w:rsid w:val="00740B19"/>
    <w:rsid w:val="00741225"/>
    <w:rsid w:val="00741BD8"/>
    <w:rsid w:val="00743050"/>
    <w:rsid w:val="00745F77"/>
    <w:rsid w:val="007464DE"/>
    <w:rsid w:val="00747767"/>
    <w:rsid w:val="007529EA"/>
    <w:rsid w:val="00754CB4"/>
    <w:rsid w:val="00755A45"/>
    <w:rsid w:val="00760620"/>
    <w:rsid w:val="00760CDC"/>
    <w:rsid w:val="0076396F"/>
    <w:rsid w:val="00764D0D"/>
    <w:rsid w:val="0077087D"/>
    <w:rsid w:val="00771E30"/>
    <w:rsid w:val="00777C53"/>
    <w:rsid w:val="00780CE0"/>
    <w:rsid w:val="00786E92"/>
    <w:rsid w:val="00791D04"/>
    <w:rsid w:val="00792F1E"/>
    <w:rsid w:val="007933F1"/>
    <w:rsid w:val="007A015F"/>
    <w:rsid w:val="007A5F52"/>
    <w:rsid w:val="007B090A"/>
    <w:rsid w:val="007C1090"/>
    <w:rsid w:val="007C6C4E"/>
    <w:rsid w:val="007D10D7"/>
    <w:rsid w:val="007E012E"/>
    <w:rsid w:val="007E43F8"/>
    <w:rsid w:val="007E5076"/>
    <w:rsid w:val="007E5345"/>
    <w:rsid w:val="007E656B"/>
    <w:rsid w:val="007F2997"/>
    <w:rsid w:val="007F50E8"/>
    <w:rsid w:val="007F54E2"/>
    <w:rsid w:val="007F6CF7"/>
    <w:rsid w:val="007F7FBA"/>
    <w:rsid w:val="00800319"/>
    <w:rsid w:val="0080044E"/>
    <w:rsid w:val="00800706"/>
    <w:rsid w:val="0080189A"/>
    <w:rsid w:val="00801F7F"/>
    <w:rsid w:val="00803C2B"/>
    <w:rsid w:val="00810D90"/>
    <w:rsid w:val="00811945"/>
    <w:rsid w:val="00811F17"/>
    <w:rsid w:val="00812759"/>
    <w:rsid w:val="00824F1C"/>
    <w:rsid w:val="00826688"/>
    <w:rsid w:val="00831301"/>
    <w:rsid w:val="0083369B"/>
    <w:rsid w:val="00834C0A"/>
    <w:rsid w:val="00835D38"/>
    <w:rsid w:val="008441F5"/>
    <w:rsid w:val="008446D9"/>
    <w:rsid w:val="00847A4E"/>
    <w:rsid w:val="008564B1"/>
    <w:rsid w:val="008602D3"/>
    <w:rsid w:val="008639FB"/>
    <w:rsid w:val="00871D79"/>
    <w:rsid w:val="0087304B"/>
    <w:rsid w:val="0087393E"/>
    <w:rsid w:val="00875C1E"/>
    <w:rsid w:val="00881A42"/>
    <w:rsid w:val="00882386"/>
    <w:rsid w:val="0088361D"/>
    <w:rsid w:val="00885E0A"/>
    <w:rsid w:val="0088603B"/>
    <w:rsid w:val="008877AF"/>
    <w:rsid w:val="008933A5"/>
    <w:rsid w:val="00893FC3"/>
    <w:rsid w:val="0089577B"/>
    <w:rsid w:val="008A4B77"/>
    <w:rsid w:val="008B08E3"/>
    <w:rsid w:val="008B0973"/>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3668"/>
    <w:rsid w:val="00904ADA"/>
    <w:rsid w:val="00904C3B"/>
    <w:rsid w:val="00907697"/>
    <w:rsid w:val="009108DE"/>
    <w:rsid w:val="00910A69"/>
    <w:rsid w:val="00912611"/>
    <w:rsid w:val="009138A0"/>
    <w:rsid w:val="0091424C"/>
    <w:rsid w:val="00917DE4"/>
    <w:rsid w:val="00920905"/>
    <w:rsid w:val="00922B85"/>
    <w:rsid w:val="00930CDC"/>
    <w:rsid w:val="00931E45"/>
    <w:rsid w:val="00933188"/>
    <w:rsid w:val="00935AF9"/>
    <w:rsid w:val="009403A5"/>
    <w:rsid w:val="009469D6"/>
    <w:rsid w:val="00946A1A"/>
    <w:rsid w:val="009500DC"/>
    <w:rsid w:val="00951923"/>
    <w:rsid w:val="00957F2E"/>
    <w:rsid w:val="00962776"/>
    <w:rsid w:val="00967627"/>
    <w:rsid w:val="00972C81"/>
    <w:rsid w:val="009740B2"/>
    <w:rsid w:val="009747C6"/>
    <w:rsid w:val="009817BA"/>
    <w:rsid w:val="009824E9"/>
    <w:rsid w:val="009826E5"/>
    <w:rsid w:val="009844A1"/>
    <w:rsid w:val="00986E20"/>
    <w:rsid w:val="00992F73"/>
    <w:rsid w:val="00994AF6"/>
    <w:rsid w:val="00995479"/>
    <w:rsid w:val="00995CB0"/>
    <w:rsid w:val="00997E77"/>
    <w:rsid w:val="009A1A92"/>
    <w:rsid w:val="009A2734"/>
    <w:rsid w:val="009B2A02"/>
    <w:rsid w:val="009B2A6B"/>
    <w:rsid w:val="009B2B61"/>
    <w:rsid w:val="009B5B7B"/>
    <w:rsid w:val="009C1777"/>
    <w:rsid w:val="009C2C86"/>
    <w:rsid w:val="009C4672"/>
    <w:rsid w:val="009C6FE0"/>
    <w:rsid w:val="009D0753"/>
    <w:rsid w:val="009D10A4"/>
    <w:rsid w:val="009D5131"/>
    <w:rsid w:val="009D6AE6"/>
    <w:rsid w:val="009D6F71"/>
    <w:rsid w:val="009E0856"/>
    <w:rsid w:val="009E1802"/>
    <w:rsid w:val="009E1CDE"/>
    <w:rsid w:val="009E2B06"/>
    <w:rsid w:val="009E3829"/>
    <w:rsid w:val="009E51E2"/>
    <w:rsid w:val="009F7A61"/>
    <w:rsid w:val="00A11800"/>
    <w:rsid w:val="00A11C16"/>
    <w:rsid w:val="00A1423E"/>
    <w:rsid w:val="00A165D8"/>
    <w:rsid w:val="00A17664"/>
    <w:rsid w:val="00A20FAF"/>
    <w:rsid w:val="00A24520"/>
    <w:rsid w:val="00A26706"/>
    <w:rsid w:val="00A3164A"/>
    <w:rsid w:val="00A37F42"/>
    <w:rsid w:val="00A43381"/>
    <w:rsid w:val="00A43A6E"/>
    <w:rsid w:val="00A4411F"/>
    <w:rsid w:val="00A45181"/>
    <w:rsid w:val="00A500D6"/>
    <w:rsid w:val="00A523FF"/>
    <w:rsid w:val="00A527B6"/>
    <w:rsid w:val="00A54756"/>
    <w:rsid w:val="00A54C66"/>
    <w:rsid w:val="00A57D36"/>
    <w:rsid w:val="00A607D9"/>
    <w:rsid w:val="00A61BB6"/>
    <w:rsid w:val="00A65734"/>
    <w:rsid w:val="00A6687F"/>
    <w:rsid w:val="00A67767"/>
    <w:rsid w:val="00A67907"/>
    <w:rsid w:val="00A73CC1"/>
    <w:rsid w:val="00A7443C"/>
    <w:rsid w:val="00A80270"/>
    <w:rsid w:val="00A82DB1"/>
    <w:rsid w:val="00A83D24"/>
    <w:rsid w:val="00A84127"/>
    <w:rsid w:val="00A847B4"/>
    <w:rsid w:val="00A86DA2"/>
    <w:rsid w:val="00A90695"/>
    <w:rsid w:val="00A90DFC"/>
    <w:rsid w:val="00A91BF3"/>
    <w:rsid w:val="00AA0A9C"/>
    <w:rsid w:val="00AA16C0"/>
    <w:rsid w:val="00AA4CDC"/>
    <w:rsid w:val="00AB21D4"/>
    <w:rsid w:val="00AB21F5"/>
    <w:rsid w:val="00AB3386"/>
    <w:rsid w:val="00AB36DB"/>
    <w:rsid w:val="00AC0B1D"/>
    <w:rsid w:val="00AC0FB5"/>
    <w:rsid w:val="00AC2F5B"/>
    <w:rsid w:val="00AC3DAD"/>
    <w:rsid w:val="00AC5309"/>
    <w:rsid w:val="00AC5B97"/>
    <w:rsid w:val="00AD0FE4"/>
    <w:rsid w:val="00AD44D8"/>
    <w:rsid w:val="00AD4DD0"/>
    <w:rsid w:val="00AD63ED"/>
    <w:rsid w:val="00AE0A8D"/>
    <w:rsid w:val="00AE431B"/>
    <w:rsid w:val="00AF568B"/>
    <w:rsid w:val="00AF6342"/>
    <w:rsid w:val="00AF7954"/>
    <w:rsid w:val="00B053FB"/>
    <w:rsid w:val="00B055BD"/>
    <w:rsid w:val="00B05647"/>
    <w:rsid w:val="00B07EE5"/>
    <w:rsid w:val="00B133AA"/>
    <w:rsid w:val="00B1473D"/>
    <w:rsid w:val="00B16E53"/>
    <w:rsid w:val="00B21CC5"/>
    <w:rsid w:val="00B26778"/>
    <w:rsid w:val="00B26B83"/>
    <w:rsid w:val="00B32479"/>
    <w:rsid w:val="00B33FE2"/>
    <w:rsid w:val="00B403ED"/>
    <w:rsid w:val="00B4065F"/>
    <w:rsid w:val="00B44C9F"/>
    <w:rsid w:val="00B45091"/>
    <w:rsid w:val="00B45447"/>
    <w:rsid w:val="00B506EA"/>
    <w:rsid w:val="00B50D04"/>
    <w:rsid w:val="00B558D9"/>
    <w:rsid w:val="00B614F1"/>
    <w:rsid w:val="00B71EF0"/>
    <w:rsid w:val="00B8495E"/>
    <w:rsid w:val="00B85A3D"/>
    <w:rsid w:val="00B866B4"/>
    <w:rsid w:val="00B94226"/>
    <w:rsid w:val="00BA0A8C"/>
    <w:rsid w:val="00BA0CEB"/>
    <w:rsid w:val="00BA2383"/>
    <w:rsid w:val="00BA2D92"/>
    <w:rsid w:val="00BA2E7E"/>
    <w:rsid w:val="00BA590A"/>
    <w:rsid w:val="00BA5FE4"/>
    <w:rsid w:val="00BB0B39"/>
    <w:rsid w:val="00BB30D1"/>
    <w:rsid w:val="00BB39D8"/>
    <w:rsid w:val="00BB5F75"/>
    <w:rsid w:val="00BB6D48"/>
    <w:rsid w:val="00BC6524"/>
    <w:rsid w:val="00BC70A6"/>
    <w:rsid w:val="00BD374A"/>
    <w:rsid w:val="00BD3931"/>
    <w:rsid w:val="00BD5B88"/>
    <w:rsid w:val="00BD5F58"/>
    <w:rsid w:val="00BE0AEB"/>
    <w:rsid w:val="00BE2D00"/>
    <w:rsid w:val="00BE60E3"/>
    <w:rsid w:val="00BF090D"/>
    <w:rsid w:val="00BF6EE0"/>
    <w:rsid w:val="00C018E0"/>
    <w:rsid w:val="00C043E0"/>
    <w:rsid w:val="00C05AAF"/>
    <w:rsid w:val="00C118C7"/>
    <w:rsid w:val="00C1622E"/>
    <w:rsid w:val="00C16C71"/>
    <w:rsid w:val="00C20877"/>
    <w:rsid w:val="00C20E7B"/>
    <w:rsid w:val="00C21456"/>
    <w:rsid w:val="00C24D03"/>
    <w:rsid w:val="00C25E61"/>
    <w:rsid w:val="00C35A1B"/>
    <w:rsid w:val="00C413F3"/>
    <w:rsid w:val="00C54EE2"/>
    <w:rsid w:val="00C54EFF"/>
    <w:rsid w:val="00C55D03"/>
    <w:rsid w:val="00C63548"/>
    <w:rsid w:val="00C63F96"/>
    <w:rsid w:val="00C65450"/>
    <w:rsid w:val="00C677AF"/>
    <w:rsid w:val="00C67E59"/>
    <w:rsid w:val="00C71B7B"/>
    <w:rsid w:val="00C72B8B"/>
    <w:rsid w:val="00C72CB5"/>
    <w:rsid w:val="00C741D0"/>
    <w:rsid w:val="00C76D4F"/>
    <w:rsid w:val="00C805BC"/>
    <w:rsid w:val="00C83F4A"/>
    <w:rsid w:val="00C909B9"/>
    <w:rsid w:val="00C92873"/>
    <w:rsid w:val="00C95382"/>
    <w:rsid w:val="00C959CA"/>
    <w:rsid w:val="00C95D16"/>
    <w:rsid w:val="00CA2AB4"/>
    <w:rsid w:val="00CB001E"/>
    <w:rsid w:val="00CB0100"/>
    <w:rsid w:val="00CB04D2"/>
    <w:rsid w:val="00CC1623"/>
    <w:rsid w:val="00CC7031"/>
    <w:rsid w:val="00CD7EFE"/>
    <w:rsid w:val="00CE0C66"/>
    <w:rsid w:val="00CE0D4F"/>
    <w:rsid w:val="00CE28CF"/>
    <w:rsid w:val="00CE4386"/>
    <w:rsid w:val="00CE4CDC"/>
    <w:rsid w:val="00CE5BEB"/>
    <w:rsid w:val="00CE69E9"/>
    <w:rsid w:val="00CE71F2"/>
    <w:rsid w:val="00CF3F65"/>
    <w:rsid w:val="00CF464D"/>
    <w:rsid w:val="00CF5C0D"/>
    <w:rsid w:val="00D0285F"/>
    <w:rsid w:val="00D03511"/>
    <w:rsid w:val="00D10F08"/>
    <w:rsid w:val="00D13A13"/>
    <w:rsid w:val="00D17EF4"/>
    <w:rsid w:val="00D20128"/>
    <w:rsid w:val="00D223BC"/>
    <w:rsid w:val="00D23770"/>
    <w:rsid w:val="00D25074"/>
    <w:rsid w:val="00D31890"/>
    <w:rsid w:val="00D34517"/>
    <w:rsid w:val="00D35C07"/>
    <w:rsid w:val="00D36798"/>
    <w:rsid w:val="00D47E80"/>
    <w:rsid w:val="00D552BB"/>
    <w:rsid w:val="00D67FF2"/>
    <w:rsid w:val="00D70563"/>
    <w:rsid w:val="00D70D89"/>
    <w:rsid w:val="00D72051"/>
    <w:rsid w:val="00D7227A"/>
    <w:rsid w:val="00D7380B"/>
    <w:rsid w:val="00D75D77"/>
    <w:rsid w:val="00D7639E"/>
    <w:rsid w:val="00D80F8E"/>
    <w:rsid w:val="00D835EF"/>
    <w:rsid w:val="00D85F09"/>
    <w:rsid w:val="00D86A9D"/>
    <w:rsid w:val="00D95A65"/>
    <w:rsid w:val="00DA089A"/>
    <w:rsid w:val="00DA11A0"/>
    <w:rsid w:val="00DA2822"/>
    <w:rsid w:val="00DA690B"/>
    <w:rsid w:val="00DA7225"/>
    <w:rsid w:val="00DB44E9"/>
    <w:rsid w:val="00DC1966"/>
    <w:rsid w:val="00DC3259"/>
    <w:rsid w:val="00DC57C3"/>
    <w:rsid w:val="00DD0523"/>
    <w:rsid w:val="00DD3491"/>
    <w:rsid w:val="00DE5758"/>
    <w:rsid w:val="00DE5FCF"/>
    <w:rsid w:val="00DF0D19"/>
    <w:rsid w:val="00DF2EE9"/>
    <w:rsid w:val="00DF6FD8"/>
    <w:rsid w:val="00E05A80"/>
    <w:rsid w:val="00E06A37"/>
    <w:rsid w:val="00E071A5"/>
    <w:rsid w:val="00E07752"/>
    <w:rsid w:val="00E10395"/>
    <w:rsid w:val="00E16609"/>
    <w:rsid w:val="00E16F08"/>
    <w:rsid w:val="00E233F3"/>
    <w:rsid w:val="00E269A0"/>
    <w:rsid w:val="00E26B34"/>
    <w:rsid w:val="00E314BA"/>
    <w:rsid w:val="00E325BE"/>
    <w:rsid w:val="00E326BA"/>
    <w:rsid w:val="00E34202"/>
    <w:rsid w:val="00E37F72"/>
    <w:rsid w:val="00E40BE5"/>
    <w:rsid w:val="00E40CF9"/>
    <w:rsid w:val="00E42A30"/>
    <w:rsid w:val="00E46D61"/>
    <w:rsid w:val="00E55578"/>
    <w:rsid w:val="00E5625D"/>
    <w:rsid w:val="00E56293"/>
    <w:rsid w:val="00E648BB"/>
    <w:rsid w:val="00E67ACA"/>
    <w:rsid w:val="00E748C5"/>
    <w:rsid w:val="00E749C8"/>
    <w:rsid w:val="00E75711"/>
    <w:rsid w:val="00E76B31"/>
    <w:rsid w:val="00E81F3E"/>
    <w:rsid w:val="00E844BB"/>
    <w:rsid w:val="00E84C48"/>
    <w:rsid w:val="00E859BD"/>
    <w:rsid w:val="00E86B70"/>
    <w:rsid w:val="00E87C8F"/>
    <w:rsid w:val="00E924C3"/>
    <w:rsid w:val="00E954EE"/>
    <w:rsid w:val="00E96759"/>
    <w:rsid w:val="00EA4437"/>
    <w:rsid w:val="00EA49AF"/>
    <w:rsid w:val="00EA4D87"/>
    <w:rsid w:val="00EB188F"/>
    <w:rsid w:val="00EB34FC"/>
    <w:rsid w:val="00EB76E1"/>
    <w:rsid w:val="00EC1800"/>
    <w:rsid w:val="00EC2499"/>
    <w:rsid w:val="00EE4120"/>
    <w:rsid w:val="00EF2E8A"/>
    <w:rsid w:val="00EF4E6B"/>
    <w:rsid w:val="00EF5416"/>
    <w:rsid w:val="00F06CCF"/>
    <w:rsid w:val="00F1053D"/>
    <w:rsid w:val="00F10742"/>
    <w:rsid w:val="00F110D5"/>
    <w:rsid w:val="00F11E63"/>
    <w:rsid w:val="00F12733"/>
    <w:rsid w:val="00F15A73"/>
    <w:rsid w:val="00F171E1"/>
    <w:rsid w:val="00F20DCF"/>
    <w:rsid w:val="00F25B36"/>
    <w:rsid w:val="00F3052A"/>
    <w:rsid w:val="00F341E3"/>
    <w:rsid w:val="00F35616"/>
    <w:rsid w:val="00F35D09"/>
    <w:rsid w:val="00F42A13"/>
    <w:rsid w:val="00F4304D"/>
    <w:rsid w:val="00F4456B"/>
    <w:rsid w:val="00F45667"/>
    <w:rsid w:val="00F46612"/>
    <w:rsid w:val="00F474EF"/>
    <w:rsid w:val="00F4752B"/>
    <w:rsid w:val="00F476E8"/>
    <w:rsid w:val="00F52882"/>
    <w:rsid w:val="00F541AE"/>
    <w:rsid w:val="00F56792"/>
    <w:rsid w:val="00F56E39"/>
    <w:rsid w:val="00F571A6"/>
    <w:rsid w:val="00F6018B"/>
    <w:rsid w:val="00F60265"/>
    <w:rsid w:val="00F60E32"/>
    <w:rsid w:val="00F644FF"/>
    <w:rsid w:val="00F64B0F"/>
    <w:rsid w:val="00F65ABA"/>
    <w:rsid w:val="00F65E15"/>
    <w:rsid w:val="00F7242E"/>
    <w:rsid w:val="00F72B4C"/>
    <w:rsid w:val="00F74B33"/>
    <w:rsid w:val="00F74D51"/>
    <w:rsid w:val="00F76B57"/>
    <w:rsid w:val="00F810DD"/>
    <w:rsid w:val="00F83747"/>
    <w:rsid w:val="00F91659"/>
    <w:rsid w:val="00F95E2F"/>
    <w:rsid w:val="00F96DEB"/>
    <w:rsid w:val="00FA0445"/>
    <w:rsid w:val="00FA1872"/>
    <w:rsid w:val="00FA4F34"/>
    <w:rsid w:val="00FA51EC"/>
    <w:rsid w:val="00FA63EC"/>
    <w:rsid w:val="00FB2590"/>
    <w:rsid w:val="00FB5213"/>
    <w:rsid w:val="00FD0800"/>
    <w:rsid w:val="00FD5A8C"/>
    <w:rsid w:val="00FE286E"/>
    <w:rsid w:val="00FE3233"/>
    <w:rsid w:val="00FE4C68"/>
    <w:rsid w:val="00FE5C04"/>
    <w:rsid w:val="00FE5FAF"/>
    <w:rsid w:val="00FE6D74"/>
    <w:rsid w:val="00FF4293"/>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127174"/>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0">
    <w:name w:val="Pa0"/>
    <w:basedOn w:val="Default"/>
    <w:next w:val="Default"/>
    <w:uiPriority w:val="99"/>
    <w:rsid w:val="00127174"/>
    <w:pPr>
      <w:spacing w:line="241" w:lineRule="atLeast"/>
    </w:pPr>
    <w:rPr>
      <w:rFonts w:cstheme="minorBidi"/>
      <w:color w:val="auto"/>
    </w:rPr>
  </w:style>
  <w:style w:type="character" w:customStyle="1" w:styleId="A12">
    <w:name w:val="A12"/>
    <w:uiPriority w:val="99"/>
    <w:rsid w:val="00127174"/>
    <w:rPr>
      <w:rFonts w:cs="Univers LT Std 55"/>
      <w:color w:val="000000"/>
    </w:rPr>
  </w:style>
  <w:style w:type="character" w:customStyle="1" w:styleId="Normal2Char">
    <w:name w:val="Normal2 Char"/>
    <w:link w:val="Normal2"/>
    <w:locked/>
    <w:rsid w:val="00F15A73"/>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F15A73"/>
    <w:pPr>
      <w:spacing w:line="280" w:lineRule="atLeast"/>
    </w:pPr>
    <w:rPr>
      <w:rFonts w:ascii="Times New Roman" w:hAnsi="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127174"/>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0">
    <w:name w:val="Pa0"/>
    <w:basedOn w:val="Default"/>
    <w:next w:val="Default"/>
    <w:uiPriority w:val="99"/>
    <w:rsid w:val="00127174"/>
    <w:pPr>
      <w:spacing w:line="241" w:lineRule="atLeast"/>
    </w:pPr>
    <w:rPr>
      <w:rFonts w:cstheme="minorBidi"/>
      <w:color w:val="auto"/>
    </w:rPr>
  </w:style>
  <w:style w:type="character" w:customStyle="1" w:styleId="A12">
    <w:name w:val="A12"/>
    <w:uiPriority w:val="99"/>
    <w:rsid w:val="00127174"/>
    <w:rPr>
      <w:rFonts w:cs="Univers LT Std 55"/>
      <w:color w:val="000000"/>
    </w:rPr>
  </w:style>
  <w:style w:type="character" w:customStyle="1" w:styleId="Normal2Char">
    <w:name w:val="Normal2 Char"/>
    <w:link w:val="Normal2"/>
    <w:locked/>
    <w:rsid w:val="00F15A73"/>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F15A73"/>
    <w:pPr>
      <w:spacing w:line="280" w:lineRule="atLeast"/>
    </w:pPr>
    <w:rPr>
      <w:rFonts w:ascii="Times New Roman" w:hAnsi="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458">
      <w:bodyDiv w:val="1"/>
      <w:marLeft w:val="0"/>
      <w:marRight w:val="0"/>
      <w:marTop w:val="0"/>
      <w:marBottom w:val="0"/>
      <w:divBdr>
        <w:top w:val="none" w:sz="0" w:space="0" w:color="auto"/>
        <w:left w:val="none" w:sz="0" w:space="0" w:color="auto"/>
        <w:bottom w:val="none" w:sz="0" w:space="0" w:color="auto"/>
        <w:right w:val="none" w:sz="0" w:space="0" w:color="auto"/>
      </w:divBdr>
    </w:div>
    <w:div w:id="31619903">
      <w:bodyDiv w:val="1"/>
      <w:marLeft w:val="0"/>
      <w:marRight w:val="0"/>
      <w:marTop w:val="0"/>
      <w:marBottom w:val="0"/>
      <w:divBdr>
        <w:top w:val="none" w:sz="0" w:space="0" w:color="auto"/>
        <w:left w:val="none" w:sz="0" w:space="0" w:color="auto"/>
        <w:bottom w:val="none" w:sz="0" w:space="0" w:color="auto"/>
        <w:right w:val="none" w:sz="0" w:space="0" w:color="auto"/>
      </w:divBdr>
    </w:div>
    <w:div w:id="39716114">
      <w:bodyDiv w:val="1"/>
      <w:marLeft w:val="0"/>
      <w:marRight w:val="0"/>
      <w:marTop w:val="0"/>
      <w:marBottom w:val="0"/>
      <w:divBdr>
        <w:top w:val="none" w:sz="0" w:space="0" w:color="auto"/>
        <w:left w:val="none" w:sz="0" w:space="0" w:color="auto"/>
        <w:bottom w:val="none" w:sz="0" w:space="0" w:color="auto"/>
        <w:right w:val="none" w:sz="0" w:space="0" w:color="auto"/>
      </w:divBdr>
    </w:div>
    <w:div w:id="108358716">
      <w:bodyDiv w:val="1"/>
      <w:marLeft w:val="0"/>
      <w:marRight w:val="0"/>
      <w:marTop w:val="0"/>
      <w:marBottom w:val="0"/>
      <w:divBdr>
        <w:top w:val="none" w:sz="0" w:space="0" w:color="auto"/>
        <w:left w:val="none" w:sz="0" w:space="0" w:color="auto"/>
        <w:bottom w:val="none" w:sz="0" w:space="0" w:color="auto"/>
        <w:right w:val="none" w:sz="0" w:space="0" w:color="auto"/>
      </w:divBdr>
    </w:div>
    <w:div w:id="215046386">
      <w:bodyDiv w:val="1"/>
      <w:marLeft w:val="0"/>
      <w:marRight w:val="0"/>
      <w:marTop w:val="0"/>
      <w:marBottom w:val="0"/>
      <w:divBdr>
        <w:top w:val="none" w:sz="0" w:space="0" w:color="auto"/>
        <w:left w:val="none" w:sz="0" w:space="0" w:color="auto"/>
        <w:bottom w:val="none" w:sz="0" w:space="0" w:color="auto"/>
        <w:right w:val="none" w:sz="0" w:space="0" w:color="auto"/>
      </w:divBdr>
    </w:div>
    <w:div w:id="265619622">
      <w:bodyDiv w:val="1"/>
      <w:marLeft w:val="0"/>
      <w:marRight w:val="0"/>
      <w:marTop w:val="0"/>
      <w:marBottom w:val="0"/>
      <w:divBdr>
        <w:top w:val="none" w:sz="0" w:space="0" w:color="auto"/>
        <w:left w:val="none" w:sz="0" w:space="0" w:color="auto"/>
        <w:bottom w:val="none" w:sz="0" w:space="0" w:color="auto"/>
        <w:right w:val="none" w:sz="0" w:space="0" w:color="auto"/>
      </w:divBdr>
    </w:div>
    <w:div w:id="314261610">
      <w:bodyDiv w:val="1"/>
      <w:marLeft w:val="0"/>
      <w:marRight w:val="0"/>
      <w:marTop w:val="0"/>
      <w:marBottom w:val="0"/>
      <w:divBdr>
        <w:top w:val="none" w:sz="0" w:space="0" w:color="auto"/>
        <w:left w:val="none" w:sz="0" w:space="0" w:color="auto"/>
        <w:bottom w:val="none" w:sz="0" w:space="0" w:color="auto"/>
        <w:right w:val="none" w:sz="0" w:space="0" w:color="auto"/>
      </w:divBdr>
    </w:div>
    <w:div w:id="400716865">
      <w:bodyDiv w:val="1"/>
      <w:marLeft w:val="0"/>
      <w:marRight w:val="0"/>
      <w:marTop w:val="0"/>
      <w:marBottom w:val="0"/>
      <w:divBdr>
        <w:top w:val="none" w:sz="0" w:space="0" w:color="auto"/>
        <w:left w:val="none" w:sz="0" w:space="0" w:color="auto"/>
        <w:bottom w:val="none" w:sz="0" w:space="0" w:color="auto"/>
        <w:right w:val="none" w:sz="0" w:space="0" w:color="auto"/>
      </w:divBdr>
    </w:div>
    <w:div w:id="476335427">
      <w:bodyDiv w:val="1"/>
      <w:marLeft w:val="0"/>
      <w:marRight w:val="0"/>
      <w:marTop w:val="0"/>
      <w:marBottom w:val="0"/>
      <w:divBdr>
        <w:top w:val="none" w:sz="0" w:space="0" w:color="auto"/>
        <w:left w:val="none" w:sz="0" w:space="0" w:color="auto"/>
        <w:bottom w:val="none" w:sz="0" w:space="0" w:color="auto"/>
        <w:right w:val="none" w:sz="0" w:space="0" w:color="auto"/>
      </w:divBdr>
    </w:div>
    <w:div w:id="675349452">
      <w:bodyDiv w:val="1"/>
      <w:marLeft w:val="0"/>
      <w:marRight w:val="0"/>
      <w:marTop w:val="0"/>
      <w:marBottom w:val="0"/>
      <w:divBdr>
        <w:top w:val="none" w:sz="0" w:space="0" w:color="auto"/>
        <w:left w:val="none" w:sz="0" w:space="0" w:color="auto"/>
        <w:bottom w:val="none" w:sz="0" w:space="0" w:color="auto"/>
        <w:right w:val="none" w:sz="0" w:space="0" w:color="auto"/>
      </w:divBdr>
    </w:div>
    <w:div w:id="719667529">
      <w:bodyDiv w:val="1"/>
      <w:marLeft w:val="0"/>
      <w:marRight w:val="0"/>
      <w:marTop w:val="0"/>
      <w:marBottom w:val="0"/>
      <w:divBdr>
        <w:top w:val="none" w:sz="0" w:space="0" w:color="auto"/>
        <w:left w:val="none" w:sz="0" w:space="0" w:color="auto"/>
        <w:bottom w:val="none" w:sz="0" w:space="0" w:color="auto"/>
        <w:right w:val="none" w:sz="0" w:space="0" w:color="auto"/>
      </w:divBdr>
    </w:div>
    <w:div w:id="747190354">
      <w:bodyDiv w:val="1"/>
      <w:marLeft w:val="0"/>
      <w:marRight w:val="0"/>
      <w:marTop w:val="0"/>
      <w:marBottom w:val="0"/>
      <w:divBdr>
        <w:top w:val="none" w:sz="0" w:space="0" w:color="auto"/>
        <w:left w:val="none" w:sz="0" w:space="0" w:color="auto"/>
        <w:bottom w:val="none" w:sz="0" w:space="0" w:color="auto"/>
        <w:right w:val="none" w:sz="0" w:space="0" w:color="auto"/>
      </w:divBdr>
    </w:div>
    <w:div w:id="76488468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45242665">
      <w:bodyDiv w:val="1"/>
      <w:marLeft w:val="0"/>
      <w:marRight w:val="0"/>
      <w:marTop w:val="0"/>
      <w:marBottom w:val="0"/>
      <w:divBdr>
        <w:top w:val="none" w:sz="0" w:space="0" w:color="auto"/>
        <w:left w:val="none" w:sz="0" w:space="0" w:color="auto"/>
        <w:bottom w:val="none" w:sz="0" w:space="0" w:color="auto"/>
        <w:right w:val="none" w:sz="0" w:space="0" w:color="auto"/>
      </w:divBdr>
    </w:div>
    <w:div w:id="856697473">
      <w:bodyDiv w:val="1"/>
      <w:marLeft w:val="0"/>
      <w:marRight w:val="0"/>
      <w:marTop w:val="0"/>
      <w:marBottom w:val="0"/>
      <w:divBdr>
        <w:top w:val="none" w:sz="0" w:space="0" w:color="auto"/>
        <w:left w:val="none" w:sz="0" w:space="0" w:color="auto"/>
        <w:bottom w:val="none" w:sz="0" w:space="0" w:color="auto"/>
        <w:right w:val="none" w:sz="0" w:space="0" w:color="auto"/>
      </w:divBdr>
    </w:div>
    <w:div w:id="899293196">
      <w:bodyDiv w:val="1"/>
      <w:marLeft w:val="0"/>
      <w:marRight w:val="0"/>
      <w:marTop w:val="0"/>
      <w:marBottom w:val="0"/>
      <w:divBdr>
        <w:top w:val="none" w:sz="0" w:space="0" w:color="auto"/>
        <w:left w:val="none" w:sz="0" w:space="0" w:color="auto"/>
        <w:bottom w:val="none" w:sz="0" w:space="0" w:color="auto"/>
        <w:right w:val="none" w:sz="0" w:space="0" w:color="auto"/>
      </w:divBdr>
    </w:div>
    <w:div w:id="910504398">
      <w:bodyDiv w:val="1"/>
      <w:marLeft w:val="0"/>
      <w:marRight w:val="0"/>
      <w:marTop w:val="0"/>
      <w:marBottom w:val="0"/>
      <w:divBdr>
        <w:top w:val="none" w:sz="0" w:space="0" w:color="auto"/>
        <w:left w:val="none" w:sz="0" w:space="0" w:color="auto"/>
        <w:bottom w:val="none" w:sz="0" w:space="0" w:color="auto"/>
        <w:right w:val="none" w:sz="0" w:space="0" w:color="auto"/>
      </w:divBdr>
    </w:div>
    <w:div w:id="946699755">
      <w:bodyDiv w:val="1"/>
      <w:marLeft w:val="0"/>
      <w:marRight w:val="0"/>
      <w:marTop w:val="0"/>
      <w:marBottom w:val="0"/>
      <w:divBdr>
        <w:top w:val="none" w:sz="0" w:space="0" w:color="auto"/>
        <w:left w:val="none" w:sz="0" w:space="0" w:color="auto"/>
        <w:bottom w:val="none" w:sz="0" w:space="0" w:color="auto"/>
        <w:right w:val="none" w:sz="0" w:space="0" w:color="auto"/>
      </w:divBdr>
    </w:div>
    <w:div w:id="948437959">
      <w:bodyDiv w:val="1"/>
      <w:marLeft w:val="0"/>
      <w:marRight w:val="0"/>
      <w:marTop w:val="0"/>
      <w:marBottom w:val="0"/>
      <w:divBdr>
        <w:top w:val="none" w:sz="0" w:space="0" w:color="auto"/>
        <w:left w:val="none" w:sz="0" w:space="0" w:color="auto"/>
        <w:bottom w:val="none" w:sz="0" w:space="0" w:color="auto"/>
        <w:right w:val="none" w:sz="0" w:space="0" w:color="auto"/>
      </w:divBdr>
    </w:div>
    <w:div w:id="99773370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9520608">
      <w:bodyDiv w:val="1"/>
      <w:marLeft w:val="0"/>
      <w:marRight w:val="0"/>
      <w:marTop w:val="0"/>
      <w:marBottom w:val="0"/>
      <w:divBdr>
        <w:top w:val="none" w:sz="0" w:space="0" w:color="auto"/>
        <w:left w:val="none" w:sz="0" w:space="0" w:color="auto"/>
        <w:bottom w:val="none" w:sz="0" w:space="0" w:color="auto"/>
        <w:right w:val="none" w:sz="0" w:space="0" w:color="auto"/>
      </w:divBdr>
    </w:div>
    <w:div w:id="1090195018">
      <w:bodyDiv w:val="1"/>
      <w:marLeft w:val="0"/>
      <w:marRight w:val="0"/>
      <w:marTop w:val="0"/>
      <w:marBottom w:val="0"/>
      <w:divBdr>
        <w:top w:val="none" w:sz="0" w:space="0" w:color="auto"/>
        <w:left w:val="none" w:sz="0" w:space="0" w:color="auto"/>
        <w:bottom w:val="none" w:sz="0" w:space="0" w:color="auto"/>
        <w:right w:val="none" w:sz="0" w:space="0" w:color="auto"/>
      </w:divBdr>
    </w:div>
    <w:div w:id="1094741578">
      <w:bodyDiv w:val="1"/>
      <w:marLeft w:val="0"/>
      <w:marRight w:val="0"/>
      <w:marTop w:val="0"/>
      <w:marBottom w:val="0"/>
      <w:divBdr>
        <w:top w:val="none" w:sz="0" w:space="0" w:color="auto"/>
        <w:left w:val="none" w:sz="0" w:space="0" w:color="auto"/>
        <w:bottom w:val="none" w:sz="0" w:space="0" w:color="auto"/>
        <w:right w:val="none" w:sz="0" w:space="0" w:color="auto"/>
      </w:divBdr>
    </w:div>
    <w:div w:id="1118522714">
      <w:bodyDiv w:val="1"/>
      <w:marLeft w:val="0"/>
      <w:marRight w:val="0"/>
      <w:marTop w:val="0"/>
      <w:marBottom w:val="0"/>
      <w:divBdr>
        <w:top w:val="none" w:sz="0" w:space="0" w:color="auto"/>
        <w:left w:val="none" w:sz="0" w:space="0" w:color="auto"/>
        <w:bottom w:val="none" w:sz="0" w:space="0" w:color="auto"/>
        <w:right w:val="none" w:sz="0" w:space="0" w:color="auto"/>
      </w:divBdr>
    </w:div>
    <w:div w:id="1132282709">
      <w:bodyDiv w:val="1"/>
      <w:marLeft w:val="0"/>
      <w:marRight w:val="0"/>
      <w:marTop w:val="0"/>
      <w:marBottom w:val="0"/>
      <w:divBdr>
        <w:top w:val="none" w:sz="0" w:space="0" w:color="auto"/>
        <w:left w:val="none" w:sz="0" w:space="0" w:color="auto"/>
        <w:bottom w:val="none" w:sz="0" w:space="0" w:color="auto"/>
        <w:right w:val="none" w:sz="0" w:space="0" w:color="auto"/>
      </w:divBdr>
    </w:div>
    <w:div w:id="1136339698">
      <w:bodyDiv w:val="1"/>
      <w:marLeft w:val="0"/>
      <w:marRight w:val="0"/>
      <w:marTop w:val="0"/>
      <w:marBottom w:val="0"/>
      <w:divBdr>
        <w:top w:val="none" w:sz="0" w:space="0" w:color="auto"/>
        <w:left w:val="none" w:sz="0" w:space="0" w:color="auto"/>
        <w:bottom w:val="none" w:sz="0" w:space="0" w:color="auto"/>
        <w:right w:val="none" w:sz="0" w:space="0" w:color="auto"/>
      </w:divBdr>
    </w:div>
    <w:div w:id="1225331598">
      <w:bodyDiv w:val="1"/>
      <w:marLeft w:val="0"/>
      <w:marRight w:val="0"/>
      <w:marTop w:val="0"/>
      <w:marBottom w:val="0"/>
      <w:divBdr>
        <w:top w:val="none" w:sz="0" w:space="0" w:color="auto"/>
        <w:left w:val="none" w:sz="0" w:space="0" w:color="auto"/>
        <w:bottom w:val="none" w:sz="0" w:space="0" w:color="auto"/>
        <w:right w:val="none" w:sz="0" w:space="0" w:color="auto"/>
      </w:divBdr>
    </w:div>
    <w:div w:id="1315136040">
      <w:bodyDiv w:val="1"/>
      <w:marLeft w:val="0"/>
      <w:marRight w:val="0"/>
      <w:marTop w:val="0"/>
      <w:marBottom w:val="0"/>
      <w:divBdr>
        <w:top w:val="none" w:sz="0" w:space="0" w:color="auto"/>
        <w:left w:val="none" w:sz="0" w:space="0" w:color="auto"/>
        <w:bottom w:val="none" w:sz="0" w:space="0" w:color="auto"/>
        <w:right w:val="none" w:sz="0" w:space="0" w:color="auto"/>
      </w:divBdr>
    </w:div>
    <w:div w:id="1359772665">
      <w:bodyDiv w:val="1"/>
      <w:marLeft w:val="0"/>
      <w:marRight w:val="0"/>
      <w:marTop w:val="0"/>
      <w:marBottom w:val="0"/>
      <w:divBdr>
        <w:top w:val="none" w:sz="0" w:space="0" w:color="auto"/>
        <w:left w:val="none" w:sz="0" w:space="0" w:color="auto"/>
        <w:bottom w:val="none" w:sz="0" w:space="0" w:color="auto"/>
        <w:right w:val="none" w:sz="0" w:space="0" w:color="auto"/>
      </w:divBdr>
    </w:div>
    <w:div w:id="1436289538">
      <w:bodyDiv w:val="1"/>
      <w:marLeft w:val="0"/>
      <w:marRight w:val="0"/>
      <w:marTop w:val="0"/>
      <w:marBottom w:val="0"/>
      <w:divBdr>
        <w:top w:val="none" w:sz="0" w:space="0" w:color="auto"/>
        <w:left w:val="none" w:sz="0" w:space="0" w:color="auto"/>
        <w:bottom w:val="none" w:sz="0" w:space="0" w:color="auto"/>
        <w:right w:val="none" w:sz="0" w:space="0" w:color="auto"/>
      </w:divBdr>
    </w:div>
    <w:div w:id="1549336622">
      <w:bodyDiv w:val="1"/>
      <w:marLeft w:val="0"/>
      <w:marRight w:val="0"/>
      <w:marTop w:val="0"/>
      <w:marBottom w:val="0"/>
      <w:divBdr>
        <w:top w:val="none" w:sz="0" w:space="0" w:color="auto"/>
        <w:left w:val="none" w:sz="0" w:space="0" w:color="auto"/>
        <w:bottom w:val="none" w:sz="0" w:space="0" w:color="auto"/>
        <w:right w:val="none" w:sz="0" w:space="0" w:color="auto"/>
      </w:divBdr>
    </w:div>
    <w:div w:id="1642036258">
      <w:bodyDiv w:val="1"/>
      <w:marLeft w:val="0"/>
      <w:marRight w:val="0"/>
      <w:marTop w:val="0"/>
      <w:marBottom w:val="0"/>
      <w:divBdr>
        <w:top w:val="none" w:sz="0" w:space="0" w:color="auto"/>
        <w:left w:val="none" w:sz="0" w:space="0" w:color="auto"/>
        <w:bottom w:val="none" w:sz="0" w:space="0" w:color="auto"/>
        <w:right w:val="none" w:sz="0" w:space="0" w:color="auto"/>
      </w:divBdr>
    </w:div>
    <w:div w:id="1709064547">
      <w:bodyDiv w:val="1"/>
      <w:marLeft w:val="0"/>
      <w:marRight w:val="0"/>
      <w:marTop w:val="0"/>
      <w:marBottom w:val="0"/>
      <w:divBdr>
        <w:top w:val="none" w:sz="0" w:space="0" w:color="auto"/>
        <w:left w:val="none" w:sz="0" w:space="0" w:color="auto"/>
        <w:bottom w:val="none" w:sz="0" w:space="0" w:color="auto"/>
        <w:right w:val="none" w:sz="0" w:space="0" w:color="auto"/>
      </w:divBdr>
    </w:div>
    <w:div w:id="1804999075">
      <w:bodyDiv w:val="1"/>
      <w:marLeft w:val="0"/>
      <w:marRight w:val="0"/>
      <w:marTop w:val="0"/>
      <w:marBottom w:val="0"/>
      <w:divBdr>
        <w:top w:val="none" w:sz="0" w:space="0" w:color="auto"/>
        <w:left w:val="none" w:sz="0" w:space="0" w:color="auto"/>
        <w:bottom w:val="none" w:sz="0" w:space="0" w:color="auto"/>
        <w:right w:val="none" w:sz="0" w:space="0" w:color="auto"/>
      </w:divBdr>
    </w:div>
    <w:div w:id="1871336770">
      <w:bodyDiv w:val="1"/>
      <w:marLeft w:val="0"/>
      <w:marRight w:val="0"/>
      <w:marTop w:val="0"/>
      <w:marBottom w:val="0"/>
      <w:divBdr>
        <w:top w:val="none" w:sz="0" w:space="0" w:color="auto"/>
        <w:left w:val="none" w:sz="0" w:space="0" w:color="auto"/>
        <w:bottom w:val="none" w:sz="0" w:space="0" w:color="auto"/>
        <w:right w:val="none" w:sz="0" w:space="0" w:color="auto"/>
      </w:divBdr>
    </w:div>
    <w:div w:id="203483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package" Target="embeddings/Microsoft_Excel_Worksheet1.xlsx"/><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emf"/><Relationship Id="rId27"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5A6C"/>
    <w:rsid w:val="00064C14"/>
    <w:rsid w:val="000F5C92"/>
    <w:rsid w:val="00146151"/>
    <w:rsid w:val="001C2DEB"/>
    <w:rsid w:val="001E2EFA"/>
    <w:rsid w:val="00204A7F"/>
    <w:rsid w:val="002424AC"/>
    <w:rsid w:val="002B514B"/>
    <w:rsid w:val="002C0C03"/>
    <w:rsid w:val="002F44E4"/>
    <w:rsid w:val="00311B0D"/>
    <w:rsid w:val="00346D84"/>
    <w:rsid w:val="003A131F"/>
    <w:rsid w:val="00433007"/>
    <w:rsid w:val="00443FAC"/>
    <w:rsid w:val="00476797"/>
    <w:rsid w:val="005453CB"/>
    <w:rsid w:val="0055125F"/>
    <w:rsid w:val="00560392"/>
    <w:rsid w:val="0067026C"/>
    <w:rsid w:val="006B7FA8"/>
    <w:rsid w:val="00740DF1"/>
    <w:rsid w:val="00785437"/>
    <w:rsid w:val="008211B5"/>
    <w:rsid w:val="00826F97"/>
    <w:rsid w:val="00874653"/>
    <w:rsid w:val="00986313"/>
    <w:rsid w:val="00A5022A"/>
    <w:rsid w:val="00A95C10"/>
    <w:rsid w:val="00AB34E1"/>
    <w:rsid w:val="00AE4C28"/>
    <w:rsid w:val="00B56EBB"/>
    <w:rsid w:val="00B73964"/>
    <w:rsid w:val="00B74704"/>
    <w:rsid w:val="00BA0D0D"/>
    <w:rsid w:val="00BA7B82"/>
    <w:rsid w:val="00C2659B"/>
    <w:rsid w:val="00C93778"/>
    <w:rsid w:val="00C947B8"/>
    <w:rsid w:val="00D0496D"/>
    <w:rsid w:val="00D051F5"/>
    <w:rsid w:val="00D41957"/>
    <w:rsid w:val="00D72B69"/>
    <w:rsid w:val="00EC59D9"/>
    <w:rsid w:val="00F100E8"/>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BADE0B-D237-4BA3-9BE7-671A6B25E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13</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SCE17LG072</vt:lpstr>
    </vt:vector>
  </TitlesOfParts>
  <Company>Southern California Edison</Company>
  <LinksUpToDate>false</LinksUpToDate>
  <CharactersWithSpaces>15893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SCE17LG072</dc:title>
  <dc:creator>Jim Wyatt (PG&amp;E);Jason Wang (SCE)</dc:creator>
  <cp:lastModifiedBy>Ajay Wadhera</cp:lastModifiedBy>
  <cp:revision>34</cp:revision>
  <dcterms:created xsi:type="dcterms:W3CDTF">2016-12-30T20:03:00Z</dcterms:created>
  <dcterms:modified xsi:type="dcterms:W3CDTF">2017-06-29T20:49:00Z</dcterms:modified>
  <cp:contentStatus>Revision 1</cp:contentStatus>
</cp:coreProperties>
</file>