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ADC6DAD" w14:textId="7B27FB08" w:rsidR="00CD0872" w:rsidRPr="00257E69" w:rsidRDefault="006458D4" w:rsidP="00257E69">
      <w:pPr>
        <w:pStyle w:val="Title"/>
      </w:pPr>
      <w:r>
        <w:t>Comprehensive Workpaper Disposition for: Screw-In Lamps</w:t>
      </w:r>
      <w:r w:rsidR="002D4E44">
        <w:tab/>
      </w:r>
    </w:p>
    <w:p w14:paraId="1A7CA7C3" w14:textId="3B3CB031" w:rsidR="004756BA" w:rsidRDefault="004756BA" w:rsidP="00257E69">
      <w:pPr>
        <w:pStyle w:val="Subtitle"/>
      </w:pPr>
      <w:r>
        <w:t>Revisions to Disposition Originally Issued on March 1, 2017</w:t>
      </w:r>
    </w:p>
    <w:p w14:paraId="056851C1" w14:textId="77777777" w:rsidR="00CD0872" w:rsidRPr="00257E69" w:rsidRDefault="002D4E44" w:rsidP="00257E69">
      <w:pPr>
        <w:pStyle w:val="Subtitle"/>
      </w:pPr>
      <w:r>
        <w:t>California Public Utilities Commission, Energy Division</w:t>
      </w:r>
    </w:p>
    <w:p w14:paraId="0E150CAB" w14:textId="0F1428EC" w:rsidR="00CD0872" w:rsidRDefault="004756BA" w:rsidP="00774848">
      <w:pPr>
        <w:pStyle w:val="DispositionDate"/>
      </w:pPr>
      <w:r>
        <w:t xml:space="preserve">May </w:t>
      </w:r>
      <w:r w:rsidR="00BC03C9">
        <w:t>2</w:t>
      </w:r>
      <w:r w:rsidR="001D3992">
        <w:t>6</w:t>
      </w:r>
      <w:r w:rsidR="002D4E44">
        <w:t>, 2017</w:t>
      </w:r>
    </w:p>
    <w:p w14:paraId="5893AE66" w14:textId="77777777" w:rsidR="008504F1" w:rsidRDefault="008504F1">
      <w:pPr>
        <w:pStyle w:val="TOC1"/>
        <w:tabs>
          <w:tab w:val="right" w:leader="dot" w:pos="9350"/>
        </w:tabs>
      </w:pPr>
    </w:p>
    <w:p w14:paraId="34965453" w14:textId="77777777" w:rsidR="008504F1" w:rsidRDefault="008504F1">
      <w:pPr>
        <w:pStyle w:val="TOC1"/>
        <w:tabs>
          <w:tab w:val="right" w:leader="dot" w:pos="9350"/>
        </w:tabs>
      </w:pPr>
    </w:p>
    <w:p w14:paraId="1725D909" w14:textId="77777777" w:rsidR="001D3992" w:rsidRDefault="00235ACC">
      <w:pPr>
        <w:pStyle w:val="TOC1"/>
        <w:tabs>
          <w:tab w:val="right" w:leader="dot" w:pos="9350"/>
        </w:tabs>
        <w:rPr>
          <w:rFonts w:asciiTheme="minorHAnsi" w:eastAsiaTheme="minorEastAsia" w:hAnsiTheme="minorHAnsi" w:cstheme="minorBidi"/>
          <w:noProof/>
        </w:rPr>
      </w:pPr>
      <w:r>
        <w:fldChar w:fldCharType="begin"/>
      </w:r>
      <w:r>
        <w:instrText xml:space="preserve"> TOC \o "1-2" \h \z \u </w:instrText>
      </w:r>
      <w:r>
        <w:fldChar w:fldCharType="separate"/>
      </w:r>
      <w:hyperlink w:anchor="_Toc482685840" w:history="1">
        <w:r w:rsidR="001D3992" w:rsidRPr="002744D9">
          <w:rPr>
            <w:rStyle w:val="Hyperlink"/>
            <w:noProof/>
          </w:rPr>
          <w:t>1. Summary</w:t>
        </w:r>
        <w:r w:rsidR="001D3992">
          <w:rPr>
            <w:noProof/>
            <w:webHidden/>
          </w:rPr>
          <w:tab/>
        </w:r>
        <w:r w:rsidR="001D3992">
          <w:rPr>
            <w:noProof/>
            <w:webHidden/>
          </w:rPr>
          <w:fldChar w:fldCharType="begin"/>
        </w:r>
        <w:r w:rsidR="001D3992">
          <w:rPr>
            <w:noProof/>
            <w:webHidden/>
          </w:rPr>
          <w:instrText xml:space="preserve"> PAGEREF _Toc482685840 \h </w:instrText>
        </w:r>
        <w:r w:rsidR="001D3992">
          <w:rPr>
            <w:noProof/>
            <w:webHidden/>
          </w:rPr>
        </w:r>
        <w:r w:rsidR="001D3992">
          <w:rPr>
            <w:noProof/>
            <w:webHidden/>
          </w:rPr>
          <w:fldChar w:fldCharType="separate"/>
        </w:r>
        <w:r w:rsidR="001D3992">
          <w:rPr>
            <w:noProof/>
            <w:webHidden/>
          </w:rPr>
          <w:t>2</w:t>
        </w:r>
        <w:r w:rsidR="001D3992">
          <w:rPr>
            <w:noProof/>
            <w:webHidden/>
          </w:rPr>
          <w:fldChar w:fldCharType="end"/>
        </w:r>
      </w:hyperlink>
    </w:p>
    <w:p w14:paraId="2203E575" w14:textId="77777777" w:rsidR="001D3992" w:rsidRDefault="000A159D">
      <w:pPr>
        <w:pStyle w:val="TOC1"/>
        <w:tabs>
          <w:tab w:val="right" w:leader="dot" w:pos="9350"/>
        </w:tabs>
        <w:rPr>
          <w:rFonts w:asciiTheme="minorHAnsi" w:eastAsiaTheme="minorEastAsia" w:hAnsiTheme="minorHAnsi" w:cstheme="minorBidi"/>
          <w:noProof/>
        </w:rPr>
      </w:pPr>
      <w:hyperlink w:anchor="_Toc482685841" w:history="1">
        <w:r w:rsidR="001D3992" w:rsidRPr="002744D9">
          <w:rPr>
            <w:rStyle w:val="Hyperlink"/>
            <w:noProof/>
          </w:rPr>
          <w:t>2. Covered Workpapers</w:t>
        </w:r>
        <w:r w:rsidR="001D3992">
          <w:rPr>
            <w:noProof/>
            <w:webHidden/>
          </w:rPr>
          <w:tab/>
        </w:r>
        <w:r w:rsidR="001D3992">
          <w:rPr>
            <w:noProof/>
            <w:webHidden/>
          </w:rPr>
          <w:fldChar w:fldCharType="begin"/>
        </w:r>
        <w:r w:rsidR="001D3992">
          <w:rPr>
            <w:noProof/>
            <w:webHidden/>
          </w:rPr>
          <w:instrText xml:space="preserve"> PAGEREF _Toc482685841 \h </w:instrText>
        </w:r>
        <w:r w:rsidR="001D3992">
          <w:rPr>
            <w:noProof/>
            <w:webHidden/>
          </w:rPr>
        </w:r>
        <w:r w:rsidR="001D3992">
          <w:rPr>
            <w:noProof/>
            <w:webHidden/>
          </w:rPr>
          <w:fldChar w:fldCharType="separate"/>
        </w:r>
        <w:r w:rsidR="001D3992">
          <w:rPr>
            <w:noProof/>
            <w:webHidden/>
          </w:rPr>
          <w:t>2</w:t>
        </w:r>
        <w:r w:rsidR="001D3992">
          <w:rPr>
            <w:noProof/>
            <w:webHidden/>
          </w:rPr>
          <w:fldChar w:fldCharType="end"/>
        </w:r>
      </w:hyperlink>
    </w:p>
    <w:p w14:paraId="0A8677A9" w14:textId="77777777" w:rsidR="001D3992" w:rsidRDefault="000A159D">
      <w:pPr>
        <w:pStyle w:val="TOC1"/>
        <w:tabs>
          <w:tab w:val="right" w:leader="dot" w:pos="9350"/>
        </w:tabs>
        <w:rPr>
          <w:rFonts w:asciiTheme="minorHAnsi" w:eastAsiaTheme="minorEastAsia" w:hAnsiTheme="minorHAnsi" w:cstheme="minorBidi"/>
          <w:noProof/>
        </w:rPr>
      </w:pPr>
      <w:hyperlink w:anchor="_Toc482685842" w:history="1">
        <w:r w:rsidR="001D3992" w:rsidRPr="002744D9">
          <w:rPr>
            <w:rStyle w:val="Hyperlink"/>
            <w:noProof/>
          </w:rPr>
          <w:t>3. Revisions for LED A-Lamps</w:t>
        </w:r>
        <w:r w:rsidR="001D3992">
          <w:rPr>
            <w:noProof/>
            <w:webHidden/>
          </w:rPr>
          <w:tab/>
        </w:r>
        <w:r w:rsidR="001D3992">
          <w:rPr>
            <w:noProof/>
            <w:webHidden/>
          </w:rPr>
          <w:fldChar w:fldCharType="begin"/>
        </w:r>
        <w:r w:rsidR="001D3992">
          <w:rPr>
            <w:noProof/>
            <w:webHidden/>
          </w:rPr>
          <w:instrText xml:space="preserve"> PAGEREF _Toc482685842 \h </w:instrText>
        </w:r>
        <w:r w:rsidR="001D3992">
          <w:rPr>
            <w:noProof/>
            <w:webHidden/>
          </w:rPr>
        </w:r>
        <w:r w:rsidR="001D3992">
          <w:rPr>
            <w:noProof/>
            <w:webHidden/>
          </w:rPr>
          <w:fldChar w:fldCharType="separate"/>
        </w:r>
        <w:r w:rsidR="001D3992">
          <w:rPr>
            <w:noProof/>
            <w:webHidden/>
          </w:rPr>
          <w:t>3</w:t>
        </w:r>
        <w:r w:rsidR="001D3992">
          <w:rPr>
            <w:noProof/>
            <w:webHidden/>
          </w:rPr>
          <w:fldChar w:fldCharType="end"/>
        </w:r>
      </w:hyperlink>
    </w:p>
    <w:p w14:paraId="63A9486D" w14:textId="77777777" w:rsidR="001D3992" w:rsidRDefault="000A159D">
      <w:pPr>
        <w:pStyle w:val="TOC2"/>
        <w:tabs>
          <w:tab w:val="right" w:leader="dot" w:pos="9350"/>
        </w:tabs>
        <w:rPr>
          <w:rFonts w:asciiTheme="minorHAnsi" w:eastAsiaTheme="minorEastAsia" w:hAnsiTheme="minorHAnsi" w:cstheme="minorBidi"/>
          <w:noProof/>
        </w:rPr>
      </w:pPr>
      <w:hyperlink w:anchor="_Toc482685843" w:history="1">
        <w:r w:rsidR="001D3992" w:rsidRPr="002744D9">
          <w:rPr>
            <w:rStyle w:val="Hyperlink"/>
            <w:noProof/>
          </w:rPr>
          <w:t>3.1. Program Minimum Efficacy Requirements</w:t>
        </w:r>
        <w:r w:rsidR="001D3992">
          <w:rPr>
            <w:noProof/>
            <w:webHidden/>
          </w:rPr>
          <w:tab/>
        </w:r>
        <w:r w:rsidR="001D3992">
          <w:rPr>
            <w:noProof/>
            <w:webHidden/>
          </w:rPr>
          <w:fldChar w:fldCharType="begin"/>
        </w:r>
        <w:r w:rsidR="001D3992">
          <w:rPr>
            <w:noProof/>
            <w:webHidden/>
          </w:rPr>
          <w:instrText xml:space="preserve"> PAGEREF _Toc482685843 \h </w:instrText>
        </w:r>
        <w:r w:rsidR="001D3992">
          <w:rPr>
            <w:noProof/>
            <w:webHidden/>
          </w:rPr>
        </w:r>
        <w:r w:rsidR="001D3992">
          <w:rPr>
            <w:noProof/>
            <w:webHidden/>
          </w:rPr>
          <w:fldChar w:fldCharType="separate"/>
        </w:r>
        <w:r w:rsidR="001D3992">
          <w:rPr>
            <w:noProof/>
            <w:webHidden/>
          </w:rPr>
          <w:t>4</w:t>
        </w:r>
        <w:r w:rsidR="001D3992">
          <w:rPr>
            <w:noProof/>
            <w:webHidden/>
          </w:rPr>
          <w:fldChar w:fldCharType="end"/>
        </w:r>
      </w:hyperlink>
    </w:p>
    <w:p w14:paraId="704C5E5D" w14:textId="77777777" w:rsidR="001D3992" w:rsidRDefault="000A159D">
      <w:pPr>
        <w:pStyle w:val="TOC2"/>
        <w:tabs>
          <w:tab w:val="right" w:leader="dot" w:pos="9350"/>
        </w:tabs>
        <w:rPr>
          <w:rFonts w:asciiTheme="minorHAnsi" w:eastAsiaTheme="minorEastAsia" w:hAnsiTheme="minorHAnsi" w:cstheme="minorBidi"/>
          <w:noProof/>
        </w:rPr>
      </w:pPr>
      <w:hyperlink w:anchor="_Toc482685844" w:history="1">
        <w:r w:rsidR="001D3992" w:rsidRPr="002744D9">
          <w:rPr>
            <w:rStyle w:val="Hyperlink"/>
            <w:noProof/>
          </w:rPr>
          <w:t>3.2. Standard Practice Baseline for Savings Calculations</w:t>
        </w:r>
        <w:r w:rsidR="001D3992">
          <w:rPr>
            <w:noProof/>
            <w:webHidden/>
          </w:rPr>
          <w:tab/>
        </w:r>
        <w:r w:rsidR="001D3992">
          <w:rPr>
            <w:noProof/>
            <w:webHidden/>
          </w:rPr>
          <w:fldChar w:fldCharType="begin"/>
        </w:r>
        <w:r w:rsidR="001D3992">
          <w:rPr>
            <w:noProof/>
            <w:webHidden/>
          </w:rPr>
          <w:instrText xml:space="preserve"> PAGEREF _Toc482685844 \h </w:instrText>
        </w:r>
        <w:r w:rsidR="001D3992">
          <w:rPr>
            <w:noProof/>
            <w:webHidden/>
          </w:rPr>
        </w:r>
        <w:r w:rsidR="001D3992">
          <w:rPr>
            <w:noProof/>
            <w:webHidden/>
          </w:rPr>
          <w:fldChar w:fldCharType="separate"/>
        </w:r>
        <w:r w:rsidR="001D3992">
          <w:rPr>
            <w:noProof/>
            <w:webHidden/>
          </w:rPr>
          <w:t>7</w:t>
        </w:r>
        <w:r w:rsidR="001D3992">
          <w:rPr>
            <w:noProof/>
            <w:webHidden/>
          </w:rPr>
          <w:fldChar w:fldCharType="end"/>
        </w:r>
      </w:hyperlink>
    </w:p>
    <w:p w14:paraId="3CCD195C" w14:textId="77777777" w:rsidR="001D3992" w:rsidRDefault="000A159D">
      <w:pPr>
        <w:pStyle w:val="TOC2"/>
        <w:tabs>
          <w:tab w:val="right" w:leader="dot" w:pos="9350"/>
        </w:tabs>
        <w:rPr>
          <w:rFonts w:asciiTheme="minorHAnsi" w:eastAsiaTheme="minorEastAsia" w:hAnsiTheme="minorHAnsi" w:cstheme="minorBidi"/>
          <w:noProof/>
        </w:rPr>
      </w:pPr>
      <w:hyperlink w:anchor="_Toc482685845" w:history="1">
        <w:r w:rsidR="001D3992" w:rsidRPr="002744D9">
          <w:rPr>
            <w:rStyle w:val="Hyperlink"/>
            <w:noProof/>
          </w:rPr>
          <w:t>3.3. Measure Definitions</w:t>
        </w:r>
        <w:r w:rsidR="001D3992">
          <w:rPr>
            <w:noProof/>
            <w:webHidden/>
          </w:rPr>
          <w:tab/>
        </w:r>
        <w:r w:rsidR="001D3992">
          <w:rPr>
            <w:noProof/>
            <w:webHidden/>
          </w:rPr>
          <w:fldChar w:fldCharType="begin"/>
        </w:r>
        <w:r w:rsidR="001D3992">
          <w:rPr>
            <w:noProof/>
            <w:webHidden/>
          </w:rPr>
          <w:instrText xml:space="preserve"> PAGEREF _Toc482685845 \h </w:instrText>
        </w:r>
        <w:r w:rsidR="001D3992">
          <w:rPr>
            <w:noProof/>
            <w:webHidden/>
          </w:rPr>
        </w:r>
        <w:r w:rsidR="001D3992">
          <w:rPr>
            <w:noProof/>
            <w:webHidden/>
          </w:rPr>
          <w:fldChar w:fldCharType="separate"/>
        </w:r>
        <w:r w:rsidR="001D3992">
          <w:rPr>
            <w:noProof/>
            <w:webHidden/>
          </w:rPr>
          <w:t>7</w:t>
        </w:r>
        <w:r w:rsidR="001D3992">
          <w:rPr>
            <w:noProof/>
            <w:webHidden/>
          </w:rPr>
          <w:fldChar w:fldCharType="end"/>
        </w:r>
      </w:hyperlink>
    </w:p>
    <w:p w14:paraId="2352B6C4" w14:textId="77777777" w:rsidR="001D3992" w:rsidRDefault="000A159D">
      <w:pPr>
        <w:pStyle w:val="TOC2"/>
        <w:tabs>
          <w:tab w:val="right" w:leader="dot" w:pos="9350"/>
        </w:tabs>
        <w:rPr>
          <w:rFonts w:asciiTheme="minorHAnsi" w:eastAsiaTheme="minorEastAsia" w:hAnsiTheme="minorHAnsi" w:cstheme="minorBidi"/>
          <w:noProof/>
        </w:rPr>
      </w:pPr>
      <w:hyperlink w:anchor="_Toc482685846" w:history="1">
        <w:r w:rsidR="001D3992" w:rsidRPr="002744D9">
          <w:rPr>
            <w:rStyle w:val="Hyperlink"/>
            <w:noProof/>
          </w:rPr>
          <w:t>3.4. Requirements for Product Tracking</w:t>
        </w:r>
        <w:r w:rsidR="001D3992">
          <w:rPr>
            <w:noProof/>
            <w:webHidden/>
          </w:rPr>
          <w:tab/>
        </w:r>
        <w:r w:rsidR="001D3992">
          <w:rPr>
            <w:noProof/>
            <w:webHidden/>
          </w:rPr>
          <w:fldChar w:fldCharType="begin"/>
        </w:r>
        <w:r w:rsidR="001D3992">
          <w:rPr>
            <w:noProof/>
            <w:webHidden/>
          </w:rPr>
          <w:instrText xml:space="preserve"> PAGEREF _Toc482685846 \h </w:instrText>
        </w:r>
        <w:r w:rsidR="001D3992">
          <w:rPr>
            <w:noProof/>
            <w:webHidden/>
          </w:rPr>
        </w:r>
        <w:r w:rsidR="001D3992">
          <w:rPr>
            <w:noProof/>
            <w:webHidden/>
          </w:rPr>
          <w:fldChar w:fldCharType="separate"/>
        </w:r>
        <w:r w:rsidR="001D3992">
          <w:rPr>
            <w:noProof/>
            <w:webHidden/>
          </w:rPr>
          <w:t>7</w:t>
        </w:r>
        <w:r w:rsidR="001D3992">
          <w:rPr>
            <w:noProof/>
            <w:webHidden/>
          </w:rPr>
          <w:fldChar w:fldCharType="end"/>
        </w:r>
      </w:hyperlink>
    </w:p>
    <w:p w14:paraId="373A3699" w14:textId="6A9FB466" w:rsidR="001D3992" w:rsidRDefault="000A159D">
      <w:pPr>
        <w:pStyle w:val="TOC1"/>
        <w:tabs>
          <w:tab w:val="right" w:leader="dot" w:pos="9350"/>
        </w:tabs>
        <w:rPr>
          <w:rFonts w:asciiTheme="minorHAnsi" w:eastAsiaTheme="minorEastAsia" w:hAnsiTheme="minorHAnsi" w:cstheme="minorBidi"/>
          <w:noProof/>
        </w:rPr>
      </w:pPr>
      <w:hyperlink w:anchor="_Toc482685847" w:history="1">
        <w:r w:rsidR="001D3992" w:rsidRPr="002744D9">
          <w:rPr>
            <w:rStyle w:val="Hyperlink"/>
            <w:noProof/>
          </w:rPr>
          <w:t>4. Revisions for All Other LED Lamps</w:t>
        </w:r>
        <w:r w:rsidR="001D3992">
          <w:rPr>
            <w:noProof/>
            <w:webHidden/>
          </w:rPr>
          <w:tab/>
        </w:r>
        <w:r w:rsidR="00F66A78">
          <w:rPr>
            <w:noProof/>
            <w:webHidden/>
          </w:rPr>
          <w:t>7</w:t>
        </w:r>
      </w:hyperlink>
    </w:p>
    <w:p w14:paraId="4F4D6AAA" w14:textId="77777777" w:rsidR="001D3992" w:rsidRDefault="000A159D">
      <w:pPr>
        <w:pStyle w:val="TOC2"/>
        <w:tabs>
          <w:tab w:val="right" w:leader="dot" w:pos="9350"/>
        </w:tabs>
        <w:rPr>
          <w:rFonts w:asciiTheme="minorHAnsi" w:eastAsiaTheme="minorEastAsia" w:hAnsiTheme="minorHAnsi" w:cstheme="minorBidi"/>
          <w:noProof/>
        </w:rPr>
      </w:pPr>
      <w:hyperlink w:anchor="_Toc482685848" w:history="1">
        <w:r w:rsidR="001D3992" w:rsidRPr="002744D9">
          <w:rPr>
            <w:rStyle w:val="Hyperlink"/>
            <w:noProof/>
          </w:rPr>
          <w:t>4.1. Wattage Reduction Ratio Values for LED Specialty Lamps</w:t>
        </w:r>
        <w:r w:rsidR="001D3992">
          <w:rPr>
            <w:noProof/>
            <w:webHidden/>
          </w:rPr>
          <w:tab/>
        </w:r>
        <w:r w:rsidR="001D3992">
          <w:rPr>
            <w:noProof/>
            <w:webHidden/>
          </w:rPr>
          <w:fldChar w:fldCharType="begin"/>
        </w:r>
        <w:r w:rsidR="001D3992">
          <w:rPr>
            <w:noProof/>
            <w:webHidden/>
          </w:rPr>
          <w:instrText xml:space="preserve"> PAGEREF _Toc482685848 \h </w:instrText>
        </w:r>
        <w:r w:rsidR="001D3992">
          <w:rPr>
            <w:noProof/>
            <w:webHidden/>
          </w:rPr>
        </w:r>
        <w:r w:rsidR="001D3992">
          <w:rPr>
            <w:noProof/>
            <w:webHidden/>
          </w:rPr>
          <w:fldChar w:fldCharType="separate"/>
        </w:r>
        <w:r w:rsidR="001D3992">
          <w:rPr>
            <w:noProof/>
            <w:webHidden/>
          </w:rPr>
          <w:t>8</w:t>
        </w:r>
        <w:r w:rsidR="001D3992">
          <w:rPr>
            <w:noProof/>
            <w:webHidden/>
          </w:rPr>
          <w:fldChar w:fldCharType="end"/>
        </w:r>
      </w:hyperlink>
    </w:p>
    <w:p w14:paraId="6801E8DA" w14:textId="77777777" w:rsidR="001D3992" w:rsidRDefault="000A159D">
      <w:pPr>
        <w:pStyle w:val="TOC2"/>
        <w:tabs>
          <w:tab w:val="right" w:leader="dot" w:pos="9350"/>
        </w:tabs>
        <w:rPr>
          <w:rFonts w:asciiTheme="minorHAnsi" w:eastAsiaTheme="minorEastAsia" w:hAnsiTheme="minorHAnsi" w:cstheme="minorBidi"/>
          <w:noProof/>
        </w:rPr>
      </w:pPr>
      <w:hyperlink w:anchor="_Toc482685849" w:history="1">
        <w:r w:rsidR="001D3992" w:rsidRPr="002744D9">
          <w:rPr>
            <w:rStyle w:val="Hyperlink"/>
            <w:noProof/>
          </w:rPr>
          <w:t>4.2. Wattage Reduction Ratio Values for Screw-in LED Reflector Lamps</w:t>
        </w:r>
        <w:r w:rsidR="001D3992">
          <w:rPr>
            <w:noProof/>
            <w:webHidden/>
          </w:rPr>
          <w:tab/>
        </w:r>
        <w:r w:rsidR="001D3992">
          <w:rPr>
            <w:noProof/>
            <w:webHidden/>
          </w:rPr>
          <w:fldChar w:fldCharType="begin"/>
        </w:r>
        <w:r w:rsidR="001D3992">
          <w:rPr>
            <w:noProof/>
            <w:webHidden/>
          </w:rPr>
          <w:instrText xml:space="preserve"> PAGEREF _Toc482685849 \h </w:instrText>
        </w:r>
        <w:r w:rsidR="001D3992">
          <w:rPr>
            <w:noProof/>
            <w:webHidden/>
          </w:rPr>
        </w:r>
        <w:r w:rsidR="001D3992">
          <w:rPr>
            <w:noProof/>
            <w:webHidden/>
          </w:rPr>
          <w:fldChar w:fldCharType="separate"/>
        </w:r>
        <w:r w:rsidR="001D3992">
          <w:rPr>
            <w:noProof/>
            <w:webHidden/>
          </w:rPr>
          <w:t>8</w:t>
        </w:r>
        <w:r w:rsidR="001D3992">
          <w:rPr>
            <w:noProof/>
            <w:webHidden/>
          </w:rPr>
          <w:fldChar w:fldCharType="end"/>
        </w:r>
      </w:hyperlink>
    </w:p>
    <w:p w14:paraId="2C4EDF05" w14:textId="77777777" w:rsidR="001D3992" w:rsidRDefault="000A159D">
      <w:pPr>
        <w:pStyle w:val="TOC1"/>
        <w:tabs>
          <w:tab w:val="right" w:leader="dot" w:pos="9350"/>
        </w:tabs>
        <w:rPr>
          <w:rFonts w:asciiTheme="minorHAnsi" w:eastAsiaTheme="minorEastAsia" w:hAnsiTheme="minorHAnsi" w:cstheme="minorBidi"/>
          <w:noProof/>
        </w:rPr>
      </w:pPr>
      <w:hyperlink w:anchor="_Toc482685850" w:history="1">
        <w:r w:rsidR="001D3992" w:rsidRPr="002744D9">
          <w:rPr>
            <w:rStyle w:val="Hyperlink"/>
            <w:noProof/>
          </w:rPr>
          <w:t>5. Revisio</w:t>
        </w:r>
        <w:bookmarkStart w:id="0" w:name="_GoBack"/>
        <w:bookmarkEnd w:id="0"/>
        <w:r w:rsidR="001D3992" w:rsidRPr="002744D9">
          <w:rPr>
            <w:rStyle w:val="Hyperlink"/>
            <w:noProof/>
          </w:rPr>
          <w:t>ns for CFLs</w:t>
        </w:r>
        <w:r w:rsidR="001D3992">
          <w:rPr>
            <w:noProof/>
            <w:webHidden/>
          </w:rPr>
          <w:tab/>
        </w:r>
        <w:r w:rsidR="001D3992">
          <w:rPr>
            <w:noProof/>
            <w:webHidden/>
          </w:rPr>
          <w:fldChar w:fldCharType="begin"/>
        </w:r>
        <w:r w:rsidR="001D3992">
          <w:rPr>
            <w:noProof/>
            <w:webHidden/>
          </w:rPr>
          <w:instrText xml:space="preserve"> PAGEREF _Toc482685850 \h </w:instrText>
        </w:r>
        <w:r w:rsidR="001D3992">
          <w:rPr>
            <w:noProof/>
            <w:webHidden/>
          </w:rPr>
        </w:r>
        <w:r w:rsidR="001D3992">
          <w:rPr>
            <w:noProof/>
            <w:webHidden/>
          </w:rPr>
          <w:fldChar w:fldCharType="separate"/>
        </w:r>
        <w:r w:rsidR="001D3992">
          <w:rPr>
            <w:noProof/>
            <w:webHidden/>
          </w:rPr>
          <w:t>8</w:t>
        </w:r>
        <w:r w:rsidR="001D3992">
          <w:rPr>
            <w:noProof/>
            <w:webHidden/>
          </w:rPr>
          <w:fldChar w:fldCharType="end"/>
        </w:r>
      </w:hyperlink>
    </w:p>
    <w:p w14:paraId="68CE84E7" w14:textId="77777777" w:rsidR="001D3992" w:rsidRDefault="000A159D">
      <w:pPr>
        <w:pStyle w:val="TOC2"/>
        <w:tabs>
          <w:tab w:val="right" w:leader="dot" w:pos="9350"/>
        </w:tabs>
        <w:rPr>
          <w:rFonts w:asciiTheme="minorHAnsi" w:eastAsiaTheme="minorEastAsia" w:hAnsiTheme="minorHAnsi" w:cstheme="minorBidi"/>
          <w:noProof/>
        </w:rPr>
      </w:pPr>
      <w:hyperlink w:anchor="_Toc482685851" w:history="1">
        <w:r w:rsidR="001D3992" w:rsidRPr="002744D9">
          <w:rPr>
            <w:rStyle w:val="Hyperlink"/>
            <w:noProof/>
          </w:rPr>
          <w:t>5.1. Wattage Reduction Ratios Values for CFL Specialty Lamps</w:t>
        </w:r>
        <w:r w:rsidR="001D3992">
          <w:rPr>
            <w:noProof/>
            <w:webHidden/>
          </w:rPr>
          <w:tab/>
        </w:r>
        <w:r w:rsidR="001D3992">
          <w:rPr>
            <w:noProof/>
            <w:webHidden/>
          </w:rPr>
          <w:fldChar w:fldCharType="begin"/>
        </w:r>
        <w:r w:rsidR="001D3992">
          <w:rPr>
            <w:noProof/>
            <w:webHidden/>
          </w:rPr>
          <w:instrText xml:space="preserve"> PAGEREF _Toc482685851 \h </w:instrText>
        </w:r>
        <w:r w:rsidR="001D3992">
          <w:rPr>
            <w:noProof/>
            <w:webHidden/>
          </w:rPr>
        </w:r>
        <w:r w:rsidR="001D3992">
          <w:rPr>
            <w:noProof/>
            <w:webHidden/>
          </w:rPr>
          <w:fldChar w:fldCharType="separate"/>
        </w:r>
        <w:r w:rsidR="001D3992">
          <w:rPr>
            <w:noProof/>
            <w:webHidden/>
          </w:rPr>
          <w:t>8</w:t>
        </w:r>
        <w:r w:rsidR="001D3992">
          <w:rPr>
            <w:noProof/>
            <w:webHidden/>
          </w:rPr>
          <w:fldChar w:fldCharType="end"/>
        </w:r>
      </w:hyperlink>
    </w:p>
    <w:p w14:paraId="55CD73B3" w14:textId="77777777" w:rsidR="001D3992" w:rsidRDefault="000A159D">
      <w:pPr>
        <w:pStyle w:val="TOC1"/>
        <w:tabs>
          <w:tab w:val="right" w:leader="dot" w:pos="9350"/>
        </w:tabs>
        <w:rPr>
          <w:rFonts w:asciiTheme="minorHAnsi" w:eastAsiaTheme="minorEastAsia" w:hAnsiTheme="minorHAnsi" w:cstheme="minorBidi"/>
          <w:noProof/>
        </w:rPr>
      </w:pPr>
      <w:hyperlink w:anchor="_Toc482685852" w:history="1">
        <w:r w:rsidR="001D3992" w:rsidRPr="002744D9">
          <w:rPr>
            <w:rStyle w:val="Hyperlink"/>
            <w:noProof/>
          </w:rPr>
          <w:t>6. Costs</w:t>
        </w:r>
        <w:r w:rsidR="001D3992">
          <w:rPr>
            <w:noProof/>
            <w:webHidden/>
          </w:rPr>
          <w:tab/>
        </w:r>
        <w:r w:rsidR="001D3992">
          <w:rPr>
            <w:noProof/>
            <w:webHidden/>
          </w:rPr>
          <w:fldChar w:fldCharType="begin"/>
        </w:r>
        <w:r w:rsidR="001D3992">
          <w:rPr>
            <w:noProof/>
            <w:webHidden/>
          </w:rPr>
          <w:instrText xml:space="preserve"> PAGEREF _Toc482685852 \h </w:instrText>
        </w:r>
        <w:r w:rsidR="001D3992">
          <w:rPr>
            <w:noProof/>
            <w:webHidden/>
          </w:rPr>
        </w:r>
        <w:r w:rsidR="001D3992">
          <w:rPr>
            <w:noProof/>
            <w:webHidden/>
          </w:rPr>
          <w:fldChar w:fldCharType="separate"/>
        </w:r>
        <w:r w:rsidR="001D3992">
          <w:rPr>
            <w:noProof/>
            <w:webHidden/>
          </w:rPr>
          <w:t>9</w:t>
        </w:r>
        <w:r w:rsidR="001D3992">
          <w:rPr>
            <w:noProof/>
            <w:webHidden/>
          </w:rPr>
          <w:fldChar w:fldCharType="end"/>
        </w:r>
      </w:hyperlink>
    </w:p>
    <w:p w14:paraId="45DC7571" w14:textId="77777777" w:rsidR="001D3992" w:rsidRDefault="000A159D">
      <w:pPr>
        <w:pStyle w:val="TOC1"/>
        <w:tabs>
          <w:tab w:val="right" w:leader="dot" w:pos="9350"/>
        </w:tabs>
        <w:rPr>
          <w:rFonts w:asciiTheme="minorHAnsi" w:eastAsiaTheme="minorEastAsia" w:hAnsiTheme="minorHAnsi" w:cstheme="minorBidi"/>
          <w:noProof/>
        </w:rPr>
      </w:pPr>
      <w:hyperlink w:anchor="_Toc482685853" w:history="1">
        <w:r w:rsidR="001D3992" w:rsidRPr="002744D9">
          <w:rPr>
            <w:rStyle w:val="Hyperlink"/>
            <w:noProof/>
          </w:rPr>
          <w:t>7. Ex Ante Data</w:t>
        </w:r>
        <w:r w:rsidR="001D3992">
          <w:rPr>
            <w:noProof/>
            <w:webHidden/>
          </w:rPr>
          <w:tab/>
        </w:r>
        <w:r w:rsidR="001D3992">
          <w:rPr>
            <w:noProof/>
            <w:webHidden/>
          </w:rPr>
          <w:fldChar w:fldCharType="begin"/>
        </w:r>
        <w:r w:rsidR="001D3992">
          <w:rPr>
            <w:noProof/>
            <w:webHidden/>
          </w:rPr>
          <w:instrText xml:space="preserve"> PAGEREF _Toc482685853 \h </w:instrText>
        </w:r>
        <w:r w:rsidR="001D3992">
          <w:rPr>
            <w:noProof/>
            <w:webHidden/>
          </w:rPr>
        </w:r>
        <w:r w:rsidR="001D3992">
          <w:rPr>
            <w:noProof/>
            <w:webHidden/>
          </w:rPr>
          <w:fldChar w:fldCharType="separate"/>
        </w:r>
        <w:r w:rsidR="001D3992">
          <w:rPr>
            <w:noProof/>
            <w:webHidden/>
          </w:rPr>
          <w:t>9</w:t>
        </w:r>
        <w:r w:rsidR="001D3992">
          <w:rPr>
            <w:noProof/>
            <w:webHidden/>
          </w:rPr>
          <w:fldChar w:fldCharType="end"/>
        </w:r>
      </w:hyperlink>
    </w:p>
    <w:p w14:paraId="35923A9B" w14:textId="77777777" w:rsidR="001D3992" w:rsidRDefault="000A159D">
      <w:pPr>
        <w:pStyle w:val="TOC1"/>
        <w:tabs>
          <w:tab w:val="right" w:leader="dot" w:pos="9350"/>
        </w:tabs>
        <w:rPr>
          <w:rFonts w:asciiTheme="minorHAnsi" w:eastAsiaTheme="minorEastAsia" w:hAnsiTheme="minorHAnsi" w:cstheme="minorBidi"/>
          <w:noProof/>
        </w:rPr>
      </w:pPr>
      <w:hyperlink w:anchor="_Toc482685854" w:history="1">
        <w:r w:rsidR="001D3992" w:rsidRPr="002744D9">
          <w:rPr>
            <w:rStyle w:val="Hyperlink"/>
            <w:noProof/>
          </w:rPr>
          <w:t>8. Effective Date</w:t>
        </w:r>
        <w:r w:rsidR="001D3992">
          <w:rPr>
            <w:noProof/>
            <w:webHidden/>
          </w:rPr>
          <w:tab/>
        </w:r>
        <w:r w:rsidR="001D3992">
          <w:rPr>
            <w:noProof/>
            <w:webHidden/>
          </w:rPr>
          <w:fldChar w:fldCharType="begin"/>
        </w:r>
        <w:r w:rsidR="001D3992">
          <w:rPr>
            <w:noProof/>
            <w:webHidden/>
          </w:rPr>
          <w:instrText xml:space="preserve"> PAGEREF _Toc482685854 \h </w:instrText>
        </w:r>
        <w:r w:rsidR="001D3992">
          <w:rPr>
            <w:noProof/>
            <w:webHidden/>
          </w:rPr>
        </w:r>
        <w:r w:rsidR="001D3992">
          <w:rPr>
            <w:noProof/>
            <w:webHidden/>
          </w:rPr>
          <w:fldChar w:fldCharType="separate"/>
        </w:r>
        <w:r w:rsidR="001D3992">
          <w:rPr>
            <w:noProof/>
            <w:webHidden/>
          </w:rPr>
          <w:t>9</w:t>
        </w:r>
        <w:r w:rsidR="001D3992">
          <w:rPr>
            <w:noProof/>
            <w:webHidden/>
          </w:rPr>
          <w:fldChar w:fldCharType="end"/>
        </w:r>
      </w:hyperlink>
    </w:p>
    <w:p w14:paraId="45DF1BE2" w14:textId="77777777" w:rsidR="001D3992" w:rsidRDefault="000A159D">
      <w:pPr>
        <w:pStyle w:val="TOC1"/>
        <w:tabs>
          <w:tab w:val="right" w:leader="dot" w:pos="9350"/>
        </w:tabs>
        <w:rPr>
          <w:rFonts w:asciiTheme="minorHAnsi" w:eastAsiaTheme="minorEastAsia" w:hAnsiTheme="minorHAnsi" w:cstheme="minorBidi"/>
          <w:noProof/>
        </w:rPr>
      </w:pPr>
      <w:hyperlink w:anchor="_Toc482685855" w:history="1">
        <w:r w:rsidR="001D3992" w:rsidRPr="002744D9">
          <w:rPr>
            <w:rStyle w:val="Hyperlink"/>
            <w:noProof/>
          </w:rPr>
          <w:t>9. Consideration of 2015 Upstream Lighting Evaluation</w:t>
        </w:r>
        <w:r w:rsidR="001D3992">
          <w:rPr>
            <w:noProof/>
            <w:webHidden/>
          </w:rPr>
          <w:tab/>
        </w:r>
        <w:r w:rsidR="001D3992">
          <w:rPr>
            <w:noProof/>
            <w:webHidden/>
          </w:rPr>
          <w:fldChar w:fldCharType="begin"/>
        </w:r>
        <w:r w:rsidR="001D3992">
          <w:rPr>
            <w:noProof/>
            <w:webHidden/>
          </w:rPr>
          <w:instrText xml:space="preserve"> PAGEREF _Toc482685855 \h </w:instrText>
        </w:r>
        <w:r w:rsidR="001D3992">
          <w:rPr>
            <w:noProof/>
            <w:webHidden/>
          </w:rPr>
        </w:r>
        <w:r w:rsidR="001D3992">
          <w:rPr>
            <w:noProof/>
            <w:webHidden/>
          </w:rPr>
          <w:fldChar w:fldCharType="separate"/>
        </w:r>
        <w:r w:rsidR="001D3992">
          <w:rPr>
            <w:noProof/>
            <w:webHidden/>
          </w:rPr>
          <w:t>9</w:t>
        </w:r>
        <w:r w:rsidR="001D3992">
          <w:rPr>
            <w:noProof/>
            <w:webHidden/>
          </w:rPr>
          <w:fldChar w:fldCharType="end"/>
        </w:r>
      </w:hyperlink>
    </w:p>
    <w:p w14:paraId="1B3D8332" w14:textId="77777777" w:rsidR="001D3992" w:rsidRDefault="000A159D">
      <w:pPr>
        <w:pStyle w:val="TOC2"/>
        <w:tabs>
          <w:tab w:val="right" w:leader="dot" w:pos="9350"/>
        </w:tabs>
        <w:rPr>
          <w:rFonts w:asciiTheme="minorHAnsi" w:eastAsiaTheme="minorEastAsia" w:hAnsiTheme="minorHAnsi" w:cstheme="minorBidi"/>
          <w:noProof/>
        </w:rPr>
      </w:pPr>
      <w:hyperlink w:anchor="_Toc482685856" w:history="1">
        <w:r w:rsidR="001D3992" w:rsidRPr="002744D9">
          <w:rPr>
            <w:rStyle w:val="Hyperlink"/>
            <w:noProof/>
          </w:rPr>
          <w:t>9.1. Hours of Use are Based on Older Data and Mix Interior and Exterior Applications</w:t>
        </w:r>
        <w:r w:rsidR="001D3992">
          <w:rPr>
            <w:noProof/>
            <w:webHidden/>
          </w:rPr>
          <w:tab/>
        </w:r>
        <w:r w:rsidR="001D3992">
          <w:rPr>
            <w:noProof/>
            <w:webHidden/>
          </w:rPr>
          <w:fldChar w:fldCharType="begin"/>
        </w:r>
        <w:r w:rsidR="001D3992">
          <w:rPr>
            <w:noProof/>
            <w:webHidden/>
          </w:rPr>
          <w:instrText xml:space="preserve"> PAGEREF _Toc482685856 \h </w:instrText>
        </w:r>
        <w:r w:rsidR="001D3992">
          <w:rPr>
            <w:noProof/>
            <w:webHidden/>
          </w:rPr>
        </w:r>
        <w:r w:rsidR="001D3992">
          <w:rPr>
            <w:noProof/>
            <w:webHidden/>
          </w:rPr>
          <w:fldChar w:fldCharType="separate"/>
        </w:r>
        <w:r w:rsidR="001D3992">
          <w:rPr>
            <w:noProof/>
            <w:webHidden/>
          </w:rPr>
          <w:t>10</w:t>
        </w:r>
        <w:r w:rsidR="001D3992">
          <w:rPr>
            <w:noProof/>
            <w:webHidden/>
          </w:rPr>
          <w:fldChar w:fldCharType="end"/>
        </w:r>
      </w:hyperlink>
    </w:p>
    <w:p w14:paraId="21DEE3B1" w14:textId="77777777" w:rsidR="001D3992" w:rsidRDefault="000A159D">
      <w:pPr>
        <w:pStyle w:val="TOC2"/>
        <w:tabs>
          <w:tab w:val="right" w:leader="dot" w:pos="9350"/>
        </w:tabs>
        <w:rPr>
          <w:rFonts w:asciiTheme="minorHAnsi" w:eastAsiaTheme="minorEastAsia" w:hAnsiTheme="minorHAnsi" w:cstheme="minorBidi"/>
          <w:noProof/>
        </w:rPr>
      </w:pPr>
      <w:hyperlink w:anchor="_Toc482685857" w:history="1">
        <w:r w:rsidR="001D3992" w:rsidRPr="002744D9">
          <w:rPr>
            <w:rStyle w:val="Hyperlink"/>
            <w:noProof/>
          </w:rPr>
          <w:t>9.2. Baseline Wattage Assumptions are not Comparable to Reported Measure Wattages</w:t>
        </w:r>
        <w:r w:rsidR="001D3992">
          <w:rPr>
            <w:noProof/>
            <w:webHidden/>
          </w:rPr>
          <w:tab/>
        </w:r>
        <w:r w:rsidR="001D3992">
          <w:rPr>
            <w:noProof/>
            <w:webHidden/>
          </w:rPr>
          <w:fldChar w:fldCharType="begin"/>
        </w:r>
        <w:r w:rsidR="001D3992">
          <w:rPr>
            <w:noProof/>
            <w:webHidden/>
          </w:rPr>
          <w:instrText xml:space="preserve"> PAGEREF _Toc482685857 \h </w:instrText>
        </w:r>
        <w:r w:rsidR="001D3992">
          <w:rPr>
            <w:noProof/>
            <w:webHidden/>
          </w:rPr>
        </w:r>
        <w:r w:rsidR="001D3992">
          <w:rPr>
            <w:noProof/>
            <w:webHidden/>
          </w:rPr>
          <w:fldChar w:fldCharType="separate"/>
        </w:r>
        <w:r w:rsidR="001D3992">
          <w:rPr>
            <w:noProof/>
            <w:webHidden/>
          </w:rPr>
          <w:t>10</w:t>
        </w:r>
        <w:r w:rsidR="001D3992">
          <w:rPr>
            <w:noProof/>
            <w:webHidden/>
          </w:rPr>
          <w:fldChar w:fldCharType="end"/>
        </w:r>
      </w:hyperlink>
    </w:p>
    <w:p w14:paraId="4C7ACEC0" w14:textId="1A95CF8A" w:rsidR="0072213E" w:rsidRDefault="00235ACC" w:rsidP="00825350">
      <w:r>
        <w:fldChar w:fldCharType="end"/>
      </w:r>
      <w:r w:rsidR="0072213E">
        <w:br w:type="page"/>
      </w:r>
      <w:r w:rsidR="00907E7B">
        <w:lastRenderedPageBreak/>
        <w:tab/>
      </w:r>
    </w:p>
    <w:p w14:paraId="1E5A8CAB" w14:textId="77777777" w:rsidR="002A67E5" w:rsidRDefault="00D11AC4" w:rsidP="005F0289">
      <w:pPr>
        <w:pStyle w:val="Heading1"/>
      </w:pPr>
      <w:bookmarkStart w:id="1" w:name="_Toc482685840"/>
      <w:r>
        <w:t>Summary</w:t>
      </w:r>
      <w:bookmarkEnd w:id="1"/>
    </w:p>
    <w:p w14:paraId="12D34BB3" w14:textId="4E5EB063" w:rsidR="00D11AC4" w:rsidRDefault="000D0B21" w:rsidP="00D11AC4">
      <w:pPr>
        <w:pStyle w:val="Body1"/>
      </w:pPr>
      <w:r>
        <w:t>This document summarizes revisions to the Phase 1 disposition for screw-in lamps</w:t>
      </w:r>
      <w:r w:rsidR="000D5443">
        <w:t>. The</w:t>
      </w:r>
      <w:r w:rsidR="002C50E6">
        <w:t xml:space="preserve"> revisions contained herein are relative to the</w:t>
      </w:r>
      <w:r w:rsidR="000D5443">
        <w:t xml:space="preserve"> disposition issued on March 1, 2017</w:t>
      </w:r>
      <w:r w:rsidR="000D5443">
        <w:rPr>
          <w:rStyle w:val="FootnoteReference"/>
        </w:rPr>
        <w:footnoteReference w:id="2"/>
      </w:r>
      <w:r w:rsidR="000D5443">
        <w:t xml:space="preserve">. Commission staff and ex ante consultants met with PAs several times to discuss concerns related to the disposition. One of the </w:t>
      </w:r>
      <w:r w:rsidR="002C50E6">
        <w:t>principal</w:t>
      </w:r>
      <w:r w:rsidR="000D5443">
        <w:t xml:space="preserve"> concerns </w:t>
      </w:r>
      <w:r w:rsidR="002C50E6">
        <w:t xml:space="preserve">expressed by </w:t>
      </w:r>
      <w:r w:rsidR="000D5443">
        <w:t xml:space="preserve">the PAs was the minimum efficacy requirement, which </w:t>
      </w:r>
      <w:r w:rsidR="002C50E6">
        <w:t xml:space="preserve">the </w:t>
      </w:r>
      <w:r w:rsidR="000D5443">
        <w:t>PAs believed would remove</w:t>
      </w:r>
      <w:r w:rsidR="002C50E6">
        <w:t>,</w:t>
      </w:r>
      <w:r w:rsidR="000D5443">
        <w:t xml:space="preserve"> </w:t>
      </w:r>
      <w:r w:rsidR="002C50E6">
        <w:t xml:space="preserve">for their upstream </w:t>
      </w:r>
      <w:r w:rsidR="000D5443">
        <w:t>program</w:t>
      </w:r>
      <w:r w:rsidR="002C50E6">
        <w:t>s,</w:t>
      </w:r>
      <w:r w:rsidR="000D5443">
        <w:t xml:space="preserve"> </w:t>
      </w:r>
      <w:r w:rsidR="002C50E6">
        <w:t xml:space="preserve">the </w:t>
      </w:r>
      <w:r w:rsidR="000D5443">
        <w:t xml:space="preserve">eligibility </w:t>
      </w:r>
      <w:r w:rsidR="002C50E6">
        <w:t xml:space="preserve">for </w:t>
      </w:r>
      <w:r w:rsidR="000D5443">
        <w:t xml:space="preserve">most lamps that are currently being </w:t>
      </w:r>
      <w:r w:rsidR="002C50E6">
        <w:t>considered eligible</w:t>
      </w:r>
      <w:r w:rsidR="000D5443">
        <w:t xml:space="preserve">. Commission staff also </w:t>
      </w:r>
      <w:r w:rsidR="002C50E6">
        <w:t>received comments from</w:t>
      </w:r>
      <w:r w:rsidR="000D5443">
        <w:t xml:space="preserve"> staff </w:t>
      </w:r>
      <w:r w:rsidR="002C50E6">
        <w:t xml:space="preserve">of </w:t>
      </w:r>
      <w:r w:rsidR="000D5443">
        <w:t>the California Energy Commission</w:t>
      </w:r>
      <w:r w:rsidR="002C50E6">
        <w:t xml:space="preserve"> expressing similar concerns about the proposed minimum efficacy requirements contained in the March disposition</w:t>
      </w:r>
      <w:r w:rsidR="000D5443">
        <w:t xml:space="preserve">. </w:t>
      </w:r>
      <w:r w:rsidR="002C50E6">
        <w:t>T</w:t>
      </w:r>
      <w:r w:rsidR="000D5443">
        <w:t>he specific revisions to the original Phase 1 disposition</w:t>
      </w:r>
      <w:r w:rsidR="002C50E6">
        <w:t xml:space="preserve"> to address those concerns and other related concerns are detailed below; a</w:t>
      </w:r>
      <w:r w:rsidR="000D5443">
        <w:t xml:space="preserve">ll other direction in the </w:t>
      </w:r>
      <w:r w:rsidR="002C50E6">
        <w:t xml:space="preserve">March 1, 2017 issued </w:t>
      </w:r>
      <w:r w:rsidR="000D5443">
        <w:t>Phase 1 disposition remain unchanged.</w:t>
      </w:r>
    </w:p>
    <w:p w14:paraId="4F0BC1C2" w14:textId="77777777" w:rsidR="00E34056" w:rsidRPr="00D11AC4" w:rsidRDefault="00E34056" w:rsidP="00E34056">
      <w:pPr>
        <w:pStyle w:val="Heading1"/>
      </w:pPr>
      <w:bookmarkStart w:id="2" w:name="_Toc482685841"/>
      <w:r>
        <w:t>Covered Workpapers</w:t>
      </w:r>
      <w:bookmarkEnd w:id="2"/>
    </w:p>
    <w:p w14:paraId="1114FE01" w14:textId="6E6BED00" w:rsidR="00E34056" w:rsidRPr="00E534A2" w:rsidRDefault="00E34056" w:rsidP="00E34056">
      <w:pPr>
        <w:pStyle w:val="Body1"/>
      </w:pPr>
      <w:r>
        <w:t>This disposition</w:t>
      </w:r>
      <w:r w:rsidR="00380FFB">
        <w:t xml:space="preserve">, combined with </w:t>
      </w:r>
      <w:r w:rsidR="00644B68">
        <w:t xml:space="preserve">its March 1 </w:t>
      </w:r>
      <w:r w:rsidR="00380FFB">
        <w:t>parent,</w:t>
      </w:r>
      <w:r>
        <w:t xml:space="preserve"> includes </w:t>
      </w:r>
      <w:r w:rsidR="00380FFB">
        <w:t xml:space="preserve">direction for </w:t>
      </w:r>
      <w:r>
        <w:t>all workpapers covering screw-in lamps</w:t>
      </w:r>
      <w:r w:rsidR="00380FFB">
        <w:t xml:space="preserve"> (of all technologies and shapes)</w:t>
      </w:r>
      <w:r>
        <w:t xml:space="preserve">. Refer to </w:t>
      </w:r>
      <w:r>
        <w:fldChar w:fldCharType="begin"/>
      </w:r>
      <w:r>
        <w:instrText xml:space="preserve"> REF _Ref324175084 \h </w:instrText>
      </w:r>
      <w:r>
        <w:fldChar w:fldCharType="separate"/>
      </w:r>
      <w:r w:rsidR="00583FC8" w:rsidRPr="00310BA9">
        <w:t xml:space="preserve">Table </w:t>
      </w:r>
      <w:r w:rsidR="00583FC8">
        <w:rPr>
          <w:noProof/>
        </w:rPr>
        <w:t>1</w:t>
      </w:r>
      <w:r>
        <w:fldChar w:fldCharType="end"/>
      </w:r>
      <w:r>
        <w:t xml:space="preserve"> for a list of recently submitted PA workpapers that support these types of measures.</w:t>
      </w:r>
    </w:p>
    <w:p w14:paraId="6D612DA0" w14:textId="4BDE85A9" w:rsidR="00E34056" w:rsidRPr="00310BA9" w:rsidRDefault="00E34056" w:rsidP="00E34056">
      <w:pPr>
        <w:pStyle w:val="Caption"/>
        <w:keepNext/>
        <w:spacing w:after="120"/>
        <w:jc w:val="center"/>
      </w:pPr>
      <w:bookmarkStart w:id="3" w:name="_Ref324175084"/>
      <w:r w:rsidRPr="00310BA9">
        <w:lastRenderedPageBreak/>
        <w:t xml:space="preserve">Table </w:t>
      </w:r>
      <w:r w:rsidR="000A159D">
        <w:fldChar w:fldCharType="begin"/>
      </w:r>
      <w:r w:rsidR="000A159D">
        <w:instrText xml:space="preserve"> SEQ Table \* ARAB</w:instrText>
      </w:r>
      <w:r w:rsidR="000A159D">
        <w:instrText xml:space="preserve">IC </w:instrText>
      </w:r>
      <w:r w:rsidR="000A159D">
        <w:fldChar w:fldCharType="separate"/>
      </w:r>
      <w:r w:rsidR="00583FC8">
        <w:rPr>
          <w:noProof/>
        </w:rPr>
        <w:t>1</w:t>
      </w:r>
      <w:r w:rsidR="000A159D">
        <w:rPr>
          <w:noProof/>
        </w:rPr>
        <w:fldChar w:fldCharType="end"/>
      </w:r>
      <w:bookmarkEnd w:id="3"/>
      <w:r w:rsidRPr="00310BA9">
        <w:t xml:space="preserve"> - Workpapers</w:t>
      </w:r>
    </w:p>
    <w:tbl>
      <w:tblPr>
        <w:tblW w:w="925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47"/>
        <w:gridCol w:w="538"/>
        <w:gridCol w:w="4837"/>
        <w:gridCol w:w="658"/>
        <w:gridCol w:w="1278"/>
      </w:tblGrid>
      <w:tr w:rsidR="00E34056" w:rsidRPr="00042234" w14:paraId="0568A704" w14:textId="77777777" w:rsidTr="001D79A7">
        <w:trPr>
          <w:jc w:val="center"/>
        </w:trPr>
        <w:tc>
          <w:tcPr>
            <w:tcW w:w="1947" w:type="dxa"/>
          </w:tcPr>
          <w:p w14:paraId="442034FB" w14:textId="77777777" w:rsidR="00E34056" w:rsidRPr="00042234" w:rsidRDefault="00E34056" w:rsidP="004756BA">
            <w:pPr>
              <w:keepNext/>
              <w:spacing w:after="0" w:line="240" w:lineRule="auto"/>
              <w:jc w:val="center"/>
              <w:rPr>
                <w:rFonts w:asciiTheme="minorHAnsi" w:hAnsiTheme="minorHAnsi" w:cstheme="minorHAnsi"/>
                <w:b/>
                <w:sz w:val="20"/>
                <w:szCs w:val="20"/>
              </w:rPr>
            </w:pPr>
          </w:p>
          <w:p w14:paraId="229D63B7" w14:textId="77777777" w:rsidR="00E34056" w:rsidRPr="00042234" w:rsidRDefault="00E34056" w:rsidP="00042234">
            <w:pPr>
              <w:keepNext/>
              <w:spacing w:after="0" w:line="240" w:lineRule="auto"/>
              <w:jc w:val="center"/>
              <w:rPr>
                <w:rFonts w:asciiTheme="minorHAnsi" w:hAnsiTheme="minorHAnsi" w:cstheme="minorHAnsi"/>
                <w:b/>
                <w:sz w:val="20"/>
                <w:szCs w:val="20"/>
              </w:rPr>
            </w:pPr>
          </w:p>
          <w:p w14:paraId="0B0737DA" w14:textId="77777777" w:rsidR="00E34056" w:rsidRPr="00042234" w:rsidRDefault="00E34056" w:rsidP="00042234">
            <w:pPr>
              <w:keepNext/>
              <w:spacing w:after="0" w:line="240" w:lineRule="auto"/>
              <w:jc w:val="center"/>
              <w:rPr>
                <w:rFonts w:asciiTheme="minorHAnsi" w:hAnsiTheme="minorHAnsi" w:cstheme="minorHAnsi"/>
                <w:b/>
                <w:sz w:val="20"/>
                <w:szCs w:val="20"/>
              </w:rPr>
            </w:pPr>
            <w:r w:rsidRPr="00042234">
              <w:rPr>
                <w:rFonts w:asciiTheme="minorHAnsi" w:hAnsiTheme="minorHAnsi" w:cstheme="minorHAnsi"/>
                <w:b/>
                <w:sz w:val="20"/>
                <w:szCs w:val="20"/>
              </w:rPr>
              <w:t>Workpaper ID</w:t>
            </w:r>
          </w:p>
        </w:tc>
        <w:tc>
          <w:tcPr>
            <w:tcW w:w="538" w:type="dxa"/>
          </w:tcPr>
          <w:p w14:paraId="2EF66DE7" w14:textId="77777777" w:rsidR="00E34056" w:rsidRPr="00042234" w:rsidRDefault="00E34056" w:rsidP="00042234">
            <w:pPr>
              <w:keepNext/>
              <w:spacing w:after="0" w:line="240" w:lineRule="auto"/>
              <w:jc w:val="center"/>
              <w:rPr>
                <w:rFonts w:asciiTheme="minorHAnsi" w:hAnsiTheme="minorHAnsi" w:cstheme="minorHAnsi"/>
                <w:b/>
                <w:sz w:val="20"/>
                <w:szCs w:val="20"/>
              </w:rPr>
            </w:pPr>
          </w:p>
          <w:p w14:paraId="3EE30A3D" w14:textId="77777777" w:rsidR="00E34056" w:rsidRPr="00042234" w:rsidRDefault="00E34056" w:rsidP="00042234">
            <w:pPr>
              <w:keepNext/>
              <w:spacing w:after="0" w:line="240" w:lineRule="auto"/>
              <w:jc w:val="center"/>
              <w:rPr>
                <w:rFonts w:asciiTheme="minorHAnsi" w:hAnsiTheme="minorHAnsi" w:cstheme="minorHAnsi"/>
                <w:b/>
                <w:sz w:val="20"/>
                <w:szCs w:val="20"/>
              </w:rPr>
            </w:pPr>
          </w:p>
          <w:p w14:paraId="270C9F67" w14:textId="77777777" w:rsidR="00E34056" w:rsidRPr="00042234" w:rsidRDefault="00E34056" w:rsidP="00042234">
            <w:pPr>
              <w:keepNext/>
              <w:spacing w:after="0" w:line="240" w:lineRule="auto"/>
              <w:jc w:val="center"/>
              <w:rPr>
                <w:rFonts w:asciiTheme="minorHAnsi" w:hAnsiTheme="minorHAnsi" w:cstheme="minorHAnsi"/>
                <w:b/>
                <w:sz w:val="20"/>
                <w:szCs w:val="20"/>
              </w:rPr>
            </w:pPr>
            <w:r w:rsidRPr="00042234">
              <w:rPr>
                <w:rFonts w:asciiTheme="minorHAnsi" w:hAnsiTheme="minorHAnsi" w:cstheme="minorHAnsi"/>
                <w:b/>
                <w:sz w:val="20"/>
                <w:szCs w:val="20"/>
              </w:rPr>
              <w:t>Rev</w:t>
            </w:r>
          </w:p>
        </w:tc>
        <w:tc>
          <w:tcPr>
            <w:tcW w:w="4837" w:type="dxa"/>
          </w:tcPr>
          <w:p w14:paraId="2A4BF2B5" w14:textId="77777777" w:rsidR="00E34056" w:rsidRPr="00042234" w:rsidRDefault="00E34056" w:rsidP="00042234">
            <w:pPr>
              <w:keepNext/>
              <w:spacing w:after="0" w:line="240" w:lineRule="auto"/>
              <w:jc w:val="center"/>
              <w:rPr>
                <w:rFonts w:asciiTheme="minorHAnsi" w:hAnsiTheme="minorHAnsi" w:cstheme="minorHAnsi"/>
                <w:b/>
                <w:sz w:val="20"/>
                <w:szCs w:val="20"/>
              </w:rPr>
            </w:pPr>
          </w:p>
          <w:p w14:paraId="3EAADDC0" w14:textId="77777777" w:rsidR="00E34056" w:rsidRPr="00042234" w:rsidRDefault="00E34056" w:rsidP="00042234">
            <w:pPr>
              <w:keepNext/>
              <w:spacing w:after="0" w:line="240" w:lineRule="auto"/>
              <w:jc w:val="center"/>
              <w:rPr>
                <w:rFonts w:asciiTheme="minorHAnsi" w:hAnsiTheme="minorHAnsi" w:cstheme="minorHAnsi"/>
                <w:b/>
                <w:sz w:val="20"/>
                <w:szCs w:val="20"/>
              </w:rPr>
            </w:pPr>
          </w:p>
          <w:p w14:paraId="3C09D9FB" w14:textId="77777777" w:rsidR="00E34056" w:rsidRPr="00042234" w:rsidRDefault="00E34056" w:rsidP="00042234">
            <w:pPr>
              <w:keepNext/>
              <w:spacing w:after="0" w:line="240" w:lineRule="auto"/>
              <w:jc w:val="center"/>
              <w:rPr>
                <w:rFonts w:asciiTheme="minorHAnsi" w:hAnsiTheme="minorHAnsi" w:cstheme="minorHAnsi"/>
                <w:b/>
                <w:sz w:val="20"/>
                <w:szCs w:val="20"/>
              </w:rPr>
            </w:pPr>
            <w:r w:rsidRPr="00042234">
              <w:rPr>
                <w:rFonts w:asciiTheme="minorHAnsi" w:hAnsiTheme="minorHAnsi" w:cstheme="minorHAnsi"/>
                <w:b/>
                <w:sz w:val="20"/>
                <w:szCs w:val="20"/>
              </w:rPr>
              <w:t>Workpaper Title</w:t>
            </w:r>
          </w:p>
        </w:tc>
        <w:tc>
          <w:tcPr>
            <w:tcW w:w="658" w:type="dxa"/>
            <w:vAlign w:val="bottom"/>
          </w:tcPr>
          <w:p w14:paraId="60FC33BF" w14:textId="77777777" w:rsidR="00E34056" w:rsidRPr="00042234" w:rsidRDefault="00E34056" w:rsidP="00042234">
            <w:pPr>
              <w:keepNext/>
              <w:spacing w:after="0" w:line="240" w:lineRule="auto"/>
              <w:jc w:val="center"/>
              <w:rPr>
                <w:rFonts w:asciiTheme="minorHAnsi" w:hAnsiTheme="minorHAnsi" w:cstheme="minorHAnsi"/>
                <w:b/>
                <w:sz w:val="20"/>
                <w:szCs w:val="20"/>
              </w:rPr>
            </w:pPr>
            <w:r w:rsidRPr="00042234">
              <w:rPr>
                <w:rFonts w:asciiTheme="minorHAnsi" w:hAnsiTheme="minorHAnsi" w:cstheme="minorHAnsi"/>
                <w:b/>
                <w:sz w:val="20"/>
                <w:szCs w:val="20"/>
              </w:rPr>
              <w:t>Tech Type</w:t>
            </w:r>
          </w:p>
        </w:tc>
        <w:tc>
          <w:tcPr>
            <w:tcW w:w="1278" w:type="dxa"/>
          </w:tcPr>
          <w:p w14:paraId="4659FDC1" w14:textId="77777777" w:rsidR="00E34056" w:rsidRPr="00042234" w:rsidRDefault="00E34056" w:rsidP="00042234">
            <w:pPr>
              <w:keepNext/>
              <w:spacing w:after="0" w:line="240" w:lineRule="auto"/>
              <w:jc w:val="center"/>
              <w:rPr>
                <w:rFonts w:asciiTheme="minorHAnsi" w:hAnsiTheme="minorHAnsi" w:cstheme="minorHAnsi"/>
                <w:b/>
                <w:sz w:val="20"/>
                <w:szCs w:val="20"/>
              </w:rPr>
            </w:pPr>
            <w:r w:rsidRPr="00042234">
              <w:rPr>
                <w:rFonts w:asciiTheme="minorHAnsi" w:hAnsiTheme="minorHAnsi" w:cstheme="minorHAnsi"/>
                <w:b/>
                <w:sz w:val="20"/>
                <w:szCs w:val="20"/>
              </w:rPr>
              <w:t>Official Submittal Date</w:t>
            </w:r>
          </w:p>
        </w:tc>
      </w:tr>
      <w:tr w:rsidR="00E34056" w:rsidRPr="00042234" w14:paraId="0114360C" w14:textId="77777777" w:rsidTr="001D79A7">
        <w:trPr>
          <w:jc w:val="center"/>
        </w:trPr>
        <w:tc>
          <w:tcPr>
            <w:tcW w:w="9258" w:type="dxa"/>
            <w:gridSpan w:val="5"/>
            <w:shd w:val="pct25" w:color="auto" w:fill="auto"/>
          </w:tcPr>
          <w:p w14:paraId="1ADBE606" w14:textId="77777777" w:rsidR="00E34056" w:rsidRPr="00042234" w:rsidRDefault="00E34056" w:rsidP="004756BA">
            <w:pPr>
              <w:keepNext/>
              <w:spacing w:after="0" w:line="240" w:lineRule="auto"/>
              <w:jc w:val="center"/>
              <w:rPr>
                <w:rFonts w:asciiTheme="minorHAnsi" w:hAnsiTheme="minorHAnsi" w:cstheme="minorHAnsi"/>
                <w:b/>
                <w:sz w:val="20"/>
                <w:szCs w:val="20"/>
              </w:rPr>
            </w:pPr>
            <w:r w:rsidRPr="00042234">
              <w:rPr>
                <w:rFonts w:asciiTheme="minorHAnsi" w:hAnsiTheme="minorHAnsi" w:cstheme="minorHAnsi"/>
                <w:b/>
                <w:sz w:val="20"/>
                <w:szCs w:val="20"/>
              </w:rPr>
              <w:t>Workpapers Submitted for 2017 Program Cycle Phase 1 Review</w:t>
            </w:r>
          </w:p>
        </w:tc>
      </w:tr>
      <w:tr w:rsidR="00E34056" w:rsidRPr="00042234" w14:paraId="701014BC" w14:textId="77777777" w:rsidTr="001D79A7">
        <w:trPr>
          <w:jc w:val="center"/>
        </w:trPr>
        <w:tc>
          <w:tcPr>
            <w:tcW w:w="1947" w:type="dxa"/>
            <w:tcBorders>
              <w:right w:val="nil"/>
            </w:tcBorders>
            <w:shd w:val="pct25" w:color="auto" w:fill="auto"/>
          </w:tcPr>
          <w:p w14:paraId="7F6A10DE" w14:textId="77777777" w:rsidR="00E34056" w:rsidRPr="00042234" w:rsidRDefault="00E34056" w:rsidP="004756BA">
            <w:pPr>
              <w:keepNext/>
              <w:spacing w:after="0" w:line="240" w:lineRule="auto"/>
              <w:rPr>
                <w:rFonts w:asciiTheme="minorHAnsi" w:hAnsiTheme="minorHAnsi" w:cstheme="minorHAnsi"/>
                <w:b/>
                <w:sz w:val="20"/>
                <w:szCs w:val="20"/>
              </w:rPr>
            </w:pPr>
            <w:r w:rsidRPr="00042234">
              <w:rPr>
                <w:rFonts w:asciiTheme="minorHAnsi" w:hAnsiTheme="minorHAnsi" w:cstheme="minorHAnsi"/>
                <w:b/>
                <w:sz w:val="20"/>
                <w:szCs w:val="20"/>
              </w:rPr>
              <w:t>PG&amp;E</w:t>
            </w:r>
          </w:p>
        </w:tc>
        <w:tc>
          <w:tcPr>
            <w:tcW w:w="538" w:type="dxa"/>
            <w:tcBorders>
              <w:left w:val="nil"/>
              <w:right w:val="nil"/>
            </w:tcBorders>
            <w:shd w:val="pct25" w:color="auto" w:fill="auto"/>
          </w:tcPr>
          <w:p w14:paraId="231622CA" w14:textId="77777777" w:rsidR="00E34056" w:rsidRPr="00042234" w:rsidRDefault="00E34056" w:rsidP="00042234">
            <w:pPr>
              <w:keepNext/>
              <w:spacing w:after="0" w:line="240" w:lineRule="auto"/>
              <w:jc w:val="center"/>
              <w:rPr>
                <w:rFonts w:asciiTheme="minorHAnsi" w:hAnsiTheme="minorHAnsi" w:cstheme="minorHAnsi"/>
                <w:sz w:val="20"/>
                <w:szCs w:val="20"/>
              </w:rPr>
            </w:pPr>
          </w:p>
        </w:tc>
        <w:tc>
          <w:tcPr>
            <w:tcW w:w="4837" w:type="dxa"/>
            <w:tcBorders>
              <w:left w:val="nil"/>
              <w:right w:val="nil"/>
            </w:tcBorders>
            <w:shd w:val="pct25" w:color="auto" w:fill="auto"/>
          </w:tcPr>
          <w:p w14:paraId="2341746E" w14:textId="77777777" w:rsidR="00E34056" w:rsidRPr="00042234" w:rsidRDefault="00E34056" w:rsidP="00042234">
            <w:pPr>
              <w:keepNext/>
              <w:spacing w:after="0" w:line="240" w:lineRule="auto"/>
              <w:rPr>
                <w:rFonts w:asciiTheme="minorHAnsi" w:hAnsiTheme="minorHAnsi" w:cstheme="minorHAnsi"/>
                <w:sz w:val="20"/>
                <w:szCs w:val="20"/>
              </w:rPr>
            </w:pPr>
          </w:p>
        </w:tc>
        <w:tc>
          <w:tcPr>
            <w:tcW w:w="658" w:type="dxa"/>
            <w:tcBorders>
              <w:left w:val="nil"/>
              <w:right w:val="nil"/>
            </w:tcBorders>
            <w:shd w:val="pct25" w:color="auto" w:fill="auto"/>
          </w:tcPr>
          <w:p w14:paraId="211C59A8" w14:textId="77777777" w:rsidR="00E34056" w:rsidRPr="00042234" w:rsidRDefault="00E34056" w:rsidP="00042234">
            <w:pPr>
              <w:keepNext/>
              <w:spacing w:after="0" w:line="240" w:lineRule="auto"/>
              <w:jc w:val="right"/>
              <w:rPr>
                <w:rFonts w:asciiTheme="minorHAnsi" w:hAnsiTheme="minorHAnsi" w:cstheme="minorHAnsi"/>
                <w:sz w:val="20"/>
                <w:szCs w:val="20"/>
              </w:rPr>
            </w:pPr>
          </w:p>
        </w:tc>
        <w:tc>
          <w:tcPr>
            <w:tcW w:w="1278" w:type="dxa"/>
            <w:tcBorders>
              <w:left w:val="nil"/>
            </w:tcBorders>
            <w:shd w:val="pct25" w:color="auto" w:fill="auto"/>
          </w:tcPr>
          <w:p w14:paraId="57A856A0" w14:textId="77777777" w:rsidR="00E34056" w:rsidRPr="00042234" w:rsidRDefault="00E34056" w:rsidP="00042234">
            <w:pPr>
              <w:keepNext/>
              <w:spacing w:after="0" w:line="240" w:lineRule="auto"/>
              <w:jc w:val="right"/>
              <w:rPr>
                <w:rFonts w:asciiTheme="minorHAnsi" w:hAnsiTheme="minorHAnsi" w:cstheme="minorHAnsi"/>
                <w:sz w:val="20"/>
                <w:szCs w:val="20"/>
              </w:rPr>
            </w:pPr>
          </w:p>
        </w:tc>
      </w:tr>
      <w:tr w:rsidR="00E34056" w:rsidRPr="00042234" w14:paraId="2CDC8FD4" w14:textId="77777777" w:rsidTr="001D79A7">
        <w:trPr>
          <w:jc w:val="center"/>
        </w:trPr>
        <w:tc>
          <w:tcPr>
            <w:tcW w:w="1947" w:type="dxa"/>
            <w:vAlign w:val="center"/>
          </w:tcPr>
          <w:p w14:paraId="1B3D8A9F" w14:textId="77777777" w:rsidR="00E34056" w:rsidRPr="00042234" w:rsidRDefault="00E34056" w:rsidP="00042234">
            <w:pPr>
              <w:keepNext/>
              <w:spacing w:after="0"/>
              <w:rPr>
                <w:rFonts w:asciiTheme="minorHAnsi" w:hAnsiTheme="minorHAnsi" w:cstheme="minorHAnsi"/>
                <w:color w:val="000000"/>
                <w:sz w:val="20"/>
                <w:szCs w:val="20"/>
              </w:rPr>
            </w:pPr>
            <w:r w:rsidRPr="00042234">
              <w:rPr>
                <w:rFonts w:asciiTheme="minorHAnsi" w:hAnsiTheme="minorHAnsi" w:cstheme="minorHAnsi"/>
                <w:color w:val="000000"/>
                <w:sz w:val="20"/>
                <w:szCs w:val="20"/>
              </w:rPr>
              <w:t>PGECOLTG141</w:t>
            </w:r>
          </w:p>
        </w:tc>
        <w:tc>
          <w:tcPr>
            <w:tcW w:w="538" w:type="dxa"/>
            <w:vAlign w:val="center"/>
          </w:tcPr>
          <w:p w14:paraId="22FBBFA5" w14:textId="77777777" w:rsidR="00E34056" w:rsidRPr="00042234" w:rsidRDefault="00E34056" w:rsidP="004756BA">
            <w:pPr>
              <w:keepNext/>
              <w:spacing w:after="0" w:line="240" w:lineRule="auto"/>
              <w:jc w:val="center"/>
              <w:rPr>
                <w:rFonts w:asciiTheme="minorHAnsi" w:hAnsiTheme="minorHAnsi" w:cstheme="minorHAnsi"/>
                <w:sz w:val="20"/>
                <w:szCs w:val="20"/>
              </w:rPr>
            </w:pPr>
            <w:r w:rsidRPr="00042234">
              <w:rPr>
                <w:rFonts w:asciiTheme="minorHAnsi" w:hAnsiTheme="minorHAnsi" w:cstheme="minorHAnsi"/>
                <w:sz w:val="20"/>
                <w:szCs w:val="20"/>
              </w:rPr>
              <w:t>7</w:t>
            </w:r>
          </w:p>
        </w:tc>
        <w:tc>
          <w:tcPr>
            <w:tcW w:w="4837" w:type="dxa"/>
            <w:vAlign w:val="center"/>
          </w:tcPr>
          <w:p w14:paraId="2EF3D42A" w14:textId="77777777" w:rsidR="00E34056" w:rsidRPr="00042234" w:rsidRDefault="00E34056" w:rsidP="00042234">
            <w:pPr>
              <w:keepNext/>
              <w:spacing w:after="0" w:line="240" w:lineRule="auto"/>
              <w:rPr>
                <w:rFonts w:asciiTheme="minorHAnsi" w:hAnsiTheme="minorHAnsi" w:cstheme="minorHAnsi"/>
                <w:sz w:val="20"/>
                <w:szCs w:val="20"/>
              </w:rPr>
            </w:pPr>
            <w:r w:rsidRPr="00042234">
              <w:rPr>
                <w:rFonts w:asciiTheme="minorHAnsi" w:hAnsiTheme="minorHAnsi" w:cstheme="minorHAnsi"/>
                <w:sz w:val="20"/>
                <w:szCs w:val="20"/>
              </w:rPr>
              <w:t>LED PAR16, PAR20, PAR30, and PAR38 Lamps</w:t>
            </w:r>
          </w:p>
        </w:tc>
        <w:tc>
          <w:tcPr>
            <w:tcW w:w="658" w:type="dxa"/>
            <w:vAlign w:val="center"/>
          </w:tcPr>
          <w:p w14:paraId="5B1F2413" w14:textId="77777777" w:rsidR="00E34056" w:rsidRPr="00042234" w:rsidRDefault="00E34056" w:rsidP="00042234">
            <w:pPr>
              <w:keepNext/>
              <w:spacing w:after="0" w:line="240" w:lineRule="auto"/>
              <w:jc w:val="center"/>
              <w:rPr>
                <w:rFonts w:asciiTheme="minorHAnsi" w:hAnsiTheme="minorHAnsi" w:cstheme="minorHAnsi"/>
                <w:sz w:val="20"/>
                <w:szCs w:val="20"/>
              </w:rPr>
            </w:pPr>
            <w:r w:rsidRPr="00042234">
              <w:rPr>
                <w:rFonts w:asciiTheme="minorHAnsi" w:hAnsiTheme="minorHAnsi" w:cstheme="minorHAnsi"/>
                <w:sz w:val="20"/>
                <w:szCs w:val="20"/>
              </w:rPr>
              <w:t>LED</w:t>
            </w:r>
          </w:p>
        </w:tc>
        <w:tc>
          <w:tcPr>
            <w:tcW w:w="1278" w:type="dxa"/>
            <w:vAlign w:val="center"/>
          </w:tcPr>
          <w:p w14:paraId="54B7DE6B" w14:textId="77777777" w:rsidR="00E34056" w:rsidRPr="00042234" w:rsidRDefault="00E34056" w:rsidP="00042234">
            <w:pPr>
              <w:keepNext/>
              <w:spacing w:after="0" w:line="240" w:lineRule="auto"/>
              <w:jc w:val="right"/>
              <w:rPr>
                <w:rFonts w:asciiTheme="minorHAnsi" w:hAnsiTheme="minorHAnsi" w:cstheme="minorHAnsi"/>
                <w:sz w:val="20"/>
                <w:szCs w:val="20"/>
              </w:rPr>
            </w:pPr>
            <w:r w:rsidRPr="00042234">
              <w:rPr>
                <w:rFonts w:asciiTheme="minorHAnsi" w:hAnsiTheme="minorHAnsi" w:cstheme="minorHAnsi"/>
                <w:sz w:val="20"/>
                <w:szCs w:val="20"/>
              </w:rPr>
              <w:t>1/1/2017</w:t>
            </w:r>
          </w:p>
        </w:tc>
      </w:tr>
      <w:tr w:rsidR="00E34056" w:rsidRPr="00042234" w14:paraId="77B75081" w14:textId="77777777" w:rsidTr="001D79A7">
        <w:trPr>
          <w:jc w:val="center"/>
        </w:trPr>
        <w:tc>
          <w:tcPr>
            <w:tcW w:w="1947" w:type="dxa"/>
            <w:vAlign w:val="center"/>
          </w:tcPr>
          <w:p w14:paraId="24869381" w14:textId="77777777" w:rsidR="00E34056" w:rsidRPr="00042234" w:rsidRDefault="00E34056" w:rsidP="00042234">
            <w:pPr>
              <w:keepNext/>
              <w:spacing w:after="0"/>
              <w:rPr>
                <w:rFonts w:asciiTheme="minorHAnsi" w:hAnsiTheme="minorHAnsi" w:cstheme="minorHAnsi"/>
                <w:color w:val="000000"/>
                <w:sz w:val="20"/>
                <w:szCs w:val="20"/>
              </w:rPr>
            </w:pPr>
            <w:r w:rsidRPr="00042234">
              <w:rPr>
                <w:rFonts w:asciiTheme="minorHAnsi" w:hAnsiTheme="minorHAnsi" w:cstheme="minorHAnsi"/>
                <w:color w:val="000000"/>
                <w:sz w:val="20"/>
                <w:szCs w:val="20"/>
              </w:rPr>
              <w:t>PGECOLTG165</w:t>
            </w:r>
          </w:p>
        </w:tc>
        <w:tc>
          <w:tcPr>
            <w:tcW w:w="538" w:type="dxa"/>
            <w:vAlign w:val="center"/>
          </w:tcPr>
          <w:p w14:paraId="59D58D62" w14:textId="77777777" w:rsidR="00E34056" w:rsidRPr="00042234" w:rsidRDefault="00E34056" w:rsidP="004756BA">
            <w:pPr>
              <w:keepNext/>
              <w:spacing w:after="0" w:line="240" w:lineRule="auto"/>
              <w:jc w:val="center"/>
              <w:rPr>
                <w:rFonts w:asciiTheme="minorHAnsi" w:hAnsiTheme="minorHAnsi" w:cstheme="minorHAnsi"/>
                <w:sz w:val="20"/>
                <w:szCs w:val="20"/>
              </w:rPr>
            </w:pPr>
          </w:p>
        </w:tc>
        <w:tc>
          <w:tcPr>
            <w:tcW w:w="4837" w:type="dxa"/>
            <w:vAlign w:val="center"/>
          </w:tcPr>
          <w:p w14:paraId="709DDA6A" w14:textId="77777777" w:rsidR="00E34056" w:rsidRPr="00042234" w:rsidRDefault="00E34056" w:rsidP="00042234">
            <w:pPr>
              <w:keepNext/>
              <w:spacing w:after="0" w:line="240" w:lineRule="auto"/>
              <w:rPr>
                <w:rFonts w:asciiTheme="minorHAnsi" w:hAnsiTheme="minorHAnsi" w:cstheme="minorHAnsi"/>
                <w:sz w:val="20"/>
                <w:szCs w:val="20"/>
              </w:rPr>
            </w:pPr>
            <w:r w:rsidRPr="00042234">
              <w:rPr>
                <w:rFonts w:asciiTheme="minorHAnsi" w:hAnsiTheme="minorHAnsi" w:cstheme="minorHAnsi"/>
                <w:sz w:val="20"/>
                <w:szCs w:val="20"/>
              </w:rPr>
              <w:t>LED A-Lamps</w:t>
            </w:r>
          </w:p>
        </w:tc>
        <w:tc>
          <w:tcPr>
            <w:tcW w:w="658" w:type="dxa"/>
            <w:vAlign w:val="center"/>
          </w:tcPr>
          <w:p w14:paraId="72D11156" w14:textId="77777777" w:rsidR="00E34056" w:rsidRPr="00042234" w:rsidRDefault="00E34056" w:rsidP="00042234">
            <w:pPr>
              <w:keepNext/>
              <w:spacing w:after="0" w:line="240" w:lineRule="auto"/>
              <w:jc w:val="center"/>
              <w:rPr>
                <w:rFonts w:asciiTheme="minorHAnsi" w:hAnsiTheme="minorHAnsi" w:cstheme="minorHAnsi"/>
                <w:sz w:val="20"/>
                <w:szCs w:val="20"/>
              </w:rPr>
            </w:pPr>
            <w:r w:rsidRPr="00042234">
              <w:rPr>
                <w:rFonts w:asciiTheme="minorHAnsi" w:hAnsiTheme="minorHAnsi" w:cstheme="minorHAnsi"/>
                <w:sz w:val="20"/>
                <w:szCs w:val="20"/>
              </w:rPr>
              <w:t>LED</w:t>
            </w:r>
          </w:p>
        </w:tc>
        <w:tc>
          <w:tcPr>
            <w:tcW w:w="1278" w:type="dxa"/>
            <w:vAlign w:val="center"/>
          </w:tcPr>
          <w:p w14:paraId="599301C2" w14:textId="77777777" w:rsidR="00E34056" w:rsidRPr="00042234" w:rsidRDefault="00E34056" w:rsidP="00042234">
            <w:pPr>
              <w:keepNext/>
              <w:spacing w:after="0" w:line="240" w:lineRule="auto"/>
              <w:jc w:val="right"/>
              <w:rPr>
                <w:rFonts w:asciiTheme="minorHAnsi" w:hAnsiTheme="minorHAnsi" w:cstheme="minorHAnsi"/>
                <w:sz w:val="20"/>
                <w:szCs w:val="20"/>
              </w:rPr>
            </w:pPr>
            <w:r w:rsidRPr="00042234">
              <w:rPr>
                <w:rFonts w:asciiTheme="minorHAnsi" w:hAnsiTheme="minorHAnsi" w:cstheme="minorHAnsi"/>
                <w:sz w:val="20"/>
                <w:szCs w:val="20"/>
              </w:rPr>
              <w:t>1/1/2017</w:t>
            </w:r>
          </w:p>
        </w:tc>
      </w:tr>
      <w:tr w:rsidR="00E34056" w:rsidRPr="00042234" w14:paraId="36719B4F" w14:textId="77777777" w:rsidTr="001D79A7">
        <w:trPr>
          <w:jc w:val="center"/>
        </w:trPr>
        <w:tc>
          <w:tcPr>
            <w:tcW w:w="1947" w:type="dxa"/>
            <w:tcBorders>
              <w:right w:val="nil"/>
            </w:tcBorders>
            <w:shd w:val="pct25" w:color="auto" w:fill="auto"/>
          </w:tcPr>
          <w:p w14:paraId="13C68E7C" w14:textId="77777777" w:rsidR="00E34056" w:rsidRPr="00042234" w:rsidRDefault="00E34056" w:rsidP="004756BA">
            <w:pPr>
              <w:keepNext/>
              <w:spacing w:after="0" w:line="240" w:lineRule="auto"/>
              <w:rPr>
                <w:rFonts w:asciiTheme="minorHAnsi" w:hAnsiTheme="minorHAnsi" w:cstheme="minorHAnsi"/>
                <w:b/>
                <w:sz w:val="20"/>
                <w:szCs w:val="20"/>
              </w:rPr>
            </w:pPr>
            <w:r w:rsidRPr="00042234">
              <w:rPr>
                <w:rFonts w:asciiTheme="minorHAnsi" w:hAnsiTheme="minorHAnsi" w:cstheme="minorHAnsi"/>
                <w:b/>
                <w:sz w:val="20"/>
                <w:szCs w:val="20"/>
              </w:rPr>
              <w:t>SCE</w:t>
            </w:r>
          </w:p>
        </w:tc>
        <w:tc>
          <w:tcPr>
            <w:tcW w:w="538" w:type="dxa"/>
            <w:tcBorders>
              <w:left w:val="nil"/>
              <w:right w:val="nil"/>
            </w:tcBorders>
            <w:shd w:val="pct25" w:color="auto" w:fill="auto"/>
            <w:vAlign w:val="center"/>
          </w:tcPr>
          <w:p w14:paraId="4354E544" w14:textId="77777777" w:rsidR="00E34056" w:rsidRPr="00042234" w:rsidRDefault="00E34056" w:rsidP="00042234">
            <w:pPr>
              <w:keepNext/>
              <w:spacing w:after="0" w:line="240" w:lineRule="auto"/>
              <w:jc w:val="center"/>
              <w:rPr>
                <w:rFonts w:asciiTheme="minorHAnsi" w:hAnsiTheme="minorHAnsi" w:cstheme="minorHAnsi"/>
                <w:sz w:val="20"/>
                <w:szCs w:val="20"/>
              </w:rPr>
            </w:pPr>
          </w:p>
        </w:tc>
        <w:tc>
          <w:tcPr>
            <w:tcW w:w="4837" w:type="dxa"/>
            <w:tcBorders>
              <w:left w:val="nil"/>
              <w:right w:val="nil"/>
            </w:tcBorders>
            <w:shd w:val="pct25" w:color="auto" w:fill="auto"/>
            <w:vAlign w:val="center"/>
          </w:tcPr>
          <w:p w14:paraId="2AEC40B7" w14:textId="77777777" w:rsidR="00E34056" w:rsidRPr="00042234" w:rsidRDefault="00E34056" w:rsidP="00042234">
            <w:pPr>
              <w:keepNext/>
              <w:spacing w:after="0" w:line="240" w:lineRule="auto"/>
              <w:rPr>
                <w:rFonts w:asciiTheme="minorHAnsi" w:hAnsiTheme="minorHAnsi" w:cstheme="minorHAnsi"/>
                <w:sz w:val="20"/>
                <w:szCs w:val="20"/>
              </w:rPr>
            </w:pPr>
          </w:p>
        </w:tc>
        <w:tc>
          <w:tcPr>
            <w:tcW w:w="658" w:type="dxa"/>
            <w:tcBorders>
              <w:left w:val="nil"/>
              <w:right w:val="nil"/>
            </w:tcBorders>
            <w:shd w:val="pct25" w:color="auto" w:fill="auto"/>
            <w:vAlign w:val="center"/>
          </w:tcPr>
          <w:p w14:paraId="447B6C3F" w14:textId="77777777" w:rsidR="00E34056" w:rsidRPr="00042234" w:rsidRDefault="00E34056" w:rsidP="00042234">
            <w:pPr>
              <w:keepNext/>
              <w:spacing w:after="0" w:line="240" w:lineRule="auto"/>
              <w:jc w:val="center"/>
              <w:rPr>
                <w:rFonts w:asciiTheme="minorHAnsi" w:hAnsiTheme="minorHAnsi" w:cstheme="minorHAnsi"/>
                <w:sz w:val="20"/>
                <w:szCs w:val="20"/>
              </w:rPr>
            </w:pPr>
          </w:p>
        </w:tc>
        <w:tc>
          <w:tcPr>
            <w:tcW w:w="1278" w:type="dxa"/>
            <w:tcBorders>
              <w:left w:val="nil"/>
            </w:tcBorders>
            <w:shd w:val="pct25" w:color="auto" w:fill="auto"/>
            <w:vAlign w:val="center"/>
          </w:tcPr>
          <w:p w14:paraId="4DF47677" w14:textId="77777777" w:rsidR="00E34056" w:rsidRPr="00042234" w:rsidRDefault="00E34056" w:rsidP="00042234">
            <w:pPr>
              <w:keepNext/>
              <w:spacing w:after="0" w:line="240" w:lineRule="auto"/>
              <w:jc w:val="right"/>
              <w:rPr>
                <w:rFonts w:asciiTheme="minorHAnsi" w:hAnsiTheme="minorHAnsi" w:cstheme="minorHAnsi"/>
                <w:sz w:val="20"/>
                <w:szCs w:val="20"/>
              </w:rPr>
            </w:pPr>
          </w:p>
        </w:tc>
      </w:tr>
      <w:tr w:rsidR="00E34056" w:rsidRPr="00042234" w14:paraId="3B490C5A" w14:textId="77777777" w:rsidTr="001D79A7">
        <w:trPr>
          <w:jc w:val="center"/>
        </w:trPr>
        <w:tc>
          <w:tcPr>
            <w:tcW w:w="1947" w:type="dxa"/>
            <w:vAlign w:val="center"/>
          </w:tcPr>
          <w:p w14:paraId="3F5FE4A4" w14:textId="77777777" w:rsidR="00E34056" w:rsidRPr="00042234" w:rsidRDefault="00E34056" w:rsidP="00042234">
            <w:pPr>
              <w:keepNext/>
              <w:spacing w:after="0"/>
              <w:rPr>
                <w:rFonts w:asciiTheme="minorHAnsi" w:hAnsiTheme="minorHAnsi" w:cstheme="minorHAnsi"/>
                <w:color w:val="000000"/>
                <w:sz w:val="20"/>
                <w:szCs w:val="20"/>
              </w:rPr>
            </w:pPr>
            <w:r w:rsidRPr="00042234">
              <w:rPr>
                <w:rFonts w:asciiTheme="minorHAnsi" w:hAnsiTheme="minorHAnsi" w:cstheme="minorHAnsi"/>
                <w:color w:val="000000"/>
                <w:sz w:val="20"/>
                <w:szCs w:val="20"/>
              </w:rPr>
              <w:t>SCE17LG017</w:t>
            </w:r>
          </w:p>
        </w:tc>
        <w:tc>
          <w:tcPr>
            <w:tcW w:w="538" w:type="dxa"/>
            <w:vAlign w:val="center"/>
          </w:tcPr>
          <w:p w14:paraId="5CD3313B" w14:textId="77777777" w:rsidR="00E34056" w:rsidRPr="00042234" w:rsidRDefault="00E34056" w:rsidP="004756BA">
            <w:pPr>
              <w:keepNext/>
              <w:spacing w:after="0" w:line="240" w:lineRule="auto"/>
              <w:jc w:val="center"/>
              <w:rPr>
                <w:rFonts w:asciiTheme="minorHAnsi" w:hAnsiTheme="minorHAnsi" w:cstheme="minorHAnsi"/>
                <w:sz w:val="20"/>
                <w:szCs w:val="20"/>
              </w:rPr>
            </w:pPr>
            <w:r w:rsidRPr="00042234">
              <w:rPr>
                <w:rFonts w:asciiTheme="minorHAnsi" w:hAnsiTheme="minorHAnsi" w:cstheme="minorHAnsi"/>
                <w:sz w:val="20"/>
                <w:szCs w:val="20"/>
              </w:rPr>
              <w:t>0</w:t>
            </w:r>
          </w:p>
        </w:tc>
        <w:tc>
          <w:tcPr>
            <w:tcW w:w="4837" w:type="dxa"/>
            <w:vAlign w:val="center"/>
          </w:tcPr>
          <w:p w14:paraId="2D14937B" w14:textId="77777777" w:rsidR="00E34056" w:rsidRPr="00042234" w:rsidRDefault="00E34056" w:rsidP="00042234">
            <w:pPr>
              <w:keepNext/>
              <w:spacing w:after="0" w:line="240" w:lineRule="auto"/>
              <w:rPr>
                <w:rFonts w:asciiTheme="minorHAnsi" w:hAnsiTheme="minorHAnsi" w:cstheme="minorHAnsi"/>
                <w:sz w:val="20"/>
                <w:szCs w:val="20"/>
              </w:rPr>
            </w:pPr>
            <w:r w:rsidRPr="00042234">
              <w:rPr>
                <w:rFonts w:asciiTheme="minorHAnsi" w:hAnsiTheme="minorHAnsi" w:cstheme="minorHAnsi"/>
                <w:sz w:val="20"/>
                <w:szCs w:val="20"/>
              </w:rPr>
              <w:t>Interior Integral, Non-Dimmable (Screw-in) CFLs</w:t>
            </w:r>
          </w:p>
        </w:tc>
        <w:tc>
          <w:tcPr>
            <w:tcW w:w="658" w:type="dxa"/>
            <w:vAlign w:val="center"/>
          </w:tcPr>
          <w:p w14:paraId="096A9082" w14:textId="77777777" w:rsidR="00E34056" w:rsidRPr="00042234" w:rsidRDefault="00E34056" w:rsidP="00042234">
            <w:pPr>
              <w:keepNext/>
              <w:spacing w:after="0" w:line="240" w:lineRule="auto"/>
              <w:jc w:val="center"/>
              <w:rPr>
                <w:rFonts w:asciiTheme="minorHAnsi" w:hAnsiTheme="minorHAnsi" w:cstheme="minorHAnsi"/>
                <w:sz w:val="20"/>
                <w:szCs w:val="20"/>
              </w:rPr>
            </w:pPr>
            <w:r w:rsidRPr="00042234">
              <w:rPr>
                <w:rFonts w:asciiTheme="minorHAnsi" w:hAnsiTheme="minorHAnsi" w:cstheme="minorHAnsi"/>
                <w:sz w:val="20"/>
                <w:szCs w:val="20"/>
              </w:rPr>
              <w:t>CFL</w:t>
            </w:r>
          </w:p>
        </w:tc>
        <w:tc>
          <w:tcPr>
            <w:tcW w:w="1278" w:type="dxa"/>
            <w:vAlign w:val="center"/>
          </w:tcPr>
          <w:p w14:paraId="58366EE4" w14:textId="77777777" w:rsidR="00E34056" w:rsidRPr="00042234" w:rsidRDefault="00E34056" w:rsidP="00042234">
            <w:pPr>
              <w:keepNext/>
              <w:spacing w:after="0" w:line="240" w:lineRule="auto"/>
              <w:jc w:val="right"/>
              <w:rPr>
                <w:rFonts w:asciiTheme="minorHAnsi" w:hAnsiTheme="minorHAnsi" w:cstheme="minorHAnsi"/>
                <w:sz w:val="20"/>
                <w:szCs w:val="20"/>
              </w:rPr>
            </w:pPr>
            <w:r w:rsidRPr="00042234">
              <w:rPr>
                <w:rFonts w:asciiTheme="minorHAnsi" w:hAnsiTheme="minorHAnsi" w:cstheme="minorHAnsi"/>
                <w:sz w:val="20"/>
                <w:szCs w:val="20"/>
              </w:rPr>
              <w:t>1/1/2017</w:t>
            </w:r>
          </w:p>
        </w:tc>
      </w:tr>
      <w:tr w:rsidR="00E34056" w:rsidRPr="00042234" w14:paraId="3AE2E79A" w14:textId="77777777" w:rsidTr="001D79A7">
        <w:trPr>
          <w:jc w:val="center"/>
        </w:trPr>
        <w:tc>
          <w:tcPr>
            <w:tcW w:w="1947" w:type="dxa"/>
            <w:vAlign w:val="center"/>
          </w:tcPr>
          <w:p w14:paraId="7C6BA545" w14:textId="77777777" w:rsidR="00E34056" w:rsidRPr="00042234" w:rsidRDefault="00E34056" w:rsidP="00042234">
            <w:pPr>
              <w:keepNext/>
              <w:spacing w:after="0"/>
              <w:rPr>
                <w:rFonts w:asciiTheme="minorHAnsi" w:hAnsiTheme="minorHAnsi" w:cstheme="minorHAnsi"/>
                <w:color w:val="000000"/>
                <w:sz w:val="20"/>
                <w:szCs w:val="20"/>
              </w:rPr>
            </w:pPr>
            <w:r w:rsidRPr="00042234">
              <w:rPr>
                <w:rFonts w:asciiTheme="minorHAnsi" w:hAnsiTheme="minorHAnsi" w:cstheme="minorHAnsi"/>
                <w:color w:val="000000"/>
                <w:sz w:val="20"/>
                <w:szCs w:val="20"/>
              </w:rPr>
              <w:t>SCE17LG072</w:t>
            </w:r>
          </w:p>
        </w:tc>
        <w:tc>
          <w:tcPr>
            <w:tcW w:w="538" w:type="dxa"/>
            <w:vAlign w:val="center"/>
          </w:tcPr>
          <w:p w14:paraId="48B03A55" w14:textId="77777777" w:rsidR="00E34056" w:rsidRPr="00042234" w:rsidRDefault="00E34056" w:rsidP="004756BA">
            <w:pPr>
              <w:keepNext/>
              <w:spacing w:after="0" w:line="240" w:lineRule="auto"/>
              <w:jc w:val="center"/>
              <w:rPr>
                <w:rFonts w:asciiTheme="minorHAnsi" w:hAnsiTheme="minorHAnsi" w:cstheme="minorHAnsi"/>
                <w:sz w:val="20"/>
                <w:szCs w:val="20"/>
              </w:rPr>
            </w:pPr>
            <w:r w:rsidRPr="00042234">
              <w:rPr>
                <w:rFonts w:asciiTheme="minorHAnsi" w:hAnsiTheme="minorHAnsi" w:cstheme="minorHAnsi"/>
                <w:sz w:val="20"/>
                <w:szCs w:val="20"/>
              </w:rPr>
              <w:t>0</w:t>
            </w:r>
          </w:p>
        </w:tc>
        <w:tc>
          <w:tcPr>
            <w:tcW w:w="4837" w:type="dxa"/>
            <w:vAlign w:val="center"/>
          </w:tcPr>
          <w:p w14:paraId="2BBAA8DF" w14:textId="77777777" w:rsidR="00E34056" w:rsidRPr="00042234" w:rsidRDefault="00E34056" w:rsidP="00042234">
            <w:pPr>
              <w:keepNext/>
              <w:spacing w:after="0" w:line="240" w:lineRule="auto"/>
              <w:rPr>
                <w:rFonts w:asciiTheme="minorHAnsi" w:hAnsiTheme="minorHAnsi" w:cstheme="minorHAnsi"/>
                <w:sz w:val="20"/>
                <w:szCs w:val="20"/>
              </w:rPr>
            </w:pPr>
            <w:r w:rsidRPr="00042234">
              <w:rPr>
                <w:rFonts w:asciiTheme="minorHAnsi" w:hAnsiTheme="minorHAnsi" w:cstheme="minorHAnsi"/>
                <w:sz w:val="20"/>
                <w:szCs w:val="20"/>
              </w:rPr>
              <w:t>Upstream Interior 3-way CFLs</w:t>
            </w:r>
          </w:p>
        </w:tc>
        <w:tc>
          <w:tcPr>
            <w:tcW w:w="658" w:type="dxa"/>
            <w:vAlign w:val="center"/>
          </w:tcPr>
          <w:p w14:paraId="32ED2C42" w14:textId="77777777" w:rsidR="00E34056" w:rsidRPr="00042234" w:rsidRDefault="00E34056" w:rsidP="00042234">
            <w:pPr>
              <w:keepNext/>
              <w:spacing w:after="0" w:line="240" w:lineRule="auto"/>
              <w:jc w:val="center"/>
              <w:rPr>
                <w:rFonts w:asciiTheme="minorHAnsi" w:hAnsiTheme="minorHAnsi" w:cstheme="minorHAnsi"/>
                <w:sz w:val="20"/>
                <w:szCs w:val="20"/>
              </w:rPr>
            </w:pPr>
            <w:r w:rsidRPr="00042234">
              <w:rPr>
                <w:rFonts w:asciiTheme="minorHAnsi" w:hAnsiTheme="minorHAnsi" w:cstheme="minorHAnsi"/>
                <w:sz w:val="20"/>
                <w:szCs w:val="20"/>
              </w:rPr>
              <w:t>CFL</w:t>
            </w:r>
          </w:p>
        </w:tc>
        <w:tc>
          <w:tcPr>
            <w:tcW w:w="1278" w:type="dxa"/>
            <w:vAlign w:val="center"/>
          </w:tcPr>
          <w:p w14:paraId="4FC7B120" w14:textId="77777777" w:rsidR="00E34056" w:rsidRPr="00042234" w:rsidRDefault="00E34056" w:rsidP="00042234">
            <w:pPr>
              <w:keepNext/>
              <w:spacing w:after="0" w:line="240" w:lineRule="auto"/>
              <w:jc w:val="right"/>
              <w:rPr>
                <w:rFonts w:asciiTheme="minorHAnsi" w:hAnsiTheme="minorHAnsi" w:cstheme="minorHAnsi"/>
                <w:sz w:val="20"/>
                <w:szCs w:val="20"/>
              </w:rPr>
            </w:pPr>
            <w:r w:rsidRPr="00042234">
              <w:rPr>
                <w:rFonts w:asciiTheme="minorHAnsi" w:hAnsiTheme="minorHAnsi" w:cstheme="minorHAnsi"/>
                <w:sz w:val="20"/>
                <w:szCs w:val="20"/>
              </w:rPr>
              <w:t>1/1/2017</w:t>
            </w:r>
          </w:p>
        </w:tc>
      </w:tr>
      <w:tr w:rsidR="00E34056" w:rsidRPr="00042234" w14:paraId="660F8F8B" w14:textId="77777777" w:rsidTr="001D79A7">
        <w:trPr>
          <w:jc w:val="center"/>
        </w:trPr>
        <w:tc>
          <w:tcPr>
            <w:tcW w:w="1947" w:type="dxa"/>
            <w:tcBorders>
              <w:bottom w:val="single" w:sz="4" w:space="0" w:color="auto"/>
            </w:tcBorders>
            <w:vAlign w:val="center"/>
          </w:tcPr>
          <w:p w14:paraId="2DDBC3A8" w14:textId="77777777" w:rsidR="00E34056" w:rsidRPr="00042234" w:rsidRDefault="00E34056" w:rsidP="00042234">
            <w:pPr>
              <w:keepNext/>
              <w:spacing w:after="0"/>
              <w:rPr>
                <w:rFonts w:asciiTheme="minorHAnsi" w:hAnsiTheme="minorHAnsi" w:cstheme="minorHAnsi"/>
                <w:color w:val="000000"/>
                <w:sz w:val="20"/>
                <w:szCs w:val="20"/>
              </w:rPr>
            </w:pPr>
            <w:r w:rsidRPr="00042234">
              <w:rPr>
                <w:rFonts w:asciiTheme="minorHAnsi" w:hAnsiTheme="minorHAnsi" w:cstheme="minorHAnsi"/>
                <w:color w:val="000000"/>
                <w:sz w:val="20"/>
                <w:szCs w:val="20"/>
              </w:rPr>
              <w:t>SCE17LG133</w:t>
            </w:r>
          </w:p>
        </w:tc>
        <w:tc>
          <w:tcPr>
            <w:tcW w:w="538" w:type="dxa"/>
            <w:vAlign w:val="center"/>
          </w:tcPr>
          <w:p w14:paraId="62EDCD29" w14:textId="77777777" w:rsidR="00E34056" w:rsidRPr="00042234" w:rsidRDefault="00E34056" w:rsidP="004756BA">
            <w:pPr>
              <w:keepNext/>
              <w:spacing w:after="0" w:line="240" w:lineRule="auto"/>
              <w:jc w:val="center"/>
              <w:rPr>
                <w:rFonts w:asciiTheme="minorHAnsi" w:hAnsiTheme="minorHAnsi" w:cstheme="minorHAnsi"/>
                <w:sz w:val="20"/>
                <w:szCs w:val="20"/>
              </w:rPr>
            </w:pPr>
            <w:r w:rsidRPr="00042234">
              <w:rPr>
                <w:rFonts w:asciiTheme="minorHAnsi" w:hAnsiTheme="minorHAnsi" w:cstheme="minorHAnsi"/>
                <w:sz w:val="20"/>
                <w:szCs w:val="20"/>
              </w:rPr>
              <w:t>0</w:t>
            </w:r>
          </w:p>
        </w:tc>
        <w:tc>
          <w:tcPr>
            <w:tcW w:w="4837" w:type="dxa"/>
            <w:vAlign w:val="center"/>
          </w:tcPr>
          <w:p w14:paraId="57E48286" w14:textId="77777777" w:rsidR="00E34056" w:rsidRPr="00042234" w:rsidRDefault="00E34056" w:rsidP="00042234">
            <w:pPr>
              <w:keepNext/>
              <w:spacing w:after="0" w:line="240" w:lineRule="auto"/>
              <w:rPr>
                <w:rFonts w:asciiTheme="minorHAnsi" w:hAnsiTheme="minorHAnsi" w:cstheme="minorHAnsi"/>
                <w:sz w:val="20"/>
                <w:szCs w:val="20"/>
              </w:rPr>
            </w:pPr>
            <w:r w:rsidRPr="00042234">
              <w:rPr>
                <w:rFonts w:asciiTheme="minorHAnsi" w:hAnsiTheme="minorHAnsi" w:cstheme="minorHAnsi"/>
                <w:sz w:val="20"/>
                <w:szCs w:val="20"/>
              </w:rPr>
              <w:t>LED A-Lamp</w:t>
            </w:r>
          </w:p>
        </w:tc>
        <w:tc>
          <w:tcPr>
            <w:tcW w:w="658" w:type="dxa"/>
            <w:vAlign w:val="center"/>
          </w:tcPr>
          <w:p w14:paraId="74702658" w14:textId="77777777" w:rsidR="00E34056" w:rsidRPr="00042234" w:rsidRDefault="00E34056" w:rsidP="00042234">
            <w:pPr>
              <w:keepNext/>
              <w:spacing w:after="0" w:line="240" w:lineRule="auto"/>
              <w:jc w:val="center"/>
              <w:rPr>
                <w:rFonts w:asciiTheme="minorHAnsi" w:hAnsiTheme="minorHAnsi" w:cstheme="minorHAnsi"/>
                <w:sz w:val="20"/>
                <w:szCs w:val="20"/>
              </w:rPr>
            </w:pPr>
            <w:r w:rsidRPr="00042234">
              <w:rPr>
                <w:rFonts w:asciiTheme="minorHAnsi" w:hAnsiTheme="minorHAnsi" w:cstheme="minorHAnsi"/>
                <w:sz w:val="20"/>
                <w:szCs w:val="20"/>
              </w:rPr>
              <w:t>LED</w:t>
            </w:r>
          </w:p>
        </w:tc>
        <w:tc>
          <w:tcPr>
            <w:tcW w:w="1278" w:type="dxa"/>
            <w:vAlign w:val="center"/>
          </w:tcPr>
          <w:p w14:paraId="0D7BEBBE" w14:textId="77777777" w:rsidR="00E34056" w:rsidRPr="00042234" w:rsidRDefault="00E34056" w:rsidP="00042234">
            <w:pPr>
              <w:keepNext/>
              <w:spacing w:after="0" w:line="240" w:lineRule="auto"/>
              <w:jc w:val="right"/>
              <w:rPr>
                <w:rFonts w:asciiTheme="minorHAnsi" w:hAnsiTheme="minorHAnsi" w:cstheme="minorHAnsi"/>
                <w:sz w:val="20"/>
                <w:szCs w:val="20"/>
              </w:rPr>
            </w:pPr>
            <w:r w:rsidRPr="00042234">
              <w:rPr>
                <w:rFonts w:asciiTheme="minorHAnsi" w:hAnsiTheme="minorHAnsi" w:cstheme="minorHAnsi"/>
                <w:sz w:val="20"/>
                <w:szCs w:val="20"/>
              </w:rPr>
              <w:t>1/1/2017</w:t>
            </w:r>
          </w:p>
        </w:tc>
      </w:tr>
      <w:tr w:rsidR="00E34056" w:rsidRPr="00042234" w14:paraId="37DC804A" w14:textId="77777777" w:rsidTr="001D79A7">
        <w:trPr>
          <w:jc w:val="center"/>
        </w:trPr>
        <w:tc>
          <w:tcPr>
            <w:tcW w:w="1947" w:type="dxa"/>
            <w:tcBorders>
              <w:right w:val="nil"/>
            </w:tcBorders>
            <w:shd w:val="pct25" w:color="auto" w:fill="auto"/>
          </w:tcPr>
          <w:p w14:paraId="7E02B82F" w14:textId="77777777" w:rsidR="00E34056" w:rsidRPr="00042234" w:rsidRDefault="00E34056" w:rsidP="004756BA">
            <w:pPr>
              <w:keepNext/>
              <w:spacing w:after="0" w:line="240" w:lineRule="auto"/>
              <w:rPr>
                <w:rFonts w:asciiTheme="minorHAnsi" w:hAnsiTheme="minorHAnsi" w:cstheme="minorHAnsi"/>
                <w:b/>
                <w:sz w:val="20"/>
                <w:szCs w:val="20"/>
              </w:rPr>
            </w:pPr>
            <w:r w:rsidRPr="00042234">
              <w:rPr>
                <w:rFonts w:asciiTheme="minorHAnsi" w:hAnsiTheme="minorHAnsi" w:cstheme="minorHAnsi"/>
                <w:b/>
                <w:sz w:val="20"/>
                <w:szCs w:val="20"/>
              </w:rPr>
              <w:t>SDG&amp;E</w:t>
            </w:r>
          </w:p>
        </w:tc>
        <w:tc>
          <w:tcPr>
            <w:tcW w:w="538" w:type="dxa"/>
            <w:tcBorders>
              <w:left w:val="nil"/>
              <w:right w:val="nil"/>
            </w:tcBorders>
            <w:shd w:val="pct25" w:color="auto" w:fill="auto"/>
            <w:vAlign w:val="center"/>
          </w:tcPr>
          <w:p w14:paraId="4960EA78" w14:textId="77777777" w:rsidR="00E34056" w:rsidRPr="00042234" w:rsidRDefault="00E34056" w:rsidP="00042234">
            <w:pPr>
              <w:keepNext/>
              <w:spacing w:after="0" w:line="240" w:lineRule="auto"/>
              <w:jc w:val="center"/>
              <w:rPr>
                <w:rFonts w:asciiTheme="minorHAnsi" w:hAnsiTheme="minorHAnsi" w:cstheme="minorHAnsi"/>
                <w:sz w:val="20"/>
                <w:szCs w:val="20"/>
              </w:rPr>
            </w:pPr>
          </w:p>
        </w:tc>
        <w:tc>
          <w:tcPr>
            <w:tcW w:w="4837" w:type="dxa"/>
            <w:tcBorders>
              <w:left w:val="nil"/>
              <w:right w:val="nil"/>
            </w:tcBorders>
            <w:shd w:val="pct25" w:color="auto" w:fill="auto"/>
            <w:vAlign w:val="center"/>
          </w:tcPr>
          <w:p w14:paraId="260FE020" w14:textId="77777777" w:rsidR="00E34056" w:rsidRPr="00042234" w:rsidRDefault="00E34056" w:rsidP="00042234">
            <w:pPr>
              <w:keepNext/>
              <w:spacing w:after="0" w:line="240" w:lineRule="auto"/>
              <w:rPr>
                <w:rFonts w:asciiTheme="minorHAnsi" w:hAnsiTheme="minorHAnsi" w:cstheme="minorHAnsi"/>
                <w:sz w:val="20"/>
                <w:szCs w:val="20"/>
              </w:rPr>
            </w:pPr>
          </w:p>
        </w:tc>
        <w:tc>
          <w:tcPr>
            <w:tcW w:w="658" w:type="dxa"/>
            <w:tcBorders>
              <w:left w:val="nil"/>
              <w:right w:val="nil"/>
            </w:tcBorders>
            <w:shd w:val="pct25" w:color="auto" w:fill="auto"/>
            <w:vAlign w:val="center"/>
          </w:tcPr>
          <w:p w14:paraId="4A15FFFE" w14:textId="77777777" w:rsidR="00E34056" w:rsidRPr="00042234" w:rsidRDefault="00E34056" w:rsidP="00042234">
            <w:pPr>
              <w:keepNext/>
              <w:spacing w:after="0" w:line="240" w:lineRule="auto"/>
              <w:jc w:val="center"/>
              <w:rPr>
                <w:rFonts w:asciiTheme="minorHAnsi" w:hAnsiTheme="minorHAnsi" w:cstheme="minorHAnsi"/>
                <w:sz w:val="20"/>
                <w:szCs w:val="20"/>
              </w:rPr>
            </w:pPr>
          </w:p>
        </w:tc>
        <w:tc>
          <w:tcPr>
            <w:tcW w:w="1278" w:type="dxa"/>
            <w:tcBorders>
              <w:left w:val="nil"/>
            </w:tcBorders>
            <w:shd w:val="pct25" w:color="auto" w:fill="auto"/>
            <w:vAlign w:val="center"/>
          </w:tcPr>
          <w:p w14:paraId="490AA158" w14:textId="77777777" w:rsidR="00E34056" w:rsidRPr="00042234" w:rsidRDefault="00E34056" w:rsidP="00042234">
            <w:pPr>
              <w:keepNext/>
              <w:spacing w:after="0" w:line="240" w:lineRule="auto"/>
              <w:jc w:val="right"/>
              <w:rPr>
                <w:rFonts w:asciiTheme="minorHAnsi" w:hAnsiTheme="minorHAnsi" w:cstheme="minorHAnsi"/>
                <w:sz w:val="20"/>
                <w:szCs w:val="20"/>
              </w:rPr>
            </w:pPr>
          </w:p>
        </w:tc>
      </w:tr>
      <w:tr w:rsidR="00E34056" w:rsidRPr="00042234" w14:paraId="77621505" w14:textId="77777777" w:rsidTr="001D79A7">
        <w:trPr>
          <w:jc w:val="center"/>
        </w:trPr>
        <w:tc>
          <w:tcPr>
            <w:tcW w:w="1947" w:type="dxa"/>
            <w:vAlign w:val="center"/>
          </w:tcPr>
          <w:p w14:paraId="21327020" w14:textId="77777777" w:rsidR="00E34056" w:rsidRPr="00042234" w:rsidRDefault="00E34056" w:rsidP="00042234">
            <w:pPr>
              <w:keepNext/>
              <w:spacing w:after="0"/>
              <w:rPr>
                <w:rFonts w:asciiTheme="minorHAnsi" w:hAnsiTheme="minorHAnsi" w:cstheme="minorHAnsi"/>
                <w:color w:val="000000"/>
                <w:sz w:val="20"/>
                <w:szCs w:val="20"/>
              </w:rPr>
            </w:pPr>
            <w:r w:rsidRPr="00042234">
              <w:rPr>
                <w:rFonts w:asciiTheme="minorHAnsi" w:hAnsiTheme="minorHAnsi" w:cstheme="minorHAnsi"/>
                <w:color w:val="000000"/>
                <w:sz w:val="20"/>
                <w:szCs w:val="20"/>
              </w:rPr>
              <w:t>WPSDGENRLG0106</w:t>
            </w:r>
          </w:p>
        </w:tc>
        <w:tc>
          <w:tcPr>
            <w:tcW w:w="538" w:type="dxa"/>
            <w:vAlign w:val="center"/>
          </w:tcPr>
          <w:p w14:paraId="27043BEA" w14:textId="77777777" w:rsidR="00E34056" w:rsidRPr="00042234" w:rsidRDefault="00E34056" w:rsidP="004756BA">
            <w:pPr>
              <w:keepNext/>
              <w:spacing w:after="0" w:line="240" w:lineRule="auto"/>
              <w:jc w:val="center"/>
              <w:rPr>
                <w:rFonts w:asciiTheme="minorHAnsi" w:hAnsiTheme="minorHAnsi" w:cstheme="minorHAnsi"/>
                <w:sz w:val="20"/>
                <w:szCs w:val="20"/>
              </w:rPr>
            </w:pPr>
            <w:r w:rsidRPr="00042234">
              <w:rPr>
                <w:rFonts w:asciiTheme="minorHAnsi" w:hAnsiTheme="minorHAnsi" w:cstheme="minorHAnsi"/>
                <w:sz w:val="20"/>
                <w:szCs w:val="20"/>
              </w:rPr>
              <w:t>4</w:t>
            </w:r>
          </w:p>
        </w:tc>
        <w:tc>
          <w:tcPr>
            <w:tcW w:w="4837" w:type="dxa"/>
            <w:vAlign w:val="center"/>
          </w:tcPr>
          <w:p w14:paraId="687B5400" w14:textId="77777777" w:rsidR="00E34056" w:rsidRPr="00042234" w:rsidRDefault="00E34056" w:rsidP="00042234">
            <w:pPr>
              <w:keepNext/>
              <w:spacing w:after="0" w:line="240" w:lineRule="auto"/>
              <w:rPr>
                <w:rFonts w:asciiTheme="minorHAnsi" w:hAnsiTheme="minorHAnsi" w:cstheme="minorHAnsi"/>
                <w:sz w:val="20"/>
                <w:szCs w:val="20"/>
              </w:rPr>
            </w:pPr>
            <w:r w:rsidRPr="00042234">
              <w:rPr>
                <w:rFonts w:asciiTheme="minorHAnsi" w:hAnsiTheme="minorHAnsi" w:cstheme="minorHAnsi"/>
                <w:sz w:val="20"/>
                <w:szCs w:val="20"/>
              </w:rPr>
              <w:t>Integral LED Lamps</w:t>
            </w:r>
          </w:p>
        </w:tc>
        <w:tc>
          <w:tcPr>
            <w:tcW w:w="658" w:type="dxa"/>
            <w:vAlign w:val="center"/>
          </w:tcPr>
          <w:p w14:paraId="5E527597" w14:textId="77777777" w:rsidR="00E34056" w:rsidRPr="00042234" w:rsidRDefault="00E34056" w:rsidP="00042234">
            <w:pPr>
              <w:keepNext/>
              <w:spacing w:after="0" w:line="240" w:lineRule="auto"/>
              <w:jc w:val="center"/>
              <w:rPr>
                <w:rFonts w:asciiTheme="minorHAnsi" w:hAnsiTheme="minorHAnsi" w:cstheme="minorHAnsi"/>
                <w:sz w:val="20"/>
                <w:szCs w:val="20"/>
              </w:rPr>
            </w:pPr>
            <w:r w:rsidRPr="00042234">
              <w:rPr>
                <w:rFonts w:asciiTheme="minorHAnsi" w:hAnsiTheme="minorHAnsi" w:cstheme="minorHAnsi"/>
                <w:sz w:val="20"/>
                <w:szCs w:val="20"/>
              </w:rPr>
              <w:t>LED</w:t>
            </w:r>
          </w:p>
        </w:tc>
        <w:tc>
          <w:tcPr>
            <w:tcW w:w="1278" w:type="dxa"/>
            <w:vAlign w:val="center"/>
          </w:tcPr>
          <w:p w14:paraId="1C7609C9" w14:textId="77777777" w:rsidR="00E34056" w:rsidRPr="00042234" w:rsidRDefault="00E34056" w:rsidP="00042234">
            <w:pPr>
              <w:keepNext/>
              <w:spacing w:after="0" w:line="240" w:lineRule="auto"/>
              <w:jc w:val="right"/>
              <w:rPr>
                <w:rFonts w:asciiTheme="minorHAnsi" w:hAnsiTheme="minorHAnsi" w:cstheme="minorHAnsi"/>
                <w:sz w:val="20"/>
                <w:szCs w:val="20"/>
              </w:rPr>
            </w:pPr>
            <w:r w:rsidRPr="00042234">
              <w:rPr>
                <w:rFonts w:asciiTheme="minorHAnsi" w:hAnsiTheme="minorHAnsi" w:cstheme="minorHAnsi"/>
                <w:sz w:val="20"/>
                <w:szCs w:val="20"/>
              </w:rPr>
              <w:t>1/1/2017</w:t>
            </w:r>
          </w:p>
        </w:tc>
      </w:tr>
      <w:tr w:rsidR="00E34056" w:rsidRPr="00042234" w14:paraId="48DF1C46" w14:textId="77777777" w:rsidTr="001D79A7">
        <w:trPr>
          <w:jc w:val="center"/>
        </w:trPr>
        <w:tc>
          <w:tcPr>
            <w:tcW w:w="9258" w:type="dxa"/>
            <w:gridSpan w:val="5"/>
            <w:shd w:val="pct25" w:color="auto" w:fill="auto"/>
          </w:tcPr>
          <w:p w14:paraId="08CD5914" w14:textId="77777777" w:rsidR="00E34056" w:rsidRPr="00042234" w:rsidRDefault="00E34056" w:rsidP="004756BA">
            <w:pPr>
              <w:keepNext/>
              <w:spacing w:after="0" w:line="240" w:lineRule="auto"/>
              <w:jc w:val="center"/>
              <w:rPr>
                <w:rFonts w:asciiTheme="minorHAnsi" w:hAnsiTheme="minorHAnsi" w:cstheme="minorHAnsi"/>
                <w:b/>
                <w:sz w:val="20"/>
                <w:szCs w:val="20"/>
              </w:rPr>
            </w:pPr>
            <w:r w:rsidRPr="00042234">
              <w:rPr>
                <w:rFonts w:asciiTheme="minorHAnsi" w:hAnsiTheme="minorHAnsi" w:cstheme="minorHAnsi"/>
                <w:b/>
                <w:sz w:val="20"/>
                <w:szCs w:val="20"/>
              </w:rPr>
              <w:t>Workpapers Not Yet Submitted for 2017 Program Cycle Phase Review</w:t>
            </w:r>
          </w:p>
        </w:tc>
      </w:tr>
      <w:tr w:rsidR="00E34056" w:rsidRPr="00042234" w14:paraId="29D0D420" w14:textId="77777777" w:rsidTr="001D79A7">
        <w:trPr>
          <w:jc w:val="center"/>
        </w:trPr>
        <w:tc>
          <w:tcPr>
            <w:tcW w:w="1947" w:type="dxa"/>
            <w:tcBorders>
              <w:right w:val="nil"/>
            </w:tcBorders>
            <w:shd w:val="pct25" w:color="auto" w:fill="auto"/>
          </w:tcPr>
          <w:p w14:paraId="324C7243" w14:textId="77777777" w:rsidR="00E34056" w:rsidRPr="00042234" w:rsidRDefault="00E34056" w:rsidP="004756BA">
            <w:pPr>
              <w:keepNext/>
              <w:spacing w:after="0" w:line="240" w:lineRule="auto"/>
              <w:rPr>
                <w:rFonts w:asciiTheme="minorHAnsi" w:hAnsiTheme="minorHAnsi" w:cstheme="minorHAnsi"/>
                <w:b/>
                <w:sz w:val="20"/>
                <w:szCs w:val="20"/>
              </w:rPr>
            </w:pPr>
            <w:r w:rsidRPr="00042234">
              <w:rPr>
                <w:rFonts w:asciiTheme="minorHAnsi" w:hAnsiTheme="minorHAnsi" w:cstheme="minorHAnsi"/>
                <w:b/>
                <w:sz w:val="20"/>
                <w:szCs w:val="20"/>
              </w:rPr>
              <w:t>PG&amp;E</w:t>
            </w:r>
          </w:p>
        </w:tc>
        <w:tc>
          <w:tcPr>
            <w:tcW w:w="538" w:type="dxa"/>
            <w:tcBorders>
              <w:left w:val="nil"/>
              <w:right w:val="nil"/>
            </w:tcBorders>
            <w:shd w:val="pct25" w:color="auto" w:fill="auto"/>
          </w:tcPr>
          <w:p w14:paraId="39C83D19" w14:textId="77777777" w:rsidR="00E34056" w:rsidRPr="00042234" w:rsidRDefault="00E34056" w:rsidP="00042234">
            <w:pPr>
              <w:keepNext/>
              <w:spacing w:after="0" w:line="240" w:lineRule="auto"/>
              <w:jc w:val="center"/>
              <w:rPr>
                <w:rFonts w:asciiTheme="minorHAnsi" w:hAnsiTheme="minorHAnsi" w:cstheme="minorHAnsi"/>
                <w:sz w:val="20"/>
                <w:szCs w:val="20"/>
              </w:rPr>
            </w:pPr>
          </w:p>
        </w:tc>
        <w:tc>
          <w:tcPr>
            <w:tcW w:w="4837" w:type="dxa"/>
            <w:tcBorders>
              <w:left w:val="nil"/>
              <w:right w:val="nil"/>
            </w:tcBorders>
            <w:shd w:val="pct25" w:color="auto" w:fill="auto"/>
          </w:tcPr>
          <w:p w14:paraId="51DCA9DE" w14:textId="77777777" w:rsidR="00E34056" w:rsidRPr="00042234" w:rsidRDefault="00E34056" w:rsidP="00042234">
            <w:pPr>
              <w:keepNext/>
              <w:spacing w:after="0" w:line="240" w:lineRule="auto"/>
              <w:rPr>
                <w:rFonts w:asciiTheme="minorHAnsi" w:hAnsiTheme="minorHAnsi" w:cstheme="minorHAnsi"/>
                <w:sz w:val="20"/>
                <w:szCs w:val="20"/>
              </w:rPr>
            </w:pPr>
          </w:p>
        </w:tc>
        <w:tc>
          <w:tcPr>
            <w:tcW w:w="658" w:type="dxa"/>
            <w:tcBorders>
              <w:left w:val="nil"/>
              <w:right w:val="nil"/>
            </w:tcBorders>
            <w:shd w:val="pct25" w:color="auto" w:fill="auto"/>
          </w:tcPr>
          <w:p w14:paraId="196D95EC" w14:textId="77777777" w:rsidR="00E34056" w:rsidRPr="00042234" w:rsidRDefault="00E34056" w:rsidP="00042234">
            <w:pPr>
              <w:keepNext/>
              <w:spacing w:after="0" w:line="240" w:lineRule="auto"/>
              <w:jc w:val="right"/>
              <w:rPr>
                <w:rFonts w:asciiTheme="minorHAnsi" w:hAnsiTheme="minorHAnsi" w:cstheme="minorHAnsi"/>
                <w:sz w:val="20"/>
                <w:szCs w:val="20"/>
              </w:rPr>
            </w:pPr>
          </w:p>
        </w:tc>
        <w:tc>
          <w:tcPr>
            <w:tcW w:w="1278" w:type="dxa"/>
            <w:tcBorders>
              <w:left w:val="nil"/>
            </w:tcBorders>
            <w:shd w:val="pct25" w:color="auto" w:fill="auto"/>
          </w:tcPr>
          <w:p w14:paraId="1C1D4445" w14:textId="77777777" w:rsidR="00E34056" w:rsidRPr="00042234" w:rsidRDefault="00E34056" w:rsidP="00042234">
            <w:pPr>
              <w:keepNext/>
              <w:spacing w:after="0" w:line="240" w:lineRule="auto"/>
              <w:jc w:val="right"/>
              <w:rPr>
                <w:rFonts w:asciiTheme="minorHAnsi" w:hAnsiTheme="minorHAnsi" w:cstheme="minorHAnsi"/>
                <w:sz w:val="20"/>
                <w:szCs w:val="20"/>
              </w:rPr>
            </w:pPr>
          </w:p>
        </w:tc>
      </w:tr>
      <w:tr w:rsidR="004756BA" w:rsidRPr="00042234" w14:paraId="631F58A9" w14:textId="77777777" w:rsidTr="001D79A7">
        <w:trPr>
          <w:jc w:val="center"/>
        </w:trPr>
        <w:tc>
          <w:tcPr>
            <w:tcW w:w="1947" w:type="dxa"/>
            <w:vAlign w:val="center"/>
          </w:tcPr>
          <w:p w14:paraId="7605B8F9" w14:textId="6A34D22F" w:rsidR="004756BA" w:rsidRPr="00042234" w:rsidRDefault="004756BA" w:rsidP="00042234">
            <w:pPr>
              <w:keepNext/>
              <w:spacing w:after="0"/>
              <w:rPr>
                <w:rFonts w:asciiTheme="minorHAnsi" w:hAnsiTheme="minorHAnsi" w:cstheme="minorHAnsi"/>
                <w:color w:val="000000"/>
                <w:sz w:val="20"/>
                <w:szCs w:val="20"/>
              </w:rPr>
            </w:pPr>
            <w:r w:rsidRPr="00042234">
              <w:rPr>
                <w:rFonts w:asciiTheme="minorHAnsi" w:hAnsiTheme="minorHAnsi" w:cstheme="minorHAnsi"/>
                <w:color w:val="000000"/>
                <w:sz w:val="20"/>
                <w:szCs w:val="20"/>
              </w:rPr>
              <w:t>PGECOLTG107</w:t>
            </w:r>
          </w:p>
        </w:tc>
        <w:tc>
          <w:tcPr>
            <w:tcW w:w="538" w:type="dxa"/>
            <w:vAlign w:val="center"/>
          </w:tcPr>
          <w:p w14:paraId="549622E4" w14:textId="5AD10522" w:rsidR="004756BA" w:rsidRPr="00042234" w:rsidRDefault="004756BA" w:rsidP="004756BA">
            <w:pPr>
              <w:keepNext/>
              <w:spacing w:after="0" w:line="240" w:lineRule="auto"/>
              <w:jc w:val="center"/>
              <w:rPr>
                <w:rFonts w:asciiTheme="minorHAnsi" w:hAnsiTheme="minorHAnsi" w:cstheme="minorHAnsi"/>
                <w:sz w:val="20"/>
                <w:szCs w:val="20"/>
              </w:rPr>
            </w:pPr>
            <w:r w:rsidRPr="00042234">
              <w:rPr>
                <w:rFonts w:asciiTheme="minorHAnsi" w:hAnsiTheme="minorHAnsi" w:cstheme="minorHAnsi"/>
                <w:sz w:val="20"/>
                <w:szCs w:val="20"/>
              </w:rPr>
              <w:t>8</w:t>
            </w:r>
          </w:p>
        </w:tc>
        <w:tc>
          <w:tcPr>
            <w:tcW w:w="4837" w:type="dxa"/>
            <w:vAlign w:val="center"/>
          </w:tcPr>
          <w:p w14:paraId="1EC5572D" w14:textId="3822004B" w:rsidR="004756BA" w:rsidRPr="00042234" w:rsidRDefault="004756BA" w:rsidP="00042234">
            <w:pPr>
              <w:keepNext/>
              <w:spacing w:after="0" w:line="240" w:lineRule="auto"/>
              <w:rPr>
                <w:rFonts w:asciiTheme="minorHAnsi" w:hAnsiTheme="minorHAnsi" w:cstheme="minorHAnsi"/>
                <w:sz w:val="20"/>
                <w:szCs w:val="20"/>
              </w:rPr>
            </w:pPr>
            <w:r w:rsidRPr="00042234">
              <w:rPr>
                <w:rFonts w:asciiTheme="minorHAnsi" w:hAnsiTheme="minorHAnsi" w:cstheme="minorHAnsi"/>
                <w:sz w:val="20"/>
                <w:szCs w:val="20"/>
              </w:rPr>
              <w:t>Residential Upstream Compact Fluorescent Lighting</w:t>
            </w:r>
          </w:p>
        </w:tc>
        <w:tc>
          <w:tcPr>
            <w:tcW w:w="658" w:type="dxa"/>
            <w:vAlign w:val="center"/>
          </w:tcPr>
          <w:p w14:paraId="13AE24BB" w14:textId="318528D5" w:rsidR="004756BA" w:rsidRPr="00042234" w:rsidRDefault="004756BA" w:rsidP="00042234">
            <w:pPr>
              <w:keepNext/>
              <w:spacing w:after="0" w:line="240" w:lineRule="auto"/>
              <w:jc w:val="center"/>
              <w:rPr>
                <w:rFonts w:asciiTheme="minorHAnsi" w:hAnsiTheme="minorHAnsi" w:cstheme="minorHAnsi"/>
                <w:sz w:val="20"/>
                <w:szCs w:val="20"/>
              </w:rPr>
            </w:pPr>
            <w:r w:rsidRPr="00042234">
              <w:rPr>
                <w:rFonts w:asciiTheme="minorHAnsi" w:hAnsiTheme="minorHAnsi" w:cstheme="minorHAnsi"/>
                <w:sz w:val="20"/>
                <w:szCs w:val="20"/>
              </w:rPr>
              <w:t>CFL</w:t>
            </w:r>
          </w:p>
        </w:tc>
        <w:tc>
          <w:tcPr>
            <w:tcW w:w="1278" w:type="dxa"/>
            <w:vAlign w:val="center"/>
          </w:tcPr>
          <w:p w14:paraId="1AC3C312" w14:textId="77777777" w:rsidR="004756BA" w:rsidRPr="00042234" w:rsidRDefault="004756BA" w:rsidP="00042234">
            <w:pPr>
              <w:keepNext/>
              <w:spacing w:after="0" w:line="240" w:lineRule="auto"/>
              <w:jc w:val="right"/>
              <w:rPr>
                <w:rFonts w:asciiTheme="minorHAnsi" w:hAnsiTheme="minorHAnsi" w:cstheme="minorHAnsi"/>
                <w:sz w:val="20"/>
                <w:szCs w:val="20"/>
              </w:rPr>
            </w:pPr>
            <w:r w:rsidRPr="00042234">
              <w:rPr>
                <w:rFonts w:asciiTheme="minorHAnsi" w:hAnsiTheme="minorHAnsi" w:cstheme="minorHAnsi"/>
                <w:sz w:val="20"/>
                <w:szCs w:val="20"/>
              </w:rPr>
              <w:t>1/4/2016</w:t>
            </w:r>
          </w:p>
        </w:tc>
      </w:tr>
      <w:tr w:rsidR="004756BA" w:rsidRPr="00042234" w14:paraId="613229F8" w14:textId="77777777" w:rsidTr="001D79A7">
        <w:trPr>
          <w:jc w:val="center"/>
        </w:trPr>
        <w:tc>
          <w:tcPr>
            <w:tcW w:w="1947" w:type="dxa"/>
            <w:vAlign w:val="center"/>
          </w:tcPr>
          <w:p w14:paraId="69C46CD2" w14:textId="5C80EABB" w:rsidR="004756BA" w:rsidRPr="00042234" w:rsidRDefault="004756BA" w:rsidP="00042234">
            <w:pPr>
              <w:keepNext/>
              <w:spacing w:after="0"/>
              <w:rPr>
                <w:rFonts w:asciiTheme="minorHAnsi" w:hAnsiTheme="minorHAnsi" w:cstheme="minorHAnsi"/>
                <w:color w:val="000000"/>
                <w:sz w:val="20"/>
                <w:szCs w:val="20"/>
              </w:rPr>
            </w:pPr>
            <w:r w:rsidRPr="00042234">
              <w:rPr>
                <w:rFonts w:asciiTheme="minorHAnsi" w:hAnsiTheme="minorHAnsi" w:cstheme="minorHAnsi"/>
                <w:color w:val="000000"/>
                <w:sz w:val="20"/>
                <w:szCs w:val="20"/>
              </w:rPr>
              <w:t>PGECOLTG111</w:t>
            </w:r>
          </w:p>
        </w:tc>
        <w:tc>
          <w:tcPr>
            <w:tcW w:w="538" w:type="dxa"/>
            <w:vAlign w:val="center"/>
          </w:tcPr>
          <w:p w14:paraId="2F8FA488" w14:textId="1FBED3AD" w:rsidR="004756BA" w:rsidRPr="00042234" w:rsidDel="004756BA" w:rsidRDefault="004756BA" w:rsidP="004756BA">
            <w:pPr>
              <w:keepNext/>
              <w:spacing w:after="0" w:line="240" w:lineRule="auto"/>
              <w:jc w:val="center"/>
              <w:rPr>
                <w:rFonts w:asciiTheme="minorHAnsi" w:hAnsiTheme="minorHAnsi" w:cstheme="minorHAnsi"/>
                <w:sz w:val="20"/>
                <w:szCs w:val="20"/>
              </w:rPr>
            </w:pPr>
            <w:r w:rsidRPr="00042234">
              <w:rPr>
                <w:rFonts w:asciiTheme="minorHAnsi" w:hAnsiTheme="minorHAnsi" w:cstheme="minorHAnsi"/>
                <w:sz w:val="20"/>
                <w:szCs w:val="20"/>
              </w:rPr>
              <w:t>8</w:t>
            </w:r>
          </w:p>
        </w:tc>
        <w:tc>
          <w:tcPr>
            <w:tcW w:w="4837" w:type="dxa"/>
            <w:vAlign w:val="center"/>
          </w:tcPr>
          <w:p w14:paraId="34A7D2FE" w14:textId="7CD8FC9D" w:rsidR="004756BA" w:rsidRPr="00042234" w:rsidRDefault="004756BA" w:rsidP="00042234">
            <w:pPr>
              <w:keepNext/>
              <w:spacing w:after="0" w:line="240" w:lineRule="auto"/>
              <w:rPr>
                <w:rFonts w:asciiTheme="minorHAnsi" w:hAnsiTheme="minorHAnsi" w:cstheme="minorHAnsi"/>
                <w:sz w:val="20"/>
                <w:szCs w:val="20"/>
              </w:rPr>
            </w:pPr>
            <w:r w:rsidRPr="00042234">
              <w:rPr>
                <w:rFonts w:asciiTheme="minorHAnsi" w:hAnsiTheme="minorHAnsi" w:cstheme="minorHAnsi"/>
                <w:sz w:val="20"/>
                <w:szCs w:val="20"/>
              </w:rPr>
              <w:t>Nonresidential Upstream Compact Fluorescent Lighting</w:t>
            </w:r>
          </w:p>
        </w:tc>
        <w:tc>
          <w:tcPr>
            <w:tcW w:w="658" w:type="dxa"/>
            <w:vAlign w:val="center"/>
          </w:tcPr>
          <w:p w14:paraId="25562F18" w14:textId="557201AA" w:rsidR="004756BA" w:rsidRPr="00042234" w:rsidRDefault="00943B8F" w:rsidP="00042234">
            <w:pPr>
              <w:keepNext/>
              <w:spacing w:after="0" w:line="240" w:lineRule="auto"/>
              <w:jc w:val="center"/>
              <w:rPr>
                <w:rFonts w:asciiTheme="minorHAnsi" w:hAnsiTheme="minorHAnsi" w:cstheme="minorHAnsi"/>
                <w:sz w:val="20"/>
                <w:szCs w:val="20"/>
              </w:rPr>
            </w:pPr>
            <w:r w:rsidRPr="00042234">
              <w:rPr>
                <w:rFonts w:asciiTheme="minorHAnsi" w:hAnsiTheme="minorHAnsi" w:cstheme="minorHAnsi"/>
                <w:sz w:val="20"/>
                <w:szCs w:val="20"/>
              </w:rPr>
              <w:t>CFL</w:t>
            </w:r>
          </w:p>
        </w:tc>
        <w:tc>
          <w:tcPr>
            <w:tcW w:w="1278" w:type="dxa"/>
            <w:vAlign w:val="center"/>
          </w:tcPr>
          <w:p w14:paraId="765976DE" w14:textId="2B60047A" w:rsidR="004756BA" w:rsidRPr="00042234" w:rsidRDefault="004756BA" w:rsidP="00042234">
            <w:pPr>
              <w:keepNext/>
              <w:spacing w:after="0" w:line="240" w:lineRule="auto"/>
              <w:jc w:val="right"/>
              <w:rPr>
                <w:rFonts w:asciiTheme="minorHAnsi" w:hAnsiTheme="minorHAnsi" w:cstheme="minorHAnsi"/>
                <w:sz w:val="20"/>
                <w:szCs w:val="20"/>
              </w:rPr>
            </w:pPr>
            <w:r w:rsidRPr="00042234">
              <w:rPr>
                <w:rFonts w:asciiTheme="minorHAnsi" w:hAnsiTheme="minorHAnsi" w:cstheme="minorHAnsi"/>
                <w:sz w:val="20"/>
                <w:szCs w:val="20"/>
              </w:rPr>
              <w:t>1/4/2016</w:t>
            </w:r>
          </w:p>
        </w:tc>
      </w:tr>
      <w:tr w:rsidR="00E34056" w:rsidRPr="00042234" w14:paraId="1595D74F" w14:textId="77777777" w:rsidTr="001D79A7">
        <w:trPr>
          <w:jc w:val="center"/>
        </w:trPr>
        <w:tc>
          <w:tcPr>
            <w:tcW w:w="1947" w:type="dxa"/>
            <w:vAlign w:val="center"/>
          </w:tcPr>
          <w:p w14:paraId="4B6686EC" w14:textId="77777777" w:rsidR="00E34056" w:rsidRPr="00042234" w:rsidRDefault="00E34056" w:rsidP="00042234">
            <w:pPr>
              <w:keepNext/>
              <w:spacing w:after="0"/>
              <w:rPr>
                <w:rFonts w:asciiTheme="minorHAnsi" w:hAnsiTheme="minorHAnsi" w:cstheme="minorHAnsi"/>
                <w:color w:val="000000"/>
                <w:sz w:val="20"/>
                <w:szCs w:val="20"/>
              </w:rPr>
            </w:pPr>
            <w:r w:rsidRPr="00042234">
              <w:rPr>
                <w:rFonts w:asciiTheme="minorHAnsi" w:hAnsiTheme="minorHAnsi" w:cstheme="minorHAnsi"/>
                <w:color w:val="000000"/>
                <w:sz w:val="20"/>
                <w:szCs w:val="20"/>
              </w:rPr>
              <w:t>PGECOLTG140</w:t>
            </w:r>
          </w:p>
        </w:tc>
        <w:tc>
          <w:tcPr>
            <w:tcW w:w="538" w:type="dxa"/>
            <w:vAlign w:val="center"/>
          </w:tcPr>
          <w:p w14:paraId="3752E786" w14:textId="58B9E764" w:rsidR="00E34056" w:rsidRPr="00042234" w:rsidRDefault="00E34056" w:rsidP="004756BA">
            <w:pPr>
              <w:keepNext/>
              <w:spacing w:after="0" w:line="240" w:lineRule="auto"/>
              <w:jc w:val="center"/>
              <w:rPr>
                <w:rFonts w:asciiTheme="minorHAnsi" w:hAnsiTheme="minorHAnsi" w:cstheme="minorHAnsi"/>
                <w:sz w:val="20"/>
                <w:szCs w:val="20"/>
              </w:rPr>
            </w:pPr>
            <w:r w:rsidRPr="00042234">
              <w:rPr>
                <w:rFonts w:asciiTheme="minorHAnsi" w:hAnsiTheme="minorHAnsi" w:cstheme="minorHAnsi"/>
                <w:sz w:val="20"/>
                <w:szCs w:val="20"/>
              </w:rPr>
              <w:t>5</w:t>
            </w:r>
          </w:p>
        </w:tc>
        <w:tc>
          <w:tcPr>
            <w:tcW w:w="4837" w:type="dxa"/>
            <w:vAlign w:val="center"/>
          </w:tcPr>
          <w:p w14:paraId="0288C6B7" w14:textId="77777777" w:rsidR="00E34056" w:rsidRPr="00042234" w:rsidRDefault="00E34056" w:rsidP="00042234">
            <w:pPr>
              <w:keepNext/>
              <w:spacing w:after="0" w:line="240" w:lineRule="auto"/>
              <w:rPr>
                <w:rFonts w:asciiTheme="minorHAnsi" w:hAnsiTheme="minorHAnsi" w:cstheme="minorHAnsi"/>
                <w:sz w:val="20"/>
                <w:szCs w:val="20"/>
              </w:rPr>
            </w:pPr>
            <w:r w:rsidRPr="00042234">
              <w:rPr>
                <w:rFonts w:asciiTheme="minorHAnsi" w:hAnsiTheme="minorHAnsi" w:cstheme="minorHAnsi"/>
                <w:sz w:val="20"/>
                <w:szCs w:val="20"/>
              </w:rPr>
              <w:t>LED MR-16</w:t>
            </w:r>
          </w:p>
        </w:tc>
        <w:tc>
          <w:tcPr>
            <w:tcW w:w="658" w:type="dxa"/>
            <w:vAlign w:val="center"/>
          </w:tcPr>
          <w:p w14:paraId="543C1573" w14:textId="77777777" w:rsidR="00E34056" w:rsidRPr="00042234" w:rsidRDefault="00E34056" w:rsidP="00042234">
            <w:pPr>
              <w:keepNext/>
              <w:spacing w:after="0" w:line="240" w:lineRule="auto"/>
              <w:jc w:val="center"/>
              <w:rPr>
                <w:rFonts w:asciiTheme="minorHAnsi" w:hAnsiTheme="minorHAnsi" w:cstheme="minorHAnsi"/>
                <w:sz w:val="20"/>
                <w:szCs w:val="20"/>
              </w:rPr>
            </w:pPr>
            <w:r w:rsidRPr="00042234">
              <w:rPr>
                <w:rFonts w:asciiTheme="minorHAnsi" w:hAnsiTheme="minorHAnsi" w:cstheme="minorHAnsi"/>
                <w:sz w:val="20"/>
                <w:szCs w:val="20"/>
              </w:rPr>
              <w:t>LED</w:t>
            </w:r>
          </w:p>
        </w:tc>
        <w:tc>
          <w:tcPr>
            <w:tcW w:w="1278" w:type="dxa"/>
            <w:vAlign w:val="center"/>
          </w:tcPr>
          <w:p w14:paraId="200FB4BF" w14:textId="77777777" w:rsidR="00E34056" w:rsidRPr="00042234" w:rsidRDefault="00E34056" w:rsidP="00042234">
            <w:pPr>
              <w:keepNext/>
              <w:spacing w:after="0" w:line="240" w:lineRule="auto"/>
              <w:jc w:val="right"/>
              <w:rPr>
                <w:rFonts w:asciiTheme="minorHAnsi" w:hAnsiTheme="minorHAnsi" w:cstheme="minorHAnsi"/>
                <w:sz w:val="20"/>
                <w:szCs w:val="20"/>
              </w:rPr>
            </w:pPr>
            <w:r w:rsidRPr="00042234">
              <w:rPr>
                <w:rFonts w:asciiTheme="minorHAnsi" w:hAnsiTheme="minorHAnsi" w:cstheme="minorHAnsi"/>
                <w:sz w:val="20"/>
                <w:szCs w:val="20"/>
              </w:rPr>
              <w:t>1/4/2016</w:t>
            </w:r>
          </w:p>
        </w:tc>
      </w:tr>
      <w:tr w:rsidR="00E34056" w:rsidRPr="00042234" w14:paraId="36EF76B5" w14:textId="77777777" w:rsidTr="001D79A7">
        <w:trPr>
          <w:jc w:val="center"/>
        </w:trPr>
        <w:tc>
          <w:tcPr>
            <w:tcW w:w="1947" w:type="dxa"/>
            <w:vAlign w:val="center"/>
          </w:tcPr>
          <w:p w14:paraId="3071B5F6" w14:textId="77777777" w:rsidR="00E34056" w:rsidRPr="00042234" w:rsidRDefault="00E34056" w:rsidP="00042234">
            <w:pPr>
              <w:keepNext/>
              <w:spacing w:after="0"/>
              <w:rPr>
                <w:rFonts w:asciiTheme="minorHAnsi" w:hAnsiTheme="minorHAnsi" w:cstheme="minorHAnsi"/>
                <w:color w:val="000000"/>
                <w:sz w:val="20"/>
                <w:szCs w:val="20"/>
              </w:rPr>
            </w:pPr>
            <w:r w:rsidRPr="00042234">
              <w:rPr>
                <w:rFonts w:asciiTheme="minorHAnsi" w:hAnsiTheme="minorHAnsi" w:cstheme="minorHAnsi"/>
                <w:color w:val="000000"/>
                <w:sz w:val="20"/>
                <w:szCs w:val="20"/>
              </w:rPr>
              <w:t>PGECOLTG163</w:t>
            </w:r>
          </w:p>
        </w:tc>
        <w:tc>
          <w:tcPr>
            <w:tcW w:w="538" w:type="dxa"/>
            <w:vAlign w:val="center"/>
          </w:tcPr>
          <w:p w14:paraId="155E640E" w14:textId="77777777" w:rsidR="00E34056" w:rsidRPr="00042234" w:rsidRDefault="00E34056" w:rsidP="004756BA">
            <w:pPr>
              <w:keepNext/>
              <w:spacing w:after="0" w:line="240" w:lineRule="auto"/>
              <w:jc w:val="center"/>
              <w:rPr>
                <w:rFonts w:asciiTheme="minorHAnsi" w:hAnsiTheme="minorHAnsi" w:cstheme="minorHAnsi"/>
                <w:sz w:val="20"/>
                <w:szCs w:val="20"/>
              </w:rPr>
            </w:pPr>
            <w:r w:rsidRPr="00042234">
              <w:rPr>
                <w:rFonts w:asciiTheme="minorHAnsi" w:hAnsiTheme="minorHAnsi" w:cstheme="minorHAnsi"/>
                <w:sz w:val="20"/>
                <w:szCs w:val="20"/>
              </w:rPr>
              <w:t>4</w:t>
            </w:r>
          </w:p>
        </w:tc>
        <w:tc>
          <w:tcPr>
            <w:tcW w:w="4837" w:type="dxa"/>
            <w:vAlign w:val="center"/>
          </w:tcPr>
          <w:p w14:paraId="61311DB6" w14:textId="77777777" w:rsidR="00E34056" w:rsidRPr="00042234" w:rsidRDefault="00E34056" w:rsidP="00042234">
            <w:pPr>
              <w:keepNext/>
              <w:spacing w:after="0" w:line="240" w:lineRule="auto"/>
              <w:rPr>
                <w:rFonts w:asciiTheme="minorHAnsi" w:hAnsiTheme="minorHAnsi" w:cstheme="minorHAnsi"/>
                <w:sz w:val="20"/>
                <w:szCs w:val="20"/>
              </w:rPr>
            </w:pPr>
            <w:r w:rsidRPr="00042234">
              <w:rPr>
                <w:rFonts w:asciiTheme="minorHAnsi" w:hAnsiTheme="minorHAnsi" w:cstheme="minorHAnsi"/>
                <w:sz w:val="20"/>
                <w:szCs w:val="20"/>
              </w:rPr>
              <w:t>LED Candelabra Replacements</w:t>
            </w:r>
          </w:p>
        </w:tc>
        <w:tc>
          <w:tcPr>
            <w:tcW w:w="658" w:type="dxa"/>
            <w:vAlign w:val="center"/>
          </w:tcPr>
          <w:p w14:paraId="344DCAE6" w14:textId="77777777" w:rsidR="00E34056" w:rsidRPr="00042234" w:rsidRDefault="00E34056" w:rsidP="00042234">
            <w:pPr>
              <w:keepNext/>
              <w:spacing w:after="0" w:line="240" w:lineRule="auto"/>
              <w:jc w:val="center"/>
              <w:rPr>
                <w:rFonts w:asciiTheme="minorHAnsi" w:hAnsiTheme="minorHAnsi" w:cstheme="minorHAnsi"/>
                <w:sz w:val="20"/>
                <w:szCs w:val="20"/>
              </w:rPr>
            </w:pPr>
            <w:r w:rsidRPr="00042234">
              <w:rPr>
                <w:rFonts w:asciiTheme="minorHAnsi" w:hAnsiTheme="minorHAnsi" w:cstheme="minorHAnsi"/>
                <w:sz w:val="20"/>
                <w:szCs w:val="20"/>
              </w:rPr>
              <w:t>LED</w:t>
            </w:r>
          </w:p>
        </w:tc>
        <w:tc>
          <w:tcPr>
            <w:tcW w:w="1278" w:type="dxa"/>
            <w:vAlign w:val="center"/>
          </w:tcPr>
          <w:p w14:paraId="276DB618" w14:textId="77777777" w:rsidR="00E34056" w:rsidRPr="00042234" w:rsidRDefault="00E34056" w:rsidP="00042234">
            <w:pPr>
              <w:keepNext/>
              <w:spacing w:after="0" w:line="240" w:lineRule="auto"/>
              <w:jc w:val="right"/>
              <w:rPr>
                <w:rFonts w:asciiTheme="minorHAnsi" w:hAnsiTheme="minorHAnsi" w:cstheme="minorHAnsi"/>
                <w:sz w:val="20"/>
                <w:szCs w:val="20"/>
              </w:rPr>
            </w:pPr>
            <w:r w:rsidRPr="00042234">
              <w:rPr>
                <w:rFonts w:asciiTheme="minorHAnsi" w:hAnsiTheme="minorHAnsi" w:cstheme="minorHAnsi"/>
                <w:sz w:val="20"/>
                <w:szCs w:val="20"/>
              </w:rPr>
              <w:t>1/4/2016</w:t>
            </w:r>
          </w:p>
        </w:tc>
      </w:tr>
      <w:tr w:rsidR="00E34056" w:rsidRPr="00042234" w14:paraId="5E0620AA" w14:textId="77777777" w:rsidTr="001D79A7">
        <w:trPr>
          <w:jc w:val="center"/>
        </w:trPr>
        <w:tc>
          <w:tcPr>
            <w:tcW w:w="1947" w:type="dxa"/>
            <w:vAlign w:val="center"/>
          </w:tcPr>
          <w:p w14:paraId="1BA9DC3E" w14:textId="77777777" w:rsidR="00E34056" w:rsidRPr="00042234" w:rsidRDefault="00E34056" w:rsidP="00042234">
            <w:pPr>
              <w:keepNext/>
              <w:spacing w:after="0"/>
              <w:rPr>
                <w:rFonts w:asciiTheme="minorHAnsi" w:hAnsiTheme="minorHAnsi" w:cstheme="minorHAnsi"/>
                <w:color w:val="000000"/>
                <w:sz w:val="20"/>
                <w:szCs w:val="20"/>
              </w:rPr>
            </w:pPr>
            <w:r w:rsidRPr="00042234">
              <w:rPr>
                <w:rFonts w:asciiTheme="minorHAnsi" w:hAnsiTheme="minorHAnsi" w:cstheme="minorHAnsi"/>
                <w:color w:val="000000"/>
                <w:sz w:val="20"/>
                <w:szCs w:val="20"/>
              </w:rPr>
              <w:t>PGECOLTG164</w:t>
            </w:r>
          </w:p>
        </w:tc>
        <w:tc>
          <w:tcPr>
            <w:tcW w:w="538" w:type="dxa"/>
            <w:vAlign w:val="center"/>
          </w:tcPr>
          <w:p w14:paraId="5E72EBDF" w14:textId="77777777" w:rsidR="00E34056" w:rsidRPr="00042234" w:rsidRDefault="00E34056" w:rsidP="004756BA">
            <w:pPr>
              <w:keepNext/>
              <w:spacing w:after="0" w:line="240" w:lineRule="auto"/>
              <w:jc w:val="center"/>
              <w:rPr>
                <w:rFonts w:asciiTheme="minorHAnsi" w:hAnsiTheme="minorHAnsi" w:cstheme="minorHAnsi"/>
                <w:sz w:val="20"/>
                <w:szCs w:val="20"/>
              </w:rPr>
            </w:pPr>
            <w:r w:rsidRPr="00042234">
              <w:rPr>
                <w:rFonts w:asciiTheme="minorHAnsi" w:hAnsiTheme="minorHAnsi" w:cstheme="minorHAnsi"/>
                <w:sz w:val="20"/>
                <w:szCs w:val="20"/>
              </w:rPr>
              <w:t>4</w:t>
            </w:r>
          </w:p>
        </w:tc>
        <w:tc>
          <w:tcPr>
            <w:tcW w:w="4837" w:type="dxa"/>
            <w:vAlign w:val="center"/>
          </w:tcPr>
          <w:p w14:paraId="79CFB06F" w14:textId="77777777" w:rsidR="00E34056" w:rsidRPr="00042234" w:rsidRDefault="00E34056" w:rsidP="00042234">
            <w:pPr>
              <w:keepNext/>
              <w:spacing w:after="0" w:line="240" w:lineRule="auto"/>
              <w:rPr>
                <w:rFonts w:asciiTheme="minorHAnsi" w:hAnsiTheme="minorHAnsi" w:cstheme="minorHAnsi"/>
                <w:sz w:val="20"/>
                <w:szCs w:val="20"/>
              </w:rPr>
            </w:pPr>
            <w:r w:rsidRPr="00042234">
              <w:rPr>
                <w:rFonts w:asciiTheme="minorHAnsi" w:hAnsiTheme="minorHAnsi" w:cstheme="minorHAnsi"/>
                <w:sz w:val="20"/>
                <w:szCs w:val="20"/>
              </w:rPr>
              <w:t>LED Globe Lamps</w:t>
            </w:r>
          </w:p>
        </w:tc>
        <w:tc>
          <w:tcPr>
            <w:tcW w:w="658" w:type="dxa"/>
            <w:vAlign w:val="center"/>
          </w:tcPr>
          <w:p w14:paraId="2FB09E24" w14:textId="77777777" w:rsidR="00E34056" w:rsidRPr="00042234" w:rsidRDefault="00E34056" w:rsidP="00042234">
            <w:pPr>
              <w:keepNext/>
              <w:spacing w:after="0" w:line="240" w:lineRule="auto"/>
              <w:jc w:val="center"/>
              <w:rPr>
                <w:rFonts w:asciiTheme="minorHAnsi" w:hAnsiTheme="minorHAnsi" w:cstheme="minorHAnsi"/>
                <w:sz w:val="20"/>
                <w:szCs w:val="20"/>
              </w:rPr>
            </w:pPr>
            <w:r w:rsidRPr="00042234">
              <w:rPr>
                <w:rFonts w:asciiTheme="minorHAnsi" w:hAnsiTheme="minorHAnsi" w:cstheme="minorHAnsi"/>
                <w:sz w:val="20"/>
                <w:szCs w:val="20"/>
              </w:rPr>
              <w:t>LED</w:t>
            </w:r>
          </w:p>
        </w:tc>
        <w:tc>
          <w:tcPr>
            <w:tcW w:w="1278" w:type="dxa"/>
            <w:vAlign w:val="center"/>
          </w:tcPr>
          <w:p w14:paraId="25AFA2D2" w14:textId="77777777" w:rsidR="00E34056" w:rsidRPr="00042234" w:rsidRDefault="00E34056" w:rsidP="00042234">
            <w:pPr>
              <w:keepNext/>
              <w:spacing w:after="0" w:line="240" w:lineRule="auto"/>
              <w:jc w:val="right"/>
              <w:rPr>
                <w:rFonts w:asciiTheme="minorHAnsi" w:hAnsiTheme="minorHAnsi" w:cstheme="minorHAnsi"/>
                <w:sz w:val="20"/>
                <w:szCs w:val="20"/>
              </w:rPr>
            </w:pPr>
            <w:r w:rsidRPr="00042234">
              <w:rPr>
                <w:rFonts w:asciiTheme="minorHAnsi" w:hAnsiTheme="minorHAnsi" w:cstheme="minorHAnsi"/>
                <w:sz w:val="20"/>
                <w:szCs w:val="20"/>
              </w:rPr>
              <w:t>1/4/2016</w:t>
            </w:r>
          </w:p>
        </w:tc>
      </w:tr>
      <w:tr w:rsidR="004756BA" w:rsidRPr="00042234" w14:paraId="13C85551" w14:textId="77777777" w:rsidTr="001D79A7">
        <w:trPr>
          <w:jc w:val="center"/>
        </w:trPr>
        <w:tc>
          <w:tcPr>
            <w:tcW w:w="1947" w:type="dxa"/>
            <w:vAlign w:val="center"/>
          </w:tcPr>
          <w:p w14:paraId="10DBD2A8" w14:textId="077DBE80" w:rsidR="004756BA" w:rsidRPr="00042234" w:rsidRDefault="004756BA" w:rsidP="00042234">
            <w:pPr>
              <w:keepNext/>
              <w:spacing w:after="0"/>
              <w:rPr>
                <w:rFonts w:asciiTheme="minorHAnsi" w:hAnsiTheme="minorHAnsi" w:cstheme="minorHAnsi"/>
                <w:color w:val="000000"/>
                <w:sz w:val="20"/>
                <w:szCs w:val="20"/>
              </w:rPr>
            </w:pPr>
            <w:r w:rsidRPr="00042234">
              <w:rPr>
                <w:rFonts w:asciiTheme="minorHAnsi" w:hAnsiTheme="minorHAnsi" w:cstheme="minorHAnsi"/>
                <w:color w:val="000000"/>
                <w:sz w:val="20"/>
                <w:szCs w:val="20"/>
              </w:rPr>
              <w:t>PGE3PLTG173</w:t>
            </w:r>
          </w:p>
        </w:tc>
        <w:tc>
          <w:tcPr>
            <w:tcW w:w="538" w:type="dxa"/>
            <w:vAlign w:val="center"/>
          </w:tcPr>
          <w:p w14:paraId="5C2D3286" w14:textId="7E01DF35" w:rsidR="004756BA" w:rsidRPr="00042234" w:rsidRDefault="004756BA" w:rsidP="004756BA">
            <w:pPr>
              <w:keepNext/>
              <w:spacing w:after="0" w:line="240" w:lineRule="auto"/>
              <w:jc w:val="center"/>
              <w:rPr>
                <w:rFonts w:asciiTheme="minorHAnsi" w:hAnsiTheme="minorHAnsi" w:cstheme="minorHAnsi"/>
                <w:sz w:val="20"/>
                <w:szCs w:val="20"/>
              </w:rPr>
            </w:pPr>
            <w:r w:rsidRPr="00042234">
              <w:rPr>
                <w:rFonts w:asciiTheme="minorHAnsi" w:hAnsiTheme="minorHAnsi" w:cstheme="minorHAnsi"/>
                <w:sz w:val="20"/>
                <w:szCs w:val="20"/>
              </w:rPr>
              <w:t>4</w:t>
            </w:r>
          </w:p>
        </w:tc>
        <w:tc>
          <w:tcPr>
            <w:tcW w:w="4837" w:type="dxa"/>
            <w:vAlign w:val="center"/>
          </w:tcPr>
          <w:p w14:paraId="4CF8210F" w14:textId="0D853255" w:rsidR="004756BA" w:rsidRPr="00042234" w:rsidRDefault="004756BA" w:rsidP="00042234">
            <w:pPr>
              <w:keepNext/>
              <w:spacing w:after="0" w:line="240" w:lineRule="auto"/>
              <w:rPr>
                <w:rFonts w:asciiTheme="minorHAnsi" w:hAnsiTheme="minorHAnsi" w:cstheme="minorHAnsi"/>
                <w:sz w:val="20"/>
                <w:szCs w:val="20"/>
              </w:rPr>
            </w:pPr>
            <w:r w:rsidRPr="00042234">
              <w:rPr>
                <w:rFonts w:asciiTheme="minorHAnsi" w:hAnsiTheme="minorHAnsi" w:cstheme="minorHAnsi"/>
                <w:sz w:val="20"/>
                <w:szCs w:val="20"/>
              </w:rPr>
              <w:t>Compact Fluorescent, Downstream &amp; Direct Install</w:t>
            </w:r>
          </w:p>
        </w:tc>
        <w:tc>
          <w:tcPr>
            <w:tcW w:w="658" w:type="dxa"/>
            <w:vAlign w:val="center"/>
          </w:tcPr>
          <w:p w14:paraId="6619293E" w14:textId="49E8ACF0" w:rsidR="004756BA" w:rsidRPr="00042234" w:rsidRDefault="004756BA" w:rsidP="00042234">
            <w:pPr>
              <w:keepNext/>
              <w:spacing w:after="0" w:line="240" w:lineRule="auto"/>
              <w:jc w:val="center"/>
              <w:rPr>
                <w:rFonts w:asciiTheme="minorHAnsi" w:hAnsiTheme="minorHAnsi" w:cstheme="minorHAnsi"/>
                <w:sz w:val="20"/>
                <w:szCs w:val="20"/>
              </w:rPr>
            </w:pPr>
            <w:r w:rsidRPr="00042234">
              <w:rPr>
                <w:rFonts w:asciiTheme="minorHAnsi" w:hAnsiTheme="minorHAnsi" w:cstheme="minorHAnsi"/>
                <w:sz w:val="20"/>
                <w:szCs w:val="20"/>
              </w:rPr>
              <w:t>CFL</w:t>
            </w:r>
          </w:p>
        </w:tc>
        <w:tc>
          <w:tcPr>
            <w:tcW w:w="1278" w:type="dxa"/>
            <w:vAlign w:val="center"/>
          </w:tcPr>
          <w:p w14:paraId="6E5025D5" w14:textId="7E3F46A7" w:rsidR="004756BA" w:rsidRPr="00042234" w:rsidRDefault="004756BA" w:rsidP="00042234">
            <w:pPr>
              <w:keepNext/>
              <w:spacing w:after="0" w:line="240" w:lineRule="auto"/>
              <w:jc w:val="right"/>
              <w:rPr>
                <w:rFonts w:asciiTheme="minorHAnsi" w:hAnsiTheme="minorHAnsi" w:cstheme="minorHAnsi"/>
                <w:sz w:val="20"/>
                <w:szCs w:val="20"/>
              </w:rPr>
            </w:pPr>
            <w:r w:rsidRPr="00042234">
              <w:rPr>
                <w:rFonts w:asciiTheme="minorHAnsi" w:hAnsiTheme="minorHAnsi" w:cstheme="minorHAnsi"/>
                <w:sz w:val="20"/>
                <w:szCs w:val="20"/>
              </w:rPr>
              <w:t>1/4/2016</w:t>
            </w:r>
          </w:p>
        </w:tc>
      </w:tr>
      <w:tr w:rsidR="00E34056" w:rsidRPr="00042234" w14:paraId="080C0F95" w14:textId="77777777" w:rsidTr="001D79A7">
        <w:trPr>
          <w:jc w:val="center"/>
        </w:trPr>
        <w:tc>
          <w:tcPr>
            <w:tcW w:w="1947" w:type="dxa"/>
            <w:tcBorders>
              <w:bottom w:val="single" w:sz="4" w:space="0" w:color="auto"/>
            </w:tcBorders>
            <w:vAlign w:val="center"/>
          </w:tcPr>
          <w:p w14:paraId="2C1FF373" w14:textId="77777777" w:rsidR="00E34056" w:rsidRPr="00042234" w:rsidRDefault="00E34056" w:rsidP="00042234">
            <w:pPr>
              <w:keepNext/>
              <w:spacing w:after="0"/>
              <w:rPr>
                <w:rFonts w:asciiTheme="minorHAnsi" w:hAnsiTheme="minorHAnsi" w:cstheme="minorHAnsi"/>
                <w:color w:val="000000"/>
                <w:sz w:val="20"/>
                <w:szCs w:val="20"/>
              </w:rPr>
            </w:pPr>
            <w:r w:rsidRPr="00042234">
              <w:rPr>
                <w:rFonts w:asciiTheme="minorHAnsi" w:hAnsiTheme="minorHAnsi" w:cstheme="minorHAnsi"/>
                <w:color w:val="000000"/>
                <w:sz w:val="20"/>
                <w:szCs w:val="20"/>
              </w:rPr>
              <w:t>PGECOLTG177</w:t>
            </w:r>
          </w:p>
        </w:tc>
        <w:tc>
          <w:tcPr>
            <w:tcW w:w="538" w:type="dxa"/>
            <w:vAlign w:val="center"/>
          </w:tcPr>
          <w:p w14:paraId="60CB4683" w14:textId="77777777" w:rsidR="00E34056" w:rsidRPr="00042234" w:rsidRDefault="00E34056" w:rsidP="004756BA">
            <w:pPr>
              <w:keepNext/>
              <w:spacing w:after="0" w:line="240" w:lineRule="auto"/>
              <w:jc w:val="center"/>
              <w:rPr>
                <w:rFonts w:asciiTheme="minorHAnsi" w:hAnsiTheme="minorHAnsi" w:cstheme="minorHAnsi"/>
                <w:sz w:val="20"/>
                <w:szCs w:val="20"/>
              </w:rPr>
            </w:pPr>
            <w:r w:rsidRPr="00042234">
              <w:rPr>
                <w:rFonts w:asciiTheme="minorHAnsi" w:hAnsiTheme="minorHAnsi" w:cstheme="minorHAnsi"/>
                <w:sz w:val="20"/>
                <w:szCs w:val="20"/>
              </w:rPr>
              <w:t>3</w:t>
            </w:r>
          </w:p>
        </w:tc>
        <w:tc>
          <w:tcPr>
            <w:tcW w:w="4837" w:type="dxa"/>
            <w:vAlign w:val="center"/>
          </w:tcPr>
          <w:p w14:paraId="715CF138" w14:textId="77777777" w:rsidR="00E34056" w:rsidRPr="00042234" w:rsidRDefault="00E34056" w:rsidP="00042234">
            <w:pPr>
              <w:keepNext/>
              <w:spacing w:after="0" w:line="240" w:lineRule="auto"/>
              <w:rPr>
                <w:rFonts w:asciiTheme="minorHAnsi" w:hAnsiTheme="minorHAnsi" w:cstheme="minorHAnsi"/>
                <w:sz w:val="20"/>
                <w:szCs w:val="20"/>
              </w:rPr>
            </w:pPr>
            <w:r w:rsidRPr="00042234">
              <w:rPr>
                <w:rFonts w:asciiTheme="minorHAnsi" w:hAnsiTheme="minorHAnsi" w:cstheme="minorHAnsi"/>
                <w:sz w:val="20"/>
                <w:szCs w:val="20"/>
              </w:rPr>
              <w:t>LED BR/R Lamps</w:t>
            </w:r>
          </w:p>
        </w:tc>
        <w:tc>
          <w:tcPr>
            <w:tcW w:w="658" w:type="dxa"/>
            <w:vAlign w:val="center"/>
          </w:tcPr>
          <w:p w14:paraId="159EE530" w14:textId="77777777" w:rsidR="00E34056" w:rsidRPr="00042234" w:rsidRDefault="00E34056" w:rsidP="00042234">
            <w:pPr>
              <w:keepNext/>
              <w:spacing w:after="0" w:line="240" w:lineRule="auto"/>
              <w:jc w:val="center"/>
              <w:rPr>
                <w:rFonts w:asciiTheme="minorHAnsi" w:hAnsiTheme="minorHAnsi" w:cstheme="minorHAnsi"/>
                <w:sz w:val="20"/>
                <w:szCs w:val="20"/>
              </w:rPr>
            </w:pPr>
            <w:r w:rsidRPr="00042234">
              <w:rPr>
                <w:rFonts w:asciiTheme="minorHAnsi" w:hAnsiTheme="minorHAnsi" w:cstheme="minorHAnsi"/>
                <w:sz w:val="20"/>
                <w:szCs w:val="20"/>
              </w:rPr>
              <w:t>LED</w:t>
            </w:r>
          </w:p>
        </w:tc>
        <w:tc>
          <w:tcPr>
            <w:tcW w:w="1278" w:type="dxa"/>
            <w:vAlign w:val="center"/>
          </w:tcPr>
          <w:p w14:paraId="0BCB0F06" w14:textId="77777777" w:rsidR="00E34056" w:rsidRPr="00042234" w:rsidRDefault="00E34056" w:rsidP="00042234">
            <w:pPr>
              <w:keepNext/>
              <w:spacing w:after="0" w:line="240" w:lineRule="auto"/>
              <w:jc w:val="right"/>
              <w:rPr>
                <w:rFonts w:asciiTheme="minorHAnsi" w:hAnsiTheme="minorHAnsi" w:cstheme="minorHAnsi"/>
                <w:sz w:val="20"/>
                <w:szCs w:val="20"/>
              </w:rPr>
            </w:pPr>
            <w:r w:rsidRPr="00042234">
              <w:rPr>
                <w:rFonts w:asciiTheme="minorHAnsi" w:hAnsiTheme="minorHAnsi" w:cstheme="minorHAnsi"/>
                <w:sz w:val="20"/>
                <w:szCs w:val="20"/>
              </w:rPr>
              <w:t>1/4/2016</w:t>
            </w:r>
          </w:p>
        </w:tc>
      </w:tr>
      <w:tr w:rsidR="00E34056" w:rsidRPr="00042234" w14:paraId="72BA0AAC" w14:textId="77777777" w:rsidTr="001D79A7">
        <w:trPr>
          <w:jc w:val="center"/>
        </w:trPr>
        <w:tc>
          <w:tcPr>
            <w:tcW w:w="1947" w:type="dxa"/>
            <w:tcBorders>
              <w:right w:val="nil"/>
            </w:tcBorders>
            <w:shd w:val="pct25" w:color="auto" w:fill="auto"/>
          </w:tcPr>
          <w:p w14:paraId="51BE75A9" w14:textId="77777777" w:rsidR="00E34056" w:rsidRPr="00042234" w:rsidRDefault="00E34056" w:rsidP="004756BA">
            <w:pPr>
              <w:keepNext/>
              <w:spacing w:after="0" w:line="240" w:lineRule="auto"/>
              <w:rPr>
                <w:rFonts w:asciiTheme="minorHAnsi" w:hAnsiTheme="minorHAnsi" w:cstheme="minorHAnsi"/>
                <w:b/>
                <w:sz w:val="20"/>
                <w:szCs w:val="20"/>
              </w:rPr>
            </w:pPr>
            <w:r w:rsidRPr="00042234">
              <w:rPr>
                <w:rFonts w:asciiTheme="minorHAnsi" w:hAnsiTheme="minorHAnsi" w:cstheme="minorHAnsi"/>
                <w:b/>
                <w:sz w:val="20"/>
                <w:szCs w:val="20"/>
              </w:rPr>
              <w:t>SCE</w:t>
            </w:r>
          </w:p>
        </w:tc>
        <w:tc>
          <w:tcPr>
            <w:tcW w:w="538" w:type="dxa"/>
            <w:tcBorders>
              <w:left w:val="nil"/>
              <w:right w:val="nil"/>
            </w:tcBorders>
            <w:shd w:val="pct25" w:color="auto" w:fill="auto"/>
            <w:vAlign w:val="center"/>
          </w:tcPr>
          <w:p w14:paraId="12B4A685" w14:textId="77777777" w:rsidR="00E34056" w:rsidRPr="00042234" w:rsidRDefault="00E34056" w:rsidP="00042234">
            <w:pPr>
              <w:keepNext/>
              <w:spacing w:after="0" w:line="240" w:lineRule="auto"/>
              <w:jc w:val="center"/>
              <w:rPr>
                <w:rFonts w:asciiTheme="minorHAnsi" w:hAnsiTheme="minorHAnsi" w:cstheme="minorHAnsi"/>
                <w:sz w:val="20"/>
                <w:szCs w:val="20"/>
              </w:rPr>
            </w:pPr>
          </w:p>
        </w:tc>
        <w:tc>
          <w:tcPr>
            <w:tcW w:w="4837" w:type="dxa"/>
            <w:tcBorders>
              <w:left w:val="nil"/>
              <w:right w:val="nil"/>
            </w:tcBorders>
            <w:shd w:val="pct25" w:color="auto" w:fill="auto"/>
            <w:vAlign w:val="center"/>
          </w:tcPr>
          <w:p w14:paraId="3764F2CA" w14:textId="77777777" w:rsidR="00E34056" w:rsidRPr="00042234" w:rsidRDefault="00E34056" w:rsidP="00042234">
            <w:pPr>
              <w:keepNext/>
              <w:spacing w:after="0" w:line="240" w:lineRule="auto"/>
              <w:rPr>
                <w:rFonts w:asciiTheme="minorHAnsi" w:hAnsiTheme="minorHAnsi" w:cstheme="minorHAnsi"/>
                <w:sz w:val="20"/>
                <w:szCs w:val="20"/>
              </w:rPr>
            </w:pPr>
          </w:p>
        </w:tc>
        <w:tc>
          <w:tcPr>
            <w:tcW w:w="658" w:type="dxa"/>
            <w:tcBorders>
              <w:left w:val="nil"/>
              <w:right w:val="nil"/>
            </w:tcBorders>
            <w:shd w:val="pct25" w:color="auto" w:fill="auto"/>
            <w:vAlign w:val="center"/>
          </w:tcPr>
          <w:p w14:paraId="36C30B3F" w14:textId="77777777" w:rsidR="00E34056" w:rsidRPr="00042234" w:rsidRDefault="00E34056" w:rsidP="00042234">
            <w:pPr>
              <w:keepNext/>
              <w:spacing w:after="0" w:line="240" w:lineRule="auto"/>
              <w:jc w:val="center"/>
              <w:rPr>
                <w:rFonts w:asciiTheme="minorHAnsi" w:hAnsiTheme="minorHAnsi" w:cstheme="minorHAnsi"/>
                <w:sz w:val="20"/>
                <w:szCs w:val="20"/>
              </w:rPr>
            </w:pPr>
          </w:p>
        </w:tc>
        <w:tc>
          <w:tcPr>
            <w:tcW w:w="1278" w:type="dxa"/>
            <w:tcBorders>
              <w:left w:val="nil"/>
            </w:tcBorders>
            <w:shd w:val="pct25" w:color="auto" w:fill="auto"/>
            <w:vAlign w:val="center"/>
          </w:tcPr>
          <w:p w14:paraId="73933DE2" w14:textId="77777777" w:rsidR="00E34056" w:rsidRPr="00042234" w:rsidRDefault="00E34056" w:rsidP="00042234">
            <w:pPr>
              <w:keepNext/>
              <w:spacing w:after="0" w:line="240" w:lineRule="auto"/>
              <w:jc w:val="right"/>
              <w:rPr>
                <w:rFonts w:asciiTheme="minorHAnsi" w:hAnsiTheme="minorHAnsi" w:cstheme="minorHAnsi"/>
                <w:sz w:val="20"/>
                <w:szCs w:val="20"/>
              </w:rPr>
            </w:pPr>
          </w:p>
        </w:tc>
      </w:tr>
      <w:tr w:rsidR="00E34056" w:rsidRPr="00042234" w14:paraId="22B9BD2F" w14:textId="77777777" w:rsidTr="001D79A7">
        <w:trPr>
          <w:jc w:val="center"/>
        </w:trPr>
        <w:tc>
          <w:tcPr>
            <w:tcW w:w="1947" w:type="dxa"/>
            <w:vAlign w:val="center"/>
          </w:tcPr>
          <w:p w14:paraId="66386730" w14:textId="77777777" w:rsidR="00E34056" w:rsidRPr="00042234" w:rsidRDefault="00E34056" w:rsidP="00876765">
            <w:pPr>
              <w:spacing w:after="0"/>
              <w:rPr>
                <w:rFonts w:asciiTheme="minorHAnsi" w:hAnsiTheme="minorHAnsi" w:cstheme="minorHAnsi"/>
                <w:color w:val="000000"/>
                <w:sz w:val="20"/>
                <w:szCs w:val="20"/>
              </w:rPr>
            </w:pPr>
            <w:r w:rsidRPr="00042234">
              <w:rPr>
                <w:rFonts w:asciiTheme="minorHAnsi" w:hAnsiTheme="minorHAnsi" w:cstheme="minorHAnsi"/>
                <w:color w:val="000000"/>
                <w:sz w:val="20"/>
                <w:szCs w:val="20"/>
              </w:rPr>
              <w:t>SCE13LG109</w:t>
            </w:r>
          </w:p>
        </w:tc>
        <w:tc>
          <w:tcPr>
            <w:tcW w:w="538" w:type="dxa"/>
            <w:vAlign w:val="center"/>
          </w:tcPr>
          <w:p w14:paraId="1CDB7C46" w14:textId="77777777" w:rsidR="00E34056" w:rsidRPr="00042234" w:rsidRDefault="00E34056" w:rsidP="00876765">
            <w:pPr>
              <w:keepNext/>
              <w:spacing w:after="0" w:line="240" w:lineRule="auto"/>
              <w:jc w:val="center"/>
              <w:rPr>
                <w:rFonts w:asciiTheme="minorHAnsi" w:hAnsiTheme="minorHAnsi" w:cstheme="minorHAnsi"/>
                <w:sz w:val="20"/>
                <w:szCs w:val="20"/>
              </w:rPr>
            </w:pPr>
            <w:r w:rsidRPr="00042234">
              <w:rPr>
                <w:rFonts w:asciiTheme="minorHAnsi" w:hAnsiTheme="minorHAnsi" w:cstheme="minorHAnsi"/>
                <w:sz w:val="20"/>
                <w:szCs w:val="20"/>
              </w:rPr>
              <w:t>1</w:t>
            </w:r>
          </w:p>
        </w:tc>
        <w:tc>
          <w:tcPr>
            <w:tcW w:w="4837" w:type="dxa"/>
            <w:vAlign w:val="center"/>
          </w:tcPr>
          <w:p w14:paraId="2B3B491F" w14:textId="77777777" w:rsidR="00E34056" w:rsidRPr="00042234" w:rsidRDefault="00E34056" w:rsidP="00876765">
            <w:pPr>
              <w:keepNext/>
              <w:spacing w:after="0" w:line="240" w:lineRule="auto"/>
              <w:rPr>
                <w:rFonts w:asciiTheme="minorHAnsi" w:hAnsiTheme="minorHAnsi" w:cstheme="minorHAnsi"/>
                <w:sz w:val="20"/>
                <w:szCs w:val="20"/>
              </w:rPr>
            </w:pPr>
            <w:r w:rsidRPr="00042234">
              <w:rPr>
                <w:rFonts w:asciiTheme="minorHAnsi" w:hAnsiTheme="minorHAnsi" w:cstheme="minorHAnsi"/>
                <w:sz w:val="20"/>
                <w:szCs w:val="20"/>
              </w:rPr>
              <w:t>Exterior LED Lamp Replacement</w:t>
            </w:r>
          </w:p>
        </w:tc>
        <w:tc>
          <w:tcPr>
            <w:tcW w:w="658" w:type="dxa"/>
            <w:vAlign w:val="center"/>
          </w:tcPr>
          <w:p w14:paraId="1C70ECE0" w14:textId="77777777" w:rsidR="00E34056" w:rsidRPr="00042234" w:rsidRDefault="00E34056" w:rsidP="00876765">
            <w:pPr>
              <w:keepNext/>
              <w:spacing w:after="0" w:line="240" w:lineRule="auto"/>
              <w:jc w:val="center"/>
              <w:rPr>
                <w:rFonts w:asciiTheme="minorHAnsi" w:hAnsiTheme="minorHAnsi" w:cstheme="minorHAnsi"/>
                <w:sz w:val="20"/>
                <w:szCs w:val="20"/>
              </w:rPr>
            </w:pPr>
            <w:r w:rsidRPr="00042234">
              <w:rPr>
                <w:rFonts w:asciiTheme="minorHAnsi" w:hAnsiTheme="minorHAnsi" w:cstheme="minorHAnsi"/>
                <w:sz w:val="20"/>
                <w:szCs w:val="20"/>
              </w:rPr>
              <w:t>LED</w:t>
            </w:r>
          </w:p>
        </w:tc>
        <w:tc>
          <w:tcPr>
            <w:tcW w:w="1278" w:type="dxa"/>
            <w:vAlign w:val="center"/>
          </w:tcPr>
          <w:p w14:paraId="333C1336" w14:textId="77777777" w:rsidR="00E34056" w:rsidRPr="00042234" w:rsidRDefault="00E34056" w:rsidP="00876765">
            <w:pPr>
              <w:keepNext/>
              <w:spacing w:after="0" w:line="240" w:lineRule="auto"/>
              <w:jc w:val="right"/>
              <w:rPr>
                <w:rFonts w:asciiTheme="minorHAnsi" w:hAnsiTheme="minorHAnsi" w:cstheme="minorHAnsi"/>
                <w:sz w:val="20"/>
                <w:szCs w:val="20"/>
              </w:rPr>
            </w:pPr>
            <w:r w:rsidRPr="00042234">
              <w:rPr>
                <w:rFonts w:asciiTheme="minorHAnsi" w:hAnsiTheme="minorHAnsi" w:cstheme="minorHAnsi"/>
                <w:sz w:val="20"/>
                <w:szCs w:val="20"/>
              </w:rPr>
              <w:t>12/21/2015</w:t>
            </w:r>
          </w:p>
        </w:tc>
      </w:tr>
    </w:tbl>
    <w:p w14:paraId="4A9B8140" w14:textId="77777777" w:rsidR="00804FD0" w:rsidRDefault="008D710B" w:rsidP="008D710B">
      <w:pPr>
        <w:pStyle w:val="Heading1"/>
      </w:pPr>
      <w:bookmarkStart w:id="4" w:name="_Ref482603976"/>
      <w:bookmarkStart w:id="5" w:name="_Toc482685842"/>
      <w:r>
        <w:t>Revisions for LED A-Lamps</w:t>
      </w:r>
      <w:bookmarkEnd w:id="4"/>
      <w:bookmarkEnd w:id="5"/>
    </w:p>
    <w:p w14:paraId="4ABA5189" w14:textId="2058F230" w:rsidR="00804FD0" w:rsidRDefault="0060415A" w:rsidP="00976A62">
      <w:pPr>
        <w:pStyle w:val="Body1"/>
      </w:pPr>
      <w:r>
        <w:t xml:space="preserve">The </w:t>
      </w:r>
      <w:r w:rsidR="00804FD0">
        <w:t>PAs had the following concerns related to the original Phase 1 disposition:</w:t>
      </w:r>
    </w:p>
    <w:p w14:paraId="68D6D413" w14:textId="599181E6" w:rsidR="00804FD0" w:rsidRDefault="00804FD0" w:rsidP="008D710B">
      <w:pPr>
        <w:pStyle w:val="Body1"/>
        <w:numPr>
          <w:ilvl w:val="0"/>
          <w:numId w:val="42"/>
        </w:numPr>
      </w:pPr>
      <w:r>
        <w:t xml:space="preserve">PAs noted that, for </w:t>
      </w:r>
      <w:r w:rsidR="002F6F30">
        <w:t xml:space="preserve">upstream </w:t>
      </w:r>
      <w:r>
        <w:t>programs, they follow the CEC’s voluntary LED lamp specification</w:t>
      </w:r>
      <w:r>
        <w:rPr>
          <w:rStyle w:val="FootnoteReference"/>
        </w:rPr>
        <w:footnoteReference w:id="3"/>
      </w:r>
      <w:r>
        <w:t xml:space="preserve"> and that this specification includes minimum color rendering index requirements. </w:t>
      </w:r>
      <w:r w:rsidR="00D94F2A">
        <w:t xml:space="preserve">In the analysis performed to develop the March 1 disposition, </w:t>
      </w:r>
      <w:r>
        <w:t xml:space="preserve">Commission staff did not </w:t>
      </w:r>
      <w:r w:rsidR="007568BF">
        <w:t xml:space="preserve">separately consider </w:t>
      </w:r>
      <w:r>
        <w:t xml:space="preserve">the </w:t>
      </w:r>
      <w:r w:rsidR="007568BF">
        <w:t xml:space="preserve">products on the </w:t>
      </w:r>
      <w:r>
        <w:t xml:space="preserve">EnergyStar qualified products list </w:t>
      </w:r>
      <w:r w:rsidR="008D710B">
        <w:t xml:space="preserve">(QPL) </w:t>
      </w:r>
      <w:r w:rsidR="00D94F2A">
        <w:t>that met the CEC voluntary specification</w:t>
      </w:r>
      <w:r w:rsidR="00BC03C9">
        <w:t>s</w:t>
      </w:r>
      <w:r w:rsidR="007568BF">
        <w:t xml:space="preserve"> versus those that do not meet those specification</w:t>
      </w:r>
      <w:r w:rsidR="00BC03C9">
        <w:t>s</w:t>
      </w:r>
      <w:r w:rsidR="00D94F2A">
        <w:t xml:space="preserve">. This </w:t>
      </w:r>
      <w:r w:rsidR="007568BF">
        <w:t xml:space="preserve">oversight </w:t>
      </w:r>
      <w:r w:rsidR="00D94F2A">
        <w:t xml:space="preserve">resulted in </w:t>
      </w:r>
      <w:r w:rsidR="007568BF">
        <w:t xml:space="preserve">an </w:t>
      </w:r>
      <w:r w:rsidR="002F6F30">
        <w:t>incorrect</w:t>
      </w:r>
      <w:r w:rsidR="007568BF">
        <w:t xml:space="preserve"> assumption that </w:t>
      </w:r>
      <w:r w:rsidR="00D94F2A">
        <w:t>a large number of lamps</w:t>
      </w:r>
      <w:r w:rsidR="007568BF">
        <w:t xml:space="preserve"> would be eligible for inclusion in PA </w:t>
      </w:r>
      <w:r w:rsidR="007568BF">
        <w:lastRenderedPageBreak/>
        <w:t>programs</w:t>
      </w:r>
      <w:r w:rsidR="008D710B">
        <w:t>, even when minimum efficacy requirements of 90 lumens per watt (LPW) were applied. When the QPL is filtered to include only those lamps that meet the CEC specification, the number of eligible lamps is reduced and, for some EISA bins, there are</w:t>
      </w:r>
      <w:r w:rsidR="004F2FD1">
        <w:t xml:space="preserve"> either</w:t>
      </w:r>
      <w:r w:rsidR="008D710B">
        <w:t xml:space="preserve"> few or no lamps that meet </w:t>
      </w:r>
      <w:r w:rsidR="004F2FD1">
        <w:t xml:space="preserve">a </w:t>
      </w:r>
      <w:r w:rsidR="008D710B">
        <w:t>90 LPW minimum</w:t>
      </w:r>
      <w:r w:rsidR="004F2FD1">
        <w:t xml:space="preserve"> requirement</w:t>
      </w:r>
      <w:r w:rsidR="008D710B">
        <w:t>.</w:t>
      </w:r>
    </w:p>
    <w:p w14:paraId="1492DEE8" w14:textId="61310AFE" w:rsidR="008D710B" w:rsidRDefault="008D710B" w:rsidP="008D710B">
      <w:pPr>
        <w:pStyle w:val="Body1"/>
        <w:numPr>
          <w:ilvl w:val="0"/>
          <w:numId w:val="42"/>
        </w:numPr>
      </w:pPr>
      <w:r>
        <w:t xml:space="preserve">The Phase 1 disposition included measure definitions that established </w:t>
      </w:r>
      <w:r w:rsidR="004F2FD1">
        <w:t xml:space="preserve">varying </w:t>
      </w:r>
      <w:r>
        <w:t xml:space="preserve">savings values by three </w:t>
      </w:r>
      <w:r w:rsidR="004F2FD1">
        <w:t>parameters</w:t>
      </w:r>
      <w:r w:rsidR="002F6F30">
        <w:t>:</w:t>
      </w:r>
      <w:r>
        <w:t xml:space="preserve"> EISA wattage bin (40, 60, 75 or 100 watt); efficacy; and, lamp wattage. </w:t>
      </w:r>
      <w:r w:rsidR="004F2FD1">
        <w:t xml:space="preserve">The </w:t>
      </w:r>
      <w:r>
        <w:t xml:space="preserve">PAs </w:t>
      </w:r>
      <w:r w:rsidR="004F2FD1">
        <w:t xml:space="preserve">explained </w:t>
      </w:r>
      <w:r>
        <w:t xml:space="preserve">that this would greatly increase the number </w:t>
      </w:r>
      <w:r w:rsidR="002F6F30">
        <w:t xml:space="preserve">of </w:t>
      </w:r>
      <w:r w:rsidR="004F2FD1">
        <w:t xml:space="preserve">“codes” required to differentiate all </w:t>
      </w:r>
      <w:r>
        <w:t xml:space="preserve">measures </w:t>
      </w:r>
      <w:r w:rsidR="004F2FD1">
        <w:t xml:space="preserve">planned to be </w:t>
      </w:r>
      <w:r>
        <w:t xml:space="preserve">offered </w:t>
      </w:r>
      <w:r w:rsidR="004F2FD1">
        <w:t>by the program</w:t>
      </w:r>
      <w:r>
        <w:t>. PG&amp;E</w:t>
      </w:r>
      <w:r w:rsidR="006A2D79">
        <w:t xml:space="preserve"> provided additional analysis suggest</w:t>
      </w:r>
      <w:r w:rsidR="004F2FD1">
        <w:t xml:space="preserve">ing </w:t>
      </w:r>
      <w:r>
        <w:t xml:space="preserve">that the </w:t>
      </w:r>
      <w:r w:rsidR="004F2FD1">
        <w:t>inaccuracy of the</w:t>
      </w:r>
      <w:r>
        <w:t xml:space="preserve"> savings </w:t>
      </w:r>
      <w:r w:rsidR="004F2FD1">
        <w:t xml:space="preserve">values </w:t>
      </w:r>
      <w:r w:rsidR="007571A3">
        <w:t>would be small if measure definitions were based on</w:t>
      </w:r>
      <w:r w:rsidR="004F2FD1">
        <w:t>ly</w:t>
      </w:r>
      <w:r w:rsidR="007571A3">
        <w:t xml:space="preserve"> EISA bin and efficacy, </w:t>
      </w:r>
      <w:r w:rsidR="004F2FD1">
        <w:t>excluding the</w:t>
      </w:r>
      <w:r w:rsidR="007571A3">
        <w:t xml:space="preserve"> lamp wattage</w:t>
      </w:r>
      <w:r w:rsidR="004F2FD1">
        <w:t xml:space="preserve"> parameter</w:t>
      </w:r>
      <w:r w:rsidR="007571A3">
        <w:t>.</w:t>
      </w:r>
    </w:p>
    <w:p w14:paraId="617E2360" w14:textId="7987E5D4" w:rsidR="00F119C2" w:rsidRPr="00804FD0" w:rsidRDefault="00F119C2" w:rsidP="008D710B">
      <w:pPr>
        <w:pStyle w:val="Body1"/>
        <w:numPr>
          <w:ilvl w:val="0"/>
          <w:numId w:val="42"/>
        </w:numPr>
      </w:pPr>
      <w:r>
        <w:t xml:space="preserve">PG&amp;E </w:t>
      </w:r>
      <w:r w:rsidR="004F2FD1">
        <w:t>also expressed the opinion</w:t>
      </w:r>
      <w:r>
        <w:t xml:space="preserve"> that </w:t>
      </w:r>
      <w:r w:rsidR="004F2FD1">
        <w:t xml:space="preserve">using an </w:t>
      </w:r>
      <w:r>
        <w:t>80% fraction of CFLs in the gross baseline was too high, especially for lamps meeting the CEC specification.</w:t>
      </w:r>
      <w:r w:rsidR="00402AF2">
        <w:t xml:space="preserve"> </w:t>
      </w:r>
      <w:r w:rsidR="00181000">
        <w:t xml:space="preserve">It was </w:t>
      </w:r>
      <w:r w:rsidR="00402AF2">
        <w:t xml:space="preserve">PG&amp;E </w:t>
      </w:r>
      <w:r w:rsidR="00181000">
        <w:t xml:space="preserve">staff’s opinion </w:t>
      </w:r>
      <w:r w:rsidR="00402AF2">
        <w:t xml:space="preserve">that lamps meeting the CEC specification </w:t>
      </w:r>
      <w:r w:rsidR="00181000">
        <w:t xml:space="preserve">may be </w:t>
      </w:r>
      <w:r w:rsidR="00402AF2">
        <w:t>more likely to be installed into sockets where there were</w:t>
      </w:r>
      <w:r w:rsidR="00D31E2C">
        <w:t xml:space="preserve"> typically incandescent lamps</w:t>
      </w:r>
      <w:r w:rsidR="00181000">
        <w:t>, although they could not offer evidence to support this possibility</w:t>
      </w:r>
      <w:r w:rsidR="00D31E2C">
        <w:t xml:space="preserve">. </w:t>
      </w:r>
    </w:p>
    <w:p w14:paraId="3F200373" w14:textId="42E1CEBA" w:rsidR="00F11C2D" w:rsidRDefault="00167F74" w:rsidP="00976A62">
      <w:pPr>
        <w:pStyle w:val="Body1"/>
      </w:pPr>
      <w:r>
        <w:t>Commission staff has revised the Phase 1 disposition for LED A-lamps as follows:</w:t>
      </w:r>
    </w:p>
    <w:p w14:paraId="76616CA9" w14:textId="2CAFFC6D" w:rsidR="007571A3" w:rsidRDefault="00976A62" w:rsidP="0088383D">
      <w:pPr>
        <w:pStyle w:val="Heading2"/>
      </w:pPr>
      <w:bookmarkStart w:id="6" w:name="_Toc482685843"/>
      <w:r>
        <w:t xml:space="preserve">Program Minimum </w:t>
      </w:r>
      <w:r w:rsidR="007571A3">
        <w:t>Efficacy Requirements</w:t>
      </w:r>
      <w:bookmarkEnd w:id="6"/>
    </w:p>
    <w:p w14:paraId="09F95696" w14:textId="443A5358" w:rsidR="00583FC8" w:rsidRDefault="00583FC8" w:rsidP="0088383D">
      <w:pPr>
        <w:pStyle w:val="Body2"/>
        <w:numPr>
          <w:ilvl w:val="0"/>
          <w:numId w:val="49"/>
        </w:numPr>
      </w:pPr>
      <w:r w:rsidRPr="0088383D">
        <w:rPr>
          <w:b/>
        </w:rPr>
        <w:t>Effective 7/1/2017</w:t>
      </w:r>
      <w:r>
        <w:t xml:space="preserve">, the </w:t>
      </w:r>
      <w:r w:rsidR="00575594">
        <w:t>CPUC will adopt the T20 1/1/2018 efficacy relationship for 2017</w:t>
      </w:r>
      <w:r>
        <w:t xml:space="preserve"> as minimum efficacy requirement for incentive payment.</w:t>
      </w:r>
    </w:p>
    <w:p w14:paraId="52650D4F" w14:textId="4ADD0C02" w:rsidR="00583FC8" w:rsidRDefault="00583FC8" w:rsidP="0088383D">
      <w:pPr>
        <w:pStyle w:val="Body2"/>
        <w:numPr>
          <w:ilvl w:val="0"/>
          <w:numId w:val="49"/>
        </w:numPr>
      </w:pPr>
      <w:r w:rsidRPr="0088383D">
        <w:rPr>
          <w:b/>
        </w:rPr>
        <w:t>Effective 1/1/2018</w:t>
      </w:r>
      <w:r>
        <w:t>, the CPUC will adopt the</w:t>
      </w:r>
      <w:r w:rsidR="00575594">
        <w:t xml:space="preserve"> T20 2019 efficacy relationship for 2018</w:t>
      </w:r>
      <w:r>
        <w:t xml:space="preserve"> as minimum efficacy requirement for incentive payment</w:t>
      </w:r>
      <w:r w:rsidR="00D17195">
        <w:t>.</w:t>
      </w:r>
    </w:p>
    <w:p w14:paraId="34FE62C7" w14:textId="409A375D" w:rsidR="00583FC8" w:rsidRDefault="00583FC8" w:rsidP="0088383D">
      <w:pPr>
        <w:pStyle w:val="Body2"/>
        <w:numPr>
          <w:ilvl w:val="0"/>
          <w:numId w:val="49"/>
        </w:numPr>
      </w:pPr>
      <w:r w:rsidRPr="0088383D">
        <w:rPr>
          <w:b/>
        </w:rPr>
        <w:t>Effective 1/1/2019</w:t>
      </w:r>
      <w:r>
        <w:t xml:space="preserve">, the CPUC will </w:t>
      </w:r>
      <w:proofErr w:type="gramStart"/>
      <w:r>
        <w:t xml:space="preserve">adopt </w:t>
      </w:r>
      <w:r w:rsidR="00575594">
        <w:t xml:space="preserve"> </w:t>
      </w:r>
      <w:r>
        <w:t>for</w:t>
      </w:r>
      <w:proofErr w:type="gramEnd"/>
      <w:r>
        <w:t xml:space="preserve"> 2019 a minimum efficacy requirement for incentive payment based on</w:t>
      </w:r>
      <w:r w:rsidR="00575594">
        <w:t xml:space="preserve"> a linear extrapolation f</w:t>
      </w:r>
      <w:r w:rsidR="00D17195">
        <w:t>rom the T20 2019 relationship.</w:t>
      </w:r>
    </w:p>
    <w:p w14:paraId="332C7C35" w14:textId="642AB2A8" w:rsidR="00876765" w:rsidRPr="00907E7B" w:rsidRDefault="00876765" w:rsidP="0088383D">
      <w:pPr>
        <w:pStyle w:val="Body2"/>
      </w:pPr>
      <w:r>
        <w:fldChar w:fldCharType="begin"/>
      </w:r>
      <w:r>
        <w:instrText xml:space="preserve"> REF _Ref482039481 \h </w:instrText>
      </w:r>
      <w:r>
        <w:fldChar w:fldCharType="separate"/>
      </w:r>
      <w:r w:rsidR="00583FC8" w:rsidRPr="00042234">
        <w:t xml:space="preserve">Table </w:t>
      </w:r>
      <w:r w:rsidR="00583FC8" w:rsidRPr="00042234">
        <w:rPr>
          <w:noProof/>
        </w:rPr>
        <w:t>2</w:t>
      </w:r>
      <w:r>
        <w:fldChar w:fldCharType="end"/>
      </w:r>
      <w:r>
        <w:t xml:space="preserve"> and </w:t>
      </w:r>
      <w:r w:rsidR="00870293">
        <w:fldChar w:fldCharType="begin"/>
      </w:r>
      <w:r w:rsidR="00870293">
        <w:instrText xml:space="preserve"> REF _Ref482039806 \h </w:instrText>
      </w:r>
      <w:r w:rsidR="00870293">
        <w:fldChar w:fldCharType="separate"/>
      </w:r>
      <w:r w:rsidR="00870293" w:rsidRPr="00876765">
        <w:t xml:space="preserve">Figure </w:t>
      </w:r>
      <w:r w:rsidR="00870293" w:rsidRPr="00876765">
        <w:rPr>
          <w:noProof/>
        </w:rPr>
        <w:t>1</w:t>
      </w:r>
      <w:r w:rsidR="00870293">
        <w:fldChar w:fldCharType="end"/>
      </w:r>
      <w:r>
        <w:t xml:space="preserve">  show the relationship between CRI and efficacy.</w:t>
      </w:r>
      <w:r w:rsidR="00583FC8">
        <w:t xml:space="preserve"> </w:t>
      </w:r>
    </w:p>
    <w:p w14:paraId="41CBC0CE" w14:textId="455CB511" w:rsidR="00876765" w:rsidRPr="00907E7B" w:rsidRDefault="00876765" w:rsidP="00042234">
      <w:pPr>
        <w:pStyle w:val="Caption"/>
        <w:keepNext/>
        <w:jc w:val="center"/>
      </w:pPr>
      <w:bookmarkStart w:id="7" w:name="_Ref482039481"/>
      <w:r w:rsidRPr="00042234">
        <w:rPr>
          <w:sz w:val="22"/>
          <w:szCs w:val="22"/>
        </w:rPr>
        <w:lastRenderedPageBreak/>
        <w:t xml:space="preserve">Table </w:t>
      </w:r>
      <w:r w:rsidRPr="00042234">
        <w:rPr>
          <w:sz w:val="22"/>
          <w:szCs w:val="22"/>
        </w:rPr>
        <w:fldChar w:fldCharType="begin"/>
      </w:r>
      <w:r w:rsidRPr="00042234">
        <w:rPr>
          <w:sz w:val="22"/>
          <w:szCs w:val="22"/>
        </w:rPr>
        <w:instrText xml:space="preserve"> SEQ Table \* ARABIC </w:instrText>
      </w:r>
      <w:r w:rsidRPr="00042234">
        <w:rPr>
          <w:sz w:val="22"/>
          <w:szCs w:val="22"/>
        </w:rPr>
        <w:fldChar w:fldCharType="separate"/>
      </w:r>
      <w:r w:rsidR="00583FC8">
        <w:rPr>
          <w:noProof/>
          <w:sz w:val="22"/>
          <w:szCs w:val="22"/>
        </w:rPr>
        <w:t>2</w:t>
      </w:r>
      <w:r w:rsidRPr="00042234">
        <w:rPr>
          <w:sz w:val="22"/>
          <w:szCs w:val="22"/>
        </w:rPr>
        <w:fldChar w:fldCharType="end"/>
      </w:r>
      <w:bookmarkEnd w:id="7"/>
      <w:r>
        <w:rPr>
          <w:sz w:val="22"/>
          <w:szCs w:val="22"/>
        </w:rPr>
        <w:t xml:space="preserve"> - Minimum Efficacy Requirement Relation to CRI</w:t>
      </w:r>
    </w:p>
    <w:tbl>
      <w:tblPr>
        <w:tblW w:w="74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bottom w:w="15" w:type="dxa"/>
        </w:tblCellMar>
        <w:tblLook w:val="04A0" w:firstRow="1" w:lastRow="0" w:firstColumn="1" w:lastColumn="0" w:noHBand="0" w:noVBand="1"/>
      </w:tblPr>
      <w:tblGrid>
        <w:gridCol w:w="760"/>
        <w:gridCol w:w="2147"/>
        <w:gridCol w:w="2205"/>
        <w:gridCol w:w="2325"/>
      </w:tblGrid>
      <w:tr w:rsidR="00683AA5" w:rsidRPr="00042234" w14:paraId="47CF5CA2" w14:textId="77777777" w:rsidTr="00683AA5">
        <w:trPr>
          <w:trHeight w:val="20"/>
          <w:jc w:val="center"/>
        </w:trPr>
        <w:tc>
          <w:tcPr>
            <w:tcW w:w="7437" w:type="dxa"/>
            <w:gridSpan w:val="4"/>
            <w:noWrap/>
            <w:tcMar>
              <w:left w:w="58" w:type="dxa"/>
              <w:right w:w="58" w:type="dxa"/>
            </w:tcMar>
            <w:vAlign w:val="bottom"/>
          </w:tcPr>
          <w:p w14:paraId="50C8F0EC" w14:textId="62001A56" w:rsidR="00683AA5" w:rsidRPr="00042234" w:rsidRDefault="00683AA5" w:rsidP="00683AA5">
            <w:pPr>
              <w:keepNext/>
              <w:spacing w:after="0" w:line="240" w:lineRule="auto"/>
              <w:rPr>
                <w:rFonts w:asciiTheme="minorHAnsi" w:hAnsiTheme="minorHAnsi" w:cstheme="minorHAnsi"/>
                <w:color w:val="000000"/>
                <w:sz w:val="20"/>
                <w:szCs w:val="20"/>
              </w:rPr>
            </w:pPr>
            <w:r>
              <w:rPr>
                <w:rFonts w:asciiTheme="minorHAnsi" w:hAnsiTheme="minorHAnsi" w:cstheme="minorHAnsi"/>
                <w:color w:val="000000"/>
                <w:sz w:val="20"/>
                <w:szCs w:val="20"/>
              </w:rPr>
              <w:t>Minimum CPUC program efficacy (LPW) requirement by CRI effective:</w:t>
            </w:r>
          </w:p>
        </w:tc>
      </w:tr>
      <w:tr w:rsidR="00943B8F" w:rsidRPr="00042234" w14:paraId="2FFC52D6" w14:textId="77777777" w:rsidTr="00683AA5">
        <w:trPr>
          <w:trHeight w:val="20"/>
          <w:jc w:val="center"/>
        </w:trPr>
        <w:tc>
          <w:tcPr>
            <w:tcW w:w="760" w:type="dxa"/>
            <w:noWrap/>
            <w:tcMar>
              <w:left w:w="58" w:type="dxa"/>
              <w:right w:w="58" w:type="dxa"/>
            </w:tcMar>
            <w:vAlign w:val="bottom"/>
          </w:tcPr>
          <w:p w14:paraId="33DC73D6" w14:textId="12261393" w:rsidR="00876765" w:rsidRPr="00042234" w:rsidRDefault="00876765" w:rsidP="00042234">
            <w:pPr>
              <w:keepNext/>
              <w:spacing w:after="0"/>
              <w:jc w:val="center"/>
              <w:rPr>
                <w:rFonts w:asciiTheme="minorHAnsi" w:hAnsiTheme="minorHAnsi" w:cstheme="minorHAnsi"/>
                <w:color w:val="000000"/>
                <w:sz w:val="20"/>
                <w:szCs w:val="20"/>
              </w:rPr>
            </w:pPr>
          </w:p>
        </w:tc>
        <w:tc>
          <w:tcPr>
            <w:tcW w:w="2147" w:type="dxa"/>
            <w:noWrap/>
            <w:tcMar>
              <w:left w:w="58" w:type="dxa"/>
              <w:right w:w="58" w:type="dxa"/>
            </w:tcMar>
            <w:vAlign w:val="bottom"/>
          </w:tcPr>
          <w:p w14:paraId="2B54B954" w14:textId="38FF2D6F" w:rsidR="00876765" w:rsidRPr="00042234" w:rsidRDefault="00683AA5" w:rsidP="00042234">
            <w:pPr>
              <w:keepNext/>
              <w:spacing w:after="0" w:line="240" w:lineRule="auto"/>
              <w:jc w:val="center"/>
              <w:rPr>
                <w:rFonts w:asciiTheme="minorHAnsi" w:hAnsiTheme="minorHAnsi" w:cstheme="minorHAnsi"/>
                <w:color w:val="000000"/>
                <w:sz w:val="20"/>
                <w:szCs w:val="20"/>
              </w:rPr>
            </w:pPr>
            <w:r>
              <w:rPr>
                <w:rFonts w:asciiTheme="minorHAnsi" w:hAnsiTheme="minorHAnsi" w:cstheme="minorHAnsi"/>
                <w:color w:val="000000"/>
                <w:sz w:val="20"/>
                <w:szCs w:val="20"/>
              </w:rPr>
              <w:t>7/1/2017:  The CEC Title 20 Tier 1 requirements effective 1/1/2018</w:t>
            </w:r>
          </w:p>
        </w:tc>
        <w:tc>
          <w:tcPr>
            <w:tcW w:w="2205" w:type="dxa"/>
            <w:noWrap/>
            <w:tcMar>
              <w:left w:w="58" w:type="dxa"/>
              <w:right w:w="58" w:type="dxa"/>
            </w:tcMar>
            <w:vAlign w:val="bottom"/>
          </w:tcPr>
          <w:p w14:paraId="6C568429" w14:textId="307ECD26" w:rsidR="00876765" w:rsidRPr="00042234" w:rsidRDefault="00683AA5" w:rsidP="00042234">
            <w:pPr>
              <w:keepNext/>
              <w:spacing w:after="0" w:line="240" w:lineRule="auto"/>
              <w:jc w:val="center"/>
              <w:rPr>
                <w:rFonts w:asciiTheme="minorHAnsi" w:hAnsiTheme="minorHAnsi" w:cstheme="minorHAnsi"/>
                <w:color w:val="000000"/>
                <w:sz w:val="20"/>
                <w:szCs w:val="20"/>
              </w:rPr>
            </w:pPr>
            <w:r>
              <w:rPr>
                <w:rFonts w:asciiTheme="minorHAnsi" w:hAnsiTheme="minorHAnsi" w:cstheme="minorHAnsi"/>
                <w:color w:val="000000"/>
                <w:sz w:val="20"/>
                <w:szCs w:val="20"/>
              </w:rPr>
              <w:t>1/1/2018: The CEC Title 20 Tier 2 requirements effective 7/1/2019</w:t>
            </w:r>
          </w:p>
        </w:tc>
        <w:tc>
          <w:tcPr>
            <w:tcW w:w="2325" w:type="dxa"/>
            <w:noWrap/>
            <w:tcMar>
              <w:left w:w="58" w:type="dxa"/>
              <w:right w:w="58" w:type="dxa"/>
            </w:tcMar>
            <w:vAlign w:val="bottom"/>
          </w:tcPr>
          <w:p w14:paraId="4E18FF05" w14:textId="0B90EBC5" w:rsidR="00876765" w:rsidRPr="00042234" w:rsidRDefault="00683AA5" w:rsidP="00042234">
            <w:pPr>
              <w:keepNext/>
              <w:spacing w:after="0" w:line="240" w:lineRule="auto"/>
              <w:jc w:val="center"/>
              <w:rPr>
                <w:rFonts w:asciiTheme="minorHAnsi" w:hAnsiTheme="minorHAnsi" w:cstheme="minorHAnsi"/>
                <w:color w:val="000000"/>
                <w:sz w:val="20"/>
                <w:szCs w:val="20"/>
              </w:rPr>
            </w:pPr>
            <w:r>
              <w:rPr>
                <w:rFonts w:asciiTheme="minorHAnsi" w:hAnsiTheme="minorHAnsi" w:cstheme="minorHAnsi"/>
                <w:color w:val="000000"/>
                <w:sz w:val="20"/>
                <w:szCs w:val="20"/>
              </w:rPr>
              <w:t>1/1/2019: CEC Title 20 requirements extrapolated into next increment</w:t>
            </w:r>
          </w:p>
        </w:tc>
      </w:tr>
      <w:tr w:rsidR="00943B8F" w:rsidRPr="00042234" w14:paraId="0D1F42BD" w14:textId="77777777" w:rsidTr="00683AA5">
        <w:trPr>
          <w:trHeight w:val="285"/>
          <w:tblHeader/>
          <w:jc w:val="center"/>
        </w:trPr>
        <w:tc>
          <w:tcPr>
            <w:tcW w:w="760" w:type="dxa"/>
            <w:noWrap/>
            <w:tcMar>
              <w:left w:w="58" w:type="dxa"/>
              <w:right w:w="58" w:type="dxa"/>
            </w:tcMar>
            <w:vAlign w:val="bottom"/>
            <w:hideMark/>
          </w:tcPr>
          <w:p w14:paraId="7E02A46B" w14:textId="77777777" w:rsidR="00876765" w:rsidRPr="00042234" w:rsidRDefault="00876765" w:rsidP="00042234">
            <w:pPr>
              <w:keepNext/>
              <w:spacing w:after="0" w:line="240" w:lineRule="auto"/>
              <w:jc w:val="center"/>
              <w:rPr>
                <w:rFonts w:asciiTheme="minorHAnsi" w:hAnsiTheme="minorHAnsi" w:cstheme="minorHAnsi"/>
                <w:color w:val="000000"/>
                <w:sz w:val="20"/>
                <w:szCs w:val="20"/>
              </w:rPr>
            </w:pPr>
            <w:r w:rsidRPr="00042234">
              <w:rPr>
                <w:rFonts w:asciiTheme="minorHAnsi" w:hAnsiTheme="minorHAnsi" w:cstheme="minorHAnsi"/>
                <w:color w:val="000000"/>
                <w:sz w:val="20"/>
                <w:szCs w:val="20"/>
              </w:rPr>
              <w:t>82</w:t>
            </w:r>
          </w:p>
        </w:tc>
        <w:tc>
          <w:tcPr>
            <w:tcW w:w="2147" w:type="dxa"/>
            <w:noWrap/>
            <w:tcMar>
              <w:left w:w="58" w:type="dxa"/>
              <w:right w:w="58" w:type="dxa"/>
            </w:tcMar>
            <w:vAlign w:val="bottom"/>
            <w:hideMark/>
          </w:tcPr>
          <w:p w14:paraId="466AA46B" w14:textId="77777777" w:rsidR="00876765" w:rsidRPr="00042234" w:rsidRDefault="00876765" w:rsidP="00042234">
            <w:pPr>
              <w:keepNext/>
              <w:spacing w:after="0" w:line="240" w:lineRule="auto"/>
              <w:jc w:val="center"/>
              <w:rPr>
                <w:rFonts w:asciiTheme="minorHAnsi" w:hAnsiTheme="minorHAnsi" w:cstheme="minorHAnsi"/>
                <w:color w:val="000000"/>
                <w:sz w:val="20"/>
                <w:szCs w:val="20"/>
              </w:rPr>
            </w:pPr>
            <w:r w:rsidRPr="00042234">
              <w:rPr>
                <w:rFonts w:asciiTheme="minorHAnsi" w:hAnsiTheme="minorHAnsi" w:cstheme="minorHAnsi"/>
                <w:color w:val="000000"/>
                <w:sz w:val="20"/>
                <w:szCs w:val="20"/>
              </w:rPr>
              <w:t>93.4</w:t>
            </w:r>
          </w:p>
        </w:tc>
        <w:tc>
          <w:tcPr>
            <w:tcW w:w="2205" w:type="dxa"/>
            <w:noWrap/>
            <w:tcMar>
              <w:left w:w="58" w:type="dxa"/>
              <w:right w:w="58" w:type="dxa"/>
            </w:tcMar>
            <w:vAlign w:val="bottom"/>
            <w:hideMark/>
          </w:tcPr>
          <w:p w14:paraId="043266FB" w14:textId="77777777" w:rsidR="00876765" w:rsidRPr="00042234" w:rsidRDefault="00876765" w:rsidP="00042234">
            <w:pPr>
              <w:keepNext/>
              <w:spacing w:after="0" w:line="240" w:lineRule="auto"/>
              <w:jc w:val="center"/>
              <w:rPr>
                <w:rFonts w:asciiTheme="minorHAnsi" w:hAnsiTheme="minorHAnsi" w:cstheme="minorHAnsi"/>
                <w:color w:val="000000"/>
                <w:sz w:val="20"/>
                <w:szCs w:val="20"/>
              </w:rPr>
            </w:pPr>
            <w:r w:rsidRPr="00042234">
              <w:rPr>
                <w:rFonts w:asciiTheme="minorHAnsi" w:hAnsiTheme="minorHAnsi" w:cstheme="minorHAnsi"/>
                <w:color w:val="000000"/>
                <w:sz w:val="20"/>
                <w:szCs w:val="20"/>
              </w:rPr>
              <w:t>108.4</w:t>
            </w:r>
          </w:p>
        </w:tc>
        <w:tc>
          <w:tcPr>
            <w:tcW w:w="2325" w:type="dxa"/>
            <w:noWrap/>
            <w:tcMar>
              <w:left w:w="58" w:type="dxa"/>
              <w:right w:w="58" w:type="dxa"/>
            </w:tcMar>
            <w:vAlign w:val="bottom"/>
            <w:hideMark/>
          </w:tcPr>
          <w:p w14:paraId="1CA550F3" w14:textId="77777777" w:rsidR="00876765" w:rsidRPr="00042234" w:rsidRDefault="00876765" w:rsidP="00042234">
            <w:pPr>
              <w:keepNext/>
              <w:spacing w:after="0" w:line="240" w:lineRule="auto"/>
              <w:jc w:val="center"/>
              <w:rPr>
                <w:rFonts w:asciiTheme="minorHAnsi" w:hAnsiTheme="minorHAnsi" w:cstheme="minorHAnsi"/>
                <w:color w:val="000000"/>
                <w:sz w:val="20"/>
                <w:szCs w:val="20"/>
              </w:rPr>
            </w:pPr>
            <w:r w:rsidRPr="00042234">
              <w:rPr>
                <w:rFonts w:asciiTheme="minorHAnsi" w:hAnsiTheme="minorHAnsi" w:cstheme="minorHAnsi"/>
                <w:color w:val="000000"/>
                <w:sz w:val="20"/>
                <w:szCs w:val="20"/>
              </w:rPr>
              <w:t>124.4</w:t>
            </w:r>
          </w:p>
        </w:tc>
      </w:tr>
      <w:tr w:rsidR="00943B8F" w:rsidRPr="00042234" w14:paraId="364CB2C8" w14:textId="77777777" w:rsidTr="00683AA5">
        <w:trPr>
          <w:trHeight w:val="285"/>
          <w:tblHeader/>
          <w:jc w:val="center"/>
        </w:trPr>
        <w:tc>
          <w:tcPr>
            <w:tcW w:w="760" w:type="dxa"/>
            <w:noWrap/>
            <w:tcMar>
              <w:left w:w="58" w:type="dxa"/>
              <w:right w:w="58" w:type="dxa"/>
            </w:tcMar>
            <w:vAlign w:val="bottom"/>
            <w:hideMark/>
          </w:tcPr>
          <w:p w14:paraId="034FF294" w14:textId="77777777" w:rsidR="00876765" w:rsidRPr="00042234" w:rsidRDefault="00876765" w:rsidP="00042234">
            <w:pPr>
              <w:keepNext/>
              <w:spacing w:after="0" w:line="240" w:lineRule="auto"/>
              <w:jc w:val="center"/>
              <w:rPr>
                <w:rFonts w:asciiTheme="minorHAnsi" w:hAnsiTheme="minorHAnsi" w:cstheme="minorHAnsi"/>
                <w:color w:val="000000"/>
                <w:sz w:val="20"/>
                <w:szCs w:val="20"/>
              </w:rPr>
            </w:pPr>
            <w:r w:rsidRPr="00042234">
              <w:rPr>
                <w:rFonts w:asciiTheme="minorHAnsi" w:hAnsiTheme="minorHAnsi" w:cstheme="minorHAnsi"/>
                <w:color w:val="000000"/>
                <w:sz w:val="20"/>
                <w:szCs w:val="20"/>
              </w:rPr>
              <w:t>83</w:t>
            </w:r>
          </w:p>
        </w:tc>
        <w:tc>
          <w:tcPr>
            <w:tcW w:w="2147" w:type="dxa"/>
            <w:noWrap/>
            <w:tcMar>
              <w:left w:w="58" w:type="dxa"/>
              <w:right w:w="58" w:type="dxa"/>
            </w:tcMar>
            <w:vAlign w:val="bottom"/>
            <w:hideMark/>
          </w:tcPr>
          <w:p w14:paraId="2D19C7CC" w14:textId="77777777" w:rsidR="00876765" w:rsidRPr="00042234" w:rsidRDefault="00876765" w:rsidP="00042234">
            <w:pPr>
              <w:keepNext/>
              <w:spacing w:after="0" w:line="240" w:lineRule="auto"/>
              <w:jc w:val="center"/>
              <w:rPr>
                <w:rFonts w:asciiTheme="minorHAnsi" w:hAnsiTheme="minorHAnsi" w:cstheme="minorHAnsi"/>
                <w:color w:val="000000"/>
                <w:sz w:val="20"/>
                <w:szCs w:val="20"/>
              </w:rPr>
            </w:pPr>
            <w:r w:rsidRPr="00042234">
              <w:rPr>
                <w:rFonts w:asciiTheme="minorHAnsi" w:hAnsiTheme="minorHAnsi" w:cstheme="minorHAnsi"/>
                <w:color w:val="000000"/>
                <w:sz w:val="20"/>
                <w:szCs w:val="20"/>
              </w:rPr>
              <w:t>91.1</w:t>
            </w:r>
          </w:p>
        </w:tc>
        <w:tc>
          <w:tcPr>
            <w:tcW w:w="2205" w:type="dxa"/>
            <w:noWrap/>
            <w:tcMar>
              <w:left w:w="58" w:type="dxa"/>
              <w:right w:w="58" w:type="dxa"/>
            </w:tcMar>
            <w:vAlign w:val="bottom"/>
            <w:hideMark/>
          </w:tcPr>
          <w:p w14:paraId="5112A125" w14:textId="77777777" w:rsidR="00876765" w:rsidRPr="00042234" w:rsidRDefault="00876765" w:rsidP="00042234">
            <w:pPr>
              <w:keepNext/>
              <w:spacing w:after="0" w:line="240" w:lineRule="auto"/>
              <w:jc w:val="center"/>
              <w:rPr>
                <w:rFonts w:asciiTheme="minorHAnsi" w:hAnsiTheme="minorHAnsi" w:cstheme="minorHAnsi"/>
                <w:color w:val="000000"/>
                <w:sz w:val="20"/>
                <w:szCs w:val="20"/>
              </w:rPr>
            </w:pPr>
            <w:r w:rsidRPr="00042234">
              <w:rPr>
                <w:rFonts w:asciiTheme="minorHAnsi" w:hAnsiTheme="minorHAnsi" w:cstheme="minorHAnsi"/>
                <w:color w:val="000000"/>
                <w:sz w:val="20"/>
                <w:szCs w:val="20"/>
              </w:rPr>
              <w:t>106.1</w:t>
            </w:r>
          </w:p>
        </w:tc>
        <w:tc>
          <w:tcPr>
            <w:tcW w:w="2325" w:type="dxa"/>
            <w:noWrap/>
            <w:tcMar>
              <w:left w:w="58" w:type="dxa"/>
              <w:right w:w="58" w:type="dxa"/>
            </w:tcMar>
            <w:vAlign w:val="bottom"/>
            <w:hideMark/>
          </w:tcPr>
          <w:p w14:paraId="52BCF696" w14:textId="77777777" w:rsidR="00876765" w:rsidRPr="00042234" w:rsidRDefault="00876765" w:rsidP="00042234">
            <w:pPr>
              <w:keepNext/>
              <w:spacing w:after="0" w:line="240" w:lineRule="auto"/>
              <w:jc w:val="center"/>
              <w:rPr>
                <w:rFonts w:asciiTheme="minorHAnsi" w:hAnsiTheme="minorHAnsi" w:cstheme="minorHAnsi"/>
                <w:color w:val="000000"/>
                <w:sz w:val="20"/>
                <w:szCs w:val="20"/>
              </w:rPr>
            </w:pPr>
            <w:r w:rsidRPr="00042234">
              <w:rPr>
                <w:rFonts w:asciiTheme="minorHAnsi" w:hAnsiTheme="minorHAnsi" w:cstheme="minorHAnsi"/>
                <w:color w:val="000000"/>
                <w:sz w:val="20"/>
                <w:szCs w:val="20"/>
              </w:rPr>
              <w:t>122.1</w:t>
            </w:r>
          </w:p>
        </w:tc>
      </w:tr>
      <w:tr w:rsidR="00943B8F" w:rsidRPr="00042234" w14:paraId="727F0B22" w14:textId="77777777" w:rsidTr="00683AA5">
        <w:trPr>
          <w:trHeight w:val="285"/>
          <w:tblHeader/>
          <w:jc w:val="center"/>
        </w:trPr>
        <w:tc>
          <w:tcPr>
            <w:tcW w:w="760" w:type="dxa"/>
            <w:noWrap/>
            <w:tcMar>
              <w:left w:w="58" w:type="dxa"/>
              <w:right w:w="58" w:type="dxa"/>
            </w:tcMar>
            <w:vAlign w:val="bottom"/>
            <w:hideMark/>
          </w:tcPr>
          <w:p w14:paraId="377377C7" w14:textId="77777777" w:rsidR="00876765" w:rsidRPr="00042234" w:rsidRDefault="00876765" w:rsidP="00042234">
            <w:pPr>
              <w:keepNext/>
              <w:spacing w:after="0" w:line="240" w:lineRule="auto"/>
              <w:jc w:val="center"/>
              <w:rPr>
                <w:rFonts w:asciiTheme="minorHAnsi" w:hAnsiTheme="minorHAnsi" w:cstheme="minorHAnsi"/>
                <w:color w:val="000000"/>
                <w:sz w:val="20"/>
                <w:szCs w:val="20"/>
              </w:rPr>
            </w:pPr>
            <w:r w:rsidRPr="00042234">
              <w:rPr>
                <w:rFonts w:asciiTheme="minorHAnsi" w:hAnsiTheme="minorHAnsi" w:cstheme="minorHAnsi"/>
                <w:color w:val="000000"/>
                <w:sz w:val="20"/>
                <w:szCs w:val="20"/>
              </w:rPr>
              <w:t>84</w:t>
            </w:r>
          </w:p>
        </w:tc>
        <w:tc>
          <w:tcPr>
            <w:tcW w:w="2147" w:type="dxa"/>
            <w:noWrap/>
            <w:tcMar>
              <w:left w:w="58" w:type="dxa"/>
              <w:right w:w="58" w:type="dxa"/>
            </w:tcMar>
            <w:vAlign w:val="bottom"/>
            <w:hideMark/>
          </w:tcPr>
          <w:p w14:paraId="63C6CDF4" w14:textId="77777777" w:rsidR="00876765" w:rsidRPr="00042234" w:rsidRDefault="00876765" w:rsidP="00042234">
            <w:pPr>
              <w:keepNext/>
              <w:spacing w:after="0" w:line="240" w:lineRule="auto"/>
              <w:jc w:val="center"/>
              <w:rPr>
                <w:rFonts w:asciiTheme="minorHAnsi" w:hAnsiTheme="minorHAnsi" w:cstheme="minorHAnsi"/>
                <w:color w:val="000000"/>
                <w:sz w:val="20"/>
                <w:szCs w:val="20"/>
              </w:rPr>
            </w:pPr>
            <w:r w:rsidRPr="00042234">
              <w:rPr>
                <w:rFonts w:asciiTheme="minorHAnsi" w:hAnsiTheme="minorHAnsi" w:cstheme="minorHAnsi"/>
                <w:color w:val="000000"/>
                <w:sz w:val="20"/>
                <w:szCs w:val="20"/>
              </w:rPr>
              <w:t>88.8</w:t>
            </w:r>
          </w:p>
        </w:tc>
        <w:tc>
          <w:tcPr>
            <w:tcW w:w="2205" w:type="dxa"/>
            <w:noWrap/>
            <w:tcMar>
              <w:left w:w="58" w:type="dxa"/>
              <w:right w:w="58" w:type="dxa"/>
            </w:tcMar>
            <w:vAlign w:val="bottom"/>
            <w:hideMark/>
          </w:tcPr>
          <w:p w14:paraId="5CD8007A" w14:textId="77777777" w:rsidR="00876765" w:rsidRPr="00042234" w:rsidRDefault="00876765" w:rsidP="00042234">
            <w:pPr>
              <w:keepNext/>
              <w:spacing w:after="0" w:line="240" w:lineRule="auto"/>
              <w:jc w:val="center"/>
              <w:rPr>
                <w:rFonts w:asciiTheme="minorHAnsi" w:hAnsiTheme="minorHAnsi" w:cstheme="minorHAnsi"/>
                <w:color w:val="000000"/>
                <w:sz w:val="20"/>
                <w:szCs w:val="20"/>
              </w:rPr>
            </w:pPr>
            <w:r w:rsidRPr="00042234">
              <w:rPr>
                <w:rFonts w:asciiTheme="minorHAnsi" w:hAnsiTheme="minorHAnsi" w:cstheme="minorHAnsi"/>
                <w:color w:val="000000"/>
                <w:sz w:val="20"/>
                <w:szCs w:val="20"/>
              </w:rPr>
              <w:t>103.8</w:t>
            </w:r>
          </w:p>
        </w:tc>
        <w:tc>
          <w:tcPr>
            <w:tcW w:w="2325" w:type="dxa"/>
            <w:noWrap/>
            <w:tcMar>
              <w:left w:w="58" w:type="dxa"/>
              <w:right w:w="58" w:type="dxa"/>
            </w:tcMar>
            <w:vAlign w:val="bottom"/>
            <w:hideMark/>
          </w:tcPr>
          <w:p w14:paraId="6597254E" w14:textId="77777777" w:rsidR="00876765" w:rsidRPr="00042234" w:rsidRDefault="00876765" w:rsidP="00042234">
            <w:pPr>
              <w:keepNext/>
              <w:spacing w:after="0" w:line="240" w:lineRule="auto"/>
              <w:jc w:val="center"/>
              <w:rPr>
                <w:rFonts w:asciiTheme="minorHAnsi" w:hAnsiTheme="minorHAnsi" w:cstheme="minorHAnsi"/>
                <w:color w:val="000000"/>
                <w:sz w:val="20"/>
                <w:szCs w:val="20"/>
              </w:rPr>
            </w:pPr>
            <w:r w:rsidRPr="00042234">
              <w:rPr>
                <w:rFonts w:asciiTheme="minorHAnsi" w:hAnsiTheme="minorHAnsi" w:cstheme="minorHAnsi"/>
                <w:color w:val="000000"/>
                <w:sz w:val="20"/>
                <w:szCs w:val="20"/>
              </w:rPr>
              <w:t>119.8</w:t>
            </w:r>
          </w:p>
        </w:tc>
      </w:tr>
      <w:tr w:rsidR="00943B8F" w:rsidRPr="00042234" w14:paraId="03579BF2" w14:textId="77777777" w:rsidTr="00683AA5">
        <w:trPr>
          <w:trHeight w:val="285"/>
          <w:tblHeader/>
          <w:jc w:val="center"/>
        </w:trPr>
        <w:tc>
          <w:tcPr>
            <w:tcW w:w="760" w:type="dxa"/>
            <w:noWrap/>
            <w:tcMar>
              <w:left w:w="58" w:type="dxa"/>
              <w:right w:w="58" w:type="dxa"/>
            </w:tcMar>
            <w:vAlign w:val="bottom"/>
            <w:hideMark/>
          </w:tcPr>
          <w:p w14:paraId="0EDB037A" w14:textId="77777777" w:rsidR="00876765" w:rsidRPr="00042234" w:rsidRDefault="00876765" w:rsidP="00042234">
            <w:pPr>
              <w:keepNext/>
              <w:spacing w:after="0" w:line="240" w:lineRule="auto"/>
              <w:jc w:val="center"/>
              <w:rPr>
                <w:rFonts w:asciiTheme="minorHAnsi" w:hAnsiTheme="minorHAnsi" w:cstheme="minorHAnsi"/>
                <w:color w:val="000000"/>
                <w:sz w:val="20"/>
                <w:szCs w:val="20"/>
              </w:rPr>
            </w:pPr>
            <w:r w:rsidRPr="00042234">
              <w:rPr>
                <w:rFonts w:asciiTheme="minorHAnsi" w:hAnsiTheme="minorHAnsi" w:cstheme="minorHAnsi"/>
                <w:color w:val="000000"/>
                <w:sz w:val="20"/>
                <w:szCs w:val="20"/>
              </w:rPr>
              <w:t>85</w:t>
            </w:r>
          </w:p>
        </w:tc>
        <w:tc>
          <w:tcPr>
            <w:tcW w:w="2147" w:type="dxa"/>
            <w:noWrap/>
            <w:tcMar>
              <w:left w:w="58" w:type="dxa"/>
              <w:right w:w="58" w:type="dxa"/>
            </w:tcMar>
            <w:vAlign w:val="bottom"/>
            <w:hideMark/>
          </w:tcPr>
          <w:p w14:paraId="032116FF" w14:textId="77777777" w:rsidR="00876765" w:rsidRPr="00042234" w:rsidRDefault="00876765" w:rsidP="00042234">
            <w:pPr>
              <w:keepNext/>
              <w:spacing w:after="0" w:line="240" w:lineRule="auto"/>
              <w:jc w:val="center"/>
              <w:rPr>
                <w:rFonts w:asciiTheme="minorHAnsi" w:hAnsiTheme="minorHAnsi" w:cstheme="minorHAnsi"/>
                <w:color w:val="000000"/>
                <w:sz w:val="20"/>
                <w:szCs w:val="20"/>
              </w:rPr>
            </w:pPr>
            <w:r w:rsidRPr="00042234">
              <w:rPr>
                <w:rFonts w:asciiTheme="minorHAnsi" w:hAnsiTheme="minorHAnsi" w:cstheme="minorHAnsi"/>
                <w:color w:val="000000"/>
                <w:sz w:val="20"/>
                <w:szCs w:val="20"/>
              </w:rPr>
              <w:t>86.5</w:t>
            </w:r>
          </w:p>
        </w:tc>
        <w:tc>
          <w:tcPr>
            <w:tcW w:w="2205" w:type="dxa"/>
            <w:noWrap/>
            <w:tcMar>
              <w:left w:w="58" w:type="dxa"/>
              <w:right w:w="58" w:type="dxa"/>
            </w:tcMar>
            <w:vAlign w:val="bottom"/>
            <w:hideMark/>
          </w:tcPr>
          <w:p w14:paraId="277BE68A" w14:textId="77777777" w:rsidR="00876765" w:rsidRPr="00042234" w:rsidRDefault="00876765" w:rsidP="00042234">
            <w:pPr>
              <w:keepNext/>
              <w:spacing w:after="0" w:line="240" w:lineRule="auto"/>
              <w:jc w:val="center"/>
              <w:rPr>
                <w:rFonts w:asciiTheme="minorHAnsi" w:hAnsiTheme="minorHAnsi" w:cstheme="minorHAnsi"/>
                <w:color w:val="000000"/>
                <w:sz w:val="20"/>
                <w:szCs w:val="20"/>
              </w:rPr>
            </w:pPr>
            <w:r w:rsidRPr="00042234">
              <w:rPr>
                <w:rFonts w:asciiTheme="minorHAnsi" w:hAnsiTheme="minorHAnsi" w:cstheme="minorHAnsi"/>
                <w:color w:val="000000"/>
                <w:sz w:val="20"/>
                <w:szCs w:val="20"/>
              </w:rPr>
              <w:t>101.5</w:t>
            </w:r>
          </w:p>
        </w:tc>
        <w:tc>
          <w:tcPr>
            <w:tcW w:w="2325" w:type="dxa"/>
            <w:noWrap/>
            <w:tcMar>
              <w:left w:w="58" w:type="dxa"/>
              <w:right w:w="58" w:type="dxa"/>
            </w:tcMar>
            <w:vAlign w:val="bottom"/>
            <w:hideMark/>
          </w:tcPr>
          <w:p w14:paraId="574814ED" w14:textId="77777777" w:rsidR="00876765" w:rsidRPr="00042234" w:rsidRDefault="00876765" w:rsidP="00042234">
            <w:pPr>
              <w:keepNext/>
              <w:spacing w:after="0" w:line="240" w:lineRule="auto"/>
              <w:jc w:val="center"/>
              <w:rPr>
                <w:rFonts w:asciiTheme="minorHAnsi" w:hAnsiTheme="minorHAnsi" w:cstheme="minorHAnsi"/>
                <w:color w:val="000000"/>
                <w:sz w:val="20"/>
                <w:szCs w:val="20"/>
              </w:rPr>
            </w:pPr>
            <w:r w:rsidRPr="00042234">
              <w:rPr>
                <w:rFonts w:asciiTheme="minorHAnsi" w:hAnsiTheme="minorHAnsi" w:cstheme="minorHAnsi"/>
                <w:color w:val="000000"/>
                <w:sz w:val="20"/>
                <w:szCs w:val="20"/>
              </w:rPr>
              <w:t>117.5</w:t>
            </w:r>
          </w:p>
        </w:tc>
      </w:tr>
      <w:tr w:rsidR="00943B8F" w:rsidRPr="00042234" w14:paraId="319437AE" w14:textId="77777777" w:rsidTr="00683AA5">
        <w:trPr>
          <w:trHeight w:val="285"/>
          <w:tblHeader/>
          <w:jc w:val="center"/>
        </w:trPr>
        <w:tc>
          <w:tcPr>
            <w:tcW w:w="760" w:type="dxa"/>
            <w:noWrap/>
            <w:tcMar>
              <w:left w:w="58" w:type="dxa"/>
              <w:right w:w="58" w:type="dxa"/>
            </w:tcMar>
            <w:vAlign w:val="bottom"/>
            <w:hideMark/>
          </w:tcPr>
          <w:p w14:paraId="53065034" w14:textId="77777777" w:rsidR="00876765" w:rsidRPr="00042234" w:rsidRDefault="00876765" w:rsidP="00042234">
            <w:pPr>
              <w:keepNext/>
              <w:spacing w:after="0" w:line="240" w:lineRule="auto"/>
              <w:jc w:val="center"/>
              <w:rPr>
                <w:rFonts w:asciiTheme="minorHAnsi" w:hAnsiTheme="minorHAnsi" w:cstheme="minorHAnsi"/>
                <w:color w:val="000000"/>
                <w:sz w:val="20"/>
                <w:szCs w:val="20"/>
              </w:rPr>
            </w:pPr>
            <w:r w:rsidRPr="00042234">
              <w:rPr>
                <w:rFonts w:asciiTheme="minorHAnsi" w:hAnsiTheme="minorHAnsi" w:cstheme="minorHAnsi"/>
                <w:color w:val="000000"/>
                <w:sz w:val="20"/>
                <w:szCs w:val="20"/>
              </w:rPr>
              <w:t>86</w:t>
            </w:r>
          </w:p>
        </w:tc>
        <w:tc>
          <w:tcPr>
            <w:tcW w:w="2147" w:type="dxa"/>
            <w:noWrap/>
            <w:tcMar>
              <w:left w:w="58" w:type="dxa"/>
              <w:right w:w="58" w:type="dxa"/>
            </w:tcMar>
            <w:vAlign w:val="bottom"/>
            <w:hideMark/>
          </w:tcPr>
          <w:p w14:paraId="343FCB0F" w14:textId="77777777" w:rsidR="00876765" w:rsidRPr="00042234" w:rsidRDefault="00876765" w:rsidP="00042234">
            <w:pPr>
              <w:keepNext/>
              <w:spacing w:after="0" w:line="240" w:lineRule="auto"/>
              <w:jc w:val="center"/>
              <w:rPr>
                <w:rFonts w:asciiTheme="minorHAnsi" w:hAnsiTheme="minorHAnsi" w:cstheme="minorHAnsi"/>
                <w:color w:val="000000"/>
                <w:sz w:val="20"/>
                <w:szCs w:val="20"/>
              </w:rPr>
            </w:pPr>
            <w:r w:rsidRPr="00042234">
              <w:rPr>
                <w:rFonts w:asciiTheme="minorHAnsi" w:hAnsiTheme="minorHAnsi" w:cstheme="minorHAnsi"/>
                <w:color w:val="000000"/>
                <w:sz w:val="20"/>
                <w:szCs w:val="20"/>
              </w:rPr>
              <w:t>84.2</w:t>
            </w:r>
          </w:p>
        </w:tc>
        <w:tc>
          <w:tcPr>
            <w:tcW w:w="2205" w:type="dxa"/>
            <w:noWrap/>
            <w:tcMar>
              <w:left w:w="58" w:type="dxa"/>
              <w:right w:w="58" w:type="dxa"/>
            </w:tcMar>
            <w:vAlign w:val="bottom"/>
            <w:hideMark/>
          </w:tcPr>
          <w:p w14:paraId="0E5DD512" w14:textId="77777777" w:rsidR="00876765" w:rsidRPr="00042234" w:rsidRDefault="00876765" w:rsidP="00042234">
            <w:pPr>
              <w:keepNext/>
              <w:spacing w:after="0" w:line="240" w:lineRule="auto"/>
              <w:jc w:val="center"/>
              <w:rPr>
                <w:rFonts w:asciiTheme="minorHAnsi" w:hAnsiTheme="minorHAnsi" w:cstheme="minorHAnsi"/>
                <w:color w:val="000000"/>
                <w:sz w:val="20"/>
                <w:szCs w:val="20"/>
              </w:rPr>
            </w:pPr>
            <w:r w:rsidRPr="00042234">
              <w:rPr>
                <w:rFonts w:asciiTheme="minorHAnsi" w:hAnsiTheme="minorHAnsi" w:cstheme="minorHAnsi"/>
                <w:color w:val="000000"/>
                <w:sz w:val="20"/>
                <w:szCs w:val="20"/>
              </w:rPr>
              <w:t>99.2</w:t>
            </w:r>
          </w:p>
        </w:tc>
        <w:tc>
          <w:tcPr>
            <w:tcW w:w="2325" w:type="dxa"/>
            <w:noWrap/>
            <w:tcMar>
              <w:left w:w="58" w:type="dxa"/>
              <w:right w:w="58" w:type="dxa"/>
            </w:tcMar>
            <w:vAlign w:val="bottom"/>
            <w:hideMark/>
          </w:tcPr>
          <w:p w14:paraId="40C3C61E" w14:textId="77777777" w:rsidR="00876765" w:rsidRPr="00042234" w:rsidRDefault="00876765" w:rsidP="00042234">
            <w:pPr>
              <w:keepNext/>
              <w:spacing w:after="0" w:line="240" w:lineRule="auto"/>
              <w:jc w:val="center"/>
              <w:rPr>
                <w:rFonts w:asciiTheme="minorHAnsi" w:hAnsiTheme="minorHAnsi" w:cstheme="minorHAnsi"/>
                <w:color w:val="000000"/>
                <w:sz w:val="20"/>
                <w:szCs w:val="20"/>
              </w:rPr>
            </w:pPr>
            <w:r w:rsidRPr="00042234">
              <w:rPr>
                <w:rFonts w:asciiTheme="minorHAnsi" w:hAnsiTheme="minorHAnsi" w:cstheme="minorHAnsi"/>
                <w:color w:val="000000"/>
                <w:sz w:val="20"/>
                <w:szCs w:val="20"/>
              </w:rPr>
              <w:t>115.2</w:t>
            </w:r>
          </w:p>
        </w:tc>
      </w:tr>
      <w:tr w:rsidR="00943B8F" w:rsidRPr="00042234" w14:paraId="60BFB5C8" w14:textId="77777777" w:rsidTr="00683AA5">
        <w:trPr>
          <w:trHeight w:val="285"/>
          <w:tblHeader/>
          <w:jc w:val="center"/>
        </w:trPr>
        <w:tc>
          <w:tcPr>
            <w:tcW w:w="760" w:type="dxa"/>
            <w:noWrap/>
            <w:tcMar>
              <w:left w:w="58" w:type="dxa"/>
              <w:right w:w="58" w:type="dxa"/>
            </w:tcMar>
            <w:vAlign w:val="bottom"/>
            <w:hideMark/>
          </w:tcPr>
          <w:p w14:paraId="1E28CC54" w14:textId="77777777" w:rsidR="00876765" w:rsidRPr="00042234" w:rsidRDefault="00876765" w:rsidP="00042234">
            <w:pPr>
              <w:keepNext/>
              <w:spacing w:after="0" w:line="240" w:lineRule="auto"/>
              <w:jc w:val="center"/>
              <w:rPr>
                <w:rFonts w:asciiTheme="minorHAnsi" w:hAnsiTheme="minorHAnsi" w:cstheme="minorHAnsi"/>
                <w:color w:val="000000"/>
                <w:sz w:val="20"/>
                <w:szCs w:val="20"/>
              </w:rPr>
            </w:pPr>
            <w:r w:rsidRPr="00042234">
              <w:rPr>
                <w:rFonts w:asciiTheme="minorHAnsi" w:hAnsiTheme="minorHAnsi" w:cstheme="minorHAnsi"/>
                <w:color w:val="000000"/>
                <w:sz w:val="20"/>
                <w:szCs w:val="20"/>
              </w:rPr>
              <w:t>87</w:t>
            </w:r>
          </w:p>
        </w:tc>
        <w:tc>
          <w:tcPr>
            <w:tcW w:w="2147" w:type="dxa"/>
            <w:noWrap/>
            <w:tcMar>
              <w:left w:w="58" w:type="dxa"/>
              <w:right w:w="58" w:type="dxa"/>
            </w:tcMar>
            <w:vAlign w:val="bottom"/>
            <w:hideMark/>
          </w:tcPr>
          <w:p w14:paraId="1E337C3F" w14:textId="77777777" w:rsidR="00876765" w:rsidRPr="00042234" w:rsidRDefault="00876765" w:rsidP="00042234">
            <w:pPr>
              <w:keepNext/>
              <w:spacing w:after="0" w:line="240" w:lineRule="auto"/>
              <w:jc w:val="center"/>
              <w:rPr>
                <w:rFonts w:asciiTheme="minorHAnsi" w:hAnsiTheme="minorHAnsi" w:cstheme="minorHAnsi"/>
                <w:color w:val="000000"/>
                <w:sz w:val="20"/>
                <w:szCs w:val="20"/>
              </w:rPr>
            </w:pPr>
            <w:r w:rsidRPr="00042234">
              <w:rPr>
                <w:rFonts w:asciiTheme="minorHAnsi" w:hAnsiTheme="minorHAnsi" w:cstheme="minorHAnsi"/>
                <w:color w:val="000000"/>
                <w:sz w:val="20"/>
                <w:szCs w:val="20"/>
              </w:rPr>
              <w:t>81.9</w:t>
            </w:r>
          </w:p>
        </w:tc>
        <w:tc>
          <w:tcPr>
            <w:tcW w:w="2205" w:type="dxa"/>
            <w:noWrap/>
            <w:tcMar>
              <w:left w:w="58" w:type="dxa"/>
              <w:right w:w="58" w:type="dxa"/>
            </w:tcMar>
            <w:vAlign w:val="bottom"/>
            <w:hideMark/>
          </w:tcPr>
          <w:p w14:paraId="38324C89" w14:textId="77777777" w:rsidR="00876765" w:rsidRPr="00042234" w:rsidRDefault="00876765" w:rsidP="00042234">
            <w:pPr>
              <w:keepNext/>
              <w:spacing w:after="0" w:line="240" w:lineRule="auto"/>
              <w:jc w:val="center"/>
              <w:rPr>
                <w:rFonts w:asciiTheme="minorHAnsi" w:hAnsiTheme="minorHAnsi" w:cstheme="minorHAnsi"/>
                <w:color w:val="000000"/>
                <w:sz w:val="20"/>
                <w:szCs w:val="20"/>
              </w:rPr>
            </w:pPr>
            <w:r w:rsidRPr="00042234">
              <w:rPr>
                <w:rFonts w:asciiTheme="minorHAnsi" w:hAnsiTheme="minorHAnsi" w:cstheme="minorHAnsi"/>
                <w:color w:val="000000"/>
                <w:sz w:val="20"/>
                <w:szCs w:val="20"/>
              </w:rPr>
              <w:t>96.9</w:t>
            </w:r>
          </w:p>
        </w:tc>
        <w:tc>
          <w:tcPr>
            <w:tcW w:w="2325" w:type="dxa"/>
            <w:noWrap/>
            <w:tcMar>
              <w:left w:w="58" w:type="dxa"/>
              <w:right w:w="58" w:type="dxa"/>
            </w:tcMar>
            <w:vAlign w:val="bottom"/>
            <w:hideMark/>
          </w:tcPr>
          <w:p w14:paraId="7CAF00D4" w14:textId="77777777" w:rsidR="00876765" w:rsidRPr="00042234" w:rsidRDefault="00876765" w:rsidP="00042234">
            <w:pPr>
              <w:keepNext/>
              <w:spacing w:after="0" w:line="240" w:lineRule="auto"/>
              <w:jc w:val="center"/>
              <w:rPr>
                <w:rFonts w:asciiTheme="minorHAnsi" w:hAnsiTheme="minorHAnsi" w:cstheme="minorHAnsi"/>
                <w:color w:val="000000"/>
                <w:sz w:val="20"/>
                <w:szCs w:val="20"/>
              </w:rPr>
            </w:pPr>
            <w:r w:rsidRPr="00042234">
              <w:rPr>
                <w:rFonts w:asciiTheme="minorHAnsi" w:hAnsiTheme="minorHAnsi" w:cstheme="minorHAnsi"/>
                <w:color w:val="000000"/>
                <w:sz w:val="20"/>
                <w:szCs w:val="20"/>
              </w:rPr>
              <w:t>112.9</w:t>
            </w:r>
          </w:p>
        </w:tc>
      </w:tr>
      <w:tr w:rsidR="00943B8F" w:rsidRPr="00042234" w14:paraId="4C21AA7E" w14:textId="77777777" w:rsidTr="00683AA5">
        <w:trPr>
          <w:trHeight w:val="285"/>
          <w:tblHeader/>
          <w:jc w:val="center"/>
        </w:trPr>
        <w:tc>
          <w:tcPr>
            <w:tcW w:w="760" w:type="dxa"/>
            <w:noWrap/>
            <w:tcMar>
              <w:left w:w="58" w:type="dxa"/>
              <w:right w:w="58" w:type="dxa"/>
            </w:tcMar>
            <w:vAlign w:val="bottom"/>
            <w:hideMark/>
          </w:tcPr>
          <w:p w14:paraId="35ADA1BC" w14:textId="77777777" w:rsidR="00876765" w:rsidRPr="00042234" w:rsidRDefault="00876765" w:rsidP="00042234">
            <w:pPr>
              <w:keepNext/>
              <w:spacing w:after="0" w:line="240" w:lineRule="auto"/>
              <w:jc w:val="center"/>
              <w:rPr>
                <w:rFonts w:asciiTheme="minorHAnsi" w:hAnsiTheme="minorHAnsi" w:cstheme="minorHAnsi"/>
                <w:color w:val="000000"/>
                <w:sz w:val="20"/>
                <w:szCs w:val="20"/>
              </w:rPr>
            </w:pPr>
            <w:r w:rsidRPr="00042234">
              <w:rPr>
                <w:rFonts w:asciiTheme="minorHAnsi" w:hAnsiTheme="minorHAnsi" w:cstheme="minorHAnsi"/>
                <w:color w:val="000000"/>
                <w:sz w:val="20"/>
                <w:szCs w:val="20"/>
              </w:rPr>
              <w:t>88</w:t>
            </w:r>
          </w:p>
        </w:tc>
        <w:tc>
          <w:tcPr>
            <w:tcW w:w="2147" w:type="dxa"/>
            <w:noWrap/>
            <w:tcMar>
              <w:left w:w="58" w:type="dxa"/>
              <w:right w:w="58" w:type="dxa"/>
            </w:tcMar>
            <w:vAlign w:val="bottom"/>
            <w:hideMark/>
          </w:tcPr>
          <w:p w14:paraId="6122683C" w14:textId="77777777" w:rsidR="00876765" w:rsidRPr="00042234" w:rsidRDefault="00876765" w:rsidP="00042234">
            <w:pPr>
              <w:keepNext/>
              <w:spacing w:after="0" w:line="240" w:lineRule="auto"/>
              <w:jc w:val="center"/>
              <w:rPr>
                <w:rFonts w:asciiTheme="minorHAnsi" w:hAnsiTheme="minorHAnsi" w:cstheme="minorHAnsi"/>
                <w:color w:val="000000"/>
                <w:sz w:val="20"/>
                <w:szCs w:val="20"/>
              </w:rPr>
            </w:pPr>
            <w:r w:rsidRPr="00042234">
              <w:rPr>
                <w:rFonts w:asciiTheme="minorHAnsi" w:hAnsiTheme="minorHAnsi" w:cstheme="minorHAnsi"/>
                <w:color w:val="000000"/>
                <w:sz w:val="20"/>
                <w:szCs w:val="20"/>
              </w:rPr>
              <w:t>79.6</w:t>
            </w:r>
          </w:p>
        </w:tc>
        <w:tc>
          <w:tcPr>
            <w:tcW w:w="2205" w:type="dxa"/>
            <w:noWrap/>
            <w:tcMar>
              <w:left w:w="58" w:type="dxa"/>
              <w:right w:w="58" w:type="dxa"/>
            </w:tcMar>
            <w:vAlign w:val="bottom"/>
            <w:hideMark/>
          </w:tcPr>
          <w:p w14:paraId="0005B5D2" w14:textId="77777777" w:rsidR="00876765" w:rsidRPr="00042234" w:rsidRDefault="00876765" w:rsidP="00042234">
            <w:pPr>
              <w:keepNext/>
              <w:spacing w:after="0" w:line="240" w:lineRule="auto"/>
              <w:jc w:val="center"/>
              <w:rPr>
                <w:rFonts w:asciiTheme="minorHAnsi" w:hAnsiTheme="minorHAnsi" w:cstheme="minorHAnsi"/>
                <w:color w:val="000000"/>
                <w:sz w:val="20"/>
                <w:szCs w:val="20"/>
              </w:rPr>
            </w:pPr>
            <w:r w:rsidRPr="00042234">
              <w:rPr>
                <w:rFonts w:asciiTheme="minorHAnsi" w:hAnsiTheme="minorHAnsi" w:cstheme="minorHAnsi"/>
                <w:color w:val="000000"/>
                <w:sz w:val="20"/>
                <w:szCs w:val="20"/>
              </w:rPr>
              <w:t>94.6</w:t>
            </w:r>
          </w:p>
        </w:tc>
        <w:tc>
          <w:tcPr>
            <w:tcW w:w="2325" w:type="dxa"/>
            <w:noWrap/>
            <w:tcMar>
              <w:left w:w="58" w:type="dxa"/>
              <w:right w:w="58" w:type="dxa"/>
            </w:tcMar>
            <w:vAlign w:val="bottom"/>
            <w:hideMark/>
          </w:tcPr>
          <w:p w14:paraId="761CDB9A" w14:textId="77777777" w:rsidR="00876765" w:rsidRPr="00042234" w:rsidRDefault="00876765" w:rsidP="00042234">
            <w:pPr>
              <w:keepNext/>
              <w:spacing w:after="0" w:line="240" w:lineRule="auto"/>
              <w:jc w:val="center"/>
              <w:rPr>
                <w:rFonts w:asciiTheme="minorHAnsi" w:hAnsiTheme="minorHAnsi" w:cstheme="minorHAnsi"/>
                <w:color w:val="000000"/>
                <w:sz w:val="20"/>
                <w:szCs w:val="20"/>
              </w:rPr>
            </w:pPr>
            <w:r w:rsidRPr="00042234">
              <w:rPr>
                <w:rFonts w:asciiTheme="minorHAnsi" w:hAnsiTheme="minorHAnsi" w:cstheme="minorHAnsi"/>
                <w:color w:val="000000"/>
                <w:sz w:val="20"/>
                <w:szCs w:val="20"/>
              </w:rPr>
              <w:t>110.6</w:t>
            </w:r>
          </w:p>
        </w:tc>
      </w:tr>
      <w:tr w:rsidR="00943B8F" w:rsidRPr="00042234" w14:paraId="17852748" w14:textId="77777777" w:rsidTr="00683AA5">
        <w:trPr>
          <w:trHeight w:val="285"/>
          <w:tblHeader/>
          <w:jc w:val="center"/>
        </w:trPr>
        <w:tc>
          <w:tcPr>
            <w:tcW w:w="760" w:type="dxa"/>
            <w:noWrap/>
            <w:tcMar>
              <w:left w:w="58" w:type="dxa"/>
              <w:right w:w="58" w:type="dxa"/>
            </w:tcMar>
            <w:vAlign w:val="bottom"/>
            <w:hideMark/>
          </w:tcPr>
          <w:p w14:paraId="42967BAA" w14:textId="77777777" w:rsidR="00876765" w:rsidRPr="00042234" w:rsidRDefault="00876765" w:rsidP="00042234">
            <w:pPr>
              <w:keepNext/>
              <w:spacing w:after="0" w:line="240" w:lineRule="auto"/>
              <w:jc w:val="center"/>
              <w:rPr>
                <w:rFonts w:asciiTheme="minorHAnsi" w:hAnsiTheme="minorHAnsi" w:cstheme="minorHAnsi"/>
                <w:color w:val="000000"/>
                <w:sz w:val="20"/>
                <w:szCs w:val="20"/>
              </w:rPr>
            </w:pPr>
            <w:r w:rsidRPr="00042234">
              <w:rPr>
                <w:rFonts w:asciiTheme="minorHAnsi" w:hAnsiTheme="minorHAnsi" w:cstheme="minorHAnsi"/>
                <w:color w:val="000000"/>
                <w:sz w:val="20"/>
                <w:szCs w:val="20"/>
              </w:rPr>
              <w:t>89</w:t>
            </w:r>
          </w:p>
        </w:tc>
        <w:tc>
          <w:tcPr>
            <w:tcW w:w="2147" w:type="dxa"/>
            <w:noWrap/>
            <w:tcMar>
              <w:left w:w="58" w:type="dxa"/>
              <w:right w:w="58" w:type="dxa"/>
            </w:tcMar>
            <w:vAlign w:val="bottom"/>
            <w:hideMark/>
          </w:tcPr>
          <w:p w14:paraId="22130512" w14:textId="77777777" w:rsidR="00876765" w:rsidRPr="00042234" w:rsidRDefault="00876765" w:rsidP="00042234">
            <w:pPr>
              <w:keepNext/>
              <w:spacing w:after="0" w:line="240" w:lineRule="auto"/>
              <w:jc w:val="center"/>
              <w:rPr>
                <w:rFonts w:asciiTheme="minorHAnsi" w:hAnsiTheme="minorHAnsi" w:cstheme="minorHAnsi"/>
                <w:color w:val="000000"/>
                <w:sz w:val="20"/>
                <w:szCs w:val="20"/>
              </w:rPr>
            </w:pPr>
            <w:r w:rsidRPr="00042234">
              <w:rPr>
                <w:rFonts w:asciiTheme="minorHAnsi" w:hAnsiTheme="minorHAnsi" w:cstheme="minorHAnsi"/>
                <w:color w:val="000000"/>
                <w:sz w:val="20"/>
                <w:szCs w:val="20"/>
              </w:rPr>
              <w:t>77.3</w:t>
            </w:r>
          </w:p>
        </w:tc>
        <w:tc>
          <w:tcPr>
            <w:tcW w:w="2205" w:type="dxa"/>
            <w:noWrap/>
            <w:tcMar>
              <w:left w:w="58" w:type="dxa"/>
              <w:right w:w="58" w:type="dxa"/>
            </w:tcMar>
            <w:vAlign w:val="bottom"/>
            <w:hideMark/>
          </w:tcPr>
          <w:p w14:paraId="4EB654FC" w14:textId="77777777" w:rsidR="00876765" w:rsidRPr="00042234" w:rsidRDefault="00876765" w:rsidP="00042234">
            <w:pPr>
              <w:keepNext/>
              <w:spacing w:after="0" w:line="240" w:lineRule="auto"/>
              <w:jc w:val="center"/>
              <w:rPr>
                <w:rFonts w:asciiTheme="minorHAnsi" w:hAnsiTheme="minorHAnsi" w:cstheme="minorHAnsi"/>
                <w:color w:val="000000"/>
                <w:sz w:val="20"/>
                <w:szCs w:val="20"/>
              </w:rPr>
            </w:pPr>
            <w:r w:rsidRPr="00042234">
              <w:rPr>
                <w:rFonts w:asciiTheme="minorHAnsi" w:hAnsiTheme="minorHAnsi" w:cstheme="minorHAnsi"/>
                <w:color w:val="000000"/>
                <w:sz w:val="20"/>
                <w:szCs w:val="20"/>
              </w:rPr>
              <w:t>92.3</w:t>
            </w:r>
          </w:p>
        </w:tc>
        <w:tc>
          <w:tcPr>
            <w:tcW w:w="2325" w:type="dxa"/>
            <w:noWrap/>
            <w:tcMar>
              <w:left w:w="58" w:type="dxa"/>
              <w:right w:w="58" w:type="dxa"/>
            </w:tcMar>
            <w:vAlign w:val="bottom"/>
            <w:hideMark/>
          </w:tcPr>
          <w:p w14:paraId="43E73265" w14:textId="77777777" w:rsidR="00876765" w:rsidRPr="00042234" w:rsidRDefault="00876765" w:rsidP="00042234">
            <w:pPr>
              <w:keepNext/>
              <w:spacing w:after="0" w:line="240" w:lineRule="auto"/>
              <w:jc w:val="center"/>
              <w:rPr>
                <w:rFonts w:asciiTheme="minorHAnsi" w:hAnsiTheme="minorHAnsi" w:cstheme="minorHAnsi"/>
                <w:color w:val="000000"/>
                <w:sz w:val="20"/>
                <w:szCs w:val="20"/>
              </w:rPr>
            </w:pPr>
            <w:r w:rsidRPr="00042234">
              <w:rPr>
                <w:rFonts w:asciiTheme="minorHAnsi" w:hAnsiTheme="minorHAnsi" w:cstheme="minorHAnsi"/>
                <w:color w:val="000000"/>
                <w:sz w:val="20"/>
                <w:szCs w:val="20"/>
              </w:rPr>
              <w:t>108.3</w:t>
            </w:r>
          </w:p>
        </w:tc>
      </w:tr>
      <w:tr w:rsidR="00943B8F" w:rsidRPr="00042234" w14:paraId="785B1DF9" w14:textId="77777777" w:rsidTr="00683AA5">
        <w:trPr>
          <w:trHeight w:val="285"/>
          <w:tblHeader/>
          <w:jc w:val="center"/>
        </w:trPr>
        <w:tc>
          <w:tcPr>
            <w:tcW w:w="760" w:type="dxa"/>
            <w:noWrap/>
            <w:tcMar>
              <w:left w:w="58" w:type="dxa"/>
              <w:right w:w="58" w:type="dxa"/>
            </w:tcMar>
            <w:vAlign w:val="bottom"/>
            <w:hideMark/>
          </w:tcPr>
          <w:p w14:paraId="6A40BFC8" w14:textId="77777777" w:rsidR="00876765" w:rsidRPr="00042234" w:rsidRDefault="00876765" w:rsidP="00042234">
            <w:pPr>
              <w:keepNext/>
              <w:spacing w:after="0" w:line="240" w:lineRule="auto"/>
              <w:jc w:val="center"/>
              <w:rPr>
                <w:rFonts w:asciiTheme="minorHAnsi" w:hAnsiTheme="minorHAnsi" w:cstheme="minorHAnsi"/>
                <w:color w:val="000000"/>
                <w:sz w:val="20"/>
                <w:szCs w:val="20"/>
              </w:rPr>
            </w:pPr>
            <w:r w:rsidRPr="00042234">
              <w:rPr>
                <w:rFonts w:asciiTheme="minorHAnsi" w:hAnsiTheme="minorHAnsi" w:cstheme="minorHAnsi"/>
                <w:color w:val="000000"/>
                <w:sz w:val="20"/>
                <w:szCs w:val="20"/>
              </w:rPr>
              <w:t>90</w:t>
            </w:r>
          </w:p>
        </w:tc>
        <w:tc>
          <w:tcPr>
            <w:tcW w:w="2147" w:type="dxa"/>
            <w:noWrap/>
            <w:tcMar>
              <w:left w:w="58" w:type="dxa"/>
              <w:right w:w="58" w:type="dxa"/>
            </w:tcMar>
            <w:vAlign w:val="bottom"/>
            <w:hideMark/>
          </w:tcPr>
          <w:p w14:paraId="510A5890" w14:textId="77777777" w:rsidR="00876765" w:rsidRPr="00042234" w:rsidRDefault="00876765" w:rsidP="00042234">
            <w:pPr>
              <w:keepNext/>
              <w:spacing w:after="0" w:line="240" w:lineRule="auto"/>
              <w:jc w:val="center"/>
              <w:rPr>
                <w:rFonts w:asciiTheme="minorHAnsi" w:hAnsiTheme="minorHAnsi" w:cstheme="minorHAnsi"/>
                <w:color w:val="000000"/>
                <w:sz w:val="20"/>
                <w:szCs w:val="20"/>
              </w:rPr>
            </w:pPr>
            <w:r w:rsidRPr="00042234">
              <w:rPr>
                <w:rFonts w:asciiTheme="minorHAnsi" w:hAnsiTheme="minorHAnsi" w:cstheme="minorHAnsi"/>
                <w:color w:val="000000"/>
                <w:sz w:val="20"/>
                <w:szCs w:val="20"/>
              </w:rPr>
              <w:t>75</w:t>
            </w:r>
          </w:p>
        </w:tc>
        <w:tc>
          <w:tcPr>
            <w:tcW w:w="2205" w:type="dxa"/>
            <w:noWrap/>
            <w:tcMar>
              <w:left w:w="58" w:type="dxa"/>
              <w:right w:w="58" w:type="dxa"/>
            </w:tcMar>
            <w:vAlign w:val="bottom"/>
            <w:hideMark/>
          </w:tcPr>
          <w:p w14:paraId="14F45E49" w14:textId="77777777" w:rsidR="00876765" w:rsidRPr="00042234" w:rsidRDefault="00876765" w:rsidP="00042234">
            <w:pPr>
              <w:keepNext/>
              <w:spacing w:after="0" w:line="240" w:lineRule="auto"/>
              <w:jc w:val="center"/>
              <w:rPr>
                <w:rFonts w:asciiTheme="minorHAnsi" w:hAnsiTheme="minorHAnsi" w:cstheme="minorHAnsi"/>
                <w:color w:val="000000"/>
                <w:sz w:val="20"/>
                <w:szCs w:val="20"/>
              </w:rPr>
            </w:pPr>
            <w:r w:rsidRPr="00042234">
              <w:rPr>
                <w:rFonts w:asciiTheme="minorHAnsi" w:hAnsiTheme="minorHAnsi" w:cstheme="minorHAnsi"/>
                <w:color w:val="000000"/>
                <w:sz w:val="20"/>
                <w:szCs w:val="20"/>
              </w:rPr>
              <w:t>90</w:t>
            </w:r>
          </w:p>
        </w:tc>
        <w:tc>
          <w:tcPr>
            <w:tcW w:w="2325" w:type="dxa"/>
            <w:noWrap/>
            <w:tcMar>
              <w:left w:w="58" w:type="dxa"/>
              <w:right w:w="58" w:type="dxa"/>
            </w:tcMar>
            <w:vAlign w:val="bottom"/>
            <w:hideMark/>
          </w:tcPr>
          <w:p w14:paraId="7DD1E56A" w14:textId="77777777" w:rsidR="00876765" w:rsidRPr="00042234" w:rsidRDefault="00876765" w:rsidP="00042234">
            <w:pPr>
              <w:keepNext/>
              <w:spacing w:after="0" w:line="240" w:lineRule="auto"/>
              <w:jc w:val="center"/>
              <w:rPr>
                <w:rFonts w:asciiTheme="minorHAnsi" w:hAnsiTheme="minorHAnsi" w:cstheme="minorHAnsi"/>
                <w:color w:val="000000"/>
                <w:sz w:val="20"/>
                <w:szCs w:val="20"/>
              </w:rPr>
            </w:pPr>
            <w:r w:rsidRPr="00042234">
              <w:rPr>
                <w:rFonts w:asciiTheme="minorHAnsi" w:hAnsiTheme="minorHAnsi" w:cstheme="minorHAnsi"/>
                <w:color w:val="000000"/>
                <w:sz w:val="20"/>
                <w:szCs w:val="20"/>
              </w:rPr>
              <w:t>106</w:t>
            </w:r>
          </w:p>
        </w:tc>
      </w:tr>
      <w:tr w:rsidR="00943B8F" w:rsidRPr="00042234" w14:paraId="09E0FAE3" w14:textId="77777777" w:rsidTr="00683AA5">
        <w:trPr>
          <w:trHeight w:val="285"/>
          <w:tblHeader/>
          <w:jc w:val="center"/>
        </w:trPr>
        <w:tc>
          <w:tcPr>
            <w:tcW w:w="760" w:type="dxa"/>
            <w:noWrap/>
            <w:tcMar>
              <w:left w:w="58" w:type="dxa"/>
              <w:right w:w="58" w:type="dxa"/>
            </w:tcMar>
            <w:vAlign w:val="bottom"/>
            <w:hideMark/>
          </w:tcPr>
          <w:p w14:paraId="5A99CD12" w14:textId="77777777" w:rsidR="00876765" w:rsidRPr="00042234" w:rsidRDefault="00876765" w:rsidP="00042234">
            <w:pPr>
              <w:keepNext/>
              <w:spacing w:after="0" w:line="240" w:lineRule="auto"/>
              <w:jc w:val="center"/>
              <w:rPr>
                <w:rFonts w:asciiTheme="minorHAnsi" w:hAnsiTheme="minorHAnsi" w:cstheme="minorHAnsi"/>
                <w:color w:val="000000"/>
                <w:sz w:val="20"/>
                <w:szCs w:val="20"/>
              </w:rPr>
            </w:pPr>
            <w:r w:rsidRPr="00042234">
              <w:rPr>
                <w:rFonts w:asciiTheme="minorHAnsi" w:hAnsiTheme="minorHAnsi" w:cstheme="minorHAnsi"/>
                <w:color w:val="000000"/>
                <w:sz w:val="20"/>
                <w:szCs w:val="20"/>
              </w:rPr>
              <w:t>91</w:t>
            </w:r>
          </w:p>
        </w:tc>
        <w:tc>
          <w:tcPr>
            <w:tcW w:w="2147" w:type="dxa"/>
            <w:noWrap/>
            <w:tcMar>
              <w:left w:w="58" w:type="dxa"/>
              <w:right w:w="58" w:type="dxa"/>
            </w:tcMar>
            <w:vAlign w:val="bottom"/>
            <w:hideMark/>
          </w:tcPr>
          <w:p w14:paraId="595D0FDE" w14:textId="77777777" w:rsidR="00876765" w:rsidRPr="00042234" w:rsidRDefault="00876765" w:rsidP="00042234">
            <w:pPr>
              <w:keepNext/>
              <w:spacing w:after="0" w:line="240" w:lineRule="auto"/>
              <w:jc w:val="center"/>
              <w:rPr>
                <w:rFonts w:asciiTheme="minorHAnsi" w:hAnsiTheme="minorHAnsi" w:cstheme="minorHAnsi"/>
                <w:color w:val="000000"/>
                <w:sz w:val="20"/>
                <w:szCs w:val="20"/>
              </w:rPr>
            </w:pPr>
            <w:r w:rsidRPr="00042234">
              <w:rPr>
                <w:rFonts w:asciiTheme="minorHAnsi" w:hAnsiTheme="minorHAnsi" w:cstheme="minorHAnsi"/>
                <w:color w:val="000000"/>
                <w:sz w:val="20"/>
                <w:szCs w:val="20"/>
              </w:rPr>
              <w:t>72.7</w:t>
            </w:r>
          </w:p>
        </w:tc>
        <w:tc>
          <w:tcPr>
            <w:tcW w:w="2205" w:type="dxa"/>
            <w:noWrap/>
            <w:tcMar>
              <w:left w:w="58" w:type="dxa"/>
              <w:right w:w="58" w:type="dxa"/>
            </w:tcMar>
            <w:vAlign w:val="bottom"/>
            <w:hideMark/>
          </w:tcPr>
          <w:p w14:paraId="623699CE" w14:textId="77777777" w:rsidR="00876765" w:rsidRPr="00042234" w:rsidRDefault="00876765" w:rsidP="00042234">
            <w:pPr>
              <w:keepNext/>
              <w:spacing w:after="0" w:line="240" w:lineRule="auto"/>
              <w:jc w:val="center"/>
              <w:rPr>
                <w:rFonts w:asciiTheme="minorHAnsi" w:hAnsiTheme="minorHAnsi" w:cstheme="minorHAnsi"/>
                <w:color w:val="000000"/>
                <w:sz w:val="20"/>
                <w:szCs w:val="20"/>
              </w:rPr>
            </w:pPr>
            <w:r w:rsidRPr="00042234">
              <w:rPr>
                <w:rFonts w:asciiTheme="minorHAnsi" w:hAnsiTheme="minorHAnsi" w:cstheme="minorHAnsi"/>
                <w:color w:val="000000"/>
                <w:sz w:val="20"/>
                <w:szCs w:val="20"/>
              </w:rPr>
              <w:t>87.7</w:t>
            </w:r>
          </w:p>
        </w:tc>
        <w:tc>
          <w:tcPr>
            <w:tcW w:w="2325" w:type="dxa"/>
            <w:noWrap/>
            <w:tcMar>
              <w:left w:w="58" w:type="dxa"/>
              <w:right w:w="58" w:type="dxa"/>
            </w:tcMar>
            <w:vAlign w:val="bottom"/>
            <w:hideMark/>
          </w:tcPr>
          <w:p w14:paraId="63B74BBA" w14:textId="77777777" w:rsidR="00876765" w:rsidRPr="00042234" w:rsidRDefault="00876765" w:rsidP="00042234">
            <w:pPr>
              <w:keepNext/>
              <w:spacing w:after="0" w:line="240" w:lineRule="auto"/>
              <w:jc w:val="center"/>
              <w:rPr>
                <w:rFonts w:asciiTheme="minorHAnsi" w:hAnsiTheme="minorHAnsi" w:cstheme="minorHAnsi"/>
                <w:color w:val="000000"/>
                <w:sz w:val="20"/>
                <w:szCs w:val="20"/>
              </w:rPr>
            </w:pPr>
            <w:r w:rsidRPr="00042234">
              <w:rPr>
                <w:rFonts w:asciiTheme="minorHAnsi" w:hAnsiTheme="minorHAnsi" w:cstheme="minorHAnsi"/>
                <w:color w:val="000000"/>
                <w:sz w:val="20"/>
                <w:szCs w:val="20"/>
              </w:rPr>
              <w:t>103.7</w:t>
            </w:r>
          </w:p>
        </w:tc>
      </w:tr>
      <w:tr w:rsidR="00943B8F" w:rsidRPr="00042234" w14:paraId="0E9BAA21" w14:textId="77777777" w:rsidTr="00683AA5">
        <w:trPr>
          <w:trHeight w:val="285"/>
          <w:tblHeader/>
          <w:jc w:val="center"/>
        </w:trPr>
        <w:tc>
          <w:tcPr>
            <w:tcW w:w="760" w:type="dxa"/>
            <w:noWrap/>
            <w:tcMar>
              <w:left w:w="58" w:type="dxa"/>
              <w:right w:w="58" w:type="dxa"/>
            </w:tcMar>
            <w:vAlign w:val="bottom"/>
            <w:hideMark/>
          </w:tcPr>
          <w:p w14:paraId="1705818D" w14:textId="77777777" w:rsidR="00876765" w:rsidRPr="00042234" w:rsidRDefault="00876765" w:rsidP="00042234">
            <w:pPr>
              <w:keepNext/>
              <w:spacing w:after="0" w:line="240" w:lineRule="auto"/>
              <w:jc w:val="center"/>
              <w:rPr>
                <w:rFonts w:asciiTheme="minorHAnsi" w:hAnsiTheme="minorHAnsi" w:cstheme="minorHAnsi"/>
                <w:color w:val="000000"/>
                <w:sz w:val="20"/>
                <w:szCs w:val="20"/>
              </w:rPr>
            </w:pPr>
            <w:r w:rsidRPr="00042234">
              <w:rPr>
                <w:rFonts w:asciiTheme="minorHAnsi" w:hAnsiTheme="minorHAnsi" w:cstheme="minorHAnsi"/>
                <w:color w:val="000000"/>
                <w:sz w:val="20"/>
                <w:szCs w:val="20"/>
              </w:rPr>
              <w:t>92</w:t>
            </w:r>
          </w:p>
        </w:tc>
        <w:tc>
          <w:tcPr>
            <w:tcW w:w="2147" w:type="dxa"/>
            <w:noWrap/>
            <w:tcMar>
              <w:left w:w="58" w:type="dxa"/>
              <w:right w:w="58" w:type="dxa"/>
            </w:tcMar>
            <w:vAlign w:val="bottom"/>
            <w:hideMark/>
          </w:tcPr>
          <w:p w14:paraId="4947C2B5" w14:textId="77777777" w:rsidR="00876765" w:rsidRPr="00042234" w:rsidRDefault="00876765" w:rsidP="00042234">
            <w:pPr>
              <w:keepNext/>
              <w:spacing w:after="0" w:line="240" w:lineRule="auto"/>
              <w:jc w:val="center"/>
              <w:rPr>
                <w:rFonts w:asciiTheme="minorHAnsi" w:hAnsiTheme="minorHAnsi" w:cstheme="minorHAnsi"/>
                <w:color w:val="000000"/>
                <w:sz w:val="20"/>
                <w:szCs w:val="20"/>
              </w:rPr>
            </w:pPr>
            <w:r w:rsidRPr="00042234">
              <w:rPr>
                <w:rFonts w:asciiTheme="minorHAnsi" w:hAnsiTheme="minorHAnsi" w:cstheme="minorHAnsi"/>
                <w:color w:val="000000"/>
                <w:sz w:val="20"/>
                <w:szCs w:val="20"/>
              </w:rPr>
              <w:t>70.4</w:t>
            </w:r>
          </w:p>
        </w:tc>
        <w:tc>
          <w:tcPr>
            <w:tcW w:w="2205" w:type="dxa"/>
            <w:noWrap/>
            <w:tcMar>
              <w:left w:w="58" w:type="dxa"/>
              <w:right w:w="58" w:type="dxa"/>
            </w:tcMar>
            <w:vAlign w:val="bottom"/>
            <w:hideMark/>
          </w:tcPr>
          <w:p w14:paraId="61057457" w14:textId="77777777" w:rsidR="00876765" w:rsidRPr="00042234" w:rsidRDefault="00876765" w:rsidP="00042234">
            <w:pPr>
              <w:keepNext/>
              <w:spacing w:after="0" w:line="240" w:lineRule="auto"/>
              <w:jc w:val="center"/>
              <w:rPr>
                <w:rFonts w:asciiTheme="minorHAnsi" w:hAnsiTheme="minorHAnsi" w:cstheme="minorHAnsi"/>
                <w:color w:val="000000"/>
                <w:sz w:val="20"/>
                <w:szCs w:val="20"/>
              </w:rPr>
            </w:pPr>
            <w:r w:rsidRPr="00042234">
              <w:rPr>
                <w:rFonts w:asciiTheme="minorHAnsi" w:hAnsiTheme="minorHAnsi" w:cstheme="minorHAnsi"/>
                <w:color w:val="000000"/>
                <w:sz w:val="20"/>
                <w:szCs w:val="20"/>
              </w:rPr>
              <w:t>85.4</w:t>
            </w:r>
          </w:p>
        </w:tc>
        <w:tc>
          <w:tcPr>
            <w:tcW w:w="2325" w:type="dxa"/>
            <w:noWrap/>
            <w:tcMar>
              <w:left w:w="58" w:type="dxa"/>
              <w:right w:w="58" w:type="dxa"/>
            </w:tcMar>
            <w:vAlign w:val="bottom"/>
            <w:hideMark/>
          </w:tcPr>
          <w:p w14:paraId="294D1E99" w14:textId="77777777" w:rsidR="00876765" w:rsidRPr="00042234" w:rsidRDefault="00876765" w:rsidP="00042234">
            <w:pPr>
              <w:keepNext/>
              <w:spacing w:after="0" w:line="240" w:lineRule="auto"/>
              <w:jc w:val="center"/>
              <w:rPr>
                <w:rFonts w:asciiTheme="minorHAnsi" w:hAnsiTheme="minorHAnsi" w:cstheme="minorHAnsi"/>
                <w:color w:val="000000"/>
                <w:sz w:val="20"/>
                <w:szCs w:val="20"/>
              </w:rPr>
            </w:pPr>
            <w:r w:rsidRPr="00042234">
              <w:rPr>
                <w:rFonts w:asciiTheme="minorHAnsi" w:hAnsiTheme="minorHAnsi" w:cstheme="minorHAnsi"/>
                <w:color w:val="000000"/>
                <w:sz w:val="20"/>
                <w:szCs w:val="20"/>
              </w:rPr>
              <w:t>101.4</w:t>
            </w:r>
          </w:p>
        </w:tc>
      </w:tr>
      <w:tr w:rsidR="00943B8F" w:rsidRPr="00042234" w14:paraId="10AB521C" w14:textId="77777777" w:rsidTr="00683AA5">
        <w:trPr>
          <w:trHeight w:val="285"/>
          <w:tblHeader/>
          <w:jc w:val="center"/>
        </w:trPr>
        <w:tc>
          <w:tcPr>
            <w:tcW w:w="760" w:type="dxa"/>
            <w:noWrap/>
            <w:tcMar>
              <w:left w:w="58" w:type="dxa"/>
              <w:right w:w="58" w:type="dxa"/>
            </w:tcMar>
            <w:vAlign w:val="bottom"/>
            <w:hideMark/>
          </w:tcPr>
          <w:p w14:paraId="04DA5F9A" w14:textId="77777777" w:rsidR="00876765" w:rsidRPr="00042234" w:rsidRDefault="00876765" w:rsidP="00042234">
            <w:pPr>
              <w:keepNext/>
              <w:spacing w:after="0" w:line="240" w:lineRule="auto"/>
              <w:jc w:val="center"/>
              <w:rPr>
                <w:rFonts w:asciiTheme="minorHAnsi" w:hAnsiTheme="minorHAnsi" w:cstheme="minorHAnsi"/>
                <w:color w:val="000000"/>
                <w:sz w:val="20"/>
                <w:szCs w:val="20"/>
              </w:rPr>
            </w:pPr>
            <w:r w:rsidRPr="00042234">
              <w:rPr>
                <w:rFonts w:asciiTheme="minorHAnsi" w:hAnsiTheme="minorHAnsi" w:cstheme="minorHAnsi"/>
                <w:color w:val="000000"/>
                <w:sz w:val="20"/>
                <w:szCs w:val="20"/>
              </w:rPr>
              <w:t>93</w:t>
            </w:r>
          </w:p>
        </w:tc>
        <w:tc>
          <w:tcPr>
            <w:tcW w:w="2147" w:type="dxa"/>
            <w:noWrap/>
            <w:tcMar>
              <w:left w:w="58" w:type="dxa"/>
              <w:right w:w="58" w:type="dxa"/>
            </w:tcMar>
            <w:vAlign w:val="bottom"/>
            <w:hideMark/>
          </w:tcPr>
          <w:p w14:paraId="48923F7B" w14:textId="77777777" w:rsidR="00876765" w:rsidRPr="00042234" w:rsidRDefault="00876765" w:rsidP="00042234">
            <w:pPr>
              <w:keepNext/>
              <w:spacing w:after="0" w:line="240" w:lineRule="auto"/>
              <w:jc w:val="center"/>
              <w:rPr>
                <w:rFonts w:asciiTheme="minorHAnsi" w:hAnsiTheme="minorHAnsi" w:cstheme="minorHAnsi"/>
                <w:color w:val="000000"/>
                <w:sz w:val="20"/>
                <w:szCs w:val="20"/>
              </w:rPr>
            </w:pPr>
            <w:r w:rsidRPr="00042234">
              <w:rPr>
                <w:rFonts w:asciiTheme="minorHAnsi" w:hAnsiTheme="minorHAnsi" w:cstheme="minorHAnsi"/>
                <w:color w:val="000000"/>
                <w:sz w:val="20"/>
                <w:szCs w:val="20"/>
              </w:rPr>
              <w:t>68.1</w:t>
            </w:r>
          </w:p>
        </w:tc>
        <w:tc>
          <w:tcPr>
            <w:tcW w:w="2205" w:type="dxa"/>
            <w:noWrap/>
            <w:tcMar>
              <w:left w:w="58" w:type="dxa"/>
              <w:right w:w="58" w:type="dxa"/>
            </w:tcMar>
            <w:vAlign w:val="bottom"/>
            <w:hideMark/>
          </w:tcPr>
          <w:p w14:paraId="2D9A35CA" w14:textId="77777777" w:rsidR="00876765" w:rsidRPr="00042234" w:rsidRDefault="00876765" w:rsidP="00042234">
            <w:pPr>
              <w:keepNext/>
              <w:spacing w:after="0" w:line="240" w:lineRule="auto"/>
              <w:jc w:val="center"/>
              <w:rPr>
                <w:rFonts w:asciiTheme="minorHAnsi" w:hAnsiTheme="minorHAnsi" w:cstheme="minorHAnsi"/>
                <w:color w:val="000000"/>
                <w:sz w:val="20"/>
                <w:szCs w:val="20"/>
              </w:rPr>
            </w:pPr>
            <w:r w:rsidRPr="00042234">
              <w:rPr>
                <w:rFonts w:asciiTheme="minorHAnsi" w:hAnsiTheme="minorHAnsi" w:cstheme="minorHAnsi"/>
                <w:color w:val="000000"/>
                <w:sz w:val="20"/>
                <w:szCs w:val="20"/>
              </w:rPr>
              <w:t>83.1</w:t>
            </w:r>
          </w:p>
        </w:tc>
        <w:tc>
          <w:tcPr>
            <w:tcW w:w="2325" w:type="dxa"/>
            <w:noWrap/>
            <w:tcMar>
              <w:left w:w="58" w:type="dxa"/>
              <w:right w:w="58" w:type="dxa"/>
            </w:tcMar>
            <w:vAlign w:val="bottom"/>
            <w:hideMark/>
          </w:tcPr>
          <w:p w14:paraId="100E53A3" w14:textId="77777777" w:rsidR="00876765" w:rsidRPr="00042234" w:rsidRDefault="00876765" w:rsidP="00042234">
            <w:pPr>
              <w:keepNext/>
              <w:spacing w:after="0" w:line="240" w:lineRule="auto"/>
              <w:jc w:val="center"/>
              <w:rPr>
                <w:rFonts w:asciiTheme="minorHAnsi" w:hAnsiTheme="minorHAnsi" w:cstheme="minorHAnsi"/>
                <w:color w:val="000000"/>
                <w:sz w:val="20"/>
                <w:szCs w:val="20"/>
              </w:rPr>
            </w:pPr>
            <w:r w:rsidRPr="00042234">
              <w:rPr>
                <w:rFonts w:asciiTheme="minorHAnsi" w:hAnsiTheme="minorHAnsi" w:cstheme="minorHAnsi"/>
                <w:color w:val="000000"/>
                <w:sz w:val="20"/>
                <w:szCs w:val="20"/>
              </w:rPr>
              <w:t>99.1</w:t>
            </w:r>
          </w:p>
        </w:tc>
      </w:tr>
      <w:tr w:rsidR="00943B8F" w:rsidRPr="00042234" w14:paraId="0F67A3DE" w14:textId="77777777" w:rsidTr="00683AA5">
        <w:trPr>
          <w:trHeight w:val="285"/>
          <w:tblHeader/>
          <w:jc w:val="center"/>
        </w:trPr>
        <w:tc>
          <w:tcPr>
            <w:tcW w:w="760" w:type="dxa"/>
            <w:noWrap/>
            <w:tcMar>
              <w:left w:w="58" w:type="dxa"/>
              <w:right w:w="58" w:type="dxa"/>
            </w:tcMar>
            <w:vAlign w:val="bottom"/>
            <w:hideMark/>
          </w:tcPr>
          <w:p w14:paraId="1779B100" w14:textId="77777777" w:rsidR="00876765" w:rsidRPr="00042234" w:rsidRDefault="00876765" w:rsidP="00042234">
            <w:pPr>
              <w:keepNext/>
              <w:spacing w:after="0" w:line="240" w:lineRule="auto"/>
              <w:jc w:val="center"/>
              <w:rPr>
                <w:rFonts w:asciiTheme="minorHAnsi" w:hAnsiTheme="minorHAnsi" w:cstheme="minorHAnsi"/>
                <w:color w:val="000000"/>
                <w:sz w:val="20"/>
                <w:szCs w:val="20"/>
              </w:rPr>
            </w:pPr>
            <w:r w:rsidRPr="00042234">
              <w:rPr>
                <w:rFonts w:asciiTheme="minorHAnsi" w:hAnsiTheme="minorHAnsi" w:cstheme="minorHAnsi"/>
                <w:color w:val="000000"/>
                <w:sz w:val="20"/>
                <w:szCs w:val="20"/>
              </w:rPr>
              <w:t>94</w:t>
            </w:r>
          </w:p>
        </w:tc>
        <w:tc>
          <w:tcPr>
            <w:tcW w:w="2147" w:type="dxa"/>
            <w:noWrap/>
            <w:tcMar>
              <w:left w:w="58" w:type="dxa"/>
              <w:right w:w="58" w:type="dxa"/>
            </w:tcMar>
            <w:vAlign w:val="bottom"/>
            <w:hideMark/>
          </w:tcPr>
          <w:p w14:paraId="328802A6" w14:textId="77777777" w:rsidR="00876765" w:rsidRPr="00042234" w:rsidRDefault="00876765" w:rsidP="00042234">
            <w:pPr>
              <w:keepNext/>
              <w:spacing w:after="0" w:line="240" w:lineRule="auto"/>
              <w:jc w:val="center"/>
              <w:rPr>
                <w:rFonts w:asciiTheme="minorHAnsi" w:hAnsiTheme="minorHAnsi" w:cstheme="minorHAnsi"/>
                <w:color w:val="000000"/>
                <w:sz w:val="20"/>
                <w:szCs w:val="20"/>
              </w:rPr>
            </w:pPr>
            <w:r w:rsidRPr="00042234">
              <w:rPr>
                <w:rFonts w:asciiTheme="minorHAnsi" w:hAnsiTheme="minorHAnsi" w:cstheme="minorHAnsi"/>
                <w:color w:val="000000"/>
                <w:sz w:val="20"/>
                <w:szCs w:val="20"/>
              </w:rPr>
              <w:t>68</w:t>
            </w:r>
          </w:p>
        </w:tc>
        <w:tc>
          <w:tcPr>
            <w:tcW w:w="2205" w:type="dxa"/>
            <w:noWrap/>
            <w:tcMar>
              <w:left w:w="58" w:type="dxa"/>
              <w:right w:w="58" w:type="dxa"/>
            </w:tcMar>
            <w:vAlign w:val="bottom"/>
            <w:hideMark/>
          </w:tcPr>
          <w:p w14:paraId="26DA763E" w14:textId="77777777" w:rsidR="00876765" w:rsidRPr="00042234" w:rsidRDefault="00876765" w:rsidP="00042234">
            <w:pPr>
              <w:keepNext/>
              <w:spacing w:after="0" w:line="240" w:lineRule="auto"/>
              <w:jc w:val="center"/>
              <w:rPr>
                <w:rFonts w:asciiTheme="minorHAnsi" w:hAnsiTheme="minorHAnsi" w:cstheme="minorHAnsi"/>
                <w:color w:val="000000"/>
                <w:sz w:val="20"/>
                <w:szCs w:val="20"/>
              </w:rPr>
            </w:pPr>
            <w:r w:rsidRPr="00042234">
              <w:rPr>
                <w:rFonts w:asciiTheme="minorHAnsi" w:hAnsiTheme="minorHAnsi" w:cstheme="minorHAnsi"/>
                <w:color w:val="000000"/>
                <w:sz w:val="20"/>
                <w:szCs w:val="20"/>
              </w:rPr>
              <w:t>80.8</w:t>
            </w:r>
          </w:p>
        </w:tc>
        <w:tc>
          <w:tcPr>
            <w:tcW w:w="2325" w:type="dxa"/>
            <w:noWrap/>
            <w:tcMar>
              <w:left w:w="58" w:type="dxa"/>
              <w:right w:w="58" w:type="dxa"/>
            </w:tcMar>
            <w:vAlign w:val="bottom"/>
            <w:hideMark/>
          </w:tcPr>
          <w:p w14:paraId="25F6FD7E" w14:textId="77777777" w:rsidR="00876765" w:rsidRPr="00042234" w:rsidRDefault="00876765" w:rsidP="00042234">
            <w:pPr>
              <w:keepNext/>
              <w:spacing w:after="0" w:line="240" w:lineRule="auto"/>
              <w:jc w:val="center"/>
              <w:rPr>
                <w:rFonts w:asciiTheme="minorHAnsi" w:hAnsiTheme="minorHAnsi" w:cstheme="minorHAnsi"/>
                <w:color w:val="000000"/>
                <w:sz w:val="20"/>
                <w:szCs w:val="20"/>
              </w:rPr>
            </w:pPr>
            <w:r w:rsidRPr="00042234">
              <w:rPr>
                <w:rFonts w:asciiTheme="minorHAnsi" w:hAnsiTheme="minorHAnsi" w:cstheme="minorHAnsi"/>
                <w:color w:val="000000"/>
                <w:sz w:val="20"/>
                <w:szCs w:val="20"/>
              </w:rPr>
              <w:t>96.8</w:t>
            </w:r>
          </w:p>
        </w:tc>
      </w:tr>
      <w:tr w:rsidR="00943B8F" w:rsidRPr="00042234" w14:paraId="28EA094A" w14:textId="77777777" w:rsidTr="00683AA5">
        <w:trPr>
          <w:trHeight w:val="285"/>
          <w:tblHeader/>
          <w:jc w:val="center"/>
        </w:trPr>
        <w:tc>
          <w:tcPr>
            <w:tcW w:w="760" w:type="dxa"/>
            <w:noWrap/>
            <w:tcMar>
              <w:left w:w="58" w:type="dxa"/>
              <w:right w:w="58" w:type="dxa"/>
            </w:tcMar>
            <w:vAlign w:val="bottom"/>
            <w:hideMark/>
          </w:tcPr>
          <w:p w14:paraId="16062E01" w14:textId="77777777" w:rsidR="00876765" w:rsidRPr="00042234" w:rsidRDefault="00876765" w:rsidP="00042234">
            <w:pPr>
              <w:keepNext/>
              <w:spacing w:after="0" w:line="240" w:lineRule="auto"/>
              <w:jc w:val="center"/>
              <w:rPr>
                <w:rFonts w:asciiTheme="minorHAnsi" w:hAnsiTheme="minorHAnsi" w:cstheme="minorHAnsi"/>
                <w:color w:val="000000"/>
                <w:sz w:val="20"/>
                <w:szCs w:val="20"/>
              </w:rPr>
            </w:pPr>
            <w:r w:rsidRPr="00042234">
              <w:rPr>
                <w:rFonts w:asciiTheme="minorHAnsi" w:hAnsiTheme="minorHAnsi" w:cstheme="minorHAnsi"/>
                <w:color w:val="000000"/>
                <w:sz w:val="20"/>
                <w:szCs w:val="20"/>
              </w:rPr>
              <w:t>95</w:t>
            </w:r>
          </w:p>
        </w:tc>
        <w:tc>
          <w:tcPr>
            <w:tcW w:w="2147" w:type="dxa"/>
            <w:noWrap/>
            <w:tcMar>
              <w:left w:w="58" w:type="dxa"/>
              <w:right w:w="58" w:type="dxa"/>
            </w:tcMar>
            <w:vAlign w:val="bottom"/>
            <w:hideMark/>
          </w:tcPr>
          <w:p w14:paraId="061F923E" w14:textId="77777777" w:rsidR="00876765" w:rsidRPr="00042234" w:rsidRDefault="00876765" w:rsidP="00042234">
            <w:pPr>
              <w:keepNext/>
              <w:spacing w:after="0" w:line="240" w:lineRule="auto"/>
              <w:jc w:val="center"/>
              <w:rPr>
                <w:rFonts w:asciiTheme="minorHAnsi" w:hAnsiTheme="minorHAnsi" w:cstheme="minorHAnsi"/>
                <w:color w:val="000000"/>
                <w:sz w:val="20"/>
                <w:szCs w:val="20"/>
              </w:rPr>
            </w:pPr>
            <w:r w:rsidRPr="00042234">
              <w:rPr>
                <w:rFonts w:asciiTheme="minorHAnsi" w:hAnsiTheme="minorHAnsi" w:cstheme="minorHAnsi"/>
                <w:color w:val="000000"/>
                <w:sz w:val="20"/>
                <w:szCs w:val="20"/>
              </w:rPr>
              <w:t>68</w:t>
            </w:r>
          </w:p>
        </w:tc>
        <w:tc>
          <w:tcPr>
            <w:tcW w:w="2205" w:type="dxa"/>
            <w:noWrap/>
            <w:tcMar>
              <w:left w:w="58" w:type="dxa"/>
              <w:right w:w="58" w:type="dxa"/>
            </w:tcMar>
            <w:vAlign w:val="bottom"/>
            <w:hideMark/>
          </w:tcPr>
          <w:p w14:paraId="0439F8A5" w14:textId="77777777" w:rsidR="00876765" w:rsidRPr="00042234" w:rsidRDefault="00876765" w:rsidP="00042234">
            <w:pPr>
              <w:keepNext/>
              <w:spacing w:after="0" w:line="240" w:lineRule="auto"/>
              <w:jc w:val="center"/>
              <w:rPr>
                <w:rFonts w:asciiTheme="minorHAnsi" w:hAnsiTheme="minorHAnsi" w:cstheme="minorHAnsi"/>
                <w:color w:val="000000"/>
                <w:sz w:val="20"/>
                <w:szCs w:val="20"/>
              </w:rPr>
            </w:pPr>
            <w:r w:rsidRPr="00042234">
              <w:rPr>
                <w:rFonts w:asciiTheme="minorHAnsi" w:hAnsiTheme="minorHAnsi" w:cstheme="minorHAnsi"/>
                <w:color w:val="000000"/>
                <w:sz w:val="20"/>
                <w:szCs w:val="20"/>
              </w:rPr>
              <w:t>80</w:t>
            </w:r>
          </w:p>
        </w:tc>
        <w:tc>
          <w:tcPr>
            <w:tcW w:w="2325" w:type="dxa"/>
            <w:noWrap/>
            <w:tcMar>
              <w:left w:w="58" w:type="dxa"/>
              <w:right w:w="58" w:type="dxa"/>
            </w:tcMar>
            <w:vAlign w:val="bottom"/>
            <w:hideMark/>
          </w:tcPr>
          <w:p w14:paraId="3F04742F" w14:textId="77777777" w:rsidR="00876765" w:rsidRPr="00042234" w:rsidRDefault="00876765" w:rsidP="00042234">
            <w:pPr>
              <w:keepNext/>
              <w:spacing w:after="0" w:line="240" w:lineRule="auto"/>
              <w:jc w:val="center"/>
              <w:rPr>
                <w:rFonts w:asciiTheme="minorHAnsi" w:hAnsiTheme="minorHAnsi" w:cstheme="minorHAnsi"/>
                <w:color w:val="000000"/>
                <w:sz w:val="20"/>
                <w:szCs w:val="20"/>
              </w:rPr>
            </w:pPr>
            <w:r w:rsidRPr="00042234">
              <w:rPr>
                <w:rFonts w:asciiTheme="minorHAnsi" w:hAnsiTheme="minorHAnsi" w:cstheme="minorHAnsi"/>
                <w:color w:val="000000"/>
                <w:sz w:val="20"/>
                <w:szCs w:val="20"/>
              </w:rPr>
              <w:t>95</w:t>
            </w:r>
          </w:p>
        </w:tc>
      </w:tr>
      <w:tr w:rsidR="00943B8F" w:rsidRPr="00042234" w14:paraId="7F9D5C2B" w14:textId="77777777" w:rsidTr="00683AA5">
        <w:trPr>
          <w:trHeight w:val="285"/>
          <w:tblHeader/>
          <w:jc w:val="center"/>
        </w:trPr>
        <w:tc>
          <w:tcPr>
            <w:tcW w:w="760" w:type="dxa"/>
            <w:noWrap/>
            <w:tcMar>
              <w:left w:w="58" w:type="dxa"/>
              <w:right w:w="58" w:type="dxa"/>
            </w:tcMar>
            <w:vAlign w:val="bottom"/>
            <w:hideMark/>
          </w:tcPr>
          <w:p w14:paraId="35732A09" w14:textId="77777777" w:rsidR="00876765" w:rsidRPr="00042234" w:rsidRDefault="00876765" w:rsidP="00042234">
            <w:pPr>
              <w:keepNext/>
              <w:spacing w:after="0" w:line="240" w:lineRule="auto"/>
              <w:jc w:val="center"/>
              <w:rPr>
                <w:rFonts w:asciiTheme="minorHAnsi" w:hAnsiTheme="minorHAnsi" w:cstheme="minorHAnsi"/>
                <w:color w:val="000000"/>
                <w:sz w:val="20"/>
                <w:szCs w:val="20"/>
              </w:rPr>
            </w:pPr>
            <w:r w:rsidRPr="00042234">
              <w:rPr>
                <w:rFonts w:asciiTheme="minorHAnsi" w:hAnsiTheme="minorHAnsi" w:cstheme="minorHAnsi"/>
                <w:color w:val="000000"/>
                <w:sz w:val="20"/>
                <w:szCs w:val="20"/>
              </w:rPr>
              <w:t>96</w:t>
            </w:r>
          </w:p>
        </w:tc>
        <w:tc>
          <w:tcPr>
            <w:tcW w:w="2147" w:type="dxa"/>
            <w:noWrap/>
            <w:tcMar>
              <w:left w:w="58" w:type="dxa"/>
              <w:right w:w="58" w:type="dxa"/>
            </w:tcMar>
            <w:vAlign w:val="bottom"/>
            <w:hideMark/>
          </w:tcPr>
          <w:p w14:paraId="1E20600E" w14:textId="77777777" w:rsidR="00876765" w:rsidRPr="00042234" w:rsidRDefault="00876765" w:rsidP="00042234">
            <w:pPr>
              <w:keepNext/>
              <w:spacing w:after="0" w:line="240" w:lineRule="auto"/>
              <w:jc w:val="center"/>
              <w:rPr>
                <w:rFonts w:asciiTheme="minorHAnsi" w:hAnsiTheme="minorHAnsi" w:cstheme="minorHAnsi"/>
                <w:color w:val="000000"/>
                <w:sz w:val="20"/>
                <w:szCs w:val="20"/>
              </w:rPr>
            </w:pPr>
            <w:r w:rsidRPr="00042234">
              <w:rPr>
                <w:rFonts w:asciiTheme="minorHAnsi" w:hAnsiTheme="minorHAnsi" w:cstheme="minorHAnsi"/>
                <w:color w:val="000000"/>
                <w:sz w:val="20"/>
                <w:szCs w:val="20"/>
              </w:rPr>
              <w:t>68</w:t>
            </w:r>
          </w:p>
        </w:tc>
        <w:tc>
          <w:tcPr>
            <w:tcW w:w="2205" w:type="dxa"/>
            <w:noWrap/>
            <w:tcMar>
              <w:left w:w="58" w:type="dxa"/>
              <w:right w:w="58" w:type="dxa"/>
            </w:tcMar>
            <w:vAlign w:val="bottom"/>
            <w:hideMark/>
          </w:tcPr>
          <w:p w14:paraId="5B11C92F" w14:textId="77777777" w:rsidR="00876765" w:rsidRPr="00042234" w:rsidRDefault="00876765" w:rsidP="00042234">
            <w:pPr>
              <w:keepNext/>
              <w:spacing w:after="0" w:line="240" w:lineRule="auto"/>
              <w:jc w:val="center"/>
              <w:rPr>
                <w:rFonts w:asciiTheme="minorHAnsi" w:hAnsiTheme="minorHAnsi" w:cstheme="minorHAnsi"/>
                <w:color w:val="000000"/>
                <w:sz w:val="20"/>
                <w:szCs w:val="20"/>
              </w:rPr>
            </w:pPr>
            <w:r w:rsidRPr="00042234">
              <w:rPr>
                <w:rFonts w:asciiTheme="minorHAnsi" w:hAnsiTheme="minorHAnsi" w:cstheme="minorHAnsi"/>
                <w:color w:val="000000"/>
                <w:sz w:val="20"/>
                <w:szCs w:val="20"/>
              </w:rPr>
              <w:t>80</w:t>
            </w:r>
          </w:p>
        </w:tc>
        <w:tc>
          <w:tcPr>
            <w:tcW w:w="2325" w:type="dxa"/>
            <w:noWrap/>
            <w:tcMar>
              <w:left w:w="58" w:type="dxa"/>
              <w:right w:w="58" w:type="dxa"/>
            </w:tcMar>
            <w:vAlign w:val="bottom"/>
            <w:hideMark/>
          </w:tcPr>
          <w:p w14:paraId="545FF095" w14:textId="77777777" w:rsidR="00876765" w:rsidRPr="00042234" w:rsidRDefault="00876765" w:rsidP="00042234">
            <w:pPr>
              <w:keepNext/>
              <w:spacing w:after="0" w:line="240" w:lineRule="auto"/>
              <w:jc w:val="center"/>
              <w:rPr>
                <w:rFonts w:asciiTheme="minorHAnsi" w:hAnsiTheme="minorHAnsi" w:cstheme="minorHAnsi"/>
                <w:color w:val="000000"/>
                <w:sz w:val="20"/>
                <w:szCs w:val="20"/>
              </w:rPr>
            </w:pPr>
            <w:r w:rsidRPr="00042234">
              <w:rPr>
                <w:rFonts w:asciiTheme="minorHAnsi" w:hAnsiTheme="minorHAnsi" w:cstheme="minorHAnsi"/>
                <w:color w:val="000000"/>
                <w:sz w:val="20"/>
                <w:szCs w:val="20"/>
              </w:rPr>
              <w:t>95</w:t>
            </w:r>
          </w:p>
        </w:tc>
      </w:tr>
      <w:tr w:rsidR="00943B8F" w:rsidRPr="00042234" w14:paraId="26A06E40" w14:textId="77777777" w:rsidTr="00683AA5">
        <w:trPr>
          <w:trHeight w:val="285"/>
          <w:tblHeader/>
          <w:jc w:val="center"/>
        </w:trPr>
        <w:tc>
          <w:tcPr>
            <w:tcW w:w="760" w:type="dxa"/>
            <w:noWrap/>
            <w:tcMar>
              <w:left w:w="58" w:type="dxa"/>
              <w:right w:w="58" w:type="dxa"/>
            </w:tcMar>
            <w:vAlign w:val="bottom"/>
            <w:hideMark/>
          </w:tcPr>
          <w:p w14:paraId="52E5C7DE" w14:textId="77777777" w:rsidR="00876765" w:rsidRPr="00042234" w:rsidRDefault="00876765" w:rsidP="00042234">
            <w:pPr>
              <w:keepNext/>
              <w:spacing w:after="0" w:line="240" w:lineRule="auto"/>
              <w:jc w:val="center"/>
              <w:rPr>
                <w:rFonts w:asciiTheme="minorHAnsi" w:hAnsiTheme="minorHAnsi" w:cstheme="minorHAnsi"/>
                <w:color w:val="000000"/>
                <w:sz w:val="20"/>
                <w:szCs w:val="20"/>
              </w:rPr>
            </w:pPr>
            <w:r w:rsidRPr="00042234">
              <w:rPr>
                <w:rFonts w:asciiTheme="minorHAnsi" w:hAnsiTheme="minorHAnsi" w:cstheme="minorHAnsi"/>
                <w:color w:val="000000"/>
                <w:sz w:val="20"/>
                <w:szCs w:val="20"/>
              </w:rPr>
              <w:t>97</w:t>
            </w:r>
          </w:p>
        </w:tc>
        <w:tc>
          <w:tcPr>
            <w:tcW w:w="2147" w:type="dxa"/>
            <w:noWrap/>
            <w:tcMar>
              <w:left w:w="58" w:type="dxa"/>
              <w:right w:w="58" w:type="dxa"/>
            </w:tcMar>
            <w:vAlign w:val="bottom"/>
            <w:hideMark/>
          </w:tcPr>
          <w:p w14:paraId="54317F5E" w14:textId="77777777" w:rsidR="00876765" w:rsidRPr="00042234" w:rsidRDefault="00876765" w:rsidP="00042234">
            <w:pPr>
              <w:keepNext/>
              <w:spacing w:after="0" w:line="240" w:lineRule="auto"/>
              <w:jc w:val="center"/>
              <w:rPr>
                <w:rFonts w:asciiTheme="minorHAnsi" w:hAnsiTheme="minorHAnsi" w:cstheme="minorHAnsi"/>
                <w:color w:val="000000"/>
                <w:sz w:val="20"/>
                <w:szCs w:val="20"/>
              </w:rPr>
            </w:pPr>
            <w:r w:rsidRPr="00042234">
              <w:rPr>
                <w:rFonts w:asciiTheme="minorHAnsi" w:hAnsiTheme="minorHAnsi" w:cstheme="minorHAnsi"/>
                <w:color w:val="000000"/>
                <w:sz w:val="20"/>
                <w:szCs w:val="20"/>
              </w:rPr>
              <w:t>68</w:t>
            </w:r>
          </w:p>
        </w:tc>
        <w:tc>
          <w:tcPr>
            <w:tcW w:w="2205" w:type="dxa"/>
            <w:noWrap/>
            <w:tcMar>
              <w:left w:w="58" w:type="dxa"/>
              <w:right w:w="58" w:type="dxa"/>
            </w:tcMar>
            <w:vAlign w:val="bottom"/>
            <w:hideMark/>
          </w:tcPr>
          <w:p w14:paraId="09F00C53" w14:textId="77777777" w:rsidR="00876765" w:rsidRPr="00042234" w:rsidRDefault="00876765" w:rsidP="00042234">
            <w:pPr>
              <w:keepNext/>
              <w:spacing w:after="0" w:line="240" w:lineRule="auto"/>
              <w:jc w:val="center"/>
              <w:rPr>
                <w:rFonts w:asciiTheme="minorHAnsi" w:hAnsiTheme="minorHAnsi" w:cstheme="minorHAnsi"/>
                <w:color w:val="000000"/>
                <w:sz w:val="20"/>
                <w:szCs w:val="20"/>
              </w:rPr>
            </w:pPr>
            <w:r w:rsidRPr="00042234">
              <w:rPr>
                <w:rFonts w:asciiTheme="minorHAnsi" w:hAnsiTheme="minorHAnsi" w:cstheme="minorHAnsi"/>
                <w:color w:val="000000"/>
                <w:sz w:val="20"/>
                <w:szCs w:val="20"/>
              </w:rPr>
              <w:t>80</w:t>
            </w:r>
          </w:p>
        </w:tc>
        <w:tc>
          <w:tcPr>
            <w:tcW w:w="2325" w:type="dxa"/>
            <w:noWrap/>
            <w:tcMar>
              <w:left w:w="58" w:type="dxa"/>
              <w:right w:w="58" w:type="dxa"/>
            </w:tcMar>
            <w:vAlign w:val="bottom"/>
            <w:hideMark/>
          </w:tcPr>
          <w:p w14:paraId="59157117" w14:textId="77777777" w:rsidR="00876765" w:rsidRPr="00042234" w:rsidRDefault="00876765" w:rsidP="00042234">
            <w:pPr>
              <w:keepNext/>
              <w:spacing w:after="0" w:line="240" w:lineRule="auto"/>
              <w:jc w:val="center"/>
              <w:rPr>
                <w:rFonts w:asciiTheme="minorHAnsi" w:hAnsiTheme="minorHAnsi" w:cstheme="minorHAnsi"/>
                <w:color w:val="000000"/>
                <w:sz w:val="20"/>
                <w:szCs w:val="20"/>
              </w:rPr>
            </w:pPr>
            <w:r w:rsidRPr="00042234">
              <w:rPr>
                <w:rFonts w:asciiTheme="minorHAnsi" w:hAnsiTheme="minorHAnsi" w:cstheme="minorHAnsi"/>
                <w:color w:val="000000"/>
                <w:sz w:val="20"/>
                <w:szCs w:val="20"/>
              </w:rPr>
              <w:t>95</w:t>
            </w:r>
          </w:p>
        </w:tc>
      </w:tr>
      <w:tr w:rsidR="00943B8F" w:rsidRPr="00042234" w14:paraId="081784CA" w14:textId="77777777" w:rsidTr="00683AA5">
        <w:trPr>
          <w:trHeight w:val="285"/>
          <w:tblHeader/>
          <w:jc w:val="center"/>
        </w:trPr>
        <w:tc>
          <w:tcPr>
            <w:tcW w:w="760" w:type="dxa"/>
            <w:noWrap/>
            <w:tcMar>
              <w:left w:w="58" w:type="dxa"/>
              <w:right w:w="58" w:type="dxa"/>
            </w:tcMar>
            <w:vAlign w:val="bottom"/>
            <w:hideMark/>
          </w:tcPr>
          <w:p w14:paraId="73B2607E" w14:textId="77777777" w:rsidR="00876765" w:rsidRPr="00042234" w:rsidRDefault="00876765" w:rsidP="00042234">
            <w:pPr>
              <w:keepNext/>
              <w:spacing w:after="0" w:line="240" w:lineRule="auto"/>
              <w:jc w:val="center"/>
              <w:rPr>
                <w:rFonts w:asciiTheme="minorHAnsi" w:hAnsiTheme="minorHAnsi" w:cstheme="minorHAnsi"/>
                <w:color w:val="000000"/>
                <w:sz w:val="20"/>
                <w:szCs w:val="20"/>
              </w:rPr>
            </w:pPr>
            <w:r w:rsidRPr="00042234">
              <w:rPr>
                <w:rFonts w:asciiTheme="minorHAnsi" w:hAnsiTheme="minorHAnsi" w:cstheme="minorHAnsi"/>
                <w:color w:val="000000"/>
                <w:sz w:val="20"/>
                <w:szCs w:val="20"/>
              </w:rPr>
              <w:t>98</w:t>
            </w:r>
          </w:p>
        </w:tc>
        <w:tc>
          <w:tcPr>
            <w:tcW w:w="2147" w:type="dxa"/>
            <w:noWrap/>
            <w:tcMar>
              <w:left w:w="58" w:type="dxa"/>
              <w:right w:w="58" w:type="dxa"/>
            </w:tcMar>
            <w:vAlign w:val="bottom"/>
            <w:hideMark/>
          </w:tcPr>
          <w:p w14:paraId="1D2CBA69" w14:textId="77777777" w:rsidR="00876765" w:rsidRPr="00042234" w:rsidRDefault="00876765" w:rsidP="00042234">
            <w:pPr>
              <w:keepNext/>
              <w:spacing w:after="0" w:line="240" w:lineRule="auto"/>
              <w:jc w:val="center"/>
              <w:rPr>
                <w:rFonts w:asciiTheme="minorHAnsi" w:hAnsiTheme="minorHAnsi" w:cstheme="minorHAnsi"/>
                <w:color w:val="000000"/>
                <w:sz w:val="20"/>
                <w:szCs w:val="20"/>
              </w:rPr>
            </w:pPr>
            <w:r w:rsidRPr="00042234">
              <w:rPr>
                <w:rFonts w:asciiTheme="minorHAnsi" w:hAnsiTheme="minorHAnsi" w:cstheme="minorHAnsi"/>
                <w:color w:val="000000"/>
                <w:sz w:val="20"/>
                <w:szCs w:val="20"/>
              </w:rPr>
              <w:t>68</w:t>
            </w:r>
          </w:p>
        </w:tc>
        <w:tc>
          <w:tcPr>
            <w:tcW w:w="2205" w:type="dxa"/>
            <w:noWrap/>
            <w:tcMar>
              <w:left w:w="58" w:type="dxa"/>
              <w:right w:w="58" w:type="dxa"/>
            </w:tcMar>
            <w:vAlign w:val="bottom"/>
            <w:hideMark/>
          </w:tcPr>
          <w:p w14:paraId="57F812B4" w14:textId="77777777" w:rsidR="00876765" w:rsidRPr="00042234" w:rsidRDefault="00876765" w:rsidP="00042234">
            <w:pPr>
              <w:keepNext/>
              <w:spacing w:after="0" w:line="240" w:lineRule="auto"/>
              <w:jc w:val="center"/>
              <w:rPr>
                <w:rFonts w:asciiTheme="minorHAnsi" w:hAnsiTheme="minorHAnsi" w:cstheme="minorHAnsi"/>
                <w:color w:val="000000"/>
                <w:sz w:val="20"/>
                <w:szCs w:val="20"/>
              </w:rPr>
            </w:pPr>
            <w:r w:rsidRPr="00042234">
              <w:rPr>
                <w:rFonts w:asciiTheme="minorHAnsi" w:hAnsiTheme="minorHAnsi" w:cstheme="minorHAnsi"/>
                <w:color w:val="000000"/>
                <w:sz w:val="20"/>
                <w:szCs w:val="20"/>
              </w:rPr>
              <w:t>80</w:t>
            </w:r>
          </w:p>
        </w:tc>
        <w:tc>
          <w:tcPr>
            <w:tcW w:w="2325" w:type="dxa"/>
            <w:noWrap/>
            <w:tcMar>
              <w:left w:w="58" w:type="dxa"/>
              <w:right w:w="58" w:type="dxa"/>
            </w:tcMar>
            <w:vAlign w:val="bottom"/>
            <w:hideMark/>
          </w:tcPr>
          <w:p w14:paraId="62F264F2" w14:textId="77777777" w:rsidR="00876765" w:rsidRPr="00042234" w:rsidRDefault="00876765" w:rsidP="00042234">
            <w:pPr>
              <w:keepNext/>
              <w:spacing w:after="0" w:line="240" w:lineRule="auto"/>
              <w:jc w:val="center"/>
              <w:rPr>
                <w:rFonts w:asciiTheme="minorHAnsi" w:hAnsiTheme="minorHAnsi" w:cstheme="minorHAnsi"/>
                <w:color w:val="000000"/>
                <w:sz w:val="20"/>
                <w:szCs w:val="20"/>
              </w:rPr>
            </w:pPr>
            <w:r w:rsidRPr="00042234">
              <w:rPr>
                <w:rFonts w:asciiTheme="minorHAnsi" w:hAnsiTheme="minorHAnsi" w:cstheme="minorHAnsi"/>
                <w:color w:val="000000"/>
                <w:sz w:val="20"/>
                <w:szCs w:val="20"/>
              </w:rPr>
              <w:t>95</w:t>
            </w:r>
          </w:p>
        </w:tc>
      </w:tr>
      <w:tr w:rsidR="00943B8F" w:rsidRPr="00042234" w14:paraId="3A3E62EB" w14:textId="77777777" w:rsidTr="00683AA5">
        <w:trPr>
          <w:trHeight w:val="285"/>
          <w:tblHeader/>
          <w:jc w:val="center"/>
        </w:trPr>
        <w:tc>
          <w:tcPr>
            <w:tcW w:w="760" w:type="dxa"/>
            <w:noWrap/>
            <w:tcMar>
              <w:left w:w="58" w:type="dxa"/>
              <w:right w:w="58" w:type="dxa"/>
            </w:tcMar>
            <w:vAlign w:val="bottom"/>
            <w:hideMark/>
          </w:tcPr>
          <w:p w14:paraId="094DE9F1" w14:textId="77777777" w:rsidR="00876765" w:rsidRPr="00042234" w:rsidRDefault="00876765" w:rsidP="00042234">
            <w:pPr>
              <w:keepNext/>
              <w:spacing w:after="0" w:line="240" w:lineRule="auto"/>
              <w:jc w:val="center"/>
              <w:rPr>
                <w:rFonts w:asciiTheme="minorHAnsi" w:hAnsiTheme="minorHAnsi" w:cstheme="minorHAnsi"/>
                <w:color w:val="000000"/>
                <w:sz w:val="20"/>
                <w:szCs w:val="20"/>
              </w:rPr>
            </w:pPr>
            <w:r w:rsidRPr="00042234">
              <w:rPr>
                <w:rFonts w:asciiTheme="minorHAnsi" w:hAnsiTheme="minorHAnsi" w:cstheme="minorHAnsi"/>
                <w:color w:val="000000"/>
                <w:sz w:val="20"/>
                <w:szCs w:val="20"/>
              </w:rPr>
              <w:t>99</w:t>
            </w:r>
          </w:p>
        </w:tc>
        <w:tc>
          <w:tcPr>
            <w:tcW w:w="2147" w:type="dxa"/>
            <w:noWrap/>
            <w:tcMar>
              <w:left w:w="58" w:type="dxa"/>
              <w:right w:w="58" w:type="dxa"/>
            </w:tcMar>
            <w:vAlign w:val="bottom"/>
            <w:hideMark/>
          </w:tcPr>
          <w:p w14:paraId="0D146AA4" w14:textId="77777777" w:rsidR="00876765" w:rsidRPr="00042234" w:rsidRDefault="00876765" w:rsidP="00042234">
            <w:pPr>
              <w:keepNext/>
              <w:spacing w:after="0" w:line="240" w:lineRule="auto"/>
              <w:jc w:val="center"/>
              <w:rPr>
                <w:rFonts w:asciiTheme="minorHAnsi" w:hAnsiTheme="minorHAnsi" w:cstheme="minorHAnsi"/>
                <w:color w:val="000000"/>
                <w:sz w:val="20"/>
                <w:szCs w:val="20"/>
              </w:rPr>
            </w:pPr>
            <w:r w:rsidRPr="00042234">
              <w:rPr>
                <w:rFonts w:asciiTheme="minorHAnsi" w:hAnsiTheme="minorHAnsi" w:cstheme="minorHAnsi"/>
                <w:color w:val="000000"/>
                <w:sz w:val="20"/>
                <w:szCs w:val="20"/>
              </w:rPr>
              <w:t>68</w:t>
            </w:r>
          </w:p>
        </w:tc>
        <w:tc>
          <w:tcPr>
            <w:tcW w:w="2205" w:type="dxa"/>
            <w:noWrap/>
            <w:tcMar>
              <w:left w:w="58" w:type="dxa"/>
              <w:right w:w="58" w:type="dxa"/>
            </w:tcMar>
            <w:vAlign w:val="bottom"/>
            <w:hideMark/>
          </w:tcPr>
          <w:p w14:paraId="634BCFDF" w14:textId="77777777" w:rsidR="00876765" w:rsidRPr="00042234" w:rsidRDefault="00876765" w:rsidP="00042234">
            <w:pPr>
              <w:keepNext/>
              <w:spacing w:after="0" w:line="240" w:lineRule="auto"/>
              <w:jc w:val="center"/>
              <w:rPr>
                <w:rFonts w:asciiTheme="minorHAnsi" w:hAnsiTheme="minorHAnsi" w:cstheme="minorHAnsi"/>
                <w:color w:val="000000"/>
                <w:sz w:val="20"/>
                <w:szCs w:val="20"/>
              </w:rPr>
            </w:pPr>
            <w:r w:rsidRPr="00042234">
              <w:rPr>
                <w:rFonts w:asciiTheme="minorHAnsi" w:hAnsiTheme="minorHAnsi" w:cstheme="minorHAnsi"/>
                <w:color w:val="000000"/>
                <w:sz w:val="20"/>
                <w:szCs w:val="20"/>
              </w:rPr>
              <w:t>80</w:t>
            </w:r>
          </w:p>
        </w:tc>
        <w:tc>
          <w:tcPr>
            <w:tcW w:w="2325" w:type="dxa"/>
            <w:noWrap/>
            <w:tcMar>
              <w:left w:w="58" w:type="dxa"/>
              <w:right w:w="58" w:type="dxa"/>
            </w:tcMar>
            <w:vAlign w:val="bottom"/>
            <w:hideMark/>
          </w:tcPr>
          <w:p w14:paraId="6E7283FD" w14:textId="77777777" w:rsidR="00876765" w:rsidRPr="00042234" w:rsidRDefault="00876765" w:rsidP="00042234">
            <w:pPr>
              <w:keepNext/>
              <w:spacing w:after="0" w:line="240" w:lineRule="auto"/>
              <w:jc w:val="center"/>
              <w:rPr>
                <w:rFonts w:asciiTheme="minorHAnsi" w:hAnsiTheme="minorHAnsi" w:cstheme="minorHAnsi"/>
                <w:color w:val="000000"/>
                <w:sz w:val="20"/>
                <w:szCs w:val="20"/>
              </w:rPr>
            </w:pPr>
            <w:r w:rsidRPr="00042234">
              <w:rPr>
                <w:rFonts w:asciiTheme="minorHAnsi" w:hAnsiTheme="minorHAnsi" w:cstheme="minorHAnsi"/>
                <w:color w:val="000000"/>
                <w:sz w:val="20"/>
                <w:szCs w:val="20"/>
              </w:rPr>
              <w:t>95</w:t>
            </w:r>
          </w:p>
        </w:tc>
      </w:tr>
      <w:tr w:rsidR="00943B8F" w:rsidRPr="00042234" w14:paraId="55C58C8F" w14:textId="77777777" w:rsidTr="00683AA5">
        <w:trPr>
          <w:trHeight w:val="285"/>
          <w:tblHeader/>
          <w:jc w:val="center"/>
        </w:trPr>
        <w:tc>
          <w:tcPr>
            <w:tcW w:w="760" w:type="dxa"/>
            <w:noWrap/>
            <w:tcMar>
              <w:left w:w="58" w:type="dxa"/>
              <w:right w:w="58" w:type="dxa"/>
            </w:tcMar>
            <w:vAlign w:val="bottom"/>
            <w:hideMark/>
          </w:tcPr>
          <w:p w14:paraId="06659B54" w14:textId="77777777" w:rsidR="00876765" w:rsidRPr="00042234" w:rsidRDefault="00876765" w:rsidP="00042234">
            <w:pPr>
              <w:spacing w:after="0" w:line="240" w:lineRule="auto"/>
              <w:jc w:val="center"/>
              <w:rPr>
                <w:rFonts w:asciiTheme="minorHAnsi" w:hAnsiTheme="minorHAnsi" w:cstheme="minorHAnsi"/>
                <w:color w:val="000000"/>
                <w:sz w:val="20"/>
                <w:szCs w:val="20"/>
              </w:rPr>
            </w:pPr>
            <w:r w:rsidRPr="00042234">
              <w:rPr>
                <w:rFonts w:asciiTheme="minorHAnsi" w:hAnsiTheme="minorHAnsi" w:cstheme="minorHAnsi"/>
                <w:color w:val="000000"/>
                <w:sz w:val="20"/>
                <w:szCs w:val="20"/>
              </w:rPr>
              <w:t>100</w:t>
            </w:r>
          </w:p>
        </w:tc>
        <w:tc>
          <w:tcPr>
            <w:tcW w:w="2147" w:type="dxa"/>
            <w:noWrap/>
            <w:tcMar>
              <w:left w:w="58" w:type="dxa"/>
              <w:right w:w="58" w:type="dxa"/>
            </w:tcMar>
            <w:vAlign w:val="bottom"/>
            <w:hideMark/>
          </w:tcPr>
          <w:p w14:paraId="0304A3B6" w14:textId="77777777" w:rsidR="00876765" w:rsidRPr="00042234" w:rsidRDefault="00876765" w:rsidP="00042234">
            <w:pPr>
              <w:spacing w:after="0" w:line="240" w:lineRule="auto"/>
              <w:jc w:val="center"/>
              <w:rPr>
                <w:rFonts w:asciiTheme="minorHAnsi" w:hAnsiTheme="minorHAnsi" w:cstheme="minorHAnsi"/>
                <w:color w:val="000000"/>
                <w:sz w:val="20"/>
                <w:szCs w:val="20"/>
              </w:rPr>
            </w:pPr>
            <w:r w:rsidRPr="00042234">
              <w:rPr>
                <w:rFonts w:asciiTheme="minorHAnsi" w:hAnsiTheme="minorHAnsi" w:cstheme="minorHAnsi"/>
                <w:color w:val="000000"/>
                <w:sz w:val="20"/>
                <w:szCs w:val="20"/>
              </w:rPr>
              <w:t>68</w:t>
            </w:r>
          </w:p>
        </w:tc>
        <w:tc>
          <w:tcPr>
            <w:tcW w:w="2205" w:type="dxa"/>
            <w:noWrap/>
            <w:tcMar>
              <w:left w:w="58" w:type="dxa"/>
              <w:right w:w="58" w:type="dxa"/>
            </w:tcMar>
            <w:vAlign w:val="bottom"/>
            <w:hideMark/>
          </w:tcPr>
          <w:p w14:paraId="64092773" w14:textId="77777777" w:rsidR="00876765" w:rsidRPr="00042234" w:rsidRDefault="00876765" w:rsidP="00042234">
            <w:pPr>
              <w:spacing w:after="0" w:line="240" w:lineRule="auto"/>
              <w:jc w:val="center"/>
              <w:rPr>
                <w:rFonts w:asciiTheme="minorHAnsi" w:hAnsiTheme="minorHAnsi" w:cstheme="minorHAnsi"/>
                <w:color w:val="000000"/>
                <w:sz w:val="20"/>
                <w:szCs w:val="20"/>
              </w:rPr>
            </w:pPr>
            <w:r w:rsidRPr="00042234">
              <w:rPr>
                <w:rFonts w:asciiTheme="minorHAnsi" w:hAnsiTheme="minorHAnsi" w:cstheme="minorHAnsi"/>
                <w:color w:val="000000"/>
                <w:sz w:val="20"/>
                <w:szCs w:val="20"/>
              </w:rPr>
              <w:t>80</w:t>
            </w:r>
          </w:p>
        </w:tc>
        <w:tc>
          <w:tcPr>
            <w:tcW w:w="2325" w:type="dxa"/>
            <w:noWrap/>
            <w:tcMar>
              <w:left w:w="58" w:type="dxa"/>
              <w:right w:w="58" w:type="dxa"/>
            </w:tcMar>
            <w:vAlign w:val="bottom"/>
            <w:hideMark/>
          </w:tcPr>
          <w:p w14:paraId="4E3B58AC" w14:textId="77777777" w:rsidR="00876765" w:rsidRPr="00042234" w:rsidRDefault="00876765" w:rsidP="00042234">
            <w:pPr>
              <w:spacing w:after="0" w:line="240" w:lineRule="auto"/>
              <w:jc w:val="center"/>
              <w:rPr>
                <w:rFonts w:asciiTheme="minorHAnsi" w:hAnsiTheme="minorHAnsi" w:cstheme="minorHAnsi"/>
                <w:color w:val="000000"/>
                <w:sz w:val="20"/>
                <w:szCs w:val="20"/>
              </w:rPr>
            </w:pPr>
            <w:r w:rsidRPr="00042234">
              <w:rPr>
                <w:rFonts w:asciiTheme="minorHAnsi" w:hAnsiTheme="minorHAnsi" w:cstheme="minorHAnsi"/>
                <w:color w:val="000000"/>
                <w:sz w:val="20"/>
                <w:szCs w:val="20"/>
              </w:rPr>
              <w:t>95</w:t>
            </w:r>
          </w:p>
        </w:tc>
      </w:tr>
    </w:tbl>
    <w:p w14:paraId="36E142DA" w14:textId="457CEA06" w:rsidR="00876765" w:rsidRDefault="00876765" w:rsidP="00235ACC">
      <w:pPr>
        <w:pStyle w:val="Body1"/>
      </w:pPr>
    </w:p>
    <w:p w14:paraId="06E0C1FB" w14:textId="4D246001" w:rsidR="00876765" w:rsidRPr="00042234" w:rsidRDefault="00876765" w:rsidP="00042234">
      <w:pPr>
        <w:pStyle w:val="Caption"/>
        <w:keepNext/>
        <w:jc w:val="center"/>
        <w:rPr>
          <w:sz w:val="22"/>
          <w:szCs w:val="22"/>
        </w:rPr>
      </w:pPr>
      <w:bookmarkStart w:id="8" w:name="_Ref482039806"/>
      <w:r w:rsidRPr="00042234">
        <w:rPr>
          <w:sz w:val="22"/>
          <w:szCs w:val="22"/>
        </w:rPr>
        <w:lastRenderedPageBreak/>
        <w:t xml:space="preserve">Figure </w:t>
      </w:r>
      <w:r w:rsidR="00613540">
        <w:rPr>
          <w:sz w:val="22"/>
          <w:szCs w:val="22"/>
        </w:rPr>
        <w:fldChar w:fldCharType="begin"/>
      </w:r>
      <w:r w:rsidR="00613540">
        <w:rPr>
          <w:sz w:val="22"/>
          <w:szCs w:val="22"/>
        </w:rPr>
        <w:instrText xml:space="preserve"> SEQ Figure \* ARABIC </w:instrText>
      </w:r>
      <w:r w:rsidR="00613540">
        <w:rPr>
          <w:sz w:val="22"/>
          <w:szCs w:val="22"/>
        </w:rPr>
        <w:fldChar w:fldCharType="separate"/>
      </w:r>
      <w:r w:rsidR="00E41879">
        <w:rPr>
          <w:noProof/>
          <w:sz w:val="22"/>
          <w:szCs w:val="22"/>
        </w:rPr>
        <w:t>1</w:t>
      </w:r>
      <w:r w:rsidR="00613540">
        <w:rPr>
          <w:sz w:val="22"/>
          <w:szCs w:val="22"/>
        </w:rPr>
        <w:fldChar w:fldCharType="end"/>
      </w:r>
      <w:bookmarkEnd w:id="8"/>
      <w:r w:rsidR="006070AA">
        <w:rPr>
          <w:sz w:val="22"/>
          <w:szCs w:val="22"/>
        </w:rPr>
        <w:t xml:space="preserve"> - Minimum Efficacy Requirement Relation to CRI</w:t>
      </w:r>
    </w:p>
    <w:p w14:paraId="41837ACF" w14:textId="77777777" w:rsidR="00876765" w:rsidRDefault="00876765" w:rsidP="00042234">
      <w:pPr>
        <w:pStyle w:val="Body1"/>
        <w:jc w:val="center"/>
      </w:pPr>
      <w:r>
        <w:rPr>
          <w:noProof/>
        </w:rPr>
        <w:drawing>
          <wp:inline distT="0" distB="0" distL="0" distR="0" wp14:anchorId="17A1F3D2" wp14:editId="2F35F991">
            <wp:extent cx="4617321" cy="3355747"/>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630229" cy="3365128"/>
                    </a:xfrm>
                    <a:prstGeom prst="rect">
                      <a:avLst/>
                    </a:prstGeom>
                    <a:noFill/>
                  </pic:spPr>
                </pic:pic>
              </a:graphicData>
            </a:graphic>
          </wp:inline>
        </w:drawing>
      </w:r>
    </w:p>
    <w:p w14:paraId="6BC48165" w14:textId="335262CF" w:rsidR="00575594" w:rsidRDefault="00876765" w:rsidP="0088383D">
      <w:pPr>
        <w:pStyle w:val="Body2"/>
      </w:pPr>
      <w:r>
        <w:t>Additionally,</w:t>
      </w:r>
      <w:r w:rsidR="00575594">
        <w:t xml:space="preserve"> the minimum efficacy requirements will be based upon the EISA bin as itemized below rather than a single value for all lamps.</w:t>
      </w:r>
    </w:p>
    <w:p w14:paraId="4A3129FE" w14:textId="77777777" w:rsidR="00167F74" w:rsidRDefault="00167F74" w:rsidP="0088383D">
      <w:pPr>
        <w:pStyle w:val="Body2"/>
        <w:numPr>
          <w:ilvl w:val="0"/>
          <w:numId w:val="50"/>
        </w:numPr>
        <w:spacing w:after="0"/>
      </w:pPr>
      <w:r>
        <w:t>Minimum efficacy requirements for 2017</w:t>
      </w:r>
      <w:r w:rsidR="007E78B4">
        <w:t>:</w:t>
      </w:r>
    </w:p>
    <w:p w14:paraId="5B24DF98" w14:textId="58F6F0E9" w:rsidR="00167F74" w:rsidRDefault="00167F74" w:rsidP="0088383D">
      <w:pPr>
        <w:pStyle w:val="Body2"/>
        <w:numPr>
          <w:ilvl w:val="1"/>
          <w:numId w:val="50"/>
        </w:numPr>
        <w:spacing w:after="0"/>
      </w:pPr>
      <w:r>
        <w:t xml:space="preserve">EISA </w:t>
      </w:r>
      <w:r w:rsidR="00C36837">
        <w:t>40w</w:t>
      </w:r>
      <w:r>
        <w:t xml:space="preserve">: </w:t>
      </w:r>
      <w:r w:rsidR="00C36837">
        <w:t xml:space="preserve">68 </w:t>
      </w:r>
      <w:proofErr w:type="spellStart"/>
      <w:r>
        <w:t>lpw</w:t>
      </w:r>
      <w:proofErr w:type="spellEnd"/>
    </w:p>
    <w:p w14:paraId="30A2C0C2" w14:textId="77777777" w:rsidR="00C36837" w:rsidRDefault="00C36837" w:rsidP="0088383D">
      <w:pPr>
        <w:pStyle w:val="Body2"/>
        <w:numPr>
          <w:ilvl w:val="1"/>
          <w:numId w:val="50"/>
        </w:numPr>
        <w:spacing w:after="0"/>
      </w:pPr>
      <w:r>
        <w:t xml:space="preserve">EISA 60w: 80 </w:t>
      </w:r>
      <w:proofErr w:type="spellStart"/>
      <w:r>
        <w:t>lpw</w:t>
      </w:r>
      <w:proofErr w:type="spellEnd"/>
    </w:p>
    <w:p w14:paraId="6EC99396" w14:textId="4E672AE7" w:rsidR="004E7D83" w:rsidRDefault="00E8618A" w:rsidP="0088383D">
      <w:pPr>
        <w:pStyle w:val="Body2"/>
        <w:numPr>
          <w:ilvl w:val="1"/>
          <w:numId w:val="50"/>
        </w:numPr>
        <w:spacing w:after="0"/>
      </w:pPr>
      <w:r>
        <w:t xml:space="preserve">EIAS </w:t>
      </w:r>
      <w:r w:rsidR="00C36837">
        <w:t xml:space="preserve">75w and 100w: 90 </w:t>
      </w:r>
      <w:proofErr w:type="spellStart"/>
      <w:r w:rsidR="00C36837">
        <w:t>lpw</w:t>
      </w:r>
      <w:proofErr w:type="spellEnd"/>
      <w:r w:rsidR="004E7D83">
        <w:t xml:space="preserve"> </w:t>
      </w:r>
    </w:p>
    <w:p w14:paraId="350F258E" w14:textId="77777777" w:rsidR="007E78B4" w:rsidRDefault="007E78B4" w:rsidP="0088383D">
      <w:pPr>
        <w:pStyle w:val="Body2"/>
        <w:numPr>
          <w:ilvl w:val="0"/>
          <w:numId w:val="50"/>
        </w:numPr>
        <w:spacing w:after="0"/>
      </w:pPr>
      <w:r>
        <w:t>Minimum efficacy requirements for 2018:</w:t>
      </w:r>
    </w:p>
    <w:p w14:paraId="21207E45" w14:textId="77777777" w:rsidR="00C36837" w:rsidRDefault="00C36837" w:rsidP="0088383D">
      <w:pPr>
        <w:pStyle w:val="Body2"/>
        <w:numPr>
          <w:ilvl w:val="1"/>
          <w:numId w:val="50"/>
        </w:numPr>
        <w:spacing w:after="0"/>
      </w:pPr>
      <w:r>
        <w:t xml:space="preserve">EISA 40w: 80 </w:t>
      </w:r>
      <w:proofErr w:type="spellStart"/>
      <w:r>
        <w:t>lpw</w:t>
      </w:r>
      <w:proofErr w:type="spellEnd"/>
    </w:p>
    <w:p w14:paraId="7698F40E" w14:textId="77777777" w:rsidR="00C36837" w:rsidRDefault="00C36837" w:rsidP="0088383D">
      <w:pPr>
        <w:pStyle w:val="Body2"/>
        <w:numPr>
          <w:ilvl w:val="1"/>
          <w:numId w:val="50"/>
        </w:numPr>
        <w:spacing w:after="0"/>
      </w:pPr>
      <w:r>
        <w:t xml:space="preserve">EISA 60w: 90 </w:t>
      </w:r>
      <w:proofErr w:type="spellStart"/>
      <w:r>
        <w:t>lpw</w:t>
      </w:r>
      <w:proofErr w:type="spellEnd"/>
    </w:p>
    <w:p w14:paraId="64D7B8DE" w14:textId="0A5C3F38" w:rsidR="00C36837" w:rsidRDefault="00E8618A" w:rsidP="0088383D">
      <w:pPr>
        <w:pStyle w:val="Body2"/>
        <w:numPr>
          <w:ilvl w:val="1"/>
          <w:numId w:val="50"/>
        </w:numPr>
        <w:spacing w:after="0"/>
      </w:pPr>
      <w:r>
        <w:t xml:space="preserve">EISA </w:t>
      </w:r>
      <w:r w:rsidR="00C36837">
        <w:t xml:space="preserve">75w and 100w: 90 </w:t>
      </w:r>
      <w:proofErr w:type="spellStart"/>
      <w:r w:rsidR="00C36837">
        <w:t>lpw</w:t>
      </w:r>
      <w:proofErr w:type="spellEnd"/>
      <w:r w:rsidR="00C36837">
        <w:t xml:space="preserve"> </w:t>
      </w:r>
    </w:p>
    <w:p w14:paraId="13AD4216" w14:textId="48AF1119" w:rsidR="007E78B4" w:rsidRDefault="007E78B4" w:rsidP="0088383D">
      <w:pPr>
        <w:pStyle w:val="Body2"/>
        <w:numPr>
          <w:ilvl w:val="0"/>
          <w:numId w:val="50"/>
        </w:numPr>
        <w:spacing w:after="0"/>
      </w:pPr>
      <w:r>
        <w:t xml:space="preserve">Minimum </w:t>
      </w:r>
      <w:r w:rsidR="005536D9">
        <w:t>efficacy requirements for 2019:</w:t>
      </w:r>
    </w:p>
    <w:p w14:paraId="78CCFB57" w14:textId="77777777" w:rsidR="00C36837" w:rsidRDefault="00C36837" w:rsidP="0088383D">
      <w:pPr>
        <w:pStyle w:val="Body2"/>
        <w:numPr>
          <w:ilvl w:val="1"/>
          <w:numId w:val="50"/>
        </w:numPr>
        <w:spacing w:after="0"/>
      </w:pPr>
      <w:r>
        <w:t xml:space="preserve">EISA 40w: 95 </w:t>
      </w:r>
      <w:proofErr w:type="spellStart"/>
      <w:r>
        <w:t>lpw</w:t>
      </w:r>
      <w:proofErr w:type="spellEnd"/>
    </w:p>
    <w:p w14:paraId="6AD31F08" w14:textId="77777777" w:rsidR="00C36837" w:rsidRDefault="00C36837" w:rsidP="0088383D">
      <w:pPr>
        <w:pStyle w:val="Body2"/>
        <w:numPr>
          <w:ilvl w:val="1"/>
          <w:numId w:val="50"/>
        </w:numPr>
        <w:spacing w:after="0"/>
      </w:pPr>
      <w:r>
        <w:t xml:space="preserve">EISA 60w: 100 </w:t>
      </w:r>
      <w:proofErr w:type="spellStart"/>
      <w:r>
        <w:t>lpw</w:t>
      </w:r>
      <w:proofErr w:type="spellEnd"/>
    </w:p>
    <w:p w14:paraId="465F9BCF" w14:textId="774AC4EC" w:rsidR="00703ABA" w:rsidRPr="00703ABA" w:rsidRDefault="00E8618A" w:rsidP="0088383D">
      <w:pPr>
        <w:pStyle w:val="Body2"/>
        <w:numPr>
          <w:ilvl w:val="1"/>
          <w:numId w:val="50"/>
        </w:numPr>
      </w:pPr>
      <w:r>
        <w:t xml:space="preserve">EISA </w:t>
      </w:r>
      <w:r w:rsidR="00C36837">
        <w:t xml:space="preserve">75w and 100w: 110 </w:t>
      </w:r>
      <w:proofErr w:type="spellStart"/>
      <w:r w:rsidR="00C36837">
        <w:t>lpw</w:t>
      </w:r>
      <w:proofErr w:type="spellEnd"/>
      <w:r w:rsidR="00C36837">
        <w:t xml:space="preserve"> </w:t>
      </w:r>
    </w:p>
    <w:p w14:paraId="04625EAE" w14:textId="4C4A3EA4" w:rsidR="00976A62" w:rsidRDefault="00976A62" w:rsidP="0088383D">
      <w:pPr>
        <w:pStyle w:val="Heading2"/>
      </w:pPr>
      <w:bookmarkStart w:id="9" w:name="_Toc482685844"/>
      <w:r>
        <w:lastRenderedPageBreak/>
        <w:t>Standard Practice Baseline for Savings Calculations</w:t>
      </w:r>
      <w:bookmarkEnd w:id="9"/>
    </w:p>
    <w:p w14:paraId="770993A6" w14:textId="77777777" w:rsidR="007E78B4" w:rsidRDefault="007E78B4" w:rsidP="0088383D">
      <w:pPr>
        <w:pStyle w:val="Body2"/>
        <w:keepNext/>
      </w:pPr>
      <w:r>
        <w:t>The baseline is revised to include a fraction of CFLs and a fraction of LEDs as follows:</w:t>
      </w:r>
    </w:p>
    <w:p w14:paraId="45724BDA" w14:textId="67C894E5" w:rsidR="007E78B4" w:rsidRDefault="007E78B4" w:rsidP="0088383D">
      <w:pPr>
        <w:pStyle w:val="Body2"/>
        <w:keepNext/>
        <w:numPr>
          <w:ilvl w:val="0"/>
          <w:numId w:val="51"/>
        </w:numPr>
        <w:spacing w:after="0"/>
      </w:pPr>
      <w:r>
        <w:t xml:space="preserve">For lamps greater than or equal to 90 </w:t>
      </w:r>
      <w:proofErr w:type="spellStart"/>
      <w:r>
        <w:t>lpw</w:t>
      </w:r>
      <w:proofErr w:type="spellEnd"/>
      <w:r>
        <w:t xml:space="preserve">, the baseline </w:t>
      </w:r>
      <w:r w:rsidR="00210B28">
        <w:t xml:space="preserve">is revised to be </w:t>
      </w:r>
      <w:r w:rsidR="00C36837">
        <w:t>75</w:t>
      </w:r>
      <w:r>
        <w:t>% CFLs</w:t>
      </w:r>
      <w:r w:rsidR="00976A62">
        <w:t xml:space="preserve"> and</w:t>
      </w:r>
      <w:r w:rsidR="00F7731E">
        <w:t xml:space="preserve"> 25% halogens</w:t>
      </w:r>
      <w:r w:rsidR="005536D9">
        <w:t>.</w:t>
      </w:r>
    </w:p>
    <w:p w14:paraId="4CD4D079" w14:textId="31571347" w:rsidR="007E78B4" w:rsidRDefault="007E78B4" w:rsidP="0088383D">
      <w:pPr>
        <w:pStyle w:val="Body2"/>
        <w:numPr>
          <w:ilvl w:val="0"/>
          <w:numId w:val="51"/>
        </w:numPr>
      </w:pPr>
      <w:r>
        <w:t xml:space="preserve">For lamps less than 90 </w:t>
      </w:r>
      <w:proofErr w:type="spellStart"/>
      <w:r>
        <w:t>lpw</w:t>
      </w:r>
      <w:proofErr w:type="spellEnd"/>
      <w:r w:rsidR="00210B28">
        <w:t xml:space="preserve">, the baseline is revised to be </w:t>
      </w:r>
      <w:r w:rsidR="00C36837">
        <w:t>55</w:t>
      </w:r>
      <w:r w:rsidR="00210B28">
        <w:t>% CFLs</w:t>
      </w:r>
      <w:r w:rsidR="00976A62">
        <w:t>,</w:t>
      </w:r>
      <w:r w:rsidR="00210B28">
        <w:t xml:space="preserve"> </w:t>
      </w:r>
      <w:r w:rsidR="00C36837">
        <w:t>20</w:t>
      </w:r>
      <w:r w:rsidR="00210B28">
        <w:t>% LEDs</w:t>
      </w:r>
      <w:r w:rsidR="00976A62">
        <w:t xml:space="preserve"> and 25% halogens</w:t>
      </w:r>
      <w:r w:rsidR="00F7731E">
        <w:t>.</w:t>
      </w:r>
    </w:p>
    <w:p w14:paraId="3268F408" w14:textId="7F6692B2" w:rsidR="00976A62" w:rsidRDefault="00976A62" w:rsidP="0088383D">
      <w:pPr>
        <w:pStyle w:val="Heading2"/>
      </w:pPr>
      <w:bookmarkStart w:id="10" w:name="_Toc482685845"/>
      <w:r>
        <w:t>Measure Definitions</w:t>
      </w:r>
      <w:bookmarkEnd w:id="10"/>
    </w:p>
    <w:p w14:paraId="18B3D61D" w14:textId="3296EB3A" w:rsidR="00976A62" w:rsidRDefault="00F03F4B" w:rsidP="0088383D">
      <w:pPr>
        <w:pStyle w:val="Body2"/>
      </w:pPr>
      <w:r>
        <w:t xml:space="preserve">Measure definitions are revised to be based on EISA wattage bin and </w:t>
      </w:r>
      <w:r w:rsidR="00254417">
        <w:t xml:space="preserve">efficacy, removing dependence on lamp wattage. Approved measures are included in </w:t>
      </w:r>
      <w:r w:rsidR="000A159D">
        <w:fldChar w:fldCharType="begin"/>
      </w:r>
      <w:r w:rsidR="000A159D">
        <w:instrText xml:space="preserve"> REF _Ref4815</w:instrText>
      </w:r>
      <w:r w:rsidR="000A159D">
        <w:instrText xml:space="preserve">94078 </w:instrText>
      </w:r>
      <w:r w:rsidR="000A159D">
        <w:fldChar w:fldCharType="separate"/>
      </w:r>
      <w:r w:rsidR="00583FC8">
        <w:t xml:space="preserve">Table </w:t>
      </w:r>
      <w:r w:rsidR="00583FC8">
        <w:rPr>
          <w:noProof/>
        </w:rPr>
        <w:t>3</w:t>
      </w:r>
      <w:r w:rsidR="000A159D">
        <w:rPr>
          <w:noProof/>
        </w:rPr>
        <w:fldChar w:fldCharType="end"/>
      </w:r>
      <w:r w:rsidR="00254417">
        <w:t>.</w:t>
      </w:r>
      <w:r w:rsidR="00DF0955">
        <w:t xml:space="preserve"> These values are based on an analysis of products found in the QPL</w:t>
      </w:r>
      <w:r w:rsidR="00DF0955">
        <w:rPr>
          <w:rStyle w:val="FootnoteReference"/>
        </w:rPr>
        <w:footnoteReference w:id="4"/>
      </w:r>
      <w:r w:rsidR="00DF0955">
        <w:t>.</w:t>
      </w:r>
    </w:p>
    <w:p w14:paraId="1ED3A04D" w14:textId="0BCC0E1F" w:rsidR="00DF0955" w:rsidRDefault="00DF0955" w:rsidP="00DF0955">
      <w:pPr>
        <w:pStyle w:val="Caption"/>
        <w:keepNext/>
        <w:jc w:val="center"/>
      </w:pPr>
      <w:bookmarkStart w:id="11" w:name="_Ref481594078"/>
      <w:r>
        <w:t xml:space="preserve">Table </w:t>
      </w:r>
      <w:r w:rsidR="000A159D">
        <w:fldChar w:fldCharType="begin"/>
      </w:r>
      <w:r w:rsidR="000A159D">
        <w:instrText xml:space="preserve"> SEQ Table \* ARABIC </w:instrText>
      </w:r>
      <w:r w:rsidR="000A159D">
        <w:fldChar w:fldCharType="separate"/>
      </w:r>
      <w:r w:rsidR="00583FC8">
        <w:rPr>
          <w:noProof/>
        </w:rPr>
        <w:t>3</w:t>
      </w:r>
      <w:r w:rsidR="000A159D">
        <w:rPr>
          <w:noProof/>
        </w:rPr>
        <w:fldChar w:fldCharType="end"/>
      </w:r>
      <w:bookmarkEnd w:id="11"/>
      <w:r>
        <w:rPr>
          <w:noProof/>
        </w:rPr>
        <w:t xml:space="preserve"> - Approved LED A-Lamp Measure Definitions</w:t>
      </w:r>
    </w:p>
    <w:tbl>
      <w:tblPr>
        <w:tblStyle w:val="TableGrid"/>
        <w:tblW w:w="0" w:type="auto"/>
        <w:jc w:val="center"/>
        <w:tblLook w:val="04A0" w:firstRow="1" w:lastRow="0" w:firstColumn="1" w:lastColumn="0" w:noHBand="0" w:noVBand="1"/>
      </w:tblPr>
      <w:tblGrid>
        <w:gridCol w:w="1368"/>
        <w:gridCol w:w="1428"/>
        <w:gridCol w:w="1278"/>
      </w:tblGrid>
      <w:tr w:rsidR="00DF0955" w14:paraId="4F9FA886" w14:textId="77777777" w:rsidTr="00DF0955">
        <w:trPr>
          <w:jc w:val="center"/>
        </w:trPr>
        <w:tc>
          <w:tcPr>
            <w:tcW w:w="1368" w:type="dxa"/>
          </w:tcPr>
          <w:p w14:paraId="37B96FCF" w14:textId="77777777" w:rsidR="00DF0955" w:rsidRDefault="00F7074D" w:rsidP="00DF0955">
            <w:pPr>
              <w:pStyle w:val="Body1"/>
              <w:spacing w:after="0"/>
              <w:jc w:val="center"/>
            </w:pPr>
            <w:r>
              <w:t>EISA</w:t>
            </w:r>
            <w:r w:rsidR="00DF0955">
              <w:t xml:space="preserve"> Bin</w:t>
            </w:r>
          </w:p>
        </w:tc>
        <w:tc>
          <w:tcPr>
            <w:tcW w:w="1428" w:type="dxa"/>
          </w:tcPr>
          <w:p w14:paraId="600316C3" w14:textId="77777777" w:rsidR="00DF0955" w:rsidRDefault="00DF0955" w:rsidP="00DF0955">
            <w:pPr>
              <w:pStyle w:val="Body1"/>
              <w:spacing w:after="0"/>
              <w:jc w:val="center"/>
            </w:pPr>
            <w:r>
              <w:t>LPW</w:t>
            </w:r>
          </w:p>
        </w:tc>
        <w:tc>
          <w:tcPr>
            <w:tcW w:w="1278" w:type="dxa"/>
          </w:tcPr>
          <w:p w14:paraId="718D2A60" w14:textId="77777777" w:rsidR="00DF0955" w:rsidRDefault="00DF0955" w:rsidP="00DF0955">
            <w:pPr>
              <w:pStyle w:val="Body1"/>
              <w:spacing w:after="0"/>
              <w:jc w:val="center"/>
            </w:pPr>
            <w:r>
              <w:rPr>
                <w:rFonts w:ascii="Times New Roman" w:hAnsi="Times New Roman"/>
              </w:rPr>
              <w:t>∆</w:t>
            </w:r>
            <w:r>
              <w:t>Watts</w:t>
            </w:r>
          </w:p>
        </w:tc>
      </w:tr>
      <w:tr w:rsidR="00177166" w14:paraId="1DC82334" w14:textId="77777777" w:rsidTr="00DF0955">
        <w:trPr>
          <w:jc w:val="center"/>
        </w:trPr>
        <w:tc>
          <w:tcPr>
            <w:tcW w:w="1368" w:type="dxa"/>
            <w:vMerge w:val="restart"/>
            <w:vAlign w:val="center"/>
          </w:tcPr>
          <w:p w14:paraId="3B10FC10" w14:textId="77777777" w:rsidR="00177166" w:rsidRDefault="00177166" w:rsidP="00177166">
            <w:pPr>
              <w:pStyle w:val="Body1"/>
              <w:spacing w:after="0"/>
              <w:jc w:val="center"/>
            </w:pPr>
            <w:r>
              <w:t>40</w:t>
            </w:r>
          </w:p>
        </w:tc>
        <w:tc>
          <w:tcPr>
            <w:tcW w:w="1428" w:type="dxa"/>
          </w:tcPr>
          <w:p w14:paraId="15A2D46C" w14:textId="6D6E47AC" w:rsidR="00177166" w:rsidRDefault="00BC03C9" w:rsidP="00177166">
            <w:pPr>
              <w:pStyle w:val="Body1"/>
              <w:spacing w:after="0"/>
              <w:jc w:val="center"/>
            </w:pPr>
            <w:r>
              <w:t>68</w:t>
            </w:r>
          </w:p>
        </w:tc>
        <w:tc>
          <w:tcPr>
            <w:tcW w:w="1278" w:type="dxa"/>
          </w:tcPr>
          <w:p w14:paraId="22BBE836" w14:textId="2E46824C" w:rsidR="00177166" w:rsidRDefault="00177166" w:rsidP="00177166">
            <w:pPr>
              <w:pStyle w:val="Body1"/>
              <w:spacing w:after="0"/>
              <w:jc w:val="center"/>
            </w:pPr>
            <w:r w:rsidRPr="00982F4B">
              <w:t>6.8</w:t>
            </w:r>
          </w:p>
        </w:tc>
      </w:tr>
      <w:tr w:rsidR="00177166" w14:paraId="306F6DA0" w14:textId="77777777" w:rsidTr="00DF0955">
        <w:trPr>
          <w:jc w:val="center"/>
        </w:trPr>
        <w:tc>
          <w:tcPr>
            <w:tcW w:w="1368" w:type="dxa"/>
            <w:vMerge/>
            <w:vAlign w:val="center"/>
          </w:tcPr>
          <w:p w14:paraId="21FB5596" w14:textId="77777777" w:rsidR="00177166" w:rsidRDefault="00177166" w:rsidP="00177166">
            <w:pPr>
              <w:pStyle w:val="Body1"/>
              <w:spacing w:after="0"/>
              <w:jc w:val="center"/>
            </w:pPr>
          </w:p>
        </w:tc>
        <w:tc>
          <w:tcPr>
            <w:tcW w:w="1428" w:type="dxa"/>
          </w:tcPr>
          <w:p w14:paraId="420F3136" w14:textId="77777777" w:rsidR="00177166" w:rsidRDefault="00177166" w:rsidP="00177166">
            <w:pPr>
              <w:pStyle w:val="Body1"/>
              <w:spacing w:after="0"/>
              <w:jc w:val="center"/>
            </w:pPr>
            <w:r>
              <w:t>80</w:t>
            </w:r>
          </w:p>
        </w:tc>
        <w:tc>
          <w:tcPr>
            <w:tcW w:w="1278" w:type="dxa"/>
          </w:tcPr>
          <w:p w14:paraId="5BDFB6AA" w14:textId="62015894" w:rsidR="00177166" w:rsidRDefault="00177166" w:rsidP="00177166">
            <w:pPr>
              <w:pStyle w:val="Body1"/>
              <w:spacing w:after="0"/>
              <w:jc w:val="center"/>
            </w:pPr>
            <w:r w:rsidRPr="00982F4B">
              <w:t>7.6</w:t>
            </w:r>
          </w:p>
        </w:tc>
      </w:tr>
      <w:tr w:rsidR="00177166" w14:paraId="7A58050C" w14:textId="77777777" w:rsidTr="00DF0955">
        <w:trPr>
          <w:jc w:val="center"/>
        </w:trPr>
        <w:tc>
          <w:tcPr>
            <w:tcW w:w="1368" w:type="dxa"/>
            <w:vMerge/>
            <w:vAlign w:val="center"/>
          </w:tcPr>
          <w:p w14:paraId="3DCD731C" w14:textId="77777777" w:rsidR="00177166" w:rsidRDefault="00177166" w:rsidP="00177166">
            <w:pPr>
              <w:pStyle w:val="Body1"/>
              <w:spacing w:after="0"/>
              <w:jc w:val="center"/>
            </w:pPr>
          </w:p>
        </w:tc>
        <w:tc>
          <w:tcPr>
            <w:tcW w:w="1428" w:type="dxa"/>
          </w:tcPr>
          <w:p w14:paraId="0DC5C6CD" w14:textId="77777777" w:rsidR="00177166" w:rsidRDefault="00177166" w:rsidP="00177166">
            <w:pPr>
              <w:pStyle w:val="Body1"/>
              <w:spacing w:after="0"/>
              <w:jc w:val="center"/>
            </w:pPr>
            <w:r>
              <w:t>90</w:t>
            </w:r>
          </w:p>
        </w:tc>
        <w:tc>
          <w:tcPr>
            <w:tcW w:w="1278" w:type="dxa"/>
          </w:tcPr>
          <w:p w14:paraId="776860D7" w14:textId="68AFFDBB" w:rsidR="00177166" w:rsidRDefault="00177166" w:rsidP="00177166">
            <w:pPr>
              <w:pStyle w:val="Body1"/>
              <w:spacing w:after="0"/>
              <w:jc w:val="center"/>
            </w:pPr>
            <w:r w:rsidRPr="00982F4B">
              <w:t>8.7</w:t>
            </w:r>
          </w:p>
        </w:tc>
      </w:tr>
      <w:tr w:rsidR="00177166" w14:paraId="5ACEC4A8" w14:textId="77777777" w:rsidTr="00DF0955">
        <w:trPr>
          <w:jc w:val="center"/>
        </w:trPr>
        <w:tc>
          <w:tcPr>
            <w:tcW w:w="1368" w:type="dxa"/>
            <w:vMerge/>
            <w:vAlign w:val="center"/>
          </w:tcPr>
          <w:p w14:paraId="1DC6A1C3" w14:textId="77777777" w:rsidR="00177166" w:rsidRDefault="00177166" w:rsidP="00177166">
            <w:pPr>
              <w:pStyle w:val="Body1"/>
              <w:spacing w:after="0"/>
              <w:jc w:val="center"/>
            </w:pPr>
          </w:p>
        </w:tc>
        <w:tc>
          <w:tcPr>
            <w:tcW w:w="1428" w:type="dxa"/>
          </w:tcPr>
          <w:p w14:paraId="683867D1" w14:textId="77777777" w:rsidR="00177166" w:rsidRDefault="00177166" w:rsidP="00177166">
            <w:pPr>
              <w:pStyle w:val="Body1"/>
              <w:spacing w:after="0"/>
              <w:jc w:val="center"/>
            </w:pPr>
            <w:r>
              <w:t>100</w:t>
            </w:r>
          </w:p>
        </w:tc>
        <w:tc>
          <w:tcPr>
            <w:tcW w:w="1278" w:type="dxa"/>
          </w:tcPr>
          <w:p w14:paraId="56F39CAF" w14:textId="42A5D237" w:rsidR="00177166" w:rsidRDefault="00177166" w:rsidP="00177166">
            <w:pPr>
              <w:pStyle w:val="Body1"/>
              <w:spacing w:after="0"/>
              <w:jc w:val="center"/>
            </w:pPr>
            <w:r w:rsidRPr="00982F4B">
              <w:t>8.8</w:t>
            </w:r>
          </w:p>
        </w:tc>
      </w:tr>
      <w:tr w:rsidR="00BC03C9" w14:paraId="06D36BF1" w14:textId="77777777" w:rsidTr="00DF0955">
        <w:trPr>
          <w:jc w:val="center"/>
        </w:trPr>
        <w:tc>
          <w:tcPr>
            <w:tcW w:w="1368" w:type="dxa"/>
            <w:vMerge w:val="restart"/>
            <w:vAlign w:val="center"/>
          </w:tcPr>
          <w:p w14:paraId="13574D97" w14:textId="17D250DC" w:rsidR="00BC03C9" w:rsidRDefault="00BC03C9" w:rsidP="00177166">
            <w:pPr>
              <w:pStyle w:val="Body1"/>
              <w:spacing w:after="0"/>
              <w:jc w:val="center"/>
            </w:pPr>
            <w:r>
              <w:t>60</w:t>
            </w:r>
          </w:p>
        </w:tc>
        <w:tc>
          <w:tcPr>
            <w:tcW w:w="1428" w:type="dxa"/>
          </w:tcPr>
          <w:p w14:paraId="17486469" w14:textId="77777777" w:rsidR="00BC03C9" w:rsidRDefault="00BC03C9" w:rsidP="00177166">
            <w:pPr>
              <w:pStyle w:val="Body1"/>
              <w:spacing w:after="0"/>
              <w:jc w:val="center"/>
            </w:pPr>
            <w:r>
              <w:t>80</w:t>
            </w:r>
          </w:p>
        </w:tc>
        <w:tc>
          <w:tcPr>
            <w:tcW w:w="1278" w:type="dxa"/>
          </w:tcPr>
          <w:p w14:paraId="4F40DFB8" w14:textId="7F9B7C8E" w:rsidR="00BC03C9" w:rsidRDefault="00BC03C9" w:rsidP="00177166">
            <w:pPr>
              <w:pStyle w:val="Body1"/>
              <w:spacing w:after="0"/>
              <w:jc w:val="center"/>
            </w:pPr>
            <w:r w:rsidRPr="004130EC">
              <w:t>7.8</w:t>
            </w:r>
          </w:p>
        </w:tc>
      </w:tr>
      <w:tr w:rsidR="00BC03C9" w14:paraId="2EDAB4FE" w14:textId="77777777" w:rsidTr="00DF0955">
        <w:trPr>
          <w:jc w:val="center"/>
        </w:trPr>
        <w:tc>
          <w:tcPr>
            <w:tcW w:w="1368" w:type="dxa"/>
            <w:vMerge/>
            <w:vAlign w:val="center"/>
          </w:tcPr>
          <w:p w14:paraId="77E0A4B6" w14:textId="77777777" w:rsidR="00BC03C9" w:rsidRDefault="00BC03C9" w:rsidP="00177166">
            <w:pPr>
              <w:pStyle w:val="Body1"/>
              <w:spacing w:after="0"/>
              <w:jc w:val="center"/>
            </w:pPr>
          </w:p>
        </w:tc>
        <w:tc>
          <w:tcPr>
            <w:tcW w:w="1428" w:type="dxa"/>
          </w:tcPr>
          <w:p w14:paraId="001BC1BF" w14:textId="77777777" w:rsidR="00BC03C9" w:rsidRDefault="00BC03C9" w:rsidP="00177166">
            <w:pPr>
              <w:pStyle w:val="Body1"/>
              <w:spacing w:after="0"/>
              <w:jc w:val="center"/>
            </w:pPr>
            <w:r>
              <w:t>90</w:t>
            </w:r>
          </w:p>
        </w:tc>
        <w:tc>
          <w:tcPr>
            <w:tcW w:w="1278" w:type="dxa"/>
          </w:tcPr>
          <w:p w14:paraId="43E477F4" w14:textId="0B065118" w:rsidR="00BC03C9" w:rsidRDefault="00BC03C9" w:rsidP="00177166">
            <w:pPr>
              <w:pStyle w:val="Body1"/>
              <w:spacing w:after="0"/>
              <w:jc w:val="center"/>
            </w:pPr>
            <w:r w:rsidRPr="004130EC">
              <w:t>9.2</w:t>
            </w:r>
          </w:p>
        </w:tc>
      </w:tr>
      <w:tr w:rsidR="00BC03C9" w14:paraId="2394316E" w14:textId="77777777" w:rsidTr="00DF0955">
        <w:trPr>
          <w:jc w:val="center"/>
        </w:trPr>
        <w:tc>
          <w:tcPr>
            <w:tcW w:w="1368" w:type="dxa"/>
            <w:vMerge/>
            <w:vAlign w:val="center"/>
          </w:tcPr>
          <w:p w14:paraId="175E44F9" w14:textId="77777777" w:rsidR="00BC03C9" w:rsidRDefault="00BC03C9" w:rsidP="00177166">
            <w:pPr>
              <w:pStyle w:val="Body1"/>
              <w:spacing w:after="0"/>
              <w:jc w:val="center"/>
            </w:pPr>
          </w:p>
        </w:tc>
        <w:tc>
          <w:tcPr>
            <w:tcW w:w="1428" w:type="dxa"/>
          </w:tcPr>
          <w:p w14:paraId="1688CFFD" w14:textId="77777777" w:rsidR="00BC03C9" w:rsidRDefault="00BC03C9" w:rsidP="00177166">
            <w:pPr>
              <w:pStyle w:val="Body1"/>
              <w:spacing w:after="0"/>
              <w:jc w:val="center"/>
            </w:pPr>
            <w:r>
              <w:t>100</w:t>
            </w:r>
          </w:p>
        </w:tc>
        <w:tc>
          <w:tcPr>
            <w:tcW w:w="1278" w:type="dxa"/>
          </w:tcPr>
          <w:p w14:paraId="199FD3FC" w14:textId="0C61C2CA" w:rsidR="00BC03C9" w:rsidRDefault="00BC03C9" w:rsidP="00177166">
            <w:pPr>
              <w:pStyle w:val="Body1"/>
              <w:spacing w:after="0"/>
              <w:jc w:val="center"/>
            </w:pPr>
            <w:r w:rsidRPr="004130EC">
              <w:t>10.9</w:t>
            </w:r>
          </w:p>
        </w:tc>
      </w:tr>
      <w:tr w:rsidR="00BC03C9" w14:paraId="4CCF202A" w14:textId="77777777" w:rsidTr="00DF0955">
        <w:trPr>
          <w:jc w:val="center"/>
        </w:trPr>
        <w:tc>
          <w:tcPr>
            <w:tcW w:w="1368" w:type="dxa"/>
            <w:vMerge/>
            <w:vAlign w:val="center"/>
          </w:tcPr>
          <w:p w14:paraId="07391C5C" w14:textId="77777777" w:rsidR="00BC03C9" w:rsidRDefault="00BC03C9" w:rsidP="00177166">
            <w:pPr>
              <w:pStyle w:val="Body1"/>
              <w:spacing w:after="0"/>
              <w:jc w:val="center"/>
            </w:pPr>
          </w:p>
        </w:tc>
        <w:tc>
          <w:tcPr>
            <w:tcW w:w="1428" w:type="dxa"/>
          </w:tcPr>
          <w:p w14:paraId="3501AF44" w14:textId="77777777" w:rsidR="00BC03C9" w:rsidRDefault="00BC03C9" w:rsidP="00177166">
            <w:pPr>
              <w:pStyle w:val="Body1"/>
              <w:spacing w:after="0"/>
              <w:jc w:val="center"/>
            </w:pPr>
            <w:r>
              <w:t>110</w:t>
            </w:r>
          </w:p>
        </w:tc>
        <w:tc>
          <w:tcPr>
            <w:tcW w:w="1278" w:type="dxa"/>
          </w:tcPr>
          <w:p w14:paraId="1CADA63C" w14:textId="2F790015" w:rsidR="00BC03C9" w:rsidRDefault="00BC03C9" w:rsidP="002C0571">
            <w:pPr>
              <w:pStyle w:val="Body1"/>
              <w:spacing w:after="0"/>
              <w:jc w:val="center"/>
            </w:pPr>
            <w:r w:rsidRPr="004130EC">
              <w:t>1</w:t>
            </w:r>
            <w:r>
              <w:t>1</w:t>
            </w:r>
            <w:r w:rsidRPr="004130EC">
              <w:t>.</w:t>
            </w:r>
            <w:r>
              <w:t>0</w:t>
            </w:r>
          </w:p>
        </w:tc>
      </w:tr>
      <w:tr w:rsidR="00BC03C9" w14:paraId="0F6CDEA1" w14:textId="77777777" w:rsidTr="00DF0955">
        <w:trPr>
          <w:jc w:val="center"/>
        </w:trPr>
        <w:tc>
          <w:tcPr>
            <w:tcW w:w="1368" w:type="dxa"/>
            <w:vMerge w:val="restart"/>
            <w:vAlign w:val="center"/>
          </w:tcPr>
          <w:p w14:paraId="17302E90" w14:textId="33956A06" w:rsidR="00BC03C9" w:rsidRDefault="00BC03C9" w:rsidP="00177166">
            <w:pPr>
              <w:pStyle w:val="Body1"/>
              <w:spacing w:after="0"/>
              <w:jc w:val="center"/>
            </w:pPr>
            <w:r>
              <w:t>75</w:t>
            </w:r>
          </w:p>
        </w:tc>
        <w:tc>
          <w:tcPr>
            <w:tcW w:w="1428" w:type="dxa"/>
          </w:tcPr>
          <w:p w14:paraId="2E77123F" w14:textId="77777777" w:rsidR="00BC03C9" w:rsidRDefault="00BC03C9" w:rsidP="00177166">
            <w:pPr>
              <w:pStyle w:val="Body1"/>
              <w:spacing w:after="0"/>
              <w:jc w:val="center"/>
            </w:pPr>
            <w:r>
              <w:t>90</w:t>
            </w:r>
          </w:p>
        </w:tc>
        <w:tc>
          <w:tcPr>
            <w:tcW w:w="1278" w:type="dxa"/>
          </w:tcPr>
          <w:p w14:paraId="2903BCC0" w14:textId="0F230389" w:rsidR="00BC03C9" w:rsidRDefault="00BC03C9" w:rsidP="00177166">
            <w:pPr>
              <w:pStyle w:val="Body1"/>
              <w:spacing w:after="0"/>
              <w:jc w:val="center"/>
            </w:pPr>
            <w:r w:rsidRPr="000F22AB">
              <w:t>12.6</w:t>
            </w:r>
          </w:p>
        </w:tc>
      </w:tr>
      <w:tr w:rsidR="00BC03C9" w14:paraId="76B8DB23" w14:textId="77777777" w:rsidTr="00DF0955">
        <w:trPr>
          <w:jc w:val="center"/>
        </w:trPr>
        <w:tc>
          <w:tcPr>
            <w:tcW w:w="1368" w:type="dxa"/>
            <w:vMerge/>
            <w:vAlign w:val="center"/>
          </w:tcPr>
          <w:p w14:paraId="5EA587E6" w14:textId="77777777" w:rsidR="00BC03C9" w:rsidRDefault="00BC03C9" w:rsidP="00177166">
            <w:pPr>
              <w:pStyle w:val="Body1"/>
              <w:spacing w:after="0"/>
              <w:jc w:val="center"/>
            </w:pPr>
          </w:p>
        </w:tc>
        <w:tc>
          <w:tcPr>
            <w:tcW w:w="1428" w:type="dxa"/>
          </w:tcPr>
          <w:p w14:paraId="0F5B725A" w14:textId="77777777" w:rsidR="00BC03C9" w:rsidRDefault="00BC03C9" w:rsidP="00177166">
            <w:pPr>
              <w:pStyle w:val="Body1"/>
              <w:spacing w:after="0"/>
              <w:jc w:val="center"/>
            </w:pPr>
            <w:r>
              <w:t>100</w:t>
            </w:r>
          </w:p>
        </w:tc>
        <w:tc>
          <w:tcPr>
            <w:tcW w:w="1278" w:type="dxa"/>
          </w:tcPr>
          <w:p w14:paraId="423E9A79" w14:textId="4D4B4DC0" w:rsidR="00BC03C9" w:rsidRDefault="00BC03C9" w:rsidP="00177166">
            <w:pPr>
              <w:pStyle w:val="Body1"/>
              <w:spacing w:after="0"/>
              <w:jc w:val="center"/>
            </w:pPr>
            <w:r w:rsidRPr="000F22AB">
              <w:t>13.5</w:t>
            </w:r>
          </w:p>
        </w:tc>
      </w:tr>
      <w:tr w:rsidR="00BC03C9" w14:paraId="30507542" w14:textId="77777777" w:rsidTr="00DF0955">
        <w:trPr>
          <w:jc w:val="center"/>
        </w:trPr>
        <w:tc>
          <w:tcPr>
            <w:tcW w:w="1368" w:type="dxa"/>
            <w:vMerge/>
            <w:vAlign w:val="center"/>
          </w:tcPr>
          <w:p w14:paraId="2CBBBCFC" w14:textId="77777777" w:rsidR="00BC03C9" w:rsidRDefault="00BC03C9" w:rsidP="00177166">
            <w:pPr>
              <w:pStyle w:val="Body1"/>
              <w:spacing w:after="0"/>
              <w:jc w:val="center"/>
            </w:pPr>
          </w:p>
        </w:tc>
        <w:tc>
          <w:tcPr>
            <w:tcW w:w="1428" w:type="dxa"/>
          </w:tcPr>
          <w:p w14:paraId="394DDF59" w14:textId="77777777" w:rsidR="00BC03C9" w:rsidRDefault="00BC03C9" w:rsidP="00177166">
            <w:pPr>
              <w:pStyle w:val="Body1"/>
              <w:spacing w:after="0"/>
              <w:jc w:val="center"/>
            </w:pPr>
            <w:r>
              <w:t>110</w:t>
            </w:r>
          </w:p>
        </w:tc>
        <w:tc>
          <w:tcPr>
            <w:tcW w:w="1278" w:type="dxa"/>
          </w:tcPr>
          <w:p w14:paraId="7B7E1DF7" w14:textId="5CF29451" w:rsidR="00BC03C9" w:rsidRDefault="00BC03C9" w:rsidP="00177166">
            <w:pPr>
              <w:pStyle w:val="Body1"/>
              <w:spacing w:after="0"/>
              <w:jc w:val="center"/>
            </w:pPr>
            <w:r w:rsidRPr="000F22AB">
              <w:t>15.4</w:t>
            </w:r>
          </w:p>
        </w:tc>
      </w:tr>
      <w:tr w:rsidR="00BC03C9" w14:paraId="4CEDFE7E" w14:textId="77777777" w:rsidTr="00DF0955">
        <w:trPr>
          <w:jc w:val="center"/>
        </w:trPr>
        <w:tc>
          <w:tcPr>
            <w:tcW w:w="1368" w:type="dxa"/>
            <w:vMerge/>
            <w:vAlign w:val="center"/>
          </w:tcPr>
          <w:p w14:paraId="19AF2771" w14:textId="77777777" w:rsidR="00BC03C9" w:rsidRDefault="00BC03C9" w:rsidP="00177166">
            <w:pPr>
              <w:pStyle w:val="Body1"/>
              <w:spacing w:after="0"/>
              <w:jc w:val="center"/>
            </w:pPr>
          </w:p>
        </w:tc>
        <w:tc>
          <w:tcPr>
            <w:tcW w:w="1428" w:type="dxa"/>
          </w:tcPr>
          <w:p w14:paraId="6F88D1F2" w14:textId="77777777" w:rsidR="00BC03C9" w:rsidRDefault="00BC03C9" w:rsidP="00177166">
            <w:pPr>
              <w:pStyle w:val="Body1"/>
              <w:spacing w:after="0"/>
              <w:jc w:val="center"/>
            </w:pPr>
            <w:r>
              <w:t>120</w:t>
            </w:r>
          </w:p>
        </w:tc>
        <w:tc>
          <w:tcPr>
            <w:tcW w:w="1278" w:type="dxa"/>
          </w:tcPr>
          <w:p w14:paraId="6EEB1E15" w14:textId="77777777" w:rsidR="00BC03C9" w:rsidRDefault="00BC03C9" w:rsidP="00177166">
            <w:pPr>
              <w:pStyle w:val="Body1"/>
              <w:spacing w:after="0"/>
              <w:jc w:val="center"/>
            </w:pPr>
            <w:r w:rsidRPr="000F22AB">
              <w:t>17.6</w:t>
            </w:r>
          </w:p>
        </w:tc>
      </w:tr>
      <w:tr w:rsidR="00BC03C9" w14:paraId="5A873C2E" w14:textId="77777777" w:rsidTr="001D79A7">
        <w:trPr>
          <w:jc w:val="center"/>
        </w:trPr>
        <w:tc>
          <w:tcPr>
            <w:tcW w:w="1368" w:type="dxa"/>
            <w:vMerge w:val="restart"/>
            <w:vAlign w:val="center"/>
          </w:tcPr>
          <w:p w14:paraId="35B9A738" w14:textId="61ECF937" w:rsidR="00BC03C9" w:rsidRDefault="00BC03C9" w:rsidP="00BC03C9">
            <w:pPr>
              <w:pStyle w:val="Body1"/>
              <w:spacing w:after="0"/>
              <w:jc w:val="center"/>
            </w:pPr>
            <w:r>
              <w:t>100</w:t>
            </w:r>
          </w:p>
        </w:tc>
        <w:tc>
          <w:tcPr>
            <w:tcW w:w="1428" w:type="dxa"/>
          </w:tcPr>
          <w:p w14:paraId="2E50E789" w14:textId="77777777" w:rsidR="00BC03C9" w:rsidRDefault="00BC03C9" w:rsidP="00177166">
            <w:pPr>
              <w:pStyle w:val="Body1"/>
              <w:spacing w:after="0"/>
              <w:jc w:val="center"/>
            </w:pPr>
            <w:r>
              <w:t>90</w:t>
            </w:r>
          </w:p>
        </w:tc>
        <w:tc>
          <w:tcPr>
            <w:tcW w:w="1278" w:type="dxa"/>
          </w:tcPr>
          <w:p w14:paraId="70CF4497" w14:textId="28F142AB" w:rsidR="00BC03C9" w:rsidRDefault="00BC03C9" w:rsidP="00177166">
            <w:pPr>
              <w:pStyle w:val="Body1"/>
              <w:spacing w:after="0"/>
              <w:jc w:val="center"/>
            </w:pPr>
            <w:r w:rsidRPr="00014851">
              <w:t>17.2</w:t>
            </w:r>
          </w:p>
        </w:tc>
      </w:tr>
      <w:tr w:rsidR="00BC03C9" w14:paraId="781ECAA3" w14:textId="77777777" w:rsidTr="00DF0955">
        <w:trPr>
          <w:jc w:val="center"/>
        </w:trPr>
        <w:tc>
          <w:tcPr>
            <w:tcW w:w="1368" w:type="dxa"/>
            <w:vMerge/>
          </w:tcPr>
          <w:p w14:paraId="111C9D23" w14:textId="77777777" w:rsidR="00BC03C9" w:rsidRDefault="00BC03C9" w:rsidP="00177166">
            <w:pPr>
              <w:pStyle w:val="Body1"/>
              <w:spacing w:after="0"/>
              <w:jc w:val="center"/>
            </w:pPr>
          </w:p>
        </w:tc>
        <w:tc>
          <w:tcPr>
            <w:tcW w:w="1428" w:type="dxa"/>
          </w:tcPr>
          <w:p w14:paraId="11C4F4D3" w14:textId="77777777" w:rsidR="00BC03C9" w:rsidRDefault="00BC03C9" w:rsidP="00177166">
            <w:pPr>
              <w:pStyle w:val="Body1"/>
              <w:spacing w:after="0"/>
              <w:jc w:val="center"/>
            </w:pPr>
            <w:r>
              <w:t>100</w:t>
            </w:r>
          </w:p>
        </w:tc>
        <w:tc>
          <w:tcPr>
            <w:tcW w:w="1278" w:type="dxa"/>
          </w:tcPr>
          <w:p w14:paraId="4BF10377" w14:textId="4A9752FE" w:rsidR="00BC03C9" w:rsidRDefault="00BC03C9" w:rsidP="00177166">
            <w:pPr>
              <w:pStyle w:val="Body1"/>
              <w:spacing w:after="0"/>
              <w:jc w:val="center"/>
            </w:pPr>
            <w:r w:rsidRPr="00014851">
              <w:t>19.1</w:t>
            </w:r>
          </w:p>
        </w:tc>
      </w:tr>
      <w:tr w:rsidR="00BC03C9" w14:paraId="10FEFCCC" w14:textId="77777777" w:rsidTr="00DF0955">
        <w:trPr>
          <w:jc w:val="center"/>
        </w:trPr>
        <w:tc>
          <w:tcPr>
            <w:tcW w:w="1368" w:type="dxa"/>
            <w:vMerge/>
          </w:tcPr>
          <w:p w14:paraId="5050CA52" w14:textId="77777777" w:rsidR="00BC03C9" w:rsidRDefault="00BC03C9" w:rsidP="00177166">
            <w:pPr>
              <w:pStyle w:val="Body1"/>
              <w:spacing w:after="0"/>
              <w:jc w:val="center"/>
            </w:pPr>
          </w:p>
        </w:tc>
        <w:tc>
          <w:tcPr>
            <w:tcW w:w="1428" w:type="dxa"/>
          </w:tcPr>
          <w:p w14:paraId="466E9669" w14:textId="77777777" w:rsidR="00BC03C9" w:rsidRDefault="00BC03C9" w:rsidP="00177166">
            <w:pPr>
              <w:pStyle w:val="Body1"/>
              <w:spacing w:after="0"/>
              <w:jc w:val="center"/>
            </w:pPr>
            <w:r>
              <w:t>110</w:t>
            </w:r>
          </w:p>
        </w:tc>
        <w:tc>
          <w:tcPr>
            <w:tcW w:w="1278" w:type="dxa"/>
          </w:tcPr>
          <w:p w14:paraId="1B8D2632" w14:textId="2A57AEF2" w:rsidR="00BC03C9" w:rsidRDefault="00BC03C9" w:rsidP="00177166">
            <w:pPr>
              <w:pStyle w:val="Body1"/>
              <w:spacing w:after="0"/>
              <w:jc w:val="center"/>
            </w:pPr>
            <w:r w:rsidRPr="00014851">
              <w:t>19.9</w:t>
            </w:r>
          </w:p>
        </w:tc>
      </w:tr>
    </w:tbl>
    <w:p w14:paraId="300A459B" w14:textId="77777777" w:rsidR="00976A62" w:rsidRDefault="00976A62" w:rsidP="0088383D">
      <w:pPr>
        <w:pStyle w:val="Heading2"/>
      </w:pPr>
      <w:bookmarkStart w:id="12" w:name="_Toc482685846"/>
      <w:r>
        <w:t>Requirements for Product Tracking</w:t>
      </w:r>
      <w:bookmarkEnd w:id="12"/>
    </w:p>
    <w:p w14:paraId="0F1B9405" w14:textId="13B6FEB1" w:rsidR="00976A62" w:rsidRDefault="009C336E" w:rsidP="0088383D">
      <w:pPr>
        <w:pStyle w:val="Body2"/>
      </w:pPr>
      <w:r>
        <w:t xml:space="preserve">The </w:t>
      </w:r>
      <w:r w:rsidR="00976A62">
        <w:t xml:space="preserve">PAs are required to track the wattage and </w:t>
      </w:r>
      <w:r w:rsidR="0007786A">
        <w:t xml:space="preserve">rated lumen </w:t>
      </w:r>
      <w:r w:rsidR="00976A62">
        <w:t xml:space="preserve">output of all program lamps and submit tracking data to the workpaper project archive (WPA) at </w:t>
      </w:r>
      <w:hyperlink r:id="rId10" w:history="1">
        <w:r w:rsidR="00976A62" w:rsidRPr="00145C8D">
          <w:rPr>
            <w:rStyle w:val="Hyperlink"/>
          </w:rPr>
          <w:t>www.deeresources.info</w:t>
        </w:r>
      </w:hyperlink>
      <w:r w:rsidR="00976A62">
        <w:t>, following the same schedule required for quarterly claims reporting.</w:t>
      </w:r>
    </w:p>
    <w:p w14:paraId="2134CD2B" w14:textId="77777777" w:rsidR="00154E04" w:rsidRDefault="00254417" w:rsidP="002E2F58">
      <w:pPr>
        <w:pStyle w:val="Heading1"/>
      </w:pPr>
      <w:bookmarkStart w:id="13" w:name="_Ref482603983"/>
      <w:bookmarkStart w:id="14" w:name="_Toc482685847"/>
      <w:r>
        <w:t xml:space="preserve">Revisions for All Other LED </w:t>
      </w:r>
      <w:r w:rsidR="00AA1E1B">
        <w:t>Lamps</w:t>
      </w:r>
      <w:bookmarkEnd w:id="13"/>
      <w:bookmarkEnd w:id="14"/>
    </w:p>
    <w:p w14:paraId="01AFA0CC" w14:textId="77777777" w:rsidR="007D1EEE" w:rsidRDefault="007D1EEE" w:rsidP="007D1EEE">
      <w:pPr>
        <w:pStyle w:val="Body1"/>
      </w:pPr>
      <w:bookmarkStart w:id="15" w:name="_Ref475966922"/>
      <w:bookmarkStart w:id="16" w:name="_Toc475967902"/>
      <w:r>
        <w:t>Commission staff has revised the Phase 1 disposition for all LED lamps</w:t>
      </w:r>
      <w:r w:rsidR="00AA1E1B">
        <w:t>,</w:t>
      </w:r>
      <w:r>
        <w:t xml:space="preserve"> except A-lamps</w:t>
      </w:r>
      <w:r w:rsidR="00AA1E1B">
        <w:t>,</w:t>
      </w:r>
      <w:r>
        <w:t xml:space="preserve"> as follows:</w:t>
      </w:r>
    </w:p>
    <w:p w14:paraId="20BBEA2B" w14:textId="7211D792" w:rsidR="00767695" w:rsidRDefault="00767695" w:rsidP="0088383D">
      <w:pPr>
        <w:pStyle w:val="Heading2"/>
      </w:pPr>
      <w:bookmarkStart w:id="17" w:name="_Toc482685848"/>
      <w:r>
        <w:lastRenderedPageBreak/>
        <w:t>Wattage Reduction Ratio Values for LED Specialty Lamps</w:t>
      </w:r>
      <w:bookmarkEnd w:id="17"/>
    </w:p>
    <w:p w14:paraId="49B87219" w14:textId="6029E46F" w:rsidR="007D1EEE" w:rsidRDefault="00767695" w:rsidP="0088383D">
      <w:pPr>
        <w:pStyle w:val="Body2"/>
      </w:pPr>
      <w:r>
        <w:t>Previously approved w</w:t>
      </w:r>
      <w:r w:rsidR="007D1EEE">
        <w:t>attage reduction ratio (WWR) values for globe, candelabra and MR16 lamps shall be kept for 2017. In the original Phase 1 disposition, Commission staff revised these values to include a fraction of CFLs in the baseline. However, CFL globes and candelabras do not have high market saturation; there many of CFL globes or candelabras in the PAs claims; and Commission staff is not aware of any available MR16 CFLs. Therefore, Commission staff determined it was reasonable to keep a baseline of all incandescent lamps.</w:t>
      </w:r>
      <w:r w:rsidR="00D7455B">
        <w:t xml:space="preserve"> See </w:t>
      </w:r>
      <w:r w:rsidR="000A159D">
        <w:fldChar w:fldCharType="begin"/>
      </w:r>
      <w:r w:rsidR="000A159D">
        <w:instrText xml:space="preserve"> REF _Ref481594546 </w:instrText>
      </w:r>
      <w:r w:rsidR="000A159D">
        <w:fldChar w:fldCharType="separate"/>
      </w:r>
      <w:r w:rsidR="00583FC8">
        <w:t xml:space="preserve">Table </w:t>
      </w:r>
      <w:r w:rsidR="00583FC8">
        <w:rPr>
          <w:noProof/>
        </w:rPr>
        <w:t>4</w:t>
      </w:r>
      <w:r w:rsidR="000A159D">
        <w:rPr>
          <w:noProof/>
        </w:rPr>
        <w:fldChar w:fldCharType="end"/>
      </w:r>
      <w:r w:rsidR="00D7455B">
        <w:t xml:space="preserve"> for approved WRR values.</w:t>
      </w:r>
    </w:p>
    <w:p w14:paraId="5211819C" w14:textId="474C7AA2" w:rsidR="00767695" w:rsidRDefault="00767695" w:rsidP="0088383D">
      <w:pPr>
        <w:pStyle w:val="Heading2"/>
      </w:pPr>
      <w:bookmarkStart w:id="18" w:name="_Toc482685849"/>
      <w:r>
        <w:t>Wattage Reduction Ratio Values for Screw-in LED Reflector Lamps</w:t>
      </w:r>
      <w:bookmarkEnd w:id="18"/>
    </w:p>
    <w:p w14:paraId="43FE0792" w14:textId="0E52D631" w:rsidR="00D7455B" w:rsidRDefault="00D7455B" w:rsidP="0088383D">
      <w:pPr>
        <w:pStyle w:val="Body2"/>
      </w:pPr>
      <w:r>
        <w:t xml:space="preserve">Wattage reduction ratios for all reflector lamps are revised to reflect 40% CFLs in the gross baseline. See </w:t>
      </w:r>
      <w:r w:rsidR="000A159D">
        <w:fldChar w:fldCharType="begin"/>
      </w:r>
      <w:r w:rsidR="000A159D">
        <w:instrText xml:space="preserve"> REF _Ref481594546 </w:instrText>
      </w:r>
      <w:r w:rsidR="000A159D">
        <w:fldChar w:fldCharType="separate"/>
      </w:r>
      <w:r w:rsidR="00583FC8">
        <w:t xml:space="preserve">Table </w:t>
      </w:r>
      <w:r w:rsidR="00583FC8">
        <w:rPr>
          <w:noProof/>
        </w:rPr>
        <w:t>4</w:t>
      </w:r>
      <w:r w:rsidR="000A159D">
        <w:rPr>
          <w:noProof/>
        </w:rPr>
        <w:fldChar w:fldCharType="end"/>
      </w:r>
      <w:r>
        <w:t xml:space="preserve"> for approved WRR values.</w:t>
      </w:r>
    </w:p>
    <w:p w14:paraId="430131B0" w14:textId="326CE2C0" w:rsidR="00135D00" w:rsidRDefault="00135D00" w:rsidP="00135D00">
      <w:pPr>
        <w:pStyle w:val="Caption"/>
        <w:keepNext/>
        <w:jc w:val="center"/>
      </w:pPr>
      <w:bookmarkStart w:id="19" w:name="_Ref481594546"/>
      <w:r>
        <w:t xml:space="preserve">Table </w:t>
      </w:r>
      <w:r w:rsidR="000A159D">
        <w:fldChar w:fldCharType="begin"/>
      </w:r>
      <w:r w:rsidR="000A159D">
        <w:instrText xml:space="preserve"> SEQ </w:instrText>
      </w:r>
      <w:r w:rsidR="000A159D">
        <w:instrText xml:space="preserve">Table \* ARABIC </w:instrText>
      </w:r>
      <w:r w:rsidR="000A159D">
        <w:fldChar w:fldCharType="separate"/>
      </w:r>
      <w:r w:rsidR="00583FC8">
        <w:rPr>
          <w:noProof/>
        </w:rPr>
        <w:t>4</w:t>
      </w:r>
      <w:r w:rsidR="000A159D">
        <w:rPr>
          <w:noProof/>
        </w:rPr>
        <w:fldChar w:fldCharType="end"/>
      </w:r>
      <w:bookmarkEnd w:id="19"/>
      <w:r>
        <w:t xml:space="preserve"> - Approved LED Wattage Reduction Ratios</w:t>
      </w:r>
    </w:p>
    <w:tbl>
      <w:tblPr>
        <w:tblStyle w:val="TableGrid"/>
        <w:tblW w:w="0" w:type="auto"/>
        <w:jc w:val="center"/>
        <w:tblLook w:val="04A0" w:firstRow="1" w:lastRow="0" w:firstColumn="1" w:lastColumn="0" w:noHBand="0" w:noVBand="1"/>
      </w:tblPr>
      <w:tblGrid>
        <w:gridCol w:w="1368"/>
        <w:gridCol w:w="1428"/>
        <w:gridCol w:w="1278"/>
      </w:tblGrid>
      <w:tr w:rsidR="00135D00" w14:paraId="6845D725" w14:textId="77777777" w:rsidTr="00876765">
        <w:trPr>
          <w:jc w:val="center"/>
        </w:trPr>
        <w:tc>
          <w:tcPr>
            <w:tcW w:w="1368" w:type="dxa"/>
          </w:tcPr>
          <w:p w14:paraId="1FDC1338" w14:textId="77777777" w:rsidR="00135D00" w:rsidRDefault="00135D00" w:rsidP="00876765">
            <w:pPr>
              <w:pStyle w:val="Body1"/>
              <w:spacing w:after="0"/>
              <w:jc w:val="center"/>
            </w:pPr>
            <w:r>
              <w:t>Lamp Type</w:t>
            </w:r>
          </w:p>
        </w:tc>
        <w:tc>
          <w:tcPr>
            <w:tcW w:w="1428" w:type="dxa"/>
          </w:tcPr>
          <w:p w14:paraId="58D9FC7F" w14:textId="77777777" w:rsidR="00135D00" w:rsidRDefault="00135D00" w:rsidP="00876765">
            <w:pPr>
              <w:pStyle w:val="Body1"/>
              <w:spacing w:after="0"/>
              <w:jc w:val="center"/>
            </w:pPr>
            <w:r>
              <w:t>Watts</w:t>
            </w:r>
          </w:p>
        </w:tc>
        <w:tc>
          <w:tcPr>
            <w:tcW w:w="1278" w:type="dxa"/>
          </w:tcPr>
          <w:p w14:paraId="3DB873F8" w14:textId="77777777" w:rsidR="00135D00" w:rsidRDefault="00135D00" w:rsidP="00876765">
            <w:pPr>
              <w:pStyle w:val="Body1"/>
              <w:spacing w:after="0"/>
              <w:jc w:val="center"/>
            </w:pPr>
            <w:r>
              <w:t>WRR</w:t>
            </w:r>
          </w:p>
        </w:tc>
      </w:tr>
      <w:tr w:rsidR="00135D00" w14:paraId="4BBE45F7" w14:textId="77777777" w:rsidTr="00876765">
        <w:trPr>
          <w:jc w:val="center"/>
        </w:trPr>
        <w:tc>
          <w:tcPr>
            <w:tcW w:w="1368" w:type="dxa"/>
          </w:tcPr>
          <w:p w14:paraId="5A5B8F6A" w14:textId="77777777" w:rsidR="00135D00" w:rsidRDefault="00135D00" w:rsidP="00876765">
            <w:pPr>
              <w:pStyle w:val="Body1"/>
              <w:spacing w:after="0"/>
              <w:jc w:val="center"/>
            </w:pPr>
            <w:r>
              <w:t>MR16</w:t>
            </w:r>
          </w:p>
        </w:tc>
        <w:tc>
          <w:tcPr>
            <w:tcW w:w="1428" w:type="dxa"/>
          </w:tcPr>
          <w:p w14:paraId="0599C1B5" w14:textId="77777777" w:rsidR="00135D00" w:rsidRDefault="00135D00" w:rsidP="00876765">
            <w:pPr>
              <w:pStyle w:val="Body1"/>
              <w:spacing w:after="0"/>
              <w:jc w:val="center"/>
            </w:pPr>
            <w:r>
              <w:t>All</w:t>
            </w:r>
          </w:p>
        </w:tc>
        <w:tc>
          <w:tcPr>
            <w:tcW w:w="1278" w:type="dxa"/>
          </w:tcPr>
          <w:p w14:paraId="76A8FB51" w14:textId="77777777" w:rsidR="00135D00" w:rsidRDefault="00135D00" w:rsidP="00876765">
            <w:pPr>
              <w:pStyle w:val="Body1"/>
              <w:spacing w:after="0"/>
              <w:jc w:val="center"/>
            </w:pPr>
            <w:r>
              <w:t>4.24</w:t>
            </w:r>
          </w:p>
        </w:tc>
      </w:tr>
      <w:tr w:rsidR="00135D00" w14:paraId="6CFEFE2F" w14:textId="77777777" w:rsidTr="00876765">
        <w:trPr>
          <w:jc w:val="center"/>
        </w:trPr>
        <w:tc>
          <w:tcPr>
            <w:tcW w:w="1368" w:type="dxa"/>
          </w:tcPr>
          <w:p w14:paraId="5D8EF22A" w14:textId="77777777" w:rsidR="00135D00" w:rsidRDefault="00135D00" w:rsidP="00876765">
            <w:pPr>
              <w:pStyle w:val="Body1"/>
              <w:spacing w:after="0"/>
              <w:jc w:val="center"/>
            </w:pPr>
            <w:r>
              <w:t>PAR20</w:t>
            </w:r>
          </w:p>
        </w:tc>
        <w:tc>
          <w:tcPr>
            <w:tcW w:w="1428" w:type="dxa"/>
          </w:tcPr>
          <w:p w14:paraId="4FED2281" w14:textId="77777777" w:rsidR="00135D00" w:rsidRDefault="00135D00" w:rsidP="00876765">
            <w:pPr>
              <w:pStyle w:val="Body1"/>
              <w:spacing w:after="0"/>
              <w:jc w:val="center"/>
            </w:pPr>
            <w:r>
              <w:t>All</w:t>
            </w:r>
          </w:p>
        </w:tc>
        <w:tc>
          <w:tcPr>
            <w:tcW w:w="1278" w:type="dxa"/>
          </w:tcPr>
          <w:p w14:paraId="57518242" w14:textId="77777777" w:rsidR="00135D00" w:rsidRDefault="00135D00" w:rsidP="00876765">
            <w:pPr>
              <w:pStyle w:val="Body1"/>
              <w:spacing w:after="0"/>
              <w:jc w:val="center"/>
            </w:pPr>
            <w:r>
              <w:t>4.04</w:t>
            </w:r>
          </w:p>
        </w:tc>
      </w:tr>
      <w:tr w:rsidR="00135D00" w14:paraId="4E7FA395" w14:textId="77777777" w:rsidTr="00876765">
        <w:trPr>
          <w:jc w:val="center"/>
        </w:trPr>
        <w:tc>
          <w:tcPr>
            <w:tcW w:w="1368" w:type="dxa"/>
          </w:tcPr>
          <w:p w14:paraId="0D6A339C" w14:textId="77777777" w:rsidR="00135D00" w:rsidRDefault="00135D00" w:rsidP="00876765">
            <w:pPr>
              <w:pStyle w:val="Body1"/>
              <w:spacing w:after="0"/>
              <w:jc w:val="center"/>
            </w:pPr>
            <w:r>
              <w:t>PAR30</w:t>
            </w:r>
          </w:p>
        </w:tc>
        <w:tc>
          <w:tcPr>
            <w:tcW w:w="1428" w:type="dxa"/>
          </w:tcPr>
          <w:p w14:paraId="3E4A95C1" w14:textId="77777777" w:rsidR="00135D00" w:rsidRDefault="00135D00" w:rsidP="00876765">
            <w:pPr>
              <w:pStyle w:val="Body1"/>
              <w:spacing w:after="0"/>
              <w:jc w:val="center"/>
            </w:pPr>
            <w:r>
              <w:t>All</w:t>
            </w:r>
          </w:p>
        </w:tc>
        <w:tc>
          <w:tcPr>
            <w:tcW w:w="1278" w:type="dxa"/>
          </w:tcPr>
          <w:p w14:paraId="4E5FDBCA" w14:textId="77777777" w:rsidR="00135D00" w:rsidRDefault="00135D00" w:rsidP="00876765">
            <w:pPr>
              <w:pStyle w:val="Body1"/>
              <w:spacing w:after="0"/>
              <w:jc w:val="center"/>
            </w:pPr>
            <w:r>
              <w:t>2.94</w:t>
            </w:r>
          </w:p>
        </w:tc>
      </w:tr>
      <w:tr w:rsidR="00135D00" w14:paraId="241303D6" w14:textId="77777777" w:rsidTr="00876765">
        <w:trPr>
          <w:jc w:val="center"/>
        </w:trPr>
        <w:tc>
          <w:tcPr>
            <w:tcW w:w="1368" w:type="dxa"/>
          </w:tcPr>
          <w:p w14:paraId="11B364BF" w14:textId="77777777" w:rsidR="00135D00" w:rsidRDefault="00135D00" w:rsidP="00876765">
            <w:pPr>
              <w:pStyle w:val="Body1"/>
              <w:spacing w:after="0"/>
              <w:jc w:val="center"/>
            </w:pPr>
            <w:r>
              <w:t>PAR38</w:t>
            </w:r>
          </w:p>
        </w:tc>
        <w:tc>
          <w:tcPr>
            <w:tcW w:w="1428" w:type="dxa"/>
          </w:tcPr>
          <w:p w14:paraId="2A2CB028" w14:textId="77777777" w:rsidR="00135D00" w:rsidRDefault="00135D00" w:rsidP="00876765">
            <w:pPr>
              <w:pStyle w:val="Body1"/>
              <w:spacing w:after="0"/>
              <w:jc w:val="center"/>
            </w:pPr>
            <w:r>
              <w:t>All</w:t>
            </w:r>
          </w:p>
        </w:tc>
        <w:tc>
          <w:tcPr>
            <w:tcW w:w="1278" w:type="dxa"/>
          </w:tcPr>
          <w:p w14:paraId="0F6EADED" w14:textId="77777777" w:rsidR="00135D00" w:rsidRDefault="00135D00" w:rsidP="00876765">
            <w:pPr>
              <w:pStyle w:val="Body1"/>
              <w:spacing w:after="0"/>
              <w:jc w:val="center"/>
            </w:pPr>
            <w:r>
              <w:t>3.28</w:t>
            </w:r>
          </w:p>
        </w:tc>
      </w:tr>
      <w:tr w:rsidR="00135D00" w14:paraId="7CA0F6FA" w14:textId="77777777" w:rsidTr="00135D00">
        <w:trPr>
          <w:jc w:val="center"/>
        </w:trPr>
        <w:tc>
          <w:tcPr>
            <w:tcW w:w="1368" w:type="dxa"/>
            <w:vMerge w:val="restart"/>
            <w:vAlign w:val="center"/>
          </w:tcPr>
          <w:p w14:paraId="0886FF10" w14:textId="77777777" w:rsidR="00135D00" w:rsidRDefault="00135D00" w:rsidP="00135D00">
            <w:pPr>
              <w:pStyle w:val="Body1"/>
              <w:spacing w:after="0"/>
              <w:jc w:val="center"/>
            </w:pPr>
            <w:r>
              <w:t>R/BR</w:t>
            </w:r>
          </w:p>
        </w:tc>
        <w:tc>
          <w:tcPr>
            <w:tcW w:w="1428" w:type="dxa"/>
          </w:tcPr>
          <w:p w14:paraId="3DF3C5E1" w14:textId="77777777" w:rsidR="00135D00" w:rsidRDefault="00135D00" w:rsidP="00876765">
            <w:pPr>
              <w:pStyle w:val="Body1"/>
              <w:spacing w:after="0"/>
              <w:jc w:val="center"/>
            </w:pPr>
            <w:r>
              <w:t>&lt; 11w</w:t>
            </w:r>
          </w:p>
        </w:tc>
        <w:tc>
          <w:tcPr>
            <w:tcW w:w="1278" w:type="dxa"/>
          </w:tcPr>
          <w:p w14:paraId="4BFB2400" w14:textId="77777777" w:rsidR="00135D00" w:rsidRDefault="00135D00" w:rsidP="00876765">
            <w:pPr>
              <w:pStyle w:val="Body1"/>
              <w:spacing w:after="0"/>
              <w:jc w:val="center"/>
            </w:pPr>
            <w:r>
              <w:t>5.24</w:t>
            </w:r>
          </w:p>
        </w:tc>
      </w:tr>
      <w:tr w:rsidR="00135D00" w14:paraId="166E9F3F" w14:textId="77777777" w:rsidTr="00876765">
        <w:trPr>
          <w:jc w:val="center"/>
        </w:trPr>
        <w:tc>
          <w:tcPr>
            <w:tcW w:w="1368" w:type="dxa"/>
            <w:vMerge/>
          </w:tcPr>
          <w:p w14:paraId="462FD300" w14:textId="77777777" w:rsidR="00135D00" w:rsidRDefault="00135D00" w:rsidP="00876765">
            <w:pPr>
              <w:pStyle w:val="Body1"/>
              <w:spacing w:after="0"/>
              <w:jc w:val="center"/>
            </w:pPr>
          </w:p>
        </w:tc>
        <w:tc>
          <w:tcPr>
            <w:tcW w:w="1428" w:type="dxa"/>
          </w:tcPr>
          <w:p w14:paraId="33BE7C58" w14:textId="77777777" w:rsidR="00135D00" w:rsidRDefault="00135D00" w:rsidP="00876765">
            <w:pPr>
              <w:pStyle w:val="Body1"/>
              <w:spacing w:after="0"/>
              <w:jc w:val="center"/>
            </w:pPr>
            <w:r>
              <w:t>&gt;= 11w, &lt; 14w</w:t>
            </w:r>
          </w:p>
        </w:tc>
        <w:tc>
          <w:tcPr>
            <w:tcW w:w="1278" w:type="dxa"/>
          </w:tcPr>
          <w:p w14:paraId="2DB5118A" w14:textId="77777777" w:rsidR="00135D00" w:rsidRDefault="00135D00" w:rsidP="00876765">
            <w:pPr>
              <w:pStyle w:val="Body1"/>
              <w:spacing w:after="0"/>
              <w:jc w:val="center"/>
            </w:pPr>
            <w:r>
              <w:t>4.13</w:t>
            </w:r>
          </w:p>
        </w:tc>
      </w:tr>
      <w:tr w:rsidR="00135D00" w14:paraId="6CF243F9" w14:textId="77777777" w:rsidTr="00876765">
        <w:trPr>
          <w:jc w:val="center"/>
        </w:trPr>
        <w:tc>
          <w:tcPr>
            <w:tcW w:w="1368" w:type="dxa"/>
            <w:vMerge/>
          </w:tcPr>
          <w:p w14:paraId="2CDFEBA3" w14:textId="77777777" w:rsidR="00135D00" w:rsidRDefault="00135D00" w:rsidP="00876765">
            <w:pPr>
              <w:pStyle w:val="Body1"/>
              <w:spacing w:after="0"/>
              <w:jc w:val="center"/>
            </w:pPr>
          </w:p>
        </w:tc>
        <w:tc>
          <w:tcPr>
            <w:tcW w:w="1428" w:type="dxa"/>
          </w:tcPr>
          <w:p w14:paraId="255F8516" w14:textId="77777777" w:rsidR="00135D00" w:rsidRDefault="00135D00" w:rsidP="00876765">
            <w:pPr>
              <w:pStyle w:val="Body1"/>
              <w:spacing w:after="0"/>
              <w:jc w:val="center"/>
            </w:pPr>
            <w:r>
              <w:t>&gt;= 14w</w:t>
            </w:r>
          </w:p>
        </w:tc>
        <w:tc>
          <w:tcPr>
            <w:tcW w:w="1278" w:type="dxa"/>
          </w:tcPr>
          <w:p w14:paraId="5C8171A9" w14:textId="77777777" w:rsidR="00135D00" w:rsidRDefault="00135D00" w:rsidP="00876765">
            <w:pPr>
              <w:pStyle w:val="Body1"/>
              <w:spacing w:after="0"/>
              <w:jc w:val="center"/>
            </w:pPr>
            <w:r>
              <w:t>3.73</w:t>
            </w:r>
          </w:p>
        </w:tc>
      </w:tr>
      <w:tr w:rsidR="00135D00" w14:paraId="6AB15BA6" w14:textId="77777777" w:rsidTr="00876765">
        <w:trPr>
          <w:jc w:val="center"/>
        </w:trPr>
        <w:tc>
          <w:tcPr>
            <w:tcW w:w="1368" w:type="dxa"/>
          </w:tcPr>
          <w:p w14:paraId="252690A9" w14:textId="77777777" w:rsidR="00135D00" w:rsidRDefault="00135D00" w:rsidP="00876765">
            <w:pPr>
              <w:pStyle w:val="Body1"/>
              <w:spacing w:after="0"/>
              <w:jc w:val="center"/>
            </w:pPr>
            <w:r>
              <w:t>Candelabra</w:t>
            </w:r>
          </w:p>
        </w:tc>
        <w:tc>
          <w:tcPr>
            <w:tcW w:w="1428" w:type="dxa"/>
          </w:tcPr>
          <w:p w14:paraId="538857C5" w14:textId="77777777" w:rsidR="00135D00" w:rsidRDefault="00135D00" w:rsidP="00876765">
            <w:pPr>
              <w:pStyle w:val="Body1"/>
              <w:spacing w:after="0"/>
              <w:jc w:val="center"/>
            </w:pPr>
            <w:r>
              <w:t>All</w:t>
            </w:r>
          </w:p>
        </w:tc>
        <w:tc>
          <w:tcPr>
            <w:tcW w:w="1278" w:type="dxa"/>
          </w:tcPr>
          <w:p w14:paraId="309BF922" w14:textId="77777777" w:rsidR="00135D00" w:rsidRDefault="00135D00" w:rsidP="00876765">
            <w:pPr>
              <w:pStyle w:val="Body1"/>
              <w:spacing w:after="0"/>
              <w:jc w:val="center"/>
            </w:pPr>
            <w:r>
              <w:t>7.35</w:t>
            </w:r>
          </w:p>
        </w:tc>
      </w:tr>
      <w:tr w:rsidR="00135D00" w14:paraId="358CB5E1" w14:textId="77777777" w:rsidTr="00135D00">
        <w:trPr>
          <w:jc w:val="center"/>
        </w:trPr>
        <w:tc>
          <w:tcPr>
            <w:tcW w:w="1368" w:type="dxa"/>
            <w:vMerge w:val="restart"/>
            <w:vAlign w:val="center"/>
          </w:tcPr>
          <w:p w14:paraId="3115E864" w14:textId="77777777" w:rsidR="00135D00" w:rsidRDefault="00135D00" w:rsidP="00135D00">
            <w:pPr>
              <w:pStyle w:val="Body1"/>
              <w:spacing w:after="0"/>
              <w:jc w:val="center"/>
            </w:pPr>
            <w:r>
              <w:t>Globe</w:t>
            </w:r>
          </w:p>
        </w:tc>
        <w:tc>
          <w:tcPr>
            <w:tcW w:w="1428" w:type="dxa"/>
          </w:tcPr>
          <w:p w14:paraId="30810C30" w14:textId="77777777" w:rsidR="00135D00" w:rsidRDefault="00135D00" w:rsidP="00876765">
            <w:pPr>
              <w:pStyle w:val="Body1"/>
              <w:spacing w:after="0"/>
              <w:jc w:val="center"/>
            </w:pPr>
            <w:r>
              <w:t>&lt; 3w</w:t>
            </w:r>
          </w:p>
        </w:tc>
        <w:tc>
          <w:tcPr>
            <w:tcW w:w="1278" w:type="dxa"/>
          </w:tcPr>
          <w:p w14:paraId="61BD4854" w14:textId="77777777" w:rsidR="00135D00" w:rsidRDefault="00135D00" w:rsidP="00876765">
            <w:pPr>
              <w:pStyle w:val="Body1"/>
              <w:spacing w:after="0"/>
              <w:jc w:val="center"/>
            </w:pPr>
            <w:r>
              <w:t>7.47</w:t>
            </w:r>
          </w:p>
        </w:tc>
      </w:tr>
      <w:tr w:rsidR="00135D00" w14:paraId="5DD7A53F" w14:textId="77777777" w:rsidTr="00876765">
        <w:trPr>
          <w:jc w:val="center"/>
        </w:trPr>
        <w:tc>
          <w:tcPr>
            <w:tcW w:w="1368" w:type="dxa"/>
            <w:vMerge/>
          </w:tcPr>
          <w:p w14:paraId="722A39C6" w14:textId="77777777" w:rsidR="00135D00" w:rsidRDefault="00135D00" w:rsidP="00876765">
            <w:pPr>
              <w:pStyle w:val="Body1"/>
              <w:spacing w:after="0"/>
              <w:jc w:val="center"/>
            </w:pPr>
          </w:p>
        </w:tc>
        <w:tc>
          <w:tcPr>
            <w:tcW w:w="1428" w:type="dxa"/>
          </w:tcPr>
          <w:p w14:paraId="58F7543E" w14:textId="77777777" w:rsidR="00135D00" w:rsidRDefault="00135D00" w:rsidP="00876765">
            <w:pPr>
              <w:pStyle w:val="Body1"/>
              <w:spacing w:after="0"/>
              <w:jc w:val="center"/>
            </w:pPr>
            <w:r>
              <w:t>&gt;= 3w</w:t>
            </w:r>
          </w:p>
        </w:tc>
        <w:tc>
          <w:tcPr>
            <w:tcW w:w="1278" w:type="dxa"/>
          </w:tcPr>
          <w:p w14:paraId="2367BD58" w14:textId="77777777" w:rsidR="00135D00" w:rsidRDefault="00135D00" w:rsidP="00876765">
            <w:pPr>
              <w:pStyle w:val="Body1"/>
              <w:spacing w:after="0"/>
              <w:jc w:val="center"/>
            </w:pPr>
            <w:r>
              <w:t>4.94</w:t>
            </w:r>
          </w:p>
        </w:tc>
      </w:tr>
    </w:tbl>
    <w:p w14:paraId="34EB3848" w14:textId="77777777" w:rsidR="00E12E68" w:rsidRDefault="00AA1E1B" w:rsidP="002E2F58">
      <w:pPr>
        <w:pStyle w:val="Heading1"/>
      </w:pPr>
      <w:bookmarkStart w:id="20" w:name="_Ref482603986"/>
      <w:bookmarkStart w:id="21" w:name="_Toc482685850"/>
      <w:bookmarkEnd w:id="15"/>
      <w:bookmarkEnd w:id="16"/>
      <w:r>
        <w:t>Revisions for CFLs</w:t>
      </w:r>
      <w:bookmarkEnd w:id="20"/>
      <w:bookmarkEnd w:id="21"/>
    </w:p>
    <w:p w14:paraId="302957D9" w14:textId="3AC07344" w:rsidR="00767695" w:rsidRDefault="00767695" w:rsidP="0088383D">
      <w:pPr>
        <w:pStyle w:val="Heading2"/>
      </w:pPr>
      <w:bookmarkStart w:id="22" w:name="_Toc482685851"/>
      <w:r>
        <w:t>Wattage Reduction Ratio Values for CFL Specialty Lamps</w:t>
      </w:r>
      <w:bookmarkEnd w:id="22"/>
    </w:p>
    <w:p w14:paraId="3EDAE631" w14:textId="61773543" w:rsidR="00AE671B" w:rsidRDefault="00AA1E1B" w:rsidP="0088383D">
      <w:pPr>
        <w:pStyle w:val="Body2"/>
      </w:pPr>
      <w:r>
        <w:t xml:space="preserve">Commission staff has </w:t>
      </w:r>
      <w:r w:rsidR="009C336E" w:rsidRPr="0088383D">
        <w:rPr>
          <w:b/>
        </w:rPr>
        <w:t>not</w:t>
      </w:r>
      <w:r w:rsidR="009C336E">
        <w:t xml:space="preserve"> </w:t>
      </w:r>
      <w:r>
        <w:t xml:space="preserve">revised </w:t>
      </w:r>
      <w:r w:rsidR="009C336E">
        <w:t xml:space="preserve">the </w:t>
      </w:r>
      <w:r>
        <w:t xml:space="preserve">wattage reduction ratio for CFL candelabras and globes </w:t>
      </w:r>
      <w:r w:rsidR="009C336E">
        <w:t>thus leaving</w:t>
      </w:r>
      <w:r>
        <w:t xml:space="preserve"> the current DEER 2016 value</w:t>
      </w:r>
      <w:r w:rsidR="009C336E">
        <w:t xml:space="preserve"> in-place</w:t>
      </w:r>
      <w:r>
        <w:t xml:space="preserve">. </w:t>
      </w:r>
      <w:r w:rsidR="009C336E">
        <w:t>However, other lamp shapes have changes as outlined in the March 1, 2017 disposition</w:t>
      </w:r>
      <w:r w:rsidR="00AE6A17">
        <w:t xml:space="preserve">, which includes adjustment to the percentage of CFL-to-CFL replacements in the baseline. </w:t>
      </w:r>
      <w:r>
        <w:t xml:space="preserve">See </w:t>
      </w:r>
      <w:r w:rsidR="00AE671B">
        <w:fldChar w:fldCharType="begin"/>
      </w:r>
      <w:r w:rsidR="00AE671B">
        <w:instrText xml:space="preserve"> REF _Ref475906399 \h  \* MERGEFORMAT </w:instrText>
      </w:r>
      <w:r w:rsidR="00AE671B">
        <w:fldChar w:fldCharType="separate"/>
      </w:r>
      <w:r w:rsidR="00583FC8">
        <w:t xml:space="preserve">Table </w:t>
      </w:r>
      <w:r w:rsidR="00583FC8">
        <w:rPr>
          <w:noProof/>
        </w:rPr>
        <w:t>5</w:t>
      </w:r>
      <w:r w:rsidR="00AE671B">
        <w:fldChar w:fldCharType="end"/>
      </w:r>
      <w:r w:rsidR="00AE671B">
        <w:t xml:space="preserve"> </w:t>
      </w:r>
      <w:r w:rsidR="00CF6E25">
        <w:t>for final approved WRR values</w:t>
      </w:r>
      <w:r w:rsidR="009C336E">
        <w:t xml:space="preserve"> for the various</w:t>
      </w:r>
      <w:r w:rsidR="00AE6A17">
        <w:t xml:space="preserve"> lamp shapes/types and locations</w:t>
      </w:r>
      <w:r w:rsidR="00AE671B">
        <w:t>.</w:t>
      </w:r>
    </w:p>
    <w:p w14:paraId="6EBDBCF1" w14:textId="39E6F87A" w:rsidR="00AE671B" w:rsidRDefault="00AE671B" w:rsidP="000D5443">
      <w:pPr>
        <w:pStyle w:val="Caption"/>
        <w:keepNext/>
        <w:spacing w:after="120"/>
        <w:jc w:val="center"/>
      </w:pPr>
      <w:bookmarkStart w:id="23" w:name="_Ref475906399"/>
      <w:r>
        <w:lastRenderedPageBreak/>
        <w:t xml:space="preserve">Table </w:t>
      </w:r>
      <w:r w:rsidR="000A159D">
        <w:fldChar w:fldCharType="begin"/>
      </w:r>
      <w:r w:rsidR="000A159D">
        <w:instrText xml:space="preserve"> SEQ Table \* ARABIC </w:instrText>
      </w:r>
      <w:r w:rsidR="000A159D">
        <w:fldChar w:fldCharType="separate"/>
      </w:r>
      <w:r w:rsidR="00583FC8">
        <w:rPr>
          <w:noProof/>
        </w:rPr>
        <w:t>5</w:t>
      </w:r>
      <w:r w:rsidR="000A159D">
        <w:rPr>
          <w:noProof/>
        </w:rPr>
        <w:fldChar w:fldCharType="end"/>
      </w:r>
      <w:bookmarkEnd w:id="23"/>
      <w:r>
        <w:t xml:space="preserve"> - Revised CFL Wattage Reduction</w:t>
      </w:r>
      <w:r w:rsidR="000D5443">
        <w:t xml:space="preserve"> Ratio Values</w:t>
      </w:r>
    </w:p>
    <w:tbl>
      <w:tblPr>
        <w:tblStyle w:val="TableGrid"/>
        <w:tblW w:w="5797" w:type="dxa"/>
        <w:jc w:val="center"/>
        <w:tblLayout w:type="fixed"/>
        <w:tblCellMar>
          <w:left w:w="58" w:type="dxa"/>
          <w:right w:w="58" w:type="dxa"/>
        </w:tblCellMar>
        <w:tblLook w:val="04A0" w:firstRow="1" w:lastRow="0" w:firstColumn="1" w:lastColumn="0" w:noHBand="0" w:noVBand="1"/>
      </w:tblPr>
      <w:tblGrid>
        <w:gridCol w:w="4357"/>
        <w:gridCol w:w="720"/>
        <w:gridCol w:w="720"/>
      </w:tblGrid>
      <w:tr w:rsidR="0007786A" w:rsidRPr="00761265" w14:paraId="1448DA35" w14:textId="77777777" w:rsidTr="0088383D">
        <w:trPr>
          <w:jc w:val="center"/>
        </w:trPr>
        <w:tc>
          <w:tcPr>
            <w:tcW w:w="4357" w:type="dxa"/>
            <w:vAlign w:val="bottom"/>
          </w:tcPr>
          <w:p w14:paraId="00064CE9" w14:textId="77777777" w:rsidR="0007786A" w:rsidRPr="00C40C29" w:rsidRDefault="0007786A" w:rsidP="000D5443">
            <w:pPr>
              <w:keepNext/>
              <w:spacing w:after="0"/>
              <w:jc w:val="center"/>
              <w:rPr>
                <w:b/>
              </w:rPr>
            </w:pPr>
            <w:r>
              <w:rPr>
                <w:b/>
              </w:rPr>
              <w:t>CFL</w:t>
            </w:r>
            <w:r w:rsidRPr="00C40C29">
              <w:rPr>
                <w:b/>
              </w:rPr>
              <w:t xml:space="preserve"> Type</w:t>
            </w:r>
          </w:p>
        </w:tc>
        <w:tc>
          <w:tcPr>
            <w:tcW w:w="720" w:type="dxa"/>
            <w:vAlign w:val="bottom"/>
          </w:tcPr>
          <w:p w14:paraId="0066C15D" w14:textId="77777777" w:rsidR="0007786A" w:rsidRPr="00C40C29" w:rsidRDefault="0007786A" w:rsidP="000D5443">
            <w:pPr>
              <w:keepNext/>
              <w:spacing w:after="0"/>
              <w:jc w:val="center"/>
              <w:rPr>
                <w:b/>
              </w:rPr>
            </w:pPr>
            <w:r w:rsidRPr="00C40C29">
              <w:rPr>
                <w:b/>
              </w:rPr>
              <w:t>2017 WRR</w:t>
            </w:r>
          </w:p>
        </w:tc>
        <w:tc>
          <w:tcPr>
            <w:tcW w:w="720" w:type="dxa"/>
            <w:vAlign w:val="bottom"/>
          </w:tcPr>
          <w:p w14:paraId="0114C150" w14:textId="77777777" w:rsidR="0007786A" w:rsidRPr="00C40C29" w:rsidRDefault="0007786A" w:rsidP="000D5443">
            <w:pPr>
              <w:keepNext/>
              <w:spacing w:after="0"/>
              <w:jc w:val="center"/>
              <w:rPr>
                <w:b/>
              </w:rPr>
            </w:pPr>
            <w:r>
              <w:rPr>
                <w:b/>
              </w:rPr>
              <w:t>2016 DEER WRR</w:t>
            </w:r>
          </w:p>
        </w:tc>
      </w:tr>
      <w:tr w:rsidR="0007786A" w14:paraId="1CA34C2C" w14:textId="77777777" w:rsidTr="0088383D">
        <w:trPr>
          <w:jc w:val="center"/>
        </w:trPr>
        <w:tc>
          <w:tcPr>
            <w:tcW w:w="4357" w:type="dxa"/>
            <w:vAlign w:val="center"/>
          </w:tcPr>
          <w:p w14:paraId="49E7D152" w14:textId="12F5EBE8" w:rsidR="0007786A" w:rsidRPr="00CC4CF5" w:rsidRDefault="0007786A" w:rsidP="000D5443">
            <w:pPr>
              <w:keepNext/>
              <w:spacing w:after="0"/>
            </w:pPr>
            <w:r>
              <w:t>Residential globe &amp; candelabra (revised)</w:t>
            </w:r>
          </w:p>
        </w:tc>
        <w:tc>
          <w:tcPr>
            <w:tcW w:w="720" w:type="dxa"/>
            <w:vAlign w:val="center"/>
          </w:tcPr>
          <w:p w14:paraId="1ABD7906" w14:textId="77777777" w:rsidR="0007786A" w:rsidRPr="00820BD1" w:rsidRDefault="0007786A" w:rsidP="000D5443">
            <w:pPr>
              <w:keepNext/>
              <w:spacing w:after="0"/>
              <w:jc w:val="center"/>
              <w:rPr>
                <w:b/>
              </w:rPr>
            </w:pPr>
            <w:r>
              <w:rPr>
                <w:b/>
              </w:rPr>
              <w:t>2.48</w:t>
            </w:r>
          </w:p>
        </w:tc>
        <w:tc>
          <w:tcPr>
            <w:tcW w:w="720" w:type="dxa"/>
            <w:vAlign w:val="center"/>
          </w:tcPr>
          <w:p w14:paraId="71D89399" w14:textId="77777777" w:rsidR="0007786A" w:rsidRPr="00246F7E" w:rsidRDefault="0007786A" w:rsidP="000D5443">
            <w:pPr>
              <w:keepNext/>
              <w:spacing w:after="0"/>
              <w:jc w:val="center"/>
            </w:pPr>
            <w:r>
              <w:t>2.48</w:t>
            </w:r>
          </w:p>
        </w:tc>
      </w:tr>
      <w:tr w:rsidR="0007786A" w14:paraId="6BC34B20" w14:textId="77777777" w:rsidTr="0088383D">
        <w:trPr>
          <w:jc w:val="center"/>
        </w:trPr>
        <w:tc>
          <w:tcPr>
            <w:tcW w:w="4357" w:type="dxa"/>
            <w:vAlign w:val="center"/>
          </w:tcPr>
          <w:p w14:paraId="3FADE390" w14:textId="77777777" w:rsidR="0007786A" w:rsidRDefault="0007786A" w:rsidP="000D5443">
            <w:pPr>
              <w:keepNext/>
              <w:spacing w:after="0"/>
            </w:pPr>
            <w:r>
              <w:t>Residential interior reflector</w:t>
            </w:r>
          </w:p>
        </w:tc>
        <w:tc>
          <w:tcPr>
            <w:tcW w:w="720" w:type="dxa"/>
            <w:vAlign w:val="center"/>
          </w:tcPr>
          <w:p w14:paraId="160140B9" w14:textId="77777777" w:rsidR="0007786A" w:rsidRPr="00820BD1" w:rsidRDefault="0007786A" w:rsidP="000D5443">
            <w:pPr>
              <w:keepNext/>
              <w:spacing w:after="0"/>
              <w:jc w:val="center"/>
              <w:rPr>
                <w:b/>
              </w:rPr>
            </w:pPr>
            <w:r w:rsidRPr="00820BD1">
              <w:rPr>
                <w:b/>
              </w:rPr>
              <w:t>1.74</w:t>
            </w:r>
          </w:p>
        </w:tc>
        <w:tc>
          <w:tcPr>
            <w:tcW w:w="720" w:type="dxa"/>
            <w:vAlign w:val="center"/>
          </w:tcPr>
          <w:p w14:paraId="491CAA6F" w14:textId="77777777" w:rsidR="0007786A" w:rsidRPr="00246F7E" w:rsidRDefault="0007786A" w:rsidP="000D5443">
            <w:pPr>
              <w:keepNext/>
              <w:spacing w:after="0"/>
              <w:jc w:val="center"/>
            </w:pPr>
            <w:r w:rsidRPr="00246F7E">
              <w:t>2.86</w:t>
            </w:r>
          </w:p>
        </w:tc>
      </w:tr>
      <w:tr w:rsidR="0007786A" w14:paraId="060CE4D3" w14:textId="77777777" w:rsidTr="0088383D">
        <w:trPr>
          <w:jc w:val="center"/>
        </w:trPr>
        <w:tc>
          <w:tcPr>
            <w:tcW w:w="4357" w:type="dxa"/>
            <w:vAlign w:val="center"/>
          </w:tcPr>
          <w:p w14:paraId="3E25EC8F" w14:textId="77777777" w:rsidR="0007786A" w:rsidRDefault="0007786A" w:rsidP="000D5443">
            <w:pPr>
              <w:keepNext/>
              <w:spacing w:after="0"/>
            </w:pPr>
            <w:r>
              <w:t>Residential interior non-reflector</w:t>
            </w:r>
          </w:p>
        </w:tc>
        <w:tc>
          <w:tcPr>
            <w:tcW w:w="720" w:type="dxa"/>
            <w:vAlign w:val="center"/>
          </w:tcPr>
          <w:p w14:paraId="68B9B3EC" w14:textId="77777777" w:rsidR="0007786A" w:rsidRPr="00820BD1" w:rsidRDefault="0007786A" w:rsidP="000D5443">
            <w:pPr>
              <w:keepNext/>
              <w:spacing w:after="0"/>
              <w:jc w:val="center"/>
              <w:rPr>
                <w:b/>
              </w:rPr>
            </w:pPr>
            <w:r w:rsidRPr="00820BD1">
              <w:rPr>
                <w:b/>
              </w:rPr>
              <w:t>1.56</w:t>
            </w:r>
          </w:p>
        </w:tc>
        <w:tc>
          <w:tcPr>
            <w:tcW w:w="720" w:type="dxa"/>
            <w:vAlign w:val="center"/>
          </w:tcPr>
          <w:p w14:paraId="37384DC9" w14:textId="77777777" w:rsidR="0007786A" w:rsidRPr="00246F7E" w:rsidRDefault="0007786A" w:rsidP="000D5443">
            <w:pPr>
              <w:keepNext/>
              <w:spacing w:after="0"/>
              <w:jc w:val="center"/>
            </w:pPr>
            <w:r w:rsidRPr="00246F7E">
              <w:t>2.48</w:t>
            </w:r>
          </w:p>
        </w:tc>
      </w:tr>
      <w:tr w:rsidR="0007786A" w14:paraId="7D3992A0" w14:textId="77777777" w:rsidTr="0088383D">
        <w:trPr>
          <w:jc w:val="center"/>
        </w:trPr>
        <w:tc>
          <w:tcPr>
            <w:tcW w:w="4357" w:type="dxa"/>
            <w:vAlign w:val="center"/>
          </w:tcPr>
          <w:p w14:paraId="37B32D19" w14:textId="77777777" w:rsidR="0007786A" w:rsidRDefault="0007786A" w:rsidP="000D5443">
            <w:pPr>
              <w:keepNext/>
              <w:spacing w:after="0"/>
            </w:pPr>
            <w:r>
              <w:t>Residential exterior</w:t>
            </w:r>
          </w:p>
        </w:tc>
        <w:tc>
          <w:tcPr>
            <w:tcW w:w="720" w:type="dxa"/>
            <w:vAlign w:val="center"/>
          </w:tcPr>
          <w:p w14:paraId="58437285" w14:textId="77777777" w:rsidR="0007786A" w:rsidRPr="00820BD1" w:rsidRDefault="0007786A" w:rsidP="000D5443">
            <w:pPr>
              <w:keepNext/>
              <w:spacing w:after="0"/>
              <w:jc w:val="center"/>
              <w:rPr>
                <w:b/>
              </w:rPr>
            </w:pPr>
            <w:r w:rsidRPr="00820BD1">
              <w:rPr>
                <w:b/>
              </w:rPr>
              <w:t>1.74</w:t>
            </w:r>
          </w:p>
        </w:tc>
        <w:tc>
          <w:tcPr>
            <w:tcW w:w="720" w:type="dxa"/>
            <w:vAlign w:val="center"/>
          </w:tcPr>
          <w:p w14:paraId="2E8D4916" w14:textId="77777777" w:rsidR="0007786A" w:rsidRPr="00246F7E" w:rsidRDefault="0007786A" w:rsidP="000D5443">
            <w:pPr>
              <w:keepNext/>
              <w:spacing w:after="0"/>
              <w:jc w:val="center"/>
            </w:pPr>
            <w:r w:rsidRPr="00246F7E">
              <w:t>2.84</w:t>
            </w:r>
          </w:p>
        </w:tc>
      </w:tr>
      <w:tr w:rsidR="0007786A" w14:paraId="36D73ADB" w14:textId="77777777" w:rsidTr="0088383D">
        <w:trPr>
          <w:jc w:val="center"/>
        </w:trPr>
        <w:tc>
          <w:tcPr>
            <w:tcW w:w="4357" w:type="dxa"/>
            <w:vAlign w:val="center"/>
          </w:tcPr>
          <w:p w14:paraId="24BB08D3" w14:textId="7F67D687" w:rsidR="0007786A" w:rsidRPr="00CC4CF5" w:rsidRDefault="0007786A" w:rsidP="000D5443">
            <w:pPr>
              <w:keepNext/>
              <w:spacing w:after="0"/>
            </w:pPr>
            <w:r>
              <w:t>Nonresidential globe &amp; candelabra (revised)</w:t>
            </w:r>
          </w:p>
        </w:tc>
        <w:tc>
          <w:tcPr>
            <w:tcW w:w="720" w:type="dxa"/>
            <w:vAlign w:val="center"/>
          </w:tcPr>
          <w:p w14:paraId="578963D8" w14:textId="77777777" w:rsidR="0007786A" w:rsidRPr="00820BD1" w:rsidRDefault="0007786A" w:rsidP="000D5443">
            <w:pPr>
              <w:keepNext/>
              <w:spacing w:after="0"/>
              <w:jc w:val="center"/>
              <w:rPr>
                <w:b/>
              </w:rPr>
            </w:pPr>
            <w:r>
              <w:rPr>
                <w:b/>
              </w:rPr>
              <w:t>3.57</w:t>
            </w:r>
          </w:p>
        </w:tc>
        <w:tc>
          <w:tcPr>
            <w:tcW w:w="720" w:type="dxa"/>
            <w:vAlign w:val="center"/>
          </w:tcPr>
          <w:p w14:paraId="4CC82F9B" w14:textId="77777777" w:rsidR="0007786A" w:rsidRPr="00246F7E" w:rsidRDefault="0007786A" w:rsidP="000D5443">
            <w:pPr>
              <w:keepNext/>
              <w:spacing w:after="0"/>
              <w:jc w:val="center"/>
            </w:pPr>
            <w:r>
              <w:t>3.57</w:t>
            </w:r>
          </w:p>
        </w:tc>
      </w:tr>
      <w:tr w:rsidR="0007786A" w14:paraId="4A89AE1C" w14:textId="77777777" w:rsidTr="0088383D">
        <w:trPr>
          <w:jc w:val="center"/>
        </w:trPr>
        <w:tc>
          <w:tcPr>
            <w:tcW w:w="4357" w:type="dxa"/>
            <w:vAlign w:val="center"/>
          </w:tcPr>
          <w:p w14:paraId="79F9AC76" w14:textId="77777777" w:rsidR="0007786A" w:rsidRDefault="0007786A" w:rsidP="00AE6891">
            <w:pPr>
              <w:spacing w:after="0"/>
            </w:pPr>
            <w:r w:rsidRPr="00CC4CF5">
              <w:t>All nonresidential</w:t>
            </w:r>
          </w:p>
        </w:tc>
        <w:tc>
          <w:tcPr>
            <w:tcW w:w="720" w:type="dxa"/>
            <w:vAlign w:val="center"/>
          </w:tcPr>
          <w:p w14:paraId="06D6DF1A" w14:textId="77777777" w:rsidR="0007786A" w:rsidRPr="00820BD1" w:rsidRDefault="0007786A" w:rsidP="00AE6891">
            <w:pPr>
              <w:spacing w:after="0"/>
              <w:jc w:val="center"/>
              <w:rPr>
                <w:b/>
              </w:rPr>
            </w:pPr>
            <w:r w:rsidRPr="00820BD1">
              <w:rPr>
                <w:b/>
              </w:rPr>
              <w:t>1.59</w:t>
            </w:r>
          </w:p>
        </w:tc>
        <w:tc>
          <w:tcPr>
            <w:tcW w:w="720" w:type="dxa"/>
            <w:vAlign w:val="center"/>
          </w:tcPr>
          <w:p w14:paraId="7C39A55C" w14:textId="77777777" w:rsidR="0007786A" w:rsidRDefault="0007786A" w:rsidP="00AE6891">
            <w:pPr>
              <w:spacing w:after="0"/>
              <w:jc w:val="center"/>
            </w:pPr>
            <w:r w:rsidRPr="00246F7E">
              <w:t>3.57</w:t>
            </w:r>
          </w:p>
        </w:tc>
      </w:tr>
    </w:tbl>
    <w:p w14:paraId="5D0DC38A" w14:textId="74137140" w:rsidR="0011627E" w:rsidRDefault="0011627E" w:rsidP="000D5443">
      <w:pPr>
        <w:pStyle w:val="Heading1"/>
      </w:pPr>
      <w:bookmarkStart w:id="24" w:name="_Ref482605473"/>
      <w:bookmarkStart w:id="25" w:name="_Toc482685852"/>
      <w:r>
        <w:t>Costs</w:t>
      </w:r>
      <w:bookmarkEnd w:id="24"/>
      <w:bookmarkEnd w:id="25"/>
    </w:p>
    <w:p w14:paraId="28ECA893" w14:textId="37490339" w:rsidR="0011627E" w:rsidRPr="0011627E" w:rsidRDefault="0011627E" w:rsidP="0011627E">
      <w:pPr>
        <w:pStyle w:val="Body1"/>
      </w:pPr>
      <w:r>
        <w:t xml:space="preserve">PAs shall develop new costs for baseline technologies to reflect the baseline revisions directed in Sections </w:t>
      </w:r>
      <w:r>
        <w:fldChar w:fldCharType="begin"/>
      </w:r>
      <w:r>
        <w:instrText xml:space="preserve"> REF _Ref482603976 \r \h </w:instrText>
      </w:r>
      <w:r>
        <w:fldChar w:fldCharType="separate"/>
      </w:r>
      <w:r>
        <w:t>3</w:t>
      </w:r>
      <w:r>
        <w:fldChar w:fldCharType="end"/>
      </w:r>
      <w:r>
        <w:t xml:space="preserve">, </w:t>
      </w:r>
      <w:r>
        <w:fldChar w:fldCharType="begin"/>
      </w:r>
      <w:r>
        <w:instrText xml:space="preserve"> REF _Ref482603983 \r \h </w:instrText>
      </w:r>
      <w:r>
        <w:fldChar w:fldCharType="separate"/>
      </w:r>
      <w:r>
        <w:t>4</w:t>
      </w:r>
      <w:r>
        <w:fldChar w:fldCharType="end"/>
      </w:r>
      <w:r>
        <w:t xml:space="preserve"> and </w:t>
      </w:r>
      <w:r>
        <w:fldChar w:fldCharType="begin"/>
      </w:r>
      <w:r>
        <w:instrText xml:space="preserve"> REF _Ref482603986 \r \h </w:instrText>
      </w:r>
      <w:r>
        <w:fldChar w:fldCharType="separate"/>
      </w:r>
      <w:r>
        <w:t>5</w:t>
      </w:r>
      <w:r>
        <w:fldChar w:fldCharType="end"/>
      </w:r>
      <w:r>
        <w:t>, above.</w:t>
      </w:r>
      <w:r w:rsidR="00A41412">
        <w:t xml:space="preserve"> PAs shall submit revised costs to Commission staff for review and approval no later than June 30, 2017. This will provide enough time for Commission staff review and incorporation into the </w:t>
      </w:r>
      <w:r w:rsidR="00D17195">
        <w:t>preliminary ex ante review (PEAR)</w:t>
      </w:r>
      <w:r w:rsidR="00A41412">
        <w:t xml:space="preserve"> database prior to reporting of accomplishments for the third quarter of 2017.</w:t>
      </w:r>
    </w:p>
    <w:p w14:paraId="5EDD09A2" w14:textId="60C768D6" w:rsidR="0011627E" w:rsidRDefault="0011627E" w:rsidP="000D5443">
      <w:pPr>
        <w:pStyle w:val="Heading1"/>
      </w:pPr>
      <w:bookmarkStart w:id="26" w:name="_Toc482685853"/>
      <w:r>
        <w:t>Ex Ante Data</w:t>
      </w:r>
      <w:bookmarkEnd w:id="26"/>
    </w:p>
    <w:p w14:paraId="4FBF4AE3" w14:textId="4616B62B" w:rsidR="0011627E" w:rsidRPr="0011627E" w:rsidRDefault="0011627E" w:rsidP="0011627E">
      <w:pPr>
        <w:pStyle w:val="Body1"/>
      </w:pPr>
      <w:r>
        <w:t xml:space="preserve">Commission staff and EAR consultants will work with PAs to finalize the </w:t>
      </w:r>
      <w:r w:rsidR="00A41412">
        <w:t>ex ante data</w:t>
      </w:r>
      <w:r w:rsidR="00D17195">
        <w:t xml:space="preserve"> in time for reporting of accomplishments for the third quarter of 2017. Commission staff will add all data to the PEAR database once costs developed per Section </w:t>
      </w:r>
      <w:r w:rsidR="00D17195">
        <w:fldChar w:fldCharType="begin"/>
      </w:r>
      <w:r w:rsidR="00D17195">
        <w:instrText xml:space="preserve"> REF _Ref482605473 \r \h </w:instrText>
      </w:r>
      <w:r w:rsidR="00D17195">
        <w:fldChar w:fldCharType="separate"/>
      </w:r>
      <w:r w:rsidR="00D17195">
        <w:t>6</w:t>
      </w:r>
      <w:r w:rsidR="00D17195">
        <w:fldChar w:fldCharType="end"/>
      </w:r>
      <w:r w:rsidR="00D17195">
        <w:t>, above, are submitted and approved.</w:t>
      </w:r>
    </w:p>
    <w:p w14:paraId="1EE95366" w14:textId="77777777" w:rsidR="000D5443" w:rsidRDefault="000D5443" w:rsidP="000D5443">
      <w:pPr>
        <w:pStyle w:val="Heading1"/>
      </w:pPr>
      <w:bookmarkStart w:id="27" w:name="_Toc482685854"/>
      <w:r>
        <w:t>Effective Date</w:t>
      </w:r>
      <w:bookmarkEnd w:id="27"/>
    </w:p>
    <w:p w14:paraId="783120C1" w14:textId="77777777" w:rsidR="000D5443" w:rsidRDefault="000D5443" w:rsidP="000D5443">
      <w:pPr>
        <w:pStyle w:val="Body1"/>
      </w:pPr>
      <w:r>
        <w:t>The effective date for the original Phase 1 disposition as well as the revisions in this document is July 1, 2017. Through June 30, 2017, Commission staf</w:t>
      </w:r>
      <w:r w:rsidR="00383A73">
        <w:t>f directs the PAs to use previous approved values for the 2016 program year.</w:t>
      </w:r>
    </w:p>
    <w:p w14:paraId="3DB0EF04" w14:textId="47CE4ADD" w:rsidR="005B494A" w:rsidRDefault="005B494A" w:rsidP="005B494A">
      <w:pPr>
        <w:pStyle w:val="Heading1"/>
      </w:pPr>
      <w:bookmarkStart w:id="28" w:name="_Toc482685855"/>
      <w:r>
        <w:t>Consideration of 2015 Upstream Lighting Evaluation</w:t>
      </w:r>
      <w:bookmarkEnd w:id="28"/>
    </w:p>
    <w:p w14:paraId="501AD507" w14:textId="4FD3D7EA" w:rsidR="005B494A" w:rsidRDefault="00AE6A17" w:rsidP="005B494A">
      <w:pPr>
        <w:pStyle w:val="Body1"/>
      </w:pPr>
      <w:r>
        <w:t xml:space="preserve">Some </w:t>
      </w:r>
      <w:r w:rsidR="005B494A">
        <w:t xml:space="preserve">PAs have </w:t>
      </w:r>
      <w:r>
        <w:t xml:space="preserve">raised the concern </w:t>
      </w:r>
      <w:r w:rsidR="005B494A">
        <w:t xml:space="preserve">that findings from the 2015 upstream </w:t>
      </w:r>
      <w:r w:rsidR="00750EC2">
        <w:t>evaluation</w:t>
      </w:r>
      <w:r w:rsidR="00750EC2">
        <w:rPr>
          <w:rStyle w:val="FootnoteReference"/>
        </w:rPr>
        <w:footnoteReference w:id="5"/>
      </w:r>
      <w:r w:rsidR="00750EC2">
        <w:t xml:space="preserve"> (2015 Lighting Report) </w:t>
      </w:r>
      <w:r>
        <w:t xml:space="preserve">suggest </w:t>
      </w:r>
      <w:r w:rsidR="00750EC2">
        <w:t xml:space="preserve">much higher ex ante savings values for LED A-lamps and reflectors than are directed in this disposition. The EAR team has reviewed </w:t>
      </w:r>
      <w:r w:rsidR="00F335B4">
        <w:t xml:space="preserve">the 2015 Lighting Report and chose not to incorporate findings. </w:t>
      </w:r>
      <w:r>
        <w:t>T</w:t>
      </w:r>
      <w:r w:rsidR="00F335B4">
        <w:t xml:space="preserve">he primary reasons for </w:t>
      </w:r>
      <w:r>
        <w:t xml:space="preserve">not using the recent evaluation results </w:t>
      </w:r>
      <w:r w:rsidR="00F335B4">
        <w:t>are summarized below:</w:t>
      </w:r>
    </w:p>
    <w:p w14:paraId="62EB31B4" w14:textId="5EB41552" w:rsidR="00F335B4" w:rsidRDefault="00F335B4" w:rsidP="00F335B4">
      <w:pPr>
        <w:pStyle w:val="Heading2"/>
      </w:pPr>
      <w:bookmarkStart w:id="29" w:name="_Toc482685856"/>
      <w:r>
        <w:lastRenderedPageBreak/>
        <w:t>Hours of Use</w:t>
      </w:r>
      <w:r w:rsidR="00801923">
        <w:t xml:space="preserve"> are </w:t>
      </w:r>
      <w:proofErr w:type="gramStart"/>
      <w:r w:rsidR="00801923">
        <w:t>Based</w:t>
      </w:r>
      <w:proofErr w:type="gramEnd"/>
      <w:r w:rsidR="00801923">
        <w:t xml:space="preserve"> on Older Data and Mix Interior and Exterior Applications</w:t>
      </w:r>
      <w:bookmarkEnd w:id="29"/>
    </w:p>
    <w:p w14:paraId="789EB3E1" w14:textId="2DC8843F" w:rsidR="00F335B4" w:rsidRPr="00F335B4" w:rsidRDefault="00AE6A17" w:rsidP="00F335B4">
      <w:pPr>
        <w:pStyle w:val="Body2"/>
      </w:pPr>
      <w:r>
        <w:t>T</w:t>
      </w:r>
      <w:r w:rsidR="00F335B4">
        <w:t>he annual operating hours incorporated into the 2015 Lighting Report do not differentiate between interior and exterior installations</w:t>
      </w:r>
      <w:r>
        <w:t xml:space="preserve"> and are based </w:t>
      </w:r>
      <w:r w:rsidR="002F6F30">
        <w:t xml:space="preserve">on </w:t>
      </w:r>
      <w:r>
        <w:t>older data primarily f</w:t>
      </w:r>
      <w:r w:rsidR="002F6F30">
        <w:t>rom</w:t>
      </w:r>
      <w:r>
        <w:t xml:space="preserve"> metering of CFLs</w:t>
      </w:r>
      <w:r w:rsidR="00F335B4">
        <w:t>. During the development of the 2016 DEER update, Commission staff pointed out that exterior lighting operating hours are likely overestimated</w:t>
      </w:r>
      <w:r w:rsidR="00801923">
        <w:rPr>
          <w:rStyle w:val="FootnoteReference"/>
        </w:rPr>
        <w:footnoteReference w:id="6"/>
      </w:r>
      <w:r w:rsidR="00F335B4">
        <w:t>.</w:t>
      </w:r>
      <w:r>
        <w:t xml:space="preserve"> However, the DEER hours of use are based upon the same data but separate indoor and outdoor use.</w:t>
      </w:r>
    </w:p>
    <w:p w14:paraId="4387ECDE" w14:textId="77777777" w:rsidR="00986747" w:rsidRDefault="00986747" w:rsidP="00801923">
      <w:pPr>
        <w:pStyle w:val="Heading2"/>
      </w:pPr>
      <w:bookmarkStart w:id="30" w:name="_Toc482685857"/>
      <w:r>
        <w:t xml:space="preserve">Baseline Wattage Assumptions are not </w:t>
      </w:r>
      <w:proofErr w:type="gramStart"/>
      <w:r>
        <w:t>Comparable</w:t>
      </w:r>
      <w:proofErr w:type="gramEnd"/>
      <w:r>
        <w:t xml:space="preserve"> to Reported Measure Wattages</w:t>
      </w:r>
      <w:bookmarkEnd w:id="30"/>
    </w:p>
    <w:p w14:paraId="7C890C3F" w14:textId="5F0932D2" w:rsidR="00907710" w:rsidRDefault="00986747" w:rsidP="00986747">
      <w:pPr>
        <w:pStyle w:val="Body2"/>
      </w:pPr>
      <w:r>
        <w:t>A review of the assumed baseline wattages indicate</w:t>
      </w:r>
      <w:r w:rsidR="00907710">
        <w:t>s</w:t>
      </w:r>
      <w:r>
        <w:t xml:space="preserve"> </w:t>
      </w:r>
      <w:r w:rsidR="00AE6A17">
        <w:t xml:space="preserve">much </w:t>
      </w:r>
      <w:r>
        <w:t xml:space="preserve">higher </w:t>
      </w:r>
      <w:r w:rsidR="00AE6A17">
        <w:t xml:space="preserve">lumen </w:t>
      </w:r>
      <w:r>
        <w:t xml:space="preserve">output for </w:t>
      </w:r>
      <w:r w:rsidR="00AE6A17">
        <w:t xml:space="preserve">the assumed </w:t>
      </w:r>
      <w:r>
        <w:t xml:space="preserve">baseline than lamps than for </w:t>
      </w:r>
      <w:r w:rsidR="00A0757C">
        <w:t xml:space="preserve">the </w:t>
      </w:r>
      <w:r>
        <w:t xml:space="preserve">measure lamps. For example, Table 30 of </w:t>
      </w:r>
      <w:r w:rsidR="00907710">
        <w:t xml:space="preserve">the </w:t>
      </w:r>
      <w:r>
        <w:t xml:space="preserve">2015 Lighting Report lists a baseline incandescent wattage for PG&amp;E of 57 watts and </w:t>
      </w:r>
      <w:proofErr w:type="gramStart"/>
      <w:r>
        <w:t>a halogen</w:t>
      </w:r>
      <w:proofErr w:type="gramEnd"/>
      <w:r>
        <w:t xml:space="preserve"> wattage of 63 watts</w:t>
      </w:r>
      <w:r w:rsidR="006240D0">
        <w:t xml:space="preserve"> (see</w:t>
      </w:r>
      <w:r w:rsidR="00A0757C">
        <w:t xml:space="preserve"> </w:t>
      </w:r>
      <w:r w:rsidR="00A0757C">
        <w:rPr>
          <w:noProof/>
        </w:rPr>
        <w:fldChar w:fldCharType="begin"/>
      </w:r>
      <w:r w:rsidR="00A0757C">
        <w:rPr>
          <w:noProof/>
        </w:rPr>
        <w:instrText xml:space="preserve"> REF _Ref482613288 \h </w:instrText>
      </w:r>
      <w:r w:rsidR="00A0757C">
        <w:rPr>
          <w:noProof/>
        </w:rPr>
      </w:r>
      <w:r w:rsidR="00A0757C">
        <w:rPr>
          <w:noProof/>
        </w:rPr>
        <w:fldChar w:fldCharType="separate"/>
      </w:r>
      <w:r w:rsidR="00A0757C">
        <w:t xml:space="preserve">Figure </w:t>
      </w:r>
      <w:r w:rsidR="00A0757C">
        <w:rPr>
          <w:noProof/>
        </w:rPr>
        <w:t>2</w:t>
      </w:r>
      <w:r w:rsidR="00A0757C">
        <w:rPr>
          <w:noProof/>
        </w:rPr>
        <w:fldChar w:fldCharType="end"/>
      </w:r>
      <w:r w:rsidR="006240D0">
        <w:t>)</w:t>
      </w:r>
      <w:r>
        <w:t>. Assuming that nearly all installed incandescent lamps are EISA compliant, these assumed baseline wattages correspond to EISA compliant lamps in either the 75 watt or 100 watt EISA bin with minimum output of 1,050 lumens (for the 75 watt bin) or 1,490 lumens (for the 100 watt bin). However, PG&amp;E’s average reported A-lamp measure wattage is 8 watts</w:t>
      </w:r>
      <w:r w:rsidR="00E41879">
        <w:t xml:space="preserve"> (see</w:t>
      </w:r>
      <w:r w:rsidR="00A0757C">
        <w:rPr>
          <w:noProof/>
        </w:rPr>
        <w:t xml:space="preserve"> </w:t>
      </w:r>
      <w:r w:rsidR="00A0757C">
        <w:rPr>
          <w:noProof/>
        </w:rPr>
        <w:fldChar w:fldCharType="begin"/>
      </w:r>
      <w:r w:rsidR="00A0757C">
        <w:rPr>
          <w:noProof/>
        </w:rPr>
        <w:instrText xml:space="preserve"> REF _Ref482614433 \h </w:instrText>
      </w:r>
      <w:r w:rsidR="00A0757C">
        <w:rPr>
          <w:noProof/>
        </w:rPr>
      </w:r>
      <w:r w:rsidR="00A0757C">
        <w:rPr>
          <w:noProof/>
        </w:rPr>
        <w:fldChar w:fldCharType="separate"/>
      </w:r>
      <w:r w:rsidR="00A0757C">
        <w:t xml:space="preserve">Figure </w:t>
      </w:r>
      <w:r w:rsidR="00A0757C">
        <w:rPr>
          <w:noProof/>
        </w:rPr>
        <w:t>3</w:t>
      </w:r>
      <w:r w:rsidR="00A0757C">
        <w:rPr>
          <w:noProof/>
        </w:rPr>
        <w:fldChar w:fldCharType="end"/>
      </w:r>
      <w:r w:rsidR="00E41879">
        <w:t>)</w:t>
      </w:r>
      <w:r>
        <w:t xml:space="preserve">. </w:t>
      </w:r>
      <w:r w:rsidR="00907710">
        <w:t>The maximum output of 8 watt lamps from the QPL is 810 lumens</w:t>
      </w:r>
      <w:r w:rsidR="00613540">
        <w:t xml:space="preserve"> (see</w:t>
      </w:r>
      <w:r w:rsidR="00A0757C">
        <w:rPr>
          <w:noProof/>
        </w:rPr>
        <w:t xml:space="preserve"> </w:t>
      </w:r>
      <w:r w:rsidR="00A0757C">
        <w:rPr>
          <w:noProof/>
        </w:rPr>
        <w:fldChar w:fldCharType="begin"/>
      </w:r>
      <w:r w:rsidR="00A0757C">
        <w:rPr>
          <w:noProof/>
        </w:rPr>
        <w:instrText xml:space="preserve"> REF _Ref482614653 \h </w:instrText>
      </w:r>
      <w:r w:rsidR="00A0757C">
        <w:rPr>
          <w:noProof/>
        </w:rPr>
      </w:r>
      <w:r w:rsidR="00A0757C">
        <w:rPr>
          <w:noProof/>
        </w:rPr>
        <w:fldChar w:fldCharType="separate"/>
      </w:r>
      <w:r w:rsidR="00A0757C">
        <w:t xml:space="preserve">Figure </w:t>
      </w:r>
      <w:r w:rsidR="00A0757C">
        <w:rPr>
          <w:noProof/>
        </w:rPr>
        <w:t>4</w:t>
      </w:r>
      <w:r w:rsidR="00A0757C">
        <w:rPr>
          <w:noProof/>
        </w:rPr>
        <w:fldChar w:fldCharType="end"/>
      </w:r>
      <w:r w:rsidR="003767B0">
        <w:t>)</w:t>
      </w:r>
      <w:r w:rsidR="00907710">
        <w:t>.</w:t>
      </w:r>
    </w:p>
    <w:p w14:paraId="7A1E419B" w14:textId="4854F247" w:rsidR="00F335B4" w:rsidRDefault="00907710" w:rsidP="00986747">
      <w:pPr>
        <w:pStyle w:val="Body2"/>
      </w:pPr>
      <w:r>
        <w:t xml:space="preserve">Baseline and measure assumptions for SCE create an even greater disparity of performance. Table 30 of the 2015 Lighting Report shows </w:t>
      </w:r>
      <w:r w:rsidR="00613540">
        <w:t xml:space="preserve">a baseline incandescent wattage of 58 watts and </w:t>
      </w:r>
      <w:proofErr w:type="gramStart"/>
      <w:r w:rsidR="00613540">
        <w:t>a halogen</w:t>
      </w:r>
      <w:proofErr w:type="gramEnd"/>
      <w:r w:rsidR="00613540">
        <w:t xml:space="preserve"> wattage of 84 watts</w:t>
      </w:r>
      <w:r w:rsidR="006240D0">
        <w:t xml:space="preserve"> (</w:t>
      </w:r>
      <w:r w:rsidR="00A0757C">
        <w:rPr>
          <w:noProof/>
        </w:rPr>
        <w:fldChar w:fldCharType="begin"/>
      </w:r>
      <w:r w:rsidR="00A0757C">
        <w:rPr>
          <w:noProof/>
        </w:rPr>
        <w:instrText xml:space="preserve"> REF _Ref482613288 \h </w:instrText>
      </w:r>
      <w:r w:rsidR="00A0757C">
        <w:rPr>
          <w:noProof/>
        </w:rPr>
      </w:r>
      <w:r w:rsidR="00A0757C">
        <w:rPr>
          <w:noProof/>
        </w:rPr>
        <w:fldChar w:fldCharType="separate"/>
      </w:r>
      <w:r w:rsidR="00A0757C">
        <w:t xml:space="preserve">Figure </w:t>
      </w:r>
      <w:r w:rsidR="00A0757C">
        <w:rPr>
          <w:noProof/>
        </w:rPr>
        <w:t>2</w:t>
      </w:r>
      <w:r w:rsidR="00A0757C">
        <w:rPr>
          <w:noProof/>
        </w:rPr>
        <w:fldChar w:fldCharType="end"/>
      </w:r>
      <w:r w:rsidR="006240D0">
        <w:t>)</w:t>
      </w:r>
      <w:r w:rsidR="00613540">
        <w:t>. However, the reported average measure wattage is 5 watts</w:t>
      </w:r>
      <w:r w:rsidR="00E41879">
        <w:t xml:space="preserve"> (</w:t>
      </w:r>
      <w:r w:rsidR="00A0757C">
        <w:rPr>
          <w:noProof/>
        </w:rPr>
        <w:fldChar w:fldCharType="begin"/>
      </w:r>
      <w:r w:rsidR="00A0757C">
        <w:rPr>
          <w:noProof/>
        </w:rPr>
        <w:instrText xml:space="preserve"> REF _Ref482614433 \h </w:instrText>
      </w:r>
      <w:r w:rsidR="00A0757C">
        <w:rPr>
          <w:noProof/>
        </w:rPr>
      </w:r>
      <w:r w:rsidR="00A0757C">
        <w:rPr>
          <w:noProof/>
        </w:rPr>
        <w:fldChar w:fldCharType="separate"/>
      </w:r>
      <w:r w:rsidR="00A0757C">
        <w:t xml:space="preserve">Figure </w:t>
      </w:r>
      <w:r w:rsidR="00A0757C">
        <w:rPr>
          <w:noProof/>
        </w:rPr>
        <w:t>3</w:t>
      </w:r>
      <w:r w:rsidR="00A0757C">
        <w:rPr>
          <w:noProof/>
        </w:rPr>
        <w:fldChar w:fldCharType="end"/>
      </w:r>
      <w:r w:rsidR="00E41879">
        <w:t>)</w:t>
      </w:r>
      <w:r w:rsidR="00613540">
        <w:t xml:space="preserve">. </w:t>
      </w:r>
      <w:r w:rsidR="00E41879">
        <w:t>The maximum output of 5 watt lamps from the QPL is 500 lumens</w:t>
      </w:r>
      <w:r w:rsidR="003767B0">
        <w:t xml:space="preserve"> (</w:t>
      </w:r>
      <w:r w:rsidR="00A0757C">
        <w:rPr>
          <w:noProof/>
        </w:rPr>
        <w:fldChar w:fldCharType="begin"/>
      </w:r>
      <w:r w:rsidR="00A0757C">
        <w:rPr>
          <w:noProof/>
        </w:rPr>
        <w:instrText xml:space="preserve"> REF _Ref482614653 \h </w:instrText>
      </w:r>
      <w:r w:rsidR="00A0757C">
        <w:rPr>
          <w:noProof/>
        </w:rPr>
      </w:r>
      <w:r w:rsidR="00A0757C">
        <w:rPr>
          <w:noProof/>
        </w:rPr>
        <w:fldChar w:fldCharType="separate"/>
      </w:r>
      <w:r w:rsidR="00A0757C">
        <w:t xml:space="preserve">Figure </w:t>
      </w:r>
      <w:r w:rsidR="00A0757C">
        <w:rPr>
          <w:noProof/>
        </w:rPr>
        <w:t>4</w:t>
      </w:r>
      <w:r w:rsidR="00A0757C">
        <w:rPr>
          <w:noProof/>
        </w:rPr>
        <w:fldChar w:fldCharType="end"/>
      </w:r>
      <w:r w:rsidR="003767B0">
        <w:t>)</w:t>
      </w:r>
      <w:r w:rsidR="00E41879">
        <w:t>, or no more than half the output of the assumed baseline halogen or incandescent lamp.</w:t>
      </w:r>
    </w:p>
    <w:p w14:paraId="0C57565D" w14:textId="55994F88" w:rsidR="00A0757C" w:rsidRDefault="00A0757C" w:rsidP="00986747">
      <w:pPr>
        <w:pStyle w:val="Body2"/>
      </w:pPr>
      <w:r>
        <w:t>The above incandescent lamp lumen out incompatibility results in a component of delta watts being about 1.5 times what should be used. Add to this the lack of an appropriate baseline composition that includes CFLs and/or LED, the overall over-estimate of delta watts can be more 3 times the typical expected value.</w:t>
      </w:r>
    </w:p>
    <w:p w14:paraId="27238DCA" w14:textId="16689F12" w:rsidR="00613540" w:rsidRDefault="00613540" w:rsidP="00A0757C">
      <w:pPr>
        <w:pStyle w:val="Caption"/>
        <w:keepNext/>
        <w:jc w:val="center"/>
      </w:pPr>
      <w:bookmarkStart w:id="31" w:name="_Ref482613288"/>
      <w:r>
        <w:lastRenderedPageBreak/>
        <w:t xml:space="preserve">Figure </w:t>
      </w:r>
      <w:r w:rsidR="000A159D">
        <w:fldChar w:fldCharType="begin"/>
      </w:r>
      <w:r w:rsidR="000A159D">
        <w:instrText xml:space="preserve"> SEQ Figure \* ARABIC </w:instrText>
      </w:r>
      <w:r w:rsidR="000A159D">
        <w:fldChar w:fldCharType="separate"/>
      </w:r>
      <w:r w:rsidR="00E41879">
        <w:rPr>
          <w:noProof/>
        </w:rPr>
        <w:t>2</w:t>
      </w:r>
      <w:r w:rsidR="000A159D">
        <w:rPr>
          <w:noProof/>
        </w:rPr>
        <w:fldChar w:fldCharType="end"/>
      </w:r>
      <w:bookmarkEnd w:id="31"/>
      <w:r>
        <w:t xml:space="preserve"> - Baseline Assumptions from 2015 Lighting Evaluation</w:t>
      </w:r>
    </w:p>
    <w:p w14:paraId="3C3DF73E" w14:textId="284AA9B4" w:rsidR="00613540" w:rsidRDefault="00613540" w:rsidP="0088383D">
      <w:pPr>
        <w:pStyle w:val="Body1"/>
      </w:pPr>
      <w:r w:rsidRPr="00613540">
        <w:rPr>
          <w:noProof/>
        </w:rPr>
        <w:drawing>
          <wp:inline distT="0" distB="0" distL="0" distR="0" wp14:anchorId="50D22282" wp14:editId="4025E2FC">
            <wp:extent cx="5943600" cy="4545501"/>
            <wp:effectExtent l="0" t="0" r="0" b="762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943600" cy="4545501"/>
                    </a:xfrm>
                    <a:prstGeom prst="rect">
                      <a:avLst/>
                    </a:prstGeom>
                    <a:noFill/>
                    <a:ln>
                      <a:noFill/>
                    </a:ln>
                  </pic:spPr>
                </pic:pic>
              </a:graphicData>
            </a:graphic>
          </wp:inline>
        </w:drawing>
      </w:r>
    </w:p>
    <w:p w14:paraId="3E9C4E91" w14:textId="6CFC0CF2" w:rsidR="00E41879" w:rsidRDefault="00E41879" w:rsidP="00A0757C">
      <w:pPr>
        <w:pStyle w:val="Caption"/>
        <w:keepNext/>
        <w:jc w:val="center"/>
      </w:pPr>
      <w:bookmarkStart w:id="32" w:name="_Ref482614433"/>
      <w:r>
        <w:lastRenderedPageBreak/>
        <w:t xml:space="preserve">Figure </w:t>
      </w:r>
      <w:r w:rsidR="000A159D">
        <w:fldChar w:fldCharType="begin"/>
      </w:r>
      <w:r w:rsidR="000A159D">
        <w:instrText xml:space="preserve"> SEQ Figure \* ARABIC </w:instrText>
      </w:r>
      <w:r w:rsidR="000A159D">
        <w:fldChar w:fldCharType="separate"/>
      </w:r>
      <w:r>
        <w:rPr>
          <w:noProof/>
        </w:rPr>
        <w:t>3</w:t>
      </w:r>
      <w:r w:rsidR="000A159D">
        <w:rPr>
          <w:noProof/>
        </w:rPr>
        <w:fldChar w:fldCharType="end"/>
      </w:r>
      <w:bookmarkEnd w:id="32"/>
      <w:r>
        <w:t xml:space="preserve"> - </w:t>
      </w:r>
      <w:r w:rsidRPr="00CC4E4C">
        <w:t xml:space="preserve">Baseline </w:t>
      </w:r>
      <w:r>
        <w:t xml:space="preserve">and Measure </w:t>
      </w:r>
      <w:r w:rsidRPr="00CC4E4C">
        <w:t>Assumptions from 2015 Lighting Evaluation</w:t>
      </w:r>
    </w:p>
    <w:p w14:paraId="74C5394F" w14:textId="2B327BC0" w:rsidR="00E41879" w:rsidRDefault="00E41879" w:rsidP="0088383D">
      <w:pPr>
        <w:pStyle w:val="Body1"/>
      </w:pPr>
      <w:r w:rsidRPr="00E41879">
        <w:rPr>
          <w:noProof/>
        </w:rPr>
        <w:drawing>
          <wp:inline distT="0" distB="0" distL="0" distR="0" wp14:anchorId="5E962ACC" wp14:editId="0E8CAF80">
            <wp:extent cx="5943600" cy="5395609"/>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943600" cy="5395609"/>
                    </a:xfrm>
                    <a:prstGeom prst="rect">
                      <a:avLst/>
                    </a:prstGeom>
                    <a:noFill/>
                    <a:ln>
                      <a:noFill/>
                    </a:ln>
                  </pic:spPr>
                </pic:pic>
              </a:graphicData>
            </a:graphic>
          </wp:inline>
        </w:drawing>
      </w:r>
    </w:p>
    <w:p w14:paraId="3378CB47" w14:textId="3D43E090" w:rsidR="00E41879" w:rsidRDefault="00E41879" w:rsidP="00A0757C">
      <w:pPr>
        <w:pStyle w:val="Caption"/>
        <w:keepNext/>
        <w:jc w:val="center"/>
      </w:pPr>
      <w:bookmarkStart w:id="33" w:name="_Ref482614653"/>
      <w:r>
        <w:lastRenderedPageBreak/>
        <w:t xml:space="preserve">Figure </w:t>
      </w:r>
      <w:r w:rsidR="000A159D">
        <w:fldChar w:fldCharType="begin"/>
      </w:r>
      <w:r w:rsidR="000A159D">
        <w:instrText xml:space="preserve"> SEQ Figure \* ARABIC </w:instrText>
      </w:r>
      <w:r w:rsidR="000A159D">
        <w:fldChar w:fldCharType="separate"/>
      </w:r>
      <w:r>
        <w:rPr>
          <w:noProof/>
        </w:rPr>
        <w:t>4</w:t>
      </w:r>
      <w:r w:rsidR="000A159D">
        <w:rPr>
          <w:noProof/>
        </w:rPr>
        <w:fldChar w:fldCharType="end"/>
      </w:r>
      <w:bookmarkEnd w:id="33"/>
      <w:r>
        <w:t xml:space="preserve"> - A-Lamp Output (lumens) Versus Input (watts)</w:t>
      </w:r>
    </w:p>
    <w:p w14:paraId="71E1E0EE" w14:textId="105FCB68" w:rsidR="00E41879" w:rsidRPr="005B494A" w:rsidRDefault="00E41879" w:rsidP="0088383D">
      <w:pPr>
        <w:pStyle w:val="Body1"/>
      </w:pPr>
      <w:r w:rsidRPr="00E41879">
        <w:rPr>
          <w:noProof/>
        </w:rPr>
        <w:drawing>
          <wp:inline distT="0" distB="0" distL="0" distR="0" wp14:anchorId="1E36E5B9" wp14:editId="22F3340B">
            <wp:extent cx="5943600" cy="3500311"/>
            <wp:effectExtent l="0" t="0" r="0" b="508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943600" cy="3500311"/>
                    </a:xfrm>
                    <a:prstGeom prst="rect">
                      <a:avLst/>
                    </a:prstGeom>
                    <a:noFill/>
                    <a:ln>
                      <a:noFill/>
                    </a:ln>
                  </pic:spPr>
                </pic:pic>
              </a:graphicData>
            </a:graphic>
          </wp:inline>
        </w:drawing>
      </w:r>
    </w:p>
    <w:sectPr w:rsidR="00E41879" w:rsidRPr="005B494A" w:rsidSect="007420F0">
      <w:headerReference w:type="default" r:id="rId14"/>
      <w:footerReference w:type="default" r:id="rId15"/>
      <w:footerReference w:type="first" r:id="rId16"/>
      <w:pgSz w:w="12240" w:h="15840" w:code="1"/>
      <w:pgMar w:top="1440" w:right="1440" w:bottom="1440" w:left="1440" w:header="720" w:footer="720" w:gutter="0"/>
      <w:cols w:space="720"/>
      <w:titlePg/>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5789E27E" w15:done="0"/>
  <w15:commentEx w15:paraId="48073B69" w15:done="0"/>
  <w15:commentEx w15:paraId="7C03C411" w15:done="0"/>
  <w15:commentEx w15:paraId="675A76D5" w15:done="0"/>
  <w15:commentEx w15:paraId="56CBB251" w15:done="0"/>
  <w15:commentEx w15:paraId="5CB1D25A" w15:done="0"/>
  <w15:commentEx w15:paraId="12B51569" w15:done="0"/>
  <w15:commentEx w15:paraId="0CA4DE6B"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F0E0729" w14:textId="77777777" w:rsidR="000A159D" w:rsidRDefault="000A159D" w:rsidP="000E70A1">
      <w:pPr>
        <w:spacing w:after="0" w:line="240" w:lineRule="auto"/>
      </w:pPr>
      <w:r>
        <w:separator/>
      </w:r>
    </w:p>
  </w:endnote>
  <w:endnote w:type="continuationSeparator" w:id="0">
    <w:p w14:paraId="1D920DC4" w14:textId="77777777" w:rsidR="000A159D" w:rsidRDefault="000A159D" w:rsidP="000E70A1">
      <w:pPr>
        <w:spacing w:after="0" w:line="240" w:lineRule="auto"/>
      </w:pPr>
      <w:r>
        <w:continuationSeparator/>
      </w:r>
    </w:p>
  </w:endnote>
  <w:endnote w:type="continuationNotice" w:id="1">
    <w:p w14:paraId="75DF49B3" w14:textId="77777777" w:rsidR="000A159D" w:rsidRDefault="000A159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44E7F4" w14:textId="3B061D31" w:rsidR="00BC03C9" w:rsidRPr="007B4BBF" w:rsidRDefault="00BC03C9" w:rsidP="00C0532D">
    <w:pPr>
      <w:pStyle w:val="Footer"/>
      <w:rPr>
        <w:sz w:val="18"/>
        <w:szCs w:val="18"/>
      </w:rPr>
    </w:pPr>
    <w:r w:rsidRPr="007B4BBF">
      <w:rPr>
        <w:sz w:val="18"/>
        <w:szCs w:val="18"/>
      </w:rPr>
      <w:tab/>
    </w:r>
    <w:proofErr w:type="gramStart"/>
    <w:r w:rsidRPr="007B4BBF">
      <w:rPr>
        <w:sz w:val="18"/>
        <w:szCs w:val="18"/>
      </w:rPr>
      <w:t>page</w:t>
    </w:r>
    <w:proofErr w:type="gramEnd"/>
    <w:r w:rsidRPr="007B4BBF">
      <w:rPr>
        <w:sz w:val="18"/>
        <w:szCs w:val="18"/>
      </w:rPr>
      <w:t xml:space="preserve"> </w:t>
    </w:r>
    <w:r w:rsidRPr="007B4BBF">
      <w:rPr>
        <w:sz w:val="18"/>
        <w:szCs w:val="18"/>
      </w:rPr>
      <w:fldChar w:fldCharType="begin"/>
    </w:r>
    <w:r w:rsidRPr="007B4BBF">
      <w:rPr>
        <w:sz w:val="18"/>
        <w:szCs w:val="18"/>
      </w:rPr>
      <w:instrText xml:space="preserve"> PAGE  \* Arabic  \* MERGEFORMAT </w:instrText>
    </w:r>
    <w:r w:rsidRPr="007B4BBF">
      <w:rPr>
        <w:sz w:val="18"/>
        <w:szCs w:val="18"/>
      </w:rPr>
      <w:fldChar w:fldCharType="separate"/>
    </w:r>
    <w:r w:rsidR="00F66A78">
      <w:rPr>
        <w:noProof/>
        <w:sz w:val="18"/>
        <w:szCs w:val="18"/>
      </w:rPr>
      <w:t>2</w:t>
    </w:r>
    <w:r w:rsidRPr="007B4BBF">
      <w:rPr>
        <w:sz w:val="18"/>
        <w:szCs w:val="18"/>
      </w:rPr>
      <w:fldChar w:fldCharType="end"/>
    </w:r>
    <w:r w:rsidRPr="007B4BBF">
      <w:rPr>
        <w:sz w:val="18"/>
        <w:szCs w:val="18"/>
      </w:rPr>
      <w:t xml:space="preserve"> of </w:t>
    </w:r>
    <w:r w:rsidRPr="007B4BBF">
      <w:rPr>
        <w:sz w:val="18"/>
        <w:szCs w:val="18"/>
      </w:rPr>
      <w:fldChar w:fldCharType="begin"/>
    </w:r>
    <w:r w:rsidRPr="007B4BBF">
      <w:rPr>
        <w:sz w:val="18"/>
        <w:szCs w:val="18"/>
      </w:rPr>
      <w:instrText xml:space="preserve"> NUMPAGES   \* MERGEFORMAT </w:instrText>
    </w:r>
    <w:r w:rsidRPr="007B4BBF">
      <w:rPr>
        <w:sz w:val="18"/>
        <w:szCs w:val="18"/>
      </w:rPr>
      <w:fldChar w:fldCharType="separate"/>
    </w:r>
    <w:r w:rsidR="00F66A78">
      <w:rPr>
        <w:noProof/>
        <w:sz w:val="18"/>
        <w:szCs w:val="18"/>
      </w:rPr>
      <w:t>13</w:t>
    </w:r>
    <w:r w:rsidRPr="007B4BBF">
      <w:rPr>
        <w:sz w:val="18"/>
        <w:szCs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154AAE" w14:textId="3BDB1313" w:rsidR="00BC03C9" w:rsidRDefault="00BC03C9">
    <w:pPr>
      <w:pStyle w:val="Footer"/>
    </w:pPr>
    <w:r>
      <w:tab/>
    </w:r>
    <w:proofErr w:type="gramStart"/>
    <w:r>
      <w:t>page</w:t>
    </w:r>
    <w:proofErr w:type="gramEnd"/>
    <w:r>
      <w:t xml:space="preserve"> </w:t>
    </w:r>
    <w:r>
      <w:fldChar w:fldCharType="begin"/>
    </w:r>
    <w:r>
      <w:instrText xml:space="preserve"> PAGE  \* Arabic  \* MERGEFORMAT </w:instrText>
    </w:r>
    <w:r>
      <w:fldChar w:fldCharType="separate"/>
    </w:r>
    <w:r w:rsidR="00F66A78">
      <w:rPr>
        <w:noProof/>
      </w:rPr>
      <w:t>1</w:t>
    </w:r>
    <w:r>
      <w:fldChar w:fldCharType="end"/>
    </w:r>
    <w:r>
      <w:t xml:space="preserve"> of </w:t>
    </w:r>
    <w:r w:rsidR="000A159D">
      <w:fldChar w:fldCharType="begin"/>
    </w:r>
    <w:r w:rsidR="000A159D">
      <w:instrText xml:space="preserve"> NUMPAGES   \* MERGEFOR</w:instrText>
    </w:r>
    <w:r w:rsidR="000A159D">
      <w:instrText xml:space="preserve">MAT </w:instrText>
    </w:r>
    <w:r w:rsidR="000A159D">
      <w:fldChar w:fldCharType="separate"/>
    </w:r>
    <w:r w:rsidR="00F66A78">
      <w:rPr>
        <w:noProof/>
      </w:rPr>
      <w:t>13</w:t>
    </w:r>
    <w:r w:rsidR="000A159D">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BFFA409" w14:textId="77777777" w:rsidR="000A159D" w:rsidRDefault="000A159D" w:rsidP="000E70A1">
      <w:pPr>
        <w:spacing w:after="0" w:line="240" w:lineRule="auto"/>
      </w:pPr>
      <w:r>
        <w:separator/>
      </w:r>
    </w:p>
  </w:footnote>
  <w:footnote w:type="continuationSeparator" w:id="0">
    <w:p w14:paraId="7396754A" w14:textId="77777777" w:rsidR="000A159D" w:rsidRDefault="000A159D" w:rsidP="000E70A1">
      <w:pPr>
        <w:spacing w:after="0" w:line="240" w:lineRule="auto"/>
      </w:pPr>
      <w:r>
        <w:continuationSeparator/>
      </w:r>
    </w:p>
  </w:footnote>
  <w:footnote w:type="continuationNotice" w:id="1">
    <w:p w14:paraId="27CE6961" w14:textId="77777777" w:rsidR="000A159D" w:rsidRDefault="000A159D">
      <w:pPr>
        <w:spacing w:after="0" w:line="240" w:lineRule="auto"/>
      </w:pPr>
    </w:p>
  </w:footnote>
  <w:footnote w:id="2">
    <w:p w14:paraId="43DDDCBB" w14:textId="16359BB6" w:rsidR="00BC03C9" w:rsidRDefault="00BC03C9">
      <w:pPr>
        <w:pStyle w:val="FootnoteText"/>
      </w:pPr>
      <w:r>
        <w:rPr>
          <w:rStyle w:val="FootnoteReference"/>
        </w:rPr>
        <w:footnoteRef/>
      </w:r>
      <w:r>
        <w:t xml:space="preserve"> “Comprehensive Workpaper Disposition for: Screw-In Lamps,” California Public Utilities Commission, Energy Division, March 1, 2017</w:t>
      </w:r>
    </w:p>
  </w:footnote>
  <w:footnote w:id="3">
    <w:p w14:paraId="52035544" w14:textId="21A34466" w:rsidR="00BC03C9" w:rsidRDefault="00BC03C9" w:rsidP="00E8618A">
      <w:pPr>
        <w:pStyle w:val="FootnoteText"/>
      </w:pPr>
      <w:r>
        <w:rPr>
          <w:rStyle w:val="FootnoteReference"/>
        </w:rPr>
        <w:footnoteRef/>
      </w:r>
      <w:r>
        <w:t xml:space="preserve"> D.12-05-015 OP 87: </w:t>
      </w:r>
      <w:r w:rsidRPr="00042234">
        <w:rPr>
          <w:i/>
        </w:rPr>
        <w:t>In their 2013-2014 applications, Pacific Gas and Electric Company, Southern California Edison Company, San Diego Gas &amp; Electric Company, and Southern California Gas Company shall only propose rebates for general service screw base Light Emitting Diodes products that are consistent with the quality standards developed by the California Energy Commission.</w:t>
      </w:r>
    </w:p>
    <w:p w14:paraId="3169D5F7" w14:textId="0DFBB213" w:rsidR="00BC03C9" w:rsidRPr="00042234" w:rsidRDefault="00BC03C9" w:rsidP="00E8618A">
      <w:pPr>
        <w:pStyle w:val="FootnoteText"/>
        <w:rPr>
          <w:i/>
        </w:rPr>
      </w:pPr>
      <w:r>
        <w:t xml:space="preserve">@ 242: </w:t>
      </w:r>
      <w:r w:rsidRPr="00E8618A">
        <w:rPr>
          <w:i/>
        </w:rPr>
        <w:t>We expect the California Energy Commission to adopt a lighting quality</w:t>
      </w:r>
      <w:r>
        <w:rPr>
          <w:i/>
        </w:rPr>
        <w:t xml:space="preserve"> </w:t>
      </w:r>
      <w:r w:rsidRPr="00E8618A">
        <w:rPr>
          <w:i/>
        </w:rPr>
        <w:t>standard for LEDs in the current Title 20 Rulemaking. We direct the IOUs to</w:t>
      </w:r>
      <w:r>
        <w:rPr>
          <w:i/>
        </w:rPr>
        <w:t xml:space="preserve"> </w:t>
      </w:r>
      <w:r w:rsidRPr="00E8618A">
        <w:rPr>
          <w:i/>
        </w:rPr>
        <w:t>only propose incentives for LED products that adhere to that standard. For</w:t>
      </w:r>
      <w:r>
        <w:rPr>
          <w:i/>
        </w:rPr>
        <w:t xml:space="preserve"> </w:t>
      </w:r>
      <w:r w:rsidRPr="00E8618A">
        <w:rPr>
          <w:i/>
        </w:rPr>
        <w:t>example, regarding quality standards, we direct the IOUs to only propose</w:t>
      </w:r>
      <w:r>
        <w:rPr>
          <w:i/>
        </w:rPr>
        <w:t xml:space="preserve"> </w:t>
      </w:r>
      <w:r w:rsidRPr="00E8618A">
        <w:rPr>
          <w:i/>
        </w:rPr>
        <w:t>rebates for general service screw base LED products that are consistent with the</w:t>
      </w:r>
      <w:r>
        <w:rPr>
          <w:i/>
        </w:rPr>
        <w:t xml:space="preserve"> </w:t>
      </w:r>
      <w:r w:rsidRPr="00E8618A">
        <w:rPr>
          <w:i/>
        </w:rPr>
        <w:t>quality standards developed by the California Energy Commission.</w:t>
      </w:r>
    </w:p>
  </w:footnote>
  <w:footnote w:id="4">
    <w:p w14:paraId="44422B03" w14:textId="6B62478D" w:rsidR="00BC03C9" w:rsidRDefault="00BC03C9">
      <w:pPr>
        <w:pStyle w:val="FootnoteText"/>
      </w:pPr>
      <w:r>
        <w:rPr>
          <w:rStyle w:val="FootnoteReference"/>
        </w:rPr>
        <w:footnoteRef/>
      </w:r>
      <w:r>
        <w:t xml:space="preserve"> Refer to the sheet “Product Analysis” of the attached workbook “ScrewInLampDispositionBackup-16May2017.xlsm”</w:t>
      </w:r>
    </w:p>
  </w:footnote>
  <w:footnote w:id="5">
    <w:p w14:paraId="32C92375" w14:textId="31E65694" w:rsidR="00BC03C9" w:rsidRDefault="00BC03C9" w:rsidP="00750EC2">
      <w:pPr>
        <w:pStyle w:val="FootnoteText"/>
      </w:pPr>
      <w:r>
        <w:rPr>
          <w:rStyle w:val="FootnoteReference"/>
        </w:rPr>
        <w:footnoteRef/>
      </w:r>
      <w:r>
        <w:t xml:space="preserve"> “Impact Evaluation of 2015 Upstream and Residential Downstream Lighting Programs” prepared for California Public Utilities Commission, Energy Division by DNV-GL, April 1, 2017.</w:t>
      </w:r>
    </w:p>
  </w:footnote>
  <w:footnote w:id="6">
    <w:p w14:paraId="2673383D" w14:textId="58596E75" w:rsidR="00BC03C9" w:rsidRDefault="00BC03C9" w:rsidP="00801923">
      <w:pPr>
        <w:pStyle w:val="FootnoteText"/>
      </w:pPr>
      <w:r>
        <w:rPr>
          <w:rStyle w:val="FootnoteReference"/>
        </w:rPr>
        <w:footnoteRef/>
      </w:r>
      <w:r>
        <w:t xml:space="preserve"> “Ex Ante Update for ESPI Uncertain Measures Compact Fluorescent Lamps” prepared for California Public Utilities Commission, Energy Division by James J. Hirsch and Associates, May 19, 2015.</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7C3230" w14:textId="5238A888" w:rsidR="00BC03C9" w:rsidRDefault="00BC03C9" w:rsidP="003C17B2">
    <w:pPr>
      <w:pStyle w:val="Header"/>
      <w:rPr>
        <w:sz w:val="18"/>
        <w:szCs w:val="18"/>
      </w:rPr>
    </w:pPr>
    <w:r>
      <w:rPr>
        <w:sz w:val="18"/>
        <w:szCs w:val="18"/>
      </w:rPr>
      <w:fldChar w:fldCharType="begin"/>
    </w:r>
    <w:r>
      <w:rPr>
        <w:sz w:val="18"/>
        <w:szCs w:val="18"/>
      </w:rPr>
      <w:instrText xml:space="preserve"> STYLEREF  Title  \* MERGEFORMAT </w:instrText>
    </w:r>
    <w:r>
      <w:rPr>
        <w:sz w:val="18"/>
        <w:szCs w:val="18"/>
      </w:rPr>
      <w:fldChar w:fldCharType="separate"/>
    </w:r>
    <w:r w:rsidR="00F66A78">
      <w:rPr>
        <w:noProof/>
        <w:sz w:val="18"/>
        <w:szCs w:val="18"/>
      </w:rPr>
      <w:t>Comprehensive Workpaper Disposition for: Screw-In Lamps</w:t>
    </w:r>
    <w:r>
      <w:rPr>
        <w:sz w:val="18"/>
        <w:szCs w:val="18"/>
      </w:rPr>
      <w:fldChar w:fldCharType="end"/>
    </w:r>
  </w:p>
  <w:p w14:paraId="287D98D8" w14:textId="2C74EF9F" w:rsidR="00BC03C9" w:rsidRPr="007B4BBF" w:rsidRDefault="00BC03C9" w:rsidP="003C17B2">
    <w:pPr>
      <w:pStyle w:val="Header"/>
      <w:rPr>
        <w:sz w:val="18"/>
        <w:szCs w:val="18"/>
      </w:rPr>
    </w:pPr>
    <w:r w:rsidRPr="004756BA">
      <w:rPr>
        <w:sz w:val="18"/>
        <w:szCs w:val="18"/>
      </w:rPr>
      <w:t>Revisions to Disposition Originally Issued on March 1, 2017</w:t>
    </w:r>
  </w:p>
  <w:p w14:paraId="5A9E4BFA" w14:textId="1E2CA80C" w:rsidR="00BC03C9" w:rsidRDefault="00BC03C9" w:rsidP="00C0532D">
    <w:pPr>
      <w:pStyle w:val="Header"/>
      <w:rPr>
        <w:sz w:val="18"/>
        <w:szCs w:val="18"/>
      </w:rPr>
    </w:pPr>
    <w:r>
      <w:rPr>
        <w:sz w:val="18"/>
        <w:szCs w:val="18"/>
      </w:rPr>
      <w:fldChar w:fldCharType="begin"/>
    </w:r>
    <w:r>
      <w:rPr>
        <w:sz w:val="18"/>
        <w:szCs w:val="18"/>
      </w:rPr>
      <w:instrText xml:space="preserve"> STYLEREF  Subtitle  \* MERGEFORMAT </w:instrText>
    </w:r>
    <w:r>
      <w:rPr>
        <w:sz w:val="18"/>
        <w:szCs w:val="18"/>
      </w:rPr>
      <w:fldChar w:fldCharType="separate"/>
    </w:r>
    <w:r w:rsidR="00F66A78">
      <w:rPr>
        <w:noProof/>
        <w:sz w:val="18"/>
        <w:szCs w:val="18"/>
      </w:rPr>
      <w:t>California Public Utilities Commission, Energy Division</w:t>
    </w:r>
    <w:r>
      <w:rPr>
        <w:sz w:val="18"/>
        <w:szCs w:val="18"/>
      </w:rPr>
      <w:fldChar w:fldCharType="end"/>
    </w:r>
  </w:p>
  <w:p w14:paraId="05D5AF6F" w14:textId="177FAD20" w:rsidR="00BC03C9" w:rsidRDefault="00BC03C9" w:rsidP="00C0532D">
    <w:pPr>
      <w:pStyle w:val="Header"/>
      <w:rPr>
        <w:sz w:val="18"/>
        <w:szCs w:val="18"/>
      </w:rPr>
    </w:pPr>
    <w:r>
      <w:rPr>
        <w:sz w:val="18"/>
        <w:szCs w:val="18"/>
      </w:rPr>
      <w:fldChar w:fldCharType="begin"/>
    </w:r>
    <w:r>
      <w:rPr>
        <w:sz w:val="18"/>
        <w:szCs w:val="18"/>
      </w:rPr>
      <w:instrText xml:space="preserve"> STYLEREF  "Disposition Date"  \* MERGEFORMAT </w:instrText>
    </w:r>
    <w:r>
      <w:rPr>
        <w:sz w:val="18"/>
        <w:szCs w:val="18"/>
      </w:rPr>
      <w:fldChar w:fldCharType="separate"/>
    </w:r>
    <w:r w:rsidR="00F66A78">
      <w:rPr>
        <w:noProof/>
        <w:sz w:val="18"/>
        <w:szCs w:val="18"/>
      </w:rPr>
      <w:t>May 26, 2017</w:t>
    </w:r>
    <w:r>
      <w:rPr>
        <w:sz w:val="18"/>
        <w:szCs w:val="18"/>
      </w:rPr>
      <w:fldChar w:fldCharType="end"/>
    </w:r>
  </w:p>
  <w:p w14:paraId="71B7E13B" w14:textId="77777777" w:rsidR="00BC03C9" w:rsidRDefault="00BC03C9" w:rsidP="00C0532D">
    <w:pPr>
      <w:pStyle w:val="Header"/>
      <w:rPr>
        <w:sz w:val="18"/>
        <w:szCs w:val="1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54442"/>
    <w:multiLevelType w:val="hybridMultilevel"/>
    <w:tmpl w:val="97F2BF34"/>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
    <w:nsid w:val="02193A69"/>
    <w:multiLevelType w:val="multilevel"/>
    <w:tmpl w:val="5678AA54"/>
    <w:lvl w:ilvl="0">
      <w:start w:val="2"/>
      <w:numFmt w:val="decimal"/>
      <w:lvlText w:val="%1."/>
      <w:lvlJc w:val="left"/>
      <w:pPr>
        <w:ind w:left="2880" w:hanging="360"/>
      </w:pPr>
      <w:rPr>
        <w:rFonts w:cs="Times New Roman" w:hint="default"/>
        <w:u w:val="none"/>
      </w:rPr>
    </w:lvl>
    <w:lvl w:ilvl="1">
      <w:start w:val="1"/>
      <w:numFmt w:val="decimal"/>
      <w:lvlText w:val="%2."/>
      <w:lvlJc w:val="left"/>
      <w:pPr>
        <w:ind w:left="3600" w:hanging="360"/>
      </w:pPr>
      <w:rPr>
        <w:rFonts w:cs="Times New Roman" w:hint="default"/>
      </w:rPr>
    </w:lvl>
    <w:lvl w:ilvl="2">
      <w:start w:val="1"/>
      <w:numFmt w:val="lowerRoman"/>
      <w:lvlText w:val="%3."/>
      <w:lvlJc w:val="right"/>
      <w:pPr>
        <w:ind w:left="4320" w:hanging="180"/>
      </w:pPr>
      <w:rPr>
        <w:rFonts w:cs="Times New Roman" w:hint="default"/>
      </w:rPr>
    </w:lvl>
    <w:lvl w:ilvl="3">
      <w:start w:val="1"/>
      <w:numFmt w:val="decimal"/>
      <w:lvlText w:val="%4."/>
      <w:lvlJc w:val="left"/>
      <w:pPr>
        <w:ind w:left="5040" w:hanging="360"/>
      </w:pPr>
      <w:rPr>
        <w:rFonts w:cs="Times New Roman" w:hint="default"/>
      </w:rPr>
    </w:lvl>
    <w:lvl w:ilvl="4">
      <w:start w:val="1"/>
      <w:numFmt w:val="lowerLetter"/>
      <w:lvlText w:val="%5."/>
      <w:lvlJc w:val="left"/>
      <w:pPr>
        <w:ind w:left="5760" w:hanging="360"/>
      </w:pPr>
      <w:rPr>
        <w:rFonts w:cs="Times New Roman" w:hint="default"/>
      </w:rPr>
    </w:lvl>
    <w:lvl w:ilvl="5">
      <w:start w:val="1"/>
      <w:numFmt w:val="lowerRoman"/>
      <w:lvlText w:val="%6."/>
      <w:lvlJc w:val="right"/>
      <w:pPr>
        <w:ind w:left="6480" w:hanging="180"/>
      </w:pPr>
      <w:rPr>
        <w:rFonts w:cs="Times New Roman" w:hint="default"/>
      </w:rPr>
    </w:lvl>
    <w:lvl w:ilvl="6">
      <w:start w:val="1"/>
      <w:numFmt w:val="decimal"/>
      <w:lvlText w:val="%7."/>
      <w:lvlJc w:val="left"/>
      <w:pPr>
        <w:ind w:left="7200" w:hanging="360"/>
      </w:pPr>
      <w:rPr>
        <w:rFonts w:cs="Times New Roman" w:hint="default"/>
      </w:rPr>
    </w:lvl>
    <w:lvl w:ilvl="7">
      <w:start w:val="1"/>
      <w:numFmt w:val="lowerLetter"/>
      <w:lvlText w:val="%8."/>
      <w:lvlJc w:val="left"/>
      <w:pPr>
        <w:ind w:left="7920" w:hanging="360"/>
      </w:pPr>
      <w:rPr>
        <w:rFonts w:cs="Times New Roman" w:hint="default"/>
      </w:rPr>
    </w:lvl>
    <w:lvl w:ilvl="8">
      <w:start w:val="1"/>
      <w:numFmt w:val="lowerRoman"/>
      <w:lvlText w:val="%9."/>
      <w:lvlJc w:val="right"/>
      <w:pPr>
        <w:ind w:left="8640" w:hanging="180"/>
      </w:pPr>
      <w:rPr>
        <w:rFonts w:cs="Times New Roman" w:hint="default"/>
      </w:rPr>
    </w:lvl>
  </w:abstractNum>
  <w:abstractNum w:abstractNumId="2">
    <w:nsid w:val="072A0B3F"/>
    <w:multiLevelType w:val="multilevel"/>
    <w:tmpl w:val="0409001D"/>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3">
    <w:nsid w:val="084D18E4"/>
    <w:multiLevelType w:val="multilevel"/>
    <w:tmpl w:val="480422CA"/>
    <w:styleLink w:val="Dispositions"/>
    <w:lvl w:ilvl="0">
      <w:start w:val="1"/>
      <w:numFmt w:val="decimal"/>
      <w:pStyle w:val="Heading1"/>
      <w:suff w:val="space"/>
      <w:lvlText w:val="%1."/>
      <w:lvlJc w:val="left"/>
      <w:pPr>
        <w:ind w:left="360" w:hanging="360"/>
      </w:pPr>
      <w:rPr>
        <w:rFonts w:ascii="Calibri" w:hAnsi="Calibri" w:cs="Times New Roman" w:hint="default"/>
        <w:b/>
        <w:i w:val="0"/>
        <w:sz w:val="22"/>
      </w:rPr>
    </w:lvl>
    <w:lvl w:ilvl="1">
      <w:start w:val="1"/>
      <w:numFmt w:val="decimal"/>
      <w:pStyle w:val="Heading2"/>
      <w:suff w:val="space"/>
      <w:lvlText w:val="%1.%2."/>
      <w:lvlJc w:val="left"/>
      <w:pPr>
        <w:ind w:left="216" w:hanging="216"/>
      </w:pPr>
      <w:rPr>
        <w:rFonts w:ascii="Calibri" w:hAnsi="Calibri" w:cs="Times New Roman" w:hint="default"/>
        <w:b/>
        <w:i w:val="0"/>
        <w:sz w:val="22"/>
      </w:rPr>
    </w:lvl>
    <w:lvl w:ilvl="2">
      <w:start w:val="1"/>
      <w:numFmt w:val="decimal"/>
      <w:pStyle w:val="Heading3"/>
      <w:suff w:val="space"/>
      <w:lvlText w:val="%1.%2.%3."/>
      <w:lvlJc w:val="left"/>
      <w:pPr>
        <w:ind w:left="720" w:hanging="360"/>
      </w:pPr>
      <w:rPr>
        <w:rFonts w:ascii="Calibri" w:hAnsi="Calibri" w:cs="Times New Roman" w:hint="default"/>
        <w:sz w:val="22"/>
      </w:rPr>
    </w:lvl>
    <w:lvl w:ilvl="3">
      <w:start w:val="1"/>
      <w:numFmt w:val="decimal"/>
      <w:pStyle w:val="Heading4"/>
      <w:suff w:val="space"/>
      <w:lvlText w:val="%1.%2.%3.%4."/>
      <w:lvlJc w:val="left"/>
      <w:pPr>
        <w:ind w:left="1080" w:hanging="360"/>
      </w:pPr>
      <w:rPr>
        <w:rFonts w:ascii="Calibri" w:hAnsi="Calibri" w:cs="Times New Roman" w:hint="default"/>
        <w:sz w:val="22"/>
      </w:rPr>
    </w:lvl>
    <w:lvl w:ilvl="4">
      <w:start w:val="1"/>
      <w:numFmt w:val="decimal"/>
      <w:pStyle w:val="Heading5"/>
      <w:suff w:val="space"/>
      <w:lvlText w:val="%1.%2.%3.%4.%5."/>
      <w:lvlJc w:val="left"/>
      <w:pPr>
        <w:ind w:left="1440" w:hanging="360"/>
      </w:pPr>
      <w:rPr>
        <w:rFonts w:ascii="Calibri" w:hAnsi="Calibri" w:cs="Times New Roman" w:hint="default"/>
        <w:sz w:val="22"/>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4">
    <w:nsid w:val="0A546AC9"/>
    <w:multiLevelType w:val="hybridMultilevel"/>
    <w:tmpl w:val="F704F9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F5906A7"/>
    <w:multiLevelType w:val="hybridMultilevel"/>
    <w:tmpl w:val="C3F06E86"/>
    <w:lvl w:ilvl="0" w:tplc="04090001">
      <w:start w:val="1"/>
      <w:numFmt w:val="bullet"/>
      <w:lvlText w:val=""/>
      <w:lvlJc w:val="left"/>
      <w:pPr>
        <w:ind w:left="975" w:hanging="360"/>
      </w:pPr>
      <w:rPr>
        <w:rFonts w:ascii="Symbol" w:hAnsi="Symbol" w:hint="default"/>
      </w:rPr>
    </w:lvl>
    <w:lvl w:ilvl="1" w:tplc="04090003" w:tentative="1">
      <w:start w:val="1"/>
      <w:numFmt w:val="bullet"/>
      <w:lvlText w:val="o"/>
      <w:lvlJc w:val="left"/>
      <w:pPr>
        <w:ind w:left="1695" w:hanging="360"/>
      </w:pPr>
      <w:rPr>
        <w:rFonts w:ascii="Courier New" w:hAnsi="Courier New" w:cs="Courier New" w:hint="default"/>
      </w:rPr>
    </w:lvl>
    <w:lvl w:ilvl="2" w:tplc="04090005" w:tentative="1">
      <w:start w:val="1"/>
      <w:numFmt w:val="bullet"/>
      <w:lvlText w:val=""/>
      <w:lvlJc w:val="left"/>
      <w:pPr>
        <w:ind w:left="2415" w:hanging="360"/>
      </w:pPr>
      <w:rPr>
        <w:rFonts w:ascii="Wingdings" w:hAnsi="Wingdings" w:hint="default"/>
      </w:rPr>
    </w:lvl>
    <w:lvl w:ilvl="3" w:tplc="04090001" w:tentative="1">
      <w:start w:val="1"/>
      <w:numFmt w:val="bullet"/>
      <w:lvlText w:val=""/>
      <w:lvlJc w:val="left"/>
      <w:pPr>
        <w:ind w:left="3135" w:hanging="360"/>
      </w:pPr>
      <w:rPr>
        <w:rFonts w:ascii="Symbol" w:hAnsi="Symbol" w:hint="default"/>
      </w:rPr>
    </w:lvl>
    <w:lvl w:ilvl="4" w:tplc="04090003" w:tentative="1">
      <w:start w:val="1"/>
      <w:numFmt w:val="bullet"/>
      <w:lvlText w:val="o"/>
      <w:lvlJc w:val="left"/>
      <w:pPr>
        <w:ind w:left="3855" w:hanging="360"/>
      </w:pPr>
      <w:rPr>
        <w:rFonts w:ascii="Courier New" w:hAnsi="Courier New" w:cs="Courier New" w:hint="default"/>
      </w:rPr>
    </w:lvl>
    <w:lvl w:ilvl="5" w:tplc="04090005" w:tentative="1">
      <w:start w:val="1"/>
      <w:numFmt w:val="bullet"/>
      <w:lvlText w:val=""/>
      <w:lvlJc w:val="left"/>
      <w:pPr>
        <w:ind w:left="4575" w:hanging="360"/>
      </w:pPr>
      <w:rPr>
        <w:rFonts w:ascii="Wingdings" w:hAnsi="Wingdings" w:hint="default"/>
      </w:rPr>
    </w:lvl>
    <w:lvl w:ilvl="6" w:tplc="04090001" w:tentative="1">
      <w:start w:val="1"/>
      <w:numFmt w:val="bullet"/>
      <w:lvlText w:val=""/>
      <w:lvlJc w:val="left"/>
      <w:pPr>
        <w:ind w:left="5295" w:hanging="360"/>
      </w:pPr>
      <w:rPr>
        <w:rFonts w:ascii="Symbol" w:hAnsi="Symbol" w:hint="default"/>
      </w:rPr>
    </w:lvl>
    <w:lvl w:ilvl="7" w:tplc="04090003" w:tentative="1">
      <w:start w:val="1"/>
      <w:numFmt w:val="bullet"/>
      <w:lvlText w:val="o"/>
      <w:lvlJc w:val="left"/>
      <w:pPr>
        <w:ind w:left="6015" w:hanging="360"/>
      </w:pPr>
      <w:rPr>
        <w:rFonts w:ascii="Courier New" w:hAnsi="Courier New" w:cs="Courier New" w:hint="default"/>
      </w:rPr>
    </w:lvl>
    <w:lvl w:ilvl="8" w:tplc="04090005" w:tentative="1">
      <w:start w:val="1"/>
      <w:numFmt w:val="bullet"/>
      <w:lvlText w:val=""/>
      <w:lvlJc w:val="left"/>
      <w:pPr>
        <w:ind w:left="6735" w:hanging="360"/>
      </w:pPr>
      <w:rPr>
        <w:rFonts w:ascii="Wingdings" w:hAnsi="Wingdings" w:hint="default"/>
      </w:rPr>
    </w:lvl>
  </w:abstractNum>
  <w:abstractNum w:abstractNumId="6">
    <w:nsid w:val="1226633B"/>
    <w:multiLevelType w:val="hybridMultilevel"/>
    <w:tmpl w:val="42B464A6"/>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7">
    <w:nsid w:val="13071C8C"/>
    <w:multiLevelType w:val="multilevel"/>
    <w:tmpl w:val="A1A604DE"/>
    <w:lvl w:ilvl="0">
      <w:start w:val="2"/>
      <w:numFmt w:val="decimal"/>
      <w:lvlText w:val="%1."/>
      <w:lvlJc w:val="left"/>
      <w:pPr>
        <w:ind w:left="720" w:hanging="360"/>
      </w:pPr>
      <w:rPr>
        <w:rFonts w:cs="Times New Roman" w:hint="default"/>
        <w:u w:val="none"/>
      </w:rPr>
    </w:lvl>
    <w:lvl w:ilvl="1">
      <w:start w:val="1"/>
      <w:numFmt w:val="decimal"/>
      <w:lvlText w:val="%2."/>
      <w:lvlJc w:val="left"/>
      <w:pPr>
        <w:ind w:left="1440" w:hanging="360"/>
      </w:pPr>
      <w:rPr>
        <w:rFonts w:cs="Times New Roman" w:hint="default"/>
      </w:rPr>
    </w:lvl>
    <w:lvl w:ilvl="2">
      <w:start w:val="1"/>
      <w:numFmt w:val="lowerRoman"/>
      <w:lvlText w:val="%3."/>
      <w:lvlJc w:val="right"/>
      <w:pPr>
        <w:ind w:left="2160" w:hanging="180"/>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8">
    <w:nsid w:val="148E3860"/>
    <w:multiLevelType w:val="hybridMultilevel"/>
    <w:tmpl w:val="D138FC9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nsid w:val="18C4498D"/>
    <w:multiLevelType w:val="hybridMultilevel"/>
    <w:tmpl w:val="E25EB2AC"/>
    <w:lvl w:ilvl="0" w:tplc="04090017">
      <w:start w:val="1"/>
      <w:numFmt w:val="lowerLetter"/>
      <w:lvlText w:val="%1)"/>
      <w:lvlJc w:val="left"/>
      <w:pPr>
        <w:ind w:left="630" w:hanging="360"/>
      </w:pPr>
      <w:rPr>
        <w:rFonts w:cs="Times New Roman"/>
      </w:rPr>
    </w:lvl>
    <w:lvl w:ilvl="1" w:tplc="04090019" w:tentative="1">
      <w:start w:val="1"/>
      <w:numFmt w:val="lowerLetter"/>
      <w:lvlText w:val="%2."/>
      <w:lvlJc w:val="left"/>
      <w:pPr>
        <w:ind w:left="1350" w:hanging="360"/>
      </w:pPr>
      <w:rPr>
        <w:rFonts w:cs="Times New Roman"/>
      </w:rPr>
    </w:lvl>
    <w:lvl w:ilvl="2" w:tplc="0409001B" w:tentative="1">
      <w:start w:val="1"/>
      <w:numFmt w:val="lowerRoman"/>
      <w:lvlText w:val="%3."/>
      <w:lvlJc w:val="right"/>
      <w:pPr>
        <w:ind w:left="2070" w:hanging="180"/>
      </w:pPr>
      <w:rPr>
        <w:rFonts w:cs="Times New Roman"/>
      </w:rPr>
    </w:lvl>
    <w:lvl w:ilvl="3" w:tplc="0409000F" w:tentative="1">
      <w:start w:val="1"/>
      <w:numFmt w:val="decimal"/>
      <w:lvlText w:val="%4."/>
      <w:lvlJc w:val="left"/>
      <w:pPr>
        <w:ind w:left="2790" w:hanging="360"/>
      </w:pPr>
      <w:rPr>
        <w:rFonts w:cs="Times New Roman"/>
      </w:rPr>
    </w:lvl>
    <w:lvl w:ilvl="4" w:tplc="04090019" w:tentative="1">
      <w:start w:val="1"/>
      <w:numFmt w:val="lowerLetter"/>
      <w:lvlText w:val="%5."/>
      <w:lvlJc w:val="left"/>
      <w:pPr>
        <w:ind w:left="3510" w:hanging="360"/>
      </w:pPr>
      <w:rPr>
        <w:rFonts w:cs="Times New Roman"/>
      </w:rPr>
    </w:lvl>
    <w:lvl w:ilvl="5" w:tplc="0409001B" w:tentative="1">
      <w:start w:val="1"/>
      <w:numFmt w:val="lowerRoman"/>
      <w:lvlText w:val="%6."/>
      <w:lvlJc w:val="right"/>
      <w:pPr>
        <w:ind w:left="4230" w:hanging="180"/>
      </w:pPr>
      <w:rPr>
        <w:rFonts w:cs="Times New Roman"/>
      </w:rPr>
    </w:lvl>
    <w:lvl w:ilvl="6" w:tplc="0409000F" w:tentative="1">
      <w:start w:val="1"/>
      <w:numFmt w:val="decimal"/>
      <w:lvlText w:val="%7."/>
      <w:lvlJc w:val="left"/>
      <w:pPr>
        <w:ind w:left="4950" w:hanging="360"/>
      </w:pPr>
      <w:rPr>
        <w:rFonts w:cs="Times New Roman"/>
      </w:rPr>
    </w:lvl>
    <w:lvl w:ilvl="7" w:tplc="04090019" w:tentative="1">
      <w:start w:val="1"/>
      <w:numFmt w:val="lowerLetter"/>
      <w:lvlText w:val="%8."/>
      <w:lvlJc w:val="left"/>
      <w:pPr>
        <w:ind w:left="5670" w:hanging="360"/>
      </w:pPr>
      <w:rPr>
        <w:rFonts w:cs="Times New Roman"/>
      </w:rPr>
    </w:lvl>
    <w:lvl w:ilvl="8" w:tplc="0409001B" w:tentative="1">
      <w:start w:val="1"/>
      <w:numFmt w:val="lowerRoman"/>
      <w:lvlText w:val="%9."/>
      <w:lvlJc w:val="right"/>
      <w:pPr>
        <w:ind w:left="6390" w:hanging="180"/>
      </w:pPr>
      <w:rPr>
        <w:rFonts w:cs="Times New Roman"/>
      </w:rPr>
    </w:lvl>
  </w:abstractNum>
  <w:abstractNum w:abstractNumId="10">
    <w:nsid w:val="205A5483"/>
    <w:multiLevelType w:val="hybridMultilevel"/>
    <w:tmpl w:val="48181E1A"/>
    <w:lvl w:ilvl="0" w:tplc="04090001">
      <w:start w:val="1"/>
      <w:numFmt w:val="bullet"/>
      <w:lvlText w:val=""/>
      <w:lvlJc w:val="left"/>
      <w:pPr>
        <w:ind w:left="936" w:hanging="360"/>
      </w:pPr>
      <w:rPr>
        <w:rFonts w:ascii="Symbol" w:hAnsi="Symbol" w:hint="default"/>
      </w:rPr>
    </w:lvl>
    <w:lvl w:ilvl="1" w:tplc="04090003" w:tentative="1">
      <w:start w:val="1"/>
      <w:numFmt w:val="bullet"/>
      <w:lvlText w:val="o"/>
      <w:lvlJc w:val="left"/>
      <w:pPr>
        <w:ind w:left="1656" w:hanging="360"/>
      </w:pPr>
      <w:rPr>
        <w:rFonts w:ascii="Courier New" w:hAnsi="Courier New" w:hint="default"/>
      </w:rPr>
    </w:lvl>
    <w:lvl w:ilvl="2" w:tplc="04090005" w:tentative="1">
      <w:start w:val="1"/>
      <w:numFmt w:val="bullet"/>
      <w:lvlText w:val=""/>
      <w:lvlJc w:val="left"/>
      <w:pPr>
        <w:ind w:left="2376" w:hanging="360"/>
      </w:pPr>
      <w:rPr>
        <w:rFonts w:ascii="Wingdings" w:hAnsi="Wingdings" w:hint="default"/>
      </w:rPr>
    </w:lvl>
    <w:lvl w:ilvl="3" w:tplc="04090001" w:tentative="1">
      <w:start w:val="1"/>
      <w:numFmt w:val="bullet"/>
      <w:lvlText w:val=""/>
      <w:lvlJc w:val="left"/>
      <w:pPr>
        <w:ind w:left="3096" w:hanging="360"/>
      </w:pPr>
      <w:rPr>
        <w:rFonts w:ascii="Symbol" w:hAnsi="Symbol" w:hint="default"/>
      </w:rPr>
    </w:lvl>
    <w:lvl w:ilvl="4" w:tplc="04090003" w:tentative="1">
      <w:start w:val="1"/>
      <w:numFmt w:val="bullet"/>
      <w:lvlText w:val="o"/>
      <w:lvlJc w:val="left"/>
      <w:pPr>
        <w:ind w:left="3816" w:hanging="360"/>
      </w:pPr>
      <w:rPr>
        <w:rFonts w:ascii="Courier New" w:hAnsi="Courier New" w:hint="default"/>
      </w:rPr>
    </w:lvl>
    <w:lvl w:ilvl="5" w:tplc="04090005" w:tentative="1">
      <w:start w:val="1"/>
      <w:numFmt w:val="bullet"/>
      <w:lvlText w:val=""/>
      <w:lvlJc w:val="left"/>
      <w:pPr>
        <w:ind w:left="4536" w:hanging="360"/>
      </w:pPr>
      <w:rPr>
        <w:rFonts w:ascii="Wingdings" w:hAnsi="Wingdings" w:hint="default"/>
      </w:rPr>
    </w:lvl>
    <w:lvl w:ilvl="6" w:tplc="04090001" w:tentative="1">
      <w:start w:val="1"/>
      <w:numFmt w:val="bullet"/>
      <w:lvlText w:val=""/>
      <w:lvlJc w:val="left"/>
      <w:pPr>
        <w:ind w:left="5256" w:hanging="360"/>
      </w:pPr>
      <w:rPr>
        <w:rFonts w:ascii="Symbol" w:hAnsi="Symbol" w:hint="default"/>
      </w:rPr>
    </w:lvl>
    <w:lvl w:ilvl="7" w:tplc="04090003" w:tentative="1">
      <w:start w:val="1"/>
      <w:numFmt w:val="bullet"/>
      <w:lvlText w:val="o"/>
      <w:lvlJc w:val="left"/>
      <w:pPr>
        <w:ind w:left="5976" w:hanging="360"/>
      </w:pPr>
      <w:rPr>
        <w:rFonts w:ascii="Courier New" w:hAnsi="Courier New" w:hint="default"/>
      </w:rPr>
    </w:lvl>
    <w:lvl w:ilvl="8" w:tplc="04090005" w:tentative="1">
      <w:start w:val="1"/>
      <w:numFmt w:val="bullet"/>
      <w:lvlText w:val=""/>
      <w:lvlJc w:val="left"/>
      <w:pPr>
        <w:ind w:left="6696" w:hanging="360"/>
      </w:pPr>
      <w:rPr>
        <w:rFonts w:ascii="Wingdings" w:hAnsi="Wingdings" w:hint="default"/>
      </w:rPr>
    </w:lvl>
  </w:abstractNum>
  <w:abstractNum w:abstractNumId="11">
    <w:nsid w:val="213D4B39"/>
    <w:multiLevelType w:val="hybridMultilevel"/>
    <w:tmpl w:val="09928618"/>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2">
    <w:nsid w:val="21434851"/>
    <w:multiLevelType w:val="hybridMultilevel"/>
    <w:tmpl w:val="12BE677C"/>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nsid w:val="22E268A4"/>
    <w:multiLevelType w:val="hybridMultilevel"/>
    <w:tmpl w:val="E25EB2AC"/>
    <w:lvl w:ilvl="0" w:tplc="04090017">
      <w:start w:val="1"/>
      <w:numFmt w:val="lowerLetter"/>
      <w:lvlText w:val="%1)"/>
      <w:lvlJc w:val="left"/>
      <w:pPr>
        <w:ind w:left="1080" w:hanging="360"/>
      </w:pPr>
      <w:rPr>
        <w:rFonts w:cs="Times New Roman"/>
      </w:rPr>
    </w:lvl>
    <w:lvl w:ilvl="1" w:tplc="04090019">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4">
    <w:nsid w:val="239C5719"/>
    <w:multiLevelType w:val="multilevel"/>
    <w:tmpl w:val="8E329886"/>
    <w:lvl w:ilvl="0">
      <w:start w:val="1"/>
      <w:numFmt w:val="decimal"/>
      <w:lvlText w:val="%1."/>
      <w:lvlJc w:val="left"/>
      <w:pPr>
        <w:ind w:left="720" w:hanging="360"/>
      </w:pPr>
      <w:rPr>
        <w:rFonts w:cs="Times New Roman" w:hint="default"/>
        <w:u w:val="none"/>
      </w:rPr>
    </w:lvl>
    <w:lvl w:ilvl="1">
      <w:start w:val="1"/>
      <w:numFmt w:val="decimal"/>
      <w:lvlText w:val="%2."/>
      <w:lvlJc w:val="left"/>
      <w:pPr>
        <w:ind w:left="1440" w:hanging="360"/>
      </w:pPr>
      <w:rPr>
        <w:rFonts w:cs="Times New Roman" w:hint="default"/>
      </w:rPr>
    </w:lvl>
    <w:lvl w:ilvl="2">
      <w:start w:val="1"/>
      <w:numFmt w:val="lowerRoman"/>
      <w:lvlText w:val="%3."/>
      <w:lvlJc w:val="right"/>
      <w:pPr>
        <w:ind w:left="2160" w:hanging="180"/>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15">
    <w:nsid w:val="27E544C1"/>
    <w:multiLevelType w:val="hybridMultilevel"/>
    <w:tmpl w:val="D60E5AE6"/>
    <w:lvl w:ilvl="0" w:tplc="04090001">
      <w:start w:val="1"/>
      <w:numFmt w:val="bullet"/>
      <w:lvlText w:val=""/>
      <w:lvlJc w:val="left"/>
      <w:pPr>
        <w:ind w:left="936" w:hanging="360"/>
      </w:pPr>
      <w:rPr>
        <w:rFonts w:ascii="Symbol" w:hAnsi="Symbol" w:hint="default"/>
      </w:rPr>
    </w:lvl>
    <w:lvl w:ilvl="1" w:tplc="04090003" w:tentative="1">
      <w:start w:val="1"/>
      <w:numFmt w:val="bullet"/>
      <w:lvlText w:val="o"/>
      <w:lvlJc w:val="left"/>
      <w:pPr>
        <w:ind w:left="1656" w:hanging="360"/>
      </w:pPr>
      <w:rPr>
        <w:rFonts w:ascii="Courier New" w:hAnsi="Courier New" w:hint="default"/>
      </w:rPr>
    </w:lvl>
    <w:lvl w:ilvl="2" w:tplc="04090005" w:tentative="1">
      <w:start w:val="1"/>
      <w:numFmt w:val="bullet"/>
      <w:lvlText w:val=""/>
      <w:lvlJc w:val="left"/>
      <w:pPr>
        <w:ind w:left="2376" w:hanging="360"/>
      </w:pPr>
      <w:rPr>
        <w:rFonts w:ascii="Wingdings" w:hAnsi="Wingdings" w:hint="default"/>
      </w:rPr>
    </w:lvl>
    <w:lvl w:ilvl="3" w:tplc="04090001" w:tentative="1">
      <w:start w:val="1"/>
      <w:numFmt w:val="bullet"/>
      <w:lvlText w:val=""/>
      <w:lvlJc w:val="left"/>
      <w:pPr>
        <w:ind w:left="3096" w:hanging="360"/>
      </w:pPr>
      <w:rPr>
        <w:rFonts w:ascii="Symbol" w:hAnsi="Symbol" w:hint="default"/>
      </w:rPr>
    </w:lvl>
    <w:lvl w:ilvl="4" w:tplc="04090003" w:tentative="1">
      <w:start w:val="1"/>
      <w:numFmt w:val="bullet"/>
      <w:lvlText w:val="o"/>
      <w:lvlJc w:val="left"/>
      <w:pPr>
        <w:ind w:left="3816" w:hanging="360"/>
      </w:pPr>
      <w:rPr>
        <w:rFonts w:ascii="Courier New" w:hAnsi="Courier New" w:hint="default"/>
      </w:rPr>
    </w:lvl>
    <w:lvl w:ilvl="5" w:tplc="04090005" w:tentative="1">
      <w:start w:val="1"/>
      <w:numFmt w:val="bullet"/>
      <w:lvlText w:val=""/>
      <w:lvlJc w:val="left"/>
      <w:pPr>
        <w:ind w:left="4536" w:hanging="360"/>
      </w:pPr>
      <w:rPr>
        <w:rFonts w:ascii="Wingdings" w:hAnsi="Wingdings" w:hint="default"/>
      </w:rPr>
    </w:lvl>
    <w:lvl w:ilvl="6" w:tplc="04090001" w:tentative="1">
      <w:start w:val="1"/>
      <w:numFmt w:val="bullet"/>
      <w:lvlText w:val=""/>
      <w:lvlJc w:val="left"/>
      <w:pPr>
        <w:ind w:left="5256" w:hanging="360"/>
      </w:pPr>
      <w:rPr>
        <w:rFonts w:ascii="Symbol" w:hAnsi="Symbol" w:hint="default"/>
      </w:rPr>
    </w:lvl>
    <w:lvl w:ilvl="7" w:tplc="04090003" w:tentative="1">
      <w:start w:val="1"/>
      <w:numFmt w:val="bullet"/>
      <w:lvlText w:val="o"/>
      <w:lvlJc w:val="left"/>
      <w:pPr>
        <w:ind w:left="5976" w:hanging="360"/>
      </w:pPr>
      <w:rPr>
        <w:rFonts w:ascii="Courier New" w:hAnsi="Courier New" w:hint="default"/>
      </w:rPr>
    </w:lvl>
    <w:lvl w:ilvl="8" w:tplc="04090005" w:tentative="1">
      <w:start w:val="1"/>
      <w:numFmt w:val="bullet"/>
      <w:lvlText w:val=""/>
      <w:lvlJc w:val="left"/>
      <w:pPr>
        <w:ind w:left="6696" w:hanging="360"/>
      </w:pPr>
      <w:rPr>
        <w:rFonts w:ascii="Wingdings" w:hAnsi="Wingdings" w:hint="default"/>
      </w:rPr>
    </w:lvl>
  </w:abstractNum>
  <w:abstractNum w:abstractNumId="16">
    <w:nsid w:val="2CA86018"/>
    <w:multiLevelType w:val="hybridMultilevel"/>
    <w:tmpl w:val="704805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2EF76550"/>
    <w:multiLevelType w:val="hybridMultilevel"/>
    <w:tmpl w:val="19DC8806"/>
    <w:lvl w:ilvl="0" w:tplc="04090019">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8">
    <w:nsid w:val="33212B1E"/>
    <w:multiLevelType w:val="hybridMultilevel"/>
    <w:tmpl w:val="A3B847CE"/>
    <w:lvl w:ilvl="0" w:tplc="04090017">
      <w:start w:val="1"/>
      <w:numFmt w:val="lowerLetter"/>
      <w:lvlText w:val="%1)"/>
      <w:lvlJc w:val="left"/>
      <w:pPr>
        <w:ind w:left="936" w:hanging="360"/>
      </w:pPr>
      <w:rPr>
        <w:rFonts w:cs="Times New Roman" w:hint="default"/>
      </w:rPr>
    </w:lvl>
    <w:lvl w:ilvl="1" w:tplc="04090003" w:tentative="1">
      <w:start w:val="1"/>
      <w:numFmt w:val="bullet"/>
      <w:lvlText w:val="o"/>
      <w:lvlJc w:val="left"/>
      <w:pPr>
        <w:ind w:left="1656" w:hanging="360"/>
      </w:pPr>
      <w:rPr>
        <w:rFonts w:ascii="Courier New" w:hAnsi="Courier New" w:hint="default"/>
      </w:rPr>
    </w:lvl>
    <w:lvl w:ilvl="2" w:tplc="04090005" w:tentative="1">
      <w:start w:val="1"/>
      <w:numFmt w:val="bullet"/>
      <w:lvlText w:val=""/>
      <w:lvlJc w:val="left"/>
      <w:pPr>
        <w:ind w:left="2376" w:hanging="360"/>
      </w:pPr>
      <w:rPr>
        <w:rFonts w:ascii="Wingdings" w:hAnsi="Wingdings" w:hint="default"/>
      </w:rPr>
    </w:lvl>
    <w:lvl w:ilvl="3" w:tplc="04090001" w:tentative="1">
      <w:start w:val="1"/>
      <w:numFmt w:val="bullet"/>
      <w:lvlText w:val=""/>
      <w:lvlJc w:val="left"/>
      <w:pPr>
        <w:ind w:left="3096" w:hanging="360"/>
      </w:pPr>
      <w:rPr>
        <w:rFonts w:ascii="Symbol" w:hAnsi="Symbol" w:hint="default"/>
      </w:rPr>
    </w:lvl>
    <w:lvl w:ilvl="4" w:tplc="04090003" w:tentative="1">
      <w:start w:val="1"/>
      <w:numFmt w:val="bullet"/>
      <w:lvlText w:val="o"/>
      <w:lvlJc w:val="left"/>
      <w:pPr>
        <w:ind w:left="3816" w:hanging="360"/>
      </w:pPr>
      <w:rPr>
        <w:rFonts w:ascii="Courier New" w:hAnsi="Courier New" w:hint="default"/>
      </w:rPr>
    </w:lvl>
    <w:lvl w:ilvl="5" w:tplc="04090005" w:tentative="1">
      <w:start w:val="1"/>
      <w:numFmt w:val="bullet"/>
      <w:lvlText w:val=""/>
      <w:lvlJc w:val="left"/>
      <w:pPr>
        <w:ind w:left="4536" w:hanging="360"/>
      </w:pPr>
      <w:rPr>
        <w:rFonts w:ascii="Wingdings" w:hAnsi="Wingdings" w:hint="default"/>
      </w:rPr>
    </w:lvl>
    <w:lvl w:ilvl="6" w:tplc="04090001" w:tentative="1">
      <w:start w:val="1"/>
      <w:numFmt w:val="bullet"/>
      <w:lvlText w:val=""/>
      <w:lvlJc w:val="left"/>
      <w:pPr>
        <w:ind w:left="5256" w:hanging="360"/>
      </w:pPr>
      <w:rPr>
        <w:rFonts w:ascii="Symbol" w:hAnsi="Symbol" w:hint="default"/>
      </w:rPr>
    </w:lvl>
    <w:lvl w:ilvl="7" w:tplc="04090003" w:tentative="1">
      <w:start w:val="1"/>
      <w:numFmt w:val="bullet"/>
      <w:lvlText w:val="o"/>
      <w:lvlJc w:val="left"/>
      <w:pPr>
        <w:ind w:left="5976" w:hanging="360"/>
      </w:pPr>
      <w:rPr>
        <w:rFonts w:ascii="Courier New" w:hAnsi="Courier New" w:hint="default"/>
      </w:rPr>
    </w:lvl>
    <w:lvl w:ilvl="8" w:tplc="04090005" w:tentative="1">
      <w:start w:val="1"/>
      <w:numFmt w:val="bullet"/>
      <w:lvlText w:val=""/>
      <w:lvlJc w:val="left"/>
      <w:pPr>
        <w:ind w:left="6696" w:hanging="360"/>
      </w:pPr>
      <w:rPr>
        <w:rFonts w:ascii="Wingdings" w:hAnsi="Wingdings" w:hint="default"/>
      </w:rPr>
    </w:lvl>
  </w:abstractNum>
  <w:abstractNum w:abstractNumId="19">
    <w:nsid w:val="36051D17"/>
    <w:multiLevelType w:val="hybridMultilevel"/>
    <w:tmpl w:val="E1483926"/>
    <w:lvl w:ilvl="0" w:tplc="04090017">
      <w:start w:val="1"/>
      <w:numFmt w:val="lowerLetter"/>
      <w:lvlText w:val="%1)"/>
      <w:lvlJc w:val="left"/>
      <w:pPr>
        <w:ind w:left="720" w:hanging="360"/>
      </w:pPr>
      <w:rPr>
        <w:rFonts w:cs="Times New Roman"/>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0">
    <w:nsid w:val="36F63BF4"/>
    <w:multiLevelType w:val="hybridMultilevel"/>
    <w:tmpl w:val="5F48AF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3C997D4A"/>
    <w:multiLevelType w:val="multilevel"/>
    <w:tmpl w:val="480422CA"/>
    <w:numStyleLink w:val="Dispositions"/>
  </w:abstractNum>
  <w:abstractNum w:abstractNumId="22">
    <w:nsid w:val="3CF37D4E"/>
    <w:multiLevelType w:val="hybridMultilevel"/>
    <w:tmpl w:val="C26AD3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6211E04"/>
    <w:multiLevelType w:val="hybridMultilevel"/>
    <w:tmpl w:val="777C473E"/>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4">
    <w:nsid w:val="4A0A2142"/>
    <w:multiLevelType w:val="hybridMultilevel"/>
    <w:tmpl w:val="4910712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4BF236B0"/>
    <w:multiLevelType w:val="hybridMultilevel"/>
    <w:tmpl w:val="821294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E9A2478"/>
    <w:multiLevelType w:val="hybridMultilevel"/>
    <w:tmpl w:val="6DB2DB8E"/>
    <w:lvl w:ilvl="0" w:tplc="04090017">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7">
    <w:nsid w:val="4F581757"/>
    <w:multiLevelType w:val="hybridMultilevel"/>
    <w:tmpl w:val="125C959E"/>
    <w:lvl w:ilvl="0" w:tplc="0409000F">
      <w:start w:val="1"/>
      <w:numFmt w:val="decimal"/>
      <w:lvlText w:val="%1."/>
      <w:lvlJc w:val="left"/>
      <w:pPr>
        <w:ind w:left="1080" w:hanging="360"/>
      </w:pPr>
      <w:rPr>
        <w:rFonts w:cs="Times New Roman"/>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8">
    <w:nsid w:val="51C66A13"/>
    <w:multiLevelType w:val="hybridMultilevel"/>
    <w:tmpl w:val="BF1C4F7C"/>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9">
    <w:nsid w:val="54731375"/>
    <w:multiLevelType w:val="multilevel"/>
    <w:tmpl w:val="5C50F43C"/>
    <w:lvl w:ilvl="0">
      <w:start w:val="3"/>
      <w:numFmt w:val="decimal"/>
      <w:lvlText w:val="%1."/>
      <w:lvlJc w:val="left"/>
      <w:pPr>
        <w:ind w:left="360" w:hanging="360"/>
      </w:pPr>
      <w:rPr>
        <w:rFonts w:cs="Times New Roman" w:hint="default"/>
      </w:rPr>
    </w:lvl>
    <w:lvl w:ilvl="1">
      <w:start w:val="1"/>
      <w:numFmt w:val="lowerLetter"/>
      <w:lvlText w:val="%2)"/>
      <w:lvlJc w:val="left"/>
      <w:pPr>
        <w:ind w:left="720" w:hanging="360"/>
      </w:pPr>
      <w:rPr>
        <w:rFonts w:cs="Times New Roman" w:hint="default"/>
      </w:rPr>
    </w:lvl>
    <w:lvl w:ilvl="2">
      <w:start w:val="1"/>
      <w:numFmt w:val="lowerRoman"/>
      <w:lvlText w:val="%3)"/>
      <w:lvlJc w:val="left"/>
      <w:pPr>
        <w:ind w:left="108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30">
    <w:nsid w:val="560A1080"/>
    <w:multiLevelType w:val="hybridMultilevel"/>
    <w:tmpl w:val="83F83DE6"/>
    <w:lvl w:ilvl="0" w:tplc="04090001">
      <w:start w:val="1"/>
      <w:numFmt w:val="bullet"/>
      <w:lvlText w:val=""/>
      <w:lvlJc w:val="left"/>
      <w:pPr>
        <w:ind w:left="936" w:hanging="360"/>
      </w:pPr>
      <w:rPr>
        <w:rFonts w:ascii="Symbol" w:hAnsi="Symbol" w:hint="default"/>
      </w:rPr>
    </w:lvl>
    <w:lvl w:ilvl="1" w:tplc="04090003">
      <w:start w:val="1"/>
      <w:numFmt w:val="bullet"/>
      <w:lvlText w:val="o"/>
      <w:lvlJc w:val="left"/>
      <w:pPr>
        <w:ind w:left="1656" w:hanging="360"/>
      </w:pPr>
      <w:rPr>
        <w:rFonts w:ascii="Courier New" w:hAnsi="Courier New" w:cs="Courier New" w:hint="default"/>
      </w:rPr>
    </w:lvl>
    <w:lvl w:ilvl="2" w:tplc="04090005" w:tentative="1">
      <w:start w:val="1"/>
      <w:numFmt w:val="bullet"/>
      <w:lvlText w:val=""/>
      <w:lvlJc w:val="left"/>
      <w:pPr>
        <w:ind w:left="2376" w:hanging="360"/>
      </w:pPr>
      <w:rPr>
        <w:rFonts w:ascii="Wingdings" w:hAnsi="Wingdings" w:hint="default"/>
      </w:rPr>
    </w:lvl>
    <w:lvl w:ilvl="3" w:tplc="04090001" w:tentative="1">
      <w:start w:val="1"/>
      <w:numFmt w:val="bullet"/>
      <w:lvlText w:val=""/>
      <w:lvlJc w:val="left"/>
      <w:pPr>
        <w:ind w:left="3096" w:hanging="360"/>
      </w:pPr>
      <w:rPr>
        <w:rFonts w:ascii="Symbol" w:hAnsi="Symbol" w:hint="default"/>
      </w:rPr>
    </w:lvl>
    <w:lvl w:ilvl="4" w:tplc="04090003" w:tentative="1">
      <w:start w:val="1"/>
      <w:numFmt w:val="bullet"/>
      <w:lvlText w:val="o"/>
      <w:lvlJc w:val="left"/>
      <w:pPr>
        <w:ind w:left="3816" w:hanging="360"/>
      </w:pPr>
      <w:rPr>
        <w:rFonts w:ascii="Courier New" w:hAnsi="Courier New" w:cs="Courier New" w:hint="default"/>
      </w:rPr>
    </w:lvl>
    <w:lvl w:ilvl="5" w:tplc="04090005" w:tentative="1">
      <w:start w:val="1"/>
      <w:numFmt w:val="bullet"/>
      <w:lvlText w:val=""/>
      <w:lvlJc w:val="left"/>
      <w:pPr>
        <w:ind w:left="4536" w:hanging="360"/>
      </w:pPr>
      <w:rPr>
        <w:rFonts w:ascii="Wingdings" w:hAnsi="Wingdings" w:hint="default"/>
      </w:rPr>
    </w:lvl>
    <w:lvl w:ilvl="6" w:tplc="04090001" w:tentative="1">
      <w:start w:val="1"/>
      <w:numFmt w:val="bullet"/>
      <w:lvlText w:val=""/>
      <w:lvlJc w:val="left"/>
      <w:pPr>
        <w:ind w:left="5256" w:hanging="360"/>
      </w:pPr>
      <w:rPr>
        <w:rFonts w:ascii="Symbol" w:hAnsi="Symbol" w:hint="default"/>
      </w:rPr>
    </w:lvl>
    <w:lvl w:ilvl="7" w:tplc="04090003" w:tentative="1">
      <w:start w:val="1"/>
      <w:numFmt w:val="bullet"/>
      <w:lvlText w:val="o"/>
      <w:lvlJc w:val="left"/>
      <w:pPr>
        <w:ind w:left="5976" w:hanging="360"/>
      </w:pPr>
      <w:rPr>
        <w:rFonts w:ascii="Courier New" w:hAnsi="Courier New" w:cs="Courier New" w:hint="default"/>
      </w:rPr>
    </w:lvl>
    <w:lvl w:ilvl="8" w:tplc="04090005" w:tentative="1">
      <w:start w:val="1"/>
      <w:numFmt w:val="bullet"/>
      <w:lvlText w:val=""/>
      <w:lvlJc w:val="left"/>
      <w:pPr>
        <w:ind w:left="6696" w:hanging="360"/>
      </w:pPr>
      <w:rPr>
        <w:rFonts w:ascii="Wingdings" w:hAnsi="Wingdings" w:hint="default"/>
      </w:rPr>
    </w:lvl>
  </w:abstractNum>
  <w:abstractNum w:abstractNumId="31">
    <w:nsid w:val="569A2A67"/>
    <w:multiLevelType w:val="hybridMultilevel"/>
    <w:tmpl w:val="E4D68604"/>
    <w:lvl w:ilvl="0" w:tplc="04090001">
      <w:start w:val="1"/>
      <w:numFmt w:val="bullet"/>
      <w:lvlText w:val=""/>
      <w:lvlJc w:val="left"/>
      <w:pPr>
        <w:ind w:left="936" w:hanging="360"/>
      </w:pPr>
      <w:rPr>
        <w:rFonts w:ascii="Symbol" w:hAnsi="Symbol" w:hint="default"/>
      </w:rPr>
    </w:lvl>
    <w:lvl w:ilvl="1" w:tplc="04090003" w:tentative="1">
      <w:start w:val="1"/>
      <w:numFmt w:val="bullet"/>
      <w:lvlText w:val="o"/>
      <w:lvlJc w:val="left"/>
      <w:pPr>
        <w:ind w:left="1656" w:hanging="360"/>
      </w:pPr>
      <w:rPr>
        <w:rFonts w:ascii="Courier New" w:hAnsi="Courier New" w:cs="Courier New" w:hint="default"/>
      </w:rPr>
    </w:lvl>
    <w:lvl w:ilvl="2" w:tplc="04090005" w:tentative="1">
      <w:start w:val="1"/>
      <w:numFmt w:val="bullet"/>
      <w:lvlText w:val=""/>
      <w:lvlJc w:val="left"/>
      <w:pPr>
        <w:ind w:left="2376" w:hanging="360"/>
      </w:pPr>
      <w:rPr>
        <w:rFonts w:ascii="Wingdings" w:hAnsi="Wingdings" w:hint="default"/>
      </w:rPr>
    </w:lvl>
    <w:lvl w:ilvl="3" w:tplc="04090001" w:tentative="1">
      <w:start w:val="1"/>
      <w:numFmt w:val="bullet"/>
      <w:lvlText w:val=""/>
      <w:lvlJc w:val="left"/>
      <w:pPr>
        <w:ind w:left="3096" w:hanging="360"/>
      </w:pPr>
      <w:rPr>
        <w:rFonts w:ascii="Symbol" w:hAnsi="Symbol" w:hint="default"/>
      </w:rPr>
    </w:lvl>
    <w:lvl w:ilvl="4" w:tplc="04090003" w:tentative="1">
      <w:start w:val="1"/>
      <w:numFmt w:val="bullet"/>
      <w:lvlText w:val="o"/>
      <w:lvlJc w:val="left"/>
      <w:pPr>
        <w:ind w:left="3816" w:hanging="360"/>
      </w:pPr>
      <w:rPr>
        <w:rFonts w:ascii="Courier New" w:hAnsi="Courier New" w:cs="Courier New" w:hint="default"/>
      </w:rPr>
    </w:lvl>
    <w:lvl w:ilvl="5" w:tplc="04090005" w:tentative="1">
      <w:start w:val="1"/>
      <w:numFmt w:val="bullet"/>
      <w:lvlText w:val=""/>
      <w:lvlJc w:val="left"/>
      <w:pPr>
        <w:ind w:left="4536" w:hanging="360"/>
      </w:pPr>
      <w:rPr>
        <w:rFonts w:ascii="Wingdings" w:hAnsi="Wingdings" w:hint="default"/>
      </w:rPr>
    </w:lvl>
    <w:lvl w:ilvl="6" w:tplc="04090001" w:tentative="1">
      <w:start w:val="1"/>
      <w:numFmt w:val="bullet"/>
      <w:lvlText w:val=""/>
      <w:lvlJc w:val="left"/>
      <w:pPr>
        <w:ind w:left="5256" w:hanging="360"/>
      </w:pPr>
      <w:rPr>
        <w:rFonts w:ascii="Symbol" w:hAnsi="Symbol" w:hint="default"/>
      </w:rPr>
    </w:lvl>
    <w:lvl w:ilvl="7" w:tplc="04090003" w:tentative="1">
      <w:start w:val="1"/>
      <w:numFmt w:val="bullet"/>
      <w:lvlText w:val="o"/>
      <w:lvlJc w:val="left"/>
      <w:pPr>
        <w:ind w:left="5976" w:hanging="360"/>
      </w:pPr>
      <w:rPr>
        <w:rFonts w:ascii="Courier New" w:hAnsi="Courier New" w:cs="Courier New" w:hint="default"/>
      </w:rPr>
    </w:lvl>
    <w:lvl w:ilvl="8" w:tplc="04090005" w:tentative="1">
      <w:start w:val="1"/>
      <w:numFmt w:val="bullet"/>
      <w:lvlText w:val=""/>
      <w:lvlJc w:val="left"/>
      <w:pPr>
        <w:ind w:left="6696" w:hanging="360"/>
      </w:pPr>
      <w:rPr>
        <w:rFonts w:ascii="Wingdings" w:hAnsi="Wingdings" w:hint="default"/>
      </w:rPr>
    </w:lvl>
  </w:abstractNum>
  <w:abstractNum w:abstractNumId="32">
    <w:nsid w:val="5D37598B"/>
    <w:multiLevelType w:val="hybridMultilevel"/>
    <w:tmpl w:val="DDFE1C08"/>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3">
    <w:nsid w:val="5D415A88"/>
    <w:multiLevelType w:val="hybridMultilevel"/>
    <w:tmpl w:val="F800C9F4"/>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4">
    <w:nsid w:val="6CC177E0"/>
    <w:multiLevelType w:val="hybridMultilevel"/>
    <w:tmpl w:val="37787F66"/>
    <w:lvl w:ilvl="0" w:tplc="04090011">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5">
    <w:nsid w:val="6F100A0E"/>
    <w:multiLevelType w:val="multilevel"/>
    <w:tmpl w:val="480422CA"/>
    <w:numStyleLink w:val="Dispositions"/>
  </w:abstractNum>
  <w:abstractNum w:abstractNumId="36">
    <w:nsid w:val="71713EC7"/>
    <w:multiLevelType w:val="hybridMultilevel"/>
    <w:tmpl w:val="29726472"/>
    <w:lvl w:ilvl="0" w:tplc="04090001">
      <w:start w:val="1"/>
      <w:numFmt w:val="bullet"/>
      <w:lvlText w:val=""/>
      <w:lvlJc w:val="left"/>
      <w:pPr>
        <w:ind w:left="936" w:hanging="360"/>
      </w:pPr>
      <w:rPr>
        <w:rFonts w:ascii="Symbol" w:hAnsi="Symbol" w:hint="default"/>
      </w:rPr>
    </w:lvl>
    <w:lvl w:ilvl="1" w:tplc="04090003" w:tentative="1">
      <w:start w:val="1"/>
      <w:numFmt w:val="bullet"/>
      <w:lvlText w:val="o"/>
      <w:lvlJc w:val="left"/>
      <w:pPr>
        <w:ind w:left="1656" w:hanging="360"/>
      </w:pPr>
      <w:rPr>
        <w:rFonts w:ascii="Courier New" w:hAnsi="Courier New" w:hint="default"/>
      </w:rPr>
    </w:lvl>
    <w:lvl w:ilvl="2" w:tplc="04090005" w:tentative="1">
      <w:start w:val="1"/>
      <w:numFmt w:val="bullet"/>
      <w:lvlText w:val=""/>
      <w:lvlJc w:val="left"/>
      <w:pPr>
        <w:ind w:left="2376" w:hanging="360"/>
      </w:pPr>
      <w:rPr>
        <w:rFonts w:ascii="Wingdings" w:hAnsi="Wingdings" w:hint="default"/>
      </w:rPr>
    </w:lvl>
    <w:lvl w:ilvl="3" w:tplc="04090001" w:tentative="1">
      <w:start w:val="1"/>
      <w:numFmt w:val="bullet"/>
      <w:lvlText w:val=""/>
      <w:lvlJc w:val="left"/>
      <w:pPr>
        <w:ind w:left="3096" w:hanging="360"/>
      </w:pPr>
      <w:rPr>
        <w:rFonts w:ascii="Symbol" w:hAnsi="Symbol" w:hint="default"/>
      </w:rPr>
    </w:lvl>
    <w:lvl w:ilvl="4" w:tplc="04090003" w:tentative="1">
      <w:start w:val="1"/>
      <w:numFmt w:val="bullet"/>
      <w:lvlText w:val="o"/>
      <w:lvlJc w:val="left"/>
      <w:pPr>
        <w:ind w:left="3816" w:hanging="360"/>
      </w:pPr>
      <w:rPr>
        <w:rFonts w:ascii="Courier New" w:hAnsi="Courier New" w:hint="default"/>
      </w:rPr>
    </w:lvl>
    <w:lvl w:ilvl="5" w:tplc="04090005" w:tentative="1">
      <w:start w:val="1"/>
      <w:numFmt w:val="bullet"/>
      <w:lvlText w:val=""/>
      <w:lvlJc w:val="left"/>
      <w:pPr>
        <w:ind w:left="4536" w:hanging="360"/>
      </w:pPr>
      <w:rPr>
        <w:rFonts w:ascii="Wingdings" w:hAnsi="Wingdings" w:hint="default"/>
      </w:rPr>
    </w:lvl>
    <w:lvl w:ilvl="6" w:tplc="04090001" w:tentative="1">
      <w:start w:val="1"/>
      <w:numFmt w:val="bullet"/>
      <w:lvlText w:val=""/>
      <w:lvlJc w:val="left"/>
      <w:pPr>
        <w:ind w:left="5256" w:hanging="360"/>
      </w:pPr>
      <w:rPr>
        <w:rFonts w:ascii="Symbol" w:hAnsi="Symbol" w:hint="default"/>
      </w:rPr>
    </w:lvl>
    <w:lvl w:ilvl="7" w:tplc="04090003" w:tentative="1">
      <w:start w:val="1"/>
      <w:numFmt w:val="bullet"/>
      <w:lvlText w:val="o"/>
      <w:lvlJc w:val="left"/>
      <w:pPr>
        <w:ind w:left="5976" w:hanging="360"/>
      </w:pPr>
      <w:rPr>
        <w:rFonts w:ascii="Courier New" w:hAnsi="Courier New" w:hint="default"/>
      </w:rPr>
    </w:lvl>
    <w:lvl w:ilvl="8" w:tplc="04090005" w:tentative="1">
      <w:start w:val="1"/>
      <w:numFmt w:val="bullet"/>
      <w:lvlText w:val=""/>
      <w:lvlJc w:val="left"/>
      <w:pPr>
        <w:ind w:left="6696" w:hanging="360"/>
      </w:pPr>
      <w:rPr>
        <w:rFonts w:ascii="Wingdings" w:hAnsi="Wingdings" w:hint="default"/>
      </w:rPr>
    </w:lvl>
  </w:abstractNum>
  <w:abstractNum w:abstractNumId="37">
    <w:nsid w:val="73794700"/>
    <w:multiLevelType w:val="hybridMultilevel"/>
    <w:tmpl w:val="26C0F088"/>
    <w:lvl w:ilvl="0" w:tplc="04090001">
      <w:start w:val="1"/>
      <w:numFmt w:val="bullet"/>
      <w:lvlText w:val=""/>
      <w:lvlJc w:val="left"/>
      <w:pPr>
        <w:ind w:left="936" w:hanging="360"/>
      </w:pPr>
      <w:rPr>
        <w:rFonts w:ascii="Symbol" w:hAnsi="Symbol" w:hint="default"/>
      </w:rPr>
    </w:lvl>
    <w:lvl w:ilvl="1" w:tplc="04090003" w:tentative="1">
      <w:start w:val="1"/>
      <w:numFmt w:val="bullet"/>
      <w:lvlText w:val="o"/>
      <w:lvlJc w:val="left"/>
      <w:pPr>
        <w:ind w:left="1656" w:hanging="360"/>
      </w:pPr>
      <w:rPr>
        <w:rFonts w:ascii="Courier New" w:hAnsi="Courier New" w:hint="default"/>
      </w:rPr>
    </w:lvl>
    <w:lvl w:ilvl="2" w:tplc="04090005" w:tentative="1">
      <w:start w:val="1"/>
      <w:numFmt w:val="bullet"/>
      <w:lvlText w:val=""/>
      <w:lvlJc w:val="left"/>
      <w:pPr>
        <w:ind w:left="2376" w:hanging="360"/>
      </w:pPr>
      <w:rPr>
        <w:rFonts w:ascii="Wingdings" w:hAnsi="Wingdings" w:hint="default"/>
      </w:rPr>
    </w:lvl>
    <w:lvl w:ilvl="3" w:tplc="04090001" w:tentative="1">
      <w:start w:val="1"/>
      <w:numFmt w:val="bullet"/>
      <w:lvlText w:val=""/>
      <w:lvlJc w:val="left"/>
      <w:pPr>
        <w:ind w:left="3096" w:hanging="360"/>
      </w:pPr>
      <w:rPr>
        <w:rFonts w:ascii="Symbol" w:hAnsi="Symbol" w:hint="default"/>
      </w:rPr>
    </w:lvl>
    <w:lvl w:ilvl="4" w:tplc="04090003" w:tentative="1">
      <w:start w:val="1"/>
      <w:numFmt w:val="bullet"/>
      <w:lvlText w:val="o"/>
      <w:lvlJc w:val="left"/>
      <w:pPr>
        <w:ind w:left="3816" w:hanging="360"/>
      </w:pPr>
      <w:rPr>
        <w:rFonts w:ascii="Courier New" w:hAnsi="Courier New" w:hint="default"/>
      </w:rPr>
    </w:lvl>
    <w:lvl w:ilvl="5" w:tplc="04090005" w:tentative="1">
      <w:start w:val="1"/>
      <w:numFmt w:val="bullet"/>
      <w:lvlText w:val=""/>
      <w:lvlJc w:val="left"/>
      <w:pPr>
        <w:ind w:left="4536" w:hanging="360"/>
      </w:pPr>
      <w:rPr>
        <w:rFonts w:ascii="Wingdings" w:hAnsi="Wingdings" w:hint="default"/>
      </w:rPr>
    </w:lvl>
    <w:lvl w:ilvl="6" w:tplc="04090001" w:tentative="1">
      <w:start w:val="1"/>
      <w:numFmt w:val="bullet"/>
      <w:lvlText w:val=""/>
      <w:lvlJc w:val="left"/>
      <w:pPr>
        <w:ind w:left="5256" w:hanging="360"/>
      </w:pPr>
      <w:rPr>
        <w:rFonts w:ascii="Symbol" w:hAnsi="Symbol" w:hint="default"/>
      </w:rPr>
    </w:lvl>
    <w:lvl w:ilvl="7" w:tplc="04090003" w:tentative="1">
      <w:start w:val="1"/>
      <w:numFmt w:val="bullet"/>
      <w:lvlText w:val="o"/>
      <w:lvlJc w:val="left"/>
      <w:pPr>
        <w:ind w:left="5976" w:hanging="360"/>
      </w:pPr>
      <w:rPr>
        <w:rFonts w:ascii="Courier New" w:hAnsi="Courier New" w:hint="default"/>
      </w:rPr>
    </w:lvl>
    <w:lvl w:ilvl="8" w:tplc="04090005" w:tentative="1">
      <w:start w:val="1"/>
      <w:numFmt w:val="bullet"/>
      <w:lvlText w:val=""/>
      <w:lvlJc w:val="left"/>
      <w:pPr>
        <w:ind w:left="6696" w:hanging="360"/>
      </w:pPr>
      <w:rPr>
        <w:rFonts w:ascii="Wingdings" w:hAnsi="Wingdings" w:hint="default"/>
      </w:rPr>
    </w:lvl>
  </w:abstractNum>
  <w:abstractNum w:abstractNumId="38">
    <w:nsid w:val="739A19B6"/>
    <w:multiLevelType w:val="multilevel"/>
    <w:tmpl w:val="480422CA"/>
    <w:numStyleLink w:val="Dispositions"/>
  </w:abstractNum>
  <w:abstractNum w:abstractNumId="39">
    <w:nsid w:val="73E30B83"/>
    <w:multiLevelType w:val="hybridMultilevel"/>
    <w:tmpl w:val="99724598"/>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0">
    <w:nsid w:val="775842B9"/>
    <w:multiLevelType w:val="multilevel"/>
    <w:tmpl w:val="F6ACBC58"/>
    <w:lvl w:ilvl="0">
      <w:start w:val="1"/>
      <w:numFmt w:val="lowerLetter"/>
      <w:lvlText w:val="%1."/>
      <w:lvlJc w:val="left"/>
      <w:pPr>
        <w:ind w:left="720" w:hanging="360"/>
      </w:pPr>
      <w:rPr>
        <w:rFonts w:cs="Times New Roman" w:hint="default"/>
        <w:u w:val="none"/>
      </w:rPr>
    </w:lvl>
    <w:lvl w:ilvl="1">
      <w:start w:val="1"/>
      <w:numFmt w:val="decimal"/>
      <w:lvlText w:val="%2."/>
      <w:lvlJc w:val="left"/>
      <w:pPr>
        <w:ind w:left="1440" w:hanging="360"/>
      </w:pPr>
      <w:rPr>
        <w:rFonts w:cs="Times New Roman" w:hint="default"/>
      </w:rPr>
    </w:lvl>
    <w:lvl w:ilvl="2">
      <w:start w:val="1"/>
      <w:numFmt w:val="lowerRoman"/>
      <w:lvlText w:val="%3."/>
      <w:lvlJc w:val="right"/>
      <w:pPr>
        <w:ind w:left="2160" w:hanging="180"/>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41">
    <w:nsid w:val="78DC5A1F"/>
    <w:multiLevelType w:val="multilevel"/>
    <w:tmpl w:val="0409001D"/>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42">
    <w:nsid w:val="7B2A3E9B"/>
    <w:multiLevelType w:val="hybridMultilevel"/>
    <w:tmpl w:val="26FE56BC"/>
    <w:lvl w:ilvl="0" w:tplc="04090001">
      <w:start w:val="1"/>
      <w:numFmt w:val="bullet"/>
      <w:lvlText w:val=""/>
      <w:lvlJc w:val="left"/>
      <w:pPr>
        <w:ind w:left="936" w:hanging="360"/>
      </w:pPr>
      <w:rPr>
        <w:rFonts w:ascii="Symbol" w:hAnsi="Symbol" w:hint="default"/>
      </w:rPr>
    </w:lvl>
    <w:lvl w:ilvl="1" w:tplc="04090003" w:tentative="1">
      <w:start w:val="1"/>
      <w:numFmt w:val="bullet"/>
      <w:lvlText w:val="o"/>
      <w:lvlJc w:val="left"/>
      <w:pPr>
        <w:ind w:left="1656" w:hanging="360"/>
      </w:pPr>
      <w:rPr>
        <w:rFonts w:ascii="Courier New" w:hAnsi="Courier New" w:cs="Courier New" w:hint="default"/>
      </w:rPr>
    </w:lvl>
    <w:lvl w:ilvl="2" w:tplc="04090005" w:tentative="1">
      <w:start w:val="1"/>
      <w:numFmt w:val="bullet"/>
      <w:lvlText w:val=""/>
      <w:lvlJc w:val="left"/>
      <w:pPr>
        <w:ind w:left="2376" w:hanging="360"/>
      </w:pPr>
      <w:rPr>
        <w:rFonts w:ascii="Wingdings" w:hAnsi="Wingdings" w:hint="default"/>
      </w:rPr>
    </w:lvl>
    <w:lvl w:ilvl="3" w:tplc="04090001" w:tentative="1">
      <w:start w:val="1"/>
      <w:numFmt w:val="bullet"/>
      <w:lvlText w:val=""/>
      <w:lvlJc w:val="left"/>
      <w:pPr>
        <w:ind w:left="3096" w:hanging="360"/>
      </w:pPr>
      <w:rPr>
        <w:rFonts w:ascii="Symbol" w:hAnsi="Symbol" w:hint="default"/>
      </w:rPr>
    </w:lvl>
    <w:lvl w:ilvl="4" w:tplc="04090003" w:tentative="1">
      <w:start w:val="1"/>
      <w:numFmt w:val="bullet"/>
      <w:lvlText w:val="o"/>
      <w:lvlJc w:val="left"/>
      <w:pPr>
        <w:ind w:left="3816" w:hanging="360"/>
      </w:pPr>
      <w:rPr>
        <w:rFonts w:ascii="Courier New" w:hAnsi="Courier New" w:cs="Courier New" w:hint="default"/>
      </w:rPr>
    </w:lvl>
    <w:lvl w:ilvl="5" w:tplc="04090005" w:tentative="1">
      <w:start w:val="1"/>
      <w:numFmt w:val="bullet"/>
      <w:lvlText w:val=""/>
      <w:lvlJc w:val="left"/>
      <w:pPr>
        <w:ind w:left="4536" w:hanging="360"/>
      </w:pPr>
      <w:rPr>
        <w:rFonts w:ascii="Wingdings" w:hAnsi="Wingdings" w:hint="default"/>
      </w:rPr>
    </w:lvl>
    <w:lvl w:ilvl="6" w:tplc="04090001" w:tentative="1">
      <w:start w:val="1"/>
      <w:numFmt w:val="bullet"/>
      <w:lvlText w:val=""/>
      <w:lvlJc w:val="left"/>
      <w:pPr>
        <w:ind w:left="5256" w:hanging="360"/>
      </w:pPr>
      <w:rPr>
        <w:rFonts w:ascii="Symbol" w:hAnsi="Symbol" w:hint="default"/>
      </w:rPr>
    </w:lvl>
    <w:lvl w:ilvl="7" w:tplc="04090003" w:tentative="1">
      <w:start w:val="1"/>
      <w:numFmt w:val="bullet"/>
      <w:lvlText w:val="o"/>
      <w:lvlJc w:val="left"/>
      <w:pPr>
        <w:ind w:left="5976" w:hanging="360"/>
      </w:pPr>
      <w:rPr>
        <w:rFonts w:ascii="Courier New" w:hAnsi="Courier New" w:cs="Courier New" w:hint="default"/>
      </w:rPr>
    </w:lvl>
    <w:lvl w:ilvl="8" w:tplc="04090005" w:tentative="1">
      <w:start w:val="1"/>
      <w:numFmt w:val="bullet"/>
      <w:lvlText w:val=""/>
      <w:lvlJc w:val="left"/>
      <w:pPr>
        <w:ind w:left="6696" w:hanging="360"/>
      </w:pPr>
      <w:rPr>
        <w:rFonts w:ascii="Wingdings" w:hAnsi="Wingdings" w:hint="default"/>
      </w:rPr>
    </w:lvl>
  </w:abstractNum>
  <w:abstractNum w:abstractNumId="43">
    <w:nsid w:val="7BB51ABA"/>
    <w:multiLevelType w:val="multilevel"/>
    <w:tmpl w:val="480422CA"/>
    <w:numStyleLink w:val="Dispositions"/>
  </w:abstractNum>
  <w:abstractNum w:abstractNumId="44">
    <w:nsid w:val="7CF8173E"/>
    <w:multiLevelType w:val="hybridMultilevel"/>
    <w:tmpl w:val="CE449E02"/>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0"/>
  </w:num>
  <w:num w:numId="2">
    <w:abstractNumId w:val="27"/>
  </w:num>
  <w:num w:numId="3">
    <w:abstractNumId w:val="33"/>
  </w:num>
  <w:num w:numId="4">
    <w:abstractNumId w:val="16"/>
  </w:num>
  <w:num w:numId="5">
    <w:abstractNumId w:val="44"/>
  </w:num>
  <w:num w:numId="6">
    <w:abstractNumId w:val="6"/>
  </w:num>
  <w:num w:numId="7">
    <w:abstractNumId w:val="34"/>
  </w:num>
  <w:num w:numId="8">
    <w:abstractNumId w:val="28"/>
  </w:num>
  <w:num w:numId="9">
    <w:abstractNumId w:val="23"/>
  </w:num>
  <w:num w:numId="10">
    <w:abstractNumId w:val="17"/>
  </w:num>
  <w:num w:numId="11">
    <w:abstractNumId w:val="14"/>
  </w:num>
  <w:num w:numId="12">
    <w:abstractNumId w:val="40"/>
  </w:num>
  <w:num w:numId="13">
    <w:abstractNumId w:val="29"/>
  </w:num>
  <w:num w:numId="14">
    <w:abstractNumId w:val="9"/>
  </w:num>
  <w:num w:numId="15">
    <w:abstractNumId w:val="13"/>
  </w:num>
  <w:num w:numId="16">
    <w:abstractNumId w:val="1"/>
  </w:num>
  <w:num w:numId="17">
    <w:abstractNumId w:val="32"/>
  </w:num>
  <w:num w:numId="18">
    <w:abstractNumId w:val="7"/>
  </w:num>
  <w:num w:numId="19">
    <w:abstractNumId w:val="19"/>
  </w:num>
  <w:num w:numId="20">
    <w:abstractNumId w:val="26"/>
  </w:num>
  <w:num w:numId="21">
    <w:abstractNumId w:val="41"/>
  </w:num>
  <w:num w:numId="22">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num>
  <w:num w:numId="24">
    <w:abstractNumId w:val="2"/>
  </w:num>
  <w:num w:numId="25">
    <w:abstractNumId w:val="43"/>
  </w:num>
  <w:num w:numId="26">
    <w:abstractNumId w:val="35"/>
  </w:num>
  <w:num w:numId="27">
    <w:abstractNumId w:val="21"/>
  </w:num>
  <w:num w:numId="28">
    <w:abstractNumId w:val="38"/>
    <w:lvlOverride w:ilvl="0">
      <w:lvl w:ilvl="0">
        <w:start w:val="1"/>
        <w:numFmt w:val="decimal"/>
        <w:pStyle w:val="Heading1"/>
        <w:suff w:val="space"/>
        <w:lvlText w:val="%1."/>
        <w:lvlJc w:val="left"/>
        <w:pPr>
          <w:ind w:left="360" w:hanging="360"/>
        </w:pPr>
        <w:rPr>
          <w:rFonts w:ascii="Calibri" w:hAnsi="Calibri" w:cs="Times New Roman" w:hint="default"/>
          <w:b/>
          <w:i w:val="0"/>
          <w:sz w:val="22"/>
        </w:rPr>
      </w:lvl>
    </w:lvlOverride>
    <w:lvlOverride w:ilvl="1">
      <w:lvl w:ilvl="1">
        <w:start w:val="1"/>
        <w:numFmt w:val="decimal"/>
        <w:pStyle w:val="Heading2"/>
        <w:suff w:val="space"/>
        <w:lvlText w:val="%1.%2."/>
        <w:lvlJc w:val="left"/>
        <w:pPr>
          <w:ind w:left="216" w:hanging="216"/>
        </w:pPr>
        <w:rPr>
          <w:rFonts w:ascii="Calibri" w:hAnsi="Calibri" w:cs="Times New Roman" w:hint="default"/>
          <w:b/>
          <w:i w:val="0"/>
          <w:sz w:val="22"/>
        </w:rPr>
      </w:lvl>
    </w:lvlOverride>
    <w:lvlOverride w:ilvl="2">
      <w:lvl w:ilvl="2">
        <w:start w:val="1"/>
        <w:numFmt w:val="decimal"/>
        <w:pStyle w:val="Heading3"/>
        <w:suff w:val="space"/>
        <w:lvlText w:val="%1.%2.%3."/>
        <w:lvlJc w:val="left"/>
        <w:pPr>
          <w:ind w:left="1260" w:hanging="360"/>
        </w:pPr>
        <w:rPr>
          <w:rFonts w:ascii="Calibri" w:hAnsi="Calibri" w:cs="Times New Roman" w:hint="default"/>
          <w:sz w:val="22"/>
        </w:rPr>
      </w:lvl>
    </w:lvlOverride>
    <w:lvlOverride w:ilvl="3">
      <w:lvl w:ilvl="3">
        <w:start w:val="1"/>
        <w:numFmt w:val="decimal"/>
        <w:pStyle w:val="Heading4"/>
        <w:suff w:val="space"/>
        <w:lvlText w:val="%1.%2.%3.%4."/>
        <w:lvlJc w:val="left"/>
        <w:pPr>
          <w:ind w:left="1080" w:hanging="360"/>
        </w:pPr>
        <w:rPr>
          <w:rFonts w:ascii="Calibri" w:hAnsi="Calibri" w:cs="Times New Roman" w:hint="default"/>
          <w:sz w:val="22"/>
        </w:rPr>
      </w:lvl>
    </w:lvlOverride>
    <w:lvlOverride w:ilvl="4">
      <w:lvl w:ilvl="4">
        <w:start w:val="1"/>
        <w:numFmt w:val="decimal"/>
        <w:pStyle w:val="Heading5"/>
        <w:suff w:val="space"/>
        <w:lvlText w:val="%1.%2.%3.%4.%5."/>
        <w:lvlJc w:val="left"/>
        <w:pPr>
          <w:ind w:left="1440" w:hanging="360"/>
        </w:pPr>
        <w:rPr>
          <w:rFonts w:ascii="Calibri" w:hAnsi="Calibri" w:cs="Times New Roman" w:hint="default"/>
          <w:sz w:val="22"/>
        </w:rPr>
      </w:lvl>
    </w:lvlOverride>
    <w:lvlOverride w:ilvl="5">
      <w:lvl w:ilvl="5">
        <w:start w:val="1"/>
        <w:numFmt w:val="lowerRoman"/>
        <w:lvlText w:val="(%6)"/>
        <w:lvlJc w:val="left"/>
        <w:pPr>
          <w:ind w:left="2160" w:hanging="360"/>
        </w:pPr>
        <w:rPr>
          <w:rFonts w:cs="Times New Roman" w:hint="default"/>
        </w:rPr>
      </w:lvl>
    </w:lvlOverride>
    <w:lvlOverride w:ilvl="6">
      <w:lvl w:ilvl="6">
        <w:start w:val="1"/>
        <w:numFmt w:val="decimal"/>
        <w:lvlText w:val="%7."/>
        <w:lvlJc w:val="left"/>
        <w:pPr>
          <w:ind w:left="2520" w:hanging="360"/>
        </w:pPr>
        <w:rPr>
          <w:rFonts w:cs="Times New Roman" w:hint="default"/>
        </w:rPr>
      </w:lvl>
    </w:lvlOverride>
    <w:lvlOverride w:ilvl="7">
      <w:lvl w:ilvl="7">
        <w:start w:val="1"/>
        <w:numFmt w:val="lowerLetter"/>
        <w:lvlText w:val="%8."/>
        <w:lvlJc w:val="left"/>
        <w:pPr>
          <w:ind w:left="2880" w:hanging="360"/>
        </w:pPr>
        <w:rPr>
          <w:rFonts w:cs="Times New Roman" w:hint="default"/>
        </w:rPr>
      </w:lvl>
    </w:lvlOverride>
    <w:lvlOverride w:ilvl="8">
      <w:lvl w:ilvl="8">
        <w:start w:val="1"/>
        <w:numFmt w:val="lowerRoman"/>
        <w:lvlText w:val="%9."/>
        <w:lvlJc w:val="left"/>
        <w:pPr>
          <w:ind w:left="3240" w:hanging="360"/>
        </w:pPr>
        <w:rPr>
          <w:rFonts w:cs="Times New Roman" w:hint="default"/>
        </w:rPr>
      </w:lvl>
    </w:lvlOverride>
  </w:num>
  <w:num w:numId="29">
    <w:abstractNumId w:val="38"/>
    <w:lvlOverride w:ilvl="0">
      <w:lvl w:ilvl="0">
        <w:start w:val="1"/>
        <w:numFmt w:val="decimal"/>
        <w:pStyle w:val="Heading1"/>
        <w:suff w:val="space"/>
        <w:lvlText w:val="%1."/>
        <w:lvlJc w:val="left"/>
        <w:pPr>
          <w:ind w:left="360" w:hanging="360"/>
        </w:pPr>
        <w:rPr>
          <w:rFonts w:ascii="Calibri" w:hAnsi="Calibri" w:cs="Times New Roman" w:hint="default"/>
          <w:b/>
          <w:i w:val="0"/>
          <w:sz w:val="22"/>
        </w:rPr>
      </w:lvl>
    </w:lvlOverride>
    <w:lvlOverride w:ilvl="1">
      <w:lvl w:ilvl="1">
        <w:start w:val="1"/>
        <w:numFmt w:val="decimal"/>
        <w:pStyle w:val="Heading2"/>
        <w:suff w:val="space"/>
        <w:lvlText w:val="%1.%2."/>
        <w:lvlJc w:val="left"/>
        <w:pPr>
          <w:ind w:left="216" w:hanging="216"/>
        </w:pPr>
        <w:rPr>
          <w:rFonts w:ascii="Calibri" w:hAnsi="Calibri" w:cs="Times New Roman" w:hint="default"/>
          <w:b/>
          <w:i w:val="0"/>
          <w:sz w:val="22"/>
        </w:rPr>
      </w:lvl>
    </w:lvlOverride>
    <w:lvlOverride w:ilvl="2">
      <w:lvl w:ilvl="2">
        <w:start w:val="1"/>
        <w:numFmt w:val="decimal"/>
        <w:pStyle w:val="Heading3"/>
        <w:suff w:val="space"/>
        <w:lvlText w:val="%1.%2.%3."/>
        <w:lvlJc w:val="left"/>
        <w:pPr>
          <w:ind w:left="720" w:hanging="360"/>
        </w:pPr>
        <w:rPr>
          <w:rFonts w:ascii="Calibri" w:hAnsi="Calibri" w:cs="Times New Roman" w:hint="default"/>
          <w:sz w:val="22"/>
        </w:rPr>
      </w:lvl>
    </w:lvlOverride>
    <w:lvlOverride w:ilvl="3">
      <w:lvl w:ilvl="3">
        <w:start w:val="1"/>
        <w:numFmt w:val="decimal"/>
        <w:pStyle w:val="Heading4"/>
        <w:suff w:val="space"/>
        <w:lvlText w:val="%1.%2.%3.%4."/>
        <w:lvlJc w:val="left"/>
        <w:pPr>
          <w:ind w:left="1080" w:hanging="360"/>
        </w:pPr>
        <w:rPr>
          <w:rFonts w:ascii="Calibri" w:hAnsi="Calibri" w:cs="Times New Roman" w:hint="default"/>
          <w:sz w:val="22"/>
        </w:rPr>
      </w:lvl>
    </w:lvlOverride>
    <w:lvlOverride w:ilvl="4">
      <w:lvl w:ilvl="4">
        <w:start w:val="1"/>
        <w:numFmt w:val="decimal"/>
        <w:pStyle w:val="Heading5"/>
        <w:suff w:val="space"/>
        <w:lvlText w:val="%1.%2.%3.%4.%5."/>
        <w:lvlJc w:val="left"/>
        <w:pPr>
          <w:ind w:left="1440" w:hanging="360"/>
        </w:pPr>
        <w:rPr>
          <w:rFonts w:ascii="Calibri" w:hAnsi="Calibri" w:cs="Times New Roman" w:hint="default"/>
          <w:sz w:val="22"/>
        </w:rPr>
      </w:lvl>
    </w:lvlOverride>
    <w:lvlOverride w:ilvl="5">
      <w:lvl w:ilvl="5">
        <w:start w:val="1"/>
        <w:numFmt w:val="lowerRoman"/>
        <w:lvlText w:val="(%6)"/>
        <w:lvlJc w:val="left"/>
        <w:pPr>
          <w:ind w:left="2160" w:hanging="360"/>
        </w:pPr>
        <w:rPr>
          <w:rFonts w:cs="Times New Roman" w:hint="default"/>
        </w:rPr>
      </w:lvl>
    </w:lvlOverride>
    <w:lvlOverride w:ilvl="6">
      <w:lvl w:ilvl="6">
        <w:start w:val="1"/>
        <w:numFmt w:val="decimal"/>
        <w:lvlText w:val="%7."/>
        <w:lvlJc w:val="left"/>
        <w:pPr>
          <w:ind w:left="2520" w:hanging="360"/>
        </w:pPr>
        <w:rPr>
          <w:rFonts w:cs="Times New Roman" w:hint="default"/>
        </w:rPr>
      </w:lvl>
    </w:lvlOverride>
    <w:lvlOverride w:ilvl="7">
      <w:lvl w:ilvl="7">
        <w:start w:val="1"/>
        <w:numFmt w:val="lowerLetter"/>
        <w:lvlText w:val="%8."/>
        <w:lvlJc w:val="left"/>
        <w:pPr>
          <w:ind w:left="2880" w:hanging="360"/>
        </w:pPr>
        <w:rPr>
          <w:rFonts w:cs="Times New Roman" w:hint="default"/>
        </w:rPr>
      </w:lvl>
    </w:lvlOverride>
    <w:lvlOverride w:ilvl="8">
      <w:lvl w:ilvl="8">
        <w:start w:val="1"/>
        <w:numFmt w:val="lowerRoman"/>
        <w:lvlText w:val="%9."/>
        <w:lvlJc w:val="left"/>
        <w:pPr>
          <w:ind w:left="3240" w:hanging="360"/>
        </w:pPr>
        <w:rPr>
          <w:rFonts w:cs="Times New Roman" w:hint="default"/>
        </w:rPr>
      </w:lvl>
    </w:lvlOverride>
  </w:num>
  <w:num w:numId="30">
    <w:abstractNumId w:val="39"/>
  </w:num>
  <w:num w:numId="31">
    <w:abstractNumId w:val="11"/>
  </w:num>
  <w:num w:numId="32">
    <w:abstractNumId w:val="20"/>
  </w:num>
  <w:num w:numId="33">
    <w:abstractNumId w:val="36"/>
  </w:num>
  <w:num w:numId="34">
    <w:abstractNumId w:val="37"/>
  </w:num>
  <w:num w:numId="35">
    <w:abstractNumId w:val="10"/>
  </w:num>
  <w:num w:numId="36">
    <w:abstractNumId w:val="15"/>
  </w:num>
  <w:num w:numId="37">
    <w:abstractNumId w:val="38"/>
    <w:lvlOverride w:ilvl="0">
      <w:lvl w:ilvl="0">
        <w:start w:val="1"/>
        <w:numFmt w:val="decimal"/>
        <w:pStyle w:val="Heading1"/>
        <w:suff w:val="space"/>
        <w:lvlText w:val="%1."/>
        <w:lvlJc w:val="left"/>
        <w:pPr>
          <w:ind w:left="360" w:hanging="360"/>
        </w:pPr>
        <w:rPr>
          <w:rFonts w:ascii="Calibri" w:hAnsi="Calibri" w:cs="Times New Roman" w:hint="default"/>
          <w:b/>
          <w:i w:val="0"/>
          <w:sz w:val="22"/>
        </w:rPr>
      </w:lvl>
    </w:lvlOverride>
    <w:lvlOverride w:ilvl="1">
      <w:lvl w:ilvl="1">
        <w:start w:val="1"/>
        <w:numFmt w:val="decimal"/>
        <w:pStyle w:val="Heading2"/>
        <w:suff w:val="space"/>
        <w:lvlText w:val="%1.%2."/>
        <w:lvlJc w:val="left"/>
        <w:pPr>
          <w:ind w:left="216" w:hanging="216"/>
        </w:pPr>
        <w:rPr>
          <w:rFonts w:ascii="Calibri" w:hAnsi="Calibri" w:cs="Times New Roman" w:hint="default"/>
          <w:b/>
          <w:i w:val="0"/>
          <w:sz w:val="22"/>
        </w:rPr>
      </w:lvl>
    </w:lvlOverride>
    <w:lvlOverride w:ilvl="2">
      <w:lvl w:ilvl="2">
        <w:start w:val="1"/>
        <w:numFmt w:val="decimal"/>
        <w:pStyle w:val="Heading3"/>
        <w:suff w:val="space"/>
        <w:lvlText w:val="%1.%2.%3."/>
        <w:lvlJc w:val="left"/>
        <w:pPr>
          <w:ind w:left="720" w:hanging="360"/>
        </w:pPr>
        <w:rPr>
          <w:rFonts w:ascii="Calibri" w:hAnsi="Calibri" w:cs="Times New Roman" w:hint="default"/>
          <w:sz w:val="22"/>
        </w:rPr>
      </w:lvl>
    </w:lvlOverride>
    <w:lvlOverride w:ilvl="3">
      <w:lvl w:ilvl="3">
        <w:start w:val="1"/>
        <w:numFmt w:val="decimal"/>
        <w:pStyle w:val="Heading4"/>
        <w:suff w:val="space"/>
        <w:lvlText w:val="%1.%2.%3.%4."/>
        <w:lvlJc w:val="left"/>
        <w:pPr>
          <w:ind w:left="1080" w:hanging="360"/>
        </w:pPr>
        <w:rPr>
          <w:rFonts w:ascii="Calibri" w:hAnsi="Calibri" w:cs="Times New Roman" w:hint="default"/>
          <w:sz w:val="22"/>
        </w:rPr>
      </w:lvl>
    </w:lvlOverride>
    <w:lvlOverride w:ilvl="4">
      <w:lvl w:ilvl="4">
        <w:start w:val="1"/>
        <w:numFmt w:val="decimal"/>
        <w:pStyle w:val="Heading5"/>
        <w:suff w:val="space"/>
        <w:lvlText w:val="%1.%2.%3.%4.%5."/>
        <w:lvlJc w:val="left"/>
        <w:pPr>
          <w:ind w:left="1440" w:hanging="360"/>
        </w:pPr>
        <w:rPr>
          <w:rFonts w:ascii="Calibri" w:hAnsi="Calibri" w:cs="Times New Roman" w:hint="default"/>
          <w:sz w:val="22"/>
        </w:rPr>
      </w:lvl>
    </w:lvlOverride>
    <w:lvlOverride w:ilvl="5">
      <w:lvl w:ilvl="5">
        <w:start w:val="1"/>
        <w:numFmt w:val="lowerRoman"/>
        <w:lvlText w:val="(%6)"/>
        <w:lvlJc w:val="left"/>
        <w:pPr>
          <w:ind w:left="2160" w:hanging="360"/>
        </w:pPr>
        <w:rPr>
          <w:rFonts w:cs="Times New Roman" w:hint="default"/>
        </w:rPr>
      </w:lvl>
    </w:lvlOverride>
    <w:lvlOverride w:ilvl="6">
      <w:lvl w:ilvl="6">
        <w:start w:val="1"/>
        <w:numFmt w:val="decimal"/>
        <w:lvlText w:val="%7."/>
        <w:lvlJc w:val="left"/>
        <w:pPr>
          <w:ind w:left="2520" w:hanging="360"/>
        </w:pPr>
        <w:rPr>
          <w:rFonts w:cs="Times New Roman" w:hint="default"/>
        </w:rPr>
      </w:lvl>
    </w:lvlOverride>
    <w:lvlOverride w:ilvl="7">
      <w:lvl w:ilvl="7">
        <w:start w:val="1"/>
        <w:numFmt w:val="lowerLetter"/>
        <w:lvlText w:val="%8."/>
        <w:lvlJc w:val="left"/>
        <w:pPr>
          <w:ind w:left="2880" w:hanging="360"/>
        </w:pPr>
        <w:rPr>
          <w:rFonts w:cs="Times New Roman" w:hint="default"/>
        </w:rPr>
      </w:lvl>
    </w:lvlOverride>
    <w:lvlOverride w:ilvl="8">
      <w:lvl w:ilvl="8">
        <w:start w:val="1"/>
        <w:numFmt w:val="lowerRoman"/>
        <w:lvlText w:val="%9."/>
        <w:lvlJc w:val="left"/>
        <w:pPr>
          <w:ind w:left="3240" w:hanging="360"/>
        </w:pPr>
        <w:rPr>
          <w:rFonts w:cs="Times New Roman" w:hint="default"/>
        </w:rPr>
      </w:lvl>
    </w:lvlOverride>
  </w:num>
  <w:num w:numId="38">
    <w:abstractNumId w:val="38"/>
    <w:lvlOverride w:ilvl="0">
      <w:lvl w:ilvl="0">
        <w:start w:val="1"/>
        <w:numFmt w:val="decimal"/>
        <w:pStyle w:val="Heading1"/>
        <w:suff w:val="space"/>
        <w:lvlText w:val="%1."/>
        <w:lvlJc w:val="left"/>
        <w:pPr>
          <w:ind w:left="360" w:hanging="360"/>
        </w:pPr>
        <w:rPr>
          <w:rFonts w:ascii="Calibri" w:hAnsi="Calibri" w:cs="Times New Roman" w:hint="default"/>
          <w:b/>
          <w:i w:val="0"/>
          <w:sz w:val="22"/>
        </w:rPr>
      </w:lvl>
    </w:lvlOverride>
    <w:lvlOverride w:ilvl="1">
      <w:lvl w:ilvl="1">
        <w:start w:val="1"/>
        <w:numFmt w:val="decimal"/>
        <w:pStyle w:val="Heading2"/>
        <w:suff w:val="space"/>
        <w:lvlText w:val="%1.%2."/>
        <w:lvlJc w:val="left"/>
        <w:pPr>
          <w:ind w:left="216" w:hanging="216"/>
        </w:pPr>
        <w:rPr>
          <w:rFonts w:ascii="Calibri" w:hAnsi="Calibri" w:cs="Times New Roman" w:hint="default"/>
          <w:b/>
          <w:i w:val="0"/>
          <w:sz w:val="22"/>
        </w:rPr>
      </w:lvl>
    </w:lvlOverride>
    <w:lvlOverride w:ilvl="2">
      <w:lvl w:ilvl="2">
        <w:start w:val="1"/>
        <w:numFmt w:val="decimal"/>
        <w:pStyle w:val="Heading3"/>
        <w:suff w:val="space"/>
        <w:lvlText w:val="%1.%2.%3."/>
        <w:lvlJc w:val="left"/>
        <w:pPr>
          <w:ind w:left="720" w:hanging="360"/>
        </w:pPr>
        <w:rPr>
          <w:rFonts w:ascii="Calibri" w:hAnsi="Calibri" w:cs="Times New Roman" w:hint="default"/>
          <w:sz w:val="22"/>
        </w:rPr>
      </w:lvl>
    </w:lvlOverride>
    <w:lvlOverride w:ilvl="3">
      <w:lvl w:ilvl="3">
        <w:start w:val="1"/>
        <w:numFmt w:val="decimal"/>
        <w:pStyle w:val="Heading4"/>
        <w:suff w:val="space"/>
        <w:lvlText w:val="%1.%2.%3.%4."/>
        <w:lvlJc w:val="left"/>
        <w:pPr>
          <w:ind w:left="1080" w:hanging="360"/>
        </w:pPr>
        <w:rPr>
          <w:rFonts w:ascii="Calibri" w:hAnsi="Calibri" w:cs="Times New Roman" w:hint="default"/>
          <w:sz w:val="22"/>
        </w:rPr>
      </w:lvl>
    </w:lvlOverride>
    <w:lvlOverride w:ilvl="4">
      <w:lvl w:ilvl="4">
        <w:start w:val="1"/>
        <w:numFmt w:val="decimal"/>
        <w:pStyle w:val="Heading5"/>
        <w:suff w:val="space"/>
        <w:lvlText w:val="%1.%2.%3.%4.%5."/>
        <w:lvlJc w:val="left"/>
        <w:pPr>
          <w:ind w:left="1440" w:hanging="360"/>
        </w:pPr>
        <w:rPr>
          <w:rFonts w:ascii="Calibri" w:hAnsi="Calibri" w:cs="Times New Roman" w:hint="default"/>
          <w:sz w:val="22"/>
        </w:rPr>
      </w:lvl>
    </w:lvlOverride>
    <w:lvlOverride w:ilvl="5">
      <w:lvl w:ilvl="5">
        <w:start w:val="1"/>
        <w:numFmt w:val="lowerRoman"/>
        <w:lvlText w:val="(%6)"/>
        <w:lvlJc w:val="left"/>
        <w:pPr>
          <w:ind w:left="2160" w:hanging="360"/>
        </w:pPr>
        <w:rPr>
          <w:rFonts w:cs="Times New Roman" w:hint="default"/>
        </w:rPr>
      </w:lvl>
    </w:lvlOverride>
    <w:lvlOverride w:ilvl="6">
      <w:lvl w:ilvl="6">
        <w:start w:val="1"/>
        <w:numFmt w:val="decimal"/>
        <w:lvlText w:val="%7."/>
        <w:lvlJc w:val="left"/>
        <w:pPr>
          <w:ind w:left="2520" w:hanging="360"/>
        </w:pPr>
        <w:rPr>
          <w:rFonts w:cs="Times New Roman" w:hint="default"/>
        </w:rPr>
      </w:lvl>
    </w:lvlOverride>
    <w:lvlOverride w:ilvl="7">
      <w:lvl w:ilvl="7">
        <w:start w:val="1"/>
        <w:numFmt w:val="lowerLetter"/>
        <w:lvlText w:val="%8."/>
        <w:lvlJc w:val="left"/>
        <w:pPr>
          <w:ind w:left="2880" w:hanging="360"/>
        </w:pPr>
        <w:rPr>
          <w:rFonts w:cs="Times New Roman" w:hint="default"/>
        </w:rPr>
      </w:lvl>
    </w:lvlOverride>
    <w:lvlOverride w:ilvl="8">
      <w:lvl w:ilvl="8">
        <w:start w:val="1"/>
        <w:numFmt w:val="lowerRoman"/>
        <w:lvlText w:val="%9."/>
        <w:lvlJc w:val="left"/>
        <w:pPr>
          <w:ind w:left="3240" w:hanging="360"/>
        </w:pPr>
        <w:rPr>
          <w:rFonts w:cs="Times New Roman" w:hint="default"/>
        </w:rPr>
      </w:lvl>
    </w:lvlOverride>
  </w:num>
  <w:num w:numId="39">
    <w:abstractNumId w:val="18"/>
  </w:num>
  <w:num w:numId="40">
    <w:abstractNumId w:val="38"/>
    <w:lvlOverride w:ilvl="0">
      <w:startOverride w:val="1"/>
      <w:lvl w:ilvl="0">
        <w:start w:val="1"/>
        <w:numFmt w:val="decimal"/>
        <w:pStyle w:val="Heading1"/>
        <w:suff w:val="space"/>
        <w:lvlText w:val="%1."/>
        <w:lvlJc w:val="left"/>
        <w:pPr>
          <w:ind w:left="360" w:hanging="360"/>
        </w:pPr>
        <w:rPr>
          <w:rFonts w:ascii="Calibri" w:hAnsi="Calibri" w:cs="Times New Roman" w:hint="default"/>
          <w:b/>
          <w:i w:val="0"/>
          <w:sz w:val="22"/>
        </w:rPr>
      </w:lvl>
    </w:lvlOverride>
    <w:lvlOverride w:ilvl="1">
      <w:startOverride w:val="1"/>
      <w:lvl w:ilvl="1">
        <w:start w:val="1"/>
        <w:numFmt w:val="decimal"/>
        <w:pStyle w:val="Heading2"/>
        <w:suff w:val="space"/>
        <w:lvlText w:val="%1.%2."/>
        <w:lvlJc w:val="left"/>
        <w:pPr>
          <w:ind w:left="216" w:hanging="216"/>
        </w:pPr>
        <w:rPr>
          <w:rFonts w:ascii="Calibri" w:hAnsi="Calibri" w:cs="Times New Roman" w:hint="default"/>
          <w:b/>
          <w:i w:val="0"/>
          <w:sz w:val="22"/>
        </w:rPr>
      </w:lvl>
    </w:lvlOverride>
    <w:lvlOverride w:ilvl="2">
      <w:startOverride w:val="1"/>
      <w:lvl w:ilvl="2">
        <w:start w:val="1"/>
        <w:numFmt w:val="decimal"/>
        <w:pStyle w:val="Heading3"/>
        <w:suff w:val="space"/>
        <w:lvlText w:val="%1.%2.%3."/>
        <w:lvlJc w:val="left"/>
        <w:pPr>
          <w:ind w:left="720" w:hanging="360"/>
        </w:pPr>
        <w:rPr>
          <w:rFonts w:ascii="Calibri" w:hAnsi="Calibri" w:cs="Times New Roman" w:hint="default"/>
          <w:sz w:val="22"/>
        </w:rPr>
      </w:lvl>
    </w:lvlOverride>
    <w:lvlOverride w:ilvl="3">
      <w:startOverride w:val="1"/>
      <w:lvl w:ilvl="3">
        <w:start w:val="1"/>
        <w:numFmt w:val="decimal"/>
        <w:pStyle w:val="Heading4"/>
        <w:suff w:val="space"/>
        <w:lvlText w:val="%1.%2.%3.%4."/>
        <w:lvlJc w:val="left"/>
        <w:pPr>
          <w:ind w:left="1080" w:hanging="360"/>
        </w:pPr>
        <w:rPr>
          <w:rFonts w:ascii="Calibri" w:hAnsi="Calibri" w:cs="Times New Roman" w:hint="default"/>
          <w:sz w:val="22"/>
        </w:rPr>
      </w:lvl>
    </w:lvlOverride>
    <w:lvlOverride w:ilvl="4">
      <w:startOverride w:val="1"/>
      <w:lvl w:ilvl="4">
        <w:start w:val="1"/>
        <w:numFmt w:val="decimal"/>
        <w:pStyle w:val="Heading5"/>
        <w:suff w:val="space"/>
        <w:lvlText w:val="%1.%2.%3.%4.%5."/>
        <w:lvlJc w:val="left"/>
        <w:pPr>
          <w:ind w:left="1440" w:hanging="360"/>
        </w:pPr>
        <w:rPr>
          <w:rFonts w:ascii="Calibri" w:hAnsi="Calibri" w:cs="Times New Roman" w:hint="default"/>
          <w:sz w:val="22"/>
        </w:rPr>
      </w:lvl>
    </w:lvlOverride>
    <w:lvlOverride w:ilvl="5">
      <w:startOverride w:val="1"/>
      <w:lvl w:ilvl="5">
        <w:start w:val="1"/>
        <w:numFmt w:val="lowerRoman"/>
        <w:lvlText w:val="(%6)"/>
        <w:lvlJc w:val="left"/>
        <w:pPr>
          <w:ind w:left="2160" w:hanging="360"/>
        </w:pPr>
        <w:rPr>
          <w:rFonts w:cs="Times New Roman" w:hint="default"/>
        </w:rPr>
      </w:lvl>
    </w:lvlOverride>
    <w:lvlOverride w:ilvl="6">
      <w:startOverride w:val="1"/>
      <w:lvl w:ilvl="6">
        <w:start w:val="1"/>
        <w:numFmt w:val="decimal"/>
        <w:lvlText w:val="%7."/>
        <w:lvlJc w:val="left"/>
        <w:pPr>
          <w:ind w:left="2520" w:hanging="360"/>
        </w:pPr>
        <w:rPr>
          <w:rFonts w:cs="Times New Roman" w:hint="default"/>
        </w:rPr>
      </w:lvl>
    </w:lvlOverride>
    <w:lvlOverride w:ilvl="7">
      <w:startOverride w:val="1"/>
      <w:lvl w:ilvl="7">
        <w:start w:val="1"/>
        <w:numFmt w:val="lowerLetter"/>
        <w:lvlText w:val="%8."/>
        <w:lvlJc w:val="left"/>
        <w:pPr>
          <w:ind w:left="2880" w:hanging="360"/>
        </w:pPr>
        <w:rPr>
          <w:rFonts w:cs="Times New Roman" w:hint="default"/>
        </w:rPr>
      </w:lvl>
    </w:lvlOverride>
    <w:lvlOverride w:ilvl="8">
      <w:startOverride w:val="1"/>
      <w:lvl w:ilvl="8">
        <w:start w:val="1"/>
        <w:numFmt w:val="lowerRoman"/>
        <w:lvlText w:val="%9."/>
        <w:lvlJc w:val="left"/>
        <w:pPr>
          <w:ind w:left="3240" w:hanging="360"/>
        </w:pPr>
        <w:rPr>
          <w:rFonts w:cs="Times New Roman" w:hint="default"/>
        </w:rPr>
      </w:lvl>
    </w:lvlOverride>
  </w:num>
  <w:num w:numId="41">
    <w:abstractNumId w:val="5"/>
  </w:num>
  <w:num w:numId="42">
    <w:abstractNumId w:val="22"/>
  </w:num>
  <w:num w:numId="43">
    <w:abstractNumId w:val="24"/>
  </w:num>
  <w:num w:numId="44">
    <w:abstractNumId w:val="4"/>
  </w:num>
  <w:num w:numId="45">
    <w:abstractNumId w:val="25"/>
  </w:num>
  <w:num w:numId="46">
    <w:abstractNumId w:val="8"/>
  </w:num>
  <w:num w:numId="47">
    <w:abstractNumId w:val="12"/>
  </w:num>
  <w:num w:numId="48">
    <w:abstractNumId w:val="38"/>
    <w:lvlOverride w:ilvl="0">
      <w:startOverride w:val="1"/>
      <w:lvl w:ilvl="0">
        <w:start w:val="1"/>
        <w:numFmt w:val="decimal"/>
        <w:pStyle w:val="Heading1"/>
        <w:suff w:val="space"/>
        <w:lvlText w:val="%1."/>
        <w:lvlJc w:val="left"/>
        <w:pPr>
          <w:ind w:left="360" w:hanging="360"/>
        </w:pPr>
        <w:rPr>
          <w:rFonts w:ascii="Calibri" w:hAnsi="Calibri" w:cs="Times New Roman" w:hint="default"/>
          <w:b/>
          <w:i w:val="0"/>
          <w:sz w:val="22"/>
        </w:rPr>
      </w:lvl>
    </w:lvlOverride>
    <w:lvlOverride w:ilvl="1">
      <w:startOverride w:val="1"/>
      <w:lvl w:ilvl="1">
        <w:start w:val="1"/>
        <w:numFmt w:val="decimal"/>
        <w:pStyle w:val="Heading2"/>
        <w:suff w:val="space"/>
        <w:lvlText w:val="%1.%2."/>
        <w:lvlJc w:val="left"/>
        <w:pPr>
          <w:ind w:left="216" w:hanging="216"/>
        </w:pPr>
        <w:rPr>
          <w:rFonts w:ascii="Calibri" w:hAnsi="Calibri" w:cs="Times New Roman" w:hint="default"/>
          <w:b/>
          <w:i w:val="0"/>
          <w:sz w:val="22"/>
        </w:rPr>
      </w:lvl>
    </w:lvlOverride>
    <w:lvlOverride w:ilvl="2">
      <w:startOverride w:val="1"/>
      <w:lvl w:ilvl="2">
        <w:start w:val="1"/>
        <w:numFmt w:val="decimal"/>
        <w:pStyle w:val="Heading3"/>
        <w:suff w:val="space"/>
        <w:lvlText w:val="%1.%2.%3."/>
        <w:lvlJc w:val="left"/>
        <w:pPr>
          <w:ind w:left="720" w:hanging="360"/>
        </w:pPr>
        <w:rPr>
          <w:rFonts w:ascii="Calibri" w:hAnsi="Calibri" w:cs="Times New Roman" w:hint="default"/>
          <w:sz w:val="22"/>
        </w:rPr>
      </w:lvl>
    </w:lvlOverride>
    <w:lvlOverride w:ilvl="3">
      <w:startOverride w:val="1"/>
      <w:lvl w:ilvl="3">
        <w:start w:val="1"/>
        <w:numFmt w:val="decimal"/>
        <w:pStyle w:val="Heading4"/>
        <w:suff w:val="space"/>
        <w:lvlText w:val="%1.%2.%3.%4."/>
        <w:lvlJc w:val="left"/>
        <w:pPr>
          <w:ind w:left="1080" w:hanging="360"/>
        </w:pPr>
        <w:rPr>
          <w:rFonts w:ascii="Calibri" w:hAnsi="Calibri" w:cs="Times New Roman" w:hint="default"/>
          <w:sz w:val="22"/>
        </w:rPr>
      </w:lvl>
    </w:lvlOverride>
    <w:lvlOverride w:ilvl="4">
      <w:startOverride w:val="1"/>
      <w:lvl w:ilvl="4">
        <w:start w:val="1"/>
        <w:numFmt w:val="decimal"/>
        <w:pStyle w:val="Heading5"/>
        <w:suff w:val="space"/>
        <w:lvlText w:val="%1.%2.%3.%4.%5."/>
        <w:lvlJc w:val="left"/>
        <w:pPr>
          <w:ind w:left="1440" w:hanging="360"/>
        </w:pPr>
        <w:rPr>
          <w:rFonts w:ascii="Calibri" w:hAnsi="Calibri" w:cs="Times New Roman" w:hint="default"/>
          <w:sz w:val="22"/>
        </w:rPr>
      </w:lvl>
    </w:lvlOverride>
    <w:lvlOverride w:ilvl="5">
      <w:startOverride w:val="1"/>
      <w:lvl w:ilvl="5">
        <w:start w:val="1"/>
        <w:numFmt w:val="lowerRoman"/>
        <w:lvlText w:val="(%6)"/>
        <w:lvlJc w:val="left"/>
        <w:pPr>
          <w:ind w:left="2160" w:hanging="360"/>
        </w:pPr>
        <w:rPr>
          <w:rFonts w:cs="Times New Roman" w:hint="default"/>
        </w:rPr>
      </w:lvl>
    </w:lvlOverride>
    <w:lvlOverride w:ilvl="6">
      <w:startOverride w:val="1"/>
      <w:lvl w:ilvl="6">
        <w:start w:val="1"/>
        <w:numFmt w:val="decimal"/>
        <w:lvlText w:val="%7."/>
        <w:lvlJc w:val="left"/>
        <w:pPr>
          <w:ind w:left="2520" w:hanging="360"/>
        </w:pPr>
        <w:rPr>
          <w:rFonts w:cs="Times New Roman" w:hint="default"/>
        </w:rPr>
      </w:lvl>
    </w:lvlOverride>
    <w:lvlOverride w:ilvl="7">
      <w:startOverride w:val="1"/>
      <w:lvl w:ilvl="7">
        <w:start w:val="1"/>
        <w:numFmt w:val="lowerLetter"/>
        <w:lvlText w:val="%8."/>
        <w:lvlJc w:val="left"/>
        <w:pPr>
          <w:ind w:left="2880" w:hanging="360"/>
        </w:pPr>
        <w:rPr>
          <w:rFonts w:cs="Times New Roman" w:hint="default"/>
        </w:rPr>
      </w:lvl>
    </w:lvlOverride>
    <w:lvlOverride w:ilvl="8">
      <w:startOverride w:val="1"/>
      <w:lvl w:ilvl="8">
        <w:start w:val="1"/>
        <w:numFmt w:val="lowerRoman"/>
        <w:lvlText w:val="%9."/>
        <w:lvlJc w:val="left"/>
        <w:pPr>
          <w:ind w:left="3240" w:hanging="360"/>
        </w:pPr>
        <w:rPr>
          <w:rFonts w:cs="Times New Roman" w:hint="default"/>
        </w:rPr>
      </w:lvl>
    </w:lvlOverride>
  </w:num>
  <w:num w:numId="49">
    <w:abstractNumId w:val="31"/>
  </w:num>
  <w:num w:numId="50">
    <w:abstractNumId w:val="30"/>
  </w:num>
  <w:num w:numId="51">
    <w:abstractNumId w:val="42"/>
  </w:num>
  <w:numIdMacAtCleanup w:val="5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James Hirsch">
    <w15:presenceInfo w15:providerId="Windows Live" w15:userId="b06919ce28eedeb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attachedTemplate r:id="rId1"/>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30F6"/>
    <w:rsid w:val="00002A25"/>
    <w:rsid w:val="000050BD"/>
    <w:rsid w:val="00012020"/>
    <w:rsid w:val="00014D39"/>
    <w:rsid w:val="00015D9B"/>
    <w:rsid w:val="00015EE3"/>
    <w:rsid w:val="00015F65"/>
    <w:rsid w:val="00016B21"/>
    <w:rsid w:val="00030FB0"/>
    <w:rsid w:val="00031744"/>
    <w:rsid w:val="00034AE8"/>
    <w:rsid w:val="00040151"/>
    <w:rsid w:val="0004067A"/>
    <w:rsid w:val="00042234"/>
    <w:rsid w:val="00051079"/>
    <w:rsid w:val="00053FF3"/>
    <w:rsid w:val="000575E4"/>
    <w:rsid w:val="00057F68"/>
    <w:rsid w:val="000612D4"/>
    <w:rsid w:val="00065FEB"/>
    <w:rsid w:val="00072D0A"/>
    <w:rsid w:val="0007786A"/>
    <w:rsid w:val="00080E9A"/>
    <w:rsid w:val="00081633"/>
    <w:rsid w:val="00082CA9"/>
    <w:rsid w:val="00084BBB"/>
    <w:rsid w:val="00090AD3"/>
    <w:rsid w:val="000931DD"/>
    <w:rsid w:val="00093AF7"/>
    <w:rsid w:val="00094AD0"/>
    <w:rsid w:val="00095567"/>
    <w:rsid w:val="000A159D"/>
    <w:rsid w:val="000B33BC"/>
    <w:rsid w:val="000B3A74"/>
    <w:rsid w:val="000B56D4"/>
    <w:rsid w:val="000B6C7F"/>
    <w:rsid w:val="000C544D"/>
    <w:rsid w:val="000D04A0"/>
    <w:rsid w:val="000D0B21"/>
    <w:rsid w:val="000D0D8E"/>
    <w:rsid w:val="000D5443"/>
    <w:rsid w:val="000D7703"/>
    <w:rsid w:val="000E70A1"/>
    <w:rsid w:val="000F41A4"/>
    <w:rsid w:val="000F67FC"/>
    <w:rsid w:val="00102ED4"/>
    <w:rsid w:val="001038DE"/>
    <w:rsid w:val="00111456"/>
    <w:rsid w:val="00112875"/>
    <w:rsid w:val="00115CF4"/>
    <w:rsid w:val="0011627E"/>
    <w:rsid w:val="00124328"/>
    <w:rsid w:val="00125F7E"/>
    <w:rsid w:val="00126006"/>
    <w:rsid w:val="0012658A"/>
    <w:rsid w:val="00134CD1"/>
    <w:rsid w:val="00135D00"/>
    <w:rsid w:val="0014039F"/>
    <w:rsid w:val="001435E5"/>
    <w:rsid w:val="00146BCF"/>
    <w:rsid w:val="001509AE"/>
    <w:rsid w:val="0015264F"/>
    <w:rsid w:val="00153AA3"/>
    <w:rsid w:val="00153D56"/>
    <w:rsid w:val="00154E04"/>
    <w:rsid w:val="001566B4"/>
    <w:rsid w:val="0016053A"/>
    <w:rsid w:val="001620D5"/>
    <w:rsid w:val="00164F7A"/>
    <w:rsid w:val="00165412"/>
    <w:rsid w:val="00165686"/>
    <w:rsid w:val="00167F74"/>
    <w:rsid w:val="00177166"/>
    <w:rsid w:val="00181000"/>
    <w:rsid w:val="0018340B"/>
    <w:rsid w:val="00184D53"/>
    <w:rsid w:val="00187B12"/>
    <w:rsid w:val="001A451C"/>
    <w:rsid w:val="001A651A"/>
    <w:rsid w:val="001B1A3A"/>
    <w:rsid w:val="001C01C3"/>
    <w:rsid w:val="001C0D30"/>
    <w:rsid w:val="001C2764"/>
    <w:rsid w:val="001C2ECC"/>
    <w:rsid w:val="001C3A3C"/>
    <w:rsid w:val="001C5C1C"/>
    <w:rsid w:val="001C680B"/>
    <w:rsid w:val="001D14BF"/>
    <w:rsid w:val="001D30F6"/>
    <w:rsid w:val="001D3992"/>
    <w:rsid w:val="001D79A7"/>
    <w:rsid w:val="001D7DD7"/>
    <w:rsid w:val="001E24C0"/>
    <w:rsid w:val="001E5F48"/>
    <w:rsid w:val="001E7899"/>
    <w:rsid w:val="001F6237"/>
    <w:rsid w:val="001F6D54"/>
    <w:rsid w:val="0020456B"/>
    <w:rsid w:val="002064B2"/>
    <w:rsid w:val="00207ACE"/>
    <w:rsid w:val="00210B28"/>
    <w:rsid w:val="00217209"/>
    <w:rsid w:val="00221765"/>
    <w:rsid w:val="00223D23"/>
    <w:rsid w:val="00232AF7"/>
    <w:rsid w:val="00235ACC"/>
    <w:rsid w:val="002362E9"/>
    <w:rsid w:val="00237438"/>
    <w:rsid w:val="00241C0C"/>
    <w:rsid w:val="00243FA9"/>
    <w:rsid w:val="00245B0F"/>
    <w:rsid w:val="00246F7E"/>
    <w:rsid w:val="00250B06"/>
    <w:rsid w:val="00254417"/>
    <w:rsid w:val="002545F7"/>
    <w:rsid w:val="00257A30"/>
    <w:rsid w:val="00257E69"/>
    <w:rsid w:val="0026230D"/>
    <w:rsid w:val="00273FB3"/>
    <w:rsid w:val="002746EA"/>
    <w:rsid w:val="00283390"/>
    <w:rsid w:val="0029244D"/>
    <w:rsid w:val="00292681"/>
    <w:rsid w:val="002A67E5"/>
    <w:rsid w:val="002B1119"/>
    <w:rsid w:val="002C0125"/>
    <w:rsid w:val="002C01A9"/>
    <w:rsid w:val="002C0571"/>
    <w:rsid w:val="002C0670"/>
    <w:rsid w:val="002C15CC"/>
    <w:rsid w:val="002C4D7A"/>
    <w:rsid w:val="002C50E6"/>
    <w:rsid w:val="002C7AC6"/>
    <w:rsid w:val="002D46C6"/>
    <w:rsid w:val="002D4B33"/>
    <w:rsid w:val="002D4E44"/>
    <w:rsid w:val="002E18F0"/>
    <w:rsid w:val="002E2F58"/>
    <w:rsid w:val="002E3853"/>
    <w:rsid w:val="002E695E"/>
    <w:rsid w:val="002F205A"/>
    <w:rsid w:val="002F27DB"/>
    <w:rsid w:val="002F6F30"/>
    <w:rsid w:val="002F71FF"/>
    <w:rsid w:val="003013ED"/>
    <w:rsid w:val="003021CB"/>
    <w:rsid w:val="00302301"/>
    <w:rsid w:val="00310A10"/>
    <w:rsid w:val="00310BA9"/>
    <w:rsid w:val="003119F8"/>
    <w:rsid w:val="0031210A"/>
    <w:rsid w:val="00320623"/>
    <w:rsid w:val="00322A72"/>
    <w:rsid w:val="0035030B"/>
    <w:rsid w:val="00350DB3"/>
    <w:rsid w:val="003630CF"/>
    <w:rsid w:val="00365699"/>
    <w:rsid w:val="0036640A"/>
    <w:rsid w:val="00375C67"/>
    <w:rsid w:val="003767B0"/>
    <w:rsid w:val="00376DEE"/>
    <w:rsid w:val="00377271"/>
    <w:rsid w:val="00380FFB"/>
    <w:rsid w:val="00383A73"/>
    <w:rsid w:val="00383D3A"/>
    <w:rsid w:val="00384A1E"/>
    <w:rsid w:val="0039305A"/>
    <w:rsid w:val="003A0CFC"/>
    <w:rsid w:val="003A50A1"/>
    <w:rsid w:val="003B1395"/>
    <w:rsid w:val="003B2B3A"/>
    <w:rsid w:val="003B4AE7"/>
    <w:rsid w:val="003B6493"/>
    <w:rsid w:val="003C17B2"/>
    <w:rsid w:val="003D06FD"/>
    <w:rsid w:val="003D6049"/>
    <w:rsid w:val="003D77C9"/>
    <w:rsid w:val="003F0162"/>
    <w:rsid w:val="003F0505"/>
    <w:rsid w:val="003F1245"/>
    <w:rsid w:val="003F4B5C"/>
    <w:rsid w:val="003F5191"/>
    <w:rsid w:val="003F7718"/>
    <w:rsid w:val="0040181E"/>
    <w:rsid w:val="00402AF2"/>
    <w:rsid w:val="004037AC"/>
    <w:rsid w:val="0040649D"/>
    <w:rsid w:val="00407831"/>
    <w:rsid w:val="004132D9"/>
    <w:rsid w:val="004274BF"/>
    <w:rsid w:val="00431133"/>
    <w:rsid w:val="00432ABB"/>
    <w:rsid w:val="00433E2E"/>
    <w:rsid w:val="0043699A"/>
    <w:rsid w:val="00437E0D"/>
    <w:rsid w:val="0044149E"/>
    <w:rsid w:val="00444535"/>
    <w:rsid w:val="00444E8D"/>
    <w:rsid w:val="00453708"/>
    <w:rsid w:val="00453E23"/>
    <w:rsid w:val="00454309"/>
    <w:rsid w:val="00455836"/>
    <w:rsid w:val="00455B01"/>
    <w:rsid w:val="00466E11"/>
    <w:rsid w:val="00470289"/>
    <w:rsid w:val="00471E40"/>
    <w:rsid w:val="004756BA"/>
    <w:rsid w:val="00481FC4"/>
    <w:rsid w:val="00487678"/>
    <w:rsid w:val="004923B6"/>
    <w:rsid w:val="00496374"/>
    <w:rsid w:val="00497C4B"/>
    <w:rsid w:val="004A74A0"/>
    <w:rsid w:val="004B52F9"/>
    <w:rsid w:val="004C5878"/>
    <w:rsid w:val="004C7C15"/>
    <w:rsid w:val="004D03B5"/>
    <w:rsid w:val="004D4B7D"/>
    <w:rsid w:val="004E3453"/>
    <w:rsid w:val="004E7D83"/>
    <w:rsid w:val="004F20F2"/>
    <w:rsid w:val="004F2FD1"/>
    <w:rsid w:val="004F50A2"/>
    <w:rsid w:val="004F62F9"/>
    <w:rsid w:val="00502878"/>
    <w:rsid w:val="00511CFA"/>
    <w:rsid w:val="005276D2"/>
    <w:rsid w:val="00531411"/>
    <w:rsid w:val="00533162"/>
    <w:rsid w:val="00533E15"/>
    <w:rsid w:val="005358EE"/>
    <w:rsid w:val="00537A7A"/>
    <w:rsid w:val="0054186F"/>
    <w:rsid w:val="00550CF1"/>
    <w:rsid w:val="005536D9"/>
    <w:rsid w:val="005547E7"/>
    <w:rsid w:val="00562831"/>
    <w:rsid w:val="0057291C"/>
    <w:rsid w:val="00575594"/>
    <w:rsid w:val="00577D68"/>
    <w:rsid w:val="00580CC6"/>
    <w:rsid w:val="005833F6"/>
    <w:rsid w:val="00583FC8"/>
    <w:rsid w:val="005846F6"/>
    <w:rsid w:val="00584753"/>
    <w:rsid w:val="00590C39"/>
    <w:rsid w:val="00591A82"/>
    <w:rsid w:val="00594E3A"/>
    <w:rsid w:val="005975F4"/>
    <w:rsid w:val="005A0498"/>
    <w:rsid w:val="005A1C4D"/>
    <w:rsid w:val="005B033C"/>
    <w:rsid w:val="005B30E1"/>
    <w:rsid w:val="005B40DD"/>
    <w:rsid w:val="005B494A"/>
    <w:rsid w:val="005D092D"/>
    <w:rsid w:val="005D1215"/>
    <w:rsid w:val="005D2083"/>
    <w:rsid w:val="005E2100"/>
    <w:rsid w:val="005E5A55"/>
    <w:rsid w:val="005F0289"/>
    <w:rsid w:val="005F15E9"/>
    <w:rsid w:val="005F61B9"/>
    <w:rsid w:val="0060415A"/>
    <w:rsid w:val="006070AA"/>
    <w:rsid w:val="00607F4A"/>
    <w:rsid w:val="00613540"/>
    <w:rsid w:val="006137ED"/>
    <w:rsid w:val="0062209E"/>
    <w:rsid w:val="006240D0"/>
    <w:rsid w:val="00626680"/>
    <w:rsid w:val="006300B4"/>
    <w:rsid w:val="00633C5E"/>
    <w:rsid w:val="00633C82"/>
    <w:rsid w:val="0064014A"/>
    <w:rsid w:val="0064069F"/>
    <w:rsid w:val="00642C94"/>
    <w:rsid w:val="00644B68"/>
    <w:rsid w:val="006458D4"/>
    <w:rsid w:val="00650593"/>
    <w:rsid w:val="00655F19"/>
    <w:rsid w:val="0065725B"/>
    <w:rsid w:val="00660B27"/>
    <w:rsid w:val="00660E54"/>
    <w:rsid w:val="006677EF"/>
    <w:rsid w:val="00671077"/>
    <w:rsid w:val="006734CC"/>
    <w:rsid w:val="0067452F"/>
    <w:rsid w:val="00674988"/>
    <w:rsid w:val="0068170E"/>
    <w:rsid w:val="00683AA5"/>
    <w:rsid w:val="00685481"/>
    <w:rsid w:val="00687D70"/>
    <w:rsid w:val="0069420A"/>
    <w:rsid w:val="006A2D79"/>
    <w:rsid w:val="006A38BC"/>
    <w:rsid w:val="006A4ACA"/>
    <w:rsid w:val="006A6776"/>
    <w:rsid w:val="006B751F"/>
    <w:rsid w:val="006B7A09"/>
    <w:rsid w:val="006C02C2"/>
    <w:rsid w:val="006D38C4"/>
    <w:rsid w:val="006D4FCF"/>
    <w:rsid w:val="006D7BC2"/>
    <w:rsid w:val="006E7CDA"/>
    <w:rsid w:val="00700804"/>
    <w:rsid w:val="00703ABA"/>
    <w:rsid w:val="00706DC3"/>
    <w:rsid w:val="007072C0"/>
    <w:rsid w:val="00711EEF"/>
    <w:rsid w:val="007121DC"/>
    <w:rsid w:val="00712925"/>
    <w:rsid w:val="00716F8D"/>
    <w:rsid w:val="00722043"/>
    <w:rsid w:val="0072213E"/>
    <w:rsid w:val="0072405F"/>
    <w:rsid w:val="00724B2C"/>
    <w:rsid w:val="00726AA5"/>
    <w:rsid w:val="00735549"/>
    <w:rsid w:val="007360E1"/>
    <w:rsid w:val="00736D3E"/>
    <w:rsid w:val="007377AB"/>
    <w:rsid w:val="00740096"/>
    <w:rsid w:val="007420F0"/>
    <w:rsid w:val="00750EC2"/>
    <w:rsid w:val="00751AE1"/>
    <w:rsid w:val="007568BF"/>
    <w:rsid w:val="007571A3"/>
    <w:rsid w:val="00761265"/>
    <w:rsid w:val="00761F76"/>
    <w:rsid w:val="00763F00"/>
    <w:rsid w:val="00767695"/>
    <w:rsid w:val="007703D9"/>
    <w:rsid w:val="00771712"/>
    <w:rsid w:val="00772A55"/>
    <w:rsid w:val="00774848"/>
    <w:rsid w:val="007757D0"/>
    <w:rsid w:val="00775AE6"/>
    <w:rsid w:val="007768F5"/>
    <w:rsid w:val="00777942"/>
    <w:rsid w:val="00781765"/>
    <w:rsid w:val="007960F6"/>
    <w:rsid w:val="007A39B0"/>
    <w:rsid w:val="007A3BB2"/>
    <w:rsid w:val="007B2E5A"/>
    <w:rsid w:val="007B4BBF"/>
    <w:rsid w:val="007C0813"/>
    <w:rsid w:val="007C2ACC"/>
    <w:rsid w:val="007C5817"/>
    <w:rsid w:val="007C5EBB"/>
    <w:rsid w:val="007C6215"/>
    <w:rsid w:val="007D1EEE"/>
    <w:rsid w:val="007D314F"/>
    <w:rsid w:val="007D4B9B"/>
    <w:rsid w:val="007D4DDD"/>
    <w:rsid w:val="007E0DEA"/>
    <w:rsid w:val="007E78B4"/>
    <w:rsid w:val="007F3E73"/>
    <w:rsid w:val="0080005B"/>
    <w:rsid w:val="00801923"/>
    <w:rsid w:val="0080239C"/>
    <w:rsid w:val="00804FD0"/>
    <w:rsid w:val="00807199"/>
    <w:rsid w:val="00810DFD"/>
    <w:rsid w:val="008111CF"/>
    <w:rsid w:val="00813EE3"/>
    <w:rsid w:val="0081477F"/>
    <w:rsid w:val="00820BD1"/>
    <w:rsid w:val="00823CF7"/>
    <w:rsid w:val="00824250"/>
    <w:rsid w:val="0082532B"/>
    <w:rsid w:val="00825350"/>
    <w:rsid w:val="008262FE"/>
    <w:rsid w:val="008325C8"/>
    <w:rsid w:val="008350A5"/>
    <w:rsid w:val="00836DD6"/>
    <w:rsid w:val="00836E27"/>
    <w:rsid w:val="00837F98"/>
    <w:rsid w:val="00840E35"/>
    <w:rsid w:val="00845438"/>
    <w:rsid w:val="008472A1"/>
    <w:rsid w:val="008504F1"/>
    <w:rsid w:val="0086193B"/>
    <w:rsid w:val="00862988"/>
    <w:rsid w:val="00870293"/>
    <w:rsid w:val="00874515"/>
    <w:rsid w:val="00876765"/>
    <w:rsid w:val="008774A6"/>
    <w:rsid w:val="00882907"/>
    <w:rsid w:val="0088383D"/>
    <w:rsid w:val="0088439A"/>
    <w:rsid w:val="0088515F"/>
    <w:rsid w:val="00893C67"/>
    <w:rsid w:val="008A099B"/>
    <w:rsid w:val="008B2D68"/>
    <w:rsid w:val="008B6EA2"/>
    <w:rsid w:val="008C3BD7"/>
    <w:rsid w:val="008C711A"/>
    <w:rsid w:val="008C7F61"/>
    <w:rsid w:val="008D2446"/>
    <w:rsid w:val="008D710B"/>
    <w:rsid w:val="008E551C"/>
    <w:rsid w:val="008E6B1C"/>
    <w:rsid w:val="008F2DF0"/>
    <w:rsid w:val="008F35F6"/>
    <w:rsid w:val="008F6C5B"/>
    <w:rsid w:val="009047DA"/>
    <w:rsid w:val="0090760C"/>
    <w:rsid w:val="00907699"/>
    <w:rsid w:val="00907710"/>
    <w:rsid w:val="00907E7B"/>
    <w:rsid w:val="00913B3A"/>
    <w:rsid w:val="00916DEE"/>
    <w:rsid w:val="00922A4E"/>
    <w:rsid w:val="00932F64"/>
    <w:rsid w:val="00934E05"/>
    <w:rsid w:val="00943B8F"/>
    <w:rsid w:val="009608F0"/>
    <w:rsid w:val="0096247A"/>
    <w:rsid w:val="009660AA"/>
    <w:rsid w:val="00971B21"/>
    <w:rsid w:val="00975A87"/>
    <w:rsid w:val="00976A62"/>
    <w:rsid w:val="0098085C"/>
    <w:rsid w:val="00986747"/>
    <w:rsid w:val="00993C2C"/>
    <w:rsid w:val="00997A05"/>
    <w:rsid w:val="009A0582"/>
    <w:rsid w:val="009A121A"/>
    <w:rsid w:val="009A400D"/>
    <w:rsid w:val="009A791E"/>
    <w:rsid w:val="009B4E31"/>
    <w:rsid w:val="009C216B"/>
    <w:rsid w:val="009C3040"/>
    <w:rsid w:val="009C3051"/>
    <w:rsid w:val="009C336E"/>
    <w:rsid w:val="009D05FC"/>
    <w:rsid w:val="009F5F3F"/>
    <w:rsid w:val="00A021FB"/>
    <w:rsid w:val="00A03798"/>
    <w:rsid w:val="00A0471B"/>
    <w:rsid w:val="00A04C90"/>
    <w:rsid w:val="00A06959"/>
    <w:rsid w:val="00A0757C"/>
    <w:rsid w:val="00A11152"/>
    <w:rsid w:val="00A11247"/>
    <w:rsid w:val="00A14E41"/>
    <w:rsid w:val="00A15C83"/>
    <w:rsid w:val="00A20329"/>
    <w:rsid w:val="00A21E0E"/>
    <w:rsid w:val="00A24402"/>
    <w:rsid w:val="00A24712"/>
    <w:rsid w:val="00A32722"/>
    <w:rsid w:val="00A36E8C"/>
    <w:rsid w:val="00A41412"/>
    <w:rsid w:val="00A4480F"/>
    <w:rsid w:val="00A5254E"/>
    <w:rsid w:val="00A56550"/>
    <w:rsid w:val="00A61D93"/>
    <w:rsid w:val="00A638E1"/>
    <w:rsid w:val="00A64E0C"/>
    <w:rsid w:val="00A71E1C"/>
    <w:rsid w:val="00A7209F"/>
    <w:rsid w:val="00A873F8"/>
    <w:rsid w:val="00A90560"/>
    <w:rsid w:val="00AA1E1B"/>
    <w:rsid w:val="00AA31E7"/>
    <w:rsid w:val="00AA7059"/>
    <w:rsid w:val="00AB08CD"/>
    <w:rsid w:val="00AB68C5"/>
    <w:rsid w:val="00AC3790"/>
    <w:rsid w:val="00AD2469"/>
    <w:rsid w:val="00AD5CA0"/>
    <w:rsid w:val="00AE056F"/>
    <w:rsid w:val="00AE195E"/>
    <w:rsid w:val="00AE25A2"/>
    <w:rsid w:val="00AE671B"/>
    <w:rsid w:val="00AE6891"/>
    <w:rsid w:val="00AE6A17"/>
    <w:rsid w:val="00AF2BE8"/>
    <w:rsid w:val="00AF349A"/>
    <w:rsid w:val="00B06998"/>
    <w:rsid w:val="00B120BB"/>
    <w:rsid w:val="00B12167"/>
    <w:rsid w:val="00B14C8C"/>
    <w:rsid w:val="00B220E6"/>
    <w:rsid w:val="00B25CDA"/>
    <w:rsid w:val="00B264EC"/>
    <w:rsid w:val="00B26946"/>
    <w:rsid w:val="00B27A91"/>
    <w:rsid w:val="00B36114"/>
    <w:rsid w:val="00B379D6"/>
    <w:rsid w:val="00B4196E"/>
    <w:rsid w:val="00B4298A"/>
    <w:rsid w:val="00B433BF"/>
    <w:rsid w:val="00B43B6F"/>
    <w:rsid w:val="00B469C3"/>
    <w:rsid w:val="00B47583"/>
    <w:rsid w:val="00B51572"/>
    <w:rsid w:val="00B600C6"/>
    <w:rsid w:val="00B702D7"/>
    <w:rsid w:val="00B75D56"/>
    <w:rsid w:val="00B80733"/>
    <w:rsid w:val="00B864D0"/>
    <w:rsid w:val="00B91CAF"/>
    <w:rsid w:val="00B927D8"/>
    <w:rsid w:val="00B931C0"/>
    <w:rsid w:val="00B948EC"/>
    <w:rsid w:val="00B97C9B"/>
    <w:rsid w:val="00BA0C3E"/>
    <w:rsid w:val="00BA26ED"/>
    <w:rsid w:val="00BA3F2D"/>
    <w:rsid w:val="00BB303C"/>
    <w:rsid w:val="00BC03C9"/>
    <w:rsid w:val="00BC0A24"/>
    <w:rsid w:val="00BD33CB"/>
    <w:rsid w:val="00BD3DDF"/>
    <w:rsid w:val="00BD7A08"/>
    <w:rsid w:val="00BE0A38"/>
    <w:rsid w:val="00BE16D9"/>
    <w:rsid w:val="00BE2B49"/>
    <w:rsid w:val="00BE3652"/>
    <w:rsid w:val="00BF4533"/>
    <w:rsid w:val="00C0532D"/>
    <w:rsid w:val="00C05560"/>
    <w:rsid w:val="00C070E5"/>
    <w:rsid w:val="00C10911"/>
    <w:rsid w:val="00C11B9A"/>
    <w:rsid w:val="00C163B5"/>
    <w:rsid w:val="00C26165"/>
    <w:rsid w:val="00C36837"/>
    <w:rsid w:val="00C372B8"/>
    <w:rsid w:val="00C37430"/>
    <w:rsid w:val="00C40C29"/>
    <w:rsid w:val="00C411E6"/>
    <w:rsid w:val="00C42220"/>
    <w:rsid w:val="00C42DC7"/>
    <w:rsid w:val="00C46478"/>
    <w:rsid w:val="00C47612"/>
    <w:rsid w:val="00C525A8"/>
    <w:rsid w:val="00C55387"/>
    <w:rsid w:val="00C563BF"/>
    <w:rsid w:val="00C617DB"/>
    <w:rsid w:val="00C61CBE"/>
    <w:rsid w:val="00C6423B"/>
    <w:rsid w:val="00C704CD"/>
    <w:rsid w:val="00C73825"/>
    <w:rsid w:val="00C812A5"/>
    <w:rsid w:val="00C8311F"/>
    <w:rsid w:val="00C83AF7"/>
    <w:rsid w:val="00C84574"/>
    <w:rsid w:val="00CA138C"/>
    <w:rsid w:val="00CA4309"/>
    <w:rsid w:val="00CA4BEB"/>
    <w:rsid w:val="00CA652B"/>
    <w:rsid w:val="00CA67D2"/>
    <w:rsid w:val="00CB6450"/>
    <w:rsid w:val="00CC4CF5"/>
    <w:rsid w:val="00CC7570"/>
    <w:rsid w:val="00CD0872"/>
    <w:rsid w:val="00CD3B54"/>
    <w:rsid w:val="00CD3CB0"/>
    <w:rsid w:val="00CD6AB2"/>
    <w:rsid w:val="00CE0F67"/>
    <w:rsid w:val="00CE171E"/>
    <w:rsid w:val="00CE357F"/>
    <w:rsid w:val="00CE73BF"/>
    <w:rsid w:val="00CF6E25"/>
    <w:rsid w:val="00CF7BB7"/>
    <w:rsid w:val="00D066B4"/>
    <w:rsid w:val="00D11AC4"/>
    <w:rsid w:val="00D1454B"/>
    <w:rsid w:val="00D17195"/>
    <w:rsid w:val="00D172B5"/>
    <w:rsid w:val="00D17A8B"/>
    <w:rsid w:val="00D23BEF"/>
    <w:rsid w:val="00D259D6"/>
    <w:rsid w:val="00D31E2C"/>
    <w:rsid w:val="00D655E2"/>
    <w:rsid w:val="00D657AB"/>
    <w:rsid w:val="00D67344"/>
    <w:rsid w:val="00D7455B"/>
    <w:rsid w:val="00D8241D"/>
    <w:rsid w:val="00D84533"/>
    <w:rsid w:val="00D84B6C"/>
    <w:rsid w:val="00D85716"/>
    <w:rsid w:val="00D94F2A"/>
    <w:rsid w:val="00DA224D"/>
    <w:rsid w:val="00DC095C"/>
    <w:rsid w:val="00DD0918"/>
    <w:rsid w:val="00DD6BB7"/>
    <w:rsid w:val="00DE193E"/>
    <w:rsid w:val="00DF0955"/>
    <w:rsid w:val="00DF3DAD"/>
    <w:rsid w:val="00DF55B0"/>
    <w:rsid w:val="00E0003E"/>
    <w:rsid w:val="00E01086"/>
    <w:rsid w:val="00E06BD4"/>
    <w:rsid w:val="00E06DEF"/>
    <w:rsid w:val="00E12B44"/>
    <w:rsid w:val="00E12E68"/>
    <w:rsid w:val="00E162A4"/>
    <w:rsid w:val="00E224E2"/>
    <w:rsid w:val="00E23624"/>
    <w:rsid w:val="00E3047B"/>
    <w:rsid w:val="00E34056"/>
    <w:rsid w:val="00E357AA"/>
    <w:rsid w:val="00E41879"/>
    <w:rsid w:val="00E47259"/>
    <w:rsid w:val="00E47FFD"/>
    <w:rsid w:val="00E534A2"/>
    <w:rsid w:val="00E55481"/>
    <w:rsid w:val="00E56918"/>
    <w:rsid w:val="00E56DF7"/>
    <w:rsid w:val="00E57C4D"/>
    <w:rsid w:val="00E60139"/>
    <w:rsid w:val="00E73793"/>
    <w:rsid w:val="00E7450A"/>
    <w:rsid w:val="00E858B0"/>
    <w:rsid w:val="00E8618A"/>
    <w:rsid w:val="00E875C4"/>
    <w:rsid w:val="00E95FFB"/>
    <w:rsid w:val="00E96F17"/>
    <w:rsid w:val="00E96FC2"/>
    <w:rsid w:val="00EB17D2"/>
    <w:rsid w:val="00EB3A89"/>
    <w:rsid w:val="00EB52F9"/>
    <w:rsid w:val="00EC14AB"/>
    <w:rsid w:val="00EC2191"/>
    <w:rsid w:val="00EC319B"/>
    <w:rsid w:val="00EC7891"/>
    <w:rsid w:val="00ED1EEC"/>
    <w:rsid w:val="00EE1027"/>
    <w:rsid w:val="00EE11D0"/>
    <w:rsid w:val="00EE315E"/>
    <w:rsid w:val="00EE4705"/>
    <w:rsid w:val="00EE74BD"/>
    <w:rsid w:val="00F00C5A"/>
    <w:rsid w:val="00F015A8"/>
    <w:rsid w:val="00F03F4B"/>
    <w:rsid w:val="00F07D30"/>
    <w:rsid w:val="00F10E28"/>
    <w:rsid w:val="00F119C2"/>
    <w:rsid w:val="00F11C2D"/>
    <w:rsid w:val="00F201E9"/>
    <w:rsid w:val="00F25727"/>
    <w:rsid w:val="00F26DE8"/>
    <w:rsid w:val="00F27D2E"/>
    <w:rsid w:val="00F335B4"/>
    <w:rsid w:val="00F42F1D"/>
    <w:rsid w:val="00F47C91"/>
    <w:rsid w:val="00F540E4"/>
    <w:rsid w:val="00F5571C"/>
    <w:rsid w:val="00F66A78"/>
    <w:rsid w:val="00F7074D"/>
    <w:rsid w:val="00F7731E"/>
    <w:rsid w:val="00F80949"/>
    <w:rsid w:val="00F84648"/>
    <w:rsid w:val="00F84AF9"/>
    <w:rsid w:val="00F84C79"/>
    <w:rsid w:val="00F874C9"/>
    <w:rsid w:val="00F87D33"/>
    <w:rsid w:val="00F87DA7"/>
    <w:rsid w:val="00F90DBC"/>
    <w:rsid w:val="00F95C2E"/>
    <w:rsid w:val="00FA383D"/>
    <w:rsid w:val="00FB06B7"/>
    <w:rsid w:val="00FB0919"/>
    <w:rsid w:val="00FB3E27"/>
    <w:rsid w:val="00FB54E5"/>
    <w:rsid w:val="00FC178F"/>
    <w:rsid w:val="00FD15A7"/>
    <w:rsid w:val="00FD31B6"/>
    <w:rsid w:val="00FD72DE"/>
    <w:rsid w:val="00FE183F"/>
    <w:rsid w:val="00FE621E"/>
    <w:rsid w:val="00FF172C"/>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9E2BF87"/>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Calibri"/>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39" w:unhideWhenUsed="0"/>
    <w:lsdException w:name="toc 2" w:locked="1" w:semiHidden="0" w:uiPriority="39"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nhideWhenUsed="0" w:qFormat="1"/>
    <w:lsdException w:name="Title" w:locked="1" w:semiHidden="0" w:uiPriority="0" w:unhideWhenUsed="0" w:qFormat="1"/>
    <w:lsdException w:name="Default Paragraph Font" w:locked="1" w:semiHidden="0" w:uiPriority="1" w:unhideWhenUsed="0"/>
    <w:lsdException w:name="Subtitle" w:locked="1" w:semiHidden="0" w:uiPriority="0" w:unhideWhenUsed="0" w:qFormat="1"/>
    <w:lsdException w:name="Strong" w:locked="1" w:semiHidden="0" w:uiPriority="0" w:unhideWhenUsed="0" w:qFormat="1"/>
    <w:lsdException w:name="Emphasis" w:locked="1" w:semiHidden="0" w:uiPriority="0" w:unhideWhenUsed="0"/>
    <w:lsdException w:name="Table Grid" w:locked="1"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D38C4"/>
    <w:pPr>
      <w:spacing w:after="200" w:line="276" w:lineRule="auto"/>
    </w:pPr>
    <w:rPr>
      <w:rFonts w:cs="Times New Roman"/>
    </w:rPr>
  </w:style>
  <w:style w:type="paragraph" w:styleId="Heading1">
    <w:name w:val="heading 1"/>
    <w:basedOn w:val="Normal"/>
    <w:next w:val="Body1"/>
    <w:link w:val="Heading1Char"/>
    <w:uiPriority w:val="9"/>
    <w:qFormat/>
    <w:locked/>
    <w:rsid w:val="002D46C6"/>
    <w:pPr>
      <w:keepNext/>
      <w:keepLines/>
      <w:numPr>
        <w:numId w:val="29"/>
      </w:numPr>
      <w:spacing w:before="480" w:after="0"/>
      <w:outlineLvl w:val="0"/>
    </w:pPr>
    <w:rPr>
      <w:rFonts w:eastAsiaTheme="majorEastAsia"/>
      <w:b/>
      <w:bCs/>
      <w:szCs w:val="28"/>
    </w:rPr>
  </w:style>
  <w:style w:type="paragraph" w:styleId="Heading2">
    <w:name w:val="heading 2"/>
    <w:basedOn w:val="Normal"/>
    <w:next w:val="Body2"/>
    <w:link w:val="Heading2Char"/>
    <w:uiPriority w:val="9"/>
    <w:unhideWhenUsed/>
    <w:qFormat/>
    <w:locked/>
    <w:rsid w:val="002D46C6"/>
    <w:pPr>
      <w:keepNext/>
      <w:keepLines/>
      <w:numPr>
        <w:ilvl w:val="1"/>
        <w:numId w:val="29"/>
      </w:numPr>
      <w:spacing w:before="200" w:after="0"/>
      <w:outlineLvl w:val="1"/>
    </w:pPr>
    <w:rPr>
      <w:rFonts w:eastAsiaTheme="majorEastAsia"/>
      <w:b/>
      <w:bCs/>
      <w:szCs w:val="26"/>
    </w:rPr>
  </w:style>
  <w:style w:type="paragraph" w:styleId="Heading3">
    <w:name w:val="heading 3"/>
    <w:basedOn w:val="Normal"/>
    <w:next w:val="Body3"/>
    <w:link w:val="Heading3Char"/>
    <w:uiPriority w:val="9"/>
    <w:unhideWhenUsed/>
    <w:qFormat/>
    <w:locked/>
    <w:rsid w:val="002D46C6"/>
    <w:pPr>
      <w:keepNext/>
      <w:keepLines/>
      <w:numPr>
        <w:ilvl w:val="2"/>
        <w:numId w:val="29"/>
      </w:numPr>
      <w:spacing w:before="200" w:after="0"/>
      <w:outlineLvl w:val="2"/>
    </w:pPr>
    <w:rPr>
      <w:rFonts w:eastAsiaTheme="majorEastAsia"/>
      <w:bCs/>
      <w:u w:val="single"/>
    </w:rPr>
  </w:style>
  <w:style w:type="paragraph" w:styleId="Heading4">
    <w:name w:val="heading 4"/>
    <w:basedOn w:val="Normal"/>
    <w:next w:val="Normal"/>
    <w:link w:val="Heading4Char"/>
    <w:autoRedefine/>
    <w:uiPriority w:val="9"/>
    <w:unhideWhenUsed/>
    <w:qFormat/>
    <w:locked/>
    <w:rsid w:val="002D46C6"/>
    <w:pPr>
      <w:keepNext/>
      <w:keepLines/>
      <w:numPr>
        <w:ilvl w:val="3"/>
        <w:numId w:val="29"/>
      </w:numPr>
      <w:spacing w:before="200" w:after="0"/>
      <w:outlineLvl w:val="3"/>
    </w:pPr>
    <w:rPr>
      <w:rFonts w:eastAsiaTheme="majorEastAsia"/>
      <w:bCs/>
      <w:iCs/>
    </w:rPr>
  </w:style>
  <w:style w:type="paragraph" w:styleId="Heading5">
    <w:name w:val="heading 5"/>
    <w:basedOn w:val="Normal"/>
    <w:next w:val="Normal"/>
    <w:link w:val="Heading5Char"/>
    <w:autoRedefine/>
    <w:uiPriority w:val="9"/>
    <w:unhideWhenUsed/>
    <w:qFormat/>
    <w:locked/>
    <w:rsid w:val="002D46C6"/>
    <w:pPr>
      <w:keepNext/>
      <w:keepLines/>
      <w:numPr>
        <w:ilvl w:val="4"/>
        <w:numId w:val="29"/>
      </w:numPr>
      <w:spacing w:before="200" w:after="0"/>
      <w:outlineLvl w:val="4"/>
    </w:pPr>
    <w:rPr>
      <w:rFonts w:eastAsiaTheme="maj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6D38C4"/>
    <w:rPr>
      <w:rFonts w:eastAsiaTheme="majorEastAsia" w:cs="Times New Roman"/>
      <w:b/>
      <w:bCs/>
      <w:sz w:val="28"/>
      <w:szCs w:val="28"/>
    </w:rPr>
  </w:style>
  <w:style w:type="character" w:customStyle="1" w:styleId="Heading2Char">
    <w:name w:val="Heading 2 Char"/>
    <w:basedOn w:val="DefaultParagraphFont"/>
    <w:link w:val="Heading2"/>
    <w:uiPriority w:val="9"/>
    <w:locked/>
    <w:rsid w:val="006D38C4"/>
    <w:rPr>
      <w:rFonts w:eastAsiaTheme="majorEastAsia" w:cs="Times New Roman"/>
      <w:b/>
      <w:bCs/>
      <w:sz w:val="26"/>
      <w:szCs w:val="26"/>
    </w:rPr>
  </w:style>
  <w:style w:type="character" w:customStyle="1" w:styleId="Heading3Char">
    <w:name w:val="Heading 3 Char"/>
    <w:basedOn w:val="DefaultParagraphFont"/>
    <w:link w:val="Heading3"/>
    <w:uiPriority w:val="9"/>
    <w:locked/>
    <w:rsid w:val="00825350"/>
    <w:rPr>
      <w:rFonts w:eastAsiaTheme="majorEastAsia" w:cs="Times New Roman"/>
      <w:bCs/>
      <w:u w:val="single"/>
    </w:rPr>
  </w:style>
  <w:style w:type="character" w:customStyle="1" w:styleId="Heading4Char">
    <w:name w:val="Heading 4 Char"/>
    <w:basedOn w:val="DefaultParagraphFont"/>
    <w:link w:val="Heading4"/>
    <w:uiPriority w:val="9"/>
    <w:locked/>
    <w:rsid w:val="006D38C4"/>
    <w:rPr>
      <w:rFonts w:eastAsiaTheme="majorEastAsia" w:cs="Times New Roman"/>
      <w:bCs/>
      <w:iCs/>
    </w:rPr>
  </w:style>
  <w:style w:type="character" w:customStyle="1" w:styleId="Heading5Char">
    <w:name w:val="Heading 5 Char"/>
    <w:basedOn w:val="DefaultParagraphFont"/>
    <w:link w:val="Heading5"/>
    <w:uiPriority w:val="9"/>
    <w:locked/>
    <w:rsid w:val="006D38C4"/>
    <w:rPr>
      <w:rFonts w:eastAsiaTheme="majorEastAsia" w:cs="Times New Roman"/>
    </w:rPr>
  </w:style>
  <w:style w:type="paragraph" w:styleId="ListParagraph">
    <w:name w:val="List Paragraph"/>
    <w:basedOn w:val="Normal"/>
    <w:uiPriority w:val="99"/>
    <w:qFormat/>
    <w:rsid w:val="006D38C4"/>
    <w:pPr>
      <w:ind w:left="720"/>
      <w:contextualSpacing/>
    </w:pPr>
  </w:style>
  <w:style w:type="paragraph" w:styleId="Caption">
    <w:name w:val="caption"/>
    <w:basedOn w:val="Normal"/>
    <w:next w:val="Normal"/>
    <w:uiPriority w:val="99"/>
    <w:qFormat/>
    <w:rsid w:val="006D38C4"/>
    <w:pPr>
      <w:spacing w:line="240" w:lineRule="auto"/>
    </w:pPr>
    <w:rPr>
      <w:b/>
      <w:bCs/>
      <w:color w:val="4F81BD"/>
      <w:sz w:val="18"/>
      <w:szCs w:val="18"/>
    </w:rPr>
  </w:style>
  <w:style w:type="table" w:styleId="TableGrid">
    <w:name w:val="Table Grid"/>
    <w:basedOn w:val="TableNormal"/>
    <w:uiPriority w:val="59"/>
    <w:rsid w:val="006D38C4"/>
    <w:rPr>
      <w:rFonts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rsid w:val="006D38C4"/>
    <w:pPr>
      <w:tabs>
        <w:tab w:val="center" w:pos="4680"/>
        <w:tab w:val="right" w:pos="9360"/>
      </w:tabs>
      <w:spacing w:after="0" w:line="240" w:lineRule="auto"/>
    </w:pPr>
  </w:style>
  <w:style w:type="character" w:customStyle="1" w:styleId="HeaderChar">
    <w:name w:val="Header Char"/>
    <w:basedOn w:val="DefaultParagraphFont"/>
    <w:link w:val="Header"/>
    <w:uiPriority w:val="99"/>
    <w:locked/>
    <w:rsid w:val="006D38C4"/>
    <w:rPr>
      <w:rFonts w:cs="Times New Roman"/>
    </w:rPr>
  </w:style>
  <w:style w:type="paragraph" w:styleId="Footer">
    <w:name w:val="footer"/>
    <w:basedOn w:val="Normal"/>
    <w:link w:val="FooterChar"/>
    <w:uiPriority w:val="99"/>
    <w:rsid w:val="006D38C4"/>
    <w:pPr>
      <w:tabs>
        <w:tab w:val="center" w:pos="4680"/>
        <w:tab w:val="right" w:pos="9360"/>
      </w:tabs>
      <w:spacing w:after="0" w:line="240" w:lineRule="auto"/>
    </w:pPr>
  </w:style>
  <w:style w:type="character" w:customStyle="1" w:styleId="FooterChar">
    <w:name w:val="Footer Char"/>
    <w:basedOn w:val="DefaultParagraphFont"/>
    <w:link w:val="Footer"/>
    <w:uiPriority w:val="99"/>
    <w:locked/>
    <w:rsid w:val="006D38C4"/>
    <w:rPr>
      <w:rFonts w:cs="Times New Roman"/>
    </w:rPr>
  </w:style>
  <w:style w:type="paragraph" w:styleId="FootnoteText">
    <w:name w:val="footnote text"/>
    <w:basedOn w:val="Normal"/>
    <w:link w:val="FootnoteTextChar"/>
    <w:uiPriority w:val="99"/>
    <w:semiHidden/>
    <w:rsid w:val="006D38C4"/>
    <w:pPr>
      <w:spacing w:after="0" w:line="240" w:lineRule="auto"/>
    </w:pPr>
    <w:rPr>
      <w:sz w:val="20"/>
      <w:szCs w:val="20"/>
    </w:rPr>
  </w:style>
  <w:style w:type="character" w:customStyle="1" w:styleId="FootnoteTextChar">
    <w:name w:val="Footnote Text Char"/>
    <w:basedOn w:val="DefaultParagraphFont"/>
    <w:link w:val="FootnoteText"/>
    <w:uiPriority w:val="99"/>
    <w:semiHidden/>
    <w:locked/>
    <w:rsid w:val="006D38C4"/>
    <w:rPr>
      <w:rFonts w:cs="Times New Roman"/>
      <w:sz w:val="20"/>
      <w:szCs w:val="20"/>
    </w:rPr>
  </w:style>
  <w:style w:type="character" w:styleId="FootnoteReference">
    <w:name w:val="footnote reference"/>
    <w:basedOn w:val="DefaultParagraphFont"/>
    <w:uiPriority w:val="99"/>
    <w:semiHidden/>
    <w:rsid w:val="006D38C4"/>
    <w:rPr>
      <w:rFonts w:cs="Times New Roman"/>
      <w:vertAlign w:val="superscript"/>
    </w:rPr>
  </w:style>
  <w:style w:type="character" w:styleId="CommentReference">
    <w:name w:val="annotation reference"/>
    <w:basedOn w:val="DefaultParagraphFont"/>
    <w:uiPriority w:val="99"/>
    <w:semiHidden/>
    <w:unhideWhenUsed/>
    <w:rsid w:val="006D38C4"/>
    <w:rPr>
      <w:rFonts w:cs="Times New Roman"/>
      <w:sz w:val="16"/>
      <w:szCs w:val="16"/>
    </w:rPr>
  </w:style>
  <w:style w:type="paragraph" w:styleId="CommentText">
    <w:name w:val="annotation text"/>
    <w:basedOn w:val="Normal"/>
    <w:link w:val="CommentTextChar"/>
    <w:uiPriority w:val="99"/>
    <w:semiHidden/>
    <w:unhideWhenUsed/>
    <w:rsid w:val="006D38C4"/>
    <w:pPr>
      <w:spacing w:line="240" w:lineRule="auto"/>
    </w:pPr>
    <w:rPr>
      <w:sz w:val="20"/>
      <w:szCs w:val="20"/>
    </w:rPr>
  </w:style>
  <w:style w:type="character" w:customStyle="1" w:styleId="CommentTextChar">
    <w:name w:val="Comment Text Char"/>
    <w:basedOn w:val="DefaultParagraphFont"/>
    <w:link w:val="CommentText"/>
    <w:uiPriority w:val="99"/>
    <w:semiHidden/>
    <w:locked/>
    <w:rsid w:val="006D38C4"/>
    <w:rPr>
      <w:rFonts w:cs="Times New Roman"/>
      <w:sz w:val="20"/>
      <w:szCs w:val="20"/>
    </w:rPr>
  </w:style>
  <w:style w:type="paragraph" w:styleId="CommentSubject">
    <w:name w:val="annotation subject"/>
    <w:basedOn w:val="CommentText"/>
    <w:next w:val="CommentText"/>
    <w:link w:val="CommentSubjectChar"/>
    <w:uiPriority w:val="99"/>
    <w:semiHidden/>
    <w:unhideWhenUsed/>
    <w:rsid w:val="006D38C4"/>
    <w:rPr>
      <w:b/>
      <w:bCs/>
    </w:rPr>
  </w:style>
  <w:style w:type="character" w:customStyle="1" w:styleId="CommentSubjectChar">
    <w:name w:val="Comment Subject Char"/>
    <w:basedOn w:val="CommentTextChar"/>
    <w:link w:val="CommentSubject"/>
    <w:uiPriority w:val="99"/>
    <w:semiHidden/>
    <w:locked/>
    <w:rsid w:val="006D38C4"/>
    <w:rPr>
      <w:rFonts w:cs="Times New Roman"/>
      <w:b/>
      <w:bCs/>
      <w:sz w:val="20"/>
      <w:szCs w:val="20"/>
    </w:rPr>
  </w:style>
  <w:style w:type="paragraph" w:styleId="BalloonText">
    <w:name w:val="Balloon Text"/>
    <w:basedOn w:val="Normal"/>
    <w:link w:val="BalloonTextChar"/>
    <w:uiPriority w:val="99"/>
    <w:semiHidden/>
    <w:unhideWhenUsed/>
    <w:rsid w:val="006D38C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6D38C4"/>
    <w:rPr>
      <w:rFonts w:ascii="Tahoma" w:hAnsi="Tahoma" w:cs="Tahoma"/>
      <w:sz w:val="16"/>
      <w:szCs w:val="16"/>
    </w:rPr>
  </w:style>
  <w:style w:type="paragraph" w:styleId="EndnoteText">
    <w:name w:val="endnote text"/>
    <w:basedOn w:val="Normal"/>
    <w:link w:val="EndnoteTextChar"/>
    <w:uiPriority w:val="99"/>
    <w:semiHidden/>
    <w:unhideWhenUsed/>
    <w:rsid w:val="006D38C4"/>
    <w:pPr>
      <w:spacing w:after="0" w:line="240" w:lineRule="auto"/>
    </w:pPr>
    <w:rPr>
      <w:sz w:val="20"/>
      <w:szCs w:val="20"/>
    </w:rPr>
  </w:style>
  <w:style w:type="character" w:customStyle="1" w:styleId="EndnoteTextChar">
    <w:name w:val="Endnote Text Char"/>
    <w:basedOn w:val="DefaultParagraphFont"/>
    <w:link w:val="EndnoteText"/>
    <w:uiPriority w:val="99"/>
    <w:semiHidden/>
    <w:locked/>
    <w:rsid w:val="006D38C4"/>
    <w:rPr>
      <w:rFonts w:cs="Times New Roman"/>
      <w:sz w:val="20"/>
      <w:szCs w:val="20"/>
    </w:rPr>
  </w:style>
  <w:style w:type="character" w:styleId="EndnoteReference">
    <w:name w:val="endnote reference"/>
    <w:basedOn w:val="DefaultParagraphFont"/>
    <w:uiPriority w:val="99"/>
    <w:semiHidden/>
    <w:unhideWhenUsed/>
    <w:rsid w:val="006D38C4"/>
    <w:rPr>
      <w:rFonts w:cs="Times New Roman"/>
      <w:vertAlign w:val="superscript"/>
    </w:rPr>
  </w:style>
  <w:style w:type="paragraph" w:styleId="Title">
    <w:name w:val="Title"/>
    <w:basedOn w:val="Normal"/>
    <w:next w:val="Normal"/>
    <w:link w:val="TitleChar"/>
    <w:autoRedefine/>
    <w:uiPriority w:val="10"/>
    <w:qFormat/>
    <w:locked/>
    <w:rsid w:val="006D38C4"/>
    <w:pPr>
      <w:spacing w:after="0" w:line="240" w:lineRule="auto"/>
    </w:pPr>
    <w:rPr>
      <w:b/>
      <w:caps/>
      <w:sz w:val="24"/>
      <w:szCs w:val="24"/>
    </w:rPr>
  </w:style>
  <w:style w:type="character" w:customStyle="1" w:styleId="TitleChar">
    <w:name w:val="Title Char"/>
    <w:basedOn w:val="DefaultParagraphFont"/>
    <w:link w:val="Title"/>
    <w:uiPriority w:val="10"/>
    <w:locked/>
    <w:rsid w:val="006D38C4"/>
    <w:rPr>
      <w:rFonts w:cs="Times New Roman"/>
      <w:b/>
      <w:caps/>
      <w:sz w:val="24"/>
      <w:szCs w:val="24"/>
    </w:rPr>
  </w:style>
  <w:style w:type="paragraph" w:styleId="Subtitle">
    <w:name w:val="Subtitle"/>
    <w:basedOn w:val="Normal"/>
    <w:next w:val="Normal"/>
    <w:link w:val="SubtitleChar"/>
    <w:uiPriority w:val="11"/>
    <w:qFormat/>
    <w:locked/>
    <w:rsid w:val="006D38C4"/>
    <w:pPr>
      <w:spacing w:after="0" w:line="240" w:lineRule="auto"/>
    </w:pPr>
    <w:rPr>
      <w:b/>
      <w:sz w:val="24"/>
      <w:szCs w:val="24"/>
    </w:rPr>
  </w:style>
  <w:style w:type="character" w:customStyle="1" w:styleId="SubtitleChar">
    <w:name w:val="Subtitle Char"/>
    <w:basedOn w:val="DefaultParagraphFont"/>
    <w:link w:val="Subtitle"/>
    <w:uiPriority w:val="11"/>
    <w:locked/>
    <w:rsid w:val="006D38C4"/>
    <w:rPr>
      <w:rFonts w:cs="Times New Roman"/>
      <w:b/>
      <w:sz w:val="24"/>
      <w:szCs w:val="24"/>
    </w:rPr>
  </w:style>
  <w:style w:type="paragraph" w:customStyle="1" w:styleId="DispositionDate">
    <w:name w:val="Disposition Date"/>
    <w:basedOn w:val="Normal"/>
    <w:autoRedefine/>
    <w:qFormat/>
    <w:rsid w:val="006D38C4"/>
    <w:rPr>
      <w:sz w:val="24"/>
      <w:szCs w:val="24"/>
    </w:rPr>
  </w:style>
  <w:style w:type="paragraph" w:styleId="TOC1">
    <w:name w:val="toc 1"/>
    <w:basedOn w:val="Normal"/>
    <w:next w:val="Heading1"/>
    <w:autoRedefine/>
    <w:uiPriority w:val="39"/>
    <w:locked/>
    <w:rsid w:val="006D38C4"/>
  </w:style>
  <w:style w:type="paragraph" w:styleId="TOC2">
    <w:name w:val="toc 2"/>
    <w:basedOn w:val="TOC1"/>
    <w:next w:val="Normal"/>
    <w:autoRedefine/>
    <w:uiPriority w:val="39"/>
    <w:locked/>
    <w:rsid w:val="006D38C4"/>
    <w:pPr>
      <w:spacing w:before="100" w:after="100"/>
      <w:ind w:left="216"/>
    </w:pPr>
  </w:style>
  <w:style w:type="paragraph" w:styleId="TOC3">
    <w:name w:val="toc 3"/>
    <w:basedOn w:val="Normal"/>
    <w:next w:val="Normal"/>
    <w:autoRedefine/>
    <w:uiPriority w:val="39"/>
    <w:locked/>
    <w:rsid w:val="006D38C4"/>
    <w:pPr>
      <w:spacing w:before="100" w:after="100"/>
      <w:ind w:left="720"/>
    </w:pPr>
    <w:rPr>
      <w:rFonts w:asciiTheme="minorHAnsi" w:eastAsiaTheme="majorEastAsia" w:hAnsiTheme="minorHAnsi"/>
      <w:bCs/>
    </w:rPr>
  </w:style>
  <w:style w:type="paragraph" w:customStyle="1" w:styleId="Body1">
    <w:name w:val="Body1"/>
    <w:basedOn w:val="Normal"/>
    <w:qFormat/>
    <w:rsid w:val="006D38C4"/>
  </w:style>
  <w:style w:type="paragraph" w:customStyle="1" w:styleId="Body2">
    <w:name w:val="Body2"/>
    <w:basedOn w:val="Normal"/>
    <w:qFormat/>
    <w:rsid w:val="006D38C4"/>
    <w:pPr>
      <w:ind w:left="216"/>
    </w:pPr>
  </w:style>
  <w:style w:type="paragraph" w:customStyle="1" w:styleId="Body3">
    <w:name w:val="Body3"/>
    <w:basedOn w:val="Body2"/>
    <w:qFormat/>
    <w:rsid w:val="00DF55B0"/>
    <w:pPr>
      <w:spacing w:after="0"/>
      <w:ind w:left="720"/>
    </w:pPr>
  </w:style>
  <w:style w:type="character" w:styleId="Hyperlink">
    <w:name w:val="Hyperlink"/>
    <w:basedOn w:val="DefaultParagraphFont"/>
    <w:uiPriority w:val="99"/>
    <w:unhideWhenUsed/>
    <w:rsid w:val="006D38C4"/>
    <w:rPr>
      <w:rFonts w:cs="Times New Roman"/>
      <w:color w:val="0000FF" w:themeColor="hyperlink"/>
      <w:u w:val="single"/>
    </w:rPr>
  </w:style>
  <w:style w:type="paragraph" w:styleId="Revision">
    <w:name w:val="Revision"/>
    <w:hidden/>
    <w:uiPriority w:val="99"/>
    <w:semiHidden/>
    <w:rsid w:val="00E12B44"/>
    <w:rPr>
      <w:rFonts w:cs="Times New Roman"/>
    </w:rPr>
  </w:style>
  <w:style w:type="numbering" w:customStyle="1" w:styleId="Dispositions">
    <w:name w:val="Dispositions"/>
    <w:pPr>
      <w:numPr>
        <w:numId w:val="23"/>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Calibri"/>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39" w:unhideWhenUsed="0"/>
    <w:lsdException w:name="toc 2" w:locked="1" w:semiHidden="0" w:uiPriority="39"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nhideWhenUsed="0" w:qFormat="1"/>
    <w:lsdException w:name="Title" w:locked="1" w:semiHidden="0" w:uiPriority="0" w:unhideWhenUsed="0" w:qFormat="1"/>
    <w:lsdException w:name="Default Paragraph Font" w:locked="1" w:semiHidden="0" w:uiPriority="1" w:unhideWhenUsed="0"/>
    <w:lsdException w:name="Subtitle" w:locked="1" w:semiHidden="0" w:uiPriority="0" w:unhideWhenUsed="0" w:qFormat="1"/>
    <w:lsdException w:name="Strong" w:locked="1" w:semiHidden="0" w:uiPriority="0" w:unhideWhenUsed="0" w:qFormat="1"/>
    <w:lsdException w:name="Emphasis" w:locked="1" w:semiHidden="0" w:uiPriority="0" w:unhideWhenUsed="0"/>
    <w:lsdException w:name="Table Grid" w:locked="1"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D38C4"/>
    <w:pPr>
      <w:spacing w:after="200" w:line="276" w:lineRule="auto"/>
    </w:pPr>
    <w:rPr>
      <w:rFonts w:cs="Times New Roman"/>
    </w:rPr>
  </w:style>
  <w:style w:type="paragraph" w:styleId="Heading1">
    <w:name w:val="heading 1"/>
    <w:basedOn w:val="Normal"/>
    <w:next w:val="Body1"/>
    <w:link w:val="Heading1Char"/>
    <w:uiPriority w:val="9"/>
    <w:qFormat/>
    <w:locked/>
    <w:rsid w:val="002D46C6"/>
    <w:pPr>
      <w:keepNext/>
      <w:keepLines/>
      <w:numPr>
        <w:numId w:val="29"/>
      </w:numPr>
      <w:spacing w:before="480" w:after="0"/>
      <w:outlineLvl w:val="0"/>
    </w:pPr>
    <w:rPr>
      <w:rFonts w:eastAsiaTheme="majorEastAsia"/>
      <w:b/>
      <w:bCs/>
      <w:szCs w:val="28"/>
    </w:rPr>
  </w:style>
  <w:style w:type="paragraph" w:styleId="Heading2">
    <w:name w:val="heading 2"/>
    <w:basedOn w:val="Normal"/>
    <w:next w:val="Body2"/>
    <w:link w:val="Heading2Char"/>
    <w:uiPriority w:val="9"/>
    <w:unhideWhenUsed/>
    <w:qFormat/>
    <w:locked/>
    <w:rsid w:val="002D46C6"/>
    <w:pPr>
      <w:keepNext/>
      <w:keepLines/>
      <w:numPr>
        <w:ilvl w:val="1"/>
        <w:numId w:val="29"/>
      </w:numPr>
      <w:spacing w:before="200" w:after="0"/>
      <w:outlineLvl w:val="1"/>
    </w:pPr>
    <w:rPr>
      <w:rFonts w:eastAsiaTheme="majorEastAsia"/>
      <w:b/>
      <w:bCs/>
      <w:szCs w:val="26"/>
    </w:rPr>
  </w:style>
  <w:style w:type="paragraph" w:styleId="Heading3">
    <w:name w:val="heading 3"/>
    <w:basedOn w:val="Normal"/>
    <w:next w:val="Body3"/>
    <w:link w:val="Heading3Char"/>
    <w:uiPriority w:val="9"/>
    <w:unhideWhenUsed/>
    <w:qFormat/>
    <w:locked/>
    <w:rsid w:val="002D46C6"/>
    <w:pPr>
      <w:keepNext/>
      <w:keepLines/>
      <w:numPr>
        <w:ilvl w:val="2"/>
        <w:numId w:val="29"/>
      </w:numPr>
      <w:spacing w:before="200" w:after="0"/>
      <w:outlineLvl w:val="2"/>
    </w:pPr>
    <w:rPr>
      <w:rFonts w:eastAsiaTheme="majorEastAsia"/>
      <w:bCs/>
      <w:u w:val="single"/>
    </w:rPr>
  </w:style>
  <w:style w:type="paragraph" w:styleId="Heading4">
    <w:name w:val="heading 4"/>
    <w:basedOn w:val="Normal"/>
    <w:next w:val="Normal"/>
    <w:link w:val="Heading4Char"/>
    <w:autoRedefine/>
    <w:uiPriority w:val="9"/>
    <w:unhideWhenUsed/>
    <w:qFormat/>
    <w:locked/>
    <w:rsid w:val="002D46C6"/>
    <w:pPr>
      <w:keepNext/>
      <w:keepLines/>
      <w:numPr>
        <w:ilvl w:val="3"/>
        <w:numId w:val="29"/>
      </w:numPr>
      <w:spacing w:before="200" w:after="0"/>
      <w:outlineLvl w:val="3"/>
    </w:pPr>
    <w:rPr>
      <w:rFonts w:eastAsiaTheme="majorEastAsia"/>
      <w:bCs/>
      <w:iCs/>
    </w:rPr>
  </w:style>
  <w:style w:type="paragraph" w:styleId="Heading5">
    <w:name w:val="heading 5"/>
    <w:basedOn w:val="Normal"/>
    <w:next w:val="Normal"/>
    <w:link w:val="Heading5Char"/>
    <w:autoRedefine/>
    <w:uiPriority w:val="9"/>
    <w:unhideWhenUsed/>
    <w:qFormat/>
    <w:locked/>
    <w:rsid w:val="002D46C6"/>
    <w:pPr>
      <w:keepNext/>
      <w:keepLines/>
      <w:numPr>
        <w:ilvl w:val="4"/>
        <w:numId w:val="29"/>
      </w:numPr>
      <w:spacing w:before="200" w:after="0"/>
      <w:outlineLvl w:val="4"/>
    </w:pPr>
    <w:rPr>
      <w:rFonts w:eastAsiaTheme="maj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6D38C4"/>
    <w:rPr>
      <w:rFonts w:eastAsiaTheme="majorEastAsia" w:cs="Times New Roman"/>
      <w:b/>
      <w:bCs/>
      <w:sz w:val="28"/>
      <w:szCs w:val="28"/>
    </w:rPr>
  </w:style>
  <w:style w:type="character" w:customStyle="1" w:styleId="Heading2Char">
    <w:name w:val="Heading 2 Char"/>
    <w:basedOn w:val="DefaultParagraphFont"/>
    <w:link w:val="Heading2"/>
    <w:uiPriority w:val="9"/>
    <w:locked/>
    <w:rsid w:val="006D38C4"/>
    <w:rPr>
      <w:rFonts w:eastAsiaTheme="majorEastAsia" w:cs="Times New Roman"/>
      <w:b/>
      <w:bCs/>
      <w:sz w:val="26"/>
      <w:szCs w:val="26"/>
    </w:rPr>
  </w:style>
  <w:style w:type="character" w:customStyle="1" w:styleId="Heading3Char">
    <w:name w:val="Heading 3 Char"/>
    <w:basedOn w:val="DefaultParagraphFont"/>
    <w:link w:val="Heading3"/>
    <w:uiPriority w:val="9"/>
    <w:locked/>
    <w:rsid w:val="00825350"/>
    <w:rPr>
      <w:rFonts w:eastAsiaTheme="majorEastAsia" w:cs="Times New Roman"/>
      <w:bCs/>
      <w:u w:val="single"/>
    </w:rPr>
  </w:style>
  <w:style w:type="character" w:customStyle="1" w:styleId="Heading4Char">
    <w:name w:val="Heading 4 Char"/>
    <w:basedOn w:val="DefaultParagraphFont"/>
    <w:link w:val="Heading4"/>
    <w:uiPriority w:val="9"/>
    <w:locked/>
    <w:rsid w:val="006D38C4"/>
    <w:rPr>
      <w:rFonts w:eastAsiaTheme="majorEastAsia" w:cs="Times New Roman"/>
      <w:bCs/>
      <w:iCs/>
    </w:rPr>
  </w:style>
  <w:style w:type="character" w:customStyle="1" w:styleId="Heading5Char">
    <w:name w:val="Heading 5 Char"/>
    <w:basedOn w:val="DefaultParagraphFont"/>
    <w:link w:val="Heading5"/>
    <w:uiPriority w:val="9"/>
    <w:locked/>
    <w:rsid w:val="006D38C4"/>
    <w:rPr>
      <w:rFonts w:eastAsiaTheme="majorEastAsia" w:cs="Times New Roman"/>
    </w:rPr>
  </w:style>
  <w:style w:type="paragraph" w:styleId="ListParagraph">
    <w:name w:val="List Paragraph"/>
    <w:basedOn w:val="Normal"/>
    <w:uiPriority w:val="99"/>
    <w:qFormat/>
    <w:rsid w:val="006D38C4"/>
    <w:pPr>
      <w:ind w:left="720"/>
      <w:contextualSpacing/>
    </w:pPr>
  </w:style>
  <w:style w:type="paragraph" w:styleId="Caption">
    <w:name w:val="caption"/>
    <w:basedOn w:val="Normal"/>
    <w:next w:val="Normal"/>
    <w:uiPriority w:val="99"/>
    <w:qFormat/>
    <w:rsid w:val="006D38C4"/>
    <w:pPr>
      <w:spacing w:line="240" w:lineRule="auto"/>
    </w:pPr>
    <w:rPr>
      <w:b/>
      <w:bCs/>
      <w:color w:val="4F81BD"/>
      <w:sz w:val="18"/>
      <w:szCs w:val="18"/>
    </w:rPr>
  </w:style>
  <w:style w:type="table" w:styleId="TableGrid">
    <w:name w:val="Table Grid"/>
    <w:basedOn w:val="TableNormal"/>
    <w:uiPriority w:val="59"/>
    <w:rsid w:val="006D38C4"/>
    <w:rPr>
      <w:rFonts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rsid w:val="006D38C4"/>
    <w:pPr>
      <w:tabs>
        <w:tab w:val="center" w:pos="4680"/>
        <w:tab w:val="right" w:pos="9360"/>
      </w:tabs>
      <w:spacing w:after="0" w:line="240" w:lineRule="auto"/>
    </w:pPr>
  </w:style>
  <w:style w:type="character" w:customStyle="1" w:styleId="HeaderChar">
    <w:name w:val="Header Char"/>
    <w:basedOn w:val="DefaultParagraphFont"/>
    <w:link w:val="Header"/>
    <w:uiPriority w:val="99"/>
    <w:locked/>
    <w:rsid w:val="006D38C4"/>
    <w:rPr>
      <w:rFonts w:cs="Times New Roman"/>
    </w:rPr>
  </w:style>
  <w:style w:type="paragraph" w:styleId="Footer">
    <w:name w:val="footer"/>
    <w:basedOn w:val="Normal"/>
    <w:link w:val="FooterChar"/>
    <w:uiPriority w:val="99"/>
    <w:rsid w:val="006D38C4"/>
    <w:pPr>
      <w:tabs>
        <w:tab w:val="center" w:pos="4680"/>
        <w:tab w:val="right" w:pos="9360"/>
      </w:tabs>
      <w:spacing w:after="0" w:line="240" w:lineRule="auto"/>
    </w:pPr>
  </w:style>
  <w:style w:type="character" w:customStyle="1" w:styleId="FooterChar">
    <w:name w:val="Footer Char"/>
    <w:basedOn w:val="DefaultParagraphFont"/>
    <w:link w:val="Footer"/>
    <w:uiPriority w:val="99"/>
    <w:locked/>
    <w:rsid w:val="006D38C4"/>
    <w:rPr>
      <w:rFonts w:cs="Times New Roman"/>
    </w:rPr>
  </w:style>
  <w:style w:type="paragraph" w:styleId="FootnoteText">
    <w:name w:val="footnote text"/>
    <w:basedOn w:val="Normal"/>
    <w:link w:val="FootnoteTextChar"/>
    <w:uiPriority w:val="99"/>
    <w:semiHidden/>
    <w:rsid w:val="006D38C4"/>
    <w:pPr>
      <w:spacing w:after="0" w:line="240" w:lineRule="auto"/>
    </w:pPr>
    <w:rPr>
      <w:sz w:val="20"/>
      <w:szCs w:val="20"/>
    </w:rPr>
  </w:style>
  <w:style w:type="character" w:customStyle="1" w:styleId="FootnoteTextChar">
    <w:name w:val="Footnote Text Char"/>
    <w:basedOn w:val="DefaultParagraphFont"/>
    <w:link w:val="FootnoteText"/>
    <w:uiPriority w:val="99"/>
    <w:semiHidden/>
    <w:locked/>
    <w:rsid w:val="006D38C4"/>
    <w:rPr>
      <w:rFonts w:cs="Times New Roman"/>
      <w:sz w:val="20"/>
      <w:szCs w:val="20"/>
    </w:rPr>
  </w:style>
  <w:style w:type="character" w:styleId="FootnoteReference">
    <w:name w:val="footnote reference"/>
    <w:basedOn w:val="DefaultParagraphFont"/>
    <w:uiPriority w:val="99"/>
    <w:semiHidden/>
    <w:rsid w:val="006D38C4"/>
    <w:rPr>
      <w:rFonts w:cs="Times New Roman"/>
      <w:vertAlign w:val="superscript"/>
    </w:rPr>
  </w:style>
  <w:style w:type="character" w:styleId="CommentReference">
    <w:name w:val="annotation reference"/>
    <w:basedOn w:val="DefaultParagraphFont"/>
    <w:uiPriority w:val="99"/>
    <w:semiHidden/>
    <w:unhideWhenUsed/>
    <w:rsid w:val="006D38C4"/>
    <w:rPr>
      <w:rFonts w:cs="Times New Roman"/>
      <w:sz w:val="16"/>
      <w:szCs w:val="16"/>
    </w:rPr>
  </w:style>
  <w:style w:type="paragraph" w:styleId="CommentText">
    <w:name w:val="annotation text"/>
    <w:basedOn w:val="Normal"/>
    <w:link w:val="CommentTextChar"/>
    <w:uiPriority w:val="99"/>
    <w:semiHidden/>
    <w:unhideWhenUsed/>
    <w:rsid w:val="006D38C4"/>
    <w:pPr>
      <w:spacing w:line="240" w:lineRule="auto"/>
    </w:pPr>
    <w:rPr>
      <w:sz w:val="20"/>
      <w:szCs w:val="20"/>
    </w:rPr>
  </w:style>
  <w:style w:type="character" w:customStyle="1" w:styleId="CommentTextChar">
    <w:name w:val="Comment Text Char"/>
    <w:basedOn w:val="DefaultParagraphFont"/>
    <w:link w:val="CommentText"/>
    <w:uiPriority w:val="99"/>
    <w:semiHidden/>
    <w:locked/>
    <w:rsid w:val="006D38C4"/>
    <w:rPr>
      <w:rFonts w:cs="Times New Roman"/>
      <w:sz w:val="20"/>
      <w:szCs w:val="20"/>
    </w:rPr>
  </w:style>
  <w:style w:type="paragraph" w:styleId="CommentSubject">
    <w:name w:val="annotation subject"/>
    <w:basedOn w:val="CommentText"/>
    <w:next w:val="CommentText"/>
    <w:link w:val="CommentSubjectChar"/>
    <w:uiPriority w:val="99"/>
    <w:semiHidden/>
    <w:unhideWhenUsed/>
    <w:rsid w:val="006D38C4"/>
    <w:rPr>
      <w:b/>
      <w:bCs/>
    </w:rPr>
  </w:style>
  <w:style w:type="character" w:customStyle="1" w:styleId="CommentSubjectChar">
    <w:name w:val="Comment Subject Char"/>
    <w:basedOn w:val="CommentTextChar"/>
    <w:link w:val="CommentSubject"/>
    <w:uiPriority w:val="99"/>
    <w:semiHidden/>
    <w:locked/>
    <w:rsid w:val="006D38C4"/>
    <w:rPr>
      <w:rFonts w:cs="Times New Roman"/>
      <w:b/>
      <w:bCs/>
      <w:sz w:val="20"/>
      <w:szCs w:val="20"/>
    </w:rPr>
  </w:style>
  <w:style w:type="paragraph" w:styleId="BalloonText">
    <w:name w:val="Balloon Text"/>
    <w:basedOn w:val="Normal"/>
    <w:link w:val="BalloonTextChar"/>
    <w:uiPriority w:val="99"/>
    <w:semiHidden/>
    <w:unhideWhenUsed/>
    <w:rsid w:val="006D38C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6D38C4"/>
    <w:rPr>
      <w:rFonts w:ascii="Tahoma" w:hAnsi="Tahoma" w:cs="Tahoma"/>
      <w:sz w:val="16"/>
      <w:szCs w:val="16"/>
    </w:rPr>
  </w:style>
  <w:style w:type="paragraph" w:styleId="EndnoteText">
    <w:name w:val="endnote text"/>
    <w:basedOn w:val="Normal"/>
    <w:link w:val="EndnoteTextChar"/>
    <w:uiPriority w:val="99"/>
    <w:semiHidden/>
    <w:unhideWhenUsed/>
    <w:rsid w:val="006D38C4"/>
    <w:pPr>
      <w:spacing w:after="0" w:line="240" w:lineRule="auto"/>
    </w:pPr>
    <w:rPr>
      <w:sz w:val="20"/>
      <w:szCs w:val="20"/>
    </w:rPr>
  </w:style>
  <w:style w:type="character" w:customStyle="1" w:styleId="EndnoteTextChar">
    <w:name w:val="Endnote Text Char"/>
    <w:basedOn w:val="DefaultParagraphFont"/>
    <w:link w:val="EndnoteText"/>
    <w:uiPriority w:val="99"/>
    <w:semiHidden/>
    <w:locked/>
    <w:rsid w:val="006D38C4"/>
    <w:rPr>
      <w:rFonts w:cs="Times New Roman"/>
      <w:sz w:val="20"/>
      <w:szCs w:val="20"/>
    </w:rPr>
  </w:style>
  <w:style w:type="character" w:styleId="EndnoteReference">
    <w:name w:val="endnote reference"/>
    <w:basedOn w:val="DefaultParagraphFont"/>
    <w:uiPriority w:val="99"/>
    <w:semiHidden/>
    <w:unhideWhenUsed/>
    <w:rsid w:val="006D38C4"/>
    <w:rPr>
      <w:rFonts w:cs="Times New Roman"/>
      <w:vertAlign w:val="superscript"/>
    </w:rPr>
  </w:style>
  <w:style w:type="paragraph" w:styleId="Title">
    <w:name w:val="Title"/>
    <w:basedOn w:val="Normal"/>
    <w:next w:val="Normal"/>
    <w:link w:val="TitleChar"/>
    <w:autoRedefine/>
    <w:uiPriority w:val="10"/>
    <w:qFormat/>
    <w:locked/>
    <w:rsid w:val="006D38C4"/>
    <w:pPr>
      <w:spacing w:after="0" w:line="240" w:lineRule="auto"/>
    </w:pPr>
    <w:rPr>
      <w:b/>
      <w:caps/>
      <w:sz w:val="24"/>
      <w:szCs w:val="24"/>
    </w:rPr>
  </w:style>
  <w:style w:type="character" w:customStyle="1" w:styleId="TitleChar">
    <w:name w:val="Title Char"/>
    <w:basedOn w:val="DefaultParagraphFont"/>
    <w:link w:val="Title"/>
    <w:uiPriority w:val="10"/>
    <w:locked/>
    <w:rsid w:val="006D38C4"/>
    <w:rPr>
      <w:rFonts w:cs="Times New Roman"/>
      <w:b/>
      <w:caps/>
      <w:sz w:val="24"/>
      <w:szCs w:val="24"/>
    </w:rPr>
  </w:style>
  <w:style w:type="paragraph" w:styleId="Subtitle">
    <w:name w:val="Subtitle"/>
    <w:basedOn w:val="Normal"/>
    <w:next w:val="Normal"/>
    <w:link w:val="SubtitleChar"/>
    <w:uiPriority w:val="11"/>
    <w:qFormat/>
    <w:locked/>
    <w:rsid w:val="006D38C4"/>
    <w:pPr>
      <w:spacing w:after="0" w:line="240" w:lineRule="auto"/>
    </w:pPr>
    <w:rPr>
      <w:b/>
      <w:sz w:val="24"/>
      <w:szCs w:val="24"/>
    </w:rPr>
  </w:style>
  <w:style w:type="character" w:customStyle="1" w:styleId="SubtitleChar">
    <w:name w:val="Subtitle Char"/>
    <w:basedOn w:val="DefaultParagraphFont"/>
    <w:link w:val="Subtitle"/>
    <w:uiPriority w:val="11"/>
    <w:locked/>
    <w:rsid w:val="006D38C4"/>
    <w:rPr>
      <w:rFonts w:cs="Times New Roman"/>
      <w:b/>
      <w:sz w:val="24"/>
      <w:szCs w:val="24"/>
    </w:rPr>
  </w:style>
  <w:style w:type="paragraph" w:customStyle="1" w:styleId="DispositionDate">
    <w:name w:val="Disposition Date"/>
    <w:basedOn w:val="Normal"/>
    <w:autoRedefine/>
    <w:qFormat/>
    <w:rsid w:val="006D38C4"/>
    <w:rPr>
      <w:sz w:val="24"/>
      <w:szCs w:val="24"/>
    </w:rPr>
  </w:style>
  <w:style w:type="paragraph" w:styleId="TOC1">
    <w:name w:val="toc 1"/>
    <w:basedOn w:val="Normal"/>
    <w:next w:val="Heading1"/>
    <w:autoRedefine/>
    <w:uiPriority w:val="39"/>
    <w:locked/>
    <w:rsid w:val="006D38C4"/>
  </w:style>
  <w:style w:type="paragraph" w:styleId="TOC2">
    <w:name w:val="toc 2"/>
    <w:basedOn w:val="TOC1"/>
    <w:next w:val="Normal"/>
    <w:autoRedefine/>
    <w:uiPriority w:val="39"/>
    <w:locked/>
    <w:rsid w:val="006D38C4"/>
    <w:pPr>
      <w:spacing w:before="100" w:after="100"/>
      <w:ind w:left="216"/>
    </w:pPr>
  </w:style>
  <w:style w:type="paragraph" w:styleId="TOC3">
    <w:name w:val="toc 3"/>
    <w:basedOn w:val="Normal"/>
    <w:next w:val="Normal"/>
    <w:autoRedefine/>
    <w:uiPriority w:val="39"/>
    <w:locked/>
    <w:rsid w:val="006D38C4"/>
    <w:pPr>
      <w:spacing w:before="100" w:after="100"/>
      <w:ind w:left="720"/>
    </w:pPr>
    <w:rPr>
      <w:rFonts w:asciiTheme="minorHAnsi" w:eastAsiaTheme="majorEastAsia" w:hAnsiTheme="minorHAnsi"/>
      <w:bCs/>
    </w:rPr>
  </w:style>
  <w:style w:type="paragraph" w:customStyle="1" w:styleId="Body1">
    <w:name w:val="Body1"/>
    <w:basedOn w:val="Normal"/>
    <w:qFormat/>
    <w:rsid w:val="006D38C4"/>
  </w:style>
  <w:style w:type="paragraph" w:customStyle="1" w:styleId="Body2">
    <w:name w:val="Body2"/>
    <w:basedOn w:val="Normal"/>
    <w:qFormat/>
    <w:rsid w:val="006D38C4"/>
    <w:pPr>
      <w:ind w:left="216"/>
    </w:pPr>
  </w:style>
  <w:style w:type="paragraph" w:customStyle="1" w:styleId="Body3">
    <w:name w:val="Body3"/>
    <w:basedOn w:val="Body2"/>
    <w:qFormat/>
    <w:rsid w:val="00DF55B0"/>
    <w:pPr>
      <w:spacing w:after="0"/>
      <w:ind w:left="720"/>
    </w:pPr>
  </w:style>
  <w:style w:type="character" w:styleId="Hyperlink">
    <w:name w:val="Hyperlink"/>
    <w:basedOn w:val="DefaultParagraphFont"/>
    <w:uiPriority w:val="99"/>
    <w:unhideWhenUsed/>
    <w:rsid w:val="006D38C4"/>
    <w:rPr>
      <w:rFonts w:cs="Times New Roman"/>
      <w:color w:val="0000FF" w:themeColor="hyperlink"/>
      <w:u w:val="single"/>
    </w:rPr>
  </w:style>
  <w:style w:type="paragraph" w:styleId="Revision">
    <w:name w:val="Revision"/>
    <w:hidden/>
    <w:uiPriority w:val="99"/>
    <w:semiHidden/>
    <w:rsid w:val="00E12B44"/>
    <w:rPr>
      <w:rFonts w:cs="Times New Roman"/>
    </w:rPr>
  </w:style>
  <w:style w:type="numbering" w:customStyle="1" w:styleId="Dispositions">
    <w:name w:val="Dispositions"/>
    <w:pPr>
      <w:numPr>
        <w:numId w:val="2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40605124">
      <w:marLeft w:val="0"/>
      <w:marRight w:val="0"/>
      <w:marTop w:val="0"/>
      <w:marBottom w:val="0"/>
      <w:divBdr>
        <w:top w:val="none" w:sz="0" w:space="0" w:color="auto"/>
        <w:left w:val="none" w:sz="0" w:space="0" w:color="auto"/>
        <w:bottom w:val="none" w:sz="0" w:space="0" w:color="auto"/>
        <w:right w:val="none" w:sz="0" w:space="0" w:color="auto"/>
      </w:divBdr>
    </w:div>
    <w:div w:id="940605125">
      <w:marLeft w:val="0"/>
      <w:marRight w:val="0"/>
      <w:marTop w:val="0"/>
      <w:marBottom w:val="0"/>
      <w:divBdr>
        <w:top w:val="none" w:sz="0" w:space="0" w:color="auto"/>
        <w:left w:val="none" w:sz="0" w:space="0" w:color="auto"/>
        <w:bottom w:val="none" w:sz="0" w:space="0" w:color="auto"/>
        <w:right w:val="none" w:sz="0" w:space="0" w:color="auto"/>
      </w:divBdr>
    </w:div>
    <w:div w:id="940605126">
      <w:marLeft w:val="0"/>
      <w:marRight w:val="0"/>
      <w:marTop w:val="0"/>
      <w:marBottom w:val="0"/>
      <w:divBdr>
        <w:top w:val="none" w:sz="0" w:space="0" w:color="auto"/>
        <w:left w:val="none" w:sz="0" w:space="0" w:color="auto"/>
        <w:bottom w:val="none" w:sz="0" w:space="0" w:color="auto"/>
        <w:right w:val="none" w:sz="0" w:space="0" w:color="auto"/>
      </w:divBdr>
    </w:div>
    <w:div w:id="940605127">
      <w:marLeft w:val="0"/>
      <w:marRight w:val="0"/>
      <w:marTop w:val="0"/>
      <w:marBottom w:val="0"/>
      <w:divBdr>
        <w:top w:val="none" w:sz="0" w:space="0" w:color="auto"/>
        <w:left w:val="none" w:sz="0" w:space="0" w:color="auto"/>
        <w:bottom w:val="none" w:sz="0" w:space="0" w:color="auto"/>
        <w:right w:val="none" w:sz="0" w:space="0" w:color="auto"/>
      </w:divBdr>
    </w:div>
    <w:div w:id="940605128">
      <w:marLeft w:val="0"/>
      <w:marRight w:val="0"/>
      <w:marTop w:val="0"/>
      <w:marBottom w:val="0"/>
      <w:divBdr>
        <w:top w:val="none" w:sz="0" w:space="0" w:color="auto"/>
        <w:left w:val="none" w:sz="0" w:space="0" w:color="auto"/>
        <w:bottom w:val="none" w:sz="0" w:space="0" w:color="auto"/>
        <w:right w:val="none" w:sz="0" w:space="0" w:color="auto"/>
      </w:divBdr>
    </w:div>
    <w:div w:id="940605129">
      <w:marLeft w:val="0"/>
      <w:marRight w:val="0"/>
      <w:marTop w:val="0"/>
      <w:marBottom w:val="0"/>
      <w:divBdr>
        <w:top w:val="none" w:sz="0" w:space="0" w:color="auto"/>
        <w:left w:val="none" w:sz="0" w:space="0" w:color="auto"/>
        <w:bottom w:val="none" w:sz="0" w:space="0" w:color="auto"/>
        <w:right w:val="none" w:sz="0" w:space="0" w:color="auto"/>
      </w:divBdr>
    </w:div>
    <w:div w:id="940605130">
      <w:marLeft w:val="0"/>
      <w:marRight w:val="0"/>
      <w:marTop w:val="0"/>
      <w:marBottom w:val="0"/>
      <w:divBdr>
        <w:top w:val="none" w:sz="0" w:space="0" w:color="auto"/>
        <w:left w:val="none" w:sz="0" w:space="0" w:color="auto"/>
        <w:bottom w:val="none" w:sz="0" w:space="0" w:color="auto"/>
        <w:right w:val="none" w:sz="0" w:space="0" w:color="auto"/>
      </w:divBdr>
    </w:div>
    <w:div w:id="940605131">
      <w:marLeft w:val="0"/>
      <w:marRight w:val="0"/>
      <w:marTop w:val="0"/>
      <w:marBottom w:val="0"/>
      <w:divBdr>
        <w:top w:val="none" w:sz="0" w:space="0" w:color="auto"/>
        <w:left w:val="none" w:sz="0" w:space="0" w:color="auto"/>
        <w:bottom w:val="none" w:sz="0" w:space="0" w:color="auto"/>
        <w:right w:val="none" w:sz="0" w:space="0" w:color="auto"/>
      </w:divBdr>
    </w:div>
    <w:div w:id="940605132">
      <w:marLeft w:val="0"/>
      <w:marRight w:val="0"/>
      <w:marTop w:val="0"/>
      <w:marBottom w:val="0"/>
      <w:divBdr>
        <w:top w:val="none" w:sz="0" w:space="0" w:color="auto"/>
        <w:left w:val="none" w:sz="0" w:space="0" w:color="auto"/>
        <w:bottom w:val="none" w:sz="0" w:space="0" w:color="auto"/>
        <w:right w:val="none" w:sz="0" w:space="0" w:color="auto"/>
      </w:divBdr>
    </w:div>
    <w:div w:id="940605133">
      <w:marLeft w:val="0"/>
      <w:marRight w:val="0"/>
      <w:marTop w:val="0"/>
      <w:marBottom w:val="0"/>
      <w:divBdr>
        <w:top w:val="none" w:sz="0" w:space="0" w:color="auto"/>
        <w:left w:val="none" w:sz="0" w:space="0" w:color="auto"/>
        <w:bottom w:val="none" w:sz="0" w:space="0" w:color="auto"/>
        <w:right w:val="none" w:sz="0" w:space="0" w:color="auto"/>
      </w:divBdr>
    </w:div>
    <w:div w:id="940605134">
      <w:marLeft w:val="0"/>
      <w:marRight w:val="0"/>
      <w:marTop w:val="0"/>
      <w:marBottom w:val="0"/>
      <w:divBdr>
        <w:top w:val="none" w:sz="0" w:space="0" w:color="auto"/>
        <w:left w:val="none" w:sz="0" w:space="0" w:color="auto"/>
        <w:bottom w:val="none" w:sz="0" w:space="0" w:color="auto"/>
        <w:right w:val="none" w:sz="0" w:space="0" w:color="auto"/>
      </w:divBdr>
    </w:div>
    <w:div w:id="940605135">
      <w:marLeft w:val="0"/>
      <w:marRight w:val="0"/>
      <w:marTop w:val="0"/>
      <w:marBottom w:val="0"/>
      <w:divBdr>
        <w:top w:val="none" w:sz="0" w:space="0" w:color="auto"/>
        <w:left w:val="none" w:sz="0" w:space="0" w:color="auto"/>
        <w:bottom w:val="none" w:sz="0" w:space="0" w:color="auto"/>
        <w:right w:val="none" w:sz="0" w:space="0" w:color="auto"/>
      </w:divBdr>
    </w:div>
    <w:div w:id="940605136">
      <w:marLeft w:val="0"/>
      <w:marRight w:val="0"/>
      <w:marTop w:val="0"/>
      <w:marBottom w:val="0"/>
      <w:divBdr>
        <w:top w:val="none" w:sz="0" w:space="0" w:color="auto"/>
        <w:left w:val="none" w:sz="0" w:space="0" w:color="auto"/>
        <w:bottom w:val="none" w:sz="0" w:space="0" w:color="auto"/>
        <w:right w:val="none" w:sz="0" w:space="0" w:color="auto"/>
      </w:divBdr>
    </w:div>
    <w:div w:id="940605137">
      <w:marLeft w:val="0"/>
      <w:marRight w:val="0"/>
      <w:marTop w:val="0"/>
      <w:marBottom w:val="0"/>
      <w:divBdr>
        <w:top w:val="none" w:sz="0" w:space="0" w:color="auto"/>
        <w:left w:val="none" w:sz="0" w:space="0" w:color="auto"/>
        <w:bottom w:val="none" w:sz="0" w:space="0" w:color="auto"/>
        <w:right w:val="none" w:sz="0" w:space="0" w:color="auto"/>
      </w:divBdr>
    </w:div>
    <w:div w:id="940605138">
      <w:marLeft w:val="0"/>
      <w:marRight w:val="0"/>
      <w:marTop w:val="0"/>
      <w:marBottom w:val="0"/>
      <w:divBdr>
        <w:top w:val="none" w:sz="0" w:space="0" w:color="auto"/>
        <w:left w:val="none" w:sz="0" w:space="0" w:color="auto"/>
        <w:bottom w:val="none" w:sz="0" w:space="0" w:color="auto"/>
        <w:right w:val="none" w:sz="0" w:space="0" w:color="auto"/>
      </w:divBdr>
    </w:div>
    <w:div w:id="940605139">
      <w:marLeft w:val="0"/>
      <w:marRight w:val="0"/>
      <w:marTop w:val="0"/>
      <w:marBottom w:val="0"/>
      <w:divBdr>
        <w:top w:val="none" w:sz="0" w:space="0" w:color="auto"/>
        <w:left w:val="none" w:sz="0" w:space="0" w:color="auto"/>
        <w:bottom w:val="none" w:sz="0" w:space="0" w:color="auto"/>
        <w:right w:val="none" w:sz="0" w:space="0" w:color="auto"/>
      </w:divBdr>
    </w:div>
    <w:div w:id="10889672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emf"/><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3.emf"/><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20" Type="http://schemas.microsoft.com/office/2011/relationships/commentsExtended" Target="commentsExtended.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emf"/><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http://www.deeresources.info" TargetMode="External"/><Relationship Id="rId19" Type="http://schemas.microsoft.com/office/2011/relationships/people" Target="people.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ation10\Documents\Zamora\CPUC\Disposition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AD9C2B-0200-4459-83BA-F98218F944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DispositionTemplate</Template>
  <TotalTime>9</TotalTime>
  <Pages>13</Pages>
  <Words>2336</Words>
  <Characters>13321</Characters>
  <Application>Microsoft Office Word</Application>
  <DocSecurity>0</DocSecurity>
  <Lines>111</Lines>
  <Paragraphs>31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15626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KJM</dc:creator>
  <cp:lastModifiedBy>Pena, Bryan</cp:lastModifiedBy>
  <cp:revision>3</cp:revision>
  <cp:lastPrinted>2017-05-09T20:34:00Z</cp:lastPrinted>
  <dcterms:created xsi:type="dcterms:W3CDTF">2017-05-30T21:17:00Z</dcterms:created>
  <dcterms:modified xsi:type="dcterms:W3CDTF">2017-05-30T21:36:00Z</dcterms:modified>
</cp:coreProperties>
</file>