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61692B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228B7">
            <w:t>SCE17LG020</w:t>
          </w:r>
        </w:sdtContent>
      </w:sdt>
    </w:p>
    <w:bookmarkEnd w:id="0"/>
    <w:p w14:paraId="7601CE2F" w14:textId="6201A599" w:rsidR="00DA690B" w:rsidRPr="00500C4E" w:rsidRDefault="00157F9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D228B7" w:rsidRPr="00500C4E">
            <w:rPr>
              <w:rStyle w:val="CaptionChar"/>
              <w:rFonts w:asciiTheme="minorHAnsi" w:hAnsiTheme="minorHAnsi" w:cstheme="minorHAnsi"/>
              <w:b/>
              <w:bCs w:val="0"/>
              <w:sz w:val="48"/>
              <w:szCs w:val="48"/>
            </w:rPr>
            <w:t xml:space="preserve">Revision </w:t>
          </w:r>
          <w:r w:rsidR="00D228B7">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157F9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F465F39" w:rsidR="00DA690B" w:rsidRPr="00500C4E" w:rsidRDefault="000D0306" w:rsidP="00DA690B">
      <w:pPr>
        <w:rPr>
          <w:rFonts w:cstheme="minorHAnsi"/>
          <w:b/>
          <w:sz w:val="72"/>
          <w:szCs w:val="72"/>
        </w:rPr>
      </w:pPr>
      <w:r>
        <w:rPr>
          <w:rFonts w:cstheme="minorHAnsi"/>
          <w:b/>
          <w:sz w:val="72"/>
          <w:szCs w:val="72"/>
        </w:rPr>
        <w:t>Wall Mounted Occupancy Sensors – Multifamily</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0D0306" w:rsidRPr="00500C4E" w14:paraId="4D3A4AB5" w14:textId="77777777" w:rsidTr="00920905">
        <w:trPr>
          <w:trHeight w:val="465"/>
        </w:trPr>
        <w:tc>
          <w:tcPr>
            <w:tcW w:w="1875" w:type="pct"/>
          </w:tcPr>
          <w:p w14:paraId="4D8DADAE" w14:textId="129EB9BE" w:rsidR="000D0306" w:rsidRPr="00920905" w:rsidRDefault="000D0306" w:rsidP="000D0306">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5B87BB9C" w:rsidR="000D0306" w:rsidRPr="00A015B9" w:rsidRDefault="00E960DA" w:rsidP="000D0306">
            <w:pPr>
              <w:rPr>
                <w:rFonts w:cs="Arial"/>
                <w:szCs w:val="20"/>
              </w:rPr>
            </w:pPr>
            <w:r>
              <w:rPr>
                <w:rFonts w:cs="Arial"/>
                <w:szCs w:val="20"/>
              </w:rPr>
              <w:t>LT-78685</w:t>
            </w:r>
          </w:p>
        </w:tc>
      </w:tr>
      <w:tr w:rsidR="000D0306" w:rsidRPr="00500C4E" w14:paraId="63B310F0" w14:textId="77777777" w:rsidTr="00920905">
        <w:trPr>
          <w:trHeight w:val="465"/>
        </w:trPr>
        <w:tc>
          <w:tcPr>
            <w:tcW w:w="1875" w:type="pct"/>
          </w:tcPr>
          <w:p w14:paraId="5050E2A3" w14:textId="2CBF1387"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41050D7" w:rsidR="000D0306" w:rsidRPr="00500C4E" w:rsidRDefault="000D0306" w:rsidP="00A015B9">
            <w:pPr>
              <w:rPr>
                <w:rFonts w:cs="Arial"/>
                <w:color w:val="FF0000"/>
                <w:szCs w:val="20"/>
              </w:rPr>
            </w:pPr>
            <w:r>
              <w:rPr>
                <w:rFonts w:cs="Arial"/>
                <w:szCs w:val="20"/>
              </w:rPr>
              <w:t>Wall-mounted occupancy sensor controlling a l</w:t>
            </w:r>
            <w:r w:rsidR="00A015B9">
              <w:rPr>
                <w:rFonts w:cs="Arial"/>
                <w:szCs w:val="20"/>
              </w:rPr>
              <w:t>ighting system in a mobile home or</w:t>
            </w:r>
            <w:r>
              <w:rPr>
                <w:rFonts w:cs="Arial"/>
                <w:szCs w:val="20"/>
              </w:rPr>
              <w:t xml:space="preserve"> multi-family building</w:t>
            </w:r>
          </w:p>
        </w:tc>
      </w:tr>
      <w:tr w:rsidR="000D0306" w:rsidRPr="00500C4E" w14:paraId="085771EF" w14:textId="77777777" w:rsidTr="00920905">
        <w:trPr>
          <w:trHeight w:val="465"/>
        </w:trPr>
        <w:tc>
          <w:tcPr>
            <w:tcW w:w="1875" w:type="pct"/>
          </w:tcPr>
          <w:p w14:paraId="679DB8A0" w14:textId="3D691398"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CCE1E59" w:rsidR="000D0306" w:rsidRPr="00500C4E" w:rsidRDefault="000D0306" w:rsidP="000D0306">
            <w:pPr>
              <w:rPr>
                <w:rFonts w:cs="Arial"/>
                <w:color w:val="FF0000"/>
                <w:szCs w:val="20"/>
              </w:rPr>
            </w:pPr>
            <w:r>
              <w:rPr>
                <w:rFonts w:cs="Arial"/>
                <w:szCs w:val="20"/>
              </w:rPr>
              <w:t>Lighting system without automated controls.</w:t>
            </w:r>
          </w:p>
        </w:tc>
      </w:tr>
      <w:tr w:rsidR="000D0306" w:rsidRPr="00500C4E" w14:paraId="5C218003" w14:textId="77777777" w:rsidTr="00920905">
        <w:trPr>
          <w:trHeight w:val="465"/>
        </w:trPr>
        <w:tc>
          <w:tcPr>
            <w:tcW w:w="1875" w:type="pct"/>
          </w:tcPr>
          <w:p w14:paraId="1DBA889C" w14:textId="032192ED"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7165517" w:rsidR="000D0306" w:rsidRPr="00500C4E" w:rsidRDefault="000D0306" w:rsidP="000D0306">
            <w:pPr>
              <w:rPr>
                <w:rFonts w:cs="Arial"/>
                <w:color w:val="FF0000"/>
                <w:szCs w:val="20"/>
              </w:rPr>
            </w:pPr>
            <w:r>
              <w:rPr>
                <w:rFonts w:cs="Arial"/>
                <w:szCs w:val="20"/>
              </w:rPr>
              <w:t>Sensor</w:t>
            </w:r>
          </w:p>
        </w:tc>
      </w:tr>
      <w:tr w:rsidR="000D0306" w:rsidRPr="00500C4E" w14:paraId="66C8B424" w14:textId="77777777" w:rsidTr="00920905">
        <w:trPr>
          <w:trHeight w:val="465"/>
        </w:trPr>
        <w:tc>
          <w:tcPr>
            <w:tcW w:w="1875" w:type="pct"/>
          </w:tcPr>
          <w:p w14:paraId="0C38E296" w14:textId="625EE0BE" w:rsidR="000D0306" w:rsidRPr="00920905" w:rsidRDefault="000D0306" w:rsidP="000D0306">
            <w:pPr>
              <w:rPr>
                <w:rStyle w:val="Strong1"/>
                <w:szCs w:val="20"/>
              </w:rPr>
            </w:pPr>
            <w:r w:rsidRPr="00500C4E">
              <w:rPr>
                <w:rStyle w:val="Strong"/>
                <w:rFonts w:asciiTheme="minorHAnsi" w:hAnsiTheme="minorHAnsi"/>
                <w:sz w:val="20"/>
                <w:szCs w:val="20"/>
              </w:rPr>
              <w:t>Energy Savings</w:t>
            </w:r>
          </w:p>
        </w:tc>
        <w:tc>
          <w:tcPr>
            <w:tcW w:w="3125" w:type="pct"/>
          </w:tcPr>
          <w:p w14:paraId="7D5952C1" w14:textId="000E392D" w:rsidR="000D0306" w:rsidRPr="00500C4E" w:rsidRDefault="000D0306" w:rsidP="000D0306">
            <w:pPr>
              <w:rPr>
                <w:rFonts w:cs="Arial"/>
                <w:szCs w:val="20"/>
              </w:rPr>
            </w:pPr>
            <w:r w:rsidRPr="00316590">
              <w:rPr>
                <w:rFonts w:cs="Arial"/>
                <w:szCs w:val="20"/>
              </w:rPr>
              <w:t>Refer to Excel Calculation Attachment</w:t>
            </w:r>
            <w:r w:rsidR="00173AB3">
              <w:rPr>
                <w:rFonts w:cs="Arial"/>
                <w:szCs w:val="20"/>
              </w:rPr>
              <w:t xml:space="preserve"> 1</w:t>
            </w:r>
          </w:p>
        </w:tc>
      </w:tr>
      <w:tr w:rsidR="000D0306" w:rsidRPr="00500C4E" w14:paraId="3432D116" w14:textId="77777777" w:rsidTr="00920905">
        <w:trPr>
          <w:trHeight w:val="465"/>
        </w:trPr>
        <w:tc>
          <w:tcPr>
            <w:tcW w:w="1875" w:type="pct"/>
          </w:tcPr>
          <w:p w14:paraId="3CB3B700" w14:textId="30D3563F" w:rsidR="000D0306" w:rsidRPr="00500C4E" w:rsidRDefault="000D0306" w:rsidP="000D0306">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3CB422B4" w:rsidR="000D0306" w:rsidRPr="00500C4E" w:rsidRDefault="000D0306" w:rsidP="000D0306">
            <w:pPr>
              <w:rPr>
                <w:rFonts w:cs="Arial"/>
                <w:szCs w:val="20"/>
              </w:rPr>
            </w:pPr>
            <w:r w:rsidRPr="00316590">
              <w:rPr>
                <w:rFonts w:cs="Arial"/>
                <w:szCs w:val="20"/>
              </w:rPr>
              <w:t>Refer to Excel Calculation Attachment</w:t>
            </w:r>
            <w:r w:rsidR="00173AB3">
              <w:rPr>
                <w:rFonts w:cs="Arial"/>
                <w:szCs w:val="20"/>
              </w:rPr>
              <w:t xml:space="preserve"> 2</w:t>
            </w:r>
          </w:p>
        </w:tc>
      </w:tr>
      <w:tr w:rsidR="000D0306" w:rsidRPr="00500C4E" w14:paraId="2D16677E" w14:textId="77777777" w:rsidTr="00920905">
        <w:trPr>
          <w:trHeight w:val="465"/>
        </w:trPr>
        <w:tc>
          <w:tcPr>
            <w:tcW w:w="1875" w:type="pct"/>
          </w:tcPr>
          <w:p w14:paraId="1C8BF889" w14:textId="6745F31A"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65A42570" w:rsidR="000D0306" w:rsidRPr="00500C4E" w:rsidRDefault="000D0306" w:rsidP="000D0306">
            <w:pPr>
              <w:rPr>
                <w:rFonts w:cs="Arial"/>
                <w:szCs w:val="20"/>
              </w:rPr>
            </w:pPr>
            <w:r w:rsidRPr="00316590">
              <w:rPr>
                <w:rFonts w:cs="Arial"/>
                <w:szCs w:val="20"/>
              </w:rPr>
              <w:t>Refer to Excel Calculation Attachment</w:t>
            </w:r>
            <w:r w:rsidR="00173AB3">
              <w:rPr>
                <w:rFonts w:cs="Arial"/>
                <w:szCs w:val="20"/>
              </w:rPr>
              <w:t xml:space="preserve"> 2</w:t>
            </w:r>
          </w:p>
        </w:tc>
      </w:tr>
      <w:tr w:rsidR="000D0306" w:rsidRPr="00500C4E" w14:paraId="466E1409" w14:textId="77777777" w:rsidTr="00920905">
        <w:trPr>
          <w:trHeight w:val="465"/>
        </w:trPr>
        <w:tc>
          <w:tcPr>
            <w:tcW w:w="1875" w:type="pct"/>
          </w:tcPr>
          <w:p w14:paraId="4F8D0A97" w14:textId="25FD4E84"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2D560470" w:rsidR="000D0306" w:rsidRPr="00500C4E" w:rsidRDefault="000D0306" w:rsidP="000D0306">
            <w:pPr>
              <w:rPr>
                <w:rFonts w:cs="Arial"/>
                <w:color w:val="FF0000"/>
                <w:szCs w:val="20"/>
              </w:rPr>
            </w:pPr>
            <w:proofErr w:type="spellStart"/>
            <w:r w:rsidRPr="00316590">
              <w:rPr>
                <w:rFonts w:cstheme="minorHAnsi"/>
                <w:szCs w:val="20"/>
              </w:rPr>
              <w:t>ILtg-OccSens</w:t>
            </w:r>
            <w:proofErr w:type="spellEnd"/>
            <w:r w:rsidR="00E960DA">
              <w:rPr>
                <w:rFonts w:cstheme="minorHAnsi"/>
                <w:szCs w:val="20"/>
              </w:rPr>
              <w:t>: 5</w:t>
            </w:r>
            <w:r w:rsidR="00A015B9">
              <w:rPr>
                <w:rFonts w:cstheme="minorHAnsi"/>
                <w:szCs w:val="20"/>
              </w:rPr>
              <w:t xml:space="preserve"> years</w:t>
            </w:r>
          </w:p>
        </w:tc>
      </w:tr>
      <w:tr w:rsidR="000D0306" w:rsidRPr="00500C4E" w14:paraId="6FFAAB3B" w14:textId="77777777" w:rsidTr="00920905">
        <w:trPr>
          <w:trHeight w:val="465"/>
        </w:trPr>
        <w:tc>
          <w:tcPr>
            <w:tcW w:w="1875" w:type="pct"/>
          </w:tcPr>
          <w:p w14:paraId="080378E9" w14:textId="52D7A149"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7CC7EC2" w:rsidR="000D0306" w:rsidRPr="00500C4E" w:rsidRDefault="000D0306" w:rsidP="000D0306">
            <w:pPr>
              <w:rPr>
                <w:rFonts w:cs="Arial"/>
                <w:color w:val="FF0000"/>
                <w:szCs w:val="20"/>
              </w:rPr>
            </w:pPr>
            <w:r w:rsidRPr="00316590">
              <w:rPr>
                <w:rFonts w:cs="Arial"/>
                <w:szCs w:val="20"/>
              </w:rPr>
              <w:t xml:space="preserve">Retrofit Add-on (REA) </w:t>
            </w:r>
          </w:p>
        </w:tc>
      </w:tr>
      <w:tr w:rsidR="000D0306" w:rsidRPr="00500C4E" w14:paraId="2EA80FC2" w14:textId="77777777" w:rsidTr="00920905">
        <w:trPr>
          <w:trHeight w:val="465"/>
        </w:trPr>
        <w:tc>
          <w:tcPr>
            <w:tcW w:w="1875" w:type="pct"/>
          </w:tcPr>
          <w:p w14:paraId="7E87F403" w14:textId="5683C17E" w:rsidR="000D0306" w:rsidRPr="00500C4E" w:rsidRDefault="000D0306" w:rsidP="000D030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50F1E64B" w14:textId="52B21414" w:rsidR="000D0306" w:rsidRDefault="00A015B9" w:rsidP="000D0306">
            <w:pPr>
              <w:rPr>
                <w:rFonts w:cs="Arial"/>
                <w:szCs w:val="20"/>
              </w:rPr>
            </w:pPr>
            <w:r w:rsidRPr="00FA5DF9">
              <w:rPr>
                <w:rFonts w:cs="Arial"/>
                <w:szCs w:val="20"/>
              </w:rPr>
              <w:t>Res-Default&gt;2</w:t>
            </w:r>
            <w:r w:rsidR="000D0306">
              <w:rPr>
                <w:rFonts w:cs="Arial"/>
                <w:szCs w:val="20"/>
              </w:rPr>
              <w:t xml:space="preserve">: </w:t>
            </w:r>
            <w:r w:rsidR="000D0306" w:rsidRPr="00316590">
              <w:rPr>
                <w:rFonts w:cs="Arial"/>
                <w:szCs w:val="20"/>
              </w:rPr>
              <w:t>0.55</w:t>
            </w:r>
          </w:p>
          <w:p w14:paraId="40A9016A" w14:textId="774A59D8" w:rsidR="000D0306" w:rsidRPr="00500C4E" w:rsidRDefault="00A015B9" w:rsidP="000D0306">
            <w:pPr>
              <w:rPr>
                <w:rFonts w:cs="Arial"/>
                <w:color w:val="FF0000"/>
                <w:szCs w:val="20"/>
              </w:rPr>
            </w:pPr>
            <w:r w:rsidRPr="00FA5DF9">
              <w:rPr>
                <w:rFonts w:cs="Arial"/>
                <w:szCs w:val="20"/>
              </w:rPr>
              <w:t>Res-Default-HTR-di</w:t>
            </w:r>
            <w:r w:rsidR="000D0306">
              <w:rPr>
                <w:rFonts w:cs="Arial"/>
                <w:szCs w:val="20"/>
              </w:rPr>
              <w:t xml:space="preserve">: </w:t>
            </w:r>
            <w:r w:rsidR="000D0306" w:rsidRPr="00316590">
              <w:rPr>
                <w:rFonts w:cs="Arial"/>
                <w:szCs w:val="20"/>
              </w:rPr>
              <w:t>0.85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004"/>
        <w:gridCol w:w="1689"/>
        <w:gridCol w:w="6347"/>
      </w:tblGrid>
      <w:tr w:rsidR="003845E5" w:rsidRPr="00500C4E" w14:paraId="5AFD7FBC" w14:textId="77777777" w:rsidTr="00406B30">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82"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31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D0306" w:rsidRPr="00500C4E" w14:paraId="0F8D645E" w14:textId="77777777" w:rsidTr="00406B30">
        <w:trPr>
          <w:trHeight w:val="20"/>
        </w:trPr>
        <w:tc>
          <w:tcPr>
            <w:tcW w:w="280" w:type="pct"/>
          </w:tcPr>
          <w:p w14:paraId="4A1A2996" w14:textId="77777777" w:rsidR="000D0306" w:rsidRPr="000D0306" w:rsidRDefault="000D0306" w:rsidP="000D0306">
            <w:pPr>
              <w:rPr>
                <w:rFonts w:cstheme="minorHAnsi"/>
                <w:szCs w:val="20"/>
              </w:rPr>
            </w:pPr>
            <w:r w:rsidRPr="000D0306">
              <w:rPr>
                <w:rFonts w:cstheme="minorHAnsi"/>
                <w:szCs w:val="20"/>
              </w:rPr>
              <w:t>0</w:t>
            </w:r>
          </w:p>
        </w:tc>
        <w:tc>
          <w:tcPr>
            <w:tcW w:w="524" w:type="pct"/>
          </w:tcPr>
          <w:p w14:paraId="68BA349C" w14:textId="504A922C" w:rsidR="000D0306" w:rsidRPr="00920905" w:rsidRDefault="005C64DB" w:rsidP="000D0306">
            <w:pPr>
              <w:rPr>
                <w:rFonts w:cstheme="minorHAnsi"/>
                <w:color w:val="FF0000"/>
                <w:szCs w:val="20"/>
              </w:rPr>
            </w:pPr>
            <w:r>
              <w:rPr>
                <w:rFonts w:cstheme="minorHAnsi"/>
                <w:szCs w:val="20"/>
              </w:rPr>
              <w:t>12/2/16</w:t>
            </w:r>
          </w:p>
        </w:tc>
        <w:tc>
          <w:tcPr>
            <w:tcW w:w="882" w:type="pct"/>
          </w:tcPr>
          <w:p w14:paraId="4A812BB3" w14:textId="394A8FDB" w:rsidR="000D0306" w:rsidRPr="00920905" w:rsidRDefault="00821E37" w:rsidP="000D0306">
            <w:pPr>
              <w:rPr>
                <w:rFonts w:cstheme="minorHAnsi"/>
                <w:color w:val="FF0000"/>
                <w:szCs w:val="20"/>
              </w:rPr>
            </w:pPr>
            <w:r>
              <w:rPr>
                <w:rFonts w:cstheme="minorHAnsi"/>
                <w:szCs w:val="20"/>
                <w:lang w:val="fr-FR"/>
              </w:rPr>
              <w:t xml:space="preserve">Jay </w:t>
            </w:r>
            <w:proofErr w:type="spellStart"/>
            <w:r>
              <w:rPr>
                <w:rFonts w:cstheme="minorHAnsi"/>
                <w:szCs w:val="20"/>
                <w:lang w:val="fr-FR"/>
              </w:rPr>
              <w:t>Schuyler</w:t>
            </w:r>
            <w:proofErr w:type="spellEnd"/>
            <w:r>
              <w:rPr>
                <w:rFonts w:cstheme="minorHAnsi"/>
                <w:szCs w:val="20"/>
                <w:lang w:val="fr-FR"/>
              </w:rPr>
              <w:t xml:space="preserve"> (TRC</w:t>
            </w:r>
            <w:r w:rsidR="000D0306">
              <w:rPr>
                <w:rFonts w:cstheme="minorHAnsi"/>
                <w:szCs w:val="20"/>
                <w:lang w:val="fr-FR"/>
              </w:rPr>
              <w:t>)</w:t>
            </w:r>
          </w:p>
        </w:tc>
        <w:tc>
          <w:tcPr>
            <w:tcW w:w="3314" w:type="pct"/>
          </w:tcPr>
          <w:p w14:paraId="70622811" w14:textId="1ECD3838" w:rsidR="000D0306" w:rsidRDefault="00821E37" w:rsidP="00821E37">
            <w:pPr>
              <w:pStyle w:val="ListParagraph"/>
              <w:numPr>
                <w:ilvl w:val="0"/>
                <w:numId w:val="46"/>
              </w:numPr>
              <w:spacing w:after="120"/>
              <w:rPr>
                <w:rFonts w:cstheme="minorHAnsi"/>
                <w:szCs w:val="20"/>
              </w:rPr>
            </w:pPr>
            <w:r>
              <w:rPr>
                <w:rFonts w:cstheme="minorHAnsi"/>
                <w:szCs w:val="20"/>
              </w:rPr>
              <w:t>The work paper is an update of SCE13LG020.2</w:t>
            </w:r>
          </w:p>
          <w:p w14:paraId="41F280C1" w14:textId="0F423FBD" w:rsidR="00821E37" w:rsidRDefault="00821E37" w:rsidP="00821E37">
            <w:pPr>
              <w:pStyle w:val="ListParagraph"/>
              <w:numPr>
                <w:ilvl w:val="0"/>
                <w:numId w:val="46"/>
              </w:numPr>
              <w:spacing w:after="120"/>
              <w:rPr>
                <w:rFonts w:cstheme="minorHAnsi"/>
                <w:szCs w:val="20"/>
              </w:rPr>
            </w:pPr>
            <w:r>
              <w:rPr>
                <w:rFonts w:cstheme="minorHAnsi"/>
                <w:szCs w:val="20"/>
              </w:rPr>
              <w:t>New calculation template for the 2017 program year</w:t>
            </w:r>
          </w:p>
          <w:p w14:paraId="1FD51C3F" w14:textId="77777777" w:rsidR="00C46D9C" w:rsidRDefault="00C019E6" w:rsidP="00821E37">
            <w:pPr>
              <w:pStyle w:val="ListParagraph"/>
              <w:numPr>
                <w:ilvl w:val="0"/>
                <w:numId w:val="46"/>
              </w:numPr>
              <w:spacing w:after="120"/>
              <w:rPr>
                <w:rFonts w:cstheme="minorHAnsi"/>
                <w:szCs w:val="20"/>
              </w:rPr>
            </w:pPr>
            <w:r>
              <w:rPr>
                <w:rFonts w:cstheme="minorHAnsi"/>
                <w:szCs w:val="20"/>
              </w:rPr>
              <w:t xml:space="preserve">Revised </w:t>
            </w:r>
            <w:r w:rsidR="00450C32">
              <w:rPr>
                <w:rFonts w:cstheme="minorHAnsi"/>
                <w:szCs w:val="20"/>
              </w:rPr>
              <w:t>code language to reflect update Title 24 and Title 20.</w:t>
            </w:r>
          </w:p>
          <w:p w14:paraId="4B26C444" w14:textId="735A5302" w:rsidR="00C019E6" w:rsidRDefault="00C46D9C" w:rsidP="00821E37">
            <w:pPr>
              <w:pStyle w:val="ListParagraph"/>
              <w:numPr>
                <w:ilvl w:val="0"/>
                <w:numId w:val="46"/>
              </w:numPr>
              <w:spacing w:after="120"/>
              <w:rPr>
                <w:rFonts w:cstheme="minorHAnsi"/>
                <w:szCs w:val="20"/>
              </w:rPr>
            </w:pPr>
            <w:r>
              <w:rPr>
                <w:rFonts w:cstheme="minorHAnsi"/>
                <w:szCs w:val="20"/>
              </w:rPr>
              <w:t>Updated EUL</w:t>
            </w:r>
            <w:r w:rsidR="00450C32">
              <w:rPr>
                <w:rFonts w:cstheme="minorHAnsi"/>
                <w:szCs w:val="20"/>
              </w:rPr>
              <w:t xml:space="preserve"> </w:t>
            </w:r>
          </w:p>
          <w:p w14:paraId="0ADEBD0D" w14:textId="77777777" w:rsidR="000D0306" w:rsidRPr="001C35AA" w:rsidRDefault="005C64DB" w:rsidP="0055475F">
            <w:pPr>
              <w:pStyle w:val="ListParagraph"/>
              <w:numPr>
                <w:ilvl w:val="0"/>
                <w:numId w:val="46"/>
              </w:numPr>
              <w:spacing w:after="120"/>
            </w:pPr>
            <w:r>
              <w:rPr>
                <w:rFonts w:cstheme="minorHAnsi"/>
                <w:szCs w:val="20"/>
              </w:rPr>
              <w:t xml:space="preserve">All (16) climate zones were added to the calculation template. </w:t>
            </w:r>
          </w:p>
          <w:p w14:paraId="34F0A8ED" w14:textId="2C6896AF" w:rsidR="001C35AA" w:rsidRPr="00500C4E" w:rsidRDefault="001C35AA" w:rsidP="0055475F">
            <w:pPr>
              <w:pStyle w:val="ListParagraph"/>
              <w:numPr>
                <w:ilvl w:val="0"/>
                <w:numId w:val="46"/>
              </w:numPr>
              <w:spacing w:after="120"/>
            </w:pPr>
            <w:r>
              <w:rPr>
                <w:rFonts w:cstheme="minorHAnsi"/>
                <w:szCs w:val="20"/>
              </w:rPr>
              <w:t>Removed LT-60934 since programs do not utilize this measure.</w:t>
            </w:r>
          </w:p>
        </w:tc>
      </w:tr>
    </w:tbl>
    <w:p w14:paraId="656E2232" w14:textId="29443926"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53E582FA" w:rsidR="008877AF" w:rsidRPr="00EE4120" w:rsidRDefault="008877AF" w:rsidP="00A84BF9">
            <w:pPr>
              <w:rPr>
                <w:bCs/>
                <w:color w:val="FF0000"/>
              </w:rPr>
            </w:pPr>
          </w:p>
        </w:tc>
        <w:tc>
          <w:tcPr>
            <w:tcW w:w="351" w:type="pct"/>
          </w:tcPr>
          <w:p w14:paraId="23988046" w14:textId="572F7D44" w:rsidR="008877AF" w:rsidRPr="00EE4120" w:rsidRDefault="008877AF" w:rsidP="00A84BF9">
            <w:pPr>
              <w:rPr>
                <w:bCs/>
                <w:color w:val="FF0000"/>
                <w:szCs w:val="20"/>
              </w:rPr>
            </w:pPr>
          </w:p>
        </w:tc>
        <w:tc>
          <w:tcPr>
            <w:tcW w:w="548" w:type="pct"/>
          </w:tcPr>
          <w:p w14:paraId="4AB37DB0" w14:textId="32A3F660" w:rsidR="008877AF" w:rsidRPr="00EE4120" w:rsidRDefault="008877AF" w:rsidP="00A84BF9">
            <w:pPr>
              <w:rPr>
                <w:bCs/>
                <w:color w:val="FF0000"/>
                <w:szCs w:val="20"/>
              </w:rPr>
            </w:pPr>
          </w:p>
        </w:tc>
        <w:tc>
          <w:tcPr>
            <w:tcW w:w="552" w:type="pct"/>
          </w:tcPr>
          <w:p w14:paraId="62E998F6" w14:textId="04224B00" w:rsidR="008877AF" w:rsidRPr="00EE4120" w:rsidRDefault="008877AF" w:rsidP="00A84BF9">
            <w:pPr>
              <w:rPr>
                <w:bCs/>
                <w:color w:val="FF0000"/>
                <w:szCs w:val="20"/>
              </w:rPr>
            </w:pPr>
          </w:p>
        </w:tc>
        <w:tc>
          <w:tcPr>
            <w:tcW w:w="1634" w:type="pct"/>
          </w:tcPr>
          <w:p w14:paraId="369DEEE8" w14:textId="7A9368A4" w:rsidR="008877AF" w:rsidRPr="00F25B36" w:rsidRDefault="008877AF" w:rsidP="000D0306">
            <w:pPr>
              <w:pStyle w:val="ListParagraph"/>
              <w:ind w:left="360"/>
              <w:rPr>
                <w:bCs/>
                <w:color w:val="FF0000"/>
                <w:szCs w:val="20"/>
              </w:rPr>
            </w:pPr>
          </w:p>
        </w:tc>
        <w:tc>
          <w:tcPr>
            <w:tcW w:w="1634" w:type="pct"/>
          </w:tcPr>
          <w:p w14:paraId="1ECCFDB6" w14:textId="731B54DC" w:rsidR="008877AF" w:rsidRPr="00F25B36" w:rsidRDefault="008877AF" w:rsidP="000D0306">
            <w:pPr>
              <w:pStyle w:val="ListParagraph"/>
              <w:ind w:left="360"/>
              <w:rPr>
                <w:bCs/>
                <w:color w:val="FF0000"/>
                <w:szCs w:val="20"/>
              </w:rPr>
            </w:pPr>
          </w:p>
        </w:tc>
      </w:tr>
      <w:tr w:rsidR="008877AF" w:rsidRPr="00500C4E" w14:paraId="69D073CD" w14:textId="392DFDA5" w:rsidTr="00BA5FE4">
        <w:trPr>
          <w:trHeight w:val="20"/>
        </w:trPr>
        <w:tc>
          <w:tcPr>
            <w:tcW w:w="280" w:type="pct"/>
          </w:tcPr>
          <w:p w14:paraId="19E0D6ED" w14:textId="2105E0A4" w:rsidR="008877AF" w:rsidRPr="00EE4120" w:rsidRDefault="008877AF" w:rsidP="00A84BF9">
            <w:pPr>
              <w:rPr>
                <w:color w:val="FF0000"/>
              </w:rPr>
            </w:pPr>
          </w:p>
        </w:tc>
        <w:tc>
          <w:tcPr>
            <w:tcW w:w="351" w:type="pct"/>
          </w:tcPr>
          <w:p w14:paraId="71879172" w14:textId="1F65D76B" w:rsidR="008877AF" w:rsidRPr="00EE4120" w:rsidRDefault="008877AF" w:rsidP="00A84BF9">
            <w:pPr>
              <w:autoSpaceDE w:val="0"/>
              <w:autoSpaceDN w:val="0"/>
              <w:adjustRightInd w:val="0"/>
              <w:rPr>
                <w:color w:val="FF0000"/>
                <w:szCs w:val="20"/>
              </w:rPr>
            </w:pPr>
          </w:p>
        </w:tc>
        <w:tc>
          <w:tcPr>
            <w:tcW w:w="548" w:type="pct"/>
          </w:tcPr>
          <w:p w14:paraId="61A20ED3" w14:textId="0471DE32" w:rsidR="008877AF" w:rsidRPr="00EE4120" w:rsidRDefault="008877AF" w:rsidP="00A84BF9">
            <w:pPr>
              <w:autoSpaceDE w:val="0"/>
              <w:autoSpaceDN w:val="0"/>
              <w:adjustRightInd w:val="0"/>
              <w:rPr>
                <w:color w:val="FF0000"/>
                <w:szCs w:val="20"/>
              </w:rPr>
            </w:pPr>
          </w:p>
        </w:tc>
        <w:tc>
          <w:tcPr>
            <w:tcW w:w="552" w:type="pct"/>
          </w:tcPr>
          <w:p w14:paraId="211F8E7E" w14:textId="22E69F16" w:rsidR="008877AF" w:rsidRPr="00EE4120" w:rsidRDefault="008877AF" w:rsidP="00A84BF9">
            <w:pPr>
              <w:rPr>
                <w:color w:val="FF0000"/>
                <w:szCs w:val="20"/>
              </w:rPr>
            </w:pPr>
          </w:p>
        </w:tc>
        <w:tc>
          <w:tcPr>
            <w:tcW w:w="1634" w:type="pct"/>
          </w:tcPr>
          <w:p w14:paraId="52AA4972" w14:textId="43A8197D" w:rsidR="008877AF" w:rsidRPr="00F25B36" w:rsidRDefault="008877AF" w:rsidP="000D0306">
            <w:pPr>
              <w:pStyle w:val="ListParagraph"/>
              <w:ind w:left="360"/>
              <w:rPr>
                <w:bCs/>
                <w:color w:val="FF0000"/>
                <w:szCs w:val="20"/>
              </w:rPr>
            </w:pPr>
          </w:p>
        </w:tc>
        <w:tc>
          <w:tcPr>
            <w:tcW w:w="1634" w:type="pct"/>
          </w:tcPr>
          <w:p w14:paraId="34686434" w14:textId="26DE9287" w:rsidR="008877AF" w:rsidRPr="00F25B36" w:rsidRDefault="008877AF" w:rsidP="000D0306">
            <w:pPr>
              <w:pStyle w:val="ListParagraph"/>
              <w:ind w:left="360"/>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987B2F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20AB114" w:rsidR="00D85F09" w:rsidRPr="00E82A66" w:rsidRDefault="00E01BE2" w:rsidP="00E01BE2">
            <w:pPr>
              <w:rPr>
                <w:szCs w:val="20"/>
              </w:rPr>
            </w:pPr>
            <w:r w:rsidRPr="00E82A66">
              <w:rPr>
                <w:szCs w:val="20"/>
              </w:rPr>
              <w:t>Lighting system with wall-mounted occupancy sensor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F53023D" w:rsidR="00D85F09" w:rsidRPr="00E82A66" w:rsidRDefault="00F36D16" w:rsidP="00920905">
            <w:pPr>
              <w:rPr>
                <w:i/>
                <w:szCs w:val="20"/>
              </w:rPr>
            </w:pPr>
            <w:r w:rsidRPr="00E82A66">
              <w:rPr>
                <w:szCs w:val="20"/>
              </w:rPr>
              <w:t>Lighting system</w:t>
            </w:r>
            <w:r w:rsidR="00E82A66">
              <w:rPr>
                <w:szCs w:val="20"/>
              </w:rPr>
              <w:t xml:space="preserve"> without controls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10758734" w:rsidR="002344FB" w:rsidRPr="00E82A66" w:rsidRDefault="00F36D16" w:rsidP="00204B7E">
            <w:pPr>
              <w:rPr>
                <w:szCs w:val="20"/>
              </w:rPr>
            </w:pPr>
            <w:r w:rsidRPr="00E82A66">
              <w:rPr>
                <w:szCs w:val="20"/>
              </w:rPr>
              <w:t xml:space="preserve">Lighting system with occupancy sensor </w:t>
            </w:r>
            <w:r w:rsidR="00204B7E">
              <w:rPr>
                <w:szCs w:val="20"/>
              </w:rPr>
              <w:t>and</w:t>
            </w:r>
            <w:r w:rsidR="00204B7E" w:rsidRPr="00E82A66">
              <w:rPr>
                <w:szCs w:val="20"/>
              </w:rPr>
              <w:t xml:space="preserve"> </w:t>
            </w:r>
            <w:r w:rsidRPr="00E82A66">
              <w:rPr>
                <w:szCs w:val="20"/>
              </w:rPr>
              <w:t>high efficacy fixtures</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670D7CBE" w:rsidR="00D85F09" w:rsidRPr="00E82A66" w:rsidRDefault="00F36D16" w:rsidP="00920905">
            <w:pPr>
              <w:rPr>
                <w:i/>
                <w:szCs w:val="20"/>
              </w:rPr>
            </w:pPr>
            <w:r w:rsidRPr="00E82A66">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732"/>
        <w:gridCol w:w="829"/>
        <w:gridCol w:w="1015"/>
        <w:gridCol w:w="737"/>
        <w:gridCol w:w="3503"/>
        <w:gridCol w:w="2760"/>
      </w:tblGrid>
      <w:tr w:rsidR="00F36D16" w:rsidRPr="00800706" w14:paraId="4040004B" w14:textId="0A08C645" w:rsidTr="00F36D16">
        <w:tc>
          <w:tcPr>
            <w:tcW w:w="1730" w:type="pct"/>
            <w:gridSpan w:val="4"/>
            <w:shd w:val="clear" w:color="auto" w:fill="D9D9D9" w:themeFill="background1" w:themeFillShade="D9"/>
          </w:tcPr>
          <w:p w14:paraId="528E7CD9" w14:textId="048A7F1B" w:rsidR="00F36D16" w:rsidRPr="00920905" w:rsidRDefault="00F36D16" w:rsidP="005729C8">
            <w:pPr>
              <w:rPr>
                <w:rFonts w:cstheme="minorHAnsi"/>
                <w:b/>
                <w:szCs w:val="20"/>
              </w:rPr>
            </w:pPr>
            <w:r w:rsidRPr="00920905">
              <w:rPr>
                <w:rFonts w:cstheme="minorHAnsi"/>
                <w:b/>
                <w:szCs w:val="20"/>
              </w:rPr>
              <w:t>Measure Codes</w:t>
            </w:r>
          </w:p>
        </w:tc>
        <w:tc>
          <w:tcPr>
            <w:tcW w:w="1829" w:type="pct"/>
            <w:vMerge w:val="restart"/>
            <w:shd w:val="clear" w:color="auto" w:fill="D9D9D9" w:themeFill="background1" w:themeFillShade="D9"/>
          </w:tcPr>
          <w:p w14:paraId="3F5879A8" w14:textId="54774EFB" w:rsidR="00F36D16" w:rsidRPr="00920905" w:rsidRDefault="00F36D16" w:rsidP="005729C8">
            <w:pPr>
              <w:rPr>
                <w:rFonts w:cstheme="minorHAnsi"/>
                <w:b/>
                <w:szCs w:val="20"/>
              </w:rPr>
            </w:pPr>
            <w:r w:rsidRPr="00920905">
              <w:rPr>
                <w:rFonts w:cstheme="minorHAnsi"/>
                <w:b/>
                <w:szCs w:val="20"/>
              </w:rPr>
              <w:t>Measure Name</w:t>
            </w:r>
          </w:p>
        </w:tc>
        <w:tc>
          <w:tcPr>
            <w:tcW w:w="1441" w:type="pct"/>
            <w:vMerge w:val="restart"/>
            <w:shd w:val="clear" w:color="auto" w:fill="D9D9D9" w:themeFill="background1" w:themeFillShade="D9"/>
          </w:tcPr>
          <w:p w14:paraId="0DAB08A8" w14:textId="0322CDE9" w:rsidR="00F36D16" w:rsidRPr="00920905" w:rsidRDefault="00F36D16" w:rsidP="005729C8">
            <w:pPr>
              <w:rPr>
                <w:rFonts w:cstheme="minorHAnsi"/>
                <w:b/>
                <w:szCs w:val="20"/>
              </w:rPr>
            </w:pPr>
            <w:r>
              <w:rPr>
                <w:rFonts w:cstheme="minorHAnsi"/>
                <w:b/>
                <w:szCs w:val="20"/>
              </w:rPr>
              <w:t>Area Description</w:t>
            </w:r>
          </w:p>
        </w:tc>
      </w:tr>
      <w:tr w:rsidR="00F36D16" w:rsidRPr="00800706" w14:paraId="0B10C1CA" w14:textId="7577C25C" w:rsidTr="00F36D16">
        <w:tc>
          <w:tcPr>
            <w:tcW w:w="382" w:type="pct"/>
            <w:shd w:val="clear" w:color="auto" w:fill="F2F2F2" w:themeFill="background1" w:themeFillShade="F2"/>
          </w:tcPr>
          <w:p w14:paraId="01278571" w14:textId="40286C8C" w:rsidR="00F36D16" w:rsidRPr="00800706" w:rsidRDefault="00F36D16" w:rsidP="00397406">
            <w:pPr>
              <w:rPr>
                <w:rFonts w:cstheme="minorHAnsi"/>
                <w:szCs w:val="20"/>
              </w:rPr>
            </w:pPr>
            <w:r w:rsidRPr="00800706">
              <w:rPr>
                <w:rFonts w:cstheme="minorHAnsi"/>
                <w:szCs w:val="20"/>
              </w:rPr>
              <w:t>SCG</w:t>
            </w:r>
          </w:p>
        </w:tc>
        <w:tc>
          <w:tcPr>
            <w:tcW w:w="433" w:type="pct"/>
            <w:shd w:val="clear" w:color="auto" w:fill="F2F2F2" w:themeFill="background1" w:themeFillShade="F2"/>
          </w:tcPr>
          <w:p w14:paraId="29CA2505" w14:textId="46993DC0" w:rsidR="00F36D16" w:rsidRPr="00800706" w:rsidRDefault="00F36D16" w:rsidP="00397406">
            <w:pPr>
              <w:rPr>
                <w:rFonts w:cstheme="minorHAnsi"/>
                <w:szCs w:val="20"/>
              </w:rPr>
            </w:pPr>
            <w:r w:rsidRPr="00800706">
              <w:rPr>
                <w:rFonts w:cstheme="minorHAnsi"/>
                <w:szCs w:val="20"/>
              </w:rPr>
              <w:t>SDG&amp;E</w:t>
            </w:r>
          </w:p>
        </w:tc>
        <w:tc>
          <w:tcPr>
            <w:tcW w:w="530" w:type="pct"/>
            <w:shd w:val="clear" w:color="auto" w:fill="F2F2F2" w:themeFill="background1" w:themeFillShade="F2"/>
          </w:tcPr>
          <w:p w14:paraId="4AFAE784" w14:textId="7FE2DC11" w:rsidR="00F36D16" w:rsidRPr="00800706" w:rsidRDefault="00F36D16" w:rsidP="00C959CA">
            <w:pPr>
              <w:rPr>
                <w:rFonts w:cstheme="minorHAnsi"/>
                <w:szCs w:val="20"/>
              </w:rPr>
            </w:pPr>
            <w:r w:rsidRPr="00800706">
              <w:rPr>
                <w:rFonts w:cstheme="minorHAnsi"/>
                <w:szCs w:val="20"/>
              </w:rPr>
              <w:t>SCE</w:t>
            </w:r>
          </w:p>
        </w:tc>
        <w:tc>
          <w:tcPr>
            <w:tcW w:w="385" w:type="pct"/>
            <w:shd w:val="clear" w:color="auto" w:fill="F2F2F2" w:themeFill="background1" w:themeFillShade="F2"/>
          </w:tcPr>
          <w:p w14:paraId="16907D5C" w14:textId="3D2178E7" w:rsidR="00F36D16" w:rsidRPr="00800706" w:rsidRDefault="00F36D16" w:rsidP="00D835EF">
            <w:pPr>
              <w:rPr>
                <w:rFonts w:cstheme="minorHAnsi"/>
                <w:szCs w:val="20"/>
              </w:rPr>
            </w:pPr>
            <w:r w:rsidRPr="00800706">
              <w:rPr>
                <w:rFonts w:cstheme="minorHAnsi"/>
                <w:szCs w:val="20"/>
              </w:rPr>
              <w:t>PG&amp;E</w:t>
            </w:r>
          </w:p>
        </w:tc>
        <w:tc>
          <w:tcPr>
            <w:tcW w:w="1829" w:type="pct"/>
            <w:vMerge/>
          </w:tcPr>
          <w:p w14:paraId="4025F40F" w14:textId="38634C6A" w:rsidR="00F36D16" w:rsidRPr="00800706" w:rsidRDefault="00F36D16" w:rsidP="005729C8">
            <w:pPr>
              <w:rPr>
                <w:rFonts w:cstheme="minorHAnsi"/>
                <w:szCs w:val="20"/>
              </w:rPr>
            </w:pPr>
          </w:p>
        </w:tc>
        <w:tc>
          <w:tcPr>
            <w:tcW w:w="1441" w:type="pct"/>
            <w:vMerge/>
          </w:tcPr>
          <w:p w14:paraId="0E683F82" w14:textId="77777777" w:rsidR="00F36D16" w:rsidRPr="00800706" w:rsidRDefault="00F36D16" w:rsidP="005729C8">
            <w:pPr>
              <w:rPr>
                <w:rFonts w:cstheme="minorHAnsi"/>
                <w:szCs w:val="20"/>
              </w:rPr>
            </w:pPr>
          </w:p>
        </w:tc>
      </w:tr>
      <w:tr w:rsidR="00F36D16" w:rsidRPr="00800706" w14:paraId="3E628000" w14:textId="4E53C747" w:rsidTr="00F36D16">
        <w:trPr>
          <w:trHeight w:val="243"/>
        </w:trPr>
        <w:tc>
          <w:tcPr>
            <w:tcW w:w="382" w:type="pct"/>
          </w:tcPr>
          <w:p w14:paraId="73CAC518" w14:textId="77777777" w:rsidR="00F36D16" w:rsidRPr="00350BF1" w:rsidRDefault="00F36D16" w:rsidP="00F36D16">
            <w:pPr>
              <w:rPr>
                <w:rFonts w:cstheme="minorHAnsi"/>
                <w:szCs w:val="20"/>
              </w:rPr>
            </w:pPr>
          </w:p>
        </w:tc>
        <w:tc>
          <w:tcPr>
            <w:tcW w:w="433" w:type="pct"/>
          </w:tcPr>
          <w:p w14:paraId="44F811B8" w14:textId="77777777" w:rsidR="00F36D16" w:rsidRPr="00350BF1" w:rsidRDefault="00F36D16" w:rsidP="00F36D16">
            <w:pPr>
              <w:rPr>
                <w:rFonts w:cstheme="minorHAnsi"/>
                <w:szCs w:val="20"/>
              </w:rPr>
            </w:pPr>
          </w:p>
        </w:tc>
        <w:tc>
          <w:tcPr>
            <w:tcW w:w="530" w:type="pct"/>
          </w:tcPr>
          <w:p w14:paraId="7BCC9E2D" w14:textId="5EA37E93" w:rsidR="00F36D16" w:rsidRPr="00350BF1" w:rsidRDefault="00F36D16" w:rsidP="00F36D16">
            <w:pPr>
              <w:rPr>
                <w:rFonts w:cstheme="minorHAnsi"/>
                <w:szCs w:val="20"/>
              </w:rPr>
            </w:pPr>
            <w:r>
              <w:rPr>
                <w:rFonts w:cstheme="minorHAnsi"/>
                <w:szCs w:val="20"/>
              </w:rPr>
              <w:t>LT-78685</w:t>
            </w:r>
          </w:p>
        </w:tc>
        <w:tc>
          <w:tcPr>
            <w:tcW w:w="385" w:type="pct"/>
          </w:tcPr>
          <w:p w14:paraId="73DD187C" w14:textId="77777777" w:rsidR="00F36D16" w:rsidRPr="00350BF1" w:rsidRDefault="00F36D16" w:rsidP="00F36D16">
            <w:pPr>
              <w:rPr>
                <w:rFonts w:cstheme="minorHAnsi"/>
                <w:szCs w:val="20"/>
              </w:rPr>
            </w:pPr>
          </w:p>
        </w:tc>
        <w:tc>
          <w:tcPr>
            <w:tcW w:w="1829" w:type="pct"/>
          </w:tcPr>
          <w:p w14:paraId="04013BDF" w14:textId="4F59FEF8" w:rsidR="00F36D16" w:rsidRPr="00920905" w:rsidRDefault="00F36D16" w:rsidP="00F36D16">
            <w:r>
              <w:rPr>
                <w:rFonts w:cstheme="minorHAnsi"/>
                <w:szCs w:val="20"/>
              </w:rPr>
              <w:t>Occupancy Sensor (Res Common Area) Control</w:t>
            </w:r>
          </w:p>
        </w:tc>
        <w:tc>
          <w:tcPr>
            <w:tcW w:w="1441" w:type="pct"/>
          </w:tcPr>
          <w:p w14:paraId="7F10D2AB" w14:textId="4A976189" w:rsidR="00F36D16" w:rsidRPr="00920905" w:rsidRDefault="00F36D16" w:rsidP="00F36D16">
            <w:r>
              <w:rPr>
                <w:rFonts w:cstheme="minorHAnsi"/>
                <w:szCs w:val="20"/>
              </w:rPr>
              <w:t>Laundry Rooms, Clubhouses, etc.</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3A70ADFE" w14:textId="77777777" w:rsidR="004A2E55" w:rsidRPr="0053275F" w:rsidRDefault="004A2E55" w:rsidP="004A2E55">
      <w:pPr>
        <w:pStyle w:val="Reminders"/>
        <w:rPr>
          <w:rFonts w:asciiTheme="minorHAnsi" w:hAnsiTheme="minorHAnsi" w:cstheme="minorHAnsi"/>
          <w:b/>
          <w:i w:val="0"/>
          <w:color w:val="auto"/>
          <w:szCs w:val="22"/>
        </w:rPr>
      </w:pPr>
      <w:r w:rsidRPr="0053275F">
        <w:rPr>
          <w:rFonts w:asciiTheme="minorHAnsi" w:hAnsiTheme="minorHAnsi" w:cstheme="minorHAnsi"/>
          <w:b/>
          <w:i w:val="0"/>
          <w:color w:val="auto"/>
          <w:szCs w:val="22"/>
        </w:rPr>
        <w:t>Eligibility Requirements</w:t>
      </w:r>
    </w:p>
    <w:p w14:paraId="0FCFACF0" w14:textId="77777777" w:rsidR="004A2E55" w:rsidRPr="00FD1632" w:rsidRDefault="004A2E55" w:rsidP="004A2E55">
      <w:pPr>
        <w:pStyle w:val="ListParagraph"/>
        <w:numPr>
          <w:ilvl w:val="0"/>
          <w:numId w:val="38"/>
        </w:numPr>
        <w:rPr>
          <w:rFonts w:ascii="Calibri" w:hAnsi="Calibri" w:cs="Calibri"/>
          <w:szCs w:val="22"/>
        </w:rPr>
      </w:pPr>
      <w:r>
        <w:rPr>
          <w:rFonts w:cstheme="minorHAnsi"/>
          <w:szCs w:val="22"/>
        </w:rPr>
        <w:t>Only wall-mounted sensors are eligible. Ceiling-mounted sensors and integrated sensors in fixtures are not eligible.</w:t>
      </w:r>
    </w:p>
    <w:p w14:paraId="2D2A277D" w14:textId="77777777" w:rsidR="004A2E55" w:rsidRPr="00FD1632" w:rsidRDefault="004A2E55" w:rsidP="004A2E55">
      <w:pPr>
        <w:pStyle w:val="ListParagraph"/>
        <w:numPr>
          <w:ilvl w:val="0"/>
          <w:numId w:val="38"/>
        </w:numPr>
        <w:rPr>
          <w:rFonts w:cstheme="minorHAnsi"/>
          <w:szCs w:val="22"/>
        </w:rPr>
      </w:pPr>
      <w:r>
        <w:rPr>
          <w:rFonts w:ascii="Calibri" w:hAnsi="Calibri" w:cs="Calibri"/>
          <w:szCs w:val="22"/>
        </w:rPr>
        <w:t>There may be additional eligibility requirements</w:t>
      </w:r>
      <w:r w:rsidRPr="00FD1632">
        <w:rPr>
          <w:rFonts w:ascii="Calibri" w:hAnsi="Calibri" w:cs="Calibri"/>
          <w:szCs w:val="22"/>
        </w:rPr>
        <w:t xml:space="preserve"> based upon contractual agreements with entities receiving incentives as part of this program.</w:t>
      </w:r>
    </w:p>
    <w:p w14:paraId="4539B802" w14:textId="77777777" w:rsidR="004A2E55" w:rsidRDefault="004A2E55" w:rsidP="004A2E55">
      <w:pPr>
        <w:rPr>
          <w:rFonts w:ascii="Calibri" w:hAnsi="Calibri" w:cs="Calibri"/>
          <w:b/>
          <w:szCs w:val="22"/>
        </w:rPr>
      </w:pPr>
    </w:p>
    <w:p w14:paraId="5254F726" w14:textId="77777777" w:rsidR="004A2E55" w:rsidRPr="0053275F" w:rsidRDefault="004A2E55" w:rsidP="004A2E55">
      <w:pPr>
        <w:rPr>
          <w:rFonts w:ascii="Calibri" w:hAnsi="Calibri" w:cs="Calibri"/>
          <w:b/>
          <w:szCs w:val="22"/>
        </w:rPr>
      </w:pPr>
      <w:r w:rsidRPr="0053275F">
        <w:rPr>
          <w:rFonts w:ascii="Calibri" w:hAnsi="Calibri" w:cs="Calibri"/>
          <w:b/>
          <w:szCs w:val="22"/>
        </w:rPr>
        <w:t>Implementation Requirements</w:t>
      </w:r>
    </w:p>
    <w:p w14:paraId="2FB7785C" w14:textId="527D39B1" w:rsidR="004A2E55" w:rsidRPr="00A3471A" w:rsidRDefault="004A2E55" w:rsidP="00A3471A">
      <w:pPr>
        <w:pStyle w:val="ListParagraph"/>
        <w:numPr>
          <w:ilvl w:val="0"/>
          <w:numId w:val="39"/>
        </w:numPr>
        <w:rPr>
          <w:rFonts w:ascii="Calibri" w:hAnsi="Calibri" w:cs="Calibri"/>
          <w:szCs w:val="22"/>
        </w:rPr>
      </w:pPr>
      <w:r w:rsidRPr="00A3471A">
        <w:rPr>
          <w:rFonts w:ascii="Calibri" w:hAnsi="Calibri" w:cs="Calibri"/>
          <w:szCs w:val="22"/>
        </w:rPr>
        <w:t>This measure is approved for installation in bathroom</w:t>
      </w:r>
      <w:r w:rsidR="00A3471A">
        <w:rPr>
          <w:rFonts w:ascii="Calibri" w:hAnsi="Calibri" w:cs="Calibri"/>
          <w:szCs w:val="22"/>
        </w:rPr>
        <w:t xml:space="preserve"> and</w:t>
      </w:r>
      <w:r w:rsidRPr="00A3471A">
        <w:rPr>
          <w:rFonts w:ascii="Calibri" w:hAnsi="Calibri" w:cs="Calibri"/>
          <w:szCs w:val="22"/>
        </w:rPr>
        <w:t xml:space="preserve"> common areas of Residential Multi-family and Mobile Home - Double-Wide buildings.</w:t>
      </w:r>
    </w:p>
    <w:p w14:paraId="59003D81" w14:textId="77777777" w:rsidR="004A2E55" w:rsidRDefault="004A2E55" w:rsidP="004A2E55">
      <w:pPr>
        <w:rPr>
          <w:rFonts w:ascii="Calibri" w:hAnsi="Calibri" w:cs="Calibri"/>
          <w:b/>
          <w:szCs w:val="22"/>
        </w:rPr>
      </w:pPr>
    </w:p>
    <w:p w14:paraId="7944651C" w14:textId="77777777" w:rsidR="004A2E55" w:rsidRPr="0053275F" w:rsidRDefault="004A2E55" w:rsidP="004A2E55">
      <w:pPr>
        <w:rPr>
          <w:rFonts w:ascii="Calibri" w:hAnsi="Calibri" w:cs="Calibri"/>
          <w:b/>
          <w:szCs w:val="22"/>
        </w:rPr>
      </w:pPr>
      <w:r w:rsidRPr="0053275F">
        <w:rPr>
          <w:rFonts w:ascii="Calibri" w:hAnsi="Calibri" w:cs="Calibri"/>
          <w:b/>
          <w:szCs w:val="22"/>
        </w:rPr>
        <w:t>Documentation Requirements</w:t>
      </w:r>
    </w:p>
    <w:p w14:paraId="4FE7EEEA" w14:textId="77777777" w:rsidR="004A2E55" w:rsidRPr="00113033" w:rsidRDefault="004A2E55" w:rsidP="004A2E55">
      <w:pPr>
        <w:rPr>
          <w:rFonts w:ascii="Calibri" w:hAnsi="Calibri" w:cs="Calibri"/>
          <w:szCs w:val="22"/>
        </w:rPr>
      </w:pPr>
      <w:r>
        <w:rPr>
          <w:rFonts w:ascii="Calibri" w:hAnsi="Calibri" w:cs="Calibri"/>
          <w:szCs w:val="22"/>
        </w:rPr>
        <w:t>The programs offering the measures in this work paper may require submitted paid invoices for approval.</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20C28649" w14:textId="77777777" w:rsidR="004A2E55" w:rsidRPr="002D76A3" w:rsidRDefault="004A2E55" w:rsidP="004A2E55">
      <w:pPr>
        <w:pStyle w:val="BasicText"/>
        <w:ind w:left="0"/>
        <w:rPr>
          <w:rFonts w:ascii="Calibri" w:hAnsi="Calibri" w:cs="Calibri"/>
          <w:color w:val="auto"/>
          <w:sz w:val="22"/>
          <w:szCs w:val="22"/>
        </w:rPr>
      </w:pPr>
      <w:r>
        <w:rPr>
          <w:rFonts w:ascii="Calibri" w:hAnsi="Calibri" w:cs="Calibri"/>
          <w:color w:val="auto"/>
          <w:sz w:val="22"/>
          <w:szCs w:val="22"/>
        </w:rPr>
        <w:t>A lighting occupancy sensor is a device that automatically turns lights on when a person enters into a room, and turns lights off when a specified period of time has passed after an area is vacated. Energy savings are achieved by reducing the typical run time of the lights.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07FAC133" w14:textId="6ADAFA1D" w:rsidR="00204FC7" w:rsidRDefault="00204FC7" w:rsidP="00204FC7">
      <w:pPr>
        <w:pStyle w:val="BasicText"/>
        <w:ind w:left="0"/>
        <w:rPr>
          <w:rFonts w:asciiTheme="minorHAnsi" w:hAnsiTheme="minorHAnsi" w:cstheme="minorHAnsi"/>
          <w:sz w:val="22"/>
          <w:szCs w:val="22"/>
        </w:rPr>
      </w:pPr>
      <w:r>
        <w:rPr>
          <w:rFonts w:asciiTheme="minorHAnsi" w:hAnsiTheme="minorHAnsi" w:cstheme="minorHAnsi"/>
          <w:sz w:val="22"/>
          <w:szCs w:val="22"/>
        </w:rPr>
        <w:t>The measures will be offered through the Multifamily Energy Efficiency Rebate Program and the Comprehensive Manufactured Home Program.</w:t>
      </w:r>
    </w:p>
    <w:p w14:paraId="6DBA0D5D" w14:textId="77777777" w:rsidR="00204FC7" w:rsidRDefault="00204FC7" w:rsidP="00204FC7">
      <w:pPr>
        <w:pStyle w:val="BasicText"/>
        <w:ind w:left="0"/>
        <w:rPr>
          <w:rFonts w:asciiTheme="minorHAnsi" w:hAnsiTheme="minorHAnsi" w:cstheme="minorHAnsi"/>
          <w:sz w:val="22"/>
          <w:szCs w:val="22"/>
        </w:rPr>
      </w:pPr>
    </w:p>
    <w:p w14:paraId="1F04F9ED" w14:textId="3D65890E" w:rsidR="004A2E55" w:rsidRPr="00104C2F" w:rsidRDefault="00204FC7" w:rsidP="00204FC7">
      <w:pPr>
        <w:pStyle w:val="BasicText"/>
        <w:ind w:left="0"/>
        <w:rPr>
          <w:rFonts w:asciiTheme="minorHAnsi" w:hAnsiTheme="minorHAnsi" w:cstheme="minorHAnsi"/>
          <w:sz w:val="22"/>
          <w:szCs w:val="22"/>
        </w:rPr>
      </w:pPr>
      <w:r>
        <w:rPr>
          <w:rFonts w:asciiTheme="minorHAnsi" w:hAnsiTheme="minorHAnsi" w:cstheme="minorHAnsi"/>
          <w:sz w:val="22"/>
          <w:szCs w:val="22"/>
        </w:rPr>
        <w:t xml:space="preserve">The delivery mechanism is </w:t>
      </w:r>
      <w:r w:rsidR="004A2E55" w:rsidRPr="00F64582">
        <w:rPr>
          <w:rFonts w:asciiTheme="minorHAnsi" w:hAnsiTheme="minorHAnsi" w:cstheme="minorHAnsi"/>
          <w:sz w:val="22"/>
          <w:szCs w:val="22"/>
        </w:rPr>
        <w:t>Financial Support - Direct Install</w:t>
      </w:r>
      <w:r>
        <w:rPr>
          <w:rFonts w:asciiTheme="minorHAnsi" w:hAnsiTheme="minorHAnsi" w:cstheme="minorHAnsi"/>
          <w:sz w:val="22"/>
          <w:szCs w:val="22"/>
        </w:rPr>
        <w:t>.</w:t>
      </w:r>
    </w:p>
    <w:p w14:paraId="1CF4C0CE" w14:textId="659BBEBD" w:rsidR="004A2E55" w:rsidRPr="00697868" w:rsidRDefault="004A2E55" w:rsidP="004A2E55">
      <w:pPr>
        <w:rPr>
          <w:rFonts w:cstheme="minorHAnsi"/>
          <w:szCs w:val="22"/>
        </w:rPr>
      </w:pPr>
      <w:r>
        <w:rPr>
          <w:rFonts w:cstheme="minorHAnsi"/>
          <w:szCs w:val="22"/>
        </w:rPr>
        <w:t>The install type is Retrofit</w:t>
      </w:r>
      <w:r w:rsidR="00204FC7">
        <w:rPr>
          <w:rFonts w:cstheme="minorHAnsi"/>
          <w:szCs w:val="22"/>
        </w:rPr>
        <w:t xml:space="preserve"> Add-on (REA).</w:t>
      </w:r>
    </w:p>
    <w:p w14:paraId="74957227" w14:textId="77777777" w:rsidR="004A2E55" w:rsidRDefault="004A2E55" w:rsidP="00920905">
      <w:pPr>
        <w:pStyle w:val="NoSpacing"/>
        <w:rPr>
          <w:b/>
        </w:rPr>
      </w:pPr>
    </w:p>
    <w:p w14:paraId="3F96707A" w14:textId="77777777" w:rsidR="00C46D9C" w:rsidRDefault="00C46D9C" w:rsidP="00920905">
      <w:pPr>
        <w:pStyle w:val="NoSpacing"/>
        <w:rPr>
          <w:b/>
        </w:rPr>
      </w:pPr>
    </w:p>
    <w:p w14:paraId="0965C221" w14:textId="77777777" w:rsidR="00C46D9C" w:rsidRDefault="00C46D9C"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lastRenderedPageBreak/>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44941C6" w:rsidR="00E326BA" w:rsidRPr="004A2E55" w:rsidRDefault="00E326BA" w:rsidP="00920905">
            <w:pPr>
              <w:rPr>
                <w:rFonts w:cs="Arial"/>
                <w:b/>
                <w:szCs w:val="20"/>
              </w:rPr>
            </w:pPr>
            <w:r w:rsidRPr="004A2E55">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96D094B" w:rsidR="00E326BA" w:rsidRPr="004A2E55" w:rsidRDefault="00E326BA" w:rsidP="00920905">
            <w:pPr>
              <w:rPr>
                <w:rFonts w:cs="Arial"/>
                <w:szCs w:val="20"/>
              </w:rPr>
            </w:pPr>
            <w:r w:rsidRPr="004A2E55">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B7D4C81" w:rsidR="00E326BA" w:rsidRPr="004A2E55" w:rsidRDefault="004A2E55" w:rsidP="00920905">
            <w:pPr>
              <w:rPr>
                <w:rFonts w:cs="Arial"/>
                <w:szCs w:val="20"/>
              </w:rPr>
            </w:pPr>
            <w:r w:rsidRPr="004A2E55">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C02F544" w:rsidR="00E326BA" w:rsidRPr="004A2E55" w:rsidRDefault="004A2E55" w:rsidP="00920905">
            <w:pPr>
              <w:rPr>
                <w:rFonts w:cs="Arial"/>
                <w:szCs w:val="20"/>
              </w:rPr>
            </w:pPr>
            <w:r w:rsidRPr="004A2E55">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A93929B" w:rsidR="00E326BA" w:rsidRPr="004A2E55" w:rsidRDefault="004A2E55" w:rsidP="00920905">
            <w:pPr>
              <w:rPr>
                <w:rFonts w:cs="Arial"/>
                <w:szCs w:val="20"/>
              </w:rPr>
            </w:pPr>
            <w:r w:rsidRPr="004A2E55">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0AFC6C79" w:rsidR="00E326BA" w:rsidRPr="004A2E55" w:rsidRDefault="004A2E55" w:rsidP="00920905">
            <w:pPr>
              <w:rPr>
                <w:rFonts w:cs="Arial"/>
                <w:szCs w:val="20"/>
              </w:rPr>
            </w:pPr>
            <w:r w:rsidRPr="004A2E55">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10DA0359" w:rsidR="00505CEC" w:rsidRPr="004A2E55" w:rsidDel="00505CEC" w:rsidRDefault="00505CEC" w:rsidP="00920905">
            <w:pPr>
              <w:rPr>
                <w:rFonts w:cs="Arial"/>
                <w:szCs w:val="20"/>
              </w:rPr>
            </w:pPr>
            <w:r w:rsidRPr="004A2E55">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67A326A" w:rsidR="00D86A9D" w:rsidRPr="004A2E55" w:rsidRDefault="00D86A9D" w:rsidP="004A2E55">
            <w:pPr>
              <w:rPr>
                <w:rFonts w:cs="Arial"/>
                <w:szCs w:val="20"/>
              </w:rPr>
            </w:pPr>
            <w:r w:rsidRPr="004A2E55">
              <w:rPr>
                <w:rFonts w:cstheme="minorHAnsi"/>
                <w:szCs w:val="20"/>
              </w:rPr>
              <w:t>DEER 201</w:t>
            </w:r>
            <w:r w:rsidR="00EE2551">
              <w:rPr>
                <w:rFonts w:cstheme="minorHAnsi"/>
                <w:szCs w:val="20"/>
              </w:rPr>
              <w:t>7</w:t>
            </w:r>
            <w:r w:rsidR="004A2E55" w:rsidRPr="004A2E55">
              <w:rPr>
                <w:rFonts w:cstheme="minorHAnsi"/>
                <w:szCs w:val="20"/>
              </w:rPr>
              <w:t>, READI v2.</w:t>
            </w:r>
            <w:r w:rsidR="00EE2551">
              <w:rPr>
                <w:rFonts w:cstheme="minorHAnsi"/>
                <w:szCs w:val="20"/>
              </w:rPr>
              <w:t>4</w:t>
            </w:r>
            <w:r w:rsidRPr="004A2E55">
              <w:rPr>
                <w:rFonts w:cstheme="minorHAnsi"/>
                <w:szCs w:val="20"/>
              </w:rPr>
              <w:t>.</w:t>
            </w:r>
            <w:r w:rsidR="00EE2551">
              <w:rPr>
                <w:rFonts w:cstheme="minorHAnsi"/>
                <w:szCs w:val="20"/>
              </w:rPr>
              <w:t>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6C15F13" w:rsidR="00E326BA" w:rsidRPr="004A2E55" w:rsidRDefault="004A2E55" w:rsidP="00204FC7">
            <w:pPr>
              <w:rPr>
                <w:rFonts w:cs="Arial"/>
                <w:szCs w:val="20"/>
              </w:rPr>
            </w:pPr>
            <w:r w:rsidRPr="004A2E55">
              <w:rPr>
                <w:rFonts w:cs="Arial"/>
                <w:szCs w:val="20"/>
              </w:rPr>
              <w:t>DEER does not have residential occupancy sensor measures.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11FC16A" w:rsidR="00E326BA" w:rsidRPr="004A2E55" w:rsidRDefault="004A2E55" w:rsidP="004A2E55">
            <w:pPr>
              <w:rPr>
                <w:rFonts w:cs="Arial"/>
                <w:szCs w:val="20"/>
              </w:rPr>
            </w:pPr>
            <w:r w:rsidRPr="004A2E5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DA68F62"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w:t>
      </w:r>
      <w:r w:rsidR="0077025C">
        <w:t xml:space="preserve"> V2.4.7.</w:t>
      </w:r>
      <w:r w:rsidRPr="004D069A">
        <w:t xml:space="preserve"> </w:t>
      </w:r>
      <w:proofErr w:type="gramStart"/>
      <w:r w:rsidRPr="004D069A">
        <w:t>The</w:t>
      </w:r>
      <w:proofErr w:type="gramEnd"/>
      <w:r w:rsidRPr="004D069A">
        <w:t xml:space="preserv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288060A" w14:textId="77777777" w:rsidR="00D80914" w:rsidRPr="00920905" w:rsidRDefault="00D80914"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FA5DF9" w14:paraId="7ADA6C1A" w14:textId="77777777" w:rsidTr="00FA5DF9">
        <w:tc>
          <w:tcPr>
            <w:tcW w:w="673" w:type="pct"/>
            <w:shd w:val="clear" w:color="auto" w:fill="D9D9D9" w:themeFill="background1" w:themeFillShade="D9"/>
          </w:tcPr>
          <w:p w14:paraId="036218EF" w14:textId="6670DE77" w:rsidR="000968C6" w:rsidRPr="00FA5DF9" w:rsidRDefault="005729C8" w:rsidP="005729C8">
            <w:pPr>
              <w:rPr>
                <w:rFonts w:cstheme="minorHAnsi"/>
                <w:b/>
                <w:szCs w:val="20"/>
              </w:rPr>
            </w:pPr>
            <w:r w:rsidRPr="00FA5DF9">
              <w:rPr>
                <w:rFonts w:cstheme="minorHAnsi"/>
                <w:b/>
                <w:szCs w:val="20"/>
              </w:rPr>
              <w:t>NTG</w:t>
            </w:r>
            <w:r w:rsidR="005F69D5" w:rsidRPr="00FA5DF9">
              <w:rPr>
                <w:rFonts w:cstheme="minorHAnsi"/>
                <w:b/>
                <w:szCs w:val="20"/>
              </w:rPr>
              <w:t>R</w:t>
            </w:r>
            <w:r w:rsidR="00E06A37" w:rsidRPr="00FA5DF9">
              <w:rPr>
                <w:rFonts w:cstheme="minorHAnsi"/>
                <w:b/>
                <w:szCs w:val="20"/>
              </w:rPr>
              <w:t xml:space="preserve"> ID</w:t>
            </w:r>
          </w:p>
        </w:tc>
        <w:tc>
          <w:tcPr>
            <w:tcW w:w="2019" w:type="pct"/>
            <w:shd w:val="clear" w:color="auto" w:fill="D9D9D9" w:themeFill="background1" w:themeFillShade="D9"/>
          </w:tcPr>
          <w:p w14:paraId="65632B37" w14:textId="13135991" w:rsidR="000968C6" w:rsidRPr="00FA5DF9" w:rsidRDefault="005F69D5">
            <w:pPr>
              <w:rPr>
                <w:rFonts w:cstheme="minorHAnsi"/>
                <w:b/>
                <w:szCs w:val="20"/>
              </w:rPr>
            </w:pPr>
            <w:r w:rsidRPr="00FA5DF9">
              <w:rPr>
                <w:rFonts w:cstheme="minorHAnsi"/>
                <w:b/>
                <w:szCs w:val="20"/>
              </w:rPr>
              <w:t>Description</w:t>
            </w:r>
          </w:p>
        </w:tc>
        <w:tc>
          <w:tcPr>
            <w:tcW w:w="434" w:type="pct"/>
            <w:shd w:val="clear" w:color="auto" w:fill="D9D9D9" w:themeFill="background1" w:themeFillShade="D9"/>
          </w:tcPr>
          <w:p w14:paraId="287DD0A1" w14:textId="77777777" w:rsidR="000968C6" w:rsidRPr="00FA5DF9" w:rsidRDefault="000968C6" w:rsidP="005729C8">
            <w:pPr>
              <w:rPr>
                <w:rFonts w:cstheme="minorHAnsi"/>
                <w:b/>
                <w:szCs w:val="20"/>
              </w:rPr>
            </w:pPr>
            <w:r w:rsidRPr="00FA5DF9">
              <w:rPr>
                <w:rFonts w:cstheme="minorHAnsi"/>
                <w:b/>
                <w:szCs w:val="20"/>
              </w:rPr>
              <w:t>Sector</w:t>
            </w:r>
          </w:p>
        </w:tc>
        <w:tc>
          <w:tcPr>
            <w:tcW w:w="529" w:type="pct"/>
            <w:shd w:val="clear" w:color="auto" w:fill="D9D9D9" w:themeFill="background1" w:themeFillShade="D9"/>
          </w:tcPr>
          <w:p w14:paraId="7DB97D70" w14:textId="77777777" w:rsidR="000968C6" w:rsidRPr="00FA5DF9" w:rsidRDefault="00FB2590" w:rsidP="005729C8">
            <w:pPr>
              <w:rPr>
                <w:rFonts w:cstheme="minorHAnsi"/>
                <w:b/>
                <w:szCs w:val="20"/>
              </w:rPr>
            </w:pPr>
            <w:proofErr w:type="spellStart"/>
            <w:r w:rsidRPr="00FA5DF9">
              <w:rPr>
                <w:rFonts w:cstheme="minorHAnsi"/>
                <w:b/>
                <w:szCs w:val="20"/>
              </w:rPr>
              <w:t>BldgType</w:t>
            </w:r>
            <w:proofErr w:type="spellEnd"/>
          </w:p>
        </w:tc>
        <w:tc>
          <w:tcPr>
            <w:tcW w:w="915" w:type="pct"/>
            <w:shd w:val="clear" w:color="auto" w:fill="D9D9D9" w:themeFill="background1" w:themeFillShade="D9"/>
          </w:tcPr>
          <w:p w14:paraId="500E206E" w14:textId="40BF7372" w:rsidR="000968C6" w:rsidRPr="00FA5DF9" w:rsidRDefault="00E06A37">
            <w:pPr>
              <w:rPr>
                <w:rFonts w:cstheme="minorHAnsi"/>
                <w:b/>
                <w:szCs w:val="20"/>
              </w:rPr>
            </w:pPr>
            <w:r w:rsidRPr="00FA5DF9">
              <w:rPr>
                <w:rFonts w:cstheme="minorHAnsi"/>
                <w:b/>
                <w:szCs w:val="20"/>
              </w:rPr>
              <w:t>M</w:t>
            </w:r>
            <w:r w:rsidR="005F69D5" w:rsidRPr="00FA5DF9">
              <w:rPr>
                <w:rFonts w:cstheme="minorHAnsi"/>
                <w:b/>
                <w:szCs w:val="20"/>
              </w:rPr>
              <w:t xml:space="preserve">easure </w:t>
            </w:r>
            <w:r w:rsidRPr="00FA5DF9">
              <w:rPr>
                <w:rFonts w:cstheme="minorHAnsi"/>
                <w:b/>
                <w:szCs w:val="20"/>
              </w:rPr>
              <w:t>Delivery</w:t>
            </w:r>
          </w:p>
        </w:tc>
        <w:tc>
          <w:tcPr>
            <w:tcW w:w="430" w:type="pct"/>
            <w:shd w:val="clear" w:color="auto" w:fill="D9D9D9" w:themeFill="background1" w:themeFillShade="D9"/>
          </w:tcPr>
          <w:p w14:paraId="48FF07C8" w14:textId="5A5E3ED8" w:rsidR="000968C6" w:rsidRPr="00FA5DF9" w:rsidRDefault="00FB2590" w:rsidP="005729C8">
            <w:pPr>
              <w:rPr>
                <w:rFonts w:cstheme="minorHAnsi"/>
                <w:b/>
                <w:szCs w:val="20"/>
              </w:rPr>
            </w:pPr>
            <w:r w:rsidRPr="00FA5DF9">
              <w:rPr>
                <w:rFonts w:cstheme="minorHAnsi"/>
                <w:b/>
                <w:szCs w:val="20"/>
              </w:rPr>
              <w:t>NTG</w:t>
            </w:r>
            <w:r w:rsidR="00E06A37" w:rsidRPr="00FA5DF9">
              <w:rPr>
                <w:rFonts w:cstheme="minorHAnsi"/>
                <w:b/>
                <w:szCs w:val="20"/>
              </w:rPr>
              <w:t>R</w:t>
            </w:r>
          </w:p>
        </w:tc>
      </w:tr>
      <w:tr w:rsidR="00FA5DF9" w:rsidRPr="00FA5DF9" w14:paraId="74541F3F" w14:textId="77777777" w:rsidTr="00FA5DF9">
        <w:tc>
          <w:tcPr>
            <w:tcW w:w="673" w:type="pct"/>
          </w:tcPr>
          <w:p w14:paraId="094E85EF" w14:textId="2BFCDF67" w:rsidR="00FA5DF9" w:rsidRPr="00FA5DF9" w:rsidRDefault="00FA5DF9" w:rsidP="00FA5DF9">
            <w:pPr>
              <w:rPr>
                <w:rFonts w:cs="Arial"/>
                <w:szCs w:val="20"/>
              </w:rPr>
            </w:pPr>
            <w:r w:rsidRPr="00FA5DF9">
              <w:rPr>
                <w:rFonts w:cs="Arial"/>
                <w:szCs w:val="20"/>
              </w:rPr>
              <w:t>Res-Default&gt;2</w:t>
            </w:r>
          </w:p>
        </w:tc>
        <w:tc>
          <w:tcPr>
            <w:tcW w:w="2019" w:type="pct"/>
          </w:tcPr>
          <w:p w14:paraId="2474D155" w14:textId="45FCD1FA" w:rsidR="00FA5DF9" w:rsidRPr="00FA5DF9" w:rsidRDefault="00FA5DF9" w:rsidP="00FA5DF9">
            <w:pPr>
              <w:rPr>
                <w:rFonts w:cs="Arial"/>
                <w:szCs w:val="20"/>
              </w:rPr>
            </w:pPr>
            <w:r w:rsidRPr="00FA5DF9">
              <w:rPr>
                <w:rFonts w:cs="Arial"/>
                <w:szCs w:val="20"/>
              </w:rPr>
              <w:t>All other EEM with no evaluated NTGR; existing EEM with same delivery mechanism for more than 2 years</w:t>
            </w:r>
          </w:p>
        </w:tc>
        <w:tc>
          <w:tcPr>
            <w:tcW w:w="434" w:type="pct"/>
          </w:tcPr>
          <w:p w14:paraId="308F6380" w14:textId="1D82EC33" w:rsidR="00FA5DF9" w:rsidRPr="00FA5DF9" w:rsidRDefault="00FA5DF9" w:rsidP="00FA5DF9">
            <w:pPr>
              <w:rPr>
                <w:color w:val="FF0000"/>
                <w:szCs w:val="20"/>
              </w:rPr>
            </w:pPr>
            <w:r w:rsidRPr="00FA5DF9">
              <w:rPr>
                <w:rFonts w:cs="Arial"/>
                <w:szCs w:val="20"/>
              </w:rPr>
              <w:t>Res</w:t>
            </w:r>
          </w:p>
        </w:tc>
        <w:tc>
          <w:tcPr>
            <w:tcW w:w="529" w:type="pct"/>
          </w:tcPr>
          <w:p w14:paraId="07E8F321" w14:textId="07A8EE82" w:rsidR="00FA5DF9" w:rsidRPr="00FA5DF9" w:rsidRDefault="00FA5DF9" w:rsidP="00FA5DF9">
            <w:pPr>
              <w:rPr>
                <w:color w:val="FF0000"/>
                <w:szCs w:val="20"/>
              </w:rPr>
            </w:pPr>
            <w:r w:rsidRPr="00FA5DF9">
              <w:rPr>
                <w:rFonts w:cs="Arial"/>
                <w:szCs w:val="20"/>
              </w:rPr>
              <w:t>Any</w:t>
            </w:r>
          </w:p>
        </w:tc>
        <w:tc>
          <w:tcPr>
            <w:tcW w:w="915" w:type="pct"/>
          </w:tcPr>
          <w:p w14:paraId="0EC3F35C" w14:textId="5439EBBD" w:rsidR="00FA5DF9" w:rsidRPr="00FA5DF9" w:rsidRDefault="00FA5DF9" w:rsidP="00FA5DF9">
            <w:pPr>
              <w:rPr>
                <w:color w:val="FF0000"/>
                <w:szCs w:val="20"/>
              </w:rPr>
            </w:pPr>
            <w:r w:rsidRPr="00FA5DF9">
              <w:rPr>
                <w:rFonts w:cs="Arial"/>
                <w:szCs w:val="20"/>
              </w:rPr>
              <w:t>Any</w:t>
            </w:r>
          </w:p>
        </w:tc>
        <w:tc>
          <w:tcPr>
            <w:tcW w:w="430" w:type="pct"/>
          </w:tcPr>
          <w:p w14:paraId="0E5BD702" w14:textId="489E8463" w:rsidR="00FA5DF9" w:rsidRPr="00FA5DF9" w:rsidRDefault="00FA5DF9" w:rsidP="00FA5DF9">
            <w:pPr>
              <w:rPr>
                <w:color w:val="FF0000"/>
                <w:szCs w:val="20"/>
              </w:rPr>
            </w:pPr>
            <w:r w:rsidRPr="00FA5DF9">
              <w:rPr>
                <w:rFonts w:cs="Arial"/>
                <w:szCs w:val="20"/>
              </w:rPr>
              <w:t>0.55</w:t>
            </w:r>
          </w:p>
        </w:tc>
      </w:tr>
      <w:tr w:rsidR="00FA5DF9" w:rsidRPr="00FA5DF9" w14:paraId="67BE4990" w14:textId="77777777" w:rsidTr="00FA5DF9">
        <w:tc>
          <w:tcPr>
            <w:tcW w:w="673" w:type="pct"/>
          </w:tcPr>
          <w:p w14:paraId="04D90501" w14:textId="1F134D88" w:rsidR="00FA5DF9" w:rsidRPr="00FA5DF9" w:rsidRDefault="00FA5DF9" w:rsidP="00FA5DF9">
            <w:pPr>
              <w:rPr>
                <w:color w:val="FF0000"/>
                <w:szCs w:val="20"/>
              </w:rPr>
            </w:pPr>
            <w:r w:rsidRPr="00FA5DF9">
              <w:rPr>
                <w:rFonts w:cs="Arial"/>
                <w:szCs w:val="20"/>
              </w:rPr>
              <w:t>Res-Default-HTR-di</w:t>
            </w:r>
          </w:p>
        </w:tc>
        <w:tc>
          <w:tcPr>
            <w:tcW w:w="2019" w:type="pct"/>
          </w:tcPr>
          <w:p w14:paraId="14A19F01" w14:textId="0F103695" w:rsidR="00FA5DF9" w:rsidRPr="00FA5DF9" w:rsidRDefault="00FA5DF9" w:rsidP="00FA5DF9">
            <w:pPr>
              <w:rPr>
                <w:color w:val="FF0000"/>
                <w:szCs w:val="20"/>
              </w:rPr>
            </w:pPr>
            <w:r w:rsidRPr="00FA5DF9">
              <w:rPr>
                <w:rFonts w:cs="Arial"/>
                <w:szCs w:val="20"/>
              </w:rPr>
              <w:t>All other EEM with no evaluated NTGR; direct install hard-to-reach only.</w:t>
            </w:r>
          </w:p>
        </w:tc>
        <w:tc>
          <w:tcPr>
            <w:tcW w:w="434" w:type="pct"/>
          </w:tcPr>
          <w:p w14:paraId="175DABB6" w14:textId="42AC2756" w:rsidR="00FA5DF9" w:rsidRPr="00FA5DF9" w:rsidRDefault="00FA5DF9" w:rsidP="00FA5DF9">
            <w:pPr>
              <w:rPr>
                <w:color w:val="FF0000"/>
                <w:szCs w:val="20"/>
              </w:rPr>
            </w:pPr>
            <w:r w:rsidRPr="00FA5DF9">
              <w:rPr>
                <w:rFonts w:cs="Arial"/>
                <w:szCs w:val="20"/>
              </w:rPr>
              <w:t>Res</w:t>
            </w:r>
          </w:p>
        </w:tc>
        <w:tc>
          <w:tcPr>
            <w:tcW w:w="529" w:type="pct"/>
          </w:tcPr>
          <w:p w14:paraId="7F911E1E" w14:textId="76D2AE97" w:rsidR="00FA5DF9" w:rsidRPr="00FA5DF9" w:rsidRDefault="00FA5DF9" w:rsidP="00FA5DF9">
            <w:pPr>
              <w:rPr>
                <w:color w:val="FF0000"/>
                <w:szCs w:val="20"/>
              </w:rPr>
            </w:pPr>
            <w:r w:rsidRPr="00FA5DF9">
              <w:rPr>
                <w:rFonts w:cs="Arial"/>
                <w:szCs w:val="20"/>
              </w:rPr>
              <w:t>Any</w:t>
            </w:r>
          </w:p>
        </w:tc>
        <w:tc>
          <w:tcPr>
            <w:tcW w:w="915" w:type="pct"/>
          </w:tcPr>
          <w:p w14:paraId="7D3D4F59" w14:textId="4D15A426" w:rsidR="00FA5DF9" w:rsidRPr="00FA5DF9" w:rsidRDefault="00FA5DF9" w:rsidP="00FA5DF9">
            <w:pPr>
              <w:rPr>
                <w:color w:val="FF0000"/>
                <w:szCs w:val="20"/>
              </w:rPr>
            </w:pPr>
            <w:proofErr w:type="spellStart"/>
            <w:r w:rsidRPr="00FA5DF9">
              <w:rPr>
                <w:rFonts w:cs="Arial"/>
                <w:szCs w:val="20"/>
              </w:rPr>
              <w:t>DirInstall</w:t>
            </w:r>
            <w:proofErr w:type="spellEnd"/>
          </w:p>
        </w:tc>
        <w:tc>
          <w:tcPr>
            <w:tcW w:w="430" w:type="pct"/>
          </w:tcPr>
          <w:p w14:paraId="341A15AC" w14:textId="0449ADB3" w:rsidR="00FA5DF9" w:rsidRPr="00FA5DF9" w:rsidRDefault="00FA5DF9" w:rsidP="00FA5DF9">
            <w:pPr>
              <w:rPr>
                <w:color w:val="FF0000"/>
                <w:szCs w:val="20"/>
              </w:rPr>
            </w:pPr>
            <w:r w:rsidRPr="00FA5DF9">
              <w:rPr>
                <w:rFonts w:cs="Arial"/>
                <w:szCs w:val="20"/>
              </w:rPr>
              <w:t>0.85</w:t>
            </w:r>
          </w:p>
        </w:tc>
      </w:tr>
    </w:tbl>
    <w:p w14:paraId="2595EDF1" w14:textId="069C5928" w:rsidR="000968C6" w:rsidRPr="00FA5DF9" w:rsidRDefault="00FB2590" w:rsidP="000968C6">
      <w:pPr>
        <w:pStyle w:val="Reminders"/>
        <w:rPr>
          <w:rFonts w:asciiTheme="minorHAnsi" w:hAnsiTheme="minorHAnsi" w:cstheme="minorHAnsi"/>
          <w:i w:val="0"/>
          <w:color w:val="auto"/>
          <w:sz w:val="20"/>
          <w:szCs w:val="20"/>
        </w:rPr>
      </w:pPr>
      <w:r w:rsidRPr="00FA5DF9">
        <w:rPr>
          <w:rFonts w:asciiTheme="minorHAnsi" w:hAnsiTheme="minorHAnsi" w:cstheme="minorHAnsi"/>
          <w:i w:val="0"/>
          <w:color w:val="auto"/>
          <w:sz w:val="20"/>
          <w:szCs w:val="20"/>
        </w:rPr>
        <w:t>Note: Direct install measures that are not hard-to-reach will use the default NTG value.</w:t>
      </w:r>
    </w:p>
    <w:p w14:paraId="0E13CC18" w14:textId="77777777" w:rsidR="00C018E0" w:rsidRDefault="00C018E0" w:rsidP="000968C6">
      <w:pPr>
        <w:pStyle w:val="Reminders"/>
        <w:rPr>
          <w:rFonts w:asciiTheme="minorHAnsi" w:hAnsiTheme="minorHAnsi" w:cstheme="minorHAnsi"/>
          <w:i w:val="0"/>
          <w:szCs w:val="22"/>
        </w:rPr>
      </w:pPr>
    </w:p>
    <w:p w14:paraId="074C78AB" w14:textId="3DE3DFD9" w:rsidR="00204FC7" w:rsidRDefault="00204FC7" w:rsidP="00204FC7">
      <w:pPr>
        <w:rPr>
          <w:color w:val="000000" w:themeColor="text1"/>
        </w:rPr>
      </w:pPr>
      <w:r w:rsidRPr="00952D5F">
        <w:rPr>
          <w:color w:val="000000" w:themeColor="text1"/>
        </w:rPr>
        <w:lastRenderedPageBreak/>
        <w:t xml:space="preserve">This work paper includes measures that are offered via direct install activities into hard-to-reach (HTR) customer homes.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dated December 18, 2014, defines specific criteria to classify customer homes as HTR</w:t>
      </w:r>
      <w:r>
        <w:rPr>
          <w:color w:val="000000" w:themeColor="text1"/>
        </w:rPr>
        <w:t xml:space="preserve">. </w:t>
      </w:r>
      <w:r w:rsidRPr="00952D5F">
        <w:rPr>
          <w:color w:val="000000" w:themeColor="text1"/>
        </w:rPr>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w:t>
      </w:r>
      <w:r w:rsidRPr="00952D5F">
        <w:rPr>
          <w:color w:val="000000" w:themeColor="text1"/>
        </w:rPr>
        <w:t xml:space="preserve"> for the geographic criteria</w:t>
      </w:r>
      <w:r>
        <w:rPr>
          <w:color w:val="000000" w:themeColor="text1"/>
        </w:rPr>
        <w:t>.</w:t>
      </w:r>
    </w:p>
    <w:p w14:paraId="4EF23B90" w14:textId="77777777" w:rsidR="00204FC7" w:rsidRDefault="00204FC7" w:rsidP="00204FC7">
      <w:pPr>
        <w:rPr>
          <w:color w:val="000000" w:themeColor="text1"/>
        </w:rPr>
      </w:pPr>
    </w:p>
    <w:p w14:paraId="6431DFDB" w14:textId="1BBDE7DA" w:rsidR="00204FC7" w:rsidRPr="00204FC7" w:rsidRDefault="00204FC7" w:rsidP="00204FC7">
      <w:pPr>
        <w:pStyle w:val="Reminders"/>
        <w:rPr>
          <w:rFonts w:asciiTheme="minorHAnsi" w:hAnsiTheme="minorHAnsi"/>
          <w:i w:val="0"/>
          <w:color w:val="000000" w:themeColor="text1"/>
        </w:rPr>
      </w:pPr>
      <w:r w:rsidRPr="00204FC7">
        <w:rPr>
          <w:rFonts w:asciiTheme="minorHAnsi" w:hAnsiTheme="minorHAnsi"/>
          <w:i w:val="0"/>
          <w:color w:val="000000" w:themeColor="text1"/>
        </w:rPr>
        <w:t>SCE’s Multi-Family Energy Efficiency Rebate (MFEER) program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  The MFEER program will offer and track measure installations in both common and dwelling areas of multifamily complexes and common areas of mobile home parks and condominiums.  Measures offered via direct install activities in both common and dwelling areas of multifamily complexes and common areas of mobile home parks and condominiums will receive the HTR NTG.  Other measures in the MFEER program will receive default NTG (NTGR_ID: Res-Default&gt;2), unless otherwise specified in DEER.</w:t>
      </w:r>
    </w:p>
    <w:p w14:paraId="6865AFF8" w14:textId="77777777" w:rsidR="00204FC7" w:rsidRPr="00204FC7" w:rsidRDefault="00204FC7" w:rsidP="000968C6">
      <w:pPr>
        <w:pStyle w:val="Reminders"/>
        <w:rPr>
          <w:rFonts w:asciiTheme="minorHAnsi" w:hAnsiTheme="minorHAnsi"/>
          <w:i w:val="0"/>
          <w:color w:val="000000" w:themeColor="text1"/>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6D72B1FF"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8D3B8E">
        <w:t xml:space="preserve"> v2.4.7.</w:t>
      </w:r>
      <w:r w:rsidRPr="00920905">
        <w:t xml:space="preserve"> </w:t>
      </w:r>
      <w:r w:rsidR="00061A8E" w:rsidRPr="00920905">
        <w:t>The relevant IR values for the measures in this work paper are in the table below</w:t>
      </w:r>
      <w:r w:rsidR="008B1357" w:rsidRPr="00920905">
        <w:t>.</w:t>
      </w:r>
    </w:p>
    <w:p w14:paraId="175C93FD" w14:textId="77777777" w:rsidR="00D80914" w:rsidRPr="00920905" w:rsidRDefault="00D80914"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FA5DF9" w:rsidRDefault="002F4E34" w:rsidP="005729C8">
            <w:pPr>
              <w:rPr>
                <w:szCs w:val="20"/>
              </w:rPr>
            </w:pPr>
            <w:r w:rsidRPr="00FA5DF9">
              <w:rPr>
                <w:szCs w:val="20"/>
              </w:rPr>
              <w:t>Def-GSIA</w:t>
            </w:r>
          </w:p>
        </w:tc>
        <w:tc>
          <w:tcPr>
            <w:tcW w:w="1404" w:type="pct"/>
          </w:tcPr>
          <w:p w14:paraId="2BFFF598" w14:textId="77777777" w:rsidR="002F4E34" w:rsidRPr="00FA5DF9" w:rsidRDefault="002F4E34" w:rsidP="005729C8">
            <w:pPr>
              <w:rPr>
                <w:szCs w:val="20"/>
              </w:rPr>
            </w:pPr>
            <w:r w:rsidRPr="00FA5DF9">
              <w:rPr>
                <w:szCs w:val="20"/>
              </w:rPr>
              <w:t>Default GSIA values</w:t>
            </w:r>
          </w:p>
        </w:tc>
        <w:tc>
          <w:tcPr>
            <w:tcW w:w="688" w:type="pct"/>
          </w:tcPr>
          <w:p w14:paraId="157D8A62" w14:textId="77777777" w:rsidR="002F4E34" w:rsidRPr="00FA5DF9" w:rsidRDefault="002F4E34" w:rsidP="005729C8">
            <w:pPr>
              <w:rPr>
                <w:szCs w:val="20"/>
              </w:rPr>
            </w:pPr>
            <w:r w:rsidRPr="00FA5DF9">
              <w:rPr>
                <w:szCs w:val="20"/>
              </w:rPr>
              <w:t>Any</w:t>
            </w:r>
          </w:p>
        </w:tc>
        <w:tc>
          <w:tcPr>
            <w:tcW w:w="858" w:type="pct"/>
          </w:tcPr>
          <w:p w14:paraId="0C3293FE" w14:textId="77777777" w:rsidR="002F4E34" w:rsidRPr="00FA5DF9" w:rsidRDefault="002F4E34" w:rsidP="005729C8">
            <w:pPr>
              <w:rPr>
                <w:szCs w:val="20"/>
              </w:rPr>
            </w:pPr>
            <w:r w:rsidRPr="00FA5DF9">
              <w:rPr>
                <w:szCs w:val="20"/>
              </w:rPr>
              <w:t>Any</w:t>
            </w:r>
          </w:p>
        </w:tc>
        <w:tc>
          <w:tcPr>
            <w:tcW w:w="693" w:type="pct"/>
          </w:tcPr>
          <w:p w14:paraId="0B642835" w14:textId="77777777" w:rsidR="002F4E34" w:rsidRPr="00FA5DF9" w:rsidRDefault="002F4E34" w:rsidP="005729C8">
            <w:pPr>
              <w:rPr>
                <w:szCs w:val="20"/>
              </w:rPr>
            </w:pPr>
            <w:r w:rsidRPr="00FA5DF9">
              <w:rPr>
                <w:szCs w:val="20"/>
              </w:rPr>
              <w:t>Any</w:t>
            </w:r>
          </w:p>
        </w:tc>
        <w:tc>
          <w:tcPr>
            <w:tcW w:w="634" w:type="pct"/>
          </w:tcPr>
          <w:p w14:paraId="1C671DD2" w14:textId="77777777" w:rsidR="002F4E34" w:rsidRPr="00FA5DF9" w:rsidRDefault="002F4E34" w:rsidP="005729C8">
            <w:pPr>
              <w:rPr>
                <w:szCs w:val="20"/>
              </w:rPr>
            </w:pPr>
            <w:r w:rsidRPr="00FA5DF9">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2CB4F554" w14:textId="77777777" w:rsidR="00EC651F" w:rsidRDefault="00EC651F" w:rsidP="00920905">
      <w:pPr>
        <w:pStyle w:val="NoSpacing"/>
      </w:pPr>
    </w:p>
    <w:p w14:paraId="0D0BF053" w14:textId="62E3C541" w:rsidR="009812BA" w:rsidRDefault="009812BA" w:rsidP="00920905">
      <w:pPr>
        <w:pStyle w:val="NoSpacing"/>
      </w:pPr>
      <w:r>
        <w:t xml:space="preserve">For REA measures, the EUL is typically 1/3 of the EUL of the equipment being modified because the add-on is also removed when the equipment fails. In this case the equipment </w:t>
      </w:r>
      <w:r w:rsidR="00117D42">
        <w:t xml:space="preserve">is assumed to be </w:t>
      </w:r>
      <w:r>
        <w:t>a linear fluorescent fixture, and the</w:t>
      </w:r>
      <w:r w:rsidR="00117D42">
        <w:t xml:space="preserve"> add-on is the occupancy sensor. </w:t>
      </w:r>
      <w:r>
        <w:t>However</w:t>
      </w:r>
      <w:r w:rsidR="00117D42">
        <w:t xml:space="preserve">, the typical full life of </w:t>
      </w:r>
      <w:r w:rsidR="00987D20">
        <w:t>linear fluorescent fixture is 16</w:t>
      </w:r>
      <w:r w:rsidR="00117D42">
        <w:t xml:space="preserve"> and the RUL is 5</w:t>
      </w:r>
      <w:r w:rsidR="00987D20">
        <w:t>.3</w:t>
      </w:r>
      <w:r w:rsidR="00117D42">
        <w:t>, therefore</w:t>
      </w:r>
      <w:r>
        <w:t xml:space="preserve"> the </w:t>
      </w:r>
      <w:r w:rsidR="00117D42">
        <w:t xml:space="preserve">RUL of linear fluorescent fixture </w:t>
      </w:r>
      <w:r>
        <w:t xml:space="preserve">is used </w:t>
      </w:r>
      <w:r w:rsidR="00117D42">
        <w:t xml:space="preserve">as the EUL and first baseline life </w:t>
      </w:r>
      <w:r>
        <w:t xml:space="preserve">for this work paper. </w:t>
      </w:r>
    </w:p>
    <w:p w14:paraId="3534546F" w14:textId="77777777" w:rsidR="00EC651F" w:rsidRPr="00920905" w:rsidRDefault="00EC651F" w:rsidP="00920905">
      <w:pPr>
        <w:pStyle w:val="NoSpacing"/>
      </w:pP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FA5DF9" w:rsidRPr="00FA5DF9" w14:paraId="5A9EC2BE" w14:textId="77777777" w:rsidTr="00FA5DF9">
        <w:tc>
          <w:tcPr>
            <w:tcW w:w="824" w:type="pct"/>
            <w:shd w:val="clear" w:color="auto" w:fill="D9D9D9" w:themeFill="background1" w:themeFillShade="D9"/>
          </w:tcPr>
          <w:p w14:paraId="17686FBF" w14:textId="77777777" w:rsidR="008B1357" w:rsidRPr="00FA5DF9" w:rsidRDefault="008B1357" w:rsidP="00BA2E7E">
            <w:pPr>
              <w:rPr>
                <w:rFonts w:cstheme="minorHAnsi"/>
                <w:b/>
                <w:szCs w:val="20"/>
              </w:rPr>
            </w:pPr>
            <w:r w:rsidRPr="00FA5DF9">
              <w:rPr>
                <w:rFonts w:cstheme="minorHAnsi"/>
                <w:b/>
                <w:szCs w:val="20"/>
              </w:rPr>
              <w:t>EUL ID</w:t>
            </w:r>
          </w:p>
        </w:tc>
        <w:tc>
          <w:tcPr>
            <w:tcW w:w="1435" w:type="pct"/>
            <w:shd w:val="clear" w:color="auto" w:fill="D9D9D9" w:themeFill="background1" w:themeFillShade="D9"/>
          </w:tcPr>
          <w:p w14:paraId="1C93AC29" w14:textId="77777777" w:rsidR="008B1357" w:rsidRPr="00FA5DF9" w:rsidRDefault="008B1357" w:rsidP="00BA2E7E">
            <w:pPr>
              <w:rPr>
                <w:rFonts w:cstheme="minorHAnsi"/>
                <w:b/>
                <w:szCs w:val="20"/>
              </w:rPr>
            </w:pPr>
            <w:r w:rsidRPr="00FA5DF9">
              <w:rPr>
                <w:rFonts w:cstheme="minorHAnsi"/>
                <w:b/>
                <w:szCs w:val="20"/>
              </w:rPr>
              <w:t>Description</w:t>
            </w:r>
          </w:p>
        </w:tc>
        <w:tc>
          <w:tcPr>
            <w:tcW w:w="473" w:type="pct"/>
            <w:shd w:val="clear" w:color="auto" w:fill="D9D9D9" w:themeFill="background1" w:themeFillShade="D9"/>
          </w:tcPr>
          <w:p w14:paraId="68405617" w14:textId="77777777" w:rsidR="008B1357" w:rsidRPr="00FA5DF9" w:rsidRDefault="008B1357" w:rsidP="00BA2E7E">
            <w:pPr>
              <w:rPr>
                <w:rFonts w:cstheme="minorHAnsi"/>
                <w:b/>
                <w:szCs w:val="20"/>
              </w:rPr>
            </w:pPr>
            <w:r w:rsidRPr="00FA5DF9">
              <w:rPr>
                <w:rFonts w:cstheme="minorHAnsi"/>
                <w:b/>
                <w:szCs w:val="20"/>
              </w:rPr>
              <w:t>Sector</w:t>
            </w:r>
          </w:p>
        </w:tc>
        <w:tc>
          <w:tcPr>
            <w:tcW w:w="679" w:type="pct"/>
            <w:shd w:val="clear" w:color="auto" w:fill="D9D9D9" w:themeFill="background1" w:themeFillShade="D9"/>
          </w:tcPr>
          <w:p w14:paraId="0733AF36" w14:textId="77777777" w:rsidR="008B1357" w:rsidRPr="00FA5DF9" w:rsidRDefault="00BA2E7E" w:rsidP="00BA2E7E">
            <w:pPr>
              <w:rPr>
                <w:rFonts w:cstheme="minorHAnsi"/>
                <w:b/>
                <w:szCs w:val="20"/>
              </w:rPr>
            </w:pPr>
            <w:proofErr w:type="spellStart"/>
            <w:r w:rsidRPr="00FA5DF9">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FA5DF9" w:rsidRDefault="008B1357" w:rsidP="00BA2E7E">
            <w:pPr>
              <w:rPr>
                <w:rFonts w:cstheme="minorHAnsi"/>
                <w:b/>
                <w:szCs w:val="20"/>
              </w:rPr>
            </w:pPr>
            <w:r w:rsidRPr="00FA5DF9">
              <w:rPr>
                <w:rFonts w:cstheme="minorHAnsi"/>
                <w:b/>
                <w:szCs w:val="20"/>
              </w:rPr>
              <w:t>EUL (Years)</w:t>
            </w:r>
          </w:p>
        </w:tc>
        <w:tc>
          <w:tcPr>
            <w:tcW w:w="776" w:type="pct"/>
            <w:shd w:val="clear" w:color="auto" w:fill="D9D9D9" w:themeFill="background1" w:themeFillShade="D9"/>
          </w:tcPr>
          <w:p w14:paraId="6B814E1E" w14:textId="77777777" w:rsidR="008B1357" w:rsidRPr="00FA5DF9" w:rsidRDefault="008B1357" w:rsidP="00BA2E7E">
            <w:pPr>
              <w:rPr>
                <w:rFonts w:cstheme="minorHAnsi"/>
                <w:b/>
                <w:szCs w:val="20"/>
              </w:rPr>
            </w:pPr>
            <w:r w:rsidRPr="00FA5DF9">
              <w:rPr>
                <w:rFonts w:cstheme="minorHAnsi"/>
                <w:b/>
                <w:szCs w:val="20"/>
              </w:rPr>
              <w:t>RUL (Years)</w:t>
            </w:r>
          </w:p>
        </w:tc>
      </w:tr>
      <w:tr w:rsidR="00FA5DF9" w:rsidRPr="00FA5DF9" w14:paraId="23E3B0B0" w14:textId="77777777" w:rsidTr="00FA5DF9">
        <w:trPr>
          <w:trHeight w:val="243"/>
        </w:trPr>
        <w:tc>
          <w:tcPr>
            <w:tcW w:w="824" w:type="pct"/>
          </w:tcPr>
          <w:p w14:paraId="17A1D7F4" w14:textId="050B41D9" w:rsidR="00FA5DF9" w:rsidRPr="00FA5DF9" w:rsidRDefault="00987D20" w:rsidP="00FA5DF9">
            <w:pPr>
              <w:rPr>
                <w:szCs w:val="20"/>
              </w:rPr>
            </w:pPr>
            <w:proofErr w:type="spellStart"/>
            <w:r w:rsidRPr="00987D20">
              <w:rPr>
                <w:rFonts w:ascii="Calibri" w:hAnsi="Calibri"/>
                <w:szCs w:val="20"/>
              </w:rPr>
              <w:t>ILtg</w:t>
            </w:r>
            <w:proofErr w:type="spellEnd"/>
            <w:r w:rsidRPr="00987D20">
              <w:rPr>
                <w:rFonts w:ascii="Calibri" w:hAnsi="Calibri"/>
                <w:szCs w:val="20"/>
              </w:rPr>
              <w:t>-</w:t>
            </w:r>
            <w:proofErr w:type="spellStart"/>
            <w:r w:rsidRPr="00987D20">
              <w:rPr>
                <w:rFonts w:ascii="Calibri" w:hAnsi="Calibri"/>
                <w:szCs w:val="20"/>
              </w:rPr>
              <w:t>Lfluor</w:t>
            </w:r>
            <w:proofErr w:type="spellEnd"/>
            <w:r w:rsidRPr="00987D20">
              <w:rPr>
                <w:rFonts w:ascii="Calibri" w:hAnsi="Calibri"/>
                <w:szCs w:val="20"/>
              </w:rPr>
              <w:t>-fix</w:t>
            </w:r>
          </w:p>
        </w:tc>
        <w:tc>
          <w:tcPr>
            <w:tcW w:w="1435" w:type="pct"/>
          </w:tcPr>
          <w:p w14:paraId="36E678D1" w14:textId="6900D3AC" w:rsidR="00FA5DF9" w:rsidRPr="00FA5DF9" w:rsidRDefault="00987D20" w:rsidP="00FA5DF9">
            <w:pPr>
              <w:rPr>
                <w:szCs w:val="20"/>
              </w:rPr>
            </w:pPr>
            <w:r w:rsidRPr="00987D20">
              <w:rPr>
                <w:rFonts w:ascii="Calibri" w:hAnsi="Calibri"/>
                <w:szCs w:val="20"/>
              </w:rPr>
              <w:t>Linear Fluorescent - Fixtures</w:t>
            </w:r>
          </w:p>
        </w:tc>
        <w:tc>
          <w:tcPr>
            <w:tcW w:w="473" w:type="pct"/>
          </w:tcPr>
          <w:p w14:paraId="42B5C736" w14:textId="77777777" w:rsidR="00FA5DF9" w:rsidRPr="00FA5DF9" w:rsidRDefault="00FA5DF9" w:rsidP="00FA5DF9">
            <w:pPr>
              <w:rPr>
                <w:szCs w:val="20"/>
              </w:rPr>
            </w:pPr>
            <w:r w:rsidRPr="00FA5DF9">
              <w:rPr>
                <w:szCs w:val="20"/>
              </w:rPr>
              <w:t>Com</w:t>
            </w:r>
          </w:p>
        </w:tc>
        <w:tc>
          <w:tcPr>
            <w:tcW w:w="679" w:type="pct"/>
          </w:tcPr>
          <w:p w14:paraId="52A841ED" w14:textId="1257B310" w:rsidR="00FA5DF9" w:rsidRPr="00FA5DF9" w:rsidRDefault="00C46D9C" w:rsidP="00FA5DF9">
            <w:pPr>
              <w:rPr>
                <w:szCs w:val="20"/>
              </w:rPr>
            </w:pPr>
            <w:r>
              <w:rPr>
                <w:szCs w:val="20"/>
              </w:rPr>
              <w:t>Lighting</w:t>
            </w:r>
          </w:p>
        </w:tc>
        <w:tc>
          <w:tcPr>
            <w:tcW w:w="812" w:type="pct"/>
          </w:tcPr>
          <w:p w14:paraId="1BF5FCBD" w14:textId="57132887" w:rsidR="00FA5DF9" w:rsidRPr="00FA5DF9" w:rsidRDefault="00117D42" w:rsidP="00FA5DF9">
            <w:pPr>
              <w:rPr>
                <w:szCs w:val="20"/>
              </w:rPr>
            </w:pPr>
            <w:r>
              <w:rPr>
                <w:szCs w:val="20"/>
              </w:rPr>
              <w:t>5</w:t>
            </w:r>
            <w:r w:rsidR="00987D20">
              <w:rPr>
                <w:szCs w:val="20"/>
              </w:rPr>
              <w:t>.3</w:t>
            </w:r>
          </w:p>
        </w:tc>
        <w:tc>
          <w:tcPr>
            <w:tcW w:w="776" w:type="pct"/>
          </w:tcPr>
          <w:p w14:paraId="46ED97C1" w14:textId="3F66A702" w:rsidR="00FA5DF9" w:rsidRPr="00FA5DF9" w:rsidRDefault="006D61C2" w:rsidP="00FA5DF9">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2088140F" w14:textId="670F6F7D" w:rsidR="00FA5DF9" w:rsidRDefault="00FA5DF9" w:rsidP="00FA5DF9">
      <w:pPr>
        <w:rPr>
          <w:rFonts w:cstheme="minorHAnsi"/>
          <w:szCs w:val="22"/>
        </w:rPr>
      </w:pPr>
      <w:r>
        <w:rPr>
          <w:rFonts w:cstheme="minorHAnsi"/>
          <w:szCs w:val="22"/>
        </w:rPr>
        <w:t>The</w:t>
      </w:r>
      <w:r w:rsidRPr="006C08C8">
        <w:rPr>
          <w:rFonts w:cstheme="minorHAnsi"/>
          <w:szCs w:val="22"/>
        </w:rPr>
        <w:t xml:space="preserve"> </w:t>
      </w:r>
      <w:r w:rsidR="00D0173C">
        <w:rPr>
          <w:rFonts w:cstheme="minorHAnsi"/>
          <w:szCs w:val="22"/>
        </w:rPr>
        <w:t xml:space="preserve">sensors associated with the </w:t>
      </w:r>
      <w:r w:rsidRPr="006C08C8">
        <w:rPr>
          <w:rFonts w:cstheme="minorHAnsi"/>
          <w:szCs w:val="22"/>
        </w:rPr>
        <w:t>measure</w:t>
      </w:r>
      <w:r>
        <w:rPr>
          <w:rFonts w:cstheme="minorHAnsi"/>
          <w:szCs w:val="22"/>
        </w:rPr>
        <w:t xml:space="preserve">s in this work paper </w:t>
      </w:r>
      <w:r w:rsidR="002779B9">
        <w:rPr>
          <w:rFonts w:cstheme="minorHAnsi"/>
          <w:szCs w:val="22"/>
        </w:rPr>
        <w:t>must comply with</w:t>
      </w:r>
      <w:r w:rsidR="00810923" w:rsidRPr="00810923">
        <w:t xml:space="preserve"> </w:t>
      </w:r>
      <w:r w:rsidR="00810923" w:rsidRPr="00810923">
        <w:rPr>
          <w:rFonts w:cstheme="minorHAnsi"/>
          <w:szCs w:val="22"/>
        </w:rPr>
        <w:t>Section 1605.3(l</w:t>
      </w:r>
      <w:r w:rsidR="00D80914" w:rsidRPr="00810923">
        <w:rPr>
          <w:rFonts w:cstheme="minorHAnsi"/>
          <w:szCs w:val="22"/>
        </w:rPr>
        <w:t>) (</w:t>
      </w:r>
      <w:r w:rsidR="00810923" w:rsidRPr="00810923">
        <w:rPr>
          <w:rFonts w:cstheme="minorHAnsi"/>
          <w:szCs w:val="22"/>
        </w:rPr>
        <w:t>2</w:t>
      </w:r>
      <w:r w:rsidR="00D80914" w:rsidRPr="00810923">
        <w:rPr>
          <w:rFonts w:cstheme="minorHAnsi"/>
          <w:szCs w:val="22"/>
        </w:rPr>
        <w:t>) (</w:t>
      </w:r>
      <w:r w:rsidR="00810923" w:rsidRPr="00810923">
        <w:rPr>
          <w:rFonts w:cstheme="minorHAnsi"/>
          <w:szCs w:val="22"/>
        </w:rPr>
        <w:t>G)</w:t>
      </w:r>
      <w:r w:rsidRPr="006C08C8">
        <w:rPr>
          <w:rFonts w:cstheme="minorHAnsi"/>
          <w:szCs w:val="22"/>
        </w:rPr>
        <w:t xml:space="preserve"> </w:t>
      </w:r>
      <w:r w:rsidR="00810923">
        <w:rPr>
          <w:rFonts w:cstheme="minorHAnsi"/>
          <w:szCs w:val="22"/>
        </w:rPr>
        <w:t xml:space="preserve">of </w:t>
      </w:r>
      <w:r w:rsidR="000339FE">
        <w:rPr>
          <w:rFonts w:cstheme="minorHAnsi"/>
          <w:szCs w:val="22"/>
        </w:rPr>
        <w:t xml:space="preserve">Title 20 2015 </w:t>
      </w:r>
      <w:r>
        <w:rPr>
          <w:rFonts w:cstheme="minorHAnsi"/>
          <w:szCs w:val="22"/>
        </w:rPr>
        <w:t>California</w:t>
      </w:r>
      <w:r w:rsidRPr="006C08C8">
        <w:rPr>
          <w:rFonts w:cstheme="minorHAnsi"/>
          <w:szCs w:val="22"/>
        </w:rPr>
        <w:t xml:space="preserve"> </w:t>
      </w:r>
      <w:r>
        <w:rPr>
          <w:rFonts w:cstheme="minorHAnsi"/>
          <w:szCs w:val="22"/>
        </w:rPr>
        <w:t>Ap</w:t>
      </w:r>
      <w:r w:rsidR="000339FE">
        <w:rPr>
          <w:rFonts w:cstheme="minorHAnsi"/>
          <w:szCs w:val="22"/>
        </w:rPr>
        <w:t xml:space="preserve">pliance Efficiency Regulations </w:t>
      </w:r>
      <w:r w:rsidR="00810923">
        <w:rPr>
          <w:rFonts w:cstheme="minorHAnsi"/>
          <w:szCs w:val="22"/>
        </w:rPr>
        <w:t xml:space="preserve">[493]. </w:t>
      </w:r>
    </w:p>
    <w:p w14:paraId="1F763CEC" w14:textId="77777777" w:rsidR="00FA5DF9" w:rsidRDefault="00FA5DF9" w:rsidP="00FA5DF9">
      <w:pPr>
        <w:rPr>
          <w:rFonts w:cstheme="minorHAnsi"/>
          <w:szCs w:val="22"/>
        </w:rPr>
      </w:pPr>
    </w:p>
    <w:p w14:paraId="160BE96D" w14:textId="50A4E2B6" w:rsidR="00FA5DF9" w:rsidRPr="00C26500" w:rsidRDefault="00FA5DF9" w:rsidP="00FA5DF9">
      <w:pPr>
        <w:rPr>
          <w:rFonts w:cstheme="minorHAnsi"/>
          <w:b/>
          <w:szCs w:val="22"/>
        </w:rPr>
      </w:pPr>
      <w:r w:rsidRPr="00C26500">
        <w:rPr>
          <w:rFonts w:cstheme="minorHAnsi"/>
          <w:b/>
          <w:szCs w:val="22"/>
        </w:rPr>
        <w:t>Title 24 (201</w:t>
      </w:r>
      <w:r w:rsidR="008023A5">
        <w:rPr>
          <w:rFonts w:cstheme="minorHAnsi"/>
          <w:b/>
          <w:szCs w:val="22"/>
        </w:rPr>
        <w:t>6</w:t>
      </w:r>
      <w:r w:rsidRPr="00C26500">
        <w:rPr>
          <w:rFonts w:cstheme="minorHAnsi"/>
          <w:b/>
          <w:szCs w:val="22"/>
        </w:rPr>
        <w:t>) [</w:t>
      </w:r>
      <w:r w:rsidR="008023A5">
        <w:rPr>
          <w:rFonts w:cstheme="minorHAnsi"/>
          <w:b/>
          <w:szCs w:val="22"/>
        </w:rPr>
        <w:t>496</w:t>
      </w:r>
      <w:r w:rsidRPr="00C26500">
        <w:rPr>
          <w:rFonts w:cstheme="minorHAnsi"/>
          <w:b/>
          <w:szCs w:val="22"/>
        </w:rPr>
        <w:t>]</w:t>
      </w:r>
    </w:p>
    <w:p w14:paraId="6206BD35" w14:textId="403537D4" w:rsidR="00FA5DF9" w:rsidRDefault="00FA5DF9" w:rsidP="00FA5DF9">
      <w:pPr>
        <w:rPr>
          <w:rFonts w:cstheme="minorHAnsi"/>
          <w:szCs w:val="22"/>
        </w:rPr>
      </w:pPr>
      <w:r>
        <w:rPr>
          <w:rFonts w:cstheme="minorHAnsi"/>
          <w:szCs w:val="22"/>
        </w:rPr>
        <w:t>Section 150.0(k) Residential Lighting</w:t>
      </w:r>
      <w:r w:rsidR="00862A68">
        <w:rPr>
          <w:rFonts w:cstheme="minorHAnsi"/>
          <w:szCs w:val="22"/>
        </w:rPr>
        <w:t xml:space="preserve"> of Title 24 requires automatic controls that include occupancy sensors</w:t>
      </w:r>
      <w:r>
        <w:rPr>
          <w:rFonts w:cstheme="minorHAnsi"/>
          <w:szCs w:val="22"/>
        </w:rPr>
        <w:t xml:space="preserve"> (see excerpt below)</w:t>
      </w:r>
      <w:r w:rsidR="00862A68">
        <w:rPr>
          <w:rFonts w:cstheme="minorHAnsi"/>
          <w:szCs w:val="22"/>
        </w:rPr>
        <w:t>.</w:t>
      </w:r>
      <w:r>
        <w:rPr>
          <w:rFonts w:cstheme="minorHAnsi"/>
          <w:szCs w:val="22"/>
        </w:rPr>
        <w:t xml:space="preserve"> Since the measures in this work paper are Retrofit Add-on, they are not affected by this code.</w:t>
      </w:r>
    </w:p>
    <w:p w14:paraId="37958674" w14:textId="77777777" w:rsidR="00FA5DF9" w:rsidRDefault="00FA5DF9" w:rsidP="00FA5DF9">
      <w:pPr>
        <w:rPr>
          <w:rFonts w:cstheme="minorHAnsi"/>
          <w:szCs w:val="22"/>
        </w:rPr>
      </w:pPr>
    </w:p>
    <w:tbl>
      <w:tblPr>
        <w:tblStyle w:val="TableGrid"/>
        <w:tblW w:w="0" w:type="auto"/>
        <w:tblLook w:val="04A0" w:firstRow="1" w:lastRow="0" w:firstColumn="1" w:lastColumn="0" w:noHBand="0" w:noVBand="1"/>
      </w:tblPr>
      <w:tblGrid>
        <w:gridCol w:w="9576"/>
      </w:tblGrid>
      <w:tr w:rsidR="00FA5DF9" w14:paraId="550A24B6" w14:textId="77777777" w:rsidTr="00142D4C">
        <w:tc>
          <w:tcPr>
            <w:tcW w:w="9576" w:type="dxa"/>
          </w:tcPr>
          <w:p w14:paraId="7E53CEB4" w14:textId="506B759C" w:rsidR="00FA5DF9" w:rsidRDefault="00FA5DF9" w:rsidP="00142D4C">
            <w:pPr>
              <w:rPr>
                <w:rFonts w:cstheme="minorHAnsi"/>
                <w:b/>
                <w:sz w:val="20"/>
                <w:szCs w:val="20"/>
              </w:rPr>
            </w:pPr>
            <w:r w:rsidRPr="003453AA">
              <w:rPr>
                <w:rFonts w:cstheme="minorHAnsi"/>
                <w:b/>
                <w:sz w:val="20"/>
                <w:szCs w:val="20"/>
              </w:rPr>
              <w:t>Section 150</w:t>
            </w:r>
            <w:r>
              <w:rPr>
                <w:rFonts w:cstheme="minorHAnsi"/>
                <w:b/>
                <w:sz w:val="20"/>
                <w:szCs w:val="20"/>
              </w:rPr>
              <w:t>.0</w:t>
            </w:r>
            <w:r w:rsidRPr="003453AA">
              <w:rPr>
                <w:rFonts w:cstheme="minorHAnsi"/>
                <w:b/>
                <w:sz w:val="20"/>
                <w:szCs w:val="20"/>
              </w:rPr>
              <w:t>(k)</w:t>
            </w:r>
            <w:r>
              <w:rPr>
                <w:rFonts w:cstheme="minorHAnsi"/>
                <w:b/>
                <w:sz w:val="20"/>
                <w:szCs w:val="20"/>
              </w:rPr>
              <w:t xml:space="preserve"> Residential Lighting</w:t>
            </w:r>
          </w:p>
          <w:p w14:paraId="702DC2ED" w14:textId="77777777" w:rsidR="00FA5DF9" w:rsidRPr="003453AA" w:rsidRDefault="00FA5DF9" w:rsidP="00142D4C">
            <w:pPr>
              <w:rPr>
                <w:rFonts w:cstheme="minorHAnsi"/>
                <w:b/>
                <w:sz w:val="20"/>
                <w:szCs w:val="20"/>
              </w:rPr>
            </w:pPr>
          </w:p>
          <w:p w14:paraId="2E8955E1" w14:textId="4231E509" w:rsidR="00173AB3" w:rsidRDefault="002779B9" w:rsidP="00173AB3">
            <w:pPr>
              <w:ind w:left="720"/>
              <w:rPr>
                <w:rFonts w:ascii="Calibri" w:hAnsi="Calibri" w:cstheme="minorHAnsi"/>
                <w:sz w:val="20"/>
                <w:szCs w:val="20"/>
              </w:rPr>
            </w:pPr>
            <w:r w:rsidRPr="009E1D64">
              <w:rPr>
                <w:rFonts w:cstheme="minorHAnsi"/>
                <w:b/>
                <w:sz w:val="20"/>
                <w:szCs w:val="20"/>
              </w:rPr>
              <w:t>2</w:t>
            </w:r>
            <w:r w:rsidR="00FA5DF9" w:rsidRPr="009E1D64">
              <w:rPr>
                <w:rFonts w:cstheme="minorHAnsi"/>
                <w:b/>
                <w:sz w:val="20"/>
                <w:szCs w:val="20"/>
              </w:rPr>
              <w:t xml:space="preserve">. </w:t>
            </w:r>
            <w:r w:rsidRPr="00F117E6">
              <w:rPr>
                <w:rFonts w:cstheme="minorHAnsi"/>
              </w:rPr>
              <w:t>Interior Lighting Switching Devices and Controls</w:t>
            </w:r>
            <w:r w:rsidR="00752E55" w:rsidRPr="00F117E6">
              <w:rPr>
                <w:rFonts w:cstheme="minorHAnsi"/>
              </w:rPr>
              <w:t>.</w:t>
            </w:r>
            <w:r w:rsidR="00FA5DF9" w:rsidRPr="00F117E6">
              <w:rPr>
                <w:rFonts w:cstheme="minorHAnsi"/>
                <w:b/>
                <w:sz w:val="20"/>
                <w:szCs w:val="20"/>
              </w:rPr>
              <w:t xml:space="preserve"> </w:t>
            </w:r>
            <w:r w:rsidR="00173AB3">
              <w:rPr>
                <w:rFonts w:ascii="Calibri" w:hAnsi="Calibri" w:cstheme="minorHAnsi"/>
                <w:sz w:val="20"/>
                <w:szCs w:val="20"/>
              </w:rPr>
              <w:t xml:space="preserve"> </w:t>
            </w:r>
          </w:p>
          <w:p w14:paraId="7F146A69" w14:textId="7572FE2D" w:rsidR="00173AB3" w:rsidRDefault="00173AB3" w:rsidP="00173AB3">
            <w:pPr>
              <w:ind w:left="1440"/>
              <w:rPr>
                <w:rFonts w:ascii="Calibri" w:hAnsi="Calibri" w:cstheme="minorHAnsi"/>
                <w:sz w:val="20"/>
                <w:szCs w:val="20"/>
              </w:rPr>
            </w:pPr>
            <w:r>
              <w:rPr>
                <w:rFonts w:ascii="Calibri" w:hAnsi="Calibri" w:cstheme="minorHAnsi"/>
                <w:sz w:val="20"/>
                <w:szCs w:val="20"/>
              </w:rPr>
              <w:t xml:space="preserve">D.    </w:t>
            </w:r>
            <w:r w:rsidRPr="00173AB3">
              <w:rPr>
                <w:rFonts w:ascii="Calibri" w:hAnsi="Calibri" w:cstheme="minorHAnsi"/>
                <w:sz w:val="20"/>
                <w:szCs w:val="20"/>
              </w:rPr>
              <w:t>Lighting controls and equipment shall be installed in accordance with the manufacturer's</w:t>
            </w:r>
          </w:p>
          <w:p w14:paraId="62757DE4" w14:textId="19541257" w:rsidR="00173AB3" w:rsidRDefault="00052D15" w:rsidP="00173AB3">
            <w:pPr>
              <w:ind w:left="1800"/>
              <w:rPr>
                <w:rFonts w:ascii="Calibri" w:hAnsi="Calibri" w:cstheme="minorHAnsi"/>
                <w:sz w:val="20"/>
                <w:szCs w:val="20"/>
              </w:rPr>
            </w:pPr>
            <w:r w:rsidRPr="00173AB3">
              <w:rPr>
                <w:rFonts w:ascii="Calibri" w:hAnsi="Calibri" w:cstheme="minorHAnsi"/>
                <w:sz w:val="20"/>
                <w:szCs w:val="20"/>
              </w:rPr>
              <w:t>Instructions</w:t>
            </w:r>
            <w:r w:rsidR="00173AB3" w:rsidRPr="00173AB3">
              <w:rPr>
                <w:rFonts w:ascii="Calibri" w:hAnsi="Calibri" w:cstheme="minorHAnsi"/>
                <w:sz w:val="20"/>
                <w:szCs w:val="20"/>
              </w:rPr>
              <w:t>.</w:t>
            </w:r>
          </w:p>
          <w:p w14:paraId="3C53379A" w14:textId="77777777" w:rsidR="00173AB3" w:rsidRDefault="00173AB3" w:rsidP="00173AB3">
            <w:pPr>
              <w:ind w:left="1800"/>
              <w:rPr>
                <w:rFonts w:ascii="Calibri" w:hAnsi="Calibri" w:cstheme="minorHAnsi"/>
                <w:sz w:val="20"/>
                <w:szCs w:val="20"/>
              </w:rPr>
            </w:pPr>
          </w:p>
          <w:p w14:paraId="08F4A8AF" w14:textId="77777777" w:rsidR="00173AB3" w:rsidRDefault="00173AB3" w:rsidP="00173AB3">
            <w:pPr>
              <w:ind w:left="1440"/>
              <w:rPr>
                <w:rFonts w:ascii="Calibri" w:hAnsi="Calibri" w:cstheme="minorHAnsi"/>
                <w:sz w:val="20"/>
                <w:szCs w:val="20"/>
              </w:rPr>
            </w:pPr>
            <w:r>
              <w:rPr>
                <w:rFonts w:ascii="Calibri" w:hAnsi="Calibri" w:cstheme="minorHAnsi"/>
                <w:sz w:val="20"/>
                <w:szCs w:val="20"/>
              </w:rPr>
              <w:t xml:space="preserve">E.     </w:t>
            </w:r>
            <w:r w:rsidRPr="00173AB3">
              <w:rPr>
                <w:rFonts w:ascii="Calibri" w:hAnsi="Calibri" w:cstheme="minorHAnsi"/>
                <w:sz w:val="20"/>
                <w:szCs w:val="20"/>
              </w:rPr>
              <w:t xml:space="preserve">No controls shall bypass a dimmer or vacancy sensor function where that dimmer or </w:t>
            </w:r>
          </w:p>
          <w:p w14:paraId="527DD932" w14:textId="519FCDBD" w:rsidR="00173AB3" w:rsidRDefault="00173AB3" w:rsidP="00173AB3">
            <w:pPr>
              <w:ind w:left="1440"/>
              <w:rPr>
                <w:rFonts w:ascii="Calibri" w:hAnsi="Calibri" w:cstheme="minorHAnsi"/>
                <w:sz w:val="20"/>
                <w:szCs w:val="20"/>
              </w:rPr>
            </w:pPr>
            <w:r>
              <w:rPr>
                <w:rFonts w:ascii="Calibri" w:hAnsi="Calibri" w:cstheme="minorHAnsi"/>
                <w:sz w:val="20"/>
                <w:szCs w:val="20"/>
              </w:rPr>
              <w:t xml:space="preserve">        </w:t>
            </w:r>
            <w:r w:rsidR="00052D15" w:rsidRPr="00173AB3">
              <w:rPr>
                <w:rFonts w:ascii="Calibri" w:hAnsi="Calibri" w:cstheme="minorHAnsi"/>
                <w:sz w:val="20"/>
                <w:szCs w:val="20"/>
              </w:rPr>
              <w:t>Vacancy</w:t>
            </w:r>
            <w:r w:rsidRPr="00173AB3">
              <w:rPr>
                <w:rFonts w:ascii="Calibri" w:hAnsi="Calibri" w:cstheme="minorHAnsi"/>
                <w:sz w:val="20"/>
                <w:szCs w:val="20"/>
              </w:rPr>
              <w:t xml:space="preserve"> sensor</w:t>
            </w:r>
            <w:r>
              <w:rPr>
                <w:rFonts w:ascii="Calibri" w:hAnsi="Calibri" w:cstheme="minorHAnsi"/>
                <w:sz w:val="20"/>
                <w:szCs w:val="20"/>
              </w:rPr>
              <w:t xml:space="preserve"> </w:t>
            </w:r>
            <w:r w:rsidRPr="00173AB3">
              <w:rPr>
                <w:rFonts w:ascii="Calibri" w:hAnsi="Calibri" w:cstheme="minorHAnsi"/>
                <w:sz w:val="20"/>
                <w:szCs w:val="20"/>
              </w:rPr>
              <w:t>has been installed to comply with Section 150.0(k).</w:t>
            </w:r>
          </w:p>
          <w:p w14:paraId="5F88D287" w14:textId="77777777" w:rsidR="00173AB3" w:rsidRDefault="00173AB3" w:rsidP="00173AB3">
            <w:pPr>
              <w:ind w:left="1440"/>
              <w:rPr>
                <w:rFonts w:ascii="Calibri" w:hAnsi="Calibri" w:cstheme="minorHAnsi"/>
                <w:sz w:val="20"/>
                <w:szCs w:val="20"/>
              </w:rPr>
            </w:pPr>
          </w:p>
          <w:p w14:paraId="42DD239E" w14:textId="7A400FF3" w:rsidR="00173AB3" w:rsidRDefault="00173AB3" w:rsidP="00173AB3">
            <w:pPr>
              <w:ind w:left="1440"/>
              <w:rPr>
                <w:rFonts w:ascii="Calibri" w:hAnsi="Calibri" w:cstheme="minorHAnsi"/>
                <w:sz w:val="20"/>
                <w:szCs w:val="20"/>
              </w:rPr>
            </w:pPr>
            <w:r>
              <w:rPr>
                <w:rFonts w:ascii="Calibri" w:hAnsi="Calibri" w:cstheme="minorHAnsi"/>
                <w:sz w:val="20"/>
                <w:szCs w:val="20"/>
              </w:rPr>
              <w:t xml:space="preserve">F.     </w:t>
            </w:r>
            <w:r w:rsidRPr="00173AB3">
              <w:rPr>
                <w:rFonts w:ascii="Calibri" w:hAnsi="Calibri" w:cstheme="minorHAnsi"/>
                <w:sz w:val="20"/>
                <w:szCs w:val="20"/>
              </w:rPr>
              <w:t>Lighting controls shall comply with the applicable requirements of Section 110.9.</w:t>
            </w:r>
          </w:p>
          <w:p w14:paraId="264BBEA2" w14:textId="77777777" w:rsidR="00173AB3" w:rsidRPr="00173AB3" w:rsidRDefault="00173AB3" w:rsidP="00173AB3">
            <w:pPr>
              <w:ind w:left="1800"/>
              <w:rPr>
                <w:rFonts w:ascii="Calibri" w:hAnsi="Calibri" w:cstheme="minorHAnsi"/>
                <w:sz w:val="20"/>
                <w:szCs w:val="20"/>
              </w:rPr>
            </w:pPr>
          </w:p>
          <w:p w14:paraId="4A019B83" w14:textId="13FB9CFF" w:rsidR="00FA5DF9" w:rsidRDefault="00752E55" w:rsidP="00173AB3">
            <w:pPr>
              <w:pStyle w:val="ListParagraph"/>
              <w:numPr>
                <w:ilvl w:val="0"/>
                <w:numId w:val="41"/>
              </w:numPr>
              <w:rPr>
                <w:rFonts w:ascii="Calibri" w:hAnsi="Calibri" w:cstheme="minorHAnsi"/>
                <w:sz w:val="20"/>
                <w:szCs w:val="20"/>
              </w:rPr>
            </w:pPr>
            <w:r w:rsidRPr="00F117E6">
              <w:rPr>
                <w:rFonts w:ascii="Calibri" w:hAnsi="Calibri"/>
                <w:color w:val="000000"/>
                <w:sz w:val="20"/>
                <w:szCs w:val="20"/>
              </w:rPr>
              <w:t>In bathrooms, garages, laundry rooms, and utility rooms, at least one luminaire in each of these spaces shall be controlled by a vacancy sensor.</w:t>
            </w:r>
            <w:r w:rsidRPr="00F117E6">
              <w:rPr>
                <w:rFonts w:ascii="Calibri" w:hAnsi="Calibri"/>
              </w:rPr>
              <w:t xml:space="preserve"> </w:t>
            </w:r>
            <w:r w:rsidR="00FA5DF9" w:rsidRPr="00F117E6">
              <w:rPr>
                <w:rFonts w:ascii="Calibri" w:hAnsi="Calibri" w:cstheme="minorHAnsi"/>
                <w:sz w:val="20"/>
                <w:szCs w:val="20"/>
              </w:rPr>
              <w:t xml:space="preserve"> </w:t>
            </w:r>
          </w:p>
          <w:p w14:paraId="4548FDCF" w14:textId="77777777" w:rsidR="00173AB3" w:rsidRDefault="00173AB3" w:rsidP="00173AB3">
            <w:pPr>
              <w:pStyle w:val="ListParagraph"/>
              <w:ind w:left="1800"/>
              <w:rPr>
                <w:rFonts w:ascii="Calibri" w:hAnsi="Calibri" w:cstheme="minorHAnsi"/>
                <w:sz w:val="20"/>
                <w:szCs w:val="20"/>
              </w:rPr>
            </w:pPr>
          </w:p>
          <w:p w14:paraId="22A550F4" w14:textId="7095E7B2" w:rsidR="00173AB3" w:rsidRDefault="00173AB3" w:rsidP="00A821A0">
            <w:pPr>
              <w:pStyle w:val="ListParagraph"/>
              <w:numPr>
                <w:ilvl w:val="0"/>
                <w:numId w:val="41"/>
              </w:numPr>
              <w:rPr>
                <w:rFonts w:ascii="Calibri" w:hAnsi="Calibri" w:cstheme="minorHAnsi"/>
                <w:sz w:val="20"/>
                <w:szCs w:val="20"/>
              </w:rPr>
            </w:pPr>
            <w:r w:rsidRPr="00173AB3">
              <w:rPr>
                <w:rFonts w:ascii="Calibri" w:hAnsi="Calibri" w:cstheme="minorHAnsi"/>
                <w:sz w:val="20"/>
                <w:szCs w:val="20"/>
              </w:rPr>
              <w:t>Dimmers or vacancy sensors shall control all luminaires required to have light sources compliant with Reference Joint Appendix JA8.</w:t>
            </w:r>
          </w:p>
          <w:p w14:paraId="41E690AC" w14:textId="77777777" w:rsidR="00173AB3" w:rsidRPr="00173AB3" w:rsidRDefault="00173AB3" w:rsidP="00173AB3">
            <w:pPr>
              <w:pStyle w:val="ListParagraph"/>
              <w:ind w:left="1800"/>
              <w:rPr>
                <w:rFonts w:ascii="Calibri" w:hAnsi="Calibri" w:cstheme="minorHAnsi"/>
                <w:sz w:val="20"/>
                <w:szCs w:val="20"/>
              </w:rPr>
            </w:pPr>
          </w:p>
          <w:p w14:paraId="3B1F734A" w14:textId="77777777" w:rsidR="00173AB3" w:rsidRPr="00173AB3" w:rsidRDefault="00173AB3" w:rsidP="00173AB3">
            <w:pPr>
              <w:pStyle w:val="ListParagraph"/>
              <w:ind w:left="1800"/>
              <w:rPr>
                <w:rFonts w:ascii="Calibri" w:hAnsi="Calibri" w:cstheme="minorHAnsi"/>
                <w:sz w:val="20"/>
                <w:szCs w:val="20"/>
              </w:rPr>
            </w:pPr>
            <w:r w:rsidRPr="00173AB3">
              <w:rPr>
                <w:rFonts w:ascii="Calibri" w:hAnsi="Calibri" w:cstheme="minorHAnsi"/>
                <w:sz w:val="20"/>
                <w:szCs w:val="20"/>
              </w:rPr>
              <w:t>EXCEPTION 1 to Section 150.0(k</w:t>
            </w:r>
            <w:proofErr w:type="gramStart"/>
            <w:r w:rsidRPr="00173AB3">
              <w:rPr>
                <w:rFonts w:ascii="Calibri" w:hAnsi="Calibri" w:cstheme="minorHAnsi"/>
                <w:sz w:val="20"/>
                <w:szCs w:val="20"/>
              </w:rPr>
              <w:t>)2K</w:t>
            </w:r>
            <w:proofErr w:type="gramEnd"/>
            <w:r w:rsidRPr="00173AB3">
              <w:rPr>
                <w:rFonts w:ascii="Calibri" w:hAnsi="Calibri" w:cstheme="minorHAnsi"/>
                <w:sz w:val="20"/>
                <w:szCs w:val="20"/>
              </w:rPr>
              <w:t>: Luminaires in closets less than 70 square feet.</w:t>
            </w:r>
          </w:p>
          <w:p w14:paraId="3067E8C4" w14:textId="40969EC5" w:rsidR="00173AB3" w:rsidRPr="00F117E6" w:rsidRDefault="00173AB3" w:rsidP="00173AB3">
            <w:pPr>
              <w:pStyle w:val="ListParagraph"/>
              <w:ind w:left="1800"/>
              <w:rPr>
                <w:rFonts w:ascii="Calibri" w:hAnsi="Calibri" w:cstheme="minorHAnsi"/>
                <w:sz w:val="20"/>
                <w:szCs w:val="20"/>
              </w:rPr>
            </w:pPr>
            <w:r w:rsidRPr="00173AB3">
              <w:rPr>
                <w:rFonts w:ascii="Calibri" w:hAnsi="Calibri" w:cstheme="minorHAnsi"/>
                <w:sz w:val="20"/>
                <w:szCs w:val="20"/>
              </w:rPr>
              <w:t>EXCEPTION 2 to Section 150.0(k</w:t>
            </w:r>
            <w:proofErr w:type="gramStart"/>
            <w:r w:rsidRPr="00173AB3">
              <w:rPr>
                <w:rFonts w:ascii="Calibri" w:hAnsi="Calibri" w:cstheme="minorHAnsi"/>
                <w:sz w:val="20"/>
                <w:szCs w:val="20"/>
              </w:rPr>
              <w:t>)2K</w:t>
            </w:r>
            <w:proofErr w:type="gramEnd"/>
            <w:r w:rsidRPr="00173AB3">
              <w:rPr>
                <w:rFonts w:ascii="Calibri" w:hAnsi="Calibri" w:cstheme="minorHAnsi"/>
                <w:sz w:val="20"/>
                <w:szCs w:val="20"/>
              </w:rPr>
              <w:t>: Luminaires in hallways.</w:t>
            </w:r>
          </w:p>
          <w:p w14:paraId="44E974E4" w14:textId="77777777" w:rsidR="00FA5DF9" w:rsidRDefault="00FA5DF9" w:rsidP="00142D4C">
            <w:pPr>
              <w:rPr>
                <w:rFonts w:cstheme="minorHAnsi"/>
                <w:szCs w:val="22"/>
              </w:rPr>
            </w:pPr>
          </w:p>
          <w:p w14:paraId="4B362C43" w14:textId="106F4A6B" w:rsidR="00FA5DF9" w:rsidRPr="00DC11A1" w:rsidRDefault="00E9444D" w:rsidP="00142D4C">
            <w:pPr>
              <w:ind w:left="720"/>
              <w:rPr>
                <w:rFonts w:cstheme="minorHAnsi"/>
                <w:b/>
                <w:sz w:val="20"/>
                <w:szCs w:val="20"/>
              </w:rPr>
            </w:pPr>
            <w:r>
              <w:rPr>
                <w:rFonts w:cstheme="minorHAnsi"/>
                <w:b/>
                <w:sz w:val="20"/>
                <w:szCs w:val="20"/>
              </w:rPr>
              <w:t>6</w:t>
            </w:r>
            <w:r w:rsidR="00FA5DF9" w:rsidRPr="00DC11A1">
              <w:rPr>
                <w:rFonts w:cstheme="minorHAnsi"/>
                <w:b/>
                <w:sz w:val="20"/>
                <w:szCs w:val="20"/>
              </w:rPr>
              <w:t xml:space="preserve">. Interior Common Areas of Low-rise Multi-Family Residential Buildings. </w:t>
            </w:r>
          </w:p>
          <w:p w14:paraId="784CF395" w14:textId="0F2C6815" w:rsidR="00FA5DF9" w:rsidRDefault="00FA5DF9" w:rsidP="00FA5DF9">
            <w:pPr>
              <w:pStyle w:val="ListParagraph"/>
              <w:numPr>
                <w:ilvl w:val="0"/>
                <w:numId w:val="42"/>
              </w:numPr>
              <w:rPr>
                <w:rFonts w:cstheme="minorHAnsi"/>
                <w:sz w:val="20"/>
                <w:szCs w:val="20"/>
              </w:rPr>
            </w:pPr>
            <w:r w:rsidRPr="00404780">
              <w:rPr>
                <w:rFonts w:cstheme="minorHAnsi"/>
                <w:sz w:val="20"/>
                <w:szCs w:val="20"/>
              </w:rPr>
              <w:t xml:space="preserve">In a low-rise multifamily residential building where the total interior common area in a single building equals 20 percent or less of the floor area, permanently installed lighting for the interior common areas in that building shall be high efficacy luminaires </w:t>
            </w:r>
            <w:r w:rsidR="00204B7E">
              <w:rPr>
                <w:rFonts w:cstheme="minorHAnsi"/>
                <w:sz w:val="20"/>
                <w:szCs w:val="20"/>
              </w:rPr>
              <w:t xml:space="preserve">and </w:t>
            </w:r>
            <w:r w:rsidRPr="00404780">
              <w:rPr>
                <w:rFonts w:cstheme="minorHAnsi"/>
                <w:sz w:val="20"/>
                <w:szCs w:val="20"/>
              </w:rPr>
              <w:t xml:space="preserve">controlled by an occupant sensor. </w:t>
            </w:r>
          </w:p>
          <w:p w14:paraId="06B0E6ED" w14:textId="77777777" w:rsidR="00173AB3" w:rsidRPr="00404780" w:rsidRDefault="00173AB3" w:rsidP="00173AB3">
            <w:pPr>
              <w:pStyle w:val="ListParagraph"/>
              <w:ind w:left="1800"/>
              <w:rPr>
                <w:rFonts w:cstheme="minorHAnsi"/>
                <w:sz w:val="20"/>
                <w:szCs w:val="20"/>
              </w:rPr>
            </w:pPr>
          </w:p>
          <w:p w14:paraId="3B2994E3" w14:textId="77777777" w:rsidR="00FA5DF9" w:rsidRPr="00404780" w:rsidRDefault="00FA5DF9" w:rsidP="00FA5DF9">
            <w:pPr>
              <w:pStyle w:val="ListParagraph"/>
              <w:numPr>
                <w:ilvl w:val="0"/>
                <w:numId w:val="42"/>
              </w:numPr>
              <w:rPr>
                <w:rFonts w:cstheme="minorHAnsi"/>
                <w:sz w:val="20"/>
                <w:szCs w:val="20"/>
              </w:rPr>
            </w:pPr>
            <w:r w:rsidRPr="00404780">
              <w:rPr>
                <w:rFonts w:cstheme="minorHAnsi"/>
                <w:sz w:val="20"/>
                <w:szCs w:val="20"/>
              </w:rPr>
              <w:t xml:space="preserve">In a low-rise multifamily residential building where the total interior common area in a single building equals more than 20 percent of the floor area, permanently installed lighting in that building shall: </w:t>
            </w:r>
          </w:p>
          <w:p w14:paraId="4541A8BF" w14:textId="77777777" w:rsidR="00FA5DF9" w:rsidRPr="00404780" w:rsidRDefault="00FA5DF9" w:rsidP="00FA5DF9">
            <w:pPr>
              <w:pStyle w:val="ListParagraph"/>
              <w:numPr>
                <w:ilvl w:val="0"/>
                <w:numId w:val="43"/>
              </w:numPr>
              <w:rPr>
                <w:rFonts w:cstheme="minorHAnsi"/>
                <w:sz w:val="20"/>
                <w:szCs w:val="20"/>
              </w:rPr>
            </w:pPr>
            <w:r w:rsidRPr="00404780">
              <w:rPr>
                <w:rFonts w:cstheme="minorHAnsi"/>
                <w:sz w:val="20"/>
                <w:szCs w:val="20"/>
              </w:rPr>
              <w:t xml:space="preserve">Comply with the applicable requirements in Sections 110.9, 130.0, 130.1, 140.6 and 141.0; and </w:t>
            </w:r>
          </w:p>
          <w:p w14:paraId="02F390E4" w14:textId="77777777" w:rsidR="00FA5DF9" w:rsidRDefault="00FA5DF9" w:rsidP="00FA5DF9">
            <w:pPr>
              <w:pStyle w:val="ListParagraph"/>
              <w:numPr>
                <w:ilvl w:val="0"/>
                <w:numId w:val="43"/>
              </w:numPr>
              <w:rPr>
                <w:rFonts w:cstheme="minorHAnsi"/>
                <w:szCs w:val="22"/>
              </w:rPr>
            </w:pPr>
            <w:r w:rsidRPr="00404780">
              <w:rPr>
                <w:rFonts w:cstheme="minorHAnsi"/>
                <w:sz w:val="20"/>
                <w:szCs w:val="20"/>
              </w:rPr>
              <w:t xml:space="preserve">Lighting installed in corridors and stairwells shall be controlled by occupant sensors that reduce the lighting power in each space by at least 50 percent. The occupant sensors shall be capable of turning the light fully </w:t>
            </w:r>
            <w:proofErr w:type="gramStart"/>
            <w:r w:rsidRPr="00404780">
              <w:rPr>
                <w:rFonts w:cstheme="minorHAnsi"/>
                <w:sz w:val="20"/>
                <w:szCs w:val="20"/>
              </w:rPr>
              <w:t>On</w:t>
            </w:r>
            <w:proofErr w:type="gramEnd"/>
            <w:r w:rsidRPr="00404780">
              <w:rPr>
                <w:rFonts w:cstheme="minorHAnsi"/>
                <w:sz w:val="20"/>
                <w:szCs w:val="20"/>
              </w:rPr>
              <w:t xml:space="preserve"> and Off from all designed paths of ingress and egress. </w:t>
            </w:r>
          </w:p>
        </w:tc>
      </w:tr>
      <w:tr w:rsidR="00173AB3" w14:paraId="1B7E2D70" w14:textId="77777777" w:rsidTr="00142D4C">
        <w:tc>
          <w:tcPr>
            <w:tcW w:w="9576" w:type="dxa"/>
          </w:tcPr>
          <w:p w14:paraId="1CE1BF8C" w14:textId="77777777" w:rsidR="00173AB3" w:rsidRPr="003453AA" w:rsidRDefault="00173AB3" w:rsidP="00142D4C">
            <w:pPr>
              <w:rPr>
                <w:rFonts w:cstheme="minorHAnsi"/>
                <w:b/>
                <w:sz w:val="20"/>
                <w:szCs w:val="20"/>
              </w:rPr>
            </w:pPr>
          </w:p>
        </w:tc>
      </w:tr>
    </w:tbl>
    <w:p w14:paraId="012F4891" w14:textId="77777777" w:rsidR="00FA5DF9" w:rsidRDefault="00FA5DF9" w:rsidP="00FA5DF9">
      <w:pPr>
        <w:rPr>
          <w:rFonts w:cstheme="minorHAnsi"/>
          <w:szCs w:val="22"/>
        </w:rPr>
      </w:pPr>
    </w:p>
    <w:p w14:paraId="04577344" w14:textId="77777777" w:rsidR="00FA5DF9" w:rsidRDefault="00FA5DF9" w:rsidP="00FA5DF9">
      <w:pPr>
        <w:rPr>
          <w:rFonts w:cstheme="minorHAnsi"/>
          <w:szCs w:val="22"/>
        </w:rPr>
      </w:pPr>
      <w:r>
        <w:rPr>
          <w:rFonts w:cstheme="minorHAnsi"/>
          <w:szCs w:val="22"/>
        </w:rPr>
        <w:t xml:space="preserve">This </w:t>
      </w:r>
      <w:proofErr w:type="spellStart"/>
      <w:r>
        <w:rPr>
          <w:rFonts w:cstheme="minorHAnsi"/>
          <w:szCs w:val="22"/>
        </w:rPr>
        <w:t>workpaper</w:t>
      </w:r>
      <w:proofErr w:type="spellEnd"/>
      <w:r>
        <w:rPr>
          <w:rFonts w:cstheme="minorHAnsi"/>
          <w:szCs w:val="22"/>
        </w:rPr>
        <w:t xml:space="preserve"> assumes that all base case lighting fixtures are either linear fluorescent or compact fluorescent, both of which classify as high efficacy lighting.</w:t>
      </w:r>
    </w:p>
    <w:p w14:paraId="284601E7" w14:textId="3942C811" w:rsidR="00B07EE5" w:rsidRPr="00500C4E" w:rsidRDefault="005A1078" w:rsidP="00920905">
      <w:pPr>
        <w:pStyle w:val="Caption"/>
        <w:keepNext/>
        <w:rPr>
          <w:rFonts w:cstheme="minorHAnsi"/>
          <w:szCs w:val="22"/>
        </w:rPr>
      </w:pPr>
      <w:r w:rsidRPr="00500C4E">
        <w:rPr>
          <w:rFonts w:cstheme="minorHAnsi"/>
          <w:szCs w:val="22"/>
        </w:rPr>
        <w:lastRenderedPageBreak/>
        <w:t>Code Summary</w:t>
      </w:r>
    </w:p>
    <w:tbl>
      <w:tblPr>
        <w:tblStyle w:val="TableGrid1"/>
        <w:tblW w:w="5000" w:type="pct"/>
        <w:tblLook w:val="04A0" w:firstRow="1" w:lastRow="0" w:firstColumn="1" w:lastColumn="0" w:noHBand="0" w:noVBand="1"/>
      </w:tblPr>
      <w:tblGrid>
        <w:gridCol w:w="2212"/>
        <w:gridCol w:w="5192"/>
        <w:gridCol w:w="2172"/>
      </w:tblGrid>
      <w:tr w:rsidR="00FA5DF9" w:rsidRPr="00FA5DF9" w14:paraId="51467286" w14:textId="77777777" w:rsidTr="00920905">
        <w:tc>
          <w:tcPr>
            <w:tcW w:w="1155" w:type="pct"/>
            <w:shd w:val="clear" w:color="auto" w:fill="D9D9D9" w:themeFill="background1" w:themeFillShade="D9"/>
          </w:tcPr>
          <w:p w14:paraId="20C3C2B4" w14:textId="77777777" w:rsidR="00881A42" w:rsidRPr="00FA5DF9" w:rsidRDefault="00881A42" w:rsidP="00DF0D19">
            <w:pPr>
              <w:rPr>
                <w:rFonts w:cstheme="minorHAnsi"/>
                <w:b/>
                <w:szCs w:val="20"/>
              </w:rPr>
            </w:pPr>
            <w:r w:rsidRPr="00FA5DF9">
              <w:rPr>
                <w:rFonts w:cstheme="minorHAnsi"/>
                <w:b/>
                <w:szCs w:val="20"/>
              </w:rPr>
              <w:t>Code</w:t>
            </w:r>
          </w:p>
        </w:tc>
        <w:tc>
          <w:tcPr>
            <w:tcW w:w="2711" w:type="pct"/>
            <w:shd w:val="clear" w:color="auto" w:fill="D9D9D9" w:themeFill="background1" w:themeFillShade="D9"/>
          </w:tcPr>
          <w:p w14:paraId="11112752" w14:textId="30F242E1" w:rsidR="00881A42" w:rsidRPr="00FA5DF9" w:rsidRDefault="00B614F1">
            <w:pPr>
              <w:rPr>
                <w:rFonts w:cstheme="minorHAnsi"/>
                <w:b/>
                <w:szCs w:val="20"/>
              </w:rPr>
            </w:pPr>
            <w:r w:rsidRPr="00FA5DF9">
              <w:rPr>
                <w:rFonts w:cstheme="minorHAnsi"/>
                <w:b/>
                <w:szCs w:val="20"/>
              </w:rPr>
              <w:t>R</w:t>
            </w:r>
            <w:r w:rsidR="00881A42" w:rsidRPr="00FA5DF9">
              <w:rPr>
                <w:rFonts w:cstheme="minorHAnsi"/>
                <w:b/>
                <w:szCs w:val="20"/>
              </w:rPr>
              <w:t>eference</w:t>
            </w:r>
          </w:p>
        </w:tc>
        <w:tc>
          <w:tcPr>
            <w:tcW w:w="1134" w:type="pct"/>
            <w:shd w:val="clear" w:color="auto" w:fill="D9D9D9" w:themeFill="background1" w:themeFillShade="D9"/>
          </w:tcPr>
          <w:p w14:paraId="5A1E238B" w14:textId="58FC8C8D" w:rsidR="00881A42" w:rsidRPr="00FA5DF9" w:rsidRDefault="00881A42" w:rsidP="00DF0D19">
            <w:pPr>
              <w:rPr>
                <w:rFonts w:cstheme="minorHAnsi"/>
                <w:b/>
                <w:szCs w:val="20"/>
              </w:rPr>
            </w:pPr>
            <w:r w:rsidRPr="00FA5DF9">
              <w:rPr>
                <w:rFonts w:cstheme="minorHAnsi"/>
                <w:b/>
                <w:szCs w:val="20"/>
              </w:rPr>
              <w:t>Effective Date</w:t>
            </w:r>
            <w:r w:rsidR="00CB04D2" w:rsidRPr="00FA5DF9">
              <w:rPr>
                <w:rFonts w:cstheme="minorHAnsi"/>
                <w:b/>
                <w:szCs w:val="20"/>
              </w:rPr>
              <w:t>s</w:t>
            </w:r>
          </w:p>
        </w:tc>
      </w:tr>
      <w:tr w:rsidR="00FA5DF9" w:rsidRPr="00FA5DF9" w14:paraId="41E6B4DA" w14:textId="77777777" w:rsidTr="00920905">
        <w:trPr>
          <w:trHeight w:val="243"/>
        </w:trPr>
        <w:tc>
          <w:tcPr>
            <w:tcW w:w="1155" w:type="pct"/>
          </w:tcPr>
          <w:p w14:paraId="16A44F28" w14:textId="6B9121BD" w:rsidR="00881A42" w:rsidRPr="00FA5DF9" w:rsidRDefault="006A6D15" w:rsidP="00DF0D19">
            <w:pPr>
              <w:rPr>
                <w:rFonts w:cstheme="minorHAnsi"/>
                <w:szCs w:val="20"/>
              </w:rPr>
            </w:pPr>
            <w:r w:rsidRPr="00FA5DF9">
              <w:rPr>
                <w:rFonts w:cstheme="minorHAnsi"/>
                <w:szCs w:val="20"/>
              </w:rPr>
              <w:t>Title 24 (201</w:t>
            </w:r>
            <w:r w:rsidR="00F75079">
              <w:rPr>
                <w:rFonts w:cstheme="minorHAnsi"/>
                <w:szCs w:val="20"/>
              </w:rPr>
              <w:t>6</w:t>
            </w:r>
            <w:r w:rsidR="00881A42" w:rsidRPr="00FA5DF9">
              <w:rPr>
                <w:rFonts w:cstheme="minorHAnsi"/>
                <w:szCs w:val="20"/>
              </w:rPr>
              <w:t>)</w:t>
            </w:r>
          </w:p>
        </w:tc>
        <w:tc>
          <w:tcPr>
            <w:tcW w:w="2711" w:type="pct"/>
          </w:tcPr>
          <w:p w14:paraId="387D6828" w14:textId="3E9169B5" w:rsidR="00881A42" w:rsidRPr="00FA5DF9" w:rsidRDefault="00FA5DF9" w:rsidP="00C019E6">
            <w:pPr>
              <w:rPr>
                <w:rFonts w:cstheme="minorHAnsi"/>
                <w:szCs w:val="20"/>
              </w:rPr>
            </w:pPr>
            <w:r w:rsidRPr="00FA5DF9">
              <w:rPr>
                <w:rFonts w:cstheme="minorHAnsi"/>
                <w:szCs w:val="20"/>
              </w:rPr>
              <w:t>§150.0(k)</w:t>
            </w:r>
            <w:r w:rsidR="00C019E6">
              <w:rPr>
                <w:rFonts w:cstheme="minorHAnsi"/>
                <w:szCs w:val="20"/>
              </w:rPr>
              <w:t>2</w:t>
            </w:r>
            <w:r w:rsidRPr="00FA5DF9">
              <w:rPr>
                <w:rFonts w:cstheme="minorHAnsi"/>
                <w:szCs w:val="20"/>
              </w:rPr>
              <w:t>,6</w:t>
            </w:r>
          </w:p>
        </w:tc>
        <w:tc>
          <w:tcPr>
            <w:tcW w:w="1134" w:type="pct"/>
          </w:tcPr>
          <w:p w14:paraId="3E1189F8" w14:textId="64AFD4D4" w:rsidR="00881A42" w:rsidRPr="00FA5DF9" w:rsidRDefault="006A6D15" w:rsidP="00DF0D19">
            <w:pPr>
              <w:rPr>
                <w:rFonts w:cstheme="minorHAnsi"/>
                <w:szCs w:val="20"/>
              </w:rPr>
            </w:pPr>
            <w:r w:rsidRPr="00FA5DF9">
              <w:rPr>
                <w:rFonts w:cstheme="minorHAnsi"/>
                <w:szCs w:val="20"/>
              </w:rPr>
              <w:t>J</w:t>
            </w:r>
            <w:r w:rsidR="00F75079">
              <w:rPr>
                <w:rFonts w:cstheme="minorHAnsi"/>
                <w:szCs w:val="20"/>
              </w:rPr>
              <w:t>anuary</w:t>
            </w:r>
            <w:r w:rsidRPr="00FA5DF9">
              <w:rPr>
                <w:rFonts w:cstheme="minorHAnsi"/>
                <w:szCs w:val="20"/>
              </w:rPr>
              <w:t xml:space="preserve"> 1, 201</w:t>
            </w:r>
            <w:r w:rsidR="00F75079">
              <w:rPr>
                <w:rFonts w:cstheme="minorHAnsi"/>
                <w:szCs w:val="20"/>
              </w:rPr>
              <w:t>7</w:t>
            </w:r>
          </w:p>
        </w:tc>
      </w:tr>
      <w:tr w:rsidR="009E1D64" w:rsidRPr="00FA5DF9" w14:paraId="06AABE78" w14:textId="77777777" w:rsidTr="00920905">
        <w:trPr>
          <w:trHeight w:val="243"/>
        </w:trPr>
        <w:tc>
          <w:tcPr>
            <w:tcW w:w="1155" w:type="pct"/>
          </w:tcPr>
          <w:p w14:paraId="1AC37245" w14:textId="6ED27114" w:rsidR="009E1D64" w:rsidRPr="00FA5DF9" w:rsidRDefault="00C51D5D" w:rsidP="00DF0D19">
            <w:pPr>
              <w:rPr>
                <w:rFonts w:cstheme="minorHAnsi"/>
                <w:szCs w:val="20"/>
              </w:rPr>
            </w:pPr>
            <w:r>
              <w:rPr>
                <w:rFonts w:cstheme="minorHAnsi"/>
                <w:szCs w:val="20"/>
              </w:rPr>
              <w:t>Title 20</w:t>
            </w:r>
            <w:r w:rsidR="009E1D64">
              <w:rPr>
                <w:rFonts w:cstheme="minorHAnsi"/>
                <w:szCs w:val="20"/>
              </w:rPr>
              <w:t xml:space="preserve"> (2015) </w:t>
            </w:r>
          </w:p>
        </w:tc>
        <w:tc>
          <w:tcPr>
            <w:tcW w:w="2711" w:type="pct"/>
          </w:tcPr>
          <w:p w14:paraId="570374EA" w14:textId="1329D519" w:rsidR="009E1D64" w:rsidRPr="00FA5DF9" w:rsidRDefault="000406DB" w:rsidP="00C019E6">
            <w:pPr>
              <w:rPr>
                <w:rFonts w:cstheme="minorHAnsi"/>
                <w:szCs w:val="20"/>
              </w:rPr>
            </w:pPr>
            <w:r w:rsidRPr="000406DB">
              <w:rPr>
                <w:rFonts w:cstheme="minorHAnsi"/>
                <w:szCs w:val="20"/>
              </w:rPr>
              <w:t>Section 1605.3(l)(2)(G)</w:t>
            </w:r>
          </w:p>
        </w:tc>
        <w:tc>
          <w:tcPr>
            <w:tcW w:w="1134" w:type="pct"/>
          </w:tcPr>
          <w:p w14:paraId="3AA92986" w14:textId="46E0D2BC" w:rsidR="009E1D64" w:rsidRPr="00FA5DF9" w:rsidRDefault="000406DB" w:rsidP="00DF0D19">
            <w:pPr>
              <w:rPr>
                <w:rFonts w:cstheme="minorHAnsi"/>
                <w:szCs w:val="20"/>
              </w:rPr>
            </w:pPr>
            <w:r>
              <w:rPr>
                <w:rFonts w:cstheme="minorHAnsi"/>
                <w:szCs w:val="20"/>
              </w:rPr>
              <w:t>July 1, 2015</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7EA51BC7" w14:textId="58A59141" w:rsidR="00FA5DF9" w:rsidRPr="00FA5DF9" w:rsidRDefault="005C115D" w:rsidP="00FA5DF9">
      <w:r>
        <w:t>No studies were used to develop this work 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68F4666C" w:rsidR="00602F18" w:rsidRPr="005C115D" w:rsidRDefault="005C115D" w:rsidP="005C115D">
      <w:pPr>
        <w:rPr>
          <w:rFonts w:cs="Arial"/>
          <w:szCs w:val="22"/>
        </w:rPr>
      </w:pPr>
      <w:r>
        <w:rPr>
          <w:rFonts w:cs="Arial"/>
          <w:szCs w:val="22"/>
        </w:rPr>
        <w:t>No future data needs are anticipated.</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2D37EF37" w14:textId="15EA8761" w:rsidR="00FA5DF9" w:rsidRPr="00006900" w:rsidRDefault="00B00835" w:rsidP="00FA5DF9">
      <w:pPr>
        <w:pStyle w:val="BasicText"/>
        <w:ind w:left="0"/>
        <w:rPr>
          <w:rFonts w:asciiTheme="minorHAnsi" w:hAnsiTheme="minorHAnsi" w:cstheme="minorHAnsi"/>
          <w:b/>
          <w:sz w:val="22"/>
          <w:szCs w:val="22"/>
        </w:rPr>
      </w:pPr>
      <w:bookmarkStart w:id="16" w:name="_Toc214003093"/>
      <w:r w:rsidRPr="00006900">
        <w:rPr>
          <w:rFonts w:asciiTheme="minorHAnsi" w:hAnsiTheme="minorHAnsi" w:cstheme="minorHAnsi"/>
          <w:b/>
          <w:sz w:val="22"/>
          <w:szCs w:val="22"/>
        </w:rPr>
        <w:t>Controlled Wattage Assumptions</w:t>
      </w:r>
    </w:p>
    <w:p w14:paraId="5C085784" w14:textId="77777777" w:rsidR="00B00835" w:rsidRDefault="00FA5DF9" w:rsidP="00B00835">
      <w:pPr>
        <w:pStyle w:val="BasicText"/>
        <w:numPr>
          <w:ilvl w:val="0"/>
          <w:numId w:val="44"/>
        </w:numPr>
        <w:spacing w:before="0" w:after="0"/>
        <w:rPr>
          <w:rFonts w:asciiTheme="minorHAnsi" w:hAnsiTheme="minorHAnsi" w:cstheme="minorHAnsi"/>
          <w:sz w:val="22"/>
          <w:szCs w:val="22"/>
        </w:rPr>
      </w:pPr>
      <w:r>
        <w:rPr>
          <w:rFonts w:asciiTheme="minorHAnsi" w:hAnsiTheme="minorHAnsi" w:cstheme="minorHAnsi"/>
          <w:sz w:val="22"/>
          <w:szCs w:val="22"/>
        </w:rPr>
        <w:t>For common areas, it is assumed that the occupancy sensor controls four linear fluorescent T8 fixtures.</w:t>
      </w:r>
    </w:p>
    <w:p w14:paraId="62C4AC2C" w14:textId="77777777" w:rsidR="00B00835" w:rsidRDefault="00B00835" w:rsidP="00B00835">
      <w:pPr>
        <w:pStyle w:val="BasicText"/>
        <w:spacing w:before="0" w:after="0"/>
        <w:ind w:left="0"/>
        <w:rPr>
          <w:rFonts w:asciiTheme="minorHAnsi" w:hAnsiTheme="minorHAnsi" w:cstheme="minorHAnsi"/>
          <w:sz w:val="22"/>
          <w:szCs w:val="22"/>
        </w:rPr>
      </w:pPr>
    </w:p>
    <w:p w14:paraId="7E59C367" w14:textId="2E0DFA90" w:rsidR="00FA5DF9" w:rsidRDefault="00B00835" w:rsidP="00B00835">
      <w:pPr>
        <w:pStyle w:val="BasicText"/>
        <w:spacing w:before="0" w:after="0"/>
        <w:ind w:left="0"/>
        <w:rPr>
          <w:rFonts w:asciiTheme="minorHAnsi" w:hAnsiTheme="minorHAnsi" w:cstheme="minorHAnsi"/>
          <w:sz w:val="22"/>
          <w:szCs w:val="22"/>
        </w:rPr>
      </w:pPr>
      <w:r>
        <w:rPr>
          <w:rFonts w:asciiTheme="minorHAnsi" w:hAnsiTheme="minorHAnsi" w:cstheme="minorHAnsi"/>
          <w:sz w:val="22"/>
          <w:szCs w:val="22"/>
        </w:rPr>
        <w:t>The fixture code, type, wattage, and total controlled wattages are shown in the table below.</w:t>
      </w:r>
    </w:p>
    <w:tbl>
      <w:tblPr>
        <w:tblStyle w:val="TableGrid1"/>
        <w:tblW w:w="9350" w:type="dxa"/>
        <w:tblLook w:val="01E0" w:firstRow="1" w:lastRow="1" w:firstColumn="1" w:lastColumn="1" w:noHBand="0" w:noVBand="0"/>
      </w:tblPr>
      <w:tblGrid>
        <w:gridCol w:w="985"/>
        <w:gridCol w:w="1530"/>
        <w:gridCol w:w="1133"/>
        <w:gridCol w:w="3056"/>
        <w:gridCol w:w="1322"/>
        <w:gridCol w:w="1324"/>
      </w:tblGrid>
      <w:tr w:rsidR="00444912" w14:paraId="3C1700CE" w14:textId="327A740B" w:rsidTr="00444912">
        <w:trPr>
          <w:trHeight w:val="279"/>
        </w:trPr>
        <w:tc>
          <w:tcPr>
            <w:tcW w:w="527" w:type="pct"/>
            <w:shd w:val="clear" w:color="auto" w:fill="D9D9D9" w:themeFill="background1" w:themeFillShade="D9"/>
            <w:hideMark/>
          </w:tcPr>
          <w:p w14:paraId="54AA3084" w14:textId="77777777" w:rsidR="00444912" w:rsidRPr="0044146E" w:rsidRDefault="00444912" w:rsidP="007E287B">
            <w:pPr>
              <w:rPr>
                <w:rFonts w:cstheme="minorHAnsi"/>
                <w:b/>
                <w:szCs w:val="20"/>
              </w:rPr>
            </w:pPr>
            <w:r w:rsidRPr="0044146E">
              <w:rPr>
                <w:rFonts w:cstheme="minorHAnsi"/>
                <w:b/>
                <w:szCs w:val="20"/>
              </w:rPr>
              <w:t>Fixture Code*</w:t>
            </w:r>
          </w:p>
        </w:tc>
        <w:tc>
          <w:tcPr>
            <w:tcW w:w="818" w:type="pct"/>
            <w:shd w:val="clear" w:color="auto" w:fill="D9D9D9" w:themeFill="background1" w:themeFillShade="D9"/>
            <w:hideMark/>
          </w:tcPr>
          <w:p w14:paraId="20141996" w14:textId="77777777" w:rsidR="00444912" w:rsidRPr="0044146E" w:rsidRDefault="00444912" w:rsidP="007E287B">
            <w:pPr>
              <w:rPr>
                <w:rFonts w:cstheme="minorHAnsi"/>
                <w:b/>
                <w:szCs w:val="20"/>
              </w:rPr>
            </w:pPr>
            <w:r w:rsidRPr="0044146E">
              <w:rPr>
                <w:rFonts w:cstheme="minorHAnsi"/>
                <w:b/>
                <w:szCs w:val="20"/>
              </w:rPr>
              <w:t>Location</w:t>
            </w:r>
          </w:p>
        </w:tc>
        <w:tc>
          <w:tcPr>
            <w:tcW w:w="606" w:type="pct"/>
            <w:shd w:val="clear" w:color="auto" w:fill="D9D9D9" w:themeFill="background1" w:themeFillShade="D9"/>
            <w:hideMark/>
          </w:tcPr>
          <w:p w14:paraId="3E265CF8" w14:textId="77777777" w:rsidR="00444912" w:rsidRPr="0044146E" w:rsidRDefault="00444912" w:rsidP="007E287B">
            <w:pPr>
              <w:rPr>
                <w:rFonts w:cstheme="minorHAnsi"/>
                <w:b/>
                <w:szCs w:val="20"/>
              </w:rPr>
            </w:pPr>
            <w:r w:rsidRPr="0044146E">
              <w:rPr>
                <w:rFonts w:cstheme="minorHAnsi"/>
                <w:b/>
                <w:szCs w:val="20"/>
              </w:rPr>
              <w:t>Number of Controlled Fixtures</w:t>
            </w:r>
          </w:p>
        </w:tc>
        <w:tc>
          <w:tcPr>
            <w:tcW w:w="1634" w:type="pct"/>
            <w:shd w:val="clear" w:color="auto" w:fill="D9D9D9" w:themeFill="background1" w:themeFillShade="D9"/>
            <w:hideMark/>
          </w:tcPr>
          <w:p w14:paraId="60C968E3" w14:textId="77777777" w:rsidR="00444912" w:rsidRPr="0044146E" w:rsidRDefault="00444912" w:rsidP="007E287B">
            <w:pPr>
              <w:rPr>
                <w:rFonts w:cstheme="minorHAnsi"/>
                <w:b/>
                <w:szCs w:val="20"/>
              </w:rPr>
            </w:pPr>
            <w:r w:rsidRPr="0044146E">
              <w:rPr>
                <w:rFonts w:cstheme="minorHAnsi"/>
                <w:b/>
                <w:szCs w:val="20"/>
              </w:rPr>
              <w:t>Fixture Type*</w:t>
            </w:r>
          </w:p>
        </w:tc>
        <w:tc>
          <w:tcPr>
            <w:tcW w:w="707" w:type="pct"/>
            <w:shd w:val="clear" w:color="auto" w:fill="D9D9D9" w:themeFill="background1" w:themeFillShade="D9"/>
            <w:hideMark/>
          </w:tcPr>
          <w:p w14:paraId="29C9C1A8" w14:textId="77777777" w:rsidR="00444912" w:rsidRPr="0044146E" w:rsidRDefault="00444912" w:rsidP="007E287B">
            <w:pPr>
              <w:rPr>
                <w:rFonts w:cstheme="minorHAnsi"/>
                <w:b/>
                <w:szCs w:val="20"/>
              </w:rPr>
            </w:pPr>
            <w:r w:rsidRPr="0044146E">
              <w:rPr>
                <w:rFonts w:cstheme="minorHAnsi"/>
                <w:b/>
                <w:szCs w:val="20"/>
              </w:rPr>
              <w:t>Fixture Wattage (W)*</w:t>
            </w:r>
          </w:p>
        </w:tc>
        <w:tc>
          <w:tcPr>
            <w:tcW w:w="708" w:type="pct"/>
            <w:shd w:val="clear" w:color="auto" w:fill="D9D9D9" w:themeFill="background1" w:themeFillShade="D9"/>
          </w:tcPr>
          <w:p w14:paraId="1EC28976" w14:textId="35015EFA" w:rsidR="00444912" w:rsidRPr="0044146E" w:rsidRDefault="00444912" w:rsidP="007E287B">
            <w:pPr>
              <w:rPr>
                <w:rFonts w:cstheme="minorHAnsi"/>
                <w:b/>
                <w:szCs w:val="20"/>
              </w:rPr>
            </w:pPr>
            <w:r w:rsidRPr="00B3636D">
              <w:rPr>
                <w:rFonts w:cstheme="minorHAnsi"/>
                <w:b/>
                <w:szCs w:val="20"/>
              </w:rPr>
              <w:t>Total Controlled Wattage</w:t>
            </w:r>
            <w:r>
              <w:rPr>
                <w:rFonts w:cstheme="minorHAnsi"/>
                <w:b/>
                <w:szCs w:val="20"/>
              </w:rPr>
              <w:t xml:space="preserve"> (W)</w:t>
            </w:r>
          </w:p>
        </w:tc>
      </w:tr>
      <w:tr w:rsidR="00444912" w14:paraId="64D494ED" w14:textId="282047F0" w:rsidTr="00444912">
        <w:trPr>
          <w:trHeight w:val="279"/>
        </w:trPr>
        <w:tc>
          <w:tcPr>
            <w:tcW w:w="527" w:type="pct"/>
            <w:shd w:val="clear" w:color="auto" w:fill="auto"/>
          </w:tcPr>
          <w:p w14:paraId="32F5E29E" w14:textId="37CD5A07" w:rsidR="00444912" w:rsidRPr="0044146E" w:rsidRDefault="00444912" w:rsidP="00444912">
            <w:pPr>
              <w:rPr>
                <w:rFonts w:cstheme="minorHAnsi"/>
                <w:b/>
                <w:szCs w:val="20"/>
              </w:rPr>
            </w:pPr>
            <w:r>
              <w:rPr>
                <w:rFonts w:cstheme="minorHAnsi"/>
                <w:szCs w:val="20"/>
              </w:rPr>
              <w:t>F42ILL-R</w:t>
            </w:r>
          </w:p>
        </w:tc>
        <w:tc>
          <w:tcPr>
            <w:tcW w:w="818" w:type="pct"/>
            <w:shd w:val="clear" w:color="auto" w:fill="auto"/>
          </w:tcPr>
          <w:p w14:paraId="1E03A224" w14:textId="5AF436D7" w:rsidR="00444912" w:rsidRPr="00444912" w:rsidRDefault="00444912" w:rsidP="00444912">
            <w:pPr>
              <w:rPr>
                <w:rFonts w:cstheme="minorHAnsi"/>
                <w:szCs w:val="20"/>
              </w:rPr>
            </w:pPr>
            <w:r w:rsidRPr="00444912">
              <w:rPr>
                <w:rFonts w:cstheme="minorHAnsi"/>
                <w:szCs w:val="20"/>
              </w:rPr>
              <w:t>Common Area</w:t>
            </w:r>
          </w:p>
        </w:tc>
        <w:tc>
          <w:tcPr>
            <w:tcW w:w="606" w:type="pct"/>
            <w:shd w:val="clear" w:color="auto" w:fill="auto"/>
          </w:tcPr>
          <w:p w14:paraId="0C6FF149" w14:textId="740BF345" w:rsidR="00444912" w:rsidRPr="0044146E" w:rsidRDefault="00444912" w:rsidP="00444912">
            <w:pPr>
              <w:jc w:val="right"/>
              <w:rPr>
                <w:rFonts w:cstheme="minorHAnsi"/>
                <w:b/>
                <w:szCs w:val="20"/>
              </w:rPr>
            </w:pPr>
            <w:r>
              <w:rPr>
                <w:rFonts w:cstheme="minorHAnsi"/>
                <w:szCs w:val="20"/>
              </w:rPr>
              <w:t>4</w:t>
            </w:r>
          </w:p>
        </w:tc>
        <w:tc>
          <w:tcPr>
            <w:tcW w:w="1634" w:type="pct"/>
            <w:shd w:val="clear" w:color="auto" w:fill="auto"/>
          </w:tcPr>
          <w:p w14:paraId="3D882575" w14:textId="098090B6" w:rsidR="00444912" w:rsidRPr="0044146E" w:rsidRDefault="00444912" w:rsidP="00444912">
            <w:pPr>
              <w:rPr>
                <w:rFonts w:cstheme="minorHAnsi"/>
                <w:b/>
                <w:szCs w:val="20"/>
              </w:rPr>
            </w:pPr>
            <w:r>
              <w:rPr>
                <w:rFonts w:cstheme="minorHAnsi"/>
                <w:szCs w:val="20"/>
              </w:rPr>
              <w:t xml:space="preserve">2-lamp, 48”, 32-Watt T8 </w:t>
            </w:r>
          </w:p>
        </w:tc>
        <w:tc>
          <w:tcPr>
            <w:tcW w:w="707" w:type="pct"/>
            <w:shd w:val="clear" w:color="auto" w:fill="auto"/>
          </w:tcPr>
          <w:p w14:paraId="2B11CC3A" w14:textId="243C464C" w:rsidR="00444912" w:rsidRPr="0044146E" w:rsidRDefault="00444912" w:rsidP="00444912">
            <w:pPr>
              <w:jc w:val="right"/>
              <w:rPr>
                <w:rFonts w:cstheme="minorHAnsi"/>
                <w:b/>
                <w:szCs w:val="20"/>
              </w:rPr>
            </w:pPr>
            <w:r>
              <w:rPr>
                <w:rFonts w:cstheme="minorHAnsi"/>
                <w:szCs w:val="20"/>
              </w:rPr>
              <w:t>52</w:t>
            </w:r>
          </w:p>
        </w:tc>
        <w:tc>
          <w:tcPr>
            <w:tcW w:w="708" w:type="pct"/>
            <w:shd w:val="clear" w:color="auto" w:fill="auto"/>
          </w:tcPr>
          <w:p w14:paraId="79749461" w14:textId="16B059A9" w:rsidR="00444912" w:rsidRPr="0044146E" w:rsidRDefault="00444912" w:rsidP="00444912">
            <w:pPr>
              <w:jc w:val="right"/>
              <w:rPr>
                <w:rFonts w:cstheme="minorHAnsi"/>
                <w:b/>
                <w:szCs w:val="20"/>
              </w:rPr>
            </w:pPr>
            <w:r>
              <w:rPr>
                <w:rFonts w:cstheme="minorHAnsi"/>
                <w:b/>
                <w:szCs w:val="20"/>
              </w:rPr>
              <w:t>208</w:t>
            </w:r>
          </w:p>
        </w:tc>
      </w:tr>
    </w:tbl>
    <w:p w14:paraId="06C328DA" w14:textId="77777777" w:rsidR="00FA5DF9" w:rsidRPr="00A522B7" w:rsidRDefault="00FA5DF9" w:rsidP="00FA5DF9">
      <w:pPr>
        <w:pStyle w:val="BasicText"/>
        <w:ind w:left="0"/>
        <w:rPr>
          <w:rFonts w:asciiTheme="minorHAnsi" w:hAnsiTheme="minorHAnsi" w:cstheme="minorHAnsi"/>
          <w:sz w:val="20"/>
        </w:rPr>
      </w:pPr>
      <w:r>
        <w:rPr>
          <w:rFonts w:asciiTheme="minorHAnsi" w:hAnsiTheme="minorHAnsi" w:cstheme="minorHAnsi"/>
          <w:sz w:val="20"/>
        </w:rPr>
        <w:t xml:space="preserve">*Obtained from Appendix B Table of Standard Fixture </w:t>
      </w:r>
      <w:r w:rsidRPr="00A779AE">
        <w:rPr>
          <w:rFonts w:asciiTheme="minorHAnsi" w:hAnsiTheme="minorHAnsi" w:cstheme="minorHAnsi"/>
          <w:sz w:val="20"/>
        </w:rPr>
        <w:t>Wattages [382].</w:t>
      </w:r>
    </w:p>
    <w:p w14:paraId="0802F6A2" w14:textId="77777777" w:rsidR="00FA5DF9" w:rsidRDefault="00FA5DF9" w:rsidP="00FA5DF9">
      <w:pPr>
        <w:rPr>
          <w:rFonts w:cstheme="minorHAnsi"/>
          <w:sz w:val="20"/>
        </w:rPr>
      </w:pPr>
      <w:r>
        <w:rPr>
          <w:rFonts w:cstheme="minorHAnsi"/>
          <w:sz w:val="20"/>
        </w:rPr>
        <w:t>**The vanity fixture would have used the wattage of a 4-lamp, 13-Watt CFL fixture, but this fixture type was not in Appendix B.</w:t>
      </w:r>
    </w:p>
    <w:p w14:paraId="67BA98C8" w14:textId="77777777" w:rsidR="00117D42" w:rsidRDefault="00117D42" w:rsidP="00FA5DF9">
      <w:pPr>
        <w:rPr>
          <w:rFonts w:cstheme="minorHAnsi"/>
        </w:rPr>
      </w:pPr>
    </w:p>
    <w:p w14:paraId="77FF30F6" w14:textId="2CF9017B" w:rsidR="00FA5DF9" w:rsidRPr="00117D42" w:rsidRDefault="00FA5DF9" w:rsidP="00117D42">
      <w:pPr>
        <w:spacing w:after="200" w:line="276" w:lineRule="auto"/>
        <w:rPr>
          <w:rFonts w:cstheme="minorHAnsi"/>
          <w:szCs w:val="22"/>
        </w:rPr>
      </w:pPr>
      <w:r w:rsidRPr="00006900">
        <w:rPr>
          <w:rFonts w:cstheme="minorHAnsi"/>
          <w:b/>
          <w:szCs w:val="22"/>
        </w:rPr>
        <w:t xml:space="preserve">Occupancy Sensor Percentage Time </w:t>
      </w:r>
      <w:proofErr w:type="gramStart"/>
      <w:r w:rsidRPr="00006900">
        <w:rPr>
          <w:rFonts w:cstheme="minorHAnsi"/>
          <w:b/>
          <w:szCs w:val="22"/>
        </w:rPr>
        <w:t>Off</w:t>
      </w:r>
      <w:proofErr w:type="gramEnd"/>
      <w:r w:rsidRPr="00006900">
        <w:rPr>
          <w:rFonts w:cstheme="minorHAnsi"/>
          <w:b/>
          <w:szCs w:val="22"/>
        </w:rPr>
        <w:t xml:space="preserve"> (PTO)</w:t>
      </w:r>
    </w:p>
    <w:p w14:paraId="34828A74" w14:textId="4B7A6A23" w:rsidR="00890F65" w:rsidRDefault="00FA5DF9" w:rsidP="00FA5DF9">
      <w:pPr>
        <w:rPr>
          <w:rFonts w:cstheme="minorHAnsi"/>
          <w:szCs w:val="22"/>
        </w:rPr>
      </w:pPr>
      <w:r>
        <w:rPr>
          <w:rFonts w:cstheme="minorHAnsi"/>
          <w:szCs w:val="22"/>
        </w:rPr>
        <w:t>DEER 2005</w:t>
      </w:r>
      <w:r w:rsidR="00006900">
        <w:rPr>
          <w:rFonts w:cstheme="minorHAnsi"/>
          <w:szCs w:val="22"/>
        </w:rPr>
        <w:t xml:space="preserve"> </w:t>
      </w:r>
      <w:r w:rsidR="00006900" w:rsidRPr="00D018F5">
        <w:rPr>
          <w:rFonts w:cstheme="minorHAnsi"/>
          <w:szCs w:val="22"/>
        </w:rPr>
        <w:t>[</w:t>
      </w:r>
      <w:r w:rsidR="00006655">
        <w:rPr>
          <w:rFonts w:cstheme="minorHAnsi"/>
          <w:szCs w:val="22"/>
        </w:rPr>
        <w:t>26</w:t>
      </w:r>
      <w:r w:rsidR="00006900">
        <w:rPr>
          <w:rFonts w:cstheme="minorHAnsi"/>
          <w:szCs w:val="22"/>
        </w:rPr>
        <w:t>]</w:t>
      </w:r>
      <w:r>
        <w:rPr>
          <w:rFonts w:cstheme="minorHAnsi"/>
          <w:szCs w:val="22"/>
        </w:rPr>
        <w:t xml:space="preserve"> provides assumptions for</w:t>
      </w:r>
      <w:r w:rsidR="00006900">
        <w:rPr>
          <w:rFonts w:cstheme="minorHAnsi"/>
          <w:szCs w:val="22"/>
        </w:rPr>
        <w:t xml:space="preserve"> how</w:t>
      </w:r>
      <w:r>
        <w:rPr>
          <w:rFonts w:cstheme="minorHAnsi"/>
          <w:szCs w:val="22"/>
        </w:rPr>
        <w:t xml:space="preserve"> operating hours are affected by occupancy sensors. The following table and equation show how the DEER assumptions were used to determine the PTO value for this work paper.</w:t>
      </w:r>
    </w:p>
    <w:p w14:paraId="099A6508" w14:textId="77777777" w:rsidR="00FA5DF9" w:rsidRDefault="00FA5DF9" w:rsidP="00FA5DF9">
      <w:pPr>
        <w:rPr>
          <w:rFonts w:cstheme="minorHAnsi"/>
          <w:szCs w:val="22"/>
        </w:rPr>
      </w:pPr>
    </w:p>
    <w:p w14:paraId="0322A3E6" w14:textId="3C93D5E9" w:rsidR="00FA5DF9" w:rsidRPr="00E6216A" w:rsidRDefault="00FA5DF9" w:rsidP="00D5571C">
      <w:pPr>
        <w:pStyle w:val="Caption"/>
        <w:rPr>
          <w:rFonts w:cstheme="minorHAnsi"/>
          <w:bCs w:val="0"/>
          <w:szCs w:val="22"/>
        </w:rPr>
      </w:pPr>
      <w:r>
        <w:rPr>
          <w:rFonts w:cstheme="minorHAnsi"/>
          <w:bCs w:val="0"/>
          <w:szCs w:val="22"/>
        </w:rPr>
        <w:t>DEER Occupancy Sensor Measure Assumptions</w:t>
      </w:r>
    </w:p>
    <w:tbl>
      <w:tblPr>
        <w:tblStyle w:val="TableGrid1"/>
        <w:tblW w:w="0" w:type="auto"/>
        <w:tblLook w:val="04A0" w:firstRow="1" w:lastRow="0" w:firstColumn="1" w:lastColumn="0" w:noHBand="0" w:noVBand="1"/>
      </w:tblPr>
      <w:tblGrid>
        <w:gridCol w:w="5148"/>
        <w:gridCol w:w="2497"/>
      </w:tblGrid>
      <w:tr w:rsidR="00FA5DF9" w:rsidRPr="007D1BC5" w14:paraId="70AD2960" w14:textId="77777777" w:rsidTr="00D5571C">
        <w:tc>
          <w:tcPr>
            <w:tcW w:w="5148" w:type="dxa"/>
            <w:shd w:val="clear" w:color="auto" w:fill="BFBFBF" w:themeFill="background1" w:themeFillShade="BF"/>
          </w:tcPr>
          <w:p w14:paraId="62F666AD" w14:textId="77777777" w:rsidR="00FA5DF9" w:rsidRPr="0044146E" w:rsidRDefault="00FA5DF9" w:rsidP="00D5571C">
            <w:pPr>
              <w:rPr>
                <w:rFonts w:cstheme="minorHAnsi"/>
                <w:b/>
                <w:szCs w:val="20"/>
              </w:rPr>
            </w:pPr>
            <w:r w:rsidRPr="0044146E">
              <w:rPr>
                <w:rFonts w:cstheme="minorHAnsi"/>
                <w:b/>
                <w:szCs w:val="20"/>
              </w:rPr>
              <w:t>Scenario</w:t>
            </w:r>
          </w:p>
        </w:tc>
        <w:tc>
          <w:tcPr>
            <w:tcW w:w="2497" w:type="dxa"/>
            <w:shd w:val="clear" w:color="auto" w:fill="BFBFBF" w:themeFill="background1" w:themeFillShade="BF"/>
          </w:tcPr>
          <w:p w14:paraId="21CDD690" w14:textId="77777777" w:rsidR="00FA5DF9" w:rsidRPr="0044146E" w:rsidRDefault="00FA5DF9" w:rsidP="00D5571C">
            <w:pPr>
              <w:rPr>
                <w:rFonts w:cstheme="minorHAnsi"/>
                <w:b/>
                <w:szCs w:val="20"/>
              </w:rPr>
            </w:pPr>
            <w:r w:rsidRPr="0044146E">
              <w:rPr>
                <w:rFonts w:cstheme="minorHAnsi"/>
                <w:b/>
                <w:szCs w:val="20"/>
              </w:rPr>
              <w:t>Annual Hours of Operation</w:t>
            </w:r>
          </w:p>
        </w:tc>
      </w:tr>
      <w:tr w:rsidR="00FA5DF9" w:rsidRPr="007D1BC5" w14:paraId="122DD8BC" w14:textId="77777777" w:rsidTr="00D5571C">
        <w:tc>
          <w:tcPr>
            <w:tcW w:w="5148" w:type="dxa"/>
          </w:tcPr>
          <w:p w14:paraId="3E194AA0" w14:textId="77777777" w:rsidR="00FA5DF9" w:rsidRPr="007D1BC5" w:rsidRDefault="00FA5DF9" w:rsidP="00D5571C">
            <w:pPr>
              <w:rPr>
                <w:rFonts w:cstheme="minorHAnsi"/>
                <w:szCs w:val="20"/>
              </w:rPr>
            </w:pPr>
            <w:r w:rsidRPr="007D1BC5">
              <w:rPr>
                <w:rFonts w:cstheme="minorHAnsi"/>
                <w:szCs w:val="20"/>
              </w:rPr>
              <w:t>Normal building hours of operation</w:t>
            </w:r>
            <w:r>
              <w:rPr>
                <w:rFonts w:cstheme="minorHAnsi"/>
                <w:szCs w:val="20"/>
              </w:rPr>
              <w:t xml:space="preserve"> (60 hours/week, 50 weeks/year)</w:t>
            </w:r>
          </w:p>
        </w:tc>
        <w:tc>
          <w:tcPr>
            <w:tcW w:w="2497" w:type="dxa"/>
          </w:tcPr>
          <w:p w14:paraId="6B50B49D" w14:textId="77777777" w:rsidR="00FA5DF9" w:rsidRPr="007D1BC5" w:rsidRDefault="00FA5DF9" w:rsidP="00D5571C">
            <w:pPr>
              <w:rPr>
                <w:rFonts w:cstheme="minorHAnsi"/>
                <w:szCs w:val="20"/>
              </w:rPr>
            </w:pPr>
            <w:r w:rsidRPr="007D1BC5">
              <w:rPr>
                <w:rFonts w:cstheme="minorHAnsi"/>
                <w:szCs w:val="20"/>
              </w:rPr>
              <w:t>3000</w:t>
            </w:r>
          </w:p>
        </w:tc>
      </w:tr>
      <w:tr w:rsidR="00FA5DF9" w:rsidRPr="007D1BC5" w14:paraId="218019B6" w14:textId="77777777" w:rsidTr="00D5571C">
        <w:tc>
          <w:tcPr>
            <w:tcW w:w="5148" w:type="dxa"/>
          </w:tcPr>
          <w:p w14:paraId="03E054C8" w14:textId="77777777" w:rsidR="00FA5DF9" w:rsidRPr="007D1BC5" w:rsidRDefault="00FA5DF9" w:rsidP="00D5571C">
            <w:pPr>
              <w:rPr>
                <w:rFonts w:cstheme="minorHAnsi"/>
                <w:szCs w:val="20"/>
              </w:rPr>
            </w:pPr>
            <w:r w:rsidRPr="007D1BC5">
              <w:rPr>
                <w:rFonts w:cstheme="minorHAnsi"/>
                <w:b/>
                <w:szCs w:val="20"/>
              </w:rPr>
              <w:t>Base case:</w:t>
            </w:r>
            <w:r w:rsidRPr="007D1BC5">
              <w:rPr>
                <w:rFonts w:cstheme="minorHAnsi"/>
                <w:szCs w:val="20"/>
              </w:rPr>
              <w:t xml:space="preserve"> Occupants manually switch off the lighting 15% of the time</w:t>
            </w:r>
          </w:p>
        </w:tc>
        <w:tc>
          <w:tcPr>
            <w:tcW w:w="2497" w:type="dxa"/>
          </w:tcPr>
          <w:p w14:paraId="50211DC6" w14:textId="77777777" w:rsidR="00FA5DF9" w:rsidRPr="007D1BC5" w:rsidRDefault="00FA5DF9" w:rsidP="00D5571C">
            <w:pPr>
              <w:rPr>
                <w:rFonts w:cstheme="minorHAnsi"/>
                <w:szCs w:val="20"/>
              </w:rPr>
            </w:pPr>
            <w:r w:rsidRPr="007D1BC5">
              <w:rPr>
                <w:rFonts w:cstheme="minorHAnsi"/>
                <w:szCs w:val="20"/>
              </w:rPr>
              <w:t>2550</w:t>
            </w:r>
          </w:p>
        </w:tc>
      </w:tr>
      <w:tr w:rsidR="00FA5DF9" w:rsidRPr="007D1BC5" w14:paraId="531C2B0D" w14:textId="77777777" w:rsidTr="00D5571C">
        <w:tc>
          <w:tcPr>
            <w:tcW w:w="5148" w:type="dxa"/>
          </w:tcPr>
          <w:p w14:paraId="4A671A5B" w14:textId="77777777" w:rsidR="00FA5DF9" w:rsidRPr="007D1BC5" w:rsidRDefault="00FA5DF9" w:rsidP="00D5571C">
            <w:pPr>
              <w:rPr>
                <w:rFonts w:cstheme="minorHAnsi"/>
                <w:szCs w:val="20"/>
              </w:rPr>
            </w:pPr>
            <w:r w:rsidRPr="007D1BC5">
              <w:rPr>
                <w:rFonts w:cstheme="minorHAnsi"/>
                <w:b/>
                <w:szCs w:val="20"/>
              </w:rPr>
              <w:t>Measure Case:</w:t>
            </w:r>
            <w:r w:rsidRPr="007D1BC5">
              <w:rPr>
                <w:rFonts w:cstheme="minorHAnsi"/>
                <w:szCs w:val="20"/>
              </w:rPr>
              <w:t xml:space="preserve"> Occupancy sensors switch off lighting 1050 hours/year</w:t>
            </w:r>
          </w:p>
        </w:tc>
        <w:tc>
          <w:tcPr>
            <w:tcW w:w="2497" w:type="dxa"/>
          </w:tcPr>
          <w:p w14:paraId="706AFA95" w14:textId="77777777" w:rsidR="00FA5DF9" w:rsidRPr="007D1BC5" w:rsidRDefault="00FA5DF9" w:rsidP="00D5571C">
            <w:pPr>
              <w:rPr>
                <w:rFonts w:cstheme="minorHAnsi"/>
                <w:szCs w:val="20"/>
              </w:rPr>
            </w:pPr>
            <w:r w:rsidRPr="007D1BC5">
              <w:rPr>
                <w:rFonts w:cstheme="minorHAnsi"/>
                <w:szCs w:val="20"/>
              </w:rPr>
              <w:t>1950</w:t>
            </w:r>
          </w:p>
        </w:tc>
      </w:tr>
    </w:tbl>
    <w:p w14:paraId="7AAC748D" w14:textId="77777777" w:rsidR="00FA5DF9" w:rsidRDefault="00FA5DF9" w:rsidP="00FA5DF9">
      <w:pPr>
        <w:rPr>
          <w:rFonts w:cstheme="minorHAnsi"/>
          <w:szCs w:val="22"/>
        </w:rPr>
      </w:pPr>
    </w:p>
    <w:p w14:paraId="45003577" w14:textId="77777777" w:rsidR="00FA5DF9" w:rsidRDefault="00FA5DF9" w:rsidP="00FA5DF9">
      <w:pPr>
        <w:rPr>
          <w:rFonts w:cstheme="minorHAnsi"/>
          <w:szCs w:val="22"/>
        </w:rPr>
      </w:pPr>
      <w:r>
        <w:rPr>
          <w:rFonts w:cstheme="minorHAnsi"/>
          <w:szCs w:val="22"/>
        </w:rPr>
        <w:t>The PTO is calculated as follows:</w:t>
      </w:r>
    </w:p>
    <w:p w14:paraId="340FF3F8" w14:textId="77777777" w:rsidR="00FA5DF9" w:rsidRDefault="00FA5DF9" w:rsidP="00FA5DF9">
      <w:pPr>
        <w:rPr>
          <w:rFonts w:cstheme="minorHAnsi"/>
          <w:szCs w:val="22"/>
        </w:rPr>
      </w:pPr>
    </w:p>
    <w:p w14:paraId="630F2D7C" w14:textId="77777777" w:rsidR="00FA5DF9" w:rsidRPr="000B213F" w:rsidRDefault="00FA5DF9" w:rsidP="00FA5DF9">
      <w:pPr>
        <w:ind w:left="720"/>
        <w:rPr>
          <w:rFonts w:cstheme="minorHAnsi"/>
          <w:sz w:val="20"/>
          <w:szCs w:val="20"/>
        </w:rPr>
      </w:pPr>
      <m:oMathPara>
        <m:oMathParaPr>
          <m:jc m:val="left"/>
        </m:oMathParaPr>
        <m:oMath>
          <m:r>
            <w:rPr>
              <w:rFonts w:ascii="Cambria Math" w:hAnsi="Cambria Math" w:cstheme="minorHAnsi"/>
              <w:sz w:val="20"/>
              <w:szCs w:val="20"/>
            </w:rPr>
            <m:t xml:space="preserve">PTO </m:t>
          </m:r>
          <m:d>
            <m:dPr>
              <m:begChr m:val="["/>
              <m:endChr m:val="]"/>
              <m:ctrlPr>
                <w:rPr>
                  <w:rFonts w:ascii="Cambria Math" w:hAnsi="Cambria Math" w:cstheme="minorHAnsi"/>
                  <w:i/>
                  <w:sz w:val="20"/>
                  <w:szCs w:val="20"/>
                </w:rPr>
              </m:ctrlPr>
            </m:dPr>
            <m:e>
              <m:r>
                <w:rPr>
                  <w:rFonts w:ascii="Cambria Math" w:hAnsi="Cambria Math" w:cstheme="minorHAnsi"/>
                  <w:sz w:val="20"/>
                  <w:szCs w:val="20"/>
                </w:rPr>
                <m:t>%</m:t>
              </m:r>
            </m:e>
          </m:d>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 xml:space="preserve">Base Case </m:t>
              </m:r>
              <m:d>
                <m:dPr>
                  <m:begChr m:val="["/>
                  <m:endChr m:val="]"/>
                  <m:ctrlPr>
                    <w:rPr>
                      <w:rFonts w:ascii="Cambria Math" w:hAnsi="Cambria Math" w:cstheme="minorHAnsi"/>
                      <w:i/>
                      <w:sz w:val="20"/>
                      <w:szCs w:val="20"/>
                    </w:rPr>
                  </m:ctrlPr>
                </m:dPr>
                <m:e>
                  <m:r>
                    <w:rPr>
                      <w:rFonts w:ascii="Cambria Math" w:hAnsi="Cambria Math" w:cstheme="minorHAnsi"/>
                      <w:sz w:val="20"/>
                      <w:szCs w:val="20"/>
                    </w:rPr>
                    <m:t>Hours</m:t>
                  </m:r>
                </m:e>
              </m:d>
              <m:r>
                <w:rPr>
                  <w:rFonts w:ascii="Cambria Math" w:hAnsi="Cambria Math" w:cstheme="minorHAnsi"/>
                  <w:sz w:val="20"/>
                  <w:szCs w:val="20"/>
                </w:rPr>
                <m:t>-Measure Case [Hours]</m:t>
              </m:r>
            </m:num>
            <m:den>
              <m:r>
                <w:rPr>
                  <w:rFonts w:ascii="Cambria Math" w:hAnsi="Cambria Math" w:cstheme="minorHAnsi"/>
                  <w:sz w:val="20"/>
                  <w:szCs w:val="20"/>
                </w:rPr>
                <m:t>Normal hours of operation [Hours]</m:t>
              </m:r>
            </m:den>
          </m:f>
        </m:oMath>
      </m:oMathPara>
    </w:p>
    <w:p w14:paraId="5850D752" w14:textId="77777777" w:rsidR="00FA5DF9" w:rsidRPr="000B213F" w:rsidRDefault="00FA5DF9" w:rsidP="00FA5DF9">
      <w:pPr>
        <w:ind w:left="1440"/>
        <w:rPr>
          <w:rFonts w:cstheme="minorHAnsi"/>
          <w:sz w:val="20"/>
          <w:szCs w:val="20"/>
        </w:rPr>
      </w:pPr>
    </w:p>
    <w:p w14:paraId="3061467F" w14:textId="77777777" w:rsidR="00FA5DF9" w:rsidRPr="000B213F" w:rsidRDefault="00FA5DF9" w:rsidP="00FA5DF9">
      <w:pPr>
        <w:ind w:left="1440"/>
        <w:rPr>
          <w:rFonts w:cstheme="minorHAnsi"/>
          <w:sz w:val="20"/>
          <w:szCs w:val="20"/>
        </w:rPr>
      </w:pPr>
      <m:oMathPara>
        <m:oMathParaPr>
          <m:jc m:val="left"/>
        </m:oMathParaPr>
        <m:oMath>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2550-1950</m:t>
              </m:r>
            </m:num>
            <m:den>
              <m:r>
                <w:rPr>
                  <w:rFonts w:ascii="Cambria Math" w:hAnsi="Cambria Math" w:cstheme="minorHAnsi"/>
                  <w:sz w:val="20"/>
                  <w:szCs w:val="20"/>
                </w:rPr>
                <m:t>3000</m:t>
              </m:r>
            </m:den>
          </m:f>
        </m:oMath>
      </m:oMathPara>
    </w:p>
    <w:p w14:paraId="1EDA4A95" w14:textId="77777777" w:rsidR="00FA5DF9" w:rsidRPr="000B213F" w:rsidRDefault="00FA5DF9" w:rsidP="00FA5DF9">
      <w:pPr>
        <w:ind w:left="1440"/>
        <w:rPr>
          <w:rFonts w:cstheme="minorHAnsi"/>
          <w:sz w:val="20"/>
          <w:szCs w:val="20"/>
        </w:rPr>
      </w:pPr>
    </w:p>
    <w:p w14:paraId="376C04CE" w14:textId="4D062206" w:rsidR="00FA5DF9" w:rsidRPr="000B213F" w:rsidRDefault="00FA5DF9" w:rsidP="00FA5DF9">
      <w:pPr>
        <w:ind w:left="1440"/>
        <w:rPr>
          <w:rFonts w:cstheme="minorHAnsi"/>
          <w:sz w:val="20"/>
          <w:szCs w:val="20"/>
        </w:rPr>
      </w:pPr>
      <m:oMathPara>
        <m:oMathParaPr>
          <m:jc m:val="left"/>
        </m:oMathParaPr>
        <m:oMath>
          <m:r>
            <w:rPr>
              <w:rFonts w:ascii="Cambria Math" w:hAnsi="Cambria Math" w:cstheme="minorHAnsi"/>
              <w:sz w:val="20"/>
              <w:szCs w:val="20"/>
            </w:rPr>
            <m:t>=</m:t>
          </m:r>
          <m:r>
            <m:rPr>
              <m:sty m:val="bi"/>
            </m:rPr>
            <w:rPr>
              <w:rFonts w:ascii="Cambria Math" w:hAnsi="Cambria Math" w:cstheme="minorHAnsi"/>
              <w:sz w:val="20"/>
              <w:szCs w:val="20"/>
            </w:rPr>
            <m:t>20%</m:t>
          </m:r>
        </m:oMath>
      </m:oMathPara>
    </w:p>
    <w:p w14:paraId="46012209" w14:textId="77777777" w:rsidR="00FA5DF9" w:rsidRDefault="00FA5DF9" w:rsidP="00FA5DF9">
      <w:pPr>
        <w:rPr>
          <w:rFonts w:cstheme="minorHAnsi"/>
          <w:szCs w:val="22"/>
        </w:rPr>
      </w:pPr>
    </w:p>
    <w:p w14:paraId="35C09D3C" w14:textId="77777777" w:rsidR="00FA5DF9" w:rsidRPr="006F7C93" w:rsidRDefault="00FA5DF9" w:rsidP="00FA5DF9">
      <w:pPr>
        <w:ind w:left="720"/>
        <w:rPr>
          <w:rFonts w:cstheme="minorHAnsi"/>
          <w:sz w:val="20"/>
          <w:szCs w:val="20"/>
        </w:rPr>
      </w:pPr>
      <m:oMathPara>
        <m:oMathParaPr>
          <m:jc m:val="left"/>
        </m:oMathParaPr>
        <m:oMath>
          <m:r>
            <w:rPr>
              <w:rFonts w:ascii="Cambria Math" w:hAnsi="Cambria Math" w:cstheme="minorHAnsi"/>
              <w:sz w:val="20"/>
              <w:szCs w:val="20"/>
            </w:rPr>
            <m:t>PTO=</m:t>
          </m:r>
          <m:sSub>
            <m:sSubPr>
              <m:ctrlPr>
                <w:rPr>
                  <w:rFonts w:ascii="Cambria Math" w:hAnsi="Cambria Math" w:cstheme="minorHAnsi"/>
                  <w:i/>
                  <w:sz w:val="20"/>
                  <w:szCs w:val="20"/>
                </w:rPr>
              </m:ctrlPr>
            </m:sSubPr>
            <m:e>
              <m:r>
                <w:rPr>
                  <w:rFonts w:ascii="Cambria Math" w:hAnsi="Cambria Math" w:cstheme="minorHAnsi"/>
                  <w:sz w:val="20"/>
                  <w:szCs w:val="20"/>
                </w:rPr>
                <m:t>PTO</m:t>
              </m:r>
            </m:e>
            <m:sub>
              <m:r>
                <w:rPr>
                  <w:rFonts w:ascii="Cambria Math" w:hAnsi="Cambria Math" w:cstheme="minorHAnsi"/>
                  <w:sz w:val="20"/>
                  <w:szCs w:val="20"/>
                </w:rPr>
                <m:t>kWh</m:t>
              </m:r>
            </m:sub>
          </m:sSub>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PTO</m:t>
              </m:r>
            </m:e>
            <m:sub>
              <m:r>
                <w:rPr>
                  <w:rFonts w:ascii="Cambria Math" w:hAnsi="Cambria Math" w:cstheme="minorHAnsi"/>
                  <w:sz w:val="20"/>
                  <w:szCs w:val="20"/>
                </w:rPr>
                <m:t>kW</m:t>
              </m:r>
            </m:sub>
          </m:sSub>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PTO</m:t>
              </m:r>
            </m:e>
            <m:sub>
              <m:r>
                <w:rPr>
                  <w:rFonts w:ascii="Cambria Math" w:hAnsi="Cambria Math" w:cstheme="minorHAnsi"/>
                  <w:sz w:val="20"/>
                  <w:szCs w:val="20"/>
                </w:rPr>
                <m:t>therms</m:t>
              </m:r>
            </m:sub>
          </m:sSub>
        </m:oMath>
      </m:oMathPara>
    </w:p>
    <w:p w14:paraId="395CC630" w14:textId="77777777" w:rsidR="00FA5DF9" w:rsidRPr="006F7C93" w:rsidRDefault="00FA5DF9" w:rsidP="00FA5DF9">
      <w:pPr>
        <w:ind w:left="720"/>
        <w:rPr>
          <w:rFonts w:cstheme="minorHAnsi"/>
          <w:szCs w:val="22"/>
        </w:rPr>
      </w:pPr>
    </w:p>
    <w:p w14:paraId="429B5F35" w14:textId="5CEBCF50" w:rsidR="00FA5DF9" w:rsidRPr="00006900" w:rsidRDefault="00FA5DF9" w:rsidP="00FA5DF9">
      <w:pPr>
        <w:pStyle w:val="BasicText"/>
        <w:ind w:left="0"/>
        <w:rPr>
          <w:rFonts w:asciiTheme="minorHAnsi" w:hAnsiTheme="minorHAnsi" w:cstheme="minorHAnsi"/>
          <w:b/>
          <w:sz w:val="22"/>
          <w:szCs w:val="22"/>
        </w:rPr>
      </w:pPr>
      <w:r w:rsidRPr="00006900">
        <w:rPr>
          <w:rFonts w:asciiTheme="minorHAnsi" w:hAnsiTheme="minorHAnsi" w:cstheme="minorHAnsi"/>
          <w:b/>
          <w:sz w:val="22"/>
          <w:szCs w:val="22"/>
        </w:rPr>
        <w:t>Energy Savings</w:t>
      </w:r>
      <w:r w:rsidR="00E57D64" w:rsidRPr="00006900">
        <w:rPr>
          <w:rFonts w:asciiTheme="minorHAnsi" w:hAnsiTheme="minorHAnsi" w:cstheme="minorHAnsi"/>
          <w:b/>
          <w:sz w:val="22"/>
          <w:szCs w:val="22"/>
        </w:rPr>
        <w:t xml:space="preserve"> and Demand Reduction Calculation Example</w:t>
      </w:r>
    </w:p>
    <w:p w14:paraId="5DA04F84" w14:textId="5F30037D" w:rsidR="00FA5DF9" w:rsidRDefault="00FA5DF9" w:rsidP="00FA5DF9">
      <w:pPr>
        <w:rPr>
          <w:rFonts w:cstheme="minorHAnsi"/>
          <w:szCs w:val="22"/>
        </w:rPr>
      </w:pPr>
      <w:r>
        <w:rPr>
          <w:rFonts w:cstheme="minorHAnsi"/>
          <w:szCs w:val="22"/>
        </w:rPr>
        <w:t xml:space="preserve">The energy savings were calculated as shown in the following example for the Residential </w:t>
      </w:r>
      <w:r w:rsidR="00E57D64">
        <w:rPr>
          <w:rFonts w:cstheme="minorHAnsi"/>
          <w:szCs w:val="22"/>
        </w:rPr>
        <w:t>Common</w:t>
      </w:r>
      <w:r>
        <w:rPr>
          <w:rFonts w:cstheme="minorHAnsi"/>
          <w:szCs w:val="22"/>
        </w:rPr>
        <w:t xml:space="preserve"> Area measure, Multi-family building type, climate zone 6:</w:t>
      </w:r>
    </w:p>
    <w:p w14:paraId="6A175DEE" w14:textId="77777777" w:rsidR="00FA5DF9" w:rsidRDefault="00FA5DF9" w:rsidP="00FA5DF9">
      <w:pPr>
        <w:rPr>
          <w:rFonts w:cstheme="minorHAnsi"/>
          <w:u w:val="single"/>
        </w:rPr>
      </w:pPr>
    </w:p>
    <w:p w14:paraId="1D7B71A5" w14:textId="3C59386D" w:rsidR="00FA5DF9" w:rsidRPr="000B213F" w:rsidRDefault="00FA5DF9" w:rsidP="00FA5DF9">
      <w:pPr>
        <w:ind w:left="720"/>
        <w:rPr>
          <w:rFonts w:cstheme="minorHAnsi"/>
          <w:sz w:val="20"/>
          <w:szCs w:val="20"/>
          <w:u w:val="single"/>
        </w:rPr>
      </w:pPr>
      <m:oMathPara>
        <m:oMathParaPr>
          <m:jc m:val="left"/>
        </m:oMathParaPr>
        <m:oMath>
          <m:r>
            <w:rPr>
              <w:rFonts w:ascii="Cambria Math" w:hAnsi="Cambria Math" w:cstheme="minorHAnsi"/>
              <w:sz w:val="20"/>
              <w:szCs w:val="20"/>
            </w:rPr>
            <m:t xml:space="preserve">Energy Savings </m:t>
          </m:r>
          <m:d>
            <m:dPr>
              <m:begChr m:val="["/>
              <m:endChr m:val="]"/>
              <m:ctrlPr>
                <w:rPr>
                  <w:rFonts w:ascii="Cambria Math" w:hAnsi="Cambria Math" w:cstheme="minorHAnsi"/>
                  <w:i/>
                  <w:sz w:val="20"/>
                  <w:szCs w:val="20"/>
                </w:rPr>
              </m:ctrlPr>
            </m:dPr>
            <m:e>
              <m:r>
                <w:rPr>
                  <w:rFonts w:ascii="Cambria Math" w:hAnsi="Cambria Math" w:cstheme="minorHAnsi"/>
                  <w:sz w:val="20"/>
                  <w:szCs w:val="20"/>
                </w:rPr>
                <m:t>kWh</m:t>
              </m:r>
            </m:e>
          </m:d>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 xml:space="preserve">Controlled Wattage </m:t>
              </m:r>
              <m:d>
                <m:dPr>
                  <m:begChr m:val="["/>
                  <m:endChr m:val="]"/>
                  <m:ctrlPr>
                    <w:rPr>
                      <w:rFonts w:ascii="Cambria Math" w:hAnsi="Cambria Math" w:cstheme="minorHAnsi"/>
                      <w:i/>
                      <w:sz w:val="20"/>
                      <w:szCs w:val="20"/>
                    </w:rPr>
                  </m:ctrlPr>
                </m:dPr>
                <m:e>
                  <m:r>
                    <w:rPr>
                      <w:rFonts w:ascii="Cambria Math" w:hAnsi="Cambria Math" w:cstheme="minorHAnsi"/>
                      <w:sz w:val="20"/>
                      <w:szCs w:val="20"/>
                    </w:rPr>
                    <m:t>W</m:t>
                  </m:r>
                </m:e>
              </m:d>
              <m:r>
                <w:rPr>
                  <w:rFonts w:ascii="Cambria Math" w:hAnsi="Cambria Math" w:cstheme="minorHAnsi"/>
                  <w:sz w:val="20"/>
                  <w:szCs w:val="20"/>
                </w:rPr>
                <m:t xml:space="preserve">*HOU </m:t>
              </m:r>
              <m:d>
                <m:dPr>
                  <m:begChr m:val="["/>
                  <m:endChr m:val="]"/>
                  <m:ctrlPr>
                    <w:rPr>
                      <w:rFonts w:ascii="Cambria Math" w:hAnsi="Cambria Math" w:cstheme="minorHAnsi"/>
                      <w:i/>
                      <w:sz w:val="20"/>
                      <w:szCs w:val="20"/>
                    </w:rPr>
                  </m:ctrlPr>
                </m:dPr>
                <m:e>
                  <m:r>
                    <w:rPr>
                      <w:rFonts w:ascii="Cambria Math" w:hAnsi="Cambria Math" w:cstheme="minorHAnsi"/>
                      <w:sz w:val="20"/>
                      <w:szCs w:val="20"/>
                    </w:rPr>
                    <m:t>Hours</m:t>
                  </m:r>
                </m:e>
              </m:d>
              <m:r>
                <w:rPr>
                  <w:rFonts w:ascii="Cambria Math" w:hAnsi="Cambria Math" w:cstheme="minorHAnsi"/>
                  <w:sz w:val="20"/>
                  <w:szCs w:val="20"/>
                </w:rPr>
                <m:t xml:space="preserve">*Interactive Effects </m:t>
              </m:r>
              <m:d>
                <m:dPr>
                  <m:begChr m:val="["/>
                  <m:endChr m:val="]"/>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kWh</m:t>
                      </m:r>
                    </m:num>
                    <m:den>
                      <m:r>
                        <w:rPr>
                          <w:rFonts w:ascii="Cambria Math" w:hAnsi="Cambria Math" w:cstheme="minorHAnsi"/>
                          <w:sz w:val="20"/>
                          <w:szCs w:val="20"/>
                        </w:rPr>
                        <m:t>kWh</m:t>
                      </m:r>
                    </m:den>
                  </m:f>
                </m:e>
              </m:d>
              <m:r>
                <w:rPr>
                  <w:rFonts w:ascii="Cambria Math" w:hAnsi="Cambria Math" w:cstheme="minorHAnsi"/>
                  <w:sz w:val="20"/>
                  <w:szCs w:val="20"/>
                </w:rPr>
                <m:t>*PTO[%]</m:t>
              </m:r>
            </m:num>
            <m:den>
              <m:r>
                <w:rPr>
                  <w:rFonts w:ascii="Cambria Math" w:hAnsi="Cambria Math" w:cstheme="minorHAnsi"/>
                  <w:sz w:val="20"/>
                  <w:szCs w:val="20"/>
                </w:rPr>
                <m:t xml:space="preserve">1000 </m:t>
              </m:r>
              <m:d>
                <m:dPr>
                  <m:begChr m:val="["/>
                  <m:endChr m:val="]"/>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Watt</m:t>
                      </m:r>
                    </m:num>
                    <m:den>
                      <m:r>
                        <w:rPr>
                          <w:rFonts w:ascii="Cambria Math" w:hAnsi="Cambria Math" w:cstheme="minorHAnsi"/>
                          <w:sz w:val="20"/>
                          <w:szCs w:val="20"/>
                        </w:rPr>
                        <m:t>kW</m:t>
                      </m:r>
                    </m:den>
                  </m:f>
                </m:e>
              </m:d>
            </m:den>
          </m:f>
        </m:oMath>
      </m:oMathPara>
    </w:p>
    <w:p w14:paraId="23C375EC" w14:textId="77777777" w:rsidR="00FA5DF9" w:rsidRPr="000B213F" w:rsidRDefault="00FA5DF9" w:rsidP="00FA5DF9">
      <w:pPr>
        <w:ind w:left="720"/>
        <w:rPr>
          <w:rFonts w:cstheme="minorHAnsi"/>
          <w:sz w:val="20"/>
          <w:szCs w:val="20"/>
        </w:rPr>
      </w:pPr>
    </w:p>
    <w:p w14:paraId="1C8FB44E" w14:textId="4FCB00B6" w:rsidR="00FA5DF9" w:rsidRPr="000B213F" w:rsidRDefault="00FA5DF9" w:rsidP="00FA5DF9">
      <w:pPr>
        <w:ind w:left="720"/>
        <w:rPr>
          <w:rFonts w:cstheme="minorHAnsi"/>
          <w:sz w:val="20"/>
          <w:szCs w:val="20"/>
        </w:rPr>
      </w:pPr>
      <m:oMathPara>
        <m:oMathParaPr>
          <m:jc m:val="left"/>
        </m:oMathParaPr>
        <m:oMath>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 xml:space="preserve">208 W*4340 Hours*1.00 </m:t>
              </m:r>
              <m:f>
                <m:fPr>
                  <m:ctrlPr>
                    <w:rPr>
                      <w:rFonts w:ascii="Cambria Math" w:hAnsi="Cambria Math" w:cstheme="minorHAnsi"/>
                      <w:i/>
                      <w:sz w:val="20"/>
                      <w:szCs w:val="20"/>
                    </w:rPr>
                  </m:ctrlPr>
                </m:fPr>
                <m:num>
                  <m:r>
                    <w:rPr>
                      <w:rFonts w:ascii="Cambria Math" w:hAnsi="Cambria Math" w:cstheme="minorHAnsi"/>
                      <w:sz w:val="20"/>
                      <w:szCs w:val="20"/>
                    </w:rPr>
                    <m:t>kWh</m:t>
                  </m:r>
                </m:num>
                <m:den>
                  <m:r>
                    <w:rPr>
                      <w:rFonts w:ascii="Cambria Math" w:hAnsi="Cambria Math" w:cstheme="minorHAnsi"/>
                      <w:sz w:val="20"/>
                      <w:szCs w:val="20"/>
                    </w:rPr>
                    <m:t>kWh</m:t>
                  </m:r>
                </m:den>
              </m:f>
              <m:r>
                <w:rPr>
                  <w:rFonts w:ascii="Cambria Math" w:hAnsi="Cambria Math" w:cstheme="minorHAnsi"/>
                  <w:sz w:val="20"/>
                  <w:szCs w:val="20"/>
                </w:rPr>
                <m:t>*20%</m:t>
              </m:r>
            </m:num>
            <m:den>
              <m:r>
                <w:rPr>
                  <w:rFonts w:ascii="Cambria Math" w:hAnsi="Cambria Math" w:cstheme="minorHAnsi"/>
                  <w:sz w:val="20"/>
                  <w:szCs w:val="20"/>
                </w:rPr>
                <m:t xml:space="preserve">1000 </m:t>
              </m:r>
              <m:f>
                <m:fPr>
                  <m:ctrlPr>
                    <w:rPr>
                      <w:rFonts w:ascii="Cambria Math" w:hAnsi="Cambria Math" w:cstheme="minorHAnsi"/>
                      <w:i/>
                      <w:sz w:val="20"/>
                      <w:szCs w:val="20"/>
                    </w:rPr>
                  </m:ctrlPr>
                </m:fPr>
                <m:num>
                  <m:r>
                    <w:rPr>
                      <w:rFonts w:ascii="Cambria Math" w:hAnsi="Cambria Math" w:cstheme="minorHAnsi"/>
                      <w:sz w:val="20"/>
                      <w:szCs w:val="20"/>
                    </w:rPr>
                    <m:t>Watt</m:t>
                  </m:r>
                </m:num>
                <m:den>
                  <m:r>
                    <w:rPr>
                      <w:rFonts w:ascii="Cambria Math" w:hAnsi="Cambria Math" w:cstheme="minorHAnsi"/>
                      <w:sz w:val="20"/>
                      <w:szCs w:val="20"/>
                    </w:rPr>
                    <m:t>kW</m:t>
                  </m:r>
                </m:den>
              </m:f>
            </m:den>
          </m:f>
        </m:oMath>
      </m:oMathPara>
    </w:p>
    <w:p w14:paraId="5004D872" w14:textId="77777777" w:rsidR="00FA5DF9" w:rsidRPr="000B213F" w:rsidRDefault="00FA5DF9" w:rsidP="00FA5DF9">
      <w:pPr>
        <w:ind w:left="720"/>
        <w:rPr>
          <w:rFonts w:cstheme="minorHAnsi"/>
          <w:sz w:val="20"/>
          <w:szCs w:val="20"/>
        </w:rPr>
      </w:pPr>
    </w:p>
    <w:p w14:paraId="64F06B86" w14:textId="2ED4C683" w:rsidR="00FA5DF9" w:rsidRPr="000B213F" w:rsidRDefault="00E57D64" w:rsidP="00FA5DF9">
      <w:pPr>
        <w:ind w:left="720"/>
        <w:rPr>
          <w:rFonts w:cstheme="minorHAnsi"/>
          <w:sz w:val="20"/>
          <w:szCs w:val="20"/>
          <w:u w:val="single"/>
        </w:rPr>
      </w:pPr>
      <m:oMathPara>
        <m:oMathParaPr>
          <m:jc m:val="left"/>
        </m:oMathParaPr>
        <m:oMath>
          <m:r>
            <w:rPr>
              <w:rFonts w:ascii="Cambria Math" w:hAnsi="Cambria Math" w:cstheme="minorHAnsi"/>
              <w:sz w:val="20"/>
              <w:szCs w:val="20"/>
            </w:rPr>
            <m:t>=</m:t>
          </m:r>
          <m:r>
            <m:rPr>
              <m:sty m:val="bi"/>
            </m:rPr>
            <w:rPr>
              <w:rFonts w:ascii="Cambria Math" w:hAnsi="Cambria Math" w:cstheme="minorHAnsi"/>
              <w:sz w:val="20"/>
              <w:szCs w:val="20"/>
            </w:rPr>
            <m:t>180.54 kWh</m:t>
          </m:r>
        </m:oMath>
      </m:oMathPara>
    </w:p>
    <w:p w14:paraId="32E7E4D3" w14:textId="77777777" w:rsidR="00117D42" w:rsidRDefault="00117D42" w:rsidP="00117D42">
      <w:pPr>
        <w:spacing w:after="200" w:line="276" w:lineRule="auto"/>
        <w:rPr>
          <w:rFonts w:cstheme="minorHAnsi"/>
          <w:szCs w:val="22"/>
        </w:rPr>
      </w:pPr>
    </w:p>
    <w:p w14:paraId="5C5F3B50" w14:textId="75CC1FAB" w:rsidR="00E57D64" w:rsidRDefault="00E57D64" w:rsidP="00117D42">
      <w:pPr>
        <w:spacing w:after="200" w:line="276" w:lineRule="auto"/>
        <w:rPr>
          <w:rFonts w:cstheme="minorHAnsi"/>
          <w:szCs w:val="22"/>
        </w:rPr>
      </w:pPr>
      <w:r>
        <w:rPr>
          <w:rFonts w:cstheme="minorHAnsi"/>
          <w:szCs w:val="22"/>
        </w:rPr>
        <w:t>The demand reduction is calculated as follows:</w:t>
      </w:r>
    </w:p>
    <w:p w14:paraId="595E1938" w14:textId="6AC901DC" w:rsidR="00E57D64" w:rsidRPr="000B213F" w:rsidRDefault="00E57D64" w:rsidP="00E57D64">
      <w:pPr>
        <w:ind w:left="720"/>
        <w:rPr>
          <w:rFonts w:cstheme="minorHAnsi"/>
          <w:sz w:val="20"/>
          <w:szCs w:val="20"/>
          <w:u w:val="single"/>
        </w:rPr>
      </w:pPr>
      <m:oMathPara>
        <m:oMathParaPr>
          <m:jc m:val="left"/>
        </m:oMathParaPr>
        <m:oMath>
          <m:r>
            <w:rPr>
              <w:rFonts w:ascii="Cambria Math" w:hAnsi="Cambria Math" w:cstheme="minorHAnsi"/>
              <w:sz w:val="20"/>
              <w:szCs w:val="20"/>
            </w:rPr>
            <m:t xml:space="preserve">Demand Reduction </m:t>
          </m:r>
          <m:d>
            <m:dPr>
              <m:begChr m:val="["/>
              <m:endChr m:val="]"/>
              <m:ctrlPr>
                <w:rPr>
                  <w:rFonts w:ascii="Cambria Math" w:hAnsi="Cambria Math" w:cstheme="minorHAnsi"/>
                  <w:i/>
                  <w:sz w:val="20"/>
                  <w:szCs w:val="20"/>
                </w:rPr>
              </m:ctrlPr>
            </m:dPr>
            <m:e>
              <m:r>
                <w:rPr>
                  <w:rFonts w:ascii="Cambria Math" w:hAnsi="Cambria Math" w:cstheme="minorHAnsi"/>
                  <w:sz w:val="20"/>
                  <w:szCs w:val="20"/>
                </w:rPr>
                <m:t>kW</m:t>
              </m:r>
            </m:e>
          </m:d>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 xml:space="preserve">Controlled Wattage </m:t>
              </m:r>
              <m:d>
                <m:dPr>
                  <m:begChr m:val="["/>
                  <m:endChr m:val="]"/>
                  <m:ctrlPr>
                    <w:rPr>
                      <w:rFonts w:ascii="Cambria Math" w:hAnsi="Cambria Math" w:cstheme="minorHAnsi"/>
                      <w:i/>
                      <w:sz w:val="20"/>
                      <w:szCs w:val="20"/>
                    </w:rPr>
                  </m:ctrlPr>
                </m:dPr>
                <m:e>
                  <m:r>
                    <w:rPr>
                      <w:rFonts w:ascii="Cambria Math" w:hAnsi="Cambria Math" w:cstheme="minorHAnsi"/>
                      <w:sz w:val="20"/>
                      <w:szCs w:val="20"/>
                    </w:rPr>
                    <m:t>kW</m:t>
                  </m:r>
                </m:e>
              </m:d>
              <m:r>
                <w:rPr>
                  <w:rFonts w:ascii="Cambria Math" w:hAnsi="Cambria Math" w:cstheme="minorHAnsi"/>
                  <w:sz w:val="20"/>
                  <w:szCs w:val="20"/>
                </w:rPr>
                <m:t xml:space="preserve">*Interactive Effects </m:t>
              </m:r>
              <m:d>
                <m:dPr>
                  <m:begChr m:val="["/>
                  <m:endChr m:val="]"/>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kW</m:t>
                      </m:r>
                    </m:num>
                    <m:den>
                      <m:r>
                        <w:rPr>
                          <w:rFonts w:ascii="Cambria Math" w:hAnsi="Cambria Math" w:cstheme="minorHAnsi"/>
                          <w:sz w:val="20"/>
                          <w:szCs w:val="20"/>
                        </w:rPr>
                        <m:t>kW</m:t>
                      </m:r>
                    </m:den>
                  </m:f>
                </m:e>
              </m:d>
              <m:r>
                <w:rPr>
                  <w:rFonts w:ascii="Cambria Math" w:hAnsi="Cambria Math" w:cstheme="minorHAnsi"/>
                  <w:sz w:val="20"/>
                  <w:szCs w:val="20"/>
                </w:rPr>
                <m:t>*Coincident Diversity Factor*PTO[%]</m:t>
              </m:r>
            </m:num>
            <m:den>
              <m:r>
                <w:rPr>
                  <w:rFonts w:ascii="Cambria Math" w:hAnsi="Cambria Math" w:cstheme="minorHAnsi"/>
                  <w:sz w:val="20"/>
                  <w:szCs w:val="20"/>
                </w:rPr>
                <m:t xml:space="preserve">1000 </m:t>
              </m:r>
              <m:d>
                <m:dPr>
                  <m:begChr m:val="["/>
                  <m:endChr m:val="]"/>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Watt</m:t>
                      </m:r>
                    </m:num>
                    <m:den>
                      <m:r>
                        <w:rPr>
                          <w:rFonts w:ascii="Cambria Math" w:hAnsi="Cambria Math" w:cstheme="minorHAnsi"/>
                          <w:sz w:val="20"/>
                          <w:szCs w:val="20"/>
                        </w:rPr>
                        <m:t>kW</m:t>
                      </m:r>
                    </m:den>
                  </m:f>
                </m:e>
              </m:d>
            </m:den>
          </m:f>
        </m:oMath>
      </m:oMathPara>
    </w:p>
    <w:p w14:paraId="09FA5A9B" w14:textId="77777777" w:rsidR="00E57D64" w:rsidRPr="000B213F" w:rsidRDefault="00E57D64" w:rsidP="00E57D64">
      <w:pPr>
        <w:ind w:left="720"/>
        <w:rPr>
          <w:rFonts w:cstheme="minorHAnsi"/>
          <w:sz w:val="20"/>
          <w:szCs w:val="20"/>
        </w:rPr>
      </w:pPr>
    </w:p>
    <w:p w14:paraId="6472A268" w14:textId="35A1B0FE" w:rsidR="00E57D64" w:rsidRPr="000B213F" w:rsidRDefault="00E57D64" w:rsidP="00E57D64">
      <w:pPr>
        <w:ind w:left="720"/>
        <w:rPr>
          <w:rFonts w:cstheme="minorHAnsi"/>
          <w:sz w:val="20"/>
          <w:szCs w:val="20"/>
        </w:rPr>
      </w:pPr>
      <m:oMathPara>
        <m:oMathParaPr>
          <m:jc m:val="left"/>
        </m:oMathParaPr>
        <m:oMath>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 xml:space="preserve">0.208 kW*1.23 </m:t>
              </m:r>
              <m:f>
                <m:fPr>
                  <m:ctrlPr>
                    <w:rPr>
                      <w:rFonts w:ascii="Cambria Math" w:hAnsi="Cambria Math" w:cstheme="minorHAnsi"/>
                      <w:i/>
                      <w:sz w:val="20"/>
                      <w:szCs w:val="20"/>
                    </w:rPr>
                  </m:ctrlPr>
                </m:fPr>
                <m:num>
                  <m:r>
                    <w:rPr>
                      <w:rFonts w:ascii="Cambria Math" w:hAnsi="Cambria Math" w:cstheme="minorHAnsi"/>
                      <w:sz w:val="20"/>
                      <w:szCs w:val="20"/>
                    </w:rPr>
                    <m:t>kW</m:t>
                  </m:r>
                </m:num>
                <m:den>
                  <m:r>
                    <w:rPr>
                      <w:rFonts w:ascii="Cambria Math" w:hAnsi="Cambria Math" w:cstheme="minorHAnsi"/>
                      <w:sz w:val="20"/>
                      <w:szCs w:val="20"/>
                    </w:rPr>
                    <m:t>kW</m:t>
                  </m:r>
                </m:den>
              </m:f>
              <m:r>
                <w:rPr>
                  <w:rFonts w:ascii="Cambria Math" w:hAnsi="Cambria Math" w:cstheme="minorHAnsi"/>
                  <w:sz w:val="20"/>
                  <w:szCs w:val="20"/>
                </w:rPr>
                <m:t>*0.043*20%</m:t>
              </m:r>
            </m:num>
            <m:den>
              <m:r>
                <w:rPr>
                  <w:rFonts w:ascii="Cambria Math" w:hAnsi="Cambria Math" w:cstheme="minorHAnsi"/>
                  <w:sz w:val="20"/>
                  <w:szCs w:val="20"/>
                </w:rPr>
                <m:t xml:space="preserve">1000 </m:t>
              </m:r>
              <m:f>
                <m:fPr>
                  <m:ctrlPr>
                    <w:rPr>
                      <w:rFonts w:ascii="Cambria Math" w:hAnsi="Cambria Math" w:cstheme="minorHAnsi"/>
                      <w:i/>
                      <w:sz w:val="20"/>
                      <w:szCs w:val="20"/>
                    </w:rPr>
                  </m:ctrlPr>
                </m:fPr>
                <m:num>
                  <m:r>
                    <w:rPr>
                      <w:rFonts w:ascii="Cambria Math" w:hAnsi="Cambria Math" w:cstheme="minorHAnsi"/>
                      <w:sz w:val="20"/>
                      <w:szCs w:val="20"/>
                    </w:rPr>
                    <m:t>Watt</m:t>
                  </m:r>
                </m:num>
                <m:den>
                  <m:r>
                    <w:rPr>
                      <w:rFonts w:ascii="Cambria Math" w:hAnsi="Cambria Math" w:cstheme="minorHAnsi"/>
                      <w:sz w:val="20"/>
                      <w:szCs w:val="20"/>
                    </w:rPr>
                    <m:t>kW</m:t>
                  </m:r>
                </m:den>
              </m:f>
            </m:den>
          </m:f>
        </m:oMath>
      </m:oMathPara>
    </w:p>
    <w:p w14:paraId="1CCD4F2B" w14:textId="77777777" w:rsidR="00E57D64" w:rsidRPr="000B213F" w:rsidRDefault="00E57D64" w:rsidP="00E57D64">
      <w:pPr>
        <w:ind w:left="720"/>
        <w:rPr>
          <w:rFonts w:cstheme="minorHAnsi"/>
          <w:sz w:val="20"/>
          <w:szCs w:val="20"/>
        </w:rPr>
      </w:pPr>
    </w:p>
    <w:p w14:paraId="0B62E0DE" w14:textId="170FBF11" w:rsidR="00E57D64" w:rsidRPr="000B213F" w:rsidRDefault="00E57D64" w:rsidP="00E57D64">
      <w:pPr>
        <w:ind w:left="720"/>
        <w:rPr>
          <w:rFonts w:cstheme="minorHAnsi"/>
          <w:sz w:val="20"/>
          <w:szCs w:val="20"/>
          <w:u w:val="single"/>
        </w:rPr>
      </w:pPr>
      <m:oMathPara>
        <m:oMathParaPr>
          <m:jc m:val="left"/>
        </m:oMathParaPr>
        <m:oMath>
          <m:r>
            <w:rPr>
              <w:rFonts w:ascii="Cambria Math" w:hAnsi="Cambria Math" w:cstheme="minorHAnsi"/>
              <w:sz w:val="20"/>
              <w:szCs w:val="20"/>
            </w:rPr>
            <m:t>=</m:t>
          </m:r>
          <m:r>
            <m:rPr>
              <m:sty m:val="bi"/>
            </m:rPr>
            <w:rPr>
              <w:rFonts w:ascii="Cambria Math" w:hAnsi="Cambria Math" w:cstheme="minorHAnsi"/>
              <w:sz w:val="20"/>
              <w:szCs w:val="20"/>
            </w:rPr>
            <m:t>0.0022 kW</m:t>
          </m:r>
        </m:oMath>
      </m:oMathPara>
    </w:p>
    <w:p w14:paraId="016F5101" w14:textId="77777777" w:rsidR="00E57D64" w:rsidRDefault="00E57D64" w:rsidP="00FA5DF9">
      <w:pPr>
        <w:rPr>
          <w:rFonts w:cstheme="minorHAnsi"/>
          <w:szCs w:val="22"/>
        </w:rPr>
      </w:pPr>
    </w:p>
    <w:p w14:paraId="104E4493" w14:textId="53ABE67F" w:rsidR="00FA5DF9" w:rsidRPr="00C53D7B" w:rsidRDefault="00FA5DF9" w:rsidP="00C43648">
      <w:pPr>
        <w:pStyle w:val="NoSpacing"/>
      </w:pPr>
      <w:r>
        <w:t xml:space="preserve">Complete </w:t>
      </w:r>
      <w:r w:rsidR="00E57D64">
        <w:t>calculations are in Attachment 1</w:t>
      </w:r>
      <w:r>
        <w:t>.</w:t>
      </w:r>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97D1D24" w14:textId="77777777" w:rsidR="00C46D9C" w:rsidRDefault="00C46D9C" w:rsidP="003F0623">
      <w:pPr>
        <w:pStyle w:val="Caption"/>
        <w:jc w:val="center"/>
        <w:rPr>
          <w:rFonts w:cstheme="minorHAnsi"/>
          <w:szCs w:val="22"/>
        </w:rPr>
      </w:pPr>
    </w:p>
    <w:p w14:paraId="5FD3CDFC" w14:textId="77777777" w:rsidR="00C46D9C" w:rsidRDefault="00C46D9C" w:rsidP="003F0623">
      <w:pPr>
        <w:pStyle w:val="Caption"/>
        <w:jc w:val="center"/>
        <w:rPr>
          <w:rFonts w:cstheme="minorHAnsi"/>
          <w:szCs w:val="22"/>
        </w:rPr>
      </w:pPr>
    </w:p>
    <w:p w14:paraId="5B922991" w14:textId="77777777" w:rsidR="00C46D9C" w:rsidRDefault="00C46D9C" w:rsidP="003F0623">
      <w:pPr>
        <w:pStyle w:val="Caption"/>
        <w:jc w:val="center"/>
        <w:rPr>
          <w:rFonts w:cstheme="minorHAnsi"/>
          <w:szCs w:val="22"/>
        </w:rPr>
      </w:pPr>
    </w:p>
    <w:p w14:paraId="11518488" w14:textId="77777777" w:rsidR="00C46D9C" w:rsidRDefault="00C46D9C" w:rsidP="003F0623">
      <w:pPr>
        <w:pStyle w:val="Caption"/>
        <w:jc w:val="cente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lastRenderedPageBreak/>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7E287B" w:rsidRPr="00500C4E" w14:paraId="3D341893" w14:textId="77777777" w:rsidTr="00142D4C">
        <w:tc>
          <w:tcPr>
            <w:tcW w:w="1686" w:type="pct"/>
            <w:vAlign w:val="bottom"/>
          </w:tcPr>
          <w:p w14:paraId="4FA2FF6D" w14:textId="3F016FDF" w:rsidR="007E287B" w:rsidRPr="007E287B" w:rsidRDefault="007E287B" w:rsidP="007E287B">
            <w:pPr>
              <w:rPr>
                <w:rFonts w:cstheme="minorHAnsi"/>
                <w:szCs w:val="20"/>
              </w:rPr>
            </w:pPr>
            <w:r w:rsidRPr="007E287B">
              <w:rPr>
                <w:rFonts w:cstheme="minorHAnsi"/>
                <w:szCs w:val="20"/>
              </w:rPr>
              <w:t>Residential Mobile Home - Double-Wide</w:t>
            </w:r>
          </w:p>
        </w:tc>
        <w:tc>
          <w:tcPr>
            <w:tcW w:w="1779" w:type="pct"/>
          </w:tcPr>
          <w:p w14:paraId="3B2DCD1E" w14:textId="4EF02488" w:rsidR="007E287B" w:rsidRPr="00920905" w:rsidRDefault="007E287B" w:rsidP="007E287B">
            <w:pPr>
              <w:rPr>
                <w:rFonts w:cstheme="minorHAnsi"/>
                <w:color w:val="FF0000"/>
                <w:szCs w:val="20"/>
              </w:rPr>
            </w:pPr>
            <w:r w:rsidRPr="004231FD">
              <w:rPr>
                <w:rFonts w:cstheme="minorHAnsi"/>
                <w:szCs w:val="20"/>
              </w:rPr>
              <w:t>Occupancy Sensor</w:t>
            </w:r>
          </w:p>
        </w:tc>
        <w:tc>
          <w:tcPr>
            <w:tcW w:w="1535" w:type="pct"/>
          </w:tcPr>
          <w:p w14:paraId="6722CD8A" w14:textId="2E3E883D" w:rsidR="007E287B" w:rsidRPr="00920905" w:rsidRDefault="007E287B" w:rsidP="007E287B">
            <w:pPr>
              <w:rPr>
                <w:rFonts w:cstheme="minorHAnsi"/>
                <w:color w:val="FF0000"/>
                <w:szCs w:val="20"/>
              </w:rPr>
            </w:pPr>
            <w:proofErr w:type="spellStart"/>
            <w:r w:rsidRPr="0001442F">
              <w:rPr>
                <w:rFonts w:cstheme="minorHAnsi"/>
                <w:szCs w:val="20"/>
              </w:rPr>
              <w:t>Misc._Commercial</w:t>
            </w:r>
            <w:proofErr w:type="spellEnd"/>
          </w:p>
        </w:tc>
      </w:tr>
      <w:tr w:rsidR="007E287B" w:rsidRPr="00500C4E" w14:paraId="1FB64A38" w14:textId="77777777" w:rsidTr="00142D4C">
        <w:tc>
          <w:tcPr>
            <w:tcW w:w="1686" w:type="pct"/>
            <w:vAlign w:val="bottom"/>
          </w:tcPr>
          <w:p w14:paraId="129F9965" w14:textId="3243EB11" w:rsidR="007E287B" w:rsidRPr="007E287B" w:rsidRDefault="007E287B" w:rsidP="007E287B">
            <w:pPr>
              <w:rPr>
                <w:rFonts w:cstheme="minorHAnsi"/>
                <w:szCs w:val="20"/>
              </w:rPr>
            </w:pPr>
            <w:r w:rsidRPr="007E287B">
              <w:rPr>
                <w:rFonts w:cstheme="minorHAnsi"/>
                <w:szCs w:val="20"/>
              </w:rPr>
              <w:t>Residential Multi-family</w:t>
            </w:r>
          </w:p>
        </w:tc>
        <w:tc>
          <w:tcPr>
            <w:tcW w:w="1779" w:type="pct"/>
          </w:tcPr>
          <w:p w14:paraId="0FCC70F1" w14:textId="08A8B76E" w:rsidR="007E287B" w:rsidRPr="00920905" w:rsidRDefault="007E287B" w:rsidP="007E287B">
            <w:pPr>
              <w:rPr>
                <w:rFonts w:cstheme="minorHAnsi"/>
                <w:color w:val="FF0000"/>
                <w:szCs w:val="20"/>
              </w:rPr>
            </w:pPr>
            <w:r w:rsidRPr="004231FD">
              <w:rPr>
                <w:rFonts w:cstheme="minorHAnsi"/>
                <w:szCs w:val="20"/>
              </w:rPr>
              <w:t>Occupancy Sensor</w:t>
            </w:r>
          </w:p>
        </w:tc>
        <w:tc>
          <w:tcPr>
            <w:tcW w:w="1535" w:type="pct"/>
          </w:tcPr>
          <w:p w14:paraId="31157856" w14:textId="2303306E" w:rsidR="007E287B" w:rsidRPr="00920905" w:rsidRDefault="007E287B" w:rsidP="007E287B">
            <w:pPr>
              <w:rPr>
                <w:rFonts w:cstheme="minorHAnsi"/>
                <w:color w:val="FF0000"/>
                <w:szCs w:val="20"/>
              </w:rPr>
            </w:pPr>
            <w:proofErr w:type="spellStart"/>
            <w:r w:rsidRPr="0001442F">
              <w:rPr>
                <w:rFonts w:cstheme="minorHAnsi"/>
                <w:szCs w:val="20"/>
              </w:rPr>
              <w:t>Misc._Commercial</w:t>
            </w:r>
            <w:proofErr w:type="spellEnd"/>
          </w:p>
        </w:tc>
      </w:tr>
    </w:tbl>
    <w:p w14:paraId="52C9214C" w14:textId="5A04C955" w:rsidR="005552C3" w:rsidRDefault="00F95E2F" w:rsidP="00920905">
      <w:pPr>
        <w:pStyle w:val="Heading1"/>
      </w:pPr>
      <w:r>
        <w:t>Section 4. Costs</w:t>
      </w:r>
    </w:p>
    <w:p w14:paraId="2E760E7F" w14:textId="79E68860" w:rsidR="00FE5FAF" w:rsidRPr="00920905" w:rsidRDefault="00006900" w:rsidP="00920905">
      <w:pPr>
        <w:pStyle w:val="NoSpacing"/>
      </w:pPr>
      <w:r>
        <w:t>Material and labor costs are from WO017</w:t>
      </w:r>
      <w:r w:rsidR="00866C18">
        <w:t xml:space="preserve"> [Attachment 2]</w:t>
      </w:r>
      <w:r>
        <w:t>. Material costs vary by the area (</w:t>
      </w:r>
      <w:proofErr w:type="spellStart"/>
      <w:r>
        <w:t>sq</w:t>
      </w:r>
      <w:proofErr w:type="spellEnd"/>
      <w:r>
        <w:t xml:space="preserve"> </w:t>
      </w:r>
      <w:proofErr w:type="spellStart"/>
      <w:r>
        <w:t>ft</w:t>
      </w:r>
      <w:proofErr w:type="spellEnd"/>
      <w:r>
        <w:t xml:space="preserve">) covered by the occupancy sensor. For </w:t>
      </w:r>
      <w:r w:rsidR="002F593C">
        <w:t xml:space="preserve">both </w:t>
      </w:r>
      <w:r>
        <w:t>measure</w:t>
      </w:r>
      <w:r w:rsidR="002F593C">
        <w:t>s</w:t>
      </w:r>
      <w:r>
        <w:t xml:space="preserve"> it is assumed that</w:t>
      </w:r>
      <w:r w:rsidR="002F593C">
        <w:t xml:space="preserve"> the coverage area is 500 </w:t>
      </w:r>
      <w:proofErr w:type="spellStart"/>
      <w:r w:rsidR="002F593C">
        <w:t>sq</w:t>
      </w:r>
      <w:proofErr w:type="spellEnd"/>
      <w:r w:rsidR="002F593C">
        <w:t xml:space="preserve"> ft.</w:t>
      </w:r>
    </w:p>
    <w:p w14:paraId="4696E137"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5BF63111" w14:textId="77135E68" w:rsidR="00FE5FAF" w:rsidRPr="00B966EF" w:rsidRDefault="00006900" w:rsidP="00920905">
      <w:r w:rsidRPr="00B966EF">
        <w:t>For REA measures, the base case cost is $0</w:t>
      </w:r>
      <w:r w:rsidR="00B966EF" w:rsidRPr="00B966EF">
        <w:t>.</w:t>
      </w:r>
    </w:p>
    <w:p w14:paraId="44713B57" w14:textId="77777777" w:rsidR="005A0E53" w:rsidRPr="00500C4E" w:rsidRDefault="005A0E53" w:rsidP="005A0E53">
      <w:pPr>
        <w:pStyle w:val="Heading2"/>
        <w:rPr>
          <w:rFonts w:asciiTheme="minorHAnsi" w:hAnsiTheme="minorHAnsi" w:cstheme="minorHAnsi"/>
        </w:rPr>
      </w:pPr>
      <w:bookmarkStart w:id="19" w:name="_Toc214003098"/>
      <w:r w:rsidRPr="00500C4E">
        <w:rPr>
          <w:rFonts w:asciiTheme="minorHAnsi" w:hAnsiTheme="minorHAnsi" w:cstheme="minorHAnsi"/>
        </w:rPr>
        <w:t>4.2 Measure Case Cost</w:t>
      </w:r>
    </w:p>
    <w:p w14:paraId="46E9BEB6" w14:textId="04D739DE" w:rsidR="00FE5FAF" w:rsidRPr="002F593C" w:rsidRDefault="002F593C" w:rsidP="00FE5FAF">
      <w:r w:rsidRPr="002F593C">
        <w:t xml:space="preserve">Using the WO017 cost model, the equipment cost for an occupancy sensor covering 500 </w:t>
      </w:r>
      <w:proofErr w:type="spellStart"/>
      <w:r w:rsidRPr="002F593C">
        <w:t>sq</w:t>
      </w:r>
      <w:proofErr w:type="spellEnd"/>
      <w:r w:rsidRPr="002F593C">
        <w:t xml:space="preserve"> </w:t>
      </w:r>
      <w:proofErr w:type="spellStart"/>
      <w:r w:rsidRPr="002F593C">
        <w:t>ft</w:t>
      </w:r>
      <w:proofErr w:type="spellEnd"/>
      <w:r w:rsidRPr="002F593C">
        <w:t xml:space="preserve"> is $140.45. The labor </w:t>
      </w:r>
      <w:r>
        <w:t xml:space="preserve">required is </w:t>
      </w:r>
      <w:r w:rsidRPr="002F593C">
        <w:t>1.19 install hours</w:t>
      </w:r>
      <w:r>
        <w:t xml:space="preserve"> at a rate of </w:t>
      </w:r>
      <w:r w:rsidRPr="002F593C">
        <w:t>$71.25/</w:t>
      </w:r>
      <w:proofErr w:type="spellStart"/>
      <w:r w:rsidRPr="002F593C">
        <w:t>hr</w:t>
      </w:r>
      <w:proofErr w:type="spellEnd"/>
      <w:r w:rsidRPr="002F593C">
        <w:t>, totaling $85.12. Miscellaneous costs of $6.73 are added to the labor cost for a final labor cost of $91.85.</w:t>
      </w:r>
      <w:r>
        <w:t xml:space="preserve"> The full material and labor cost is $232.30.</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4A126E2F" w14:textId="206DE362" w:rsidR="002F593C" w:rsidRPr="002F593C" w:rsidRDefault="002F593C">
      <w:pPr>
        <w:rPr>
          <w:rFonts w:cs="Arial"/>
          <w:szCs w:val="22"/>
        </w:rPr>
      </w:pPr>
      <w:r w:rsidRPr="002F593C">
        <w:rPr>
          <w:rFonts w:cs="Arial"/>
          <w:szCs w:val="22"/>
        </w:rPr>
        <w:t>For REA, the incremental cost is the full measure cost of $232.30.</w:t>
      </w:r>
    </w:p>
    <w:p w14:paraId="3F21CA39" w14:textId="77777777" w:rsidR="002F593C" w:rsidRDefault="002F593C">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ayout w:type="fixed"/>
        <w:tblLook w:val="01E0" w:firstRow="1" w:lastRow="1" w:firstColumn="1" w:lastColumn="1" w:noHBand="0" w:noVBand="0"/>
      </w:tblPr>
      <w:tblGrid>
        <w:gridCol w:w="2070"/>
        <w:gridCol w:w="1243"/>
        <w:gridCol w:w="1421"/>
        <w:gridCol w:w="2346"/>
        <w:gridCol w:w="2496"/>
      </w:tblGrid>
      <w:tr w:rsidR="00F474EF" w:rsidRPr="00500C4E" w14:paraId="7122FF83" w14:textId="77777777" w:rsidTr="002F593C">
        <w:tc>
          <w:tcPr>
            <w:tcW w:w="1081"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49"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742"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8"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2F593C">
        <w:tc>
          <w:tcPr>
            <w:tcW w:w="1081"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49"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742"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3"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2F593C" w:rsidRPr="00500C4E" w14:paraId="31204A9D" w14:textId="77777777" w:rsidTr="002F593C">
        <w:tc>
          <w:tcPr>
            <w:tcW w:w="1081" w:type="pct"/>
          </w:tcPr>
          <w:p w14:paraId="20624498" w14:textId="7031CA45" w:rsidR="002F593C" w:rsidRPr="00543460" w:rsidRDefault="002F593C" w:rsidP="002F593C">
            <w:pPr>
              <w:rPr>
                <w:rFonts w:cstheme="minorHAnsi"/>
                <w:szCs w:val="20"/>
              </w:rPr>
            </w:pPr>
            <w:r>
              <w:rPr>
                <w:rFonts w:cstheme="minorHAnsi"/>
                <w:szCs w:val="20"/>
              </w:rPr>
              <w:t>Occupancy Sensor (Res Common Area) Control</w:t>
            </w:r>
          </w:p>
        </w:tc>
        <w:tc>
          <w:tcPr>
            <w:tcW w:w="649" w:type="pct"/>
          </w:tcPr>
          <w:p w14:paraId="1B8D4FEE" w14:textId="51930CA0" w:rsidR="002F593C" w:rsidRPr="00543460" w:rsidRDefault="002F593C" w:rsidP="002F593C">
            <w:pPr>
              <w:rPr>
                <w:rFonts w:cstheme="minorHAnsi"/>
                <w:szCs w:val="20"/>
              </w:rPr>
            </w:pPr>
            <w:r w:rsidRPr="00543460">
              <w:rPr>
                <w:rFonts w:cstheme="minorHAnsi"/>
                <w:szCs w:val="20"/>
              </w:rPr>
              <w:t>REA</w:t>
            </w:r>
          </w:p>
        </w:tc>
        <w:tc>
          <w:tcPr>
            <w:tcW w:w="742" w:type="pct"/>
          </w:tcPr>
          <w:p w14:paraId="17400ED7" w14:textId="2119E7D8" w:rsidR="002F593C" w:rsidRPr="00543460" w:rsidRDefault="002F593C" w:rsidP="002F593C">
            <w:pPr>
              <w:rPr>
                <w:rFonts w:cstheme="minorHAnsi"/>
                <w:szCs w:val="20"/>
              </w:rPr>
            </w:pPr>
            <w:r>
              <w:rPr>
                <w:rFonts w:cstheme="minorHAnsi"/>
                <w:szCs w:val="20"/>
              </w:rPr>
              <w:t>$232.30</w:t>
            </w:r>
          </w:p>
        </w:tc>
        <w:tc>
          <w:tcPr>
            <w:tcW w:w="1225" w:type="pct"/>
          </w:tcPr>
          <w:p w14:paraId="0F861C7C" w14:textId="2A085849" w:rsidR="002F593C" w:rsidRPr="00543460" w:rsidRDefault="002F593C" w:rsidP="002F593C">
            <w:pPr>
              <w:rPr>
                <w:rFonts w:cstheme="minorHAnsi"/>
                <w:szCs w:val="20"/>
              </w:rPr>
            </w:pPr>
            <w:r>
              <w:rPr>
                <w:rFonts w:cstheme="minorHAnsi"/>
                <w:szCs w:val="20"/>
              </w:rPr>
              <w:t>$232.30</w:t>
            </w:r>
          </w:p>
        </w:tc>
        <w:tc>
          <w:tcPr>
            <w:tcW w:w="1303" w:type="pct"/>
          </w:tcPr>
          <w:p w14:paraId="26FF7460" w14:textId="77777777" w:rsidR="002F593C" w:rsidRPr="00543460" w:rsidRDefault="002F593C" w:rsidP="002F593C">
            <w:pPr>
              <w:rPr>
                <w:rFonts w:cstheme="minorHAnsi"/>
                <w:szCs w:val="20"/>
              </w:rPr>
            </w:pPr>
            <w:r w:rsidRPr="00543460">
              <w:rPr>
                <w:rFonts w:cstheme="minorHAnsi"/>
                <w:szCs w:val="20"/>
              </w:rPr>
              <w:t>N/A</w:t>
            </w:r>
          </w:p>
        </w:tc>
      </w:tr>
    </w:tbl>
    <w:p w14:paraId="37E9FBDB" w14:textId="754E7BBE" w:rsidR="00E16609" w:rsidRPr="00920905" w:rsidRDefault="00E16609">
      <w:pPr>
        <w:rPr>
          <w:rFonts w:cstheme="minorHAnsi"/>
          <w:sz w:val="20"/>
          <w:szCs w:val="20"/>
        </w:rPr>
      </w:pPr>
      <w:bookmarkStart w:id="20" w:name="_Toc214003099"/>
      <w:r w:rsidRPr="00920905">
        <w:rPr>
          <w:rFonts w:cstheme="minorHAnsi"/>
          <w:sz w:val="20"/>
          <w:szCs w:val="20"/>
        </w:rPr>
        <w:br w:type="page"/>
      </w:r>
    </w:p>
    <w:bookmarkEnd w:id="20"/>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5F06CBD" w14:textId="1A9C1325" w:rsidR="00635FC9" w:rsidRDefault="00157F9D" w:rsidP="00E477DF">
      <w:pPr>
        <w:pStyle w:val="ListParagraph"/>
        <w:numPr>
          <w:ilvl w:val="0"/>
          <w:numId w:val="45"/>
        </w:numPr>
        <w:rPr>
          <w:rFonts w:cstheme="minorHAnsi"/>
        </w:rPr>
      </w:pPr>
      <w:r>
        <w:rPr>
          <w:rFonts w:cstheme="minorHAnsi"/>
        </w:rPr>
        <w:t xml:space="preserve">SCE17LG020.0 A1 - </w:t>
      </w:r>
      <w:r w:rsidR="00635FC9">
        <w:rPr>
          <w:rFonts w:cstheme="minorHAnsi"/>
        </w:rPr>
        <w:t>Calculation Template</w:t>
      </w:r>
      <w:r>
        <w:rPr>
          <w:rFonts w:cstheme="minorHAnsi"/>
        </w:rPr>
        <w:t>_Final.xlsm</w:t>
      </w:r>
    </w:p>
    <w:p w14:paraId="2DDC0DF9" w14:textId="77777777" w:rsidR="00F20170" w:rsidRPr="002133BA" w:rsidRDefault="00F20170" w:rsidP="00F20170">
      <w:pPr>
        <w:pStyle w:val="ListParagraph"/>
        <w:rPr>
          <w:rFonts w:cstheme="minorHAnsi"/>
        </w:rPr>
      </w:pPr>
    </w:p>
    <w:p w14:paraId="5F4C7424" w14:textId="4CF8F04A" w:rsidR="00635FC9" w:rsidRDefault="00157F9D" w:rsidP="00E477DF">
      <w:pPr>
        <w:pStyle w:val="ListParagraph"/>
        <w:numPr>
          <w:ilvl w:val="0"/>
          <w:numId w:val="45"/>
        </w:numPr>
        <w:rPr>
          <w:rFonts w:cstheme="minorHAnsi"/>
        </w:rPr>
      </w:pPr>
      <w:r>
        <w:rPr>
          <w:rFonts w:cstheme="minorHAnsi"/>
        </w:rPr>
        <w:t>SCE17LG020.0 A2 – Costs.xlsm</w:t>
      </w:r>
    </w:p>
    <w:p w14:paraId="3480473E" w14:textId="05271C9B" w:rsidR="002133BA" w:rsidRPr="00E477DF" w:rsidRDefault="002133BA" w:rsidP="00635FC9">
      <w:pPr>
        <w:pStyle w:val="ListParagraph"/>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1AE991AE" w14:textId="284B16C6" w:rsidR="00E477DF" w:rsidRDefault="00157F9D" w:rsidP="00157F9D">
      <w:pPr>
        <w:pStyle w:val="ListParagraph"/>
        <w:numPr>
          <w:ilvl w:val="0"/>
          <w:numId w:val="47"/>
        </w:numPr>
      </w:pPr>
      <w:r w:rsidRPr="00F97342">
        <w:t>References_12122016_100741.xlsx</w:t>
      </w:r>
      <w:bookmarkStart w:id="21" w:name="_GoBack"/>
      <w:bookmarkEnd w:id="21"/>
    </w:p>
    <w:p w14:paraId="7CD0269E" w14:textId="77777777" w:rsidR="00204B7E" w:rsidRDefault="00204B7E"/>
    <w:p w14:paraId="3DDEEF70" w14:textId="4A80C64A" w:rsidR="00480E7B" w:rsidRPr="00E477DF" w:rsidRDefault="00E477DF">
      <w:r w:rsidRPr="00E477DF">
        <w:t>[</w:t>
      </w:r>
      <w:r w:rsidR="00006655">
        <w:t>26</w:t>
      </w:r>
      <w:r w:rsidRPr="00E477DF">
        <w:t>]</w:t>
      </w:r>
    </w:p>
    <w:p w14:paraId="5E7932AC" w14:textId="5665DD7E" w:rsidR="00E477DF" w:rsidRPr="00E477DF" w:rsidRDefault="00E477DF">
      <w:r w:rsidRPr="00E477DF">
        <w:t>[382]</w:t>
      </w:r>
    </w:p>
    <w:p w14:paraId="2D37F2AF" w14:textId="164BC608" w:rsidR="00E477DF" w:rsidRDefault="006D61C2">
      <w:r>
        <w:t>[493</w:t>
      </w:r>
      <w:r w:rsidR="00E477DF" w:rsidRPr="00E477DF">
        <w:t>]</w:t>
      </w:r>
    </w:p>
    <w:p w14:paraId="23E96083" w14:textId="4B283836" w:rsidR="00006655" w:rsidRPr="00E477DF" w:rsidRDefault="00006655">
      <w:r>
        <w:t>[496]</w:t>
      </w:r>
    </w:p>
    <w:sectPr w:rsidR="00006655" w:rsidRPr="00E477DF" w:rsidSect="00E87C8F">
      <w:footerReference w:type="default" r:id="rId1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41370" w14:textId="77777777" w:rsidR="001A3FC8" w:rsidRDefault="001A3FC8" w:rsidP="00447D6E">
      <w:r>
        <w:separator/>
      </w:r>
    </w:p>
    <w:p w14:paraId="042A77FF" w14:textId="77777777" w:rsidR="001A3FC8" w:rsidRDefault="001A3FC8"/>
  </w:endnote>
  <w:endnote w:type="continuationSeparator" w:id="0">
    <w:p w14:paraId="751F6874" w14:textId="77777777" w:rsidR="001A3FC8" w:rsidRDefault="001A3FC8" w:rsidP="00447D6E">
      <w:r>
        <w:continuationSeparator/>
      </w:r>
    </w:p>
    <w:p w14:paraId="50F713DD" w14:textId="77777777" w:rsidR="001A3FC8" w:rsidRDefault="001A3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415695A4" w:rsidR="001A3FC8" w:rsidRDefault="00157F9D" w:rsidP="00F571A6">
    <w:pPr>
      <w:pStyle w:val="Footer"/>
      <w:jc w:val="right"/>
      <w:rPr>
        <w:rFonts w:cstheme="minorHAnsi"/>
        <w:b/>
        <w:sz w:val="36"/>
        <w:szCs w:val="36"/>
      </w:rPr>
    </w:pPr>
    <w:sdt>
      <w:sdtPr>
        <w:rPr>
          <w:rFonts w:cstheme="minorHAnsi"/>
          <w:b/>
          <w:sz w:val="36"/>
          <w:szCs w:val="36"/>
        </w:rPr>
        <w:alias w:val="Date"/>
        <w:tag w:val=""/>
        <w:id w:val="1628277729"/>
        <w:placeholder>
          <w:docPart w:val="F35B0C5DED46403682E831B0B6DC2920"/>
        </w:placeholder>
        <w:dataBinding w:prefixMappings="xmlns:ns0='http://schemas.microsoft.com/office/2006/coverPageProps' " w:xpath="/ns0:CoverPageProperties[1]/ns0:PublishDate[1]" w:storeItemID="{55AF091B-3C7A-41E3-B477-F2FDAA23CFDA}"/>
        <w:date w:fullDate="2016-12-02T00:00:00Z">
          <w:dateFormat w:val="MMMM d, yyyy"/>
          <w:lid w:val="en-US"/>
          <w:storeMappedDataAs w:val="dateTime"/>
          <w:calendar w:val="gregorian"/>
        </w:date>
      </w:sdtPr>
      <w:sdtEndPr/>
      <w:sdtContent>
        <w:r w:rsidR="001A3FC8">
          <w:rPr>
            <w:rFonts w:cstheme="minorHAnsi"/>
            <w:b/>
            <w:sz w:val="36"/>
            <w:szCs w:val="36"/>
          </w:rPr>
          <w:t>December 2, 2016</w:t>
        </w:r>
      </w:sdtContent>
    </w:sdt>
  </w:p>
  <w:p w14:paraId="650DB54B" w14:textId="670C7D5C" w:rsidR="001A3FC8" w:rsidRPr="009500DC" w:rsidRDefault="001A3FC8"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E4F5D00" w:rsidR="001A3FC8" w:rsidRPr="009500DC" w:rsidRDefault="00157F9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1A3FC8">
          <w:rPr>
            <w:rFonts w:cstheme="minorHAnsi"/>
            <w:b/>
            <w:sz w:val="20"/>
            <w:szCs w:val="20"/>
          </w:rPr>
          <w:t>SCE17LG020</w:t>
        </w:r>
      </w:sdtContent>
    </w:sdt>
    <w:r w:rsidR="001A3FC8">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1A3FC8">
          <w:rPr>
            <w:rFonts w:cstheme="minorHAnsi"/>
            <w:b/>
            <w:sz w:val="20"/>
            <w:szCs w:val="20"/>
          </w:rPr>
          <w:t>Revision 0</w:t>
        </w:r>
      </w:sdtContent>
    </w:sdt>
    <w:r w:rsidR="001A3FC8" w:rsidRPr="009500DC">
      <w:rPr>
        <w:rFonts w:cstheme="minorHAnsi"/>
        <w:b/>
        <w:sz w:val="20"/>
        <w:szCs w:val="20"/>
      </w:rPr>
      <w:tab/>
    </w:r>
    <w:r w:rsidR="001A3FC8" w:rsidRPr="009500DC">
      <w:rPr>
        <w:rFonts w:cstheme="minorHAnsi"/>
        <w:b/>
        <w:sz w:val="20"/>
        <w:szCs w:val="20"/>
      </w:rPr>
      <w:fldChar w:fldCharType="begin"/>
    </w:r>
    <w:r w:rsidR="001A3FC8" w:rsidRPr="009500DC">
      <w:rPr>
        <w:rFonts w:cstheme="minorHAnsi"/>
        <w:b/>
        <w:sz w:val="20"/>
        <w:szCs w:val="20"/>
      </w:rPr>
      <w:instrText xml:space="preserve"> PAGE   \* MERGEFORMAT </w:instrText>
    </w:r>
    <w:r w:rsidR="001A3FC8" w:rsidRPr="009500DC">
      <w:rPr>
        <w:rFonts w:cstheme="minorHAnsi"/>
        <w:b/>
        <w:sz w:val="20"/>
        <w:szCs w:val="20"/>
      </w:rPr>
      <w:fldChar w:fldCharType="separate"/>
    </w:r>
    <w:r>
      <w:rPr>
        <w:rFonts w:cstheme="minorHAnsi"/>
        <w:b/>
        <w:noProof/>
        <w:sz w:val="20"/>
        <w:szCs w:val="20"/>
      </w:rPr>
      <w:t>12</w:t>
    </w:r>
    <w:r w:rsidR="001A3FC8" w:rsidRPr="009500DC">
      <w:rPr>
        <w:rFonts w:cstheme="minorHAnsi"/>
        <w:b/>
        <w:noProof/>
        <w:sz w:val="20"/>
        <w:szCs w:val="20"/>
      </w:rPr>
      <w:fldChar w:fldCharType="end"/>
    </w:r>
    <w:r w:rsidR="001A3FC8"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02T00:00:00Z">
          <w:dateFormat w:val="MMMM d, yyyy"/>
          <w:lid w:val="en-US"/>
          <w:storeMappedDataAs w:val="dateTime"/>
          <w:calendar w:val="gregorian"/>
        </w:date>
      </w:sdtPr>
      <w:sdtEndPr/>
      <w:sdtContent>
        <w:r w:rsidR="001A3FC8">
          <w:rPr>
            <w:rFonts w:cstheme="minorHAnsi"/>
            <w:b/>
            <w:sz w:val="20"/>
            <w:szCs w:val="20"/>
          </w:rPr>
          <w:t>December 2, 2016</w:t>
        </w:r>
      </w:sdtContent>
    </w:sdt>
  </w:p>
  <w:p w14:paraId="43C07EA5" w14:textId="544E4323" w:rsidR="001A3FC8" w:rsidRPr="009500DC" w:rsidRDefault="00157F9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1A3FC8">
          <w:rPr>
            <w:rFonts w:cstheme="minorHAnsi"/>
            <w:b/>
            <w:sz w:val="20"/>
            <w:szCs w:val="20"/>
          </w:rPr>
          <w:t>Southern California Edison</w:t>
        </w:r>
      </w:sdtContent>
    </w:sdt>
  </w:p>
  <w:p w14:paraId="4AC7586E" w14:textId="77777777" w:rsidR="001A3FC8" w:rsidRDefault="001A3FC8"/>
  <w:p w14:paraId="5C9861A8" w14:textId="77777777" w:rsidR="001A3FC8" w:rsidRDefault="001A3F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F143A" w14:textId="77777777" w:rsidR="001A3FC8" w:rsidRDefault="001A3FC8" w:rsidP="00447D6E">
      <w:r>
        <w:separator/>
      </w:r>
    </w:p>
    <w:p w14:paraId="20F7C4B9" w14:textId="77777777" w:rsidR="001A3FC8" w:rsidRDefault="001A3FC8"/>
  </w:footnote>
  <w:footnote w:type="continuationSeparator" w:id="0">
    <w:p w14:paraId="0396C5B0" w14:textId="77777777" w:rsidR="001A3FC8" w:rsidRDefault="001A3FC8" w:rsidP="00447D6E">
      <w:r>
        <w:continuationSeparator/>
      </w:r>
    </w:p>
    <w:p w14:paraId="4A2AB293" w14:textId="77777777" w:rsidR="001A3FC8" w:rsidRDefault="001A3F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F9464EA"/>
    <w:multiLevelType w:val="hybridMultilevel"/>
    <w:tmpl w:val="3E0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972F3"/>
    <w:multiLevelType w:val="hybridMultilevel"/>
    <w:tmpl w:val="3C281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B23939"/>
    <w:multiLevelType w:val="hybridMultilevel"/>
    <w:tmpl w:val="12467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AA477E"/>
    <w:multiLevelType w:val="hybridMultilevel"/>
    <w:tmpl w:val="EE84E6E6"/>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177A5E11"/>
    <w:multiLevelType w:val="hybridMultilevel"/>
    <w:tmpl w:val="D464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F80051"/>
    <w:multiLevelType w:val="hybridMultilevel"/>
    <w:tmpl w:val="D0746DA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4434B3"/>
    <w:multiLevelType w:val="hybridMultilevel"/>
    <w:tmpl w:val="F88A4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7572D4"/>
    <w:multiLevelType w:val="hybridMultilevel"/>
    <w:tmpl w:val="E3E2E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6D521F"/>
    <w:multiLevelType w:val="hybridMultilevel"/>
    <w:tmpl w:val="8B8E5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1E1E45"/>
    <w:multiLevelType w:val="hybridMultilevel"/>
    <w:tmpl w:val="0BF8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01619"/>
    <w:multiLevelType w:val="hybridMultilevel"/>
    <w:tmpl w:val="070EF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2810762"/>
    <w:multiLevelType w:val="hybridMultilevel"/>
    <w:tmpl w:val="E3C46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076DA4"/>
    <w:multiLevelType w:val="hybridMultilevel"/>
    <w:tmpl w:val="24C8506E"/>
    <w:lvl w:ilvl="0" w:tplc="F3D6F080">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2"/>
  </w:num>
  <w:num w:numId="7">
    <w:abstractNumId w:val="26"/>
  </w:num>
  <w:num w:numId="8">
    <w:abstractNumId w:val="22"/>
  </w:num>
  <w:num w:numId="9">
    <w:abstractNumId w:val="15"/>
  </w:num>
  <w:num w:numId="10">
    <w:abstractNumId w:val="10"/>
  </w:num>
  <w:num w:numId="11">
    <w:abstractNumId w:val="27"/>
  </w:num>
  <w:num w:numId="12">
    <w:abstractNumId w:val="20"/>
  </w:num>
  <w:num w:numId="13">
    <w:abstractNumId w:val="14"/>
  </w:num>
  <w:num w:numId="14">
    <w:abstractNumId w:val="42"/>
  </w:num>
  <w:num w:numId="15">
    <w:abstractNumId w:val="12"/>
  </w:num>
  <w:num w:numId="16">
    <w:abstractNumId w:val="16"/>
  </w:num>
  <w:num w:numId="17">
    <w:abstractNumId w:val="9"/>
  </w:num>
  <w:num w:numId="18">
    <w:abstractNumId w:val="0"/>
  </w:num>
  <w:num w:numId="19">
    <w:abstractNumId w:val="40"/>
  </w:num>
  <w:num w:numId="20">
    <w:abstractNumId w:val="6"/>
  </w:num>
  <w:num w:numId="21">
    <w:abstractNumId w:val="29"/>
  </w:num>
  <w:num w:numId="22">
    <w:abstractNumId w:val="30"/>
  </w:num>
  <w:num w:numId="23">
    <w:abstractNumId w:val="43"/>
  </w:num>
  <w:num w:numId="24">
    <w:abstractNumId w:val="35"/>
  </w:num>
  <w:num w:numId="25">
    <w:abstractNumId w:val="17"/>
  </w:num>
  <w:num w:numId="26">
    <w:abstractNumId w:val="19"/>
  </w:num>
  <w:num w:numId="27">
    <w:abstractNumId w:val="32"/>
  </w:num>
  <w:num w:numId="28">
    <w:abstractNumId w:val="18"/>
  </w:num>
  <w:num w:numId="29">
    <w:abstractNumId w:val="11"/>
  </w:num>
  <w:num w:numId="30">
    <w:abstractNumId w:val="1"/>
  </w:num>
  <w:num w:numId="31">
    <w:abstractNumId w:val="44"/>
  </w:num>
  <w:num w:numId="32">
    <w:abstractNumId w:val="28"/>
  </w:num>
  <w:num w:numId="33">
    <w:abstractNumId w:val="34"/>
  </w:num>
  <w:num w:numId="34">
    <w:abstractNumId w:val="13"/>
  </w:num>
  <w:num w:numId="35">
    <w:abstractNumId w:val="38"/>
  </w:num>
  <w:num w:numId="36">
    <w:abstractNumId w:val="4"/>
  </w:num>
  <w:num w:numId="37">
    <w:abstractNumId w:val="33"/>
  </w:num>
  <w:num w:numId="38">
    <w:abstractNumId w:val="8"/>
  </w:num>
  <w:num w:numId="39">
    <w:abstractNumId w:val="31"/>
  </w:num>
  <w:num w:numId="40">
    <w:abstractNumId w:val="5"/>
  </w:num>
  <w:num w:numId="41">
    <w:abstractNumId w:val="41"/>
  </w:num>
  <w:num w:numId="42">
    <w:abstractNumId w:val="24"/>
  </w:num>
  <w:num w:numId="43">
    <w:abstractNumId w:val="7"/>
  </w:num>
  <w:num w:numId="44">
    <w:abstractNumId w:val="3"/>
  </w:num>
  <w:num w:numId="45">
    <w:abstractNumId w:val="36"/>
  </w:num>
  <w:num w:numId="46">
    <w:abstractNumId w:val="37"/>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39F3"/>
    <w:rsid w:val="00005902"/>
    <w:rsid w:val="00006655"/>
    <w:rsid w:val="00006900"/>
    <w:rsid w:val="0001002B"/>
    <w:rsid w:val="00010806"/>
    <w:rsid w:val="00013581"/>
    <w:rsid w:val="00013F71"/>
    <w:rsid w:val="000173BF"/>
    <w:rsid w:val="00024252"/>
    <w:rsid w:val="000245B5"/>
    <w:rsid w:val="0002524D"/>
    <w:rsid w:val="00027183"/>
    <w:rsid w:val="000339FE"/>
    <w:rsid w:val="00033EA1"/>
    <w:rsid w:val="0003746D"/>
    <w:rsid w:val="0004020F"/>
    <w:rsid w:val="000406DB"/>
    <w:rsid w:val="000436CB"/>
    <w:rsid w:val="00052D15"/>
    <w:rsid w:val="00052E17"/>
    <w:rsid w:val="0005651E"/>
    <w:rsid w:val="00056947"/>
    <w:rsid w:val="00061A8E"/>
    <w:rsid w:val="00064729"/>
    <w:rsid w:val="00064CB3"/>
    <w:rsid w:val="00070BEE"/>
    <w:rsid w:val="00072040"/>
    <w:rsid w:val="00076DF4"/>
    <w:rsid w:val="00076F51"/>
    <w:rsid w:val="0008524C"/>
    <w:rsid w:val="00086F7F"/>
    <w:rsid w:val="0009074D"/>
    <w:rsid w:val="0009093A"/>
    <w:rsid w:val="0009592B"/>
    <w:rsid w:val="000968C6"/>
    <w:rsid w:val="000A63C9"/>
    <w:rsid w:val="000B3765"/>
    <w:rsid w:val="000B655B"/>
    <w:rsid w:val="000C0000"/>
    <w:rsid w:val="000C18CC"/>
    <w:rsid w:val="000C687D"/>
    <w:rsid w:val="000C7ED1"/>
    <w:rsid w:val="000D0306"/>
    <w:rsid w:val="000D3E2B"/>
    <w:rsid w:val="000D789A"/>
    <w:rsid w:val="000E498C"/>
    <w:rsid w:val="000E4B5F"/>
    <w:rsid w:val="000E706D"/>
    <w:rsid w:val="000F130A"/>
    <w:rsid w:val="000F4FD8"/>
    <w:rsid w:val="000F512F"/>
    <w:rsid w:val="00104C2F"/>
    <w:rsid w:val="00107242"/>
    <w:rsid w:val="00111CC5"/>
    <w:rsid w:val="00117D42"/>
    <w:rsid w:val="001206F7"/>
    <w:rsid w:val="001236C1"/>
    <w:rsid w:val="00133EE8"/>
    <w:rsid w:val="00140B30"/>
    <w:rsid w:val="00142D4C"/>
    <w:rsid w:val="00147155"/>
    <w:rsid w:val="00153CB3"/>
    <w:rsid w:val="00154C3B"/>
    <w:rsid w:val="00155CE0"/>
    <w:rsid w:val="00157F9D"/>
    <w:rsid w:val="00160158"/>
    <w:rsid w:val="00165357"/>
    <w:rsid w:val="00171893"/>
    <w:rsid w:val="001722B7"/>
    <w:rsid w:val="001727D9"/>
    <w:rsid w:val="00173AB3"/>
    <w:rsid w:val="00174BB4"/>
    <w:rsid w:val="00175D14"/>
    <w:rsid w:val="001811EE"/>
    <w:rsid w:val="00185AD4"/>
    <w:rsid w:val="001979AF"/>
    <w:rsid w:val="001A0EB4"/>
    <w:rsid w:val="001A1A86"/>
    <w:rsid w:val="001A3FC8"/>
    <w:rsid w:val="001A5F62"/>
    <w:rsid w:val="001B015E"/>
    <w:rsid w:val="001B17F2"/>
    <w:rsid w:val="001B2301"/>
    <w:rsid w:val="001B618B"/>
    <w:rsid w:val="001B6FAC"/>
    <w:rsid w:val="001C1338"/>
    <w:rsid w:val="001C35AA"/>
    <w:rsid w:val="001C4140"/>
    <w:rsid w:val="001C5A94"/>
    <w:rsid w:val="001D00E9"/>
    <w:rsid w:val="001D2317"/>
    <w:rsid w:val="001D3223"/>
    <w:rsid w:val="001D33EF"/>
    <w:rsid w:val="001D5AB3"/>
    <w:rsid w:val="001E0519"/>
    <w:rsid w:val="001E0829"/>
    <w:rsid w:val="001E1320"/>
    <w:rsid w:val="001E556A"/>
    <w:rsid w:val="001F05CE"/>
    <w:rsid w:val="001F1905"/>
    <w:rsid w:val="001F4A65"/>
    <w:rsid w:val="00204B7E"/>
    <w:rsid w:val="00204FC7"/>
    <w:rsid w:val="00205C45"/>
    <w:rsid w:val="0021035B"/>
    <w:rsid w:val="00211153"/>
    <w:rsid w:val="002133BA"/>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779B9"/>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593C"/>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2458"/>
    <w:rsid w:val="00393137"/>
    <w:rsid w:val="0039615F"/>
    <w:rsid w:val="00397406"/>
    <w:rsid w:val="003A3170"/>
    <w:rsid w:val="003A360E"/>
    <w:rsid w:val="003B37FF"/>
    <w:rsid w:val="003D17FF"/>
    <w:rsid w:val="003D2871"/>
    <w:rsid w:val="003D2981"/>
    <w:rsid w:val="003D5B83"/>
    <w:rsid w:val="003E2C84"/>
    <w:rsid w:val="003E6E47"/>
    <w:rsid w:val="003F0623"/>
    <w:rsid w:val="003F33DE"/>
    <w:rsid w:val="003F3A41"/>
    <w:rsid w:val="003F67E9"/>
    <w:rsid w:val="00401031"/>
    <w:rsid w:val="004023B7"/>
    <w:rsid w:val="004045A0"/>
    <w:rsid w:val="00406B30"/>
    <w:rsid w:val="00413CDB"/>
    <w:rsid w:val="004200FE"/>
    <w:rsid w:val="00421183"/>
    <w:rsid w:val="00421BA6"/>
    <w:rsid w:val="00421C17"/>
    <w:rsid w:val="00426CDE"/>
    <w:rsid w:val="00433EA1"/>
    <w:rsid w:val="0044146E"/>
    <w:rsid w:val="00441957"/>
    <w:rsid w:val="00443D32"/>
    <w:rsid w:val="00444912"/>
    <w:rsid w:val="004469DD"/>
    <w:rsid w:val="004476B2"/>
    <w:rsid w:val="00447CE5"/>
    <w:rsid w:val="00447D6E"/>
    <w:rsid w:val="0045048F"/>
    <w:rsid w:val="00450C32"/>
    <w:rsid w:val="0045181B"/>
    <w:rsid w:val="00452133"/>
    <w:rsid w:val="00452C7A"/>
    <w:rsid w:val="00456B53"/>
    <w:rsid w:val="0046286E"/>
    <w:rsid w:val="004673A2"/>
    <w:rsid w:val="00471234"/>
    <w:rsid w:val="00472250"/>
    <w:rsid w:val="0047437C"/>
    <w:rsid w:val="00477522"/>
    <w:rsid w:val="00480E7B"/>
    <w:rsid w:val="00481DA4"/>
    <w:rsid w:val="004843E5"/>
    <w:rsid w:val="00484BF6"/>
    <w:rsid w:val="0049052C"/>
    <w:rsid w:val="00493457"/>
    <w:rsid w:val="00494628"/>
    <w:rsid w:val="0049566B"/>
    <w:rsid w:val="00497338"/>
    <w:rsid w:val="004A1650"/>
    <w:rsid w:val="004A2E55"/>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0F74"/>
    <w:rsid w:val="00523597"/>
    <w:rsid w:val="00523736"/>
    <w:rsid w:val="00532530"/>
    <w:rsid w:val="00535CA4"/>
    <w:rsid w:val="00543460"/>
    <w:rsid w:val="005440F9"/>
    <w:rsid w:val="005476F6"/>
    <w:rsid w:val="00551D72"/>
    <w:rsid w:val="005540B6"/>
    <w:rsid w:val="0055475F"/>
    <w:rsid w:val="005552C3"/>
    <w:rsid w:val="00560934"/>
    <w:rsid w:val="00563489"/>
    <w:rsid w:val="00563E58"/>
    <w:rsid w:val="00564960"/>
    <w:rsid w:val="005704D0"/>
    <w:rsid w:val="00570654"/>
    <w:rsid w:val="00570F38"/>
    <w:rsid w:val="005720F2"/>
    <w:rsid w:val="005729C8"/>
    <w:rsid w:val="00572D2F"/>
    <w:rsid w:val="005734A4"/>
    <w:rsid w:val="00575AD1"/>
    <w:rsid w:val="005922F6"/>
    <w:rsid w:val="00594EF5"/>
    <w:rsid w:val="005A0E53"/>
    <w:rsid w:val="005A1078"/>
    <w:rsid w:val="005A4658"/>
    <w:rsid w:val="005A496B"/>
    <w:rsid w:val="005B28C1"/>
    <w:rsid w:val="005B6344"/>
    <w:rsid w:val="005C115D"/>
    <w:rsid w:val="005C1C74"/>
    <w:rsid w:val="005C2E48"/>
    <w:rsid w:val="005C3F23"/>
    <w:rsid w:val="005C5B06"/>
    <w:rsid w:val="005C64DB"/>
    <w:rsid w:val="005D4DD7"/>
    <w:rsid w:val="005E12A9"/>
    <w:rsid w:val="005F139E"/>
    <w:rsid w:val="005F69D5"/>
    <w:rsid w:val="00602799"/>
    <w:rsid w:val="00602F18"/>
    <w:rsid w:val="00607C30"/>
    <w:rsid w:val="006110F3"/>
    <w:rsid w:val="00612041"/>
    <w:rsid w:val="00614AFF"/>
    <w:rsid w:val="00621ABA"/>
    <w:rsid w:val="0062322A"/>
    <w:rsid w:val="00631157"/>
    <w:rsid w:val="00635FC9"/>
    <w:rsid w:val="006404E6"/>
    <w:rsid w:val="0064680F"/>
    <w:rsid w:val="0064729D"/>
    <w:rsid w:val="00647ABE"/>
    <w:rsid w:val="00650BD5"/>
    <w:rsid w:val="006516BA"/>
    <w:rsid w:val="00652DF0"/>
    <w:rsid w:val="00653FD6"/>
    <w:rsid w:val="00662F46"/>
    <w:rsid w:val="00664B05"/>
    <w:rsid w:val="00665C04"/>
    <w:rsid w:val="0066682D"/>
    <w:rsid w:val="006746FE"/>
    <w:rsid w:val="00676E9F"/>
    <w:rsid w:val="00680934"/>
    <w:rsid w:val="00685D5C"/>
    <w:rsid w:val="006911AC"/>
    <w:rsid w:val="0069264D"/>
    <w:rsid w:val="0069578B"/>
    <w:rsid w:val="00697868"/>
    <w:rsid w:val="006A055F"/>
    <w:rsid w:val="006A126F"/>
    <w:rsid w:val="006A14E9"/>
    <w:rsid w:val="006A2A65"/>
    <w:rsid w:val="006A5293"/>
    <w:rsid w:val="006A67E4"/>
    <w:rsid w:val="006A6D15"/>
    <w:rsid w:val="006B0DF3"/>
    <w:rsid w:val="006B0F11"/>
    <w:rsid w:val="006B27FA"/>
    <w:rsid w:val="006B48C3"/>
    <w:rsid w:val="006B4A48"/>
    <w:rsid w:val="006C2C55"/>
    <w:rsid w:val="006C430A"/>
    <w:rsid w:val="006D2809"/>
    <w:rsid w:val="006D61C2"/>
    <w:rsid w:val="006D794F"/>
    <w:rsid w:val="006E27A3"/>
    <w:rsid w:val="006E3342"/>
    <w:rsid w:val="006E4B12"/>
    <w:rsid w:val="006E65D0"/>
    <w:rsid w:val="006F1B21"/>
    <w:rsid w:val="006F21E8"/>
    <w:rsid w:val="006F78D5"/>
    <w:rsid w:val="0070091B"/>
    <w:rsid w:val="007048AC"/>
    <w:rsid w:val="00717ADB"/>
    <w:rsid w:val="00726338"/>
    <w:rsid w:val="00726AD5"/>
    <w:rsid w:val="00726D74"/>
    <w:rsid w:val="00733C7D"/>
    <w:rsid w:val="00740761"/>
    <w:rsid w:val="00745F77"/>
    <w:rsid w:val="007464DE"/>
    <w:rsid w:val="007529EA"/>
    <w:rsid w:val="00752E55"/>
    <w:rsid w:val="00755A45"/>
    <w:rsid w:val="00760CDC"/>
    <w:rsid w:val="00764D0D"/>
    <w:rsid w:val="0077025C"/>
    <w:rsid w:val="00777C53"/>
    <w:rsid w:val="00786E92"/>
    <w:rsid w:val="00791519"/>
    <w:rsid w:val="007933F1"/>
    <w:rsid w:val="007A499B"/>
    <w:rsid w:val="007A5F52"/>
    <w:rsid w:val="007B090A"/>
    <w:rsid w:val="007B2010"/>
    <w:rsid w:val="007E287B"/>
    <w:rsid w:val="007E43F8"/>
    <w:rsid w:val="007E5076"/>
    <w:rsid w:val="007E656B"/>
    <w:rsid w:val="007F2997"/>
    <w:rsid w:val="007F50E8"/>
    <w:rsid w:val="007F54E2"/>
    <w:rsid w:val="007F7FBA"/>
    <w:rsid w:val="00800319"/>
    <w:rsid w:val="0080044E"/>
    <w:rsid w:val="00800706"/>
    <w:rsid w:val="0080189A"/>
    <w:rsid w:val="00801F7F"/>
    <w:rsid w:val="008023A5"/>
    <w:rsid w:val="00803C2B"/>
    <w:rsid w:val="00810923"/>
    <w:rsid w:val="00811945"/>
    <w:rsid w:val="00821E37"/>
    <w:rsid w:val="00824F1C"/>
    <w:rsid w:val="00826688"/>
    <w:rsid w:val="00827EF2"/>
    <w:rsid w:val="0083369B"/>
    <w:rsid w:val="00835D38"/>
    <w:rsid w:val="00843763"/>
    <w:rsid w:val="00847A4E"/>
    <w:rsid w:val="00855253"/>
    <w:rsid w:val="00862A68"/>
    <w:rsid w:val="00866C18"/>
    <w:rsid w:val="00871D79"/>
    <w:rsid w:val="0087393E"/>
    <w:rsid w:val="00881A42"/>
    <w:rsid w:val="00882386"/>
    <w:rsid w:val="0088361D"/>
    <w:rsid w:val="00885E0A"/>
    <w:rsid w:val="0088603B"/>
    <w:rsid w:val="00886A85"/>
    <w:rsid w:val="008877AF"/>
    <w:rsid w:val="00890F65"/>
    <w:rsid w:val="00893FC3"/>
    <w:rsid w:val="0089577B"/>
    <w:rsid w:val="008A2B21"/>
    <w:rsid w:val="008B1024"/>
    <w:rsid w:val="008B1357"/>
    <w:rsid w:val="008B2DF3"/>
    <w:rsid w:val="008B3AC1"/>
    <w:rsid w:val="008B5CD4"/>
    <w:rsid w:val="008C2E0E"/>
    <w:rsid w:val="008C4DE0"/>
    <w:rsid w:val="008D3930"/>
    <w:rsid w:val="008D3B8E"/>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5392E"/>
    <w:rsid w:val="00972C81"/>
    <w:rsid w:val="009812BA"/>
    <w:rsid w:val="009824E9"/>
    <w:rsid w:val="009826E5"/>
    <w:rsid w:val="009844A1"/>
    <w:rsid w:val="00986E20"/>
    <w:rsid w:val="00987D20"/>
    <w:rsid w:val="00995479"/>
    <w:rsid w:val="00995CB0"/>
    <w:rsid w:val="00997E77"/>
    <w:rsid w:val="009A137A"/>
    <w:rsid w:val="009A2734"/>
    <w:rsid w:val="009B2A02"/>
    <w:rsid w:val="009B2B61"/>
    <w:rsid w:val="009B5B7B"/>
    <w:rsid w:val="009C1777"/>
    <w:rsid w:val="009C2C86"/>
    <w:rsid w:val="009C6FE0"/>
    <w:rsid w:val="009D0753"/>
    <w:rsid w:val="009D10A4"/>
    <w:rsid w:val="009D5131"/>
    <w:rsid w:val="009D6F71"/>
    <w:rsid w:val="009E178D"/>
    <w:rsid w:val="009E1802"/>
    <w:rsid w:val="009E1CDE"/>
    <w:rsid w:val="009E1D64"/>
    <w:rsid w:val="009E2B06"/>
    <w:rsid w:val="009E3829"/>
    <w:rsid w:val="009E51E2"/>
    <w:rsid w:val="009F0683"/>
    <w:rsid w:val="009F7A61"/>
    <w:rsid w:val="00A015B9"/>
    <w:rsid w:val="00A03D17"/>
    <w:rsid w:val="00A10A35"/>
    <w:rsid w:val="00A11800"/>
    <w:rsid w:val="00A11C16"/>
    <w:rsid w:val="00A1423E"/>
    <w:rsid w:val="00A15BB9"/>
    <w:rsid w:val="00A17664"/>
    <w:rsid w:val="00A20FAF"/>
    <w:rsid w:val="00A24520"/>
    <w:rsid w:val="00A3164A"/>
    <w:rsid w:val="00A3471A"/>
    <w:rsid w:val="00A37F42"/>
    <w:rsid w:val="00A4411F"/>
    <w:rsid w:val="00A500D6"/>
    <w:rsid w:val="00A523FF"/>
    <w:rsid w:val="00A52F78"/>
    <w:rsid w:val="00A54756"/>
    <w:rsid w:val="00A54C66"/>
    <w:rsid w:val="00A57D36"/>
    <w:rsid w:val="00A61BB6"/>
    <w:rsid w:val="00A65734"/>
    <w:rsid w:val="00A6687F"/>
    <w:rsid w:val="00A67907"/>
    <w:rsid w:val="00A73CC1"/>
    <w:rsid w:val="00A80270"/>
    <w:rsid w:val="00A821A0"/>
    <w:rsid w:val="00A82DB1"/>
    <w:rsid w:val="00A8363E"/>
    <w:rsid w:val="00A84127"/>
    <w:rsid w:val="00A84BF9"/>
    <w:rsid w:val="00A86C0F"/>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0835"/>
    <w:rsid w:val="00B053FB"/>
    <w:rsid w:val="00B05647"/>
    <w:rsid w:val="00B07EE5"/>
    <w:rsid w:val="00B10285"/>
    <w:rsid w:val="00B21CC5"/>
    <w:rsid w:val="00B2402F"/>
    <w:rsid w:val="00B26778"/>
    <w:rsid w:val="00B26B83"/>
    <w:rsid w:val="00B32479"/>
    <w:rsid w:val="00B33FE2"/>
    <w:rsid w:val="00B403ED"/>
    <w:rsid w:val="00B4065F"/>
    <w:rsid w:val="00B45091"/>
    <w:rsid w:val="00B45447"/>
    <w:rsid w:val="00B45864"/>
    <w:rsid w:val="00B614F1"/>
    <w:rsid w:val="00B866B4"/>
    <w:rsid w:val="00B94226"/>
    <w:rsid w:val="00B966EF"/>
    <w:rsid w:val="00BA0A8C"/>
    <w:rsid w:val="00BA0CEB"/>
    <w:rsid w:val="00BA2383"/>
    <w:rsid w:val="00BA2E7E"/>
    <w:rsid w:val="00BA590A"/>
    <w:rsid w:val="00BA5FE4"/>
    <w:rsid w:val="00BB0B39"/>
    <w:rsid w:val="00BB13EC"/>
    <w:rsid w:val="00BB30D1"/>
    <w:rsid w:val="00BB39D8"/>
    <w:rsid w:val="00BB5F75"/>
    <w:rsid w:val="00BC5A33"/>
    <w:rsid w:val="00BC6524"/>
    <w:rsid w:val="00BD3931"/>
    <w:rsid w:val="00BD5B88"/>
    <w:rsid w:val="00BD5F58"/>
    <w:rsid w:val="00BE0AEB"/>
    <w:rsid w:val="00C018E0"/>
    <w:rsid w:val="00C019E6"/>
    <w:rsid w:val="00C02A89"/>
    <w:rsid w:val="00C05AAF"/>
    <w:rsid w:val="00C06D6C"/>
    <w:rsid w:val="00C118C7"/>
    <w:rsid w:val="00C12094"/>
    <w:rsid w:val="00C20877"/>
    <w:rsid w:val="00C20E7B"/>
    <w:rsid w:val="00C21456"/>
    <w:rsid w:val="00C22F34"/>
    <w:rsid w:val="00C24D03"/>
    <w:rsid w:val="00C25E61"/>
    <w:rsid w:val="00C35A1B"/>
    <w:rsid w:val="00C413F3"/>
    <w:rsid w:val="00C43648"/>
    <w:rsid w:val="00C46D9C"/>
    <w:rsid w:val="00C51D5D"/>
    <w:rsid w:val="00C54EFF"/>
    <w:rsid w:val="00C55D03"/>
    <w:rsid w:val="00C57DFA"/>
    <w:rsid w:val="00C57FFB"/>
    <w:rsid w:val="00C61E92"/>
    <w:rsid w:val="00C63548"/>
    <w:rsid w:val="00C63F96"/>
    <w:rsid w:val="00C65450"/>
    <w:rsid w:val="00C677AF"/>
    <w:rsid w:val="00C67E59"/>
    <w:rsid w:val="00C72B8B"/>
    <w:rsid w:val="00C72CB5"/>
    <w:rsid w:val="00C75336"/>
    <w:rsid w:val="00C76D4F"/>
    <w:rsid w:val="00C77706"/>
    <w:rsid w:val="00C805BC"/>
    <w:rsid w:val="00C959CA"/>
    <w:rsid w:val="00C95D16"/>
    <w:rsid w:val="00CA2AB4"/>
    <w:rsid w:val="00CA5201"/>
    <w:rsid w:val="00CB0100"/>
    <w:rsid w:val="00CB04D2"/>
    <w:rsid w:val="00CD7EFE"/>
    <w:rsid w:val="00CE0C66"/>
    <w:rsid w:val="00CE28CF"/>
    <w:rsid w:val="00CE4386"/>
    <w:rsid w:val="00CE4CDC"/>
    <w:rsid w:val="00CE5BEB"/>
    <w:rsid w:val="00CE69E9"/>
    <w:rsid w:val="00CE71F2"/>
    <w:rsid w:val="00CF3F65"/>
    <w:rsid w:val="00CF464D"/>
    <w:rsid w:val="00CF7569"/>
    <w:rsid w:val="00D0173C"/>
    <w:rsid w:val="00D018F5"/>
    <w:rsid w:val="00D17EF4"/>
    <w:rsid w:val="00D228B7"/>
    <w:rsid w:val="00D23770"/>
    <w:rsid w:val="00D25074"/>
    <w:rsid w:val="00D34517"/>
    <w:rsid w:val="00D36798"/>
    <w:rsid w:val="00D47E80"/>
    <w:rsid w:val="00D5571C"/>
    <w:rsid w:val="00D70563"/>
    <w:rsid w:val="00D70D89"/>
    <w:rsid w:val="00D72051"/>
    <w:rsid w:val="00D7380B"/>
    <w:rsid w:val="00D75D77"/>
    <w:rsid w:val="00D7639E"/>
    <w:rsid w:val="00D80914"/>
    <w:rsid w:val="00D835EF"/>
    <w:rsid w:val="00D85F09"/>
    <w:rsid w:val="00D86A9D"/>
    <w:rsid w:val="00DA0469"/>
    <w:rsid w:val="00DA089A"/>
    <w:rsid w:val="00DA11A0"/>
    <w:rsid w:val="00DA2822"/>
    <w:rsid w:val="00DA690B"/>
    <w:rsid w:val="00DA7225"/>
    <w:rsid w:val="00DB44E9"/>
    <w:rsid w:val="00DC1966"/>
    <w:rsid w:val="00DC3259"/>
    <w:rsid w:val="00DD0523"/>
    <w:rsid w:val="00DD080B"/>
    <w:rsid w:val="00DE5758"/>
    <w:rsid w:val="00DE5FCF"/>
    <w:rsid w:val="00DF0D19"/>
    <w:rsid w:val="00DF2EE9"/>
    <w:rsid w:val="00DF6FD8"/>
    <w:rsid w:val="00E01BE2"/>
    <w:rsid w:val="00E05A80"/>
    <w:rsid w:val="00E06A37"/>
    <w:rsid w:val="00E071A5"/>
    <w:rsid w:val="00E07752"/>
    <w:rsid w:val="00E1289F"/>
    <w:rsid w:val="00E16609"/>
    <w:rsid w:val="00E16F08"/>
    <w:rsid w:val="00E233F3"/>
    <w:rsid w:val="00E26497"/>
    <w:rsid w:val="00E26B34"/>
    <w:rsid w:val="00E314BA"/>
    <w:rsid w:val="00E325BE"/>
    <w:rsid w:val="00E326BA"/>
    <w:rsid w:val="00E34202"/>
    <w:rsid w:val="00E37F72"/>
    <w:rsid w:val="00E40BE5"/>
    <w:rsid w:val="00E40CF9"/>
    <w:rsid w:val="00E42A30"/>
    <w:rsid w:val="00E477DF"/>
    <w:rsid w:val="00E51777"/>
    <w:rsid w:val="00E5625D"/>
    <w:rsid w:val="00E57D64"/>
    <w:rsid w:val="00E648BB"/>
    <w:rsid w:val="00E65609"/>
    <w:rsid w:val="00E67ACA"/>
    <w:rsid w:val="00E76B31"/>
    <w:rsid w:val="00E8010D"/>
    <w:rsid w:val="00E81F3E"/>
    <w:rsid w:val="00E82A66"/>
    <w:rsid w:val="00E844BB"/>
    <w:rsid w:val="00E84834"/>
    <w:rsid w:val="00E84C48"/>
    <w:rsid w:val="00E859BD"/>
    <w:rsid w:val="00E86B70"/>
    <w:rsid w:val="00E87C8F"/>
    <w:rsid w:val="00E924C3"/>
    <w:rsid w:val="00E9444D"/>
    <w:rsid w:val="00E954EE"/>
    <w:rsid w:val="00E960DA"/>
    <w:rsid w:val="00E96759"/>
    <w:rsid w:val="00EA4437"/>
    <w:rsid w:val="00EA4D87"/>
    <w:rsid w:val="00EB34FC"/>
    <w:rsid w:val="00EB76E1"/>
    <w:rsid w:val="00EC2499"/>
    <w:rsid w:val="00EC651F"/>
    <w:rsid w:val="00EE2551"/>
    <w:rsid w:val="00EE29DF"/>
    <w:rsid w:val="00EE4120"/>
    <w:rsid w:val="00EF2E8A"/>
    <w:rsid w:val="00EF4E6B"/>
    <w:rsid w:val="00EF5416"/>
    <w:rsid w:val="00F04522"/>
    <w:rsid w:val="00F06CCF"/>
    <w:rsid w:val="00F1053D"/>
    <w:rsid w:val="00F110D5"/>
    <w:rsid w:val="00F117E6"/>
    <w:rsid w:val="00F11E63"/>
    <w:rsid w:val="00F12733"/>
    <w:rsid w:val="00F171E1"/>
    <w:rsid w:val="00F20170"/>
    <w:rsid w:val="00F20DCF"/>
    <w:rsid w:val="00F25B36"/>
    <w:rsid w:val="00F27733"/>
    <w:rsid w:val="00F3052A"/>
    <w:rsid w:val="00F341E3"/>
    <w:rsid w:val="00F35D09"/>
    <w:rsid w:val="00F36D16"/>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75079"/>
    <w:rsid w:val="00F810DD"/>
    <w:rsid w:val="00F95E2F"/>
    <w:rsid w:val="00F96551"/>
    <w:rsid w:val="00F96DEB"/>
    <w:rsid w:val="00FA1872"/>
    <w:rsid w:val="00FA4F34"/>
    <w:rsid w:val="00FA5DF9"/>
    <w:rsid w:val="00FB2590"/>
    <w:rsid w:val="00FB5113"/>
    <w:rsid w:val="00FC105A"/>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77E0EA"/>
  <w15:docId w15:val="{51D0E6D2-0CE9-4686-95AD-1E7F5B19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BasicText">
    <w:name w:val="Basic Text"/>
    <w:basedOn w:val="Normal"/>
    <w:rsid w:val="004A2E55"/>
    <w:pPr>
      <w:spacing w:before="40" w:after="40"/>
      <w:ind w:left="720"/>
    </w:pPr>
    <w:rPr>
      <w:rFonts w:ascii="Times New Roman" w:hAnsi="Times New Roman"/>
      <w:color w:val="000000"/>
      <w:sz w:val="24"/>
      <w:szCs w:val="20"/>
    </w:rPr>
  </w:style>
  <w:style w:type="character" w:customStyle="1" w:styleId="fontstyle01">
    <w:name w:val="fontstyle01"/>
    <w:basedOn w:val="DefaultParagraphFont"/>
    <w:rsid w:val="002779B9"/>
    <w:rPr>
      <w:rFonts w:ascii="TimesNewRomanPS-BoldMT" w:hAnsi="TimesNewRomanPS-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96801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9564393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249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1AB5"/>
    <w:rsid w:val="00146151"/>
    <w:rsid w:val="00204A7F"/>
    <w:rsid w:val="00265C90"/>
    <w:rsid w:val="002B514B"/>
    <w:rsid w:val="002C0C03"/>
    <w:rsid w:val="002C315F"/>
    <w:rsid w:val="00311B0D"/>
    <w:rsid w:val="003670A6"/>
    <w:rsid w:val="00374AC9"/>
    <w:rsid w:val="003A131F"/>
    <w:rsid w:val="003F03B2"/>
    <w:rsid w:val="00404836"/>
    <w:rsid w:val="0044503D"/>
    <w:rsid w:val="00560392"/>
    <w:rsid w:val="006B7FA8"/>
    <w:rsid w:val="008211B5"/>
    <w:rsid w:val="00874653"/>
    <w:rsid w:val="00A263CC"/>
    <w:rsid w:val="00A5022A"/>
    <w:rsid w:val="00A526BF"/>
    <w:rsid w:val="00A826C4"/>
    <w:rsid w:val="00A87254"/>
    <w:rsid w:val="00AC5851"/>
    <w:rsid w:val="00AE4C28"/>
    <w:rsid w:val="00AF2C4B"/>
    <w:rsid w:val="00B45498"/>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72A683-0E44-44E3-8890-BA0A9152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2211</Words>
  <Characters>12607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SCE17LG020</vt:lpstr>
    </vt:vector>
  </TitlesOfParts>
  <Company>Southern California Edison</Company>
  <LinksUpToDate>false</LinksUpToDate>
  <CharactersWithSpaces>14789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SCE17LG020</dc:title>
  <dc:creator>Jim Wyatt (PG&amp;E);Jason Wang (SCE)</dc:creator>
  <cp:lastModifiedBy>Scott Mitchell</cp:lastModifiedBy>
  <cp:revision>5</cp:revision>
  <cp:lastPrinted>2016-11-28T23:07:00Z</cp:lastPrinted>
  <dcterms:created xsi:type="dcterms:W3CDTF">2016-12-16T21:27:00Z</dcterms:created>
  <dcterms:modified xsi:type="dcterms:W3CDTF">2016-12-30T19:04:00Z</dcterms:modified>
  <cp:contentStatus>Revision 0</cp:contentStatus>
</cp:coreProperties>
</file>