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7B9465B7"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1A0B85">
            <w:t>SCE17HC061</w:t>
          </w:r>
        </w:sdtContent>
      </w:sdt>
    </w:p>
    <w:bookmarkEnd w:id="0"/>
    <w:p w14:paraId="7601CE2F" w14:textId="1CDD13D6" w:rsidR="00DA690B" w:rsidRPr="00500C4E" w:rsidRDefault="00C977A7"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1A0B85" w:rsidRPr="00500C4E">
            <w:rPr>
              <w:rStyle w:val="CaptionChar"/>
              <w:rFonts w:asciiTheme="minorHAnsi" w:hAnsiTheme="minorHAnsi" w:cstheme="minorHAnsi"/>
              <w:b/>
              <w:bCs w:val="0"/>
              <w:sz w:val="48"/>
              <w:szCs w:val="48"/>
            </w:rPr>
            <w:t xml:space="preserve">Revision </w:t>
          </w:r>
          <w:r w:rsidR="001A0B85">
            <w:rPr>
              <w:rStyle w:val="CaptionChar"/>
              <w:rFonts w:asciiTheme="minorHAnsi" w:hAnsiTheme="minorHAnsi" w:cstheme="minorHAnsi"/>
              <w:b/>
              <w:bCs w:val="0"/>
              <w:sz w:val="48"/>
              <w:szCs w:val="48"/>
            </w:rPr>
            <w:t>1</w:t>
          </w:r>
        </w:sdtContent>
      </w:sdt>
    </w:p>
    <w:p w14:paraId="3E4FD8A9" w14:textId="4CB4D611" w:rsidR="00285A0D" w:rsidRPr="00500C4E" w:rsidRDefault="00F30167" w:rsidP="00DE5758">
      <w:pPr>
        <w:jc w:val="right"/>
        <w:rPr>
          <w:rFonts w:cstheme="minorHAnsi"/>
          <w:b/>
          <w:sz w:val="48"/>
          <w:szCs w:val="48"/>
        </w:rPr>
      </w:pPr>
      <w:r>
        <w:rPr>
          <w:rFonts w:cstheme="minorHAnsi"/>
          <w:b/>
          <w:sz w:val="48"/>
          <w:szCs w:val="48"/>
        </w:rPr>
        <w:t>Short Form</w:t>
      </w:r>
    </w:p>
    <w:bookmarkStart w:id="2" w:name="SCE"/>
    <w:p w14:paraId="1837A157" w14:textId="79948BB8" w:rsidR="00DA690B" w:rsidRPr="00500C4E" w:rsidRDefault="00C977A7"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642493F6" w:rsidR="00DA690B" w:rsidRPr="00500C4E" w:rsidRDefault="000C7C93" w:rsidP="00DA690B">
      <w:pPr>
        <w:rPr>
          <w:rFonts w:cstheme="minorHAnsi"/>
          <w:b/>
          <w:sz w:val="72"/>
          <w:szCs w:val="72"/>
        </w:rPr>
      </w:pPr>
      <w:r>
        <w:rPr>
          <w:rFonts w:cstheme="minorHAnsi"/>
          <w:b/>
          <w:sz w:val="72"/>
          <w:szCs w:val="72"/>
        </w:rPr>
        <w:t>Demand Controlled Ventilation for Single Zone Packaged HVAC</w:t>
      </w:r>
    </w:p>
    <w:p w14:paraId="29CC4055" w14:textId="77777777" w:rsidR="00E76B31" w:rsidRPr="00500C4E" w:rsidRDefault="00E76B31" w:rsidP="00E76B31">
      <w:pPr>
        <w:pStyle w:val="Reminders"/>
        <w:rPr>
          <w:rFonts w:asciiTheme="minorHAnsi" w:hAnsiTheme="minorHAnsi" w:cstheme="minorHAnsi"/>
          <w:i w:val="0"/>
          <w:szCs w:val="22"/>
        </w:rPr>
      </w:pPr>
    </w:p>
    <w:p w14:paraId="60C5441A" w14:textId="0AD285A5" w:rsidR="00F30167" w:rsidRDefault="00F30167">
      <w:pPr>
        <w:spacing w:after="200" w:line="276" w:lineRule="auto"/>
        <w:rPr>
          <w:rFonts w:cstheme="minorHAnsi"/>
          <w:b/>
          <w:color w:val="FF0000"/>
          <w:sz w:val="32"/>
          <w:szCs w:val="22"/>
        </w:rPr>
      </w:pPr>
      <w:r>
        <w:rPr>
          <w:rFonts w:cstheme="minorHAnsi"/>
          <w:b/>
          <w:i/>
          <w:sz w:val="32"/>
          <w:szCs w:val="22"/>
        </w:rPr>
        <w:br w:type="page"/>
      </w:r>
    </w:p>
    <w:p w14:paraId="495DC982" w14:textId="260D6AA2" w:rsidR="00F30167" w:rsidRDefault="00F30167" w:rsidP="00F30167">
      <w:pPr>
        <w:pStyle w:val="Reminders"/>
        <w:rPr>
          <w:rFonts w:asciiTheme="minorHAnsi" w:hAnsiTheme="minorHAnsi" w:cstheme="minorHAnsi"/>
          <w:b/>
          <w:i w:val="0"/>
          <w:color w:val="auto"/>
          <w:sz w:val="28"/>
          <w:szCs w:val="22"/>
        </w:rPr>
      </w:pPr>
      <w:r>
        <w:rPr>
          <w:rFonts w:asciiTheme="minorHAnsi" w:hAnsiTheme="minorHAnsi" w:cstheme="minorHAnsi"/>
          <w:b/>
          <w:i w:val="0"/>
          <w:color w:val="auto"/>
          <w:sz w:val="28"/>
          <w:szCs w:val="22"/>
        </w:rPr>
        <w:lastRenderedPageBreak/>
        <w:t>Introduction</w:t>
      </w:r>
    </w:p>
    <w:p w14:paraId="36DF0D49" w14:textId="725D5DDC" w:rsidR="00F30167" w:rsidRDefault="00F30167" w:rsidP="00F30167">
      <w:pPr>
        <w:pStyle w:val="Reminders"/>
        <w:rPr>
          <w:rFonts w:asciiTheme="minorHAnsi" w:hAnsiTheme="minorHAnsi" w:cstheme="minorHAnsi"/>
          <w:i w:val="0"/>
          <w:color w:val="auto"/>
          <w:sz w:val="24"/>
          <w:szCs w:val="22"/>
        </w:rPr>
      </w:pPr>
      <w:r w:rsidRPr="00C977A7">
        <w:rPr>
          <w:rFonts w:asciiTheme="minorHAnsi" w:hAnsiTheme="minorHAnsi" w:cstheme="minorHAnsi"/>
          <w:i w:val="0"/>
          <w:color w:val="auto"/>
          <w:sz w:val="24"/>
          <w:szCs w:val="22"/>
        </w:rPr>
        <w:t>This short form workpaper documents (WP) the values adopted from PGE’s WP entitled “</w:t>
      </w:r>
      <w:r w:rsidR="000C7C93" w:rsidRPr="00C977A7">
        <w:rPr>
          <w:rFonts w:asciiTheme="minorHAnsi" w:hAnsiTheme="minorHAnsi" w:cstheme="minorHAnsi"/>
          <w:i w:val="0"/>
          <w:color w:val="auto"/>
          <w:sz w:val="24"/>
          <w:szCs w:val="22"/>
        </w:rPr>
        <w:t>Demand Controlled Ventilation for Single Zone Packaged HVAC” (PGECOHV</w:t>
      </w:r>
      <w:r w:rsidR="007D1F22" w:rsidRPr="00C977A7">
        <w:rPr>
          <w:rFonts w:asciiTheme="minorHAnsi" w:hAnsiTheme="minorHAnsi" w:cstheme="minorHAnsi"/>
          <w:i w:val="0"/>
          <w:color w:val="auto"/>
          <w:sz w:val="24"/>
          <w:szCs w:val="22"/>
        </w:rPr>
        <w:t>C</w:t>
      </w:r>
      <w:r w:rsidR="000C7C93" w:rsidRPr="00C977A7">
        <w:rPr>
          <w:rFonts w:asciiTheme="minorHAnsi" w:hAnsiTheme="minorHAnsi" w:cstheme="minorHAnsi"/>
          <w:i w:val="0"/>
          <w:color w:val="auto"/>
          <w:sz w:val="24"/>
          <w:szCs w:val="22"/>
        </w:rPr>
        <w:t>168_R2</w:t>
      </w:r>
      <w:r w:rsidRPr="00C977A7">
        <w:rPr>
          <w:rFonts w:asciiTheme="minorHAnsi" w:hAnsiTheme="minorHAnsi" w:cstheme="minorHAnsi"/>
          <w:i w:val="0"/>
          <w:color w:val="auto"/>
          <w:sz w:val="24"/>
          <w:szCs w:val="22"/>
        </w:rPr>
        <w:t xml:space="preserve">). SCE adopts all the values in </w:t>
      </w:r>
      <w:r w:rsidR="000C7C93" w:rsidRPr="00C977A7">
        <w:rPr>
          <w:rFonts w:asciiTheme="minorHAnsi" w:hAnsiTheme="minorHAnsi" w:cstheme="minorHAnsi"/>
          <w:i w:val="0"/>
          <w:color w:val="auto"/>
          <w:sz w:val="24"/>
          <w:szCs w:val="22"/>
        </w:rPr>
        <w:t>PGECOHV</w:t>
      </w:r>
      <w:r w:rsidR="007D1F22" w:rsidRPr="00C977A7">
        <w:rPr>
          <w:rFonts w:asciiTheme="minorHAnsi" w:hAnsiTheme="minorHAnsi" w:cstheme="minorHAnsi"/>
          <w:i w:val="0"/>
          <w:color w:val="auto"/>
          <w:sz w:val="24"/>
          <w:szCs w:val="22"/>
        </w:rPr>
        <w:t>C</w:t>
      </w:r>
      <w:r w:rsidR="000C7C93" w:rsidRPr="00C977A7">
        <w:rPr>
          <w:rFonts w:asciiTheme="minorHAnsi" w:hAnsiTheme="minorHAnsi" w:cstheme="minorHAnsi"/>
          <w:i w:val="0"/>
          <w:color w:val="auto"/>
          <w:sz w:val="24"/>
          <w:szCs w:val="22"/>
        </w:rPr>
        <w:t>168</w:t>
      </w:r>
      <w:r w:rsidR="006A38E1" w:rsidRPr="00C977A7">
        <w:rPr>
          <w:rFonts w:asciiTheme="minorHAnsi" w:hAnsiTheme="minorHAnsi" w:cstheme="minorHAnsi"/>
          <w:i w:val="0"/>
          <w:color w:val="auto"/>
          <w:sz w:val="24"/>
          <w:szCs w:val="22"/>
        </w:rPr>
        <w:t>_R2</w:t>
      </w:r>
      <w:r w:rsidR="000C7C93" w:rsidRPr="00C977A7">
        <w:rPr>
          <w:rFonts w:asciiTheme="minorHAnsi" w:hAnsiTheme="minorHAnsi" w:cstheme="minorHAnsi"/>
          <w:i w:val="0"/>
          <w:color w:val="auto"/>
          <w:sz w:val="24"/>
          <w:szCs w:val="22"/>
        </w:rPr>
        <w:t xml:space="preserve"> - Demand Controlled Ventilation</w:t>
      </w:r>
      <w:r w:rsidRPr="00C977A7">
        <w:rPr>
          <w:rFonts w:asciiTheme="minorHAnsi" w:hAnsiTheme="minorHAnsi" w:cstheme="minorHAnsi"/>
          <w:i w:val="0"/>
          <w:color w:val="auto"/>
          <w:sz w:val="24"/>
          <w:szCs w:val="22"/>
        </w:rPr>
        <w:t xml:space="preserve">, with the following exceptions. </w:t>
      </w:r>
    </w:p>
    <w:p w14:paraId="4B999B68" w14:textId="77777777" w:rsidR="00C977A7" w:rsidRPr="00C977A7" w:rsidRDefault="00C977A7" w:rsidP="00F30167">
      <w:pPr>
        <w:pStyle w:val="Reminders"/>
        <w:rPr>
          <w:rFonts w:asciiTheme="minorHAnsi" w:hAnsiTheme="minorHAnsi" w:cstheme="minorHAnsi"/>
          <w:i w:val="0"/>
          <w:color w:val="auto"/>
          <w:sz w:val="24"/>
          <w:szCs w:val="22"/>
        </w:rPr>
      </w:pPr>
    </w:p>
    <w:p w14:paraId="3A85F1F2" w14:textId="77777777" w:rsidR="000C7C93" w:rsidRPr="00C977A7" w:rsidRDefault="000C7C93" w:rsidP="000C7C93">
      <w:pPr>
        <w:pStyle w:val="Reminders"/>
        <w:numPr>
          <w:ilvl w:val="0"/>
          <w:numId w:val="37"/>
        </w:numPr>
        <w:rPr>
          <w:rFonts w:asciiTheme="minorHAnsi" w:hAnsiTheme="minorHAnsi" w:cstheme="minorHAnsi"/>
          <w:i w:val="0"/>
          <w:color w:val="auto"/>
          <w:sz w:val="24"/>
          <w:szCs w:val="22"/>
        </w:rPr>
      </w:pPr>
      <w:r w:rsidRPr="00C977A7">
        <w:rPr>
          <w:rFonts w:asciiTheme="minorHAnsi" w:hAnsiTheme="minorHAnsi" w:cstheme="minorHAnsi"/>
          <w:i w:val="0"/>
          <w:color w:val="auto"/>
          <w:sz w:val="24"/>
          <w:szCs w:val="22"/>
        </w:rPr>
        <w:t>Changed applicable climate zones to only SCE climate zones.</w:t>
      </w:r>
    </w:p>
    <w:p w14:paraId="15B200A1" w14:textId="09954CEF" w:rsidR="005D365F" w:rsidRPr="00C977A7" w:rsidRDefault="000C7C93">
      <w:pPr>
        <w:pStyle w:val="Reminders"/>
        <w:numPr>
          <w:ilvl w:val="0"/>
          <w:numId w:val="37"/>
        </w:numPr>
        <w:rPr>
          <w:rFonts w:asciiTheme="minorHAnsi" w:hAnsiTheme="minorHAnsi" w:cstheme="minorHAnsi"/>
          <w:i w:val="0"/>
          <w:color w:val="auto"/>
          <w:sz w:val="24"/>
          <w:szCs w:val="22"/>
        </w:rPr>
      </w:pPr>
      <w:r w:rsidRPr="00C977A7">
        <w:rPr>
          <w:rFonts w:asciiTheme="minorHAnsi" w:hAnsiTheme="minorHAnsi" w:cstheme="minorHAnsi"/>
          <w:i w:val="0"/>
          <w:color w:val="auto"/>
          <w:sz w:val="24"/>
          <w:szCs w:val="22"/>
        </w:rPr>
        <w:t>Added Up-Stream Programs: Up-Stream delivery mechanism</w:t>
      </w:r>
      <w:r w:rsidR="001A0B85" w:rsidRPr="00C977A7">
        <w:rPr>
          <w:rFonts w:asciiTheme="minorHAnsi" w:hAnsiTheme="minorHAnsi" w:cstheme="minorHAnsi"/>
          <w:i w:val="0"/>
          <w:color w:val="auto"/>
          <w:sz w:val="24"/>
          <w:szCs w:val="22"/>
        </w:rPr>
        <w:t xml:space="preserve"> &amp; </w:t>
      </w:r>
      <w:r w:rsidR="005D365F" w:rsidRPr="00C977A7">
        <w:rPr>
          <w:rFonts w:asciiTheme="minorHAnsi" w:hAnsiTheme="minorHAnsi" w:cstheme="minorHAnsi"/>
          <w:i w:val="0"/>
          <w:color w:val="auto"/>
          <w:sz w:val="24"/>
          <w:szCs w:val="22"/>
        </w:rPr>
        <w:t xml:space="preserve">Mid-Stream Programs: Mid-Stream delivery mechanism. </w:t>
      </w:r>
    </w:p>
    <w:p w14:paraId="3DC64EA1" w14:textId="2EC53394" w:rsidR="001D66C7" w:rsidRPr="00C977A7" w:rsidRDefault="001D66C7" w:rsidP="001D66C7">
      <w:pPr>
        <w:pStyle w:val="Reminders"/>
        <w:numPr>
          <w:ilvl w:val="0"/>
          <w:numId w:val="37"/>
        </w:numPr>
        <w:rPr>
          <w:rFonts w:asciiTheme="minorHAnsi" w:hAnsiTheme="minorHAnsi" w:cstheme="minorHAnsi"/>
          <w:i w:val="0"/>
          <w:color w:val="auto"/>
          <w:sz w:val="24"/>
          <w:szCs w:val="22"/>
        </w:rPr>
      </w:pPr>
      <w:r w:rsidRPr="00C977A7">
        <w:rPr>
          <w:rFonts w:asciiTheme="minorHAnsi" w:hAnsiTheme="minorHAnsi" w:cstheme="minorHAnsi"/>
          <w:i w:val="0"/>
          <w:color w:val="auto"/>
          <w:sz w:val="24"/>
          <w:szCs w:val="22"/>
        </w:rPr>
        <w:t>Added Agric-Default&gt;2yrs and Ind-Default&gt;2yrs NTG IDs</w:t>
      </w:r>
      <w:r w:rsidR="005D365F" w:rsidRPr="00C977A7">
        <w:rPr>
          <w:rFonts w:asciiTheme="minorHAnsi" w:hAnsiTheme="minorHAnsi" w:cstheme="minorHAnsi"/>
          <w:i w:val="0"/>
          <w:color w:val="auto"/>
          <w:sz w:val="24"/>
          <w:szCs w:val="22"/>
        </w:rPr>
        <w:t xml:space="preserve"> for manufacturing building types</w:t>
      </w:r>
      <w:r w:rsidRPr="00C977A7">
        <w:rPr>
          <w:rFonts w:asciiTheme="minorHAnsi" w:hAnsiTheme="minorHAnsi" w:cstheme="minorHAnsi"/>
          <w:i w:val="0"/>
          <w:color w:val="auto"/>
          <w:sz w:val="24"/>
          <w:szCs w:val="22"/>
        </w:rPr>
        <w:t>.</w:t>
      </w:r>
    </w:p>
    <w:p w14:paraId="79212832" w14:textId="77777777" w:rsidR="00973149" w:rsidRPr="00C977A7" w:rsidRDefault="00973149" w:rsidP="00973149">
      <w:pPr>
        <w:pStyle w:val="Reminders"/>
        <w:numPr>
          <w:ilvl w:val="0"/>
          <w:numId w:val="37"/>
        </w:numPr>
        <w:rPr>
          <w:rFonts w:asciiTheme="minorHAnsi" w:hAnsiTheme="minorHAnsi" w:cstheme="minorHAnsi"/>
          <w:i w:val="0"/>
          <w:color w:val="auto"/>
          <w:sz w:val="24"/>
          <w:szCs w:val="22"/>
        </w:rPr>
      </w:pPr>
      <w:bookmarkStart w:id="3" w:name="_Hlk533669928"/>
      <w:r w:rsidRPr="00C977A7">
        <w:rPr>
          <w:rFonts w:asciiTheme="minorHAnsi" w:hAnsiTheme="minorHAnsi" w:cstheme="minorHAnsi"/>
          <w:i w:val="0"/>
          <w:color w:val="auto"/>
          <w:sz w:val="24"/>
          <w:szCs w:val="22"/>
        </w:rPr>
        <w:t>Added clarification on SCE’s incentive method description and applicability.</w:t>
      </w:r>
    </w:p>
    <w:bookmarkEnd w:id="3"/>
    <w:p w14:paraId="1A0C60DA" w14:textId="0F542878" w:rsidR="00F30167" w:rsidRPr="00C977A7" w:rsidRDefault="000C7C93" w:rsidP="00F30167">
      <w:pPr>
        <w:pStyle w:val="Reminders"/>
        <w:numPr>
          <w:ilvl w:val="0"/>
          <w:numId w:val="37"/>
        </w:numPr>
        <w:rPr>
          <w:rFonts w:asciiTheme="minorHAnsi" w:hAnsiTheme="minorHAnsi" w:cstheme="minorHAnsi"/>
          <w:i w:val="0"/>
          <w:color w:val="auto"/>
          <w:sz w:val="24"/>
          <w:szCs w:val="22"/>
        </w:rPr>
      </w:pPr>
      <w:r w:rsidRPr="00C977A7">
        <w:rPr>
          <w:rFonts w:asciiTheme="minorHAnsi" w:hAnsiTheme="minorHAnsi" w:cstheme="minorHAnsi"/>
          <w:i w:val="0"/>
          <w:color w:val="auto"/>
          <w:sz w:val="24"/>
          <w:szCs w:val="22"/>
        </w:rPr>
        <w:t>For 2019 program year, the install type has been updated to Retrocommissioning, “</w:t>
      </w:r>
      <w:r w:rsidR="00973149" w:rsidRPr="00C977A7">
        <w:rPr>
          <w:rFonts w:asciiTheme="minorHAnsi" w:hAnsiTheme="minorHAnsi" w:cstheme="minorHAnsi"/>
          <w:i w:val="0"/>
          <w:color w:val="auto"/>
          <w:sz w:val="24"/>
          <w:szCs w:val="22"/>
        </w:rPr>
        <w:t>BRO-</w:t>
      </w:r>
      <w:r w:rsidRPr="00C977A7">
        <w:rPr>
          <w:rFonts w:asciiTheme="minorHAnsi" w:hAnsiTheme="minorHAnsi" w:cstheme="minorHAnsi"/>
          <w:i w:val="0"/>
          <w:color w:val="auto"/>
          <w:sz w:val="24"/>
          <w:szCs w:val="22"/>
        </w:rPr>
        <w:t>RC</w:t>
      </w:r>
      <w:r w:rsidR="00973149" w:rsidRPr="00C977A7">
        <w:rPr>
          <w:rFonts w:asciiTheme="minorHAnsi" w:hAnsiTheme="minorHAnsi" w:cstheme="minorHAnsi"/>
          <w:i w:val="0"/>
          <w:color w:val="auto"/>
          <w:sz w:val="24"/>
          <w:szCs w:val="22"/>
        </w:rPr>
        <w:t>x</w:t>
      </w:r>
      <w:r w:rsidRPr="00C977A7">
        <w:rPr>
          <w:rFonts w:asciiTheme="minorHAnsi" w:hAnsiTheme="minorHAnsi" w:cstheme="minorHAnsi"/>
          <w:i w:val="0"/>
          <w:color w:val="auto"/>
          <w:sz w:val="24"/>
          <w:szCs w:val="22"/>
        </w:rPr>
        <w:t xml:space="preserve">”. </w:t>
      </w:r>
    </w:p>
    <w:p w14:paraId="2AA13F2A" w14:textId="646875BF" w:rsidR="00973149" w:rsidRPr="00C977A7" w:rsidRDefault="00973149" w:rsidP="00C977A7">
      <w:pPr>
        <w:pStyle w:val="Reminders"/>
        <w:numPr>
          <w:ilvl w:val="0"/>
          <w:numId w:val="37"/>
        </w:numPr>
        <w:rPr>
          <w:rFonts w:asciiTheme="minorHAnsi" w:hAnsiTheme="minorHAnsi" w:cstheme="minorHAnsi"/>
          <w:i w:val="0"/>
          <w:color w:val="auto"/>
          <w:sz w:val="24"/>
          <w:szCs w:val="22"/>
        </w:rPr>
      </w:pPr>
      <w:bookmarkStart w:id="4" w:name="_Hlk533666310"/>
      <w:r w:rsidRPr="00C977A7">
        <w:rPr>
          <w:rFonts w:asciiTheme="minorHAnsi" w:hAnsiTheme="minorHAnsi" w:cstheme="minorHAnsi"/>
          <w:i w:val="0"/>
          <w:color w:val="auto"/>
          <w:sz w:val="24"/>
          <w:szCs w:val="22"/>
        </w:rPr>
        <w:t xml:space="preserve">Workpaper Revision </w:t>
      </w:r>
      <w:r w:rsidR="001A0B85" w:rsidRPr="00C977A7">
        <w:rPr>
          <w:rFonts w:asciiTheme="minorHAnsi" w:hAnsiTheme="minorHAnsi" w:cstheme="minorHAnsi"/>
          <w:i w:val="0"/>
          <w:color w:val="auto"/>
          <w:sz w:val="24"/>
          <w:szCs w:val="22"/>
        </w:rPr>
        <w:t>1</w:t>
      </w:r>
      <w:r w:rsidRPr="00C977A7">
        <w:rPr>
          <w:rFonts w:asciiTheme="minorHAnsi" w:hAnsiTheme="minorHAnsi" w:cstheme="minorHAnsi"/>
          <w:i w:val="0"/>
          <w:color w:val="auto"/>
          <w:sz w:val="24"/>
          <w:szCs w:val="22"/>
        </w:rPr>
        <w:t xml:space="preserve"> is applicable for the 2019 program cycle</w:t>
      </w:r>
      <w:bookmarkEnd w:id="4"/>
    </w:p>
    <w:p w14:paraId="25B60788" w14:textId="25FC185B" w:rsidR="0088361D" w:rsidRPr="00500C4E" w:rsidRDefault="00F30167" w:rsidP="00C959CA">
      <w:pPr>
        <w:pStyle w:val="Heading1"/>
      </w:pPr>
      <w:r>
        <w:t xml:space="preserve">Document </w:t>
      </w:r>
      <w:r w:rsidR="00EB34FC" w:rsidRPr="00500C4E">
        <w:t>Revision History</w:t>
      </w:r>
    </w:p>
    <w:tbl>
      <w:tblPr>
        <w:tblStyle w:val="TableGrid1"/>
        <w:tblW w:w="5000" w:type="pct"/>
        <w:tblLook w:val="01E0" w:firstRow="1" w:lastRow="1" w:firstColumn="1" w:lastColumn="1" w:noHBand="0" w:noVBand="0"/>
      </w:tblPr>
      <w:tblGrid>
        <w:gridCol w:w="524"/>
        <w:gridCol w:w="1182"/>
        <w:gridCol w:w="1260"/>
        <w:gridCol w:w="6384"/>
      </w:tblGrid>
      <w:tr w:rsidR="003845E5" w:rsidRPr="00500C4E" w14:paraId="5AFD7FBC" w14:textId="77777777" w:rsidTr="000C7C93">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674"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414"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0C7C93" w:rsidRPr="00500C4E" w14:paraId="0F8D645E" w14:textId="77777777" w:rsidTr="000C7C93">
        <w:trPr>
          <w:trHeight w:val="20"/>
        </w:trPr>
        <w:tc>
          <w:tcPr>
            <w:tcW w:w="280" w:type="pct"/>
          </w:tcPr>
          <w:p w14:paraId="4A1A2996" w14:textId="0DA2B309" w:rsidR="000C7C93" w:rsidRPr="00920905" w:rsidRDefault="000C7C93" w:rsidP="000C7C93">
            <w:pPr>
              <w:rPr>
                <w:rFonts w:cstheme="minorHAnsi"/>
                <w:color w:val="FF0000"/>
                <w:szCs w:val="20"/>
              </w:rPr>
            </w:pPr>
            <w:r>
              <w:rPr>
                <w:rFonts w:cstheme="minorHAnsi"/>
                <w:szCs w:val="20"/>
              </w:rPr>
              <w:t>1</w:t>
            </w:r>
          </w:p>
        </w:tc>
        <w:tc>
          <w:tcPr>
            <w:tcW w:w="632" w:type="pct"/>
          </w:tcPr>
          <w:p w14:paraId="68BA349C" w14:textId="75EAD70C" w:rsidR="000C7C93" w:rsidRPr="00920905" w:rsidRDefault="000C7C93" w:rsidP="000C7C93">
            <w:pPr>
              <w:rPr>
                <w:rFonts w:cstheme="minorHAnsi"/>
                <w:color w:val="FF0000"/>
                <w:szCs w:val="20"/>
              </w:rPr>
            </w:pPr>
            <w:r>
              <w:rPr>
                <w:rFonts w:cstheme="minorHAnsi"/>
                <w:szCs w:val="20"/>
              </w:rPr>
              <w:t>12/2</w:t>
            </w:r>
            <w:r w:rsidR="00973149">
              <w:rPr>
                <w:rFonts w:cstheme="minorHAnsi"/>
                <w:szCs w:val="20"/>
              </w:rPr>
              <w:t>7</w:t>
            </w:r>
            <w:r>
              <w:rPr>
                <w:rFonts w:cstheme="minorHAnsi"/>
                <w:szCs w:val="20"/>
              </w:rPr>
              <w:t>/2018</w:t>
            </w:r>
          </w:p>
        </w:tc>
        <w:tc>
          <w:tcPr>
            <w:tcW w:w="674" w:type="pct"/>
          </w:tcPr>
          <w:p w14:paraId="4A812BB3" w14:textId="656732C1" w:rsidR="000C7C93" w:rsidRPr="00920905" w:rsidRDefault="000C7C93" w:rsidP="000C7C93">
            <w:pPr>
              <w:rPr>
                <w:rFonts w:cstheme="minorHAnsi"/>
                <w:color w:val="FF0000"/>
                <w:szCs w:val="20"/>
              </w:rPr>
            </w:pPr>
            <w:r>
              <w:rPr>
                <w:rFonts w:cstheme="minorHAnsi"/>
                <w:szCs w:val="20"/>
              </w:rPr>
              <w:t>Stephen Brett Reno, TRC</w:t>
            </w:r>
          </w:p>
        </w:tc>
        <w:tc>
          <w:tcPr>
            <w:tcW w:w="3414" w:type="pct"/>
          </w:tcPr>
          <w:p w14:paraId="4313065B" w14:textId="125B60D3" w:rsidR="000C7C93" w:rsidRDefault="000C7C93" w:rsidP="000C7C93">
            <w:pPr>
              <w:pStyle w:val="ListParagraph"/>
              <w:numPr>
                <w:ilvl w:val="0"/>
                <w:numId w:val="35"/>
              </w:numPr>
              <w:rPr>
                <w:rFonts w:cstheme="minorHAnsi"/>
                <w:bCs/>
                <w:szCs w:val="20"/>
              </w:rPr>
            </w:pPr>
            <w:r>
              <w:rPr>
                <w:rFonts w:cstheme="minorHAnsi"/>
                <w:bCs/>
                <w:szCs w:val="20"/>
              </w:rPr>
              <w:t>Transferred savings to calculation templates</w:t>
            </w:r>
            <w:r w:rsidR="00CF02A5">
              <w:rPr>
                <w:rFonts w:cstheme="minorHAnsi"/>
                <w:bCs/>
                <w:szCs w:val="20"/>
              </w:rPr>
              <w:t xml:space="preserve"> for</w:t>
            </w:r>
            <w:r>
              <w:rPr>
                <w:rFonts w:cstheme="minorHAnsi"/>
                <w:bCs/>
                <w:szCs w:val="20"/>
              </w:rPr>
              <w:t xml:space="preserve"> the 2018 program year. </w:t>
            </w:r>
          </w:p>
          <w:p w14:paraId="4BE7AEA5" w14:textId="77777777" w:rsidR="000C7C93" w:rsidRDefault="000C7C93" w:rsidP="000C7C93">
            <w:pPr>
              <w:pStyle w:val="ListParagraph"/>
              <w:numPr>
                <w:ilvl w:val="0"/>
                <w:numId w:val="35"/>
              </w:numPr>
              <w:rPr>
                <w:rFonts w:cstheme="minorHAnsi"/>
                <w:bCs/>
                <w:szCs w:val="20"/>
              </w:rPr>
            </w:pPr>
            <w:r>
              <w:rPr>
                <w:rFonts w:cstheme="minorHAnsi"/>
                <w:bCs/>
                <w:szCs w:val="20"/>
              </w:rPr>
              <w:t>Changed applicable climate zones to only SCE climate zones.</w:t>
            </w:r>
          </w:p>
          <w:p w14:paraId="0E040321" w14:textId="316A6B2D" w:rsidR="000C7C93" w:rsidRDefault="000C7C93" w:rsidP="000C7C93">
            <w:pPr>
              <w:pStyle w:val="ListParagraph"/>
              <w:numPr>
                <w:ilvl w:val="0"/>
                <w:numId w:val="35"/>
              </w:numPr>
              <w:rPr>
                <w:rFonts w:cstheme="minorHAnsi"/>
                <w:bCs/>
                <w:szCs w:val="20"/>
              </w:rPr>
            </w:pPr>
            <w:r>
              <w:rPr>
                <w:rFonts w:cstheme="minorHAnsi"/>
                <w:bCs/>
                <w:szCs w:val="20"/>
              </w:rPr>
              <w:t>Added Up-Stream Programs: Up-Stream delivery mechanism.</w:t>
            </w:r>
          </w:p>
          <w:p w14:paraId="3CFDDACB" w14:textId="77777777" w:rsidR="00270088" w:rsidRPr="00270088" w:rsidRDefault="00270088" w:rsidP="00270088">
            <w:pPr>
              <w:pStyle w:val="ListParagraph"/>
              <w:numPr>
                <w:ilvl w:val="0"/>
                <w:numId w:val="35"/>
              </w:numPr>
              <w:rPr>
                <w:rFonts w:cstheme="minorHAnsi"/>
                <w:bCs/>
                <w:szCs w:val="20"/>
              </w:rPr>
            </w:pPr>
            <w:r w:rsidRPr="00270088">
              <w:rPr>
                <w:rFonts w:cstheme="minorHAnsi"/>
                <w:bCs/>
                <w:szCs w:val="20"/>
              </w:rPr>
              <w:t xml:space="preserve">Added Mid-Stream Programs: Mid-Stream delivery mechanism. </w:t>
            </w:r>
          </w:p>
          <w:p w14:paraId="215A97AC" w14:textId="77777777" w:rsidR="00CF02A5" w:rsidRPr="00C977A7" w:rsidRDefault="00160F6B" w:rsidP="00B00AED">
            <w:pPr>
              <w:pStyle w:val="ListParagraph"/>
              <w:numPr>
                <w:ilvl w:val="0"/>
                <w:numId w:val="35"/>
              </w:numPr>
              <w:rPr>
                <w:rFonts w:cstheme="minorHAnsi"/>
                <w:bCs/>
                <w:szCs w:val="20"/>
              </w:rPr>
            </w:pPr>
            <w:r>
              <w:rPr>
                <w:rFonts w:cstheme="minorHAnsi"/>
                <w:bCs/>
                <w:szCs w:val="20"/>
              </w:rPr>
              <w:t xml:space="preserve">Added </w:t>
            </w:r>
            <w:r w:rsidRPr="006A38E1">
              <w:t>Agric-Default&gt;2yrs</w:t>
            </w:r>
            <w:r>
              <w:t xml:space="preserve"> and </w:t>
            </w:r>
            <w:r w:rsidRPr="006A38E1">
              <w:t>Ind-Default&gt;2yrs</w:t>
            </w:r>
            <w:r>
              <w:t xml:space="preserve"> NTG IDs.</w:t>
            </w:r>
          </w:p>
          <w:p w14:paraId="5EEBC98F" w14:textId="77777777" w:rsidR="00C977A7" w:rsidRPr="00C977A7" w:rsidRDefault="00C977A7" w:rsidP="00C977A7">
            <w:pPr>
              <w:pStyle w:val="ListParagraph"/>
              <w:ind w:left="360"/>
              <w:rPr>
                <w:rFonts w:cstheme="minorHAnsi"/>
                <w:bCs/>
                <w:szCs w:val="20"/>
              </w:rPr>
            </w:pPr>
          </w:p>
          <w:p w14:paraId="6BE23CA6" w14:textId="77777777" w:rsidR="001A0B85" w:rsidRDefault="001A0B85" w:rsidP="001A0B85">
            <w:pPr>
              <w:rPr>
                <w:rFonts w:cstheme="minorHAnsi"/>
                <w:bCs/>
                <w:szCs w:val="20"/>
              </w:rPr>
            </w:pPr>
            <w:r w:rsidRPr="00F16068">
              <w:rPr>
                <w:rFonts w:cstheme="minorHAnsi"/>
                <w:bCs/>
                <w:szCs w:val="20"/>
              </w:rPr>
              <w:t>General Policy Requirements:</w:t>
            </w:r>
          </w:p>
          <w:p w14:paraId="34F0A8ED" w14:textId="613DAC6E" w:rsidR="001A0B85" w:rsidRPr="00C977A7" w:rsidRDefault="001A0B85" w:rsidP="00C977A7">
            <w:pPr>
              <w:pStyle w:val="ListParagraph"/>
              <w:numPr>
                <w:ilvl w:val="0"/>
                <w:numId w:val="41"/>
              </w:numPr>
              <w:ind w:left="341"/>
              <w:rPr>
                <w:rFonts w:cstheme="minorHAnsi"/>
                <w:bCs/>
                <w:szCs w:val="20"/>
              </w:rPr>
            </w:pPr>
            <w:r w:rsidRPr="00C977A7">
              <w:rPr>
                <w:rFonts w:cstheme="minorHAnsi"/>
                <w:bCs/>
                <w:szCs w:val="20"/>
              </w:rPr>
              <w:t>2018 Workpaper Updates are primarily in response to D.16-08-019 which created the Behavioral, Operational, and Retrocommissioning (BRO) measure classification with EUL values of one to three years with retrocommissioning assigned a three-year EUL. Resolution E-4818 directed that all measures which utilize a degraded performance baseline and/or are restorative of performance in nature be classified as retrocommissioning.</w:t>
            </w:r>
          </w:p>
        </w:tc>
      </w:tr>
      <w:tr w:rsidR="000C7C93" w:rsidRPr="00500C4E" w14:paraId="38E2A981" w14:textId="77777777" w:rsidTr="00C977A7">
        <w:trPr>
          <w:trHeight w:val="1790"/>
        </w:trPr>
        <w:tc>
          <w:tcPr>
            <w:tcW w:w="280" w:type="pct"/>
            <w:tcBorders>
              <w:bottom w:val="single" w:sz="4" w:space="0" w:color="auto"/>
            </w:tcBorders>
          </w:tcPr>
          <w:p w14:paraId="400134FF" w14:textId="17B0EC3C" w:rsidR="000C7C93" w:rsidRPr="00920905" w:rsidRDefault="000C7C93" w:rsidP="000C7C93">
            <w:pPr>
              <w:rPr>
                <w:rFonts w:cstheme="minorHAnsi"/>
                <w:color w:val="FF0000"/>
                <w:szCs w:val="20"/>
              </w:rPr>
            </w:pPr>
            <w:r>
              <w:rPr>
                <w:rFonts w:cstheme="minorHAnsi"/>
                <w:szCs w:val="20"/>
              </w:rPr>
              <w:t>2</w:t>
            </w:r>
          </w:p>
        </w:tc>
        <w:tc>
          <w:tcPr>
            <w:tcW w:w="632" w:type="pct"/>
            <w:tcBorders>
              <w:bottom w:val="single" w:sz="4" w:space="0" w:color="auto"/>
            </w:tcBorders>
          </w:tcPr>
          <w:p w14:paraId="095AE57E" w14:textId="14BEA275" w:rsidR="000C7C93" w:rsidRPr="00920905" w:rsidRDefault="00973149" w:rsidP="000C7C93">
            <w:pPr>
              <w:rPr>
                <w:rFonts w:cstheme="minorHAnsi"/>
                <w:color w:val="FF0000"/>
                <w:szCs w:val="20"/>
              </w:rPr>
            </w:pPr>
            <w:r>
              <w:rPr>
                <w:rFonts w:cstheme="minorHAnsi"/>
                <w:szCs w:val="20"/>
              </w:rPr>
              <w:t>12/27</w:t>
            </w:r>
            <w:r w:rsidR="000C7C93">
              <w:rPr>
                <w:rFonts w:cstheme="minorHAnsi"/>
                <w:szCs w:val="20"/>
              </w:rPr>
              <w:t>/2018</w:t>
            </w:r>
          </w:p>
        </w:tc>
        <w:tc>
          <w:tcPr>
            <w:tcW w:w="674" w:type="pct"/>
            <w:tcBorders>
              <w:bottom w:val="single" w:sz="4" w:space="0" w:color="auto"/>
            </w:tcBorders>
          </w:tcPr>
          <w:p w14:paraId="7F22D7DB" w14:textId="76A330C1" w:rsidR="000C7C93" w:rsidRPr="00920905" w:rsidRDefault="000C7C93" w:rsidP="000C7C93">
            <w:pPr>
              <w:rPr>
                <w:rFonts w:cstheme="minorHAnsi"/>
                <w:color w:val="FF0000"/>
                <w:szCs w:val="20"/>
              </w:rPr>
            </w:pPr>
            <w:r>
              <w:rPr>
                <w:rFonts w:cstheme="minorHAnsi"/>
                <w:szCs w:val="20"/>
              </w:rPr>
              <w:t>Stephen Brett Reno, TRC</w:t>
            </w:r>
          </w:p>
        </w:tc>
        <w:tc>
          <w:tcPr>
            <w:tcW w:w="3414" w:type="pct"/>
            <w:tcBorders>
              <w:bottom w:val="single" w:sz="4" w:space="0" w:color="auto"/>
            </w:tcBorders>
          </w:tcPr>
          <w:p w14:paraId="6D925C9D" w14:textId="0EDAC0AB" w:rsidR="000C7C93" w:rsidRDefault="000C7C93" w:rsidP="000C7C93">
            <w:pPr>
              <w:pStyle w:val="ListParagraph"/>
              <w:numPr>
                <w:ilvl w:val="0"/>
                <w:numId w:val="35"/>
              </w:numPr>
              <w:rPr>
                <w:rFonts w:cstheme="minorHAnsi"/>
                <w:bCs/>
                <w:szCs w:val="20"/>
              </w:rPr>
            </w:pPr>
            <w:r>
              <w:rPr>
                <w:rFonts w:cstheme="minorHAnsi"/>
                <w:bCs/>
                <w:szCs w:val="20"/>
              </w:rPr>
              <w:t>Transferred savings to calculation templates</w:t>
            </w:r>
            <w:r w:rsidR="00CF02A5">
              <w:rPr>
                <w:rFonts w:cstheme="minorHAnsi"/>
                <w:bCs/>
                <w:szCs w:val="20"/>
              </w:rPr>
              <w:t xml:space="preserve"> for</w:t>
            </w:r>
            <w:r>
              <w:rPr>
                <w:rFonts w:cstheme="minorHAnsi"/>
                <w:bCs/>
                <w:szCs w:val="20"/>
              </w:rPr>
              <w:t xml:space="preserve"> the 2019 program year. </w:t>
            </w:r>
          </w:p>
          <w:p w14:paraId="22F7E0A8" w14:textId="7F489A22" w:rsidR="000C7C93" w:rsidRPr="00C977A7" w:rsidRDefault="000C7C93" w:rsidP="000C7C93">
            <w:pPr>
              <w:pStyle w:val="ListParagraph"/>
              <w:numPr>
                <w:ilvl w:val="0"/>
                <w:numId w:val="35"/>
              </w:numPr>
              <w:rPr>
                <w:rFonts w:cstheme="minorHAnsi"/>
                <w:bCs/>
                <w:szCs w:val="20"/>
              </w:rPr>
            </w:pPr>
            <w:r>
              <w:t>For 2019 program year, the install type has been updated to Retrocommissioning, “</w:t>
            </w:r>
            <w:r w:rsidR="00973149">
              <w:t>BRO-</w:t>
            </w:r>
            <w:r>
              <w:t>RC</w:t>
            </w:r>
            <w:r w:rsidR="00973149">
              <w:t>x</w:t>
            </w:r>
            <w:r>
              <w:t xml:space="preserve">”. </w:t>
            </w:r>
          </w:p>
          <w:p w14:paraId="16A0588E" w14:textId="77777777" w:rsidR="00C977A7" w:rsidRPr="00C977A7" w:rsidRDefault="00C977A7" w:rsidP="00C977A7">
            <w:pPr>
              <w:pStyle w:val="ListParagraph"/>
              <w:ind w:left="360"/>
              <w:rPr>
                <w:rFonts w:cstheme="minorHAnsi"/>
                <w:bCs/>
                <w:szCs w:val="20"/>
              </w:rPr>
            </w:pPr>
          </w:p>
          <w:p w14:paraId="12A63184" w14:textId="77777777" w:rsidR="001A0B85" w:rsidRPr="00C977A7" w:rsidRDefault="001A0B85" w:rsidP="00C977A7">
            <w:pPr>
              <w:rPr>
                <w:rFonts w:cstheme="minorHAnsi"/>
                <w:bCs/>
                <w:szCs w:val="20"/>
              </w:rPr>
            </w:pPr>
            <w:r w:rsidRPr="00C977A7">
              <w:rPr>
                <w:rFonts w:cstheme="minorHAnsi"/>
                <w:bCs/>
                <w:szCs w:val="20"/>
              </w:rPr>
              <w:t>General Policy Requirements:</w:t>
            </w:r>
          </w:p>
          <w:p w14:paraId="76BFD887" w14:textId="2367A0F3" w:rsidR="000C7C93" w:rsidRPr="00920905" w:rsidRDefault="001A0B85" w:rsidP="00C977A7">
            <w:pPr>
              <w:pStyle w:val="ListParagraph"/>
              <w:numPr>
                <w:ilvl w:val="0"/>
                <w:numId w:val="35"/>
              </w:numPr>
              <w:rPr>
                <w:color w:val="FF0000"/>
              </w:rPr>
            </w:pPr>
            <w:r w:rsidRPr="006C0E9E">
              <w:rPr>
                <w:rFonts w:cstheme="minorHAnsi"/>
                <w:bCs/>
                <w:szCs w:val="20"/>
              </w:rPr>
              <w:t>2019 Workpaper updates are primarily in response to Resolution E-4818 which added new measure application types including but not limited to Add-On Equipment (AOE) and BRO-Retrocommissioning (BRO-RCx).</w:t>
            </w:r>
          </w:p>
        </w:tc>
      </w:tr>
    </w:tbl>
    <w:p w14:paraId="0A689F00" w14:textId="0E183693" w:rsidR="00DA2822" w:rsidRDefault="008877AF" w:rsidP="00BA5FE4">
      <w:pPr>
        <w:spacing w:line="276" w:lineRule="auto"/>
        <w:rPr>
          <w:szCs w:val="20"/>
        </w:rPr>
      </w:pPr>
      <w:r w:rsidRPr="00BA5FE4">
        <w:rPr>
          <w:color w:val="FF0000"/>
          <w:szCs w:val="20"/>
        </w:rPr>
        <w:t xml:space="preserve"> </w:t>
      </w:r>
      <w:r w:rsidR="00DA2822">
        <w:rPr>
          <w:szCs w:val="20"/>
        </w:rPr>
        <w:br w:type="page"/>
      </w:r>
    </w:p>
    <w:p w14:paraId="255B2329" w14:textId="0070D98B" w:rsidR="00F30167" w:rsidRPr="00F30167" w:rsidRDefault="00F30167" w:rsidP="00BA5FE4">
      <w:pPr>
        <w:spacing w:line="276" w:lineRule="auto"/>
        <w:rPr>
          <w:b/>
          <w:szCs w:val="20"/>
        </w:rPr>
      </w:pPr>
      <w:r w:rsidRPr="00F30167">
        <w:rPr>
          <w:b/>
          <w:szCs w:val="20"/>
        </w:rPr>
        <w:lastRenderedPageBreak/>
        <w:t>Measure Summary</w:t>
      </w:r>
    </w:p>
    <w:p w14:paraId="68F1D0A6" w14:textId="2F984A8D" w:rsidR="009A2332" w:rsidRDefault="00F30167" w:rsidP="009A2332">
      <w:pPr>
        <w:pStyle w:val="Caption"/>
        <w:keepNext/>
        <w:jc w:val="center"/>
      </w:pPr>
      <w:r>
        <w:t xml:space="preserve">Table </w:t>
      </w:r>
      <w:r w:rsidR="00C977A7">
        <w:rPr>
          <w:noProof/>
        </w:rPr>
        <w:fldChar w:fldCharType="begin"/>
      </w:r>
      <w:r w:rsidR="00C977A7">
        <w:rPr>
          <w:noProof/>
        </w:rPr>
        <w:instrText xml:space="preserve"> SEQ Table \* ARABIC </w:instrText>
      </w:r>
      <w:r w:rsidR="00C977A7">
        <w:rPr>
          <w:noProof/>
        </w:rPr>
        <w:fldChar w:fldCharType="separate"/>
      </w:r>
      <w:r>
        <w:rPr>
          <w:noProof/>
        </w:rPr>
        <w:t>1</w:t>
      </w:r>
      <w:r w:rsidR="00C977A7">
        <w:rPr>
          <w:noProof/>
        </w:rPr>
        <w:fldChar w:fldCharType="end"/>
      </w:r>
      <w:r>
        <w:t>: Measure Summary Table</w:t>
      </w:r>
    </w:p>
    <w:p w14:paraId="469E3748" w14:textId="77777777" w:rsidR="009A2332" w:rsidRDefault="009A2332" w:rsidP="009A2332"/>
    <w:tbl>
      <w:tblPr>
        <w:tblStyle w:val="TableGrid"/>
        <w:tblW w:w="9355" w:type="dxa"/>
        <w:tblLook w:val="04A0" w:firstRow="1" w:lastRow="0" w:firstColumn="1" w:lastColumn="0" w:noHBand="0" w:noVBand="1"/>
      </w:tblPr>
      <w:tblGrid>
        <w:gridCol w:w="2605"/>
        <w:gridCol w:w="6750"/>
      </w:tblGrid>
      <w:tr w:rsidR="009A2332" w14:paraId="3F9CA93E" w14:textId="77777777" w:rsidTr="003F7372">
        <w:trPr>
          <w:trHeight w:val="576"/>
          <w:tblHeader/>
        </w:trPr>
        <w:tc>
          <w:tcPr>
            <w:tcW w:w="2605" w:type="dxa"/>
          </w:tcPr>
          <w:p w14:paraId="448E7296" w14:textId="39C7C9A2" w:rsidR="009A2332" w:rsidRPr="009A2332" w:rsidRDefault="009A2332" w:rsidP="009A2332">
            <w:pPr>
              <w:rPr>
                <w:sz w:val="28"/>
              </w:rPr>
            </w:pPr>
            <w:r w:rsidRPr="009A2332">
              <w:rPr>
                <w:rStyle w:val="Strong"/>
                <w:rFonts w:asciiTheme="minorHAnsi" w:hAnsiTheme="minorHAnsi"/>
                <w:sz w:val="28"/>
                <w:szCs w:val="22"/>
              </w:rPr>
              <w:t>Section</w:t>
            </w:r>
          </w:p>
        </w:tc>
        <w:tc>
          <w:tcPr>
            <w:tcW w:w="6750" w:type="dxa"/>
          </w:tcPr>
          <w:p w14:paraId="27CEB258" w14:textId="408F314E" w:rsidR="009A2332" w:rsidRPr="009A2332" w:rsidRDefault="009A2332" w:rsidP="009A2332">
            <w:pPr>
              <w:rPr>
                <w:sz w:val="28"/>
              </w:rPr>
            </w:pPr>
            <w:r w:rsidRPr="009A2332">
              <w:rPr>
                <w:rFonts w:cs="Arial"/>
                <w:b/>
                <w:sz w:val="28"/>
                <w:szCs w:val="20"/>
              </w:rPr>
              <w:t>Value</w:t>
            </w:r>
          </w:p>
        </w:tc>
      </w:tr>
      <w:tr w:rsidR="009A2332" w14:paraId="174B4A0E" w14:textId="77777777" w:rsidTr="003F7372">
        <w:trPr>
          <w:trHeight w:val="576"/>
        </w:trPr>
        <w:tc>
          <w:tcPr>
            <w:tcW w:w="2605" w:type="dxa"/>
          </w:tcPr>
          <w:p w14:paraId="7815901A" w14:textId="49098287" w:rsidR="009A2332" w:rsidRDefault="009A2332" w:rsidP="009A2332">
            <w:r>
              <w:rPr>
                <w:rStyle w:val="Strong"/>
                <w:rFonts w:asciiTheme="minorHAnsi" w:hAnsiTheme="minorHAnsi"/>
                <w:szCs w:val="22"/>
              </w:rPr>
              <w:t>Summary &amp; Purpose</w:t>
            </w:r>
          </w:p>
        </w:tc>
        <w:tc>
          <w:tcPr>
            <w:tcW w:w="6750" w:type="dxa"/>
          </w:tcPr>
          <w:p w14:paraId="320E11E2" w14:textId="477508D1" w:rsidR="00CF3B59" w:rsidRDefault="00CF3B59" w:rsidP="00CF3B59">
            <w:r w:rsidRPr="002C01E3">
              <w:rPr>
                <w:rFonts w:cstheme="minorHAnsi"/>
                <w:szCs w:val="22"/>
              </w:rPr>
              <w:t xml:space="preserve">This </w:t>
            </w:r>
            <w:r>
              <w:rPr>
                <w:rFonts w:cstheme="minorHAnsi"/>
                <w:szCs w:val="22"/>
              </w:rPr>
              <w:t xml:space="preserve">short form </w:t>
            </w:r>
            <w:r w:rsidRPr="002C01E3">
              <w:rPr>
                <w:rFonts w:cstheme="minorHAnsi"/>
                <w:szCs w:val="22"/>
              </w:rPr>
              <w:t xml:space="preserve">work paper </w:t>
            </w:r>
            <w:r w:rsidRPr="005A05C3">
              <w:rPr>
                <w:rFonts w:cstheme="minorHAnsi"/>
                <w:szCs w:val="22"/>
              </w:rPr>
              <w:t xml:space="preserve">details </w:t>
            </w:r>
            <w:r>
              <w:rPr>
                <w:rFonts w:cstheme="minorHAnsi"/>
              </w:rPr>
              <w:t>adding</w:t>
            </w:r>
            <w:r w:rsidRPr="00F50B9D">
              <w:rPr>
                <w:rFonts w:cstheme="minorHAnsi"/>
              </w:rPr>
              <w:t xml:space="preserve"> Demand Controlled Ventilation (DCV) to an existing packaged single zone direct expansion (D</w:t>
            </w:r>
            <w:r>
              <w:rPr>
                <w:rFonts w:cstheme="minorHAnsi"/>
              </w:rPr>
              <w:t>X) HVAC unit with an economizer</w:t>
            </w:r>
            <w:r w:rsidRPr="005A05C3">
              <w:rPr>
                <w:rFonts w:cstheme="minorHAnsi"/>
                <w:szCs w:val="22"/>
              </w:rPr>
              <w:t>.</w:t>
            </w:r>
            <w:r>
              <w:rPr>
                <w:rFonts w:cstheme="minorHAnsi"/>
                <w:szCs w:val="22"/>
              </w:rPr>
              <w:t xml:space="preserve"> </w:t>
            </w:r>
            <w:r>
              <w:t xml:space="preserve">The savings values are based on PGE’s workpaper </w:t>
            </w:r>
            <w:r w:rsidR="006A38E1">
              <w:t>PGECOHV</w:t>
            </w:r>
            <w:r w:rsidR="00270088">
              <w:t>C</w:t>
            </w:r>
            <w:r w:rsidR="006A38E1">
              <w:t>168_R2</w:t>
            </w:r>
            <w:r w:rsidRPr="00CF3B59">
              <w:t xml:space="preserve"> </w:t>
            </w:r>
            <w:r>
              <w:t>–</w:t>
            </w:r>
            <w:r w:rsidRPr="00CF3B59">
              <w:t xml:space="preserve"> </w:t>
            </w:r>
            <w:r>
              <w:t>“</w:t>
            </w:r>
            <w:r w:rsidRPr="00CF3B59">
              <w:t>Demand Controlled Ventilation</w:t>
            </w:r>
            <w:r>
              <w:t>”</w:t>
            </w:r>
            <w:r w:rsidRPr="00CF3B59">
              <w:t xml:space="preserve"> </w:t>
            </w:r>
            <w:r>
              <w:rPr>
                <w:rFonts w:cstheme="minorHAnsi"/>
                <w:szCs w:val="22"/>
              </w:rPr>
              <w:t>document</w:t>
            </w:r>
            <w:r>
              <w:t xml:space="preserve">. </w:t>
            </w:r>
          </w:p>
          <w:p w14:paraId="60D0E636" w14:textId="77777777" w:rsidR="00CF3B59" w:rsidRDefault="00CF3B59" w:rsidP="00CF3B59"/>
          <w:p w14:paraId="1217FFAB" w14:textId="77777777" w:rsidR="003F7372" w:rsidRDefault="00CF3B59" w:rsidP="003F7372">
            <w:pPr>
              <w:pStyle w:val="NoSpacing"/>
            </w:pPr>
            <w:r w:rsidRPr="00F50B9D">
              <w:t xml:space="preserve">The target market for DCV is spaces in commercial buildings served by packaged single zone DX HVAC units, sometimes referred to as rooftop units (RTU) and split systems. </w:t>
            </w:r>
          </w:p>
          <w:p w14:paraId="55651E4A" w14:textId="77777777" w:rsidR="003F7372" w:rsidRDefault="003F7372" w:rsidP="003F7372">
            <w:pPr>
              <w:pStyle w:val="NoSpacing"/>
            </w:pPr>
          </w:p>
          <w:p w14:paraId="6E463AD1" w14:textId="3838A5CF" w:rsidR="009A2332" w:rsidRDefault="003F7372" w:rsidP="00CF3B59">
            <w:pPr>
              <w:pStyle w:val="NoSpacing"/>
            </w:pPr>
            <w:r w:rsidRPr="00F50B9D">
              <w:t xml:space="preserve">The measures described in this workpaper are available for 12 DEER building types: Asm (Assembly), EPr (Education – Primary School), ERC(Education - Relocatable Classroom), ESe(Education – Secondary School), EUn (Education – University), MBT (Manufacturing Biotech), OfS (Office - Small), RFF (Restaurant – Fast Food), RSD (Restaurant – Sit-Down), Rt3 (Retail – Multistory Large ), RtL(Retail – Single-Story Large), RtS (Retail – Small).  </w:t>
            </w:r>
            <w:r w:rsidR="00270088">
              <w:t>These measures are defined for all SCE California climate zones.</w:t>
            </w:r>
          </w:p>
        </w:tc>
      </w:tr>
      <w:tr w:rsidR="009A2332" w14:paraId="369C5B93" w14:textId="77777777" w:rsidTr="003F7372">
        <w:trPr>
          <w:trHeight w:val="576"/>
        </w:trPr>
        <w:tc>
          <w:tcPr>
            <w:tcW w:w="2605" w:type="dxa"/>
          </w:tcPr>
          <w:p w14:paraId="3E64C4BE" w14:textId="0CE1557B" w:rsidR="009A2332" w:rsidRDefault="009A2332" w:rsidP="009A2332">
            <w:r>
              <w:rPr>
                <w:rStyle w:val="Strong"/>
                <w:rFonts w:asciiTheme="minorHAnsi" w:hAnsiTheme="minorHAnsi"/>
                <w:szCs w:val="22"/>
              </w:rPr>
              <w:t>1.1 Measure &amp; Baseline</w:t>
            </w:r>
          </w:p>
        </w:tc>
        <w:tc>
          <w:tcPr>
            <w:tcW w:w="6750" w:type="dxa"/>
          </w:tcPr>
          <w:p w14:paraId="6695D10A" w14:textId="77777777" w:rsidR="003F7372" w:rsidRPr="002E2D99" w:rsidRDefault="003F7372" w:rsidP="003F7372">
            <w:pPr>
              <w:pStyle w:val="Reminders"/>
              <w:tabs>
                <w:tab w:val="num" w:pos="360"/>
              </w:tabs>
              <w:rPr>
                <w:rFonts w:asciiTheme="minorHAnsi" w:hAnsiTheme="minorHAnsi" w:cstheme="minorHAnsi"/>
                <w:i w:val="0"/>
                <w:color w:val="auto"/>
                <w:szCs w:val="22"/>
                <w:u w:val="single"/>
              </w:rPr>
            </w:pPr>
            <w:r w:rsidRPr="002E2D99">
              <w:rPr>
                <w:rFonts w:asciiTheme="minorHAnsi" w:hAnsiTheme="minorHAnsi" w:cstheme="minorHAnsi"/>
                <w:i w:val="0"/>
                <w:color w:val="auto"/>
                <w:szCs w:val="22"/>
                <w:u w:val="single"/>
              </w:rPr>
              <w:t>Baseline</w:t>
            </w:r>
          </w:p>
          <w:p w14:paraId="2B50555B" w14:textId="41594DBB" w:rsidR="003F7372" w:rsidRDefault="005B3BF4" w:rsidP="003F7372">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The base case for this measure is a </w:t>
            </w:r>
            <w:r w:rsidRPr="00605454">
              <w:rPr>
                <w:rFonts w:asciiTheme="minorHAnsi" w:hAnsiTheme="minorHAnsi" w:cstheme="minorHAnsi"/>
                <w:i w:val="0"/>
                <w:color w:val="auto"/>
                <w:szCs w:val="22"/>
              </w:rPr>
              <w:t>s</w:t>
            </w:r>
            <w:r>
              <w:rPr>
                <w:rFonts w:asciiTheme="minorHAnsi" w:hAnsiTheme="minorHAnsi" w:cstheme="minorHAnsi"/>
                <w:i w:val="0"/>
                <w:color w:val="auto"/>
                <w:szCs w:val="22"/>
              </w:rPr>
              <w:t>ingle zone packaged HVAC system with an economizer that</w:t>
            </w:r>
            <w:r w:rsidRPr="00605454">
              <w:rPr>
                <w:rFonts w:asciiTheme="minorHAnsi" w:hAnsiTheme="minorHAnsi" w:cstheme="minorHAnsi"/>
                <w:i w:val="0"/>
                <w:color w:val="auto"/>
                <w:szCs w:val="22"/>
              </w:rPr>
              <w:t xml:space="preserve"> provide</w:t>
            </w:r>
            <w:r>
              <w:rPr>
                <w:rFonts w:asciiTheme="minorHAnsi" w:hAnsiTheme="minorHAnsi" w:cstheme="minorHAnsi"/>
                <w:i w:val="0"/>
                <w:color w:val="auto"/>
                <w:szCs w:val="22"/>
              </w:rPr>
              <w:t>s</w:t>
            </w:r>
            <w:r w:rsidRPr="00605454">
              <w:rPr>
                <w:rFonts w:asciiTheme="minorHAnsi" w:hAnsiTheme="minorHAnsi" w:cstheme="minorHAnsi"/>
                <w:i w:val="0"/>
                <w:color w:val="auto"/>
                <w:szCs w:val="22"/>
              </w:rPr>
              <w:t xml:space="preserve"> a fixed amount of outside air ventilation to a space</w:t>
            </w:r>
            <w:r>
              <w:rPr>
                <w:rFonts w:asciiTheme="minorHAnsi" w:hAnsiTheme="minorHAnsi" w:cstheme="minorHAnsi"/>
                <w:i w:val="0"/>
                <w:color w:val="auto"/>
                <w:szCs w:val="22"/>
              </w:rPr>
              <w:t xml:space="preserve"> when not economizing.</w:t>
            </w:r>
            <w:r w:rsidR="00207C71">
              <w:rPr>
                <w:rFonts w:asciiTheme="minorHAnsi" w:hAnsiTheme="minorHAnsi" w:cstheme="minorHAnsi"/>
                <w:i w:val="0"/>
                <w:color w:val="auto"/>
                <w:szCs w:val="22"/>
              </w:rPr>
              <w:t xml:space="preserve"> </w:t>
            </w:r>
            <w:r w:rsidR="00207C71" w:rsidRPr="00207C71">
              <w:rPr>
                <w:rFonts w:asciiTheme="minorHAnsi" w:hAnsiTheme="minorHAnsi" w:cstheme="minorHAnsi"/>
                <w:i w:val="0"/>
                <w:color w:val="auto"/>
                <w:szCs w:val="22"/>
              </w:rPr>
              <w:t>Fixed position ventilation corresponding to Title 24 2016 requirement or 20% of supply air, whichever is greater</w:t>
            </w:r>
            <w:r w:rsidR="00207C71">
              <w:rPr>
                <w:rFonts w:asciiTheme="minorHAnsi" w:hAnsiTheme="minorHAnsi" w:cstheme="minorHAnsi"/>
                <w:i w:val="0"/>
                <w:color w:val="auto"/>
                <w:szCs w:val="22"/>
              </w:rPr>
              <w:t xml:space="preserve">. </w:t>
            </w:r>
          </w:p>
          <w:p w14:paraId="5FB084C4" w14:textId="77777777" w:rsidR="005B3BF4" w:rsidRDefault="005B3BF4" w:rsidP="003F7372">
            <w:pPr>
              <w:pStyle w:val="Reminders"/>
              <w:tabs>
                <w:tab w:val="num" w:pos="360"/>
              </w:tabs>
              <w:rPr>
                <w:rFonts w:asciiTheme="minorHAnsi" w:hAnsiTheme="minorHAnsi" w:cstheme="minorHAnsi"/>
                <w:i w:val="0"/>
                <w:color w:val="auto"/>
                <w:szCs w:val="22"/>
              </w:rPr>
            </w:pPr>
          </w:p>
          <w:p w14:paraId="43E749F7" w14:textId="77777777" w:rsidR="003F7372" w:rsidRPr="002E2D99" w:rsidRDefault="003F7372" w:rsidP="003F7372">
            <w:pPr>
              <w:pStyle w:val="Reminders"/>
              <w:tabs>
                <w:tab w:val="num" w:pos="360"/>
              </w:tabs>
              <w:rPr>
                <w:rFonts w:asciiTheme="minorHAnsi" w:hAnsiTheme="minorHAnsi" w:cstheme="minorHAnsi"/>
                <w:i w:val="0"/>
                <w:color w:val="auto"/>
                <w:szCs w:val="22"/>
                <w:u w:val="single"/>
              </w:rPr>
            </w:pPr>
            <w:r w:rsidRPr="002E2D99">
              <w:rPr>
                <w:rFonts w:asciiTheme="minorHAnsi" w:hAnsiTheme="minorHAnsi" w:cstheme="minorHAnsi"/>
                <w:i w:val="0"/>
                <w:color w:val="auto"/>
                <w:szCs w:val="22"/>
                <w:u w:val="single"/>
              </w:rPr>
              <w:t>Measure</w:t>
            </w:r>
          </w:p>
          <w:p w14:paraId="3ADC75B4" w14:textId="360684A2" w:rsidR="009A2332" w:rsidRDefault="00207C71" w:rsidP="003F7372">
            <w:r w:rsidRPr="00207C71">
              <w:t>Add Demand Controlled Ventilation (DCV) to an existing packaged single zone direct expansion (DX) HVAC unit with an economizer.</w:t>
            </w:r>
            <w:r>
              <w:t xml:space="preserve"> </w:t>
            </w:r>
            <w:r w:rsidR="005B3BF4">
              <w:t>This measure</w:t>
            </w:r>
            <w:r w:rsidR="005B3BF4" w:rsidRPr="005B3BF4">
              <w:t xml:space="preserve"> operates an existing economizer outside air damper based on measured CO2 concentration in the space or return duct</w:t>
            </w:r>
            <w:r w:rsidR="005B3BF4">
              <w:t>.</w:t>
            </w:r>
          </w:p>
        </w:tc>
      </w:tr>
      <w:tr w:rsidR="009A2332" w14:paraId="7CE0AC9F" w14:textId="77777777" w:rsidTr="003F7372">
        <w:trPr>
          <w:trHeight w:val="576"/>
        </w:trPr>
        <w:tc>
          <w:tcPr>
            <w:tcW w:w="2605" w:type="dxa"/>
          </w:tcPr>
          <w:p w14:paraId="2771E06F" w14:textId="3B991165" w:rsidR="009A2332" w:rsidRDefault="009A2332" w:rsidP="009A2332">
            <w:r>
              <w:rPr>
                <w:rStyle w:val="Strong"/>
                <w:rFonts w:asciiTheme="minorHAnsi" w:hAnsiTheme="minorHAnsi"/>
                <w:szCs w:val="22"/>
              </w:rPr>
              <w:t>1.2 Technical Description</w:t>
            </w:r>
          </w:p>
        </w:tc>
        <w:tc>
          <w:tcPr>
            <w:tcW w:w="6750" w:type="dxa"/>
          </w:tcPr>
          <w:p w14:paraId="56BBC77B" w14:textId="3220B778" w:rsidR="000A247D" w:rsidRDefault="000A247D" w:rsidP="009A2332"/>
        </w:tc>
      </w:tr>
      <w:tr w:rsidR="009A2332" w14:paraId="6A22A103" w14:textId="77777777" w:rsidTr="003F7372">
        <w:trPr>
          <w:trHeight w:val="576"/>
        </w:trPr>
        <w:tc>
          <w:tcPr>
            <w:tcW w:w="2605" w:type="dxa"/>
          </w:tcPr>
          <w:p w14:paraId="524B4207" w14:textId="7A3D34FE" w:rsidR="009A2332" w:rsidRDefault="009A2332" w:rsidP="009A2332">
            <w:r w:rsidRPr="009A2332">
              <w:rPr>
                <w:rStyle w:val="Strong"/>
                <w:rFonts w:asciiTheme="minorHAnsi" w:hAnsiTheme="minorHAnsi"/>
                <w:b w:val="0"/>
                <w:szCs w:val="22"/>
              </w:rPr>
              <w:t>Measures</w:t>
            </w:r>
          </w:p>
        </w:tc>
        <w:tc>
          <w:tcPr>
            <w:tcW w:w="6750" w:type="dxa"/>
          </w:tcPr>
          <w:p w14:paraId="2C2B53CE" w14:textId="77777777" w:rsidR="00BA7B41" w:rsidRDefault="00BA7B41" w:rsidP="00BA7B41">
            <w:r>
              <w:t>AC-22633 (HV026): Add ADEC and CO2 Sensor to AC unit with Gas Heat</w:t>
            </w:r>
          </w:p>
          <w:p w14:paraId="153ADE2E" w14:textId="77777777" w:rsidR="00BA7B41" w:rsidRDefault="00BA7B41" w:rsidP="00BA7B41">
            <w:r>
              <w:t>AC-86020 (HV027): Add CO2 Sensor to AC unit with Gas Heat with ADEC</w:t>
            </w:r>
          </w:p>
          <w:p w14:paraId="0E6A441C" w14:textId="77777777" w:rsidR="00BA7B41" w:rsidRDefault="00BA7B41" w:rsidP="00BA7B41">
            <w:r>
              <w:t>AC-61708 (HV028): Add ADEC and CO2 Sensor to AC only unit</w:t>
            </w:r>
          </w:p>
          <w:p w14:paraId="1DC39EE5" w14:textId="77777777" w:rsidR="00BA7B41" w:rsidRDefault="00BA7B41" w:rsidP="00BA7B41">
            <w:r>
              <w:t>AC-28289 (HV029): Add CO2 Sensor to AC only unit with ADEC</w:t>
            </w:r>
          </w:p>
          <w:p w14:paraId="74B37DEC" w14:textId="77777777" w:rsidR="00BA7B41" w:rsidRDefault="00BA7B41" w:rsidP="00BA7B41">
            <w:r>
              <w:t>AC-26856 (HV030): Add ADEC and CO2 Sensor to HP</w:t>
            </w:r>
          </w:p>
          <w:p w14:paraId="07944CED" w14:textId="77777777" w:rsidR="009A2332" w:rsidRDefault="00BA7B41" w:rsidP="00BA7B41">
            <w:r>
              <w:t>AC-59214 (HV031) Add CO2 Sensor to HP with ADEC</w:t>
            </w:r>
          </w:p>
          <w:p w14:paraId="46FAC479" w14:textId="77777777" w:rsidR="00BA7B41" w:rsidRDefault="00BA7B41" w:rsidP="00BA7B41"/>
          <w:p w14:paraId="1F19B917" w14:textId="40330F5F" w:rsidR="00EE5E5E" w:rsidRPr="00605454" w:rsidRDefault="00EE5E5E" w:rsidP="00EE5E5E">
            <w:pPr>
              <w:pStyle w:val="Reminders"/>
              <w:tabs>
                <w:tab w:val="num" w:pos="360"/>
              </w:tabs>
              <w:rPr>
                <w:rFonts w:asciiTheme="minorHAnsi" w:hAnsiTheme="minorHAnsi" w:cstheme="minorHAnsi"/>
                <w:i w:val="0"/>
                <w:color w:val="auto"/>
                <w:szCs w:val="22"/>
              </w:rPr>
            </w:pPr>
            <w:r w:rsidRPr="00605454">
              <w:rPr>
                <w:rFonts w:asciiTheme="minorHAnsi" w:hAnsiTheme="minorHAnsi" w:cstheme="minorHAnsi"/>
                <w:i w:val="0"/>
                <w:color w:val="auto"/>
                <w:szCs w:val="22"/>
              </w:rPr>
              <w:lastRenderedPageBreak/>
              <w:t xml:space="preserve">When not economizing, most systems that do have economizers provide a fixed </w:t>
            </w:r>
            <w:r>
              <w:rPr>
                <w:rFonts w:asciiTheme="minorHAnsi" w:hAnsiTheme="minorHAnsi" w:cstheme="minorHAnsi"/>
                <w:i w:val="0"/>
                <w:color w:val="auto"/>
                <w:szCs w:val="22"/>
              </w:rPr>
              <w:t xml:space="preserve">minimum amount of outside air, depending on the greater of two Title 24 2016 requirements- a floor area-based ventilation rate and an occupant-based ventilation rate. </w:t>
            </w:r>
            <w:r w:rsidRPr="00605454">
              <w:rPr>
                <w:rFonts w:asciiTheme="minorHAnsi" w:hAnsiTheme="minorHAnsi" w:cstheme="minorHAnsi"/>
                <w:i w:val="0"/>
                <w:color w:val="auto"/>
                <w:szCs w:val="22"/>
              </w:rPr>
              <w:t>This may result in over-ventilation during times when the</w:t>
            </w:r>
            <w:r>
              <w:rPr>
                <w:rFonts w:asciiTheme="minorHAnsi" w:hAnsiTheme="minorHAnsi" w:cstheme="minorHAnsi"/>
                <w:i w:val="0"/>
                <w:color w:val="auto"/>
                <w:szCs w:val="22"/>
              </w:rPr>
              <w:t>ir</w:t>
            </w:r>
            <w:r w:rsidRPr="00605454">
              <w:rPr>
                <w:rFonts w:asciiTheme="minorHAnsi" w:hAnsiTheme="minorHAnsi" w:cstheme="minorHAnsi"/>
                <w:i w:val="0"/>
                <w:color w:val="auto"/>
                <w:szCs w:val="22"/>
              </w:rPr>
              <w:t xml:space="preserve"> space</w:t>
            </w:r>
            <w:r>
              <w:rPr>
                <w:rFonts w:asciiTheme="minorHAnsi" w:hAnsiTheme="minorHAnsi" w:cstheme="minorHAnsi"/>
                <w:i w:val="0"/>
                <w:color w:val="auto"/>
                <w:szCs w:val="22"/>
              </w:rPr>
              <w:t>s have few</w:t>
            </w:r>
            <w:r w:rsidRPr="00605454">
              <w:rPr>
                <w:rFonts w:asciiTheme="minorHAnsi" w:hAnsiTheme="minorHAnsi" w:cstheme="minorHAnsi"/>
                <w:i w:val="0"/>
                <w:color w:val="auto"/>
                <w:szCs w:val="22"/>
              </w:rPr>
              <w:t xml:space="preserve"> occupants. When the occupant-dependent rate is greater than the floor-area dependent rate, DCV may be used to reduce the minimum amount of ventilation that must be supplied to the space. DCV allows the system to provide additional ventilation up to the occupant-dependent rate only when necessary for periods of high occupancy. </w:t>
            </w:r>
          </w:p>
          <w:p w14:paraId="08116115" w14:textId="77777777" w:rsidR="00BA7B41" w:rsidRDefault="00BA7B41" w:rsidP="00BA7B41"/>
          <w:p w14:paraId="2C30E089" w14:textId="3143D4C9" w:rsidR="00AF468C" w:rsidRDefault="00AF468C" w:rsidP="00BA7B41">
            <w:r>
              <w:t>Refer to PGECO</w:t>
            </w:r>
            <w:r w:rsidRPr="0030666F">
              <w:t>HVC</w:t>
            </w:r>
            <w:r>
              <w:t>168_R2 Section 1.2 for detailed savings description.</w:t>
            </w:r>
          </w:p>
        </w:tc>
      </w:tr>
      <w:tr w:rsidR="009A2332" w14:paraId="59049B71" w14:textId="77777777" w:rsidTr="003F7372">
        <w:trPr>
          <w:trHeight w:val="576"/>
        </w:trPr>
        <w:tc>
          <w:tcPr>
            <w:tcW w:w="2605" w:type="dxa"/>
          </w:tcPr>
          <w:p w14:paraId="4D87E79A" w14:textId="1926E44B" w:rsidR="009A2332" w:rsidRDefault="009A2332" w:rsidP="009A2332">
            <w:r w:rsidRPr="009A2332">
              <w:rPr>
                <w:rStyle w:val="Strong"/>
                <w:rFonts w:asciiTheme="minorHAnsi" w:hAnsiTheme="minorHAnsi"/>
                <w:b w:val="0"/>
                <w:szCs w:val="22"/>
              </w:rPr>
              <w:lastRenderedPageBreak/>
              <w:t>Code for All Measures</w:t>
            </w:r>
          </w:p>
        </w:tc>
        <w:tc>
          <w:tcPr>
            <w:tcW w:w="6750" w:type="dxa"/>
          </w:tcPr>
          <w:p w14:paraId="69CDC73B" w14:textId="5A5DB3BE" w:rsidR="00207C71" w:rsidRPr="00F50B9D" w:rsidRDefault="00207C71" w:rsidP="00207C71">
            <w:pPr>
              <w:pStyle w:val="NoSpacing"/>
            </w:pPr>
            <w:r w:rsidRPr="00207C71">
              <w:t xml:space="preserve">This measure is a retrofit to an existing system and is not governed by </w:t>
            </w:r>
            <w:r w:rsidR="00C977A7">
              <w:t>either state or federal codes/</w:t>
            </w:r>
            <w:r w:rsidRPr="00207C71">
              <w:t>standards as long as the project does not include other code-triggering activities such as replacement of HVAC systems. However Title 24 2016 provides economizer control, general ventilation, and DCV requirements that are considered to be</w:t>
            </w:r>
            <w:r>
              <w:t xml:space="preserve"> best practice.  </w:t>
            </w:r>
          </w:p>
          <w:p w14:paraId="0955CC9E" w14:textId="77777777" w:rsidR="009A2332" w:rsidRDefault="009A2332" w:rsidP="00207C71">
            <w:pPr>
              <w:pStyle w:val="NoSpacing"/>
            </w:pPr>
          </w:p>
          <w:p w14:paraId="71CCCDEB" w14:textId="18BEA0A4" w:rsidR="00207C71" w:rsidRDefault="00207C71" w:rsidP="00207C71">
            <w:pPr>
              <w:pStyle w:val="NoSpacing"/>
            </w:pPr>
            <w:r>
              <w:t>Refer to Section</w:t>
            </w:r>
            <w:r w:rsidR="00A26FEB">
              <w:t xml:space="preserve"> 1.4.2 of PGECOHVC168_R2 for additional details. </w:t>
            </w:r>
          </w:p>
        </w:tc>
      </w:tr>
      <w:tr w:rsidR="009A2332" w14:paraId="7696972E" w14:textId="77777777" w:rsidTr="003F7372">
        <w:trPr>
          <w:trHeight w:val="576"/>
        </w:trPr>
        <w:tc>
          <w:tcPr>
            <w:tcW w:w="2605" w:type="dxa"/>
          </w:tcPr>
          <w:p w14:paraId="20CC2D9F" w14:textId="0410DA01" w:rsidR="009A2332" w:rsidRDefault="009A2332" w:rsidP="009A2332">
            <w:r w:rsidRPr="009A2332">
              <w:rPr>
                <w:rStyle w:val="Strong"/>
                <w:rFonts w:asciiTheme="minorHAnsi" w:hAnsiTheme="minorHAnsi"/>
                <w:b w:val="0"/>
                <w:szCs w:val="22"/>
              </w:rPr>
              <w:t>Requirements</w:t>
            </w:r>
          </w:p>
        </w:tc>
        <w:tc>
          <w:tcPr>
            <w:tcW w:w="6750" w:type="dxa"/>
          </w:tcPr>
          <w:p w14:paraId="4CDAFDC7" w14:textId="7F9F9E2A" w:rsidR="00207C71" w:rsidRDefault="00715176" w:rsidP="00207C71">
            <w:pPr>
              <w:pStyle w:val="NoSpacing"/>
            </w:pPr>
            <w:r w:rsidRPr="00715176">
              <w:t xml:space="preserve">Equipment used for the measure must meet the following qualifications for rebate eligibility. The requirements below draw on Title 24 2016 §120.1(a)4 requirements for DCV, although they deviate slightly in some respects since the application of retrofit controls on a packaged unit is not considered a code-triggering event. </w:t>
            </w:r>
            <w:r w:rsidR="00207C71" w:rsidRPr="00F50B9D">
              <w:t>One primary deviation from Title 24 201</w:t>
            </w:r>
            <w:r w:rsidR="00207C71">
              <w:t>6</w:t>
            </w:r>
            <w:r w:rsidR="00207C71" w:rsidRPr="00F50B9D">
              <w:t xml:space="preserve"> requirements is that a return air duct-mounted CO2 sensor is allowed whereas Title 24 201</w:t>
            </w:r>
            <w:r w:rsidR="00207C71">
              <w:t>6</w:t>
            </w:r>
            <w:r w:rsidR="00207C71" w:rsidRPr="00F50B9D">
              <w:t xml:space="preserve"> specifies that the sensor must be mounted in the zone and include a display. </w:t>
            </w:r>
          </w:p>
          <w:p w14:paraId="08468A59" w14:textId="77777777" w:rsidR="00207C71" w:rsidRPr="00F50B9D" w:rsidRDefault="00207C71" w:rsidP="00207C71">
            <w:pPr>
              <w:pStyle w:val="NoSpacing"/>
            </w:pPr>
          </w:p>
          <w:p w14:paraId="15361DA6" w14:textId="77777777" w:rsidR="00207C71" w:rsidRPr="00F50B9D" w:rsidRDefault="00207C71" w:rsidP="00207C71">
            <w:pPr>
              <w:pStyle w:val="NoSpacing"/>
              <w:numPr>
                <w:ilvl w:val="0"/>
                <w:numId w:val="39"/>
              </w:numPr>
            </w:pPr>
            <w:r w:rsidRPr="00F50B9D">
              <w:t>To be eligible for CO2 sensor-only rebate</w:t>
            </w:r>
            <w:r>
              <w:t>,</w:t>
            </w:r>
            <w:r w:rsidRPr="00F50B9D">
              <w:t xml:space="preserve"> existing economizer control must be a digital type control and must have the capability to control the damper in response to a CO2 sensor signal.</w:t>
            </w:r>
          </w:p>
          <w:p w14:paraId="581C2E50" w14:textId="77777777" w:rsidR="00207C71" w:rsidRPr="00F50B9D" w:rsidRDefault="00207C71" w:rsidP="00207C71">
            <w:pPr>
              <w:pStyle w:val="NoSpacing"/>
              <w:numPr>
                <w:ilvl w:val="0"/>
                <w:numId w:val="39"/>
              </w:numPr>
            </w:pPr>
            <w:r w:rsidRPr="00F50B9D">
              <w:t>To be eligible for ADEC with CO2 sensor rebate</w:t>
            </w:r>
            <w:r>
              <w:t>,</w:t>
            </w:r>
            <w:r w:rsidRPr="00F50B9D">
              <w:t xml:space="preserve"> a program-qualifying ADEC or Enhanced Ventilation controller must be installed in addition to the CO2 sensor. See bullet above for qualifying ADEC specification.</w:t>
            </w:r>
          </w:p>
          <w:p w14:paraId="4C299811" w14:textId="03D51B68" w:rsidR="00207C71" w:rsidRPr="00F50B9D" w:rsidRDefault="00207C71" w:rsidP="00207C71">
            <w:pPr>
              <w:pStyle w:val="NoSpacing"/>
              <w:numPr>
                <w:ilvl w:val="0"/>
                <w:numId w:val="39"/>
              </w:numPr>
            </w:pPr>
            <w:r w:rsidRPr="00F50B9D">
              <w:t xml:space="preserve">For each system with demand one sensor per 10,000 ft² of floor space. When a zone or a </w:t>
            </w:r>
            <w:r w:rsidR="00715176" w:rsidRPr="00F50B9D">
              <w:t xml:space="preserve">control ventilation, CO2 sensors shall be installed in each room with no less than </w:t>
            </w:r>
            <w:r w:rsidRPr="00F50B9D">
              <w:t xml:space="preserve">space is served by more than one sensor, signal from any sensor indicating that CO2 is near or at the setpoint within a space, shall trigger an increase in ventilation to the space. </w:t>
            </w:r>
          </w:p>
          <w:p w14:paraId="72BB9851" w14:textId="77777777" w:rsidR="00207C71" w:rsidRPr="00F50B9D" w:rsidRDefault="00207C71" w:rsidP="00207C71">
            <w:pPr>
              <w:pStyle w:val="NoSpacing"/>
              <w:numPr>
                <w:ilvl w:val="0"/>
                <w:numId w:val="39"/>
              </w:numPr>
            </w:pPr>
            <w:r w:rsidRPr="00F50B9D">
              <w:lastRenderedPageBreak/>
              <w:t>Upon detection of sensor failure, the system shall provide a signal which resets to supply the minimum quantity of outside air to the level required if DCV were not installed.</w:t>
            </w:r>
          </w:p>
          <w:p w14:paraId="1BB559A3" w14:textId="1175635A" w:rsidR="00207C71" w:rsidRPr="00F50B9D" w:rsidRDefault="00207C71" w:rsidP="00A952BE">
            <w:pPr>
              <w:pStyle w:val="NoSpacing"/>
              <w:numPr>
                <w:ilvl w:val="0"/>
                <w:numId w:val="39"/>
              </w:numPr>
            </w:pPr>
            <w:r w:rsidRPr="00F50B9D">
              <w:t>CO2 sensors shall be certified by the manufacturer to be accurate within plus or minus 75 ppm at a 600 and 1</w:t>
            </w:r>
            <w:r>
              <w:t>,</w:t>
            </w:r>
            <w:r w:rsidRPr="00F50B9D">
              <w:t>000 ppm concentration when measured at sea level and 25°C, factory</w:t>
            </w:r>
            <w:r w:rsidR="00715176">
              <w:t xml:space="preserve"> </w:t>
            </w:r>
            <w:r w:rsidRPr="00F50B9D">
              <w:t>calibrated, and certified by the manufacturer to require calibration no more frequently than once every 5 years.</w:t>
            </w:r>
          </w:p>
          <w:p w14:paraId="500CF239" w14:textId="77777777" w:rsidR="00207C71" w:rsidRDefault="00207C71" w:rsidP="00207C71">
            <w:pPr>
              <w:pStyle w:val="NoSpacing"/>
            </w:pPr>
          </w:p>
          <w:p w14:paraId="2FA3CD56" w14:textId="24FD9AD5" w:rsidR="003F7372" w:rsidRPr="00F50B9D" w:rsidRDefault="003F7372" w:rsidP="003F7372">
            <w:pPr>
              <w:pStyle w:val="NoSpacing"/>
            </w:pPr>
            <w:r w:rsidRPr="00F50B9D">
              <w:t>The following eligibility requirements must be satisfied prior to application of the measure:</w:t>
            </w:r>
          </w:p>
          <w:p w14:paraId="3A0924D9" w14:textId="77777777" w:rsidR="003F7372" w:rsidRPr="00F50B9D" w:rsidRDefault="003F7372" w:rsidP="003F7372">
            <w:pPr>
              <w:pStyle w:val="NoSpacing"/>
              <w:numPr>
                <w:ilvl w:val="0"/>
                <w:numId w:val="38"/>
              </w:numPr>
            </w:pPr>
            <w:r w:rsidRPr="00F50B9D">
              <w:t>Existing system must be packaged single zone DX cooling unit with gas heat [HV026, HV027], cooling only unit [HV028, HV029], or heat pump [HV030, HV031]</w:t>
            </w:r>
          </w:p>
          <w:p w14:paraId="0BD7730D" w14:textId="2D077FFD" w:rsidR="003F7372" w:rsidRPr="00F50B9D" w:rsidRDefault="003F7372" w:rsidP="003F7372">
            <w:pPr>
              <w:pStyle w:val="NoSpacing"/>
              <w:numPr>
                <w:ilvl w:val="0"/>
                <w:numId w:val="38"/>
              </w:numPr>
            </w:pPr>
            <w:r w:rsidRPr="00F50B9D">
              <w:t>Existing system must have an operable airside economizer installed, and economizer high limit must be optimized for the climate per Title 24 201</w:t>
            </w:r>
            <w:r>
              <w:t>6</w:t>
            </w:r>
            <w:r w:rsidRPr="00F50B9D">
              <w:t xml:space="preserve"> Table 140.4-B, adapted </w:t>
            </w:r>
            <w:r w:rsidR="00A26FEB">
              <w:t>as shown</w:t>
            </w:r>
            <w:r w:rsidRPr="00F50B9D">
              <w:t xml:space="preserve"> in </w:t>
            </w:r>
            <w:r w:rsidRPr="00F50B9D">
              <w:fldChar w:fldCharType="begin"/>
            </w:r>
            <w:r w:rsidRPr="00F50B9D">
              <w:instrText xml:space="preserve"> REF _Ref384196313 \h  \* MERGEFORMAT </w:instrText>
            </w:r>
            <w:r w:rsidRPr="00F50B9D">
              <w:fldChar w:fldCharType="separate"/>
            </w:r>
            <w:r w:rsidRPr="00F50B9D">
              <w:t>Table 1</w:t>
            </w:r>
            <w:r w:rsidRPr="00F50B9D">
              <w:fldChar w:fldCharType="end"/>
            </w:r>
            <w:r w:rsidRPr="00F50B9D">
              <w:t xml:space="preserve"> </w:t>
            </w:r>
            <w:r w:rsidR="00A26FEB">
              <w:t xml:space="preserve">of PGECOHVC168_R2 for reference. </w:t>
            </w:r>
          </w:p>
          <w:p w14:paraId="63656182" w14:textId="77777777" w:rsidR="003F7372" w:rsidRPr="00F50B9D" w:rsidRDefault="003F7372" w:rsidP="003F7372">
            <w:pPr>
              <w:pStyle w:val="NoSpacing"/>
              <w:numPr>
                <w:ilvl w:val="0"/>
                <w:numId w:val="38"/>
              </w:numPr>
            </w:pPr>
            <w:r w:rsidRPr="00F50B9D">
              <w:t xml:space="preserve">Existing system must ventilate continuously during occupied hours and may not have any other device previously installed that is intended to perform DCV such as an occupancy sensor that controls ventilation rate. </w:t>
            </w:r>
          </w:p>
          <w:p w14:paraId="28075E62" w14:textId="77777777" w:rsidR="009A2332" w:rsidRDefault="003F7372" w:rsidP="009A2332">
            <w:pPr>
              <w:pStyle w:val="NoSpacing"/>
              <w:numPr>
                <w:ilvl w:val="0"/>
                <w:numId w:val="38"/>
              </w:numPr>
            </w:pPr>
            <w:r w:rsidRPr="00F50B9D">
              <w:t>The measure shall only be applied where it will result in a reduction to the overall ventilation that is supplied for the space.</w:t>
            </w:r>
          </w:p>
          <w:p w14:paraId="09084638" w14:textId="77777777" w:rsidR="00A26FEB" w:rsidRDefault="00A26FEB" w:rsidP="00A26FEB">
            <w:pPr>
              <w:pStyle w:val="NoSpacing"/>
            </w:pPr>
          </w:p>
          <w:p w14:paraId="53FEF1FF" w14:textId="08E823EB" w:rsidR="00A26FEB" w:rsidRDefault="00A26FEB" w:rsidP="00A26FEB">
            <w:pPr>
              <w:pStyle w:val="NoSpacing"/>
            </w:pPr>
            <w:r>
              <w:t xml:space="preserve">Refer to Section 1.1 of PGECOHVC168_R2 for additional details. </w:t>
            </w:r>
          </w:p>
        </w:tc>
      </w:tr>
      <w:tr w:rsidR="009A2332" w14:paraId="40AF0DB1" w14:textId="77777777" w:rsidTr="003F7372">
        <w:trPr>
          <w:trHeight w:val="576"/>
        </w:trPr>
        <w:tc>
          <w:tcPr>
            <w:tcW w:w="2605" w:type="dxa"/>
          </w:tcPr>
          <w:p w14:paraId="0A32ADDC" w14:textId="15881A27" w:rsidR="009A2332" w:rsidRDefault="009A2332" w:rsidP="009A2332">
            <w:r>
              <w:rPr>
                <w:rStyle w:val="Strong"/>
                <w:rFonts w:asciiTheme="minorHAnsi" w:hAnsiTheme="minorHAnsi"/>
                <w:szCs w:val="22"/>
              </w:rPr>
              <w:lastRenderedPageBreak/>
              <w:t>1.3 Installation Type and Delivery Mechanisms</w:t>
            </w:r>
          </w:p>
        </w:tc>
        <w:tc>
          <w:tcPr>
            <w:tcW w:w="6750" w:type="dxa"/>
          </w:tcPr>
          <w:p w14:paraId="554484FF" w14:textId="77777777" w:rsidR="009A2332" w:rsidRDefault="009A2332" w:rsidP="009A2332"/>
        </w:tc>
      </w:tr>
      <w:tr w:rsidR="009A2332" w14:paraId="5D5B8844" w14:textId="77777777" w:rsidTr="003F7372">
        <w:trPr>
          <w:trHeight w:val="576"/>
        </w:trPr>
        <w:tc>
          <w:tcPr>
            <w:tcW w:w="2605" w:type="dxa"/>
          </w:tcPr>
          <w:p w14:paraId="75A73897" w14:textId="21601014" w:rsidR="009A2332" w:rsidRDefault="009A2332" w:rsidP="009A2332">
            <w:r w:rsidRPr="009A2332">
              <w:rPr>
                <w:rStyle w:val="Strong"/>
                <w:rFonts w:asciiTheme="minorHAnsi" w:hAnsiTheme="minorHAnsi"/>
                <w:b w:val="0"/>
                <w:szCs w:val="22"/>
              </w:rPr>
              <w:t>Installation Type</w:t>
            </w:r>
          </w:p>
        </w:tc>
        <w:tc>
          <w:tcPr>
            <w:tcW w:w="6750" w:type="dxa"/>
          </w:tcPr>
          <w:p w14:paraId="2B32F7DC" w14:textId="43DB5DB1" w:rsidR="009A2332" w:rsidRDefault="001A0B85" w:rsidP="00C977A7">
            <w:r w:rsidRPr="00F16068">
              <w:t xml:space="preserve">Deviation. </w:t>
            </w:r>
            <w:r w:rsidRPr="00EB27D2">
              <w:t>Install type</w:t>
            </w:r>
            <w:r w:rsidRPr="00F16068">
              <w:t xml:space="preserve"> changed from </w:t>
            </w:r>
            <w:r>
              <w:t>Retrofit Add-On (REA</w:t>
            </w:r>
            <w:r w:rsidRPr="00F16068">
              <w:t>) to</w:t>
            </w:r>
            <w:r w:rsidRPr="00EB27D2">
              <w:t xml:space="preserve"> </w:t>
            </w:r>
            <w:r w:rsidR="00B81865">
              <w:t xml:space="preserve">2019 Install type: </w:t>
            </w:r>
            <w:r w:rsidR="00C977A7">
              <w:rPr>
                <w:b/>
              </w:rPr>
              <w:t>Add On Equipment (AOE)</w:t>
            </w:r>
          </w:p>
        </w:tc>
      </w:tr>
      <w:tr w:rsidR="009A2332" w14:paraId="3CF006A0" w14:textId="77777777" w:rsidTr="003F7372">
        <w:trPr>
          <w:trHeight w:val="576"/>
        </w:trPr>
        <w:tc>
          <w:tcPr>
            <w:tcW w:w="2605" w:type="dxa"/>
          </w:tcPr>
          <w:p w14:paraId="548E0861" w14:textId="7D5594CC" w:rsidR="009A2332" w:rsidRDefault="009A2332" w:rsidP="009A2332">
            <w:r w:rsidRPr="009A2332">
              <w:rPr>
                <w:rStyle w:val="Strong"/>
                <w:rFonts w:asciiTheme="minorHAnsi" w:hAnsiTheme="minorHAnsi"/>
                <w:b w:val="0"/>
                <w:szCs w:val="22"/>
              </w:rPr>
              <w:t>Delivery Mechanisms</w:t>
            </w:r>
          </w:p>
        </w:tc>
        <w:tc>
          <w:tcPr>
            <w:tcW w:w="6750" w:type="dxa"/>
          </w:tcPr>
          <w:p w14:paraId="2F82D556" w14:textId="77777777" w:rsidR="00B81865" w:rsidRDefault="00B81865" w:rsidP="00B81865">
            <w:r w:rsidRPr="00D32F40">
              <w:t>Financial Support</w:t>
            </w:r>
            <w:r>
              <w:t xml:space="preserve">: Direct Install, </w:t>
            </w:r>
            <w:r>
              <w:br/>
              <w:t>Financial Support: Down-Stream Incentive – Deemed,</w:t>
            </w:r>
          </w:p>
          <w:p w14:paraId="36A86545" w14:textId="77777777" w:rsidR="001A0B85" w:rsidRDefault="001A0B85" w:rsidP="001A0B85">
            <w:r>
              <w:t>Deviation, adding:</w:t>
            </w:r>
          </w:p>
          <w:p w14:paraId="7541E559" w14:textId="77777777" w:rsidR="001A0B85" w:rsidRPr="006C0E9E" w:rsidRDefault="001A0B85" w:rsidP="001A0B85">
            <w:pPr>
              <w:pStyle w:val="ListParagraph"/>
              <w:numPr>
                <w:ilvl w:val="0"/>
                <w:numId w:val="42"/>
              </w:numPr>
              <w:rPr>
                <w:b/>
              </w:rPr>
            </w:pPr>
            <w:r w:rsidRPr="006C0E9E">
              <w:rPr>
                <w:b/>
              </w:rPr>
              <w:t>Mid-Stream Programs: Mid-Stream Incentive</w:t>
            </w:r>
          </w:p>
          <w:p w14:paraId="7C088D00" w14:textId="77777777" w:rsidR="001A0B85" w:rsidRPr="006C0E9E" w:rsidRDefault="001A0B85" w:rsidP="001A0B85">
            <w:pPr>
              <w:pStyle w:val="ListParagraph"/>
              <w:numPr>
                <w:ilvl w:val="0"/>
                <w:numId w:val="42"/>
              </w:numPr>
              <w:rPr>
                <w:b/>
              </w:rPr>
            </w:pPr>
            <w:r w:rsidRPr="006C0E9E">
              <w:rPr>
                <w:b/>
              </w:rPr>
              <w:t>Up-Stream Programs: Up-Stream Incentive</w:t>
            </w:r>
          </w:p>
          <w:p w14:paraId="1B4A2124" w14:textId="77777777" w:rsidR="00715176" w:rsidRDefault="00715176" w:rsidP="00B81865"/>
          <w:p w14:paraId="67E45078" w14:textId="41A8BE58" w:rsidR="00715176" w:rsidRDefault="00715176" w:rsidP="00B81865">
            <w:r w:rsidRPr="00715176">
              <w:t>For SCE, incentive methods include On-bill Finance/Loan - The program offers financing for the cost an efficient measure as part of the utility bill. This can be an add-on option to an existing program or can serve as an organizing principle for its o</w:t>
            </w:r>
            <w:r>
              <w:t xml:space="preserve">wn program. </w:t>
            </w:r>
          </w:p>
        </w:tc>
      </w:tr>
      <w:tr w:rsidR="009A2332" w14:paraId="09F7817D" w14:textId="77777777" w:rsidTr="003F7372">
        <w:trPr>
          <w:trHeight w:val="576"/>
        </w:trPr>
        <w:tc>
          <w:tcPr>
            <w:tcW w:w="2605" w:type="dxa"/>
          </w:tcPr>
          <w:p w14:paraId="68DCF28E" w14:textId="573A4587" w:rsidR="009A2332" w:rsidRDefault="009A2332" w:rsidP="009A2332">
            <w:r>
              <w:rPr>
                <w:rStyle w:val="Strong"/>
                <w:rFonts w:asciiTheme="minorHAnsi" w:hAnsiTheme="minorHAnsi"/>
                <w:szCs w:val="22"/>
              </w:rPr>
              <w:t>1.4.1 DEER Data</w:t>
            </w:r>
          </w:p>
        </w:tc>
        <w:tc>
          <w:tcPr>
            <w:tcW w:w="6750" w:type="dxa"/>
          </w:tcPr>
          <w:p w14:paraId="7F520E32" w14:textId="77777777" w:rsidR="009A2332" w:rsidRDefault="009A2332" w:rsidP="009A2332"/>
        </w:tc>
      </w:tr>
      <w:tr w:rsidR="007F3D47" w14:paraId="51073860" w14:textId="77777777" w:rsidTr="003F7372">
        <w:trPr>
          <w:trHeight w:val="576"/>
        </w:trPr>
        <w:tc>
          <w:tcPr>
            <w:tcW w:w="2605" w:type="dxa"/>
          </w:tcPr>
          <w:p w14:paraId="07705888" w14:textId="718A29C7" w:rsidR="007F3D47" w:rsidRDefault="007F3D47" w:rsidP="007F3D47">
            <w:r w:rsidRPr="009A2332">
              <w:rPr>
                <w:rStyle w:val="Strong"/>
                <w:rFonts w:asciiTheme="minorHAnsi" w:hAnsiTheme="minorHAnsi"/>
                <w:b w:val="0"/>
                <w:szCs w:val="22"/>
              </w:rPr>
              <w:lastRenderedPageBreak/>
              <w:t>Net-Gross-Ratio</w:t>
            </w:r>
          </w:p>
        </w:tc>
        <w:tc>
          <w:tcPr>
            <w:tcW w:w="6750" w:type="dxa"/>
          </w:tcPr>
          <w:p w14:paraId="2EFE41DE" w14:textId="3E01B26E" w:rsidR="007F3D47" w:rsidRDefault="007F3D47" w:rsidP="007F3D47">
            <w:r>
              <w:t xml:space="preserve">NTG ID: </w:t>
            </w:r>
            <w:r w:rsidRPr="006D4915">
              <w:rPr>
                <w:szCs w:val="20"/>
              </w:rPr>
              <w:t>Com-Default&gt;2yrs</w:t>
            </w:r>
            <w:r w:rsidR="006A38E1">
              <w:t xml:space="preserve">, </w:t>
            </w:r>
            <w:r w:rsidR="006A38E1" w:rsidRPr="006A38E1">
              <w:t>Agric-Default&gt;2yrs</w:t>
            </w:r>
            <w:r w:rsidR="006A38E1">
              <w:t xml:space="preserve">, </w:t>
            </w:r>
            <w:r w:rsidR="006A38E1" w:rsidRPr="006A38E1">
              <w:t>Ind-Default&gt;2yrs</w:t>
            </w:r>
          </w:p>
          <w:p w14:paraId="7C01181E" w14:textId="6B31BB69" w:rsidR="007F3D47" w:rsidRDefault="007F3D47" w:rsidP="007F3D47">
            <w:r>
              <w:t>NTGR: 0.60</w:t>
            </w:r>
          </w:p>
        </w:tc>
      </w:tr>
      <w:tr w:rsidR="007F3D47" w14:paraId="7A4E17C4" w14:textId="77777777" w:rsidTr="003F7372">
        <w:trPr>
          <w:trHeight w:val="576"/>
        </w:trPr>
        <w:tc>
          <w:tcPr>
            <w:tcW w:w="2605" w:type="dxa"/>
          </w:tcPr>
          <w:p w14:paraId="08063215" w14:textId="5C719A0C" w:rsidR="007F3D47" w:rsidRDefault="007F3D47" w:rsidP="007F3D47">
            <w:r w:rsidRPr="009A2332">
              <w:rPr>
                <w:rStyle w:val="Strong"/>
                <w:rFonts w:asciiTheme="minorHAnsi" w:hAnsiTheme="minorHAnsi"/>
                <w:b w:val="0"/>
                <w:szCs w:val="22"/>
              </w:rPr>
              <w:t>Effective and Remaining Useful Life</w:t>
            </w:r>
          </w:p>
        </w:tc>
        <w:tc>
          <w:tcPr>
            <w:tcW w:w="6750" w:type="dxa"/>
          </w:tcPr>
          <w:p w14:paraId="2207B38D" w14:textId="085629DA" w:rsidR="007F3D47" w:rsidRDefault="001A0B85" w:rsidP="007F3D47">
            <w:r>
              <w:t xml:space="preserve">EUL ID: </w:t>
            </w:r>
            <w:r>
              <w:rPr>
                <w:rFonts w:ascii="Calibri" w:hAnsi="Calibri" w:cs="Calibri"/>
                <w:szCs w:val="22"/>
              </w:rPr>
              <w:t>HVAC-VSD-DCV</w:t>
            </w:r>
            <w:r>
              <w:t xml:space="preserve"> (EUL: 15.0 / RUL: 3.0)</w:t>
            </w:r>
          </w:p>
          <w:p w14:paraId="70BC13BC" w14:textId="04E3BFD1" w:rsidR="00C34273" w:rsidRDefault="00973149" w:rsidP="007F3D47">
            <w:bookmarkStart w:id="5" w:name="_Hlk533598442"/>
            <w:r>
              <w:t>T</w:t>
            </w:r>
            <w:r w:rsidR="00C34273" w:rsidRPr="00C34273">
              <w:t>he first baseline life is the RUL of the host equipment life. 1st Baseline life = 5 years.</w:t>
            </w:r>
            <w:bookmarkEnd w:id="5"/>
          </w:p>
        </w:tc>
      </w:tr>
      <w:tr w:rsidR="009A2332" w14:paraId="7C928286" w14:textId="77777777" w:rsidTr="003F7372">
        <w:trPr>
          <w:trHeight w:val="576"/>
        </w:trPr>
        <w:tc>
          <w:tcPr>
            <w:tcW w:w="2605" w:type="dxa"/>
          </w:tcPr>
          <w:p w14:paraId="6ECE75DB" w14:textId="0D2FA7C9" w:rsidR="009A2332" w:rsidRDefault="009A2332" w:rsidP="009A2332">
            <w:r>
              <w:rPr>
                <w:rStyle w:val="Strong"/>
                <w:rFonts w:asciiTheme="minorHAnsi" w:hAnsiTheme="minorHAnsi"/>
                <w:szCs w:val="22"/>
              </w:rPr>
              <w:t>Section 2. Calculation Methodology</w:t>
            </w:r>
          </w:p>
        </w:tc>
        <w:tc>
          <w:tcPr>
            <w:tcW w:w="6750" w:type="dxa"/>
          </w:tcPr>
          <w:p w14:paraId="018C407C" w14:textId="77777777" w:rsidR="009A2332" w:rsidRDefault="009A2332" w:rsidP="009A2332"/>
        </w:tc>
      </w:tr>
      <w:tr w:rsidR="009A2332" w14:paraId="2060FD54" w14:textId="77777777" w:rsidTr="003F7372">
        <w:trPr>
          <w:trHeight w:val="576"/>
        </w:trPr>
        <w:tc>
          <w:tcPr>
            <w:tcW w:w="2605" w:type="dxa"/>
          </w:tcPr>
          <w:p w14:paraId="768E3560" w14:textId="7844934C" w:rsidR="009A2332" w:rsidRDefault="009A2332" w:rsidP="009A2332">
            <w:r w:rsidRPr="009A2332">
              <w:rPr>
                <w:rStyle w:val="Strong"/>
                <w:rFonts w:asciiTheme="minorHAnsi" w:hAnsiTheme="minorHAnsi"/>
                <w:b w:val="0"/>
                <w:szCs w:val="22"/>
              </w:rPr>
              <w:t>Energy savings/Peak Demand Reduction – All Measures</w:t>
            </w:r>
          </w:p>
        </w:tc>
        <w:tc>
          <w:tcPr>
            <w:tcW w:w="6750" w:type="dxa"/>
          </w:tcPr>
          <w:p w14:paraId="274E651E" w14:textId="77777777" w:rsidR="00B67334" w:rsidRDefault="00B67334" w:rsidP="00B67334">
            <w:pPr>
              <w:rPr>
                <w:rFonts w:cstheme="minorHAnsi"/>
                <w:szCs w:val="22"/>
              </w:rPr>
            </w:pPr>
            <w:r>
              <w:rPr>
                <w:rFonts w:cstheme="minorHAnsi"/>
                <w:szCs w:val="22"/>
              </w:rPr>
              <w:t>Savings were estimated using eQUEST.</w:t>
            </w:r>
            <w:r w:rsidRPr="00E64915">
              <w:rPr>
                <w:rFonts w:cstheme="minorHAnsi"/>
                <w:szCs w:val="22"/>
              </w:rPr>
              <w:t xml:space="preserve"> The DEER prototypes for the customer average case of the Tech IDs </w:t>
            </w:r>
            <w:r>
              <w:rPr>
                <w:rFonts w:cstheme="minorHAnsi"/>
                <w:szCs w:val="22"/>
              </w:rPr>
              <w:t>were used with some modification</w:t>
            </w:r>
            <w:r w:rsidRPr="00E64915">
              <w:rPr>
                <w:rFonts w:cstheme="minorHAnsi"/>
                <w:szCs w:val="22"/>
              </w:rPr>
              <w:t xml:space="preserve">. </w:t>
            </w:r>
            <w:r>
              <w:rPr>
                <w:rFonts w:cstheme="minorHAnsi"/>
                <w:szCs w:val="22"/>
              </w:rPr>
              <w:t>All savings are normalized by cooling tons.</w:t>
            </w:r>
          </w:p>
          <w:p w14:paraId="2F7277DA" w14:textId="77777777" w:rsidR="009A2332" w:rsidRDefault="009A2332" w:rsidP="009A2332"/>
          <w:p w14:paraId="26F0FE77" w14:textId="24EDF633" w:rsidR="00C96406" w:rsidRDefault="00B67334" w:rsidP="009A2332">
            <w:pPr>
              <w:rPr>
                <w:rFonts w:cs="Arial"/>
                <w:szCs w:val="22"/>
              </w:rPr>
            </w:pPr>
            <w:r w:rsidRPr="00E64915">
              <w:rPr>
                <w:rFonts w:cstheme="minorHAnsi"/>
                <w:szCs w:val="22"/>
              </w:rPr>
              <w:t xml:space="preserve">DEER prototypes were generated using </w:t>
            </w:r>
            <w:r>
              <w:rPr>
                <w:rFonts w:cstheme="minorHAnsi"/>
                <w:szCs w:val="22"/>
              </w:rPr>
              <w:t>MASControl v3.</w:t>
            </w:r>
            <w:r w:rsidRPr="00E64915">
              <w:rPr>
                <w:rFonts w:cstheme="minorHAnsi"/>
                <w:szCs w:val="22"/>
              </w:rPr>
              <w:t xml:space="preserve"> </w:t>
            </w:r>
            <w:r w:rsidRPr="00E76D74">
              <w:rPr>
                <w:rFonts w:cs="Arial"/>
                <w:szCs w:val="22"/>
              </w:rPr>
              <w:t xml:space="preserve">Except </w:t>
            </w:r>
            <w:r>
              <w:rPr>
                <w:rFonts w:cstheme="minorHAnsi"/>
                <w:szCs w:val="22"/>
              </w:rPr>
              <w:t>educational classroom building type with heat pumps</w:t>
            </w:r>
            <w:r w:rsidRPr="00E76D74">
              <w:rPr>
                <w:rFonts w:cs="Arial"/>
                <w:szCs w:val="22"/>
              </w:rPr>
              <w:t>, DEER prototypes</w:t>
            </w:r>
            <w:r>
              <w:rPr>
                <w:rFonts w:cs="Arial"/>
                <w:szCs w:val="22"/>
              </w:rPr>
              <w:t xml:space="preserve"> for AC and Heat Pump measures </w:t>
            </w:r>
            <w:r w:rsidRPr="00E76D74">
              <w:rPr>
                <w:rFonts w:cs="Arial"/>
                <w:szCs w:val="22"/>
              </w:rPr>
              <w:t>were c</w:t>
            </w:r>
            <w:r>
              <w:rPr>
                <w:rFonts w:cs="Arial"/>
                <w:szCs w:val="22"/>
              </w:rPr>
              <w:t xml:space="preserve">reated using the </w:t>
            </w:r>
            <w:r w:rsidR="00010F14">
              <w:rPr>
                <w:rFonts w:cs="Arial"/>
                <w:szCs w:val="22"/>
              </w:rPr>
              <w:t>“</w:t>
            </w:r>
            <w:r w:rsidRPr="00EF33DC">
              <w:rPr>
                <w:rFonts w:cs="Arial"/>
                <w:szCs w:val="22"/>
              </w:rPr>
              <w:t>110to134kBtuh</w:t>
            </w:r>
            <w:r w:rsidR="00010F14">
              <w:rPr>
                <w:rFonts w:cs="Arial"/>
                <w:szCs w:val="22"/>
              </w:rPr>
              <w:t>”</w:t>
            </w:r>
            <w:r w:rsidRPr="00E76D74">
              <w:rPr>
                <w:rFonts w:cs="Arial"/>
                <w:szCs w:val="22"/>
              </w:rPr>
              <w:t xml:space="preserve"> </w:t>
            </w:r>
            <w:r w:rsidR="00C96406">
              <w:rPr>
                <w:rFonts w:cs="Arial"/>
                <w:szCs w:val="22"/>
              </w:rPr>
              <w:t xml:space="preserve">cooling capacity range. </w:t>
            </w:r>
          </w:p>
          <w:p w14:paraId="02FB1014" w14:textId="77777777" w:rsidR="00C96406" w:rsidRDefault="00C96406" w:rsidP="009A2332">
            <w:pPr>
              <w:rPr>
                <w:rFonts w:cs="Arial"/>
                <w:szCs w:val="22"/>
              </w:rPr>
            </w:pPr>
          </w:p>
          <w:p w14:paraId="12EF3C2F" w14:textId="2671D20C" w:rsidR="00B67334" w:rsidRDefault="00C96406" w:rsidP="009A2332">
            <w:pPr>
              <w:rPr>
                <w:rFonts w:cstheme="minorHAnsi"/>
                <w:szCs w:val="22"/>
              </w:rPr>
            </w:pPr>
            <w:r>
              <w:rPr>
                <w:rFonts w:cs="Arial"/>
                <w:szCs w:val="22"/>
              </w:rPr>
              <w:t>T</w:t>
            </w:r>
            <w:r w:rsidR="00870B28">
              <w:rPr>
                <w:rFonts w:cs="Arial"/>
                <w:szCs w:val="22"/>
              </w:rPr>
              <w:t>o create the base case</w:t>
            </w:r>
            <w:r>
              <w:rPr>
                <w:rFonts w:cs="Arial"/>
                <w:szCs w:val="22"/>
              </w:rPr>
              <w:t xml:space="preserve"> </w:t>
            </w:r>
            <w:r w:rsidR="00870B28">
              <w:rPr>
                <w:rFonts w:cs="Arial"/>
                <w:szCs w:val="22"/>
              </w:rPr>
              <w:t>prototypes,</w:t>
            </w:r>
            <w:r>
              <w:rPr>
                <w:rFonts w:cs="Arial"/>
                <w:szCs w:val="22"/>
              </w:rPr>
              <w:t xml:space="preserve"> t</w:t>
            </w:r>
            <w:r>
              <w:rPr>
                <w:rFonts w:cstheme="minorHAnsi"/>
                <w:szCs w:val="22"/>
              </w:rPr>
              <w:t>he DEER prototypes were modified with the following characteristics:</w:t>
            </w:r>
          </w:p>
          <w:p w14:paraId="26523A5C" w14:textId="3E455493" w:rsidR="00C96406" w:rsidRDefault="00C96406" w:rsidP="009A2332">
            <w:pPr>
              <w:rPr>
                <w:rFonts w:cs="Arial"/>
                <w:szCs w:val="22"/>
              </w:rPr>
            </w:pPr>
            <w:r>
              <w:rPr>
                <w:rFonts w:cs="Arial"/>
                <w:szCs w:val="22"/>
              </w:rPr>
              <w:t xml:space="preserve">Min Outside Air: </w:t>
            </w:r>
            <w:r w:rsidRPr="00870B28">
              <w:rPr>
                <w:rFonts w:cs="Arial"/>
                <w:szCs w:val="22"/>
                <w:u w:val="single"/>
              </w:rPr>
              <w:t>0%</w:t>
            </w:r>
            <w:r>
              <w:rPr>
                <w:rFonts w:cs="Arial"/>
                <w:szCs w:val="22"/>
              </w:rPr>
              <w:t xml:space="preserve"> changed to </w:t>
            </w:r>
            <w:r w:rsidRPr="00870B28">
              <w:rPr>
                <w:rFonts w:cs="Arial"/>
                <w:szCs w:val="22"/>
                <w:u w:val="single"/>
              </w:rPr>
              <w:t>20%</w:t>
            </w:r>
          </w:p>
          <w:p w14:paraId="04CA6E03" w14:textId="13CB3340" w:rsidR="00C96406" w:rsidRDefault="00C96406" w:rsidP="009A2332">
            <w:pPr>
              <w:rPr>
                <w:rFonts w:cs="Arial"/>
                <w:szCs w:val="22"/>
              </w:rPr>
            </w:pPr>
            <w:r>
              <w:rPr>
                <w:rFonts w:cs="Arial"/>
                <w:szCs w:val="22"/>
              </w:rPr>
              <w:t xml:space="preserve">Max Outside Air: </w:t>
            </w:r>
            <w:r w:rsidRPr="00870B28">
              <w:rPr>
                <w:rFonts w:cs="Arial"/>
                <w:szCs w:val="22"/>
                <w:u w:val="single"/>
              </w:rPr>
              <w:t>100%</w:t>
            </w:r>
            <w:r>
              <w:rPr>
                <w:rFonts w:cs="Arial"/>
                <w:szCs w:val="22"/>
              </w:rPr>
              <w:t xml:space="preserve"> changed to </w:t>
            </w:r>
            <w:r w:rsidRPr="00870B28">
              <w:rPr>
                <w:rFonts w:cs="Arial"/>
                <w:szCs w:val="22"/>
                <w:u w:val="single"/>
              </w:rPr>
              <w:t>0%</w:t>
            </w:r>
          </w:p>
          <w:p w14:paraId="7579C7AF" w14:textId="4184A03F" w:rsidR="00C96406" w:rsidRDefault="00C96406" w:rsidP="009A2332">
            <w:pPr>
              <w:rPr>
                <w:rFonts w:cs="Arial"/>
                <w:szCs w:val="22"/>
              </w:rPr>
            </w:pPr>
            <w:r>
              <w:rPr>
                <w:rFonts w:cs="Arial"/>
                <w:szCs w:val="22"/>
              </w:rPr>
              <w:t xml:space="preserve">Hourly Occupancy: </w:t>
            </w:r>
            <w:r w:rsidRPr="00870B28">
              <w:rPr>
                <w:rFonts w:cs="Arial"/>
                <w:szCs w:val="22"/>
                <w:u w:val="single"/>
              </w:rPr>
              <w:t>100% of peak</w:t>
            </w:r>
            <w:r>
              <w:rPr>
                <w:rFonts w:cs="Arial"/>
                <w:szCs w:val="22"/>
              </w:rPr>
              <w:t xml:space="preserve"> changed to </w:t>
            </w:r>
            <w:r w:rsidRPr="00870B28">
              <w:rPr>
                <w:rFonts w:cs="Arial"/>
                <w:szCs w:val="22"/>
                <w:u w:val="single"/>
              </w:rPr>
              <w:t>90% of peak</w:t>
            </w:r>
          </w:p>
          <w:p w14:paraId="180466AF" w14:textId="32C58041" w:rsidR="00C96406" w:rsidRPr="00870B28" w:rsidRDefault="00870B28" w:rsidP="00870B28">
            <w:pPr>
              <w:ind w:left="161" w:hanging="161"/>
              <w:rPr>
                <w:rFonts w:cs="Arial"/>
                <w:szCs w:val="22"/>
                <w:u w:val="single"/>
              </w:rPr>
            </w:pPr>
            <w:r>
              <w:rPr>
                <w:rFonts w:cs="Arial"/>
                <w:szCs w:val="22"/>
              </w:rPr>
              <w:t xml:space="preserve">Economizer Changeover Temperatures: </w:t>
            </w:r>
            <w:r w:rsidRPr="00870B28">
              <w:rPr>
                <w:rFonts w:cs="Arial"/>
                <w:szCs w:val="22"/>
                <w:u w:val="single"/>
              </w:rPr>
              <w:t>Varies</w:t>
            </w:r>
            <w:r>
              <w:rPr>
                <w:rFonts w:cs="Arial"/>
                <w:szCs w:val="22"/>
              </w:rPr>
              <w:t xml:space="preserve"> changed to </w:t>
            </w:r>
            <w:r w:rsidRPr="00870B28">
              <w:rPr>
                <w:rFonts w:cs="Arial"/>
                <w:szCs w:val="22"/>
                <w:u w:val="single"/>
              </w:rPr>
              <w:t>Title 24 2016 compliant</w:t>
            </w:r>
          </w:p>
          <w:p w14:paraId="23925324" w14:textId="2B75817D" w:rsidR="00C96406" w:rsidRDefault="00C96406" w:rsidP="009A2332">
            <w:pPr>
              <w:rPr>
                <w:rFonts w:cs="Arial"/>
                <w:szCs w:val="22"/>
              </w:rPr>
            </w:pPr>
          </w:p>
          <w:p w14:paraId="55F55DDE" w14:textId="37AA37D2" w:rsidR="00870B28" w:rsidRDefault="00870B28" w:rsidP="009A2332">
            <w:pPr>
              <w:rPr>
                <w:rFonts w:cstheme="minorHAnsi"/>
                <w:szCs w:val="22"/>
              </w:rPr>
            </w:pPr>
            <w:r>
              <w:rPr>
                <w:rFonts w:cs="Arial"/>
                <w:szCs w:val="22"/>
              </w:rPr>
              <w:t>To create the measure case prototypes, t</w:t>
            </w:r>
            <w:r>
              <w:rPr>
                <w:rFonts w:cstheme="minorHAnsi"/>
                <w:szCs w:val="22"/>
              </w:rPr>
              <w:t>he base case prototypes were modified with one of two different Outside Air Flow cases, depending on which produced the greater amount of airflow:</w:t>
            </w:r>
          </w:p>
          <w:p w14:paraId="4BEE5FC6" w14:textId="26D1BA75" w:rsidR="00870B28" w:rsidRDefault="00870B28" w:rsidP="009A2332">
            <w:pPr>
              <w:rPr>
                <w:rFonts w:cstheme="minorHAnsi"/>
                <w:szCs w:val="22"/>
              </w:rPr>
            </w:pPr>
            <w:r>
              <w:rPr>
                <w:rFonts w:cstheme="minorHAnsi"/>
                <w:szCs w:val="22"/>
              </w:rPr>
              <w:t>a. 20% of supply airflow</w:t>
            </w:r>
          </w:p>
          <w:p w14:paraId="03D4AED0" w14:textId="5C4237B5" w:rsidR="00870B28" w:rsidRDefault="00870B28" w:rsidP="009A2332">
            <w:r>
              <w:rPr>
                <w:rFonts w:cstheme="minorHAnsi"/>
                <w:szCs w:val="22"/>
              </w:rPr>
              <w:t>b.</w:t>
            </w:r>
            <w:r w:rsidRPr="00152428">
              <w:t xml:space="preserve"> Title 24 Table 120.1-A Minimum Ventilation Rate</w:t>
            </w:r>
          </w:p>
          <w:p w14:paraId="735FFD22" w14:textId="447EEE26" w:rsidR="00870B28" w:rsidRDefault="00870B28" w:rsidP="009A2332"/>
          <w:p w14:paraId="5482F7C1" w14:textId="3F6779AF" w:rsidR="00870B28" w:rsidRDefault="00870B28" w:rsidP="009A2332">
            <w:pPr>
              <w:rPr>
                <w:rFonts w:cstheme="minorHAnsi"/>
                <w:szCs w:val="22"/>
              </w:rPr>
            </w:pPr>
            <w:r>
              <w:rPr>
                <w:rFonts w:cstheme="minorHAnsi"/>
                <w:szCs w:val="22"/>
              </w:rPr>
              <w:t xml:space="preserve">The peak period </w:t>
            </w:r>
            <w:r w:rsidRPr="000102C4">
              <w:rPr>
                <w:rFonts w:cstheme="minorHAnsi"/>
                <w:szCs w:val="22"/>
              </w:rPr>
              <w:t xml:space="preserve">is </w:t>
            </w:r>
            <w:r>
              <w:rPr>
                <w:rFonts w:cstheme="minorHAnsi"/>
                <w:szCs w:val="22"/>
              </w:rPr>
              <w:t xml:space="preserve">defined as </w:t>
            </w:r>
            <w:r w:rsidRPr="000102C4">
              <w:rPr>
                <w:rFonts w:cstheme="minorHAnsi"/>
                <w:szCs w:val="22"/>
              </w:rPr>
              <w:t>2:00 PM to 5:00 PM</w:t>
            </w:r>
            <w:r w:rsidRPr="000102C4">
              <w:t xml:space="preserve"> on </w:t>
            </w:r>
            <w:r w:rsidRPr="000102C4">
              <w:rPr>
                <w:rFonts w:cstheme="minorHAnsi"/>
                <w:szCs w:val="22"/>
              </w:rPr>
              <w:t>three specific weekday</w:t>
            </w:r>
            <w:r>
              <w:rPr>
                <w:rFonts w:cstheme="minorHAnsi"/>
                <w:szCs w:val="22"/>
              </w:rPr>
              <w:t>s</w:t>
            </w:r>
            <w:r w:rsidRPr="000102C4">
              <w:rPr>
                <w:rFonts w:cstheme="minorHAnsi"/>
                <w:szCs w:val="22"/>
              </w:rPr>
              <w:t xml:space="preserve"> </w:t>
            </w:r>
            <w:r>
              <w:rPr>
                <w:rFonts w:cstheme="minorHAnsi"/>
                <w:szCs w:val="22"/>
              </w:rPr>
              <w:t xml:space="preserve">defined by DEER2014 </w:t>
            </w:r>
            <w:r w:rsidRPr="000102C4">
              <w:rPr>
                <w:rFonts w:cstheme="minorHAnsi"/>
                <w:szCs w:val="22"/>
              </w:rPr>
              <w:t>and varies by climate zone</w:t>
            </w:r>
            <w:r>
              <w:rPr>
                <w:rFonts w:cstheme="minorHAnsi"/>
                <w:szCs w:val="22"/>
              </w:rPr>
              <w:t>.</w:t>
            </w:r>
          </w:p>
          <w:p w14:paraId="7E172CDD" w14:textId="77777777" w:rsidR="00870B28" w:rsidRPr="00870B28" w:rsidRDefault="00870B28" w:rsidP="009A2332">
            <w:pPr>
              <w:rPr>
                <w:rFonts w:cstheme="minorHAnsi"/>
                <w:szCs w:val="22"/>
              </w:rPr>
            </w:pPr>
          </w:p>
          <w:p w14:paraId="48A295FE" w14:textId="4558462F" w:rsidR="00C96406" w:rsidRDefault="00870B28" w:rsidP="009A2332">
            <w:r>
              <w:t xml:space="preserve">Refer to </w:t>
            </w:r>
            <w:r w:rsidR="00B023CE">
              <w:t>PGECO</w:t>
            </w:r>
            <w:r w:rsidRPr="0030666F">
              <w:t>HVC</w:t>
            </w:r>
            <w:r>
              <w:t>168_R2 Section 2 for detailed savings description.</w:t>
            </w:r>
          </w:p>
        </w:tc>
      </w:tr>
      <w:tr w:rsidR="009A2332" w14:paraId="79416F6B" w14:textId="77777777" w:rsidTr="003F7372">
        <w:trPr>
          <w:trHeight w:val="576"/>
        </w:trPr>
        <w:tc>
          <w:tcPr>
            <w:tcW w:w="2605" w:type="dxa"/>
          </w:tcPr>
          <w:p w14:paraId="63B2A37F" w14:textId="79D3BD2C" w:rsidR="009A2332" w:rsidRDefault="009A2332" w:rsidP="009A2332">
            <w:r>
              <w:rPr>
                <w:rStyle w:val="Strong"/>
                <w:rFonts w:asciiTheme="minorHAnsi" w:hAnsiTheme="minorHAnsi"/>
                <w:szCs w:val="22"/>
              </w:rPr>
              <w:t>Section 3. Load Shapes</w:t>
            </w:r>
          </w:p>
        </w:tc>
        <w:tc>
          <w:tcPr>
            <w:tcW w:w="6750" w:type="dxa"/>
          </w:tcPr>
          <w:p w14:paraId="2D6D6229" w14:textId="77777777" w:rsidR="00840755" w:rsidRDefault="00840755" w:rsidP="009A2332">
            <w:pPr>
              <w:rPr>
                <w:rFonts w:cstheme="minorHAnsi"/>
                <w:szCs w:val="20"/>
              </w:rPr>
            </w:pPr>
            <w:r w:rsidRPr="00C1478C">
              <w:rPr>
                <w:rFonts w:cstheme="minorHAnsi"/>
                <w:szCs w:val="20"/>
              </w:rPr>
              <w:t xml:space="preserve">DEER:HVAC_Split-Package_AC, </w:t>
            </w:r>
          </w:p>
          <w:p w14:paraId="573722DD" w14:textId="47053274" w:rsidR="009A2332" w:rsidRDefault="00840755" w:rsidP="009A2332">
            <w:r w:rsidRPr="00C1478C">
              <w:rPr>
                <w:rFonts w:cstheme="minorHAnsi"/>
                <w:szCs w:val="20"/>
              </w:rPr>
              <w:t>DEER:HVAC_Split-Package_HP</w:t>
            </w:r>
          </w:p>
        </w:tc>
      </w:tr>
      <w:tr w:rsidR="009A2332" w14:paraId="0E2DA162" w14:textId="77777777" w:rsidTr="003F7372">
        <w:trPr>
          <w:trHeight w:val="576"/>
        </w:trPr>
        <w:tc>
          <w:tcPr>
            <w:tcW w:w="2605" w:type="dxa"/>
          </w:tcPr>
          <w:p w14:paraId="17E265C7" w14:textId="4B0D36D9" w:rsidR="009A2332" w:rsidRDefault="009A2332" w:rsidP="009A2332">
            <w:r>
              <w:rPr>
                <w:rStyle w:val="Strong"/>
                <w:rFonts w:asciiTheme="minorHAnsi" w:hAnsiTheme="minorHAnsi"/>
                <w:szCs w:val="22"/>
              </w:rPr>
              <w:t>Section 4. Costs</w:t>
            </w:r>
          </w:p>
        </w:tc>
        <w:tc>
          <w:tcPr>
            <w:tcW w:w="6750" w:type="dxa"/>
          </w:tcPr>
          <w:p w14:paraId="636754D0" w14:textId="77777777" w:rsidR="009A2332" w:rsidRDefault="009A2332" w:rsidP="009A2332"/>
        </w:tc>
      </w:tr>
      <w:tr w:rsidR="00801ADA" w14:paraId="00EA9279" w14:textId="77777777" w:rsidTr="003F7372">
        <w:trPr>
          <w:trHeight w:val="576"/>
        </w:trPr>
        <w:tc>
          <w:tcPr>
            <w:tcW w:w="2605" w:type="dxa"/>
          </w:tcPr>
          <w:p w14:paraId="448F5A7F" w14:textId="54FDF208" w:rsidR="00801ADA" w:rsidRDefault="00801ADA" w:rsidP="00801ADA">
            <w:r>
              <w:rPr>
                <w:rStyle w:val="Strong"/>
                <w:rFonts w:asciiTheme="minorHAnsi" w:hAnsiTheme="minorHAnsi"/>
                <w:szCs w:val="22"/>
              </w:rPr>
              <w:t>Section 4.1 Base and Measure Costs</w:t>
            </w:r>
          </w:p>
        </w:tc>
        <w:tc>
          <w:tcPr>
            <w:tcW w:w="6750" w:type="dxa"/>
          </w:tcPr>
          <w:p w14:paraId="4A8F9241" w14:textId="45FC8AA9" w:rsidR="00801ADA" w:rsidRDefault="00801ADA" w:rsidP="00801ADA">
            <w:r>
              <w:rPr>
                <w:rFonts w:cstheme="minorHAnsi"/>
                <w:szCs w:val="22"/>
              </w:rPr>
              <w:t>Refer to full workpaper PGECOHVC168_R2 Section 4 for detailed costing methodology.</w:t>
            </w:r>
          </w:p>
        </w:tc>
      </w:tr>
      <w:tr w:rsidR="00801ADA" w14:paraId="3A76B5D7" w14:textId="77777777" w:rsidTr="003F7372">
        <w:trPr>
          <w:trHeight w:val="576"/>
        </w:trPr>
        <w:tc>
          <w:tcPr>
            <w:tcW w:w="2605" w:type="dxa"/>
          </w:tcPr>
          <w:p w14:paraId="71D5F97A" w14:textId="4A102F72" w:rsidR="00801ADA" w:rsidRDefault="00801ADA" w:rsidP="00801ADA">
            <w:r w:rsidRPr="009A2332">
              <w:rPr>
                <w:rStyle w:val="Strong"/>
                <w:rFonts w:asciiTheme="minorHAnsi" w:hAnsiTheme="minorHAnsi"/>
                <w:b w:val="0"/>
                <w:szCs w:val="22"/>
              </w:rPr>
              <w:t>Base Cost</w:t>
            </w:r>
          </w:p>
        </w:tc>
        <w:tc>
          <w:tcPr>
            <w:tcW w:w="6750" w:type="dxa"/>
          </w:tcPr>
          <w:p w14:paraId="13167A14" w14:textId="3E20B501" w:rsidR="00801ADA" w:rsidRDefault="00801ADA" w:rsidP="00801ADA">
            <w:r w:rsidRPr="00FB6191">
              <w:rPr>
                <w:rFonts w:cstheme="minorHAnsi"/>
                <w:color w:val="000000" w:themeColor="text1"/>
                <w:szCs w:val="20"/>
              </w:rPr>
              <w:t>Add ADEC and CO2 sensor to existing system</w:t>
            </w:r>
            <w:r>
              <w:t>:</w:t>
            </w:r>
          </w:p>
          <w:p w14:paraId="7338B30F" w14:textId="77777777" w:rsidR="00E2086B" w:rsidRPr="00FB6191" w:rsidRDefault="00E2086B" w:rsidP="00E2086B">
            <w:r w:rsidRPr="00FB6191">
              <w:t>The base case is the customer’s existing equipment; therefore, the base case cost is $0.00.</w:t>
            </w:r>
          </w:p>
          <w:p w14:paraId="1B03689F" w14:textId="77777777" w:rsidR="00801ADA" w:rsidRDefault="00801ADA" w:rsidP="00801ADA"/>
          <w:p w14:paraId="6CD16BB5" w14:textId="34AE4BAE" w:rsidR="00801ADA" w:rsidRDefault="00801ADA" w:rsidP="00801ADA">
            <w:r w:rsidRPr="00FB6191">
              <w:rPr>
                <w:rFonts w:cstheme="minorHAnsi"/>
                <w:color w:val="000000" w:themeColor="text1"/>
                <w:szCs w:val="20"/>
              </w:rPr>
              <w:t>Add CO2 sensor to existing system with ADEC</w:t>
            </w:r>
            <w:r>
              <w:t>:</w:t>
            </w:r>
          </w:p>
          <w:p w14:paraId="38D0B9DA" w14:textId="04D06B4A" w:rsidR="00801ADA" w:rsidRDefault="00E2086B" w:rsidP="00801ADA">
            <w:r w:rsidRPr="00FB6191">
              <w:t>The base case is the customer’s existing equipment; therefore, the base case cost is $0.00</w:t>
            </w:r>
            <w:r>
              <w:t>.</w:t>
            </w:r>
          </w:p>
        </w:tc>
      </w:tr>
      <w:tr w:rsidR="00801ADA" w14:paraId="6AD1198A" w14:textId="77777777" w:rsidTr="003F7372">
        <w:trPr>
          <w:trHeight w:val="576"/>
        </w:trPr>
        <w:tc>
          <w:tcPr>
            <w:tcW w:w="2605" w:type="dxa"/>
          </w:tcPr>
          <w:p w14:paraId="41F89B1B" w14:textId="65C5DF1C" w:rsidR="00801ADA" w:rsidRDefault="00801ADA" w:rsidP="00801ADA">
            <w:r w:rsidRPr="009A2332">
              <w:rPr>
                <w:rStyle w:val="Strong"/>
                <w:rFonts w:asciiTheme="minorHAnsi" w:hAnsiTheme="minorHAnsi"/>
                <w:b w:val="0"/>
                <w:szCs w:val="22"/>
              </w:rPr>
              <w:lastRenderedPageBreak/>
              <w:t>Measure Cost</w:t>
            </w:r>
          </w:p>
        </w:tc>
        <w:tc>
          <w:tcPr>
            <w:tcW w:w="6750" w:type="dxa"/>
          </w:tcPr>
          <w:p w14:paraId="3A914194" w14:textId="77777777" w:rsidR="00E2086B" w:rsidRDefault="00E2086B" w:rsidP="00E2086B">
            <w:r w:rsidRPr="00FB6191">
              <w:rPr>
                <w:rFonts w:cstheme="minorHAnsi"/>
                <w:color w:val="000000" w:themeColor="text1"/>
                <w:szCs w:val="20"/>
              </w:rPr>
              <w:t>Add ADEC and CO2 sensor to existing system</w:t>
            </w:r>
            <w:r>
              <w:t>:</w:t>
            </w:r>
          </w:p>
          <w:p w14:paraId="718DA2CE" w14:textId="77777777" w:rsidR="00E2086B" w:rsidRDefault="00E2086B" w:rsidP="00E2086B">
            <w:r>
              <w:t>Material: $79.34</w:t>
            </w:r>
          </w:p>
          <w:p w14:paraId="61ABA315" w14:textId="77777777" w:rsidR="00E2086B" w:rsidRDefault="00E2086B" w:rsidP="00E2086B">
            <w:r>
              <w:t>Labor: $65.64</w:t>
            </w:r>
          </w:p>
          <w:p w14:paraId="109C4C5A" w14:textId="77777777" w:rsidR="00E2086B" w:rsidRDefault="00E2086B" w:rsidP="00E2086B">
            <w:r>
              <w:t>Total: $144.98</w:t>
            </w:r>
          </w:p>
          <w:p w14:paraId="5729C580" w14:textId="77777777" w:rsidR="00E2086B" w:rsidRDefault="00E2086B" w:rsidP="00E2086B"/>
          <w:p w14:paraId="788AB12A" w14:textId="77777777" w:rsidR="00E2086B" w:rsidRDefault="00E2086B" w:rsidP="00E2086B">
            <w:r w:rsidRPr="00FB6191">
              <w:rPr>
                <w:rFonts w:cstheme="minorHAnsi"/>
                <w:color w:val="000000" w:themeColor="text1"/>
                <w:szCs w:val="20"/>
              </w:rPr>
              <w:t>Add CO2 sensor to existing system with ADEC</w:t>
            </w:r>
            <w:r>
              <w:t>:</w:t>
            </w:r>
          </w:p>
          <w:p w14:paraId="7BBB8726" w14:textId="77777777" w:rsidR="00E2086B" w:rsidRDefault="00E2086B" w:rsidP="00E2086B">
            <w:r>
              <w:t>Material: $32.48</w:t>
            </w:r>
          </w:p>
          <w:p w14:paraId="643CB669" w14:textId="77777777" w:rsidR="00E2086B" w:rsidRDefault="00E2086B" w:rsidP="00E2086B">
            <w:r>
              <w:t>Labor: $32.21</w:t>
            </w:r>
          </w:p>
          <w:p w14:paraId="7963200A" w14:textId="082ED2DC" w:rsidR="00801ADA" w:rsidRDefault="00E2086B" w:rsidP="00E2086B">
            <w:r>
              <w:t>Total: $64.69</w:t>
            </w:r>
          </w:p>
        </w:tc>
      </w:tr>
    </w:tbl>
    <w:p w14:paraId="31DBEFB5" w14:textId="5C09D104" w:rsidR="009A2332" w:rsidRPr="009A2332" w:rsidRDefault="009A2332" w:rsidP="009A2332">
      <w:pPr>
        <w:spacing w:after="200" w:line="276" w:lineRule="auto"/>
        <w:rPr>
          <w:b/>
          <w:szCs w:val="20"/>
        </w:rPr>
      </w:pPr>
    </w:p>
    <w:p w14:paraId="3BC26F44" w14:textId="77777777" w:rsidR="007F3D47" w:rsidRDefault="007F3D47" w:rsidP="007F3D47">
      <w:pPr>
        <w:rPr>
          <w:b/>
          <w:szCs w:val="20"/>
        </w:rPr>
      </w:pPr>
      <w:bookmarkStart w:id="6" w:name="_Toc214003099"/>
      <w:bookmarkEnd w:id="1"/>
      <w:r>
        <w:rPr>
          <w:b/>
          <w:szCs w:val="20"/>
        </w:rPr>
        <w:t>Savings and Calculation Methodology</w:t>
      </w:r>
    </w:p>
    <w:p w14:paraId="2D335EAB" w14:textId="77777777" w:rsidR="007F3D47" w:rsidRDefault="007F3D47" w:rsidP="007F3D47"/>
    <w:p w14:paraId="26C38D3B" w14:textId="77777777" w:rsidR="007F3D47" w:rsidRDefault="007F3D47" w:rsidP="007F3D47">
      <w:pPr>
        <w:rPr>
          <w:rFonts w:cstheme="minorHAnsi"/>
          <w:szCs w:val="22"/>
        </w:rPr>
      </w:pPr>
      <w:r>
        <w:rPr>
          <w:rFonts w:cstheme="minorHAnsi"/>
          <w:szCs w:val="22"/>
        </w:rPr>
        <w:t>This short form made no changes to the adopted PGE savings.</w:t>
      </w:r>
    </w:p>
    <w:p w14:paraId="370DD25F" w14:textId="77777777" w:rsidR="007F3D47" w:rsidRDefault="007F3D47" w:rsidP="007F3D47">
      <w:pPr>
        <w:rPr>
          <w:rFonts w:cstheme="minorHAnsi"/>
          <w:szCs w:val="22"/>
        </w:rPr>
      </w:pPr>
    </w:p>
    <w:p w14:paraId="284C5A5C" w14:textId="77777777" w:rsidR="007F3D47" w:rsidRPr="000720DD" w:rsidRDefault="007F3D47" w:rsidP="007F3D47">
      <w:pPr>
        <w:rPr>
          <w:b/>
          <w:szCs w:val="20"/>
        </w:rPr>
      </w:pPr>
      <w:r w:rsidRPr="000720DD">
        <w:rPr>
          <w:b/>
          <w:szCs w:val="20"/>
        </w:rPr>
        <w:t>Costs</w:t>
      </w:r>
    </w:p>
    <w:p w14:paraId="143338B7" w14:textId="77777777" w:rsidR="007F3D47" w:rsidRDefault="007F3D47" w:rsidP="007F3D47"/>
    <w:p w14:paraId="0C138E4A" w14:textId="77777777" w:rsidR="007F3D47" w:rsidRPr="000720DD" w:rsidRDefault="007F3D47" w:rsidP="007F3D47">
      <w:pPr>
        <w:rPr>
          <w:rFonts w:cstheme="minorHAnsi"/>
          <w:szCs w:val="22"/>
        </w:rPr>
      </w:pPr>
      <w:r>
        <w:rPr>
          <w:rFonts w:cstheme="minorHAnsi"/>
          <w:szCs w:val="22"/>
        </w:rPr>
        <w:t>This short form made no changes to the adopted PGE costs.</w:t>
      </w:r>
    </w:p>
    <w:p w14:paraId="65465D22" w14:textId="77777777" w:rsidR="007F3D47" w:rsidRPr="009A2332" w:rsidRDefault="007F3D47" w:rsidP="007F3D47"/>
    <w:p w14:paraId="576FE0A7" w14:textId="77777777" w:rsidR="007F3D47" w:rsidRDefault="007F3D47" w:rsidP="007F3D47">
      <w:pPr>
        <w:rPr>
          <w:b/>
          <w:szCs w:val="20"/>
        </w:rPr>
      </w:pPr>
      <w:r>
        <w:rPr>
          <w:b/>
          <w:szCs w:val="20"/>
        </w:rPr>
        <w:t>Attachments:</w:t>
      </w:r>
    </w:p>
    <w:p w14:paraId="1A9D47DF" w14:textId="77777777" w:rsidR="001A0B85" w:rsidRDefault="001A0B85" w:rsidP="007F3D47">
      <w:pPr>
        <w:rPr>
          <w:b/>
          <w:szCs w:val="20"/>
        </w:rPr>
      </w:pPr>
    </w:p>
    <w:p w14:paraId="7F5BA7DF" w14:textId="76F0DE99" w:rsidR="00560FAC" w:rsidRDefault="001A0B85" w:rsidP="00560FAC">
      <w:pPr>
        <w:rPr>
          <w:szCs w:val="20"/>
        </w:rPr>
      </w:pPr>
      <w:r>
        <w:rPr>
          <w:szCs w:val="20"/>
        </w:rPr>
        <w:t>SCE17HC061.1</w:t>
      </w:r>
      <w:r w:rsidR="00973149">
        <w:rPr>
          <w:szCs w:val="20"/>
        </w:rPr>
        <w:t>_A1</w:t>
      </w:r>
      <w:r w:rsidR="009E1E2B">
        <w:rPr>
          <w:szCs w:val="20"/>
        </w:rPr>
        <w:t xml:space="preserve"> - Calc Template</w:t>
      </w:r>
      <w:r w:rsidR="00C977A7">
        <w:rPr>
          <w:szCs w:val="20"/>
        </w:rPr>
        <w:t>s</w:t>
      </w:r>
      <w:bookmarkStart w:id="7" w:name="_GoBack"/>
      <w:bookmarkEnd w:id="7"/>
      <w:r w:rsidR="00560FAC">
        <w:rPr>
          <w:szCs w:val="20"/>
        </w:rPr>
        <w:t>_2019</w:t>
      </w:r>
    </w:p>
    <w:p w14:paraId="37E9FBDB" w14:textId="5F6C9582" w:rsidR="00E16609" w:rsidRPr="009A2332" w:rsidRDefault="00E16609">
      <w:pPr>
        <w:rPr>
          <w:b/>
          <w:szCs w:val="20"/>
        </w:rPr>
      </w:pPr>
    </w:p>
    <w:bookmarkEnd w:id="6"/>
    <w:sectPr w:rsidR="00E16609" w:rsidRPr="009A2332" w:rsidSect="008F14E9">
      <w:footerReference w:type="default" r:id="rId9"/>
      <w:pgSz w:w="12240" w:h="15840"/>
      <w:pgMar w:top="1440" w:right="1440" w:bottom="1557" w:left="1440" w:header="720" w:footer="720" w:gutter="0"/>
      <w:pgNumType w:fmt="lowerRoman"/>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4E8E96" w16cid:durableId="1FCE1319"/>
  <w16cid:commentId w16cid:paraId="06ABDDCD" w16cid:durableId="1FCB8598"/>
  <w16cid:commentId w16cid:paraId="705B4F19" w16cid:durableId="1FCB962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D74C38" w14:textId="77777777" w:rsidR="00F30167" w:rsidRDefault="00F30167" w:rsidP="00447D6E">
      <w:r>
        <w:separator/>
      </w:r>
    </w:p>
    <w:p w14:paraId="3993C521" w14:textId="77777777" w:rsidR="00F30167" w:rsidRDefault="00F30167"/>
  </w:endnote>
  <w:endnote w:type="continuationSeparator" w:id="0">
    <w:p w14:paraId="5BC65380" w14:textId="77777777" w:rsidR="00F30167" w:rsidRDefault="00F30167" w:rsidP="00447D6E">
      <w:r>
        <w:continuationSeparator/>
      </w:r>
    </w:p>
    <w:p w14:paraId="627E2D8A" w14:textId="77777777" w:rsidR="00F30167" w:rsidRDefault="00F301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6F1D8D6B" w:rsidR="00F30167" w:rsidRPr="009500DC" w:rsidRDefault="00C977A7"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1A0B85">
          <w:rPr>
            <w:rFonts w:cstheme="minorHAnsi"/>
            <w:b/>
            <w:sz w:val="20"/>
            <w:szCs w:val="20"/>
          </w:rPr>
          <w:t>SCE17HC061</w:t>
        </w:r>
      </w:sdtContent>
    </w:sdt>
    <w:r w:rsidR="00F30167">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1A0B85">
          <w:rPr>
            <w:rFonts w:cstheme="minorHAnsi"/>
            <w:b/>
            <w:sz w:val="20"/>
            <w:szCs w:val="20"/>
          </w:rPr>
          <w:t>Revision 1</w:t>
        </w:r>
      </w:sdtContent>
    </w:sdt>
    <w:r w:rsidR="00F30167" w:rsidRPr="009500DC">
      <w:rPr>
        <w:rFonts w:cstheme="minorHAnsi"/>
        <w:b/>
        <w:sz w:val="20"/>
        <w:szCs w:val="20"/>
      </w:rPr>
      <w:tab/>
    </w:r>
    <w:r w:rsidR="00F30167" w:rsidRPr="009500DC">
      <w:rPr>
        <w:rFonts w:cstheme="minorHAnsi"/>
        <w:b/>
        <w:sz w:val="20"/>
        <w:szCs w:val="20"/>
      </w:rPr>
      <w:fldChar w:fldCharType="begin"/>
    </w:r>
    <w:r w:rsidR="00F30167" w:rsidRPr="009500DC">
      <w:rPr>
        <w:rFonts w:cstheme="minorHAnsi"/>
        <w:b/>
        <w:sz w:val="20"/>
        <w:szCs w:val="20"/>
      </w:rPr>
      <w:instrText xml:space="preserve"> PAGE   \* MERGEFORMAT </w:instrText>
    </w:r>
    <w:r w:rsidR="00F30167" w:rsidRPr="009500DC">
      <w:rPr>
        <w:rFonts w:cstheme="minorHAnsi"/>
        <w:b/>
        <w:sz w:val="20"/>
        <w:szCs w:val="20"/>
      </w:rPr>
      <w:fldChar w:fldCharType="separate"/>
    </w:r>
    <w:r>
      <w:rPr>
        <w:rFonts w:cstheme="minorHAnsi"/>
        <w:b/>
        <w:noProof/>
        <w:sz w:val="20"/>
        <w:szCs w:val="20"/>
      </w:rPr>
      <w:t>vi</w:t>
    </w:r>
    <w:r w:rsidR="00F30167" w:rsidRPr="009500DC">
      <w:rPr>
        <w:rFonts w:cstheme="minorHAnsi"/>
        <w:b/>
        <w:noProof/>
        <w:sz w:val="20"/>
        <w:szCs w:val="20"/>
      </w:rPr>
      <w:fldChar w:fldCharType="end"/>
    </w:r>
    <w:r w:rsidR="00F30167"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2-27T00:00:00Z">
          <w:dateFormat w:val="MMMM d, yyyy"/>
          <w:lid w:val="en-US"/>
          <w:storeMappedDataAs w:val="dateTime"/>
          <w:calendar w:val="gregorian"/>
        </w:date>
      </w:sdtPr>
      <w:sdtEndPr/>
      <w:sdtContent>
        <w:r w:rsidR="00973149">
          <w:rPr>
            <w:rFonts w:cstheme="minorHAnsi"/>
            <w:b/>
            <w:sz w:val="20"/>
            <w:szCs w:val="20"/>
          </w:rPr>
          <w:t>December 27</w:t>
        </w:r>
        <w:r w:rsidR="000C7C93">
          <w:rPr>
            <w:rFonts w:cstheme="minorHAnsi"/>
            <w:b/>
            <w:sz w:val="20"/>
            <w:szCs w:val="20"/>
          </w:rPr>
          <w:t>, 2018</w:t>
        </w:r>
      </w:sdtContent>
    </w:sdt>
  </w:p>
  <w:p w14:paraId="43C07EA5" w14:textId="544E4323" w:rsidR="00F30167" w:rsidRPr="009500DC" w:rsidRDefault="00C977A7"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F30167">
          <w:rPr>
            <w:rFonts w:cstheme="minorHAnsi"/>
            <w:b/>
            <w:sz w:val="20"/>
            <w:szCs w:val="20"/>
          </w:rPr>
          <w:t>Southern California Edison</w:t>
        </w:r>
      </w:sdtContent>
    </w:sdt>
  </w:p>
  <w:p w14:paraId="4AC7586E" w14:textId="77777777" w:rsidR="00F30167" w:rsidRDefault="00F30167"/>
  <w:p w14:paraId="5C9861A8" w14:textId="77777777" w:rsidR="00F30167" w:rsidRDefault="00F3016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F4A6E4" w14:textId="77777777" w:rsidR="00F30167" w:rsidRDefault="00F30167" w:rsidP="00447D6E">
      <w:r>
        <w:separator/>
      </w:r>
    </w:p>
    <w:p w14:paraId="32B34063" w14:textId="77777777" w:rsidR="00F30167" w:rsidRDefault="00F30167"/>
  </w:footnote>
  <w:footnote w:type="continuationSeparator" w:id="0">
    <w:p w14:paraId="7220C6D0" w14:textId="77777777" w:rsidR="00F30167" w:rsidRDefault="00F30167" w:rsidP="00447D6E">
      <w:r>
        <w:continuationSeparator/>
      </w:r>
    </w:p>
    <w:p w14:paraId="6E77FF76" w14:textId="77777777" w:rsidR="00F30167" w:rsidRDefault="00F3016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0908301A"/>
    <w:multiLevelType w:val="hybridMultilevel"/>
    <w:tmpl w:val="2C0C43F0"/>
    <w:lvl w:ilvl="0" w:tplc="FEC0CFCA">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0C085A"/>
    <w:multiLevelType w:val="hybridMultilevel"/>
    <w:tmpl w:val="171AA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15:restartNumberingAfterBreak="0">
    <w:nsid w:val="1C37292C"/>
    <w:multiLevelType w:val="hybridMultilevel"/>
    <w:tmpl w:val="7A00B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4B189F"/>
    <w:multiLevelType w:val="hybridMultilevel"/>
    <w:tmpl w:val="9D1A8A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D050AC"/>
    <w:multiLevelType w:val="hybridMultilevel"/>
    <w:tmpl w:val="2850D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3"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3C9725B"/>
    <w:multiLevelType w:val="hybridMultilevel"/>
    <w:tmpl w:val="B4AA5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F85B0F"/>
    <w:multiLevelType w:val="hybridMultilevel"/>
    <w:tmpl w:val="AD7AB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F21AB4"/>
    <w:multiLevelType w:val="hybridMultilevel"/>
    <w:tmpl w:val="5DC83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5"/>
  </w:num>
  <w:num w:numId="3">
    <w:abstractNumId w:val="23"/>
  </w:num>
  <w:num w:numId="4">
    <w:abstractNumId w:val="21"/>
  </w:num>
  <w:num w:numId="5">
    <w:abstractNumId w:val="21"/>
  </w:num>
  <w:num w:numId="6">
    <w:abstractNumId w:val="2"/>
  </w:num>
  <w:num w:numId="7">
    <w:abstractNumId w:val="26"/>
  </w:num>
  <w:num w:numId="8">
    <w:abstractNumId w:val="22"/>
  </w:num>
  <w:num w:numId="9">
    <w:abstractNumId w:val="13"/>
  </w:num>
  <w:num w:numId="10">
    <w:abstractNumId w:val="7"/>
  </w:num>
  <w:num w:numId="11">
    <w:abstractNumId w:val="27"/>
  </w:num>
  <w:num w:numId="12">
    <w:abstractNumId w:val="20"/>
  </w:num>
  <w:num w:numId="13">
    <w:abstractNumId w:val="12"/>
  </w:num>
  <w:num w:numId="14">
    <w:abstractNumId w:val="37"/>
  </w:num>
  <w:num w:numId="15">
    <w:abstractNumId w:val="10"/>
  </w:num>
  <w:num w:numId="16">
    <w:abstractNumId w:val="14"/>
  </w:num>
  <w:num w:numId="17">
    <w:abstractNumId w:val="6"/>
  </w:num>
  <w:num w:numId="18">
    <w:abstractNumId w:val="0"/>
  </w:num>
  <w:num w:numId="19">
    <w:abstractNumId w:val="36"/>
  </w:num>
  <w:num w:numId="20">
    <w:abstractNumId w:val="4"/>
  </w:num>
  <w:num w:numId="21">
    <w:abstractNumId w:val="29"/>
  </w:num>
  <w:num w:numId="22">
    <w:abstractNumId w:val="30"/>
  </w:num>
  <w:num w:numId="23">
    <w:abstractNumId w:val="38"/>
  </w:num>
  <w:num w:numId="24">
    <w:abstractNumId w:val="34"/>
  </w:num>
  <w:num w:numId="25">
    <w:abstractNumId w:val="15"/>
  </w:num>
  <w:num w:numId="26">
    <w:abstractNumId w:val="19"/>
  </w:num>
  <w:num w:numId="27">
    <w:abstractNumId w:val="31"/>
  </w:num>
  <w:num w:numId="28">
    <w:abstractNumId w:val="17"/>
  </w:num>
  <w:num w:numId="29">
    <w:abstractNumId w:val="9"/>
  </w:num>
  <w:num w:numId="30">
    <w:abstractNumId w:val="1"/>
  </w:num>
  <w:num w:numId="31">
    <w:abstractNumId w:val="39"/>
  </w:num>
  <w:num w:numId="32">
    <w:abstractNumId w:val="28"/>
  </w:num>
  <w:num w:numId="33">
    <w:abstractNumId w:val="33"/>
  </w:num>
  <w:num w:numId="34">
    <w:abstractNumId w:val="11"/>
  </w:num>
  <w:num w:numId="35">
    <w:abstractNumId w:val="16"/>
  </w:num>
  <w:num w:numId="36">
    <w:abstractNumId w:val="8"/>
  </w:num>
  <w:num w:numId="37">
    <w:abstractNumId w:val="24"/>
  </w:num>
  <w:num w:numId="38">
    <w:abstractNumId w:val="18"/>
  </w:num>
  <w:num w:numId="39">
    <w:abstractNumId w:val="32"/>
  </w:num>
  <w:num w:numId="40">
    <w:abstractNumId w:val="5"/>
  </w:num>
  <w:num w:numId="41">
    <w:abstractNumId w:val="35"/>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902"/>
    <w:rsid w:val="0001002B"/>
    <w:rsid w:val="00010806"/>
    <w:rsid w:val="00010F14"/>
    <w:rsid w:val="00013F71"/>
    <w:rsid w:val="000173BF"/>
    <w:rsid w:val="00024252"/>
    <w:rsid w:val="000245B5"/>
    <w:rsid w:val="00027183"/>
    <w:rsid w:val="00033EA1"/>
    <w:rsid w:val="0003746D"/>
    <w:rsid w:val="0004020F"/>
    <w:rsid w:val="000436CB"/>
    <w:rsid w:val="00052E17"/>
    <w:rsid w:val="00056947"/>
    <w:rsid w:val="00061A8E"/>
    <w:rsid w:val="00064CB3"/>
    <w:rsid w:val="00070BEE"/>
    <w:rsid w:val="00072040"/>
    <w:rsid w:val="00076DF4"/>
    <w:rsid w:val="00076F51"/>
    <w:rsid w:val="0008524C"/>
    <w:rsid w:val="00086F7F"/>
    <w:rsid w:val="0009074D"/>
    <w:rsid w:val="0009592B"/>
    <w:rsid w:val="000968C6"/>
    <w:rsid w:val="000A247D"/>
    <w:rsid w:val="000A63C9"/>
    <w:rsid w:val="000B3765"/>
    <w:rsid w:val="000B4E96"/>
    <w:rsid w:val="000B655B"/>
    <w:rsid w:val="000C0000"/>
    <w:rsid w:val="000C18CC"/>
    <w:rsid w:val="000C687D"/>
    <w:rsid w:val="000C7C93"/>
    <w:rsid w:val="000C7ED1"/>
    <w:rsid w:val="000D789A"/>
    <w:rsid w:val="000E4B5F"/>
    <w:rsid w:val="000E706D"/>
    <w:rsid w:val="000F130A"/>
    <w:rsid w:val="000F4FD8"/>
    <w:rsid w:val="00107242"/>
    <w:rsid w:val="00111CC5"/>
    <w:rsid w:val="001206F7"/>
    <w:rsid w:val="001236C1"/>
    <w:rsid w:val="00133EE8"/>
    <w:rsid w:val="00140B30"/>
    <w:rsid w:val="00147155"/>
    <w:rsid w:val="00153CB3"/>
    <w:rsid w:val="00154C3B"/>
    <w:rsid w:val="00160158"/>
    <w:rsid w:val="00160F6B"/>
    <w:rsid w:val="00165357"/>
    <w:rsid w:val="001722B7"/>
    <w:rsid w:val="001727D9"/>
    <w:rsid w:val="00174BB4"/>
    <w:rsid w:val="00175D14"/>
    <w:rsid w:val="001811EE"/>
    <w:rsid w:val="00182713"/>
    <w:rsid w:val="00185AD4"/>
    <w:rsid w:val="001979AF"/>
    <w:rsid w:val="001A0B85"/>
    <w:rsid w:val="001A0EB4"/>
    <w:rsid w:val="001A1A86"/>
    <w:rsid w:val="001A5F62"/>
    <w:rsid w:val="001B015E"/>
    <w:rsid w:val="001B2301"/>
    <w:rsid w:val="001B618B"/>
    <w:rsid w:val="001C1338"/>
    <w:rsid w:val="001C4140"/>
    <w:rsid w:val="001C5A94"/>
    <w:rsid w:val="001D2317"/>
    <w:rsid w:val="001D3223"/>
    <w:rsid w:val="001D33EF"/>
    <w:rsid w:val="001D5AB3"/>
    <w:rsid w:val="001D66C7"/>
    <w:rsid w:val="001E0519"/>
    <w:rsid w:val="001E0829"/>
    <w:rsid w:val="001E1320"/>
    <w:rsid w:val="001E556A"/>
    <w:rsid w:val="001F05CE"/>
    <w:rsid w:val="001F1905"/>
    <w:rsid w:val="001F4A65"/>
    <w:rsid w:val="00205C45"/>
    <w:rsid w:val="00207C71"/>
    <w:rsid w:val="0021035B"/>
    <w:rsid w:val="00211153"/>
    <w:rsid w:val="0023254A"/>
    <w:rsid w:val="002344FB"/>
    <w:rsid w:val="00236216"/>
    <w:rsid w:val="002405CD"/>
    <w:rsid w:val="00240B74"/>
    <w:rsid w:val="00243B62"/>
    <w:rsid w:val="0024675B"/>
    <w:rsid w:val="002469DD"/>
    <w:rsid w:val="00247180"/>
    <w:rsid w:val="00254671"/>
    <w:rsid w:val="00257D36"/>
    <w:rsid w:val="00263C1C"/>
    <w:rsid w:val="00270088"/>
    <w:rsid w:val="00271415"/>
    <w:rsid w:val="00274FBE"/>
    <w:rsid w:val="002762E1"/>
    <w:rsid w:val="002811BC"/>
    <w:rsid w:val="00283DE8"/>
    <w:rsid w:val="00285552"/>
    <w:rsid w:val="00285966"/>
    <w:rsid w:val="00285A0D"/>
    <w:rsid w:val="00290ED8"/>
    <w:rsid w:val="00296B49"/>
    <w:rsid w:val="002A03FC"/>
    <w:rsid w:val="002A1843"/>
    <w:rsid w:val="002A3D26"/>
    <w:rsid w:val="002A523E"/>
    <w:rsid w:val="002B1ADF"/>
    <w:rsid w:val="002B502E"/>
    <w:rsid w:val="002B657B"/>
    <w:rsid w:val="002C2853"/>
    <w:rsid w:val="002C444C"/>
    <w:rsid w:val="002C458F"/>
    <w:rsid w:val="002C6C20"/>
    <w:rsid w:val="002C6C7A"/>
    <w:rsid w:val="002C7F78"/>
    <w:rsid w:val="002D5277"/>
    <w:rsid w:val="002D71FA"/>
    <w:rsid w:val="002D73AF"/>
    <w:rsid w:val="002E4FD9"/>
    <w:rsid w:val="002E5B58"/>
    <w:rsid w:val="002F1437"/>
    <w:rsid w:val="002F3943"/>
    <w:rsid w:val="002F4E34"/>
    <w:rsid w:val="002F6A42"/>
    <w:rsid w:val="002F79E7"/>
    <w:rsid w:val="003003EC"/>
    <w:rsid w:val="003035E3"/>
    <w:rsid w:val="0030363A"/>
    <w:rsid w:val="00317970"/>
    <w:rsid w:val="00317EB0"/>
    <w:rsid w:val="00332700"/>
    <w:rsid w:val="003358BD"/>
    <w:rsid w:val="00344E88"/>
    <w:rsid w:val="00345D80"/>
    <w:rsid w:val="003471D4"/>
    <w:rsid w:val="00350BF1"/>
    <w:rsid w:val="00353C49"/>
    <w:rsid w:val="003540B1"/>
    <w:rsid w:val="003557E9"/>
    <w:rsid w:val="003560BA"/>
    <w:rsid w:val="00364CC6"/>
    <w:rsid w:val="003650F6"/>
    <w:rsid w:val="0036726C"/>
    <w:rsid w:val="003832D2"/>
    <w:rsid w:val="003845E5"/>
    <w:rsid w:val="00393137"/>
    <w:rsid w:val="0039615F"/>
    <w:rsid w:val="00397406"/>
    <w:rsid w:val="003A3170"/>
    <w:rsid w:val="003A360E"/>
    <w:rsid w:val="003B4A83"/>
    <w:rsid w:val="003D17FF"/>
    <w:rsid w:val="003D2871"/>
    <w:rsid w:val="003D2981"/>
    <w:rsid w:val="003D5B83"/>
    <w:rsid w:val="003E6E47"/>
    <w:rsid w:val="003F0623"/>
    <w:rsid w:val="003F33DE"/>
    <w:rsid w:val="003F3A41"/>
    <w:rsid w:val="003F67E9"/>
    <w:rsid w:val="003F7372"/>
    <w:rsid w:val="00401031"/>
    <w:rsid w:val="004023B7"/>
    <w:rsid w:val="004045A0"/>
    <w:rsid w:val="00413CDB"/>
    <w:rsid w:val="00416E34"/>
    <w:rsid w:val="004200FE"/>
    <w:rsid w:val="00421183"/>
    <w:rsid w:val="00421BA6"/>
    <w:rsid w:val="00421C17"/>
    <w:rsid w:val="00426CDE"/>
    <w:rsid w:val="00433EA1"/>
    <w:rsid w:val="00441957"/>
    <w:rsid w:val="00443D32"/>
    <w:rsid w:val="004469DD"/>
    <w:rsid w:val="004476B2"/>
    <w:rsid w:val="00447CE5"/>
    <w:rsid w:val="00447D6E"/>
    <w:rsid w:val="0045048F"/>
    <w:rsid w:val="0045181B"/>
    <w:rsid w:val="00452133"/>
    <w:rsid w:val="00452C7A"/>
    <w:rsid w:val="00456B53"/>
    <w:rsid w:val="0046286E"/>
    <w:rsid w:val="004673A2"/>
    <w:rsid w:val="00471234"/>
    <w:rsid w:val="00472250"/>
    <w:rsid w:val="0047437C"/>
    <w:rsid w:val="00477522"/>
    <w:rsid w:val="00480E7B"/>
    <w:rsid w:val="004843E5"/>
    <w:rsid w:val="00484BF6"/>
    <w:rsid w:val="0049052C"/>
    <w:rsid w:val="00493457"/>
    <w:rsid w:val="00494628"/>
    <w:rsid w:val="0049566B"/>
    <w:rsid w:val="00497338"/>
    <w:rsid w:val="004A1650"/>
    <w:rsid w:val="004B1184"/>
    <w:rsid w:val="004B4A3A"/>
    <w:rsid w:val="004B5CE5"/>
    <w:rsid w:val="004B750E"/>
    <w:rsid w:val="004C2244"/>
    <w:rsid w:val="004C23F1"/>
    <w:rsid w:val="004D069A"/>
    <w:rsid w:val="004E01F5"/>
    <w:rsid w:val="004E297E"/>
    <w:rsid w:val="004E76CA"/>
    <w:rsid w:val="004F1698"/>
    <w:rsid w:val="00500C4E"/>
    <w:rsid w:val="00505CEC"/>
    <w:rsid w:val="0051020F"/>
    <w:rsid w:val="00513CAB"/>
    <w:rsid w:val="00516CF5"/>
    <w:rsid w:val="00523597"/>
    <w:rsid w:val="00523736"/>
    <w:rsid w:val="00532530"/>
    <w:rsid w:val="00535CA4"/>
    <w:rsid w:val="005476F6"/>
    <w:rsid w:val="00551D72"/>
    <w:rsid w:val="005540B6"/>
    <w:rsid w:val="005552C3"/>
    <w:rsid w:val="00560934"/>
    <w:rsid w:val="00560FAC"/>
    <w:rsid w:val="00563E58"/>
    <w:rsid w:val="00564960"/>
    <w:rsid w:val="00570654"/>
    <w:rsid w:val="00570F38"/>
    <w:rsid w:val="005720F2"/>
    <w:rsid w:val="005729C8"/>
    <w:rsid w:val="00572D2F"/>
    <w:rsid w:val="005734A4"/>
    <w:rsid w:val="00594EF5"/>
    <w:rsid w:val="005A0E53"/>
    <w:rsid w:val="005A1078"/>
    <w:rsid w:val="005A4658"/>
    <w:rsid w:val="005A496B"/>
    <w:rsid w:val="005B28C1"/>
    <w:rsid w:val="005B3BF4"/>
    <w:rsid w:val="005B6344"/>
    <w:rsid w:val="005C1C74"/>
    <w:rsid w:val="005C2E48"/>
    <w:rsid w:val="005C3F23"/>
    <w:rsid w:val="005D365F"/>
    <w:rsid w:val="005D4DD7"/>
    <w:rsid w:val="005E12A9"/>
    <w:rsid w:val="005F139E"/>
    <w:rsid w:val="005F69D5"/>
    <w:rsid w:val="00602799"/>
    <w:rsid w:val="00602F18"/>
    <w:rsid w:val="00607C30"/>
    <w:rsid w:val="006110F3"/>
    <w:rsid w:val="00612041"/>
    <w:rsid w:val="00614AFF"/>
    <w:rsid w:val="00621ABA"/>
    <w:rsid w:val="0062322A"/>
    <w:rsid w:val="00631157"/>
    <w:rsid w:val="006404E6"/>
    <w:rsid w:val="0064680F"/>
    <w:rsid w:val="0064729D"/>
    <w:rsid w:val="00647ABE"/>
    <w:rsid w:val="006516BA"/>
    <w:rsid w:val="00664B05"/>
    <w:rsid w:val="00665C04"/>
    <w:rsid w:val="0066682D"/>
    <w:rsid w:val="006746FE"/>
    <w:rsid w:val="00676E9F"/>
    <w:rsid w:val="00680934"/>
    <w:rsid w:val="00685D5C"/>
    <w:rsid w:val="0069264D"/>
    <w:rsid w:val="0069578B"/>
    <w:rsid w:val="00697868"/>
    <w:rsid w:val="006A055F"/>
    <w:rsid w:val="006A126F"/>
    <w:rsid w:val="006A14E9"/>
    <w:rsid w:val="006A2A65"/>
    <w:rsid w:val="006A38E1"/>
    <w:rsid w:val="006A5293"/>
    <w:rsid w:val="006A67E4"/>
    <w:rsid w:val="006A6D15"/>
    <w:rsid w:val="006B0DF3"/>
    <w:rsid w:val="006B0F11"/>
    <w:rsid w:val="006B27FA"/>
    <w:rsid w:val="006B4A48"/>
    <w:rsid w:val="006C2C55"/>
    <w:rsid w:val="006C430A"/>
    <w:rsid w:val="006D2809"/>
    <w:rsid w:val="006E27A3"/>
    <w:rsid w:val="006E3342"/>
    <w:rsid w:val="006E4B12"/>
    <w:rsid w:val="006E65D0"/>
    <w:rsid w:val="006F1B21"/>
    <w:rsid w:val="006F21E8"/>
    <w:rsid w:val="006F78D5"/>
    <w:rsid w:val="0070091B"/>
    <w:rsid w:val="007048AC"/>
    <w:rsid w:val="00715176"/>
    <w:rsid w:val="00726338"/>
    <w:rsid w:val="00726AD5"/>
    <w:rsid w:val="00733C7D"/>
    <w:rsid w:val="00740761"/>
    <w:rsid w:val="00745F77"/>
    <w:rsid w:val="007464DE"/>
    <w:rsid w:val="007529B6"/>
    <w:rsid w:val="007529EA"/>
    <w:rsid w:val="00755A45"/>
    <w:rsid w:val="00760CDC"/>
    <w:rsid w:val="00764D0D"/>
    <w:rsid w:val="00777C53"/>
    <w:rsid w:val="00786E92"/>
    <w:rsid w:val="007933F1"/>
    <w:rsid w:val="007A5F52"/>
    <w:rsid w:val="007A6B45"/>
    <w:rsid w:val="007B090A"/>
    <w:rsid w:val="007D1F22"/>
    <w:rsid w:val="007E43F8"/>
    <w:rsid w:val="007E5076"/>
    <w:rsid w:val="007E656B"/>
    <w:rsid w:val="007F2997"/>
    <w:rsid w:val="007F3D47"/>
    <w:rsid w:val="007F50E8"/>
    <w:rsid w:val="007F54E2"/>
    <w:rsid w:val="007F7FBA"/>
    <w:rsid w:val="00800319"/>
    <w:rsid w:val="0080044E"/>
    <w:rsid w:val="00800706"/>
    <w:rsid w:val="0080189A"/>
    <w:rsid w:val="00801ADA"/>
    <w:rsid w:val="00801F7F"/>
    <w:rsid w:val="00803C2B"/>
    <w:rsid w:val="00811945"/>
    <w:rsid w:val="008138E5"/>
    <w:rsid w:val="00824F1C"/>
    <w:rsid w:val="00826688"/>
    <w:rsid w:val="0083369B"/>
    <w:rsid w:val="00835D38"/>
    <w:rsid w:val="00840755"/>
    <w:rsid w:val="00843763"/>
    <w:rsid w:val="00847A4E"/>
    <w:rsid w:val="00870B28"/>
    <w:rsid w:val="00871D79"/>
    <w:rsid w:val="0087393E"/>
    <w:rsid w:val="00881A42"/>
    <w:rsid w:val="00882386"/>
    <w:rsid w:val="0088361D"/>
    <w:rsid w:val="00885E0A"/>
    <w:rsid w:val="0088603B"/>
    <w:rsid w:val="008877AF"/>
    <w:rsid w:val="00893FC3"/>
    <w:rsid w:val="0089577B"/>
    <w:rsid w:val="008A671A"/>
    <w:rsid w:val="008B1024"/>
    <w:rsid w:val="008B1357"/>
    <w:rsid w:val="008B2DF3"/>
    <w:rsid w:val="008C2E0E"/>
    <w:rsid w:val="008C4DE0"/>
    <w:rsid w:val="008D3930"/>
    <w:rsid w:val="008D67F9"/>
    <w:rsid w:val="008E17CC"/>
    <w:rsid w:val="008E25B1"/>
    <w:rsid w:val="008E56FB"/>
    <w:rsid w:val="008F14E9"/>
    <w:rsid w:val="008F2167"/>
    <w:rsid w:val="008F33B4"/>
    <w:rsid w:val="008F6298"/>
    <w:rsid w:val="0090077A"/>
    <w:rsid w:val="00900F47"/>
    <w:rsid w:val="00902DE4"/>
    <w:rsid w:val="00904ADA"/>
    <w:rsid w:val="00907697"/>
    <w:rsid w:val="00910A69"/>
    <w:rsid w:val="009138A0"/>
    <w:rsid w:val="0091424C"/>
    <w:rsid w:val="00917DE4"/>
    <w:rsid w:val="00920905"/>
    <w:rsid w:val="00922B85"/>
    <w:rsid w:val="00930CDC"/>
    <w:rsid w:val="00931E45"/>
    <w:rsid w:val="00933188"/>
    <w:rsid w:val="00935AF9"/>
    <w:rsid w:val="009403A5"/>
    <w:rsid w:val="009500DC"/>
    <w:rsid w:val="00951923"/>
    <w:rsid w:val="00972C81"/>
    <w:rsid w:val="00973149"/>
    <w:rsid w:val="009824E9"/>
    <w:rsid w:val="009826E5"/>
    <w:rsid w:val="009844A1"/>
    <w:rsid w:val="00986E20"/>
    <w:rsid w:val="00995479"/>
    <w:rsid w:val="00995CB0"/>
    <w:rsid w:val="00997E77"/>
    <w:rsid w:val="009A2332"/>
    <w:rsid w:val="009A2734"/>
    <w:rsid w:val="009B2A02"/>
    <w:rsid w:val="009B2B61"/>
    <w:rsid w:val="009B5B7B"/>
    <w:rsid w:val="009B7971"/>
    <w:rsid w:val="009C1777"/>
    <w:rsid w:val="009C2C86"/>
    <w:rsid w:val="009C6FE0"/>
    <w:rsid w:val="009D0753"/>
    <w:rsid w:val="009D10A4"/>
    <w:rsid w:val="009D5131"/>
    <w:rsid w:val="009D6F71"/>
    <w:rsid w:val="009E1802"/>
    <w:rsid w:val="009E1CDE"/>
    <w:rsid w:val="009E1E2B"/>
    <w:rsid w:val="009E2B06"/>
    <w:rsid w:val="009E3829"/>
    <w:rsid w:val="009E51E2"/>
    <w:rsid w:val="009F7A61"/>
    <w:rsid w:val="00A11800"/>
    <w:rsid w:val="00A11C16"/>
    <w:rsid w:val="00A1423E"/>
    <w:rsid w:val="00A173C1"/>
    <w:rsid w:val="00A17664"/>
    <w:rsid w:val="00A20FAF"/>
    <w:rsid w:val="00A24520"/>
    <w:rsid w:val="00A26FEB"/>
    <w:rsid w:val="00A3164A"/>
    <w:rsid w:val="00A37F42"/>
    <w:rsid w:val="00A42A48"/>
    <w:rsid w:val="00A4411F"/>
    <w:rsid w:val="00A500D6"/>
    <w:rsid w:val="00A523FF"/>
    <w:rsid w:val="00A54756"/>
    <w:rsid w:val="00A54C66"/>
    <w:rsid w:val="00A57D36"/>
    <w:rsid w:val="00A61BB6"/>
    <w:rsid w:val="00A65734"/>
    <w:rsid w:val="00A6687F"/>
    <w:rsid w:val="00A67907"/>
    <w:rsid w:val="00A73CC1"/>
    <w:rsid w:val="00A80270"/>
    <w:rsid w:val="00A82DB1"/>
    <w:rsid w:val="00A84127"/>
    <w:rsid w:val="00A84BF9"/>
    <w:rsid w:val="00A86DA2"/>
    <w:rsid w:val="00A90DFC"/>
    <w:rsid w:val="00A90F1A"/>
    <w:rsid w:val="00A91BF3"/>
    <w:rsid w:val="00AA0A9C"/>
    <w:rsid w:val="00AA16C0"/>
    <w:rsid w:val="00AA4CDC"/>
    <w:rsid w:val="00AB21D4"/>
    <w:rsid w:val="00AB21F5"/>
    <w:rsid w:val="00AB3386"/>
    <w:rsid w:val="00AB36DB"/>
    <w:rsid w:val="00AC0B1D"/>
    <w:rsid w:val="00AC2F5B"/>
    <w:rsid w:val="00AC3DAD"/>
    <w:rsid w:val="00AC5309"/>
    <w:rsid w:val="00AC5B97"/>
    <w:rsid w:val="00AD2E7F"/>
    <w:rsid w:val="00AD4DD0"/>
    <w:rsid w:val="00AE0A8D"/>
    <w:rsid w:val="00AE7C1F"/>
    <w:rsid w:val="00AF468C"/>
    <w:rsid w:val="00AF6342"/>
    <w:rsid w:val="00B00AED"/>
    <w:rsid w:val="00B023CE"/>
    <w:rsid w:val="00B053FB"/>
    <w:rsid w:val="00B05647"/>
    <w:rsid w:val="00B07EE5"/>
    <w:rsid w:val="00B21CC5"/>
    <w:rsid w:val="00B26778"/>
    <w:rsid w:val="00B26B83"/>
    <w:rsid w:val="00B32479"/>
    <w:rsid w:val="00B33FE2"/>
    <w:rsid w:val="00B403ED"/>
    <w:rsid w:val="00B4065F"/>
    <w:rsid w:val="00B45091"/>
    <w:rsid w:val="00B45447"/>
    <w:rsid w:val="00B614F1"/>
    <w:rsid w:val="00B67334"/>
    <w:rsid w:val="00B81865"/>
    <w:rsid w:val="00B866B4"/>
    <w:rsid w:val="00B94226"/>
    <w:rsid w:val="00BA0A8C"/>
    <w:rsid w:val="00BA0CEB"/>
    <w:rsid w:val="00BA2383"/>
    <w:rsid w:val="00BA2E7E"/>
    <w:rsid w:val="00BA590A"/>
    <w:rsid w:val="00BA5FE4"/>
    <w:rsid w:val="00BA7B41"/>
    <w:rsid w:val="00BB0B39"/>
    <w:rsid w:val="00BB30D1"/>
    <w:rsid w:val="00BB39D8"/>
    <w:rsid w:val="00BB5F75"/>
    <w:rsid w:val="00BC6524"/>
    <w:rsid w:val="00BD3931"/>
    <w:rsid w:val="00BD5B88"/>
    <w:rsid w:val="00BD5F58"/>
    <w:rsid w:val="00BE0AEB"/>
    <w:rsid w:val="00C018E0"/>
    <w:rsid w:val="00C05AAF"/>
    <w:rsid w:val="00C118C7"/>
    <w:rsid w:val="00C20877"/>
    <w:rsid w:val="00C20E7B"/>
    <w:rsid w:val="00C21456"/>
    <w:rsid w:val="00C24D03"/>
    <w:rsid w:val="00C25E61"/>
    <w:rsid w:val="00C34273"/>
    <w:rsid w:val="00C35A1B"/>
    <w:rsid w:val="00C413F3"/>
    <w:rsid w:val="00C43FA8"/>
    <w:rsid w:val="00C54EFF"/>
    <w:rsid w:val="00C55D03"/>
    <w:rsid w:val="00C63548"/>
    <w:rsid w:val="00C63F96"/>
    <w:rsid w:val="00C65450"/>
    <w:rsid w:val="00C677AF"/>
    <w:rsid w:val="00C67E59"/>
    <w:rsid w:val="00C72B8B"/>
    <w:rsid w:val="00C72CB5"/>
    <w:rsid w:val="00C76D4F"/>
    <w:rsid w:val="00C805BC"/>
    <w:rsid w:val="00C959CA"/>
    <w:rsid w:val="00C95D16"/>
    <w:rsid w:val="00C96406"/>
    <w:rsid w:val="00C977A7"/>
    <w:rsid w:val="00CA2AB4"/>
    <w:rsid w:val="00CB0100"/>
    <w:rsid w:val="00CB04D2"/>
    <w:rsid w:val="00CD7EFE"/>
    <w:rsid w:val="00CE0C66"/>
    <w:rsid w:val="00CE28CF"/>
    <w:rsid w:val="00CE4386"/>
    <w:rsid w:val="00CE4CDC"/>
    <w:rsid w:val="00CE5BEB"/>
    <w:rsid w:val="00CE69E9"/>
    <w:rsid w:val="00CE71F2"/>
    <w:rsid w:val="00CF02A5"/>
    <w:rsid w:val="00CF3B59"/>
    <w:rsid w:val="00CF3F65"/>
    <w:rsid w:val="00CF464D"/>
    <w:rsid w:val="00D17EF4"/>
    <w:rsid w:val="00D23770"/>
    <w:rsid w:val="00D25074"/>
    <w:rsid w:val="00D34517"/>
    <w:rsid w:val="00D36798"/>
    <w:rsid w:val="00D47E80"/>
    <w:rsid w:val="00D70563"/>
    <w:rsid w:val="00D70D89"/>
    <w:rsid w:val="00D72051"/>
    <w:rsid w:val="00D7380B"/>
    <w:rsid w:val="00D75D77"/>
    <w:rsid w:val="00D7639E"/>
    <w:rsid w:val="00D835EF"/>
    <w:rsid w:val="00D85F09"/>
    <w:rsid w:val="00D86A9D"/>
    <w:rsid w:val="00D95D8A"/>
    <w:rsid w:val="00DA089A"/>
    <w:rsid w:val="00DA11A0"/>
    <w:rsid w:val="00DA2822"/>
    <w:rsid w:val="00DA690B"/>
    <w:rsid w:val="00DA7225"/>
    <w:rsid w:val="00DB44E9"/>
    <w:rsid w:val="00DC1966"/>
    <w:rsid w:val="00DC3259"/>
    <w:rsid w:val="00DD0523"/>
    <w:rsid w:val="00DE5758"/>
    <w:rsid w:val="00DE5FCF"/>
    <w:rsid w:val="00DF0D19"/>
    <w:rsid w:val="00DF2EE9"/>
    <w:rsid w:val="00DF6FD8"/>
    <w:rsid w:val="00E05A80"/>
    <w:rsid w:val="00E06A37"/>
    <w:rsid w:val="00E071A5"/>
    <w:rsid w:val="00E07752"/>
    <w:rsid w:val="00E16609"/>
    <w:rsid w:val="00E16F08"/>
    <w:rsid w:val="00E2086B"/>
    <w:rsid w:val="00E233F3"/>
    <w:rsid w:val="00E26B34"/>
    <w:rsid w:val="00E314BA"/>
    <w:rsid w:val="00E325BE"/>
    <w:rsid w:val="00E326BA"/>
    <w:rsid w:val="00E34202"/>
    <w:rsid w:val="00E37F72"/>
    <w:rsid w:val="00E40BE5"/>
    <w:rsid w:val="00E40CF9"/>
    <w:rsid w:val="00E42A30"/>
    <w:rsid w:val="00E5625D"/>
    <w:rsid w:val="00E648BB"/>
    <w:rsid w:val="00E67ACA"/>
    <w:rsid w:val="00E76B31"/>
    <w:rsid w:val="00E81F3E"/>
    <w:rsid w:val="00E844BB"/>
    <w:rsid w:val="00E84C48"/>
    <w:rsid w:val="00E859BD"/>
    <w:rsid w:val="00E86B70"/>
    <w:rsid w:val="00E87C8F"/>
    <w:rsid w:val="00E924C3"/>
    <w:rsid w:val="00E954EE"/>
    <w:rsid w:val="00E96759"/>
    <w:rsid w:val="00EA4437"/>
    <w:rsid w:val="00EA4D87"/>
    <w:rsid w:val="00EB34FC"/>
    <w:rsid w:val="00EB76E1"/>
    <w:rsid w:val="00EC2499"/>
    <w:rsid w:val="00EE29DF"/>
    <w:rsid w:val="00EE4120"/>
    <w:rsid w:val="00EE5E5E"/>
    <w:rsid w:val="00EF2E8A"/>
    <w:rsid w:val="00EF4E6B"/>
    <w:rsid w:val="00EF5416"/>
    <w:rsid w:val="00F06CCF"/>
    <w:rsid w:val="00F1053D"/>
    <w:rsid w:val="00F110D5"/>
    <w:rsid w:val="00F11E63"/>
    <w:rsid w:val="00F12733"/>
    <w:rsid w:val="00F171E1"/>
    <w:rsid w:val="00F20DCF"/>
    <w:rsid w:val="00F25B36"/>
    <w:rsid w:val="00F30167"/>
    <w:rsid w:val="00F3052A"/>
    <w:rsid w:val="00F341E3"/>
    <w:rsid w:val="00F35D09"/>
    <w:rsid w:val="00F4304D"/>
    <w:rsid w:val="00F46612"/>
    <w:rsid w:val="00F474EF"/>
    <w:rsid w:val="00F4752B"/>
    <w:rsid w:val="00F476E8"/>
    <w:rsid w:val="00F541AE"/>
    <w:rsid w:val="00F56792"/>
    <w:rsid w:val="00F571A6"/>
    <w:rsid w:val="00F6018B"/>
    <w:rsid w:val="00F60265"/>
    <w:rsid w:val="00F60E32"/>
    <w:rsid w:val="00F644FF"/>
    <w:rsid w:val="00F65ABA"/>
    <w:rsid w:val="00F65E15"/>
    <w:rsid w:val="00F7242E"/>
    <w:rsid w:val="00F74B33"/>
    <w:rsid w:val="00F810DD"/>
    <w:rsid w:val="00F86C45"/>
    <w:rsid w:val="00F95E2F"/>
    <w:rsid w:val="00F96DEB"/>
    <w:rsid w:val="00FA1872"/>
    <w:rsid w:val="00FA4F34"/>
    <w:rsid w:val="00FB2590"/>
    <w:rsid w:val="00FD5A8C"/>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F77E0EA"/>
  <w15:docId w15:val="{31F5FEE9-A998-4EF3-998D-E51E44CF2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Grid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9381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204A7F"/>
    <w:rsid w:val="002B514B"/>
    <w:rsid w:val="002C0C03"/>
    <w:rsid w:val="00311B0D"/>
    <w:rsid w:val="003A131F"/>
    <w:rsid w:val="004817CD"/>
    <w:rsid w:val="00560392"/>
    <w:rsid w:val="006B7FA8"/>
    <w:rsid w:val="008211B5"/>
    <w:rsid w:val="00874653"/>
    <w:rsid w:val="00A5022A"/>
    <w:rsid w:val="00AE4C28"/>
    <w:rsid w:val="00AF2C4B"/>
    <w:rsid w:val="00B73964"/>
    <w:rsid w:val="00B74704"/>
    <w:rsid w:val="00C947B8"/>
    <w:rsid w:val="00D0496D"/>
    <w:rsid w:val="00D051F5"/>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B3B0843-722E-4388-9227-6435505AF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1673</Words>
  <Characters>9541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PGECOHV168</vt:lpstr>
    </vt:vector>
  </TitlesOfParts>
  <Company>Southern California Edison</Company>
  <LinksUpToDate>false</LinksUpToDate>
  <CharactersWithSpaces>11192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SCE17HC061</dc:title>
  <dc:creator>Jim Wyatt (PG&amp;E);Jason Wang (SCE)</dc:creator>
  <cp:lastModifiedBy>Cassie Cuaresma</cp:lastModifiedBy>
  <cp:revision>5</cp:revision>
  <dcterms:created xsi:type="dcterms:W3CDTF">2018-12-27T20:05:00Z</dcterms:created>
  <dcterms:modified xsi:type="dcterms:W3CDTF">2018-12-29T23:28:00Z</dcterms:modified>
  <cp:contentStatus>Revision 1</cp:contentStatus>
</cp:coreProperties>
</file>