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334F259" w14:textId="6AEB95D4" w:rsidR="00576C8C" w:rsidRPr="004637B9" w:rsidRDefault="00B411BA">
      <w:pPr>
        <w:pStyle w:val="Normal1"/>
        <w:jc w:val="right"/>
      </w:pPr>
      <w:bookmarkStart w:id="0" w:name="_gjdgxs" w:colFirst="0" w:colLast="0"/>
      <w:bookmarkEnd w:id="0"/>
      <w:r>
        <w:rPr>
          <w:b/>
          <w:sz w:val="48"/>
          <w:szCs w:val="48"/>
        </w:rPr>
        <w:t>`</w:t>
      </w:r>
      <w:r w:rsidR="007173B2" w:rsidRPr="004637B9">
        <w:rPr>
          <w:b/>
          <w:sz w:val="48"/>
          <w:szCs w:val="48"/>
        </w:rPr>
        <w:t>Work Paper S</w:t>
      </w:r>
      <w:r w:rsidR="006825A2" w:rsidRPr="004637B9">
        <w:rPr>
          <w:b/>
          <w:sz w:val="48"/>
          <w:szCs w:val="48"/>
        </w:rPr>
        <w:t>CE</w:t>
      </w:r>
      <w:r w:rsidR="007173B2" w:rsidRPr="004637B9">
        <w:rPr>
          <w:b/>
          <w:sz w:val="48"/>
          <w:szCs w:val="48"/>
        </w:rPr>
        <w:t>1</w:t>
      </w:r>
      <w:r w:rsidR="006825A2" w:rsidRPr="004637B9">
        <w:rPr>
          <w:b/>
          <w:sz w:val="48"/>
          <w:szCs w:val="48"/>
        </w:rPr>
        <w:t>7HC054</w:t>
      </w:r>
    </w:p>
    <w:p w14:paraId="2141E161" w14:textId="6D6418B0" w:rsidR="00576C8C" w:rsidRPr="004637B9" w:rsidRDefault="007173B2">
      <w:pPr>
        <w:pStyle w:val="Normal1"/>
        <w:jc w:val="right"/>
      </w:pPr>
      <w:r w:rsidRPr="004637B9">
        <w:rPr>
          <w:b/>
          <w:sz w:val="48"/>
          <w:szCs w:val="48"/>
        </w:rPr>
        <w:t xml:space="preserve">Revision </w:t>
      </w:r>
      <w:r w:rsidR="009A1731" w:rsidRPr="004637B9">
        <w:rPr>
          <w:b/>
          <w:sz w:val="48"/>
          <w:szCs w:val="48"/>
        </w:rPr>
        <w:t>1</w:t>
      </w:r>
    </w:p>
    <w:p w14:paraId="776FFDAF" w14:textId="77777777" w:rsidR="00576C8C" w:rsidRPr="004637B9" w:rsidRDefault="00576C8C">
      <w:pPr>
        <w:pStyle w:val="Normal1"/>
        <w:jc w:val="right"/>
      </w:pPr>
    </w:p>
    <w:p w14:paraId="1E64234E" w14:textId="26BBBC26" w:rsidR="00576C8C" w:rsidRPr="004637B9" w:rsidRDefault="007173B2">
      <w:pPr>
        <w:pStyle w:val="Normal1"/>
      </w:pPr>
      <w:bookmarkStart w:id="1" w:name="_30j0zll" w:colFirst="0" w:colLast="0"/>
      <w:bookmarkEnd w:id="1"/>
      <w:r w:rsidRPr="004637B9">
        <w:rPr>
          <w:b/>
          <w:sz w:val="36"/>
          <w:szCs w:val="36"/>
        </w:rPr>
        <w:t>Southern California Edison</w:t>
      </w:r>
    </w:p>
    <w:p w14:paraId="02AB1D37" w14:textId="309C30AD" w:rsidR="00576C8C" w:rsidRPr="004637B9" w:rsidRDefault="007173B2">
      <w:pPr>
        <w:pStyle w:val="Normal1"/>
      </w:pPr>
      <w:bookmarkStart w:id="2" w:name="_1fob9te" w:colFirst="0" w:colLast="0"/>
      <w:bookmarkEnd w:id="2"/>
      <w:r w:rsidRPr="004637B9">
        <w:rPr>
          <w:b/>
          <w:sz w:val="16"/>
          <w:szCs w:val="16"/>
        </w:rPr>
        <w:t>_____________________________________________________________________________________________________________</w:t>
      </w:r>
    </w:p>
    <w:p w14:paraId="1AF566B1" w14:textId="77777777" w:rsidR="00576C8C" w:rsidRPr="004637B9" w:rsidRDefault="00576C8C">
      <w:pPr>
        <w:pStyle w:val="Normal1"/>
      </w:pPr>
      <w:bookmarkStart w:id="3" w:name="_3znysh7" w:colFirst="0" w:colLast="0"/>
      <w:bookmarkEnd w:id="3"/>
    </w:p>
    <w:p w14:paraId="53715F27" w14:textId="77777777" w:rsidR="00576C8C" w:rsidRPr="004637B9" w:rsidRDefault="007173B2">
      <w:pPr>
        <w:pStyle w:val="Normal1"/>
        <w:tabs>
          <w:tab w:val="left" w:pos="8190"/>
        </w:tabs>
      </w:pPr>
      <w:r w:rsidRPr="004637B9">
        <w:tab/>
      </w:r>
    </w:p>
    <w:p w14:paraId="3F5C469E" w14:textId="77777777" w:rsidR="00576C8C" w:rsidRPr="004637B9" w:rsidRDefault="00576C8C">
      <w:pPr>
        <w:pStyle w:val="Normal1"/>
      </w:pPr>
    </w:p>
    <w:p w14:paraId="520DE102" w14:textId="77777777" w:rsidR="00576C8C" w:rsidRPr="004637B9" w:rsidRDefault="00576C8C">
      <w:pPr>
        <w:pStyle w:val="Normal1"/>
      </w:pPr>
    </w:p>
    <w:p w14:paraId="797DD9BF" w14:textId="77777777" w:rsidR="00576C8C" w:rsidRPr="004637B9" w:rsidRDefault="00576C8C">
      <w:pPr>
        <w:pStyle w:val="Normal1"/>
      </w:pPr>
    </w:p>
    <w:p w14:paraId="6C177449" w14:textId="77777777" w:rsidR="00576C8C" w:rsidRPr="004637B9" w:rsidRDefault="00576C8C">
      <w:pPr>
        <w:pStyle w:val="Normal1"/>
      </w:pPr>
    </w:p>
    <w:p w14:paraId="0B268705" w14:textId="77777777" w:rsidR="00206AE1" w:rsidRPr="004637B9" w:rsidRDefault="00206AE1">
      <w:pPr>
        <w:pStyle w:val="Normal1"/>
      </w:pPr>
    </w:p>
    <w:p w14:paraId="5AD5171E" w14:textId="77777777" w:rsidR="00576C8C" w:rsidRPr="004637B9" w:rsidRDefault="00576C8C">
      <w:pPr>
        <w:pStyle w:val="Normal1"/>
      </w:pPr>
    </w:p>
    <w:p w14:paraId="3BE4CAD1" w14:textId="3A29D929" w:rsidR="00576C8C" w:rsidRPr="004637B9" w:rsidRDefault="002165C6">
      <w:pPr>
        <w:pStyle w:val="Normal1"/>
      </w:pPr>
      <w:bookmarkStart w:id="4" w:name="_2et92p0" w:colFirst="0" w:colLast="0"/>
      <w:bookmarkEnd w:id="4"/>
      <w:r>
        <w:rPr>
          <w:b/>
          <w:sz w:val="72"/>
          <w:szCs w:val="72"/>
        </w:rPr>
        <w:t xml:space="preserve">Residential Smart </w:t>
      </w:r>
      <w:r w:rsidR="007173B2" w:rsidRPr="004637B9">
        <w:rPr>
          <w:b/>
          <w:sz w:val="72"/>
          <w:szCs w:val="72"/>
        </w:rPr>
        <w:t>Thermostat</w:t>
      </w:r>
    </w:p>
    <w:p w14:paraId="53458380" w14:textId="77777777" w:rsidR="00576C8C" w:rsidRPr="004637B9" w:rsidRDefault="00576C8C">
      <w:pPr>
        <w:pStyle w:val="Normal1"/>
        <w:spacing w:before="40" w:after="40"/>
      </w:pPr>
    </w:p>
    <w:p w14:paraId="2CD29B98" w14:textId="77777777" w:rsidR="00576C8C" w:rsidRPr="004637B9" w:rsidRDefault="00576C8C">
      <w:pPr>
        <w:pStyle w:val="Normal1"/>
        <w:spacing w:before="40" w:after="40"/>
      </w:pPr>
    </w:p>
    <w:p w14:paraId="4D319BBE" w14:textId="77777777" w:rsidR="00576C8C" w:rsidRPr="004637B9" w:rsidRDefault="00576C8C">
      <w:pPr>
        <w:pStyle w:val="Normal1"/>
        <w:spacing w:before="40" w:after="40"/>
      </w:pPr>
    </w:p>
    <w:p w14:paraId="0330A0AB" w14:textId="77777777" w:rsidR="00576C8C" w:rsidRPr="004637B9" w:rsidRDefault="00576C8C">
      <w:pPr>
        <w:pStyle w:val="Normal1"/>
        <w:spacing w:before="40" w:after="40"/>
      </w:pPr>
    </w:p>
    <w:p w14:paraId="7B906F06" w14:textId="77777777" w:rsidR="00576C8C" w:rsidRPr="004637B9" w:rsidRDefault="00576C8C">
      <w:pPr>
        <w:pStyle w:val="Normal1"/>
        <w:spacing w:before="40" w:after="40"/>
      </w:pPr>
    </w:p>
    <w:p w14:paraId="6F002E24" w14:textId="77777777" w:rsidR="00576C8C" w:rsidRPr="004637B9" w:rsidRDefault="00576C8C">
      <w:pPr>
        <w:pStyle w:val="Normal1"/>
        <w:spacing w:before="40" w:after="40"/>
      </w:pPr>
    </w:p>
    <w:p w14:paraId="74F720AC" w14:textId="77777777" w:rsidR="00576C8C" w:rsidRPr="004637B9" w:rsidRDefault="00576C8C">
      <w:pPr>
        <w:pStyle w:val="Normal1"/>
        <w:spacing w:before="40" w:after="40"/>
      </w:pPr>
    </w:p>
    <w:p w14:paraId="051DA7A1" w14:textId="2CF3A107" w:rsidR="0043418A" w:rsidRPr="004637B9" w:rsidRDefault="001274E0" w:rsidP="006E54D1">
      <w:pPr>
        <w:pStyle w:val="Normal1"/>
        <w:tabs>
          <w:tab w:val="left" w:pos="4923"/>
        </w:tabs>
        <w:spacing w:before="40" w:after="40"/>
      </w:pPr>
      <w:r w:rsidRPr="004637B9">
        <w:tab/>
      </w:r>
    </w:p>
    <w:p w14:paraId="47AD6197" w14:textId="77777777" w:rsidR="00576C8C" w:rsidRPr="004637B9" w:rsidRDefault="00576C8C">
      <w:pPr>
        <w:pStyle w:val="Normal1"/>
        <w:spacing w:before="40" w:after="40"/>
      </w:pPr>
    </w:p>
    <w:p w14:paraId="6185C87A" w14:textId="77777777" w:rsidR="00576C8C" w:rsidRPr="004637B9" w:rsidRDefault="00576C8C">
      <w:pPr>
        <w:pStyle w:val="Normal1"/>
        <w:spacing w:before="40" w:after="40"/>
      </w:pPr>
    </w:p>
    <w:p w14:paraId="38C77BC6" w14:textId="77777777" w:rsidR="007755C8" w:rsidRPr="004637B9" w:rsidRDefault="007755C8">
      <w:pPr>
        <w:rPr>
          <w:b/>
          <w:smallCaps/>
          <w:sz w:val="36"/>
          <w:szCs w:val="36"/>
        </w:rPr>
      </w:pPr>
      <w:bookmarkStart w:id="5" w:name="_tyjcwt" w:colFirst="0" w:colLast="0"/>
      <w:bookmarkEnd w:id="5"/>
      <w:r w:rsidRPr="004637B9">
        <w:br w:type="page"/>
      </w:r>
    </w:p>
    <w:p w14:paraId="6468DC5D" w14:textId="20D57A74" w:rsidR="00576C8C" w:rsidRPr="004637B9" w:rsidRDefault="007173B2">
      <w:pPr>
        <w:pStyle w:val="Heading1"/>
      </w:pPr>
      <w:r w:rsidRPr="004637B9">
        <w:lastRenderedPageBreak/>
        <w:t>At-a-Glance Summary</w:t>
      </w:r>
    </w:p>
    <w:tbl>
      <w:tblPr>
        <w:tblStyle w:val="26"/>
        <w:tblW w:w="9576" w:type="dxa"/>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5"/>
        <w:gridCol w:w="6171"/>
      </w:tblGrid>
      <w:tr w:rsidR="00576C8C" w:rsidRPr="004637B9" w14:paraId="576457AC" w14:textId="77777777" w:rsidTr="002165C6">
        <w:trPr>
          <w:trHeight w:val="460"/>
        </w:trPr>
        <w:tc>
          <w:tcPr>
            <w:tcW w:w="3405" w:type="dxa"/>
          </w:tcPr>
          <w:p w14:paraId="25DAD924" w14:textId="77777777" w:rsidR="00576C8C" w:rsidRPr="004637B9" w:rsidRDefault="007173B2">
            <w:pPr>
              <w:pStyle w:val="Normal1"/>
            </w:pPr>
            <w:r w:rsidRPr="004637B9">
              <w:rPr>
                <w:b/>
              </w:rPr>
              <w:t>Measure Codes</w:t>
            </w:r>
          </w:p>
        </w:tc>
        <w:tc>
          <w:tcPr>
            <w:tcW w:w="6171" w:type="dxa"/>
          </w:tcPr>
          <w:p w14:paraId="57C90F7F" w14:textId="4BA56727" w:rsidR="00576C8C" w:rsidRPr="004637B9" w:rsidRDefault="00AC49F2">
            <w:pPr>
              <w:pStyle w:val="Normal1"/>
            </w:pPr>
            <w:r w:rsidRPr="004637B9">
              <w:t>See section 1.1</w:t>
            </w:r>
          </w:p>
        </w:tc>
      </w:tr>
      <w:tr w:rsidR="00576C8C" w:rsidRPr="004637B9" w14:paraId="264F7BC9" w14:textId="77777777" w:rsidTr="002165C6">
        <w:trPr>
          <w:trHeight w:val="460"/>
        </w:trPr>
        <w:tc>
          <w:tcPr>
            <w:tcW w:w="3405" w:type="dxa"/>
          </w:tcPr>
          <w:p w14:paraId="3F8447D6" w14:textId="77777777" w:rsidR="00576C8C" w:rsidRPr="004637B9" w:rsidRDefault="007173B2">
            <w:pPr>
              <w:pStyle w:val="Normal1"/>
            </w:pPr>
            <w:r w:rsidRPr="004637B9">
              <w:rPr>
                <w:b/>
              </w:rPr>
              <w:t>Measure Description</w:t>
            </w:r>
          </w:p>
        </w:tc>
        <w:tc>
          <w:tcPr>
            <w:tcW w:w="6171" w:type="dxa"/>
          </w:tcPr>
          <w:p w14:paraId="50C4BB3A" w14:textId="6D78A32A" w:rsidR="00576C8C" w:rsidRPr="004637B9" w:rsidRDefault="007173B2">
            <w:pPr>
              <w:pStyle w:val="Normal1"/>
            </w:pPr>
            <w:r w:rsidRPr="004637B9">
              <w:t>Residential Smart Thermostat</w:t>
            </w:r>
          </w:p>
        </w:tc>
      </w:tr>
      <w:tr w:rsidR="00576C8C" w:rsidRPr="004637B9" w14:paraId="66777A38" w14:textId="77777777" w:rsidTr="002165C6">
        <w:trPr>
          <w:trHeight w:val="460"/>
        </w:trPr>
        <w:tc>
          <w:tcPr>
            <w:tcW w:w="3405" w:type="dxa"/>
          </w:tcPr>
          <w:p w14:paraId="524C8E15" w14:textId="77777777" w:rsidR="00576C8C" w:rsidRPr="004637B9" w:rsidRDefault="007173B2">
            <w:pPr>
              <w:pStyle w:val="Normal1"/>
            </w:pPr>
            <w:r w:rsidRPr="004637B9">
              <w:rPr>
                <w:b/>
              </w:rPr>
              <w:t>Base Case Description</w:t>
            </w:r>
          </w:p>
        </w:tc>
        <w:tc>
          <w:tcPr>
            <w:tcW w:w="6171" w:type="dxa"/>
          </w:tcPr>
          <w:p w14:paraId="5DF3A115" w14:textId="77777777" w:rsidR="00576C8C" w:rsidRPr="004637B9" w:rsidRDefault="007173B2">
            <w:pPr>
              <w:pStyle w:val="Normal1"/>
            </w:pPr>
            <w:r w:rsidRPr="004637B9">
              <w:t>A combination of programmed Setback Programmable Thermostats and Non-Programmable Thermostats (or not programmed setback thermostats)</w:t>
            </w:r>
          </w:p>
        </w:tc>
      </w:tr>
      <w:tr w:rsidR="00576C8C" w:rsidRPr="004637B9" w14:paraId="03B703DD" w14:textId="77777777" w:rsidTr="002165C6">
        <w:trPr>
          <w:trHeight w:val="460"/>
        </w:trPr>
        <w:tc>
          <w:tcPr>
            <w:tcW w:w="3405" w:type="dxa"/>
          </w:tcPr>
          <w:p w14:paraId="10989D26" w14:textId="77777777" w:rsidR="00576C8C" w:rsidRPr="004637B9" w:rsidRDefault="007173B2">
            <w:pPr>
              <w:pStyle w:val="Normal1"/>
            </w:pPr>
            <w:r w:rsidRPr="004637B9">
              <w:rPr>
                <w:b/>
              </w:rPr>
              <w:t>Units</w:t>
            </w:r>
          </w:p>
        </w:tc>
        <w:tc>
          <w:tcPr>
            <w:tcW w:w="6171" w:type="dxa"/>
          </w:tcPr>
          <w:p w14:paraId="49D1765F" w14:textId="1D6EB0BB" w:rsidR="00576C8C" w:rsidRPr="004637B9" w:rsidRDefault="0005595C" w:rsidP="00983880">
            <w:pPr>
              <w:pStyle w:val="Normal1"/>
            </w:pPr>
            <w:r>
              <w:t>Household</w:t>
            </w:r>
            <w:r w:rsidR="00983880">
              <w:t xml:space="preserve"> (</w:t>
            </w:r>
            <w:r w:rsidR="007173B2" w:rsidRPr="004637B9">
              <w:t>1 Smart Thermostat</w:t>
            </w:r>
            <w:r w:rsidR="00983880" w:rsidRPr="00C470E5">
              <w:t xml:space="preserve"> p</w:t>
            </w:r>
            <w:r w:rsidR="00983880">
              <w:t>er household)</w:t>
            </w:r>
          </w:p>
        </w:tc>
      </w:tr>
      <w:tr w:rsidR="00576C8C" w:rsidRPr="004637B9" w14:paraId="20892B55" w14:textId="77777777" w:rsidTr="002165C6">
        <w:trPr>
          <w:trHeight w:val="71"/>
        </w:trPr>
        <w:tc>
          <w:tcPr>
            <w:tcW w:w="3405" w:type="dxa"/>
          </w:tcPr>
          <w:p w14:paraId="1F1BF799" w14:textId="77777777" w:rsidR="00576C8C" w:rsidRPr="004637B9" w:rsidRDefault="007173B2">
            <w:pPr>
              <w:pStyle w:val="Normal1"/>
            </w:pPr>
            <w:r w:rsidRPr="004637B9">
              <w:rPr>
                <w:b/>
              </w:rPr>
              <w:t>Energy Savings</w:t>
            </w:r>
          </w:p>
        </w:tc>
        <w:tc>
          <w:tcPr>
            <w:tcW w:w="6171" w:type="dxa"/>
          </w:tcPr>
          <w:p w14:paraId="0EF678E9" w14:textId="3A7EB40D" w:rsidR="00576C8C" w:rsidRPr="004637B9" w:rsidRDefault="007173B2">
            <w:pPr>
              <w:pStyle w:val="Normal1"/>
            </w:pPr>
            <w:r w:rsidRPr="004637B9">
              <w:t>Refer to Attachment</w:t>
            </w:r>
            <w:r w:rsidR="003927FE">
              <w:t xml:space="preserve"> </w:t>
            </w:r>
            <w:r w:rsidR="00980B80">
              <w:t>1</w:t>
            </w:r>
          </w:p>
        </w:tc>
      </w:tr>
      <w:tr w:rsidR="00576C8C" w:rsidRPr="004637B9" w14:paraId="5FC36501" w14:textId="77777777" w:rsidTr="002165C6">
        <w:trPr>
          <w:trHeight w:val="460"/>
        </w:trPr>
        <w:tc>
          <w:tcPr>
            <w:tcW w:w="3405" w:type="dxa"/>
          </w:tcPr>
          <w:p w14:paraId="4950278E" w14:textId="77777777" w:rsidR="00576C8C" w:rsidRPr="004637B9" w:rsidRDefault="007173B2">
            <w:pPr>
              <w:pStyle w:val="Normal1"/>
            </w:pPr>
            <w:r w:rsidRPr="004637B9">
              <w:rPr>
                <w:b/>
              </w:rPr>
              <w:t>Full Measure Cost ($/unit)</w:t>
            </w:r>
          </w:p>
        </w:tc>
        <w:tc>
          <w:tcPr>
            <w:tcW w:w="6171" w:type="dxa"/>
            <w:tcMar>
              <w:top w:w="100" w:type="dxa"/>
              <w:left w:w="100" w:type="dxa"/>
              <w:bottom w:w="100" w:type="dxa"/>
              <w:right w:w="100" w:type="dxa"/>
            </w:tcMar>
          </w:tcPr>
          <w:p w14:paraId="230A5DF6" w14:textId="530A94F8" w:rsidR="00576C8C" w:rsidRPr="004637B9" w:rsidRDefault="00154112">
            <w:pPr>
              <w:pStyle w:val="Normal1"/>
            </w:pPr>
            <w:r w:rsidRPr="004637B9">
              <w:t>$</w:t>
            </w:r>
            <w:r w:rsidR="00840D4A" w:rsidRPr="004637B9">
              <w:rPr>
                <w:color w:val="auto"/>
              </w:rPr>
              <w:t>2</w:t>
            </w:r>
            <w:r w:rsidR="00E67457" w:rsidRPr="004637B9">
              <w:rPr>
                <w:color w:val="auto"/>
              </w:rPr>
              <w:t>09.</w:t>
            </w:r>
            <w:r w:rsidR="00E46C4B">
              <w:rPr>
                <w:color w:val="auto"/>
              </w:rPr>
              <w:t>31</w:t>
            </w:r>
          </w:p>
        </w:tc>
      </w:tr>
      <w:tr w:rsidR="00576C8C" w:rsidRPr="004637B9" w14:paraId="6BA16B07" w14:textId="77777777" w:rsidTr="002165C6">
        <w:trPr>
          <w:trHeight w:val="460"/>
        </w:trPr>
        <w:tc>
          <w:tcPr>
            <w:tcW w:w="3405" w:type="dxa"/>
          </w:tcPr>
          <w:p w14:paraId="6606D1DE" w14:textId="77777777" w:rsidR="00576C8C" w:rsidRPr="004637B9" w:rsidRDefault="007173B2">
            <w:pPr>
              <w:pStyle w:val="Normal1"/>
            </w:pPr>
            <w:r w:rsidRPr="004637B9">
              <w:rPr>
                <w:b/>
              </w:rPr>
              <w:t>Incremental Measure Cost ($/unit)</w:t>
            </w:r>
          </w:p>
        </w:tc>
        <w:tc>
          <w:tcPr>
            <w:tcW w:w="6171" w:type="dxa"/>
          </w:tcPr>
          <w:p w14:paraId="2EAE312E" w14:textId="584E82C3" w:rsidR="00576C8C" w:rsidRPr="004637B9" w:rsidRDefault="007173B2" w:rsidP="00154112">
            <w:pPr>
              <w:pStyle w:val="Normal1"/>
            </w:pPr>
            <w:r w:rsidRPr="004637B9">
              <w:t>$</w:t>
            </w:r>
            <w:r w:rsidR="009E4D8D" w:rsidRPr="004637B9">
              <w:t>14</w:t>
            </w:r>
            <w:r w:rsidR="00E67457" w:rsidRPr="004637B9">
              <w:t>2</w:t>
            </w:r>
            <w:r w:rsidR="009E4D8D" w:rsidRPr="004637B9">
              <w:t>.</w:t>
            </w:r>
            <w:r w:rsidR="00E46C4B">
              <w:t>46</w:t>
            </w:r>
          </w:p>
        </w:tc>
      </w:tr>
      <w:tr w:rsidR="00576C8C" w:rsidRPr="004637B9" w14:paraId="0DDE4526" w14:textId="77777777" w:rsidTr="002165C6">
        <w:trPr>
          <w:trHeight w:val="460"/>
        </w:trPr>
        <w:tc>
          <w:tcPr>
            <w:tcW w:w="3405" w:type="dxa"/>
          </w:tcPr>
          <w:p w14:paraId="2A93EA06" w14:textId="77777777" w:rsidR="00576C8C" w:rsidRPr="004637B9" w:rsidRDefault="007173B2">
            <w:pPr>
              <w:pStyle w:val="Normal1"/>
            </w:pPr>
            <w:r w:rsidRPr="004637B9">
              <w:rPr>
                <w:b/>
              </w:rPr>
              <w:t>Effective Useful Life</w:t>
            </w:r>
          </w:p>
        </w:tc>
        <w:tc>
          <w:tcPr>
            <w:tcW w:w="6171" w:type="dxa"/>
          </w:tcPr>
          <w:p w14:paraId="31CFD9AB" w14:textId="0B4A4946" w:rsidR="00576C8C" w:rsidRPr="005D2E93" w:rsidRDefault="00B3298E">
            <w:pPr>
              <w:pStyle w:val="Normal1"/>
              <w:rPr>
                <w:highlight w:val="yellow"/>
              </w:rPr>
            </w:pPr>
            <w:r w:rsidRPr="00B3298E">
              <w:t>HV-ProgTstat</w:t>
            </w:r>
            <w:r w:rsidR="00666FD4" w:rsidRPr="002165C6">
              <w:t xml:space="preserve">: </w:t>
            </w:r>
            <w:r w:rsidR="00E67457" w:rsidRPr="002165C6">
              <w:t>9.1</w:t>
            </w:r>
            <w:r w:rsidR="007173B2" w:rsidRPr="002165C6">
              <w:t xml:space="preserve"> years</w:t>
            </w:r>
            <w:r>
              <w:t xml:space="preserve"> (Non-DEER)</w:t>
            </w:r>
          </w:p>
        </w:tc>
      </w:tr>
      <w:tr w:rsidR="00576C8C" w:rsidRPr="004637B9" w14:paraId="35E9EBD8" w14:textId="77777777" w:rsidTr="002165C6">
        <w:trPr>
          <w:trHeight w:val="460"/>
        </w:trPr>
        <w:tc>
          <w:tcPr>
            <w:tcW w:w="3405" w:type="dxa"/>
          </w:tcPr>
          <w:p w14:paraId="230F75FC" w14:textId="77777777" w:rsidR="00576C8C" w:rsidRPr="004637B9" w:rsidRDefault="007173B2">
            <w:pPr>
              <w:pStyle w:val="Normal1"/>
            </w:pPr>
            <w:r w:rsidRPr="004637B9">
              <w:rPr>
                <w:b/>
              </w:rPr>
              <w:t>Measure Installation Type</w:t>
            </w:r>
          </w:p>
        </w:tc>
        <w:tc>
          <w:tcPr>
            <w:tcW w:w="6171" w:type="dxa"/>
          </w:tcPr>
          <w:p w14:paraId="232DFA59" w14:textId="492D7BAA" w:rsidR="002A70B7" w:rsidRPr="004637B9" w:rsidRDefault="00C6439A">
            <w:pPr>
              <w:pStyle w:val="Normal1"/>
            </w:pPr>
            <w:r w:rsidRPr="004637B9">
              <w:t>N</w:t>
            </w:r>
            <w:r w:rsidR="009A1731" w:rsidRPr="004637B9">
              <w:t>ormal Replacement (NR)</w:t>
            </w:r>
          </w:p>
        </w:tc>
      </w:tr>
      <w:tr w:rsidR="00576C8C" w:rsidRPr="004637B9" w14:paraId="0F8514AA" w14:textId="77777777" w:rsidTr="002165C6">
        <w:trPr>
          <w:trHeight w:val="460"/>
        </w:trPr>
        <w:tc>
          <w:tcPr>
            <w:tcW w:w="3405" w:type="dxa"/>
          </w:tcPr>
          <w:p w14:paraId="6A098A31" w14:textId="77777777" w:rsidR="00576C8C" w:rsidRPr="004637B9" w:rsidRDefault="007173B2">
            <w:pPr>
              <w:pStyle w:val="Normal1"/>
            </w:pPr>
            <w:r w:rsidRPr="004637B9">
              <w:rPr>
                <w:b/>
              </w:rPr>
              <w:t>Net-to-Gross Ratio</w:t>
            </w:r>
          </w:p>
        </w:tc>
        <w:tc>
          <w:tcPr>
            <w:tcW w:w="6171" w:type="dxa"/>
          </w:tcPr>
          <w:p w14:paraId="38E04A09" w14:textId="57C2A0C7" w:rsidR="00576C8C" w:rsidRPr="004637B9" w:rsidRDefault="002F2186">
            <w:pPr>
              <w:pStyle w:val="Normal1"/>
            </w:pPr>
            <w:r w:rsidRPr="004637B9">
              <w:t>0.55</w:t>
            </w:r>
            <w:r w:rsidR="007D73C5" w:rsidRPr="004637B9">
              <w:t xml:space="preserve"> (Res-Default&gt;2)</w:t>
            </w:r>
            <w:r w:rsidR="00D03869" w:rsidRPr="004637B9">
              <w:t xml:space="preserve"> </w:t>
            </w:r>
          </w:p>
        </w:tc>
      </w:tr>
      <w:tr w:rsidR="00576C8C" w:rsidRPr="004637B9" w14:paraId="3E8EA401" w14:textId="77777777" w:rsidTr="002165C6">
        <w:trPr>
          <w:trHeight w:val="460"/>
        </w:trPr>
        <w:tc>
          <w:tcPr>
            <w:tcW w:w="3405" w:type="dxa"/>
          </w:tcPr>
          <w:p w14:paraId="7F76659E" w14:textId="25776108" w:rsidR="00576C8C" w:rsidRPr="004637B9" w:rsidRDefault="007173B2">
            <w:pPr>
              <w:pStyle w:val="Normal1"/>
            </w:pPr>
            <w:r w:rsidRPr="004637B9">
              <w:rPr>
                <w:b/>
              </w:rPr>
              <w:t>Important Comments</w:t>
            </w:r>
          </w:p>
        </w:tc>
        <w:tc>
          <w:tcPr>
            <w:tcW w:w="6171" w:type="dxa"/>
          </w:tcPr>
          <w:p w14:paraId="7C255083" w14:textId="05914F00" w:rsidR="00760512" w:rsidRPr="004637B9" w:rsidRDefault="00760512">
            <w:pPr>
              <w:pStyle w:val="Normal1"/>
            </w:pPr>
            <w:r w:rsidRPr="004637B9">
              <w:rPr>
                <w:rFonts w:cs="Arial"/>
              </w:rPr>
              <w:t>This work paper has a complementary Ex Ante Database data set that will be provided in a separate submission to the California Public Utilities Commission (CPUC).</w:t>
            </w:r>
          </w:p>
        </w:tc>
      </w:tr>
    </w:tbl>
    <w:p w14:paraId="0136A24B" w14:textId="77777777" w:rsidR="00576C8C" w:rsidRPr="004637B9" w:rsidRDefault="00576C8C">
      <w:pPr>
        <w:pStyle w:val="Normal1"/>
        <w:spacing w:after="200" w:line="276" w:lineRule="auto"/>
      </w:pPr>
    </w:p>
    <w:p w14:paraId="279B1126" w14:textId="5DB48D46" w:rsidR="00576C8C" w:rsidRPr="004637B9" w:rsidRDefault="007173B2">
      <w:pPr>
        <w:pStyle w:val="Normal1"/>
      </w:pPr>
      <w:r w:rsidRPr="004637B9">
        <w:br w:type="page"/>
      </w:r>
    </w:p>
    <w:p w14:paraId="02EDB23E" w14:textId="77777777" w:rsidR="00576C8C" w:rsidRPr="004637B9" w:rsidRDefault="007173B2">
      <w:pPr>
        <w:pStyle w:val="Heading1"/>
      </w:pPr>
      <w:r w:rsidRPr="004637B9">
        <w:lastRenderedPageBreak/>
        <w:t>Revision History</w:t>
      </w:r>
    </w:p>
    <w:tbl>
      <w:tblPr>
        <w:tblStyle w:val="25"/>
        <w:tblW w:w="957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5"/>
        <w:gridCol w:w="1290"/>
        <w:gridCol w:w="2310"/>
        <w:gridCol w:w="5115"/>
      </w:tblGrid>
      <w:tr w:rsidR="00576C8C" w:rsidRPr="004637B9" w14:paraId="41E25487" w14:textId="77777777" w:rsidTr="0009168C">
        <w:trPr>
          <w:trHeight w:val="20"/>
        </w:trPr>
        <w:tc>
          <w:tcPr>
            <w:tcW w:w="855" w:type="dxa"/>
            <w:shd w:val="clear" w:color="auto" w:fill="D9D9D9" w:themeFill="background1" w:themeFillShade="D9"/>
          </w:tcPr>
          <w:p w14:paraId="73DB9EAB" w14:textId="77777777" w:rsidR="00576C8C" w:rsidRPr="004637B9" w:rsidRDefault="007173B2">
            <w:pPr>
              <w:pStyle w:val="Normal1"/>
            </w:pPr>
            <w:r w:rsidRPr="004637B9">
              <w:rPr>
                <w:b/>
              </w:rPr>
              <w:t>Rev</w:t>
            </w:r>
          </w:p>
        </w:tc>
        <w:tc>
          <w:tcPr>
            <w:tcW w:w="1290" w:type="dxa"/>
            <w:shd w:val="clear" w:color="auto" w:fill="D9D9D9" w:themeFill="background1" w:themeFillShade="D9"/>
          </w:tcPr>
          <w:p w14:paraId="4B62F9C6" w14:textId="77777777" w:rsidR="00576C8C" w:rsidRPr="004637B9" w:rsidRDefault="007173B2">
            <w:pPr>
              <w:pStyle w:val="Normal1"/>
            </w:pPr>
            <w:r w:rsidRPr="004637B9">
              <w:rPr>
                <w:b/>
              </w:rPr>
              <w:t>Date</w:t>
            </w:r>
          </w:p>
        </w:tc>
        <w:tc>
          <w:tcPr>
            <w:tcW w:w="2310" w:type="dxa"/>
            <w:shd w:val="clear" w:color="auto" w:fill="D9D9D9" w:themeFill="background1" w:themeFillShade="D9"/>
          </w:tcPr>
          <w:p w14:paraId="2F150C9A" w14:textId="77777777" w:rsidR="00576C8C" w:rsidRPr="004637B9" w:rsidRDefault="007173B2">
            <w:pPr>
              <w:pStyle w:val="Normal1"/>
            </w:pPr>
            <w:r w:rsidRPr="004637B9">
              <w:rPr>
                <w:b/>
              </w:rPr>
              <w:t>Author</w:t>
            </w:r>
          </w:p>
        </w:tc>
        <w:tc>
          <w:tcPr>
            <w:tcW w:w="5115" w:type="dxa"/>
            <w:shd w:val="clear" w:color="auto" w:fill="D9D9D9" w:themeFill="background1" w:themeFillShade="D9"/>
          </w:tcPr>
          <w:p w14:paraId="55914A75" w14:textId="77777777" w:rsidR="00576C8C" w:rsidRPr="004637B9" w:rsidRDefault="007173B2">
            <w:pPr>
              <w:pStyle w:val="Normal1"/>
            </w:pPr>
            <w:r w:rsidRPr="004637B9">
              <w:rPr>
                <w:b/>
              </w:rPr>
              <w:t>Summary of Changes</w:t>
            </w:r>
          </w:p>
        </w:tc>
      </w:tr>
      <w:tr w:rsidR="00576C8C" w:rsidRPr="004637B9" w14:paraId="2DD0EF05" w14:textId="77777777" w:rsidTr="0009168C">
        <w:trPr>
          <w:trHeight w:val="20"/>
        </w:trPr>
        <w:tc>
          <w:tcPr>
            <w:tcW w:w="855" w:type="dxa"/>
          </w:tcPr>
          <w:p w14:paraId="22D199B5" w14:textId="77777777" w:rsidR="00576C8C" w:rsidRPr="004637B9" w:rsidRDefault="007173B2">
            <w:pPr>
              <w:pStyle w:val="Normal1"/>
            </w:pPr>
            <w:r w:rsidRPr="004637B9">
              <w:t>0</w:t>
            </w:r>
          </w:p>
        </w:tc>
        <w:tc>
          <w:tcPr>
            <w:tcW w:w="1290" w:type="dxa"/>
          </w:tcPr>
          <w:p w14:paraId="5E028659" w14:textId="39B9F092" w:rsidR="00576C8C" w:rsidRPr="004637B9" w:rsidRDefault="00345B64">
            <w:pPr>
              <w:pStyle w:val="Normal1"/>
              <w:rPr>
                <w:color w:val="auto"/>
              </w:rPr>
            </w:pPr>
            <w:r w:rsidRPr="004637B9">
              <w:rPr>
                <w:color w:val="auto"/>
              </w:rPr>
              <w:t>2/</w:t>
            </w:r>
            <w:r w:rsidR="00320892" w:rsidRPr="004637B9">
              <w:rPr>
                <w:color w:val="auto"/>
              </w:rPr>
              <w:t>17</w:t>
            </w:r>
            <w:r w:rsidRPr="004637B9">
              <w:rPr>
                <w:color w:val="auto"/>
              </w:rPr>
              <w:t>/2017</w:t>
            </w:r>
          </w:p>
        </w:tc>
        <w:tc>
          <w:tcPr>
            <w:tcW w:w="2310" w:type="dxa"/>
          </w:tcPr>
          <w:p w14:paraId="02433A40" w14:textId="2DCADCDB" w:rsidR="00576C8C" w:rsidRPr="004637B9" w:rsidRDefault="00666E20">
            <w:pPr>
              <w:pStyle w:val="Normal1"/>
            </w:pPr>
            <w:r w:rsidRPr="004637B9">
              <w:t>SCE</w:t>
            </w:r>
            <w:r w:rsidR="00322B58" w:rsidRPr="004637B9">
              <w:t>/CalTF</w:t>
            </w:r>
          </w:p>
        </w:tc>
        <w:tc>
          <w:tcPr>
            <w:tcW w:w="5115" w:type="dxa"/>
          </w:tcPr>
          <w:p w14:paraId="6DAD5634" w14:textId="29CE2074" w:rsidR="00576C8C" w:rsidRPr="004637B9" w:rsidRDefault="007173B2">
            <w:pPr>
              <w:pStyle w:val="Normal1"/>
            </w:pPr>
            <w:r w:rsidRPr="004637B9">
              <w:t>New work paper, first version</w:t>
            </w:r>
          </w:p>
        </w:tc>
      </w:tr>
      <w:tr w:rsidR="009A1731" w:rsidRPr="004637B9" w14:paraId="01F38028" w14:textId="77777777" w:rsidTr="0009168C">
        <w:trPr>
          <w:trHeight w:val="20"/>
        </w:trPr>
        <w:tc>
          <w:tcPr>
            <w:tcW w:w="855" w:type="dxa"/>
          </w:tcPr>
          <w:p w14:paraId="73EC2777" w14:textId="77777777" w:rsidR="009A1731" w:rsidRDefault="009A1731">
            <w:pPr>
              <w:pStyle w:val="Normal1"/>
            </w:pPr>
            <w:r w:rsidRPr="004637B9">
              <w:t>1</w:t>
            </w:r>
          </w:p>
          <w:p w14:paraId="7FD0EC4F" w14:textId="77777777" w:rsidR="0021155E" w:rsidRDefault="0021155E">
            <w:pPr>
              <w:pStyle w:val="Normal1"/>
            </w:pPr>
          </w:p>
          <w:p w14:paraId="4EA92BF9" w14:textId="77777777" w:rsidR="0021155E" w:rsidRDefault="0021155E">
            <w:pPr>
              <w:pStyle w:val="Normal1"/>
            </w:pPr>
          </w:p>
          <w:p w14:paraId="2DFC394E" w14:textId="77777777" w:rsidR="0021155E" w:rsidRDefault="0021155E">
            <w:pPr>
              <w:pStyle w:val="Normal1"/>
            </w:pPr>
          </w:p>
          <w:p w14:paraId="6D446DCA" w14:textId="77777777" w:rsidR="0021155E" w:rsidRDefault="0021155E">
            <w:pPr>
              <w:pStyle w:val="Normal1"/>
            </w:pPr>
          </w:p>
          <w:p w14:paraId="03D6C5A9" w14:textId="77777777" w:rsidR="0021155E" w:rsidRDefault="0021155E">
            <w:pPr>
              <w:pStyle w:val="Normal1"/>
            </w:pPr>
          </w:p>
          <w:p w14:paraId="2AF417AF" w14:textId="77777777" w:rsidR="0021155E" w:rsidRDefault="0021155E">
            <w:pPr>
              <w:pStyle w:val="Normal1"/>
            </w:pPr>
          </w:p>
          <w:p w14:paraId="5CB06AF4" w14:textId="77777777" w:rsidR="0021155E" w:rsidRDefault="0021155E">
            <w:pPr>
              <w:pStyle w:val="Normal1"/>
            </w:pPr>
          </w:p>
          <w:p w14:paraId="70375274" w14:textId="77777777" w:rsidR="0021155E" w:rsidRDefault="0021155E">
            <w:pPr>
              <w:pStyle w:val="Normal1"/>
            </w:pPr>
          </w:p>
          <w:p w14:paraId="13FD3385" w14:textId="77777777" w:rsidR="0021155E" w:rsidRDefault="0021155E">
            <w:pPr>
              <w:pStyle w:val="Normal1"/>
            </w:pPr>
          </w:p>
          <w:p w14:paraId="7A8DEEDB" w14:textId="77777777" w:rsidR="0021155E" w:rsidRDefault="0021155E">
            <w:pPr>
              <w:pStyle w:val="Normal1"/>
            </w:pPr>
          </w:p>
          <w:p w14:paraId="5B03A0B5" w14:textId="77777777" w:rsidR="0021155E" w:rsidRDefault="0021155E">
            <w:pPr>
              <w:pStyle w:val="Normal1"/>
            </w:pPr>
          </w:p>
          <w:p w14:paraId="6CF072DC" w14:textId="77777777" w:rsidR="0021155E" w:rsidRDefault="0021155E">
            <w:pPr>
              <w:pStyle w:val="Normal1"/>
            </w:pPr>
          </w:p>
          <w:p w14:paraId="65DEF618" w14:textId="77777777" w:rsidR="0021155E" w:rsidRDefault="0021155E">
            <w:pPr>
              <w:pStyle w:val="Normal1"/>
            </w:pPr>
          </w:p>
          <w:p w14:paraId="075DB9F4" w14:textId="77777777" w:rsidR="0021155E" w:rsidRDefault="0021155E">
            <w:pPr>
              <w:pStyle w:val="Normal1"/>
            </w:pPr>
          </w:p>
          <w:p w14:paraId="4F930A8A" w14:textId="77777777" w:rsidR="0021155E" w:rsidRDefault="0021155E">
            <w:pPr>
              <w:pStyle w:val="Normal1"/>
            </w:pPr>
          </w:p>
          <w:p w14:paraId="72558390" w14:textId="77777777" w:rsidR="0021155E" w:rsidRDefault="0021155E">
            <w:pPr>
              <w:pStyle w:val="Normal1"/>
            </w:pPr>
          </w:p>
          <w:p w14:paraId="3955BD3A" w14:textId="77777777" w:rsidR="0021155E" w:rsidRDefault="0021155E">
            <w:pPr>
              <w:pStyle w:val="Normal1"/>
            </w:pPr>
          </w:p>
          <w:p w14:paraId="74D58BCB" w14:textId="77777777" w:rsidR="0021155E" w:rsidRDefault="0021155E">
            <w:pPr>
              <w:pStyle w:val="Normal1"/>
            </w:pPr>
          </w:p>
          <w:p w14:paraId="01E637B0" w14:textId="77777777" w:rsidR="0021155E" w:rsidRDefault="0021155E">
            <w:pPr>
              <w:pStyle w:val="Normal1"/>
            </w:pPr>
          </w:p>
          <w:p w14:paraId="3C0A749F" w14:textId="77777777" w:rsidR="0021155E" w:rsidRDefault="0021155E">
            <w:pPr>
              <w:pStyle w:val="Normal1"/>
            </w:pPr>
          </w:p>
          <w:p w14:paraId="4D8B5A52" w14:textId="5FE7EE15" w:rsidR="0021155E" w:rsidRDefault="0021155E">
            <w:pPr>
              <w:pStyle w:val="Normal1"/>
            </w:pPr>
            <w:r>
              <w:t>Resubmission</w:t>
            </w:r>
          </w:p>
          <w:p w14:paraId="1826553B" w14:textId="77777777" w:rsidR="0021155E" w:rsidRDefault="0021155E">
            <w:pPr>
              <w:pStyle w:val="Normal1"/>
            </w:pPr>
          </w:p>
          <w:p w14:paraId="3C296912" w14:textId="7614D46D" w:rsidR="0021155E" w:rsidRPr="004637B9" w:rsidRDefault="0021155E">
            <w:pPr>
              <w:pStyle w:val="Normal1"/>
            </w:pPr>
          </w:p>
        </w:tc>
        <w:tc>
          <w:tcPr>
            <w:tcW w:w="1290" w:type="dxa"/>
          </w:tcPr>
          <w:p w14:paraId="58481C2E" w14:textId="3BE9C232" w:rsidR="009A1731" w:rsidRDefault="00C77DB6">
            <w:pPr>
              <w:pStyle w:val="Normal1"/>
              <w:rPr>
                <w:color w:val="auto"/>
              </w:rPr>
            </w:pPr>
            <w:r>
              <w:rPr>
                <w:color w:val="auto"/>
              </w:rPr>
              <w:t>2</w:t>
            </w:r>
            <w:r w:rsidR="009A1731" w:rsidRPr="004637B9">
              <w:rPr>
                <w:color w:val="auto"/>
              </w:rPr>
              <w:t>/</w:t>
            </w:r>
            <w:r w:rsidR="00D806E4">
              <w:rPr>
                <w:color w:val="auto"/>
              </w:rPr>
              <w:t>8</w:t>
            </w:r>
            <w:r w:rsidR="009A1731" w:rsidRPr="004637B9">
              <w:rPr>
                <w:color w:val="auto"/>
              </w:rPr>
              <w:t>/201</w:t>
            </w:r>
            <w:r w:rsidR="001A48C9">
              <w:rPr>
                <w:color w:val="auto"/>
              </w:rPr>
              <w:t>9</w:t>
            </w:r>
          </w:p>
          <w:p w14:paraId="53BD1303" w14:textId="77777777" w:rsidR="0021155E" w:rsidRDefault="0021155E">
            <w:pPr>
              <w:pStyle w:val="Normal1"/>
              <w:rPr>
                <w:color w:val="auto"/>
              </w:rPr>
            </w:pPr>
          </w:p>
          <w:p w14:paraId="6AE20D7A" w14:textId="77777777" w:rsidR="0021155E" w:rsidRDefault="0021155E">
            <w:pPr>
              <w:pStyle w:val="Normal1"/>
              <w:rPr>
                <w:color w:val="auto"/>
              </w:rPr>
            </w:pPr>
          </w:p>
          <w:p w14:paraId="19DC1F1B" w14:textId="77777777" w:rsidR="0021155E" w:rsidRDefault="0021155E">
            <w:pPr>
              <w:pStyle w:val="Normal1"/>
              <w:rPr>
                <w:color w:val="auto"/>
              </w:rPr>
            </w:pPr>
          </w:p>
          <w:p w14:paraId="5F2A3196" w14:textId="77777777" w:rsidR="0021155E" w:rsidRDefault="0021155E">
            <w:pPr>
              <w:pStyle w:val="Normal1"/>
              <w:rPr>
                <w:color w:val="auto"/>
              </w:rPr>
            </w:pPr>
          </w:p>
          <w:p w14:paraId="23BCFFA8" w14:textId="77777777" w:rsidR="0021155E" w:rsidRDefault="0021155E">
            <w:pPr>
              <w:pStyle w:val="Normal1"/>
              <w:rPr>
                <w:color w:val="auto"/>
              </w:rPr>
            </w:pPr>
          </w:p>
          <w:p w14:paraId="706ADCA7" w14:textId="77777777" w:rsidR="0021155E" w:rsidRDefault="0021155E">
            <w:pPr>
              <w:pStyle w:val="Normal1"/>
              <w:rPr>
                <w:color w:val="auto"/>
              </w:rPr>
            </w:pPr>
          </w:p>
          <w:p w14:paraId="690CE891" w14:textId="77777777" w:rsidR="0021155E" w:rsidRDefault="0021155E">
            <w:pPr>
              <w:pStyle w:val="Normal1"/>
              <w:rPr>
                <w:color w:val="auto"/>
              </w:rPr>
            </w:pPr>
          </w:p>
          <w:p w14:paraId="36F23902" w14:textId="77777777" w:rsidR="0021155E" w:rsidRDefault="0021155E">
            <w:pPr>
              <w:pStyle w:val="Normal1"/>
              <w:rPr>
                <w:color w:val="auto"/>
              </w:rPr>
            </w:pPr>
          </w:p>
          <w:p w14:paraId="6166C022" w14:textId="77777777" w:rsidR="0021155E" w:rsidRDefault="0021155E">
            <w:pPr>
              <w:pStyle w:val="Normal1"/>
              <w:rPr>
                <w:color w:val="auto"/>
              </w:rPr>
            </w:pPr>
          </w:p>
          <w:p w14:paraId="2FBB35EE" w14:textId="77777777" w:rsidR="0021155E" w:rsidRDefault="0021155E">
            <w:pPr>
              <w:pStyle w:val="Normal1"/>
              <w:rPr>
                <w:color w:val="auto"/>
              </w:rPr>
            </w:pPr>
          </w:p>
          <w:p w14:paraId="6A990AB4" w14:textId="77777777" w:rsidR="0021155E" w:rsidRDefault="0021155E">
            <w:pPr>
              <w:pStyle w:val="Normal1"/>
              <w:rPr>
                <w:color w:val="auto"/>
              </w:rPr>
            </w:pPr>
          </w:p>
          <w:p w14:paraId="0894F126" w14:textId="77777777" w:rsidR="0021155E" w:rsidRDefault="0021155E">
            <w:pPr>
              <w:pStyle w:val="Normal1"/>
              <w:rPr>
                <w:color w:val="auto"/>
              </w:rPr>
            </w:pPr>
          </w:p>
          <w:p w14:paraId="2F1B14E3" w14:textId="77777777" w:rsidR="0021155E" w:rsidRDefault="0021155E">
            <w:pPr>
              <w:pStyle w:val="Normal1"/>
              <w:rPr>
                <w:color w:val="auto"/>
              </w:rPr>
            </w:pPr>
          </w:p>
          <w:p w14:paraId="559E4191" w14:textId="77777777" w:rsidR="0021155E" w:rsidRDefault="0021155E">
            <w:pPr>
              <w:pStyle w:val="Normal1"/>
              <w:rPr>
                <w:color w:val="auto"/>
              </w:rPr>
            </w:pPr>
          </w:p>
          <w:p w14:paraId="2A645E68" w14:textId="77777777" w:rsidR="0021155E" w:rsidRDefault="0021155E">
            <w:pPr>
              <w:pStyle w:val="Normal1"/>
              <w:rPr>
                <w:color w:val="auto"/>
              </w:rPr>
            </w:pPr>
          </w:p>
          <w:p w14:paraId="2EBCC23D" w14:textId="77777777" w:rsidR="0021155E" w:rsidRDefault="0021155E">
            <w:pPr>
              <w:pStyle w:val="Normal1"/>
              <w:rPr>
                <w:color w:val="auto"/>
              </w:rPr>
            </w:pPr>
          </w:p>
          <w:p w14:paraId="01A8041D" w14:textId="77777777" w:rsidR="0021155E" w:rsidRDefault="0021155E">
            <w:pPr>
              <w:pStyle w:val="Normal1"/>
              <w:rPr>
                <w:color w:val="auto"/>
              </w:rPr>
            </w:pPr>
          </w:p>
          <w:p w14:paraId="4E050C52" w14:textId="77777777" w:rsidR="0021155E" w:rsidRDefault="0021155E">
            <w:pPr>
              <w:pStyle w:val="Normal1"/>
              <w:rPr>
                <w:color w:val="auto"/>
              </w:rPr>
            </w:pPr>
          </w:p>
          <w:p w14:paraId="1E358618" w14:textId="77777777" w:rsidR="0021155E" w:rsidRDefault="0021155E">
            <w:pPr>
              <w:pStyle w:val="Normal1"/>
              <w:rPr>
                <w:color w:val="auto"/>
              </w:rPr>
            </w:pPr>
          </w:p>
          <w:p w14:paraId="1546F348" w14:textId="77777777" w:rsidR="0021155E" w:rsidRDefault="0021155E">
            <w:pPr>
              <w:pStyle w:val="Normal1"/>
              <w:rPr>
                <w:color w:val="auto"/>
              </w:rPr>
            </w:pPr>
          </w:p>
          <w:p w14:paraId="1A36B902" w14:textId="11CBC1BF" w:rsidR="0021155E" w:rsidRDefault="0021155E">
            <w:pPr>
              <w:pStyle w:val="Normal1"/>
              <w:rPr>
                <w:color w:val="auto"/>
              </w:rPr>
            </w:pPr>
            <w:r>
              <w:rPr>
                <w:color w:val="auto"/>
              </w:rPr>
              <w:t>5/</w:t>
            </w:r>
            <w:r w:rsidR="003F1D7A">
              <w:rPr>
                <w:color w:val="auto"/>
              </w:rPr>
              <w:t>31</w:t>
            </w:r>
            <w:r>
              <w:rPr>
                <w:color w:val="auto"/>
              </w:rPr>
              <w:t>/2019</w:t>
            </w:r>
          </w:p>
          <w:p w14:paraId="63E6092F" w14:textId="77777777" w:rsidR="0021155E" w:rsidRDefault="0021155E">
            <w:pPr>
              <w:pStyle w:val="Normal1"/>
              <w:rPr>
                <w:color w:val="auto"/>
              </w:rPr>
            </w:pPr>
          </w:p>
          <w:p w14:paraId="6349C7BC" w14:textId="77777777" w:rsidR="0021155E" w:rsidRDefault="0021155E">
            <w:pPr>
              <w:pStyle w:val="Normal1"/>
              <w:rPr>
                <w:color w:val="auto"/>
              </w:rPr>
            </w:pPr>
          </w:p>
          <w:p w14:paraId="1BB0AD8F" w14:textId="0AFB3C6D" w:rsidR="0021155E" w:rsidRPr="004637B9" w:rsidRDefault="0021155E">
            <w:pPr>
              <w:pStyle w:val="Normal1"/>
              <w:rPr>
                <w:color w:val="auto"/>
              </w:rPr>
            </w:pPr>
          </w:p>
        </w:tc>
        <w:tc>
          <w:tcPr>
            <w:tcW w:w="2310" w:type="dxa"/>
          </w:tcPr>
          <w:p w14:paraId="63FF0E81" w14:textId="63BFD1CA" w:rsidR="006E14CA" w:rsidRPr="004637B9" w:rsidRDefault="009A1731">
            <w:pPr>
              <w:pStyle w:val="Normal1"/>
            </w:pPr>
            <w:r w:rsidRPr="004637B9">
              <w:t>TRC</w:t>
            </w:r>
            <w:r w:rsidR="00256855">
              <w:t xml:space="preserve"> </w:t>
            </w:r>
            <w:r w:rsidR="00D1746E">
              <w:t xml:space="preserve">with direct guidance and management from </w:t>
            </w:r>
            <w:r w:rsidR="006162C8">
              <w:t>Andres Fergadiotti</w:t>
            </w:r>
            <w:r w:rsidR="00555338">
              <w:t>/</w:t>
            </w:r>
            <w:r w:rsidR="006E14CA">
              <w:t>SCE</w:t>
            </w:r>
            <w:r w:rsidR="006162C8">
              <w:t>,</w:t>
            </w:r>
            <w:r w:rsidR="006E14CA">
              <w:t xml:space="preserve"> in </w:t>
            </w:r>
            <w:r w:rsidR="00DF79EA">
              <w:t xml:space="preserve">full </w:t>
            </w:r>
            <w:r w:rsidR="006E14CA">
              <w:t>collaboration</w:t>
            </w:r>
            <w:r w:rsidR="00555338">
              <w:t>/coordination</w:t>
            </w:r>
            <w:r w:rsidR="006E14CA">
              <w:t xml:space="preserve"> with PGE, SCG, and SDGE</w:t>
            </w:r>
          </w:p>
        </w:tc>
        <w:tc>
          <w:tcPr>
            <w:tcW w:w="5115" w:type="dxa"/>
          </w:tcPr>
          <w:p w14:paraId="42FA812B" w14:textId="18C9FF8A" w:rsidR="009A1731" w:rsidRPr="004637B9" w:rsidRDefault="009A1731" w:rsidP="006E54D1">
            <w:pPr>
              <w:pStyle w:val="Normal1"/>
              <w:numPr>
                <w:ilvl w:val="0"/>
                <w:numId w:val="50"/>
              </w:numPr>
            </w:pPr>
            <w:r w:rsidRPr="004637B9">
              <w:t xml:space="preserve">New </w:t>
            </w:r>
            <w:r w:rsidR="006B3FDC">
              <w:t>c</w:t>
            </w:r>
            <w:r w:rsidRPr="004637B9">
              <w:t>alculation template for 20</w:t>
            </w:r>
            <w:r w:rsidR="006B2952" w:rsidRPr="004637B9">
              <w:t>19</w:t>
            </w:r>
            <w:r w:rsidR="00C74795" w:rsidRPr="004637B9">
              <w:t xml:space="preserve"> program year</w:t>
            </w:r>
          </w:p>
          <w:p w14:paraId="1D81939C" w14:textId="3BD5657A" w:rsidR="00C74795" w:rsidRPr="004637B9" w:rsidRDefault="00AD43B0" w:rsidP="006E54D1">
            <w:pPr>
              <w:pStyle w:val="Normal1"/>
              <w:numPr>
                <w:ilvl w:val="0"/>
                <w:numId w:val="50"/>
              </w:numPr>
            </w:pPr>
            <w:r w:rsidRPr="004637B9">
              <w:t xml:space="preserve">Baseline </w:t>
            </w:r>
            <w:r w:rsidR="006B3FDC">
              <w:t>t</w:t>
            </w:r>
            <w:r w:rsidRPr="004637B9">
              <w:t>echnologies updated based on PG&amp;E’s Smart Thermostat Program Process Evaluation</w:t>
            </w:r>
          </w:p>
          <w:p w14:paraId="2075F8D0" w14:textId="06CBA8D3" w:rsidR="00AD43B0" w:rsidRPr="004637B9" w:rsidRDefault="00AD43B0" w:rsidP="006E54D1">
            <w:pPr>
              <w:pStyle w:val="Normal1"/>
              <w:numPr>
                <w:ilvl w:val="0"/>
                <w:numId w:val="50"/>
              </w:numPr>
            </w:pPr>
            <w:r w:rsidRPr="004637B9">
              <w:t xml:space="preserve">Updated </w:t>
            </w:r>
            <w:r w:rsidR="006B3FDC">
              <w:t>t</w:t>
            </w:r>
            <w:r w:rsidRPr="004637B9">
              <w:t xml:space="preserve">echnical </w:t>
            </w:r>
            <w:r w:rsidR="006B3FDC">
              <w:t>d</w:t>
            </w:r>
            <w:r w:rsidRPr="004637B9">
              <w:t>escription</w:t>
            </w:r>
            <w:r w:rsidR="006B2952" w:rsidRPr="004637B9">
              <w:t xml:space="preserve"> and </w:t>
            </w:r>
            <w:r w:rsidR="006B3FDC">
              <w:t>c</w:t>
            </w:r>
            <w:r w:rsidR="006B2952" w:rsidRPr="004637B9">
              <w:t>ode sections</w:t>
            </w:r>
          </w:p>
          <w:p w14:paraId="576F69D6" w14:textId="674F6298" w:rsidR="00AD43B0" w:rsidRPr="004637B9" w:rsidRDefault="00AD43B0" w:rsidP="006E54D1">
            <w:pPr>
              <w:pStyle w:val="Normal1"/>
              <w:numPr>
                <w:ilvl w:val="0"/>
                <w:numId w:val="50"/>
              </w:numPr>
            </w:pPr>
            <w:r w:rsidRPr="004637B9">
              <w:t xml:space="preserve">Updated </w:t>
            </w:r>
            <w:r w:rsidR="006B3FDC">
              <w:t>i</w:t>
            </w:r>
            <w:r w:rsidRPr="004637B9">
              <w:t>nstallation type to include only Normal Replacement</w:t>
            </w:r>
            <w:r w:rsidR="006B3FDC">
              <w:t xml:space="preserve"> (NR)</w:t>
            </w:r>
          </w:p>
          <w:p w14:paraId="7C300209" w14:textId="7E4E7099" w:rsidR="00AD43B0" w:rsidRPr="004637B9" w:rsidRDefault="00AD43B0" w:rsidP="006E54D1">
            <w:pPr>
              <w:pStyle w:val="Normal1"/>
              <w:numPr>
                <w:ilvl w:val="0"/>
                <w:numId w:val="50"/>
              </w:numPr>
            </w:pPr>
            <w:r w:rsidRPr="004637B9">
              <w:t xml:space="preserve">Added </w:t>
            </w:r>
            <w:r w:rsidR="006162C8">
              <w:t>m</w:t>
            </w:r>
            <w:r w:rsidRPr="004637B9">
              <w:t xml:space="preserve">id-Stream and </w:t>
            </w:r>
            <w:r w:rsidR="006162C8">
              <w:t>u</w:t>
            </w:r>
            <w:r w:rsidRPr="004637B9">
              <w:t>p-Stream delivery and incentive methods</w:t>
            </w:r>
          </w:p>
          <w:p w14:paraId="7B402552" w14:textId="0D851474" w:rsidR="00AD43B0" w:rsidRPr="00DF79EA" w:rsidRDefault="00AD43B0" w:rsidP="00AD43B0">
            <w:pPr>
              <w:pStyle w:val="Normal1"/>
              <w:numPr>
                <w:ilvl w:val="0"/>
                <w:numId w:val="50"/>
              </w:numPr>
            </w:pPr>
            <w:r w:rsidRPr="004637B9">
              <w:t>Net-to-</w:t>
            </w:r>
            <w:r w:rsidR="006162C8">
              <w:t>g</w:t>
            </w:r>
            <w:r w:rsidRPr="004637B9">
              <w:t xml:space="preserve">ross </w:t>
            </w:r>
            <w:r w:rsidR="006162C8">
              <w:t>r</w:t>
            </w:r>
            <w:r w:rsidRPr="004637B9">
              <w:t xml:space="preserve">atio updated based on PG&amp;E’s Smart Thermostat </w:t>
            </w:r>
            <w:r w:rsidRPr="00DF79EA">
              <w:t>Program Process Evaluation</w:t>
            </w:r>
          </w:p>
          <w:p w14:paraId="313E2355" w14:textId="50E00F71" w:rsidR="00AD43B0" w:rsidRPr="00C470E5" w:rsidRDefault="006162C8">
            <w:pPr>
              <w:pStyle w:val="Normal1"/>
              <w:numPr>
                <w:ilvl w:val="0"/>
                <w:numId w:val="50"/>
              </w:numPr>
            </w:pPr>
            <w:r w:rsidRPr="00983880">
              <w:t>Effective u</w:t>
            </w:r>
            <w:r w:rsidR="00AD43B0" w:rsidRPr="00983880">
              <w:t xml:space="preserve">se </w:t>
            </w:r>
            <w:r w:rsidRPr="00091CC5">
              <w:t>life updated</w:t>
            </w:r>
            <w:r w:rsidR="0005595C" w:rsidRPr="00091CC5">
              <w:t xml:space="preserve"> based on SCE’s </w:t>
            </w:r>
            <w:r w:rsidR="00121E32" w:rsidRPr="00091CC5">
              <w:t xml:space="preserve">2019 </w:t>
            </w:r>
            <w:r w:rsidR="0005595C" w:rsidRPr="00091CC5">
              <w:t>“</w:t>
            </w:r>
            <w:r w:rsidR="00121E32" w:rsidRPr="00091CC5">
              <w:t>EUL A</w:t>
            </w:r>
            <w:r w:rsidR="0005595C" w:rsidRPr="00091CC5">
              <w:t xml:space="preserve">nalysis of Residential Smart Communicating Thermostat—Vendor A and B” </w:t>
            </w:r>
            <w:r w:rsidRPr="00555338">
              <w:t>s</w:t>
            </w:r>
            <w:r w:rsidR="00AD43B0" w:rsidRPr="00555338">
              <w:t>tudy</w:t>
            </w:r>
          </w:p>
          <w:p w14:paraId="703F2BB6" w14:textId="36AC6D23" w:rsidR="003D7E38" w:rsidRPr="004637B9" w:rsidRDefault="003D7E38" w:rsidP="00B30297">
            <w:pPr>
              <w:pStyle w:val="Normal1"/>
              <w:numPr>
                <w:ilvl w:val="0"/>
                <w:numId w:val="50"/>
              </w:numPr>
            </w:pPr>
            <w:r w:rsidRPr="00C470E5">
              <w:t xml:space="preserve">Calculation methodology </w:t>
            </w:r>
            <w:r w:rsidR="00B90EF4" w:rsidRPr="00C470E5">
              <w:t>and savings</w:t>
            </w:r>
            <w:r w:rsidR="00B90EF4" w:rsidRPr="004637B9">
              <w:t xml:space="preserve"> </w:t>
            </w:r>
            <w:r w:rsidRPr="004637B9">
              <w:t>updated based on PGE</w:t>
            </w:r>
            <w:r w:rsidR="00B30297">
              <w:t>’s</w:t>
            </w:r>
            <w:r w:rsidRPr="004637B9">
              <w:t xml:space="preserve"> Smart Thermostat Study (Year 1)</w:t>
            </w:r>
            <w:r w:rsidR="000F4C5C">
              <w:t xml:space="preserve">. </w:t>
            </w:r>
            <w:r w:rsidR="00B30297">
              <w:t xml:space="preserve"> </w:t>
            </w:r>
          </w:p>
          <w:p w14:paraId="30CBB68A" w14:textId="2BD5B419" w:rsidR="003D7E38" w:rsidRDefault="00C12B37" w:rsidP="006E54D1">
            <w:pPr>
              <w:pStyle w:val="Normal1"/>
              <w:numPr>
                <w:ilvl w:val="0"/>
                <w:numId w:val="50"/>
              </w:numPr>
            </w:pPr>
            <w:r>
              <w:t xml:space="preserve">IMC </w:t>
            </w:r>
            <w:r w:rsidR="003D7E38" w:rsidRPr="004637B9">
              <w:t>updated to reflect 201</w:t>
            </w:r>
            <w:r w:rsidR="00BB30F1">
              <w:t>9</w:t>
            </w:r>
            <w:r w:rsidR="003D7E38" w:rsidRPr="004637B9">
              <w:t xml:space="preserve"> cost analysis.</w:t>
            </w:r>
          </w:p>
          <w:p w14:paraId="34ABD88A" w14:textId="77777777" w:rsidR="00C12B37" w:rsidRDefault="00C97E65" w:rsidP="006162C8">
            <w:pPr>
              <w:pStyle w:val="Normal1"/>
              <w:numPr>
                <w:ilvl w:val="0"/>
                <w:numId w:val="50"/>
              </w:numPr>
            </w:pPr>
            <w:r>
              <w:t>Added</w:t>
            </w:r>
            <w:r w:rsidR="00C12B37">
              <w:t xml:space="preserve"> measure savings estimates for technology controlling Heat Pump equipment</w:t>
            </w:r>
          </w:p>
          <w:p w14:paraId="6F672874" w14:textId="5D73DAB3" w:rsidR="00C97E65" w:rsidRDefault="00C12B37" w:rsidP="006162C8">
            <w:pPr>
              <w:pStyle w:val="Normal1"/>
              <w:numPr>
                <w:ilvl w:val="0"/>
                <w:numId w:val="50"/>
              </w:numPr>
            </w:pPr>
            <w:r>
              <w:t>Added</w:t>
            </w:r>
            <w:r w:rsidR="006162C8">
              <w:t xml:space="preserve"> s</w:t>
            </w:r>
            <w:r w:rsidR="00C97E65">
              <w:t xml:space="preserve">olution </w:t>
            </w:r>
            <w:r w:rsidR="006162C8">
              <w:t>c</w:t>
            </w:r>
            <w:r w:rsidR="00C97E65">
              <w:t xml:space="preserve">ode for </w:t>
            </w:r>
            <w:r w:rsidR="006162C8">
              <w:t>h</w:t>
            </w:r>
            <w:r w:rsidR="006951B2">
              <w:t xml:space="preserve">eat </w:t>
            </w:r>
            <w:r w:rsidR="006162C8">
              <w:t>p</w:t>
            </w:r>
            <w:r w:rsidR="006951B2">
              <w:t>ump</w:t>
            </w:r>
          </w:p>
          <w:p w14:paraId="4099FA11" w14:textId="6E1B2D5F" w:rsidR="0021155E" w:rsidRDefault="0021155E" w:rsidP="0021155E">
            <w:pPr>
              <w:pStyle w:val="Normal1"/>
            </w:pPr>
          </w:p>
          <w:p w14:paraId="23A8957E" w14:textId="157BBF8B" w:rsidR="0021155E" w:rsidRDefault="0021155E" w:rsidP="0021155E">
            <w:pPr>
              <w:pStyle w:val="Normal1"/>
            </w:pPr>
          </w:p>
          <w:p w14:paraId="6C3F30CB" w14:textId="0DF9875B" w:rsidR="0021155E" w:rsidRDefault="0021155E" w:rsidP="009A7233">
            <w:pPr>
              <w:pStyle w:val="ListParagraph"/>
              <w:numPr>
                <w:ilvl w:val="0"/>
                <w:numId w:val="50"/>
              </w:numPr>
            </w:pPr>
            <w:r>
              <w:t xml:space="preserve">Removed mid-stream and up-stream delivery and incentive methods. </w:t>
            </w:r>
          </w:p>
          <w:p w14:paraId="38CA63DC" w14:textId="50D47E19" w:rsidR="0021155E" w:rsidRDefault="002D234F" w:rsidP="009A7233">
            <w:pPr>
              <w:pStyle w:val="ListParagraph"/>
              <w:numPr>
                <w:ilvl w:val="0"/>
                <w:numId w:val="50"/>
              </w:numPr>
            </w:pPr>
            <w:r>
              <w:t>Electric cooling savings adjusted using DEER-Weighted Tstat Schedule</w:t>
            </w:r>
            <w:r w:rsidR="003F1D7A">
              <w:t>s</w:t>
            </w:r>
            <w:r>
              <w:t xml:space="preserve">. </w:t>
            </w:r>
          </w:p>
          <w:p w14:paraId="02C3485F" w14:textId="02F66A64" w:rsidR="0021155E" w:rsidRDefault="00CB4BBD" w:rsidP="00CB4BBD">
            <w:pPr>
              <w:pStyle w:val="ListParagraph"/>
              <w:numPr>
                <w:ilvl w:val="0"/>
                <w:numId w:val="50"/>
              </w:numPr>
            </w:pPr>
            <w:r>
              <w:t>Electric heating savings</w:t>
            </w:r>
            <w:r w:rsidR="0072361F">
              <w:t xml:space="preserve"> </w:t>
            </w:r>
            <w:r>
              <w:t xml:space="preserve">removed for the heat pump measure. </w:t>
            </w:r>
          </w:p>
          <w:p w14:paraId="3A68FDE6" w14:textId="30B16A5C" w:rsidR="006B1DE2" w:rsidRPr="0009168C" w:rsidRDefault="006B1DE2">
            <w:pPr>
              <w:pStyle w:val="ListParagraph"/>
              <w:numPr>
                <w:ilvl w:val="0"/>
                <w:numId w:val="50"/>
              </w:numPr>
            </w:pPr>
            <w:r w:rsidRPr="009A7233">
              <w:rPr>
                <w:rFonts w:eastAsia="Calibri" w:cs="Calibri"/>
                <w:color w:val="000000"/>
              </w:rPr>
              <w:t>For MFM</w:t>
            </w:r>
            <w:r w:rsidR="0072361F">
              <w:rPr>
                <w:rFonts w:eastAsia="Calibri" w:cs="Calibri"/>
                <w:color w:val="000000"/>
              </w:rPr>
              <w:t xml:space="preserve">, </w:t>
            </w:r>
            <w:r>
              <w:rPr>
                <w:rFonts w:eastAsia="Calibri" w:cs="Calibri"/>
                <w:color w:val="000000"/>
              </w:rPr>
              <w:t>the adjustment (scaling) factor was</w:t>
            </w:r>
            <w:r w:rsidR="0072361F">
              <w:rPr>
                <w:rFonts w:eastAsia="Calibri" w:cs="Calibri"/>
                <w:color w:val="000000"/>
              </w:rPr>
              <w:t xml:space="preserve"> improved using System Capacity (ton) documentation from Programs.</w:t>
            </w:r>
            <w:r w:rsidRPr="009A7233">
              <w:rPr>
                <w:rFonts w:eastAsia="Calibri" w:cs="Calibri"/>
                <w:color w:val="000000"/>
              </w:rPr>
              <w:t xml:space="preserve"> </w:t>
            </w:r>
            <w:r w:rsidR="0072361F">
              <w:rPr>
                <w:rFonts w:eastAsia="Calibri" w:cs="Calibri"/>
                <w:color w:val="000000"/>
              </w:rPr>
              <w:t xml:space="preserve">  </w:t>
            </w:r>
          </w:p>
          <w:p w14:paraId="4ADC569C" w14:textId="3873D729" w:rsidR="006A21F7" w:rsidRPr="004637B9" w:rsidRDefault="006A21F7" w:rsidP="006A21F7">
            <w:pPr>
              <w:pStyle w:val="ListParagraph"/>
              <w:numPr>
                <w:ilvl w:val="0"/>
                <w:numId w:val="50"/>
              </w:numPr>
            </w:pPr>
            <w:r>
              <w:rPr>
                <w:rFonts w:eastAsia="Calibri" w:cs="Calibri"/>
                <w:color w:val="000000"/>
              </w:rPr>
              <w:t xml:space="preserve">Added </w:t>
            </w:r>
            <w:r w:rsidR="00735B29">
              <w:rPr>
                <w:rFonts w:eastAsia="Calibri" w:cs="Calibri"/>
                <w:color w:val="000000"/>
              </w:rPr>
              <w:t xml:space="preserve">Sections 1.6.2 Heat Pump Heating (Electric) Savings, 1.6.3 DEER2020 Peak Demand Reduction, and </w:t>
            </w:r>
            <w:r w:rsidRPr="006A21F7">
              <w:rPr>
                <w:rFonts w:eastAsia="Calibri" w:cs="Calibri"/>
                <w:color w:val="000000"/>
              </w:rPr>
              <w:t>1.6.4 Effective Useful Life</w:t>
            </w:r>
            <w:r>
              <w:rPr>
                <w:rFonts w:eastAsia="Calibri" w:cs="Calibri"/>
                <w:color w:val="000000"/>
              </w:rPr>
              <w:t xml:space="preserve"> under Future Data Needs</w:t>
            </w:r>
          </w:p>
        </w:tc>
      </w:tr>
    </w:tbl>
    <w:p w14:paraId="3C8FE2A3" w14:textId="3F9F001F" w:rsidR="00576C8C" w:rsidRPr="004637B9" w:rsidRDefault="007173B2">
      <w:pPr>
        <w:pStyle w:val="Heading1"/>
      </w:pPr>
      <w:r w:rsidRPr="004637B9">
        <w:t>Commission Staff and Cal TF Comments</w:t>
      </w:r>
    </w:p>
    <w:tbl>
      <w:tblPr>
        <w:tblStyle w:val="24"/>
        <w:tblW w:w="958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765"/>
        <w:gridCol w:w="1215"/>
        <w:gridCol w:w="1320"/>
        <w:gridCol w:w="2865"/>
        <w:gridCol w:w="2790"/>
      </w:tblGrid>
      <w:tr w:rsidR="00576C8C" w:rsidRPr="004637B9" w14:paraId="0DFBBDE6" w14:textId="77777777">
        <w:trPr>
          <w:trHeight w:val="20"/>
        </w:trPr>
        <w:tc>
          <w:tcPr>
            <w:tcW w:w="630" w:type="dxa"/>
            <w:shd w:val="clear" w:color="auto" w:fill="D9D9D9"/>
          </w:tcPr>
          <w:p w14:paraId="76F6537D" w14:textId="77777777" w:rsidR="00576C8C" w:rsidRPr="004637B9" w:rsidRDefault="007173B2">
            <w:pPr>
              <w:pStyle w:val="Normal1"/>
            </w:pPr>
            <w:r w:rsidRPr="004637B9">
              <w:rPr>
                <w:b/>
              </w:rPr>
              <w:t>Rev</w:t>
            </w:r>
          </w:p>
        </w:tc>
        <w:tc>
          <w:tcPr>
            <w:tcW w:w="765" w:type="dxa"/>
            <w:shd w:val="clear" w:color="auto" w:fill="D9D9D9"/>
          </w:tcPr>
          <w:p w14:paraId="62EDDF2A" w14:textId="77777777" w:rsidR="00576C8C" w:rsidRPr="004637B9" w:rsidRDefault="007173B2">
            <w:pPr>
              <w:pStyle w:val="Normal1"/>
            </w:pPr>
            <w:r w:rsidRPr="004637B9">
              <w:rPr>
                <w:b/>
              </w:rPr>
              <w:t>Party</w:t>
            </w:r>
          </w:p>
        </w:tc>
        <w:tc>
          <w:tcPr>
            <w:tcW w:w="1215" w:type="dxa"/>
            <w:shd w:val="clear" w:color="auto" w:fill="D9D9D9"/>
          </w:tcPr>
          <w:p w14:paraId="5A9738BB" w14:textId="77777777" w:rsidR="00576C8C" w:rsidRPr="004637B9" w:rsidRDefault="007173B2">
            <w:pPr>
              <w:pStyle w:val="Normal1"/>
            </w:pPr>
            <w:r w:rsidRPr="004637B9">
              <w:rPr>
                <w:b/>
              </w:rPr>
              <w:t>Submittal Date</w:t>
            </w:r>
          </w:p>
        </w:tc>
        <w:tc>
          <w:tcPr>
            <w:tcW w:w="1320" w:type="dxa"/>
            <w:shd w:val="clear" w:color="auto" w:fill="D9D9D9"/>
          </w:tcPr>
          <w:p w14:paraId="76683C0A" w14:textId="77777777" w:rsidR="00576C8C" w:rsidRPr="004637B9" w:rsidRDefault="007173B2">
            <w:pPr>
              <w:pStyle w:val="Normal1"/>
            </w:pPr>
            <w:r w:rsidRPr="004637B9">
              <w:rPr>
                <w:b/>
              </w:rPr>
              <w:t>Comment Date</w:t>
            </w:r>
          </w:p>
        </w:tc>
        <w:tc>
          <w:tcPr>
            <w:tcW w:w="2865" w:type="dxa"/>
            <w:shd w:val="clear" w:color="auto" w:fill="D9D9D9"/>
          </w:tcPr>
          <w:p w14:paraId="17D4513C" w14:textId="77777777" w:rsidR="00576C8C" w:rsidRPr="004637B9" w:rsidRDefault="007173B2">
            <w:pPr>
              <w:pStyle w:val="Normal1"/>
            </w:pPr>
            <w:r w:rsidRPr="004637B9">
              <w:rPr>
                <w:b/>
              </w:rPr>
              <w:t>Comments</w:t>
            </w:r>
          </w:p>
        </w:tc>
        <w:tc>
          <w:tcPr>
            <w:tcW w:w="2790" w:type="dxa"/>
            <w:shd w:val="clear" w:color="auto" w:fill="D9D9D9"/>
          </w:tcPr>
          <w:p w14:paraId="473D192D" w14:textId="77777777" w:rsidR="00576C8C" w:rsidRPr="004637B9" w:rsidRDefault="007173B2">
            <w:pPr>
              <w:pStyle w:val="Normal1"/>
            </w:pPr>
            <w:r w:rsidRPr="004637B9">
              <w:rPr>
                <w:b/>
              </w:rPr>
              <w:t>WP Developer Response</w:t>
            </w:r>
          </w:p>
        </w:tc>
      </w:tr>
      <w:tr w:rsidR="00576C8C" w:rsidRPr="004637B9" w14:paraId="54AED432" w14:textId="77777777">
        <w:trPr>
          <w:trHeight w:val="20"/>
        </w:trPr>
        <w:tc>
          <w:tcPr>
            <w:tcW w:w="630" w:type="dxa"/>
          </w:tcPr>
          <w:p w14:paraId="0DB0DF46" w14:textId="77777777" w:rsidR="00576C8C" w:rsidRPr="004637B9" w:rsidRDefault="00576C8C">
            <w:pPr>
              <w:pStyle w:val="Normal1"/>
            </w:pPr>
          </w:p>
        </w:tc>
        <w:tc>
          <w:tcPr>
            <w:tcW w:w="765" w:type="dxa"/>
          </w:tcPr>
          <w:p w14:paraId="5572352E" w14:textId="77777777" w:rsidR="00576C8C" w:rsidRPr="004637B9" w:rsidRDefault="00576C8C">
            <w:pPr>
              <w:pStyle w:val="Normal1"/>
            </w:pPr>
          </w:p>
        </w:tc>
        <w:tc>
          <w:tcPr>
            <w:tcW w:w="1215" w:type="dxa"/>
          </w:tcPr>
          <w:p w14:paraId="196EFAC2" w14:textId="77777777" w:rsidR="00576C8C" w:rsidRPr="004637B9" w:rsidRDefault="00576C8C">
            <w:pPr>
              <w:pStyle w:val="Normal1"/>
            </w:pPr>
          </w:p>
        </w:tc>
        <w:tc>
          <w:tcPr>
            <w:tcW w:w="1320" w:type="dxa"/>
          </w:tcPr>
          <w:p w14:paraId="51969E2C" w14:textId="77777777" w:rsidR="00576C8C" w:rsidRPr="004637B9" w:rsidRDefault="00576C8C">
            <w:pPr>
              <w:pStyle w:val="Normal1"/>
            </w:pPr>
          </w:p>
        </w:tc>
        <w:tc>
          <w:tcPr>
            <w:tcW w:w="2865" w:type="dxa"/>
          </w:tcPr>
          <w:p w14:paraId="1A3ED295" w14:textId="77777777" w:rsidR="00576C8C" w:rsidRPr="004637B9" w:rsidRDefault="00576C8C">
            <w:pPr>
              <w:pStyle w:val="Normal1"/>
            </w:pPr>
          </w:p>
        </w:tc>
        <w:tc>
          <w:tcPr>
            <w:tcW w:w="2790" w:type="dxa"/>
          </w:tcPr>
          <w:p w14:paraId="77215460" w14:textId="3B953048" w:rsidR="00576C8C" w:rsidRPr="004637B9" w:rsidRDefault="00576C8C" w:rsidP="004C1AEE">
            <w:pPr>
              <w:pStyle w:val="Normal1"/>
            </w:pPr>
          </w:p>
        </w:tc>
      </w:tr>
    </w:tbl>
    <w:p w14:paraId="39F75307" w14:textId="77777777" w:rsidR="00576C8C" w:rsidRPr="004637B9" w:rsidRDefault="007173B2">
      <w:pPr>
        <w:pStyle w:val="Normal1"/>
        <w:spacing w:line="276" w:lineRule="auto"/>
      </w:pPr>
      <w:r w:rsidRPr="004637B9">
        <w:rPr>
          <w:sz w:val="20"/>
          <w:szCs w:val="20"/>
        </w:rPr>
        <w:t xml:space="preserve">Cal TF website: </w:t>
      </w:r>
      <w:hyperlink r:id="rId8">
        <w:r w:rsidRPr="004637B9">
          <w:rPr>
            <w:color w:val="0000FF"/>
            <w:sz w:val="20"/>
            <w:szCs w:val="20"/>
            <w:u w:val="single"/>
          </w:rPr>
          <w:t>http://www.caltf.org/</w:t>
        </w:r>
      </w:hyperlink>
      <w:r w:rsidRPr="004637B9">
        <w:rPr>
          <w:sz w:val="20"/>
          <w:szCs w:val="20"/>
        </w:rPr>
        <w:t xml:space="preserve"> </w:t>
      </w:r>
    </w:p>
    <w:p w14:paraId="60391180" w14:textId="77777777" w:rsidR="00576C8C" w:rsidRPr="004637B9" w:rsidRDefault="007173B2">
      <w:pPr>
        <w:pStyle w:val="Normal1"/>
      </w:pPr>
      <w:r w:rsidRPr="004637B9">
        <w:br w:type="page"/>
      </w:r>
    </w:p>
    <w:p w14:paraId="0861532A" w14:textId="77777777" w:rsidR="00576C8C" w:rsidRPr="00737D6A" w:rsidRDefault="007173B2">
      <w:pPr>
        <w:pStyle w:val="Heading1"/>
        <w:rPr>
          <w:rFonts w:asciiTheme="majorHAnsi" w:hAnsiTheme="majorHAnsi" w:cstheme="majorHAnsi"/>
        </w:rPr>
      </w:pPr>
      <w:r w:rsidRPr="00737D6A">
        <w:rPr>
          <w:rFonts w:asciiTheme="majorHAnsi" w:hAnsiTheme="majorHAnsi" w:cstheme="majorHAnsi"/>
        </w:rPr>
        <w:lastRenderedPageBreak/>
        <w:t>Section 1. General Measure &amp; Baseline Data</w:t>
      </w:r>
    </w:p>
    <w:p w14:paraId="18C028CF" w14:textId="77777777" w:rsidR="00576C8C" w:rsidRPr="00737D6A" w:rsidRDefault="007173B2">
      <w:pPr>
        <w:pStyle w:val="Heading2"/>
        <w:rPr>
          <w:rFonts w:asciiTheme="majorHAnsi" w:hAnsiTheme="majorHAnsi" w:cstheme="majorHAnsi"/>
        </w:rPr>
      </w:pPr>
      <w:bookmarkStart w:id="6" w:name="_3dy6vkm" w:colFirst="0" w:colLast="0"/>
      <w:bookmarkEnd w:id="6"/>
      <w:r w:rsidRPr="00737D6A">
        <w:rPr>
          <w:rFonts w:asciiTheme="majorHAnsi" w:eastAsia="Calibri" w:hAnsiTheme="majorHAnsi" w:cstheme="majorHAnsi"/>
        </w:rPr>
        <w:t xml:space="preserve">1.1 Measure Description &amp; Background </w:t>
      </w:r>
    </w:p>
    <w:p w14:paraId="1EEA49AB" w14:textId="77777777" w:rsidR="00576C8C" w:rsidRPr="00737D6A" w:rsidRDefault="00576C8C">
      <w:pPr>
        <w:pStyle w:val="Normal1"/>
        <w:rPr>
          <w:rFonts w:asciiTheme="majorHAnsi" w:hAnsiTheme="majorHAnsi" w:cstheme="majorHAnsi"/>
        </w:rPr>
      </w:pPr>
    </w:p>
    <w:p w14:paraId="02D48BD4" w14:textId="48450743" w:rsidR="008B2BEE" w:rsidRPr="002165C6" w:rsidRDefault="007173B2">
      <w:pPr>
        <w:pStyle w:val="Normal1"/>
        <w:rPr>
          <w:rFonts w:asciiTheme="majorHAnsi" w:hAnsiTheme="majorHAnsi" w:cstheme="majorBidi"/>
          <w:color w:val="141313"/>
        </w:rPr>
      </w:pPr>
      <w:r w:rsidRPr="00737D6A">
        <w:rPr>
          <w:rFonts w:asciiTheme="majorHAnsi" w:hAnsiTheme="majorHAnsi" w:cstheme="majorHAnsi"/>
          <w:color w:val="141313"/>
        </w:rPr>
        <w:t xml:space="preserve">A </w:t>
      </w:r>
      <w:r w:rsidRPr="00737D6A">
        <w:rPr>
          <w:rFonts w:asciiTheme="majorHAnsi" w:hAnsiTheme="majorHAnsi" w:cstheme="majorHAnsi"/>
          <w:b/>
          <w:color w:val="141313"/>
        </w:rPr>
        <w:t xml:space="preserve">Smart Thermostat </w:t>
      </w:r>
      <w:r w:rsidRPr="00737D6A">
        <w:rPr>
          <w:rFonts w:asciiTheme="majorHAnsi" w:hAnsiTheme="majorHAnsi" w:cstheme="majorHAnsi"/>
          <w:color w:val="141313"/>
        </w:rPr>
        <w:t>is a device that controls heating, ventilation, and air-conditioning (HVAC) equipment to regulate the temperature of the room or space in which it is installed, has the ability to make automated adjustments to the set point of the HVAC system to drive energy savings (electric and gas), and has the ability to communicate with sources external to the HVAC system. For connection, the Smart Thermostat may rely on a home area network (e.g. Wi-Fi) and an internet connection that is independent of the Smart Thermostat</w:t>
      </w:r>
      <w:r w:rsidR="00AF553D" w:rsidRPr="00486C0A">
        <w:rPr>
          <w:color w:val="141313"/>
        </w:rPr>
        <w:t>.</w:t>
      </w:r>
      <w:r w:rsidR="00AF553D">
        <w:rPr>
          <w:rStyle w:val="FootnoteReference"/>
          <w:color w:val="141313"/>
        </w:rPr>
        <w:footnoteReference w:id="1"/>
      </w:r>
    </w:p>
    <w:p w14:paraId="6095B095" w14:textId="3EE3F32A" w:rsidR="00576C8C" w:rsidRPr="00737D6A" w:rsidRDefault="00576C8C">
      <w:pPr>
        <w:pStyle w:val="Normal1"/>
        <w:rPr>
          <w:rFonts w:asciiTheme="majorHAnsi" w:hAnsiTheme="majorHAnsi" w:cstheme="majorHAnsi"/>
        </w:rPr>
      </w:pPr>
    </w:p>
    <w:p w14:paraId="540C2190" w14:textId="7D375F8B" w:rsidR="00AF5674" w:rsidRPr="006162C8" w:rsidRDefault="007173B2">
      <w:pPr>
        <w:pStyle w:val="Normal1"/>
        <w:rPr>
          <w:rFonts w:asciiTheme="majorHAnsi" w:hAnsiTheme="majorHAnsi" w:cstheme="majorBidi"/>
          <w:color w:val="auto"/>
        </w:rPr>
      </w:pPr>
      <w:r w:rsidRPr="000E623B">
        <w:rPr>
          <w:rFonts w:asciiTheme="majorHAnsi" w:hAnsiTheme="majorHAnsi" w:cstheme="majorBidi"/>
          <w:color w:val="141313"/>
        </w:rPr>
        <w:t>This work</w:t>
      </w:r>
      <w:r w:rsidR="00C74795" w:rsidRPr="000E623B">
        <w:rPr>
          <w:rFonts w:asciiTheme="majorHAnsi" w:hAnsiTheme="majorHAnsi" w:cstheme="majorBidi"/>
          <w:color w:val="141313"/>
        </w:rPr>
        <w:t xml:space="preserve"> </w:t>
      </w:r>
      <w:r w:rsidRPr="000E623B">
        <w:rPr>
          <w:rFonts w:asciiTheme="majorHAnsi" w:hAnsiTheme="majorHAnsi" w:cstheme="majorBidi"/>
          <w:color w:val="141313"/>
        </w:rPr>
        <w:t xml:space="preserve">paper </w:t>
      </w:r>
      <w:r w:rsidR="006162C8">
        <w:rPr>
          <w:rFonts w:asciiTheme="majorHAnsi" w:hAnsiTheme="majorHAnsi" w:cstheme="majorHAnsi"/>
          <w:color w:val="141313"/>
        </w:rPr>
        <w:t>estimates</w:t>
      </w:r>
      <w:r w:rsidRPr="000E623B">
        <w:rPr>
          <w:rFonts w:asciiTheme="majorHAnsi" w:hAnsiTheme="majorHAnsi" w:cstheme="majorBidi"/>
          <w:color w:val="141313"/>
        </w:rPr>
        <w:t xml:space="preserve"> the household</w:t>
      </w:r>
      <w:r w:rsidR="00727D19">
        <w:rPr>
          <w:rFonts w:asciiTheme="majorHAnsi" w:hAnsiTheme="majorHAnsi" w:cstheme="majorBidi"/>
          <w:color w:val="141313"/>
        </w:rPr>
        <w:t xml:space="preserve"> (per household)</w:t>
      </w:r>
      <w:r w:rsidRPr="000E623B">
        <w:rPr>
          <w:rFonts w:asciiTheme="majorHAnsi" w:hAnsiTheme="majorHAnsi" w:cstheme="majorBidi"/>
          <w:color w:val="141313"/>
        </w:rPr>
        <w:t xml:space="preserve"> </w:t>
      </w:r>
      <w:r w:rsidRPr="000E623B">
        <w:rPr>
          <w:rFonts w:asciiTheme="majorHAnsi" w:hAnsiTheme="majorHAnsi" w:cstheme="majorBidi"/>
          <w:color w:val="auto"/>
        </w:rPr>
        <w:t>heating</w:t>
      </w:r>
      <w:r w:rsidRPr="000E623B">
        <w:rPr>
          <w:rFonts w:asciiTheme="majorHAnsi" w:hAnsiTheme="majorHAnsi" w:cstheme="majorBidi"/>
          <w:color w:val="141313"/>
        </w:rPr>
        <w:t xml:space="preserve"> and cooling energy savings </w:t>
      </w:r>
      <w:r w:rsidRPr="00EB68B9">
        <w:rPr>
          <w:rFonts w:asciiTheme="majorHAnsi" w:hAnsiTheme="majorHAnsi" w:cstheme="majorBidi"/>
          <w:color w:val="141313"/>
        </w:rPr>
        <w:t xml:space="preserve">from the installation of a </w:t>
      </w:r>
      <w:r w:rsidR="00FA6C85">
        <w:rPr>
          <w:rFonts w:asciiTheme="majorHAnsi" w:hAnsiTheme="majorHAnsi" w:cstheme="majorBidi"/>
          <w:color w:val="141313"/>
        </w:rPr>
        <w:t>S</w:t>
      </w:r>
      <w:r w:rsidRPr="000E623B">
        <w:rPr>
          <w:rFonts w:asciiTheme="majorHAnsi" w:hAnsiTheme="majorHAnsi" w:cstheme="majorBidi"/>
          <w:color w:val="141313"/>
        </w:rPr>
        <w:t xml:space="preserve">mart </w:t>
      </w:r>
      <w:r w:rsidR="00FA6C85">
        <w:rPr>
          <w:rFonts w:asciiTheme="majorHAnsi" w:hAnsiTheme="majorHAnsi" w:cstheme="majorBidi"/>
          <w:color w:val="141313"/>
        </w:rPr>
        <w:t>T</w:t>
      </w:r>
      <w:r w:rsidRPr="000E623B">
        <w:rPr>
          <w:rFonts w:asciiTheme="majorHAnsi" w:hAnsiTheme="majorHAnsi" w:cstheme="majorBidi"/>
          <w:color w:val="141313"/>
        </w:rPr>
        <w:t>hermostat</w:t>
      </w:r>
      <w:r w:rsidR="00AF553D" w:rsidRPr="000E623B">
        <w:rPr>
          <w:rFonts w:asciiTheme="majorHAnsi" w:hAnsiTheme="majorHAnsi" w:cstheme="majorBidi"/>
          <w:color w:val="141313"/>
        </w:rPr>
        <w:t xml:space="preserve"> in the residential households</w:t>
      </w:r>
      <w:r w:rsidRPr="000E623B">
        <w:rPr>
          <w:rFonts w:asciiTheme="majorHAnsi" w:hAnsiTheme="majorHAnsi" w:cstheme="majorBidi"/>
          <w:color w:val="141313"/>
        </w:rPr>
        <w:t>.</w:t>
      </w:r>
      <w:r w:rsidR="00FA6C85">
        <w:rPr>
          <w:rFonts w:asciiTheme="majorHAnsi" w:hAnsiTheme="majorHAnsi" w:cstheme="majorBidi"/>
          <w:color w:val="auto"/>
        </w:rPr>
        <w:t xml:space="preserve">  </w:t>
      </w:r>
      <w:r w:rsidR="00DF504F" w:rsidRPr="000E623B">
        <w:rPr>
          <w:rFonts w:asciiTheme="majorHAnsi" w:hAnsiTheme="majorHAnsi" w:cstheme="majorBidi"/>
          <w:color w:val="auto"/>
        </w:rPr>
        <w:t xml:space="preserve">The calculation approach utilized in this workpaper </w:t>
      </w:r>
      <w:r w:rsidR="00AF553D" w:rsidRPr="000E623B">
        <w:rPr>
          <w:rFonts w:asciiTheme="majorHAnsi" w:hAnsiTheme="majorHAnsi" w:cstheme="majorBidi"/>
          <w:color w:val="auto"/>
        </w:rPr>
        <w:t xml:space="preserve">takes in account </w:t>
      </w:r>
      <w:r w:rsidR="00AF5674" w:rsidRPr="000E623B">
        <w:rPr>
          <w:rFonts w:asciiTheme="majorHAnsi" w:hAnsiTheme="majorHAnsi" w:cstheme="majorBidi"/>
          <w:color w:val="auto"/>
        </w:rPr>
        <w:t xml:space="preserve">the </w:t>
      </w:r>
      <w:r w:rsidR="00F25C6F" w:rsidRPr="000E623B">
        <w:rPr>
          <w:rFonts w:asciiTheme="majorHAnsi" w:hAnsiTheme="majorHAnsi" w:cstheme="majorBidi"/>
          <w:color w:val="auto"/>
        </w:rPr>
        <w:t xml:space="preserve">range </w:t>
      </w:r>
      <w:r w:rsidR="00AF5674" w:rsidRPr="000E623B">
        <w:rPr>
          <w:rFonts w:asciiTheme="majorHAnsi" w:hAnsiTheme="majorHAnsi" w:cstheme="majorBidi"/>
          <w:color w:val="auto"/>
        </w:rPr>
        <w:t xml:space="preserve">in energy savings </w:t>
      </w:r>
      <w:r w:rsidR="00511B00" w:rsidRPr="000E623B">
        <w:rPr>
          <w:rFonts w:asciiTheme="majorHAnsi" w:hAnsiTheme="majorHAnsi" w:cstheme="majorBidi"/>
          <w:color w:val="auto"/>
        </w:rPr>
        <w:t xml:space="preserve">change </w:t>
      </w:r>
      <w:r w:rsidR="00AF5674" w:rsidRPr="000E623B">
        <w:rPr>
          <w:rFonts w:asciiTheme="majorHAnsi" w:hAnsiTheme="majorHAnsi" w:cstheme="majorBidi"/>
          <w:color w:val="auto"/>
        </w:rPr>
        <w:t>associated with smart thermostat installations</w:t>
      </w:r>
      <w:r w:rsidR="003963D3">
        <w:rPr>
          <w:rFonts w:asciiTheme="majorHAnsi" w:hAnsiTheme="majorHAnsi" w:cstheme="majorBidi"/>
          <w:color w:val="auto"/>
        </w:rPr>
        <w:t>, and the</w:t>
      </w:r>
      <w:r w:rsidR="00AF5674" w:rsidRPr="000E623B">
        <w:rPr>
          <w:rFonts w:asciiTheme="majorHAnsi" w:hAnsiTheme="majorHAnsi" w:cstheme="majorBidi"/>
          <w:color w:val="auto"/>
        </w:rPr>
        <w:t xml:space="preserve"> results </w:t>
      </w:r>
      <w:r w:rsidR="004637B9" w:rsidRPr="000E623B">
        <w:rPr>
          <w:rFonts w:asciiTheme="majorHAnsi" w:hAnsiTheme="majorHAnsi" w:cstheme="majorBidi"/>
          <w:color w:val="auto"/>
        </w:rPr>
        <w:t xml:space="preserve">represent </w:t>
      </w:r>
      <w:r w:rsidR="00511B00" w:rsidRPr="000E623B">
        <w:rPr>
          <w:rFonts w:asciiTheme="majorHAnsi" w:hAnsiTheme="majorHAnsi" w:cstheme="majorBidi"/>
          <w:color w:val="auto"/>
        </w:rPr>
        <w:t xml:space="preserve">an </w:t>
      </w:r>
      <w:r w:rsidR="00AF5674" w:rsidRPr="000E623B">
        <w:rPr>
          <w:rFonts w:asciiTheme="majorHAnsi" w:hAnsiTheme="majorHAnsi" w:cstheme="majorBidi"/>
          <w:color w:val="auto"/>
        </w:rPr>
        <w:t>average savings</w:t>
      </w:r>
      <w:r w:rsidR="007A076D" w:rsidRPr="000E623B">
        <w:rPr>
          <w:rFonts w:asciiTheme="majorHAnsi" w:hAnsiTheme="majorHAnsi" w:cstheme="majorBidi"/>
          <w:color w:val="auto"/>
        </w:rPr>
        <w:t xml:space="preserve"> of the technology</w:t>
      </w:r>
      <w:r w:rsidR="00AF5674" w:rsidRPr="000E623B">
        <w:rPr>
          <w:rFonts w:asciiTheme="majorHAnsi" w:hAnsiTheme="majorHAnsi" w:cstheme="majorBidi"/>
          <w:color w:val="auto"/>
        </w:rPr>
        <w:t xml:space="preserve"> by</w:t>
      </w:r>
      <w:r w:rsidR="00511B00" w:rsidRPr="000E623B">
        <w:rPr>
          <w:rFonts w:asciiTheme="majorHAnsi" w:hAnsiTheme="majorHAnsi" w:cstheme="majorBidi"/>
          <w:color w:val="auto"/>
        </w:rPr>
        <w:t xml:space="preserve"> the</w:t>
      </w:r>
      <w:r w:rsidR="00AF5674" w:rsidRPr="000E623B">
        <w:rPr>
          <w:rFonts w:asciiTheme="majorHAnsi" w:hAnsiTheme="majorHAnsi" w:cstheme="majorBidi"/>
          <w:color w:val="auto"/>
        </w:rPr>
        <w:t xml:space="preserve"> climate zone</w:t>
      </w:r>
      <w:r w:rsidR="00D1746E">
        <w:rPr>
          <w:rFonts w:asciiTheme="majorHAnsi" w:hAnsiTheme="majorHAnsi" w:cstheme="majorBidi"/>
          <w:color w:val="auto"/>
        </w:rPr>
        <w:t xml:space="preserve"> based on referenced studies and/or evaluations.</w:t>
      </w:r>
    </w:p>
    <w:p w14:paraId="5D1DAB37" w14:textId="77777777" w:rsidR="00576C8C" w:rsidRPr="00737D6A" w:rsidRDefault="00576C8C">
      <w:pPr>
        <w:pStyle w:val="Normal1"/>
        <w:spacing w:before="40" w:after="40"/>
        <w:rPr>
          <w:rFonts w:asciiTheme="majorHAnsi" w:hAnsiTheme="majorHAnsi" w:cstheme="majorHAnsi"/>
          <w:color w:val="auto"/>
        </w:rPr>
      </w:pPr>
    </w:p>
    <w:p w14:paraId="563E3DF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Base, Standard, and Measure Cases</w:t>
      </w:r>
    </w:p>
    <w:tbl>
      <w:tblPr>
        <w:tblStyle w:val="23"/>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2"/>
        <w:gridCol w:w="6618"/>
      </w:tblGrid>
      <w:tr w:rsidR="00576C8C" w:rsidRPr="00737D6A" w14:paraId="60A020F6" w14:textId="77777777" w:rsidTr="006E54D1">
        <w:trPr>
          <w:trHeight w:val="20"/>
        </w:trPr>
        <w:tc>
          <w:tcPr>
            <w:tcW w:w="2562" w:type="dxa"/>
            <w:shd w:val="clear" w:color="auto" w:fill="D9D9D9"/>
          </w:tcPr>
          <w:p w14:paraId="2CDAFBAD"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Case</w:t>
            </w:r>
          </w:p>
        </w:tc>
        <w:tc>
          <w:tcPr>
            <w:tcW w:w="6618" w:type="dxa"/>
            <w:shd w:val="clear" w:color="auto" w:fill="D9D9D9"/>
          </w:tcPr>
          <w:p w14:paraId="67F5ED5E"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Description of Typical Scenario</w:t>
            </w:r>
          </w:p>
        </w:tc>
      </w:tr>
      <w:tr w:rsidR="00576C8C" w:rsidRPr="00737D6A" w14:paraId="243E5181" w14:textId="77777777" w:rsidTr="006E54D1">
        <w:trPr>
          <w:trHeight w:val="20"/>
        </w:trPr>
        <w:tc>
          <w:tcPr>
            <w:tcW w:w="2562" w:type="dxa"/>
          </w:tcPr>
          <w:p w14:paraId="7A1D7A3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Measure</w:t>
            </w:r>
          </w:p>
        </w:tc>
        <w:tc>
          <w:tcPr>
            <w:tcW w:w="6618" w:type="dxa"/>
          </w:tcPr>
          <w:p w14:paraId="57E5C188" w14:textId="71B9EBFB" w:rsidR="00576C8C" w:rsidRPr="00737D6A" w:rsidRDefault="007173B2" w:rsidP="003963D3">
            <w:pPr>
              <w:pStyle w:val="Normal1"/>
              <w:rPr>
                <w:rFonts w:asciiTheme="majorHAnsi" w:hAnsiTheme="majorHAnsi" w:cstheme="majorHAnsi"/>
              </w:rPr>
            </w:pPr>
            <w:r w:rsidRPr="00737D6A">
              <w:rPr>
                <w:rFonts w:asciiTheme="majorHAnsi" w:hAnsiTheme="majorHAnsi" w:cstheme="majorHAnsi"/>
              </w:rPr>
              <w:t xml:space="preserve">Residential Smart Thermostat with </w:t>
            </w:r>
            <w:r w:rsidR="00787F2B" w:rsidRPr="00737D6A">
              <w:rPr>
                <w:rFonts w:asciiTheme="majorHAnsi" w:hAnsiTheme="majorHAnsi" w:cstheme="majorHAnsi"/>
              </w:rPr>
              <w:t>two-way</w:t>
            </w:r>
            <w:r w:rsidRPr="00737D6A">
              <w:rPr>
                <w:rFonts w:asciiTheme="majorHAnsi" w:hAnsiTheme="majorHAnsi" w:cstheme="majorHAnsi"/>
              </w:rPr>
              <w:t xml:space="preserve"> communication and automatic scheduling capabilities </w:t>
            </w:r>
          </w:p>
        </w:tc>
      </w:tr>
      <w:tr w:rsidR="00576C8C" w:rsidRPr="00737D6A" w14:paraId="476EFA95" w14:textId="77777777" w:rsidTr="006E54D1">
        <w:trPr>
          <w:trHeight w:val="20"/>
        </w:trPr>
        <w:tc>
          <w:tcPr>
            <w:tcW w:w="2562" w:type="dxa"/>
          </w:tcPr>
          <w:p w14:paraId="05C98634" w14:textId="4BCAA99F" w:rsidR="00576C8C" w:rsidRPr="00737D6A" w:rsidRDefault="00425286">
            <w:pPr>
              <w:pStyle w:val="Normal1"/>
              <w:rPr>
                <w:rFonts w:asciiTheme="majorHAnsi" w:hAnsiTheme="majorHAnsi" w:cstheme="majorHAnsi"/>
              </w:rPr>
            </w:pPr>
            <w:r w:rsidRPr="00737D6A">
              <w:rPr>
                <w:rFonts w:asciiTheme="majorHAnsi" w:hAnsiTheme="majorHAnsi" w:cstheme="majorHAnsi"/>
              </w:rPr>
              <w:t>Base</w:t>
            </w:r>
            <w:r w:rsidR="00264D50" w:rsidRPr="00737D6A">
              <w:rPr>
                <w:rFonts w:asciiTheme="majorHAnsi" w:hAnsiTheme="majorHAnsi" w:cstheme="majorHAnsi"/>
              </w:rPr>
              <w:t xml:space="preserve"> Case</w:t>
            </w:r>
          </w:p>
        </w:tc>
        <w:tc>
          <w:tcPr>
            <w:tcW w:w="6618" w:type="dxa"/>
          </w:tcPr>
          <w:p w14:paraId="1F2E1F2E" w14:textId="1CB4C717" w:rsidR="00576C8C" w:rsidRPr="00737D6A" w:rsidRDefault="007173B2" w:rsidP="003963D3">
            <w:pPr>
              <w:pStyle w:val="Normal1"/>
              <w:rPr>
                <w:rFonts w:asciiTheme="majorHAnsi" w:hAnsiTheme="majorHAnsi" w:cstheme="majorHAnsi"/>
              </w:rPr>
            </w:pPr>
            <w:r w:rsidRPr="00737D6A">
              <w:rPr>
                <w:rFonts w:asciiTheme="majorHAnsi" w:hAnsiTheme="majorHAnsi" w:cstheme="majorHAnsi"/>
              </w:rPr>
              <w:t>Setback Programmable Thermostats</w:t>
            </w:r>
            <w:r w:rsidR="00425286" w:rsidRPr="00737D6A">
              <w:rPr>
                <w:rFonts w:asciiTheme="majorHAnsi" w:hAnsiTheme="majorHAnsi" w:cstheme="majorHAnsi"/>
              </w:rPr>
              <w:t xml:space="preserve"> </w:t>
            </w:r>
            <w:r w:rsidR="003963D3">
              <w:rPr>
                <w:rFonts w:asciiTheme="majorHAnsi" w:hAnsiTheme="majorHAnsi" w:cstheme="majorHAnsi"/>
              </w:rPr>
              <w:t>and</w:t>
            </w:r>
            <w:r w:rsidR="00425286" w:rsidRPr="00737D6A">
              <w:rPr>
                <w:rFonts w:asciiTheme="majorHAnsi" w:hAnsiTheme="majorHAnsi" w:cstheme="majorHAnsi"/>
              </w:rPr>
              <w:t xml:space="preserve"> </w:t>
            </w:r>
            <w:r w:rsidRPr="00737D6A">
              <w:rPr>
                <w:rFonts w:asciiTheme="majorHAnsi" w:hAnsiTheme="majorHAnsi" w:cstheme="majorHAnsi"/>
              </w:rPr>
              <w:t>Non-Programmable Thermostats</w:t>
            </w:r>
          </w:p>
        </w:tc>
      </w:tr>
    </w:tbl>
    <w:p w14:paraId="078FFBED" w14:textId="77777777" w:rsidR="00576C8C" w:rsidRPr="00737D6A" w:rsidRDefault="00576C8C">
      <w:pPr>
        <w:pStyle w:val="Normal1"/>
        <w:rPr>
          <w:rFonts w:asciiTheme="majorHAnsi" w:hAnsiTheme="majorHAnsi" w:cstheme="majorHAnsi"/>
        </w:rPr>
      </w:pPr>
    </w:p>
    <w:p w14:paraId="39C065C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Measures and Codes</w:t>
      </w:r>
    </w:p>
    <w:tbl>
      <w:tblPr>
        <w:tblStyle w:val="22"/>
        <w:tblW w:w="9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2"/>
        <w:gridCol w:w="1032"/>
        <w:gridCol w:w="1159"/>
        <w:gridCol w:w="977"/>
        <w:gridCol w:w="4927"/>
      </w:tblGrid>
      <w:tr w:rsidR="006C0FCE" w:rsidRPr="00737D6A" w14:paraId="11F3A23E" w14:textId="77777777" w:rsidTr="006E54D1">
        <w:tc>
          <w:tcPr>
            <w:tcW w:w="4200" w:type="dxa"/>
            <w:gridSpan w:val="4"/>
            <w:shd w:val="clear" w:color="auto" w:fill="D9D9D9" w:themeFill="background1" w:themeFillShade="D9"/>
          </w:tcPr>
          <w:p w14:paraId="4EA40CD1" w14:textId="58B2A54C" w:rsidR="006C0FCE" w:rsidRPr="00737D6A" w:rsidRDefault="006C0FCE">
            <w:pPr>
              <w:pStyle w:val="Normal1"/>
              <w:rPr>
                <w:rFonts w:asciiTheme="majorHAnsi" w:hAnsiTheme="majorHAnsi" w:cstheme="majorHAnsi"/>
                <w:b/>
              </w:rPr>
            </w:pPr>
            <w:r w:rsidRPr="00737D6A">
              <w:rPr>
                <w:rFonts w:asciiTheme="majorHAnsi" w:hAnsiTheme="majorHAnsi" w:cstheme="majorHAnsi"/>
                <w:b/>
              </w:rPr>
              <w:t>Measure Codes</w:t>
            </w:r>
          </w:p>
        </w:tc>
        <w:tc>
          <w:tcPr>
            <w:tcW w:w="4927" w:type="dxa"/>
            <w:vMerge w:val="restart"/>
            <w:shd w:val="clear" w:color="auto" w:fill="D9D9D9" w:themeFill="background1" w:themeFillShade="D9"/>
          </w:tcPr>
          <w:p w14:paraId="6346107E" w14:textId="7EBA5D8E" w:rsidR="006C0FCE" w:rsidRPr="00737D6A" w:rsidRDefault="006C0FCE">
            <w:pPr>
              <w:pStyle w:val="Normal1"/>
              <w:rPr>
                <w:rFonts w:asciiTheme="majorHAnsi" w:hAnsiTheme="majorHAnsi" w:cstheme="majorHAnsi"/>
              </w:rPr>
            </w:pPr>
            <w:r w:rsidRPr="00737D6A">
              <w:rPr>
                <w:rFonts w:asciiTheme="majorHAnsi" w:hAnsiTheme="majorHAnsi" w:cstheme="majorHAnsi"/>
                <w:b/>
              </w:rPr>
              <w:t>Measure Name</w:t>
            </w:r>
          </w:p>
        </w:tc>
      </w:tr>
      <w:tr w:rsidR="00C74795" w:rsidRPr="00737D6A" w14:paraId="2516E93A" w14:textId="77777777" w:rsidTr="006E54D1">
        <w:tc>
          <w:tcPr>
            <w:tcW w:w="1032" w:type="dxa"/>
            <w:shd w:val="clear" w:color="auto" w:fill="D9D9D9" w:themeFill="background1" w:themeFillShade="D9"/>
          </w:tcPr>
          <w:p w14:paraId="4AA3F0A6" w14:textId="77777777" w:rsidR="00C74795" w:rsidRPr="00737D6A" w:rsidRDefault="00C74795">
            <w:pPr>
              <w:pStyle w:val="Normal1"/>
              <w:rPr>
                <w:rFonts w:asciiTheme="majorHAnsi" w:hAnsiTheme="majorHAnsi" w:cstheme="majorHAnsi"/>
              </w:rPr>
            </w:pPr>
            <w:r w:rsidRPr="00737D6A">
              <w:rPr>
                <w:rFonts w:asciiTheme="majorHAnsi" w:hAnsiTheme="majorHAnsi" w:cstheme="majorHAnsi"/>
              </w:rPr>
              <w:t>SCG</w:t>
            </w:r>
          </w:p>
        </w:tc>
        <w:tc>
          <w:tcPr>
            <w:tcW w:w="1032" w:type="dxa"/>
            <w:shd w:val="clear" w:color="auto" w:fill="D9D9D9" w:themeFill="background1" w:themeFillShade="D9"/>
          </w:tcPr>
          <w:p w14:paraId="0E53FF21" w14:textId="77777777" w:rsidR="00C74795" w:rsidRPr="00737D6A" w:rsidRDefault="00C74795">
            <w:pPr>
              <w:pStyle w:val="Normal1"/>
              <w:rPr>
                <w:rFonts w:asciiTheme="majorHAnsi" w:hAnsiTheme="majorHAnsi" w:cstheme="majorHAnsi"/>
              </w:rPr>
            </w:pPr>
            <w:r w:rsidRPr="00737D6A">
              <w:rPr>
                <w:rFonts w:asciiTheme="majorHAnsi" w:hAnsiTheme="majorHAnsi" w:cstheme="majorHAnsi"/>
              </w:rPr>
              <w:t>SDG&amp;E</w:t>
            </w:r>
          </w:p>
        </w:tc>
        <w:tc>
          <w:tcPr>
            <w:tcW w:w="1159" w:type="dxa"/>
            <w:shd w:val="clear" w:color="auto" w:fill="D9D9D9" w:themeFill="background1" w:themeFillShade="D9"/>
          </w:tcPr>
          <w:p w14:paraId="476F3AE7" w14:textId="77777777" w:rsidR="00C74795" w:rsidRPr="00737D6A" w:rsidRDefault="00C74795">
            <w:pPr>
              <w:pStyle w:val="Normal1"/>
              <w:rPr>
                <w:rFonts w:asciiTheme="majorHAnsi" w:hAnsiTheme="majorHAnsi" w:cstheme="majorHAnsi"/>
              </w:rPr>
            </w:pPr>
            <w:r w:rsidRPr="00737D6A">
              <w:rPr>
                <w:rFonts w:asciiTheme="majorHAnsi" w:hAnsiTheme="majorHAnsi" w:cstheme="majorHAnsi"/>
              </w:rPr>
              <w:t>SCE</w:t>
            </w:r>
          </w:p>
        </w:tc>
        <w:tc>
          <w:tcPr>
            <w:tcW w:w="977" w:type="dxa"/>
            <w:shd w:val="clear" w:color="auto" w:fill="D9D9D9" w:themeFill="background1" w:themeFillShade="D9"/>
          </w:tcPr>
          <w:p w14:paraId="5932B103" w14:textId="7FDCE947" w:rsidR="00C74795" w:rsidRPr="00737D6A" w:rsidRDefault="00C74795">
            <w:pPr>
              <w:pStyle w:val="Normal1"/>
              <w:rPr>
                <w:rFonts w:asciiTheme="majorHAnsi" w:hAnsiTheme="majorHAnsi" w:cstheme="majorHAnsi"/>
                <w:color w:val="auto"/>
              </w:rPr>
            </w:pPr>
            <w:r w:rsidRPr="00737D6A">
              <w:rPr>
                <w:rFonts w:asciiTheme="majorHAnsi" w:hAnsiTheme="majorHAnsi" w:cstheme="majorHAnsi"/>
              </w:rPr>
              <w:t>PG&amp;E</w:t>
            </w:r>
          </w:p>
        </w:tc>
        <w:tc>
          <w:tcPr>
            <w:tcW w:w="4927" w:type="dxa"/>
            <w:vMerge/>
            <w:shd w:val="clear" w:color="auto" w:fill="D9D9D9"/>
          </w:tcPr>
          <w:p w14:paraId="00B46F1A" w14:textId="068C8E10" w:rsidR="00C74795" w:rsidRPr="00737D6A" w:rsidRDefault="00C74795">
            <w:pPr>
              <w:pStyle w:val="Normal1"/>
              <w:rPr>
                <w:rFonts w:asciiTheme="majorHAnsi" w:hAnsiTheme="majorHAnsi" w:cstheme="majorHAnsi"/>
              </w:rPr>
            </w:pPr>
          </w:p>
        </w:tc>
      </w:tr>
      <w:tr w:rsidR="00C74795" w:rsidRPr="00737D6A" w14:paraId="7DFBC566" w14:textId="77777777" w:rsidTr="006E54D1">
        <w:trPr>
          <w:trHeight w:val="240"/>
        </w:trPr>
        <w:tc>
          <w:tcPr>
            <w:tcW w:w="1032" w:type="dxa"/>
          </w:tcPr>
          <w:p w14:paraId="7AFE130F" w14:textId="77777777" w:rsidR="00C74795" w:rsidRPr="00737D6A" w:rsidRDefault="00C74795">
            <w:pPr>
              <w:pStyle w:val="Normal1"/>
              <w:rPr>
                <w:rFonts w:asciiTheme="majorHAnsi" w:hAnsiTheme="majorHAnsi" w:cstheme="majorHAnsi"/>
              </w:rPr>
            </w:pPr>
            <w:r w:rsidRPr="00737D6A">
              <w:rPr>
                <w:rFonts w:asciiTheme="majorHAnsi" w:hAnsiTheme="majorHAnsi" w:cstheme="majorHAnsi"/>
              </w:rPr>
              <w:t>TBD</w:t>
            </w:r>
          </w:p>
        </w:tc>
        <w:tc>
          <w:tcPr>
            <w:tcW w:w="1032" w:type="dxa"/>
          </w:tcPr>
          <w:p w14:paraId="002E2C9D" w14:textId="77777777" w:rsidR="00C74795" w:rsidRPr="00737D6A" w:rsidRDefault="00C74795">
            <w:pPr>
              <w:pStyle w:val="Normal1"/>
              <w:rPr>
                <w:rFonts w:asciiTheme="majorHAnsi" w:hAnsiTheme="majorHAnsi" w:cstheme="majorHAnsi"/>
              </w:rPr>
            </w:pPr>
            <w:r w:rsidRPr="00737D6A">
              <w:rPr>
                <w:rFonts w:asciiTheme="majorHAnsi" w:hAnsiTheme="majorHAnsi" w:cstheme="majorHAnsi"/>
              </w:rPr>
              <w:t>TBD</w:t>
            </w:r>
          </w:p>
        </w:tc>
        <w:tc>
          <w:tcPr>
            <w:tcW w:w="1159" w:type="dxa"/>
          </w:tcPr>
          <w:p w14:paraId="06722C2D" w14:textId="39F542B8" w:rsidR="00C74795" w:rsidRPr="00737D6A" w:rsidRDefault="00C74795">
            <w:pPr>
              <w:pStyle w:val="Normal1"/>
              <w:rPr>
                <w:rFonts w:asciiTheme="majorHAnsi" w:hAnsiTheme="majorHAnsi" w:cstheme="majorHAnsi"/>
              </w:rPr>
            </w:pPr>
            <w:r w:rsidRPr="00737D6A">
              <w:rPr>
                <w:rFonts w:asciiTheme="majorHAnsi" w:hAnsiTheme="majorHAnsi" w:cstheme="majorHAnsi"/>
              </w:rPr>
              <w:t>CE-18623</w:t>
            </w:r>
          </w:p>
        </w:tc>
        <w:tc>
          <w:tcPr>
            <w:tcW w:w="977" w:type="dxa"/>
          </w:tcPr>
          <w:p w14:paraId="6C935375" w14:textId="7FB06815" w:rsidR="00C74795" w:rsidRPr="00737D6A" w:rsidRDefault="00C74795">
            <w:pPr>
              <w:pStyle w:val="Normal1"/>
              <w:rPr>
                <w:rFonts w:asciiTheme="majorHAnsi" w:hAnsiTheme="majorHAnsi" w:cstheme="majorHAnsi"/>
              </w:rPr>
            </w:pPr>
            <w:r w:rsidRPr="00737D6A">
              <w:rPr>
                <w:rFonts w:asciiTheme="majorHAnsi" w:hAnsiTheme="majorHAnsi" w:cstheme="majorHAnsi"/>
              </w:rPr>
              <w:t>TBD</w:t>
            </w:r>
          </w:p>
        </w:tc>
        <w:tc>
          <w:tcPr>
            <w:tcW w:w="4927" w:type="dxa"/>
          </w:tcPr>
          <w:p w14:paraId="00880A32" w14:textId="72D231A1" w:rsidR="00C74795" w:rsidRPr="00737D6A" w:rsidRDefault="00C74795" w:rsidP="00714EED">
            <w:pPr>
              <w:pStyle w:val="Normal1"/>
              <w:rPr>
                <w:rFonts w:asciiTheme="majorHAnsi" w:hAnsiTheme="majorHAnsi" w:cstheme="majorHAnsi"/>
              </w:rPr>
            </w:pPr>
            <w:r w:rsidRPr="00737D6A">
              <w:rPr>
                <w:rFonts w:asciiTheme="majorHAnsi" w:hAnsiTheme="majorHAnsi" w:cstheme="majorHAnsi"/>
              </w:rPr>
              <w:t>Residential Smart</w:t>
            </w:r>
            <w:r w:rsidR="00714EED">
              <w:rPr>
                <w:rFonts w:asciiTheme="majorHAnsi" w:hAnsiTheme="majorHAnsi" w:cstheme="majorHAnsi"/>
              </w:rPr>
              <w:t xml:space="preserve"> </w:t>
            </w:r>
            <w:r w:rsidRPr="00737D6A">
              <w:rPr>
                <w:rFonts w:asciiTheme="majorHAnsi" w:hAnsiTheme="majorHAnsi" w:cstheme="majorHAnsi"/>
              </w:rPr>
              <w:t>Thermostat</w:t>
            </w:r>
          </w:p>
        </w:tc>
      </w:tr>
      <w:tr w:rsidR="00C97E65" w:rsidRPr="00737D6A" w14:paraId="566C3999" w14:textId="77777777" w:rsidTr="006E54D1">
        <w:trPr>
          <w:trHeight w:val="240"/>
        </w:trPr>
        <w:tc>
          <w:tcPr>
            <w:tcW w:w="1032" w:type="dxa"/>
          </w:tcPr>
          <w:p w14:paraId="3E356BCD" w14:textId="3B3BB3AD" w:rsidR="00C97E65" w:rsidRPr="00737D6A" w:rsidRDefault="00C97E65" w:rsidP="00C97E65">
            <w:pPr>
              <w:pStyle w:val="Normal1"/>
              <w:rPr>
                <w:rFonts w:asciiTheme="majorHAnsi" w:hAnsiTheme="majorHAnsi" w:cstheme="majorHAnsi"/>
              </w:rPr>
            </w:pPr>
            <w:r w:rsidRPr="00737D6A">
              <w:rPr>
                <w:rFonts w:asciiTheme="majorHAnsi" w:hAnsiTheme="majorHAnsi" w:cstheme="majorHAnsi"/>
              </w:rPr>
              <w:t>TBD</w:t>
            </w:r>
          </w:p>
        </w:tc>
        <w:tc>
          <w:tcPr>
            <w:tcW w:w="1032" w:type="dxa"/>
          </w:tcPr>
          <w:p w14:paraId="22756B8B" w14:textId="7C68D3FA" w:rsidR="00C97E65" w:rsidRPr="00737D6A" w:rsidRDefault="00C97E65" w:rsidP="00C97E65">
            <w:pPr>
              <w:pStyle w:val="Normal1"/>
              <w:rPr>
                <w:rFonts w:asciiTheme="majorHAnsi" w:hAnsiTheme="majorHAnsi" w:cstheme="majorHAnsi"/>
              </w:rPr>
            </w:pPr>
            <w:r w:rsidRPr="00737D6A">
              <w:rPr>
                <w:rFonts w:asciiTheme="majorHAnsi" w:hAnsiTheme="majorHAnsi" w:cstheme="majorHAnsi"/>
              </w:rPr>
              <w:t>TBD</w:t>
            </w:r>
          </w:p>
        </w:tc>
        <w:tc>
          <w:tcPr>
            <w:tcW w:w="1159" w:type="dxa"/>
          </w:tcPr>
          <w:p w14:paraId="0DAB85B2" w14:textId="0DF2CEDF" w:rsidR="00C97E65" w:rsidRPr="00737D6A" w:rsidRDefault="00C97E65" w:rsidP="00C97E65">
            <w:pPr>
              <w:pStyle w:val="Normal1"/>
              <w:rPr>
                <w:rFonts w:asciiTheme="majorHAnsi" w:hAnsiTheme="majorHAnsi" w:cstheme="majorHAnsi"/>
              </w:rPr>
            </w:pPr>
            <w:r>
              <w:t>CE-20995</w:t>
            </w:r>
          </w:p>
        </w:tc>
        <w:tc>
          <w:tcPr>
            <w:tcW w:w="977" w:type="dxa"/>
          </w:tcPr>
          <w:p w14:paraId="0834BB1C" w14:textId="020AD0D1" w:rsidR="00C97E65" w:rsidRPr="00737D6A" w:rsidRDefault="00C97E65" w:rsidP="00C97E65">
            <w:pPr>
              <w:pStyle w:val="Normal1"/>
              <w:rPr>
                <w:rFonts w:asciiTheme="majorHAnsi" w:hAnsiTheme="majorHAnsi" w:cstheme="majorHAnsi"/>
              </w:rPr>
            </w:pPr>
            <w:r>
              <w:rPr>
                <w:rFonts w:asciiTheme="majorHAnsi" w:hAnsiTheme="majorHAnsi" w:cstheme="majorHAnsi"/>
              </w:rPr>
              <w:t>TBD</w:t>
            </w:r>
          </w:p>
        </w:tc>
        <w:tc>
          <w:tcPr>
            <w:tcW w:w="4927" w:type="dxa"/>
          </w:tcPr>
          <w:p w14:paraId="69FAD28C" w14:textId="1B06F50A" w:rsidR="00C97E65" w:rsidRPr="00737D6A" w:rsidRDefault="00C97E65" w:rsidP="00C97E65">
            <w:pPr>
              <w:pStyle w:val="Normal1"/>
              <w:rPr>
                <w:rFonts w:asciiTheme="majorHAnsi" w:hAnsiTheme="majorHAnsi" w:cstheme="majorHAnsi"/>
              </w:rPr>
            </w:pPr>
            <w:r w:rsidRPr="00737D6A">
              <w:rPr>
                <w:rFonts w:asciiTheme="majorHAnsi" w:hAnsiTheme="majorHAnsi" w:cstheme="majorHAnsi"/>
              </w:rPr>
              <w:t>Residential Smart</w:t>
            </w:r>
            <w:r w:rsidR="00C25D69">
              <w:rPr>
                <w:rFonts w:asciiTheme="majorHAnsi" w:hAnsiTheme="majorHAnsi" w:cstheme="majorHAnsi"/>
              </w:rPr>
              <w:t xml:space="preserve"> </w:t>
            </w:r>
            <w:r w:rsidRPr="00737D6A">
              <w:rPr>
                <w:rFonts w:asciiTheme="majorHAnsi" w:hAnsiTheme="majorHAnsi" w:cstheme="majorHAnsi"/>
              </w:rPr>
              <w:t>Thermostat</w:t>
            </w:r>
            <w:r>
              <w:rPr>
                <w:rFonts w:asciiTheme="majorHAnsi" w:hAnsiTheme="majorHAnsi" w:cstheme="majorHAnsi"/>
              </w:rPr>
              <w:t xml:space="preserve"> Heat Pump</w:t>
            </w:r>
          </w:p>
        </w:tc>
      </w:tr>
    </w:tbl>
    <w:p w14:paraId="4FAB5A86" w14:textId="66FE3421" w:rsidR="000E2295" w:rsidRPr="00737D6A" w:rsidRDefault="000E2295">
      <w:pPr>
        <w:rPr>
          <w:rFonts w:asciiTheme="majorHAnsi" w:hAnsiTheme="majorHAnsi" w:cstheme="majorHAnsi"/>
          <w:b/>
        </w:rPr>
      </w:pPr>
    </w:p>
    <w:p w14:paraId="7D369D78" w14:textId="1FB37E81" w:rsidR="00425286" w:rsidRPr="00737D6A" w:rsidRDefault="00425286" w:rsidP="00C32B0E">
      <w:pPr>
        <w:pStyle w:val="Normal1"/>
        <w:spacing w:line="276" w:lineRule="auto"/>
        <w:rPr>
          <w:rFonts w:asciiTheme="majorHAnsi" w:hAnsiTheme="majorHAnsi" w:cstheme="majorHAnsi"/>
          <w:b/>
        </w:rPr>
      </w:pPr>
      <w:r w:rsidRPr="00737D6A">
        <w:rPr>
          <w:rFonts w:asciiTheme="majorHAnsi" w:hAnsiTheme="majorHAnsi" w:cstheme="majorHAnsi"/>
          <w:b/>
        </w:rPr>
        <w:t>Baseline Characterization</w:t>
      </w:r>
    </w:p>
    <w:p w14:paraId="08AD8C6D" w14:textId="542C2A7E" w:rsidR="00545549" w:rsidRPr="00714EED" w:rsidRDefault="00F838EB">
      <w:r w:rsidRPr="000E623B">
        <w:rPr>
          <w:rFonts w:asciiTheme="majorHAnsi" w:hAnsiTheme="majorHAnsi" w:cstheme="majorBidi"/>
          <w:color w:val="auto"/>
        </w:rPr>
        <w:t>Baseline characterization for this measure is being informed by</w:t>
      </w:r>
      <w:r w:rsidR="00545549" w:rsidRPr="000E623B">
        <w:rPr>
          <w:rFonts w:asciiTheme="majorHAnsi" w:hAnsiTheme="majorHAnsi" w:cstheme="majorBidi"/>
          <w:color w:val="auto"/>
        </w:rPr>
        <w:t xml:space="preserve"> PGE’s Smart Thermostat Program Process Evaluation</w:t>
      </w:r>
      <w:r w:rsidR="00BD6D9D" w:rsidRPr="000E623B">
        <w:rPr>
          <w:rFonts w:asciiTheme="majorHAnsi" w:hAnsiTheme="majorHAnsi" w:cstheme="majorBidi"/>
          <w:color w:val="auto"/>
        </w:rPr>
        <w:t xml:space="preserve"> (Evaluation)</w:t>
      </w:r>
      <w:r w:rsidR="000D7936" w:rsidRPr="000E623B">
        <w:rPr>
          <w:rFonts w:asciiTheme="majorHAnsi" w:hAnsiTheme="majorHAnsi" w:cstheme="majorBidi"/>
          <w:color w:val="auto"/>
        </w:rPr>
        <w:t xml:space="preserve"> Report</w:t>
      </w:r>
      <w:r w:rsidR="005430BF" w:rsidRPr="000E623B">
        <w:rPr>
          <w:rFonts w:asciiTheme="majorHAnsi" w:hAnsiTheme="majorHAnsi" w:cstheme="majorBidi"/>
          <w:color w:val="auto"/>
        </w:rPr>
        <w:t xml:space="preserve"> [</w:t>
      </w:r>
      <w:r w:rsidR="006954AC" w:rsidRPr="000E623B">
        <w:rPr>
          <w:rFonts w:asciiTheme="majorHAnsi" w:hAnsiTheme="majorHAnsi" w:cstheme="majorBidi"/>
          <w:color w:val="auto"/>
        </w:rPr>
        <w:t xml:space="preserve">Attachment </w:t>
      </w:r>
      <w:r w:rsidR="003927FE" w:rsidRPr="000E623B">
        <w:rPr>
          <w:rFonts w:asciiTheme="majorHAnsi" w:hAnsiTheme="majorHAnsi" w:cstheme="majorBidi"/>
          <w:color w:val="auto"/>
        </w:rPr>
        <w:t>5</w:t>
      </w:r>
      <w:r w:rsidR="005430BF" w:rsidRPr="000E623B">
        <w:rPr>
          <w:rFonts w:asciiTheme="majorHAnsi" w:hAnsiTheme="majorHAnsi" w:cstheme="majorBidi"/>
          <w:color w:val="auto"/>
        </w:rPr>
        <w:t>].  T</w:t>
      </w:r>
      <w:r w:rsidR="00572B2E" w:rsidRPr="000E623B">
        <w:rPr>
          <w:rFonts w:asciiTheme="majorHAnsi" w:hAnsiTheme="majorHAnsi" w:cstheme="majorBidi"/>
          <w:color w:val="auto"/>
        </w:rPr>
        <w:t>he</w:t>
      </w:r>
      <w:r w:rsidR="005430BF" w:rsidRPr="000E623B">
        <w:rPr>
          <w:rFonts w:asciiTheme="majorHAnsi" w:hAnsiTheme="majorHAnsi" w:cstheme="majorBidi"/>
          <w:color w:val="auto"/>
        </w:rPr>
        <w:t xml:space="preserve"> </w:t>
      </w:r>
      <w:r w:rsidR="00BD6D9D" w:rsidRPr="000E623B">
        <w:rPr>
          <w:rFonts w:asciiTheme="majorHAnsi" w:hAnsiTheme="majorHAnsi" w:cstheme="majorBidi"/>
          <w:color w:val="auto"/>
        </w:rPr>
        <w:t xml:space="preserve">Evaluation draws on </w:t>
      </w:r>
      <w:r w:rsidR="005430BF" w:rsidRPr="000E623B">
        <w:rPr>
          <w:rFonts w:asciiTheme="majorHAnsi" w:hAnsiTheme="majorHAnsi" w:cstheme="majorBidi"/>
          <w:color w:val="auto"/>
        </w:rPr>
        <w:t xml:space="preserve">participant surveys </w:t>
      </w:r>
      <w:r w:rsidR="00BD6D9D" w:rsidRPr="000E623B">
        <w:rPr>
          <w:rFonts w:asciiTheme="majorHAnsi" w:hAnsiTheme="majorHAnsi" w:cstheme="majorBidi"/>
          <w:color w:val="auto"/>
        </w:rPr>
        <w:t xml:space="preserve">conducted between October 2017 and February 2018 </w:t>
      </w:r>
      <w:r w:rsidR="005430BF" w:rsidRPr="000E623B">
        <w:rPr>
          <w:rFonts w:asciiTheme="majorHAnsi" w:hAnsiTheme="majorHAnsi" w:cstheme="majorBidi"/>
          <w:color w:val="auto"/>
        </w:rPr>
        <w:t>on their experience with the program including their motivation for participation, thermostat installation and</w:t>
      </w:r>
      <w:r w:rsidR="005430BF" w:rsidRPr="00EB68B9">
        <w:rPr>
          <w:rFonts w:asciiTheme="majorHAnsi" w:hAnsiTheme="majorHAnsi" w:cstheme="majorBidi"/>
          <w:color w:val="auto"/>
        </w:rPr>
        <w:t xml:space="preserve"> use, the influence of the program on their purchase decis</w:t>
      </w:r>
      <w:r w:rsidR="005430BF" w:rsidRPr="005D15B8">
        <w:rPr>
          <w:rFonts w:asciiTheme="majorHAnsi" w:hAnsiTheme="majorHAnsi" w:cstheme="majorBidi"/>
          <w:color w:val="auto"/>
        </w:rPr>
        <w:t>ion, satisfacti</w:t>
      </w:r>
      <w:r w:rsidR="00E15B47" w:rsidRPr="005D15B8">
        <w:rPr>
          <w:rFonts w:asciiTheme="majorHAnsi" w:hAnsiTheme="majorHAnsi" w:cstheme="majorBidi"/>
          <w:color w:val="auto"/>
        </w:rPr>
        <w:t xml:space="preserve">on, and housing characteristics including existing baseline conditions on thermostat type controlling their corresponding HVAC equipment.  </w:t>
      </w:r>
      <w:r w:rsidR="007B13A1" w:rsidRPr="005D15B8">
        <w:rPr>
          <w:rFonts w:asciiTheme="majorHAnsi" w:hAnsiTheme="majorHAnsi" w:cstheme="majorBidi"/>
          <w:color w:val="auto"/>
        </w:rPr>
        <w:t xml:space="preserve">The </w:t>
      </w:r>
      <w:r w:rsidR="007B13A1" w:rsidRPr="000E623B">
        <w:rPr>
          <w:rFonts w:asciiTheme="majorHAnsi" w:hAnsiTheme="majorHAnsi" w:cstheme="majorBidi"/>
          <w:color w:val="auto"/>
        </w:rPr>
        <w:t>f</w:t>
      </w:r>
      <w:r w:rsidR="00E15B47" w:rsidRPr="000E623B">
        <w:rPr>
          <w:rFonts w:asciiTheme="majorHAnsi" w:hAnsiTheme="majorHAnsi" w:cstheme="majorBidi"/>
          <w:color w:val="auto"/>
        </w:rPr>
        <w:t>ollowing table describe</w:t>
      </w:r>
      <w:r w:rsidR="007B13A1" w:rsidRPr="000E623B">
        <w:rPr>
          <w:rFonts w:asciiTheme="majorHAnsi" w:hAnsiTheme="majorHAnsi" w:cstheme="majorBidi"/>
          <w:color w:val="auto"/>
        </w:rPr>
        <w:t>s</w:t>
      </w:r>
      <w:r w:rsidR="00E15B47" w:rsidRPr="000E623B">
        <w:rPr>
          <w:rFonts w:asciiTheme="majorHAnsi" w:hAnsiTheme="majorHAnsi" w:cstheme="majorBidi"/>
          <w:color w:val="auto"/>
        </w:rPr>
        <w:t xml:space="preserve"> base case technology characterization as informed by referenced study – See Attachment </w:t>
      </w:r>
      <w:r w:rsidR="003927FE" w:rsidRPr="000E623B">
        <w:rPr>
          <w:rFonts w:asciiTheme="majorHAnsi" w:hAnsiTheme="majorHAnsi" w:cstheme="majorBidi"/>
          <w:color w:val="auto"/>
        </w:rPr>
        <w:t>5</w:t>
      </w:r>
      <w:r w:rsidR="00E15B47" w:rsidRPr="000E623B">
        <w:rPr>
          <w:rFonts w:asciiTheme="majorHAnsi" w:hAnsiTheme="majorHAnsi" w:cstheme="majorBidi"/>
          <w:color w:val="auto"/>
        </w:rPr>
        <w:t xml:space="preserve"> for details.  </w:t>
      </w:r>
    </w:p>
    <w:p w14:paraId="7E729D14" w14:textId="77777777" w:rsidR="004A6FFF" w:rsidRPr="00737D6A" w:rsidRDefault="004A6FFF" w:rsidP="006E54D1">
      <w:pPr>
        <w:pStyle w:val="Normal1"/>
        <w:spacing w:line="276" w:lineRule="auto"/>
        <w:rPr>
          <w:rFonts w:asciiTheme="majorHAnsi" w:hAnsiTheme="majorHAnsi" w:cstheme="majorHAnsi"/>
        </w:rPr>
      </w:pPr>
    </w:p>
    <w:p w14:paraId="03ED98D2" w14:textId="1413E9B2" w:rsidR="00EC05AC" w:rsidRPr="00737D6A" w:rsidRDefault="00E15B47" w:rsidP="006C0FCE">
      <w:pPr>
        <w:rPr>
          <w:rFonts w:asciiTheme="majorHAnsi" w:hAnsiTheme="majorHAnsi" w:cstheme="majorHAnsi"/>
          <w:b/>
          <w:color w:val="auto"/>
        </w:rPr>
      </w:pPr>
      <w:r w:rsidRPr="00737D6A">
        <w:rPr>
          <w:rFonts w:asciiTheme="majorHAnsi" w:hAnsiTheme="majorHAnsi" w:cstheme="majorHAnsi"/>
          <w:b/>
          <w:color w:val="auto"/>
        </w:rPr>
        <w:t>Base Case Technology Characterization</w:t>
      </w:r>
    </w:p>
    <w:tbl>
      <w:tblPr>
        <w:tblStyle w:val="TableGrid"/>
        <w:tblW w:w="0" w:type="auto"/>
        <w:tblLook w:val="04A0" w:firstRow="1" w:lastRow="0" w:firstColumn="1" w:lastColumn="0" w:noHBand="0" w:noVBand="1"/>
      </w:tblPr>
      <w:tblGrid>
        <w:gridCol w:w="3955"/>
        <w:gridCol w:w="3960"/>
      </w:tblGrid>
      <w:tr w:rsidR="00E15B47" w:rsidRPr="00737D6A" w14:paraId="3B7599B5" w14:textId="77777777" w:rsidTr="006E54D1">
        <w:tc>
          <w:tcPr>
            <w:tcW w:w="3955" w:type="dxa"/>
            <w:shd w:val="clear" w:color="auto" w:fill="D9D9D9" w:themeFill="background1" w:themeFillShade="D9"/>
            <w:vAlign w:val="center"/>
          </w:tcPr>
          <w:p w14:paraId="6E3D8BB7" w14:textId="56987B23" w:rsidR="00E15B47" w:rsidRPr="00737D6A" w:rsidRDefault="00E15B47" w:rsidP="006C0FCE">
            <w:pPr>
              <w:rPr>
                <w:rFonts w:asciiTheme="majorHAnsi" w:hAnsiTheme="majorHAnsi" w:cstheme="majorHAnsi"/>
                <w:b/>
                <w:color w:val="auto"/>
                <w:sz w:val="20"/>
                <w:szCs w:val="20"/>
              </w:rPr>
            </w:pPr>
            <w:r w:rsidRPr="00737D6A">
              <w:rPr>
                <w:rFonts w:asciiTheme="majorHAnsi" w:hAnsiTheme="majorHAnsi" w:cstheme="majorHAnsi"/>
                <w:b/>
                <w:color w:val="auto"/>
                <w:sz w:val="20"/>
                <w:szCs w:val="20"/>
              </w:rPr>
              <w:t>Thermostat Type</w:t>
            </w:r>
          </w:p>
        </w:tc>
        <w:tc>
          <w:tcPr>
            <w:tcW w:w="3960" w:type="dxa"/>
            <w:shd w:val="clear" w:color="auto" w:fill="D9D9D9" w:themeFill="background1" w:themeFillShade="D9"/>
            <w:vAlign w:val="center"/>
          </w:tcPr>
          <w:p w14:paraId="1BEBADC2" w14:textId="5AF91686" w:rsidR="00E15B47" w:rsidRPr="00737D6A" w:rsidRDefault="00E15B47" w:rsidP="00934498">
            <w:pPr>
              <w:rPr>
                <w:rFonts w:asciiTheme="majorHAnsi" w:hAnsiTheme="majorHAnsi" w:cstheme="majorHAnsi"/>
                <w:b/>
                <w:color w:val="auto"/>
                <w:sz w:val="20"/>
                <w:szCs w:val="20"/>
              </w:rPr>
            </w:pPr>
            <w:r w:rsidRPr="00737D6A">
              <w:rPr>
                <w:rFonts w:asciiTheme="majorHAnsi" w:hAnsiTheme="majorHAnsi" w:cstheme="majorHAnsi"/>
                <w:b/>
                <w:color w:val="auto"/>
                <w:sz w:val="20"/>
                <w:szCs w:val="20"/>
              </w:rPr>
              <w:t>Adjusted Survey Population of Thermostats</w:t>
            </w:r>
          </w:p>
        </w:tc>
      </w:tr>
      <w:tr w:rsidR="00E15B47" w:rsidRPr="00737D6A" w14:paraId="7BDD0184" w14:textId="77777777" w:rsidTr="006E54D1">
        <w:trPr>
          <w:trHeight w:val="224"/>
        </w:trPr>
        <w:tc>
          <w:tcPr>
            <w:tcW w:w="3955" w:type="dxa"/>
          </w:tcPr>
          <w:p w14:paraId="2996915E" w14:textId="3D6ADA12"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Manual Thermostat</w:t>
            </w:r>
          </w:p>
        </w:tc>
        <w:tc>
          <w:tcPr>
            <w:tcW w:w="3960" w:type="dxa"/>
          </w:tcPr>
          <w:p w14:paraId="66D45C12" w14:textId="41DDA093"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11%</w:t>
            </w:r>
          </w:p>
        </w:tc>
      </w:tr>
      <w:tr w:rsidR="00E15B47" w:rsidRPr="00737D6A" w14:paraId="4304C522" w14:textId="77777777" w:rsidTr="006E54D1">
        <w:tc>
          <w:tcPr>
            <w:tcW w:w="3955" w:type="dxa"/>
          </w:tcPr>
          <w:p w14:paraId="68902321" w14:textId="6E661086"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Programmable Thermostat</w:t>
            </w:r>
          </w:p>
        </w:tc>
        <w:tc>
          <w:tcPr>
            <w:tcW w:w="3960" w:type="dxa"/>
          </w:tcPr>
          <w:p w14:paraId="24F0C00F" w14:textId="3E135AEB"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76%</w:t>
            </w:r>
          </w:p>
        </w:tc>
      </w:tr>
      <w:tr w:rsidR="00E15B47" w:rsidRPr="00737D6A" w14:paraId="5F4328AE" w14:textId="77777777" w:rsidTr="006E54D1">
        <w:tc>
          <w:tcPr>
            <w:tcW w:w="3955" w:type="dxa"/>
          </w:tcPr>
          <w:p w14:paraId="290B8058" w14:textId="0793B760"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Smart Thermostat</w:t>
            </w:r>
          </w:p>
        </w:tc>
        <w:tc>
          <w:tcPr>
            <w:tcW w:w="3960" w:type="dxa"/>
          </w:tcPr>
          <w:p w14:paraId="11F42BDB" w14:textId="1013F4C8" w:rsidR="00E15B47" w:rsidRPr="00737D6A" w:rsidRDefault="00E15B47" w:rsidP="00EC05AC">
            <w:pPr>
              <w:rPr>
                <w:rFonts w:asciiTheme="majorHAnsi" w:hAnsiTheme="majorHAnsi" w:cstheme="majorHAnsi"/>
                <w:b/>
                <w:color w:val="auto"/>
                <w:sz w:val="20"/>
                <w:szCs w:val="20"/>
              </w:rPr>
            </w:pPr>
            <w:r w:rsidRPr="00737D6A">
              <w:rPr>
                <w:rFonts w:asciiTheme="majorHAnsi" w:hAnsiTheme="majorHAnsi" w:cstheme="majorHAnsi"/>
                <w:sz w:val="20"/>
                <w:szCs w:val="20"/>
              </w:rPr>
              <w:t>6%</w:t>
            </w:r>
            <w:r w:rsidR="00A451E5" w:rsidRPr="00737D6A">
              <w:rPr>
                <w:rFonts w:asciiTheme="majorHAnsi" w:hAnsiTheme="majorHAnsi" w:cstheme="majorHAnsi"/>
                <w:sz w:val="20"/>
                <w:szCs w:val="20"/>
              </w:rPr>
              <w:t xml:space="preserve"> (Non-qualifying customers)</w:t>
            </w:r>
          </w:p>
        </w:tc>
      </w:tr>
      <w:tr w:rsidR="00E15B47" w:rsidRPr="00737D6A" w14:paraId="4FDFEB30" w14:textId="77777777" w:rsidTr="006E54D1">
        <w:tc>
          <w:tcPr>
            <w:tcW w:w="3955" w:type="dxa"/>
          </w:tcPr>
          <w:p w14:paraId="681BD697" w14:textId="4C851137" w:rsidR="00E15B47" w:rsidRPr="00737D6A" w:rsidRDefault="00E15B47" w:rsidP="00EC05AC">
            <w:pPr>
              <w:rPr>
                <w:rFonts w:asciiTheme="majorHAnsi" w:hAnsiTheme="majorHAnsi" w:cstheme="majorHAnsi"/>
                <w:sz w:val="20"/>
                <w:szCs w:val="20"/>
              </w:rPr>
            </w:pPr>
            <w:r w:rsidRPr="00737D6A">
              <w:rPr>
                <w:rFonts w:asciiTheme="majorHAnsi" w:hAnsiTheme="majorHAnsi" w:cstheme="majorHAnsi"/>
                <w:sz w:val="20"/>
                <w:szCs w:val="20"/>
              </w:rPr>
              <w:t>Other / Unknown</w:t>
            </w:r>
          </w:p>
        </w:tc>
        <w:tc>
          <w:tcPr>
            <w:tcW w:w="3960" w:type="dxa"/>
          </w:tcPr>
          <w:p w14:paraId="397EC888" w14:textId="05603B0D" w:rsidR="00E15B47" w:rsidRPr="00737D6A" w:rsidRDefault="00E15B47" w:rsidP="00EC05AC">
            <w:pPr>
              <w:rPr>
                <w:rFonts w:asciiTheme="majorHAnsi" w:hAnsiTheme="majorHAnsi" w:cstheme="majorHAnsi"/>
                <w:sz w:val="20"/>
                <w:szCs w:val="20"/>
              </w:rPr>
            </w:pPr>
            <w:r w:rsidRPr="00737D6A">
              <w:rPr>
                <w:rFonts w:asciiTheme="majorHAnsi" w:hAnsiTheme="majorHAnsi" w:cstheme="majorHAnsi"/>
                <w:sz w:val="20"/>
                <w:szCs w:val="20"/>
              </w:rPr>
              <w:t>7%</w:t>
            </w:r>
            <w:r w:rsidR="008041FB" w:rsidRPr="00737D6A">
              <w:rPr>
                <w:rFonts w:asciiTheme="majorHAnsi" w:hAnsiTheme="majorHAnsi" w:cstheme="majorHAnsi"/>
                <w:sz w:val="20"/>
                <w:szCs w:val="20"/>
              </w:rPr>
              <w:t xml:space="preserve"> </w:t>
            </w:r>
          </w:p>
        </w:tc>
      </w:tr>
    </w:tbl>
    <w:p w14:paraId="4C2B4DCD" w14:textId="77777777" w:rsidR="0048724D" w:rsidRPr="00737D6A" w:rsidRDefault="0048724D" w:rsidP="000942B2">
      <w:pPr>
        <w:rPr>
          <w:rFonts w:asciiTheme="majorHAnsi" w:hAnsiTheme="majorHAnsi" w:cstheme="majorHAnsi"/>
          <w:color w:val="FF0000"/>
        </w:rPr>
      </w:pPr>
    </w:p>
    <w:p w14:paraId="16AD6A1C" w14:textId="26C8D615" w:rsidR="00910AE0" w:rsidRPr="00737D6A" w:rsidRDefault="00910AE0" w:rsidP="00910AE0">
      <w:pPr>
        <w:rPr>
          <w:rFonts w:asciiTheme="majorHAnsi" w:hAnsiTheme="majorHAnsi" w:cstheme="majorHAnsi"/>
          <w:sz w:val="28"/>
          <w:szCs w:val="28"/>
        </w:rPr>
      </w:pPr>
      <w:r w:rsidRPr="00737D6A">
        <w:rPr>
          <w:rFonts w:asciiTheme="majorHAnsi" w:hAnsiTheme="majorHAnsi" w:cstheme="majorHAnsi"/>
          <w:b/>
        </w:rPr>
        <w:t>General Eligibility Requirements</w:t>
      </w:r>
      <w:r w:rsidR="00733CC4" w:rsidRPr="00737D6A">
        <w:rPr>
          <w:rStyle w:val="FootnoteReference"/>
          <w:rFonts w:asciiTheme="majorHAnsi" w:hAnsiTheme="majorHAnsi" w:cstheme="majorHAnsi"/>
          <w:sz w:val="20"/>
          <w:szCs w:val="20"/>
        </w:rPr>
        <w:footnoteReference w:id="2"/>
      </w:r>
    </w:p>
    <w:p w14:paraId="5D46C1C3" w14:textId="1CA5D7C5" w:rsidR="00910AE0" w:rsidRPr="00737D6A" w:rsidRDefault="00910AE0" w:rsidP="00910AE0">
      <w:pPr>
        <w:pStyle w:val="ListParagraph"/>
        <w:numPr>
          <w:ilvl w:val="0"/>
          <w:numId w:val="46"/>
        </w:numPr>
        <w:rPr>
          <w:rFonts w:asciiTheme="majorHAnsi" w:hAnsiTheme="majorHAnsi" w:cstheme="majorHAnsi"/>
        </w:rPr>
      </w:pPr>
      <w:r w:rsidRPr="00737D6A">
        <w:rPr>
          <w:rFonts w:asciiTheme="majorHAnsi" w:hAnsiTheme="majorHAnsi" w:cstheme="majorHAnsi"/>
        </w:rPr>
        <w:t>PA shall employ QA/QC procedures to ensure that the thermostat is installed in an eligible home and is attached to the type of HVAC equipment that is being incentivized, whether it is for natural gas or electricity savings.</w:t>
      </w:r>
    </w:p>
    <w:p w14:paraId="7E842E40" w14:textId="20737254" w:rsidR="00910AE0" w:rsidRPr="00983880" w:rsidRDefault="00910AE0">
      <w:pPr>
        <w:pStyle w:val="ListParagraph"/>
        <w:numPr>
          <w:ilvl w:val="0"/>
          <w:numId w:val="46"/>
        </w:numPr>
        <w:rPr>
          <w:rFonts w:asciiTheme="majorHAnsi" w:hAnsiTheme="majorHAnsi" w:cstheme="majorBidi"/>
        </w:rPr>
      </w:pPr>
      <w:r w:rsidRPr="000E623B">
        <w:rPr>
          <w:rFonts w:asciiTheme="majorHAnsi" w:hAnsiTheme="majorHAnsi" w:cstheme="majorBidi"/>
        </w:rPr>
        <w:t xml:space="preserve">PA shall confirm that the customer has a </w:t>
      </w:r>
      <w:r w:rsidR="00113C7D" w:rsidRPr="000E623B">
        <w:rPr>
          <w:rFonts w:asciiTheme="majorHAnsi" w:hAnsiTheme="majorHAnsi" w:cstheme="majorBidi"/>
        </w:rPr>
        <w:t>newly</w:t>
      </w:r>
      <w:r w:rsidRPr="000E623B">
        <w:rPr>
          <w:rFonts w:asciiTheme="majorHAnsi" w:hAnsiTheme="majorHAnsi" w:cstheme="majorBidi"/>
        </w:rPr>
        <w:t xml:space="preserve"> </w:t>
      </w:r>
      <w:r w:rsidR="00113C7D" w:rsidRPr="000E623B">
        <w:rPr>
          <w:rFonts w:asciiTheme="majorHAnsi" w:hAnsiTheme="majorHAnsi" w:cstheme="majorBidi"/>
        </w:rPr>
        <w:t>purchased</w:t>
      </w:r>
      <w:r w:rsidRPr="000E623B">
        <w:rPr>
          <w:rFonts w:asciiTheme="majorHAnsi" w:hAnsiTheme="majorHAnsi" w:cstheme="majorBidi"/>
        </w:rPr>
        <w:t xml:space="preserve"> smart </w:t>
      </w:r>
      <w:r w:rsidRPr="00EB68B9">
        <w:rPr>
          <w:rFonts w:asciiTheme="majorHAnsi" w:hAnsiTheme="majorHAnsi" w:cstheme="majorBidi"/>
        </w:rPr>
        <w:t xml:space="preserve">thermostat.  At </w:t>
      </w:r>
      <w:r w:rsidRPr="00DF79EA">
        <w:rPr>
          <w:rFonts w:asciiTheme="majorHAnsi" w:hAnsiTheme="majorHAnsi" w:cstheme="majorBidi"/>
        </w:rPr>
        <w:t>minimum, the PA shall obtain a copy of the thermostat sales receipt and the PA shall confirm the purchase date</w:t>
      </w:r>
      <w:r w:rsidRPr="00983880">
        <w:rPr>
          <w:rFonts w:asciiTheme="majorHAnsi" w:hAnsiTheme="majorHAnsi" w:cstheme="majorBidi"/>
        </w:rPr>
        <w:t xml:space="preserve"> is on or after the program’s start date.</w:t>
      </w:r>
    </w:p>
    <w:p w14:paraId="06D70851" w14:textId="74F3359B" w:rsidR="00601657" w:rsidRPr="00C470E5" w:rsidRDefault="00910AE0" w:rsidP="00DF79EA">
      <w:pPr>
        <w:pStyle w:val="ListParagraph"/>
        <w:numPr>
          <w:ilvl w:val="0"/>
          <w:numId w:val="46"/>
        </w:numPr>
        <w:rPr>
          <w:rFonts w:asciiTheme="majorHAnsi" w:hAnsiTheme="majorHAnsi" w:cstheme="majorBidi"/>
          <w:bCs/>
        </w:rPr>
      </w:pPr>
      <w:r w:rsidRPr="00091CC5">
        <w:rPr>
          <w:rFonts w:asciiTheme="majorHAnsi" w:hAnsiTheme="majorHAnsi" w:cstheme="majorBidi"/>
        </w:rPr>
        <w:t>Customer eligibility shall be determined by each PA prior paying</w:t>
      </w:r>
      <w:r w:rsidR="002A5694" w:rsidRPr="00091CC5">
        <w:rPr>
          <w:rFonts w:asciiTheme="majorHAnsi" w:hAnsiTheme="majorHAnsi" w:cstheme="majorBidi"/>
        </w:rPr>
        <w:t xml:space="preserve"> and/or approving</w:t>
      </w:r>
      <w:r w:rsidRPr="00091CC5">
        <w:rPr>
          <w:rFonts w:asciiTheme="majorHAnsi" w:hAnsiTheme="majorHAnsi" w:cstheme="majorBidi"/>
        </w:rPr>
        <w:t xml:space="preserve"> rebate.  Upon request, all </w:t>
      </w:r>
      <w:r w:rsidRPr="00C470E5">
        <w:rPr>
          <w:rFonts w:asciiTheme="majorHAnsi" w:hAnsiTheme="majorHAnsi" w:cstheme="majorBidi"/>
        </w:rPr>
        <w:t>data associated with determining eligibility shall be provided to Energy Division.  PAs shall extend this requirement to any third party vendors</w:t>
      </w:r>
      <w:r w:rsidR="00B66C3F" w:rsidRPr="00C470E5">
        <w:rPr>
          <w:rFonts w:asciiTheme="majorHAnsi" w:hAnsiTheme="majorHAnsi" w:cstheme="majorBidi"/>
        </w:rPr>
        <w:t xml:space="preserve"> </w:t>
      </w:r>
      <w:r w:rsidRPr="00C470E5">
        <w:rPr>
          <w:rFonts w:asciiTheme="majorHAnsi" w:hAnsiTheme="majorHAnsi" w:cstheme="majorBidi"/>
        </w:rPr>
        <w:t>who assist PAs with determining customer eligibility</w:t>
      </w:r>
      <w:r w:rsidR="00390477" w:rsidRPr="00C470E5">
        <w:rPr>
          <w:rFonts w:asciiTheme="majorHAnsi" w:hAnsiTheme="majorHAnsi" w:cstheme="majorBidi"/>
        </w:rPr>
        <w:t xml:space="preserve"> and t</w:t>
      </w:r>
      <w:r w:rsidRPr="00C470E5">
        <w:rPr>
          <w:rFonts w:asciiTheme="majorHAnsi" w:hAnsiTheme="majorHAnsi" w:cstheme="majorBidi"/>
        </w:rPr>
        <w:t>o the extent that they are used to determine eligibility, data regarding dates of purchase, location of home, customer HVAC equipment,</w:t>
      </w:r>
      <w:r w:rsidR="00BD6D9D" w:rsidRPr="00C470E5">
        <w:rPr>
          <w:rFonts w:asciiTheme="majorHAnsi" w:hAnsiTheme="majorHAnsi" w:cstheme="majorBidi"/>
        </w:rPr>
        <w:t xml:space="preserve"> </w:t>
      </w:r>
      <w:r w:rsidRPr="00C470E5">
        <w:rPr>
          <w:rFonts w:asciiTheme="majorHAnsi" w:hAnsiTheme="majorHAnsi" w:cstheme="majorBidi"/>
        </w:rPr>
        <w:t>etc.</w:t>
      </w:r>
    </w:p>
    <w:p w14:paraId="6EE740F3"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Device Eligibility Requirements</w:t>
      </w:r>
      <w:r w:rsidRPr="00737D6A">
        <w:rPr>
          <w:rFonts w:asciiTheme="majorHAnsi" w:hAnsiTheme="majorHAnsi" w:cstheme="majorHAnsi"/>
        </w:rPr>
        <w:t>:</w:t>
      </w:r>
    </w:p>
    <w:p w14:paraId="38B3A35D" w14:textId="47C91553" w:rsidR="00576C8C" w:rsidRPr="00CA0FC2" w:rsidRDefault="00BD6D9D">
      <w:pPr>
        <w:pStyle w:val="Normal1"/>
        <w:numPr>
          <w:ilvl w:val="0"/>
          <w:numId w:val="4"/>
        </w:numPr>
        <w:ind w:hanging="360"/>
        <w:contextualSpacing/>
        <w:rPr>
          <w:rFonts w:asciiTheme="majorHAnsi" w:hAnsiTheme="majorHAnsi" w:cstheme="majorBidi"/>
        </w:rPr>
      </w:pPr>
      <w:r w:rsidRPr="00CA0FC2">
        <w:rPr>
          <w:rFonts w:asciiTheme="majorHAnsi" w:hAnsiTheme="majorHAnsi" w:cstheme="majorBidi"/>
        </w:rPr>
        <w:t>S</w:t>
      </w:r>
      <w:r w:rsidR="00390477" w:rsidRPr="006951B2">
        <w:rPr>
          <w:rFonts w:asciiTheme="majorHAnsi" w:hAnsiTheme="majorHAnsi" w:cstheme="majorBidi"/>
        </w:rPr>
        <w:t>mart thermostat</w:t>
      </w:r>
      <w:r w:rsidR="00460672">
        <w:rPr>
          <w:rFonts w:asciiTheme="majorHAnsi" w:hAnsiTheme="majorHAnsi" w:cstheme="majorBidi"/>
        </w:rPr>
        <w:t xml:space="preserve"> must be</w:t>
      </w:r>
      <w:r w:rsidR="00390477" w:rsidRPr="006951B2">
        <w:rPr>
          <w:rFonts w:asciiTheme="majorHAnsi" w:hAnsiTheme="majorHAnsi" w:cstheme="majorBidi"/>
        </w:rPr>
        <w:t xml:space="preserve"> in full compliance with </w:t>
      </w:r>
      <w:r w:rsidRPr="00CA0FC2">
        <w:rPr>
          <w:rFonts w:asciiTheme="majorHAnsi" w:hAnsiTheme="majorHAnsi" w:cstheme="majorBidi"/>
        </w:rPr>
        <w:t xml:space="preserve">ENERGYSTAR </w:t>
      </w:r>
      <w:r w:rsidR="00390477" w:rsidRPr="006951B2">
        <w:rPr>
          <w:rFonts w:asciiTheme="majorHAnsi" w:hAnsiTheme="majorHAnsi" w:cstheme="majorBidi"/>
        </w:rPr>
        <w:t>program requirements and product specification for Connected Thermostats products Version 1 or later.</w:t>
      </w:r>
      <w:r w:rsidR="00390477" w:rsidRPr="000E623B">
        <w:rPr>
          <w:rFonts w:asciiTheme="majorHAnsi" w:hAnsiTheme="majorHAnsi" w:cstheme="majorBidi"/>
        </w:rPr>
        <w:t xml:space="preserve"> </w:t>
      </w:r>
    </w:p>
    <w:p w14:paraId="5E8EEEA4" w14:textId="77777777" w:rsidR="00576C8C" w:rsidRPr="00737D6A" w:rsidRDefault="00576C8C">
      <w:pPr>
        <w:pStyle w:val="Normal1"/>
        <w:rPr>
          <w:rFonts w:asciiTheme="majorHAnsi" w:hAnsiTheme="majorHAnsi" w:cstheme="majorHAnsi"/>
        </w:rPr>
      </w:pPr>
    </w:p>
    <w:p w14:paraId="2C65EAD6"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Customer Eligibility Requirements:</w:t>
      </w:r>
    </w:p>
    <w:p w14:paraId="5CEEE4BD" w14:textId="56F29A98" w:rsidR="00576C8C" w:rsidRPr="006951B2" w:rsidRDefault="007173B2">
      <w:pPr>
        <w:pStyle w:val="Normal1"/>
        <w:numPr>
          <w:ilvl w:val="0"/>
          <w:numId w:val="15"/>
        </w:numPr>
        <w:ind w:hanging="360"/>
        <w:rPr>
          <w:rFonts w:asciiTheme="majorHAnsi" w:hAnsiTheme="majorHAnsi" w:cstheme="majorBidi"/>
        </w:rPr>
      </w:pPr>
      <w:r w:rsidRPr="006951B2">
        <w:rPr>
          <w:rFonts w:asciiTheme="majorHAnsi" w:hAnsiTheme="majorHAnsi" w:cstheme="majorBidi"/>
        </w:rPr>
        <w:t xml:space="preserve">Customer segment: </w:t>
      </w:r>
      <w:r w:rsidR="008D7BC4" w:rsidRPr="006951B2">
        <w:rPr>
          <w:rFonts w:asciiTheme="majorHAnsi" w:hAnsiTheme="majorHAnsi" w:cstheme="majorBidi"/>
        </w:rPr>
        <w:t>R</w:t>
      </w:r>
      <w:r w:rsidRPr="006951B2">
        <w:rPr>
          <w:rFonts w:asciiTheme="majorHAnsi" w:hAnsiTheme="majorHAnsi" w:cstheme="majorBidi"/>
        </w:rPr>
        <w:t>esidential</w:t>
      </w:r>
      <w:r w:rsidR="004433BA">
        <w:rPr>
          <w:rFonts w:asciiTheme="majorHAnsi" w:hAnsiTheme="majorHAnsi" w:cstheme="majorBidi"/>
        </w:rPr>
        <w:t xml:space="preserve"> </w:t>
      </w:r>
    </w:p>
    <w:p w14:paraId="53CA0E0F" w14:textId="39CDDA20" w:rsidR="00576C8C" w:rsidRPr="00737D6A" w:rsidRDefault="007173B2">
      <w:pPr>
        <w:pStyle w:val="Normal1"/>
        <w:numPr>
          <w:ilvl w:val="0"/>
          <w:numId w:val="15"/>
        </w:numPr>
        <w:ind w:hanging="360"/>
        <w:contextualSpacing/>
        <w:rPr>
          <w:rFonts w:asciiTheme="majorHAnsi" w:hAnsiTheme="majorHAnsi" w:cstheme="majorHAnsi"/>
        </w:rPr>
      </w:pPr>
      <w:r w:rsidRPr="00737D6A">
        <w:rPr>
          <w:rFonts w:asciiTheme="majorHAnsi" w:hAnsiTheme="majorHAnsi" w:cstheme="majorHAnsi"/>
        </w:rPr>
        <w:t xml:space="preserve">Must use the thermostat to control </w:t>
      </w:r>
      <w:r w:rsidR="008D7BC4" w:rsidRPr="00737D6A">
        <w:rPr>
          <w:rFonts w:asciiTheme="majorHAnsi" w:hAnsiTheme="majorHAnsi" w:cstheme="majorHAnsi"/>
        </w:rPr>
        <w:t xml:space="preserve">a fully functional </w:t>
      </w:r>
      <w:r w:rsidRPr="00737D6A">
        <w:rPr>
          <w:rFonts w:asciiTheme="majorHAnsi" w:hAnsiTheme="majorHAnsi" w:cstheme="majorHAnsi"/>
        </w:rPr>
        <w:t>heating and/or cooling equipment supplied by fuels provided by the utility paying the end-customer incentive</w:t>
      </w:r>
    </w:p>
    <w:p w14:paraId="098A48C4" w14:textId="77777777" w:rsidR="00576C8C" w:rsidRPr="00737D6A" w:rsidRDefault="007173B2">
      <w:pPr>
        <w:pStyle w:val="Normal1"/>
        <w:numPr>
          <w:ilvl w:val="1"/>
          <w:numId w:val="15"/>
        </w:numPr>
        <w:ind w:hanging="360"/>
        <w:contextualSpacing/>
        <w:rPr>
          <w:rFonts w:asciiTheme="majorHAnsi" w:hAnsiTheme="majorHAnsi" w:cstheme="majorHAnsi"/>
        </w:rPr>
      </w:pPr>
      <w:r w:rsidRPr="00737D6A">
        <w:rPr>
          <w:rFonts w:asciiTheme="majorHAnsi" w:hAnsiTheme="majorHAnsi" w:cstheme="majorHAnsi"/>
        </w:rPr>
        <w:t>For single-fuel utilities (or dual-fuel utilities in a portion of their service area where they only supply one fuel), only savings for the applicable delivered fuel may be claimed</w:t>
      </w:r>
    </w:p>
    <w:p w14:paraId="19164F96" w14:textId="6DC896C9" w:rsidR="00576C8C" w:rsidRPr="00460672" w:rsidRDefault="007173B2">
      <w:pPr>
        <w:pStyle w:val="Normal1"/>
        <w:numPr>
          <w:ilvl w:val="1"/>
          <w:numId w:val="15"/>
        </w:numPr>
        <w:ind w:hanging="360"/>
        <w:contextualSpacing/>
        <w:rPr>
          <w:rFonts w:asciiTheme="majorHAnsi" w:hAnsiTheme="majorHAnsi" w:cstheme="majorBidi"/>
        </w:rPr>
      </w:pPr>
      <w:r w:rsidRPr="000E623B">
        <w:rPr>
          <w:rFonts w:asciiTheme="majorHAnsi" w:hAnsiTheme="majorHAnsi" w:cstheme="majorBidi"/>
        </w:rPr>
        <w:t>Eligible heating equipment: gas forced-air furnace, electric forced-air furnace,</w:t>
      </w:r>
      <w:r w:rsidR="00390477" w:rsidRPr="000E623B">
        <w:rPr>
          <w:rFonts w:asciiTheme="majorHAnsi" w:hAnsiTheme="majorHAnsi" w:cstheme="majorBidi"/>
        </w:rPr>
        <w:t xml:space="preserve"> and</w:t>
      </w:r>
      <w:r w:rsidRPr="000E623B">
        <w:rPr>
          <w:rFonts w:asciiTheme="majorHAnsi" w:hAnsiTheme="majorHAnsi" w:cstheme="majorBidi"/>
        </w:rPr>
        <w:t xml:space="preserve"> heat pump</w:t>
      </w:r>
      <w:r w:rsidR="00121E32">
        <w:rPr>
          <w:rFonts w:asciiTheme="majorHAnsi" w:hAnsiTheme="majorHAnsi" w:cstheme="majorBidi"/>
        </w:rPr>
        <w:t xml:space="preserve"> </w:t>
      </w:r>
    </w:p>
    <w:p w14:paraId="434D823F" w14:textId="1BFABE1E" w:rsidR="00121E32" w:rsidRPr="00121E32" w:rsidRDefault="007173B2">
      <w:pPr>
        <w:pStyle w:val="Normal1"/>
        <w:numPr>
          <w:ilvl w:val="1"/>
          <w:numId w:val="15"/>
        </w:numPr>
        <w:ind w:hanging="360"/>
        <w:contextualSpacing/>
        <w:rPr>
          <w:rFonts w:asciiTheme="majorHAnsi" w:hAnsiTheme="majorHAnsi" w:cstheme="majorBidi"/>
        </w:rPr>
      </w:pPr>
      <w:r w:rsidRPr="006951B2">
        <w:rPr>
          <w:rFonts w:asciiTheme="majorHAnsi" w:hAnsiTheme="majorHAnsi" w:cstheme="majorBidi"/>
        </w:rPr>
        <w:t>Eligible cooling equipment: central air conditioning</w:t>
      </w:r>
      <w:r w:rsidR="00390477" w:rsidRPr="00460672">
        <w:rPr>
          <w:rFonts w:asciiTheme="majorHAnsi" w:hAnsiTheme="majorHAnsi" w:cstheme="majorBidi"/>
        </w:rPr>
        <w:t xml:space="preserve"> and</w:t>
      </w:r>
      <w:r w:rsidR="004126AE" w:rsidRPr="006951B2">
        <w:rPr>
          <w:rFonts w:asciiTheme="majorHAnsi" w:hAnsiTheme="majorHAnsi" w:cstheme="majorBidi"/>
        </w:rPr>
        <w:t xml:space="preserve"> central heat pump</w:t>
      </w:r>
    </w:p>
    <w:p w14:paraId="41892A1C" w14:textId="77777777" w:rsidR="005F070E" w:rsidRDefault="005F070E" w:rsidP="00C470E5">
      <w:pPr>
        <w:pStyle w:val="Normal1"/>
        <w:rPr>
          <w:rFonts w:asciiTheme="majorHAnsi" w:hAnsiTheme="majorHAnsi" w:cstheme="majorHAnsi"/>
        </w:rPr>
      </w:pPr>
    </w:p>
    <w:p w14:paraId="4FF91B36" w14:textId="44755A05" w:rsidR="005F070E" w:rsidRDefault="005F070E" w:rsidP="00C470E5">
      <w:pPr>
        <w:pStyle w:val="Normal1"/>
        <w:rPr>
          <w:rFonts w:asciiTheme="majorHAnsi" w:hAnsiTheme="majorHAnsi" w:cstheme="majorHAnsi"/>
        </w:rPr>
      </w:pPr>
      <w:r w:rsidRPr="00C470E5">
        <w:rPr>
          <w:rFonts w:asciiTheme="majorHAnsi" w:hAnsiTheme="majorHAnsi" w:cstheme="majorHAnsi"/>
        </w:rPr>
        <w:t xml:space="preserve">For SCE, heat pump </w:t>
      </w:r>
      <w:r w:rsidR="007E1CDF" w:rsidRPr="00C470E5">
        <w:rPr>
          <w:rFonts w:asciiTheme="majorHAnsi" w:hAnsiTheme="majorHAnsi" w:cstheme="majorHAnsi"/>
        </w:rPr>
        <w:t xml:space="preserve">central </w:t>
      </w:r>
      <w:r w:rsidR="00893D16" w:rsidRPr="00C470E5">
        <w:rPr>
          <w:rFonts w:asciiTheme="majorHAnsi" w:hAnsiTheme="majorHAnsi" w:cstheme="majorHAnsi"/>
        </w:rPr>
        <w:t xml:space="preserve">qualifying </w:t>
      </w:r>
      <w:r w:rsidR="007E1CDF" w:rsidRPr="00C470E5">
        <w:rPr>
          <w:rFonts w:asciiTheme="majorHAnsi" w:hAnsiTheme="majorHAnsi" w:cstheme="majorHAnsi"/>
        </w:rPr>
        <w:t xml:space="preserve">HVAC </w:t>
      </w:r>
      <w:r w:rsidRPr="00C470E5">
        <w:rPr>
          <w:rFonts w:asciiTheme="majorHAnsi" w:hAnsiTheme="majorHAnsi" w:cstheme="majorHAnsi"/>
        </w:rPr>
        <w:t xml:space="preserve">equipment is incentivized under solution code CE-20995, whereas all non-heat pump </w:t>
      </w:r>
      <w:r w:rsidR="007E1CDF" w:rsidRPr="00C470E5">
        <w:rPr>
          <w:rFonts w:asciiTheme="majorHAnsi" w:hAnsiTheme="majorHAnsi" w:cstheme="majorHAnsi"/>
        </w:rPr>
        <w:t xml:space="preserve">central </w:t>
      </w:r>
      <w:r w:rsidR="00893D16" w:rsidRPr="00C470E5">
        <w:rPr>
          <w:rFonts w:asciiTheme="majorHAnsi" w:hAnsiTheme="majorHAnsi" w:cstheme="majorHAnsi"/>
        </w:rPr>
        <w:t xml:space="preserve">qualifying </w:t>
      </w:r>
      <w:r w:rsidR="007E1CDF" w:rsidRPr="00C470E5">
        <w:rPr>
          <w:rFonts w:asciiTheme="majorHAnsi" w:hAnsiTheme="majorHAnsi" w:cstheme="majorHAnsi"/>
        </w:rPr>
        <w:t xml:space="preserve">HVAC </w:t>
      </w:r>
      <w:r w:rsidRPr="00C470E5">
        <w:rPr>
          <w:rFonts w:asciiTheme="majorHAnsi" w:hAnsiTheme="majorHAnsi" w:cstheme="majorHAnsi"/>
        </w:rPr>
        <w:t>equipment is incentivized under solution code CE-18623.</w:t>
      </w:r>
    </w:p>
    <w:p w14:paraId="207D6C2B" w14:textId="77777777" w:rsidR="00576C8C" w:rsidRPr="00737D6A" w:rsidRDefault="00576C8C" w:rsidP="00C470E5">
      <w:pPr>
        <w:pStyle w:val="Normal1"/>
        <w:rPr>
          <w:rFonts w:asciiTheme="majorHAnsi" w:hAnsiTheme="majorHAnsi" w:cstheme="majorHAnsi"/>
        </w:rPr>
      </w:pPr>
    </w:p>
    <w:p w14:paraId="06AB7FB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Implementation and Installation Requirements:</w:t>
      </w:r>
    </w:p>
    <w:p w14:paraId="7C5078DB" w14:textId="77777777" w:rsidR="00576C8C" w:rsidRPr="00737D6A" w:rsidRDefault="007173B2">
      <w:pPr>
        <w:pStyle w:val="Normal1"/>
        <w:numPr>
          <w:ilvl w:val="0"/>
          <w:numId w:val="4"/>
        </w:numPr>
        <w:ind w:hanging="360"/>
        <w:contextualSpacing/>
        <w:rPr>
          <w:rFonts w:asciiTheme="majorHAnsi" w:hAnsiTheme="majorHAnsi" w:cstheme="majorHAnsi"/>
        </w:rPr>
      </w:pPr>
      <w:r w:rsidRPr="00737D6A">
        <w:rPr>
          <w:rFonts w:asciiTheme="majorHAnsi" w:hAnsiTheme="majorHAnsi" w:cstheme="majorHAnsi"/>
          <w:b/>
        </w:rPr>
        <w:t>Climate Zones:</w:t>
      </w:r>
      <w:r w:rsidRPr="00737D6A">
        <w:rPr>
          <w:rFonts w:asciiTheme="majorHAnsi" w:hAnsiTheme="majorHAnsi" w:cstheme="majorHAnsi"/>
        </w:rPr>
        <w:t xml:space="preserve"> All 16 California Climate Zones are eligible (no cooling savings defined for Climate Zone 1)</w:t>
      </w:r>
    </w:p>
    <w:p w14:paraId="66EA9319" w14:textId="50CD272B" w:rsidR="00CD337D" w:rsidRPr="00F21BB5" w:rsidRDefault="007173B2" w:rsidP="00C470E5">
      <w:pPr>
        <w:pStyle w:val="Normal1"/>
        <w:numPr>
          <w:ilvl w:val="0"/>
          <w:numId w:val="4"/>
        </w:numPr>
        <w:ind w:hanging="360"/>
        <w:contextualSpacing/>
        <w:rPr>
          <w:rFonts w:asciiTheme="majorHAnsi" w:hAnsiTheme="majorHAnsi" w:cstheme="majorHAnsi"/>
          <w:b/>
        </w:rPr>
      </w:pPr>
      <w:r w:rsidRPr="00737D6A">
        <w:rPr>
          <w:rFonts w:asciiTheme="majorHAnsi" w:hAnsiTheme="majorHAnsi" w:cstheme="majorHAnsi"/>
          <w:b/>
        </w:rPr>
        <w:t xml:space="preserve">Building Types: </w:t>
      </w:r>
      <w:r w:rsidRPr="00737D6A">
        <w:rPr>
          <w:rFonts w:asciiTheme="majorHAnsi" w:hAnsiTheme="majorHAnsi" w:cstheme="majorHAnsi"/>
        </w:rPr>
        <w:t>Residential Building Types</w:t>
      </w:r>
      <w:r w:rsidR="00D82F77" w:rsidRPr="00737D6A">
        <w:rPr>
          <w:rFonts w:asciiTheme="majorHAnsi" w:hAnsiTheme="majorHAnsi" w:cstheme="majorHAnsi"/>
        </w:rPr>
        <w:t xml:space="preserve"> - </w:t>
      </w:r>
      <w:r w:rsidR="00361A5E" w:rsidRPr="00737D6A">
        <w:rPr>
          <w:rFonts w:asciiTheme="majorHAnsi" w:hAnsiTheme="majorHAnsi" w:cstheme="majorHAnsi"/>
        </w:rPr>
        <w:t>SF</w:t>
      </w:r>
      <w:r w:rsidR="0047731E" w:rsidRPr="00737D6A">
        <w:rPr>
          <w:rFonts w:asciiTheme="majorHAnsi" w:hAnsiTheme="majorHAnsi" w:cstheme="majorHAnsi"/>
        </w:rPr>
        <w:t>m</w:t>
      </w:r>
      <w:r w:rsidR="00361A5E" w:rsidRPr="00737D6A">
        <w:rPr>
          <w:rFonts w:asciiTheme="majorHAnsi" w:hAnsiTheme="majorHAnsi" w:cstheme="majorHAnsi"/>
        </w:rPr>
        <w:t xml:space="preserve">, </w:t>
      </w:r>
      <w:r w:rsidR="00A57E5C">
        <w:rPr>
          <w:rFonts w:asciiTheme="majorHAnsi" w:hAnsiTheme="majorHAnsi" w:cstheme="majorHAnsi"/>
        </w:rPr>
        <w:t>MFM</w:t>
      </w:r>
      <w:r w:rsidR="00361A5E" w:rsidRPr="00737D6A">
        <w:rPr>
          <w:rFonts w:asciiTheme="majorHAnsi" w:hAnsiTheme="majorHAnsi" w:cstheme="majorHAnsi"/>
        </w:rPr>
        <w:t xml:space="preserve">, and </w:t>
      </w:r>
      <w:r w:rsidR="00A57E5C">
        <w:rPr>
          <w:rFonts w:asciiTheme="majorHAnsi" w:hAnsiTheme="majorHAnsi" w:cstheme="majorHAnsi"/>
        </w:rPr>
        <w:t>DMO</w:t>
      </w:r>
    </w:p>
    <w:p w14:paraId="53E8CC2B" w14:textId="77777777" w:rsidR="00576C8C" w:rsidRPr="00737D6A" w:rsidRDefault="007173B2">
      <w:pPr>
        <w:pStyle w:val="Heading2"/>
        <w:rPr>
          <w:rFonts w:asciiTheme="majorHAnsi" w:hAnsiTheme="majorHAnsi" w:cstheme="majorHAnsi"/>
        </w:rPr>
      </w:pPr>
      <w:r w:rsidRPr="00737D6A">
        <w:rPr>
          <w:rFonts w:asciiTheme="majorHAnsi" w:eastAsia="Calibri" w:hAnsiTheme="majorHAnsi" w:cstheme="majorHAnsi"/>
        </w:rPr>
        <w:t>1.2 Technical Description</w:t>
      </w:r>
    </w:p>
    <w:p w14:paraId="0392E240" w14:textId="142C9E2D" w:rsidR="00234BE1" w:rsidRPr="00176CA1" w:rsidRDefault="005F070E">
      <w:pPr>
        <w:pStyle w:val="Normal1"/>
        <w:jc w:val="both"/>
        <w:rPr>
          <w:rFonts w:asciiTheme="majorHAnsi" w:hAnsiTheme="majorHAnsi" w:cstheme="majorBidi"/>
        </w:rPr>
      </w:pPr>
      <w:r w:rsidRPr="005F070E">
        <w:rPr>
          <w:rFonts w:asciiTheme="majorHAnsi" w:hAnsiTheme="majorHAnsi" w:cstheme="majorBidi"/>
        </w:rPr>
        <w:t>A Smart Thermostat is a device that controls heating, ventilation, and air-conditioning (HVAC) equipment to regulate the temperature of the room or spac</w:t>
      </w:r>
      <w:r w:rsidR="00F21BB5">
        <w:rPr>
          <w:rFonts w:asciiTheme="majorHAnsi" w:hAnsiTheme="majorHAnsi" w:cstheme="majorBidi"/>
        </w:rPr>
        <w:t>e in which it is installed and</w:t>
      </w:r>
      <w:r w:rsidRPr="005F070E">
        <w:rPr>
          <w:rFonts w:asciiTheme="majorHAnsi" w:hAnsiTheme="majorHAnsi" w:cstheme="majorBidi"/>
        </w:rPr>
        <w:t xml:space="preserve"> has the ability to make automated adjustments to the set point of the HVAC system </w:t>
      </w:r>
      <w:r w:rsidR="00F21BB5">
        <w:rPr>
          <w:rFonts w:asciiTheme="majorHAnsi" w:hAnsiTheme="majorHAnsi" w:cstheme="majorBidi"/>
        </w:rPr>
        <w:t>based on</w:t>
      </w:r>
      <w:r w:rsidR="00234BE1" w:rsidRPr="000E623B">
        <w:rPr>
          <w:rFonts w:asciiTheme="majorHAnsi" w:hAnsiTheme="majorHAnsi" w:cstheme="majorBidi"/>
        </w:rPr>
        <w:t xml:space="preserve"> occupancy </w:t>
      </w:r>
      <w:r w:rsidR="00234BE1" w:rsidRPr="000E623B">
        <w:rPr>
          <w:rFonts w:asciiTheme="majorHAnsi" w:hAnsiTheme="majorHAnsi" w:cstheme="majorBidi"/>
        </w:rPr>
        <w:lastRenderedPageBreak/>
        <w:t>data, weather data, and HVAC performance</w:t>
      </w:r>
      <w:r w:rsidR="00C82AEE">
        <w:rPr>
          <w:rFonts w:asciiTheme="majorHAnsi" w:hAnsiTheme="majorHAnsi" w:cstheme="majorBidi"/>
        </w:rPr>
        <w:t xml:space="preserve"> data (or some of this </w:t>
      </w:r>
      <w:r w:rsidR="00234BE1" w:rsidRPr="000E623B">
        <w:rPr>
          <w:rFonts w:asciiTheme="majorHAnsi" w:hAnsiTheme="majorHAnsi" w:cstheme="majorBidi"/>
        </w:rPr>
        <w:t>data</w:t>
      </w:r>
      <w:r w:rsidR="00C82AEE">
        <w:rPr>
          <w:rFonts w:asciiTheme="majorHAnsi" w:hAnsiTheme="majorHAnsi" w:cstheme="majorBidi"/>
        </w:rPr>
        <w:t xml:space="preserve">) </w:t>
      </w:r>
      <w:r w:rsidR="00F21BB5">
        <w:rPr>
          <w:rFonts w:asciiTheme="majorHAnsi" w:hAnsiTheme="majorHAnsi" w:cstheme="majorBidi"/>
        </w:rPr>
        <w:t xml:space="preserve">or combination of these parameters </w:t>
      </w:r>
      <w:r w:rsidR="00234BE1" w:rsidRPr="000E623B">
        <w:rPr>
          <w:rFonts w:asciiTheme="majorHAnsi" w:hAnsiTheme="majorHAnsi" w:cstheme="majorBidi"/>
        </w:rPr>
        <w:t>to optimize heating and cooling around occupancy</w:t>
      </w:r>
      <w:r w:rsidR="00975D2D">
        <w:rPr>
          <w:rFonts w:asciiTheme="majorHAnsi" w:hAnsiTheme="majorHAnsi" w:cstheme="majorBidi"/>
        </w:rPr>
        <w:t xml:space="preserve"> and/or HVAC equipment operation</w:t>
      </w:r>
      <w:r w:rsidR="00234BE1" w:rsidRPr="000E623B">
        <w:rPr>
          <w:rFonts w:asciiTheme="majorHAnsi" w:hAnsiTheme="majorHAnsi" w:cstheme="majorBidi"/>
        </w:rPr>
        <w:t xml:space="preserve">. </w:t>
      </w:r>
    </w:p>
    <w:p w14:paraId="1DEF6ACE" w14:textId="77777777" w:rsidR="00234BE1" w:rsidRPr="00737D6A" w:rsidRDefault="00234BE1">
      <w:pPr>
        <w:pStyle w:val="Normal1"/>
        <w:jc w:val="both"/>
        <w:rPr>
          <w:rFonts w:asciiTheme="majorHAnsi" w:hAnsiTheme="majorHAnsi" w:cstheme="majorHAnsi"/>
        </w:rPr>
      </w:pPr>
    </w:p>
    <w:p w14:paraId="429528B3" w14:textId="7FE1121A" w:rsidR="00953E4E" w:rsidRPr="00176CA1" w:rsidRDefault="00234BE1" w:rsidP="00176CA1">
      <w:pPr>
        <w:pStyle w:val="Normal1"/>
        <w:jc w:val="both"/>
        <w:rPr>
          <w:rFonts w:asciiTheme="majorHAnsi" w:eastAsia="Arial Narrow" w:hAnsiTheme="majorHAnsi" w:cstheme="majorBidi"/>
          <w:sz w:val="28"/>
          <w:szCs w:val="28"/>
        </w:rPr>
      </w:pPr>
      <w:r w:rsidRPr="00737D6A">
        <w:rPr>
          <w:rFonts w:asciiTheme="majorHAnsi" w:hAnsiTheme="majorHAnsi" w:cstheme="majorHAnsi"/>
        </w:rPr>
        <w:t>Smart Thermostat technology participating in</w:t>
      </w:r>
      <w:r w:rsidR="00C03CB6">
        <w:rPr>
          <w:rFonts w:asciiTheme="majorHAnsi" w:hAnsiTheme="majorHAnsi" w:cstheme="majorHAnsi"/>
        </w:rPr>
        <w:t xml:space="preserve"> </w:t>
      </w:r>
      <w:r w:rsidRPr="00737D6A">
        <w:rPr>
          <w:rFonts w:asciiTheme="majorHAnsi" w:hAnsiTheme="majorHAnsi" w:cstheme="majorHAnsi"/>
        </w:rPr>
        <w:t>Energy Efficiency</w:t>
      </w:r>
      <w:r w:rsidR="00C03CB6">
        <w:rPr>
          <w:rFonts w:asciiTheme="majorHAnsi" w:hAnsiTheme="majorHAnsi" w:cstheme="majorHAnsi"/>
        </w:rPr>
        <w:t xml:space="preserve"> Utility</w:t>
      </w:r>
      <w:r w:rsidRPr="00737D6A">
        <w:rPr>
          <w:rFonts w:asciiTheme="majorHAnsi" w:hAnsiTheme="majorHAnsi" w:cstheme="majorHAnsi"/>
        </w:rPr>
        <w:t xml:space="preserve"> </w:t>
      </w:r>
      <w:r w:rsidRPr="000E623B">
        <w:rPr>
          <w:rFonts w:asciiTheme="majorHAnsi" w:hAnsiTheme="majorHAnsi" w:cstheme="majorBidi"/>
        </w:rPr>
        <w:t xml:space="preserve">programs shall </w:t>
      </w:r>
      <w:r w:rsidRPr="00737D6A">
        <w:rPr>
          <w:rFonts w:asciiTheme="majorHAnsi" w:hAnsiTheme="majorHAnsi" w:cstheme="majorHAnsi"/>
        </w:rPr>
        <w:t xml:space="preserve">be in full compliance with </w:t>
      </w:r>
      <w:r w:rsidRPr="000E623B">
        <w:rPr>
          <w:rFonts w:asciiTheme="majorHAnsi" w:hAnsiTheme="majorHAnsi" w:cstheme="majorBidi"/>
        </w:rPr>
        <w:t>latest ENERGYSTAR Program Requirements Product Specification for Connected Thermostat Products and associated Qualifying Product List</w:t>
      </w:r>
      <w:r w:rsidRPr="00737D6A">
        <w:rPr>
          <w:rFonts w:asciiTheme="majorHAnsi" w:hAnsiTheme="majorHAnsi" w:cstheme="majorHAnsi"/>
        </w:rPr>
        <w:t>, including but not limited to product capabilities and/or features that may be enabled through the device, service, or any combination of the two while maintaining (and with persistency of) these capabilities through subsequent firmware and software changes.</w:t>
      </w:r>
    </w:p>
    <w:p w14:paraId="3CFD3C5A" w14:textId="368B3487" w:rsidR="00576C8C" w:rsidRPr="00737D6A" w:rsidRDefault="007173B2">
      <w:pPr>
        <w:pStyle w:val="Heading2"/>
        <w:rPr>
          <w:rFonts w:asciiTheme="majorHAnsi" w:hAnsiTheme="majorHAnsi" w:cstheme="majorHAnsi"/>
          <w:color w:val="FF0000"/>
        </w:rPr>
      </w:pPr>
      <w:r w:rsidRPr="00737D6A">
        <w:rPr>
          <w:rFonts w:asciiTheme="majorHAnsi" w:eastAsia="Calibri" w:hAnsiTheme="majorHAnsi" w:cstheme="majorHAnsi"/>
        </w:rPr>
        <w:t xml:space="preserve">1.3 Installation Types and Delivery Mechanisms </w:t>
      </w:r>
    </w:p>
    <w:p w14:paraId="5A010D54"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Installation Type Descriptions</w:t>
      </w:r>
    </w:p>
    <w:tbl>
      <w:tblPr>
        <w:tblStyle w:val="20"/>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2790"/>
        <w:gridCol w:w="1170"/>
        <w:gridCol w:w="990"/>
        <w:gridCol w:w="1170"/>
      </w:tblGrid>
      <w:tr w:rsidR="00576C8C" w:rsidRPr="00737D6A" w14:paraId="29FE49DD" w14:textId="77777777" w:rsidTr="0009168C">
        <w:trPr>
          <w:trHeight w:val="20"/>
        </w:trPr>
        <w:tc>
          <w:tcPr>
            <w:tcW w:w="2605" w:type="dxa"/>
            <w:vMerge w:val="restart"/>
            <w:shd w:val="clear" w:color="auto" w:fill="D9D9D9"/>
          </w:tcPr>
          <w:p w14:paraId="7569380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Installation Type</w:t>
            </w:r>
          </w:p>
        </w:tc>
        <w:tc>
          <w:tcPr>
            <w:tcW w:w="3960" w:type="dxa"/>
            <w:gridSpan w:val="2"/>
            <w:shd w:val="clear" w:color="auto" w:fill="D9D9D9"/>
          </w:tcPr>
          <w:p w14:paraId="6097C06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Savings</w:t>
            </w:r>
          </w:p>
        </w:tc>
        <w:tc>
          <w:tcPr>
            <w:tcW w:w="2160" w:type="dxa"/>
            <w:gridSpan w:val="2"/>
            <w:shd w:val="clear" w:color="auto" w:fill="D9D9D9"/>
          </w:tcPr>
          <w:p w14:paraId="38BC470B"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Life</w:t>
            </w:r>
          </w:p>
        </w:tc>
      </w:tr>
      <w:tr w:rsidR="00576C8C" w:rsidRPr="00737D6A" w14:paraId="79DCDF06" w14:textId="77777777" w:rsidTr="0009168C">
        <w:trPr>
          <w:trHeight w:val="20"/>
        </w:trPr>
        <w:tc>
          <w:tcPr>
            <w:tcW w:w="2605" w:type="dxa"/>
            <w:vMerge/>
            <w:shd w:val="clear" w:color="auto" w:fill="D9D9D9"/>
          </w:tcPr>
          <w:p w14:paraId="1B646719" w14:textId="77777777" w:rsidR="00576C8C" w:rsidRPr="00737D6A" w:rsidRDefault="00576C8C">
            <w:pPr>
              <w:pStyle w:val="Normal1"/>
              <w:rPr>
                <w:rFonts w:asciiTheme="majorHAnsi" w:hAnsiTheme="majorHAnsi" w:cstheme="majorHAnsi"/>
              </w:rPr>
            </w:pPr>
          </w:p>
        </w:tc>
        <w:tc>
          <w:tcPr>
            <w:tcW w:w="2790" w:type="dxa"/>
            <w:shd w:val="clear" w:color="auto" w:fill="F2F2F2"/>
          </w:tcPr>
          <w:p w14:paraId="75D3EC51"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1</w:t>
            </w:r>
            <w:r w:rsidRPr="00737D6A">
              <w:rPr>
                <w:rFonts w:asciiTheme="majorHAnsi" w:hAnsiTheme="majorHAnsi" w:cstheme="majorHAnsi"/>
                <w:vertAlign w:val="superscript"/>
              </w:rPr>
              <w:t>st</w:t>
            </w:r>
            <w:r w:rsidRPr="00737D6A">
              <w:rPr>
                <w:rFonts w:asciiTheme="majorHAnsi" w:hAnsiTheme="majorHAnsi" w:cstheme="majorHAnsi"/>
              </w:rPr>
              <w:t xml:space="preserve"> Baseline (BL)</w:t>
            </w:r>
          </w:p>
        </w:tc>
        <w:tc>
          <w:tcPr>
            <w:tcW w:w="1170" w:type="dxa"/>
            <w:shd w:val="clear" w:color="auto" w:fill="F2F2F2"/>
          </w:tcPr>
          <w:p w14:paraId="5E1DCF24"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2</w:t>
            </w:r>
            <w:r w:rsidRPr="00737D6A">
              <w:rPr>
                <w:rFonts w:asciiTheme="majorHAnsi" w:hAnsiTheme="majorHAnsi" w:cstheme="majorHAnsi"/>
                <w:vertAlign w:val="superscript"/>
              </w:rPr>
              <w:t>nd</w:t>
            </w:r>
            <w:r w:rsidRPr="00737D6A">
              <w:rPr>
                <w:rFonts w:asciiTheme="majorHAnsi" w:hAnsiTheme="majorHAnsi" w:cstheme="majorHAnsi"/>
              </w:rPr>
              <w:t xml:space="preserve"> BL</w:t>
            </w:r>
          </w:p>
        </w:tc>
        <w:tc>
          <w:tcPr>
            <w:tcW w:w="990" w:type="dxa"/>
            <w:shd w:val="clear" w:color="auto" w:fill="F2F2F2"/>
          </w:tcPr>
          <w:p w14:paraId="38A091B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1</w:t>
            </w:r>
            <w:r w:rsidRPr="00737D6A">
              <w:rPr>
                <w:rFonts w:asciiTheme="majorHAnsi" w:hAnsiTheme="majorHAnsi" w:cstheme="majorHAnsi"/>
                <w:vertAlign w:val="superscript"/>
              </w:rPr>
              <w:t>st</w:t>
            </w:r>
            <w:r w:rsidRPr="00737D6A">
              <w:rPr>
                <w:rFonts w:asciiTheme="majorHAnsi" w:hAnsiTheme="majorHAnsi" w:cstheme="majorHAnsi"/>
              </w:rPr>
              <w:t xml:space="preserve"> BL</w:t>
            </w:r>
          </w:p>
        </w:tc>
        <w:tc>
          <w:tcPr>
            <w:tcW w:w="1170" w:type="dxa"/>
            <w:shd w:val="clear" w:color="auto" w:fill="F2F2F2"/>
          </w:tcPr>
          <w:p w14:paraId="0301DF36"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2</w:t>
            </w:r>
            <w:r w:rsidRPr="00737D6A">
              <w:rPr>
                <w:rFonts w:asciiTheme="majorHAnsi" w:hAnsiTheme="majorHAnsi" w:cstheme="majorHAnsi"/>
                <w:vertAlign w:val="superscript"/>
              </w:rPr>
              <w:t>nd</w:t>
            </w:r>
            <w:r w:rsidRPr="00737D6A">
              <w:rPr>
                <w:rFonts w:asciiTheme="majorHAnsi" w:hAnsiTheme="majorHAnsi" w:cstheme="majorHAnsi"/>
              </w:rPr>
              <w:t xml:space="preserve"> BL</w:t>
            </w:r>
          </w:p>
        </w:tc>
      </w:tr>
      <w:tr w:rsidR="003F30E2" w:rsidRPr="00737D6A" w14:paraId="4E236926" w14:textId="77777777" w:rsidTr="0009168C">
        <w:trPr>
          <w:trHeight w:val="20"/>
        </w:trPr>
        <w:tc>
          <w:tcPr>
            <w:tcW w:w="2605" w:type="dxa"/>
          </w:tcPr>
          <w:p w14:paraId="2964E32B" w14:textId="71CB3207" w:rsidR="003F30E2" w:rsidRPr="00737D6A" w:rsidRDefault="004A6FFF">
            <w:pPr>
              <w:pStyle w:val="Normal1"/>
              <w:rPr>
                <w:rFonts w:asciiTheme="majorHAnsi" w:hAnsiTheme="majorHAnsi" w:cstheme="majorHAnsi"/>
              </w:rPr>
            </w:pPr>
            <w:r w:rsidRPr="00737D6A">
              <w:rPr>
                <w:rFonts w:asciiTheme="majorHAnsi" w:hAnsiTheme="majorHAnsi" w:cstheme="majorHAnsi"/>
              </w:rPr>
              <w:t>Normal Replacement (NR)</w:t>
            </w:r>
          </w:p>
        </w:tc>
        <w:tc>
          <w:tcPr>
            <w:tcW w:w="2790" w:type="dxa"/>
          </w:tcPr>
          <w:p w14:paraId="1E6BA816" w14:textId="7FE3BC16" w:rsidR="003F30E2" w:rsidRPr="00737D6A" w:rsidRDefault="00EB68B9">
            <w:pPr>
              <w:pStyle w:val="Normal1"/>
              <w:rPr>
                <w:rFonts w:asciiTheme="majorHAnsi" w:hAnsiTheme="majorHAnsi" w:cstheme="majorHAnsi"/>
              </w:rPr>
            </w:pPr>
            <w:r>
              <w:rPr>
                <w:rFonts w:asciiTheme="majorHAnsi" w:hAnsiTheme="majorHAnsi" w:cstheme="majorHAnsi"/>
              </w:rPr>
              <w:t>Industry Standard Practice</w:t>
            </w:r>
          </w:p>
        </w:tc>
        <w:tc>
          <w:tcPr>
            <w:tcW w:w="1170" w:type="dxa"/>
          </w:tcPr>
          <w:p w14:paraId="231C2810" w14:textId="1B4B2E35" w:rsidR="003F30E2" w:rsidRPr="00737D6A" w:rsidRDefault="00934498">
            <w:pPr>
              <w:pStyle w:val="Normal1"/>
              <w:rPr>
                <w:rFonts w:asciiTheme="majorHAnsi" w:hAnsiTheme="majorHAnsi" w:cstheme="majorHAnsi"/>
              </w:rPr>
            </w:pPr>
            <w:r w:rsidRPr="00737D6A">
              <w:rPr>
                <w:rFonts w:asciiTheme="majorHAnsi" w:hAnsiTheme="majorHAnsi" w:cstheme="majorHAnsi"/>
              </w:rPr>
              <w:t>N/A</w:t>
            </w:r>
          </w:p>
        </w:tc>
        <w:tc>
          <w:tcPr>
            <w:tcW w:w="990" w:type="dxa"/>
          </w:tcPr>
          <w:p w14:paraId="0A39C003" w14:textId="3D8DD459" w:rsidR="003F30E2" w:rsidRPr="00737D6A" w:rsidRDefault="00506F40">
            <w:pPr>
              <w:pStyle w:val="Normal1"/>
              <w:rPr>
                <w:rFonts w:asciiTheme="majorHAnsi" w:hAnsiTheme="majorHAnsi" w:cstheme="majorHAnsi"/>
              </w:rPr>
            </w:pPr>
            <w:r w:rsidRPr="00737D6A">
              <w:rPr>
                <w:rFonts w:asciiTheme="majorHAnsi" w:hAnsiTheme="majorHAnsi" w:cstheme="majorHAnsi"/>
              </w:rPr>
              <w:t>EUL</w:t>
            </w:r>
          </w:p>
        </w:tc>
        <w:tc>
          <w:tcPr>
            <w:tcW w:w="1170" w:type="dxa"/>
          </w:tcPr>
          <w:p w14:paraId="6487F087" w14:textId="2E385DE1" w:rsidR="003F30E2" w:rsidRPr="00737D6A" w:rsidRDefault="00934498">
            <w:pPr>
              <w:pStyle w:val="Normal1"/>
              <w:rPr>
                <w:rFonts w:asciiTheme="majorHAnsi" w:hAnsiTheme="majorHAnsi" w:cstheme="majorHAnsi"/>
              </w:rPr>
            </w:pPr>
            <w:r w:rsidRPr="00737D6A">
              <w:rPr>
                <w:rFonts w:asciiTheme="majorHAnsi" w:hAnsiTheme="majorHAnsi" w:cstheme="majorHAnsi"/>
              </w:rPr>
              <w:t>N/A</w:t>
            </w:r>
          </w:p>
        </w:tc>
      </w:tr>
    </w:tbl>
    <w:p w14:paraId="2627DFB1" w14:textId="77777777" w:rsidR="00247A2E" w:rsidRPr="00737D6A" w:rsidRDefault="00247A2E">
      <w:pPr>
        <w:pStyle w:val="Normal1"/>
        <w:spacing w:before="40" w:after="40"/>
        <w:rPr>
          <w:rFonts w:asciiTheme="majorHAnsi" w:hAnsiTheme="majorHAnsi" w:cstheme="majorHAnsi"/>
        </w:rPr>
      </w:pPr>
    </w:p>
    <w:p w14:paraId="5E6E4255" w14:textId="00E70F67" w:rsidR="00DB1DF0" w:rsidRDefault="00884E55">
      <w:pPr>
        <w:pStyle w:val="Normal1"/>
        <w:spacing w:before="40" w:after="40"/>
        <w:rPr>
          <w:rFonts w:asciiTheme="majorHAnsi" w:hAnsiTheme="majorHAnsi" w:cstheme="majorBidi"/>
        </w:rPr>
      </w:pPr>
      <w:r w:rsidRPr="000E623B">
        <w:rPr>
          <w:rFonts w:asciiTheme="majorHAnsi" w:hAnsiTheme="majorHAnsi" w:cstheme="majorBidi"/>
        </w:rPr>
        <w:t>M</w:t>
      </w:r>
      <w:r w:rsidR="00D34885" w:rsidRPr="000E623B">
        <w:rPr>
          <w:rFonts w:asciiTheme="majorHAnsi" w:hAnsiTheme="majorHAnsi" w:cstheme="majorBidi"/>
        </w:rPr>
        <w:t xml:space="preserve">easure application type </w:t>
      </w:r>
      <w:r w:rsidR="006E1027">
        <w:rPr>
          <w:rFonts w:asciiTheme="majorHAnsi" w:hAnsiTheme="majorHAnsi" w:cstheme="majorBidi"/>
        </w:rPr>
        <w:t>is</w:t>
      </w:r>
      <w:r w:rsidRPr="000E623B">
        <w:rPr>
          <w:rFonts w:asciiTheme="majorHAnsi" w:hAnsiTheme="majorHAnsi" w:cstheme="majorBidi"/>
        </w:rPr>
        <w:t xml:space="preserve"> </w:t>
      </w:r>
      <w:r w:rsidR="00D34885" w:rsidRPr="000E623B">
        <w:rPr>
          <w:rFonts w:asciiTheme="majorHAnsi" w:hAnsiTheme="majorHAnsi" w:cstheme="majorBidi"/>
        </w:rPr>
        <w:t>characterized as Normal Replacement (NR)</w:t>
      </w:r>
      <w:r w:rsidR="00934498" w:rsidRPr="000E623B">
        <w:rPr>
          <w:rFonts w:asciiTheme="majorHAnsi" w:hAnsiTheme="majorHAnsi" w:cstheme="majorBidi"/>
        </w:rPr>
        <w:t xml:space="preserve">.  Given that (a) </w:t>
      </w:r>
      <w:r w:rsidRPr="000E623B">
        <w:rPr>
          <w:rFonts w:asciiTheme="majorHAnsi" w:hAnsiTheme="majorHAnsi" w:cstheme="majorBidi"/>
        </w:rPr>
        <w:t>Evaluation</w:t>
      </w:r>
      <w:r w:rsidR="00C82AEE">
        <w:rPr>
          <w:rFonts w:asciiTheme="majorHAnsi" w:hAnsiTheme="majorHAnsi" w:cstheme="majorBidi"/>
        </w:rPr>
        <w:t xml:space="preserve"> </w:t>
      </w:r>
      <w:r w:rsidR="00934498" w:rsidRPr="000E623B">
        <w:rPr>
          <w:rFonts w:asciiTheme="majorHAnsi" w:hAnsiTheme="majorHAnsi" w:cstheme="majorBidi"/>
        </w:rPr>
        <w:t>[</w:t>
      </w:r>
      <w:r w:rsidR="00916847" w:rsidRPr="000E623B">
        <w:rPr>
          <w:rFonts w:asciiTheme="majorHAnsi" w:hAnsiTheme="majorHAnsi" w:cstheme="majorBidi"/>
        </w:rPr>
        <w:t xml:space="preserve">Attachment </w:t>
      </w:r>
      <w:r w:rsidR="003927FE" w:rsidRPr="000E623B">
        <w:rPr>
          <w:rFonts w:asciiTheme="majorHAnsi" w:hAnsiTheme="majorHAnsi" w:cstheme="majorBidi"/>
        </w:rPr>
        <w:t>5</w:t>
      </w:r>
      <w:r w:rsidR="00934498" w:rsidRPr="000E623B">
        <w:rPr>
          <w:rFonts w:asciiTheme="majorHAnsi" w:hAnsiTheme="majorHAnsi" w:cstheme="majorBidi"/>
        </w:rPr>
        <w:t xml:space="preserve">] </w:t>
      </w:r>
      <w:r w:rsidR="00C82AEE">
        <w:rPr>
          <w:rFonts w:asciiTheme="majorHAnsi" w:hAnsiTheme="majorHAnsi" w:cstheme="majorBidi"/>
        </w:rPr>
        <w:t>determined</w:t>
      </w:r>
      <w:r w:rsidR="00931800" w:rsidRPr="000E623B">
        <w:rPr>
          <w:rFonts w:asciiTheme="majorHAnsi" w:hAnsiTheme="majorHAnsi" w:cstheme="majorBidi"/>
        </w:rPr>
        <w:t xml:space="preserve"> that </w:t>
      </w:r>
      <w:r w:rsidR="00934498" w:rsidRPr="000E623B">
        <w:rPr>
          <w:rFonts w:asciiTheme="majorHAnsi" w:hAnsiTheme="majorHAnsi" w:cstheme="majorBidi"/>
        </w:rPr>
        <w:t>vast majority of thermostats</w:t>
      </w:r>
      <w:r w:rsidR="00931800" w:rsidRPr="000E623B">
        <w:rPr>
          <w:rFonts w:asciiTheme="majorHAnsi" w:hAnsiTheme="majorHAnsi" w:cstheme="majorBidi"/>
        </w:rPr>
        <w:t xml:space="preserve"> under the existing condition</w:t>
      </w:r>
      <w:r w:rsidR="00934498" w:rsidRPr="000E623B">
        <w:rPr>
          <w:rFonts w:asciiTheme="majorHAnsi" w:hAnsiTheme="majorHAnsi" w:cstheme="majorBidi"/>
        </w:rPr>
        <w:t xml:space="preserve"> consist of programmable thermostats (76%) followed by manual thermostats (11%) and (b) </w:t>
      </w:r>
      <w:r w:rsidR="00D34885" w:rsidRPr="000E623B">
        <w:rPr>
          <w:rFonts w:asciiTheme="majorHAnsi" w:hAnsiTheme="majorHAnsi" w:cstheme="majorBidi"/>
        </w:rPr>
        <w:t xml:space="preserve">the average </w:t>
      </w:r>
      <w:r w:rsidR="00077105" w:rsidRPr="000E623B">
        <w:rPr>
          <w:rFonts w:asciiTheme="majorHAnsi" w:hAnsiTheme="majorHAnsi" w:cstheme="majorBidi"/>
        </w:rPr>
        <w:t>Home Vintage</w:t>
      </w:r>
      <w:r w:rsidR="00C82AEE">
        <w:rPr>
          <w:rFonts w:asciiTheme="majorHAnsi" w:hAnsiTheme="majorHAnsi" w:cstheme="majorBidi"/>
        </w:rPr>
        <w:t xml:space="preserve"> characterization</w:t>
      </w:r>
      <w:r w:rsidR="00077105" w:rsidRPr="000E623B">
        <w:rPr>
          <w:rFonts w:asciiTheme="majorHAnsi" w:hAnsiTheme="majorHAnsi" w:cstheme="majorBidi"/>
        </w:rPr>
        <w:t xml:space="preserve"> </w:t>
      </w:r>
      <w:r w:rsidR="00D34885" w:rsidRPr="000E623B">
        <w:rPr>
          <w:rFonts w:asciiTheme="majorHAnsi" w:hAnsiTheme="majorHAnsi" w:cstheme="majorBidi"/>
        </w:rPr>
        <w:t>from participating customers is expected to</w:t>
      </w:r>
      <w:r w:rsidR="00077105" w:rsidRPr="000E623B">
        <w:rPr>
          <w:rFonts w:asciiTheme="majorHAnsi" w:hAnsiTheme="majorHAnsi" w:cstheme="majorBidi"/>
        </w:rPr>
        <w:t xml:space="preserve"> average</w:t>
      </w:r>
      <w:r w:rsidR="00D34885" w:rsidRPr="000E623B">
        <w:rPr>
          <w:rFonts w:asciiTheme="majorHAnsi" w:hAnsiTheme="majorHAnsi" w:cstheme="majorBidi"/>
        </w:rPr>
        <w:t xml:space="preserve"> years 2001-2003, </w:t>
      </w:r>
      <w:r w:rsidR="00931800" w:rsidRPr="000E623B">
        <w:rPr>
          <w:rFonts w:asciiTheme="majorHAnsi" w:hAnsiTheme="majorHAnsi" w:cstheme="majorBidi"/>
        </w:rPr>
        <w:t xml:space="preserve">with </w:t>
      </w:r>
      <w:r w:rsidR="00D34885" w:rsidRPr="00EB68B9">
        <w:rPr>
          <w:rFonts w:asciiTheme="majorHAnsi" w:hAnsiTheme="majorHAnsi" w:cstheme="majorBidi"/>
        </w:rPr>
        <w:t>most of the programmable (and/or manual) thermostat technology</w:t>
      </w:r>
      <w:r w:rsidR="00931800" w:rsidRPr="00EB68B9">
        <w:rPr>
          <w:rFonts w:asciiTheme="majorHAnsi" w:hAnsiTheme="majorHAnsi" w:cstheme="majorBidi"/>
        </w:rPr>
        <w:t xml:space="preserve"> </w:t>
      </w:r>
      <w:r w:rsidR="00D34885" w:rsidRPr="00EB68B9">
        <w:rPr>
          <w:rFonts w:asciiTheme="majorHAnsi" w:hAnsiTheme="majorHAnsi" w:cstheme="majorBidi"/>
        </w:rPr>
        <w:t>expected to have</w:t>
      </w:r>
      <w:r w:rsidR="00C82AEE">
        <w:rPr>
          <w:rFonts w:asciiTheme="majorHAnsi" w:hAnsiTheme="majorHAnsi" w:cstheme="majorBidi"/>
        </w:rPr>
        <w:t xml:space="preserve"> already</w:t>
      </w:r>
      <w:r w:rsidR="00D34885" w:rsidRPr="00EB68B9">
        <w:rPr>
          <w:rFonts w:asciiTheme="majorHAnsi" w:hAnsiTheme="majorHAnsi" w:cstheme="majorBidi"/>
        </w:rPr>
        <w:t xml:space="preserve"> reached out its useful life</w:t>
      </w:r>
      <w:r w:rsidR="004637B9" w:rsidRPr="00EB68B9">
        <w:rPr>
          <w:rFonts w:asciiTheme="majorHAnsi" w:hAnsiTheme="majorHAnsi" w:cstheme="majorBidi"/>
        </w:rPr>
        <w:t xml:space="preserve">; </w:t>
      </w:r>
      <w:r w:rsidR="00BC17C6" w:rsidRPr="00EB68B9">
        <w:rPr>
          <w:rFonts w:asciiTheme="majorHAnsi" w:hAnsiTheme="majorHAnsi" w:cstheme="majorBidi"/>
        </w:rPr>
        <w:t xml:space="preserve">hence, </w:t>
      </w:r>
      <w:r w:rsidR="00305EBF" w:rsidRPr="00EB68B9">
        <w:rPr>
          <w:rFonts w:asciiTheme="majorHAnsi" w:hAnsiTheme="majorHAnsi" w:cstheme="majorBidi"/>
        </w:rPr>
        <w:t xml:space="preserve">a NR measure </w:t>
      </w:r>
      <w:r w:rsidR="00D34885" w:rsidRPr="00EB68B9">
        <w:rPr>
          <w:rFonts w:asciiTheme="majorHAnsi" w:hAnsiTheme="majorHAnsi" w:cstheme="majorBidi"/>
        </w:rPr>
        <w:t>application type</w:t>
      </w:r>
      <w:r w:rsidR="00305EBF" w:rsidRPr="00EB68B9">
        <w:rPr>
          <w:rFonts w:asciiTheme="majorHAnsi" w:hAnsiTheme="majorHAnsi" w:cstheme="majorBidi"/>
        </w:rPr>
        <w:t xml:space="preserve"> designation is</w:t>
      </w:r>
      <w:r w:rsidR="008A13F6" w:rsidRPr="00EB68B9">
        <w:rPr>
          <w:rFonts w:asciiTheme="majorHAnsi" w:hAnsiTheme="majorHAnsi" w:cstheme="majorBidi"/>
        </w:rPr>
        <w:t xml:space="preserve"> determined</w:t>
      </w:r>
      <w:r w:rsidR="00305EBF" w:rsidRPr="00EB68B9">
        <w:rPr>
          <w:rFonts w:asciiTheme="majorHAnsi" w:hAnsiTheme="majorHAnsi" w:cstheme="majorBidi"/>
        </w:rPr>
        <w:t xml:space="preserve"> </w:t>
      </w:r>
      <w:r w:rsidR="00D34885" w:rsidRPr="00EB68B9">
        <w:rPr>
          <w:rFonts w:asciiTheme="majorHAnsi" w:hAnsiTheme="majorHAnsi" w:cstheme="majorBidi"/>
        </w:rPr>
        <w:t>appropriate</w:t>
      </w:r>
      <w:r w:rsidR="00CE55D0" w:rsidRPr="00EB68B9">
        <w:rPr>
          <w:rFonts w:asciiTheme="majorHAnsi" w:hAnsiTheme="majorHAnsi" w:cstheme="majorBidi"/>
        </w:rPr>
        <w:t>.</w:t>
      </w:r>
    </w:p>
    <w:p w14:paraId="46F39656" w14:textId="77777777" w:rsidR="00DB1DF0" w:rsidRDefault="00DB1DF0">
      <w:pPr>
        <w:pStyle w:val="Normal1"/>
        <w:spacing w:before="40" w:after="40"/>
        <w:rPr>
          <w:rFonts w:asciiTheme="majorHAnsi" w:hAnsiTheme="majorHAnsi" w:cstheme="majorBidi"/>
        </w:rPr>
      </w:pPr>
    </w:p>
    <w:p w14:paraId="051EAF67" w14:textId="64E1EEAC" w:rsidR="00576C8C" w:rsidRPr="00737D6A" w:rsidRDefault="007173B2">
      <w:pPr>
        <w:pStyle w:val="Normal1"/>
        <w:spacing w:before="40" w:after="40"/>
        <w:rPr>
          <w:rFonts w:asciiTheme="majorHAnsi" w:hAnsiTheme="majorHAnsi" w:cstheme="majorHAnsi"/>
        </w:rPr>
      </w:pPr>
      <w:r w:rsidRPr="00737D6A">
        <w:rPr>
          <w:rFonts w:asciiTheme="majorHAnsi" w:hAnsiTheme="majorHAnsi" w:cstheme="majorHAnsi"/>
        </w:rPr>
        <w:t>A delivery mechanism is a delivery method paired with an incentive method. Delivery mechanisms are used by programs to obtain program participation and energy savings.</w:t>
      </w:r>
    </w:p>
    <w:p w14:paraId="053BC628" w14:textId="77777777" w:rsidR="00576C8C" w:rsidRPr="00737D6A" w:rsidRDefault="00576C8C" w:rsidP="004B21F1">
      <w:pPr>
        <w:pStyle w:val="Normal1"/>
        <w:rPr>
          <w:rFonts w:asciiTheme="majorHAnsi" w:hAnsiTheme="majorHAnsi" w:cstheme="majorHAnsi"/>
        </w:rPr>
      </w:pPr>
    </w:p>
    <w:p w14:paraId="612DA7CC" w14:textId="727F2700" w:rsidR="00576C8C" w:rsidRPr="00737D6A" w:rsidRDefault="003024E9">
      <w:pPr>
        <w:pStyle w:val="Normal1"/>
        <w:rPr>
          <w:rFonts w:asciiTheme="majorHAnsi" w:hAnsiTheme="majorHAnsi" w:cstheme="majorHAnsi"/>
        </w:rPr>
      </w:pPr>
      <w:r w:rsidRPr="00737D6A">
        <w:rPr>
          <w:rFonts w:asciiTheme="majorHAnsi" w:hAnsiTheme="majorHAnsi" w:cstheme="majorHAnsi"/>
          <w:b/>
        </w:rPr>
        <w:t>Delivery</w:t>
      </w:r>
      <w:r w:rsidR="00351B0D" w:rsidRPr="00737D6A">
        <w:rPr>
          <w:rFonts w:asciiTheme="majorHAnsi" w:hAnsiTheme="majorHAnsi" w:cstheme="majorHAnsi"/>
          <w:b/>
        </w:rPr>
        <w:t xml:space="preserve"> </w:t>
      </w:r>
      <w:r w:rsidR="007173B2" w:rsidRPr="00737D6A">
        <w:rPr>
          <w:rFonts w:asciiTheme="majorHAnsi" w:hAnsiTheme="majorHAnsi" w:cstheme="majorHAnsi"/>
          <w:b/>
        </w:rPr>
        <w:t>Method Descriptions</w:t>
      </w:r>
      <w:r w:rsidR="00DC07C6" w:rsidRPr="00737D6A">
        <w:rPr>
          <w:rFonts w:asciiTheme="majorHAnsi" w:hAnsiTheme="majorHAnsi" w:cstheme="majorHAnsi"/>
          <w:b/>
        </w:rPr>
        <w:t xml:space="preserve"> </w:t>
      </w:r>
    </w:p>
    <w:tbl>
      <w:tblPr>
        <w:tblStyle w:val="19"/>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84"/>
        <w:gridCol w:w="7092"/>
      </w:tblGrid>
      <w:tr w:rsidR="00576C8C" w:rsidRPr="00737D6A" w14:paraId="31B980BA" w14:textId="2E17F60D" w:rsidTr="006E54D1">
        <w:tc>
          <w:tcPr>
            <w:tcW w:w="2484" w:type="dxa"/>
            <w:shd w:val="clear" w:color="auto" w:fill="D9D9D9"/>
          </w:tcPr>
          <w:p w14:paraId="2F8B30F3" w14:textId="56174F39" w:rsidR="00576C8C" w:rsidRPr="00737D6A" w:rsidRDefault="00351B0D">
            <w:pPr>
              <w:pStyle w:val="Normal1"/>
              <w:rPr>
                <w:rFonts w:asciiTheme="majorHAnsi" w:hAnsiTheme="majorHAnsi" w:cstheme="majorHAnsi"/>
              </w:rPr>
            </w:pPr>
            <w:r w:rsidRPr="00737D6A">
              <w:rPr>
                <w:rFonts w:asciiTheme="majorHAnsi" w:hAnsiTheme="majorHAnsi" w:cstheme="majorHAnsi"/>
                <w:b/>
              </w:rPr>
              <w:t xml:space="preserve">Incentive </w:t>
            </w:r>
            <w:r w:rsidR="007173B2" w:rsidRPr="00737D6A">
              <w:rPr>
                <w:rFonts w:asciiTheme="majorHAnsi" w:hAnsiTheme="majorHAnsi" w:cstheme="majorHAnsi"/>
                <w:b/>
              </w:rPr>
              <w:t>Method</w:t>
            </w:r>
          </w:p>
        </w:tc>
        <w:tc>
          <w:tcPr>
            <w:tcW w:w="7092" w:type="dxa"/>
            <w:shd w:val="clear" w:color="auto" w:fill="D9D9D9"/>
          </w:tcPr>
          <w:p w14:paraId="09E1AD14" w14:textId="5EFD14E8" w:rsidR="00576C8C" w:rsidRPr="00737D6A" w:rsidRDefault="007173B2">
            <w:pPr>
              <w:pStyle w:val="Normal1"/>
              <w:rPr>
                <w:rFonts w:asciiTheme="majorHAnsi" w:hAnsiTheme="majorHAnsi" w:cstheme="majorHAnsi"/>
              </w:rPr>
            </w:pPr>
            <w:r w:rsidRPr="00737D6A">
              <w:rPr>
                <w:rFonts w:asciiTheme="majorHAnsi" w:hAnsiTheme="majorHAnsi" w:cstheme="majorHAnsi"/>
                <w:b/>
              </w:rPr>
              <w:t>Description</w:t>
            </w:r>
          </w:p>
        </w:tc>
      </w:tr>
      <w:tr w:rsidR="00576C8C" w:rsidRPr="00737D6A" w14:paraId="74C15880" w14:textId="258BF65C" w:rsidTr="006E54D1">
        <w:tc>
          <w:tcPr>
            <w:tcW w:w="2484" w:type="dxa"/>
          </w:tcPr>
          <w:p w14:paraId="348C3CB5" w14:textId="0DD10122" w:rsidR="00576C8C" w:rsidRPr="00737D6A" w:rsidRDefault="007173B2">
            <w:pPr>
              <w:pStyle w:val="Normal1"/>
              <w:rPr>
                <w:rFonts w:asciiTheme="majorHAnsi" w:hAnsiTheme="majorHAnsi" w:cstheme="majorHAnsi"/>
              </w:rPr>
            </w:pPr>
            <w:r w:rsidRPr="00737D6A">
              <w:rPr>
                <w:rFonts w:asciiTheme="majorHAnsi" w:hAnsiTheme="majorHAnsi" w:cstheme="majorHAnsi"/>
              </w:rPr>
              <w:t>Financial Support</w:t>
            </w:r>
          </w:p>
        </w:tc>
        <w:tc>
          <w:tcPr>
            <w:tcW w:w="7092" w:type="dxa"/>
          </w:tcPr>
          <w:p w14:paraId="0301BD21" w14:textId="5DDA94D1" w:rsidR="00576C8C" w:rsidRPr="00737D6A" w:rsidRDefault="007173B2">
            <w:pPr>
              <w:pStyle w:val="Normal1"/>
              <w:rPr>
                <w:rFonts w:asciiTheme="majorHAnsi" w:hAnsiTheme="majorHAnsi" w:cstheme="majorHAnsi"/>
              </w:rPr>
            </w:pPr>
            <w:r w:rsidRPr="00737D6A">
              <w:rPr>
                <w:rFonts w:asciiTheme="majorHAnsi" w:hAnsiTheme="majorHAnsi" w:cstheme="majorHAnsi"/>
              </w:rPr>
              <w:t>The program motivates customers, through financial incentives such as rebates or low interest loans, to implement energy efficient measures or projects.</w:t>
            </w:r>
          </w:p>
        </w:tc>
      </w:tr>
    </w:tbl>
    <w:p w14:paraId="386D2B93" w14:textId="48174333" w:rsidR="00576C8C" w:rsidRPr="00737D6A" w:rsidRDefault="00576C8C">
      <w:pPr>
        <w:pStyle w:val="Normal1"/>
        <w:rPr>
          <w:rFonts w:asciiTheme="majorHAnsi" w:hAnsiTheme="majorHAnsi" w:cstheme="majorHAnsi"/>
        </w:rPr>
      </w:pPr>
    </w:p>
    <w:p w14:paraId="4F2D87BC" w14:textId="603B4B27" w:rsidR="00576C8C" w:rsidRPr="00737D6A" w:rsidRDefault="003F13DA">
      <w:pPr>
        <w:pStyle w:val="Normal1"/>
        <w:rPr>
          <w:rFonts w:asciiTheme="majorHAnsi" w:hAnsiTheme="majorHAnsi" w:cstheme="majorHAnsi"/>
        </w:rPr>
      </w:pPr>
      <w:r w:rsidRPr="00737D6A">
        <w:rPr>
          <w:rFonts w:asciiTheme="majorHAnsi" w:hAnsiTheme="majorHAnsi" w:cstheme="majorHAnsi"/>
          <w:b/>
        </w:rPr>
        <w:t>Incentive</w:t>
      </w:r>
      <w:r w:rsidR="00351B0D" w:rsidRPr="00737D6A">
        <w:rPr>
          <w:rFonts w:asciiTheme="majorHAnsi" w:hAnsiTheme="majorHAnsi" w:cstheme="majorHAnsi"/>
          <w:b/>
        </w:rPr>
        <w:t xml:space="preserve"> </w:t>
      </w:r>
      <w:r w:rsidR="007173B2" w:rsidRPr="00737D6A">
        <w:rPr>
          <w:rFonts w:asciiTheme="majorHAnsi" w:hAnsiTheme="majorHAnsi" w:cstheme="majorHAnsi"/>
          <w:b/>
        </w:rPr>
        <w:t>Method Descriptions</w:t>
      </w:r>
    </w:p>
    <w:tbl>
      <w:tblPr>
        <w:tblStyle w:val="18"/>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84"/>
        <w:gridCol w:w="7092"/>
      </w:tblGrid>
      <w:tr w:rsidR="00576C8C" w:rsidRPr="00737D6A" w14:paraId="532A8116" w14:textId="0E10FF2F" w:rsidTr="006E54D1">
        <w:tc>
          <w:tcPr>
            <w:tcW w:w="2484" w:type="dxa"/>
            <w:tcBorders>
              <w:bottom w:val="single" w:sz="4" w:space="0" w:color="000000"/>
            </w:tcBorders>
            <w:shd w:val="clear" w:color="auto" w:fill="D9D9D9"/>
          </w:tcPr>
          <w:p w14:paraId="20BD0F44" w14:textId="1EFE6696" w:rsidR="00576C8C" w:rsidRPr="00737D6A" w:rsidRDefault="00351B0D">
            <w:pPr>
              <w:pStyle w:val="Normal1"/>
              <w:rPr>
                <w:rFonts w:asciiTheme="majorHAnsi" w:hAnsiTheme="majorHAnsi" w:cstheme="majorHAnsi"/>
              </w:rPr>
            </w:pPr>
            <w:r w:rsidRPr="00737D6A">
              <w:rPr>
                <w:rFonts w:asciiTheme="majorHAnsi" w:hAnsiTheme="majorHAnsi" w:cstheme="majorHAnsi"/>
                <w:b/>
              </w:rPr>
              <w:t xml:space="preserve">Delivery </w:t>
            </w:r>
            <w:r w:rsidR="007173B2" w:rsidRPr="00737D6A">
              <w:rPr>
                <w:rFonts w:asciiTheme="majorHAnsi" w:hAnsiTheme="majorHAnsi" w:cstheme="majorHAnsi"/>
                <w:b/>
              </w:rPr>
              <w:t>Method</w:t>
            </w:r>
          </w:p>
        </w:tc>
        <w:tc>
          <w:tcPr>
            <w:tcW w:w="7092" w:type="dxa"/>
            <w:tcBorders>
              <w:bottom w:val="single" w:sz="4" w:space="0" w:color="000000"/>
            </w:tcBorders>
            <w:shd w:val="clear" w:color="auto" w:fill="D9D9D9"/>
          </w:tcPr>
          <w:p w14:paraId="0FFF60A0" w14:textId="73B8A7F9" w:rsidR="00576C8C" w:rsidRPr="00737D6A" w:rsidRDefault="007173B2">
            <w:pPr>
              <w:pStyle w:val="Normal1"/>
              <w:rPr>
                <w:rFonts w:asciiTheme="majorHAnsi" w:hAnsiTheme="majorHAnsi" w:cstheme="majorHAnsi"/>
              </w:rPr>
            </w:pPr>
            <w:r w:rsidRPr="00737D6A">
              <w:rPr>
                <w:rFonts w:asciiTheme="majorHAnsi" w:hAnsiTheme="majorHAnsi" w:cstheme="majorHAnsi"/>
                <w:b/>
              </w:rPr>
              <w:t>Description</w:t>
            </w:r>
          </w:p>
        </w:tc>
      </w:tr>
      <w:tr w:rsidR="00576C8C" w:rsidRPr="00737D6A" w14:paraId="7BC7FDBE" w14:textId="6C5DB8D2" w:rsidTr="006E54D1">
        <w:tc>
          <w:tcPr>
            <w:tcW w:w="2484" w:type="dxa"/>
          </w:tcPr>
          <w:p w14:paraId="20A71438" w14:textId="3A001A2B" w:rsidR="00576C8C" w:rsidRPr="00737D6A" w:rsidRDefault="007173B2">
            <w:pPr>
              <w:pStyle w:val="Normal1"/>
              <w:rPr>
                <w:rFonts w:asciiTheme="majorHAnsi" w:hAnsiTheme="majorHAnsi" w:cstheme="majorHAnsi"/>
              </w:rPr>
            </w:pPr>
            <w:r w:rsidRPr="00737D6A">
              <w:rPr>
                <w:rFonts w:asciiTheme="majorHAnsi" w:hAnsiTheme="majorHAnsi" w:cstheme="majorHAnsi"/>
              </w:rPr>
              <w:t>Downstream Incentive</w:t>
            </w:r>
          </w:p>
        </w:tc>
        <w:tc>
          <w:tcPr>
            <w:tcW w:w="7092" w:type="dxa"/>
          </w:tcPr>
          <w:p w14:paraId="60B5950F" w14:textId="77777777" w:rsidR="006B60FB" w:rsidRDefault="007173B2" w:rsidP="00983880">
            <w:pPr>
              <w:pStyle w:val="Normal1"/>
              <w:rPr>
                <w:rFonts w:asciiTheme="majorHAnsi" w:hAnsiTheme="majorHAnsi" w:cstheme="majorHAnsi"/>
              </w:rPr>
            </w:pPr>
            <w:r w:rsidRPr="00737D6A">
              <w:rPr>
                <w:rFonts w:asciiTheme="majorHAnsi" w:hAnsiTheme="majorHAnsi" w:cstheme="majorHAnsi"/>
              </w:rPr>
              <w:t>The customer installs qualifying energy efficient equipment and submits an incentive application to the utility program. Upon application approval, the utility program pays an incentive to the customer. Such an incentive may be deemed or customized.</w:t>
            </w:r>
          </w:p>
          <w:p w14:paraId="67BA6562" w14:textId="77777777" w:rsidR="00983880" w:rsidRDefault="00983880" w:rsidP="00983880">
            <w:pPr>
              <w:pStyle w:val="Normal1"/>
              <w:rPr>
                <w:rFonts w:asciiTheme="majorHAnsi" w:hAnsiTheme="majorHAnsi" w:cstheme="majorHAnsi"/>
              </w:rPr>
            </w:pPr>
          </w:p>
          <w:p w14:paraId="74D05676" w14:textId="6A469284" w:rsidR="00983880" w:rsidRDefault="00983880" w:rsidP="00091CC5">
            <w:pPr>
              <w:pStyle w:val="Normal1"/>
              <w:numPr>
                <w:ilvl w:val="0"/>
                <w:numId w:val="123"/>
              </w:numPr>
              <w:contextualSpacing w:val="0"/>
              <w:rPr>
                <w:rFonts w:asciiTheme="majorHAnsi" w:hAnsiTheme="majorHAnsi" w:cstheme="majorHAnsi"/>
                <w:b/>
              </w:rPr>
            </w:pPr>
            <w:r w:rsidRPr="00C73BFB">
              <w:rPr>
                <w:rFonts w:asciiTheme="majorHAnsi" w:hAnsiTheme="majorHAnsi" w:cstheme="majorHAnsi"/>
                <w:b/>
              </w:rPr>
              <w:t>Downstream Energy efficiency rebate (no demand response)</w:t>
            </w:r>
          </w:p>
          <w:p w14:paraId="7791E25A" w14:textId="77777777" w:rsidR="00983880" w:rsidRDefault="00983880" w:rsidP="00C470E5">
            <w:pPr>
              <w:pStyle w:val="Normal1"/>
              <w:numPr>
                <w:ilvl w:val="1"/>
                <w:numId w:val="123"/>
              </w:numPr>
              <w:contextualSpacing w:val="0"/>
              <w:rPr>
                <w:rFonts w:asciiTheme="majorHAnsi" w:hAnsiTheme="majorHAnsi" w:cstheme="majorHAnsi"/>
                <w:b/>
              </w:rPr>
            </w:pPr>
            <w:r w:rsidRPr="00983880">
              <w:rPr>
                <w:rFonts w:asciiTheme="majorHAnsi" w:hAnsiTheme="majorHAnsi" w:cstheme="majorHAnsi"/>
              </w:rPr>
              <w:t>Customer must purchase and install a qualifying product to receive an energy efficiency (EE) rebate</w:t>
            </w:r>
          </w:p>
          <w:p w14:paraId="32A58FB5" w14:textId="77777777" w:rsidR="00983880" w:rsidRDefault="00983880" w:rsidP="00C470E5">
            <w:pPr>
              <w:pStyle w:val="Normal1"/>
              <w:numPr>
                <w:ilvl w:val="1"/>
                <w:numId w:val="123"/>
              </w:numPr>
              <w:contextualSpacing w:val="0"/>
              <w:rPr>
                <w:rFonts w:asciiTheme="majorHAnsi" w:hAnsiTheme="majorHAnsi" w:cstheme="majorHAnsi"/>
                <w:b/>
              </w:rPr>
            </w:pPr>
            <w:r w:rsidRPr="00983880">
              <w:rPr>
                <w:rFonts w:asciiTheme="majorHAnsi" w:hAnsiTheme="majorHAnsi" w:cstheme="majorHAnsi"/>
              </w:rPr>
              <w:t>Customer who purchase qualifying product but choose not to join a demand response (DR) progr</w:t>
            </w:r>
            <w:r w:rsidRPr="00C73BFB">
              <w:rPr>
                <w:rFonts w:asciiTheme="majorHAnsi" w:hAnsiTheme="majorHAnsi" w:cstheme="majorHAnsi"/>
              </w:rPr>
              <w:t>am, may still receive a rebate.</w:t>
            </w:r>
          </w:p>
          <w:p w14:paraId="1486D3B8" w14:textId="77777777" w:rsidR="00983880" w:rsidRPr="00983880" w:rsidRDefault="00983880" w:rsidP="00C470E5">
            <w:pPr>
              <w:pStyle w:val="Normal1"/>
              <w:numPr>
                <w:ilvl w:val="1"/>
                <w:numId w:val="123"/>
              </w:numPr>
              <w:contextualSpacing w:val="0"/>
              <w:rPr>
                <w:rFonts w:asciiTheme="majorHAnsi" w:hAnsiTheme="majorHAnsi" w:cstheme="majorHAnsi"/>
                <w:b/>
              </w:rPr>
            </w:pPr>
            <w:r w:rsidRPr="00983880">
              <w:rPr>
                <w:rFonts w:asciiTheme="majorHAnsi" w:hAnsiTheme="majorHAnsi" w:cstheme="majorHAnsi"/>
              </w:rPr>
              <w:t>Applicable utilities:  SDG&amp;E, SCE, SoCal Gas and PG&amp;E.</w:t>
            </w:r>
          </w:p>
          <w:p w14:paraId="1374FFD4" w14:textId="77777777" w:rsidR="00983880" w:rsidRDefault="00983880" w:rsidP="00983880">
            <w:pPr>
              <w:pStyle w:val="Normal1"/>
              <w:rPr>
                <w:rFonts w:asciiTheme="majorHAnsi" w:hAnsiTheme="majorHAnsi" w:cstheme="majorHAnsi"/>
              </w:rPr>
            </w:pPr>
          </w:p>
          <w:p w14:paraId="0A873485" w14:textId="77777777" w:rsidR="00983880" w:rsidRDefault="00983880" w:rsidP="00983880">
            <w:pPr>
              <w:pStyle w:val="Normal1"/>
              <w:numPr>
                <w:ilvl w:val="0"/>
                <w:numId w:val="123"/>
              </w:numPr>
              <w:rPr>
                <w:rFonts w:asciiTheme="majorHAnsi" w:hAnsiTheme="majorHAnsi" w:cstheme="majorHAnsi"/>
                <w:b/>
              </w:rPr>
            </w:pPr>
            <w:r w:rsidRPr="00C73BFB">
              <w:rPr>
                <w:rFonts w:asciiTheme="majorHAnsi" w:hAnsiTheme="majorHAnsi" w:cstheme="majorHAnsi"/>
                <w:b/>
              </w:rPr>
              <w:t>Downstream Energy efficiency rebate with DR rebate (</w:t>
            </w:r>
            <w:r>
              <w:rPr>
                <w:rFonts w:asciiTheme="majorHAnsi" w:hAnsiTheme="majorHAnsi" w:cstheme="majorHAnsi"/>
                <w:b/>
              </w:rPr>
              <w:t>or incentive) to encourage IDSM</w:t>
            </w:r>
          </w:p>
          <w:p w14:paraId="7FF6973F" w14:textId="77777777" w:rsidR="00983880" w:rsidRPr="00C73BFB" w:rsidRDefault="00983880" w:rsidP="00983880">
            <w:pPr>
              <w:pStyle w:val="Normal1"/>
              <w:numPr>
                <w:ilvl w:val="1"/>
                <w:numId w:val="123"/>
              </w:numPr>
              <w:rPr>
                <w:rFonts w:asciiTheme="majorHAnsi" w:hAnsiTheme="majorHAnsi" w:cstheme="majorHAnsi"/>
                <w:b/>
              </w:rPr>
            </w:pPr>
            <w:r w:rsidRPr="00983880">
              <w:rPr>
                <w:rFonts w:asciiTheme="majorHAnsi" w:hAnsiTheme="majorHAnsi" w:cstheme="majorHAnsi"/>
              </w:rPr>
              <w:lastRenderedPageBreak/>
              <w:t>Customer must purchase and install a qualifying product to receive the EE rebate</w:t>
            </w:r>
          </w:p>
          <w:p w14:paraId="32155049" w14:textId="77777777" w:rsidR="00983880" w:rsidRPr="00C73BFB" w:rsidRDefault="00983880" w:rsidP="00983880">
            <w:pPr>
              <w:pStyle w:val="Normal1"/>
              <w:numPr>
                <w:ilvl w:val="1"/>
                <w:numId w:val="123"/>
              </w:numPr>
              <w:rPr>
                <w:rFonts w:asciiTheme="majorHAnsi" w:hAnsiTheme="majorHAnsi" w:cstheme="majorHAnsi"/>
                <w:b/>
              </w:rPr>
            </w:pPr>
            <w:r w:rsidRPr="00983880">
              <w:rPr>
                <w:rFonts w:asciiTheme="majorHAnsi" w:hAnsiTheme="majorHAnsi" w:cstheme="majorHAnsi"/>
              </w:rPr>
              <w:t>Additional DR rebate or incentive may be provided to the customer if they choose to enroll in a DR program after installing their new device.</w:t>
            </w:r>
          </w:p>
          <w:p w14:paraId="15993590" w14:textId="7034C789" w:rsidR="00983880" w:rsidRPr="00C470E5" w:rsidRDefault="00983880" w:rsidP="00C470E5">
            <w:pPr>
              <w:pStyle w:val="Normal1"/>
              <w:numPr>
                <w:ilvl w:val="1"/>
                <w:numId w:val="123"/>
              </w:numPr>
              <w:rPr>
                <w:rFonts w:asciiTheme="majorHAnsi" w:hAnsiTheme="majorHAnsi" w:cstheme="majorHAnsi"/>
                <w:b/>
              </w:rPr>
            </w:pPr>
            <w:r w:rsidRPr="00983880">
              <w:rPr>
                <w:rFonts w:asciiTheme="majorHAnsi" w:hAnsiTheme="majorHAnsi" w:cstheme="majorHAnsi"/>
              </w:rPr>
              <w:t>Applicable utilities:  SDG&amp;E, SCE, SoCal Gas and PG&amp;E.</w:t>
            </w:r>
          </w:p>
          <w:p w14:paraId="44BF590C" w14:textId="7F0C1BC4" w:rsidR="00983880" w:rsidRPr="00737D6A" w:rsidRDefault="00983880" w:rsidP="00983880">
            <w:pPr>
              <w:pStyle w:val="Normal1"/>
              <w:rPr>
                <w:rFonts w:asciiTheme="majorHAnsi" w:hAnsiTheme="majorHAnsi" w:cstheme="majorHAnsi"/>
              </w:rPr>
            </w:pPr>
          </w:p>
        </w:tc>
      </w:tr>
      <w:tr w:rsidR="00036838" w:rsidRPr="00737D6A" w14:paraId="29E8FDFB" w14:textId="643F4848" w:rsidTr="006E54D1">
        <w:tc>
          <w:tcPr>
            <w:tcW w:w="2484" w:type="dxa"/>
          </w:tcPr>
          <w:p w14:paraId="27BAB1D4" w14:textId="7E8DD217" w:rsidR="00036838" w:rsidRPr="00737D6A" w:rsidRDefault="00036838" w:rsidP="00036838">
            <w:pPr>
              <w:pStyle w:val="Normal1"/>
              <w:rPr>
                <w:rFonts w:asciiTheme="majorHAnsi" w:hAnsiTheme="majorHAnsi" w:cstheme="majorHAnsi"/>
              </w:rPr>
            </w:pPr>
            <w:r w:rsidRPr="00737D6A">
              <w:rPr>
                <w:rFonts w:asciiTheme="majorHAnsi" w:hAnsiTheme="majorHAnsi" w:cstheme="majorHAnsi"/>
              </w:rPr>
              <w:lastRenderedPageBreak/>
              <w:t>Direct Install</w:t>
            </w:r>
          </w:p>
        </w:tc>
        <w:tc>
          <w:tcPr>
            <w:tcW w:w="7092" w:type="dxa"/>
          </w:tcPr>
          <w:p w14:paraId="4044C93D" w14:textId="61DB227B" w:rsidR="00BB4DA2" w:rsidRPr="00737D6A" w:rsidRDefault="00036838" w:rsidP="00091CC5">
            <w:pPr>
              <w:pStyle w:val="Normal1"/>
              <w:rPr>
                <w:rFonts w:asciiTheme="majorHAnsi" w:hAnsiTheme="majorHAnsi" w:cstheme="majorHAnsi"/>
              </w:rPr>
            </w:pPr>
            <w:r w:rsidRPr="00737D6A">
              <w:rPr>
                <w:rFonts w:asciiTheme="majorHAnsi" w:hAnsiTheme="majorHAnsi" w:cstheme="majorHAnsi"/>
              </w:rPr>
              <w:t>The program implements energy efficiency measures for qualifying customers, at no cost to the customer.</w:t>
            </w:r>
            <w:r w:rsidR="00983880">
              <w:rPr>
                <w:rFonts w:asciiTheme="majorHAnsi" w:hAnsiTheme="majorHAnsi" w:cstheme="majorHAnsi"/>
              </w:rPr>
              <w:t xml:space="preserve">  </w:t>
            </w:r>
            <w:r w:rsidR="00983880" w:rsidRPr="00983880">
              <w:rPr>
                <w:rFonts w:asciiTheme="majorHAnsi" w:hAnsiTheme="majorHAnsi" w:cstheme="majorHAnsi"/>
              </w:rPr>
              <w:t>Direct install program</w:t>
            </w:r>
            <w:r w:rsidR="00983880">
              <w:rPr>
                <w:rFonts w:asciiTheme="majorHAnsi" w:hAnsiTheme="majorHAnsi" w:cstheme="majorHAnsi"/>
              </w:rPr>
              <w:t xml:space="preserve"> also may have a </w:t>
            </w:r>
            <w:r w:rsidR="00983880" w:rsidRPr="00983880">
              <w:rPr>
                <w:rFonts w:asciiTheme="majorHAnsi" w:hAnsiTheme="majorHAnsi" w:cstheme="majorHAnsi"/>
              </w:rPr>
              <w:t>co-pay</w:t>
            </w:r>
            <w:r w:rsidR="00983880">
              <w:rPr>
                <w:rFonts w:asciiTheme="majorHAnsi" w:hAnsiTheme="majorHAnsi" w:cstheme="majorHAnsi"/>
              </w:rPr>
              <w:t xml:space="preserve">. </w:t>
            </w:r>
          </w:p>
        </w:tc>
      </w:tr>
    </w:tbl>
    <w:p w14:paraId="1E9C948F" w14:textId="087AD56B" w:rsidR="00047840" w:rsidRPr="00737D6A" w:rsidRDefault="00047840">
      <w:pPr>
        <w:rPr>
          <w:rFonts w:asciiTheme="majorHAnsi" w:hAnsiTheme="majorHAnsi" w:cstheme="majorHAnsi"/>
          <w:b/>
          <w:smallCaps/>
          <w:sz w:val="28"/>
          <w:szCs w:val="28"/>
        </w:rPr>
      </w:pPr>
      <w:bookmarkStart w:id="7" w:name="_1t3h5sf" w:colFirst="0" w:colLast="0"/>
      <w:bookmarkEnd w:id="7"/>
    </w:p>
    <w:p w14:paraId="39B47F33" w14:textId="4783994A" w:rsidR="00576C8C" w:rsidRPr="00737D6A" w:rsidRDefault="007173B2">
      <w:pPr>
        <w:pStyle w:val="Heading2"/>
        <w:rPr>
          <w:rFonts w:asciiTheme="majorHAnsi" w:hAnsiTheme="majorHAnsi" w:cstheme="majorHAnsi"/>
        </w:rPr>
      </w:pPr>
      <w:r w:rsidRPr="00737D6A">
        <w:rPr>
          <w:rFonts w:asciiTheme="majorHAnsi" w:hAnsiTheme="majorHAnsi" w:cstheme="majorHAnsi"/>
        </w:rPr>
        <w:t xml:space="preserve">1.4 Measure </w:t>
      </w:r>
      <w:r w:rsidRPr="00694AD2">
        <w:rPr>
          <w:rFonts w:asciiTheme="majorHAnsi" w:hAnsiTheme="majorHAnsi" w:cstheme="majorHAnsi"/>
        </w:rPr>
        <w:t>Parameters</w:t>
      </w:r>
    </w:p>
    <w:p w14:paraId="5C80A27D" w14:textId="77777777" w:rsidR="00576C8C" w:rsidRPr="00737D6A" w:rsidRDefault="007173B2">
      <w:pPr>
        <w:pStyle w:val="Heading3"/>
        <w:rPr>
          <w:rFonts w:asciiTheme="majorHAnsi" w:hAnsiTheme="majorHAnsi" w:cstheme="majorHAnsi"/>
        </w:rPr>
      </w:pPr>
      <w:r w:rsidRPr="00737D6A">
        <w:rPr>
          <w:rFonts w:asciiTheme="majorHAnsi" w:hAnsiTheme="majorHAnsi" w:cstheme="majorHAnsi"/>
        </w:rPr>
        <w:t>1.4.1 DEER Data</w:t>
      </w:r>
    </w:p>
    <w:p w14:paraId="4DE682E1" w14:textId="77777777" w:rsidR="00576C8C" w:rsidRPr="00737D6A" w:rsidRDefault="007173B2" w:rsidP="006E54D1">
      <w:pPr>
        <w:pStyle w:val="Normal1"/>
        <w:keepNext/>
        <w:rPr>
          <w:rFonts w:asciiTheme="majorHAnsi" w:hAnsiTheme="majorHAnsi" w:cstheme="majorHAnsi"/>
        </w:rPr>
      </w:pPr>
      <w:r w:rsidRPr="00737D6A">
        <w:rPr>
          <w:rFonts w:asciiTheme="majorHAnsi" w:hAnsiTheme="majorHAnsi" w:cstheme="majorHAnsi"/>
          <w:b/>
        </w:rPr>
        <w:t>DEER Difference Summary</w:t>
      </w:r>
    </w:p>
    <w:tbl>
      <w:tblPr>
        <w:tblStyle w:val="17"/>
        <w:tblW w:w="9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9"/>
        <w:gridCol w:w="6621"/>
      </w:tblGrid>
      <w:tr w:rsidR="00576C8C" w:rsidRPr="00737D6A" w14:paraId="74717CF9" w14:textId="77777777" w:rsidTr="00694AD2">
        <w:trPr>
          <w:trHeight w:val="20"/>
        </w:trPr>
        <w:tc>
          <w:tcPr>
            <w:tcW w:w="2969" w:type="dxa"/>
            <w:shd w:val="clear" w:color="auto" w:fill="D9D9D9" w:themeFill="background1" w:themeFillShade="D9"/>
          </w:tcPr>
          <w:p w14:paraId="1F37DA0A" w14:textId="77777777" w:rsidR="00576C8C" w:rsidRPr="00737D6A" w:rsidRDefault="007173B2">
            <w:pPr>
              <w:pStyle w:val="Normal1"/>
              <w:tabs>
                <w:tab w:val="right" w:pos="2957"/>
              </w:tabs>
              <w:rPr>
                <w:rFonts w:asciiTheme="majorHAnsi" w:hAnsiTheme="majorHAnsi" w:cstheme="majorHAnsi"/>
              </w:rPr>
            </w:pPr>
            <w:r w:rsidRPr="00737D6A">
              <w:rPr>
                <w:rFonts w:asciiTheme="majorHAnsi" w:hAnsiTheme="majorHAnsi" w:cstheme="majorHAnsi"/>
                <w:b/>
              </w:rPr>
              <w:t>DEER Item</w:t>
            </w:r>
          </w:p>
        </w:tc>
        <w:tc>
          <w:tcPr>
            <w:tcW w:w="6621" w:type="dxa"/>
            <w:shd w:val="clear" w:color="auto" w:fill="D9D9D9" w:themeFill="background1" w:themeFillShade="D9"/>
          </w:tcPr>
          <w:p w14:paraId="3CB4857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Used for Workpaper?</w:t>
            </w:r>
          </w:p>
        </w:tc>
      </w:tr>
      <w:tr w:rsidR="00576C8C" w:rsidRPr="00737D6A" w14:paraId="45376DD6" w14:textId="77777777" w:rsidTr="6EF67A4D">
        <w:trPr>
          <w:trHeight w:val="240"/>
        </w:trPr>
        <w:tc>
          <w:tcPr>
            <w:tcW w:w="2969" w:type="dxa"/>
          </w:tcPr>
          <w:p w14:paraId="40D44CA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Modified DEER methodology</w:t>
            </w:r>
          </w:p>
        </w:tc>
        <w:tc>
          <w:tcPr>
            <w:tcW w:w="6621" w:type="dxa"/>
          </w:tcPr>
          <w:p w14:paraId="2B8C6CD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No</w:t>
            </w:r>
          </w:p>
        </w:tc>
      </w:tr>
      <w:tr w:rsidR="00576C8C" w:rsidRPr="00737D6A" w14:paraId="3B04C301" w14:textId="77777777" w:rsidTr="6EF67A4D">
        <w:trPr>
          <w:trHeight w:val="20"/>
        </w:trPr>
        <w:tc>
          <w:tcPr>
            <w:tcW w:w="2969" w:type="dxa"/>
          </w:tcPr>
          <w:p w14:paraId="7A7D7165"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Scaled DEER measure</w:t>
            </w:r>
          </w:p>
        </w:tc>
        <w:tc>
          <w:tcPr>
            <w:tcW w:w="6621" w:type="dxa"/>
          </w:tcPr>
          <w:p w14:paraId="39743AE9" w14:textId="414B9EA2" w:rsidR="00576C8C" w:rsidRPr="00694AD2" w:rsidRDefault="00957BFE">
            <w:pPr>
              <w:pStyle w:val="Normal1"/>
              <w:rPr>
                <w:rFonts w:asciiTheme="majorHAnsi" w:hAnsiTheme="majorHAnsi" w:cstheme="majorHAnsi"/>
              </w:rPr>
            </w:pPr>
            <w:r>
              <w:rPr>
                <w:rFonts w:asciiTheme="majorHAnsi" w:hAnsiTheme="majorHAnsi" w:cstheme="majorHAnsi"/>
              </w:rPr>
              <w:t xml:space="preserve">No </w:t>
            </w:r>
          </w:p>
        </w:tc>
      </w:tr>
      <w:tr w:rsidR="00576C8C" w:rsidRPr="00737D6A" w14:paraId="0388D74F" w14:textId="77777777" w:rsidTr="6EF67A4D">
        <w:trPr>
          <w:trHeight w:val="20"/>
        </w:trPr>
        <w:tc>
          <w:tcPr>
            <w:tcW w:w="2969" w:type="dxa"/>
          </w:tcPr>
          <w:p w14:paraId="40B9C658" w14:textId="6C444509" w:rsidR="00576C8C" w:rsidRPr="00737D6A" w:rsidRDefault="007173B2">
            <w:pPr>
              <w:pStyle w:val="Normal1"/>
              <w:rPr>
                <w:rFonts w:asciiTheme="majorHAnsi" w:hAnsiTheme="majorHAnsi" w:cstheme="majorHAnsi"/>
              </w:rPr>
            </w:pPr>
            <w:r w:rsidRPr="00737D6A">
              <w:rPr>
                <w:rFonts w:asciiTheme="majorHAnsi" w:hAnsiTheme="majorHAnsi" w:cstheme="majorHAnsi"/>
              </w:rPr>
              <w:t>DEER Base Case</w:t>
            </w:r>
          </w:p>
        </w:tc>
        <w:tc>
          <w:tcPr>
            <w:tcW w:w="6621" w:type="dxa"/>
          </w:tcPr>
          <w:p w14:paraId="31FAF4A9" w14:textId="78807138" w:rsidR="00576C8C" w:rsidRPr="00737D6A" w:rsidRDefault="00F24459">
            <w:pPr>
              <w:pStyle w:val="Normal1"/>
              <w:rPr>
                <w:rFonts w:asciiTheme="majorHAnsi" w:hAnsiTheme="majorHAnsi" w:cstheme="majorHAnsi"/>
              </w:rPr>
            </w:pPr>
            <w:r>
              <w:rPr>
                <w:rFonts w:asciiTheme="majorHAnsi" w:hAnsiTheme="majorHAnsi" w:cstheme="majorHAnsi"/>
              </w:rPr>
              <w:t>Yes</w:t>
            </w:r>
            <w:r w:rsidR="00D34885" w:rsidRPr="00737D6A">
              <w:rPr>
                <w:rFonts w:asciiTheme="majorHAnsi" w:hAnsiTheme="majorHAnsi" w:cstheme="majorHAnsi"/>
              </w:rPr>
              <w:t xml:space="preserve"> </w:t>
            </w:r>
          </w:p>
        </w:tc>
      </w:tr>
      <w:tr w:rsidR="00576C8C" w:rsidRPr="00737D6A" w14:paraId="1AE99233" w14:textId="77777777" w:rsidTr="6EF67A4D">
        <w:trPr>
          <w:trHeight w:val="20"/>
        </w:trPr>
        <w:tc>
          <w:tcPr>
            <w:tcW w:w="2969" w:type="dxa"/>
          </w:tcPr>
          <w:p w14:paraId="33B891F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Measure Case</w:t>
            </w:r>
          </w:p>
        </w:tc>
        <w:tc>
          <w:tcPr>
            <w:tcW w:w="6621" w:type="dxa"/>
          </w:tcPr>
          <w:p w14:paraId="4AC5A22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No</w:t>
            </w:r>
          </w:p>
        </w:tc>
      </w:tr>
      <w:tr w:rsidR="00576C8C" w:rsidRPr="00737D6A" w14:paraId="23ED039E" w14:textId="77777777" w:rsidTr="6EF67A4D">
        <w:trPr>
          <w:trHeight w:val="20"/>
        </w:trPr>
        <w:tc>
          <w:tcPr>
            <w:tcW w:w="2969" w:type="dxa"/>
          </w:tcPr>
          <w:p w14:paraId="0D9A6993"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Building Types</w:t>
            </w:r>
          </w:p>
        </w:tc>
        <w:tc>
          <w:tcPr>
            <w:tcW w:w="6621" w:type="dxa"/>
          </w:tcPr>
          <w:p w14:paraId="77D0E4F8" w14:textId="72846242" w:rsidR="00576C8C" w:rsidRPr="00737D6A" w:rsidRDefault="00F24459">
            <w:pPr>
              <w:pStyle w:val="Normal1"/>
              <w:rPr>
                <w:rFonts w:asciiTheme="majorHAnsi" w:hAnsiTheme="majorHAnsi" w:cstheme="majorHAnsi"/>
              </w:rPr>
            </w:pPr>
            <w:r>
              <w:rPr>
                <w:rFonts w:asciiTheme="majorHAnsi" w:hAnsiTheme="majorHAnsi" w:cstheme="majorHAnsi"/>
              </w:rPr>
              <w:t>Yes</w:t>
            </w:r>
            <w:r w:rsidR="00963786" w:rsidRPr="00737D6A">
              <w:rPr>
                <w:rFonts w:asciiTheme="majorHAnsi" w:hAnsiTheme="majorHAnsi" w:cstheme="majorHAnsi"/>
              </w:rPr>
              <w:t xml:space="preserve"> </w:t>
            </w:r>
          </w:p>
        </w:tc>
      </w:tr>
      <w:tr w:rsidR="00576C8C" w:rsidRPr="00737D6A" w14:paraId="1FD4A544" w14:textId="77777777" w:rsidTr="6EF67A4D">
        <w:trPr>
          <w:trHeight w:val="20"/>
        </w:trPr>
        <w:tc>
          <w:tcPr>
            <w:tcW w:w="2969" w:type="dxa"/>
          </w:tcPr>
          <w:p w14:paraId="56B0923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Operating Hours</w:t>
            </w:r>
          </w:p>
        </w:tc>
        <w:tc>
          <w:tcPr>
            <w:tcW w:w="6621" w:type="dxa"/>
          </w:tcPr>
          <w:p w14:paraId="4EE77086"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No</w:t>
            </w:r>
          </w:p>
        </w:tc>
      </w:tr>
      <w:tr w:rsidR="00576C8C" w:rsidRPr="00737D6A" w14:paraId="1D9F6E73" w14:textId="77777777" w:rsidTr="00694AD2">
        <w:trPr>
          <w:trHeight w:val="20"/>
        </w:trPr>
        <w:tc>
          <w:tcPr>
            <w:tcW w:w="2969" w:type="dxa"/>
            <w:tcBorders>
              <w:bottom w:val="single" w:sz="4" w:space="0" w:color="auto"/>
            </w:tcBorders>
          </w:tcPr>
          <w:p w14:paraId="3BD4DA59"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eQUEST Prototypes</w:t>
            </w:r>
          </w:p>
        </w:tc>
        <w:tc>
          <w:tcPr>
            <w:tcW w:w="6621" w:type="dxa"/>
            <w:tcBorders>
              <w:bottom w:val="single" w:sz="4" w:space="0" w:color="auto"/>
            </w:tcBorders>
          </w:tcPr>
          <w:p w14:paraId="6FC96E75" w14:textId="5BBA73FD" w:rsidR="00576C8C" w:rsidRPr="00737D6A" w:rsidRDefault="00F24459">
            <w:pPr>
              <w:pStyle w:val="Normal1"/>
              <w:rPr>
                <w:rFonts w:asciiTheme="majorHAnsi" w:hAnsiTheme="majorHAnsi" w:cstheme="majorHAnsi"/>
              </w:rPr>
            </w:pPr>
            <w:r>
              <w:rPr>
                <w:rFonts w:asciiTheme="majorHAnsi" w:hAnsiTheme="majorHAnsi" w:cstheme="majorHAnsi"/>
              </w:rPr>
              <w:t>Yes</w:t>
            </w:r>
          </w:p>
        </w:tc>
      </w:tr>
      <w:tr w:rsidR="00576C8C" w:rsidRPr="00737D6A" w14:paraId="0153F4EC" w14:textId="77777777" w:rsidTr="00694AD2">
        <w:trPr>
          <w:trHeight w:val="20"/>
        </w:trPr>
        <w:tc>
          <w:tcPr>
            <w:tcW w:w="2969" w:type="dxa"/>
            <w:tcBorders>
              <w:top w:val="single" w:sz="4" w:space="0" w:color="auto"/>
              <w:left w:val="single" w:sz="4" w:space="0" w:color="auto"/>
              <w:bottom w:val="single" w:sz="4" w:space="0" w:color="auto"/>
              <w:right w:val="single" w:sz="4" w:space="0" w:color="auto"/>
            </w:tcBorders>
          </w:tcPr>
          <w:p w14:paraId="085CF3A5"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Version</w:t>
            </w:r>
          </w:p>
        </w:tc>
        <w:tc>
          <w:tcPr>
            <w:tcW w:w="6621" w:type="dxa"/>
            <w:tcBorders>
              <w:top w:val="single" w:sz="4" w:space="0" w:color="auto"/>
              <w:left w:val="single" w:sz="4" w:space="0" w:color="auto"/>
              <w:bottom w:val="single" w:sz="4" w:space="0" w:color="auto"/>
              <w:right w:val="single" w:sz="4" w:space="0" w:color="auto"/>
            </w:tcBorders>
          </w:tcPr>
          <w:p w14:paraId="70FBA774"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w:t>
            </w:r>
          </w:p>
        </w:tc>
      </w:tr>
      <w:tr w:rsidR="00576C8C" w:rsidRPr="00737D6A" w14:paraId="61DE919C" w14:textId="77777777" w:rsidTr="00694AD2">
        <w:trPr>
          <w:trHeight w:val="20"/>
        </w:trPr>
        <w:tc>
          <w:tcPr>
            <w:tcW w:w="2969" w:type="dxa"/>
            <w:tcBorders>
              <w:top w:val="single" w:sz="4" w:space="0" w:color="auto"/>
              <w:left w:val="single" w:sz="4" w:space="0" w:color="auto"/>
              <w:bottom w:val="single" w:sz="4" w:space="0" w:color="auto"/>
              <w:right w:val="single" w:sz="4" w:space="0" w:color="auto"/>
            </w:tcBorders>
          </w:tcPr>
          <w:p w14:paraId="0CE7A4E1"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Reason for Deviation from DEER</w:t>
            </w:r>
          </w:p>
        </w:tc>
        <w:tc>
          <w:tcPr>
            <w:tcW w:w="6621" w:type="dxa"/>
            <w:tcBorders>
              <w:top w:val="single" w:sz="4" w:space="0" w:color="auto"/>
              <w:left w:val="single" w:sz="4" w:space="0" w:color="auto"/>
              <w:bottom w:val="single" w:sz="4" w:space="0" w:color="auto"/>
              <w:right w:val="single" w:sz="4" w:space="0" w:color="auto"/>
            </w:tcBorders>
            <w:tcMar>
              <w:top w:w="100" w:type="dxa"/>
              <w:left w:w="120" w:type="dxa"/>
              <w:bottom w:w="100" w:type="dxa"/>
              <w:right w:w="120" w:type="dxa"/>
            </w:tcMar>
          </w:tcPr>
          <w:p w14:paraId="2DAD067C" w14:textId="5C08A1D6" w:rsidR="00576C8C" w:rsidRPr="00737D6A" w:rsidRDefault="007173B2" w:rsidP="00694AD2">
            <w:pPr>
              <w:pStyle w:val="Normal1"/>
              <w:rPr>
                <w:rFonts w:asciiTheme="majorHAnsi" w:hAnsiTheme="majorHAnsi" w:cstheme="majorHAnsi"/>
              </w:rPr>
            </w:pPr>
            <w:r w:rsidRPr="00737D6A">
              <w:rPr>
                <w:rFonts w:asciiTheme="majorHAnsi" w:hAnsiTheme="majorHAnsi" w:cstheme="majorHAnsi"/>
              </w:rPr>
              <w:t>The DEER 201</w:t>
            </w:r>
            <w:r w:rsidR="00D34885" w:rsidRPr="00737D6A">
              <w:rPr>
                <w:rFonts w:asciiTheme="majorHAnsi" w:hAnsiTheme="majorHAnsi" w:cstheme="majorHAnsi"/>
              </w:rPr>
              <w:t>9</w:t>
            </w:r>
            <w:r w:rsidR="00F5634D">
              <w:rPr>
                <w:rFonts w:asciiTheme="majorHAnsi" w:hAnsiTheme="majorHAnsi" w:cstheme="majorHAnsi"/>
              </w:rPr>
              <w:t>/2020</w:t>
            </w:r>
            <w:r w:rsidRPr="00737D6A">
              <w:rPr>
                <w:rFonts w:asciiTheme="majorHAnsi" w:hAnsiTheme="majorHAnsi" w:cstheme="majorHAnsi"/>
              </w:rPr>
              <w:t xml:space="preserve"> database does not</w:t>
            </w:r>
            <w:r w:rsidR="00F5634D">
              <w:rPr>
                <w:rFonts w:asciiTheme="majorHAnsi" w:hAnsiTheme="majorHAnsi" w:cstheme="majorHAnsi"/>
              </w:rPr>
              <w:t xml:space="preserve"> support </w:t>
            </w:r>
            <w:r w:rsidRPr="00737D6A">
              <w:rPr>
                <w:rFonts w:asciiTheme="majorHAnsi" w:hAnsiTheme="majorHAnsi" w:cstheme="majorHAnsi"/>
              </w:rPr>
              <w:t>measure</w:t>
            </w:r>
            <w:r w:rsidR="00F5634D">
              <w:rPr>
                <w:rFonts w:asciiTheme="majorHAnsi" w:hAnsiTheme="majorHAnsi" w:cstheme="majorHAnsi"/>
              </w:rPr>
              <w:t xml:space="preserve"> evaluation</w:t>
            </w:r>
            <w:r w:rsidRPr="00737D6A">
              <w:rPr>
                <w:rFonts w:asciiTheme="majorHAnsi" w:hAnsiTheme="majorHAnsi" w:cstheme="majorHAnsi"/>
              </w:rPr>
              <w:t xml:space="preserve"> </w:t>
            </w:r>
            <w:r w:rsidR="00366CB6">
              <w:rPr>
                <w:rFonts w:asciiTheme="majorHAnsi" w:hAnsiTheme="majorHAnsi" w:cstheme="majorHAnsi"/>
              </w:rPr>
              <w:t>on</w:t>
            </w:r>
            <w:r w:rsidRPr="00737D6A">
              <w:rPr>
                <w:rFonts w:asciiTheme="majorHAnsi" w:hAnsiTheme="majorHAnsi" w:cstheme="majorHAnsi"/>
              </w:rPr>
              <w:t xml:space="preserve"> Smart Thermostat</w:t>
            </w:r>
            <w:r w:rsidR="00366CB6">
              <w:rPr>
                <w:rFonts w:asciiTheme="majorHAnsi" w:hAnsiTheme="majorHAnsi" w:cstheme="majorHAnsi"/>
              </w:rPr>
              <w:t xml:space="preserve"> technology. </w:t>
            </w:r>
          </w:p>
        </w:tc>
      </w:tr>
      <w:tr w:rsidR="00576C8C" w:rsidRPr="00737D6A" w14:paraId="6CD20D94" w14:textId="77777777" w:rsidTr="00694AD2">
        <w:trPr>
          <w:trHeight w:val="20"/>
        </w:trPr>
        <w:tc>
          <w:tcPr>
            <w:tcW w:w="2969" w:type="dxa"/>
            <w:tcBorders>
              <w:top w:val="single" w:sz="4" w:space="0" w:color="auto"/>
            </w:tcBorders>
          </w:tcPr>
          <w:p w14:paraId="3284E59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 Measure IDs Used</w:t>
            </w:r>
          </w:p>
        </w:tc>
        <w:tc>
          <w:tcPr>
            <w:tcW w:w="6621" w:type="dxa"/>
            <w:tcBorders>
              <w:top w:val="single" w:sz="4" w:space="0" w:color="auto"/>
            </w:tcBorders>
          </w:tcPr>
          <w:p w14:paraId="2F691186"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w:t>
            </w:r>
          </w:p>
        </w:tc>
      </w:tr>
    </w:tbl>
    <w:p w14:paraId="30EEED1F" w14:textId="77777777" w:rsidR="00957BFE" w:rsidRDefault="00957BFE">
      <w:pPr>
        <w:pStyle w:val="Normal1"/>
        <w:keepNext/>
        <w:rPr>
          <w:rFonts w:asciiTheme="majorHAnsi" w:hAnsiTheme="majorHAnsi" w:cstheme="majorBidi"/>
        </w:rPr>
      </w:pPr>
    </w:p>
    <w:p w14:paraId="02C22A9B" w14:textId="7B9A8BB3" w:rsidR="00055812" w:rsidRDefault="00957BFE">
      <w:pPr>
        <w:pStyle w:val="Normal1"/>
        <w:keepNext/>
        <w:rPr>
          <w:rFonts w:asciiTheme="majorHAnsi" w:hAnsiTheme="majorHAnsi" w:cstheme="majorBidi"/>
        </w:rPr>
      </w:pPr>
      <w:r w:rsidRPr="00C470E5">
        <w:rPr>
          <w:rFonts w:asciiTheme="majorHAnsi" w:hAnsiTheme="majorHAnsi" w:cstheme="majorBidi"/>
        </w:rPr>
        <w:t xml:space="preserve">Note that baseline energy consumption for all Residential building types (SFM, MFM, and DMO) under the measure savings evaluation were enabled using latest DEER Residential prototypes from CPUC’s MASControl3 software application under the following assumptions: All 16 Climates Zones; Median Vintage - 2007; Central HVAC with Gas Furnace &lt;45kBtuh; SEER14; AFUE 0.80; </w:t>
      </w:r>
      <w:r w:rsidR="00F56FF6">
        <w:rPr>
          <w:rFonts w:asciiTheme="majorHAnsi" w:hAnsiTheme="majorHAnsi" w:cstheme="majorBidi"/>
        </w:rPr>
        <w:t xml:space="preserve">All </w:t>
      </w:r>
      <w:r w:rsidRPr="00C470E5">
        <w:rPr>
          <w:rFonts w:asciiTheme="majorHAnsi" w:hAnsiTheme="majorHAnsi" w:cstheme="majorBidi"/>
        </w:rPr>
        <w:t>DEER</w:t>
      </w:r>
      <w:r w:rsidR="00B81EF4">
        <w:rPr>
          <w:rFonts w:asciiTheme="majorHAnsi" w:hAnsiTheme="majorHAnsi" w:cstheme="majorBidi"/>
        </w:rPr>
        <w:t xml:space="preserve"> T-Stats (Weighted)</w:t>
      </w:r>
      <w:r w:rsidRPr="00C470E5">
        <w:rPr>
          <w:rFonts w:asciiTheme="majorHAnsi" w:hAnsiTheme="majorHAnsi" w:cstheme="majorBidi"/>
        </w:rPr>
        <w:t>; and CTZ2010 weather.</w:t>
      </w:r>
    </w:p>
    <w:p w14:paraId="26483EC8" w14:textId="77777777" w:rsidR="00055812" w:rsidRDefault="00055812">
      <w:pPr>
        <w:pStyle w:val="Normal1"/>
        <w:keepNext/>
        <w:rPr>
          <w:rFonts w:asciiTheme="majorHAnsi" w:hAnsiTheme="majorHAnsi" w:cstheme="majorBidi"/>
        </w:rPr>
      </w:pPr>
    </w:p>
    <w:p w14:paraId="1EBA9FFC" w14:textId="710E54C0" w:rsidR="00055812" w:rsidRDefault="00A856FC">
      <w:pPr>
        <w:pStyle w:val="Normal1"/>
        <w:keepNext/>
        <w:rPr>
          <w:rFonts w:asciiTheme="majorHAnsi" w:hAnsiTheme="majorHAnsi" w:cstheme="majorBidi"/>
        </w:rPr>
      </w:pPr>
      <w:r>
        <w:rPr>
          <w:rFonts w:asciiTheme="majorHAnsi" w:hAnsiTheme="majorHAnsi" w:cstheme="majorBidi"/>
        </w:rPr>
        <w:t>As part of the resubmission of SCE17HC054 Rev1, the m</w:t>
      </w:r>
      <w:r w:rsidR="008D7673">
        <w:rPr>
          <w:rFonts w:asciiTheme="majorHAnsi" w:hAnsiTheme="majorHAnsi" w:cstheme="majorBidi"/>
        </w:rPr>
        <w:t>easure savings</w:t>
      </w:r>
      <w:r w:rsidR="00055812">
        <w:rPr>
          <w:rFonts w:asciiTheme="majorHAnsi" w:hAnsiTheme="majorHAnsi" w:cstheme="majorBidi"/>
        </w:rPr>
        <w:t xml:space="preserve"> (specifically the baseline energy consumption)</w:t>
      </w:r>
      <w:r w:rsidR="008D7673">
        <w:rPr>
          <w:rFonts w:asciiTheme="majorHAnsi" w:hAnsiTheme="majorHAnsi" w:cstheme="majorBidi"/>
        </w:rPr>
        <w:t xml:space="preserve"> </w:t>
      </w:r>
      <w:r>
        <w:rPr>
          <w:rFonts w:asciiTheme="majorHAnsi" w:hAnsiTheme="majorHAnsi" w:cstheme="majorBidi"/>
        </w:rPr>
        <w:t>were adjusted</w:t>
      </w:r>
      <w:r w:rsidR="00F56FF6">
        <w:rPr>
          <w:rFonts w:asciiTheme="majorHAnsi" w:hAnsiTheme="majorHAnsi" w:cstheme="majorBidi"/>
        </w:rPr>
        <w:t xml:space="preserve"> for all Residential building types</w:t>
      </w:r>
      <w:r>
        <w:rPr>
          <w:rFonts w:asciiTheme="majorHAnsi" w:hAnsiTheme="majorHAnsi" w:cstheme="majorBidi"/>
        </w:rPr>
        <w:t xml:space="preserve"> using</w:t>
      </w:r>
      <w:r w:rsidR="00381C45">
        <w:rPr>
          <w:rFonts w:asciiTheme="majorHAnsi" w:hAnsiTheme="majorHAnsi" w:cstheme="majorBidi"/>
        </w:rPr>
        <w:t xml:space="preserve"> </w:t>
      </w:r>
      <w:r w:rsidR="00055812">
        <w:rPr>
          <w:rFonts w:asciiTheme="majorHAnsi" w:hAnsiTheme="majorHAnsi" w:cstheme="majorBidi"/>
        </w:rPr>
        <w:t xml:space="preserve">All </w:t>
      </w:r>
      <w:r w:rsidR="008D7673">
        <w:rPr>
          <w:rFonts w:asciiTheme="majorHAnsi" w:hAnsiTheme="majorHAnsi" w:cstheme="majorBidi"/>
        </w:rPr>
        <w:t>DEER</w:t>
      </w:r>
      <w:r w:rsidR="00055812">
        <w:rPr>
          <w:rFonts w:asciiTheme="majorHAnsi" w:hAnsiTheme="majorHAnsi" w:cstheme="majorBidi"/>
        </w:rPr>
        <w:t xml:space="preserve"> Thermostat schedules and DEER </w:t>
      </w:r>
      <w:r w:rsidR="008D7673">
        <w:rPr>
          <w:rFonts w:asciiTheme="majorHAnsi" w:hAnsiTheme="majorHAnsi" w:cstheme="majorBidi"/>
        </w:rPr>
        <w:t xml:space="preserve">Weighted </w:t>
      </w:r>
      <w:r w:rsidR="005A0C46">
        <w:rPr>
          <w:rFonts w:asciiTheme="majorHAnsi" w:hAnsiTheme="majorHAnsi" w:cstheme="majorBidi"/>
        </w:rPr>
        <w:t>to better align</w:t>
      </w:r>
      <w:r w:rsidR="00B81EF4">
        <w:rPr>
          <w:rFonts w:asciiTheme="majorHAnsi" w:hAnsiTheme="majorHAnsi" w:cstheme="majorBidi"/>
        </w:rPr>
        <w:t xml:space="preserve"> </w:t>
      </w:r>
      <w:r w:rsidR="005A0C46">
        <w:rPr>
          <w:rFonts w:asciiTheme="majorHAnsi" w:hAnsiTheme="majorHAnsi" w:cstheme="majorBidi"/>
        </w:rPr>
        <w:t xml:space="preserve">with </w:t>
      </w:r>
      <w:r w:rsidR="00F56FF6">
        <w:rPr>
          <w:rFonts w:asciiTheme="majorHAnsi" w:hAnsiTheme="majorHAnsi" w:cstheme="majorBidi"/>
        </w:rPr>
        <w:t xml:space="preserve">generally used </w:t>
      </w:r>
      <w:r w:rsidR="005A0C46">
        <w:rPr>
          <w:rFonts w:asciiTheme="majorHAnsi" w:hAnsiTheme="majorHAnsi" w:cstheme="majorBidi"/>
        </w:rPr>
        <w:t>ex-ante procedures.</w:t>
      </w:r>
      <w:r w:rsidR="00F56FF6">
        <w:rPr>
          <w:rFonts w:asciiTheme="majorHAnsi" w:hAnsiTheme="majorHAnsi" w:cstheme="majorBidi"/>
        </w:rPr>
        <w:t xml:space="preserve">  See Attachment 2.   </w:t>
      </w:r>
    </w:p>
    <w:p w14:paraId="281DFCCE" w14:textId="5F8D6C97" w:rsidR="00311E83" w:rsidRPr="00737D6A" w:rsidRDefault="00311E83">
      <w:pPr>
        <w:pStyle w:val="Heading3"/>
        <w:rPr>
          <w:rFonts w:asciiTheme="majorHAnsi" w:hAnsiTheme="majorHAnsi" w:cstheme="majorHAnsi"/>
        </w:rPr>
      </w:pPr>
      <w:r w:rsidRPr="00694AD2">
        <w:rPr>
          <w:rFonts w:asciiTheme="majorHAnsi" w:eastAsia="Calibri" w:hAnsiTheme="majorHAnsi" w:cstheme="majorHAnsi"/>
        </w:rPr>
        <w:t xml:space="preserve">1.4.2 </w:t>
      </w:r>
      <w:r w:rsidRPr="00694AD2">
        <w:rPr>
          <w:rFonts w:asciiTheme="majorHAnsi" w:hAnsiTheme="majorHAnsi" w:cstheme="majorHAnsi"/>
        </w:rPr>
        <w:t>Net-to-Gross Ratio</w:t>
      </w:r>
    </w:p>
    <w:p w14:paraId="6DC22C82" w14:textId="42489C21" w:rsidR="003E1800" w:rsidRPr="00F773F3" w:rsidRDefault="003C62C1">
      <w:pPr>
        <w:rPr>
          <w:rFonts w:asciiTheme="majorHAnsi" w:hAnsiTheme="majorHAnsi" w:cstheme="majorBidi"/>
        </w:rPr>
      </w:pPr>
      <w:r w:rsidRPr="000E623B">
        <w:rPr>
          <w:rFonts w:asciiTheme="majorHAnsi" w:hAnsiTheme="majorHAnsi" w:cstheme="majorBidi"/>
        </w:rPr>
        <w:t>The Net-to-Gross (NTG) Ratio for this</w:t>
      </w:r>
      <w:r w:rsidR="00A86312" w:rsidRPr="000E623B">
        <w:rPr>
          <w:rFonts w:asciiTheme="majorHAnsi" w:hAnsiTheme="majorHAnsi" w:cstheme="majorBidi"/>
        </w:rPr>
        <w:t xml:space="preserve"> </w:t>
      </w:r>
      <w:r w:rsidRPr="000E623B">
        <w:rPr>
          <w:rFonts w:asciiTheme="majorHAnsi" w:hAnsiTheme="majorHAnsi" w:cstheme="majorBidi"/>
        </w:rPr>
        <w:t xml:space="preserve">measure </w:t>
      </w:r>
      <w:r w:rsidR="00A86312" w:rsidRPr="000E623B">
        <w:rPr>
          <w:rFonts w:asciiTheme="majorHAnsi" w:hAnsiTheme="majorHAnsi" w:cstheme="majorBidi"/>
        </w:rPr>
        <w:t xml:space="preserve">assumes a </w:t>
      </w:r>
      <w:r w:rsidR="0088201A" w:rsidRPr="000E623B">
        <w:rPr>
          <w:rFonts w:asciiTheme="majorHAnsi" w:hAnsiTheme="majorHAnsi" w:cstheme="majorBidi"/>
        </w:rPr>
        <w:t>DEER</w:t>
      </w:r>
      <w:r w:rsidR="00A86312" w:rsidRPr="000E623B">
        <w:rPr>
          <w:rFonts w:asciiTheme="majorHAnsi" w:hAnsiTheme="majorHAnsi" w:cstheme="majorBidi"/>
        </w:rPr>
        <w:t xml:space="preserve">’s Residential default NTG </w:t>
      </w:r>
      <w:r w:rsidR="0088201A" w:rsidRPr="000E623B">
        <w:rPr>
          <w:rFonts w:asciiTheme="majorHAnsi" w:hAnsiTheme="majorHAnsi" w:cstheme="majorBidi"/>
        </w:rPr>
        <w:t xml:space="preserve">of </w:t>
      </w:r>
      <w:r w:rsidRPr="000E623B">
        <w:rPr>
          <w:rFonts w:asciiTheme="majorHAnsi" w:hAnsiTheme="majorHAnsi" w:cstheme="majorBidi"/>
        </w:rPr>
        <w:t>0.55</w:t>
      </w:r>
      <w:r w:rsidR="0088201A" w:rsidRPr="000E623B">
        <w:rPr>
          <w:rFonts w:asciiTheme="majorHAnsi" w:hAnsiTheme="majorHAnsi" w:cstheme="majorBidi"/>
        </w:rPr>
        <w:t>.</w:t>
      </w:r>
      <w:r w:rsidR="00A86312" w:rsidRPr="000E623B">
        <w:rPr>
          <w:rFonts w:asciiTheme="majorHAnsi" w:hAnsiTheme="majorHAnsi" w:cstheme="majorBidi"/>
        </w:rPr>
        <w:t xml:space="preserve">  </w:t>
      </w:r>
      <w:r w:rsidR="0088201A" w:rsidRPr="00EB68B9">
        <w:rPr>
          <w:rFonts w:asciiTheme="majorHAnsi" w:hAnsiTheme="majorHAnsi" w:cstheme="majorBidi"/>
        </w:rPr>
        <w:t xml:space="preserve">This </w:t>
      </w:r>
      <w:r w:rsidR="00A86312" w:rsidRPr="00EB68B9">
        <w:rPr>
          <w:rFonts w:asciiTheme="majorHAnsi" w:hAnsiTheme="majorHAnsi" w:cstheme="majorBidi"/>
        </w:rPr>
        <w:t>assumption is inform</w:t>
      </w:r>
      <w:r w:rsidR="00E96C72" w:rsidRPr="00EB68B9">
        <w:rPr>
          <w:rFonts w:asciiTheme="majorHAnsi" w:hAnsiTheme="majorHAnsi" w:cstheme="majorBidi"/>
        </w:rPr>
        <w:t xml:space="preserve">ed </w:t>
      </w:r>
      <w:r w:rsidR="00A86312" w:rsidRPr="000E623B">
        <w:rPr>
          <w:rFonts w:asciiTheme="majorHAnsi" w:hAnsiTheme="majorHAnsi" w:cstheme="majorBidi"/>
        </w:rPr>
        <w:t xml:space="preserve">by </w:t>
      </w:r>
      <w:r w:rsidR="006C5ADE" w:rsidRPr="000E623B">
        <w:rPr>
          <w:rFonts w:asciiTheme="majorHAnsi" w:hAnsiTheme="majorHAnsi" w:cstheme="majorBidi"/>
        </w:rPr>
        <w:t>The Evaluation</w:t>
      </w:r>
      <w:r w:rsidR="00A86312" w:rsidRPr="000E623B">
        <w:rPr>
          <w:rFonts w:asciiTheme="majorHAnsi" w:hAnsiTheme="majorHAnsi" w:cstheme="majorBidi"/>
        </w:rPr>
        <w:t xml:space="preserve"> [</w:t>
      </w:r>
      <w:r w:rsidR="00E96C72" w:rsidRPr="000E623B">
        <w:rPr>
          <w:rFonts w:asciiTheme="majorHAnsi" w:hAnsiTheme="majorHAnsi" w:cstheme="majorBidi"/>
        </w:rPr>
        <w:t xml:space="preserve">Attachment </w:t>
      </w:r>
      <w:r w:rsidR="003927FE" w:rsidRPr="000E623B">
        <w:rPr>
          <w:rFonts w:asciiTheme="majorHAnsi" w:hAnsiTheme="majorHAnsi" w:cstheme="majorBidi"/>
        </w:rPr>
        <w:t>5</w:t>
      </w:r>
      <w:r w:rsidR="00A86312" w:rsidRPr="000E623B">
        <w:rPr>
          <w:rFonts w:asciiTheme="majorHAnsi" w:hAnsiTheme="majorHAnsi" w:cstheme="majorBidi"/>
        </w:rPr>
        <w:t xml:space="preserve">] </w:t>
      </w:r>
      <w:r w:rsidR="006C5ADE" w:rsidRPr="000E623B">
        <w:rPr>
          <w:rFonts w:asciiTheme="majorHAnsi" w:hAnsiTheme="majorHAnsi" w:cstheme="majorBidi"/>
        </w:rPr>
        <w:t>providing</w:t>
      </w:r>
      <w:r w:rsidR="00A86312" w:rsidRPr="000E623B">
        <w:rPr>
          <w:rFonts w:asciiTheme="majorHAnsi" w:hAnsiTheme="majorHAnsi" w:cstheme="majorBidi"/>
        </w:rPr>
        <w:t xml:space="preserve"> program’s influence on customers when purchasing this technology.  </w:t>
      </w:r>
      <w:r w:rsidR="00984C78" w:rsidRPr="000E623B">
        <w:rPr>
          <w:rFonts w:asciiTheme="majorHAnsi" w:hAnsiTheme="majorHAnsi" w:cstheme="majorBidi"/>
        </w:rPr>
        <w:t xml:space="preserve">To assess the influence on participants’ purchase decisions, </w:t>
      </w:r>
      <w:r w:rsidR="00A86312" w:rsidRPr="000E623B">
        <w:rPr>
          <w:rFonts w:asciiTheme="majorHAnsi" w:hAnsiTheme="majorHAnsi" w:cstheme="majorBidi"/>
        </w:rPr>
        <w:t>this evaluation included specific questions to customers to understand if</w:t>
      </w:r>
      <w:r w:rsidR="00984C78" w:rsidRPr="000E623B">
        <w:rPr>
          <w:rFonts w:asciiTheme="majorHAnsi" w:hAnsiTheme="majorHAnsi" w:cstheme="majorBidi"/>
        </w:rPr>
        <w:t xml:space="preserve"> they had considered a smart thermostat before hearing about the program</w:t>
      </w:r>
      <w:r w:rsidR="00A86312" w:rsidRPr="000E623B">
        <w:rPr>
          <w:rFonts w:asciiTheme="majorHAnsi" w:hAnsiTheme="majorHAnsi" w:cstheme="majorBidi"/>
        </w:rPr>
        <w:t xml:space="preserve">; </w:t>
      </w:r>
      <w:r w:rsidR="00984C78" w:rsidRPr="000E623B">
        <w:rPr>
          <w:rFonts w:asciiTheme="majorHAnsi" w:hAnsiTheme="majorHAnsi" w:cstheme="majorBidi"/>
        </w:rPr>
        <w:t>their likelihood to have purchased a smart thermostat without the rebate</w:t>
      </w:r>
      <w:r w:rsidR="00A86312" w:rsidRPr="00EB68B9">
        <w:rPr>
          <w:rFonts w:asciiTheme="majorHAnsi" w:hAnsiTheme="majorHAnsi" w:cstheme="majorBidi"/>
        </w:rPr>
        <w:t xml:space="preserve">; </w:t>
      </w:r>
      <w:r w:rsidR="00984C78" w:rsidRPr="00EB68B9">
        <w:rPr>
          <w:rFonts w:asciiTheme="majorHAnsi" w:hAnsiTheme="majorHAnsi" w:cstheme="majorBidi"/>
        </w:rPr>
        <w:t xml:space="preserve">and when they would have made the purchase </w:t>
      </w:r>
      <w:r w:rsidR="00984C78" w:rsidRPr="00EB68B9">
        <w:rPr>
          <w:rFonts w:asciiTheme="majorHAnsi" w:hAnsiTheme="majorHAnsi" w:cstheme="majorBidi"/>
        </w:rPr>
        <w:lastRenderedPageBreak/>
        <w:t xml:space="preserve">if </w:t>
      </w:r>
      <w:r w:rsidR="00E853BD" w:rsidRPr="00EB68B9">
        <w:rPr>
          <w:rFonts w:asciiTheme="majorHAnsi" w:hAnsiTheme="majorHAnsi" w:cstheme="majorBidi"/>
        </w:rPr>
        <w:t>the rebate was not available</w:t>
      </w:r>
      <w:r w:rsidR="00A86312" w:rsidRPr="00EB68B9">
        <w:rPr>
          <w:rFonts w:asciiTheme="majorHAnsi" w:hAnsiTheme="majorHAnsi" w:cstheme="majorBidi"/>
        </w:rPr>
        <w:t xml:space="preserve">.  Customer’s feedback </w:t>
      </w:r>
      <w:r w:rsidR="006651E0" w:rsidRPr="000E623B">
        <w:rPr>
          <w:rFonts w:asciiTheme="majorHAnsi" w:hAnsiTheme="majorHAnsi" w:cstheme="majorBidi"/>
        </w:rPr>
        <w:t>suggests</w:t>
      </w:r>
      <w:r w:rsidR="00A86312" w:rsidRPr="000E623B">
        <w:rPr>
          <w:rFonts w:asciiTheme="majorHAnsi" w:hAnsiTheme="majorHAnsi" w:cstheme="majorBidi"/>
        </w:rPr>
        <w:t xml:space="preserve"> the following regarding program influence on the measure: </w:t>
      </w:r>
    </w:p>
    <w:p w14:paraId="203FB533" w14:textId="77777777" w:rsidR="003E1800" w:rsidRPr="00737D6A" w:rsidRDefault="003E1800" w:rsidP="00782E4D">
      <w:pPr>
        <w:rPr>
          <w:rFonts w:asciiTheme="majorHAnsi" w:hAnsiTheme="majorHAnsi" w:cstheme="majorHAnsi"/>
        </w:rPr>
      </w:pPr>
    </w:p>
    <w:p w14:paraId="4620F733" w14:textId="43BE5926" w:rsidR="003E1800" w:rsidRPr="00F773F3" w:rsidRDefault="003E1800">
      <w:pPr>
        <w:pStyle w:val="ListParagraph"/>
        <w:numPr>
          <w:ilvl w:val="0"/>
          <w:numId w:val="54"/>
        </w:numPr>
        <w:rPr>
          <w:rFonts w:asciiTheme="majorHAnsi" w:hAnsiTheme="majorHAnsi" w:cstheme="majorBidi"/>
        </w:rPr>
      </w:pPr>
      <w:r w:rsidRPr="000E623B">
        <w:rPr>
          <w:rFonts w:asciiTheme="majorHAnsi" w:hAnsiTheme="majorHAnsi" w:cstheme="majorBidi"/>
          <w:b/>
          <w:bCs/>
        </w:rPr>
        <w:t>High Likelihood of Being a Free Rider</w:t>
      </w:r>
      <w:r w:rsidRPr="000E623B">
        <w:rPr>
          <w:rFonts w:asciiTheme="majorHAnsi" w:hAnsiTheme="majorHAnsi" w:cstheme="majorBidi"/>
        </w:rPr>
        <w:t>: 27% of respondent</w:t>
      </w:r>
      <w:r w:rsidR="006651E0" w:rsidRPr="000E623B">
        <w:rPr>
          <w:rFonts w:asciiTheme="majorHAnsi" w:hAnsiTheme="majorHAnsi" w:cstheme="majorBidi"/>
        </w:rPr>
        <w:t>s</w:t>
      </w:r>
      <w:r w:rsidRPr="000E623B">
        <w:rPr>
          <w:rFonts w:asciiTheme="majorHAnsi" w:hAnsiTheme="majorHAnsi" w:cstheme="majorBidi"/>
        </w:rPr>
        <w:t xml:space="preserve"> were planning on purchasing a smart thermostat around the</w:t>
      </w:r>
      <w:r w:rsidR="004E1ADE" w:rsidRPr="000E623B">
        <w:rPr>
          <w:rFonts w:asciiTheme="majorHAnsi" w:hAnsiTheme="majorHAnsi" w:cstheme="majorBidi"/>
        </w:rPr>
        <w:t xml:space="preserve"> same time.</w:t>
      </w:r>
    </w:p>
    <w:p w14:paraId="5240D1CC" w14:textId="2950BA47" w:rsidR="003E1800" w:rsidRPr="00737D6A" w:rsidRDefault="003E1800" w:rsidP="006E54D1">
      <w:pPr>
        <w:pStyle w:val="ListParagraph"/>
        <w:numPr>
          <w:ilvl w:val="0"/>
          <w:numId w:val="54"/>
        </w:numPr>
        <w:rPr>
          <w:rFonts w:asciiTheme="majorHAnsi" w:hAnsiTheme="majorHAnsi" w:cstheme="majorHAnsi"/>
        </w:rPr>
      </w:pPr>
      <w:r w:rsidRPr="00737D6A">
        <w:rPr>
          <w:rFonts w:asciiTheme="majorHAnsi" w:hAnsiTheme="majorHAnsi" w:cstheme="majorHAnsi"/>
          <w:b/>
        </w:rPr>
        <w:t>Moderately Likelihood of Being a Free Rider</w:t>
      </w:r>
      <w:r w:rsidRPr="00737D6A">
        <w:rPr>
          <w:rFonts w:asciiTheme="majorHAnsi" w:hAnsiTheme="majorHAnsi" w:cstheme="majorHAnsi"/>
        </w:rPr>
        <w:t xml:space="preserve">: 26% of respondents were somewhat likely or would have purchased in </w:t>
      </w:r>
      <w:r w:rsidR="004E1ADE" w:rsidRPr="00737D6A">
        <w:rPr>
          <w:rFonts w:asciiTheme="majorHAnsi" w:hAnsiTheme="majorHAnsi" w:cstheme="majorHAnsi"/>
        </w:rPr>
        <w:t>the future.</w:t>
      </w:r>
    </w:p>
    <w:p w14:paraId="27F707D0" w14:textId="2D7EFA15" w:rsidR="003E1800" w:rsidRPr="00737D6A" w:rsidRDefault="003E1800" w:rsidP="006E54D1">
      <w:pPr>
        <w:pStyle w:val="ListParagraph"/>
        <w:numPr>
          <w:ilvl w:val="0"/>
          <w:numId w:val="54"/>
        </w:numPr>
        <w:rPr>
          <w:rFonts w:asciiTheme="majorHAnsi" w:hAnsiTheme="majorHAnsi" w:cstheme="majorHAnsi"/>
        </w:rPr>
      </w:pPr>
      <w:r w:rsidRPr="00737D6A">
        <w:rPr>
          <w:rFonts w:asciiTheme="majorHAnsi" w:hAnsiTheme="majorHAnsi" w:cstheme="majorHAnsi"/>
          <w:b/>
        </w:rPr>
        <w:t>Low Likelihood of Being a Free Rider</w:t>
      </w:r>
      <w:r w:rsidRPr="00737D6A">
        <w:rPr>
          <w:rFonts w:asciiTheme="majorHAnsi" w:hAnsiTheme="majorHAnsi" w:cstheme="majorHAnsi"/>
        </w:rPr>
        <w:t>: About half (47%) of participants are not likely to be free riders, had not previously considered, were not likely, or would never have</w:t>
      </w:r>
      <w:r w:rsidR="004E1ADE" w:rsidRPr="00737D6A">
        <w:rPr>
          <w:rFonts w:asciiTheme="majorHAnsi" w:hAnsiTheme="majorHAnsi" w:cstheme="majorHAnsi"/>
        </w:rPr>
        <w:t xml:space="preserve"> purchased. </w:t>
      </w:r>
    </w:p>
    <w:p w14:paraId="7039B912" w14:textId="72AF3BAB" w:rsidR="00E853BD" w:rsidRPr="00F773F3" w:rsidRDefault="00E853BD">
      <w:pPr>
        <w:rPr>
          <w:rFonts w:asciiTheme="majorHAnsi" w:hAnsiTheme="majorHAnsi" w:cstheme="majorBidi"/>
        </w:rPr>
      </w:pPr>
      <w:r w:rsidRPr="000E623B">
        <w:rPr>
          <w:rFonts w:asciiTheme="majorHAnsi" w:hAnsiTheme="majorHAnsi" w:cstheme="majorBidi"/>
        </w:rPr>
        <w:t>Hence, the evaluation suggest</w:t>
      </w:r>
      <w:r w:rsidR="006651E0" w:rsidRPr="000E623B">
        <w:rPr>
          <w:rFonts w:asciiTheme="majorHAnsi" w:hAnsiTheme="majorHAnsi" w:cstheme="majorBidi"/>
        </w:rPr>
        <w:t>s</w:t>
      </w:r>
      <w:r w:rsidRPr="000E623B">
        <w:rPr>
          <w:rFonts w:asciiTheme="majorHAnsi" w:hAnsiTheme="majorHAnsi" w:cstheme="majorBidi"/>
        </w:rPr>
        <w:t xml:space="preserve"> that about 47% of participants were influence</w:t>
      </w:r>
      <w:r w:rsidR="004F6A0F" w:rsidRPr="000E623B">
        <w:rPr>
          <w:rFonts w:asciiTheme="majorHAnsi" w:hAnsiTheme="majorHAnsi" w:cstheme="majorBidi"/>
        </w:rPr>
        <w:t>d</w:t>
      </w:r>
      <w:r w:rsidRPr="000E623B">
        <w:rPr>
          <w:rFonts w:asciiTheme="majorHAnsi" w:hAnsiTheme="majorHAnsi" w:cstheme="majorBidi"/>
        </w:rPr>
        <w:t xml:space="preserve"> by the program</w:t>
      </w:r>
      <w:r w:rsidR="004F6A0F" w:rsidRPr="000E623B">
        <w:rPr>
          <w:rFonts w:asciiTheme="majorHAnsi" w:hAnsiTheme="majorHAnsi" w:cstheme="majorBidi"/>
        </w:rPr>
        <w:t>,</w:t>
      </w:r>
      <w:r w:rsidRPr="000E623B">
        <w:rPr>
          <w:rFonts w:asciiTheme="majorHAnsi" w:hAnsiTheme="majorHAnsi" w:cstheme="majorBidi"/>
        </w:rPr>
        <w:t xml:space="preserve"> whereas 26% of the participant</w:t>
      </w:r>
      <w:r w:rsidR="004F6A0F" w:rsidRPr="000E623B">
        <w:rPr>
          <w:rFonts w:asciiTheme="majorHAnsi" w:hAnsiTheme="majorHAnsi" w:cstheme="majorBidi"/>
        </w:rPr>
        <w:t>s</w:t>
      </w:r>
      <w:r w:rsidRPr="000E623B">
        <w:rPr>
          <w:rFonts w:asciiTheme="majorHAnsi" w:hAnsiTheme="majorHAnsi" w:cstheme="majorBidi"/>
        </w:rPr>
        <w:t xml:space="preserve"> were </w:t>
      </w:r>
      <w:r w:rsidR="006243DD">
        <w:rPr>
          <w:rFonts w:asciiTheme="majorHAnsi" w:hAnsiTheme="majorHAnsi" w:cstheme="majorBidi"/>
        </w:rPr>
        <w:t>possibly</w:t>
      </w:r>
      <w:r w:rsidRPr="000E623B">
        <w:rPr>
          <w:rFonts w:asciiTheme="majorHAnsi" w:hAnsiTheme="majorHAnsi" w:cstheme="majorBidi"/>
        </w:rPr>
        <w:t xml:space="preserve"> influenced by the program</w:t>
      </w:r>
      <w:r w:rsidR="00265801">
        <w:rPr>
          <w:rFonts w:asciiTheme="majorHAnsi" w:hAnsiTheme="majorHAnsi" w:cstheme="majorBidi"/>
        </w:rPr>
        <w:t xml:space="preserve">. These results are </w:t>
      </w:r>
      <w:r w:rsidR="00F773F3">
        <w:rPr>
          <w:rFonts w:asciiTheme="majorHAnsi" w:hAnsiTheme="majorHAnsi" w:cstheme="majorBidi"/>
        </w:rPr>
        <w:t>aligned</w:t>
      </w:r>
      <w:r w:rsidR="00265801">
        <w:rPr>
          <w:rFonts w:asciiTheme="majorHAnsi" w:hAnsiTheme="majorHAnsi" w:cstheme="majorBidi"/>
        </w:rPr>
        <w:t xml:space="preserve"> with the 0.55 Residential Default NTG.</w:t>
      </w:r>
      <w:r w:rsidR="00CE2150">
        <w:rPr>
          <w:rFonts w:asciiTheme="majorHAnsi" w:hAnsiTheme="majorHAnsi" w:cstheme="majorBidi"/>
        </w:rPr>
        <w:t xml:space="preserve"> </w:t>
      </w:r>
      <w:r w:rsidR="002632DF" w:rsidRPr="00737D6A">
        <w:rPr>
          <w:rFonts w:asciiTheme="majorHAnsi" w:hAnsiTheme="majorHAnsi" w:cstheme="majorHAnsi"/>
        </w:rPr>
        <w:t>Therefore, the NTG used for this workpaper update is the “Res-Default&gt;2.”</w:t>
      </w:r>
    </w:p>
    <w:p w14:paraId="0AB790F2" w14:textId="77777777" w:rsidR="004C2086" w:rsidRPr="00737D6A" w:rsidRDefault="004C2086" w:rsidP="00782E4D">
      <w:pPr>
        <w:rPr>
          <w:rFonts w:asciiTheme="majorHAnsi" w:hAnsiTheme="majorHAnsi" w:cstheme="majorHAnsi"/>
        </w:rPr>
      </w:pPr>
    </w:p>
    <w:p w14:paraId="06CE3C35" w14:textId="03A99073" w:rsidR="0088201A" w:rsidRPr="00F773F3" w:rsidRDefault="0088201A">
      <w:pPr>
        <w:pStyle w:val="Normal1"/>
        <w:rPr>
          <w:rFonts w:asciiTheme="majorHAnsi" w:hAnsiTheme="majorHAnsi" w:cstheme="majorBidi"/>
        </w:rPr>
      </w:pPr>
      <w:bookmarkStart w:id="8" w:name="_4d34og8" w:colFirst="0" w:colLast="0"/>
      <w:bookmarkEnd w:id="8"/>
      <w:r w:rsidRPr="000E623B">
        <w:rPr>
          <w:rFonts w:asciiTheme="majorHAnsi" w:hAnsiTheme="majorHAnsi" w:cstheme="majorBidi"/>
        </w:rPr>
        <w:t xml:space="preserve">The NTG value is obtained using the DEER READI tool v.2.5.1. </w:t>
      </w:r>
    </w:p>
    <w:p w14:paraId="19B08A5A" w14:textId="77777777" w:rsidR="00576C8C" w:rsidRPr="00737D6A" w:rsidRDefault="00576C8C">
      <w:pPr>
        <w:pStyle w:val="Normal1"/>
        <w:rPr>
          <w:rFonts w:asciiTheme="majorHAnsi" w:hAnsiTheme="majorHAnsi" w:cstheme="majorHAnsi"/>
        </w:rPr>
      </w:pPr>
    </w:p>
    <w:tbl>
      <w:tblPr>
        <w:tblStyle w:val="1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8"/>
        <w:gridCol w:w="3145"/>
        <w:gridCol w:w="980"/>
        <w:gridCol w:w="1136"/>
        <w:gridCol w:w="1330"/>
        <w:gridCol w:w="1071"/>
      </w:tblGrid>
      <w:tr w:rsidR="00576C8C" w:rsidRPr="00737D6A" w14:paraId="01C3FCE2" w14:textId="77777777" w:rsidTr="00F773F3">
        <w:tc>
          <w:tcPr>
            <w:tcW w:w="1290" w:type="dxa"/>
            <w:shd w:val="clear" w:color="auto" w:fill="D9D9D9"/>
          </w:tcPr>
          <w:p w14:paraId="24B868A7"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NTGR ID</w:t>
            </w:r>
          </w:p>
        </w:tc>
        <w:tc>
          <w:tcPr>
            <w:tcW w:w="3600" w:type="dxa"/>
            <w:shd w:val="clear" w:color="auto" w:fill="D9D9D9"/>
          </w:tcPr>
          <w:p w14:paraId="51938CDC"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Description</w:t>
            </w:r>
          </w:p>
        </w:tc>
        <w:tc>
          <w:tcPr>
            <w:tcW w:w="1095" w:type="dxa"/>
            <w:shd w:val="clear" w:color="auto" w:fill="D9D9D9"/>
          </w:tcPr>
          <w:p w14:paraId="248FA49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Sector</w:t>
            </w:r>
          </w:p>
        </w:tc>
        <w:tc>
          <w:tcPr>
            <w:tcW w:w="1275" w:type="dxa"/>
            <w:shd w:val="clear" w:color="auto" w:fill="D9D9D9"/>
          </w:tcPr>
          <w:p w14:paraId="35AB334A" w14:textId="748B3FFC" w:rsidR="00576C8C" w:rsidRPr="00737D6A" w:rsidRDefault="007173B2">
            <w:pPr>
              <w:pStyle w:val="Normal1"/>
              <w:rPr>
                <w:rFonts w:asciiTheme="majorHAnsi" w:hAnsiTheme="majorHAnsi" w:cstheme="majorHAnsi"/>
              </w:rPr>
            </w:pPr>
            <w:r w:rsidRPr="00737D6A">
              <w:rPr>
                <w:rFonts w:asciiTheme="majorHAnsi" w:hAnsiTheme="majorHAnsi" w:cstheme="majorHAnsi"/>
                <w:b/>
              </w:rPr>
              <w:t>Bldg</w:t>
            </w:r>
            <w:r w:rsidR="00787F2B" w:rsidRPr="00737D6A">
              <w:rPr>
                <w:rFonts w:asciiTheme="majorHAnsi" w:hAnsiTheme="majorHAnsi" w:cstheme="majorHAnsi"/>
                <w:b/>
              </w:rPr>
              <w:t xml:space="preserve"> </w:t>
            </w:r>
            <w:r w:rsidRPr="00737D6A">
              <w:rPr>
                <w:rFonts w:asciiTheme="majorHAnsi" w:hAnsiTheme="majorHAnsi" w:cstheme="majorHAnsi"/>
                <w:b/>
              </w:rPr>
              <w:t>Type</w:t>
            </w:r>
          </w:p>
        </w:tc>
        <w:tc>
          <w:tcPr>
            <w:tcW w:w="1500" w:type="dxa"/>
            <w:shd w:val="clear" w:color="auto" w:fill="D9D9D9"/>
          </w:tcPr>
          <w:p w14:paraId="03DB7B53"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Measure Delivery</w:t>
            </w:r>
          </w:p>
        </w:tc>
        <w:tc>
          <w:tcPr>
            <w:tcW w:w="1200" w:type="dxa"/>
            <w:shd w:val="clear" w:color="auto" w:fill="D9D9D9"/>
          </w:tcPr>
          <w:p w14:paraId="1616BFAD"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NTGR</w:t>
            </w:r>
          </w:p>
        </w:tc>
      </w:tr>
      <w:tr w:rsidR="00576C8C" w:rsidRPr="00737D6A" w14:paraId="2F758F50" w14:textId="77777777" w:rsidTr="00F773F3">
        <w:tc>
          <w:tcPr>
            <w:tcW w:w="1290" w:type="dxa"/>
          </w:tcPr>
          <w:p w14:paraId="56C923F2" w14:textId="3F3991E9" w:rsidR="00576C8C" w:rsidRPr="00737D6A" w:rsidRDefault="00F84E27">
            <w:pPr>
              <w:pStyle w:val="Normal1"/>
              <w:rPr>
                <w:rFonts w:asciiTheme="majorHAnsi" w:hAnsiTheme="majorHAnsi" w:cstheme="majorHAnsi"/>
              </w:rPr>
            </w:pPr>
            <w:r w:rsidRPr="00737D6A">
              <w:rPr>
                <w:rFonts w:asciiTheme="majorHAnsi" w:hAnsiTheme="majorHAnsi" w:cstheme="majorHAnsi"/>
              </w:rPr>
              <w:t>Res-Default&gt;2</w:t>
            </w:r>
          </w:p>
        </w:tc>
        <w:tc>
          <w:tcPr>
            <w:tcW w:w="3600" w:type="dxa"/>
          </w:tcPr>
          <w:p w14:paraId="7D74DD72" w14:textId="17788415" w:rsidR="00576C8C" w:rsidRPr="00737D6A" w:rsidRDefault="00EB3B84">
            <w:pPr>
              <w:pStyle w:val="Normal1"/>
              <w:rPr>
                <w:rFonts w:asciiTheme="majorHAnsi" w:hAnsiTheme="majorHAnsi" w:cstheme="majorHAnsi"/>
              </w:rPr>
            </w:pPr>
            <w:r w:rsidRPr="00737D6A">
              <w:rPr>
                <w:rFonts w:asciiTheme="majorHAnsi" w:hAnsiTheme="majorHAnsi" w:cstheme="majorHAnsi"/>
              </w:rPr>
              <w:t xml:space="preserve">All other EEM with no evaluated NTGR; existing EEM </w:t>
            </w:r>
            <w:r w:rsidR="00E853BD" w:rsidRPr="00737D6A">
              <w:rPr>
                <w:rFonts w:asciiTheme="majorHAnsi" w:hAnsiTheme="majorHAnsi" w:cstheme="majorHAnsi"/>
              </w:rPr>
              <w:t>w</w:t>
            </w:r>
            <w:r w:rsidRPr="00737D6A">
              <w:rPr>
                <w:rFonts w:asciiTheme="majorHAnsi" w:hAnsiTheme="majorHAnsi" w:cstheme="majorHAnsi"/>
              </w:rPr>
              <w:t>ith same delivery mechanism for more than 2 years</w:t>
            </w:r>
          </w:p>
        </w:tc>
        <w:tc>
          <w:tcPr>
            <w:tcW w:w="1095" w:type="dxa"/>
          </w:tcPr>
          <w:p w14:paraId="076049C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Res</w:t>
            </w:r>
          </w:p>
        </w:tc>
        <w:tc>
          <w:tcPr>
            <w:tcW w:w="1275" w:type="dxa"/>
          </w:tcPr>
          <w:p w14:paraId="13FB891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Any</w:t>
            </w:r>
          </w:p>
        </w:tc>
        <w:tc>
          <w:tcPr>
            <w:tcW w:w="1500" w:type="dxa"/>
          </w:tcPr>
          <w:p w14:paraId="33C75F3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Any</w:t>
            </w:r>
          </w:p>
        </w:tc>
        <w:tc>
          <w:tcPr>
            <w:tcW w:w="1200" w:type="dxa"/>
          </w:tcPr>
          <w:p w14:paraId="029BD636" w14:textId="180380AD" w:rsidR="00576C8C" w:rsidRPr="00737D6A" w:rsidRDefault="002D7183">
            <w:pPr>
              <w:pStyle w:val="Normal1"/>
              <w:rPr>
                <w:rFonts w:asciiTheme="majorHAnsi" w:hAnsiTheme="majorHAnsi" w:cstheme="majorHAnsi"/>
              </w:rPr>
            </w:pPr>
            <w:r w:rsidRPr="00737D6A">
              <w:rPr>
                <w:rFonts w:asciiTheme="majorHAnsi" w:hAnsiTheme="majorHAnsi" w:cstheme="majorHAnsi"/>
              </w:rPr>
              <w:t>0.55</w:t>
            </w:r>
          </w:p>
        </w:tc>
      </w:tr>
    </w:tbl>
    <w:p w14:paraId="611054A5" w14:textId="0BA47A65" w:rsidR="00576C8C" w:rsidRPr="00737D6A" w:rsidRDefault="00EE0598" w:rsidP="00F773F3">
      <w:pPr>
        <w:pStyle w:val="Heading3"/>
        <w:rPr>
          <w:rFonts w:asciiTheme="majorHAnsi" w:hAnsiTheme="majorHAnsi" w:cstheme="majorHAnsi"/>
        </w:rPr>
      </w:pPr>
      <w:r w:rsidRPr="00737D6A">
        <w:rPr>
          <w:rFonts w:asciiTheme="majorHAnsi" w:hAnsiTheme="majorHAnsi" w:cstheme="majorHAnsi"/>
        </w:rPr>
        <w:t>1.4.</w:t>
      </w:r>
      <w:r w:rsidR="00F0227A" w:rsidRPr="00737D6A">
        <w:rPr>
          <w:rFonts w:asciiTheme="majorHAnsi" w:hAnsiTheme="majorHAnsi" w:cstheme="majorHAnsi"/>
        </w:rPr>
        <w:t>3</w:t>
      </w:r>
      <w:r w:rsidRPr="00737D6A">
        <w:rPr>
          <w:rFonts w:asciiTheme="majorHAnsi" w:hAnsiTheme="majorHAnsi" w:cstheme="majorHAnsi"/>
        </w:rPr>
        <w:t xml:space="preserve"> </w:t>
      </w:r>
      <w:r w:rsidR="007173B2" w:rsidRPr="00737D6A">
        <w:rPr>
          <w:rFonts w:asciiTheme="majorHAnsi" w:hAnsiTheme="majorHAnsi" w:cstheme="majorHAnsi"/>
        </w:rPr>
        <w:t>Spillage Rate</w:t>
      </w:r>
    </w:p>
    <w:p w14:paraId="7D08B359" w14:textId="36F3BA59" w:rsidR="00576C8C" w:rsidRPr="00737D6A" w:rsidRDefault="007173B2">
      <w:pPr>
        <w:pStyle w:val="Normal1"/>
        <w:spacing w:before="40" w:after="40"/>
        <w:rPr>
          <w:rFonts w:asciiTheme="majorHAnsi" w:hAnsiTheme="majorHAnsi" w:cstheme="majorHAnsi"/>
        </w:rPr>
      </w:pPr>
      <w:r w:rsidRPr="00737D6A">
        <w:rPr>
          <w:rFonts w:asciiTheme="majorHAnsi" w:hAnsiTheme="majorHAnsi" w:cstheme="majorHAnsi"/>
        </w:rPr>
        <w:t xml:space="preserve">Spillage rates are not tracked in workpapers; they are tracked in an external document which will be supplied to the Commission Staff. </w:t>
      </w:r>
    </w:p>
    <w:p w14:paraId="51D55FB5" w14:textId="02C0AF4A" w:rsidR="00576C8C" w:rsidRPr="00737D6A" w:rsidRDefault="00EE0598" w:rsidP="00F773F3">
      <w:pPr>
        <w:pStyle w:val="Heading3"/>
        <w:rPr>
          <w:rFonts w:asciiTheme="majorHAnsi" w:hAnsiTheme="majorHAnsi" w:cstheme="majorHAnsi"/>
        </w:rPr>
      </w:pPr>
      <w:r w:rsidRPr="00737D6A">
        <w:rPr>
          <w:rFonts w:asciiTheme="majorHAnsi" w:hAnsiTheme="majorHAnsi" w:cstheme="majorHAnsi"/>
        </w:rPr>
        <w:t>1.4.</w:t>
      </w:r>
      <w:r w:rsidR="00F0227A" w:rsidRPr="00737D6A">
        <w:rPr>
          <w:rFonts w:asciiTheme="majorHAnsi" w:hAnsiTheme="majorHAnsi" w:cstheme="majorHAnsi"/>
        </w:rPr>
        <w:t>4</w:t>
      </w:r>
      <w:r w:rsidRPr="00737D6A">
        <w:rPr>
          <w:rFonts w:asciiTheme="majorHAnsi" w:hAnsiTheme="majorHAnsi" w:cstheme="majorHAnsi"/>
        </w:rPr>
        <w:t xml:space="preserve"> </w:t>
      </w:r>
      <w:r w:rsidR="007173B2" w:rsidRPr="00737D6A">
        <w:rPr>
          <w:rFonts w:asciiTheme="majorHAnsi" w:hAnsiTheme="majorHAnsi" w:cstheme="majorHAnsi"/>
        </w:rPr>
        <w:t>Installation Rate</w:t>
      </w:r>
    </w:p>
    <w:p w14:paraId="3DCFD96F" w14:textId="77777777" w:rsidR="0088201A" w:rsidRPr="00737D6A" w:rsidRDefault="0088201A">
      <w:pPr>
        <w:pStyle w:val="Normal1"/>
        <w:rPr>
          <w:rFonts w:asciiTheme="majorHAnsi" w:hAnsiTheme="majorHAnsi" w:cstheme="majorHAnsi"/>
        </w:rPr>
      </w:pPr>
      <w:r w:rsidRPr="00737D6A">
        <w:rPr>
          <w:rFonts w:asciiTheme="majorHAnsi" w:hAnsiTheme="majorHAnsi" w:cstheme="majorHAnsi"/>
        </w:rPr>
        <w:t>The IR values were obtained using the DEER READI tool v.2.5.1. The relevant IR values for the measures in this work paper are in the table below.</w:t>
      </w:r>
    </w:p>
    <w:p w14:paraId="03FB2D2A" w14:textId="77777777" w:rsidR="00576C8C" w:rsidRPr="00737D6A" w:rsidRDefault="00576C8C">
      <w:pPr>
        <w:pStyle w:val="Normal1"/>
        <w:rPr>
          <w:rFonts w:asciiTheme="majorHAnsi" w:hAnsiTheme="majorHAnsi" w:cstheme="majorHAnsi"/>
        </w:rPr>
      </w:pPr>
    </w:p>
    <w:p w14:paraId="56004740" w14:textId="4C8A2421" w:rsidR="00576C8C" w:rsidRPr="00737D6A" w:rsidRDefault="007173B2" w:rsidP="006E54D1">
      <w:pPr>
        <w:pStyle w:val="Normal1"/>
        <w:rPr>
          <w:rFonts w:asciiTheme="majorHAnsi" w:hAnsiTheme="majorHAnsi" w:cstheme="majorHAnsi"/>
          <w:b/>
        </w:rPr>
      </w:pPr>
      <w:r w:rsidRPr="00737D6A">
        <w:rPr>
          <w:rFonts w:asciiTheme="majorHAnsi" w:hAnsiTheme="majorHAnsi" w:cstheme="majorHAnsi"/>
          <w:b/>
        </w:rPr>
        <w:t>Gross Savings Installation Adjustment Rate</w:t>
      </w:r>
    </w:p>
    <w:tbl>
      <w:tblPr>
        <w:tblStyle w:val="1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2427"/>
        <w:gridCol w:w="1207"/>
        <w:gridCol w:w="1502"/>
        <w:gridCol w:w="1301"/>
        <w:gridCol w:w="1113"/>
      </w:tblGrid>
      <w:tr w:rsidR="00576C8C" w:rsidRPr="00737D6A" w14:paraId="7B91C8BE" w14:textId="77777777" w:rsidTr="00F773F3">
        <w:tc>
          <w:tcPr>
            <w:tcW w:w="1380" w:type="dxa"/>
            <w:shd w:val="clear" w:color="auto" w:fill="D9D9D9"/>
          </w:tcPr>
          <w:p w14:paraId="63BA356B"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GSIA ID</w:t>
            </w:r>
          </w:p>
        </w:tc>
        <w:tc>
          <w:tcPr>
            <w:tcW w:w="2685" w:type="dxa"/>
            <w:shd w:val="clear" w:color="auto" w:fill="D9D9D9"/>
          </w:tcPr>
          <w:p w14:paraId="79A03B89"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Description</w:t>
            </w:r>
          </w:p>
        </w:tc>
        <w:tc>
          <w:tcPr>
            <w:tcW w:w="1320" w:type="dxa"/>
            <w:shd w:val="clear" w:color="auto" w:fill="D9D9D9"/>
          </w:tcPr>
          <w:p w14:paraId="1318E5AB"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Sector</w:t>
            </w:r>
          </w:p>
        </w:tc>
        <w:tc>
          <w:tcPr>
            <w:tcW w:w="1650" w:type="dxa"/>
            <w:shd w:val="clear" w:color="auto" w:fill="D9D9D9"/>
          </w:tcPr>
          <w:p w14:paraId="3D2F7E01" w14:textId="1D22A88D" w:rsidR="00576C8C" w:rsidRPr="00737D6A" w:rsidRDefault="007173B2">
            <w:pPr>
              <w:pStyle w:val="Normal1"/>
              <w:rPr>
                <w:rFonts w:asciiTheme="majorHAnsi" w:hAnsiTheme="majorHAnsi" w:cstheme="majorHAnsi"/>
              </w:rPr>
            </w:pPr>
            <w:r w:rsidRPr="00737D6A">
              <w:rPr>
                <w:rFonts w:asciiTheme="majorHAnsi" w:hAnsiTheme="majorHAnsi" w:cstheme="majorHAnsi"/>
                <w:b/>
              </w:rPr>
              <w:t>Bldg</w:t>
            </w:r>
            <w:r w:rsidR="00787F2B" w:rsidRPr="00737D6A">
              <w:rPr>
                <w:rFonts w:asciiTheme="majorHAnsi" w:hAnsiTheme="majorHAnsi" w:cstheme="majorHAnsi"/>
                <w:b/>
              </w:rPr>
              <w:t xml:space="preserve"> </w:t>
            </w:r>
            <w:r w:rsidRPr="00737D6A">
              <w:rPr>
                <w:rFonts w:asciiTheme="majorHAnsi" w:hAnsiTheme="majorHAnsi" w:cstheme="majorHAnsi"/>
                <w:b/>
              </w:rPr>
              <w:t>Type</w:t>
            </w:r>
          </w:p>
        </w:tc>
        <w:tc>
          <w:tcPr>
            <w:tcW w:w="1425" w:type="dxa"/>
            <w:shd w:val="clear" w:color="auto" w:fill="D9D9D9"/>
          </w:tcPr>
          <w:p w14:paraId="6201BEA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ProgDelivID</w:t>
            </w:r>
          </w:p>
        </w:tc>
        <w:tc>
          <w:tcPr>
            <w:tcW w:w="1215" w:type="dxa"/>
            <w:shd w:val="clear" w:color="auto" w:fill="D9D9D9"/>
          </w:tcPr>
          <w:p w14:paraId="77FB379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GSIAValue</w:t>
            </w:r>
          </w:p>
        </w:tc>
      </w:tr>
      <w:tr w:rsidR="00576C8C" w:rsidRPr="00737D6A" w14:paraId="7F33F31A" w14:textId="77777777" w:rsidTr="00F773F3">
        <w:tc>
          <w:tcPr>
            <w:tcW w:w="1380" w:type="dxa"/>
          </w:tcPr>
          <w:p w14:paraId="22CF1623"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Def-GSIA</w:t>
            </w:r>
          </w:p>
        </w:tc>
        <w:tc>
          <w:tcPr>
            <w:tcW w:w="2685" w:type="dxa"/>
          </w:tcPr>
          <w:p w14:paraId="7D9112F4" w14:textId="29D4EE02" w:rsidR="00576C8C" w:rsidRPr="00737D6A" w:rsidRDefault="007173B2">
            <w:pPr>
              <w:pStyle w:val="Normal1"/>
              <w:rPr>
                <w:rFonts w:asciiTheme="majorHAnsi" w:hAnsiTheme="majorHAnsi" w:cstheme="majorHAnsi"/>
              </w:rPr>
            </w:pPr>
            <w:r w:rsidRPr="00737D6A">
              <w:rPr>
                <w:rFonts w:asciiTheme="majorHAnsi" w:hAnsiTheme="majorHAnsi" w:cstheme="majorHAnsi"/>
              </w:rPr>
              <w:t xml:space="preserve">Default GSIA </w:t>
            </w:r>
            <w:r w:rsidR="00E853BD" w:rsidRPr="00737D6A">
              <w:rPr>
                <w:rFonts w:asciiTheme="majorHAnsi" w:hAnsiTheme="majorHAnsi" w:cstheme="majorHAnsi"/>
              </w:rPr>
              <w:t>v</w:t>
            </w:r>
            <w:r w:rsidRPr="00737D6A">
              <w:rPr>
                <w:rFonts w:asciiTheme="majorHAnsi" w:hAnsiTheme="majorHAnsi" w:cstheme="majorHAnsi"/>
              </w:rPr>
              <w:t>alues</w:t>
            </w:r>
          </w:p>
        </w:tc>
        <w:tc>
          <w:tcPr>
            <w:tcW w:w="1320" w:type="dxa"/>
          </w:tcPr>
          <w:p w14:paraId="41911D77"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Any</w:t>
            </w:r>
          </w:p>
        </w:tc>
        <w:tc>
          <w:tcPr>
            <w:tcW w:w="1650" w:type="dxa"/>
          </w:tcPr>
          <w:p w14:paraId="77243DC3"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Any</w:t>
            </w:r>
          </w:p>
        </w:tc>
        <w:tc>
          <w:tcPr>
            <w:tcW w:w="1425" w:type="dxa"/>
          </w:tcPr>
          <w:p w14:paraId="4462526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Any</w:t>
            </w:r>
          </w:p>
        </w:tc>
        <w:tc>
          <w:tcPr>
            <w:tcW w:w="1215" w:type="dxa"/>
          </w:tcPr>
          <w:p w14:paraId="0AFF4CD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1</w:t>
            </w:r>
          </w:p>
        </w:tc>
      </w:tr>
    </w:tbl>
    <w:p w14:paraId="773E64DE" w14:textId="1204EAB3" w:rsidR="00FD493E" w:rsidRPr="00737D6A" w:rsidRDefault="00EE0598" w:rsidP="00F773F3">
      <w:pPr>
        <w:pStyle w:val="Heading3"/>
        <w:rPr>
          <w:rFonts w:asciiTheme="majorHAnsi" w:hAnsiTheme="majorHAnsi" w:cstheme="majorHAnsi"/>
        </w:rPr>
      </w:pPr>
      <w:r w:rsidRPr="00737D6A">
        <w:rPr>
          <w:rFonts w:asciiTheme="majorHAnsi" w:hAnsiTheme="majorHAnsi" w:cstheme="majorHAnsi"/>
        </w:rPr>
        <w:t>1.4.</w:t>
      </w:r>
      <w:r w:rsidR="00F0227A" w:rsidRPr="00737D6A">
        <w:rPr>
          <w:rFonts w:asciiTheme="majorHAnsi" w:hAnsiTheme="majorHAnsi" w:cstheme="majorHAnsi"/>
        </w:rPr>
        <w:t>5</w:t>
      </w:r>
      <w:r w:rsidRPr="00737D6A">
        <w:rPr>
          <w:rFonts w:asciiTheme="majorHAnsi" w:hAnsiTheme="majorHAnsi" w:cstheme="majorHAnsi"/>
        </w:rPr>
        <w:t xml:space="preserve"> </w:t>
      </w:r>
      <w:r w:rsidR="007173B2" w:rsidRPr="00737D6A">
        <w:rPr>
          <w:rFonts w:asciiTheme="majorHAnsi" w:hAnsiTheme="majorHAnsi" w:cstheme="majorHAnsi"/>
        </w:rPr>
        <w:t>Effective Useful Life</w:t>
      </w:r>
      <w:r w:rsidR="006B6850" w:rsidRPr="00737D6A">
        <w:rPr>
          <w:rFonts w:asciiTheme="majorHAnsi" w:hAnsiTheme="majorHAnsi" w:cstheme="majorHAnsi"/>
        </w:rPr>
        <w:t xml:space="preserve"> </w:t>
      </w:r>
    </w:p>
    <w:p w14:paraId="3D2F4812" w14:textId="532D4E20" w:rsidR="002F3C81" w:rsidRDefault="005D24A2">
      <w:pPr>
        <w:rPr>
          <w:rFonts w:asciiTheme="majorHAnsi" w:hAnsiTheme="majorHAnsi" w:cstheme="majorBidi"/>
        </w:rPr>
      </w:pPr>
      <w:r w:rsidRPr="000E623B">
        <w:rPr>
          <w:rFonts w:asciiTheme="majorHAnsi" w:hAnsiTheme="majorHAnsi" w:cstheme="majorBidi"/>
        </w:rPr>
        <w:t xml:space="preserve">Effective Useful Life (EUL) for smart thermostats is </w:t>
      </w:r>
      <w:r w:rsidR="009B7D45" w:rsidRPr="000E623B">
        <w:rPr>
          <w:rFonts w:asciiTheme="majorHAnsi" w:hAnsiTheme="majorHAnsi" w:cstheme="majorBidi"/>
        </w:rPr>
        <w:t>not available in DEER</w:t>
      </w:r>
      <w:r w:rsidRPr="000E623B">
        <w:rPr>
          <w:rFonts w:asciiTheme="majorHAnsi" w:hAnsiTheme="majorHAnsi" w:cstheme="majorBidi"/>
        </w:rPr>
        <w:t xml:space="preserve">. </w:t>
      </w:r>
    </w:p>
    <w:p w14:paraId="66C2B693" w14:textId="77777777" w:rsidR="002F3C81" w:rsidRDefault="002F3C81">
      <w:pPr>
        <w:rPr>
          <w:rFonts w:asciiTheme="majorHAnsi" w:hAnsiTheme="majorHAnsi" w:cstheme="majorBidi"/>
        </w:rPr>
      </w:pPr>
    </w:p>
    <w:p w14:paraId="7E962321" w14:textId="670E0EBB" w:rsidR="00840F00" w:rsidRPr="00F773F3" w:rsidRDefault="002F3C81">
      <w:pPr>
        <w:rPr>
          <w:rFonts w:asciiTheme="majorHAnsi" w:hAnsiTheme="majorHAnsi" w:cstheme="majorBidi"/>
        </w:rPr>
      </w:pPr>
      <w:r>
        <w:t>An EUL is an estimate of the median number of years that measures installed under the program remain in place, operating and providing savings</w:t>
      </w:r>
      <w:r w:rsidR="00DF79EA">
        <w:t>.</w:t>
      </w:r>
      <w:r w:rsidR="004418BB" w:rsidRPr="00C470E5">
        <w:rPr>
          <w:vertAlign w:val="superscript"/>
        </w:rPr>
        <w:t>3</w:t>
      </w:r>
      <w:r w:rsidR="0012415A">
        <w:t xml:space="preserve"> </w:t>
      </w:r>
      <w:r>
        <w:t>EUL</w:t>
      </w:r>
      <w:r w:rsidR="00893D16">
        <w:t xml:space="preserve"> values are </w:t>
      </w:r>
      <w:r>
        <w:t>employed with CPUC authorized annual avoided costs and measure‐specific energy savings to determine lifecycle dollar benefits associated with a measure.</w:t>
      </w:r>
    </w:p>
    <w:p w14:paraId="138ED3E4" w14:textId="77777777" w:rsidR="00FD493E" w:rsidRPr="00737D6A" w:rsidRDefault="00FD493E" w:rsidP="00FD493E">
      <w:pPr>
        <w:rPr>
          <w:rFonts w:asciiTheme="majorHAnsi" w:hAnsiTheme="majorHAnsi" w:cstheme="majorHAnsi"/>
        </w:rPr>
      </w:pPr>
    </w:p>
    <w:p w14:paraId="2300051F" w14:textId="13F0C9A3" w:rsidR="003C0CDC" w:rsidRDefault="00FD493E" w:rsidP="00322B58">
      <w:pPr>
        <w:rPr>
          <w:rFonts w:asciiTheme="majorHAnsi" w:hAnsiTheme="majorHAnsi" w:cstheme="majorHAnsi"/>
        </w:rPr>
      </w:pPr>
      <w:r w:rsidRPr="00737D6A">
        <w:rPr>
          <w:rFonts w:asciiTheme="majorHAnsi" w:hAnsiTheme="majorHAnsi" w:cstheme="majorHAnsi"/>
          <w:b/>
        </w:rPr>
        <w:t>Effective Useful Life Evaluation Protocol</w:t>
      </w:r>
    </w:p>
    <w:p w14:paraId="6E841300" w14:textId="026976D2" w:rsidR="00322B58" w:rsidRPr="00737D6A" w:rsidRDefault="00322B58" w:rsidP="00322B58">
      <w:pPr>
        <w:rPr>
          <w:rFonts w:asciiTheme="majorHAnsi" w:hAnsiTheme="majorHAnsi" w:cstheme="majorHAnsi"/>
        </w:rPr>
      </w:pPr>
      <w:r w:rsidRPr="00737D6A">
        <w:rPr>
          <w:rFonts w:asciiTheme="majorHAnsi" w:hAnsiTheme="majorHAnsi" w:cstheme="majorHAnsi"/>
        </w:rPr>
        <w:lastRenderedPageBreak/>
        <w:t>Per California’s Energy Efficiency Evaluation Protocols, there are two allowable methods for EUL analysis: basic rigor and enhanced rigor.</w:t>
      </w:r>
      <w:r w:rsidRPr="00737D6A">
        <w:rPr>
          <w:rStyle w:val="FootnoteReference"/>
          <w:rFonts w:asciiTheme="majorHAnsi" w:hAnsiTheme="majorHAnsi" w:cstheme="majorHAnsi"/>
        </w:rPr>
        <w:footnoteReference w:id="3"/>
      </w:r>
      <w:r w:rsidRPr="00737D6A">
        <w:rPr>
          <w:rFonts w:asciiTheme="majorHAnsi" w:hAnsiTheme="majorHAnsi" w:cstheme="majorHAnsi"/>
        </w:rPr>
        <w:t xml:space="preserve"> Both methods require survival analysis or other analysis methods that specifically control for right-censored data. Right-censored data are failures that might take place after data collection. </w:t>
      </w:r>
    </w:p>
    <w:p w14:paraId="403E305B" w14:textId="77777777" w:rsidR="00322B58" w:rsidRPr="00737D6A" w:rsidRDefault="00322B58" w:rsidP="00322B58">
      <w:pPr>
        <w:rPr>
          <w:rFonts w:asciiTheme="majorHAnsi" w:hAnsiTheme="majorHAnsi" w:cstheme="majorHAnsi"/>
        </w:rPr>
      </w:pPr>
    </w:p>
    <w:p w14:paraId="4CE128D4" w14:textId="5BD9D571" w:rsidR="00FD493E" w:rsidRPr="00737D6A" w:rsidRDefault="00322B58" w:rsidP="00322B58">
      <w:pPr>
        <w:rPr>
          <w:rFonts w:asciiTheme="majorHAnsi" w:hAnsiTheme="majorHAnsi" w:cstheme="majorHAnsi"/>
        </w:rPr>
      </w:pPr>
      <w:r w:rsidRPr="00737D6A">
        <w:rPr>
          <w:rFonts w:asciiTheme="majorHAnsi" w:hAnsiTheme="majorHAnsi" w:cstheme="majorHAnsi"/>
        </w:rPr>
        <w:t>Sample size requirements should be determined using power analysis, results from prior studies on similar programs, and professional judgments. A power analysis to determine the required sample size must be calculated by setting power to at least at 0.7 for basic rigor and to 0.8 for enhanced rigor to determine the sample size required at a 90% confidence level (alpha set at 0.10)</w:t>
      </w:r>
      <w:r w:rsidR="00FD493E" w:rsidRPr="00737D6A">
        <w:rPr>
          <w:rFonts w:asciiTheme="majorHAnsi" w:hAnsiTheme="majorHAnsi" w:cstheme="majorHAnsi"/>
        </w:rPr>
        <w:t xml:space="preserve">. </w:t>
      </w:r>
    </w:p>
    <w:p w14:paraId="2955AA76" w14:textId="77777777" w:rsidR="00CD337D" w:rsidRPr="00737D6A" w:rsidRDefault="00CD337D" w:rsidP="00FD493E">
      <w:pPr>
        <w:rPr>
          <w:rFonts w:asciiTheme="majorHAnsi" w:hAnsiTheme="majorHAnsi" w:cstheme="majorHAnsi"/>
        </w:rPr>
      </w:pPr>
    </w:p>
    <w:p w14:paraId="0028B205" w14:textId="3CD7C863" w:rsidR="008D41E7" w:rsidRPr="00737D6A" w:rsidRDefault="008D41E7" w:rsidP="008D41E7">
      <w:pPr>
        <w:rPr>
          <w:rFonts w:asciiTheme="majorHAnsi" w:hAnsiTheme="majorHAnsi" w:cstheme="majorHAnsi"/>
          <w:b/>
        </w:rPr>
      </w:pPr>
      <w:r w:rsidRPr="00737D6A">
        <w:rPr>
          <w:rFonts w:asciiTheme="majorHAnsi" w:hAnsiTheme="majorHAnsi" w:cstheme="majorHAnsi"/>
          <w:b/>
        </w:rPr>
        <w:t xml:space="preserve">Effective Useful Life Analysis </w:t>
      </w:r>
      <w:r w:rsidR="002F3C81">
        <w:rPr>
          <w:rFonts w:asciiTheme="majorHAnsi" w:hAnsiTheme="majorHAnsi" w:cstheme="majorHAnsi"/>
          <w:b/>
        </w:rPr>
        <w:t xml:space="preserve">and </w:t>
      </w:r>
      <w:r w:rsidRPr="00737D6A">
        <w:rPr>
          <w:rFonts w:asciiTheme="majorHAnsi" w:hAnsiTheme="majorHAnsi" w:cstheme="majorHAnsi"/>
          <w:b/>
        </w:rPr>
        <w:t xml:space="preserve">Results </w:t>
      </w:r>
    </w:p>
    <w:p w14:paraId="023262D6" w14:textId="1F9B53F4" w:rsidR="00840F00" w:rsidRPr="00B769D8" w:rsidRDefault="003C0CDC">
      <w:pPr>
        <w:pStyle w:val="Normal1"/>
        <w:rPr>
          <w:rFonts w:asciiTheme="majorHAnsi" w:hAnsiTheme="majorHAnsi" w:cstheme="majorBidi"/>
        </w:rPr>
      </w:pPr>
      <w:r w:rsidRPr="000E623B">
        <w:rPr>
          <w:rFonts w:asciiTheme="majorHAnsi" w:hAnsiTheme="majorHAnsi" w:cstheme="majorBidi"/>
        </w:rPr>
        <w:t xml:space="preserve">Using non-parametric Kaplan-Meier estimation methodology in R statistical software, a survival analysis was used on </w:t>
      </w:r>
      <w:r w:rsidR="0075541D" w:rsidRPr="000E623B">
        <w:rPr>
          <w:rFonts w:asciiTheme="majorHAnsi" w:hAnsiTheme="majorHAnsi" w:cstheme="majorBidi"/>
        </w:rPr>
        <w:t xml:space="preserve">data </w:t>
      </w:r>
      <w:r w:rsidRPr="000E623B">
        <w:rPr>
          <w:rFonts w:asciiTheme="majorHAnsi" w:hAnsiTheme="majorHAnsi" w:cstheme="majorBidi"/>
        </w:rPr>
        <w:t>provided by two main smart</w:t>
      </w:r>
      <w:r w:rsidR="00C25D69">
        <w:rPr>
          <w:rFonts w:asciiTheme="majorHAnsi" w:hAnsiTheme="majorHAnsi" w:cstheme="majorBidi"/>
        </w:rPr>
        <w:t xml:space="preserve"> </w:t>
      </w:r>
      <w:r w:rsidRPr="000E623B">
        <w:rPr>
          <w:rFonts w:asciiTheme="majorHAnsi" w:hAnsiTheme="majorHAnsi" w:cstheme="majorBidi"/>
        </w:rPr>
        <w:t xml:space="preserve">thermostat </w:t>
      </w:r>
      <w:r w:rsidR="0075541D" w:rsidRPr="000E623B">
        <w:rPr>
          <w:rFonts w:asciiTheme="majorHAnsi" w:hAnsiTheme="majorHAnsi" w:cstheme="majorBidi"/>
        </w:rPr>
        <w:t>vendors</w:t>
      </w:r>
      <w:r w:rsidRPr="000E623B">
        <w:rPr>
          <w:rFonts w:asciiTheme="majorHAnsi" w:hAnsiTheme="majorHAnsi" w:cstheme="majorBidi"/>
        </w:rPr>
        <w:t xml:space="preserve">. </w:t>
      </w:r>
      <w:r w:rsidR="00241ACC">
        <w:rPr>
          <w:rFonts w:asciiTheme="majorHAnsi" w:hAnsiTheme="majorHAnsi" w:cstheme="majorBidi"/>
        </w:rPr>
        <w:t xml:space="preserve"> </w:t>
      </w:r>
      <w:r w:rsidRPr="000E623B">
        <w:rPr>
          <w:rFonts w:asciiTheme="majorHAnsi" w:hAnsiTheme="majorHAnsi" w:cstheme="majorBidi"/>
        </w:rPr>
        <w:t>Specifically</w:t>
      </w:r>
      <w:r w:rsidR="0075541D" w:rsidRPr="000E623B">
        <w:rPr>
          <w:rFonts w:asciiTheme="majorHAnsi" w:hAnsiTheme="majorHAnsi" w:cstheme="majorBidi"/>
        </w:rPr>
        <w:t xml:space="preserve">, </w:t>
      </w:r>
      <w:r w:rsidR="00840F00" w:rsidRPr="000E623B">
        <w:rPr>
          <w:rFonts w:asciiTheme="majorHAnsi" w:hAnsiTheme="majorHAnsi" w:cstheme="majorBidi"/>
        </w:rPr>
        <w:t xml:space="preserve">a survival analysis method </w:t>
      </w:r>
      <w:r w:rsidRPr="000E623B">
        <w:rPr>
          <w:rFonts w:asciiTheme="majorHAnsi" w:hAnsiTheme="majorHAnsi" w:cstheme="majorBidi"/>
        </w:rPr>
        <w:t xml:space="preserve">was used </w:t>
      </w:r>
      <w:r w:rsidR="00840F00" w:rsidRPr="000E623B">
        <w:rPr>
          <w:rFonts w:asciiTheme="majorHAnsi" w:hAnsiTheme="majorHAnsi" w:cstheme="majorBidi"/>
        </w:rPr>
        <w:t>on the thermostat connectivity data to account for right censorship in the data and to provide unbiased estimates of survival functions and rates</w:t>
      </w:r>
      <w:r w:rsidR="002F3C81">
        <w:rPr>
          <w:rFonts w:asciiTheme="majorHAnsi" w:hAnsiTheme="majorHAnsi" w:cstheme="majorBidi"/>
        </w:rPr>
        <w:t>.</w:t>
      </w:r>
      <w:r w:rsidR="00840F00" w:rsidRPr="000E623B">
        <w:rPr>
          <w:rFonts w:asciiTheme="majorHAnsi" w:hAnsiTheme="majorHAnsi" w:cstheme="majorBidi"/>
        </w:rPr>
        <w:t xml:space="preserve"> </w:t>
      </w:r>
    </w:p>
    <w:p w14:paraId="3B3217D7" w14:textId="78A041A4" w:rsidR="00840F00" w:rsidRPr="00737D6A" w:rsidRDefault="00840F00" w:rsidP="00840F00">
      <w:pPr>
        <w:pStyle w:val="Normal1"/>
        <w:rPr>
          <w:rFonts w:asciiTheme="majorHAnsi" w:hAnsiTheme="majorHAnsi" w:cstheme="majorHAnsi"/>
          <w:b/>
        </w:rPr>
      </w:pPr>
      <w:bookmarkStart w:id="9" w:name="_Ref536095105"/>
      <w:r w:rsidRPr="00737D6A">
        <w:rPr>
          <w:rFonts w:asciiTheme="majorHAnsi" w:hAnsiTheme="majorHAnsi" w:cstheme="majorHAnsi"/>
          <w:b/>
        </w:rPr>
        <w:t xml:space="preserve"> </w:t>
      </w:r>
    </w:p>
    <w:p w14:paraId="0BC964C8" w14:textId="44E5A137" w:rsidR="00840F00" w:rsidRPr="00B769D8" w:rsidRDefault="00756B27">
      <w:pPr>
        <w:pStyle w:val="Normal1"/>
        <w:rPr>
          <w:rFonts w:asciiTheme="majorHAnsi" w:hAnsiTheme="majorHAnsi" w:cstheme="majorBidi"/>
        </w:rPr>
      </w:pPr>
      <w:r w:rsidRPr="000E623B">
        <w:rPr>
          <w:rFonts w:asciiTheme="majorHAnsi" w:hAnsiTheme="majorHAnsi" w:cstheme="majorBidi"/>
        </w:rPr>
        <w:t>T</w:t>
      </w:r>
      <w:r w:rsidR="00840F00" w:rsidRPr="000E623B">
        <w:rPr>
          <w:rFonts w:asciiTheme="majorHAnsi" w:hAnsiTheme="majorHAnsi" w:cstheme="majorBidi"/>
        </w:rPr>
        <w:t xml:space="preserve">he </w:t>
      </w:r>
      <w:r w:rsidR="002F3C81">
        <w:rPr>
          <w:rFonts w:asciiTheme="majorHAnsi" w:hAnsiTheme="majorHAnsi" w:cstheme="majorBidi"/>
        </w:rPr>
        <w:t xml:space="preserve">EUL analysis </w:t>
      </w:r>
      <w:r w:rsidR="009B7D45" w:rsidRPr="000E623B">
        <w:rPr>
          <w:rFonts w:asciiTheme="majorHAnsi" w:hAnsiTheme="majorHAnsi" w:cstheme="majorBidi"/>
        </w:rPr>
        <w:t>combined</w:t>
      </w:r>
      <w:r w:rsidR="00840F00" w:rsidRPr="000E623B">
        <w:rPr>
          <w:rFonts w:asciiTheme="majorHAnsi" w:hAnsiTheme="majorHAnsi" w:cstheme="majorBidi"/>
        </w:rPr>
        <w:t xml:space="preserve"> non</w:t>
      </w:r>
      <w:r w:rsidR="00F7727F" w:rsidRPr="000E623B">
        <w:rPr>
          <w:rFonts w:asciiTheme="majorHAnsi" w:hAnsiTheme="majorHAnsi" w:cstheme="majorBidi"/>
        </w:rPr>
        <w:t>-</w:t>
      </w:r>
      <w:r w:rsidR="00840F00" w:rsidRPr="000E623B">
        <w:rPr>
          <w:rFonts w:asciiTheme="majorHAnsi" w:hAnsiTheme="majorHAnsi" w:cstheme="majorBidi"/>
        </w:rPr>
        <w:t>linear and linear results to quantify the uncertainty around</w:t>
      </w:r>
      <w:r w:rsidR="00246A58">
        <w:rPr>
          <w:rFonts w:asciiTheme="majorHAnsi" w:hAnsiTheme="majorHAnsi" w:cstheme="majorBidi"/>
        </w:rPr>
        <w:t xml:space="preserve"> the </w:t>
      </w:r>
      <w:r w:rsidR="00840F00" w:rsidRPr="000E623B">
        <w:rPr>
          <w:rFonts w:asciiTheme="majorHAnsi" w:hAnsiTheme="majorHAnsi" w:cstheme="majorBidi"/>
        </w:rPr>
        <w:t>EUL estimates</w:t>
      </w:r>
      <w:r w:rsidR="00A2600D">
        <w:rPr>
          <w:rFonts w:asciiTheme="majorHAnsi" w:hAnsiTheme="majorHAnsi" w:cstheme="majorBidi"/>
        </w:rPr>
        <w:t xml:space="preserve">, which </w:t>
      </w:r>
      <w:r w:rsidR="00955653">
        <w:rPr>
          <w:rFonts w:asciiTheme="majorHAnsi" w:hAnsiTheme="majorHAnsi" w:cstheme="majorBidi"/>
        </w:rPr>
        <w:t xml:space="preserve">assisted </w:t>
      </w:r>
      <w:r w:rsidR="0011482D">
        <w:rPr>
          <w:rFonts w:asciiTheme="majorHAnsi" w:hAnsiTheme="majorHAnsi" w:cstheme="majorBidi"/>
        </w:rPr>
        <w:t xml:space="preserve">with </w:t>
      </w:r>
      <w:r w:rsidR="00840F00" w:rsidRPr="000E623B">
        <w:rPr>
          <w:rFonts w:asciiTheme="majorHAnsi" w:hAnsiTheme="majorHAnsi" w:cstheme="majorBidi"/>
        </w:rPr>
        <w:t>program implementation data</w:t>
      </w:r>
      <w:r w:rsidR="00A2600D">
        <w:rPr>
          <w:rFonts w:asciiTheme="majorHAnsi" w:hAnsiTheme="majorHAnsi" w:cstheme="majorBidi"/>
        </w:rPr>
        <w:t>, results</w:t>
      </w:r>
      <w:r w:rsidR="00246A58">
        <w:rPr>
          <w:rFonts w:asciiTheme="majorHAnsi" w:hAnsiTheme="majorHAnsi" w:cstheme="majorBidi"/>
        </w:rPr>
        <w:t xml:space="preserve"> on </w:t>
      </w:r>
      <w:r w:rsidR="00840F00" w:rsidRPr="000E623B">
        <w:rPr>
          <w:rFonts w:asciiTheme="majorHAnsi" w:hAnsiTheme="majorHAnsi" w:cstheme="majorBidi"/>
        </w:rPr>
        <w:t>a weighted average</w:t>
      </w:r>
      <w:r w:rsidR="002F3C81">
        <w:rPr>
          <w:rFonts w:asciiTheme="majorHAnsi" w:hAnsiTheme="majorHAnsi" w:cstheme="majorBidi"/>
        </w:rPr>
        <w:t xml:space="preserve"> </w:t>
      </w:r>
      <w:r w:rsidR="00833785" w:rsidRPr="000E623B">
        <w:rPr>
          <w:rFonts w:asciiTheme="majorHAnsi" w:hAnsiTheme="majorHAnsi" w:cstheme="majorBidi"/>
        </w:rPr>
        <w:t xml:space="preserve">value </w:t>
      </w:r>
      <w:r w:rsidR="00246A58">
        <w:rPr>
          <w:rFonts w:asciiTheme="majorHAnsi" w:hAnsiTheme="majorHAnsi" w:cstheme="majorBidi"/>
        </w:rPr>
        <w:t xml:space="preserve">of </w:t>
      </w:r>
      <w:r w:rsidR="008B11BB" w:rsidRPr="000E623B">
        <w:rPr>
          <w:rFonts w:asciiTheme="majorHAnsi" w:hAnsiTheme="majorHAnsi" w:cstheme="majorBidi"/>
        </w:rPr>
        <w:t>9.1 years</w:t>
      </w:r>
      <w:r w:rsidR="00833785" w:rsidRPr="000E623B">
        <w:rPr>
          <w:rFonts w:asciiTheme="majorHAnsi" w:hAnsiTheme="majorHAnsi" w:cstheme="majorBidi"/>
        </w:rPr>
        <w:t>.</w:t>
      </w:r>
    </w:p>
    <w:p w14:paraId="1F91D8DC" w14:textId="77777777" w:rsidR="001C0630" w:rsidRPr="00737D6A" w:rsidRDefault="001C0630" w:rsidP="00840F00">
      <w:pPr>
        <w:pStyle w:val="Normal1"/>
        <w:rPr>
          <w:rFonts w:asciiTheme="majorHAnsi" w:hAnsiTheme="majorHAnsi" w:cstheme="majorHAnsi"/>
        </w:rPr>
      </w:pPr>
    </w:p>
    <w:p w14:paraId="496CB3F9" w14:textId="438D0CAA" w:rsidR="00756B27" w:rsidRPr="00B769D8" w:rsidRDefault="001C0630">
      <w:pPr>
        <w:pStyle w:val="Normal1"/>
        <w:rPr>
          <w:rFonts w:asciiTheme="majorHAnsi" w:hAnsiTheme="majorHAnsi" w:cstheme="majorBidi"/>
        </w:rPr>
      </w:pPr>
      <w:r w:rsidRPr="0012415A">
        <w:rPr>
          <w:rFonts w:asciiTheme="majorHAnsi" w:hAnsiTheme="majorHAnsi" w:cstheme="majorBidi"/>
          <w:bCs/>
        </w:rPr>
        <w:t xml:space="preserve">Attachment </w:t>
      </w:r>
      <w:r w:rsidR="00DB1682" w:rsidRPr="0012415A">
        <w:rPr>
          <w:rFonts w:asciiTheme="majorHAnsi" w:hAnsiTheme="majorHAnsi" w:cstheme="majorBidi"/>
          <w:bCs/>
        </w:rPr>
        <w:t>9</w:t>
      </w:r>
      <w:r w:rsidR="00A2600D" w:rsidRPr="0012415A">
        <w:rPr>
          <w:rFonts w:asciiTheme="majorHAnsi" w:hAnsiTheme="majorHAnsi" w:cstheme="majorBidi"/>
          <w:bCs/>
        </w:rPr>
        <w:t xml:space="preserve"> (CONFIDENTIAL)</w:t>
      </w:r>
      <w:r w:rsidRPr="0012415A">
        <w:rPr>
          <w:rFonts w:asciiTheme="majorHAnsi" w:hAnsiTheme="majorHAnsi" w:cstheme="majorBidi"/>
        </w:rPr>
        <w:t xml:space="preserve"> provid</w:t>
      </w:r>
      <w:r w:rsidRPr="00C470E5">
        <w:rPr>
          <w:rFonts w:asciiTheme="majorHAnsi" w:hAnsiTheme="majorHAnsi" w:cstheme="majorBidi"/>
        </w:rPr>
        <w:t xml:space="preserve">es </w:t>
      </w:r>
      <w:r w:rsidR="009B7D45" w:rsidRPr="00C470E5">
        <w:rPr>
          <w:rFonts w:asciiTheme="majorHAnsi" w:hAnsiTheme="majorHAnsi" w:cstheme="majorBidi"/>
        </w:rPr>
        <w:t xml:space="preserve">the full </w:t>
      </w:r>
      <w:r w:rsidR="008B11BB" w:rsidRPr="00C470E5">
        <w:rPr>
          <w:rFonts w:asciiTheme="majorHAnsi" w:hAnsiTheme="majorHAnsi" w:cstheme="majorBidi"/>
        </w:rPr>
        <w:t xml:space="preserve">background and </w:t>
      </w:r>
      <w:r w:rsidRPr="00C470E5">
        <w:rPr>
          <w:rFonts w:asciiTheme="majorHAnsi" w:hAnsiTheme="majorHAnsi" w:cstheme="majorBidi"/>
        </w:rPr>
        <w:t>ad</w:t>
      </w:r>
      <w:r w:rsidR="008B11BB" w:rsidRPr="00C470E5">
        <w:rPr>
          <w:rFonts w:asciiTheme="majorHAnsi" w:hAnsiTheme="majorHAnsi" w:cstheme="majorBidi"/>
        </w:rPr>
        <w:t>ditional details</w:t>
      </w:r>
      <w:r w:rsidR="00756B27" w:rsidRPr="00C470E5">
        <w:rPr>
          <w:rFonts w:asciiTheme="majorHAnsi" w:hAnsiTheme="majorHAnsi" w:cstheme="majorBidi"/>
        </w:rPr>
        <w:t xml:space="preserve"> </w:t>
      </w:r>
      <w:r w:rsidR="00EF7FA2" w:rsidRPr="00C470E5">
        <w:rPr>
          <w:rFonts w:asciiTheme="majorHAnsi" w:hAnsiTheme="majorHAnsi" w:cstheme="majorBidi"/>
        </w:rPr>
        <w:t xml:space="preserve">including analysis </w:t>
      </w:r>
      <w:r w:rsidR="00756B27" w:rsidRPr="00C470E5">
        <w:rPr>
          <w:rFonts w:asciiTheme="majorHAnsi" w:hAnsiTheme="majorHAnsi" w:cstheme="majorBidi"/>
        </w:rPr>
        <w:t>limitations and recommendations</w:t>
      </w:r>
      <w:r w:rsidR="00756B27" w:rsidRPr="000E623B">
        <w:rPr>
          <w:rFonts w:asciiTheme="majorHAnsi" w:hAnsiTheme="majorHAnsi" w:cstheme="majorBidi"/>
        </w:rPr>
        <w:t xml:space="preserve"> </w:t>
      </w:r>
      <w:r w:rsidRPr="000E623B">
        <w:rPr>
          <w:rFonts w:asciiTheme="majorHAnsi" w:hAnsiTheme="majorHAnsi" w:cstheme="majorBidi"/>
        </w:rPr>
        <w:t>on the EUL</w:t>
      </w:r>
      <w:r w:rsidR="008B11BB" w:rsidRPr="000E623B">
        <w:rPr>
          <w:rFonts w:asciiTheme="majorHAnsi" w:hAnsiTheme="majorHAnsi" w:cstheme="majorBidi"/>
        </w:rPr>
        <w:t xml:space="preserve"> analysis and results</w:t>
      </w:r>
      <w:r w:rsidRPr="00EB68B9">
        <w:rPr>
          <w:rFonts w:asciiTheme="majorHAnsi" w:hAnsiTheme="majorHAnsi" w:cstheme="majorBidi"/>
        </w:rPr>
        <w:t xml:space="preserve"> supported by the IOUs</w:t>
      </w:r>
      <w:r w:rsidR="00756B27" w:rsidRPr="00EB68B9">
        <w:rPr>
          <w:rFonts w:asciiTheme="majorHAnsi" w:hAnsiTheme="majorHAnsi" w:cstheme="majorBidi"/>
        </w:rPr>
        <w:t xml:space="preserve"> as part of this workpaper update</w:t>
      </w:r>
      <w:r w:rsidRPr="00EB68B9">
        <w:rPr>
          <w:rFonts w:asciiTheme="majorHAnsi" w:hAnsiTheme="majorHAnsi" w:cstheme="majorBidi"/>
        </w:rPr>
        <w:t>.</w:t>
      </w:r>
    </w:p>
    <w:bookmarkEnd w:id="9"/>
    <w:p w14:paraId="530A6BC7" w14:textId="77777777" w:rsidR="00840F00" w:rsidRPr="00737D6A" w:rsidRDefault="00840F00">
      <w:pPr>
        <w:pStyle w:val="Normal1"/>
        <w:rPr>
          <w:rFonts w:asciiTheme="majorHAnsi" w:hAnsiTheme="majorHAnsi" w:cstheme="majorHAnsi"/>
        </w:rPr>
      </w:pPr>
    </w:p>
    <w:p w14:paraId="799FD705" w14:textId="77777777" w:rsidR="0088201A" w:rsidRPr="00737D6A" w:rsidRDefault="00FE2FE0">
      <w:pPr>
        <w:pStyle w:val="Normal1"/>
        <w:rPr>
          <w:rFonts w:asciiTheme="majorHAnsi" w:hAnsiTheme="majorHAnsi" w:cstheme="majorHAnsi"/>
          <w:b/>
        </w:rPr>
      </w:pPr>
      <w:r w:rsidRPr="00737D6A">
        <w:rPr>
          <w:rFonts w:asciiTheme="majorHAnsi" w:hAnsiTheme="majorHAnsi" w:cstheme="majorHAnsi"/>
          <w:b/>
        </w:rPr>
        <w:t>Effectiv</w:t>
      </w:r>
      <w:r w:rsidR="00F107B4" w:rsidRPr="00737D6A">
        <w:rPr>
          <w:rFonts w:asciiTheme="majorHAnsi" w:hAnsiTheme="majorHAnsi" w:cstheme="majorHAnsi"/>
          <w:b/>
        </w:rPr>
        <w:t>e</w:t>
      </w:r>
      <w:r w:rsidRPr="00737D6A">
        <w:rPr>
          <w:rFonts w:asciiTheme="majorHAnsi" w:hAnsiTheme="majorHAnsi" w:cstheme="majorHAnsi"/>
          <w:b/>
        </w:rPr>
        <w:t xml:space="preserve"> Useful Life</w:t>
      </w:r>
    </w:p>
    <w:tbl>
      <w:tblPr>
        <w:tblStyle w:val="12"/>
        <w:tblW w:w="9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2160"/>
        <w:gridCol w:w="1130"/>
        <w:gridCol w:w="1440"/>
        <w:gridCol w:w="1710"/>
        <w:gridCol w:w="1985"/>
      </w:tblGrid>
      <w:tr w:rsidR="00642866" w:rsidRPr="00737D6A" w14:paraId="2B3234C2" w14:textId="77777777" w:rsidTr="00B769D8">
        <w:tc>
          <w:tcPr>
            <w:tcW w:w="1165" w:type="dxa"/>
            <w:vMerge w:val="restart"/>
            <w:shd w:val="clear" w:color="auto" w:fill="D9D9D9" w:themeFill="background1" w:themeFillShade="D9"/>
          </w:tcPr>
          <w:p w14:paraId="51548084" w14:textId="77777777" w:rsidR="00642866" w:rsidRPr="00737D6A" w:rsidRDefault="00642866">
            <w:pPr>
              <w:pStyle w:val="Normal1"/>
              <w:rPr>
                <w:rFonts w:asciiTheme="majorHAnsi" w:hAnsiTheme="majorHAnsi" w:cstheme="majorHAnsi"/>
              </w:rPr>
            </w:pPr>
            <w:r w:rsidRPr="00737D6A">
              <w:rPr>
                <w:rFonts w:asciiTheme="majorHAnsi" w:hAnsiTheme="majorHAnsi" w:cstheme="majorHAnsi"/>
                <w:b/>
              </w:rPr>
              <w:t>EUL ID</w:t>
            </w:r>
          </w:p>
        </w:tc>
        <w:tc>
          <w:tcPr>
            <w:tcW w:w="2160" w:type="dxa"/>
            <w:vMerge w:val="restart"/>
            <w:shd w:val="clear" w:color="auto" w:fill="D9D9D9" w:themeFill="background1" w:themeFillShade="D9"/>
          </w:tcPr>
          <w:p w14:paraId="31D32457" w14:textId="77777777" w:rsidR="00642866" w:rsidRPr="00737D6A" w:rsidRDefault="00642866">
            <w:pPr>
              <w:pStyle w:val="Normal1"/>
              <w:rPr>
                <w:rFonts w:asciiTheme="majorHAnsi" w:hAnsiTheme="majorHAnsi" w:cstheme="majorHAnsi"/>
              </w:rPr>
            </w:pPr>
            <w:r w:rsidRPr="00737D6A">
              <w:rPr>
                <w:rFonts w:asciiTheme="majorHAnsi" w:hAnsiTheme="majorHAnsi" w:cstheme="majorHAnsi"/>
                <w:b/>
              </w:rPr>
              <w:t>Description</w:t>
            </w:r>
          </w:p>
        </w:tc>
        <w:tc>
          <w:tcPr>
            <w:tcW w:w="1130" w:type="dxa"/>
            <w:vMerge w:val="restart"/>
            <w:shd w:val="clear" w:color="auto" w:fill="D9D9D9" w:themeFill="background1" w:themeFillShade="D9"/>
          </w:tcPr>
          <w:p w14:paraId="0C25F606" w14:textId="77777777" w:rsidR="00642866" w:rsidRPr="00737D6A" w:rsidRDefault="00642866">
            <w:pPr>
              <w:pStyle w:val="Normal1"/>
              <w:rPr>
                <w:rFonts w:asciiTheme="majorHAnsi" w:hAnsiTheme="majorHAnsi" w:cstheme="majorHAnsi"/>
              </w:rPr>
            </w:pPr>
            <w:r w:rsidRPr="00737D6A">
              <w:rPr>
                <w:rFonts w:asciiTheme="majorHAnsi" w:hAnsiTheme="majorHAnsi" w:cstheme="majorHAnsi"/>
                <w:b/>
              </w:rPr>
              <w:t>Sector</w:t>
            </w:r>
          </w:p>
        </w:tc>
        <w:tc>
          <w:tcPr>
            <w:tcW w:w="1440" w:type="dxa"/>
            <w:vMerge w:val="restart"/>
            <w:shd w:val="clear" w:color="auto" w:fill="D9D9D9" w:themeFill="background1" w:themeFillShade="D9"/>
          </w:tcPr>
          <w:p w14:paraId="275C048C" w14:textId="55A8E264" w:rsidR="00642866" w:rsidRPr="00737D6A" w:rsidRDefault="00642866">
            <w:pPr>
              <w:pStyle w:val="Normal1"/>
              <w:rPr>
                <w:rFonts w:asciiTheme="majorHAnsi" w:hAnsiTheme="majorHAnsi" w:cstheme="majorHAnsi"/>
              </w:rPr>
            </w:pPr>
            <w:r w:rsidRPr="00737D6A">
              <w:rPr>
                <w:rFonts w:asciiTheme="majorHAnsi" w:hAnsiTheme="majorHAnsi" w:cstheme="majorHAnsi"/>
                <w:b/>
              </w:rPr>
              <w:t>Use</w:t>
            </w:r>
            <w:r w:rsidR="00787F2B" w:rsidRPr="00737D6A">
              <w:rPr>
                <w:rFonts w:asciiTheme="majorHAnsi" w:hAnsiTheme="majorHAnsi" w:cstheme="majorHAnsi"/>
                <w:b/>
              </w:rPr>
              <w:t xml:space="preserve"> </w:t>
            </w:r>
            <w:r w:rsidRPr="00737D6A">
              <w:rPr>
                <w:rFonts w:asciiTheme="majorHAnsi" w:hAnsiTheme="majorHAnsi" w:cstheme="majorHAnsi"/>
                <w:b/>
              </w:rPr>
              <w:t>Category</w:t>
            </w:r>
          </w:p>
        </w:tc>
        <w:tc>
          <w:tcPr>
            <w:tcW w:w="3695" w:type="dxa"/>
            <w:gridSpan w:val="2"/>
            <w:tcBorders>
              <w:bottom w:val="single" w:sz="4" w:space="0" w:color="000000" w:themeColor="text1"/>
            </w:tcBorders>
            <w:shd w:val="clear" w:color="auto" w:fill="D9D9D9" w:themeFill="background1" w:themeFillShade="D9"/>
          </w:tcPr>
          <w:p w14:paraId="48882CF9" w14:textId="0C49C9B0" w:rsidR="00642866" w:rsidRPr="00737D6A" w:rsidRDefault="00642866">
            <w:pPr>
              <w:pStyle w:val="Normal1"/>
              <w:rPr>
                <w:rFonts w:asciiTheme="majorHAnsi" w:hAnsiTheme="majorHAnsi" w:cstheme="majorHAnsi"/>
              </w:rPr>
            </w:pPr>
            <w:r w:rsidRPr="00737D6A">
              <w:rPr>
                <w:rFonts w:asciiTheme="majorHAnsi" w:hAnsiTheme="majorHAnsi" w:cstheme="majorHAnsi"/>
                <w:b/>
              </w:rPr>
              <w:t>Life</w:t>
            </w:r>
          </w:p>
        </w:tc>
      </w:tr>
      <w:tr w:rsidR="00C2018C" w:rsidRPr="00737D6A" w14:paraId="09CABC6E" w14:textId="77777777" w:rsidTr="00B769D8">
        <w:trPr>
          <w:trHeight w:val="240"/>
        </w:trPr>
        <w:tc>
          <w:tcPr>
            <w:tcW w:w="1165" w:type="dxa"/>
            <w:vMerge/>
          </w:tcPr>
          <w:p w14:paraId="583233F7" w14:textId="77777777" w:rsidR="00C2018C" w:rsidRPr="00737D6A" w:rsidRDefault="00C2018C">
            <w:pPr>
              <w:pStyle w:val="Normal1"/>
              <w:rPr>
                <w:rFonts w:asciiTheme="majorHAnsi" w:hAnsiTheme="majorHAnsi" w:cstheme="majorHAnsi"/>
              </w:rPr>
            </w:pPr>
          </w:p>
        </w:tc>
        <w:tc>
          <w:tcPr>
            <w:tcW w:w="2160" w:type="dxa"/>
            <w:vMerge/>
          </w:tcPr>
          <w:p w14:paraId="19006792" w14:textId="77777777" w:rsidR="00C2018C" w:rsidRPr="00737D6A" w:rsidRDefault="00C2018C">
            <w:pPr>
              <w:pStyle w:val="Normal1"/>
              <w:rPr>
                <w:rFonts w:asciiTheme="majorHAnsi" w:hAnsiTheme="majorHAnsi" w:cstheme="majorHAnsi"/>
              </w:rPr>
            </w:pPr>
          </w:p>
        </w:tc>
        <w:tc>
          <w:tcPr>
            <w:tcW w:w="1130" w:type="dxa"/>
            <w:vMerge/>
          </w:tcPr>
          <w:p w14:paraId="3F92018A" w14:textId="77777777" w:rsidR="00C2018C" w:rsidRPr="00737D6A" w:rsidRDefault="00C2018C">
            <w:pPr>
              <w:pStyle w:val="Normal1"/>
              <w:rPr>
                <w:rFonts w:asciiTheme="majorHAnsi" w:hAnsiTheme="majorHAnsi" w:cstheme="majorHAnsi"/>
              </w:rPr>
            </w:pPr>
          </w:p>
        </w:tc>
        <w:tc>
          <w:tcPr>
            <w:tcW w:w="1440" w:type="dxa"/>
            <w:vMerge/>
          </w:tcPr>
          <w:p w14:paraId="5F51D922" w14:textId="77777777" w:rsidR="00C2018C" w:rsidRPr="00737D6A" w:rsidRDefault="00C2018C">
            <w:pPr>
              <w:pStyle w:val="Normal1"/>
              <w:rPr>
                <w:rFonts w:asciiTheme="majorHAnsi" w:hAnsiTheme="majorHAnsi" w:cstheme="majorHAnsi"/>
              </w:rPr>
            </w:pPr>
          </w:p>
        </w:tc>
        <w:tc>
          <w:tcPr>
            <w:tcW w:w="1710" w:type="dxa"/>
            <w:shd w:val="clear" w:color="auto" w:fill="D9D9D9" w:themeFill="background1" w:themeFillShade="D9"/>
          </w:tcPr>
          <w:p w14:paraId="6203CA90" w14:textId="6F6B1C28" w:rsidR="00C2018C" w:rsidRPr="00737D6A" w:rsidRDefault="00C2018C">
            <w:pPr>
              <w:pStyle w:val="Normal1"/>
              <w:rPr>
                <w:rFonts w:asciiTheme="majorHAnsi" w:hAnsiTheme="majorHAnsi" w:cstheme="majorHAnsi"/>
                <w:color w:val="auto"/>
              </w:rPr>
            </w:pPr>
            <w:r w:rsidRPr="00737D6A">
              <w:rPr>
                <w:rFonts w:asciiTheme="majorHAnsi" w:hAnsiTheme="majorHAnsi" w:cstheme="majorHAnsi"/>
                <w:color w:val="auto"/>
              </w:rPr>
              <w:t>1</w:t>
            </w:r>
            <w:r w:rsidRPr="00737D6A">
              <w:rPr>
                <w:rFonts w:asciiTheme="majorHAnsi" w:hAnsiTheme="majorHAnsi" w:cstheme="majorHAnsi"/>
                <w:color w:val="auto"/>
                <w:vertAlign w:val="superscript"/>
              </w:rPr>
              <w:t>st</w:t>
            </w:r>
            <w:r w:rsidRPr="00737D6A">
              <w:rPr>
                <w:rFonts w:asciiTheme="majorHAnsi" w:hAnsiTheme="majorHAnsi" w:cstheme="majorHAnsi"/>
                <w:color w:val="auto"/>
              </w:rPr>
              <w:t xml:space="preserve"> Baseline</w:t>
            </w:r>
          </w:p>
        </w:tc>
        <w:tc>
          <w:tcPr>
            <w:tcW w:w="1985" w:type="dxa"/>
            <w:shd w:val="clear" w:color="auto" w:fill="D9D9D9" w:themeFill="background1" w:themeFillShade="D9"/>
          </w:tcPr>
          <w:p w14:paraId="467ECEA7" w14:textId="60B42630" w:rsidR="00C2018C" w:rsidRPr="00737D6A" w:rsidRDefault="00C2018C">
            <w:pPr>
              <w:pStyle w:val="Normal1"/>
              <w:rPr>
                <w:rFonts w:asciiTheme="majorHAnsi" w:hAnsiTheme="majorHAnsi" w:cstheme="majorHAnsi"/>
              </w:rPr>
            </w:pPr>
            <w:r w:rsidRPr="00737D6A">
              <w:rPr>
                <w:rFonts w:asciiTheme="majorHAnsi" w:hAnsiTheme="majorHAnsi" w:cstheme="majorHAnsi"/>
              </w:rPr>
              <w:t>2</w:t>
            </w:r>
            <w:r w:rsidRPr="00737D6A">
              <w:rPr>
                <w:rFonts w:asciiTheme="majorHAnsi" w:hAnsiTheme="majorHAnsi" w:cstheme="majorHAnsi"/>
                <w:vertAlign w:val="superscript"/>
              </w:rPr>
              <w:t>nd</w:t>
            </w:r>
            <w:r w:rsidRPr="00737D6A">
              <w:rPr>
                <w:rFonts w:asciiTheme="majorHAnsi" w:hAnsiTheme="majorHAnsi" w:cstheme="majorHAnsi"/>
              </w:rPr>
              <w:t xml:space="preserve"> Baseline</w:t>
            </w:r>
          </w:p>
        </w:tc>
      </w:tr>
      <w:tr w:rsidR="00576C8C" w:rsidRPr="00737D6A" w14:paraId="3942DDE5" w14:textId="77777777" w:rsidTr="00B769D8">
        <w:trPr>
          <w:trHeight w:val="240"/>
        </w:trPr>
        <w:tc>
          <w:tcPr>
            <w:tcW w:w="1165" w:type="dxa"/>
          </w:tcPr>
          <w:p w14:paraId="401ECA52" w14:textId="7BA9A9DE" w:rsidR="00576C8C" w:rsidRPr="00737D6A" w:rsidRDefault="00B3298E" w:rsidP="00AE6946">
            <w:pPr>
              <w:pStyle w:val="Normal1"/>
              <w:rPr>
                <w:rFonts w:asciiTheme="majorHAnsi" w:hAnsiTheme="majorHAnsi" w:cstheme="majorHAnsi"/>
              </w:rPr>
            </w:pPr>
            <w:r w:rsidRPr="00B3298E">
              <w:rPr>
                <w:rFonts w:asciiTheme="majorHAnsi" w:hAnsiTheme="majorHAnsi" w:cstheme="majorBidi"/>
              </w:rPr>
              <w:t>HV-ProgTstat</w:t>
            </w:r>
            <w:r w:rsidR="00FE2FE0" w:rsidRPr="000E623B" w:rsidDel="00FE2FE0">
              <w:rPr>
                <w:rFonts w:asciiTheme="majorHAnsi" w:hAnsiTheme="majorHAnsi" w:cstheme="majorBidi"/>
              </w:rPr>
              <w:t xml:space="preserve"> </w:t>
            </w:r>
          </w:p>
        </w:tc>
        <w:tc>
          <w:tcPr>
            <w:tcW w:w="2160" w:type="dxa"/>
          </w:tcPr>
          <w:p w14:paraId="78448F71" w14:textId="4AB704E6" w:rsidR="00576C8C" w:rsidRPr="00737D6A" w:rsidRDefault="007173B2" w:rsidP="00B769D8">
            <w:pPr>
              <w:pStyle w:val="Normal1"/>
              <w:rPr>
                <w:rFonts w:asciiTheme="majorHAnsi" w:hAnsiTheme="majorHAnsi" w:cstheme="majorHAnsi"/>
              </w:rPr>
            </w:pPr>
            <w:r w:rsidRPr="00737D6A">
              <w:rPr>
                <w:rFonts w:asciiTheme="majorHAnsi" w:hAnsiTheme="majorHAnsi" w:cstheme="majorHAnsi"/>
              </w:rPr>
              <w:t>S</w:t>
            </w:r>
            <w:r w:rsidR="00953E4E" w:rsidRPr="00737D6A">
              <w:rPr>
                <w:rFonts w:asciiTheme="majorHAnsi" w:hAnsiTheme="majorHAnsi" w:cstheme="majorHAnsi"/>
              </w:rPr>
              <w:t xml:space="preserve">mart Thermostat                                                                                                                                                                                                                                                                                                                                                                                                                                                                                                                                                                                                                                                                                                                                                                                                                                                                                                                                                                                                                                                                                                                                                                                                                                                                                                                                                                                                                                                                                                                                                                                                                                                                                                                               </w:t>
            </w:r>
          </w:p>
        </w:tc>
        <w:tc>
          <w:tcPr>
            <w:tcW w:w="1130" w:type="dxa"/>
          </w:tcPr>
          <w:p w14:paraId="793FD237"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Res</w:t>
            </w:r>
          </w:p>
        </w:tc>
        <w:tc>
          <w:tcPr>
            <w:tcW w:w="1440" w:type="dxa"/>
          </w:tcPr>
          <w:p w14:paraId="2070850A"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HVAC</w:t>
            </w:r>
          </w:p>
        </w:tc>
        <w:tc>
          <w:tcPr>
            <w:tcW w:w="1710" w:type="dxa"/>
          </w:tcPr>
          <w:p w14:paraId="17AC8A41" w14:textId="53562C31" w:rsidR="00576C8C" w:rsidRPr="00737D6A" w:rsidRDefault="00833785" w:rsidP="00AE6946">
            <w:pPr>
              <w:pStyle w:val="Normal1"/>
              <w:rPr>
                <w:rFonts w:asciiTheme="majorHAnsi" w:hAnsiTheme="majorHAnsi" w:cstheme="majorHAnsi"/>
                <w:color w:val="auto"/>
              </w:rPr>
            </w:pPr>
            <w:r w:rsidRPr="00737D6A">
              <w:rPr>
                <w:rFonts w:asciiTheme="majorHAnsi" w:hAnsiTheme="majorHAnsi" w:cstheme="majorHAnsi"/>
                <w:color w:val="auto"/>
              </w:rPr>
              <w:t>9.1</w:t>
            </w:r>
            <w:r w:rsidR="00B3298E">
              <w:rPr>
                <w:rFonts w:asciiTheme="majorHAnsi" w:hAnsiTheme="majorHAnsi" w:cstheme="majorHAnsi"/>
                <w:color w:val="auto"/>
              </w:rPr>
              <w:t xml:space="preserve"> (Non-DEER)</w:t>
            </w:r>
          </w:p>
        </w:tc>
        <w:tc>
          <w:tcPr>
            <w:tcW w:w="1985" w:type="dxa"/>
          </w:tcPr>
          <w:p w14:paraId="5140AD3D" w14:textId="7202821F" w:rsidR="00576C8C" w:rsidRPr="00737D6A" w:rsidRDefault="0096111E">
            <w:pPr>
              <w:pStyle w:val="Normal1"/>
              <w:rPr>
                <w:rFonts w:asciiTheme="majorHAnsi" w:hAnsiTheme="majorHAnsi" w:cstheme="majorHAnsi"/>
              </w:rPr>
            </w:pPr>
            <w:r w:rsidRPr="00737D6A">
              <w:rPr>
                <w:rFonts w:asciiTheme="majorHAnsi" w:hAnsiTheme="majorHAnsi" w:cstheme="majorHAnsi"/>
              </w:rPr>
              <w:t xml:space="preserve"> N/A</w:t>
            </w:r>
          </w:p>
        </w:tc>
      </w:tr>
    </w:tbl>
    <w:p w14:paraId="2E5869D1" w14:textId="5BB68B40" w:rsidR="00576C8C" w:rsidRPr="00737D6A" w:rsidRDefault="00037033">
      <w:pPr>
        <w:pStyle w:val="Heading3"/>
        <w:rPr>
          <w:rFonts w:asciiTheme="majorHAnsi" w:hAnsiTheme="majorHAnsi" w:cstheme="majorHAnsi"/>
        </w:rPr>
      </w:pPr>
      <w:r w:rsidRPr="00737D6A">
        <w:rPr>
          <w:rFonts w:asciiTheme="majorHAnsi" w:eastAsia="Calibri" w:hAnsiTheme="majorHAnsi" w:cstheme="majorHAnsi"/>
        </w:rPr>
        <w:t>1.4.</w:t>
      </w:r>
      <w:r w:rsidR="00F53F9F" w:rsidRPr="00737D6A">
        <w:rPr>
          <w:rFonts w:asciiTheme="majorHAnsi" w:eastAsia="Calibri" w:hAnsiTheme="majorHAnsi" w:cstheme="majorHAnsi"/>
        </w:rPr>
        <w:t>6</w:t>
      </w:r>
      <w:r w:rsidR="007173B2" w:rsidRPr="00737D6A">
        <w:rPr>
          <w:rFonts w:asciiTheme="majorHAnsi" w:eastAsia="Calibri" w:hAnsiTheme="majorHAnsi" w:cstheme="majorHAnsi"/>
        </w:rPr>
        <w:t xml:space="preserve"> Codes and Standards Analysis </w:t>
      </w:r>
    </w:p>
    <w:p w14:paraId="06343BA6" w14:textId="29479F79" w:rsidR="00576C8C" w:rsidRPr="00B769D8" w:rsidRDefault="00F7727F">
      <w:pPr>
        <w:pStyle w:val="Normal1"/>
        <w:keepNext/>
        <w:rPr>
          <w:rFonts w:asciiTheme="majorHAnsi" w:hAnsiTheme="majorHAnsi" w:cstheme="majorBidi"/>
        </w:rPr>
      </w:pPr>
      <w:r w:rsidRPr="000E623B">
        <w:rPr>
          <w:rFonts w:asciiTheme="majorHAnsi" w:hAnsiTheme="majorHAnsi" w:cstheme="majorBidi"/>
        </w:rPr>
        <w:t>Thermostats</w:t>
      </w:r>
      <w:r w:rsidR="007173B2" w:rsidRPr="000E623B">
        <w:rPr>
          <w:rFonts w:asciiTheme="majorHAnsi" w:hAnsiTheme="majorHAnsi" w:cstheme="majorBidi"/>
        </w:rPr>
        <w:t xml:space="preserve"> fall under the jurisdiction of Title 24 as listed in</w:t>
      </w:r>
      <w:r w:rsidR="000A24A8" w:rsidRPr="000E623B">
        <w:rPr>
          <w:rFonts w:asciiTheme="majorHAnsi" w:hAnsiTheme="majorHAnsi" w:cstheme="majorBidi"/>
        </w:rPr>
        <w:t xml:space="preserve"> </w:t>
      </w:r>
      <w:r w:rsidR="00DC3866" w:rsidRPr="000E623B">
        <w:rPr>
          <w:rFonts w:asciiTheme="majorHAnsi" w:hAnsiTheme="majorHAnsi" w:cstheme="majorBidi"/>
        </w:rPr>
        <w:t xml:space="preserve">the </w:t>
      </w:r>
      <w:r w:rsidR="000A24A8" w:rsidRPr="000E623B">
        <w:rPr>
          <w:rFonts w:asciiTheme="majorHAnsi" w:hAnsiTheme="majorHAnsi" w:cstheme="majorBidi"/>
        </w:rPr>
        <w:t>Table below</w:t>
      </w:r>
      <w:r w:rsidR="007173B2" w:rsidRPr="000E623B">
        <w:rPr>
          <w:rFonts w:asciiTheme="majorHAnsi" w:hAnsiTheme="majorHAnsi" w:cstheme="majorBidi"/>
        </w:rPr>
        <w:t xml:space="preserve">. </w:t>
      </w:r>
    </w:p>
    <w:p w14:paraId="3E6690EC" w14:textId="77777777" w:rsidR="000A24A8" w:rsidRPr="00737D6A" w:rsidRDefault="000A24A8" w:rsidP="005D20EE">
      <w:pPr>
        <w:pStyle w:val="Normal1"/>
        <w:keepNext/>
        <w:rPr>
          <w:rFonts w:asciiTheme="majorHAnsi" w:hAnsiTheme="majorHAnsi" w:cstheme="majorHAnsi"/>
        </w:rPr>
      </w:pPr>
    </w:p>
    <w:p w14:paraId="1CE10B66" w14:textId="40BCB918" w:rsidR="00576C8C" w:rsidRPr="00737D6A" w:rsidRDefault="00F107B4" w:rsidP="00206AE1">
      <w:pPr>
        <w:pStyle w:val="Normal1"/>
        <w:keepNext/>
        <w:rPr>
          <w:rFonts w:asciiTheme="majorHAnsi" w:hAnsiTheme="majorHAnsi" w:cstheme="majorHAnsi"/>
        </w:rPr>
      </w:pPr>
      <w:r w:rsidRPr="00737D6A">
        <w:rPr>
          <w:rFonts w:asciiTheme="majorHAnsi" w:hAnsiTheme="majorHAnsi" w:cstheme="majorHAnsi"/>
          <w:b/>
        </w:rPr>
        <w:t>C</w:t>
      </w:r>
      <w:r w:rsidR="007173B2" w:rsidRPr="00737D6A">
        <w:rPr>
          <w:rFonts w:asciiTheme="majorHAnsi" w:hAnsiTheme="majorHAnsi" w:cstheme="majorHAnsi"/>
          <w:b/>
        </w:rPr>
        <w:t>ode Summary</w:t>
      </w:r>
    </w:p>
    <w:tbl>
      <w:tblPr>
        <w:tblStyle w:val="11"/>
        <w:tblW w:w="8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3645"/>
        <w:gridCol w:w="2520"/>
      </w:tblGrid>
      <w:tr w:rsidR="00576C8C" w:rsidRPr="00737D6A" w14:paraId="3366D6EB" w14:textId="77777777" w:rsidTr="006E54D1">
        <w:tc>
          <w:tcPr>
            <w:tcW w:w="2160" w:type="dxa"/>
            <w:shd w:val="clear" w:color="auto" w:fill="D9D9D9"/>
          </w:tcPr>
          <w:p w14:paraId="007F1576" w14:textId="77777777" w:rsidR="00576C8C" w:rsidRPr="00737D6A" w:rsidRDefault="007173B2">
            <w:pPr>
              <w:pStyle w:val="Normal1"/>
              <w:keepNext/>
              <w:rPr>
                <w:rFonts w:asciiTheme="majorHAnsi" w:hAnsiTheme="majorHAnsi" w:cstheme="majorHAnsi"/>
              </w:rPr>
            </w:pPr>
            <w:r w:rsidRPr="00737D6A">
              <w:rPr>
                <w:rFonts w:asciiTheme="majorHAnsi" w:hAnsiTheme="majorHAnsi" w:cstheme="majorHAnsi"/>
                <w:b/>
                <w:shd w:val="clear" w:color="auto" w:fill="D9D9D9"/>
              </w:rPr>
              <w:t>Code</w:t>
            </w:r>
          </w:p>
        </w:tc>
        <w:tc>
          <w:tcPr>
            <w:tcW w:w="3645" w:type="dxa"/>
            <w:shd w:val="clear" w:color="auto" w:fill="D9D9D9"/>
          </w:tcPr>
          <w:p w14:paraId="2666F555" w14:textId="77777777" w:rsidR="00576C8C" w:rsidRPr="00737D6A" w:rsidRDefault="007173B2">
            <w:pPr>
              <w:pStyle w:val="Normal1"/>
              <w:widowControl w:val="0"/>
              <w:spacing w:line="276" w:lineRule="auto"/>
              <w:rPr>
                <w:rFonts w:asciiTheme="majorHAnsi" w:hAnsiTheme="majorHAnsi" w:cstheme="majorHAnsi"/>
              </w:rPr>
            </w:pPr>
            <w:r w:rsidRPr="00737D6A">
              <w:rPr>
                <w:rFonts w:asciiTheme="majorHAnsi" w:hAnsiTheme="majorHAnsi" w:cstheme="majorHAnsi"/>
                <w:b/>
                <w:shd w:val="clear" w:color="auto" w:fill="D9D9D9"/>
              </w:rPr>
              <w:t>Reference</w:t>
            </w:r>
          </w:p>
        </w:tc>
        <w:tc>
          <w:tcPr>
            <w:tcW w:w="2520" w:type="dxa"/>
            <w:shd w:val="clear" w:color="auto" w:fill="D9D9D9"/>
          </w:tcPr>
          <w:p w14:paraId="56DE90D3" w14:textId="77777777" w:rsidR="00576C8C" w:rsidRPr="00737D6A" w:rsidRDefault="007173B2">
            <w:pPr>
              <w:pStyle w:val="Normal1"/>
              <w:widowControl w:val="0"/>
              <w:spacing w:line="276" w:lineRule="auto"/>
              <w:rPr>
                <w:rFonts w:asciiTheme="majorHAnsi" w:hAnsiTheme="majorHAnsi" w:cstheme="majorHAnsi"/>
              </w:rPr>
            </w:pPr>
            <w:r w:rsidRPr="00737D6A">
              <w:rPr>
                <w:rFonts w:asciiTheme="majorHAnsi" w:hAnsiTheme="majorHAnsi" w:cstheme="majorHAnsi"/>
                <w:b/>
                <w:shd w:val="clear" w:color="auto" w:fill="D9D9D9"/>
              </w:rPr>
              <w:t>Effective Dates</w:t>
            </w:r>
          </w:p>
        </w:tc>
      </w:tr>
      <w:tr w:rsidR="00576C8C" w:rsidRPr="00737D6A" w14:paraId="4AF479FF" w14:textId="77777777" w:rsidTr="006E54D1">
        <w:trPr>
          <w:trHeight w:val="240"/>
        </w:trPr>
        <w:tc>
          <w:tcPr>
            <w:tcW w:w="2160" w:type="dxa"/>
          </w:tcPr>
          <w:p w14:paraId="0B4FB284" w14:textId="2315A097" w:rsidR="00576C8C" w:rsidRPr="00737D6A" w:rsidRDefault="007173B2">
            <w:pPr>
              <w:pStyle w:val="Normal1"/>
              <w:widowControl w:val="0"/>
              <w:spacing w:line="276" w:lineRule="auto"/>
              <w:rPr>
                <w:rFonts w:asciiTheme="majorHAnsi" w:hAnsiTheme="majorHAnsi" w:cstheme="majorHAnsi"/>
              </w:rPr>
            </w:pPr>
            <w:r w:rsidRPr="00737D6A">
              <w:rPr>
                <w:rFonts w:asciiTheme="majorHAnsi" w:hAnsiTheme="majorHAnsi" w:cstheme="majorHAnsi"/>
              </w:rPr>
              <w:t>Title 20 (201</w:t>
            </w:r>
            <w:r w:rsidR="0082101D" w:rsidRPr="00737D6A">
              <w:rPr>
                <w:rFonts w:asciiTheme="majorHAnsi" w:hAnsiTheme="majorHAnsi" w:cstheme="majorHAnsi"/>
              </w:rPr>
              <w:t>8</w:t>
            </w:r>
            <w:r w:rsidRPr="00737D6A">
              <w:rPr>
                <w:rFonts w:asciiTheme="majorHAnsi" w:hAnsiTheme="majorHAnsi" w:cstheme="majorHAnsi"/>
              </w:rPr>
              <w:t>)</w:t>
            </w:r>
          </w:p>
        </w:tc>
        <w:tc>
          <w:tcPr>
            <w:tcW w:w="3645" w:type="dxa"/>
          </w:tcPr>
          <w:p w14:paraId="0B802DD3" w14:textId="77777777" w:rsidR="00576C8C" w:rsidRPr="00737D6A" w:rsidRDefault="007173B2">
            <w:pPr>
              <w:pStyle w:val="Normal1"/>
              <w:widowControl w:val="0"/>
              <w:spacing w:line="276" w:lineRule="auto"/>
              <w:rPr>
                <w:rFonts w:asciiTheme="majorHAnsi" w:hAnsiTheme="majorHAnsi" w:cstheme="majorHAnsi"/>
              </w:rPr>
            </w:pPr>
            <w:r w:rsidRPr="00737D6A">
              <w:rPr>
                <w:rFonts w:asciiTheme="majorHAnsi" w:hAnsiTheme="majorHAnsi" w:cstheme="majorHAnsi"/>
              </w:rPr>
              <w:t>N/A</w:t>
            </w:r>
          </w:p>
        </w:tc>
        <w:tc>
          <w:tcPr>
            <w:tcW w:w="2520" w:type="dxa"/>
          </w:tcPr>
          <w:p w14:paraId="4F6AB026" w14:textId="77777777" w:rsidR="00576C8C" w:rsidRPr="00737D6A" w:rsidRDefault="007173B2">
            <w:pPr>
              <w:pStyle w:val="Normal1"/>
              <w:widowControl w:val="0"/>
              <w:spacing w:line="276" w:lineRule="auto"/>
              <w:rPr>
                <w:rFonts w:asciiTheme="majorHAnsi" w:hAnsiTheme="majorHAnsi" w:cstheme="majorHAnsi"/>
              </w:rPr>
            </w:pPr>
            <w:r w:rsidRPr="00737D6A">
              <w:rPr>
                <w:rFonts w:asciiTheme="majorHAnsi" w:hAnsiTheme="majorHAnsi" w:cstheme="majorHAnsi"/>
              </w:rPr>
              <w:t>N/A</w:t>
            </w:r>
          </w:p>
        </w:tc>
      </w:tr>
      <w:tr w:rsidR="00576C8C" w:rsidRPr="00737D6A" w14:paraId="5CFA2149" w14:textId="77777777" w:rsidTr="006E54D1">
        <w:trPr>
          <w:trHeight w:val="240"/>
        </w:trPr>
        <w:tc>
          <w:tcPr>
            <w:tcW w:w="2160" w:type="dxa"/>
          </w:tcPr>
          <w:p w14:paraId="1FF8FD76" w14:textId="36E8FA56" w:rsidR="00576C8C" w:rsidRPr="00737D6A" w:rsidRDefault="007173B2">
            <w:pPr>
              <w:pStyle w:val="Normal1"/>
              <w:rPr>
                <w:rFonts w:asciiTheme="majorHAnsi" w:hAnsiTheme="majorHAnsi" w:cstheme="majorHAnsi"/>
              </w:rPr>
            </w:pPr>
            <w:r w:rsidRPr="00737D6A">
              <w:rPr>
                <w:rFonts w:asciiTheme="majorHAnsi" w:hAnsiTheme="majorHAnsi" w:cstheme="majorHAnsi"/>
              </w:rPr>
              <w:t>Title 24 (201</w:t>
            </w:r>
            <w:r w:rsidR="00965F57" w:rsidRPr="00737D6A">
              <w:rPr>
                <w:rFonts w:asciiTheme="majorHAnsi" w:hAnsiTheme="majorHAnsi" w:cstheme="majorHAnsi"/>
              </w:rPr>
              <w:t>6</w:t>
            </w:r>
            <w:r w:rsidRPr="00737D6A">
              <w:rPr>
                <w:rFonts w:asciiTheme="majorHAnsi" w:hAnsiTheme="majorHAnsi" w:cstheme="majorHAnsi"/>
              </w:rPr>
              <w:t>)</w:t>
            </w:r>
          </w:p>
        </w:tc>
        <w:tc>
          <w:tcPr>
            <w:tcW w:w="3645" w:type="dxa"/>
          </w:tcPr>
          <w:p w14:paraId="2E2058D5" w14:textId="436D5446" w:rsidR="00576C8C" w:rsidRPr="00737D6A" w:rsidRDefault="0011482D">
            <w:pPr>
              <w:pStyle w:val="Normal1"/>
              <w:rPr>
                <w:rFonts w:asciiTheme="majorHAnsi" w:hAnsiTheme="majorHAnsi" w:cstheme="majorHAnsi"/>
              </w:rPr>
            </w:pPr>
            <w:r>
              <w:rPr>
                <w:rFonts w:asciiTheme="majorHAnsi" w:hAnsiTheme="majorHAnsi" w:cstheme="majorHAnsi"/>
              </w:rPr>
              <w:t>N/A</w:t>
            </w:r>
          </w:p>
        </w:tc>
        <w:tc>
          <w:tcPr>
            <w:tcW w:w="2520" w:type="dxa"/>
          </w:tcPr>
          <w:p w14:paraId="29FCA95D" w14:textId="65DF6DDD" w:rsidR="00576C8C" w:rsidRPr="00737D6A" w:rsidRDefault="00965F57">
            <w:pPr>
              <w:pStyle w:val="Normal1"/>
              <w:rPr>
                <w:rFonts w:asciiTheme="majorHAnsi" w:hAnsiTheme="majorHAnsi" w:cstheme="majorHAnsi"/>
              </w:rPr>
            </w:pPr>
            <w:r w:rsidRPr="00737D6A">
              <w:rPr>
                <w:rFonts w:asciiTheme="majorHAnsi" w:hAnsiTheme="majorHAnsi" w:cstheme="majorHAnsi"/>
              </w:rPr>
              <w:t>January 1</w:t>
            </w:r>
            <w:r w:rsidR="007173B2" w:rsidRPr="00737D6A">
              <w:rPr>
                <w:rFonts w:asciiTheme="majorHAnsi" w:hAnsiTheme="majorHAnsi" w:cstheme="majorHAnsi"/>
              </w:rPr>
              <w:t>, 201</w:t>
            </w:r>
            <w:r w:rsidRPr="00737D6A">
              <w:rPr>
                <w:rFonts w:asciiTheme="majorHAnsi" w:hAnsiTheme="majorHAnsi" w:cstheme="majorHAnsi"/>
              </w:rPr>
              <w:t>7</w:t>
            </w:r>
          </w:p>
        </w:tc>
      </w:tr>
    </w:tbl>
    <w:p w14:paraId="62FCC362" w14:textId="77777777" w:rsidR="00517BFD" w:rsidRPr="00737D6A" w:rsidRDefault="00517BFD">
      <w:pPr>
        <w:pStyle w:val="Normal1"/>
        <w:keepNext/>
        <w:rPr>
          <w:rFonts w:asciiTheme="majorHAnsi" w:hAnsiTheme="majorHAnsi" w:cstheme="majorHAnsi"/>
          <w:b/>
        </w:rPr>
      </w:pPr>
    </w:p>
    <w:p w14:paraId="02DBD8D2" w14:textId="4BB3A359" w:rsidR="00576C8C" w:rsidRPr="00B769D8" w:rsidRDefault="007173B2">
      <w:pPr>
        <w:pStyle w:val="Normal1"/>
        <w:keepNext/>
        <w:rPr>
          <w:rFonts w:asciiTheme="majorHAnsi" w:hAnsiTheme="majorHAnsi" w:cstheme="majorBidi"/>
        </w:rPr>
      </w:pPr>
      <w:r w:rsidRPr="000E623B">
        <w:rPr>
          <w:rFonts w:asciiTheme="majorHAnsi" w:hAnsiTheme="majorHAnsi" w:cstheme="majorBidi"/>
          <w:b/>
          <w:bCs/>
        </w:rPr>
        <w:t xml:space="preserve">Title 20: </w:t>
      </w:r>
      <w:r w:rsidRPr="000E623B">
        <w:rPr>
          <w:rFonts w:asciiTheme="majorHAnsi" w:hAnsiTheme="majorHAnsi" w:cstheme="majorBidi"/>
        </w:rPr>
        <w:t>This measure does not fall under Title 20 of the California Code of Regulations</w:t>
      </w:r>
      <w:r w:rsidR="0060170C" w:rsidRPr="000E623B">
        <w:rPr>
          <w:rFonts w:asciiTheme="majorHAnsi" w:hAnsiTheme="majorHAnsi" w:cstheme="majorBidi"/>
        </w:rPr>
        <w:t xml:space="preserve"> [515]</w:t>
      </w:r>
    </w:p>
    <w:p w14:paraId="43DFF4B9" w14:textId="775E27B2" w:rsidR="00047840" w:rsidRPr="00B769D8" w:rsidRDefault="007173B2">
      <w:pPr>
        <w:pStyle w:val="Normal1"/>
        <w:keepNext/>
        <w:rPr>
          <w:rFonts w:asciiTheme="majorHAnsi" w:hAnsiTheme="majorHAnsi" w:cstheme="majorBidi"/>
        </w:rPr>
      </w:pPr>
      <w:r w:rsidRPr="000E623B">
        <w:rPr>
          <w:rFonts w:asciiTheme="majorHAnsi" w:hAnsiTheme="majorHAnsi" w:cstheme="majorBidi"/>
          <w:b/>
          <w:bCs/>
        </w:rPr>
        <w:t>Title 24:</w:t>
      </w:r>
      <w:r w:rsidRPr="000E623B">
        <w:rPr>
          <w:rFonts w:asciiTheme="majorHAnsi" w:hAnsiTheme="majorHAnsi" w:cstheme="majorBidi"/>
        </w:rPr>
        <w:t xml:space="preserve"> Thermostats do fall under Title 24 of the California Code of Regulations, but smart</w:t>
      </w:r>
      <w:r w:rsidR="00EC75EB" w:rsidRPr="000E623B">
        <w:rPr>
          <w:rFonts w:asciiTheme="majorHAnsi" w:hAnsiTheme="majorHAnsi" w:cstheme="majorBidi"/>
        </w:rPr>
        <w:t xml:space="preserve"> </w:t>
      </w:r>
      <w:r w:rsidRPr="000E623B">
        <w:rPr>
          <w:rFonts w:asciiTheme="majorHAnsi" w:hAnsiTheme="majorHAnsi" w:cstheme="majorBidi"/>
        </w:rPr>
        <w:t xml:space="preserve">thermostats discussed in this work paper </w:t>
      </w:r>
      <w:r w:rsidR="00962BE6" w:rsidRPr="000E623B">
        <w:rPr>
          <w:rFonts w:asciiTheme="majorHAnsi" w:hAnsiTheme="majorHAnsi" w:cstheme="majorBidi"/>
        </w:rPr>
        <w:t xml:space="preserve">are not a </w:t>
      </w:r>
      <w:r w:rsidR="00F7727F" w:rsidRPr="000E623B">
        <w:rPr>
          <w:rFonts w:asciiTheme="majorHAnsi" w:hAnsiTheme="majorHAnsi" w:cstheme="majorBidi"/>
        </w:rPr>
        <w:t xml:space="preserve">subject to this </w:t>
      </w:r>
      <w:r w:rsidR="00962BE6" w:rsidRPr="000E623B">
        <w:rPr>
          <w:rFonts w:asciiTheme="majorHAnsi" w:hAnsiTheme="majorHAnsi" w:cstheme="majorBidi"/>
        </w:rPr>
        <w:t>requirement</w:t>
      </w:r>
      <w:r w:rsidR="0081592A">
        <w:rPr>
          <w:rFonts w:asciiTheme="majorHAnsi" w:hAnsiTheme="majorHAnsi" w:cstheme="majorBidi"/>
        </w:rPr>
        <w:t xml:space="preserve"> </w:t>
      </w:r>
      <w:r w:rsidR="0060170C" w:rsidRPr="000E623B">
        <w:rPr>
          <w:rFonts w:asciiTheme="majorHAnsi" w:hAnsiTheme="majorHAnsi" w:cstheme="majorBidi"/>
        </w:rPr>
        <w:t>[496]</w:t>
      </w:r>
      <w:r w:rsidR="0081592A">
        <w:rPr>
          <w:rFonts w:asciiTheme="majorHAnsi" w:hAnsiTheme="majorHAnsi" w:cstheme="majorBidi"/>
        </w:rPr>
        <w:t>.</w:t>
      </w:r>
    </w:p>
    <w:p w14:paraId="7BE4A2FD" w14:textId="77777777" w:rsidR="0081592A" w:rsidRPr="00737D6A" w:rsidRDefault="0081592A" w:rsidP="00B769D8">
      <w:pPr>
        <w:pStyle w:val="Normal1"/>
        <w:keepNext/>
        <w:tabs>
          <w:tab w:val="left" w:pos="5064"/>
        </w:tabs>
        <w:rPr>
          <w:rFonts w:asciiTheme="majorHAnsi" w:hAnsiTheme="majorHAnsi" w:cstheme="majorHAnsi"/>
        </w:rPr>
      </w:pPr>
    </w:p>
    <w:p w14:paraId="5FC538B0" w14:textId="77777777" w:rsidR="00576C8C" w:rsidRPr="00737D6A" w:rsidRDefault="007173B2">
      <w:pPr>
        <w:pStyle w:val="Normal1"/>
        <w:keepNext/>
        <w:rPr>
          <w:rFonts w:asciiTheme="majorHAnsi" w:hAnsiTheme="majorHAnsi" w:cstheme="majorHAnsi"/>
        </w:rPr>
      </w:pPr>
      <w:r w:rsidRPr="00737D6A">
        <w:rPr>
          <w:rFonts w:asciiTheme="majorHAnsi" w:hAnsiTheme="majorHAnsi" w:cstheme="majorHAnsi"/>
          <w:b/>
        </w:rPr>
        <w:t xml:space="preserve">Federal Standards: </w:t>
      </w:r>
      <w:r w:rsidRPr="00737D6A">
        <w:rPr>
          <w:rFonts w:asciiTheme="majorHAnsi" w:hAnsiTheme="majorHAnsi" w:cstheme="majorHAnsi"/>
        </w:rPr>
        <w:t>These measures do not fall under Federal DOE or EPA Energy Regulations.</w:t>
      </w:r>
    </w:p>
    <w:p w14:paraId="2C1C9E71" w14:textId="77777777" w:rsidR="00576C8C" w:rsidRPr="00737D6A" w:rsidRDefault="007173B2">
      <w:pPr>
        <w:pStyle w:val="Normal1"/>
        <w:keepNext/>
        <w:rPr>
          <w:rFonts w:asciiTheme="majorHAnsi" w:hAnsiTheme="majorHAnsi" w:cstheme="majorHAnsi"/>
        </w:rPr>
      </w:pPr>
      <w:r w:rsidRPr="00737D6A">
        <w:rPr>
          <w:rFonts w:asciiTheme="majorHAnsi" w:hAnsiTheme="majorHAnsi" w:cstheme="majorHAnsi"/>
        </w:rPr>
        <w:t xml:space="preserve"> </w:t>
      </w:r>
    </w:p>
    <w:p w14:paraId="2D057EC2" w14:textId="0BD83145" w:rsidR="00576C8C" w:rsidRDefault="007173B2">
      <w:pPr>
        <w:pStyle w:val="Normal1"/>
        <w:keepNext/>
        <w:rPr>
          <w:rFonts w:asciiTheme="majorHAnsi" w:hAnsiTheme="majorHAnsi" w:cstheme="majorBidi"/>
        </w:rPr>
      </w:pPr>
      <w:r w:rsidRPr="000E623B">
        <w:rPr>
          <w:rFonts w:asciiTheme="majorHAnsi" w:hAnsiTheme="majorHAnsi" w:cstheme="majorBidi"/>
        </w:rPr>
        <w:t>Note that the applicable codes and standards dictate only that the thermostats be capable of shutting systems off and adjusting temperature set points during unoccupied hours. There are no requirements to actually shut down systems during unoccupied hours, or to make any specific unoccupied temperature set point adjustments</w:t>
      </w:r>
      <w:r w:rsidR="00784C1E" w:rsidRPr="000E623B">
        <w:rPr>
          <w:rFonts w:asciiTheme="majorHAnsi" w:hAnsiTheme="majorHAnsi" w:cstheme="majorBidi"/>
        </w:rPr>
        <w:t>.</w:t>
      </w:r>
    </w:p>
    <w:p w14:paraId="22E34DDE" w14:textId="77777777" w:rsidR="006A21F7" w:rsidRDefault="006A21F7">
      <w:pPr>
        <w:pStyle w:val="Normal1"/>
        <w:keepNext/>
        <w:rPr>
          <w:rFonts w:asciiTheme="majorHAnsi" w:hAnsiTheme="majorHAnsi" w:cstheme="majorBidi"/>
        </w:rPr>
      </w:pPr>
    </w:p>
    <w:p w14:paraId="46DC9086" w14:textId="77777777" w:rsidR="00576C8C" w:rsidRPr="00737D6A" w:rsidRDefault="007173B2">
      <w:pPr>
        <w:pStyle w:val="Heading2"/>
        <w:rPr>
          <w:rFonts w:asciiTheme="majorHAnsi" w:hAnsiTheme="majorHAnsi" w:cstheme="majorHAnsi"/>
        </w:rPr>
      </w:pPr>
      <w:bookmarkStart w:id="10" w:name="_2s8eyo1" w:colFirst="0" w:colLast="0"/>
      <w:bookmarkEnd w:id="10"/>
      <w:r w:rsidRPr="00737D6A">
        <w:rPr>
          <w:rFonts w:asciiTheme="majorHAnsi" w:eastAsia="Calibri" w:hAnsiTheme="majorHAnsi" w:cstheme="majorHAnsi"/>
        </w:rPr>
        <w:t>1.5 EM&amp;V, Market Potential, and Other Studies – Base Case and Measure Case Information</w:t>
      </w:r>
    </w:p>
    <w:p w14:paraId="08318DC5" w14:textId="21E39A03" w:rsidR="00976EFB" w:rsidRPr="00737D6A" w:rsidRDefault="001B36BA" w:rsidP="006E54D1">
      <w:pPr>
        <w:rPr>
          <w:rFonts w:asciiTheme="majorHAnsi" w:hAnsiTheme="majorHAnsi" w:cstheme="majorHAnsi"/>
        </w:rPr>
      </w:pPr>
      <w:r w:rsidRPr="00737D6A">
        <w:rPr>
          <w:rFonts w:asciiTheme="majorHAnsi" w:hAnsiTheme="majorHAnsi" w:cstheme="majorHAnsi"/>
        </w:rPr>
        <w:t xml:space="preserve">Latest </w:t>
      </w:r>
      <w:r w:rsidR="00361A5E" w:rsidRPr="00737D6A">
        <w:rPr>
          <w:rFonts w:asciiTheme="majorHAnsi" w:hAnsiTheme="majorHAnsi" w:cstheme="majorHAnsi"/>
        </w:rPr>
        <w:t>r</w:t>
      </w:r>
      <w:r w:rsidR="007173B2" w:rsidRPr="00737D6A">
        <w:rPr>
          <w:rFonts w:asciiTheme="majorHAnsi" w:hAnsiTheme="majorHAnsi" w:cstheme="majorHAnsi"/>
        </w:rPr>
        <w:t xml:space="preserve">elevant </w:t>
      </w:r>
      <w:r w:rsidRPr="00737D6A">
        <w:rPr>
          <w:rFonts w:asciiTheme="majorHAnsi" w:hAnsiTheme="majorHAnsi" w:cstheme="majorHAnsi"/>
        </w:rPr>
        <w:t xml:space="preserve">Utility supported </w:t>
      </w:r>
      <w:r w:rsidR="007173B2" w:rsidRPr="00737D6A">
        <w:rPr>
          <w:rFonts w:asciiTheme="majorHAnsi" w:hAnsiTheme="majorHAnsi" w:cstheme="majorHAnsi"/>
        </w:rPr>
        <w:t>smart</w:t>
      </w:r>
      <w:r w:rsidRPr="00737D6A">
        <w:rPr>
          <w:rFonts w:asciiTheme="majorHAnsi" w:hAnsiTheme="majorHAnsi" w:cstheme="majorHAnsi"/>
        </w:rPr>
        <w:t xml:space="preserve"> </w:t>
      </w:r>
      <w:r w:rsidR="007173B2" w:rsidRPr="00737D6A">
        <w:rPr>
          <w:rFonts w:asciiTheme="majorHAnsi" w:hAnsiTheme="majorHAnsi" w:cstheme="majorHAnsi"/>
        </w:rPr>
        <w:t>thermostat studies</w:t>
      </w:r>
      <w:r w:rsidRPr="00737D6A">
        <w:rPr>
          <w:rFonts w:asciiTheme="majorHAnsi" w:hAnsiTheme="majorHAnsi" w:cstheme="majorHAnsi"/>
        </w:rPr>
        <w:t xml:space="preserve"> </w:t>
      </w:r>
      <w:r w:rsidR="00DC1DCF" w:rsidRPr="00737D6A">
        <w:rPr>
          <w:rFonts w:asciiTheme="majorHAnsi" w:hAnsiTheme="majorHAnsi" w:cstheme="majorHAnsi"/>
        </w:rPr>
        <w:t xml:space="preserve">leveraged to support measure impacts are </w:t>
      </w:r>
      <w:r w:rsidRPr="00737D6A">
        <w:rPr>
          <w:rFonts w:asciiTheme="majorHAnsi" w:hAnsiTheme="majorHAnsi" w:cstheme="majorHAnsi"/>
        </w:rPr>
        <w:t xml:space="preserve">documented herein.  These studies support the adequate </w:t>
      </w:r>
      <w:r w:rsidR="00361A5E" w:rsidRPr="00737D6A">
        <w:rPr>
          <w:rFonts w:asciiTheme="majorHAnsi" w:hAnsiTheme="majorHAnsi" w:cstheme="majorHAnsi"/>
        </w:rPr>
        <w:t>experimental methods</w:t>
      </w:r>
      <w:r w:rsidRPr="00737D6A">
        <w:rPr>
          <w:rFonts w:asciiTheme="majorHAnsi" w:hAnsiTheme="majorHAnsi" w:cstheme="majorHAnsi"/>
        </w:rPr>
        <w:t xml:space="preserve"> and supporting documentation for evaluation of the measure</w:t>
      </w:r>
      <w:r w:rsidR="00BC2C21" w:rsidRPr="00737D6A">
        <w:rPr>
          <w:rFonts w:asciiTheme="majorHAnsi" w:hAnsiTheme="majorHAnsi" w:cstheme="majorHAnsi"/>
        </w:rPr>
        <w:t xml:space="preserve">.  </w:t>
      </w:r>
    </w:p>
    <w:p w14:paraId="3CDE1205" w14:textId="762CF99F" w:rsidR="00E80F60" w:rsidRPr="00737D6A" w:rsidRDefault="003E6C8D" w:rsidP="006E54D1">
      <w:pPr>
        <w:pStyle w:val="Heading3"/>
        <w:rPr>
          <w:rFonts w:asciiTheme="majorHAnsi" w:hAnsiTheme="majorHAnsi" w:cstheme="majorHAnsi"/>
          <w:sz w:val="20"/>
          <w:szCs w:val="20"/>
        </w:rPr>
      </w:pPr>
      <w:r w:rsidRPr="000E623B">
        <w:rPr>
          <w:rFonts w:asciiTheme="majorHAnsi" w:hAnsiTheme="majorHAnsi" w:cstheme="majorBidi"/>
        </w:rPr>
        <w:t xml:space="preserve">1.5.1 </w:t>
      </w:r>
      <w:r w:rsidR="00976EFB" w:rsidRPr="000E623B">
        <w:rPr>
          <w:rFonts w:asciiTheme="majorHAnsi" w:hAnsiTheme="majorHAnsi" w:cstheme="majorBidi"/>
          <w:shd w:val="clear" w:color="auto" w:fill="FFFFFF"/>
        </w:rPr>
        <w:t>PG&amp;E Smart Thermostat Study: First Year Findings</w:t>
      </w:r>
    </w:p>
    <w:p w14:paraId="32B1645C" w14:textId="39DB6D6C" w:rsidR="004A32FC" w:rsidRPr="00CE7AEF" w:rsidRDefault="004A32FC">
      <w:pPr>
        <w:rPr>
          <w:rFonts w:asciiTheme="majorHAnsi" w:hAnsiTheme="majorHAnsi" w:cstheme="majorBidi"/>
        </w:rPr>
      </w:pPr>
      <w:r w:rsidRPr="000E623B">
        <w:rPr>
          <w:rFonts w:asciiTheme="majorHAnsi" w:hAnsiTheme="majorHAnsi" w:cstheme="majorBidi"/>
        </w:rPr>
        <w:t xml:space="preserve">PG&amp;E designed the Smart Thermostat Study (Study) as an Emerging Technologies Program scaled field placement to gather data from customer homes that have been randomly assigned to receive a free smart thermostat.  The Study is a randomized encouragement design (RED) trial in which several thousand homes were randomly assigned to the encouraged group, all of whom were offered a free, directly-installed smart thermostat, and two thousand similar homes were randomly assigned to a control group, none of whom were offered a thermostat. Three different brands of thermostats were tested in the study; the goal was to install 1,000 of each type of thermostat in participants’ homes.  See Attachment </w:t>
      </w:r>
      <w:r w:rsidR="003927FE" w:rsidRPr="000E623B">
        <w:rPr>
          <w:rFonts w:asciiTheme="majorHAnsi" w:hAnsiTheme="majorHAnsi" w:cstheme="majorBidi"/>
        </w:rPr>
        <w:t>6</w:t>
      </w:r>
      <w:r w:rsidRPr="000E623B">
        <w:rPr>
          <w:rFonts w:asciiTheme="majorHAnsi" w:hAnsiTheme="majorHAnsi" w:cstheme="majorBidi"/>
        </w:rPr>
        <w:t xml:space="preserve"> for details. </w:t>
      </w:r>
      <w:r w:rsidR="0099192D" w:rsidRPr="00CE7AEF">
        <w:rPr>
          <w:rFonts w:asciiTheme="majorHAnsi" w:hAnsiTheme="majorHAnsi" w:cstheme="majorBidi"/>
          <w:b/>
        </w:rPr>
        <w:t>Note that the regression models used in the analysis of this workpaper are modified from those published in the ET Report. See Section 2 for the details on the revised calculation methodology.</w:t>
      </w:r>
    </w:p>
    <w:p w14:paraId="1D8072D9" w14:textId="3EF5EA0F" w:rsidR="00736C28" w:rsidRPr="00737D6A" w:rsidRDefault="00736C28" w:rsidP="006E54D1">
      <w:pPr>
        <w:rPr>
          <w:rFonts w:asciiTheme="majorHAnsi" w:hAnsiTheme="majorHAnsi" w:cstheme="majorHAnsi"/>
        </w:rPr>
      </w:pPr>
    </w:p>
    <w:p w14:paraId="522D2A56" w14:textId="26ED93B2" w:rsidR="00E80F60" w:rsidRPr="00CE7AEF" w:rsidRDefault="003E6C8D">
      <w:pPr>
        <w:pStyle w:val="Heading3"/>
        <w:rPr>
          <w:rFonts w:asciiTheme="majorHAnsi" w:eastAsia="Calibri" w:hAnsiTheme="majorHAnsi" w:cstheme="majorBidi"/>
          <w:b w:val="0"/>
        </w:rPr>
      </w:pPr>
      <w:r w:rsidRPr="000E623B">
        <w:rPr>
          <w:rFonts w:asciiTheme="majorHAnsi" w:hAnsiTheme="majorHAnsi" w:cstheme="majorBidi"/>
        </w:rPr>
        <w:t xml:space="preserve">1.5.2 </w:t>
      </w:r>
      <w:r w:rsidR="00E80F60" w:rsidRPr="000E623B">
        <w:rPr>
          <w:rFonts w:asciiTheme="majorHAnsi" w:hAnsiTheme="majorHAnsi" w:cstheme="majorBidi"/>
          <w:shd w:val="clear" w:color="auto" w:fill="FFFFFF"/>
        </w:rPr>
        <w:t>PG&amp;E Smart Thermostat Study: Second Year Findings</w:t>
      </w:r>
      <w:r w:rsidR="009B7D45" w:rsidRPr="000E623B">
        <w:rPr>
          <w:rFonts w:asciiTheme="majorHAnsi" w:hAnsiTheme="majorHAnsi" w:cstheme="majorBidi"/>
          <w:shd w:val="clear" w:color="auto" w:fill="FFFFFF"/>
        </w:rPr>
        <w:t xml:space="preserve"> </w:t>
      </w:r>
    </w:p>
    <w:p w14:paraId="78C18CBE" w14:textId="0351C8FA" w:rsidR="00CE4058" w:rsidRPr="00CE7AEF" w:rsidRDefault="004A32FC">
      <w:pPr>
        <w:rPr>
          <w:rFonts w:asciiTheme="majorHAnsi" w:hAnsiTheme="majorHAnsi" w:cstheme="majorBidi"/>
          <w:sz w:val="26"/>
          <w:szCs w:val="26"/>
        </w:rPr>
      </w:pPr>
      <w:r w:rsidRPr="000E623B">
        <w:rPr>
          <w:rFonts w:asciiTheme="majorHAnsi" w:hAnsiTheme="majorHAnsi" w:cstheme="majorBidi"/>
        </w:rPr>
        <w:t>This addendum to PGE’s First Year Findings provides energy savings results from the second year of monitoring as well as the results of an “end-of-project” survey of both the treated and untreated/control group participants, conducted in November 2017.  The findings of this study suggest persistent electric savings for all three brands of thermostat</w:t>
      </w:r>
      <w:r w:rsidR="00A0680C" w:rsidRPr="000E623B">
        <w:rPr>
          <w:rFonts w:asciiTheme="majorHAnsi" w:hAnsiTheme="majorHAnsi" w:cstheme="majorBidi"/>
        </w:rPr>
        <w:t>s</w:t>
      </w:r>
      <w:r w:rsidRPr="000E623B">
        <w:rPr>
          <w:rFonts w:asciiTheme="majorHAnsi" w:hAnsiTheme="majorHAnsi" w:cstheme="majorBidi"/>
        </w:rPr>
        <w:t xml:space="preserve"> and persistent natural gas savings during the heating season for one of the evaluated thermostats</w:t>
      </w:r>
      <w:r w:rsidR="00953E4E" w:rsidRPr="000E623B">
        <w:rPr>
          <w:rFonts w:asciiTheme="majorHAnsi" w:hAnsiTheme="majorHAnsi" w:cstheme="majorBidi"/>
        </w:rPr>
        <w:t xml:space="preserve">.  See Attachment </w:t>
      </w:r>
      <w:r w:rsidR="003927FE" w:rsidRPr="000E623B">
        <w:rPr>
          <w:rFonts w:asciiTheme="majorHAnsi" w:hAnsiTheme="majorHAnsi" w:cstheme="majorBidi"/>
        </w:rPr>
        <w:t>7</w:t>
      </w:r>
      <w:r w:rsidR="00953E4E" w:rsidRPr="000E623B">
        <w:rPr>
          <w:rFonts w:asciiTheme="majorHAnsi" w:hAnsiTheme="majorHAnsi" w:cstheme="majorBidi"/>
        </w:rPr>
        <w:t xml:space="preserve"> for details.</w:t>
      </w:r>
      <w:r w:rsidR="00DF0B08" w:rsidRPr="000E623B">
        <w:rPr>
          <w:rFonts w:asciiTheme="majorHAnsi" w:hAnsiTheme="majorHAnsi" w:cstheme="majorBidi"/>
        </w:rPr>
        <w:t xml:space="preserve">  </w:t>
      </w:r>
      <w:r w:rsidR="00DF0B08" w:rsidRPr="00CE7AEF">
        <w:rPr>
          <w:rFonts w:asciiTheme="majorHAnsi" w:hAnsiTheme="majorHAnsi" w:cstheme="majorBidi"/>
          <w:b/>
          <w:bCs/>
        </w:rPr>
        <w:t xml:space="preserve">Note that </w:t>
      </w:r>
      <w:r w:rsidR="00411988" w:rsidRPr="00CE7AEF">
        <w:rPr>
          <w:rFonts w:asciiTheme="majorHAnsi" w:hAnsiTheme="majorHAnsi" w:cstheme="majorBidi"/>
          <w:b/>
          <w:bCs/>
        </w:rPr>
        <w:t xml:space="preserve">this Study was </w:t>
      </w:r>
      <w:r w:rsidR="009B7D45" w:rsidRPr="000E623B">
        <w:rPr>
          <w:rFonts w:asciiTheme="majorHAnsi" w:hAnsiTheme="majorHAnsi" w:cstheme="majorBidi"/>
          <w:b/>
          <w:bCs/>
        </w:rPr>
        <w:t xml:space="preserve">evaluated but </w:t>
      </w:r>
      <w:r w:rsidR="00411988" w:rsidRPr="00CE7AEF">
        <w:rPr>
          <w:rFonts w:asciiTheme="majorHAnsi" w:hAnsiTheme="majorHAnsi" w:cstheme="majorBidi"/>
          <w:b/>
          <w:bCs/>
        </w:rPr>
        <w:t>not included in the</w:t>
      </w:r>
      <w:r w:rsidR="009B7D45" w:rsidRPr="000E623B">
        <w:rPr>
          <w:rFonts w:asciiTheme="majorHAnsi" w:hAnsiTheme="majorHAnsi" w:cstheme="majorBidi"/>
          <w:b/>
          <w:bCs/>
        </w:rPr>
        <w:t xml:space="preserve"> final</w:t>
      </w:r>
      <w:r w:rsidR="00411988" w:rsidRPr="00CE7AEF">
        <w:rPr>
          <w:rFonts w:asciiTheme="majorHAnsi" w:hAnsiTheme="majorHAnsi" w:cstheme="majorBidi"/>
          <w:b/>
          <w:bCs/>
        </w:rPr>
        <w:t xml:space="preserve"> </w:t>
      </w:r>
      <w:r w:rsidR="00CD337D" w:rsidRPr="00CE7AEF">
        <w:rPr>
          <w:rFonts w:asciiTheme="majorHAnsi" w:hAnsiTheme="majorHAnsi" w:cstheme="majorBidi"/>
          <w:b/>
          <w:bCs/>
        </w:rPr>
        <w:t>evaluation of measure savings</w:t>
      </w:r>
      <w:r w:rsidR="00CD337D" w:rsidRPr="000E623B">
        <w:rPr>
          <w:rFonts w:asciiTheme="majorHAnsi" w:hAnsiTheme="majorHAnsi" w:cstheme="majorBidi"/>
        </w:rPr>
        <w:t>.</w:t>
      </w:r>
      <w:r w:rsidR="00953E4E" w:rsidRPr="000E623B">
        <w:rPr>
          <w:rFonts w:asciiTheme="majorHAnsi" w:hAnsiTheme="majorHAnsi" w:cstheme="majorBidi"/>
        </w:rPr>
        <w:t xml:space="preserve">  </w:t>
      </w:r>
      <w:r w:rsidR="00411988" w:rsidRPr="000E623B">
        <w:rPr>
          <w:rFonts w:asciiTheme="majorHAnsi" w:hAnsiTheme="majorHAnsi" w:cstheme="majorBidi"/>
        </w:rPr>
        <w:t xml:space="preserve">See </w:t>
      </w:r>
      <w:r w:rsidR="00CD337D" w:rsidRPr="000E623B">
        <w:rPr>
          <w:rFonts w:asciiTheme="majorHAnsi" w:hAnsiTheme="majorHAnsi" w:cstheme="majorBidi"/>
        </w:rPr>
        <w:t xml:space="preserve">Attachment </w:t>
      </w:r>
      <w:r w:rsidR="003927FE" w:rsidRPr="000E623B">
        <w:rPr>
          <w:rFonts w:asciiTheme="majorHAnsi" w:hAnsiTheme="majorHAnsi" w:cstheme="majorBidi"/>
        </w:rPr>
        <w:t>8</w:t>
      </w:r>
      <w:r w:rsidR="00DF0B08" w:rsidRPr="000E623B">
        <w:rPr>
          <w:rFonts w:asciiTheme="majorHAnsi" w:hAnsiTheme="majorHAnsi" w:cstheme="majorBidi"/>
        </w:rPr>
        <w:t xml:space="preserve"> on reasoning for its exclusion. </w:t>
      </w:r>
    </w:p>
    <w:p w14:paraId="34F9396A" w14:textId="1EE993DB" w:rsidR="007A61D3" w:rsidRPr="00737D6A" w:rsidRDefault="003E6C8D">
      <w:pPr>
        <w:pStyle w:val="Heading3"/>
        <w:rPr>
          <w:rFonts w:asciiTheme="majorHAnsi" w:hAnsiTheme="majorHAnsi" w:cstheme="majorHAnsi"/>
        </w:rPr>
      </w:pPr>
      <w:r w:rsidRPr="00737D6A">
        <w:rPr>
          <w:rFonts w:asciiTheme="majorHAnsi" w:hAnsiTheme="majorHAnsi" w:cstheme="majorHAnsi"/>
        </w:rPr>
        <w:t xml:space="preserve">1.5.3 </w:t>
      </w:r>
      <w:r w:rsidR="00E80F60" w:rsidRPr="00737D6A">
        <w:rPr>
          <w:rFonts w:asciiTheme="majorHAnsi" w:hAnsiTheme="majorHAnsi" w:cstheme="majorHAnsi"/>
        </w:rPr>
        <w:t>PG&amp;E Smart Thermostat Program Process Evaluation – Opinion Dynamics</w:t>
      </w:r>
    </w:p>
    <w:p w14:paraId="2E79B942" w14:textId="4DF68D9B" w:rsidR="0096695A" w:rsidRPr="008E0B5F" w:rsidRDefault="00494458">
      <w:pPr>
        <w:rPr>
          <w:rFonts w:asciiTheme="majorHAnsi" w:hAnsiTheme="majorHAnsi" w:cstheme="majorBidi"/>
        </w:rPr>
      </w:pPr>
      <w:r w:rsidRPr="000E623B">
        <w:rPr>
          <w:rFonts w:asciiTheme="majorHAnsi" w:hAnsiTheme="majorHAnsi" w:cstheme="majorBidi"/>
        </w:rPr>
        <w:t xml:space="preserve">This process evaluation draws on participant surveys conducted between October 2017 and February 2018.  Participants provided feedback on their experience with the program including their motivation for participation, thermostat installation and use, the influence of the program on their purchase decision, satisfaction, and housing characteristics.  </w:t>
      </w:r>
      <w:r w:rsidR="004A32FC" w:rsidRPr="000E623B">
        <w:rPr>
          <w:rFonts w:asciiTheme="majorHAnsi" w:hAnsiTheme="majorHAnsi" w:cstheme="majorBidi"/>
        </w:rPr>
        <w:t xml:space="preserve">See Attachment </w:t>
      </w:r>
      <w:r w:rsidR="003927FE" w:rsidRPr="000E623B">
        <w:rPr>
          <w:rFonts w:asciiTheme="majorHAnsi" w:hAnsiTheme="majorHAnsi" w:cstheme="majorBidi"/>
        </w:rPr>
        <w:t>5</w:t>
      </w:r>
      <w:r w:rsidR="004A32FC" w:rsidRPr="000E623B">
        <w:rPr>
          <w:rFonts w:asciiTheme="majorHAnsi" w:hAnsiTheme="majorHAnsi" w:cstheme="majorBidi"/>
        </w:rPr>
        <w:t xml:space="preserve"> for details.</w:t>
      </w:r>
      <w:bookmarkStart w:id="11" w:name="_Hlk530402358"/>
    </w:p>
    <w:p w14:paraId="33D8E67C" w14:textId="026C50EF" w:rsidR="00E80F60" w:rsidRPr="00737D6A" w:rsidRDefault="003E6C8D">
      <w:pPr>
        <w:pStyle w:val="Heading3"/>
        <w:rPr>
          <w:rFonts w:asciiTheme="majorHAnsi" w:hAnsiTheme="majorHAnsi" w:cstheme="majorHAnsi"/>
        </w:rPr>
      </w:pPr>
      <w:r w:rsidRPr="00737D6A">
        <w:rPr>
          <w:rFonts w:asciiTheme="majorHAnsi" w:hAnsiTheme="majorHAnsi" w:cstheme="majorHAnsi"/>
        </w:rPr>
        <w:lastRenderedPageBreak/>
        <w:t xml:space="preserve">1.5.4 </w:t>
      </w:r>
      <w:r w:rsidR="003922F0" w:rsidRPr="00737D6A">
        <w:rPr>
          <w:rFonts w:asciiTheme="majorHAnsi" w:hAnsiTheme="majorHAnsi" w:cstheme="majorHAnsi"/>
        </w:rPr>
        <w:t xml:space="preserve">SCE </w:t>
      </w:r>
      <w:r w:rsidR="009C33F8" w:rsidRPr="00737D6A">
        <w:rPr>
          <w:rFonts w:asciiTheme="majorHAnsi" w:hAnsiTheme="majorHAnsi" w:cstheme="majorHAnsi"/>
        </w:rPr>
        <w:t>Replication and Improvement of Smart Thermostat EUL</w:t>
      </w:r>
    </w:p>
    <w:p w14:paraId="7A553BA2" w14:textId="5B05837F" w:rsidR="009C33F8" w:rsidRPr="008E0B5F" w:rsidRDefault="009D7868">
      <w:pPr>
        <w:rPr>
          <w:rFonts w:asciiTheme="majorHAnsi" w:hAnsiTheme="majorHAnsi" w:cstheme="majorBidi"/>
        </w:rPr>
      </w:pPr>
      <w:r w:rsidRPr="000E623B">
        <w:rPr>
          <w:rFonts w:asciiTheme="majorHAnsi" w:hAnsiTheme="majorHAnsi" w:cstheme="majorBidi"/>
        </w:rPr>
        <w:t xml:space="preserve">This study evaluated effective useful </w:t>
      </w:r>
      <w:r w:rsidR="00AE6946" w:rsidRPr="000E623B">
        <w:rPr>
          <w:rFonts w:asciiTheme="majorHAnsi" w:hAnsiTheme="majorHAnsi" w:cstheme="majorBidi"/>
        </w:rPr>
        <w:t xml:space="preserve">life (EUL) of </w:t>
      </w:r>
      <w:r w:rsidRPr="000E623B">
        <w:rPr>
          <w:rFonts w:asciiTheme="majorHAnsi" w:hAnsiTheme="majorHAnsi" w:cstheme="majorBidi"/>
        </w:rPr>
        <w:t>smart thermostat technology with two-way communication and automatic scheduling capabilities.  The analysis</w:t>
      </w:r>
      <w:r w:rsidR="004C2251" w:rsidRPr="000E623B">
        <w:rPr>
          <w:rFonts w:asciiTheme="majorHAnsi" w:hAnsiTheme="majorHAnsi" w:cstheme="majorBidi"/>
        </w:rPr>
        <w:t>, leveraging</w:t>
      </w:r>
      <w:r w:rsidR="00761CD3" w:rsidRPr="000E623B">
        <w:rPr>
          <w:rFonts w:asciiTheme="majorHAnsi" w:hAnsiTheme="majorHAnsi" w:cstheme="majorBidi"/>
        </w:rPr>
        <w:t xml:space="preserve"> data set</w:t>
      </w:r>
      <w:r w:rsidR="009440D8" w:rsidRPr="000E623B">
        <w:rPr>
          <w:rFonts w:asciiTheme="majorHAnsi" w:hAnsiTheme="majorHAnsi" w:cstheme="majorBidi"/>
        </w:rPr>
        <w:t xml:space="preserve">s from </w:t>
      </w:r>
      <w:r w:rsidR="00761CD3" w:rsidRPr="000E623B">
        <w:rPr>
          <w:rFonts w:asciiTheme="majorHAnsi" w:hAnsiTheme="majorHAnsi" w:cstheme="majorBidi"/>
        </w:rPr>
        <w:t>leading SCT manufacturer</w:t>
      </w:r>
      <w:r w:rsidR="00AE6946" w:rsidRPr="000E623B">
        <w:rPr>
          <w:rFonts w:asciiTheme="majorHAnsi" w:hAnsiTheme="majorHAnsi" w:cstheme="majorBidi"/>
        </w:rPr>
        <w:t>s</w:t>
      </w:r>
      <w:r w:rsidR="00761CD3" w:rsidRPr="000E623B">
        <w:rPr>
          <w:rFonts w:asciiTheme="majorHAnsi" w:hAnsiTheme="majorHAnsi" w:cstheme="majorBidi"/>
        </w:rPr>
        <w:t xml:space="preserve"> in California</w:t>
      </w:r>
      <w:r w:rsidR="00AE6946" w:rsidRPr="00EB68B9">
        <w:rPr>
          <w:rFonts w:asciiTheme="majorHAnsi" w:hAnsiTheme="majorHAnsi" w:cstheme="majorBidi"/>
        </w:rPr>
        <w:t xml:space="preserve">, </w:t>
      </w:r>
      <w:r w:rsidRPr="00EB68B9">
        <w:rPr>
          <w:rFonts w:asciiTheme="majorHAnsi" w:hAnsiTheme="majorHAnsi" w:cstheme="majorBidi"/>
        </w:rPr>
        <w:t>was conducted using the appropriate survival functions, in compliance with California EUL Analysis Protocol.</w:t>
      </w:r>
      <w:r w:rsidR="00AE6946" w:rsidRPr="00EB68B9">
        <w:rPr>
          <w:rFonts w:asciiTheme="majorHAnsi" w:hAnsiTheme="majorHAnsi" w:cstheme="majorBidi"/>
        </w:rPr>
        <w:t xml:space="preserve">  See Attachment </w:t>
      </w:r>
      <w:r w:rsidR="003927FE" w:rsidRPr="000E623B">
        <w:rPr>
          <w:rFonts w:asciiTheme="majorHAnsi" w:hAnsiTheme="majorHAnsi" w:cstheme="majorBidi"/>
        </w:rPr>
        <w:t>9</w:t>
      </w:r>
      <w:r w:rsidR="00AE6946" w:rsidRPr="000E623B">
        <w:rPr>
          <w:rFonts w:asciiTheme="majorHAnsi" w:hAnsiTheme="majorHAnsi" w:cstheme="majorBidi"/>
        </w:rPr>
        <w:t xml:space="preserve"> for details.</w:t>
      </w:r>
      <w:bookmarkEnd w:id="11"/>
    </w:p>
    <w:p w14:paraId="31F69BBF" w14:textId="58B3DBD3" w:rsidR="00576C8C" w:rsidRPr="00737D6A" w:rsidRDefault="007173B2">
      <w:pPr>
        <w:pStyle w:val="Heading2"/>
        <w:rPr>
          <w:rFonts w:asciiTheme="majorHAnsi" w:eastAsia="Calibri" w:hAnsiTheme="majorHAnsi" w:cstheme="majorHAnsi"/>
        </w:rPr>
      </w:pPr>
      <w:bookmarkStart w:id="12" w:name="_3rdcrjn" w:colFirst="0" w:colLast="0"/>
      <w:bookmarkStart w:id="13" w:name="_26in1rg" w:colFirst="0" w:colLast="0"/>
      <w:bookmarkStart w:id="14" w:name="_lnxbz9" w:colFirst="0" w:colLast="0"/>
      <w:bookmarkStart w:id="15" w:name="_35nkun2" w:colFirst="0" w:colLast="0"/>
      <w:bookmarkStart w:id="16" w:name="_1ksv4uv" w:colFirst="0" w:colLast="0"/>
      <w:bookmarkStart w:id="17" w:name="_44sinio" w:colFirst="0" w:colLast="0"/>
      <w:bookmarkStart w:id="18" w:name="_2jxsxqh" w:colFirst="0" w:colLast="0"/>
      <w:bookmarkStart w:id="19" w:name="_z337ya" w:colFirst="0" w:colLast="0"/>
      <w:bookmarkStart w:id="20" w:name="_3j2qqm3" w:colFirst="0" w:colLast="0"/>
      <w:bookmarkEnd w:id="12"/>
      <w:bookmarkEnd w:id="13"/>
      <w:bookmarkEnd w:id="14"/>
      <w:bookmarkEnd w:id="15"/>
      <w:bookmarkEnd w:id="16"/>
      <w:bookmarkEnd w:id="17"/>
      <w:bookmarkEnd w:id="18"/>
      <w:bookmarkEnd w:id="19"/>
      <w:bookmarkEnd w:id="20"/>
      <w:r w:rsidRPr="00737D6A">
        <w:rPr>
          <w:rFonts w:asciiTheme="majorHAnsi" w:eastAsia="Calibri" w:hAnsiTheme="majorHAnsi" w:cstheme="majorHAnsi"/>
        </w:rPr>
        <w:t>1.6 Data Quality and Future Data Needs</w:t>
      </w:r>
    </w:p>
    <w:p w14:paraId="26998D42" w14:textId="3E1ED1F2" w:rsidR="00EF7FA2" w:rsidRPr="008E0B5F" w:rsidRDefault="00845225">
      <w:pPr>
        <w:pStyle w:val="Normal1"/>
        <w:rPr>
          <w:rFonts w:asciiTheme="majorHAnsi" w:hAnsiTheme="majorHAnsi" w:cstheme="majorBidi"/>
        </w:rPr>
      </w:pPr>
      <w:r w:rsidRPr="000E623B">
        <w:rPr>
          <w:rFonts w:asciiTheme="majorHAnsi" w:hAnsiTheme="majorHAnsi" w:cstheme="majorBidi"/>
          <w:b/>
          <w:bCs/>
        </w:rPr>
        <w:t xml:space="preserve">1.6.1 </w:t>
      </w:r>
      <w:r w:rsidR="00EF7FA2" w:rsidRPr="000E623B">
        <w:rPr>
          <w:rFonts w:asciiTheme="majorHAnsi" w:hAnsiTheme="majorHAnsi" w:cstheme="majorBidi"/>
          <w:b/>
          <w:bCs/>
        </w:rPr>
        <w:t>Heating (Gas) Savings</w:t>
      </w:r>
    </w:p>
    <w:p w14:paraId="2E0F052A" w14:textId="787908E7" w:rsidR="00EF7FA2" w:rsidRPr="008E0B5F" w:rsidRDefault="002F3C81">
      <w:pPr>
        <w:pStyle w:val="Normal1"/>
        <w:rPr>
          <w:rFonts w:asciiTheme="majorHAnsi" w:hAnsiTheme="majorHAnsi" w:cstheme="majorBidi"/>
        </w:rPr>
      </w:pPr>
      <w:r w:rsidRPr="00C470E5">
        <w:rPr>
          <w:rFonts w:asciiTheme="majorHAnsi" w:hAnsiTheme="majorHAnsi" w:cstheme="majorHAnsi"/>
        </w:rPr>
        <w:t>IOU independent studies are needed to support measure savings potentials of technology</w:t>
      </w:r>
      <w:r w:rsidR="00E9754A" w:rsidRPr="00C470E5">
        <w:rPr>
          <w:rFonts w:asciiTheme="majorHAnsi" w:hAnsiTheme="majorHAnsi" w:cstheme="majorHAnsi"/>
        </w:rPr>
        <w:t xml:space="preserve"> </w:t>
      </w:r>
      <w:r w:rsidRPr="00C470E5">
        <w:rPr>
          <w:rFonts w:asciiTheme="majorHAnsi" w:hAnsiTheme="majorHAnsi" w:cstheme="majorHAnsi"/>
        </w:rPr>
        <w:t>controlling HVAC space</w:t>
      </w:r>
      <w:r w:rsidR="00C25D69" w:rsidRPr="00C470E5">
        <w:rPr>
          <w:rFonts w:asciiTheme="majorHAnsi" w:hAnsiTheme="majorHAnsi" w:cstheme="majorHAnsi"/>
        </w:rPr>
        <w:t xml:space="preserve"> (gas)</w:t>
      </w:r>
      <w:r w:rsidRPr="00C470E5">
        <w:rPr>
          <w:rFonts w:asciiTheme="majorHAnsi" w:hAnsiTheme="majorHAnsi" w:cstheme="majorHAnsi"/>
        </w:rPr>
        <w:t xml:space="preserve"> heating.  Currently, there are ongoing efforts from the IOUs for supporting </w:t>
      </w:r>
      <w:r w:rsidR="00E9754A" w:rsidRPr="00C470E5">
        <w:rPr>
          <w:rFonts w:asciiTheme="majorHAnsi" w:hAnsiTheme="majorHAnsi" w:cstheme="majorHAnsi"/>
        </w:rPr>
        <w:t xml:space="preserve">evaluation of </w:t>
      </w:r>
      <w:r w:rsidRPr="00C470E5">
        <w:rPr>
          <w:rFonts w:asciiTheme="majorHAnsi" w:hAnsiTheme="majorHAnsi" w:cstheme="majorHAnsi"/>
        </w:rPr>
        <w:t xml:space="preserve">heating (gas) savings which </w:t>
      </w:r>
      <w:r w:rsidR="005656D3" w:rsidRPr="00C470E5">
        <w:rPr>
          <w:rFonts w:asciiTheme="majorHAnsi" w:hAnsiTheme="majorHAnsi" w:cstheme="majorHAnsi"/>
        </w:rPr>
        <w:t>will</w:t>
      </w:r>
      <w:r w:rsidR="00091CC5" w:rsidRPr="00C470E5">
        <w:rPr>
          <w:rFonts w:asciiTheme="majorHAnsi" w:hAnsiTheme="majorHAnsi" w:cstheme="majorHAnsi"/>
        </w:rPr>
        <w:t xml:space="preserve"> be </w:t>
      </w:r>
      <w:r w:rsidR="005656D3" w:rsidRPr="00C470E5">
        <w:rPr>
          <w:rFonts w:asciiTheme="majorHAnsi" w:hAnsiTheme="majorHAnsi" w:cstheme="majorHAnsi"/>
        </w:rPr>
        <w:t>available</w:t>
      </w:r>
      <w:r w:rsidR="00091CC5" w:rsidRPr="00C470E5">
        <w:rPr>
          <w:rFonts w:asciiTheme="majorHAnsi" w:hAnsiTheme="majorHAnsi" w:cstheme="majorHAnsi"/>
        </w:rPr>
        <w:t xml:space="preserve"> in the future for supporting </w:t>
      </w:r>
      <w:r w:rsidR="00C25D69" w:rsidRPr="00C470E5">
        <w:rPr>
          <w:rFonts w:asciiTheme="majorHAnsi" w:hAnsiTheme="majorHAnsi" w:cstheme="majorHAnsi"/>
        </w:rPr>
        <w:t xml:space="preserve">updates to </w:t>
      </w:r>
      <w:r w:rsidR="005656D3" w:rsidRPr="00C470E5">
        <w:rPr>
          <w:rFonts w:asciiTheme="majorHAnsi" w:hAnsiTheme="majorHAnsi" w:cstheme="majorHAnsi"/>
        </w:rPr>
        <w:t xml:space="preserve">the workpaper. </w:t>
      </w:r>
    </w:p>
    <w:p w14:paraId="415AAB01" w14:textId="77777777" w:rsidR="0031686B" w:rsidRDefault="0031686B" w:rsidP="0031686B">
      <w:pPr>
        <w:pStyle w:val="Normal1"/>
        <w:rPr>
          <w:rFonts w:asciiTheme="majorHAnsi" w:hAnsiTheme="majorHAnsi" w:cstheme="majorBidi"/>
          <w:b/>
          <w:bCs/>
        </w:rPr>
      </w:pPr>
    </w:p>
    <w:p w14:paraId="78050815" w14:textId="4574FCEF" w:rsidR="0031686B" w:rsidRDefault="0031686B" w:rsidP="0031686B">
      <w:pPr>
        <w:pStyle w:val="Normal1"/>
        <w:rPr>
          <w:rFonts w:asciiTheme="majorHAnsi" w:hAnsiTheme="majorHAnsi" w:cstheme="majorBidi"/>
          <w:b/>
          <w:bCs/>
        </w:rPr>
      </w:pPr>
      <w:r w:rsidRPr="000E623B">
        <w:rPr>
          <w:rFonts w:asciiTheme="majorHAnsi" w:hAnsiTheme="majorHAnsi" w:cstheme="majorBidi"/>
          <w:b/>
          <w:bCs/>
        </w:rPr>
        <w:t>1.6.</w:t>
      </w:r>
      <w:r>
        <w:rPr>
          <w:rFonts w:asciiTheme="majorHAnsi" w:hAnsiTheme="majorHAnsi" w:cstheme="majorBidi"/>
          <w:b/>
          <w:bCs/>
        </w:rPr>
        <w:t>2</w:t>
      </w:r>
      <w:r w:rsidRPr="000E623B">
        <w:rPr>
          <w:rFonts w:asciiTheme="majorHAnsi" w:hAnsiTheme="majorHAnsi" w:cstheme="majorBidi"/>
          <w:b/>
          <w:bCs/>
        </w:rPr>
        <w:t xml:space="preserve"> H</w:t>
      </w:r>
      <w:r>
        <w:rPr>
          <w:rFonts w:asciiTheme="majorHAnsi" w:hAnsiTheme="majorHAnsi" w:cstheme="majorBidi"/>
          <w:b/>
          <w:bCs/>
        </w:rPr>
        <w:t>eat Pump H</w:t>
      </w:r>
      <w:r w:rsidRPr="000E623B">
        <w:rPr>
          <w:rFonts w:asciiTheme="majorHAnsi" w:hAnsiTheme="majorHAnsi" w:cstheme="majorBidi"/>
          <w:b/>
          <w:bCs/>
        </w:rPr>
        <w:t>eating (</w:t>
      </w:r>
      <w:r>
        <w:rPr>
          <w:rFonts w:asciiTheme="majorHAnsi" w:hAnsiTheme="majorHAnsi" w:cstheme="majorBidi"/>
          <w:b/>
          <w:bCs/>
        </w:rPr>
        <w:t>Electric</w:t>
      </w:r>
      <w:r w:rsidRPr="000E623B">
        <w:rPr>
          <w:rFonts w:asciiTheme="majorHAnsi" w:hAnsiTheme="majorHAnsi" w:cstheme="majorBidi"/>
          <w:b/>
          <w:bCs/>
        </w:rPr>
        <w:t>) Savings</w:t>
      </w:r>
    </w:p>
    <w:p w14:paraId="34184054" w14:textId="36BAE715" w:rsidR="0031686B" w:rsidRDefault="0031686B" w:rsidP="0031686B">
      <w:pPr>
        <w:pStyle w:val="Normal1"/>
        <w:rPr>
          <w:rFonts w:asciiTheme="majorHAnsi" w:hAnsiTheme="majorHAnsi" w:cstheme="majorBidi"/>
        </w:rPr>
      </w:pPr>
      <w:r>
        <w:rPr>
          <w:rFonts w:asciiTheme="majorHAnsi" w:hAnsiTheme="majorHAnsi" w:cstheme="majorBidi"/>
        </w:rPr>
        <w:t>Per “</w:t>
      </w:r>
      <w:r>
        <w:t xml:space="preserve">Disposition for the Smart Communicating Thermostat SCE17HCO54 Rev 1 Workpaper”, energy savings </w:t>
      </w:r>
      <w:r w:rsidR="002B3F86">
        <w:t>from</w:t>
      </w:r>
      <w:r>
        <w:t xml:space="preserve"> heat pump heating reductions require additional study to</w:t>
      </w:r>
      <w:r w:rsidR="002B3F86">
        <w:t xml:space="preserve"> demonstrate verifiable savings.</w:t>
      </w:r>
      <w:r w:rsidR="002B5ED5">
        <w:t xml:space="preserve">  </w:t>
      </w:r>
      <w:r w:rsidR="00AF210E">
        <w:t>Future efforts should be explored to</w:t>
      </w:r>
      <w:r w:rsidR="002B5ED5">
        <w:t xml:space="preserve"> support EM</w:t>
      </w:r>
      <w:r w:rsidR="00AF210E">
        <w:t>&amp;</w:t>
      </w:r>
      <w:r w:rsidR="002B5ED5">
        <w:t xml:space="preserve">V studies on technology controlling Heat Pump equipment.   </w:t>
      </w:r>
    </w:p>
    <w:p w14:paraId="0423E6F2" w14:textId="77777777" w:rsidR="0031686B" w:rsidRDefault="0031686B" w:rsidP="0031686B">
      <w:pPr>
        <w:pStyle w:val="Normal1"/>
        <w:rPr>
          <w:rFonts w:asciiTheme="majorHAnsi" w:hAnsiTheme="majorHAnsi" w:cstheme="majorBidi"/>
        </w:rPr>
      </w:pPr>
    </w:p>
    <w:p w14:paraId="7AB1426E" w14:textId="498F5A73" w:rsidR="0031686B" w:rsidRDefault="0031686B" w:rsidP="0031686B">
      <w:pPr>
        <w:pStyle w:val="Normal1"/>
        <w:rPr>
          <w:rFonts w:asciiTheme="majorHAnsi" w:hAnsiTheme="majorHAnsi" w:cstheme="majorBidi"/>
          <w:b/>
          <w:bCs/>
        </w:rPr>
      </w:pPr>
      <w:r w:rsidRPr="000E623B">
        <w:rPr>
          <w:rFonts w:asciiTheme="majorHAnsi" w:hAnsiTheme="majorHAnsi" w:cstheme="majorBidi"/>
          <w:b/>
          <w:bCs/>
        </w:rPr>
        <w:t>1.6.</w:t>
      </w:r>
      <w:r>
        <w:rPr>
          <w:rFonts w:asciiTheme="majorHAnsi" w:hAnsiTheme="majorHAnsi" w:cstheme="majorBidi"/>
          <w:b/>
          <w:bCs/>
        </w:rPr>
        <w:t>3 DEER2020 Peak Demand Reduction</w:t>
      </w:r>
    </w:p>
    <w:p w14:paraId="3DA66345" w14:textId="10A10F8D" w:rsidR="00EE40B4" w:rsidRDefault="002B3F86" w:rsidP="0031686B">
      <w:pPr>
        <w:pStyle w:val="Normal1"/>
      </w:pPr>
      <w:r>
        <w:t>The current savings methodology</w:t>
      </w:r>
      <w:r w:rsidR="00EE40B4">
        <w:t xml:space="preserve"> (including monthly AMI data for the treatment group) </w:t>
      </w:r>
      <w:r w:rsidR="00A17901">
        <w:t xml:space="preserve">is not </w:t>
      </w:r>
      <w:r w:rsidR="00B81EF4">
        <w:t>satisfactory</w:t>
      </w:r>
      <w:r w:rsidR="00A17901">
        <w:t xml:space="preserve"> </w:t>
      </w:r>
      <w:r>
        <w:t xml:space="preserve">to </w:t>
      </w:r>
      <w:r w:rsidR="00A17901">
        <w:t xml:space="preserve">properly </w:t>
      </w:r>
      <w:r>
        <w:t>evaluate coincident peak demand reductions from this technology.</w:t>
      </w:r>
    </w:p>
    <w:p w14:paraId="135EF565" w14:textId="77777777" w:rsidR="006A21F7" w:rsidRDefault="006A21F7" w:rsidP="0031686B">
      <w:pPr>
        <w:pStyle w:val="Normal1"/>
      </w:pPr>
    </w:p>
    <w:p w14:paraId="34D359FF" w14:textId="6A005D75" w:rsidR="006A21F7" w:rsidRDefault="006A21F7" w:rsidP="006A21F7">
      <w:pPr>
        <w:pStyle w:val="Normal1"/>
        <w:rPr>
          <w:rFonts w:asciiTheme="majorHAnsi" w:hAnsiTheme="majorHAnsi" w:cstheme="majorBidi"/>
          <w:b/>
          <w:bCs/>
        </w:rPr>
      </w:pPr>
      <w:r w:rsidRPr="000E623B">
        <w:rPr>
          <w:rFonts w:asciiTheme="majorHAnsi" w:hAnsiTheme="majorHAnsi" w:cstheme="majorBidi"/>
          <w:b/>
          <w:bCs/>
        </w:rPr>
        <w:t>1.6.</w:t>
      </w:r>
      <w:r>
        <w:rPr>
          <w:rFonts w:asciiTheme="majorHAnsi" w:hAnsiTheme="majorHAnsi" w:cstheme="majorBidi"/>
          <w:b/>
          <w:bCs/>
        </w:rPr>
        <w:t>4 Effective Useful Life</w:t>
      </w:r>
    </w:p>
    <w:p w14:paraId="3107626F" w14:textId="77777777" w:rsidR="006A21F7" w:rsidRPr="00CE7AEF" w:rsidRDefault="006A21F7" w:rsidP="006A21F7">
      <w:pPr>
        <w:pStyle w:val="Normal1"/>
        <w:keepNext/>
        <w:rPr>
          <w:rFonts w:asciiTheme="majorHAnsi" w:hAnsiTheme="majorHAnsi" w:cstheme="majorBidi"/>
        </w:rPr>
      </w:pPr>
      <w:r>
        <w:rPr>
          <w:rFonts w:asciiTheme="majorHAnsi" w:hAnsiTheme="majorHAnsi" w:cstheme="majorBidi"/>
        </w:rPr>
        <w:t xml:space="preserve">SCE conducted an Effective Useful Life study with CADMUS, which resulted with </w:t>
      </w:r>
      <w:r w:rsidRPr="000E623B">
        <w:rPr>
          <w:rFonts w:asciiTheme="majorHAnsi" w:hAnsiTheme="majorHAnsi" w:cstheme="majorBidi"/>
        </w:rPr>
        <w:t>a weighted average</w:t>
      </w:r>
      <w:r>
        <w:rPr>
          <w:rFonts w:asciiTheme="majorHAnsi" w:hAnsiTheme="majorHAnsi" w:cstheme="majorBidi"/>
        </w:rPr>
        <w:t xml:space="preserve"> </w:t>
      </w:r>
      <w:r w:rsidRPr="000E623B">
        <w:rPr>
          <w:rFonts w:asciiTheme="majorHAnsi" w:hAnsiTheme="majorHAnsi" w:cstheme="majorBidi"/>
        </w:rPr>
        <w:t xml:space="preserve">value </w:t>
      </w:r>
      <w:r>
        <w:rPr>
          <w:rFonts w:asciiTheme="majorHAnsi" w:hAnsiTheme="majorHAnsi" w:cstheme="majorBidi"/>
        </w:rPr>
        <w:t xml:space="preserve">of </w:t>
      </w:r>
      <w:r w:rsidRPr="000E623B">
        <w:rPr>
          <w:rFonts w:asciiTheme="majorHAnsi" w:hAnsiTheme="majorHAnsi" w:cstheme="majorBidi"/>
        </w:rPr>
        <w:t>9.1 years</w:t>
      </w:r>
      <w:r>
        <w:rPr>
          <w:rFonts w:asciiTheme="majorHAnsi" w:hAnsiTheme="majorHAnsi" w:cstheme="majorBidi"/>
        </w:rPr>
        <w:t xml:space="preserve"> [Attachment 9]. </w:t>
      </w:r>
      <w:r w:rsidRPr="006A21F7">
        <w:rPr>
          <w:rFonts w:asciiTheme="majorHAnsi" w:hAnsiTheme="majorHAnsi" w:cstheme="majorBidi"/>
        </w:rPr>
        <w:t>Future research should address savings persistence and expand the survival analysis to include additional years</w:t>
      </w:r>
      <w:r>
        <w:rPr>
          <w:rFonts w:asciiTheme="majorHAnsi" w:hAnsiTheme="majorHAnsi" w:cstheme="majorBidi"/>
        </w:rPr>
        <w:t xml:space="preserve"> </w:t>
      </w:r>
      <w:r w:rsidRPr="006A21F7">
        <w:rPr>
          <w:rFonts w:asciiTheme="majorHAnsi" w:hAnsiTheme="majorHAnsi" w:cstheme="majorBidi"/>
        </w:rPr>
        <w:t>of data applying appropriate survival analysis techniques per the CA Energy Efficiency Evaluation Protocols</w:t>
      </w:r>
    </w:p>
    <w:p w14:paraId="3CF8D4C5" w14:textId="77777777" w:rsidR="006A21F7" w:rsidRDefault="006A21F7" w:rsidP="0031686B">
      <w:pPr>
        <w:pStyle w:val="Normal1"/>
      </w:pPr>
    </w:p>
    <w:p w14:paraId="570E6D6E" w14:textId="70E4714F" w:rsidR="005656D3" w:rsidRDefault="002B3F86" w:rsidP="0009168C">
      <w:pPr>
        <w:pStyle w:val="Normal1"/>
        <w:rPr>
          <w:sz w:val="36"/>
          <w:szCs w:val="36"/>
        </w:rPr>
      </w:pPr>
      <w:r>
        <w:t xml:space="preserve"> </w:t>
      </w:r>
    </w:p>
    <w:p w14:paraId="32383C79" w14:textId="682B0FEA" w:rsidR="00576C8C" w:rsidRPr="00737D6A" w:rsidRDefault="007173B2" w:rsidP="006E54D1">
      <w:pPr>
        <w:pStyle w:val="Heading1"/>
        <w:keepNext w:val="0"/>
        <w:spacing w:before="0" w:after="0"/>
        <w:rPr>
          <w:rFonts w:asciiTheme="majorHAnsi" w:hAnsiTheme="majorHAnsi" w:cstheme="majorHAnsi"/>
        </w:rPr>
      </w:pPr>
      <w:r w:rsidRPr="00737D6A">
        <w:rPr>
          <w:rFonts w:asciiTheme="majorHAnsi" w:hAnsiTheme="majorHAnsi" w:cstheme="majorHAnsi"/>
        </w:rPr>
        <w:t>Section 2. Calculation Methodology</w:t>
      </w:r>
    </w:p>
    <w:p w14:paraId="6C98DEA8" w14:textId="6DF31C98" w:rsidR="002E3135" w:rsidRPr="00737D6A" w:rsidRDefault="002E3135" w:rsidP="006E54D1">
      <w:pPr>
        <w:pStyle w:val="Heading2"/>
        <w:spacing w:before="0" w:after="0"/>
        <w:rPr>
          <w:rFonts w:asciiTheme="majorHAnsi" w:hAnsiTheme="majorHAnsi" w:cstheme="majorHAnsi"/>
        </w:rPr>
      </w:pPr>
      <w:r w:rsidRPr="00737D6A">
        <w:rPr>
          <w:rFonts w:asciiTheme="majorHAnsi" w:eastAsia="Calibri" w:hAnsiTheme="majorHAnsi" w:cstheme="majorHAnsi"/>
        </w:rPr>
        <w:t xml:space="preserve">2.1 General Methods (HVAC Cooling) </w:t>
      </w:r>
    </w:p>
    <w:p w14:paraId="0789CCE2" w14:textId="7BCE64C2" w:rsidR="00297902" w:rsidRPr="008E0B5F" w:rsidRDefault="00AE6946">
      <w:pPr>
        <w:rPr>
          <w:rFonts w:asciiTheme="majorHAnsi" w:hAnsiTheme="majorHAnsi" w:cstheme="majorBidi"/>
        </w:rPr>
      </w:pPr>
      <w:r w:rsidRPr="000E623B">
        <w:rPr>
          <w:rFonts w:asciiTheme="majorHAnsi" w:hAnsiTheme="majorHAnsi" w:cstheme="majorBidi"/>
        </w:rPr>
        <w:t>Measure savings on HVAC cooling energy were estimated based on PGE’s Year 1</w:t>
      </w:r>
      <w:r w:rsidR="00B111F7" w:rsidRPr="000E623B">
        <w:rPr>
          <w:rFonts w:asciiTheme="majorHAnsi" w:hAnsiTheme="majorHAnsi" w:cstheme="majorBidi"/>
        </w:rPr>
        <w:t xml:space="preserve"> </w:t>
      </w:r>
      <w:r w:rsidRPr="000E623B">
        <w:rPr>
          <w:rFonts w:asciiTheme="majorHAnsi" w:hAnsiTheme="majorHAnsi" w:cstheme="majorBidi"/>
        </w:rPr>
        <w:t>stud</w:t>
      </w:r>
      <w:r w:rsidR="0093362C" w:rsidRPr="000E623B">
        <w:rPr>
          <w:rFonts w:asciiTheme="majorHAnsi" w:hAnsiTheme="majorHAnsi" w:cstheme="majorBidi"/>
        </w:rPr>
        <w:t>y</w:t>
      </w:r>
      <w:r w:rsidRPr="000E623B">
        <w:rPr>
          <w:rFonts w:asciiTheme="majorHAnsi" w:hAnsiTheme="majorHAnsi" w:cstheme="majorBidi"/>
        </w:rPr>
        <w:t xml:space="preserve">.  </w:t>
      </w:r>
      <w:r w:rsidR="00B30297">
        <w:rPr>
          <w:rFonts w:asciiTheme="majorHAnsi" w:hAnsiTheme="majorHAnsi" w:cstheme="majorBidi"/>
        </w:rPr>
        <w:t>PGE’s Year 2 study was evaluated but not directly included in final calculation approach/methods given abnorma</w:t>
      </w:r>
      <w:r w:rsidR="008E7676">
        <w:rPr>
          <w:rFonts w:asciiTheme="majorHAnsi" w:hAnsiTheme="majorHAnsi" w:cstheme="majorBidi"/>
        </w:rPr>
        <w:t>lities further described in this Section</w:t>
      </w:r>
      <w:r w:rsidR="00B30297">
        <w:rPr>
          <w:rStyle w:val="CommentReference"/>
        </w:rPr>
        <w:t xml:space="preserve">.  </w:t>
      </w:r>
      <w:r w:rsidRPr="000E623B">
        <w:rPr>
          <w:rFonts w:asciiTheme="majorHAnsi" w:hAnsiTheme="majorHAnsi" w:cstheme="majorBidi"/>
        </w:rPr>
        <w:t>T</w:t>
      </w:r>
      <w:r w:rsidR="00B111F7" w:rsidRPr="000E623B">
        <w:rPr>
          <w:rFonts w:asciiTheme="majorHAnsi" w:hAnsiTheme="majorHAnsi" w:cstheme="majorBidi"/>
        </w:rPr>
        <w:t>h</w:t>
      </w:r>
      <w:r w:rsidR="00B30297">
        <w:rPr>
          <w:rFonts w:asciiTheme="majorHAnsi" w:hAnsiTheme="majorHAnsi" w:cstheme="majorBidi"/>
        </w:rPr>
        <w:t>ese</w:t>
      </w:r>
      <w:r w:rsidR="00B111F7" w:rsidRPr="000E623B">
        <w:rPr>
          <w:rFonts w:asciiTheme="majorHAnsi" w:hAnsiTheme="majorHAnsi" w:cstheme="majorBidi"/>
        </w:rPr>
        <w:t xml:space="preserve"> stud</w:t>
      </w:r>
      <w:r w:rsidR="00B30297">
        <w:rPr>
          <w:rFonts w:asciiTheme="majorHAnsi" w:hAnsiTheme="majorHAnsi" w:cstheme="majorBidi"/>
        </w:rPr>
        <w:t xml:space="preserve">ies </w:t>
      </w:r>
      <w:r w:rsidR="00B111F7" w:rsidRPr="000E623B">
        <w:rPr>
          <w:rFonts w:asciiTheme="majorHAnsi" w:hAnsiTheme="majorHAnsi" w:cstheme="majorBidi"/>
        </w:rPr>
        <w:t>w</w:t>
      </w:r>
      <w:r w:rsidR="00B30297">
        <w:rPr>
          <w:rFonts w:asciiTheme="majorHAnsi" w:hAnsiTheme="majorHAnsi" w:cstheme="majorBidi"/>
        </w:rPr>
        <w:t>ere</w:t>
      </w:r>
      <w:r w:rsidR="00B111F7" w:rsidRPr="000E623B">
        <w:rPr>
          <w:rFonts w:asciiTheme="majorHAnsi" w:hAnsiTheme="majorHAnsi" w:cstheme="majorBidi"/>
        </w:rPr>
        <w:t xml:space="preserve"> </w:t>
      </w:r>
      <w:r w:rsidRPr="000E623B">
        <w:rPr>
          <w:rFonts w:asciiTheme="majorHAnsi" w:hAnsiTheme="majorHAnsi" w:cstheme="majorBidi"/>
        </w:rPr>
        <w:t>designed using a Randomized Encouragement Design (RED). A RED design is an appropriate alternative to a Randomized Control Trial (RCT)</w:t>
      </w:r>
      <w:r w:rsidR="004949F0" w:rsidRPr="000E623B">
        <w:rPr>
          <w:rFonts w:asciiTheme="majorHAnsi" w:hAnsiTheme="majorHAnsi" w:cstheme="majorBidi"/>
        </w:rPr>
        <w:t>,</w:t>
      </w:r>
      <w:r w:rsidRPr="000E623B">
        <w:rPr>
          <w:rFonts w:asciiTheme="majorHAnsi" w:hAnsiTheme="majorHAnsi" w:cstheme="majorBidi"/>
        </w:rPr>
        <w:t xml:space="preserve"> when it is known that not all the treatment customers will accept the treatment, i.e., when treatment is voluntary.</w:t>
      </w:r>
      <w:r w:rsidR="00B30297">
        <w:rPr>
          <w:rFonts w:asciiTheme="majorHAnsi" w:hAnsiTheme="majorHAnsi" w:cstheme="majorBidi"/>
        </w:rPr>
        <w:t xml:space="preserve">  </w:t>
      </w:r>
    </w:p>
    <w:p w14:paraId="4A4DC8A1" w14:textId="77777777" w:rsidR="00297902" w:rsidRPr="00737D6A" w:rsidRDefault="00297902" w:rsidP="00682B5A">
      <w:pPr>
        <w:rPr>
          <w:rFonts w:asciiTheme="majorHAnsi" w:hAnsiTheme="majorHAnsi" w:cstheme="majorHAnsi"/>
        </w:rPr>
      </w:pPr>
    </w:p>
    <w:p w14:paraId="4AC59B7F" w14:textId="3A47955B" w:rsidR="00297902" w:rsidRPr="00737D6A" w:rsidRDefault="00297902" w:rsidP="00682B5A">
      <w:pPr>
        <w:rPr>
          <w:rFonts w:asciiTheme="majorHAnsi" w:hAnsiTheme="majorHAnsi" w:cstheme="majorHAnsi"/>
        </w:rPr>
      </w:pPr>
      <w:r w:rsidRPr="00737D6A">
        <w:rPr>
          <w:rFonts w:asciiTheme="majorHAnsi" w:hAnsiTheme="majorHAnsi" w:cstheme="majorHAnsi"/>
        </w:rPr>
        <w:t xml:space="preserve">Energy savings were estimated by first using a statistical difference-in-differences (DID) approach, and second, using a fixed-effect regression approach.  This two-step process allowed preliminary estimates of savings that are unconstrained by the assumptions of a regression model.  Then, those estimates were refined using a regression approach. </w:t>
      </w:r>
    </w:p>
    <w:p w14:paraId="05B36C2B" w14:textId="77777777" w:rsidR="00297902" w:rsidRPr="00737D6A" w:rsidRDefault="00297902" w:rsidP="00297902">
      <w:pPr>
        <w:rPr>
          <w:rFonts w:asciiTheme="majorHAnsi" w:hAnsiTheme="majorHAnsi" w:cstheme="majorHAnsi"/>
        </w:rPr>
      </w:pPr>
    </w:p>
    <w:p w14:paraId="650FEFF6" w14:textId="7F00AB64" w:rsidR="00297902" w:rsidRPr="00737D6A" w:rsidRDefault="00297902" w:rsidP="00297902">
      <w:pPr>
        <w:rPr>
          <w:rFonts w:asciiTheme="majorHAnsi" w:hAnsiTheme="majorHAnsi" w:cstheme="majorHAnsi"/>
        </w:rPr>
      </w:pPr>
      <w:r w:rsidRPr="00737D6A">
        <w:rPr>
          <w:rFonts w:asciiTheme="majorHAnsi" w:hAnsiTheme="majorHAnsi" w:cstheme="majorHAnsi"/>
        </w:rPr>
        <w:lastRenderedPageBreak/>
        <w:t>As part of the statistical DID, the method compares the monthly usage of the encouraged customers to the randomly assigned control group customers, both during the participation period (treatment period) and for a time before participation started (pretreatment period). Comparison during the treatment period gives an unadjusted estimate of the impacts. This estimate is then corrected using the difference during the pretreatment period to adjust for any preexisting differences between the encouraged and control groups.</w:t>
      </w:r>
    </w:p>
    <w:p w14:paraId="181A4999" w14:textId="77777777" w:rsidR="00235EBC" w:rsidRPr="00737D6A" w:rsidRDefault="00235EBC" w:rsidP="00297902">
      <w:pPr>
        <w:rPr>
          <w:rFonts w:asciiTheme="majorHAnsi" w:hAnsiTheme="majorHAnsi" w:cstheme="majorHAnsi"/>
        </w:rPr>
      </w:pPr>
    </w:p>
    <w:p w14:paraId="30BF2761" w14:textId="7F7CBA31" w:rsidR="00297902" w:rsidRPr="00737D6A" w:rsidRDefault="00235EBC" w:rsidP="00297902">
      <w:pPr>
        <w:rPr>
          <w:rFonts w:asciiTheme="majorHAnsi" w:hAnsiTheme="majorHAnsi" w:cstheme="majorHAnsi"/>
        </w:rPr>
      </w:pPr>
      <w:r w:rsidRPr="00737D6A">
        <w:rPr>
          <w:rFonts w:asciiTheme="majorHAnsi" w:hAnsiTheme="majorHAnsi" w:cstheme="majorHAnsi"/>
        </w:rPr>
        <w:t xml:space="preserve">In the second step of the analysis, savings were estimated using regression models in which energy use is evaluated as a function of other explanatory variables (e.g., weather) that the statistical DID is unable to do.  The models include the encouraged and control customers in both the treatment and pre-treatment periods.  </w:t>
      </w:r>
    </w:p>
    <w:p w14:paraId="7EA40FC9" w14:textId="77777777" w:rsidR="00682B5A" w:rsidRPr="00737D6A" w:rsidRDefault="00682B5A" w:rsidP="006E54D1">
      <w:pPr>
        <w:pStyle w:val="Heading3"/>
        <w:spacing w:before="0" w:after="0"/>
        <w:rPr>
          <w:rFonts w:asciiTheme="majorHAnsi" w:hAnsiTheme="majorHAnsi" w:cstheme="majorHAnsi"/>
          <w:sz w:val="24"/>
          <w:szCs w:val="24"/>
        </w:rPr>
      </w:pPr>
    </w:p>
    <w:p w14:paraId="7D7F2C02" w14:textId="1F1FBE19" w:rsidR="002D7233" w:rsidRPr="00737D6A" w:rsidRDefault="00F734AF" w:rsidP="00EE3C7D">
      <w:pPr>
        <w:pStyle w:val="Normal1"/>
        <w:rPr>
          <w:rFonts w:asciiTheme="majorHAnsi" w:hAnsiTheme="majorHAnsi" w:cstheme="majorHAnsi"/>
          <w:b/>
        </w:rPr>
      </w:pPr>
      <w:r w:rsidRPr="00737D6A">
        <w:rPr>
          <w:rFonts w:asciiTheme="majorHAnsi" w:hAnsiTheme="majorHAnsi" w:cstheme="majorHAnsi"/>
          <w:b/>
        </w:rPr>
        <w:t>APPROACH</w:t>
      </w:r>
    </w:p>
    <w:p w14:paraId="5FE0998E" w14:textId="795E05C2" w:rsidR="002D7233" w:rsidRPr="008E0B5F" w:rsidRDefault="004949F0">
      <w:pPr>
        <w:rPr>
          <w:rFonts w:asciiTheme="majorHAnsi" w:hAnsiTheme="majorHAnsi" w:cstheme="majorBidi"/>
        </w:rPr>
      </w:pPr>
      <w:r w:rsidRPr="000E623B">
        <w:rPr>
          <w:rFonts w:asciiTheme="majorHAnsi" w:hAnsiTheme="majorHAnsi" w:cstheme="majorBidi"/>
        </w:rPr>
        <w:t>T</w:t>
      </w:r>
      <w:r w:rsidR="002D7233" w:rsidRPr="000E623B">
        <w:rPr>
          <w:rFonts w:asciiTheme="majorHAnsi" w:hAnsiTheme="majorHAnsi" w:cstheme="majorBidi"/>
        </w:rPr>
        <w:t>he app</w:t>
      </w:r>
      <w:r w:rsidR="00E107F7">
        <w:rPr>
          <w:rFonts w:asciiTheme="majorHAnsi" w:hAnsiTheme="majorHAnsi" w:cstheme="majorBidi"/>
        </w:rPr>
        <w:t xml:space="preserve">roach to developing statewide </w:t>
      </w:r>
      <w:r w:rsidR="002D7233" w:rsidRPr="000E623B">
        <w:rPr>
          <w:rFonts w:asciiTheme="majorHAnsi" w:hAnsiTheme="majorHAnsi" w:cstheme="majorBidi"/>
        </w:rPr>
        <w:t>ex-ante estimate based on PG&amp;E’s Year 1 Smart Thermostat Study results</w:t>
      </w:r>
      <w:r w:rsidRPr="000E623B">
        <w:rPr>
          <w:rFonts w:asciiTheme="majorHAnsi" w:hAnsiTheme="majorHAnsi" w:cstheme="majorBidi"/>
        </w:rPr>
        <w:t xml:space="preserve"> is described below</w:t>
      </w:r>
      <w:r w:rsidR="002D7233" w:rsidRPr="000E623B">
        <w:rPr>
          <w:rFonts w:asciiTheme="majorHAnsi" w:hAnsiTheme="majorHAnsi" w:cstheme="majorBidi"/>
        </w:rPr>
        <w:t xml:space="preserve">. </w:t>
      </w:r>
      <w:r w:rsidR="00242A0A" w:rsidRPr="000E623B">
        <w:rPr>
          <w:rFonts w:asciiTheme="majorHAnsi" w:hAnsiTheme="majorHAnsi" w:cstheme="majorBidi"/>
        </w:rPr>
        <w:t xml:space="preserve"> </w:t>
      </w:r>
      <w:r w:rsidR="002D7233" w:rsidRPr="000E623B">
        <w:rPr>
          <w:rFonts w:asciiTheme="majorHAnsi" w:hAnsiTheme="majorHAnsi" w:cstheme="majorBidi"/>
        </w:rPr>
        <w:t>First, modifications to the ex-post models and associated rationale are describe</w:t>
      </w:r>
      <w:r w:rsidR="0015558D" w:rsidRPr="000E623B">
        <w:rPr>
          <w:rFonts w:asciiTheme="majorHAnsi" w:hAnsiTheme="majorHAnsi" w:cstheme="majorBidi"/>
        </w:rPr>
        <w:t>d</w:t>
      </w:r>
      <w:r w:rsidR="005046F9" w:rsidRPr="000E623B">
        <w:rPr>
          <w:rFonts w:asciiTheme="majorHAnsi" w:hAnsiTheme="majorHAnsi" w:cstheme="majorBidi"/>
        </w:rPr>
        <w:t>,</w:t>
      </w:r>
      <w:r w:rsidR="002D7233" w:rsidRPr="000E623B">
        <w:rPr>
          <w:rFonts w:asciiTheme="majorHAnsi" w:hAnsiTheme="majorHAnsi" w:cstheme="majorBidi"/>
        </w:rPr>
        <w:t xml:space="preserve"> </w:t>
      </w:r>
      <w:r w:rsidR="005046F9" w:rsidRPr="000E623B">
        <w:rPr>
          <w:rFonts w:asciiTheme="majorHAnsi" w:hAnsiTheme="majorHAnsi" w:cstheme="majorBidi"/>
        </w:rPr>
        <w:t>f</w:t>
      </w:r>
      <w:r w:rsidRPr="000E623B">
        <w:rPr>
          <w:rFonts w:asciiTheme="majorHAnsi" w:hAnsiTheme="majorHAnsi" w:cstheme="majorBidi"/>
        </w:rPr>
        <w:t xml:space="preserve">ollowed by a description of </w:t>
      </w:r>
      <w:r w:rsidR="002D7233" w:rsidRPr="000E623B">
        <w:rPr>
          <w:rFonts w:asciiTheme="majorHAnsi" w:hAnsiTheme="majorHAnsi" w:cstheme="majorBidi"/>
        </w:rPr>
        <w:t xml:space="preserve">the final ex-ante model and finally, the actual extrapolation approach and results. </w:t>
      </w:r>
    </w:p>
    <w:p w14:paraId="12C83A79" w14:textId="77777777" w:rsidR="002D7233" w:rsidRPr="00737D6A" w:rsidRDefault="002D7233" w:rsidP="00953E4E">
      <w:pPr>
        <w:rPr>
          <w:rFonts w:asciiTheme="majorHAnsi" w:hAnsiTheme="majorHAnsi" w:cstheme="majorHAnsi"/>
          <w:b/>
          <w:bCs/>
        </w:rPr>
      </w:pPr>
    </w:p>
    <w:p w14:paraId="2677DD3F" w14:textId="41AE4818" w:rsidR="002D7233" w:rsidRPr="00737D6A" w:rsidRDefault="00F734AF" w:rsidP="00EE3C7D">
      <w:pPr>
        <w:pStyle w:val="Normal1"/>
        <w:rPr>
          <w:rFonts w:asciiTheme="majorHAnsi" w:hAnsiTheme="majorHAnsi" w:cstheme="majorHAnsi"/>
          <w:b/>
        </w:rPr>
      </w:pPr>
      <w:r w:rsidRPr="00737D6A">
        <w:rPr>
          <w:rFonts w:asciiTheme="majorHAnsi" w:hAnsiTheme="majorHAnsi" w:cstheme="majorHAnsi"/>
          <w:b/>
        </w:rPr>
        <w:t xml:space="preserve">MODIFICATIONS TO THE EX-POST MODELS </w:t>
      </w:r>
    </w:p>
    <w:p w14:paraId="5AE492BE" w14:textId="65D091F6" w:rsidR="00A0354A" w:rsidRPr="00737D6A" w:rsidRDefault="002D7233" w:rsidP="00953E4E">
      <w:pPr>
        <w:rPr>
          <w:rFonts w:asciiTheme="majorHAnsi" w:hAnsiTheme="majorHAnsi" w:cstheme="majorHAnsi"/>
        </w:rPr>
      </w:pPr>
      <w:r w:rsidRPr="00737D6A">
        <w:rPr>
          <w:rFonts w:asciiTheme="majorHAnsi" w:hAnsiTheme="majorHAnsi" w:cstheme="majorHAnsi"/>
        </w:rPr>
        <w:t>The regression models that were developed for the original analysis were developed with several goals in mind:</w:t>
      </w:r>
    </w:p>
    <w:p w14:paraId="4E8ADEAD" w14:textId="77777777" w:rsidR="00BE66A2" w:rsidRPr="00737D6A" w:rsidRDefault="00BE66A2" w:rsidP="00953E4E">
      <w:pPr>
        <w:rPr>
          <w:rFonts w:asciiTheme="majorHAnsi" w:hAnsiTheme="majorHAnsi" w:cstheme="majorHAnsi"/>
        </w:rPr>
      </w:pPr>
    </w:p>
    <w:p w14:paraId="392C2EB9" w14:textId="14FD2F2F" w:rsidR="002D7233" w:rsidRPr="008E0B5F" w:rsidRDefault="002D7233" w:rsidP="008E0B5F">
      <w:pPr>
        <w:pStyle w:val="ListParagraph"/>
        <w:numPr>
          <w:ilvl w:val="0"/>
          <w:numId w:val="109"/>
        </w:numPr>
        <w:spacing w:after="0"/>
        <w:rPr>
          <w:rFonts w:asciiTheme="majorHAnsi" w:hAnsiTheme="majorHAnsi" w:cstheme="majorBidi"/>
        </w:rPr>
      </w:pPr>
      <w:r w:rsidRPr="000E623B">
        <w:rPr>
          <w:rFonts w:asciiTheme="majorHAnsi" w:hAnsiTheme="majorHAnsi" w:cstheme="majorBidi"/>
        </w:rPr>
        <w:t>Estimating ex-post impacts for three different thermostats</w:t>
      </w:r>
      <w:r w:rsidR="004949F0" w:rsidRPr="000E623B">
        <w:rPr>
          <w:rFonts w:asciiTheme="majorHAnsi" w:hAnsiTheme="majorHAnsi" w:cstheme="majorBidi"/>
        </w:rPr>
        <w:t>,</w:t>
      </w:r>
      <w:r w:rsidRPr="000E623B">
        <w:rPr>
          <w:rFonts w:asciiTheme="majorHAnsi" w:hAnsiTheme="majorHAnsi" w:cstheme="majorBidi"/>
        </w:rPr>
        <w:t xml:space="preserve"> while accounting for the RED design.</w:t>
      </w:r>
    </w:p>
    <w:p w14:paraId="6F0951CF" w14:textId="77777777" w:rsidR="002D7233" w:rsidRPr="00737D6A" w:rsidRDefault="002D7233" w:rsidP="006E54D1">
      <w:pPr>
        <w:pStyle w:val="ListParagraph"/>
        <w:numPr>
          <w:ilvl w:val="0"/>
          <w:numId w:val="109"/>
        </w:numPr>
        <w:spacing w:after="0"/>
        <w:rPr>
          <w:rFonts w:asciiTheme="majorHAnsi" w:hAnsiTheme="majorHAnsi" w:cstheme="majorHAnsi"/>
        </w:rPr>
      </w:pPr>
      <w:r w:rsidRPr="00737D6A">
        <w:rPr>
          <w:rFonts w:asciiTheme="majorHAnsi" w:hAnsiTheme="majorHAnsi" w:cstheme="majorHAnsi"/>
        </w:rPr>
        <w:t>Attaining reasonable comparison between the statistical Difference in Difference (DID) and the regression output.</w:t>
      </w:r>
    </w:p>
    <w:p w14:paraId="539473E6" w14:textId="77777777" w:rsidR="002D7233" w:rsidRPr="00737D6A" w:rsidRDefault="002D7233" w:rsidP="006E54D1">
      <w:pPr>
        <w:pStyle w:val="ListParagraph"/>
        <w:numPr>
          <w:ilvl w:val="0"/>
          <w:numId w:val="109"/>
        </w:numPr>
        <w:spacing w:after="0"/>
        <w:rPr>
          <w:rFonts w:asciiTheme="majorHAnsi" w:hAnsiTheme="majorHAnsi" w:cstheme="majorHAnsi"/>
        </w:rPr>
      </w:pPr>
      <w:r w:rsidRPr="00737D6A">
        <w:rPr>
          <w:rFonts w:asciiTheme="majorHAnsi" w:hAnsiTheme="majorHAnsi" w:cstheme="majorHAnsi"/>
        </w:rPr>
        <w:t xml:space="preserve">Estimating monthly impacts with a primary focus on summer savings for electric customers. </w:t>
      </w:r>
    </w:p>
    <w:p w14:paraId="544E538E" w14:textId="4CB00DE2" w:rsidR="00A0354A" w:rsidRPr="002D57EC" w:rsidRDefault="002D7233">
      <w:pPr>
        <w:rPr>
          <w:rFonts w:asciiTheme="majorHAnsi" w:hAnsiTheme="majorHAnsi" w:cstheme="majorBidi"/>
        </w:rPr>
      </w:pPr>
      <w:r w:rsidRPr="000E623B">
        <w:rPr>
          <w:rFonts w:asciiTheme="majorHAnsi" w:hAnsiTheme="majorHAnsi" w:cstheme="majorBidi"/>
        </w:rPr>
        <w:t xml:space="preserve">The original ex-post analysis goals do not align with the goals of an annual ex-ante estimate. Through collaboration with the CPUC’s ex-ante contractor, </w:t>
      </w:r>
      <w:r w:rsidR="00B111F7" w:rsidRPr="000E623B">
        <w:rPr>
          <w:rFonts w:asciiTheme="majorHAnsi" w:hAnsiTheme="majorHAnsi" w:cstheme="majorBidi"/>
        </w:rPr>
        <w:t>EM</w:t>
      </w:r>
      <w:r w:rsidR="005046F9" w:rsidRPr="000E623B">
        <w:rPr>
          <w:rFonts w:asciiTheme="majorHAnsi" w:hAnsiTheme="majorHAnsi" w:cstheme="majorBidi"/>
        </w:rPr>
        <w:t>&amp;</w:t>
      </w:r>
      <w:r w:rsidR="00B111F7" w:rsidRPr="000E623B">
        <w:rPr>
          <w:rFonts w:asciiTheme="majorHAnsi" w:hAnsiTheme="majorHAnsi" w:cstheme="majorBidi"/>
        </w:rPr>
        <w:t>V consultant</w:t>
      </w:r>
      <w:r w:rsidRPr="000E623B">
        <w:rPr>
          <w:rFonts w:asciiTheme="majorHAnsi" w:hAnsiTheme="majorHAnsi" w:cstheme="majorBidi"/>
        </w:rPr>
        <w:t xml:space="preserve"> understands the goals of the ex-ante analysis to be as follows:</w:t>
      </w:r>
    </w:p>
    <w:p w14:paraId="56FDBAA1" w14:textId="77777777" w:rsidR="00BE66A2" w:rsidRPr="00737D6A" w:rsidRDefault="00BE66A2" w:rsidP="00953E4E">
      <w:pPr>
        <w:rPr>
          <w:rFonts w:asciiTheme="majorHAnsi" w:hAnsiTheme="majorHAnsi" w:cstheme="majorHAnsi"/>
        </w:rPr>
      </w:pPr>
    </w:p>
    <w:p w14:paraId="0934906F" w14:textId="77777777" w:rsidR="002D7233" w:rsidRPr="00737D6A" w:rsidRDefault="002D7233" w:rsidP="006E54D1">
      <w:pPr>
        <w:pStyle w:val="ListParagraph"/>
        <w:numPr>
          <w:ilvl w:val="0"/>
          <w:numId w:val="110"/>
        </w:numPr>
        <w:spacing w:after="0"/>
        <w:rPr>
          <w:rFonts w:asciiTheme="majorHAnsi" w:hAnsiTheme="majorHAnsi" w:cstheme="majorHAnsi"/>
        </w:rPr>
      </w:pPr>
      <w:r w:rsidRPr="00737D6A">
        <w:rPr>
          <w:rFonts w:asciiTheme="majorHAnsi" w:hAnsiTheme="majorHAnsi" w:cstheme="majorHAnsi"/>
        </w:rPr>
        <w:t>Develop a model that is appropriate for extrapolation to weather conditions outside of what participants experienced.</w:t>
      </w:r>
    </w:p>
    <w:p w14:paraId="40959D8F" w14:textId="77777777" w:rsidR="002D7233" w:rsidRPr="00737D6A" w:rsidRDefault="002D7233" w:rsidP="006E54D1">
      <w:pPr>
        <w:pStyle w:val="ListParagraph"/>
        <w:numPr>
          <w:ilvl w:val="0"/>
          <w:numId w:val="110"/>
        </w:numPr>
        <w:spacing w:after="0"/>
        <w:rPr>
          <w:rFonts w:asciiTheme="majorHAnsi" w:hAnsiTheme="majorHAnsi" w:cstheme="majorHAnsi"/>
        </w:rPr>
      </w:pPr>
      <w:r w:rsidRPr="00737D6A">
        <w:rPr>
          <w:rFonts w:asciiTheme="majorHAnsi" w:hAnsiTheme="majorHAnsi" w:cstheme="majorHAnsi"/>
        </w:rPr>
        <w:t>Attain a single estimate for smart thermostats that is representative of the types of thermostats that PG&amp;E customers are installing, rather than three separate estimates.</w:t>
      </w:r>
    </w:p>
    <w:p w14:paraId="5F6F7095" w14:textId="624BF101" w:rsidR="002D7233" w:rsidRPr="00737D6A" w:rsidRDefault="002D7233" w:rsidP="006E54D1">
      <w:pPr>
        <w:pStyle w:val="ListParagraph"/>
        <w:numPr>
          <w:ilvl w:val="0"/>
          <w:numId w:val="110"/>
        </w:numPr>
        <w:spacing w:after="0"/>
        <w:rPr>
          <w:rFonts w:asciiTheme="majorHAnsi" w:hAnsiTheme="majorHAnsi" w:cstheme="majorHAnsi"/>
        </w:rPr>
      </w:pPr>
      <w:r w:rsidRPr="00737D6A">
        <w:rPr>
          <w:rFonts w:asciiTheme="majorHAnsi" w:hAnsiTheme="majorHAnsi" w:cstheme="majorHAnsi"/>
        </w:rPr>
        <w:t xml:space="preserve">Develop a normalized annual estimate of savings without focusing on a specific season. </w:t>
      </w:r>
    </w:p>
    <w:p w14:paraId="3BF7A2F5" w14:textId="77777777" w:rsidR="0093779B" w:rsidRPr="00737D6A" w:rsidRDefault="0093779B" w:rsidP="006E54D1">
      <w:pPr>
        <w:pStyle w:val="ListParagraph"/>
        <w:spacing w:after="0"/>
        <w:rPr>
          <w:rFonts w:asciiTheme="majorHAnsi" w:hAnsiTheme="majorHAnsi" w:cstheme="majorHAnsi"/>
        </w:rPr>
      </w:pPr>
    </w:p>
    <w:p w14:paraId="5B26CFF8" w14:textId="5610A186" w:rsidR="002D7233" w:rsidRPr="00737D6A" w:rsidRDefault="00737D6A" w:rsidP="00EE3C7D">
      <w:pPr>
        <w:pStyle w:val="Normal1"/>
        <w:rPr>
          <w:rFonts w:asciiTheme="majorHAnsi" w:hAnsiTheme="majorHAnsi" w:cstheme="majorHAnsi"/>
          <w:b/>
        </w:rPr>
      </w:pPr>
      <w:r w:rsidRPr="00737D6A">
        <w:rPr>
          <w:rFonts w:asciiTheme="majorHAnsi" w:hAnsiTheme="majorHAnsi" w:cstheme="majorHAnsi"/>
          <w:b/>
        </w:rPr>
        <w:t xml:space="preserve">UPDATED EX-ANTE MODEL </w:t>
      </w:r>
    </w:p>
    <w:p w14:paraId="7B053894" w14:textId="5B8C847A" w:rsidR="002D7233" w:rsidRPr="002D57EC" w:rsidRDefault="002D7233">
      <w:pPr>
        <w:rPr>
          <w:rFonts w:asciiTheme="majorHAnsi" w:hAnsiTheme="majorHAnsi" w:cstheme="majorBidi"/>
        </w:rPr>
      </w:pPr>
      <w:r w:rsidRPr="000E623B">
        <w:rPr>
          <w:rFonts w:asciiTheme="majorHAnsi" w:hAnsiTheme="majorHAnsi" w:cstheme="majorBidi"/>
        </w:rPr>
        <w:t xml:space="preserve">Based on the ex-ante analysis goals, </w:t>
      </w:r>
      <w:r w:rsidR="00B111F7" w:rsidRPr="000E623B">
        <w:rPr>
          <w:rFonts w:asciiTheme="majorHAnsi" w:hAnsiTheme="majorHAnsi" w:cstheme="majorBidi"/>
        </w:rPr>
        <w:t>EM</w:t>
      </w:r>
      <w:r w:rsidR="005046F9" w:rsidRPr="000E623B">
        <w:rPr>
          <w:rFonts w:asciiTheme="majorHAnsi" w:hAnsiTheme="majorHAnsi" w:cstheme="majorBidi"/>
        </w:rPr>
        <w:t>&amp;</w:t>
      </w:r>
      <w:r w:rsidR="00B111F7" w:rsidRPr="000E623B">
        <w:rPr>
          <w:rFonts w:asciiTheme="majorHAnsi" w:hAnsiTheme="majorHAnsi" w:cstheme="majorBidi"/>
        </w:rPr>
        <w:t>V consultant</w:t>
      </w:r>
      <w:r w:rsidRPr="000E623B">
        <w:rPr>
          <w:rFonts w:asciiTheme="majorHAnsi" w:hAnsiTheme="majorHAnsi" w:cstheme="majorBidi"/>
        </w:rPr>
        <w:t xml:space="preserve"> collaborated with </w:t>
      </w:r>
      <w:r w:rsidR="00A11352">
        <w:rPr>
          <w:rFonts w:asciiTheme="majorHAnsi" w:hAnsiTheme="majorHAnsi" w:cstheme="majorBidi"/>
        </w:rPr>
        <w:t xml:space="preserve">ex ante review consultants </w:t>
      </w:r>
      <w:r w:rsidRPr="000E623B">
        <w:rPr>
          <w:rFonts w:asciiTheme="majorHAnsi" w:hAnsiTheme="majorHAnsi" w:cstheme="majorBidi"/>
        </w:rPr>
        <w:t xml:space="preserve">to develop an updated model that is appropriate for an ex-ante estimate. </w:t>
      </w:r>
      <w:r w:rsidR="00B111F7" w:rsidRPr="000E623B">
        <w:rPr>
          <w:rFonts w:asciiTheme="majorHAnsi" w:hAnsiTheme="majorHAnsi" w:cstheme="majorBidi"/>
        </w:rPr>
        <w:t>EM</w:t>
      </w:r>
      <w:r w:rsidR="005046F9" w:rsidRPr="000E623B">
        <w:rPr>
          <w:rFonts w:asciiTheme="majorHAnsi" w:hAnsiTheme="majorHAnsi" w:cstheme="majorBidi"/>
        </w:rPr>
        <w:t>&amp;</w:t>
      </w:r>
      <w:r w:rsidR="00B111F7" w:rsidRPr="000E623B">
        <w:rPr>
          <w:rFonts w:asciiTheme="majorHAnsi" w:hAnsiTheme="majorHAnsi" w:cstheme="majorBidi"/>
        </w:rPr>
        <w:t>V consultant</w:t>
      </w:r>
      <w:r w:rsidRPr="000E623B">
        <w:rPr>
          <w:rFonts w:asciiTheme="majorHAnsi" w:hAnsiTheme="majorHAnsi" w:cstheme="majorBidi"/>
        </w:rPr>
        <w:t xml:space="preserve"> also updated the analysis to estimate the annual savings directly rather than estimate savings at a monthly level. The updated model has the following characteristics: </w:t>
      </w:r>
    </w:p>
    <w:p w14:paraId="166993A6" w14:textId="77777777" w:rsidR="00A0354A" w:rsidRPr="00737D6A" w:rsidRDefault="00A0354A" w:rsidP="00953E4E">
      <w:pPr>
        <w:rPr>
          <w:rFonts w:asciiTheme="majorHAnsi" w:hAnsiTheme="majorHAnsi" w:cstheme="majorHAnsi"/>
        </w:rPr>
      </w:pPr>
    </w:p>
    <w:p w14:paraId="12587DA7" w14:textId="5BA1E17F" w:rsidR="002D7233" w:rsidRPr="002D57EC" w:rsidRDefault="002D7233" w:rsidP="002D57EC">
      <w:pPr>
        <w:pStyle w:val="ListParagraph"/>
        <w:numPr>
          <w:ilvl w:val="0"/>
          <w:numId w:val="111"/>
        </w:numPr>
        <w:spacing w:after="0"/>
        <w:rPr>
          <w:rFonts w:asciiTheme="majorHAnsi" w:hAnsiTheme="majorHAnsi" w:cstheme="majorBidi"/>
        </w:rPr>
      </w:pPr>
      <w:r w:rsidRPr="000E623B">
        <w:rPr>
          <w:rFonts w:asciiTheme="majorHAnsi" w:hAnsiTheme="majorHAnsi" w:cstheme="majorBidi"/>
        </w:rPr>
        <w:lastRenderedPageBreak/>
        <w:t>The model maintains the full structure of the DID and weather elements regardless of significance</w:t>
      </w:r>
      <w:r w:rsidR="00B505BA" w:rsidRPr="000E623B">
        <w:rPr>
          <w:rFonts w:asciiTheme="majorHAnsi" w:hAnsiTheme="majorHAnsi" w:cstheme="majorBidi"/>
        </w:rPr>
        <w:t>,</w:t>
      </w:r>
      <w:r w:rsidRPr="000E623B">
        <w:rPr>
          <w:rFonts w:asciiTheme="majorHAnsi" w:hAnsiTheme="majorHAnsi" w:cstheme="majorBidi"/>
        </w:rPr>
        <w:t xml:space="preserve"> which provides more stability for the estimates during extrapolation. </w:t>
      </w:r>
    </w:p>
    <w:p w14:paraId="67D93B1E" w14:textId="77777777" w:rsidR="002D7233" w:rsidRPr="00737D6A" w:rsidRDefault="002D7233" w:rsidP="006E54D1">
      <w:pPr>
        <w:pStyle w:val="ListParagraph"/>
        <w:numPr>
          <w:ilvl w:val="0"/>
          <w:numId w:val="111"/>
        </w:numPr>
        <w:spacing w:after="0"/>
        <w:rPr>
          <w:rFonts w:asciiTheme="majorHAnsi" w:hAnsiTheme="majorHAnsi" w:cstheme="majorHAnsi"/>
        </w:rPr>
      </w:pPr>
      <w:r w:rsidRPr="00737D6A">
        <w:rPr>
          <w:rFonts w:asciiTheme="majorHAnsi" w:hAnsiTheme="majorHAnsi" w:cstheme="majorHAnsi"/>
        </w:rPr>
        <w:t>The model employs a fixed effect approach.</w:t>
      </w:r>
    </w:p>
    <w:p w14:paraId="13BDEABB" w14:textId="77777777" w:rsidR="002D7233" w:rsidRPr="00737D6A" w:rsidRDefault="002D7233" w:rsidP="006E54D1">
      <w:pPr>
        <w:pStyle w:val="ListParagraph"/>
        <w:numPr>
          <w:ilvl w:val="0"/>
          <w:numId w:val="111"/>
        </w:numPr>
        <w:spacing w:after="0"/>
        <w:rPr>
          <w:rFonts w:asciiTheme="majorHAnsi" w:hAnsiTheme="majorHAnsi" w:cstheme="majorHAnsi"/>
        </w:rPr>
      </w:pPr>
      <w:r w:rsidRPr="00737D6A">
        <w:rPr>
          <w:rFonts w:asciiTheme="majorHAnsi" w:hAnsiTheme="majorHAnsi" w:cstheme="majorHAnsi"/>
        </w:rPr>
        <w:t xml:space="preserve">The model estimates the overall effect of the two thermostats with highest participation of PGE’s program making up over 97% of PG&amp;E’s current rebates jointly. </w:t>
      </w:r>
    </w:p>
    <w:p w14:paraId="7A589BE5" w14:textId="77777777" w:rsidR="0078507C" w:rsidRDefault="0078507C" w:rsidP="00953E4E">
      <w:pPr>
        <w:rPr>
          <w:rFonts w:asciiTheme="majorHAnsi" w:hAnsiTheme="majorHAnsi" w:cstheme="majorHAnsi"/>
        </w:rPr>
      </w:pPr>
    </w:p>
    <w:p w14:paraId="4BB1947E" w14:textId="48524B0A" w:rsidR="0080778E" w:rsidRPr="00737D6A" w:rsidRDefault="002D7233" w:rsidP="00953E4E">
      <w:pPr>
        <w:rPr>
          <w:rFonts w:asciiTheme="majorHAnsi" w:hAnsiTheme="majorHAnsi" w:cstheme="majorHAnsi"/>
        </w:rPr>
      </w:pPr>
      <w:r w:rsidRPr="00737D6A">
        <w:rPr>
          <w:rFonts w:asciiTheme="majorHAnsi" w:hAnsiTheme="majorHAnsi" w:cstheme="majorHAnsi"/>
        </w:rPr>
        <w:t>The final ex ante model specification is below:</w:t>
      </w:r>
    </w:p>
    <w:p w14:paraId="4C16A8DC" w14:textId="36BB54D1" w:rsidR="0080778E" w:rsidRPr="0080778E" w:rsidRDefault="0080778E" w:rsidP="0080778E">
      <w:pPr>
        <w:rPr>
          <w:rFonts w:asciiTheme="majorHAnsi" w:hAnsiTheme="majorHAnsi" w:cstheme="majorHAnsi"/>
        </w:rPr>
      </w:pPr>
    </w:p>
    <w:p w14:paraId="1C58E201" w14:textId="57550832" w:rsidR="0080778E" w:rsidRPr="0080778E" w:rsidRDefault="00D405BE" w:rsidP="0080778E">
      <w:pPr>
        <w:rPr>
          <w:rFonts w:asciiTheme="majorHAnsi" w:hAnsiTheme="majorHAnsi" w:cstheme="majorHAnsi"/>
        </w:rPr>
      </w:pPr>
      <m:oMathPara>
        <m:oMathParaPr>
          <m:jc m:val="center"/>
        </m:oMathParaPr>
        <m:oMath>
          <m:sSub>
            <m:sSubPr>
              <m:ctrlPr>
                <w:rPr>
                  <w:rFonts w:ascii="Cambria Math" w:hAnsi="Cambria Math" w:cstheme="majorHAnsi"/>
                  <w:i/>
                </w:rPr>
              </m:ctrlPr>
            </m:sSubPr>
            <m:e>
              <m:r>
                <w:rPr>
                  <w:rFonts w:ascii="Cambria Math" w:hAnsi="Cambria Math" w:cstheme="majorHAnsi"/>
                </w:rPr>
                <m:t>kWh</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α</m:t>
              </m:r>
            </m:e>
            <m:sub>
              <m:r>
                <w:rPr>
                  <w:rFonts w:ascii="Cambria Math" w:hAnsi="Cambria Math" w:cstheme="majorHAnsi"/>
                </w:rPr>
                <m:t>i</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1</m:t>
              </m:r>
            </m:sub>
          </m:sSub>
          <m:sSub>
            <m:sSubPr>
              <m:ctrlPr>
                <w:rPr>
                  <w:rFonts w:ascii="Cambria Math" w:hAnsi="Cambria Math" w:cstheme="majorHAnsi"/>
                  <w:i/>
                </w:rPr>
              </m:ctrlPr>
            </m:sSubPr>
            <m:e>
              <m:r>
                <w:rPr>
                  <w:rFonts w:ascii="Cambria Math" w:hAnsi="Cambria Math" w:cstheme="majorHAnsi"/>
                </w:rPr>
                <m:t>trt_period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2</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trt_period *encgd)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3</m:t>
              </m:r>
            </m:sub>
          </m:sSub>
          <m:sSub>
            <m:sSubPr>
              <m:ctrlPr>
                <w:rPr>
                  <w:rFonts w:ascii="Cambria Math" w:hAnsi="Cambria Math" w:cstheme="majorHAnsi"/>
                  <w:i/>
                </w:rPr>
              </m:ctrlPr>
            </m:sSubPr>
            <m:e>
              <m:r>
                <w:rPr>
                  <w:rFonts w:ascii="Cambria Math" w:hAnsi="Cambria Math" w:cstheme="majorHAnsi"/>
                </w:rPr>
                <m:t>CDD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4</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HDD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5</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trt_period *CDD)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6</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trt_period *HDD)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7</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encgd *CDD)</m:t>
              </m:r>
            </m:e>
            <m:sub>
              <m:r>
                <w:rPr>
                  <w:rFonts w:ascii="Cambria Math" w:hAnsi="Cambria Math" w:cstheme="majorHAnsi"/>
                </w:rPr>
                <m:t>it</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8</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encgd *HDD)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9</m:t>
              </m:r>
            </m:sub>
          </m:sSub>
          <m:r>
            <w:rPr>
              <w:rFonts w:ascii="Cambria Math" w:hAnsi="Cambria Math" w:cstheme="majorHAnsi"/>
            </w:rPr>
            <m:t xml:space="preserve"> (trt_period*</m:t>
          </m:r>
          <m:sSub>
            <m:sSubPr>
              <m:ctrlPr>
                <w:rPr>
                  <w:rFonts w:ascii="Cambria Math" w:hAnsi="Cambria Math" w:cstheme="majorHAnsi"/>
                  <w:i/>
                </w:rPr>
              </m:ctrlPr>
            </m:sSubPr>
            <m:e>
              <m:r>
                <w:rPr>
                  <w:rFonts w:ascii="Cambria Math" w:hAnsi="Cambria Math" w:cstheme="majorHAnsi"/>
                </w:rPr>
                <m:t>encgd *CDD)</m:t>
              </m:r>
            </m:e>
            <m:sub>
              <m:r>
                <w:rPr>
                  <w:rFonts w:ascii="Cambria Math" w:hAnsi="Cambria Math" w:cstheme="majorHAnsi"/>
                </w:rPr>
                <m:t>it</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10</m:t>
              </m:r>
            </m:sub>
          </m:sSub>
          <m:r>
            <w:rPr>
              <w:rFonts w:ascii="Cambria Math" w:hAnsi="Cambria Math" w:cstheme="majorHAnsi"/>
            </w:rPr>
            <m:t xml:space="preserve"> (tr</m:t>
          </m:r>
          <m:sSub>
            <m:sSubPr>
              <m:ctrlPr>
                <w:rPr>
                  <w:rFonts w:ascii="Cambria Math" w:hAnsi="Cambria Math" w:cstheme="majorHAnsi"/>
                  <w:i/>
                </w:rPr>
              </m:ctrlPr>
            </m:sSubPr>
            <m:e>
              <m:r>
                <w:rPr>
                  <w:rFonts w:ascii="Cambria Math" w:hAnsi="Cambria Math" w:cstheme="majorHAnsi"/>
                </w:rPr>
                <m:t>t</m:t>
              </m:r>
            </m:e>
            <m:sub>
              <m:r>
                <w:rPr>
                  <w:rFonts w:ascii="Cambria Math" w:hAnsi="Cambria Math" w:cstheme="majorHAnsi"/>
                </w:rPr>
                <m:t>period</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encgd *HDD)</m:t>
              </m:r>
            </m:e>
            <m:sub>
              <m:r>
                <w:rPr>
                  <w:rFonts w:ascii="Cambria Math" w:hAnsi="Cambria Math" w:cstheme="majorHAnsi"/>
                </w:rPr>
                <m:t>it</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ε</m:t>
              </m:r>
            </m:e>
            <m:sub>
              <m:r>
                <w:rPr>
                  <w:rFonts w:ascii="Cambria Math" w:hAnsi="Cambria Math" w:cstheme="majorHAnsi"/>
                </w:rPr>
                <m:t>it</m:t>
              </m:r>
            </m:sub>
          </m:sSub>
        </m:oMath>
      </m:oMathPara>
    </w:p>
    <w:p w14:paraId="18E3114A" w14:textId="77777777" w:rsidR="0080778E" w:rsidRPr="0080778E" w:rsidRDefault="0080778E" w:rsidP="0080778E">
      <w:pPr>
        <w:rPr>
          <w:rFonts w:asciiTheme="majorHAnsi" w:hAnsiTheme="majorHAnsi" w:cstheme="majorHAnsi"/>
        </w:rPr>
      </w:pPr>
      <w:r w:rsidRPr="0080778E">
        <w:rPr>
          <w:rFonts w:asciiTheme="majorHAnsi" w:hAnsiTheme="majorHAnsi" w:cstheme="majorHAnsi"/>
        </w:rPr>
        <w:t>where:</w:t>
      </w:r>
    </w:p>
    <w:p w14:paraId="5A1AFDF3" w14:textId="7AC6F123"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kWh</m:t>
            </m:r>
          </m:e>
          <m:sub>
            <m:r>
              <w:rPr>
                <w:rFonts w:ascii="Cambria Math" w:hAnsi="Cambria Math" w:cstheme="majorHAnsi"/>
              </w:rPr>
              <m:t>it</m:t>
            </m:r>
          </m:sub>
        </m:sSub>
        <m:r>
          <m:rPr>
            <m:sty m:val="p"/>
          </m:rPr>
          <w:rPr>
            <w:rFonts w:ascii="Cambria Math" w:hAnsi="Cambria Math" w:cstheme="majorHAnsi"/>
          </w:rPr>
          <m:t xml:space="preserve"> </m:t>
        </m:r>
      </m:oMath>
      <w:r w:rsidR="0080778E" w:rsidRPr="0080778E">
        <w:rPr>
          <w:rFonts w:asciiTheme="majorHAnsi" w:hAnsiTheme="majorHAnsi" w:cstheme="majorHAnsi"/>
        </w:rPr>
        <w:t xml:space="preserve">= the kWh consumption of customer </w:t>
      </w:r>
      <m:oMath>
        <m:r>
          <w:rPr>
            <w:rFonts w:ascii="Cambria Math" w:hAnsi="Cambria Math" w:cstheme="majorHAnsi"/>
          </w:rPr>
          <m:t>i</m:t>
        </m:r>
      </m:oMath>
      <w:r w:rsidR="0080778E" w:rsidRPr="0080778E">
        <w:rPr>
          <w:rFonts w:asciiTheme="majorHAnsi" w:hAnsiTheme="majorHAnsi" w:cstheme="majorHAnsi"/>
        </w:rPr>
        <w:t xml:space="preserve"> in month </w:t>
      </w:r>
      <m:oMath>
        <m:r>
          <w:rPr>
            <w:rFonts w:ascii="Cambria Math" w:hAnsi="Cambria Math" w:cstheme="majorHAnsi"/>
          </w:rPr>
          <m:t>t</m:t>
        </m:r>
      </m:oMath>
    </w:p>
    <w:p w14:paraId="588D4AB6" w14:textId="4BF9AC43"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α</m:t>
            </m:r>
          </m:e>
          <m:sub>
            <m:r>
              <w:rPr>
                <w:rFonts w:ascii="Cambria Math" w:hAnsi="Cambria Math" w:cstheme="majorHAnsi"/>
              </w:rPr>
              <m:t>i</m:t>
            </m:r>
          </m:sub>
        </m:sSub>
      </m:oMath>
      <w:r w:rsidR="0080778E" w:rsidRPr="0080778E">
        <w:rPr>
          <w:rFonts w:asciiTheme="majorHAnsi" w:hAnsiTheme="majorHAnsi" w:cstheme="majorHAnsi"/>
        </w:rPr>
        <w:t xml:space="preserve"> = a fixed effect for each customer </w:t>
      </w:r>
      <m:oMath>
        <m:r>
          <w:rPr>
            <w:rFonts w:ascii="Cambria Math" w:hAnsi="Cambria Math" w:cstheme="majorHAnsi"/>
          </w:rPr>
          <m:t>i</m:t>
        </m:r>
      </m:oMath>
    </w:p>
    <w:p w14:paraId="3F78167D" w14:textId="3062A431"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trt</m:t>
            </m:r>
            <m:r>
              <m:rPr>
                <m:sty m:val="p"/>
              </m:rPr>
              <w:rPr>
                <w:rFonts w:ascii="Cambria Math" w:hAnsi="Cambria Math" w:cstheme="majorHAnsi"/>
              </w:rPr>
              <m:t>_</m:t>
            </m:r>
            <m:r>
              <w:rPr>
                <w:rFonts w:ascii="Cambria Math" w:hAnsi="Cambria Math" w:cstheme="majorHAnsi"/>
              </w:rPr>
              <m:t>period</m:t>
            </m:r>
          </m:e>
          <m:sub>
            <m:r>
              <w:rPr>
                <w:rFonts w:ascii="Cambria Math" w:hAnsi="Cambria Math" w:cstheme="majorHAnsi"/>
              </w:rPr>
              <m:t>it</m:t>
            </m:r>
          </m:sub>
        </m:sSub>
      </m:oMath>
      <w:r w:rsidR="0080778E" w:rsidRPr="0080778E">
        <w:rPr>
          <w:rFonts w:asciiTheme="majorHAnsi" w:hAnsiTheme="majorHAnsi" w:cstheme="majorHAnsi"/>
        </w:rPr>
        <w:t xml:space="preserve">= an indicator that takes on a value of </w:t>
      </w:r>
      <m:oMath>
        <m:r>
          <w:rPr>
            <w:rFonts w:ascii="Cambria Math" w:hAnsi="Cambria Math" w:cstheme="majorHAnsi"/>
          </w:rPr>
          <m:t>1</m:t>
        </m:r>
      </m:oMath>
      <w:r w:rsidR="0080778E" w:rsidRPr="0080778E">
        <w:rPr>
          <w:rFonts w:asciiTheme="majorHAnsi" w:hAnsiTheme="majorHAnsi" w:cstheme="majorHAnsi"/>
        </w:rPr>
        <w:t xml:space="preserve"> for each customer </w:t>
      </w:r>
      <m:oMath>
        <m:r>
          <w:rPr>
            <w:rFonts w:ascii="Cambria Math" w:hAnsi="Cambria Math" w:cstheme="majorHAnsi"/>
          </w:rPr>
          <m:t>i</m:t>
        </m:r>
      </m:oMath>
      <w:r w:rsidR="0080778E" w:rsidRPr="0080778E">
        <w:rPr>
          <w:rFonts w:asciiTheme="majorHAnsi" w:hAnsiTheme="majorHAnsi" w:cstheme="majorHAnsi"/>
        </w:rPr>
        <w:t xml:space="preserve"> when month </w:t>
      </w:r>
      <m:oMath>
        <m:r>
          <w:rPr>
            <w:rFonts w:ascii="Cambria Math" w:hAnsi="Cambria Math" w:cstheme="majorHAnsi"/>
          </w:rPr>
          <m:t>t</m:t>
        </m:r>
      </m:oMath>
      <w:r w:rsidR="0080778E" w:rsidRPr="0080778E">
        <w:rPr>
          <w:rFonts w:asciiTheme="majorHAnsi" w:hAnsiTheme="majorHAnsi" w:cstheme="majorHAnsi"/>
        </w:rPr>
        <w:t xml:space="preserve"> is in the treatment period</w:t>
      </w:r>
    </w:p>
    <w:p w14:paraId="7D03823D" w14:textId="6DD3931C"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encgd</m:t>
            </m:r>
          </m:e>
          <m:sub>
            <m:r>
              <w:rPr>
                <w:rFonts w:ascii="Cambria Math" w:hAnsi="Cambria Math" w:cstheme="majorHAnsi"/>
              </w:rPr>
              <m:t>i</m:t>
            </m:r>
          </m:sub>
        </m:sSub>
        <m:r>
          <m:rPr>
            <m:sty m:val="p"/>
          </m:rPr>
          <w:rPr>
            <w:rFonts w:ascii="Cambria Math" w:hAnsi="Cambria Math" w:cstheme="majorHAnsi"/>
          </w:rPr>
          <m:t xml:space="preserve"> </m:t>
        </m:r>
      </m:oMath>
      <w:r w:rsidR="0080778E" w:rsidRPr="0080778E">
        <w:rPr>
          <w:rFonts w:asciiTheme="majorHAnsi" w:hAnsiTheme="majorHAnsi" w:cstheme="majorHAnsi"/>
        </w:rPr>
        <w:t xml:space="preserve">= an indicator which takes on a value of </w:t>
      </w:r>
      <m:oMath>
        <m:r>
          <w:rPr>
            <w:rFonts w:ascii="Cambria Math" w:hAnsi="Cambria Math" w:cstheme="majorHAnsi"/>
          </w:rPr>
          <m:t>1</m:t>
        </m:r>
      </m:oMath>
      <w:r w:rsidR="0080778E" w:rsidRPr="0080778E">
        <w:rPr>
          <w:rFonts w:asciiTheme="majorHAnsi" w:hAnsiTheme="majorHAnsi" w:cstheme="majorHAnsi"/>
        </w:rPr>
        <w:t xml:space="preserve"> customer </w:t>
      </w:r>
      <m:oMath>
        <m:r>
          <w:rPr>
            <w:rFonts w:ascii="Cambria Math" w:hAnsi="Cambria Math" w:cstheme="majorHAnsi"/>
          </w:rPr>
          <m:t>i</m:t>
        </m:r>
      </m:oMath>
      <w:r w:rsidR="0080778E" w:rsidRPr="0080778E">
        <w:rPr>
          <w:rFonts w:asciiTheme="majorHAnsi" w:hAnsiTheme="majorHAnsi" w:cstheme="majorHAnsi"/>
        </w:rPr>
        <w:t xml:space="preserve"> is in the encouraged group</w:t>
      </w:r>
    </w:p>
    <w:p w14:paraId="0AA84D48" w14:textId="0E160C12"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CDD</m:t>
            </m:r>
          </m:e>
          <m:sub>
            <m:r>
              <w:rPr>
                <w:rFonts w:ascii="Cambria Math" w:hAnsi="Cambria Math" w:cstheme="majorHAnsi"/>
              </w:rPr>
              <m:t>it</m:t>
            </m:r>
          </m:sub>
        </m:sSub>
        <m:r>
          <m:rPr>
            <m:sty m:val="p"/>
          </m:rPr>
          <w:rPr>
            <w:rFonts w:ascii="Cambria Math" w:hAnsi="Cambria Math" w:cstheme="majorHAnsi"/>
          </w:rPr>
          <m:t xml:space="preserve"> </m:t>
        </m:r>
      </m:oMath>
      <w:r w:rsidR="0080778E" w:rsidRPr="0080778E">
        <w:rPr>
          <w:rFonts w:asciiTheme="majorHAnsi" w:hAnsiTheme="majorHAnsi" w:cstheme="majorHAnsi"/>
        </w:rPr>
        <w:t xml:space="preserve">= total cooling degrees for customer </w:t>
      </w:r>
      <m:oMath>
        <m:r>
          <w:rPr>
            <w:rFonts w:ascii="Cambria Math" w:hAnsi="Cambria Math" w:cstheme="majorHAnsi"/>
          </w:rPr>
          <m:t>i</m:t>
        </m:r>
      </m:oMath>
      <w:r w:rsidR="0080778E" w:rsidRPr="0080778E">
        <w:rPr>
          <w:rFonts w:asciiTheme="majorHAnsi" w:hAnsiTheme="majorHAnsi" w:cstheme="majorHAnsi"/>
        </w:rPr>
        <w:t xml:space="preserve"> in month </w:t>
      </w:r>
      <m:oMath>
        <m:r>
          <w:rPr>
            <w:rFonts w:ascii="Cambria Math" w:hAnsi="Cambria Math" w:cstheme="majorHAnsi"/>
          </w:rPr>
          <m:t>t</m:t>
        </m:r>
      </m:oMath>
    </w:p>
    <w:p w14:paraId="75A98504" w14:textId="09A57393" w:rsidR="0080778E" w:rsidRPr="0080778E" w:rsidRDefault="00D405BE" w:rsidP="0080778E">
      <w:pPr>
        <w:rPr>
          <w:rFonts w:asciiTheme="majorHAnsi" w:hAnsiTheme="majorHAnsi" w:cstheme="majorHAnsi"/>
        </w:rPr>
      </w:pPr>
      <m:oMath>
        <m:sSub>
          <m:sSubPr>
            <m:ctrlPr>
              <w:rPr>
                <w:rFonts w:ascii="Cambria Math" w:hAnsi="Cambria Math" w:cstheme="majorHAnsi"/>
              </w:rPr>
            </m:ctrlPr>
          </m:sSubPr>
          <m:e>
            <m:r>
              <w:rPr>
                <w:rFonts w:ascii="Cambria Math" w:hAnsi="Cambria Math" w:cstheme="majorHAnsi"/>
              </w:rPr>
              <m:t>HDD</m:t>
            </m:r>
          </m:e>
          <m:sub>
            <m:r>
              <w:rPr>
                <w:rFonts w:ascii="Cambria Math" w:hAnsi="Cambria Math" w:cstheme="majorHAnsi"/>
              </w:rPr>
              <m:t>it</m:t>
            </m:r>
          </m:sub>
        </m:sSub>
      </m:oMath>
      <w:r w:rsidR="0080778E" w:rsidRPr="0080778E">
        <w:rPr>
          <w:rFonts w:asciiTheme="majorHAnsi" w:hAnsiTheme="majorHAnsi" w:cstheme="majorHAnsi"/>
        </w:rPr>
        <w:t xml:space="preserve"> = total heating degrees for customer </w:t>
      </w:r>
      <m:oMath>
        <m:r>
          <w:rPr>
            <w:rFonts w:ascii="Cambria Math" w:hAnsi="Cambria Math" w:cstheme="majorHAnsi"/>
          </w:rPr>
          <m:t>i</m:t>
        </m:r>
      </m:oMath>
      <w:r w:rsidR="0080778E" w:rsidRPr="0080778E">
        <w:rPr>
          <w:rFonts w:asciiTheme="majorHAnsi" w:hAnsiTheme="majorHAnsi" w:cstheme="majorHAnsi"/>
        </w:rPr>
        <w:t xml:space="preserve"> in month </w:t>
      </w:r>
      <m:oMath>
        <m:r>
          <w:rPr>
            <w:rFonts w:ascii="Cambria Math" w:hAnsi="Cambria Math" w:cstheme="majorHAnsi"/>
          </w:rPr>
          <m:t>t</m:t>
        </m:r>
      </m:oMath>
    </w:p>
    <w:p w14:paraId="0360DDB2" w14:textId="11E6052E" w:rsidR="0080778E" w:rsidRPr="0080778E" w:rsidRDefault="0080778E" w:rsidP="0080778E">
      <w:pPr>
        <w:rPr>
          <w:rFonts w:asciiTheme="majorHAnsi" w:hAnsiTheme="majorHAnsi" w:cstheme="majorHAnsi"/>
        </w:rPr>
      </w:pPr>
      <m:oMath>
        <m:r>
          <m:rPr>
            <m:sty m:val="p"/>
          </m:rPr>
          <w:rPr>
            <w:rFonts w:ascii="Cambria Math" w:hAnsi="Cambria Math" w:cstheme="majorHAnsi"/>
          </w:rPr>
          <m:t xml:space="preserve"> </m:t>
        </m:r>
        <m:sSub>
          <m:sSubPr>
            <m:ctrlPr>
              <w:rPr>
                <w:rFonts w:ascii="Cambria Math" w:hAnsi="Cambria Math" w:cstheme="majorHAnsi"/>
              </w:rPr>
            </m:ctrlPr>
          </m:sSubPr>
          <m:e>
            <m:r>
              <w:rPr>
                <w:rFonts w:ascii="Cambria Math" w:hAnsi="Cambria Math" w:cstheme="majorHAnsi"/>
              </w:rPr>
              <m:t>ε</m:t>
            </m:r>
          </m:e>
          <m:sub>
            <m:r>
              <w:rPr>
                <w:rFonts w:ascii="Cambria Math" w:hAnsi="Cambria Math" w:cstheme="majorHAnsi"/>
              </w:rPr>
              <m:t>it</m:t>
            </m:r>
          </m:sub>
        </m:sSub>
      </m:oMath>
      <w:r w:rsidRPr="0080778E">
        <w:rPr>
          <w:rFonts w:asciiTheme="majorHAnsi" w:hAnsiTheme="majorHAnsi" w:cstheme="majorHAnsi"/>
        </w:rPr>
        <w:t xml:space="preserve"> = the error for customer </w:t>
      </w:r>
      <m:oMath>
        <m:r>
          <w:rPr>
            <w:rFonts w:ascii="Cambria Math" w:hAnsi="Cambria Math" w:cstheme="majorHAnsi"/>
          </w:rPr>
          <m:t>i</m:t>
        </m:r>
      </m:oMath>
      <w:r w:rsidRPr="0080778E">
        <w:rPr>
          <w:rFonts w:asciiTheme="majorHAnsi" w:hAnsiTheme="majorHAnsi" w:cstheme="majorHAnsi"/>
        </w:rPr>
        <w:t xml:space="preserve"> in month </w:t>
      </w:r>
      <m:oMath>
        <m:r>
          <w:rPr>
            <w:rFonts w:ascii="Cambria Math" w:hAnsi="Cambria Math" w:cstheme="majorHAnsi"/>
          </w:rPr>
          <m:t>t</m:t>
        </m:r>
      </m:oMath>
    </w:p>
    <w:p w14:paraId="4B318454" w14:textId="77777777" w:rsidR="0080778E" w:rsidRDefault="0080778E" w:rsidP="00EE3C7D">
      <w:pPr>
        <w:pStyle w:val="Normal1"/>
        <w:rPr>
          <w:rFonts w:asciiTheme="majorHAnsi" w:hAnsiTheme="majorHAnsi" w:cstheme="majorHAnsi"/>
          <w:b/>
        </w:rPr>
      </w:pPr>
    </w:p>
    <w:p w14:paraId="2103804B" w14:textId="54B241D7" w:rsidR="002D7233" w:rsidRPr="00737D6A" w:rsidRDefault="00737D6A" w:rsidP="00EE3C7D">
      <w:pPr>
        <w:pStyle w:val="Normal1"/>
        <w:rPr>
          <w:rFonts w:asciiTheme="majorHAnsi" w:hAnsiTheme="majorHAnsi" w:cstheme="majorHAnsi"/>
          <w:b/>
        </w:rPr>
      </w:pPr>
      <w:r w:rsidRPr="00737D6A">
        <w:rPr>
          <w:rFonts w:asciiTheme="majorHAnsi" w:hAnsiTheme="majorHAnsi" w:cstheme="majorHAnsi"/>
          <w:b/>
        </w:rPr>
        <w:t xml:space="preserve">EXTRAPOLATION </w:t>
      </w:r>
    </w:p>
    <w:p w14:paraId="45AE55AB" w14:textId="289E6237" w:rsidR="0080778E" w:rsidRDefault="002D7233">
      <w:pPr>
        <w:pStyle w:val="Normal1"/>
        <w:rPr>
          <w:rFonts w:asciiTheme="majorHAnsi" w:hAnsiTheme="majorHAnsi" w:cstheme="majorBidi"/>
        </w:rPr>
      </w:pPr>
      <w:r w:rsidRPr="000E623B">
        <w:rPr>
          <w:rFonts w:asciiTheme="majorHAnsi" w:hAnsiTheme="majorHAnsi" w:cstheme="majorBidi"/>
        </w:rPr>
        <w:t xml:space="preserve">Before describing the actual approach, several considerations </w:t>
      </w:r>
      <w:r w:rsidR="00B505BA" w:rsidRPr="000E623B">
        <w:rPr>
          <w:rFonts w:asciiTheme="majorHAnsi" w:hAnsiTheme="majorHAnsi" w:cstheme="majorBidi"/>
        </w:rPr>
        <w:t>are</w:t>
      </w:r>
      <w:r w:rsidRPr="000E623B">
        <w:rPr>
          <w:rFonts w:asciiTheme="majorHAnsi" w:hAnsiTheme="majorHAnsi" w:cstheme="majorBidi"/>
        </w:rPr>
        <w:t xml:space="preserve"> </w:t>
      </w:r>
      <w:r w:rsidR="00A0354A" w:rsidRPr="000E623B">
        <w:rPr>
          <w:rFonts w:asciiTheme="majorHAnsi" w:hAnsiTheme="majorHAnsi" w:cstheme="majorBidi"/>
        </w:rPr>
        <w:t>provide</w:t>
      </w:r>
      <w:r w:rsidR="00B505BA" w:rsidRPr="000E623B">
        <w:rPr>
          <w:rFonts w:asciiTheme="majorHAnsi" w:hAnsiTheme="majorHAnsi" w:cstheme="majorBidi"/>
        </w:rPr>
        <w:t>d below which are</w:t>
      </w:r>
      <w:r w:rsidR="00A0354A" w:rsidRPr="000E623B">
        <w:rPr>
          <w:rFonts w:asciiTheme="majorHAnsi" w:hAnsiTheme="majorHAnsi" w:cstheme="majorBidi"/>
        </w:rPr>
        <w:t xml:space="preserve"> important context </w:t>
      </w:r>
      <w:r w:rsidRPr="000E623B">
        <w:rPr>
          <w:rFonts w:asciiTheme="majorHAnsi" w:hAnsiTheme="majorHAnsi" w:cstheme="majorBidi"/>
        </w:rPr>
        <w:t>for the estimates.</w:t>
      </w:r>
    </w:p>
    <w:p w14:paraId="04D474C2" w14:textId="77777777" w:rsidR="0080778E" w:rsidRDefault="0080778E">
      <w:pPr>
        <w:pStyle w:val="Normal1"/>
        <w:rPr>
          <w:rFonts w:asciiTheme="majorHAnsi" w:hAnsiTheme="majorHAnsi" w:cstheme="majorBidi"/>
        </w:rPr>
      </w:pPr>
    </w:p>
    <w:p w14:paraId="0360C7DF" w14:textId="77777777" w:rsidR="002D7233" w:rsidRPr="002D57EC" w:rsidRDefault="002D7233">
      <w:pPr>
        <w:pStyle w:val="Normal1"/>
        <w:rPr>
          <w:rFonts w:asciiTheme="majorHAnsi" w:hAnsiTheme="majorHAnsi" w:cstheme="majorBidi"/>
          <w:b/>
          <w:bCs/>
        </w:rPr>
      </w:pPr>
      <w:r w:rsidRPr="000E623B">
        <w:rPr>
          <w:rFonts w:asciiTheme="majorHAnsi" w:hAnsiTheme="majorHAnsi" w:cstheme="majorBidi"/>
          <w:b/>
          <w:bCs/>
        </w:rPr>
        <w:t>Important Considerations</w:t>
      </w:r>
    </w:p>
    <w:p w14:paraId="32E0710E" w14:textId="6C90A3EF" w:rsidR="002D7233" w:rsidRPr="00737D6A" w:rsidRDefault="002D7233" w:rsidP="00953E4E">
      <w:pPr>
        <w:rPr>
          <w:rFonts w:asciiTheme="majorHAnsi" w:hAnsiTheme="majorHAnsi" w:cstheme="majorHAnsi"/>
        </w:rPr>
      </w:pPr>
      <w:r w:rsidRPr="00737D6A">
        <w:rPr>
          <w:rFonts w:asciiTheme="majorHAnsi" w:hAnsiTheme="majorHAnsi" w:cstheme="majorHAnsi"/>
        </w:rPr>
        <w:t xml:space="preserve">In </w:t>
      </w:r>
      <w:r w:rsidR="00A0354A" w:rsidRPr="00737D6A">
        <w:rPr>
          <w:rFonts w:asciiTheme="majorHAnsi" w:hAnsiTheme="majorHAnsi" w:cstheme="majorHAnsi"/>
        </w:rPr>
        <w:t xml:space="preserve">determining </w:t>
      </w:r>
      <w:r w:rsidRPr="00737D6A">
        <w:rPr>
          <w:rFonts w:asciiTheme="majorHAnsi" w:hAnsiTheme="majorHAnsi" w:cstheme="majorHAnsi"/>
        </w:rPr>
        <w:t>the most appropriate methodology for the ex-ante estimates of savings, the following is considered:</w:t>
      </w:r>
    </w:p>
    <w:p w14:paraId="03EE0076" w14:textId="77777777" w:rsidR="00A0354A" w:rsidRPr="00737D6A" w:rsidRDefault="00A0354A" w:rsidP="00953E4E">
      <w:pPr>
        <w:rPr>
          <w:rFonts w:asciiTheme="majorHAnsi" w:hAnsiTheme="majorHAnsi" w:cstheme="majorHAnsi"/>
        </w:rPr>
      </w:pPr>
    </w:p>
    <w:p w14:paraId="675E0505" w14:textId="6CD21F03" w:rsidR="002D7233" w:rsidRPr="002D57EC" w:rsidRDefault="002D7233" w:rsidP="002D57EC">
      <w:pPr>
        <w:pStyle w:val="ListParagraph"/>
        <w:numPr>
          <w:ilvl w:val="0"/>
          <w:numId w:val="111"/>
        </w:numPr>
        <w:spacing w:after="0"/>
        <w:rPr>
          <w:rFonts w:asciiTheme="majorHAnsi" w:hAnsiTheme="majorHAnsi" w:cstheme="majorBidi"/>
        </w:rPr>
      </w:pPr>
      <w:r w:rsidRPr="000E623B">
        <w:rPr>
          <w:rFonts w:asciiTheme="majorHAnsi" w:hAnsiTheme="majorHAnsi" w:cstheme="majorBidi"/>
        </w:rPr>
        <w:t>The PG&amp;E Year</w:t>
      </w:r>
      <w:r w:rsidR="00957BFE">
        <w:rPr>
          <w:rFonts w:asciiTheme="majorHAnsi" w:hAnsiTheme="majorHAnsi" w:cstheme="majorBidi"/>
        </w:rPr>
        <w:t xml:space="preserve"> 1</w:t>
      </w:r>
      <w:r w:rsidRPr="000E623B">
        <w:rPr>
          <w:rFonts w:asciiTheme="majorHAnsi" w:hAnsiTheme="majorHAnsi" w:cstheme="majorBidi"/>
        </w:rPr>
        <w:t xml:space="preserve"> </w:t>
      </w:r>
      <w:r w:rsidR="00BB1509" w:rsidRPr="000E623B">
        <w:rPr>
          <w:rFonts w:asciiTheme="majorHAnsi" w:hAnsiTheme="majorHAnsi" w:cstheme="majorBidi"/>
        </w:rPr>
        <w:t>S</w:t>
      </w:r>
      <w:r w:rsidRPr="000E623B">
        <w:rPr>
          <w:rFonts w:asciiTheme="majorHAnsi" w:hAnsiTheme="majorHAnsi" w:cstheme="majorBidi"/>
        </w:rPr>
        <w:t>tudy was not designed to be representative of all Californians.</w:t>
      </w:r>
    </w:p>
    <w:p w14:paraId="1CF36FFA" w14:textId="421065F9" w:rsidR="002D7233" w:rsidRPr="00737D6A" w:rsidRDefault="002D7233" w:rsidP="006E54D1">
      <w:pPr>
        <w:pStyle w:val="ListParagraph"/>
        <w:numPr>
          <w:ilvl w:val="0"/>
          <w:numId w:val="111"/>
        </w:numPr>
        <w:spacing w:after="0"/>
        <w:rPr>
          <w:rFonts w:asciiTheme="majorHAnsi" w:hAnsiTheme="majorHAnsi" w:cstheme="majorHAnsi"/>
        </w:rPr>
      </w:pPr>
      <w:r w:rsidRPr="00737D6A">
        <w:rPr>
          <w:rFonts w:asciiTheme="majorHAnsi" w:hAnsiTheme="majorHAnsi" w:cstheme="majorHAnsi"/>
        </w:rPr>
        <w:t>The PG&amp;E Year 1 Study model was estimated using actual CDD and HDD from PG&amp;E’s 23 weather stations, not CEC climate zone data.</w:t>
      </w:r>
    </w:p>
    <w:p w14:paraId="421B9785" w14:textId="6BCADC47" w:rsidR="002D7233" w:rsidRPr="002D57EC" w:rsidRDefault="002D7233" w:rsidP="002D57EC">
      <w:pPr>
        <w:pStyle w:val="ListParagraph"/>
        <w:numPr>
          <w:ilvl w:val="0"/>
          <w:numId w:val="111"/>
        </w:numPr>
        <w:spacing w:after="0"/>
        <w:rPr>
          <w:rFonts w:asciiTheme="majorHAnsi" w:hAnsiTheme="majorHAnsi" w:cstheme="majorBidi"/>
        </w:rPr>
      </w:pPr>
      <w:r w:rsidRPr="000E623B">
        <w:rPr>
          <w:rFonts w:asciiTheme="majorHAnsi" w:hAnsiTheme="majorHAnsi" w:cstheme="majorBidi"/>
        </w:rPr>
        <w:t>The results do not represent weather normal impacts, but actual ex</w:t>
      </w:r>
      <w:r w:rsidR="00545FD2" w:rsidRPr="000E623B">
        <w:rPr>
          <w:rFonts w:asciiTheme="majorHAnsi" w:hAnsiTheme="majorHAnsi" w:cstheme="majorBidi"/>
        </w:rPr>
        <w:t>-</w:t>
      </w:r>
      <w:r w:rsidRPr="000E623B">
        <w:rPr>
          <w:rFonts w:asciiTheme="majorHAnsi" w:hAnsiTheme="majorHAnsi" w:cstheme="majorBidi"/>
        </w:rPr>
        <w:t>post impacts.</w:t>
      </w:r>
    </w:p>
    <w:p w14:paraId="3790B105" w14:textId="3182B575" w:rsidR="002D7233" w:rsidRPr="002D57EC" w:rsidRDefault="002D7233" w:rsidP="002D57EC">
      <w:pPr>
        <w:pStyle w:val="ListParagraph"/>
        <w:numPr>
          <w:ilvl w:val="0"/>
          <w:numId w:val="111"/>
        </w:numPr>
        <w:spacing w:after="0"/>
        <w:rPr>
          <w:rFonts w:asciiTheme="majorHAnsi" w:hAnsiTheme="majorHAnsi" w:cstheme="majorBidi"/>
        </w:rPr>
      </w:pPr>
      <w:r w:rsidRPr="000E623B">
        <w:rPr>
          <w:rFonts w:asciiTheme="majorHAnsi" w:hAnsiTheme="majorHAnsi" w:cstheme="majorBidi"/>
        </w:rPr>
        <w:t>Impacts from participants in PG&amp;E hottest zones may not be representative of all CA customers, i.e. the weather relationships estimated by the ex</w:t>
      </w:r>
      <w:r w:rsidR="00545FD2" w:rsidRPr="000E623B">
        <w:rPr>
          <w:rFonts w:asciiTheme="majorHAnsi" w:hAnsiTheme="majorHAnsi" w:cstheme="majorBidi"/>
        </w:rPr>
        <w:t>-</w:t>
      </w:r>
      <w:r w:rsidRPr="000E623B">
        <w:rPr>
          <w:rFonts w:asciiTheme="majorHAnsi" w:hAnsiTheme="majorHAnsi" w:cstheme="majorBidi"/>
        </w:rPr>
        <w:t>ante regression model may not be applicable across the entire state.</w:t>
      </w:r>
    </w:p>
    <w:p w14:paraId="44E3CF47" w14:textId="77777777" w:rsidR="002D7233" w:rsidRPr="00737D6A" w:rsidRDefault="002D7233" w:rsidP="006E54D1">
      <w:pPr>
        <w:pStyle w:val="ListParagraph"/>
        <w:numPr>
          <w:ilvl w:val="0"/>
          <w:numId w:val="111"/>
        </w:numPr>
        <w:spacing w:after="0"/>
        <w:rPr>
          <w:rFonts w:asciiTheme="majorHAnsi" w:hAnsiTheme="majorHAnsi" w:cstheme="majorHAnsi"/>
        </w:rPr>
      </w:pPr>
      <w:r w:rsidRPr="00737D6A">
        <w:rPr>
          <w:rFonts w:asciiTheme="majorHAnsi" w:hAnsiTheme="majorHAnsi" w:cstheme="majorHAnsi"/>
        </w:rPr>
        <w:t>In the second year of the study (Year 2) we noted the following anomalies compared to the first year (Year 1):</w:t>
      </w:r>
    </w:p>
    <w:p w14:paraId="7293B50D" w14:textId="77777777" w:rsidR="002D7233" w:rsidRPr="00737D6A" w:rsidRDefault="002D7233" w:rsidP="00953E4E">
      <w:pPr>
        <w:numPr>
          <w:ilvl w:val="1"/>
          <w:numId w:val="107"/>
        </w:numPr>
        <w:rPr>
          <w:rFonts w:asciiTheme="majorHAnsi" w:hAnsiTheme="majorHAnsi" w:cstheme="majorHAnsi"/>
        </w:rPr>
      </w:pPr>
      <w:r w:rsidRPr="00737D6A">
        <w:rPr>
          <w:rFonts w:asciiTheme="majorHAnsi" w:hAnsiTheme="majorHAnsi" w:cstheme="majorHAnsi"/>
        </w:rPr>
        <w:t xml:space="preserve">The study participants experienced weather that was quite different with a more extreme summer. </w:t>
      </w:r>
    </w:p>
    <w:p w14:paraId="2795A0E5" w14:textId="77777777" w:rsidR="002D7233" w:rsidRPr="00737D6A" w:rsidRDefault="002D7233" w:rsidP="00953E4E">
      <w:pPr>
        <w:numPr>
          <w:ilvl w:val="1"/>
          <w:numId w:val="107"/>
        </w:numPr>
        <w:rPr>
          <w:rFonts w:asciiTheme="majorHAnsi" w:hAnsiTheme="majorHAnsi" w:cstheme="majorHAnsi"/>
        </w:rPr>
      </w:pPr>
      <w:r w:rsidRPr="00737D6A">
        <w:rPr>
          <w:rFonts w:asciiTheme="majorHAnsi" w:hAnsiTheme="majorHAnsi" w:cstheme="majorHAnsi"/>
        </w:rPr>
        <w:t xml:space="preserve">The samples eroded due to move outs and other account changes. The shrinking samples made the encouraged effect even harder to detect. </w:t>
      </w:r>
    </w:p>
    <w:p w14:paraId="324A3DB2" w14:textId="77777777" w:rsidR="002D7233" w:rsidRPr="00737D6A" w:rsidRDefault="002D7233" w:rsidP="00953E4E">
      <w:pPr>
        <w:numPr>
          <w:ilvl w:val="1"/>
          <w:numId w:val="107"/>
        </w:numPr>
        <w:rPr>
          <w:rFonts w:asciiTheme="majorHAnsi" w:hAnsiTheme="majorHAnsi" w:cstheme="majorHAnsi"/>
        </w:rPr>
      </w:pPr>
      <w:r w:rsidRPr="00737D6A">
        <w:rPr>
          <w:rFonts w:asciiTheme="majorHAnsi" w:hAnsiTheme="majorHAnsi" w:cstheme="majorHAnsi"/>
        </w:rPr>
        <w:lastRenderedPageBreak/>
        <w:t xml:space="preserve">Based on conducted survey, both control group customers and encouraged customers began installing smart thermostats, nearly 15% of each group installed thermostats independent of the program. </w:t>
      </w:r>
    </w:p>
    <w:p w14:paraId="0E712F92" w14:textId="7F1AC560" w:rsidR="002D7233" w:rsidRPr="00737D6A" w:rsidRDefault="002D7233" w:rsidP="004126AE">
      <w:pPr>
        <w:numPr>
          <w:ilvl w:val="1"/>
          <w:numId w:val="107"/>
        </w:numPr>
        <w:rPr>
          <w:rFonts w:asciiTheme="majorHAnsi" w:hAnsiTheme="majorHAnsi" w:cstheme="majorHAnsi"/>
          <w:b/>
          <w:i/>
        </w:rPr>
      </w:pPr>
      <w:r w:rsidRPr="00737D6A">
        <w:rPr>
          <w:rFonts w:asciiTheme="majorHAnsi" w:hAnsiTheme="majorHAnsi" w:cstheme="majorHAnsi"/>
        </w:rPr>
        <w:t>The savings patterns seemed to shift, with more savings being seen in the spring (and even winter) and less savings in the summer. These shifts in savings trends seemed counterintuitive.</w:t>
      </w:r>
    </w:p>
    <w:p w14:paraId="2190BD9F" w14:textId="791D35FB" w:rsidR="002D7233" w:rsidRPr="00737D6A" w:rsidRDefault="002D7233" w:rsidP="00EE3C7D">
      <w:pPr>
        <w:pStyle w:val="Normal1"/>
        <w:rPr>
          <w:rFonts w:asciiTheme="majorHAnsi" w:hAnsiTheme="majorHAnsi" w:cstheme="majorHAnsi"/>
          <w:b/>
        </w:rPr>
      </w:pPr>
    </w:p>
    <w:p w14:paraId="48C72EAA" w14:textId="5BF31CBF" w:rsidR="002D7233" w:rsidRPr="002D57EC" w:rsidRDefault="002D7233">
      <w:pPr>
        <w:rPr>
          <w:rFonts w:asciiTheme="majorHAnsi" w:hAnsiTheme="majorHAnsi" w:cstheme="majorBidi"/>
        </w:rPr>
      </w:pPr>
      <w:r w:rsidRPr="000E623B">
        <w:rPr>
          <w:rFonts w:asciiTheme="majorHAnsi" w:hAnsiTheme="majorHAnsi" w:cstheme="majorBidi"/>
        </w:rPr>
        <w:t xml:space="preserve">Given the considerations outlined above, and the remaining timeframe for completing the analysis, it </w:t>
      </w:r>
      <w:r w:rsidR="007C6664" w:rsidRPr="000E623B">
        <w:rPr>
          <w:rFonts w:asciiTheme="majorHAnsi" w:hAnsiTheme="majorHAnsi" w:cstheme="majorBidi"/>
        </w:rPr>
        <w:t xml:space="preserve">was </w:t>
      </w:r>
      <w:r w:rsidRPr="000E623B">
        <w:rPr>
          <w:rFonts w:asciiTheme="majorHAnsi" w:hAnsiTheme="majorHAnsi" w:cstheme="majorBidi"/>
        </w:rPr>
        <w:t xml:space="preserve">determined that a simple straightforward approach which makes minimal additional assumptions based on the model parameters is the most appropriate. </w:t>
      </w:r>
    </w:p>
    <w:p w14:paraId="69B0437D" w14:textId="77777777" w:rsidR="00A0354A" w:rsidRPr="00737D6A" w:rsidRDefault="00A0354A" w:rsidP="00953E4E">
      <w:pPr>
        <w:rPr>
          <w:rFonts w:asciiTheme="majorHAnsi" w:hAnsiTheme="majorHAnsi" w:cstheme="majorHAnsi"/>
        </w:rPr>
      </w:pPr>
    </w:p>
    <w:p w14:paraId="1C56088D" w14:textId="77777777" w:rsidR="002D7233" w:rsidRPr="00737D6A" w:rsidRDefault="002D7233" w:rsidP="00953E4E">
      <w:pPr>
        <w:rPr>
          <w:rFonts w:asciiTheme="majorHAnsi" w:hAnsiTheme="majorHAnsi" w:cstheme="majorHAnsi"/>
        </w:rPr>
      </w:pPr>
      <w:r w:rsidRPr="00737D6A">
        <w:rPr>
          <w:rFonts w:asciiTheme="majorHAnsi" w:hAnsiTheme="majorHAnsi" w:cstheme="majorHAnsi"/>
        </w:rPr>
        <w:t>At a high level the proposed approach is as follows:</w:t>
      </w:r>
    </w:p>
    <w:p w14:paraId="2A1A12C4" w14:textId="77777777" w:rsidR="00A0354A" w:rsidRPr="00737D6A" w:rsidRDefault="00A0354A" w:rsidP="00953E4E">
      <w:pPr>
        <w:rPr>
          <w:rFonts w:asciiTheme="majorHAnsi" w:hAnsiTheme="majorHAnsi" w:cstheme="majorHAnsi"/>
        </w:rPr>
      </w:pPr>
    </w:p>
    <w:p w14:paraId="2B92C611" w14:textId="22D60873" w:rsidR="002D7233" w:rsidRPr="002D57EC" w:rsidRDefault="002D7233">
      <w:pPr>
        <w:numPr>
          <w:ilvl w:val="0"/>
          <w:numId w:val="108"/>
        </w:numPr>
        <w:rPr>
          <w:rFonts w:asciiTheme="majorHAnsi" w:hAnsiTheme="majorHAnsi" w:cstheme="majorBidi"/>
        </w:rPr>
      </w:pPr>
      <w:r w:rsidRPr="000E623B">
        <w:rPr>
          <w:rFonts w:asciiTheme="majorHAnsi" w:hAnsiTheme="majorHAnsi" w:cstheme="majorBidi"/>
        </w:rPr>
        <w:t xml:space="preserve">Estimate the average HVAC cooling + fan energy consumption for a single family home in each of CA’s 16 climate zones using the </w:t>
      </w:r>
      <w:r w:rsidR="00A57E5C" w:rsidRPr="000E623B">
        <w:rPr>
          <w:rFonts w:asciiTheme="majorHAnsi" w:hAnsiTheme="majorHAnsi" w:cstheme="majorBidi"/>
        </w:rPr>
        <w:t>SFM</w:t>
      </w:r>
      <w:r w:rsidRPr="000E623B">
        <w:rPr>
          <w:rFonts w:asciiTheme="majorHAnsi" w:hAnsiTheme="majorHAnsi" w:cstheme="majorBidi"/>
        </w:rPr>
        <w:t xml:space="preserve"> DEER prototypes. </w:t>
      </w:r>
    </w:p>
    <w:p w14:paraId="38C54089" w14:textId="37FC6661" w:rsidR="002D7233" w:rsidRPr="002D57EC" w:rsidRDefault="002D7233">
      <w:pPr>
        <w:numPr>
          <w:ilvl w:val="0"/>
          <w:numId w:val="108"/>
        </w:numPr>
        <w:rPr>
          <w:rFonts w:asciiTheme="majorHAnsi" w:hAnsiTheme="majorHAnsi" w:cstheme="majorBidi"/>
        </w:rPr>
      </w:pPr>
      <w:r w:rsidRPr="000E623B">
        <w:rPr>
          <w:rFonts w:asciiTheme="majorHAnsi" w:hAnsiTheme="majorHAnsi" w:cstheme="majorBidi"/>
        </w:rPr>
        <w:t xml:space="preserve">Generate a single annual savings estimate from the ex-ante model using Year 1 </w:t>
      </w:r>
      <w:r w:rsidR="00BB1509" w:rsidRPr="000E623B">
        <w:rPr>
          <w:rFonts w:asciiTheme="majorHAnsi" w:hAnsiTheme="majorHAnsi" w:cstheme="majorBidi"/>
        </w:rPr>
        <w:t>S</w:t>
      </w:r>
      <w:r w:rsidRPr="000E623B">
        <w:rPr>
          <w:rFonts w:asciiTheme="majorHAnsi" w:hAnsiTheme="majorHAnsi" w:cstheme="majorBidi"/>
        </w:rPr>
        <w:t xml:space="preserve">tudy data only. Year 2 </w:t>
      </w:r>
      <w:r w:rsidR="00BB1509" w:rsidRPr="000E623B">
        <w:rPr>
          <w:rFonts w:asciiTheme="majorHAnsi" w:hAnsiTheme="majorHAnsi" w:cstheme="majorBidi"/>
        </w:rPr>
        <w:t xml:space="preserve">Study </w:t>
      </w:r>
      <w:r w:rsidRPr="000E623B">
        <w:rPr>
          <w:rFonts w:asciiTheme="majorHAnsi" w:hAnsiTheme="majorHAnsi" w:cstheme="majorBidi"/>
        </w:rPr>
        <w:t>data</w:t>
      </w:r>
      <w:r w:rsidR="008E7676">
        <w:rPr>
          <w:rFonts w:asciiTheme="majorHAnsi" w:hAnsiTheme="majorHAnsi" w:cstheme="majorBidi"/>
        </w:rPr>
        <w:t xml:space="preserve"> was evaluated but not directly </w:t>
      </w:r>
      <w:r w:rsidRPr="000E623B">
        <w:rPr>
          <w:rFonts w:asciiTheme="majorHAnsi" w:hAnsiTheme="majorHAnsi" w:cstheme="majorBidi"/>
        </w:rPr>
        <w:t xml:space="preserve">included </w:t>
      </w:r>
      <w:r w:rsidR="00241ACC">
        <w:rPr>
          <w:rFonts w:asciiTheme="majorHAnsi" w:hAnsiTheme="majorHAnsi" w:cstheme="majorBidi"/>
        </w:rPr>
        <w:t xml:space="preserve">in final analysis </w:t>
      </w:r>
      <w:r w:rsidRPr="000E623B">
        <w:rPr>
          <w:rFonts w:asciiTheme="majorHAnsi" w:hAnsiTheme="majorHAnsi" w:cstheme="majorBidi"/>
        </w:rPr>
        <w:t>d</w:t>
      </w:r>
      <w:r w:rsidR="002D57EC">
        <w:rPr>
          <w:rFonts w:asciiTheme="majorHAnsi" w:hAnsiTheme="majorHAnsi" w:cstheme="majorBidi"/>
        </w:rPr>
        <w:t>ue</w:t>
      </w:r>
      <w:r w:rsidRPr="000E623B">
        <w:rPr>
          <w:rFonts w:asciiTheme="majorHAnsi" w:hAnsiTheme="majorHAnsi" w:cstheme="majorBidi"/>
        </w:rPr>
        <w:t xml:space="preserve"> to the anomalies outlined above. </w:t>
      </w:r>
    </w:p>
    <w:p w14:paraId="024990C1" w14:textId="77777777" w:rsidR="002D7233" w:rsidRPr="00737D6A" w:rsidRDefault="002D7233" w:rsidP="00953E4E">
      <w:pPr>
        <w:numPr>
          <w:ilvl w:val="0"/>
          <w:numId w:val="108"/>
        </w:numPr>
        <w:rPr>
          <w:rFonts w:asciiTheme="majorHAnsi" w:hAnsiTheme="majorHAnsi" w:cstheme="majorHAnsi"/>
        </w:rPr>
      </w:pPr>
      <w:r w:rsidRPr="00737D6A">
        <w:rPr>
          <w:rFonts w:asciiTheme="majorHAnsi" w:hAnsiTheme="majorHAnsi" w:cstheme="majorHAnsi"/>
        </w:rPr>
        <w:t xml:space="preserve">Use the ex-ante model to estimate the annual HVAC cooling baseline for the encouraged group and estimate the percent impact. When using the ex-ante model, the HVAC cooling baseline represents the ex-ante model’s estimate of weather responsive load based on the relationship between CDD and kWh. </w:t>
      </w:r>
    </w:p>
    <w:p w14:paraId="5B42EC71" w14:textId="7AF18BF9" w:rsidR="002D7233" w:rsidRPr="00737D6A" w:rsidRDefault="002D7233" w:rsidP="00953E4E">
      <w:pPr>
        <w:numPr>
          <w:ilvl w:val="0"/>
          <w:numId w:val="108"/>
        </w:numPr>
        <w:rPr>
          <w:rFonts w:asciiTheme="majorHAnsi" w:hAnsiTheme="majorHAnsi" w:cstheme="majorHAnsi"/>
        </w:rPr>
      </w:pPr>
      <w:r w:rsidRPr="00737D6A">
        <w:rPr>
          <w:rFonts w:asciiTheme="majorHAnsi" w:hAnsiTheme="majorHAnsi" w:cstheme="majorHAnsi"/>
        </w:rPr>
        <w:t>Apply the percent impact from step 2 to the HVAC cooling + fan energy consumption for a single family home with C</w:t>
      </w:r>
      <w:r w:rsidR="000767A4">
        <w:rPr>
          <w:rFonts w:asciiTheme="majorHAnsi" w:hAnsiTheme="majorHAnsi" w:cstheme="majorHAnsi"/>
        </w:rPr>
        <w:t>entral Air Conditioning (C</w:t>
      </w:r>
      <w:r w:rsidRPr="00737D6A">
        <w:rPr>
          <w:rFonts w:asciiTheme="majorHAnsi" w:hAnsiTheme="majorHAnsi" w:cstheme="majorHAnsi"/>
        </w:rPr>
        <w:t>AC</w:t>
      </w:r>
      <w:r w:rsidR="000767A4">
        <w:rPr>
          <w:rFonts w:asciiTheme="majorHAnsi" w:hAnsiTheme="majorHAnsi" w:cstheme="majorHAnsi"/>
        </w:rPr>
        <w:t>)</w:t>
      </w:r>
      <w:r w:rsidRPr="00737D6A">
        <w:rPr>
          <w:rFonts w:asciiTheme="majorHAnsi" w:hAnsiTheme="majorHAnsi" w:cstheme="majorHAnsi"/>
        </w:rPr>
        <w:t xml:space="preserve"> in each of California’s 16 climate zones based on the SF</w:t>
      </w:r>
      <w:r w:rsidR="0069120D" w:rsidRPr="00737D6A">
        <w:rPr>
          <w:rFonts w:asciiTheme="majorHAnsi" w:hAnsiTheme="majorHAnsi" w:cstheme="majorHAnsi"/>
        </w:rPr>
        <w:t>m</w:t>
      </w:r>
      <w:r w:rsidRPr="00737D6A">
        <w:rPr>
          <w:rFonts w:asciiTheme="majorHAnsi" w:hAnsiTheme="majorHAnsi" w:cstheme="majorHAnsi"/>
        </w:rPr>
        <w:t xml:space="preserve"> DEER prototype.</w:t>
      </w:r>
    </w:p>
    <w:p w14:paraId="273A9CF4" w14:textId="77777777" w:rsidR="002D7233" w:rsidRPr="00737D6A" w:rsidRDefault="002D7233" w:rsidP="006E54D1">
      <w:pPr>
        <w:ind w:left="360"/>
        <w:rPr>
          <w:rFonts w:asciiTheme="majorHAnsi" w:hAnsiTheme="majorHAnsi" w:cstheme="majorHAnsi"/>
        </w:rPr>
      </w:pPr>
    </w:p>
    <w:p w14:paraId="14669B83" w14:textId="5A76B4C2" w:rsidR="00D21FB0" w:rsidRPr="00737D6A" w:rsidRDefault="002D7233" w:rsidP="00953E4E">
      <w:pPr>
        <w:rPr>
          <w:rFonts w:asciiTheme="majorHAnsi" w:hAnsiTheme="majorHAnsi" w:cstheme="majorHAnsi"/>
        </w:rPr>
      </w:pPr>
      <w:r w:rsidRPr="00737D6A">
        <w:rPr>
          <w:rFonts w:asciiTheme="majorHAnsi" w:hAnsiTheme="majorHAnsi" w:cstheme="majorHAnsi"/>
        </w:rPr>
        <w:t>The approach is described in more detail below</w:t>
      </w:r>
      <w:r w:rsidR="00A0354A" w:rsidRPr="00737D6A">
        <w:rPr>
          <w:rFonts w:asciiTheme="majorHAnsi" w:hAnsiTheme="majorHAnsi" w:cstheme="majorHAnsi"/>
        </w:rPr>
        <w:t>:</w:t>
      </w:r>
    </w:p>
    <w:p w14:paraId="337F7AB8" w14:textId="77777777" w:rsidR="00BE66A2" w:rsidRPr="00737D6A" w:rsidRDefault="00BE66A2" w:rsidP="00953E4E">
      <w:pPr>
        <w:rPr>
          <w:rFonts w:asciiTheme="majorHAnsi" w:hAnsiTheme="majorHAnsi" w:cstheme="majorHAnsi"/>
        </w:rPr>
      </w:pPr>
    </w:p>
    <w:p w14:paraId="0560DD08" w14:textId="2B2FAC48" w:rsidR="002D7233" w:rsidRPr="00737D6A" w:rsidRDefault="00737D6A" w:rsidP="00737D6A">
      <w:pPr>
        <w:rPr>
          <w:rFonts w:asciiTheme="majorHAnsi" w:hAnsiTheme="majorHAnsi" w:cstheme="majorHAnsi"/>
        </w:rPr>
      </w:pPr>
      <w:r>
        <w:rPr>
          <w:rFonts w:asciiTheme="majorHAnsi" w:eastAsia="Arial" w:hAnsiTheme="majorHAnsi" w:cstheme="majorHAnsi"/>
          <w:b/>
        </w:rPr>
        <w:t xml:space="preserve">1. </w:t>
      </w:r>
      <w:r w:rsidR="002D7233" w:rsidRPr="00737D6A">
        <w:rPr>
          <w:rFonts w:asciiTheme="majorHAnsi" w:eastAsia="Arial" w:hAnsiTheme="majorHAnsi" w:cstheme="majorHAnsi"/>
          <w:b/>
        </w:rPr>
        <w:t>Estimate the average HVAC cooling + fan energy consumption using the DEER prototypes.</w:t>
      </w:r>
    </w:p>
    <w:p w14:paraId="700C3154" w14:textId="6AF44842" w:rsidR="002D7233" w:rsidRPr="00737D6A" w:rsidRDefault="002D7233" w:rsidP="00953E4E">
      <w:pPr>
        <w:rPr>
          <w:rFonts w:asciiTheme="majorHAnsi" w:hAnsiTheme="majorHAnsi" w:cstheme="majorHAnsi"/>
          <w:iCs/>
        </w:rPr>
      </w:pPr>
      <w:r w:rsidRPr="00737D6A">
        <w:rPr>
          <w:rFonts w:asciiTheme="majorHAnsi" w:hAnsiTheme="majorHAnsi" w:cstheme="majorHAnsi"/>
          <w:iCs/>
        </w:rPr>
        <w:t>This was done by enabling latest SF</w:t>
      </w:r>
      <w:r w:rsidR="0069120D" w:rsidRPr="00737D6A">
        <w:rPr>
          <w:rFonts w:asciiTheme="majorHAnsi" w:hAnsiTheme="majorHAnsi" w:cstheme="majorHAnsi"/>
          <w:iCs/>
        </w:rPr>
        <w:t>m</w:t>
      </w:r>
      <w:r w:rsidRPr="00737D6A">
        <w:rPr>
          <w:rFonts w:asciiTheme="majorHAnsi" w:hAnsiTheme="majorHAnsi" w:cstheme="majorHAnsi"/>
          <w:iCs/>
        </w:rPr>
        <w:t xml:space="preserve"> DEER prototype using the MASControl3 software application under the following assumptions: All 16 Climates Zones; Median Vintage - 2007; Central HVAC with Gas Furnace &lt;45kBtuh; SEER14; AFUE 0.80; DEER</w:t>
      </w:r>
      <w:r w:rsidR="00505618">
        <w:rPr>
          <w:rFonts w:asciiTheme="majorHAnsi" w:hAnsiTheme="majorHAnsi" w:cstheme="majorHAnsi"/>
          <w:iCs/>
        </w:rPr>
        <w:t xml:space="preserve"> weighted </w:t>
      </w:r>
      <w:r w:rsidRPr="00737D6A">
        <w:rPr>
          <w:rFonts w:asciiTheme="majorHAnsi" w:hAnsiTheme="majorHAnsi" w:cstheme="majorHAnsi"/>
          <w:iCs/>
        </w:rPr>
        <w:t>Thermostat Schedule</w:t>
      </w:r>
      <w:r w:rsidR="00505618">
        <w:rPr>
          <w:rFonts w:asciiTheme="majorHAnsi" w:hAnsiTheme="majorHAnsi" w:cstheme="majorHAnsi"/>
          <w:iCs/>
        </w:rPr>
        <w:t>s</w:t>
      </w:r>
      <w:r w:rsidRPr="00737D6A">
        <w:rPr>
          <w:rFonts w:asciiTheme="majorHAnsi" w:hAnsiTheme="majorHAnsi" w:cstheme="majorHAnsi"/>
          <w:iCs/>
        </w:rPr>
        <w:t xml:space="preserve">; and CTZ2010 weather. </w:t>
      </w:r>
    </w:p>
    <w:p w14:paraId="74BAE6EC" w14:textId="77777777" w:rsidR="00A0354A" w:rsidRPr="00737D6A" w:rsidRDefault="00A0354A" w:rsidP="00953E4E">
      <w:pPr>
        <w:rPr>
          <w:rFonts w:asciiTheme="majorHAnsi" w:hAnsiTheme="majorHAnsi" w:cstheme="majorHAnsi"/>
          <w:iCs/>
        </w:rPr>
      </w:pPr>
    </w:p>
    <w:p w14:paraId="1ECD50EA" w14:textId="561463D9" w:rsidR="002D7233" w:rsidRPr="00737D6A" w:rsidRDefault="00737D6A" w:rsidP="00737D6A">
      <w:pPr>
        <w:rPr>
          <w:rFonts w:asciiTheme="majorHAnsi" w:eastAsia="Arial" w:hAnsiTheme="majorHAnsi" w:cstheme="majorHAnsi"/>
          <w:b/>
        </w:rPr>
      </w:pPr>
      <w:r>
        <w:rPr>
          <w:rFonts w:asciiTheme="majorHAnsi" w:eastAsia="Arial" w:hAnsiTheme="majorHAnsi" w:cstheme="majorHAnsi"/>
          <w:b/>
        </w:rPr>
        <w:t xml:space="preserve">2. </w:t>
      </w:r>
      <w:r w:rsidR="002D7233" w:rsidRPr="00737D6A">
        <w:rPr>
          <w:rFonts w:asciiTheme="majorHAnsi" w:eastAsia="Arial" w:hAnsiTheme="majorHAnsi" w:cstheme="majorHAnsi"/>
          <w:b/>
        </w:rPr>
        <w:t xml:space="preserve">Use ex-ante model to generate an annual savings estimate.  </w:t>
      </w:r>
    </w:p>
    <w:p w14:paraId="45A5DBFA" w14:textId="3736B0C8" w:rsidR="002D7233" w:rsidRPr="00737D6A" w:rsidRDefault="00EB1C5D" w:rsidP="00953E4E">
      <w:pPr>
        <w:rPr>
          <w:rFonts w:asciiTheme="majorHAnsi" w:hAnsiTheme="majorHAnsi" w:cstheme="majorHAnsi"/>
        </w:rPr>
      </w:pPr>
      <w:r w:rsidRPr="00737D6A">
        <w:rPr>
          <w:rFonts w:asciiTheme="majorHAnsi" w:hAnsiTheme="majorHAnsi" w:cstheme="majorHAnsi"/>
        </w:rPr>
        <w:t>T</w:t>
      </w:r>
      <w:r w:rsidR="002D7233" w:rsidRPr="00737D6A">
        <w:rPr>
          <w:rFonts w:asciiTheme="majorHAnsi" w:hAnsiTheme="majorHAnsi" w:cstheme="majorHAnsi"/>
        </w:rPr>
        <w:t xml:space="preserve">he ex-ante model </w:t>
      </w:r>
      <w:r w:rsidRPr="00737D6A">
        <w:rPr>
          <w:rFonts w:asciiTheme="majorHAnsi" w:hAnsiTheme="majorHAnsi" w:cstheme="majorHAnsi"/>
        </w:rPr>
        <w:t xml:space="preserve">was used </w:t>
      </w:r>
      <w:r w:rsidR="002D7233" w:rsidRPr="00737D6A">
        <w:rPr>
          <w:rFonts w:asciiTheme="majorHAnsi" w:hAnsiTheme="majorHAnsi" w:cstheme="majorHAnsi"/>
        </w:rPr>
        <w:t>to estimate the annual savings attributable to the smart thermostats. To do this</w:t>
      </w:r>
      <w:r w:rsidRPr="00737D6A">
        <w:rPr>
          <w:rFonts w:asciiTheme="majorHAnsi" w:hAnsiTheme="majorHAnsi" w:cstheme="majorHAnsi"/>
        </w:rPr>
        <w:t xml:space="preserve">, </w:t>
      </w:r>
      <w:r w:rsidR="002D7233" w:rsidRPr="00737D6A">
        <w:rPr>
          <w:rFonts w:asciiTheme="majorHAnsi" w:hAnsiTheme="majorHAnsi" w:cstheme="majorHAnsi"/>
        </w:rPr>
        <w:t>the savings</w:t>
      </w:r>
      <w:r w:rsidRPr="00737D6A">
        <w:rPr>
          <w:rFonts w:asciiTheme="majorHAnsi" w:hAnsiTheme="majorHAnsi" w:cstheme="majorHAnsi"/>
        </w:rPr>
        <w:t xml:space="preserve"> were estimated</w:t>
      </w:r>
      <w:r w:rsidR="002D7233" w:rsidRPr="00737D6A">
        <w:rPr>
          <w:rFonts w:asciiTheme="majorHAnsi" w:hAnsiTheme="majorHAnsi" w:cstheme="majorHAnsi"/>
        </w:rPr>
        <w:t xml:space="preserve"> as a linear combination of the following parameters from the ex-ante model: </w:t>
      </w:r>
    </w:p>
    <w:p w14:paraId="7AED4B4C" w14:textId="5E8AE326" w:rsidR="002D7233" w:rsidRPr="00737D6A" w:rsidRDefault="002D7233" w:rsidP="00953E4E">
      <w:pPr>
        <w:rPr>
          <w:rFonts w:asciiTheme="majorHAnsi" w:hAnsiTheme="majorHAnsi" w:cstheme="majorHAnsi"/>
        </w:rPr>
      </w:pPr>
      <w:r w:rsidRPr="00737D6A">
        <w:rPr>
          <w:rFonts w:asciiTheme="majorHAnsi" w:hAnsiTheme="majorHAnsi" w:cstheme="majorHAnsi"/>
        </w:rPr>
        <w:t xml:space="preserve">  </w:t>
      </w:r>
    </w:p>
    <w:p w14:paraId="7C6E964C" w14:textId="2808F380" w:rsidR="002D7233" w:rsidRPr="00737D6A" w:rsidRDefault="002D7233" w:rsidP="00953E4E">
      <w:pPr>
        <w:rPr>
          <w:rFonts w:asciiTheme="majorHAnsi" w:hAnsiTheme="majorHAnsi" w:cstheme="majorHAnsi"/>
        </w:rPr>
      </w:pPr>
      <w:r w:rsidRPr="00737D6A">
        <w:rPr>
          <w:rFonts w:asciiTheme="majorHAnsi" w:hAnsiTheme="majorHAnsi" w:cstheme="majorHAnsi"/>
        </w:rPr>
        <w:t xml:space="preserve">This estimate represents the annual savings for the encouraged group. </w:t>
      </w:r>
      <w:r w:rsidR="00EB1C5D" w:rsidRPr="00737D6A">
        <w:rPr>
          <w:rFonts w:asciiTheme="majorHAnsi" w:hAnsiTheme="majorHAnsi" w:cstheme="majorHAnsi"/>
        </w:rPr>
        <w:t>A</w:t>
      </w:r>
      <w:r w:rsidRPr="00737D6A">
        <w:rPr>
          <w:rFonts w:asciiTheme="majorHAnsi" w:hAnsiTheme="majorHAnsi" w:cstheme="majorHAnsi"/>
        </w:rPr>
        <w:t xml:space="preserve"> weighted acceptance rate </w:t>
      </w:r>
      <w:r w:rsidR="00EB1C5D" w:rsidRPr="00737D6A">
        <w:rPr>
          <w:rFonts w:asciiTheme="majorHAnsi" w:hAnsiTheme="majorHAnsi" w:cstheme="majorHAnsi"/>
        </w:rPr>
        <w:t xml:space="preserve">was used </w:t>
      </w:r>
      <w:r w:rsidRPr="00737D6A">
        <w:rPr>
          <w:rFonts w:asciiTheme="majorHAnsi" w:hAnsiTheme="majorHAnsi" w:cstheme="majorHAnsi"/>
        </w:rPr>
        <w:t xml:space="preserve">to estimate the savings of the treated group under the RED.  </w:t>
      </w:r>
    </w:p>
    <w:p w14:paraId="126A332E" w14:textId="77777777" w:rsidR="00800215" w:rsidRPr="00737D6A" w:rsidRDefault="00800215" w:rsidP="00953E4E">
      <w:pPr>
        <w:rPr>
          <w:rFonts w:asciiTheme="majorHAnsi" w:hAnsiTheme="majorHAnsi" w:cstheme="majorHAnsi"/>
        </w:rPr>
      </w:pPr>
    </w:p>
    <w:p w14:paraId="3988CCD5" w14:textId="2D71C0FE" w:rsidR="002D7233" w:rsidRPr="00737D6A" w:rsidRDefault="00737D6A" w:rsidP="00737D6A">
      <w:pPr>
        <w:rPr>
          <w:rFonts w:asciiTheme="majorHAnsi" w:eastAsia="Arial" w:hAnsiTheme="majorHAnsi" w:cstheme="majorHAnsi"/>
          <w:b/>
        </w:rPr>
      </w:pPr>
      <w:r>
        <w:rPr>
          <w:rFonts w:asciiTheme="majorHAnsi" w:eastAsia="Arial" w:hAnsiTheme="majorHAnsi" w:cstheme="majorHAnsi"/>
          <w:b/>
        </w:rPr>
        <w:t xml:space="preserve">3. </w:t>
      </w:r>
      <w:r w:rsidR="002D7233" w:rsidRPr="00737D6A">
        <w:rPr>
          <w:rFonts w:asciiTheme="majorHAnsi" w:eastAsia="Arial" w:hAnsiTheme="majorHAnsi" w:cstheme="majorHAnsi"/>
          <w:b/>
        </w:rPr>
        <w:t xml:space="preserve">Use the ex-ante model to estimate an annual cooling baseline load and percent impact. </w:t>
      </w:r>
    </w:p>
    <w:p w14:paraId="5026DE85" w14:textId="5702F690" w:rsidR="002D7233" w:rsidRPr="00737D6A" w:rsidRDefault="00EB1C5D" w:rsidP="00953E4E">
      <w:pPr>
        <w:rPr>
          <w:rFonts w:asciiTheme="majorHAnsi" w:hAnsiTheme="majorHAnsi" w:cstheme="majorHAnsi"/>
        </w:rPr>
      </w:pPr>
      <w:r w:rsidRPr="00737D6A">
        <w:rPr>
          <w:rFonts w:asciiTheme="majorHAnsi" w:hAnsiTheme="majorHAnsi" w:cstheme="majorHAnsi"/>
        </w:rPr>
        <w:t>The</w:t>
      </w:r>
      <w:r w:rsidR="002D7233" w:rsidRPr="00737D6A">
        <w:rPr>
          <w:rFonts w:asciiTheme="majorHAnsi" w:hAnsiTheme="majorHAnsi" w:cstheme="majorHAnsi"/>
        </w:rPr>
        <w:t xml:space="preserve"> HVAC cooling baseline load </w:t>
      </w:r>
      <w:r w:rsidRPr="00737D6A">
        <w:rPr>
          <w:rFonts w:asciiTheme="majorHAnsi" w:hAnsiTheme="majorHAnsi" w:cstheme="majorHAnsi"/>
        </w:rPr>
        <w:t xml:space="preserve">was then estimated </w:t>
      </w:r>
      <w:r w:rsidR="002D7233" w:rsidRPr="00737D6A">
        <w:rPr>
          <w:rFonts w:asciiTheme="majorHAnsi" w:hAnsiTheme="majorHAnsi" w:cstheme="majorHAnsi"/>
        </w:rPr>
        <w:t>for the encouraged group. This represents the ex-ante model’s estimate of weather responsive load absent the thermostat based on the estimated relationship between CDD and kWh. To estim</w:t>
      </w:r>
      <w:r w:rsidR="0000313A" w:rsidRPr="00737D6A">
        <w:rPr>
          <w:rFonts w:asciiTheme="majorHAnsi" w:hAnsiTheme="majorHAnsi" w:cstheme="majorHAnsi"/>
        </w:rPr>
        <w:t xml:space="preserve">ate the cooling baseline load, </w:t>
      </w:r>
      <w:r w:rsidR="002D7233" w:rsidRPr="00737D6A">
        <w:rPr>
          <w:rFonts w:asciiTheme="majorHAnsi" w:hAnsiTheme="majorHAnsi" w:cstheme="majorHAnsi"/>
        </w:rPr>
        <w:t>we use the following linear combination of variables from the ex-ante model:</w:t>
      </w:r>
    </w:p>
    <w:p w14:paraId="6DE92E6C" w14:textId="77777777" w:rsidR="002D7233" w:rsidRPr="00737D6A" w:rsidRDefault="002D7233" w:rsidP="00953E4E">
      <w:pPr>
        <w:rPr>
          <w:rFonts w:asciiTheme="majorHAnsi" w:hAnsiTheme="majorHAnsi" w:cstheme="majorHAnsi"/>
        </w:rPr>
      </w:pPr>
    </w:p>
    <w:p w14:paraId="1782D5C8" w14:textId="7041EABB" w:rsidR="002D7233" w:rsidRPr="00737D6A" w:rsidRDefault="00EB1C5D" w:rsidP="00953E4E">
      <w:pPr>
        <w:rPr>
          <w:rFonts w:asciiTheme="majorHAnsi" w:hAnsiTheme="majorHAnsi" w:cstheme="majorHAnsi"/>
        </w:rPr>
      </w:pPr>
      <w:r w:rsidRPr="00737D6A">
        <w:rPr>
          <w:rFonts w:asciiTheme="majorHAnsi" w:hAnsiTheme="majorHAnsi" w:cstheme="majorHAnsi"/>
        </w:rPr>
        <w:lastRenderedPageBreak/>
        <w:t xml:space="preserve">The </w:t>
      </w:r>
      <w:r w:rsidR="002D7233" w:rsidRPr="00737D6A">
        <w:rPr>
          <w:rFonts w:asciiTheme="majorHAnsi" w:hAnsiTheme="majorHAnsi" w:cstheme="majorHAnsi"/>
        </w:rPr>
        <w:t>annual savings estimate in percent terms</w:t>
      </w:r>
      <w:r w:rsidRPr="00737D6A">
        <w:rPr>
          <w:rFonts w:asciiTheme="majorHAnsi" w:hAnsiTheme="majorHAnsi" w:cstheme="majorHAnsi"/>
        </w:rPr>
        <w:t xml:space="preserve"> was calculated</w:t>
      </w:r>
      <w:r w:rsidR="002D7233" w:rsidRPr="00737D6A">
        <w:rPr>
          <w:rFonts w:asciiTheme="majorHAnsi" w:hAnsiTheme="majorHAnsi" w:cstheme="majorHAnsi"/>
        </w:rPr>
        <w:t xml:space="preserve"> by dividing the annual savings by the cooling baseline. The percentage impacts are reflective of how pilot participants responded to the treatment but using percentages allows us to scale the impacts to represent PG&amp;E participants in each climate zone. </w:t>
      </w:r>
    </w:p>
    <w:p w14:paraId="06CBDD5D" w14:textId="77777777" w:rsidR="00D21FB0" w:rsidRPr="00737D6A" w:rsidRDefault="00D21FB0" w:rsidP="00953E4E">
      <w:pPr>
        <w:rPr>
          <w:rFonts w:asciiTheme="majorHAnsi" w:hAnsiTheme="majorHAnsi" w:cstheme="majorHAnsi"/>
        </w:rPr>
      </w:pPr>
    </w:p>
    <w:p w14:paraId="11501A79" w14:textId="26C8E1C3" w:rsidR="002D7233" w:rsidRPr="002D57EC" w:rsidRDefault="00737D6A">
      <w:pPr>
        <w:rPr>
          <w:rFonts w:asciiTheme="majorHAnsi" w:eastAsia="Arial" w:hAnsiTheme="majorHAnsi" w:cstheme="majorHAnsi"/>
          <w:b/>
        </w:rPr>
      </w:pPr>
      <w:r>
        <w:rPr>
          <w:rFonts w:asciiTheme="majorHAnsi" w:hAnsiTheme="majorHAnsi" w:cstheme="majorHAnsi"/>
        </w:rPr>
        <w:t xml:space="preserve">4. </w:t>
      </w:r>
      <w:r w:rsidR="002D7233" w:rsidRPr="002D57EC">
        <w:rPr>
          <w:rFonts w:asciiTheme="majorHAnsi" w:eastAsia="Arial" w:hAnsiTheme="majorHAnsi" w:cstheme="majorHAnsi"/>
          <w:b/>
        </w:rPr>
        <w:t>Apply percentage impacts to DEER HVAC + fan cooling consumption estimates for each CEC climate zone to estimate impacts</w:t>
      </w:r>
      <w:r w:rsidR="002D7233" w:rsidRPr="002D57EC">
        <w:rPr>
          <w:rFonts w:asciiTheme="majorHAnsi" w:eastAsia="Arial" w:hAnsiTheme="majorHAnsi" w:cstheme="majorHAnsi"/>
          <w:b/>
          <w:sz w:val="26"/>
          <w:szCs w:val="26"/>
        </w:rPr>
        <w:t xml:space="preserve"> </w:t>
      </w:r>
    </w:p>
    <w:p w14:paraId="49144C01" w14:textId="11963DA7" w:rsidR="002D7233" w:rsidRPr="00737D6A" w:rsidRDefault="002D7233" w:rsidP="00953E4E">
      <w:pPr>
        <w:rPr>
          <w:rFonts w:asciiTheme="majorHAnsi" w:hAnsiTheme="majorHAnsi" w:cstheme="majorHAnsi"/>
        </w:rPr>
      </w:pPr>
      <w:r w:rsidRPr="00737D6A">
        <w:rPr>
          <w:rFonts w:asciiTheme="majorHAnsi" w:hAnsiTheme="majorHAnsi" w:cstheme="majorHAnsi"/>
        </w:rPr>
        <w:t xml:space="preserve">The final step in the </w:t>
      </w:r>
      <w:r w:rsidR="00EB1C5D" w:rsidRPr="00737D6A">
        <w:rPr>
          <w:rFonts w:asciiTheme="majorHAnsi" w:hAnsiTheme="majorHAnsi" w:cstheme="majorHAnsi"/>
        </w:rPr>
        <w:t>analysis is</w:t>
      </w:r>
      <w:r w:rsidRPr="00737D6A">
        <w:rPr>
          <w:rFonts w:asciiTheme="majorHAnsi" w:hAnsiTheme="majorHAnsi" w:cstheme="majorHAnsi"/>
        </w:rPr>
        <w:t xml:space="preserve"> to apply the annual percentage savings from the ex</w:t>
      </w:r>
      <w:r w:rsidR="00EB1C5D" w:rsidRPr="00737D6A">
        <w:rPr>
          <w:rFonts w:asciiTheme="majorHAnsi" w:hAnsiTheme="majorHAnsi" w:cstheme="majorHAnsi"/>
        </w:rPr>
        <w:t>-</w:t>
      </w:r>
      <w:r w:rsidRPr="00737D6A">
        <w:rPr>
          <w:rFonts w:asciiTheme="majorHAnsi" w:hAnsiTheme="majorHAnsi" w:cstheme="majorHAnsi"/>
        </w:rPr>
        <w:t>ante model to the HVAC + fan cooling consumption for an average single family home with CAC in each of California’s 16 climate zones as estimated by the appropriate SF</w:t>
      </w:r>
      <w:r w:rsidR="0069120D" w:rsidRPr="00737D6A">
        <w:rPr>
          <w:rFonts w:asciiTheme="majorHAnsi" w:hAnsiTheme="majorHAnsi" w:cstheme="majorHAnsi"/>
        </w:rPr>
        <w:t>m</w:t>
      </w:r>
      <w:r w:rsidRPr="00737D6A">
        <w:rPr>
          <w:rFonts w:asciiTheme="majorHAnsi" w:hAnsiTheme="majorHAnsi" w:cstheme="majorHAnsi"/>
        </w:rPr>
        <w:t xml:space="preserve"> DEER prototype. This provides an estimate of how other Californians would respond to the thermostats assuming they would respond similarly to PG&amp;E’s program participants. </w:t>
      </w:r>
    </w:p>
    <w:p w14:paraId="0EBFAB3C" w14:textId="77777777" w:rsidR="002D7233" w:rsidRPr="00737D6A" w:rsidRDefault="002D7233" w:rsidP="00953E4E">
      <w:pPr>
        <w:rPr>
          <w:rFonts w:asciiTheme="majorHAnsi" w:hAnsiTheme="majorHAnsi" w:cstheme="majorHAnsi"/>
        </w:rPr>
      </w:pPr>
    </w:p>
    <w:p w14:paraId="2AB4971C" w14:textId="2F555379" w:rsidR="002D7233" w:rsidRPr="00737D6A" w:rsidRDefault="002D7233" w:rsidP="00953E4E">
      <w:pPr>
        <w:rPr>
          <w:rFonts w:asciiTheme="majorHAnsi" w:hAnsiTheme="majorHAnsi" w:cstheme="majorHAnsi"/>
        </w:rPr>
      </w:pPr>
      <w:r w:rsidRPr="00737D6A">
        <w:rPr>
          <w:rFonts w:asciiTheme="majorHAnsi" w:hAnsiTheme="majorHAnsi" w:cstheme="majorHAnsi"/>
        </w:rPr>
        <w:t xml:space="preserve">One key advantage of the proposed approach is that it does not require </w:t>
      </w:r>
      <w:r w:rsidR="00F734AF" w:rsidRPr="00737D6A">
        <w:rPr>
          <w:rFonts w:asciiTheme="majorHAnsi" w:hAnsiTheme="majorHAnsi" w:cstheme="majorHAnsi"/>
        </w:rPr>
        <w:t>applying</w:t>
      </w:r>
      <w:r w:rsidRPr="00737D6A">
        <w:rPr>
          <w:rFonts w:asciiTheme="majorHAnsi" w:hAnsiTheme="majorHAnsi" w:cstheme="majorHAnsi"/>
        </w:rPr>
        <w:t xml:space="preserve"> parameter estimates (relationships) across very different climate zones (inland vs. coastal vs. desert) which would in turn </w:t>
      </w:r>
      <w:r w:rsidR="00F734AF" w:rsidRPr="00737D6A">
        <w:rPr>
          <w:rFonts w:asciiTheme="majorHAnsi" w:hAnsiTheme="majorHAnsi" w:cstheme="majorHAnsi"/>
        </w:rPr>
        <w:t>would</w:t>
      </w:r>
      <w:r w:rsidRPr="00737D6A">
        <w:rPr>
          <w:rFonts w:asciiTheme="majorHAnsi" w:hAnsiTheme="majorHAnsi" w:cstheme="majorHAnsi"/>
        </w:rPr>
        <w:t xml:space="preserve"> assume that all customers have the same relationship with weather regardless of their climate. It does, however, assume that all customers in the state would have a response that would be similar to those that participated in the pilot.  </w:t>
      </w:r>
    </w:p>
    <w:p w14:paraId="6A18CBB3" w14:textId="77777777" w:rsidR="002D7233" w:rsidRPr="00737D6A" w:rsidRDefault="002D7233" w:rsidP="00953E4E">
      <w:pPr>
        <w:rPr>
          <w:rFonts w:asciiTheme="majorHAnsi" w:hAnsiTheme="majorHAnsi" w:cstheme="majorHAnsi"/>
          <w:b/>
        </w:rPr>
      </w:pPr>
    </w:p>
    <w:p w14:paraId="544B86FD" w14:textId="29423959" w:rsidR="002D7233" w:rsidRPr="00737D6A" w:rsidRDefault="00737D6A" w:rsidP="00EE3C7D">
      <w:pPr>
        <w:pStyle w:val="Normal1"/>
        <w:rPr>
          <w:rFonts w:asciiTheme="majorHAnsi" w:hAnsiTheme="majorHAnsi" w:cstheme="majorHAnsi"/>
          <w:b/>
        </w:rPr>
      </w:pPr>
      <w:r>
        <w:rPr>
          <w:rFonts w:asciiTheme="majorHAnsi" w:hAnsiTheme="majorHAnsi" w:cstheme="majorHAnsi"/>
          <w:b/>
        </w:rPr>
        <w:t xml:space="preserve">RESULTS </w:t>
      </w:r>
    </w:p>
    <w:p w14:paraId="790D7522" w14:textId="1A9B9C79" w:rsidR="002D7233" w:rsidRPr="00737D6A" w:rsidRDefault="00737D6A" w:rsidP="00953E4E">
      <w:pPr>
        <w:rPr>
          <w:rFonts w:asciiTheme="majorHAnsi" w:hAnsiTheme="majorHAnsi" w:cstheme="majorHAnsi"/>
        </w:rPr>
      </w:pPr>
      <w:r>
        <w:rPr>
          <w:rFonts w:asciiTheme="majorHAnsi" w:hAnsiTheme="majorHAnsi" w:cstheme="majorHAnsi"/>
        </w:rPr>
        <w:t xml:space="preserve">The </w:t>
      </w:r>
      <w:r w:rsidR="002D7233" w:rsidRPr="00737D6A">
        <w:rPr>
          <w:rFonts w:asciiTheme="majorHAnsi" w:hAnsiTheme="majorHAnsi" w:cstheme="majorHAnsi"/>
        </w:rPr>
        <w:t>results of the extrapolation analysis</w:t>
      </w:r>
      <w:r>
        <w:rPr>
          <w:rFonts w:asciiTheme="majorHAnsi" w:hAnsiTheme="majorHAnsi" w:cstheme="majorHAnsi"/>
        </w:rPr>
        <w:t xml:space="preserve"> are presented in this section</w:t>
      </w:r>
      <w:r w:rsidR="002D7233" w:rsidRPr="00737D6A">
        <w:rPr>
          <w:rFonts w:asciiTheme="majorHAnsi" w:hAnsiTheme="majorHAnsi" w:cstheme="majorHAnsi"/>
        </w:rPr>
        <w:t xml:space="preserve">. </w:t>
      </w:r>
      <w:r>
        <w:rPr>
          <w:rFonts w:asciiTheme="majorHAnsi" w:hAnsiTheme="majorHAnsi" w:cstheme="majorHAnsi"/>
        </w:rPr>
        <w:t>The</w:t>
      </w:r>
      <w:r w:rsidR="002D7233" w:rsidRPr="00737D6A">
        <w:rPr>
          <w:rFonts w:asciiTheme="majorHAnsi" w:hAnsiTheme="majorHAnsi" w:cstheme="majorHAnsi"/>
        </w:rPr>
        <w:t xml:space="preserve"> ex-ante model output</w:t>
      </w:r>
      <w:r>
        <w:rPr>
          <w:rFonts w:asciiTheme="majorHAnsi" w:hAnsiTheme="majorHAnsi" w:cstheme="majorHAnsi"/>
        </w:rPr>
        <w:t xml:space="preserve"> is presented first, followed by </w:t>
      </w:r>
      <w:r w:rsidR="002D7233" w:rsidRPr="00737D6A">
        <w:rPr>
          <w:rFonts w:asciiTheme="majorHAnsi" w:hAnsiTheme="majorHAnsi" w:cstheme="majorHAnsi"/>
        </w:rPr>
        <w:t xml:space="preserve">the cooling baseline and finally the savings estimates. </w:t>
      </w:r>
    </w:p>
    <w:p w14:paraId="647C5AC2" w14:textId="77777777" w:rsidR="00A0354A" w:rsidRPr="00737D6A" w:rsidRDefault="00A0354A" w:rsidP="00953E4E">
      <w:pPr>
        <w:rPr>
          <w:rFonts w:asciiTheme="majorHAnsi" w:hAnsiTheme="majorHAnsi" w:cstheme="majorHAnsi"/>
          <w:b/>
          <w:bCs/>
        </w:rPr>
      </w:pPr>
    </w:p>
    <w:p w14:paraId="14539AE8" w14:textId="42B29EAA" w:rsidR="002D7233" w:rsidRPr="002D57EC" w:rsidRDefault="002D7233">
      <w:pPr>
        <w:pStyle w:val="Normal1"/>
        <w:rPr>
          <w:rFonts w:asciiTheme="majorHAnsi" w:hAnsiTheme="majorHAnsi" w:cstheme="majorBidi"/>
          <w:b/>
          <w:bCs/>
        </w:rPr>
      </w:pPr>
      <w:r w:rsidRPr="000E623B">
        <w:rPr>
          <w:rFonts w:asciiTheme="majorHAnsi" w:hAnsiTheme="majorHAnsi" w:cstheme="majorBidi"/>
          <w:b/>
          <w:bCs/>
        </w:rPr>
        <w:t>Ex</w:t>
      </w:r>
      <w:r w:rsidR="003E0542" w:rsidRPr="000E623B">
        <w:rPr>
          <w:rFonts w:asciiTheme="majorHAnsi" w:hAnsiTheme="majorHAnsi" w:cstheme="majorBidi"/>
          <w:b/>
          <w:bCs/>
        </w:rPr>
        <w:t>-</w:t>
      </w:r>
      <w:r w:rsidRPr="000E623B">
        <w:rPr>
          <w:rFonts w:asciiTheme="majorHAnsi" w:hAnsiTheme="majorHAnsi" w:cstheme="majorBidi"/>
          <w:b/>
          <w:bCs/>
        </w:rPr>
        <w:t>ante Model output</w:t>
      </w:r>
    </w:p>
    <w:p w14:paraId="666A6C01" w14:textId="17DBAB94" w:rsidR="002D7233" w:rsidRPr="002D57EC" w:rsidRDefault="00737D6A">
      <w:pPr>
        <w:rPr>
          <w:rFonts w:asciiTheme="majorHAnsi" w:hAnsiTheme="majorHAnsi" w:cstheme="majorBidi"/>
        </w:rPr>
      </w:pPr>
      <w:r w:rsidRPr="000E623B">
        <w:rPr>
          <w:rFonts w:asciiTheme="majorHAnsi" w:hAnsiTheme="majorHAnsi" w:cstheme="majorBidi"/>
        </w:rPr>
        <w:t>The f</w:t>
      </w:r>
      <w:r w:rsidR="00D21FB0" w:rsidRPr="000E623B">
        <w:rPr>
          <w:rFonts w:asciiTheme="majorHAnsi" w:hAnsiTheme="majorHAnsi" w:cstheme="majorBidi"/>
        </w:rPr>
        <w:t xml:space="preserve">igure </w:t>
      </w:r>
      <w:r w:rsidR="002D7233" w:rsidRPr="000E623B">
        <w:rPr>
          <w:rFonts w:asciiTheme="majorHAnsi" w:hAnsiTheme="majorHAnsi" w:cstheme="majorBidi"/>
        </w:rPr>
        <w:t>below present</w:t>
      </w:r>
      <w:r w:rsidRPr="000E623B">
        <w:rPr>
          <w:rFonts w:asciiTheme="majorHAnsi" w:hAnsiTheme="majorHAnsi" w:cstheme="majorBidi"/>
        </w:rPr>
        <w:t>s</w:t>
      </w:r>
      <w:r w:rsidR="002D7233" w:rsidRPr="000E623B">
        <w:rPr>
          <w:rFonts w:asciiTheme="majorHAnsi" w:hAnsiTheme="majorHAnsi" w:cstheme="majorBidi"/>
        </w:rPr>
        <w:t xml:space="preserve"> the output of the updated ex</w:t>
      </w:r>
      <w:r w:rsidR="004705E0" w:rsidRPr="00EB68B9">
        <w:rPr>
          <w:rFonts w:asciiTheme="majorHAnsi" w:hAnsiTheme="majorHAnsi" w:cstheme="majorBidi"/>
        </w:rPr>
        <w:t>-</w:t>
      </w:r>
      <w:r w:rsidR="002D7233" w:rsidRPr="000E623B">
        <w:rPr>
          <w:rFonts w:asciiTheme="majorHAnsi" w:hAnsiTheme="majorHAnsi" w:cstheme="majorBidi"/>
        </w:rPr>
        <w:t xml:space="preserve">ante model from Stata. As with any standard modeling output the parameter estimates are presented on the left and the associated statistics on the right. It should be noted that Stata does not output a typical r-squared value. However, the “within” r-squared is analogous to an r-squared from a regular OLS model (without fixed effects) and the statistic </w:t>
      </w:r>
      <w:r w:rsidR="002D7233" w:rsidRPr="000E623B">
        <w:rPr>
          <w:rFonts w:asciiTheme="majorHAnsi" w:hAnsiTheme="majorHAnsi" w:cstheme="majorBidi"/>
          <w:i/>
          <w:iCs/>
        </w:rPr>
        <w:t>rho</w:t>
      </w:r>
      <w:r w:rsidR="002D7233" w:rsidRPr="000E623B">
        <w:rPr>
          <w:rFonts w:asciiTheme="majorHAnsi" w:hAnsiTheme="majorHAnsi" w:cstheme="majorBidi"/>
        </w:rPr>
        <w:t xml:space="preserve"> represents the total fraction of variation captured by the fixed effects. </w:t>
      </w:r>
    </w:p>
    <w:p w14:paraId="70868680" w14:textId="77777777" w:rsidR="002D7233" w:rsidRPr="00737D6A" w:rsidRDefault="002D7233" w:rsidP="00953E4E">
      <w:pPr>
        <w:rPr>
          <w:rFonts w:asciiTheme="majorHAnsi" w:hAnsiTheme="majorHAnsi" w:cstheme="majorHAnsi"/>
        </w:rPr>
      </w:pPr>
    </w:p>
    <w:p w14:paraId="1D01C4A6" w14:textId="77777777" w:rsidR="00E9754A" w:rsidRDefault="00E9754A">
      <w:pPr>
        <w:rPr>
          <w:rFonts w:asciiTheme="majorHAnsi" w:hAnsiTheme="majorHAnsi" w:cstheme="majorHAnsi"/>
          <w:b/>
          <w:bCs/>
          <w:i/>
        </w:rPr>
      </w:pPr>
      <w:r>
        <w:rPr>
          <w:rFonts w:asciiTheme="majorHAnsi" w:hAnsiTheme="majorHAnsi" w:cstheme="majorHAnsi"/>
          <w:b/>
          <w:bCs/>
          <w:i/>
        </w:rPr>
        <w:br w:type="page"/>
      </w:r>
    </w:p>
    <w:p w14:paraId="1BBE4545" w14:textId="06EBC269" w:rsidR="002D7233" w:rsidRPr="002D57EC" w:rsidRDefault="002D7233">
      <w:pPr>
        <w:rPr>
          <w:rFonts w:asciiTheme="majorHAnsi" w:hAnsiTheme="majorHAnsi" w:cstheme="majorBidi"/>
          <w:b/>
          <w:bCs/>
          <w:i/>
          <w:iCs/>
        </w:rPr>
      </w:pPr>
      <w:r w:rsidRPr="000E623B">
        <w:rPr>
          <w:rFonts w:asciiTheme="majorHAnsi" w:hAnsiTheme="majorHAnsi" w:cstheme="majorBidi"/>
          <w:b/>
          <w:bCs/>
          <w:i/>
          <w:iCs/>
        </w:rPr>
        <w:lastRenderedPageBreak/>
        <w:t>Ex</w:t>
      </w:r>
      <w:r w:rsidR="003E0542" w:rsidRPr="000E623B">
        <w:rPr>
          <w:rFonts w:asciiTheme="majorHAnsi" w:hAnsiTheme="majorHAnsi" w:cstheme="majorBidi"/>
          <w:b/>
          <w:bCs/>
          <w:i/>
          <w:iCs/>
        </w:rPr>
        <w:t>-</w:t>
      </w:r>
      <w:r w:rsidRPr="000E623B">
        <w:rPr>
          <w:rFonts w:asciiTheme="majorHAnsi" w:hAnsiTheme="majorHAnsi" w:cstheme="majorBidi"/>
          <w:b/>
          <w:bCs/>
          <w:i/>
          <w:iCs/>
        </w:rPr>
        <w:t>Ante Model Output</w:t>
      </w:r>
    </w:p>
    <w:p w14:paraId="5B4191B1" w14:textId="77777777" w:rsidR="002D7233" w:rsidRPr="00737D6A" w:rsidRDefault="002D7233" w:rsidP="00953E4E">
      <w:pPr>
        <w:rPr>
          <w:rFonts w:asciiTheme="majorHAnsi" w:hAnsiTheme="majorHAnsi" w:cstheme="majorHAnsi"/>
          <w:bCs/>
          <w:i/>
        </w:rPr>
      </w:pPr>
    </w:p>
    <w:p w14:paraId="6D7438E9" w14:textId="77777777" w:rsidR="002D7233" w:rsidRPr="00737D6A" w:rsidRDefault="002D7233" w:rsidP="006E54D1">
      <w:pPr>
        <w:jc w:val="center"/>
        <w:rPr>
          <w:rFonts w:asciiTheme="majorHAnsi" w:hAnsiTheme="majorHAnsi" w:cstheme="majorHAnsi"/>
        </w:rPr>
      </w:pPr>
      <w:r w:rsidRPr="00737D6A">
        <w:rPr>
          <w:rFonts w:asciiTheme="majorHAnsi" w:hAnsiTheme="majorHAnsi" w:cstheme="majorHAnsi"/>
          <w:noProof/>
        </w:rPr>
        <w:drawing>
          <wp:inline distT="0" distB="0" distL="0" distR="0" wp14:anchorId="5CBC9C7E" wp14:editId="4A207BFE">
            <wp:extent cx="4508331" cy="3966036"/>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2644" cy="3978627"/>
                    </a:xfrm>
                    <a:prstGeom prst="rect">
                      <a:avLst/>
                    </a:prstGeom>
                    <a:noFill/>
                  </pic:spPr>
                </pic:pic>
              </a:graphicData>
            </a:graphic>
          </wp:inline>
        </w:drawing>
      </w:r>
    </w:p>
    <w:p w14:paraId="1EB84279" w14:textId="77777777" w:rsidR="002D7233" w:rsidRPr="00737D6A" w:rsidRDefault="002D7233" w:rsidP="00953E4E">
      <w:pPr>
        <w:rPr>
          <w:rFonts w:asciiTheme="majorHAnsi" w:hAnsiTheme="majorHAnsi" w:cstheme="majorHAnsi"/>
        </w:rPr>
      </w:pPr>
    </w:p>
    <w:p w14:paraId="61CF3069" w14:textId="4F8763A7" w:rsidR="002D7233" w:rsidRPr="002D57EC" w:rsidRDefault="002D7233">
      <w:pPr>
        <w:rPr>
          <w:rFonts w:asciiTheme="majorHAnsi" w:eastAsia="Arial" w:hAnsiTheme="majorHAnsi" w:cstheme="majorBidi"/>
          <w:b/>
          <w:bCs/>
        </w:rPr>
      </w:pPr>
      <w:r w:rsidRPr="000E623B">
        <w:rPr>
          <w:rFonts w:asciiTheme="majorHAnsi" w:eastAsia="Arial" w:hAnsiTheme="majorHAnsi" w:cstheme="majorBidi"/>
          <w:b/>
          <w:bCs/>
        </w:rPr>
        <w:t>Ex</w:t>
      </w:r>
      <w:r w:rsidR="003E0542" w:rsidRPr="000E623B">
        <w:rPr>
          <w:rFonts w:asciiTheme="majorHAnsi" w:eastAsia="Arial" w:hAnsiTheme="majorHAnsi" w:cstheme="majorBidi"/>
          <w:b/>
          <w:bCs/>
        </w:rPr>
        <w:t>-</w:t>
      </w:r>
      <w:r w:rsidRPr="000E623B">
        <w:rPr>
          <w:rFonts w:asciiTheme="majorHAnsi" w:eastAsia="Arial" w:hAnsiTheme="majorHAnsi" w:cstheme="majorBidi"/>
          <w:b/>
          <w:bCs/>
        </w:rPr>
        <w:t xml:space="preserve">Ante Cooling Baseline Estimates vs. DEER HVAC + fan Cooling Baseline Estimates </w:t>
      </w:r>
    </w:p>
    <w:p w14:paraId="7367EC8A" w14:textId="7FABBB8C" w:rsidR="002D7233" w:rsidRPr="00737D6A" w:rsidRDefault="002D7233" w:rsidP="00953E4E">
      <w:pPr>
        <w:rPr>
          <w:rFonts w:asciiTheme="majorHAnsi" w:hAnsiTheme="majorHAnsi" w:cstheme="majorHAnsi"/>
        </w:rPr>
      </w:pPr>
      <w:r w:rsidRPr="00737D6A">
        <w:rPr>
          <w:rFonts w:asciiTheme="majorHAnsi" w:hAnsiTheme="majorHAnsi" w:cstheme="majorHAnsi"/>
        </w:rPr>
        <w:t>In this section</w:t>
      </w:r>
      <w:r w:rsidR="009A7A42">
        <w:rPr>
          <w:rFonts w:asciiTheme="majorHAnsi" w:hAnsiTheme="majorHAnsi" w:cstheme="majorHAnsi"/>
        </w:rPr>
        <w:t xml:space="preserve">, the </w:t>
      </w:r>
      <w:r w:rsidRPr="00737D6A">
        <w:rPr>
          <w:rFonts w:asciiTheme="majorHAnsi" w:hAnsiTheme="majorHAnsi" w:cstheme="majorHAnsi"/>
        </w:rPr>
        <w:t xml:space="preserve">HVAC cooling baseline estimate </w:t>
      </w:r>
      <w:r w:rsidR="009A7A42">
        <w:rPr>
          <w:rFonts w:asciiTheme="majorHAnsi" w:hAnsiTheme="majorHAnsi" w:cstheme="majorHAnsi"/>
        </w:rPr>
        <w:t xml:space="preserve">is presented </w:t>
      </w:r>
      <w:r w:rsidRPr="00737D6A">
        <w:rPr>
          <w:rFonts w:asciiTheme="majorHAnsi" w:hAnsiTheme="majorHAnsi" w:cstheme="majorHAnsi"/>
        </w:rPr>
        <w:t xml:space="preserve">from the ex-ante model, </w:t>
      </w:r>
      <w:r w:rsidR="009A7A42">
        <w:rPr>
          <w:rFonts w:asciiTheme="majorHAnsi" w:hAnsiTheme="majorHAnsi" w:cstheme="majorHAnsi"/>
        </w:rPr>
        <w:t xml:space="preserve">followed by </w:t>
      </w:r>
      <w:r w:rsidRPr="00737D6A">
        <w:rPr>
          <w:rFonts w:asciiTheme="majorHAnsi" w:hAnsiTheme="majorHAnsi" w:cstheme="majorHAnsi"/>
        </w:rPr>
        <w:t>the SF</w:t>
      </w:r>
      <w:r w:rsidR="0069120D" w:rsidRPr="00737D6A">
        <w:rPr>
          <w:rFonts w:asciiTheme="majorHAnsi" w:hAnsiTheme="majorHAnsi" w:cstheme="majorHAnsi"/>
        </w:rPr>
        <w:t>m</w:t>
      </w:r>
      <w:r w:rsidRPr="00737D6A">
        <w:rPr>
          <w:rFonts w:asciiTheme="majorHAnsi" w:hAnsiTheme="majorHAnsi" w:cstheme="majorHAnsi"/>
        </w:rPr>
        <w:t xml:space="preserve"> DEER HVAC + fan cooling baseline estimates, and finally, a comparison of the two. </w:t>
      </w:r>
    </w:p>
    <w:p w14:paraId="73E2E099" w14:textId="77777777" w:rsidR="002D7233" w:rsidRPr="00737D6A" w:rsidRDefault="002D7233" w:rsidP="00953E4E">
      <w:pPr>
        <w:rPr>
          <w:rFonts w:asciiTheme="majorHAnsi" w:hAnsiTheme="majorHAnsi" w:cstheme="majorHAnsi"/>
        </w:rPr>
      </w:pPr>
    </w:p>
    <w:p w14:paraId="6F1D104C" w14:textId="2C5E33C2" w:rsidR="00D82F77" w:rsidRPr="002D57EC" w:rsidRDefault="009A7A42">
      <w:pPr>
        <w:rPr>
          <w:rFonts w:asciiTheme="majorHAnsi" w:hAnsiTheme="majorHAnsi" w:cstheme="majorBidi"/>
        </w:rPr>
      </w:pPr>
      <w:r w:rsidRPr="000E623B">
        <w:rPr>
          <w:rFonts w:asciiTheme="majorHAnsi" w:hAnsiTheme="majorHAnsi" w:cstheme="majorBidi"/>
        </w:rPr>
        <w:t>The table below</w:t>
      </w:r>
      <w:r w:rsidR="002D7233" w:rsidRPr="000E623B">
        <w:rPr>
          <w:rFonts w:asciiTheme="majorHAnsi" w:hAnsiTheme="majorHAnsi" w:cstheme="majorBidi"/>
        </w:rPr>
        <w:t xml:space="preserve"> present</w:t>
      </w:r>
      <w:r w:rsidRPr="000E623B">
        <w:rPr>
          <w:rFonts w:asciiTheme="majorHAnsi" w:hAnsiTheme="majorHAnsi" w:cstheme="majorBidi"/>
        </w:rPr>
        <w:t>s</w:t>
      </w:r>
      <w:r w:rsidR="002D7233" w:rsidRPr="000E623B">
        <w:rPr>
          <w:rFonts w:asciiTheme="majorHAnsi" w:hAnsiTheme="majorHAnsi" w:cstheme="majorBidi"/>
        </w:rPr>
        <w:t xml:space="preserve"> the ex</w:t>
      </w:r>
      <w:r w:rsidR="003E0542" w:rsidRPr="000E623B">
        <w:rPr>
          <w:rFonts w:asciiTheme="majorHAnsi" w:hAnsiTheme="majorHAnsi" w:cstheme="majorBidi"/>
        </w:rPr>
        <w:t>-</w:t>
      </w:r>
      <w:r w:rsidR="002D7233" w:rsidRPr="000E623B">
        <w:rPr>
          <w:rFonts w:asciiTheme="majorHAnsi" w:hAnsiTheme="majorHAnsi" w:cstheme="majorBidi"/>
        </w:rPr>
        <w:t xml:space="preserve">ante model’s estimate of the total baseline and the cooling baseline. </w:t>
      </w:r>
      <w:r w:rsidRPr="000E623B">
        <w:rPr>
          <w:rFonts w:asciiTheme="majorHAnsi" w:hAnsiTheme="majorHAnsi" w:cstheme="majorBidi"/>
        </w:rPr>
        <w:t>T</w:t>
      </w:r>
      <w:r w:rsidR="002D7233" w:rsidRPr="000E623B">
        <w:rPr>
          <w:rFonts w:asciiTheme="majorHAnsi" w:hAnsiTheme="majorHAnsi" w:cstheme="majorBidi"/>
        </w:rPr>
        <w:t xml:space="preserve">he ex-ante cooling baseline </w:t>
      </w:r>
      <w:r w:rsidRPr="000E623B">
        <w:rPr>
          <w:rFonts w:asciiTheme="majorHAnsi" w:hAnsiTheme="majorHAnsi" w:cstheme="majorBidi"/>
        </w:rPr>
        <w:t xml:space="preserve">is also presented </w:t>
      </w:r>
      <w:r w:rsidR="002D7233" w:rsidRPr="00EB68B9">
        <w:rPr>
          <w:rFonts w:asciiTheme="majorHAnsi" w:hAnsiTheme="majorHAnsi" w:cstheme="majorBidi"/>
        </w:rPr>
        <w:t xml:space="preserve">as a percent of the total. The model estimates that </w:t>
      </w:r>
      <w:r w:rsidRPr="00EB68B9">
        <w:rPr>
          <w:rFonts w:asciiTheme="majorHAnsi" w:hAnsiTheme="majorHAnsi" w:cstheme="majorBidi"/>
        </w:rPr>
        <w:t xml:space="preserve">the </w:t>
      </w:r>
      <w:r w:rsidR="002D7233" w:rsidRPr="00EB68B9">
        <w:rPr>
          <w:rFonts w:asciiTheme="majorHAnsi" w:hAnsiTheme="majorHAnsi" w:cstheme="majorBidi"/>
        </w:rPr>
        <w:t xml:space="preserve">cooling load makes up between 3 and 48 percent of the total baseline load depending on the month of the year. The overall pattern makes sense given what </w:t>
      </w:r>
      <w:r w:rsidRPr="00265801">
        <w:rPr>
          <w:rFonts w:asciiTheme="majorHAnsi" w:hAnsiTheme="majorHAnsi" w:cstheme="majorBidi"/>
        </w:rPr>
        <w:t>i</w:t>
      </w:r>
      <w:r w:rsidRPr="0012594C">
        <w:rPr>
          <w:rFonts w:asciiTheme="majorHAnsi" w:hAnsiTheme="majorHAnsi" w:cstheme="majorBidi"/>
        </w:rPr>
        <w:t>s known</w:t>
      </w:r>
      <w:r w:rsidR="002D7233" w:rsidRPr="0012594C">
        <w:rPr>
          <w:rFonts w:asciiTheme="majorHAnsi" w:hAnsiTheme="majorHAnsi" w:cstheme="majorBidi"/>
        </w:rPr>
        <w:t xml:space="preserve"> about the climate zones included in the pilot</w:t>
      </w:r>
      <w:r w:rsidRPr="0012594C">
        <w:rPr>
          <w:rFonts w:asciiTheme="majorHAnsi" w:hAnsiTheme="majorHAnsi" w:cstheme="majorBidi"/>
        </w:rPr>
        <w:t>,</w:t>
      </w:r>
      <w:r w:rsidR="002D7233" w:rsidRPr="0012594C">
        <w:rPr>
          <w:rFonts w:asciiTheme="majorHAnsi" w:hAnsiTheme="majorHAnsi" w:cstheme="majorBidi"/>
        </w:rPr>
        <w:t xml:space="preserve"> with the hottest months of the year occurring in the mid-summer months of July and August.</w:t>
      </w:r>
    </w:p>
    <w:p w14:paraId="4DCE74ED" w14:textId="77777777" w:rsidR="00D82F77" w:rsidRPr="00737D6A" w:rsidRDefault="00D82F77" w:rsidP="006E54D1">
      <w:pPr>
        <w:rPr>
          <w:rFonts w:asciiTheme="majorHAnsi" w:hAnsiTheme="majorHAnsi" w:cstheme="majorHAnsi"/>
        </w:rPr>
      </w:pPr>
    </w:p>
    <w:p w14:paraId="274E4320" w14:textId="7FAB6D8E" w:rsidR="00242A0A" w:rsidRPr="002D57EC" w:rsidRDefault="00235EBC">
      <w:pPr>
        <w:rPr>
          <w:rFonts w:asciiTheme="majorHAnsi" w:hAnsiTheme="majorHAnsi" w:cstheme="majorBidi"/>
        </w:rPr>
      </w:pPr>
      <w:r w:rsidRPr="000E623B">
        <w:rPr>
          <w:rFonts w:asciiTheme="majorHAnsi" w:hAnsiTheme="majorHAnsi" w:cstheme="majorBidi"/>
        </w:rPr>
        <w:t xml:space="preserve">See Attachment </w:t>
      </w:r>
      <w:r w:rsidR="003927FE" w:rsidRPr="000E623B">
        <w:rPr>
          <w:rFonts w:asciiTheme="majorHAnsi" w:hAnsiTheme="majorHAnsi" w:cstheme="majorBidi"/>
        </w:rPr>
        <w:t>8</w:t>
      </w:r>
      <w:r w:rsidRPr="000E623B">
        <w:rPr>
          <w:rFonts w:asciiTheme="majorHAnsi" w:hAnsiTheme="majorHAnsi" w:cstheme="majorBidi"/>
        </w:rPr>
        <w:t xml:space="preserve"> for details on calculation methods. </w:t>
      </w:r>
    </w:p>
    <w:p w14:paraId="2CD016DB" w14:textId="77777777" w:rsidR="00242A0A" w:rsidRPr="00737D6A" w:rsidRDefault="00242A0A" w:rsidP="006E54D1">
      <w:pPr>
        <w:rPr>
          <w:rFonts w:asciiTheme="majorHAnsi" w:hAnsiTheme="majorHAnsi" w:cstheme="majorHAnsi"/>
        </w:rPr>
      </w:pPr>
    </w:p>
    <w:p w14:paraId="0F77CE96" w14:textId="77777777" w:rsidR="00242A0A" w:rsidRPr="00737D6A" w:rsidRDefault="00242A0A" w:rsidP="00EE3C7D">
      <w:pPr>
        <w:pStyle w:val="Normal1"/>
        <w:rPr>
          <w:rFonts w:asciiTheme="majorHAnsi" w:hAnsiTheme="majorHAnsi" w:cstheme="majorHAnsi"/>
          <w:b/>
        </w:rPr>
      </w:pPr>
      <w:r w:rsidRPr="00737D6A">
        <w:rPr>
          <w:rFonts w:asciiTheme="majorHAnsi" w:hAnsiTheme="majorHAnsi" w:cstheme="majorHAnsi"/>
          <w:b/>
        </w:rPr>
        <w:t>Ex Ante Savings Estimates</w:t>
      </w:r>
    </w:p>
    <w:p w14:paraId="6DF5D574" w14:textId="3884EBF6" w:rsidR="00D21FB0" w:rsidRPr="00737D6A" w:rsidRDefault="00A0354A" w:rsidP="00953E4E">
      <w:pPr>
        <w:rPr>
          <w:rFonts w:asciiTheme="majorHAnsi" w:hAnsiTheme="majorHAnsi" w:cstheme="majorHAnsi"/>
        </w:rPr>
      </w:pPr>
      <w:r w:rsidRPr="000E623B">
        <w:rPr>
          <w:rFonts w:asciiTheme="majorHAnsi" w:hAnsiTheme="majorHAnsi" w:cstheme="majorBidi"/>
        </w:rPr>
        <w:t xml:space="preserve">The </w:t>
      </w:r>
      <w:r w:rsidR="00242A0A" w:rsidRPr="000E623B">
        <w:rPr>
          <w:rFonts w:asciiTheme="majorHAnsi" w:hAnsiTheme="majorHAnsi" w:cstheme="majorBidi"/>
        </w:rPr>
        <w:t>ex-ante model’s estimate of the savings as a percent of the ex-ante cooling baseline</w:t>
      </w:r>
      <w:r w:rsidR="009943FE" w:rsidRPr="000E623B">
        <w:rPr>
          <w:rFonts w:asciiTheme="majorHAnsi" w:hAnsiTheme="majorHAnsi" w:cstheme="majorBidi"/>
        </w:rPr>
        <w:t xml:space="preserve"> results in savings</w:t>
      </w:r>
      <w:r w:rsidR="00242A0A" w:rsidRPr="000E623B">
        <w:rPr>
          <w:rFonts w:asciiTheme="majorHAnsi" w:hAnsiTheme="majorHAnsi" w:cstheme="majorBidi"/>
        </w:rPr>
        <w:t xml:space="preserve"> </w:t>
      </w:r>
      <w:r w:rsidR="009943FE" w:rsidRPr="000E623B">
        <w:rPr>
          <w:rFonts w:asciiTheme="majorHAnsi" w:hAnsiTheme="majorHAnsi" w:cstheme="majorBidi"/>
        </w:rPr>
        <w:t xml:space="preserve">that </w:t>
      </w:r>
      <w:r w:rsidR="00242A0A" w:rsidRPr="00EB68B9">
        <w:rPr>
          <w:rFonts w:asciiTheme="majorHAnsi" w:hAnsiTheme="majorHAnsi" w:cstheme="majorBidi"/>
        </w:rPr>
        <w:t>make up about 11% percent of the total HVAC cooling baseline at an annual level.</w:t>
      </w:r>
      <w:r w:rsidRPr="00EB68B9">
        <w:rPr>
          <w:rFonts w:asciiTheme="majorHAnsi" w:hAnsiTheme="majorHAnsi" w:cstheme="majorBidi"/>
        </w:rPr>
        <w:t xml:space="preserve">  </w:t>
      </w:r>
      <w:r w:rsidR="00FD493E" w:rsidRPr="00EB68B9">
        <w:rPr>
          <w:rFonts w:asciiTheme="majorHAnsi" w:hAnsiTheme="majorHAnsi" w:cstheme="majorBidi"/>
        </w:rPr>
        <w:t>Refer to Attachment</w:t>
      </w:r>
      <w:r w:rsidR="004901AB" w:rsidRPr="00265801">
        <w:rPr>
          <w:rFonts w:asciiTheme="majorHAnsi" w:hAnsiTheme="majorHAnsi" w:cstheme="majorBidi"/>
        </w:rPr>
        <w:t>s</w:t>
      </w:r>
      <w:r w:rsidR="00FD493E" w:rsidRPr="0012594C">
        <w:rPr>
          <w:rFonts w:asciiTheme="majorHAnsi" w:hAnsiTheme="majorHAnsi" w:cstheme="majorBidi"/>
        </w:rPr>
        <w:t xml:space="preserve"> </w:t>
      </w:r>
      <w:r w:rsidR="004901AB" w:rsidRPr="0012594C">
        <w:rPr>
          <w:rFonts w:asciiTheme="majorHAnsi" w:hAnsiTheme="majorHAnsi" w:cstheme="majorBidi"/>
        </w:rPr>
        <w:t>2</w:t>
      </w:r>
      <w:r w:rsidR="00DB1682" w:rsidRPr="0012594C">
        <w:rPr>
          <w:rFonts w:asciiTheme="majorHAnsi" w:hAnsiTheme="majorHAnsi" w:cstheme="majorBidi"/>
        </w:rPr>
        <w:t xml:space="preserve"> </w:t>
      </w:r>
      <w:r w:rsidR="004901AB" w:rsidRPr="0012594C">
        <w:rPr>
          <w:rFonts w:asciiTheme="majorHAnsi" w:hAnsiTheme="majorHAnsi" w:cstheme="majorBidi"/>
        </w:rPr>
        <w:t xml:space="preserve">and </w:t>
      </w:r>
      <w:r w:rsidR="003927FE" w:rsidRPr="0012594C">
        <w:rPr>
          <w:rFonts w:asciiTheme="majorHAnsi" w:hAnsiTheme="majorHAnsi" w:cstheme="majorBidi"/>
        </w:rPr>
        <w:t>8</w:t>
      </w:r>
      <w:r w:rsidR="00FD493E" w:rsidRPr="000E623B">
        <w:rPr>
          <w:rFonts w:asciiTheme="majorHAnsi" w:hAnsiTheme="majorHAnsi" w:cstheme="majorBidi"/>
        </w:rPr>
        <w:t xml:space="preserve"> for details on calculation methods and results. </w:t>
      </w:r>
    </w:p>
    <w:p w14:paraId="04CA9803" w14:textId="77777777" w:rsidR="00A0354A" w:rsidRPr="00737D6A" w:rsidRDefault="00A0354A" w:rsidP="00953E4E">
      <w:pPr>
        <w:rPr>
          <w:rFonts w:asciiTheme="majorHAnsi" w:hAnsiTheme="majorHAnsi" w:cstheme="majorHAnsi"/>
        </w:rPr>
      </w:pPr>
    </w:p>
    <w:p w14:paraId="6B366CBA" w14:textId="2CCF5041" w:rsidR="00A0354A" w:rsidRPr="00737D6A" w:rsidRDefault="009943FE" w:rsidP="009943FE">
      <w:pPr>
        <w:spacing w:after="120"/>
        <w:rPr>
          <w:rFonts w:asciiTheme="majorHAnsi" w:hAnsiTheme="majorHAnsi" w:cstheme="majorHAnsi"/>
        </w:rPr>
      </w:pPr>
      <w:r>
        <w:rPr>
          <w:rFonts w:asciiTheme="majorHAnsi" w:hAnsiTheme="majorHAnsi" w:cstheme="majorHAnsi"/>
        </w:rPr>
        <w:t>The</w:t>
      </w:r>
      <w:r w:rsidR="00A0354A" w:rsidRPr="00737D6A">
        <w:rPr>
          <w:rFonts w:asciiTheme="majorHAnsi" w:hAnsiTheme="majorHAnsi" w:cstheme="majorHAnsi"/>
        </w:rPr>
        <w:t xml:space="preserve"> table below documents the ex-ante impact for each climate zone. The impact is calculated by applying the 11% impact predicted by the model to the annual cooling load in each zone.  </w:t>
      </w:r>
      <w:r>
        <w:rPr>
          <w:rFonts w:asciiTheme="majorHAnsi" w:hAnsiTheme="majorHAnsi" w:cstheme="majorHAnsi"/>
        </w:rPr>
        <w:t>T</w:t>
      </w:r>
      <w:r w:rsidR="00A0354A" w:rsidRPr="00737D6A">
        <w:rPr>
          <w:rFonts w:asciiTheme="majorHAnsi" w:hAnsiTheme="majorHAnsi" w:cstheme="majorHAnsi"/>
        </w:rPr>
        <w:t xml:space="preserve">he nominal impact (kWh) and the impact as a percent of the total annual load </w:t>
      </w:r>
      <w:r>
        <w:rPr>
          <w:rFonts w:asciiTheme="majorHAnsi" w:hAnsiTheme="majorHAnsi" w:cstheme="majorHAnsi"/>
        </w:rPr>
        <w:t xml:space="preserve">are presented </w:t>
      </w:r>
      <w:r w:rsidR="00A0354A" w:rsidRPr="00737D6A">
        <w:rPr>
          <w:rFonts w:asciiTheme="majorHAnsi" w:hAnsiTheme="majorHAnsi" w:cstheme="majorHAnsi"/>
        </w:rPr>
        <w:t>below.</w:t>
      </w:r>
    </w:p>
    <w:p w14:paraId="109C3093" w14:textId="5AACA366" w:rsidR="004778D7" w:rsidRDefault="004778D7" w:rsidP="002D57EC">
      <w:pPr>
        <w:rPr>
          <w:rFonts w:asciiTheme="majorHAnsi" w:hAnsiTheme="majorHAnsi" w:cstheme="majorBidi"/>
          <w:b/>
          <w:bCs/>
        </w:rPr>
      </w:pPr>
      <w:r w:rsidRPr="002D57EC">
        <w:rPr>
          <w:rFonts w:asciiTheme="majorHAnsi" w:hAnsiTheme="majorHAnsi" w:cstheme="majorBidi"/>
          <w:b/>
          <w:bCs/>
        </w:rPr>
        <w:lastRenderedPageBreak/>
        <w:t>Ex-Ante Impact for Each Climate Zone</w:t>
      </w:r>
      <w:r w:rsidR="00505618">
        <w:rPr>
          <w:rFonts w:asciiTheme="majorHAnsi" w:hAnsiTheme="majorHAnsi" w:cstheme="majorBidi"/>
          <w:b/>
          <w:bCs/>
        </w:rPr>
        <w:t xml:space="preserve"> for SFM</w:t>
      </w:r>
    </w:p>
    <w:p w14:paraId="7F1C5103" w14:textId="77777777" w:rsidR="00521290" w:rsidRPr="002D57EC" w:rsidRDefault="00521290" w:rsidP="002D57EC">
      <w:pPr>
        <w:rPr>
          <w:rFonts w:asciiTheme="majorHAnsi" w:hAnsiTheme="majorHAnsi" w:cstheme="majorBidi"/>
          <w:b/>
          <w:bCs/>
        </w:rPr>
      </w:pPr>
    </w:p>
    <w:tbl>
      <w:tblPr>
        <w:tblStyle w:val="TableGrid"/>
        <w:tblW w:w="5575" w:type="dxa"/>
        <w:jc w:val="center"/>
        <w:tblLayout w:type="fixed"/>
        <w:tblLook w:val="04A0" w:firstRow="1" w:lastRow="0" w:firstColumn="1" w:lastColumn="0" w:noHBand="0" w:noVBand="1"/>
      </w:tblPr>
      <w:tblGrid>
        <w:gridCol w:w="1858"/>
        <w:gridCol w:w="1858"/>
        <w:gridCol w:w="1859"/>
      </w:tblGrid>
      <w:tr w:rsidR="00521290" w:rsidRPr="00C470E5" w14:paraId="17136994" w14:textId="77777777" w:rsidTr="002D57EC">
        <w:trPr>
          <w:trHeight w:val="692"/>
          <w:jc w:val="center"/>
        </w:trPr>
        <w:tc>
          <w:tcPr>
            <w:tcW w:w="1858" w:type="dxa"/>
            <w:shd w:val="clear" w:color="auto" w:fill="D9D9D9" w:themeFill="background1" w:themeFillShade="D9"/>
            <w:noWrap/>
            <w:hideMark/>
          </w:tcPr>
          <w:p w14:paraId="72E5410D" w14:textId="77777777" w:rsidR="00521290" w:rsidRPr="00983880" w:rsidRDefault="00521290" w:rsidP="006E54D1">
            <w:pPr>
              <w:jc w:val="center"/>
              <w:rPr>
                <w:rFonts w:asciiTheme="majorHAnsi" w:eastAsia="Times New Roman" w:hAnsiTheme="majorHAnsi" w:cstheme="majorHAnsi"/>
                <w:b/>
                <w:sz w:val="20"/>
                <w:szCs w:val="20"/>
              </w:rPr>
            </w:pPr>
            <w:r w:rsidRPr="00983880">
              <w:rPr>
                <w:rFonts w:asciiTheme="majorHAnsi" w:eastAsia="Times New Roman" w:hAnsiTheme="majorHAnsi" w:cstheme="majorHAnsi"/>
                <w:b/>
                <w:sz w:val="20"/>
                <w:szCs w:val="20"/>
              </w:rPr>
              <w:t>Climate Zone</w:t>
            </w:r>
          </w:p>
        </w:tc>
        <w:tc>
          <w:tcPr>
            <w:tcW w:w="1858" w:type="dxa"/>
            <w:shd w:val="clear" w:color="auto" w:fill="D9D9D9" w:themeFill="background1" w:themeFillShade="D9"/>
            <w:hideMark/>
          </w:tcPr>
          <w:p w14:paraId="67396E54" w14:textId="46F2594D" w:rsidR="00496CF8" w:rsidRPr="00091CC5" w:rsidRDefault="0012415A" w:rsidP="006E54D1">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 Savings Contribution</w:t>
            </w:r>
          </w:p>
          <w:p w14:paraId="2F64B391" w14:textId="442DA1CC" w:rsidR="00521290" w:rsidRPr="00C470E5" w:rsidRDefault="00521290" w:rsidP="006E54D1">
            <w:pPr>
              <w:jc w:val="center"/>
              <w:rPr>
                <w:rFonts w:asciiTheme="majorHAnsi" w:eastAsia="Times New Roman" w:hAnsiTheme="majorHAnsi" w:cstheme="majorHAnsi"/>
                <w:b/>
                <w:sz w:val="20"/>
                <w:szCs w:val="20"/>
              </w:rPr>
            </w:pPr>
            <w:r w:rsidRPr="00C470E5">
              <w:rPr>
                <w:rFonts w:asciiTheme="majorHAnsi" w:eastAsia="Times New Roman" w:hAnsiTheme="majorHAnsi" w:cstheme="majorHAnsi"/>
                <w:b/>
                <w:sz w:val="20"/>
                <w:szCs w:val="20"/>
              </w:rPr>
              <w:t>(</w:t>
            </w:r>
            <w:r w:rsidR="00505618">
              <w:rPr>
                <w:rFonts w:asciiTheme="majorHAnsi" w:eastAsia="Times New Roman" w:hAnsiTheme="majorHAnsi" w:cstheme="majorHAnsi"/>
                <w:b/>
                <w:sz w:val="20"/>
                <w:szCs w:val="20"/>
              </w:rPr>
              <w:t xml:space="preserve">SFM </w:t>
            </w:r>
            <w:r w:rsidRPr="00C470E5">
              <w:rPr>
                <w:rFonts w:asciiTheme="majorHAnsi" w:eastAsia="Times New Roman" w:hAnsiTheme="majorHAnsi" w:cstheme="majorHAnsi"/>
                <w:b/>
                <w:sz w:val="20"/>
                <w:szCs w:val="20"/>
              </w:rPr>
              <w:t xml:space="preserve">HVAC </w:t>
            </w:r>
            <w:r w:rsidR="00496CF8" w:rsidRPr="00C470E5">
              <w:rPr>
                <w:rFonts w:asciiTheme="majorHAnsi" w:eastAsia="Times New Roman" w:hAnsiTheme="majorHAnsi" w:cstheme="majorHAnsi"/>
                <w:b/>
                <w:sz w:val="20"/>
                <w:szCs w:val="20"/>
              </w:rPr>
              <w:t>C</w:t>
            </w:r>
            <w:r w:rsidRPr="00C470E5">
              <w:rPr>
                <w:rFonts w:asciiTheme="majorHAnsi" w:eastAsia="Times New Roman" w:hAnsiTheme="majorHAnsi" w:cstheme="majorHAnsi"/>
                <w:b/>
                <w:sz w:val="20"/>
                <w:szCs w:val="20"/>
              </w:rPr>
              <w:t>ooling</w:t>
            </w:r>
            <w:r w:rsidR="00496CF8" w:rsidRPr="00C470E5">
              <w:rPr>
                <w:rFonts w:asciiTheme="majorHAnsi" w:eastAsia="Times New Roman" w:hAnsiTheme="majorHAnsi" w:cstheme="majorHAnsi"/>
                <w:b/>
                <w:sz w:val="20"/>
                <w:szCs w:val="20"/>
              </w:rPr>
              <w:t xml:space="preserve"> Energy</w:t>
            </w:r>
            <w:r w:rsidRPr="00C470E5">
              <w:rPr>
                <w:rFonts w:asciiTheme="majorHAnsi" w:eastAsia="Times New Roman" w:hAnsiTheme="majorHAnsi" w:cstheme="majorHAnsi"/>
                <w:b/>
                <w:sz w:val="20"/>
                <w:szCs w:val="20"/>
              </w:rPr>
              <w:t>)</w:t>
            </w:r>
          </w:p>
        </w:tc>
        <w:tc>
          <w:tcPr>
            <w:tcW w:w="1859" w:type="dxa"/>
            <w:shd w:val="clear" w:color="auto" w:fill="D9D9D9" w:themeFill="background1" w:themeFillShade="D9"/>
            <w:hideMark/>
          </w:tcPr>
          <w:p w14:paraId="2C056C67" w14:textId="77777777" w:rsidR="00521290" w:rsidRDefault="00521290" w:rsidP="006E54D1">
            <w:pPr>
              <w:jc w:val="center"/>
              <w:rPr>
                <w:rFonts w:asciiTheme="majorHAnsi" w:eastAsia="Times New Roman" w:hAnsiTheme="majorHAnsi" w:cstheme="majorHAnsi"/>
                <w:b/>
                <w:sz w:val="20"/>
                <w:szCs w:val="20"/>
              </w:rPr>
            </w:pPr>
            <w:r w:rsidRPr="00C470E5">
              <w:rPr>
                <w:rFonts w:asciiTheme="majorHAnsi" w:eastAsia="Times New Roman" w:hAnsiTheme="majorHAnsi" w:cstheme="majorHAnsi"/>
                <w:b/>
                <w:sz w:val="20"/>
                <w:szCs w:val="20"/>
              </w:rPr>
              <w:t>Impact (kWh)</w:t>
            </w:r>
          </w:p>
          <w:p w14:paraId="45497D52" w14:textId="62E34727" w:rsidR="00505618" w:rsidRPr="00C470E5" w:rsidRDefault="00505618" w:rsidP="006E54D1">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SFM</w:t>
            </w:r>
          </w:p>
        </w:tc>
      </w:tr>
      <w:tr w:rsidR="002B7F27" w:rsidRPr="00C470E5" w14:paraId="062DCD87" w14:textId="77777777" w:rsidTr="0009168C">
        <w:trPr>
          <w:trHeight w:val="280"/>
          <w:jc w:val="center"/>
        </w:trPr>
        <w:tc>
          <w:tcPr>
            <w:tcW w:w="1858" w:type="dxa"/>
            <w:noWrap/>
            <w:hideMark/>
          </w:tcPr>
          <w:p w14:paraId="5EC62376"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CZ01</w:t>
            </w:r>
          </w:p>
        </w:tc>
        <w:tc>
          <w:tcPr>
            <w:tcW w:w="1858" w:type="dxa"/>
            <w:noWrap/>
          </w:tcPr>
          <w:p w14:paraId="7C4D5317" w14:textId="68F07379"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99BF5" w14:textId="0A4D3414"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0.0</w:t>
            </w:r>
          </w:p>
        </w:tc>
      </w:tr>
      <w:tr w:rsidR="002B7F27" w:rsidRPr="00C470E5" w14:paraId="0D352161" w14:textId="77777777" w:rsidTr="0009168C">
        <w:trPr>
          <w:trHeight w:val="280"/>
          <w:jc w:val="center"/>
        </w:trPr>
        <w:tc>
          <w:tcPr>
            <w:tcW w:w="1858" w:type="dxa"/>
            <w:noWrap/>
            <w:hideMark/>
          </w:tcPr>
          <w:p w14:paraId="263263ED"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CZ02</w:t>
            </w:r>
          </w:p>
        </w:tc>
        <w:tc>
          <w:tcPr>
            <w:tcW w:w="1858" w:type="dxa"/>
            <w:noWrap/>
          </w:tcPr>
          <w:p w14:paraId="041BD371" w14:textId="483D178E"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3A8B5584" w14:textId="4ED38E93"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53.0</w:t>
            </w:r>
          </w:p>
        </w:tc>
      </w:tr>
      <w:tr w:rsidR="002B7F27" w:rsidRPr="00C470E5" w14:paraId="3FD21910" w14:textId="77777777" w:rsidTr="0009168C">
        <w:trPr>
          <w:trHeight w:val="280"/>
          <w:jc w:val="center"/>
        </w:trPr>
        <w:tc>
          <w:tcPr>
            <w:tcW w:w="1858" w:type="dxa"/>
            <w:noWrap/>
            <w:hideMark/>
          </w:tcPr>
          <w:p w14:paraId="4A4E43AE"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CZ03</w:t>
            </w:r>
          </w:p>
        </w:tc>
        <w:tc>
          <w:tcPr>
            <w:tcW w:w="1858" w:type="dxa"/>
            <w:noWrap/>
          </w:tcPr>
          <w:p w14:paraId="6F59F22D" w14:textId="01A61B6C"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68AC89FA" w14:textId="251176CB"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14.4</w:t>
            </w:r>
          </w:p>
        </w:tc>
      </w:tr>
      <w:tr w:rsidR="002B7F27" w:rsidRPr="00C470E5" w14:paraId="383035A4" w14:textId="77777777" w:rsidTr="0009168C">
        <w:trPr>
          <w:trHeight w:val="280"/>
          <w:jc w:val="center"/>
        </w:trPr>
        <w:tc>
          <w:tcPr>
            <w:tcW w:w="1858" w:type="dxa"/>
            <w:noWrap/>
            <w:hideMark/>
          </w:tcPr>
          <w:p w14:paraId="7A184583"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CZ04</w:t>
            </w:r>
          </w:p>
        </w:tc>
        <w:tc>
          <w:tcPr>
            <w:tcW w:w="1858" w:type="dxa"/>
            <w:noWrap/>
          </w:tcPr>
          <w:p w14:paraId="6DB6AB80" w14:textId="4F2514F5"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13DE2C83" w14:textId="2A0717F9"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72.5</w:t>
            </w:r>
          </w:p>
        </w:tc>
      </w:tr>
      <w:tr w:rsidR="002B7F27" w:rsidRPr="00C470E5" w14:paraId="7F97FFF1" w14:textId="77777777" w:rsidTr="0009168C">
        <w:trPr>
          <w:trHeight w:val="280"/>
          <w:jc w:val="center"/>
        </w:trPr>
        <w:tc>
          <w:tcPr>
            <w:tcW w:w="1858" w:type="dxa"/>
            <w:noWrap/>
            <w:hideMark/>
          </w:tcPr>
          <w:p w14:paraId="2C86964B"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CZ05</w:t>
            </w:r>
          </w:p>
        </w:tc>
        <w:tc>
          <w:tcPr>
            <w:tcW w:w="1858" w:type="dxa"/>
            <w:noWrap/>
          </w:tcPr>
          <w:p w14:paraId="5F06DC3C" w14:textId="45CB8706"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253BDA31" w14:textId="6D2F7735"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7.8</w:t>
            </w:r>
          </w:p>
        </w:tc>
      </w:tr>
      <w:tr w:rsidR="002B7F27" w:rsidRPr="00C470E5" w14:paraId="1D16A8B3" w14:textId="77777777" w:rsidTr="0009168C">
        <w:trPr>
          <w:trHeight w:val="280"/>
          <w:jc w:val="center"/>
        </w:trPr>
        <w:tc>
          <w:tcPr>
            <w:tcW w:w="1858" w:type="dxa"/>
            <w:noWrap/>
            <w:hideMark/>
          </w:tcPr>
          <w:p w14:paraId="0542B2D2"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CZ06</w:t>
            </w:r>
          </w:p>
        </w:tc>
        <w:tc>
          <w:tcPr>
            <w:tcW w:w="1858" w:type="dxa"/>
            <w:noWrap/>
          </w:tcPr>
          <w:p w14:paraId="0A7128D6" w14:textId="40216637"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32385E74" w14:textId="50FD1E98"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63.2</w:t>
            </w:r>
          </w:p>
        </w:tc>
      </w:tr>
      <w:tr w:rsidR="002B7F27" w:rsidRPr="00C470E5" w14:paraId="03B5666D" w14:textId="77777777" w:rsidTr="0009168C">
        <w:trPr>
          <w:trHeight w:val="280"/>
          <w:jc w:val="center"/>
        </w:trPr>
        <w:tc>
          <w:tcPr>
            <w:tcW w:w="1858" w:type="dxa"/>
            <w:noWrap/>
            <w:hideMark/>
          </w:tcPr>
          <w:p w14:paraId="09528C55"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CZ07</w:t>
            </w:r>
          </w:p>
        </w:tc>
        <w:tc>
          <w:tcPr>
            <w:tcW w:w="1858" w:type="dxa"/>
            <w:noWrap/>
          </w:tcPr>
          <w:p w14:paraId="5C782763" w14:textId="2FFA78A2"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088BEA05" w14:textId="198B8E41"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72.9</w:t>
            </w:r>
          </w:p>
        </w:tc>
      </w:tr>
      <w:tr w:rsidR="002B7F27" w:rsidRPr="00C470E5" w14:paraId="60B92793" w14:textId="77777777" w:rsidTr="0009168C">
        <w:trPr>
          <w:trHeight w:val="280"/>
          <w:jc w:val="center"/>
        </w:trPr>
        <w:tc>
          <w:tcPr>
            <w:tcW w:w="1858" w:type="dxa"/>
            <w:noWrap/>
            <w:hideMark/>
          </w:tcPr>
          <w:p w14:paraId="61270AC9"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CZ08</w:t>
            </w:r>
          </w:p>
        </w:tc>
        <w:tc>
          <w:tcPr>
            <w:tcW w:w="1858" w:type="dxa"/>
            <w:noWrap/>
          </w:tcPr>
          <w:p w14:paraId="205CD1B2" w14:textId="18F4AC5B"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23E568F1" w14:textId="19DD0FB5"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155.1</w:t>
            </w:r>
          </w:p>
        </w:tc>
      </w:tr>
      <w:tr w:rsidR="002B7F27" w:rsidRPr="00C470E5" w14:paraId="16B317F5" w14:textId="77777777" w:rsidTr="0009168C">
        <w:trPr>
          <w:trHeight w:val="280"/>
          <w:jc w:val="center"/>
        </w:trPr>
        <w:tc>
          <w:tcPr>
            <w:tcW w:w="1858" w:type="dxa"/>
            <w:noWrap/>
            <w:hideMark/>
          </w:tcPr>
          <w:p w14:paraId="3A301888"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CZ09</w:t>
            </w:r>
          </w:p>
        </w:tc>
        <w:tc>
          <w:tcPr>
            <w:tcW w:w="1858" w:type="dxa"/>
            <w:noWrap/>
          </w:tcPr>
          <w:p w14:paraId="2C4537D5" w14:textId="6B70E4BB"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767BAF0E" w14:textId="50B06027"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142.2</w:t>
            </w:r>
          </w:p>
        </w:tc>
      </w:tr>
      <w:tr w:rsidR="002B7F27" w:rsidRPr="00C470E5" w14:paraId="367DF052" w14:textId="77777777" w:rsidTr="0009168C">
        <w:trPr>
          <w:trHeight w:val="280"/>
          <w:jc w:val="center"/>
        </w:trPr>
        <w:tc>
          <w:tcPr>
            <w:tcW w:w="1858" w:type="dxa"/>
            <w:noWrap/>
            <w:hideMark/>
          </w:tcPr>
          <w:p w14:paraId="6FAADE21"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CZ10</w:t>
            </w:r>
          </w:p>
        </w:tc>
        <w:tc>
          <w:tcPr>
            <w:tcW w:w="1858" w:type="dxa"/>
            <w:noWrap/>
          </w:tcPr>
          <w:p w14:paraId="4AD9CF8C" w14:textId="60303E52"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20FBFEDC" w14:textId="1965AA5D"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171.7</w:t>
            </w:r>
          </w:p>
        </w:tc>
      </w:tr>
      <w:tr w:rsidR="002B7F27" w:rsidRPr="00C470E5" w14:paraId="669ED9D2" w14:textId="77777777" w:rsidTr="0009168C">
        <w:trPr>
          <w:trHeight w:val="280"/>
          <w:jc w:val="center"/>
        </w:trPr>
        <w:tc>
          <w:tcPr>
            <w:tcW w:w="1858" w:type="dxa"/>
            <w:noWrap/>
            <w:hideMark/>
          </w:tcPr>
          <w:p w14:paraId="1879423F"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CZ11</w:t>
            </w:r>
          </w:p>
        </w:tc>
        <w:tc>
          <w:tcPr>
            <w:tcW w:w="1858" w:type="dxa"/>
            <w:noWrap/>
          </w:tcPr>
          <w:p w14:paraId="46E70E67" w14:textId="185546AA"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292064A7" w14:textId="6C455E5D"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189.6</w:t>
            </w:r>
          </w:p>
        </w:tc>
      </w:tr>
      <w:tr w:rsidR="002B7F27" w:rsidRPr="00C470E5" w14:paraId="015D4E42" w14:textId="77777777" w:rsidTr="0009168C">
        <w:trPr>
          <w:trHeight w:val="280"/>
          <w:jc w:val="center"/>
        </w:trPr>
        <w:tc>
          <w:tcPr>
            <w:tcW w:w="1858" w:type="dxa"/>
            <w:noWrap/>
            <w:hideMark/>
          </w:tcPr>
          <w:p w14:paraId="7717367C"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CZ12</w:t>
            </w:r>
          </w:p>
        </w:tc>
        <w:tc>
          <w:tcPr>
            <w:tcW w:w="1858" w:type="dxa"/>
            <w:noWrap/>
          </w:tcPr>
          <w:p w14:paraId="74AC682C" w14:textId="7051CFC8"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15254E95" w14:textId="3C4218E9"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110.1</w:t>
            </w:r>
          </w:p>
        </w:tc>
      </w:tr>
      <w:tr w:rsidR="002B7F27" w:rsidRPr="00C470E5" w14:paraId="0B14013F" w14:textId="77777777" w:rsidTr="0009168C">
        <w:trPr>
          <w:trHeight w:val="280"/>
          <w:jc w:val="center"/>
        </w:trPr>
        <w:tc>
          <w:tcPr>
            <w:tcW w:w="1858" w:type="dxa"/>
            <w:noWrap/>
            <w:hideMark/>
          </w:tcPr>
          <w:p w14:paraId="738FFCE2"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CZ13</w:t>
            </w:r>
          </w:p>
        </w:tc>
        <w:tc>
          <w:tcPr>
            <w:tcW w:w="1858" w:type="dxa"/>
            <w:noWrap/>
          </w:tcPr>
          <w:p w14:paraId="55AAB785" w14:textId="5D1C3D1E"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114F591D" w14:textId="4EC277B0"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215.6</w:t>
            </w:r>
          </w:p>
        </w:tc>
      </w:tr>
      <w:tr w:rsidR="002B7F27" w:rsidRPr="00C470E5" w14:paraId="0F0A846A" w14:textId="77777777" w:rsidTr="0009168C">
        <w:trPr>
          <w:trHeight w:val="280"/>
          <w:jc w:val="center"/>
        </w:trPr>
        <w:tc>
          <w:tcPr>
            <w:tcW w:w="1858" w:type="dxa"/>
            <w:noWrap/>
            <w:hideMark/>
          </w:tcPr>
          <w:p w14:paraId="198096CB"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CZ14</w:t>
            </w:r>
          </w:p>
        </w:tc>
        <w:tc>
          <w:tcPr>
            <w:tcW w:w="1858" w:type="dxa"/>
            <w:noWrap/>
          </w:tcPr>
          <w:p w14:paraId="201DD208" w14:textId="7FA8E88E"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330F2D3C" w14:textId="15767B00"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408.1</w:t>
            </w:r>
          </w:p>
        </w:tc>
      </w:tr>
      <w:tr w:rsidR="002B7F27" w:rsidRPr="00C470E5" w14:paraId="128E8EC7" w14:textId="77777777" w:rsidTr="0009168C">
        <w:trPr>
          <w:trHeight w:val="280"/>
          <w:jc w:val="center"/>
        </w:trPr>
        <w:tc>
          <w:tcPr>
            <w:tcW w:w="1858" w:type="dxa"/>
            <w:noWrap/>
            <w:hideMark/>
          </w:tcPr>
          <w:p w14:paraId="21869500"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CZ15</w:t>
            </w:r>
          </w:p>
        </w:tc>
        <w:tc>
          <w:tcPr>
            <w:tcW w:w="1858" w:type="dxa"/>
            <w:noWrap/>
          </w:tcPr>
          <w:p w14:paraId="4C8B04AD" w14:textId="1314F54F"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0C3F2E8D" w14:textId="7D595D3A"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503.2</w:t>
            </w:r>
          </w:p>
        </w:tc>
      </w:tr>
      <w:tr w:rsidR="002B7F27" w:rsidRPr="00C470E5" w14:paraId="2D2D341C" w14:textId="77777777" w:rsidTr="0009168C">
        <w:trPr>
          <w:trHeight w:val="280"/>
          <w:jc w:val="center"/>
        </w:trPr>
        <w:tc>
          <w:tcPr>
            <w:tcW w:w="1858" w:type="dxa"/>
            <w:noWrap/>
            <w:hideMark/>
          </w:tcPr>
          <w:p w14:paraId="02082045" w14:textId="77777777" w:rsidR="002B7F27" w:rsidRPr="00983880" w:rsidRDefault="002B7F27" w:rsidP="002B7F27">
            <w:pPr>
              <w:jc w:val="center"/>
              <w:rPr>
                <w:rFonts w:asciiTheme="majorHAnsi" w:eastAsia="Times New Roman" w:hAnsiTheme="majorHAnsi" w:cstheme="majorHAnsi"/>
                <w:sz w:val="20"/>
                <w:szCs w:val="20"/>
              </w:rPr>
            </w:pPr>
            <w:r w:rsidRPr="00983880">
              <w:rPr>
                <w:rFonts w:asciiTheme="majorHAnsi" w:eastAsia="Times New Roman" w:hAnsiTheme="majorHAnsi" w:cstheme="majorHAnsi"/>
                <w:sz w:val="20"/>
                <w:szCs w:val="20"/>
              </w:rPr>
              <w:t>CZ16</w:t>
            </w:r>
          </w:p>
        </w:tc>
        <w:tc>
          <w:tcPr>
            <w:tcW w:w="1858" w:type="dxa"/>
            <w:noWrap/>
          </w:tcPr>
          <w:p w14:paraId="7063D3F4" w14:textId="58BA98E7" w:rsidR="002B7F27" w:rsidRPr="00091CC5" w:rsidRDefault="002B7F27" w:rsidP="002B7F27">
            <w:pPr>
              <w:jc w:val="center"/>
              <w:rPr>
                <w:rFonts w:asciiTheme="majorHAnsi" w:eastAsia="Times New Roman" w:hAnsiTheme="majorHAnsi" w:cstheme="majorBidi"/>
                <w:sz w:val="20"/>
                <w:szCs w:val="20"/>
              </w:rPr>
            </w:pPr>
            <w:r w:rsidRPr="00091CC5">
              <w:rPr>
                <w:rFonts w:asciiTheme="majorHAnsi" w:hAnsiTheme="majorHAnsi" w:cstheme="majorBidi"/>
                <w:sz w:val="20"/>
                <w:szCs w:val="20"/>
              </w:rPr>
              <w:t>11.0%</w:t>
            </w:r>
          </w:p>
        </w:tc>
        <w:tc>
          <w:tcPr>
            <w:tcW w:w="1859" w:type="dxa"/>
            <w:tcBorders>
              <w:top w:val="nil"/>
              <w:left w:val="single" w:sz="4" w:space="0" w:color="auto"/>
              <w:bottom w:val="single" w:sz="4" w:space="0" w:color="auto"/>
              <w:right w:val="single" w:sz="4" w:space="0" w:color="auto"/>
            </w:tcBorders>
            <w:shd w:val="clear" w:color="auto" w:fill="auto"/>
            <w:noWrap/>
            <w:vAlign w:val="bottom"/>
            <w:hideMark/>
          </w:tcPr>
          <w:p w14:paraId="40C72004" w14:textId="685A7D0B" w:rsidR="002B7F27" w:rsidRPr="0070364C" w:rsidRDefault="002B7F27" w:rsidP="002B7F27">
            <w:pPr>
              <w:jc w:val="center"/>
              <w:rPr>
                <w:rFonts w:asciiTheme="majorHAnsi" w:eastAsia="Times New Roman" w:hAnsiTheme="majorHAnsi" w:cstheme="majorHAnsi"/>
                <w:sz w:val="20"/>
                <w:szCs w:val="20"/>
              </w:rPr>
            </w:pPr>
            <w:r w:rsidRPr="0009168C">
              <w:rPr>
                <w:sz w:val="20"/>
                <w:szCs w:val="20"/>
              </w:rPr>
              <w:t>27.3</w:t>
            </w:r>
          </w:p>
        </w:tc>
      </w:tr>
    </w:tbl>
    <w:p w14:paraId="135E23AD" w14:textId="77777777" w:rsidR="00FD493E" w:rsidRPr="00737D6A" w:rsidRDefault="00FD493E" w:rsidP="006E54D1">
      <w:pPr>
        <w:rPr>
          <w:rFonts w:asciiTheme="majorHAnsi" w:hAnsiTheme="majorHAnsi" w:cstheme="majorHAnsi"/>
        </w:rPr>
      </w:pPr>
    </w:p>
    <w:p w14:paraId="5AE4A58E" w14:textId="6B5319DD" w:rsidR="009D0B9B" w:rsidRPr="0012415A" w:rsidRDefault="00FD493E" w:rsidP="006E54D1">
      <w:pPr>
        <w:rPr>
          <w:rFonts w:asciiTheme="majorHAnsi" w:hAnsiTheme="majorHAnsi" w:cstheme="majorBidi"/>
        </w:rPr>
      </w:pPr>
      <w:r w:rsidRPr="000E623B">
        <w:rPr>
          <w:rFonts w:asciiTheme="majorHAnsi" w:hAnsiTheme="majorHAnsi" w:cstheme="majorBidi"/>
        </w:rPr>
        <w:t>Refer to Attachment</w:t>
      </w:r>
      <w:r w:rsidR="0033104C" w:rsidRPr="000E623B">
        <w:rPr>
          <w:rFonts w:asciiTheme="majorHAnsi" w:hAnsiTheme="majorHAnsi" w:cstheme="majorBidi"/>
        </w:rPr>
        <w:t>s</w:t>
      </w:r>
      <w:r w:rsidRPr="000E623B">
        <w:rPr>
          <w:rFonts w:asciiTheme="majorHAnsi" w:hAnsiTheme="majorHAnsi" w:cstheme="majorBidi"/>
        </w:rPr>
        <w:t xml:space="preserve"> </w:t>
      </w:r>
      <w:r w:rsidR="00DB1682" w:rsidRPr="000E623B">
        <w:rPr>
          <w:rFonts w:asciiTheme="majorHAnsi" w:hAnsiTheme="majorHAnsi" w:cstheme="majorBidi"/>
        </w:rPr>
        <w:t xml:space="preserve">2 </w:t>
      </w:r>
      <w:r w:rsidR="0033104C" w:rsidRPr="000E623B">
        <w:rPr>
          <w:rFonts w:asciiTheme="majorHAnsi" w:hAnsiTheme="majorHAnsi" w:cstheme="majorBidi"/>
        </w:rPr>
        <w:t xml:space="preserve">and </w:t>
      </w:r>
      <w:r w:rsidR="003927FE" w:rsidRPr="000E623B">
        <w:rPr>
          <w:rFonts w:asciiTheme="majorHAnsi" w:hAnsiTheme="majorHAnsi" w:cstheme="majorBidi"/>
        </w:rPr>
        <w:t>8</w:t>
      </w:r>
      <w:r w:rsidRPr="000E623B">
        <w:rPr>
          <w:rFonts w:asciiTheme="majorHAnsi" w:hAnsiTheme="majorHAnsi" w:cstheme="majorBidi"/>
        </w:rPr>
        <w:t xml:space="preserve"> for details on calculation methods and results.</w:t>
      </w:r>
      <w:r w:rsidR="00DB1682" w:rsidRPr="000E623B">
        <w:rPr>
          <w:rFonts w:asciiTheme="majorHAnsi" w:hAnsiTheme="majorHAnsi" w:cstheme="majorBidi"/>
        </w:rPr>
        <w:t xml:space="preserve"> Please note that</w:t>
      </w:r>
      <w:r w:rsidRPr="000E623B">
        <w:rPr>
          <w:rFonts w:asciiTheme="majorHAnsi" w:hAnsiTheme="majorHAnsi" w:cstheme="majorBidi"/>
        </w:rPr>
        <w:t xml:space="preserve"> </w:t>
      </w:r>
      <w:r w:rsidR="00DB1682" w:rsidRPr="000E623B">
        <w:rPr>
          <w:rFonts w:asciiTheme="majorHAnsi" w:hAnsiTheme="majorHAnsi" w:cstheme="majorBidi"/>
        </w:rPr>
        <w:t>Ex-Ante input models and hourly data reports will be provided on request.</w:t>
      </w:r>
    </w:p>
    <w:p w14:paraId="397FD41A" w14:textId="75C74154" w:rsidR="0089455A" w:rsidRPr="002D57EC" w:rsidRDefault="009F5CAD" w:rsidP="002D57EC">
      <w:pPr>
        <w:pStyle w:val="Heading2"/>
        <w:rPr>
          <w:rFonts w:asciiTheme="majorHAnsi" w:hAnsiTheme="majorHAnsi" w:cstheme="majorBidi"/>
        </w:rPr>
      </w:pPr>
      <w:r w:rsidRPr="000E623B">
        <w:rPr>
          <w:rFonts w:asciiTheme="majorHAnsi" w:hAnsiTheme="majorHAnsi" w:cstheme="majorBidi"/>
        </w:rPr>
        <w:t>2.</w:t>
      </w:r>
      <w:r w:rsidR="003A6115" w:rsidRPr="000E623B">
        <w:rPr>
          <w:rFonts w:asciiTheme="majorHAnsi" w:hAnsiTheme="majorHAnsi" w:cstheme="majorBidi"/>
        </w:rPr>
        <w:t>2</w:t>
      </w:r>
      <w:r w:rsidRPr="000E623B">
        <w:rPr>
          <w:rFonts w:asciiTheme="majorHAnsi" w:hAnsiTheme="majorHAnsi" w:cstheme="majorBidi"/>
        </w:rPr>
        <w:t xml:space="preserve"> </w:t>
      </w:r>
      <w:r w:rsidR="0089455A" w:rsidRPr="000E623B">
        <w:rPr>
          <w:rFonts w:asciiTheme="majorHAnsi" w:hAnsiTheme="majorHAnsi" w:cstheme="majorBidi"/>
        </w:rPr>
        <w:t>Measure</w:t>
      </w:r>
      <w:r w:rsidR="002E3135" w:rsidRPr="000E623B">
        <w:rPr>
          <w:rFonts w:asciiTheme="majorHAnsi" w:hAnsiTheme="majorHAnsi" w:cstheme="majorBidi"/>
        </w:rPr>
        <w:t xml:space="preserve"> Savings </w:t>
      </w:r>
      <w:r w:rsidR="0089455A" w:rsidRPr="00EB68B9">
        <w:rPr>
          <w:rFonts w:asciiTheme="majorHAnsi" w:hAnsiTheme="majorHAnsi" w:cstheme="majorBidi"/>
        </w:rPr>
        <w:t xml:space="preserve">Scaling for </w:t>
      </w:r>
      <w:r w:rsidR="00A57E5C" w:rsidRPr="000E623B">
        <w:rPr>
          <w:rFonts w:asciiTheme="majorHAnsi" w:hAnsiTheme="majorHAnsi" w:cstheme="majorBidi"/>
        </w:rPr>
        <w:t>MFM</w:t>
      </w:r>
      <w:r w:rsidR="0089455A" w:rsidRPr="000E623B">
        <w:rPr>
          <w:rFonts w:asciiTheme="majorHAnsi" w:hAnsiTheme="majorHAnsi" w:cstheme="majorBidi"/>
        </w:rPr>
        <w:t xml:space="preserve"> and </w:t>
      </w:r>
      <w:r w:rsidR="00A57E5C" w:rsidRPr="000E623B">
        <w:rPr>
          <w:rFonts w:asciiTheme="majorHAnsi" w:hAnsiTheme="majorHAnsi" w:cstheme="majorBidi"/>
        </w:rPr>
        <w:t>DMO</w:t>
      </w:r>
      <w:r w:rsidR="002E3135" w:rsidRPr="000E623B">
        <w:rPr>
          <w:rFonts w:asciiTheme="majorHAnsi" w:hAnsiTheme="majorHAnsi" w:cstheme="majorBidi"/>
        </w:rPr>
        <w:t xml:space="preserve"> (HVAC Cooling)</w:t>
      </w:r>
    </w:p>
    <w:p w14:paraId="582D8D59" w14:textId="23D6D6E0" w:rsidR="00E44311" w:rsidRDefault="00B276C2" w:rsidP="007F7458">
      <w:pPr>
        <w:rPr>
          <w:rFonts w:asciiTheme="majorHAnsi" w:hAnsiTheme="majorHAnsi" w:cstheme="majorBidi"/>
        </w:rPr>
      </w:pPr>
      <w:r w:rsidRPr="000E623B">
        <w:rPr>
          <w:rFonts w:asciiTheme="majorHAnsi" w:hAnsiTheme="majorHAnsi" w:cstheme="majorBidi"/>
        </w:rPr>
        <w:t xml:space="preserve">Given that PGE’s Year 1 and Year </w:t>
      </w:r>
      <w:r w:rsidR="004705E0" w:rsidRPr="000E623B">
        <w:rPr>
          <w:rFonts w:asciiTheme="majorHAnsi" w:hAnsiTheme="majorHAnsi" w:cstheme="majorBidi"/>
        </w:rPr>
        <w:t>2</w:t>
      </w:r>
      <w:r w:rsidRPr="000E623B">
        <w:rPr>
          <w:rFonts w:asciiTheme="majorHAnsi" w:hAnsiTheme="majorHAnsi" w:cstheme="majorBidi"/>
        </w:rPr>
        <w:t xml:space="preserve"> </w:t>
      </w:r>
      <w:r w:rsidR="00BB1509" w:rsidRPr="000E623B">
        <w:rPr>
          <w:rFonts w:asciiTheme="majorHAnsi" w:hAnsiTheme="majorHAnsi" w:cstheme="majorBidi"/>
        </w:rPr>
        <w:t>S</w:t>
      </w:r>
      <w:r w:rsidRPr="000E623B">
        <w:rPr>
          <w:rFonts w:asciiTheme="majorHAnsi" w:hAnsiTheme="majorHAnsi" w:cstheme="majorBidi"/>
        </w:rPr>
        <w:t>tudies exclude evaluation of measure savings for MF</w:t>
      </w:r>
      <w:r w:rsidR="00E44311">
        <w:rPr>
          <w:rFonts w:asciiTheme="majorHAnsi" w:hAnsiTheme="majorHAnsi" w:cstheme="majorBidi"/>
        </w:rPr>
        <w:t>m</w:t>
      </w:r>
      <w:r w:rsidRPr="000E623B">
        <w:rPr>
          <w:rFonts w:asciiTheme="majorHAnsi" w:hAnsiTheme="majorHAnsi" w:cstheme="majorBidi"/>
        </w:rPr>
        <w:t xml:space="preserve"> and DM</w:t>
      </w:r>
      <w:r w:rsidR="00E44311">
        <w:rPr>
          <w:rFonts w:asciiTheme="majorHAnsi" w:hAnsiTheme="majorHAnsi" w:cstheme="majorBidi"/>
        </w:rPr>
        <w:t>o</w:t>
      </w:r>
      <w:r w:rsidRPr="000E623B">
        <w:rPr>
          <w:rFonts w:asciiTheme="majorHAnsi" w:hAnsiTheme="majorHAnsi" w:cstheme="majorBidi"/>
        </w:rPr>
        <w:t xml:space="preserve">, scaling (energy savings) </w:t>
      </w:r>
      <w:r w:rsidR="0089455A" w:rsidRPr="000E623B">
        <w:rPr>
          <w:rFonts w:asciiTheme="majorHAnsi" w:hAnsiTheme="majorHAnsi" w:cstheme="majorBidi"/>
        </w:rPr>
        <w:t>factors</w:t>
      </w:r>
      <w:r w:rsidRPr="000E623B">
        <w:rPr>
          <w:rFonts w:asciiTheme="majorHAnsi" w:hAnsiTheme="majorHAnsi" w:cstheme="majorBidi"/>
        </w:rPr>
        <w:t xml:space="preserve"> were estimated for MF</w:t>
      </w:r>
      <w:r w:rsidR="00E44311">
        <w:rPr>
          <w:rFonts w:asciiTheme="majorHAnsi" w:hAnsiTheme="majorHAnsi" w:cstheme="majorBidi"/>
        </w:rPr>
        <w:t>m</w:t>
      </w:r>
      <w:r w:rsidRPr="000E623B">
        <w:rPr>
          <w:rFonts w:asciiTheme="majorHAnsi" w:hAnsiTheme="majorHAnsi" w:cstheme="majorBidi"/>
        </w:rPr>
        <w:t xml:space="preserve"> and DM</w:t>
      </w:r>
      <w:r w:rsidR="00E44311">
        <w:rPr>
          <w:rFonts w:asciiTheme="majorHAnsi" w:hAnsiTheme="majorHAnsi" w:cstheme="majorBidi"/>
        </w:rPr>
        <w:t>o</w:t>
      </w:r>
      <w:r w:rsidRPr="000E623B">
        <w:rPr>
          <w:rFonts w:asciiTheme="majorHAnsi" w:hAnsiTheme="majorHAnsi" w:cstheme="majorBidi"/>
        </w:rPr>
        <w:t xml:space="preserve">.  These were determined </w:t>
      </w:r>
      <w:r w:rsidR="0089455A" w:rsidRPr="000E623B">
        <w:rPr>
          <w:rFonts w:asciiTheme="majorHAnsi" w:hAnsiTheme="majorHAnsi" w:cstheme="majorBidi"/>
        </w:rPr>
        <w:t>using the latest DEER2020</w:t>
      </w:r>
      <w:r w:rsidR="00E44311">
        <w:rPr>
          <w:rFonts w:asciiTheme="majorHAnsi" w:hAnsiTheme="majorHAnsi" w:cstheme="majorBidi"/>
        </w:rPr>
        <w:t xml:space="preserve"> HVAC Upgrade measures </w:t>
      </w:r>
      <w:r w:rsidRPr="000E623B">
        <w:rPr>
          <w:rFonts w:asciiTheme="majorHAnsi" w:hAnsiTheme="majorHAnsi" w:cstheme="majorBidi"/>
        </w:rPr>
        <w:t xml:space="preserve">based on the </w:t>
      </w:r>
      <w:r w:rsidR="0089455A" w:rsidRPr="000E623B">
        <w:rPr>
          <w:rFonts w:asciiTheme="majorHAnsi" w:hAnsiTheme="majorHAnsi" w:cstheme="majorBidi"/>
        </w:rPr>
        <w:t xml:space="preserve">ratio of </w:t>
      </w:r>
      <w:r w:rsidR="00E44311">
        <w:rPr>
          <w:rFonts w:asciiTheme="majorHAnsi" w:hAnsiTheme="majorHAnsi" w:cstheme="majorBidi"/>
        </w:rPr>
        <w:t xml:space="preserve">the normalized </w:t>
      </w:r>
      <w:r w:rsidR="0089455A" w:rsidRPr="000E623B">
        <w:rPr>
          <w:rFonts w:asciiTheme="majorHAnsi" w:hAnsiTheme="majorHAnsi" w:cstheme="majorBidi"/>
        </w:rPr>
        <w:t>energy impacts</w:t>
      </w:r>
      <w:r w:rsidR="00E44311">
        <w:rPr>
          <w:rFonts w:asciiTheme="majorHAnsi" w:hAnsiTheme="majorHAnsi" w:cstheme="majorBidi"/>
        </w:rPr>
        <w:t xml:space="preserve"> (e.g., kWh/Ton)</w:t>
      </w:r>
      <w:r w:rsidR="003A2917">
        <w:rPr>
          <w:rFonts w:asciiTheme="majorHAnsi" w:hAnsiTheme="majorHAnsi" w:cstheme="majorBidi"/>
        </w:rPr>
        <w:t xml:space="preserve"> </w:t>
      </w:r>
      <w:r w:rsidR="0089455A" w:rsidRPr="000E623B">
        <w:rPr>
          <w:rFonts w:asciiTheme="majorHAnsi" w:hAnsiTheme="majorHAnsi" w:cstheme="majorBidi"/>
        </w:rPr>
        <w:t>compared to SF</w:t>
      </w:r>
      <w:r w:rsidR="00E44311">
        <w:rPr>
          <w:rFonts w:asciiTheme="majorHAnsi" w:hAnsiTheme="majorHAnsi" w:cstheme="majorBidi"/>
        </w:rPr>
        <w:t>m</w:t>
      </w:r>
      <w:r w:rsidR="0089455A" w:rsidRPr="000E623B">
        <w:rPr>
          <w:rFonts w:asciiTheme="majorHAnsi" w:hAnsiTheme="majorHAnsi" w:cstheme="majorBidi"/>
        </w:rPr>
        <w:t>.</w:t>
      </w:r>
      <w:r w:rsidR="00E44311">
        <w:rPr>
          <w:rFonts w:asciiTheme="majorHAnsi" w:hAnsiTheme="majorHAnsi" w:cstheme="majorBidi"/>
        </w:rPr>
        <w:t xml:space="preserve">  </w:t>
      </w:r>
    </w:p>
    <w:p w14:paraId="669473F5" w14:textId="77777777" w:rsidR="00E44311" w:rsidRDefault="00E44311" w:rsidP="007F7458"/>
    <w:p w14:paraId="0E5DDEB5" w14:textId="77777777" w:rsidR="00685B05" w:rsidRDefault="007F7458" w:rsidP="00685B05">
      <w:pPr>
        <w:rPr>
          <w:rFonts w:asciiTheme="majorHAnsi" w:hAnsiTheme="majorHAnsi" w:cstheme="majorBidi"/>
        </w:rPr>
      </w:pPr>
      <w:r w:rsidRPr="007F7458">
        <w:rPr>
          <w:rFonts w:asciiTheme="majorHAnsi" w:hAnsiTheme="majorHAnsi" w:cstheme="majorBidi"/>
        </w:rPr>
        <w:t>Estimated adjustment factors vary by climate zone.  However, no direct correlation was observed between the adjustment factors and CZs as there are several intricate factors varying among the climate zones tha</w:t>
      </w:r>
      <w:r>
        <w:rPr>
          <w:rFonts w:asciiTheme="majorHAnsi" w:hAnsiTheme="majorHAnsi" w:cstheme="majorBidi"/>
        </w:rPr>
        <w:t>t determine the energy impacts.</w:t>
      </w:r>
      <w:r w:rsidR="004B3922">
        <w:rPr>
          <w:rFonts w:asciiTheme="majorHAnsi" w:hAnsiTheme="majorHAnsi" w:cstheme="majorBidi"/>
        </w:rPr>
        <w:t xml:space="preserve"> </w:t>
      </w:r>
    </w:p>
    <w:p w14:paraId="297B3ADA" w14:textId="77777777" w:rsidR="00E44311" w:rsidRDefault="00E44311" w:rsidP="00685B05">
      <w:pPr>
        <w:rPr>
          <w:rFonts w:asciiTheme="majorHAnsi" w:hAnsiTheme="majorHAnsi" w:cstheme="majorBidi"/>
        </w:rPr>
      </w:pPr>
    </w:p>
    <w:p w14:paraId="7144E927" w14:textId="16EB0CB1" w:rsidR="0089455A" w:rsidRPr="002D57EC" w:rsidRDefault="00E44311" w:rsidP="007F7458">
      <w:pPr>
        <w:rPr>
          <w:rFonts w:asciiTheme="majorHAnsi" w:hAnsiTheme="majorHAnsi" w:cstheme="majorBidi"/>
        </w:rPr>
      </w:pPr>
      <w:r>
        <w:rPr>
          <w:rFonts w:asciiTheme="majorHAnsi" w:hAnsiTheme="majorHAnsi" w:cstheme="majorBidi"/>
        </w:rPr>
        <w:t>Further adjustment</w:t>
      </w:r>
      <w:r w:rsidR="00DB160F">
        <w:rPr>
          <w:rFonts w:asciiTheme="majorHAnsi" w:hAnsiTheme="majorHAnsi" w:cstheme="majorBidi"/>
        </w:rPr>
        <w:t xml:space="preserve">s </w:t>
      </w:r>
      <w:r>
        <w:rPr>
          <w:rFonts w:asciiTheme="majorHAnsi" w:hAnsiTheme="majorHAnsi" w:cstheme="majorBidi"/>
        </w:rPr>
        <w:t xml:space="preserve">were </w:t>
      </w:r>
      <w:r w:rsidR="00DB160F">
        <w:rPr>
          <w:rFonts w:asciiTheme="majorHAnsi" w:hAnsiTheme="majorHAnsi" w:cstheme="majorBidi"/>
        </w:rPr>
        <w:t>applied</w:t>
      </w:r>
      <w:r>
        <w:rPr>
          <w:rFonts w:asciiTheme="majorHAnsi" w:hAnsiTheme="majorHAnsi" w:cstheme="majorBidi"/>
        </w:rPr>
        <w:t xml:space="preserve"> to the MFm scaling factor to account for variation </w:t>
      </w:r>
      <w:r w:rsidR="00DB160F">
        <w:rPr>
          <w:rFonts w:asciiTheme="majorHAnsi" w:hAnsiTheme="majorHAnsi" w:cstheme="majorBidi"/>
        </w:rPr>
        <w:t>i</w:t>
      </w:r>
      <w:r>
        <w:rPr>
          <w:rFonts w:asciiTheme="majorHAnsi" w:hAnsiTheme="majorHAnsi" w:cstheme="majorBidi"/>
        </w:rPr>
        <w:t>n system capacity between the MFm DEER models and</w:t>
      </w:r>
      <w:r w:rsidR="003A2917">
        <w:rPr>
          <w:rFonts w:asciiTheme="majorHAnsi" w:hAnsiTheme="majorHAnsi" w:cstheme="majorBidi"/>
        </w:rPr>
        <w:t xml:space="preserve"> system capacity </w:t>
      </w:r>
      <w:r>
        <w:rPr>
          <w:rFonts w:asciiTheme="majorHAnsi" w:hAnsiTheme="majorHAnsi" w:cstheme="majorBidi"/>
        </w:rPr>
        <w:t>seen by the program.  This analysis was conducted using the DEER MFm prototype adjusted from 1.0 ton (</w:t>
      </w:r>
      <w:r w:rsidR="003A2917">
        <w:rPr>
          <w:rFonts w:asciiTheme="majorHAnsi" w:hAnsiTheme="majorHAnsi" w:cstheme="majorBidi"/>
        </w:rPr>
        <w:t xml:space="preserve">DEER </w:t>
      </w:r>
      <w:r>
        <w:rPr>
          <w:rFonts w:asciiTheme="majorHAnsi" w:hAnsiTheme="majorHAnsi" w:cstheme="majorBidi"/>
        </w:rPr>
        <w:t>defaulted</w:t>
      </w:r>
      <w:r w:rsidR="003A2917">
        <w:rPr>
          <w:rFonts w:asciiTheme="majorHAnsi" w:hAnsiTheme="majorHAnsi" w:cstheme="majorBidi"/>
        </w:rPr>
        <w:t xml:space="preserve"> - </w:t>
      </w:r>
      <w:r>
        <w:rPr>
          <w:rFonts w:asciiTheme="majorHAnsi" w:hAnsiTheme="majorHAnsi" w:cstheme="majorBidi"/>
        </w:rPr>
        <w:t xml:space="preserve">average per dwelling) to 2.0 </w:t>
      </w:r>
      <w:r w:rsidR="00DB160F">
        <w:rPr>
          <w:rFonts w:asciiTheme="majorHAnsi" w:hAnsiTheme="majorHAnsi" w:cstheme="majorBidi"/>
        </w:rPr>
        <w:t xml:space="preserve">tons </w:t>
      </w:r>
      <w:r>
        <w:rPr>
          <w:rFonts w:asciiTheme="majorHAnsi" w:hAnsiTheme="majorHAnsi" w:cstheme="majorBidi"/>
        </w:rPr>
        <w:t>(</w:t>
      </w:r>
      <w:r w:rsidR="003A2917">
        <w:rPr>
          <w:rFonts w:asciiTheme="majorHAnsi" w:hAnsiTheme="majorHAnsi" w:cstheme="majorBidi"/>
        </w:rPr>
        <w:t xml:space="preserve">program informed </w:t>
      </w:r>
      <w:r>
        <w:rPr>
          <w:rFonts w:asciiTheme="majorHAnsi" w:hAnsiTheme="majorHAnsi" w:cstheme="majorBidi"/>
        </w:rPr>
        <w:t xml:space="preserve">average </w:t>
      </w:r>
      <w:r w:rsidR="003F1D7A">
        <w:rPr>
          <w:rFonts w:asciiTheme="majorHAnsi" w:hAnsiTheme="majorHAnsi" w:cstheme="majorBidi"/>
        </w:rPr>
        <w:t xml:space="preserve">capacity </w:t>
      </w:r>
      <w:r>
        <w:rPr>
          <w:rFonts w:asciiTheme="majorHAnsi" w:hAnsiTheme="majorHAnsi" w:cstheme="majorBidi"/>
        </w:rPr>
        <w:t>per dwelling</w:t>
      </w:r>
      <w:r w:rsidR="008A5154">
        <w:rPr>
          <w:rFonts w:asciiTheme="majorHAnsi" w:hAnsiTheme="majorHAnsi" w:cstheme="majorBidi"/>
        </w:rPr>
        <w:t>)</w:t>
      </w:r>
      <w:r w:rsidR="00641C79">
        <w:rPr>
          <w:rFonts w:asciiTheme="majorHAnsi" w:hAnsiTheme="majorHAnsi" w:cstheme="majorBidi"/>
        </w:rPr>
        <w:t xml:space="preserve">. </w:t>
      </w:r>
    </w:p>
    <w:p w14:paraId="3D2C46A5" w14:textId="709A5845" w:rsidR="00B276C2" w:rsidRPr="00737D6A" w:rsidRDefault="00B276C2" w:rsidP="006E54D1">
      <w:pPr>
        <w:rPr>
          <w:rFonts w:asciiTheme="majorHAnsi" w:hAnsiTheme="majorHAnsi" w:cstheme="majorHAnsi"/>
        </w:rPr>
      </w:pPr>
    </w:p>
    <w:p w14:paraId="23E55133" w14:textId="18E009DD" w:rsidR="00A7581E" w:rsidRPr="002D57EC" w:rsidRDefault="00A7581E" w:rsidP="002D57EC">
      <w:pPr>
        <w:jc w:val="center"/>
        <w:rPr>
          <w:rFonts w:asciiTheme="majorHAnsi" w:hAnsiTheme="majorHAnsi" w:cstheme="majorBidi"/>
          <w:b/>
          <w:bCs/>
        </w:rPr>
      </w:pPr>
      <w:r w:rsidRPr="002D57EC">
        <w:rPr>
          <w:rFonts w:asciiTheme="majorHAnsi" w:hAnsiTheme="majorHAnsi" w:cstheme="majorBidi"/>
          <w:b/>
          <w:bCs/>
        </w:rPr>
        <w:t xml:space="preserve">Adjustment Factors for </w:t>
      </w:r>
      <w:r w:rsidR="007863D2" w:rsidRPr="002D57EC">
        <w:rPr>
          <w:rFonts w:asciiTheme="majorHAnsi" w:hAnsiTheme="majorHAnsi" w:cstheme="majorBidi"/>
          <w:b/>
          <w:bCs/>
        </w:rPr>
        <w:t>DM</w:t>
      </w:r>
      <w:r w:rsidR="007863D2">
        <w:rPr>
          <w:rFonts w:asciiTheme="majorHAnsi" w:hAnsiTheme="majorHAnsi" w:cstheme="majorBidi"/>
          <w:b/>
          <w:bCs/>
        </w:rPr>
        <w:t>o</w:t>
      </w:r>
      <w:r w:rsidR="007863D2" w:rsidRPr="002D57EC">
        <w:rPr>
          <w:rFonts w:asciiTheme="majorHAnsi" w:hAnsiTheme="majorHAnsi" w:cstheme="majorBidi"/>
          <w:b/>
          <w:bCs/>
        </w:rPr>
        <w:t xml:space="preserve"> </w:t>
      </w:r>
      <w:r w:rsidRPr="002D57EC">
        <w:rPr>
          <w:rFonts w:asciiTheme="majorHAnsi" w:hAnsiTheme="majorHAnsi" w:cstheme="majorBidi"/>
          <w:b/>
          <w:bCs/>
        </w:rPr>
        <w:t xml:space="preserve">and </w:t>
      </w:r>
      <w:r w:rsidR="007863D2" w:rsidRPr="002D57EC">
        <w:rPr>
          <w:rFonts w:asciiTheme="majorHAnsi" w:hAnsiTheme="majorHAnsi" w:cstheme="majorBidi"/>
          <w:b/>
          <w:bCs/>
        </w:rPr>
        <w:t>MF</w:t>
      </w:r>
      <w:r w:rsidR="007863D2">
        <w:rPr>
          <w:rFonts w:asciiTheme="majorHAnsi" w:hAnsiTheme="majorHAnsi" w:cstheme="majorBidi"/>
          <w:b/>
          <w:bCs/>
        </w:rPr>
        <w:t>m</w:t>
      </w:r>
    </w:p>
    <w:tbl>
      <w:tblPr>
        <w:tblW w:w="3011" w:type="pct"/>
        <w:jc w:val="center"/>
        <w:tblLayout w:type="fixed"/>
        <w:tblLook w:val="04A0" w:firstRow="1" w:lastRow="0" w:firstColumn="1" w:lastColumn="0" w:noHBand="0" w:noVBand="1"/>
      </w:tblPr>
      <w:tblGrid>
        <w:gridCol w:w="1768"/>
        <w:gridCol w:w="1768"/>
        <w:gridCol w:w="1769"/>
      </w:tblGrid>
      <w:tr w:rsidR="0089455A" w:rsidRPr="00737D6A" w14:paraId="404BECA1" w14:textId="77777777" w:rsidTr="002D57EC">
        <w:trPr>
          <w:trHeight w:val="300"/>
          <w:jc w:val="center"/>
        </w:trPr>
        <w:tc>
          <w:tcPr>
            <w:tcW w:w="1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0F38F1" w14:textId="77777777" w:rsidR="0089455A" w:rsidRPr="00737D6A" w:rsidRDefault="0089455A">
            <w:pPr>
              <w:rPr>
                <w:rFonts w:asciiTheme="majorHAnsi" w:eastAsia="Times New Roman" w:hAnsiTheme="majorHAnsi" w:cstheme="majorHAnsi"/>
                <w:b/>
                <w:sz w:val="20"/>
                <w:szCs w:val="20"/>
              </w:rPr>
            </w:pPr>
            <w:r w:rsidRPr="00737D6A">
              <w:rPr>
                <w:rFonts w:asciiTheme="majorHAnsi" w:eastAsia="Times New Roman" w:hAnsiTheme="majorHAnsi" w:cstheme="majorHAnsi"/>
                <w:b/>
                <w:sz w:val="20"/>
                <w:szCs w:val="20"/>
              </w:rPr>
              <w:t>Climate</w:t>
            </w:r>
          </w:p>
          <w:p w14:paraId="4E0856CF" w14:textId="77777777" w:rsidR="0089455A" w:rsidRPr="00737D6A" w:rsidRDefault="0089455A">
            <w:pPr>
              <w:rPr>
                <w:rFonts w:asciiTheme="majorHAnsi" w:eastAsia="Times New Roman" w:hAnsiTheme="majorHAnsi" w:cstheme="majorHAnsi"/>
                <w:b/>
                <w:sz w:val="20"/>
                <w:szCs w:val="20"/>
              </w:rPr>
            </w:pPr>
            <w:r w:rsidRPr="00737D6A">
              <w:rPr>
                <w:rFonts w:asciiTheme="majorHAnsi" w:eastAsia="Times New Roman" w:hAnsiTheme="majorHAnsi" w:cstheme="majorHAnsi"/>
                <w:b/>
                <w:sz w:val="20"/>
                <w:szCs w:val="20"/>
              </w:rPr>
              <w:t>Zone</w:t>
            </w:r>
          </w:p>
        </w:tc>
        <w:tc>
          <w:tcPr>
            <w:tcW w:w="176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0F71433" w14:textId="0E4A9C45" w:rsidR="0089455A" w:rsidRPr="002D57EC" w:rsidRDefault="0089455A">
            <w:pPr>
              <w:rPr>
                <w:rFonts w:asciiTheme="majorHAnsi" w:eastAsia="Times New Roman" w:hAnsiTheme="majorHAnsi" w:cstheme="majorBidi"/>
                <w:b/>
                <w:bCs/>
                <w:sz w:val="20"/>
                <w:szCs w:val="20"/>
              </w:rPr>
            </w:pPr>
            <w:r w:rsidRPr="000E623B">
              <w:rPr>
                <w:rFonts w:asciiTheme="majorHAnsi" w:eastAsia="Times New Roman" w:hAnsiTheme="majorHAnsi" w:cstheme="majorBidi"/>
                <w:b/>
                <w:bCs/>
                <w:sz w:val="20"/>
                <w:szCs w:val="20"/>
              </w:rPr>
              <w:t>Adjustment Factor for DM</w:t>
            </w:r>
            <w:r w:rsidR="00BB1509" w:rsidRPr="000E623B">
              <w:rPr>
                <w:rFonts w:asciiTheme="majorHAnsi" w:eastAsia="Times New Roman" w:hAnsiTheme="majorHAnsi" w:cstheme="majorBidi"/>
                <w:b/>
                <w:bCs/>
                <w:sz w:val="20"/>
                <w:szCs w:val="20"/>
              </w:rPr>
              <w:t>O</w:t>
            </w:r>
          </w:p>
        </w:tc>
        <w:tc>
          <w:tcPr>
            <w:tcW w:w="17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CEA991" w14:textId="5F59BF62" w:rsidR="0089455A" w:rsidRPr="002D57EC" w:rsidRDefault="0089455A">
            <w:pPr>
              <w:rPr>
                <w:rFonts w:asciiTheme="majorHAnsi" w:eastAsia="Times New Roman" w:hAnsiTheme="majorHAnsi" w:cstheme="majorBidi"/>
                <w:b/>
                <w:bCs/>
                <w:sz w:val="20"/>
                <w:szCs w:val="20"/>
              </w:rPr>
            </w:pPr>
            <w:r w:rsidRPr="000E623B">
              <w:rPr>
                <w:rFonts w:asciiTheme="majorHAnsi" w:eastAsia="Times New Roman" w:hAnsiTheme="majorHAnsi" w:cstheme="majorBidi"/>
                <w:b/>
                <w:bCs/>
                <w:sz w:val="20"/>
                <w:szCs w:val="20"/>
              </w:rPr>
              <w:t>Adjustment Factor for MF</w:t>
            </w:r>
            <w:r w:rsidR="00BB1509" w:rsidRPr="000E623B">
              <w:rPr>
                <w:rFonts w:asciiTheme="majorHAnsi" w:eastAsia="Times New Roman" w:hAnsiTheme="majorHAnsi" w:cstheme="majorBidi"/>
                <w:b/>
                <w:bCs/>
                <w:sz w:val="20"/>
                <w:szCs w:val="20"/>
              </w:rPr>
              <w:t>M</w:t>
            </w:r>
          </w:p>
        </w:tc>
      </w:tr>
      <w:tr w:rsidR="00CE568D" w:rsidRPr="00737D6A" w14:paraId="0E2E6C00"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3BC1A4DF"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EC453" w14:textId="65E72A2A" w:rsidR="00CE568D" w:rsidRPr="0070364C" w:rsidRDefault="00CE568D" w:rsidP="00CE568D">
            <w:pPr>
              <w:rPr>
                <w:rFonts w:asciiTheme="majorHAnsi" w:eastAsia="Times New Roman" w:hAnsiTheme="majorHAnsi" w:cstheme="majorHAnsi"/>
                <w:sz w:val="20"/>
                <w:szCs w:val="20"/>
              </w:rPr>
            </w:pPr>
            <w:r w:rsidRPr="0009168C">
              <w:rPr>
                <w:sz w:val="20"/>
                <w:szCs w:val="20"/>
              </w:rPr>
              <w:t>0.46</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E584E" w14:textId="70498703" w:rsidR="00CE568D" w:rsidRPr="0070364C" w:rsidRDefault="00CE568D" w:rsidP="00CE568D">
            <w:pPr>
              <w:rPr>
                <w:rFonts w:asciiTheme="majorHAnsi" w:eastAsia="Times New Roman" w:hAnsiTheme="majorHAnsi" w:cstheme="majorHAnsi"/>
                <w:sz w:val="20"/>
                <w:szCs w:val="20"/>
              </w:rPr>
            </w:pPr>
            <w:r w:rsidRPr="0009168C">
              <w:rPr>
                <w:sz w:val="20"/>
                <w:szCs w:val="20"/>
              </w:rPr>
              <w:t>0.96</w:t>
            </w:r>
          </w:p>
        </w:tc>
      </w:tr>
      <w:tr w:rsidR="00CE568D" w:rsidRPr="00737D6A" w14:paraId="54D3AB36"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25F1F04D"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C8B92" w14:textId="4FCD84A9" w:rsidR="00CE568D" w:rsidRPr="0070364C" w:rsidRDefault="00CE568D" w:rsidP="00CE568D">
            <w:pPr>
              <w:rPr>
                <w:rFonts w:asciiTheme="majorHAnsi" w:eastAsia="Times New Roman" w:hAnsiTheme="majorHAnsi" w:cstheme="majorHAnsi"/>
                <w:sz w:val="20"/>
                <w:szCs w:val="20"/>
              </w:rPr>
            </w:pPr>
            <w:r w:rsidRPr="0009168C">
              <w:rPr>
                <w:sz w:val="20"/>
                <w:szCs w:val="20"/>
              </w:rPr>
              <w:t>0.86</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33277" w14:textId="1A6729EE" w:rsidR="00CE568D" w:rsidRPr="0070364C" w:rsidRDefault="00CE568D" w:rsidP="00CE568D">
            <w:pPr>
              <w:rPr>
                <w:rFonts w:asciiTheme="majorHAnsi" w:eastAsia="Times New Roman" w:hAnsiTheme="majorHAnsi" w:cstheme="majorHAnsi"/>
                <w:sz w:val="20"/>
                <w:szCs w:val="20"/>
              </w:rPr>
            </w:pPr>
            <w:r w:rsidRPr="0009168C">
              <w:rPr>
                <w:sz w:val="20"/>
                <w:szCs w:val="20"/>
              </w:rPr>
              <w:t>0.79</w:t>
            </w:r>
          </w:p>
        </w:tc>
      </w:tr>
      <w:tr w:rsidR="00CE568D" w:rsidRPr="00737D6A" w14:paraId="205BE692"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575C285B"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lastRenderedPageBreak/>
              <w:t>CZ03</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520ED" w14:textId="02C03D79" w:rsidR="00CE568D" w:rsidRPr="0070364C" w:rsidRDefault="00CE568D" w:rsidP="00CE568D">
            <w:pPr>
              <w:rPr>
                <w:rFonts w:asciiTheme="majorHAnsi" w:eastAsia="Times New Roman" w:hAnsiTheme="majorHAnsi" w:cstheme="majorHAnsi"/>
                <w:sz w:val="20"/>
                <w:szCs w:val="20"/>
              </w:rPr>
            </w:pPr>
            <w:r w:rsidRPr="0009168C">
              <w:rPr>
                <w:sz w:val="20"/>
                <w:szCs w:val="20"/>
              </w:rPr>
              <w:t>0.87</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CCCDB" w14:textId="2402EC4D" w:rsidR="00CE568D" w:rsidRPr="0070364C" w:rsidRDefault="00CE568D" w:rsidP="00CE568D">
            <w:pPr>
              <w:rPr>
                <w:rFonts w:asciiTheme="majorHAnsi" w:eastAsia="Times New Roman" w:hAnsiTheme="majorHAnsi" w:cstheme="majorHAnsi"/>
                <w:sz w:val="20"/>
                <w:szCs w:val="20"/>
              </w:rPr>
            </w:pPr>
            <w:r w:rsidRPr="0009168C">
              <w:rPr>
                <w:sz w:val="20"/>
                <w:szCs w:val="20"/>
              </w:rPr>
              <w:t>0.72</w:t>
            </w:r>
          </w:p>
        </w:tc>
      </w:tr>
      <w:tr w:rsidR="00CE568D" w:rsidRPr="00737D6A" w14:paraId="6D9A2803"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00A92FEE"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07C79" w14:textId="1F30194C" w:rsidR="00CE568D" w:rsidRPr="0070364C" w:rsidRDefault="00CE568D" w:rsidP="00CE568D">
            <w:pPr>
              <w:rPr>
                <w:rFonts w:asciiTheme="majorHAnsi" w:eastAsia="Times New Roman" w:hAnsiTheme="majorHAnsi" w:cstheme="majorHAnsi"/>
                <w:sz w:val="20"/>
                <w:szCs w:val="20"/>
              </w:rPr>
            </w:pPr>
            <w:r w:rsidRPr="0009168C">
              <w:rPr>
                <w:sz w:val="20"/>
                <w:szCs w:val="20"/>
              </w:rPr>
              <w:t>0.88</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424F2" w14:textId="1347427E" w:rsidR="00CE568D" w:rsidRPr="0070364C" w:rsidRDefault="00CE568D" w:rsidP="00CE568D">
            <w:pPr>
              <w:rPr>
                <w:rFonts w:asciiTheme="majorHAnsi" w:eastAsia="Times New Roman" w:hAnsiTheme="majorHAnsi" w:cstheme="majorHAnsi"/>
                <w:sz w:val="20"/>
                <w:szCs w:val="20"/>
              </w:rPr>
            </w:pPr>
            <w:r w:rsidRPr="0009168C">
              <w:rPr>
                <w:sz w:val="20"/>
                <w:szCs w:val="20"/>
              </w:rPr>
              <w:t>0.95</w:t>
            </w:r>
          </w:p>
        </w:tc>
      </w:tr>
      <w:tr w:rsidR="00CE568D" w:rsidRPr="00737D6A" w14:paraId="782E364B"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4DFDDB99"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E54A0" w14:textId="2FCE92FF" w:rsidR="00CE568D" w:rsidRPr="0070364C" w:rsidRDefault="00CE568D" w:rsidP="00CE568D">
            <w:pPr>
              <w:rPr>
                <w:rFonts w:asciiTheme="majorHAnsi" w:eastAsia="Times New Roman" w:hAnsiTheme="majorHAnsi" w:cstheme="majorHAnsi"/>
                <w:sz w:val="20"/>
                <w:szCs w:val="20"/>
              </w:rPr>
            </w:pPr>
            <w:r w:rsidRPr="0009168C">
              <w:rPr>
                <w:sz w:val="20"/>
                <w:szCs w:val="20"/>
              </w:rPr>
              <w:t>0.94</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14202" w14:textId="22EA1575" w:rsidR="00CE568D" w:rsidRPr="0070364C" w:rsidRDefault="00CE568D" w:rsidP="00CE568D">
            <w:pPr>
              <w:rPr>
                <w:rFonts w:asciiTheme="majorHAnsi" w:eastAsia="Times New Roman" w:hAnsiTheme="majorHAnsi" w:cstheme="majorHAnsi"/>
                <w:sz w:val="20"/>
                <w:szCs w:val="20"/>
              </w:rPr>
            </w:pPr>
            <w:r w:rsidRPr="0009168C">
              <w:rPr>
                <w:sz w:val="20"/>
                <w:szCs w:val="20"/>
              </w:rPr>
              <w:t>0.57</w:t>
            </w:r>
          </w:p>
        </w:tc>
      </w:tr>
      <w:tr w:rsidR="00CE568D" w:rsidRPr="00737D6A" w14:paraId="41EB3516"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1FE5C6D8"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A2003" w14:textId="0945F4A9" w:rsidR="00CE568D" w:rsidRPr="0070364C" w:rsidRDefault="00CE568D" w:rsidP="00CE568D">
            <w:pPr>
              <w:rPr>
                <w:rFonts w:asciiTheme="majorHAnsi" w:eastAsia="Times New Roman" w:hAnsiTheme="majorHAnsi" w:cstheme="majorHAnsi"/>
                <w:sz w:val="20"/>
                <w:szCs w:val="20"/>
              </w:rPr>
            </w:pPr>
            <w:r w:rsidRPr="0009168C">
              <w:rPr>
                <w:sz w:val="20"/>
                <w:szCs w:val="20"/>
              </w:rPr>
              <w:t>1.40</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B013D" w14:textId="5BC7B1FD" w:rsidR="00CE568D" w:rsidRPr="0070364C" w:rsidRDefault="00CE568D" w:rsidP="00CE568D">
            <w:pPr>
              <w:rPr>
                <w:rFonts w:asciiTheme="majorHAnsi" w:eastAsia="Times New Roman" w:hAnsiTheme="majorHAnsi" w:cstheme="majorHAnsi"/>
                <w:sz w:val="20"/>
                <w:szCs w:val="20"/>
              </w:rPr>
            </w:pPr>
            <w:r w:rsidRPr="0009168C">
              <w:rPr>
                <w:sz w:val="20"/>
                <w:szCs w:val="20"/>
              </w:rPr>
              <w:t>0.85</w:t>
            </w:r>
          </w:p>
        </w:tc>
      </w:tr>
      <w:tr w:rsidR="00CE568D" w:rsidRPr="00737D6A" w14:paraId="692FC8DB"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7760621C"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0B333" w14:textId="17041267" w:rsidR="00CE568D" w:rsidRPr="0070364C" w:rsidRDefault="00CE568D" w:rsidP="00CE568D">
            <w:pPr>
              <w:rPr>
                <w:rFonts w:asciiTheme="majorHAnsi" w:eastAsia="Times New Roman" w:hAnsiTheme="majorHAnsi" w:cstheme="majorHAnsi"/>
                <w:sz w:val="20"/>
                <w:szCs w:val="20"/>
              </w:rPr>
            </w:pPr>
            <w:r w:rsidRPr="0009168C">
              <w:rPr>
                <w:sz w:val="20"/>
                <w:szCs w:val="20"/>
              </w:rPr>
              <w:t>0.74</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77C12" w14:textId="1242A494" w:rsidR="00CE568D" w:rsidRPr="0070364C" w:rsidRDefault="00CE568D" w:rsidP="00CE568D">
            <w:pPr>
              <w:rPr>
                <w:rFonts w:asciiTheme="majorHAnsi" w:eastAsia="Times New Roman" w:hAnsiTheme="majorHAnsi" w:cstheme="majorHAnsi"/>
                <w:sz w:val="20"/>
                <w:szCs w:val="20"/>
              </w:rPr>
            </w:pPr>
            <w:r w:rsidRPr="0009168C">
              <w:rPr>
                <w:sz w:val="20"/>
                <w:szCs w:val="20"/>
              </w:rPr>
              <w:t>1.02</w:t>
            </w:r>
          </w:p>
        </w:tc>
      </w:tr>
      <w:tr w:rsidR="00CE568D" w:rsidRPr="00737D6A" w14:paraId="4237AD09"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69395F62"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CZ08</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D2D08" w14:textId="21B08D38" w:rsidR="00CE568D" w:rsidRPr="0070364C" w:rsidRDefault="00CE568D" w:rsidP="00CE568D">
            <w:pPr>
              <w:rPr>
                <w:rFonts w:asciiTheme="majorHAnsi" w:eastAsia="Times New Roman" w:hAnsiTheme="majorHAnsi" w:cstheme="majorHAnsi"/>
                <w:sz w:val="20"/>
                <w:szCs w:val="20"/>
              </w:rPr>
            </w:pPr>
            <w:r w:rsidRPr="0009168C">
              <w:rPr>
                <w:sz w:val="20"/>
                <w:szCs w:val="20"/>
              </w:rPr>
              <w:t>0.97</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58477" w14:textId="0D2673D0" w:rsidR="00CE568D" w:rsidRPr="0070364C" w:rsidRDefault="00CE568D" w:rsidP="00CE568D">
            <w:pPr>
              <w:rPr>
                <w:rFonts w:asciiTheme="majorHAnsi" w:eastAsia="Times New Roman" w:hAnsiTheme="majorHAnsi" w:cstheme="majorHAnsi"/>
                <w:sz w:val="20"/>
                <w:szCs w:val="20"/>
              </w:rPr>
            </w:pPr>
            <w:r w:rsidRPr="0009168C">
              <w:rPr>
                <w:sz w:val="20"/>
                <w:szCs w:val="20"/>
              </w:rPr>
              <w:t>0.84</w:t>
            </w:r>
          </w:p>
        </w:tc>
      </w:tr>
      <w:tr w:rsidR="00CE568D" w:rsidRPr="00737D6A" w14:paraId="1F325237"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6CF60A02"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CZ09</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AE377" w14:textId="1735BD92" w:rsidR="00CE568D" w:rsidRPr="0070364C" w:rsidRDefault="00CE568D" w:rsidP="00CE568D">
            <w:pPr>
              <w:rPr>
                <w:rFonts w:asciiTheme="majorHAnsi" w:eastAsia="Times New Roman" w:hAnsiTheme="majorHAnsi" w:cstheme="majorHAnsi"/>
                <w:sz w:val="20"/>
                <w:szCs w:val="20"/>
              </w:rPr>
            </w:pPr>
            <w:r w:rsidRPr="0009168C">
              <w:rPr>
                <w:sz w:val="20"/>
                <w:szCs w:val="20"/>
              </w:rPr>
              <w:t>0.97</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52613" w14:textId="03B636B3" w:rsidR="00CE568D" w:rsidRPr="0070364C" w:rsidRDefault="00CE568D" w:rsidP="00CE568D">
            <w:pPr>
              <w:rPr>
                <w:rFonts w:asciiTheme="majorHAnsi" w:eastAsia="Times New Roman" w:hAnsiTheme="majorHAnsi" w:cstheme="majorHAnsi"/>
                <w:sz w:val="20"/>
                <w:szCs w:val="20"/>
              </w:rPr>
            </w:pPr>
            <w:r w:rsidRPr="0009168C">
              <w:rPr>
                <w:sz w:val="20"/>
                <w:szCs w:val="20"/>
              </w:rPr>
              <w:t>0.98</w:t>
            </w:r>
          </w:p>
        </w:tc>
      </w:tr>
      <w:tr w:rsidR="00CE568D" w:rsidRPr="00737D6A" w14:paraId="1CF16BAC"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6888BB01"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CZ10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B09F3" w14:textId="005D2E66" w:rsidR="00CE568D" w:rsidRPr="0070364C" w:rsidRDefault="00CE568D" w:rsidP="00CE568D">
            <w:pPr>
              <w:rPr>
                <w:rFonts w:asciiTheme="majorHAnsi" w:eastAsia="Times New Roman" w:hAnsiTheme="majorHAnsi" w:cstheme="majorHAnsi"/>
                <w:sz w:val="20"/>
                <w:szCs w:val="20"/>
              </w:rPr>
            </w:pPr>
            <w:r w:rsidRPr="0009168C">
              <w:rPr>
                <w:sz w:val="20"/>
                <w:szCs w:val="20"/>
              </w:rPr>
              <w:t>1.06</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9A164" w14:textId="11C9A978" w:rsidR="00CE568D" w:rsidRPr="0070364C" w:rsidRDefault="00CE568D" w:rsidP="00CE568D">
            <w:pPr>
              <w:rPr>
                <w:rFonts w:asciiTheme="majorHAnsi" w:eastAsia="Times New Roman" w:hAnsiTheme="majorHAnsi" w:cstheme="majorHAnsi"/>
                <w:sz w:val="20"/>
                <w:szCs w:val="20"/>
              </w:rPr>
            </w:pPr>
            <w:r w:rsidRPr="0009168C">
              <w:rPr>
                <w:sz w:val="20"/>
                <w:szCs w:val="20"/>
              </w:rPr>
              <w:t>0.72</w:t>
            </w:r>
          </w:p>
        </w:tc>
      </w:tr>
      <w:tr w:rsidR="00CE568D" w:rsidRPr="00737D6A" w14:paraId="5AC0FBAF"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74BC6026"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CZ11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19A9F" w14:textId="00770CBB" w:rsidR="00CE568D" w:rsidRPr="0070364C" w:rsidRDefault="00CE568D" w:rsidP="00CE568D">
            <w:pPr>
              <w:rPr>
                <w:rFonts w:asciiTheme="majorHAnsi" w:eastAsia="Times New Roman" w:hAnsiTheme="majorHAnsi" w:cstheme="majorHAnsi"/>
                <w:sz w:val="20"/>
                <w:szCs w:val="20"/>
              </w:rPr>
            </w:pPr>
            <w:r w:rsidRPr="0009168C">
              <w:rPr>
                <w:sz w:val="20"/>
                <w:szCs w:val="20"/>
              </w:rPr>
              <w:t>1.31</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5B9AE" w14:textId="72302340" w:rsidR="00CE568D" w:rsidRPr="0070364C" w:rsidRDefault="00CE568D" w:rsidP="00CE568D">
            <w:pPr>
              <w:rPr>
                <w:rFonts w:asciiTheme="majorHAnsi" w:eastAsia="Times New Roman" w:hAnsiTheme="majorHAnsi" w:cstheme="majorHAnsi"/>
                <w:sz w:val="20"/>
                <w:szCs w:val="20"/>
              </w:rPr>
            </w:pPr>
            <w:r w:rsidRPr="0009168C">
              <w:rPr>
                <w:sz w:val="20"/>
                <w:szCs w:val="20"/>
              </w:rPr>
              <w:t>1.53</w:t>
            </w:r>
          </w:p>
        </w:tc>
      </w:tr>
      <w:tr w:rsidR="00CE568D" w:rsidRPr="00737D6A" w14:paraId="2B259963"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3884609C"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CZ12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B1A10" w14:textId="3BC53EED" w:rsidR="00CE568D" w:rsidRPr="0070364C" w:rsidRDefault="00CE568D" w:rsidP="00CE568D">
            <w:pPr>
              <w:rPr>
                <w:rFonts w:asciiTheme="majorHAnsi" w:eastAsia="Times New Roman" w:hAnsiTheme="majorHAnsi" w:cstheme="majorHAnsi"/>
                <w:sz w:val="20"/>
                <w:szCs w:val="20"/>
              </w:rPr>
            </w:pPr>
            <w:r w:rsidRPr="0009168C">
              <w:rPr>
                <w:sz w:val="20"/>
                <w:szCs w:val="20"/>
              </w:rPr>
              <w:t>1.25</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3A60A" w14:textId="190BD840" w:rsidR="00CE568D" w:rsidRPr="0070364C" w:rsidRDefault="00CE568D" w:rsidP="00CE568D">
            <w:pPr>
              <w:rPr>
                <w:rFonts w:asciiTheme="majorHAnsi" w:eastAsia="Times New Roman" w:hAnsiTheme="majorHAnsi" w:cstheme="majorHAnsi"/>
                <w:sz w:val="20"/>
                <w:szCs w:val="20"/>
              </w:rPr>
            </w:pPr>
            <w:r w:rsidRPr="0009168C">
              <w:rPr>
                <w:sz w:val="20"/>
                <w:szCs w:val="20"/>
              </w:rPr>
              <w:t>1.31</w:t>
            </w:r>
          </w:p>
        </w:tc>
      </w:tr>
      <w:tr w:rsidR="00CE568D" w:rsidRPr="00737D6A" w14:paraId="25F58E1D"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5C7A36F1"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CZ13</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A9C6F" w14:textId="7673D408" w:rsidR="00CE568D" w:rsidRPr="0070364C" w:rsidRDefault="00CE568D" w:rsidP="00CE568D">
            <w:pPr>
              <w:rPr>
                <w:rFonts w:asciiTheme="majorHAnsi" w:eastAsia="Times New Roman" w:hAnsiTheme="majorHAnsi" w:cstheme="majorHAnsi"/>
                <w:sz w:val="20"/>
                <w:szCs w:val="20"/>
              </w:rPr>
            </w:pPr>
            <w:r w:rsidRPr="0009168C">
              <w:rPr>
                <w:sz w:val="20"/>
                <w:szCs w:val="20"/>
              </w:rPr>
              <w:t>1.13</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022D7" w14:textId="549A2D5E" w:rsidR="00CE568D" w:rsidRPr="0070364C" w:rsidRDefault="00CE568D" w:rsidP="00CE568D">
            <w:pPr>
              <w:rPr>
                <w:rFonts w:asciiTheme="majorHAnsi" w:eastAsia="Times New Roman" w:hAnsiTheme="majorHAnsi" w:cstheme="majorHAnsi"/>
                <w:sz w:val="20"/>
                <w:szCs w:val="20"/>
              </w:rPr>
            </w:pPr>
            <w:r w:rsidRPr="0009168C">
              <w:rPr>
                <w:sz w:val="20"/>
                <w:szCs w:val="20"/>
              </w:rPr>
              <w:t>1.29</w:t>
            </w:r>
          </w:p>
        </w:tc>
      </w:tr>
      <w:tr w:rsidR="00CE568D" w:rsidRPr="00737D6A" w14:paraId="51DF6D88"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5859B99D" w14:textId="77777777" w:rsidR="00CE568D" w:rsidRPr="0070364C" w:rsidRDefault="00CE568D" w:rsidP="00CE568D">
            <w:pPr>
              <w:rPr>
                <w:rFonts w:asciiTheme="majorHAnsi" w:eastAsia="Times New Roman" w:hAnsiTheme="majorHAnsi" w:cstheme="majorHAnsi"/>
                <w:sz w:val="20"/>
                <w:szCs w:val="20"/>
              </w:rPr>
            </w:pPr>
            <w:r w:rsidRPr="0070364C">
              <w:rPr>
                <w:rFonts w:asciiTheme="majorHAnsi" w:eastAsia="Times New Roman" w:hAnsiTheme="majorHAnsi" w:cstheme="majorHAnsi"/>
                <w:sz w:val="20"/>
                <w:szCs w:val="20"/>
              </w:rPr>
              <w:t>CZ14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29607" w14:textId="39CB4FBB" w:rsidR="00CE568D" w:rsidRPr="0070364C" w:rsidRDefault="00CE568D" w:rsidP="00CE568D">
            <w:pPr>
              <w:rPr>
                <w:rFonts w:asciiTheme="majorHAnsi" w:eastAsia="Times New Roman" w:hAnsiTheme="majorHAnsi" w:cstheme="majorHAnsi"/>
                <w:sz w:val="20"/>
                <w:szCs w:val="20"/>
              </w:rPr>
            </w:pPr>
            <w:r w:rsidRPr="0009168C">
              <w:rPr>
                <w:sz w:val="20"/>
                <w:szCs w:val="20"/>
              </w:rPr>
              <w:t>0.77</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243CB" w14:textId="47BE97F1" w:rsidR="00CE568D" w:rsidRPr="0070364C" w:rsidRDefault="00CE568D" w:rsidP="00CE568D">
            <w:pPr>
              <w:rPr>
                <w:rFonts w:asciiTheme="majorHAnsi" w:eastAsia="Times New Roman" w:hAnsiTheme="majorHAnsi" w:cstheme="majorHAnsi"/>
                <w:sz w:val="20"/>
                <w:szCs w:val="20"/>
              </w:rPr>
            </w:pPr>
            <w:r w:rsidRPr="0009168C">
              <w:rPr>
                <w:sz w:val="20"/>
                <w:szCs w:val="20"/>
              </w:rPr>
              <w:t>1.18</w:t>
            </w:r>
          </w:p>
        </w:tc>
      </w:tr>
      <w:tr w:rsidR="00CE568D" w:rsidRPr="00737D6A" w14:paraId="032874C8"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0379C963" w14:textId="77777777" w:rsidR="00CE568D" w:rsidRPr="0070364C" w:rsidRDefault="00CE568D" w:rsidP="00CE568D">
            <w:pPr>
              <w:rPr>
                <w:rFonts w:asciiTheme="majorHAnsi" w:eastAsia="Times New Roman" w:hAnsiTheme="majorHAnsi" w:cstheme="majorHAnsi"/>
                <w:color w:val="auto"/>
                <w:sz w:val="20"/>
                <w:szCs w:val="20"/>
              </w:rPr>
            </w:pPr>
            <w:r w:rsidRPr="0070364C">
              <w:rPr>
                <w:rFonts w:asciiTheme="majorHAnsi" w:eastAsia="Times New Roman" w:hAnsiTheme="majorHAnsi" w:cstheme="majorHAnsi"/>
                <w:color w:val="auto"/>
                <w:sz w:val="20"/>
                <w:szCs w:val="20"/>
              </w:rPr>
              <w:t>CZ15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F84C6" w14:textId="75D7DEAD" w:rsidR="00CE568D" w:rsidRPr="0070364C" w:rsidRDefault="00CE568D" w:rsidP="00CE568D">
            <w:pPr>
              <w:rPr>
                <w:rFonts w:asciiTheme="majorHAnsi" w:eastAsia="Times New Roman" w:hAnsiTheme="majorHAnsi" w:cstheme="majorHAnsi"/>
                <w:color w:val="auto"/>
                <w:sz w:val="20"/>
                <w:szCs w:val="20"/>
              </w:rPr>
            </w:pPr>
            <w:r w:rsidRPr="0009168C">
              <w:rPr>
                <w:sz w:val="20"/>
                <w:szCs w:val="20"/>
              </w:rPr>
              <w:t>1.24</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58768" w14:textId="758682CA" w:rsidR="00CE568D" w:rsidRPr="0070364C" w:rsidRDefault="00CE568D" w:rsidP="00CE568D">
            <w:pPr>
              <w:rPr>
                <w:rFonts w:asciiTheme="majorHAnsi" w:eastAsia="Times New Roman" w:hAnsiTheme="majorHAnsi" w:cstheme="majorHAnsi"/>
                <w:color w:val="auto"/>
                <w:sz w:val="20"/>
                <w:szCs w:val="20"/>
              </w:rPr>
            </w:pPr>
            <w:r w:rsidRPr="0009168C">
              <w:rPr>
                <w:sz w:val="20"/>
                <w:szCs w:val="20"/>
              </w:rPr>
              <w:t>1.23</w:t>
            </w:r>
          </w:p>
        </w:tc>
      </w:tr>
      <w:tr w:rsidR="00CE568D" w:rsidRPr="00737D6A" w14:paraId="07873D07" w14:textId="77777777" w:rsidTr="0009168C">
        <w:trPr>
          <w:trHeight w:val="300"/>
          <w:jc w:val="center"/>
        </w:trPr>
        <w:tc>
          <w:tcPr>
            <w:tcW w:w="1768" w:type="dxa"/>
            <w:tcBorders>
              <w:top w:val="nil"/>
              <w:left w:val="single" w:sz="4" w:space="0" w:color="auto"/>
              <w:bottom w:val="single" w:sz="4" w:space="0" w:color="auto"/>
              <w:right w:val="single" w:sz="4" w:space="0" w:color="auto"/>
            </w:tcBorders>
            <w:shd w:val="clear" w:color="auto" w:fill="auto"/>
            <w:noWrap/>
            <w:vAlign w:val="center"/>
            <w:hideMark/>
          </w:tcPr>
          <w:p w14:paraId="4214C185" w14:textId="77777777" w:rsidR="00CE568D" w:rsidRPr="0070364C" w:rsidRDefault="00CE568D" w:rsidP="00CE568D">
            <w:pPr>
              <w:rPr>
                <w:rFonts w:asciiTheme="majorHAnsi" w:eastAsia="Times New Roman" w:hAnsiTheme="majorHAnsi" w:cstheme="majorHAnsi"/>
                <w:color w:val="auto"/>
                <w:sz w:val="20"/>
                <w:szCs w:val="20"/>
              </w:rPr>
            </w:pPr>
            <w:r w:rsidRPr="0070364C">
              <w:rPr>
                <w:rFonts w:asciiTheme="majorHAnsi" w:eastAsia="Times New Roman" w:hAnsiTheme="majorHAnsi" w:cstheme="majorHAnsi"/>
                <w:color w:val="auto"/>
                <w:sz w:val="20"/>
                <w:szCs w:val="20"/>
              </w:rPr>
              <w:t>CZ16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0F33F" w14:textId="4454679C" w:rsidR="00CE568D" w:rsidRPr="0070364C" w:rsidRDefault="00CE568D" w:rsidP="00CE568D">
            <w:pPr>
              <w:rPr>
                <w:rFonts w:asciiTheme="majorHAnsi" w:eastAsia="Times New Roman" w:hAnsiTheme="majorHAnsi" w:cstheme="majorHAnsi"/>
                <w:color w:val="auto"/>
                <w:sz w:val="20"/>
                <w:szCs w:val="20"/>
              </w:rPr>
            </w:pPr>
            <w:r w:rsidRPr="0009168C">
              <w:rPr>
                <w:sz w:val="20"/>
                <w:szCs w:val="20"/>
              </w:rPr>
              <w:t>1.89</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07FE5" w14:textId="7517989F" w:rsidR="00CE568D" w:rsidRPr="0070364C" w:rsidRDefault="00CE568D" w:rsidP="00CE568D">
            <w:pPr>
              <w:rPr>
                <w:rFonts w:asciiTheme="majorHAnsi" w:eastAsia="Times New Roman" w:hAnsiTheme="majorHAnsi" w:cstheme="majorHAnsi"/>
                <w:color w:val="auto"/>
                <w:sz w:val="20"/>
                <w:szCs w:val="20"/>
              </w:rPr>
            </w:pPr>
            <w:r w:rsidRPr="0009168C">
              <w:rPr>
                <w:sz w:val="20"/>
                <w:szCs w:val="20"/>
              </w:rPr>
              <w:t>1.53</w:t>
            </w:r>
          </w:p>
        </w:tc>
      </w:tr>
    </w:tbl>
    <w:p w14:paraId="3D381134" w14:textId="0A979972" w:rsidR="0089455A" w:rsidRPr="00737D6A" w:rsidRDefault="0089455A">
      <w:pPr>
        <w:pStyle w:val="Normal1"/>
        <w:spacing w:line="276" w:lineRule="auto"/>
        <w:rPr>
          <w:rFonts w:asciiTheme="majorHAnsi" w:hAnsiTheme="majorHAnsi" w:cstheme="majorHAnsi"/>
          <w:b/>
        </w:rPr>
      </w:pPr>
    </w:p>
    <w:p w14:paraId="6267809B" w14:textId="2546FA82" w:rsidR="0098771A" w:rsidRDefault="0098771A">
      <w:pPr>
        <w:rPr>
          <w:rFonts w:asciiTheme="majorHAnsi" w:hAnsiTheme="majorHAnsi" w:cstheme="majorBidi"/>
        </w:rPr>
      </w:pPr>
      <w:r w:rsidRPr="000E623B">
        <w:rPr>
          <w:rFonts w:asciiTheme="majorHAnsi" w:hAnsiTheme="majorHAnsi" w:cstheme="majorBidi"/>
        </w:rPr>
        <w:t xml:space="preserve">Attachment </w:t>
      </w:r>
      <w:r w:rsidR="003927FE" w:rsidRPr="000E623B">
        <w:rPr>
          <w:rFonts w:asciiTheme="majorHAnsi" w:hAnsiTheme="majorHAnsi" w:cstheme="majorBidi"/>
        </w:rPr>
        <w:t>4</w:t>
      </w:r>
      <w:r w:rsidRPr="000E623B">
        <w:rPr>
          <w:rFonts w:asciiTheme="majorHAnsi" w:hAnsiTheme="majorHAnsi" w:cstheme="majorBidi"/>
        </w:rPr>
        <w:t xml:space="preserve"> </w:t>
      </w:r>
      <w:r w:rsidR="00CE13B2">
        <w:rPr>
          <w:rFonts w:asciiTheme="majorHAnsi" w:hAnsiTheme="majorHAnsi" w:cstheme="majorBidi"/>
        </w:rPr>
        <w:t xml:space="preserve">and 13 </w:t>
      </w:r>
      <w:r w:rsidRPr="000E623B">
        <w:rPr>
          <w:rFonts w:asciiTheme="majorHAnsi" w:hAnsiTheme="majorHAnsi" w:cstheme="majorBidi"/>
        </w:rPr>
        <w:t xml:space="preserve">detail </w:t>
      </w:r>
      <w:r w:rsidR="00FD262A" w:rsidRPr="000E623B">
        <w:rPr>
          <w:rFonts w:asciiTheme="majorHAnsi" w:hAnsiTheme="majorHAnsi" w:cstheme="majorBidi"/>
        </w:rPr>
        <w:t>methodology</w:t>
      </w:r>
      <w:r w:rsidRPr="000E623B">
        <w:rPr>
          <w:rFonts w:asciiTheme="majorHAnsi" w:hAnsiTheme="majorHAnsi" w:cstheme="majorBidi"/>
        </w:rPr>
        <w:t xml:space="preserve"> and procedures used for estimating these scaling factor</w:t>
      </w:r>
      <w:r w:rsidR="00CE13B2">
        <w:rPr>
          <w:rFonts w:asciiTheme="majorHAnsi" w:hAnsiTheme="majorHAnsi" w:cstheme="majorBidi"/>
        </w:rPr>
        <w:t>s</w:t>
      </w:r>
      <w:r w:rsidRPr="000E623B">
        <w:rPr>
          <w:rFonts w:asciiTheme="majorHAnsi" w:hAnsiTheme="majorHAnsi" w:cstheme="majorBidi"/>
        </w:rPr>
        <w:t xml:space="preserve">. </w:t>
      </w:r>
    </w:p>
    <w:p w14:paraId="34FA5C49" w14:textId="03B31BB0" w:rsidR="00B4223C" w:rsidRDefault="00B4223C">
      <w:pPr>
        <w:rPr>
          <w:rFonts w:asciiTheme="majorHAnsi" w:hAnsiTheme="majorHAnsi" w:cstheme="majorBidi"/>
        </w:rPr>
      </w:pPr>
    </w:p>
    <w:p w14:paraId="0939E723" w14:textId="6F315188" w:rsidR="00B4223C" w:rsidRPr="002D57EC" w:rsidRDefault="00B4223C">
      <w:pPr>
        <w:rPr>
          <w:rFonts w:asciiTheme="majorHAnsi" w:hAnsiTheme="majorHAnsi" w:cstheme="majorBidi"/>
        </w:rPr>
      </w:pPr>
      <w:r>
        <w:rPr>
          <w:rFonts w:asciiTheme="majorHAnsi" w:hAnsiTheme="majorHAnsi" w:cstheme="majorBidi"/>
        </w:rPr>
        <w:t xml:space="preserve">As with </w:t>
      </w:r>
      <w:r w:rsidRPr="00C470E5">
        <w:rPr>
          <w:rFonts w:asciiTheme="majorHAnsi" w:hAnsiTheme="majorHAnsi" w:cstheme="majorHAnsi"/>
        </w:rPr>
        <w:t>SCE17HC054 Rev</w:t>
      </w:r>
      <w:r w:rsidR="0031686B">
        <w:rPr>
          <w:rFonts w:asciiTheme="majorHAnsi" w:hAnsiTheme="majorHAnsi" w:cstheme="majorHAnsi"/>
        </w:rPr>
        <w:t xml:space="preserve"> 0, </w:t>
      </w:r>
      <w:r w:rsidR="0031686B">
        <w:t xml:space="preserve">no peak demand reductions are included in this workpaper. </w:t>
      </w:r>
    </w:p>
    <w:p w14:paraId="0944628B" w14:textId="77777777" w:rsidR="00EE3C7D" w:rsidRPr="00737D6A" w:rsidRDefault="00EE3C7D" w:rsidP="00EE3C7D">
      <w:pPr>
        <w:rPr>
          <w:rFonts w:asciiTheme="majorHAnsi" w:hAnsiTheme="majorHAnsi" w:cstheme="majorHAnsi"/>
        </w:rPr>
      </w:pPr>
    </w:p>
    <w:p w14:paraId="48FBF789" w14:textId="7DE56AA2" w:rsidR="00EE3C7D" w:rsidRPr="00737D6A" w:rsidRDefault="00EE3C7D" w:rsidP="00EE3C7D">
      <w:pPr>
        <w:pStyle w:val="Heading2"/>
        <w:spacing w:before="0" w:after="0"/>
        <w:rPr>
          <w:rFonts w:asciiTheme="majorHAnsi" w:eastAsia="Calibri" w:hAnsiTheme="majorHAnsi" w:cstheme="majorHAnsi"/>
        </w:rPr>
      </w:pPr>
      <w:r w:rsidRPr="00737D6A">
        <w:rPr>
          <w:rFonts w:asciiTheme="majorHAnsi" w:eastAsia="Calibri" w:hAnsiTheme="majorHAnsi" w:cstheme="majorHAnsi"/>
        </w:rPr>
        <w:t>2.</w:t>
      </w:r>
      <w:r w:rsidR="00EF768A">
        <w:rPr>
          <w:rFonts w:asciiTheme="majorHAnsi" w:eastAsia="Calibri" w:hAnsiTheme="majorHAnsi" w:cstheme="majorHAnsi"/>
        </w:rPr>
        <w:t>3</w:t>
      </w:r>
      <w:r w:rsidRPr="00737D6A">
        <w:rPr>
          <w:rFonts w:asciiTheme="majorHAnsi" w:eastAsia="Calibri" w:hAnsiTheme="majorHAnsi" w:cstheme="majorHAnsi"/>
        </w:rPr>
        <w:t xml:space="preserve"> General Methods (HVAC Heating)</w:t>
      </w:r>
    </w:p>
    <w:p w14:paraId="7C7AEF69" w14:textId="79E99D75" w:rsidR="008F51AE" w:rsidRPr="00C470E5" w:rsidRDefault="008F51AE" w:rsidP="008F51AE">
      <w:pPr>
        <w:rPr>
          <w:rFonts w:asciiTheme="majorHAnsi" w:hAnsiTheme="majorHAnsi" w:cstheme="majorHAnsi"/>
        </w:rPr>
      </w:pPr>
      <w:bookmarkStart w:id="21" w:name="_1y810tw" w:colFirst="0" w:colLast="0"/>
      <w:bookmarkEnd w:id="21"/>
      <w:r w:rsidRPr="00C470E5">
        <w:rPr>
          <w:rFonts w:asciiTheme="majorHAnsi" w:hAnsiTheme="majorHAnsi" w:cstheme="majorHAnsi"/>
        </w:rPr>
        <w:t xml:space="preserve">Measure savings potential on heating (gas) in this version of the workpaper retains the gas impacts from the previous workpaper </w:t>
      </w:r>
      <w:bookmarkStart w:id="22" w:name="_Hlk1688500"/>
      <w:r w:rsidR="00CA62E1" w:rsidRPr="00C470E5">
        <w:rPr>
          <w:rFonts w:asciiTheme="majorHAnsi" w:hAnsiTheme="majorHAnsi" w:cstheme="majorHAnsi"/>
        </w:rPr>
        <w:t xml:space="preserve">SCE17HC054 Rev </w:t>
      </w:r>
      <w:r w:rsidRPr="00C470E5">
        <w:rPr>
          <w:rFonts w:asciiTheme="majorHAnsi" w:hAnsiTheme="majorHAnsi" w:cstheme="majorHAnsi"/>
        </w:rPr>
        <w:t xml:space="preserve">0 </w:t>
      </w:r>
      <w:bookmarkEnd w:id="22"/>
      <w:r w:rsidRPr="00C470E5">
        <w:rPr>
          <w:rFonts w:asciiTheme="majorHAnsi" w:hAnsiTheme="majorHAnsi" w:cstheme="majorHAnsi"/>
        </w:rPr>
        <w:t>until an additional gas impact evaluation is conducted for revised savings potentials</w:t>
      </w:r>
      <w:r w:rsidR="00CA62E1" w:rsidRPr="00C470E5">
        <w:rPr>
          <w:rFonts w:asciiTheme="majorHAnsi" w:hAnsiTheme="majorHAnsi" w:cstheme="majorHAnsi"/>
        </w:rPr>
        <w:t xml:space="preserve">. </w:t>
      </w:r>
    </w:p>
    <w:p w14:paraId="133F96D8" w14:textId="77777777" w:rsidR="008F51AE" w:rsidRPr="00C470E5" w:rsidRDefault="008F51AE" w:rsidP="008F51AE">
      <w:pPr>
        <w:rPr>
          <w:rFonts w:asciiTheme="majorHAnsi" w:hAnsiTheme="majorHAnsi" w:cstheme="majorHAnsi"/>
        </w:rPr>
      </w:pPr>
    </w:p>
    <w:p w14:paraId="098A8E26" w14:textId="0DFF1615" w:rsidR="008F51AE" w:rsidRPr="00C470E5" w:rsidRDefault="008F51AE" w:rsidP="008F51AE">
      <w:pPr>
        <w:rPr>
          <w:rFonts w:asciiTheme="majorHAnsi" w:hAnsiTheme="majorHAnsi" w:cstheme="majorHAnsi"/>
        </w:rPr>
      </w:pPr>
      <w:r w:rsidRPr="00C470E5">
        <w:rPr>
          <w:rFonts w:asciiTheme="majorHAnsi" w:hAnsiTheme="majorHAnsi" w:cstheme="majorHAnsi"/>
        </w:rPr>
        <w:t>The energy im</w:t>
      </w:r>
      <w:r w:rsidR="00CA62E1" w:rsidRPr="00C470E5">
        <w:rPr>
          <w:rFonts w:asciiTheme="majorHAnsi" w:hAnsiTheme="majorHAnsi" w:cstheme="majorHAnsi"/>
        </w:rPr>
        <w:t xml:space="preserve">pact analysis in SCE17HC054 Rev </w:t>
      </w:r>
      <w:r w:rsidRPr="00C470E5">
        <w:rPr>
          <w:rFonts w:asciiTheme="majorHAnsi" w:hAnsiTheme="majorHAnsi" w:cstheme="majorHAnsi"/>
        </w:rPr>
        <w:t>0 use</w:t>
      </w:r>
      <w:r w:rsidR="000A434F">
        <w:rPr>
          <w:rFonts w:asciiTheme="majorHAnsi" w:hAnsiTheme="majorHAnsi" w:cstheme="majorHAnsi"/>
        </w:rPr>
        <w:t>d</w:t>
      </w:r>
      <w:r w:rsidRPr="00C470E5">
        <w:rPr>
          <w:rFonts w:asciiTheme="majorHAnsi" w:hAnsiTheme="majorHAnsi" w:cstheme="majorHAnsi"/>
        </w:rPr>
        <w:t xml:space="preserve"> a fixed effects regression model and the heating setpoint data from SCT units collected by a manufacturer.   The second baseline heating savings from this analysis for 16 climate zones in single-family building provide the basis for approximating gas savings potentials in </w:t>
      </w:r>
      <w:r w:rsidR="00085E54" w:rsidRPr="00C470E5">
        <w:rPr>
          <w:rFonts w:asciiTheme="majorHAnsi" w:hAnsiTheme="majorHAnsi" w:cstheme="majorHAnsi"/>
        </w:rPr>
        <w:t>MF</w:t>
      </w:r>
      <w:r w:rsidR="00085E54">
        <w:rPr>
          <w:rFonts w:asciiTheme="majorHAnsi" w:hAnsiTheme="majorHAnsi" w:cstheme="majorHAnsi"/>
        </w:rPr>
        <w:t>m</w:t>
      </w:r>
      <w:r w:rsidR="00085E54" w:rsidRPr="00C470E5">
        <w:rPr>
          <w:rFonts w:asciiTheme="majorHAnsi" w:hAnsiTheme="majorHAnsi" w:cstheme="majorHAnsi"/>
        </w:rPr>
        <w:t xml:space="preserve"> </w:t>
      </w:r>
      <w:r w:rsidRPr="00C470E5">
        <w:rPr>
          <w:rFonts w:asciiTheme="majorHAnsi" w:hAnsiTheme="majorHAnsi" w:cstheme="majorHAnsi"/>
        </w:rPr>
        <w:t xml:space="preserve">and </w:t>
      </w:r>
      <w:r w:rsidR="00085E54" w:rsidRPr="00C470E5">
        <w:rPr>
          <w:rFonts w:asciiTheme="majorHAnsi" w:hAnsiTheme="majorHAnsi" w:cstheme="majorHAnsi"/>
        </w:rPr>
        <w:t>DM</w:t>
      </w:r>
      <w:r w:rsidR="00085E54">
        <w:rPr>
          <w:rFonts w:asciiTheme="majorHAnsi" w:hAnsiTheme="majorHAnsi" w:cstheme="majorHAnsi"/>
        </w:rPr>
        <w:t>o</w:t>
      </w:r>
      <w:r w:rsidRPr="00C470E5">
        <w:rPr>
          <w:rFonts w:asciiTheme="majorHAnsi" w:hAnsiTheme="majorHAnsi" w:cstheme="majorHAnsi"/>
        </w:rPr>
        <w:t xml:space="preserve">.  The latest Residential DEER prototypes with baseline heating consumption, shown in below table, is utilized to calculate adjustment factors and derive gas impacts for </w:t>
      </w:r>
      <w:r w:rsidR="00085E54" w:rsidRPr="00C470E5">
        <w:rPr>
          <w:rFonts w:asciiTheme="majorHAnsi" w:hAnsiTheme="majorHAnsi" w:cstheme="majorHAnsi"/>
        </w:rPr>
        <w:t>MF</w:t>
      </w:r>
      <w:r w:rsidR="00085E54">
        <w:rPr>
          <w:rFonts w:asciiTheme="majorHAnsi" w:hAnsiTheme="majorHAnsi" w:cstheme="majorHAnsi"/>
        </w:rPr>
        <w:t>m</w:t>
      </w:r>
      <w:r w:rsidR="00085E54" w:rsidRPr="00C470E5">
        <w:rPr>
          <w:rFonts w:asciiTheme="majorHAnsi" w:hAnsiTheme="majorHAnsi" w:cstheme="majorHAnsi"/>
        </w:rPr>
        <w:t xml:space="preserve"> </w:t>
      </w:r>
      <w:r w:rsidRPr="00C470E5">
        <w:rPr>
          <w:rFonts w:asciiTheme="majorHAnsi" w:hAnsiTheme="majorHAnsi" w:cstheme="majorHAnsi"/>
        </w:rPr>
        <w:t xml:space="preserve">and </w:t>
      </w:r>
      <w:r w:rsidR="00085E54" w:rsidRPr="00C470E5">
        <w:rPr>
          <w:rFonts w:asciiTheme="majorHAnsi" w:hAnsiTheme="majorHAnsi" w:cstheme="majorHAnsi"/>
        </w:rPr>
        <w:t>DM</w:t>
      </w:r>
      <w:r w:rsidR="00085E54">
        <w:rPr>
          <w:rFonts w:asciiTheme="majorHAnsi" w:hAnsiTheme="majorHAnsi" w:cstheme="majorHAnsi"/>
        </w:rPr>
        <w:t>o</w:t>
      </w:r>
      <w:r w:rsidR="00085E54" w:rsidRPr="00C470E5">
        <w:rPr>
          <w:rFonts w:asciiTheme="majorHAnsi" w:hAnsiTheme="majorHAnsi" w:cstheme="majorHAnsi"/>
        </w:rPr>
        <w:t xml:space="preserve"> </w:t>
      </w:r>
      <w:r w:rsidRPr="00C470E5">
        <w:rPr>
          <w:rFonts w:asciiTheme="majorHAnsi" w:hAnsiTheme="majorHAnsi" w:cstheme="majorHAnsi"/>
        </w:rPr>
        <w:t>building types.</w:t>
      </w:r>
    </w:p>
    <w:p w14:paraId="1E11118B" w14:textId="77777777" w:rsidR="000A434F" w:rsidRPr="00C73BFB" w:rsidRDefault="000A434F" w:rsidP="008F51AE">
      <w:pPr>
        <w:pStyle w:val="Normal1"/>
        <w:spacing w:line="276" w:lineRule="auto"/>
        <w:rPr>
          <w:rFonts w:asciiTheme="majorHAnsi" w:hAnsiTheme="majorHAnsi" w:cstheme="majorHAnsi"/>
          <w:strike/>
        </w:rPr>
      </w:pPr>
    </w:p>
    <w:p w14:paraId="68D94E81" w14:textId="77777777" w:rsidR="008F51AE" w:rsidRPr="00C73BFB" w:rsidRDefault="008F51AE" w:rsidP="008F51AE">
      <w:pPr>
        <w:pStyle w:val="Normal1"/>
        <w:spacing w:line="276" w:lineRule="auto"/>
        <w:rPr>
          <w:rFonts w:asciiTheme="majorHAnsi" w:hAnsiTheme="majorHAnsi" w:cstheme="majorBidi"/>
          <w:b/>
          <w:bCs/>
        </w:rPr>
      </w:pPr>
      <w:r w:rsidRPr="00C73BFB">
        <w:rPr>
          <w:rFonts w:asciiTheme="majorHAnsi" w:hAnsiTheme="majorHAnsi" w:cstheme="majorBidi"/>
          <w:b/>
          <w:bCs/>
        </w:rPr>
        <w:t xml:space="preserve">Adjustment Factors for </w:t>
      </w:r>
      <w:r w:rsidRPr="002865A5">
        <w:rPr>
          <w:rFonts w:asciiTheme="majorHAnsi" w:hAnsiTheme="majorHAnsi" w:cstheme="majorBidi"/>
          <w:b/>
          <w:bCs/>
        </w:rPr>
        <w:t>Heating Savings</w:t>
      </w:r>
      <w:r>
        <w:rPr>
          <w:rFonts w:asciiTheme="majorHAnsi" w:hAnsiTheme="majorHAnsi" w:cstheme="majorBidi"/>
          <w:b/>
          <w:bCs/>
        </w:rPr>
        <w:t xml:space="preserve"> using DEER Prototype Heating Consumptions (CZ09)</w:t>
      </w:r>
    </w:p>
    <w:tbl>
      <w:tblPr>
        <w:tblStyle w:val="TableGrid"/>
        <w:tblW w:w="8932" w:type="dxa"/>
        <w:tblLayout w:type="fixed"/>
        <w:tblLook w:val="04A0" w:firstRow="1" w:lastRow="0" w:firstColumn="1" w:lastColumn="0" w:noHBand="0" w:noVBand="1"/>
      </w:tblPr>
      <w:tblGrid>
        <w:gridCol w:w="1411"/>
        <w:gridCol w:w="1561"/>
        <w:gridCol w:w="1561"/>
        <w:gridCol w:w="1561"/>
        <w:gridCol w:w="1419"/>
        <w:gridCol w:w="1419"/>
      </w:tblGrid>
      <w:tr w:rsidR="00CA62E1" w:rsidRPr="00C470E5" w14:paraId="5609267A" w14:textId="435A4258" w:rsidTr="00C470E5">
        <w:trPr>
          <w:trHeight w:val="1276"/>
        </w:trPr>
        <w:tc>
          <w:tcPr>
            <w:tcW w:w="1411" w:type="dxa"/>
            <w:shd w:val="clear" w:color="auto" w:fill="D9D9D9" w:themeFill="background1" w:themeFillShade="D9"/>
            <w:vAlign w:val="center"/>
          </w:tcPr>
          <w:p w14:paraId="73A59675" w14:textId="77777777" w:rsidR="00CA62E1" w:rsidRPr="00983880" w:rsidRDefault="00CA62E1" w:rsidP="00CA62E1">
            <w:pPr>
              <w:rPr>
                <w:rFonts w:asciiTheme="majorHAnsi" w:hAnsiTheme="majorHAnsi" w:cstheme="majorBidi"/>
                <w:b/>
                <w:bCs/>
                <w:sz w:val="20"/>
                <w:szCs w:val="20"/>
              </w:rPr>
            </w:pPr>
            <w:r w:rsidRPr="00C470E5">
              <w:rPr>
                <w:rFonts w:asciiTheme="majorHAnsi" w:hAnsiTheme="majorHAnsi" w:cstheme="majorBidi"/>
                <w:b/>
                <w:bCs/>
                <w:sz w:val="20"/>
                <w:szCs w:val="20"/>
              </w:rPr>
              <w:t>Building</w:t>
            </w:r>
            <w:r w:rsidRPr="00983880">
              <w:rPr>
                <w:rFonts w:asciiTheme="majorHAnsi" w:hAnsiTheme="majorHAnsi" w:cstheme="majorBidi"/>
                <w:b/>
                <w:bCs/>
                <w:sz w:val="20"/>
                <w:szCs w:val="20"/>
              </w:rPr>
              <w:t xml:space="preserve"> Type </w:t>
            </w:r>
          </w:p>
        </w:tc>
        <w:tc>
          <w:tcPr>
            <w:tcW w:w="1561" w:type="dxa"/>
            <w:shd w:val="clear" w:color="auto" w:fill="D9D9D9" w:themeFill="background1" w:themeFillShade="D9"/>
            <w:vAlign w:val="center"/>
          </w:tcPr>
          <w:p w14:paraId="328A006A" w14:textId="77777777" w:rsidR="00CA62E1" w:rsidRPr="00C470E5" w:rsidRDefault="00CA62E1" w:rsidP="00CA62E1">
            <w:pPr>
              <w:rPr>
                <w:rFonts w:asciiTheme="majorHAnsi" w:hAnsiTheme="majorHAnsi" w:cstheme="majorBidi"/>
                <w:b/>
                <w:bCs/>
                <w:sz w:val="20"/>
                <w:szCs w:val="20"/>
              </w:rPr>
            </w:pPr>
            <w:r w:rsidRPr="00091CC5">
              <w:rPr>
                <w:rFonts w:asciiTheme="majorHAnsi" w:hAnsiTheme="majorHAnsi" w:cstheme="majorBidi"/>
                <w:b/>
                <w:bCs/>
                <w:sz w:val="20"/>
                <w:szCs w:val="20"/>
              </w:rPr>
              <w:t>Annual Heating Energy</w:t>
            </w:r>
          </w:p>
          <w:p w14:paraId="733EAA5C" w14:textId="77777777" w:rsidR="00CA62E1" w:rsidRPr="00C470E5" w:rsidRDefault="00CA62E1" w:rsidP="00CA62E1">
            <w:pPr>
              <w:rPr>
                <w:rFonts w:asciiTheme="majorHAnsi" w:hAnsiTheme="majorHAnsi" w:cstheme="majorBidi"/>
                <w:b/>
                <w:bCs/>
                <w:sz w:val="20"/>
                <w:szCs w:val="20"/>
              </w:rPr>
            </w:pPr>
            <w:r w:rsidRPr="00C470E5">
              <w:rPr>
                <w:rFonts w:asciiTheme="majorHAnsi" w:hAnsiTheme="majorHAnsi" w:cstheme="majorBidi"/>
                <w:b/>
                <w:bCs/>
                <w:sz w:val="20"/>
                <w:szCs w:val="20"/>
              </w:rPr>
              <w:t>(Btu x 10</w:t>
            </w:r>
            <w:r w:rsidRPr="00C470E5">
              <w:rPr>
                <w:rFonts w:asciiTheme="majorHAnsi" w:hAnsiTheme="majorHAnsi" w:cstheme="majorBidi"/>
                <w:b/>
                <w:bCs/>
                <w:sz w:val="20"/>
                <w:szCs w:val="20"/>
                <w:vertAlign w:val="superscript"/>
              </w:rPr>
              <w:t>6</w:t>
            </w:r>
            <w:r w:rsidRPr="00C470E5">
              <w:rPr>
                <w:rFonts w:asciiTheme="majorHAnsi" w:hAnsiTheme="majorHAnsi" w:cstheme="majorBidi"/>
                <w:b/>
                <w:bCs/>
                <w:sz w:val="20"/>
                <w:szCs w:val="20"/>
              </w:rPr>
              <w:t>) [1]</w:t>
            </w:r>
          </w:p>
        </w:tc>
        <w:tc>
          <w:tcPr>
            <w:tcW w:w="1561" w:type="dxa"/>
            <w:shd w:val="clear" w:color="auto" w:fill="D9D9D9" w:themeFill="background1" w:themeFillShade="D9"/>
            <w:vAlign w:val="center"/>
          </w:tcPr>
          <w:p w14:paraId="461A930B" w14:textId="77777777" w:rsidR="00CA62E1" w:rsidRPr="00C470E5" w:rsidRDefault="00CA62E1" w:rsidP="00CA62E1">
            <w:pPr>
              <w:rPr>
                <w:rFonts w:asciiTheme="majorHAnsi" w:hAnsiTheme="majorHAnsi" w:cstheme="majorBidi"/>
                <w:b/>
                <w:bCs/>
                <w:sz w:val="20"/>
                <w:szCs w:val="20"/>
              </w:rPr>
            </w:pPr>
            <w:r w:rsidRPr="00C470E5">
              <w:rPr>
                <w:rFonts w:asciiTheme="majorHAnsi" w:hAnsiTheme="majorHAnsi" w:cstheme="majorBidi"/>
                <w:b/>
                <w:bCs/>
                <w:sz w:val="20"/>
                <w:szCs w:val="20"/>
              </w:rPr>
              <w:t>Annual Heating Energy</w:t>
            </w:r>
          </w:p>
          <w:p w14:paraId="0487DE26" w14:textId="77777777" w:rsidR="00CA62E1" w:rsidRPr="00C470E5" w:rsidRDefault="00CA62E1" w:rsidP="00CA62E1">
            <w:pPr>
              <w:rPr>
                <w:rFonts w:asciiTheme="majorHAnsi" w:hAnsiTheme="majorHAnsi" w:cstheme="majorHAnsi"/>
                <w:b/>
                <w:sz w:val="20"/>
                <w:szCs w:val="20"/>
              </w:rPr>
            </w:pPr>
            <w:r w:rsidRPr="00C470E5">
              <w:rPr>
                <w:rFonts w:asciiTheme="majorHAnsi" w:hAnsiTheme="majorHAnsi" w:cstheme="majorHAnsi"/>
                <w:b/>
                <w:sz w:val="20"/>
                <w:szCs w:val="20"/>
              </w:rPr>
              <w:t>(Therms)</w:t>
            </w:r>
          </w:p>
        </w:tc>
        <w:tc>
          <w:tcPr>
            <w:tcW w:w="1561" w:type="dxa"/>
            <w:shd w:val="clear" w:color="auto" w:fill="D9D9D9" w:themeFill="background1" w:themeFillShade="D9"/>
            <w:vAlign w:val="center"/>
          </w:tcPr>
          <w:p w14:paraId="6B62006A" w14:textId="77777777" w:rsidR="00CA62E1" w:rsidRPr="00C470E5" w:rsidRDefault="00CA62E1" w:rsidP="00CA62E1">
            <w:pPr>
              <w:rPr>
                <w:rFonts w:asciiTheme="majorHAnsi" w:hAnsiTheme="majorHAnsi" w:cstheme="majorBidi"/>
                <w:b/>
                <w:bCs/>
                <w:sz w:val="20"/>
                <w:szCs w:val="20"/>
              </w:rPr>
            </w:pPr>
            <w:r w:rsidRPr="00C470E5">
              <w:rPr>
                <w:rFonts w:asciiTheme="majorHAnsi" w:hAnsiTheme="majorHAnsi" w:cstheme="majorBidi"/>
                <w:b/>
                <w:bCs/>
                <w:sz w:val="20"/>
                <w:szCs w:val="20"/>
              </w:rPr>
              <w:t xml:space="preserve">Annual Heating per System </w:t>
            </w:r>
          </w:p>
          <w:p w14:paraId="29B6CD95" w14:textId="77777777" w:rsidR="00CA62E1" w:rsidRPr="00C470E5" w:rsidRDefault="00CA62E1" w:rsidP="00CA62E1">
            <w:pPr>
              <w:rPr>
                <w:rFonts w:asciiTheme="majorHAnsi" w:hAnsiTheme="majorHAnsi" w:cstheme="majorHAnsi"/>
                <w:b/>
                <w:sz w:val="20"/>
                <w:szCs w:val="20"/>
              </w:rPr>
            </w:pPr>
            <w:r w:rsidRPr="00C470E5">
              <w:rPr>
                <w:rFonts w:asciiTheme="majorHAnsi" w:hAnsiTheme="majorHAnsi" w:cstheme="majorHAnsi"/>
                <w:b/>
                <w:sz w:val="20"/>
                <w:szCs w:val="20"/>
              </w:rPr>
              <w:t>(Therms)</w:t>
            </w:r>
          </w:p>
        </w:tc>
        <w:tc>
          <w:tcPr>
            <w:tcW w:w="1419" w:type="dxa"/>
            <w:shd w:val="clear" w:color="auto" w:fill="D9D9D9" w:themeFill="background1" w:themeFillShade="D9"/>
            <w:vAlign w:val="center"/>
          </w:tcPr>
          <w:p w14:paraId="64F99655" w14:textId="77777777" w:rsidR="00CA62E1" w:rsidRPr="00C470E5" w:rsidRDefault="00CA62E1" w:rsidP="00CA62E1">
            <w:pPr>
              <w:rPr>
                <w:rFonts w:asciiTheme="majorHAnsi" w:hAnsiTheme="majorHAnsi" w:cstheme="majorBidi"/>
                <w:b/>
                <w:bCs/>
                <w:sz w:val="20"/>
                <w:szCs w:val="20"/>
              </w:rPr>
            </w:pPr>
            <w:r w:rsidRPr="00C470E5">
              <w:rPr>
                <w:rFonts w:asciiTheme="majorHAnsi" w:hAnsiTheme="majorHAnsi" w:cstheme="majorBidi"/>
                <w:b/>
                <w:bCs/>
                <w:sz w:val="20"/>
                <w:szCs w:val="20"/>
              </w:rPr>
              <w:t>Adjustment Factor</w:t>
            </w:r>
          </w:p>
        </w:tc>
        <w:tc>
          <w:tcPr>
            <w:tcW w:w="1419" w:type="dxa"/>
            <w:shd w:val="clear" w:color="auto" w:fill="D9D9D9" w:themeFill="background1" w:themeFillShade="D9"/>
            <w:vAlign w:val="center"/>
          </w:tcPr>
          <w:p w14:paraId="78B004A1" w14:textId="1BFCBE00" w:rsidR="00CA62E1" w:rsidRPr="00C470E5" w:rsidRDefault="00CA62E1" w:rsidP="00CA62E1">
            <w:pPr>
              <w:rPr>
                <w:rFonts w:asciiTheme="majorHAnsi" w:hAnsiTheme="majorHAnsi" w:cstheme="majorBidi"/>
                <w:b/>
                <w:bCs/>
                <w:sz w:val="20"/>
                <w:szCs w:val="20"/>
              </w:rPr>
            </w:pPr>
            <w:r w:rsidRPr="00C470E5">
              <w:rPr>
                <w:b/>
                <w:sz w:val="20"/>
                <w:szCs w:val="20"/>
              </w:rPr>
              <w:t>Savings Contribution</w:t>
            </w:r>
          </w:p>
        </w:tc>
      </w:tr>
      <w:tr w:rsidR="00CA62E1" w:rsidRPr="00C470E5" w14:paraId="495972D2" w14:textId="13AE8C74" w:rsidTr="00C470E5">
        <w:trPr>
          <w:trHeight w:val="264"/>
        </w:trPr>
        <w:tc>
          <w:tcPr>
            <w:tcW w:w="1411" w:type="dxa"/>
            <w:vAlign w:val="center"/>
          </w:tcPr>
          <w:p w14:paraId="3815E9DE" w14:textId="77777777" w:rsidR="00CA62E1" w:rsidRPr="00983880" w:rsidRDefault="00CA62E1" w:rsidP="00CA62E1">
            <w:pPr>
              <w:rPr>
                <w:rFonts w:asciiTheme="majorHAnsi" w:hAnsiTheme="majorHAnsi" w:cstheme="majorBidi"/>
                <w:sz w:val="20"/>
                <w:szCs w:val="20"/>
              </w:rPr>
            </w:pPr>
            <w:r w:rsidRPr="00983880">
              <w:rPr>
                <w:rFonts w:asciiTheme="majorHAnsi" w:hAnsiTheme="majorHAnsi" w:cstheme="majorBidi"/>
                <w:sz w:val="20"/>
                <w:szCs w:val="20"/>
              </w:rPr>
              <w:t xml:space="preserve">SFM </w:t>
            </w:r>
          </w:p>
        </w:tc>
        <w:tc>
          <w:tcPr>
            <w:tcW w:w="1561" w:type="dxa"/>
            <w:vAlign w:val="center"/>
          </w:tcPr>
          <w:p w14:paraId="3BB9B16E" w14:textId="32D922B9" w:rsidR="00CA62E1" w:rsidRPr="00091CC5" w:rsidRDefault="00CA62E1" w:rsidP="00CA62E1">
            <w:pPr>
              <w:jc w:val="center"/>
              <w:rPr>
                <w:rFonts w:asciiTheme="majorHAnsi" w:hAnsiTheme="majorHAnsi" w:cstheme="majorHAnsi"/>
                <w:sz w:val="20"/>
                <w:szCs w:val="20"/>
              </w:rPr>
            </w:pPr>
            <w:r w:rsidRPr="00091CC5">
              <w:rPr>
                <w:rFonts w:asciiTheme="majorHAnsi" w:hAnsiTheme="majorHAnsi" w:cstheme="majorHAnsi"/>
                <w:sz w:val="20"/>
                <w:szCs w:val="20"/>
              </w:rPr>
              <w:t>49.4</w:t>
            </w:r>
          </w:p>
        </w:tc>
        <w:tc>
          <w:tcPr>
            <w:tcW w:w="1561" w:type="dxa"/>
            <w:vAlign w:val="center"/>
          </w:tcPr>
          <w:p w14:paraId="5DD8A33F" w14:textId="2591617E"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494.0</w:t>
            </w:r>
          </w:p>
        </w:tc>
        <w:tc>
          <w:tcPr>
            <w:tcW w:w="1561" w:type="dxa"/>
            <w:vAlign w:val="center"/>
          </w:tcPr>
          <w:p w14:paraId="5AFBA35E" w14:textId="77777777"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123.5</w:t>
            </w:r>
          </w:p>
        </w:tc>
        <w:tc>
          <w:tcPr>
            <w:tcW w:w="1419" w:type="dxa"/>
            <w:vAlign w:val="center"/>
          </w:tcPr>
          <w:p w14:paraId="02B7342E" w14:textId="5B9AC968" w:rsidR="00CA62E1" w:rsidRPr="00C470E5" w:rsidRDefault="00CA62E1" w:rsidP="00CA62E1">
            <w:pPr>
              <w:jc w:val="center"/>
              <w:rPr>
                <w:rFonts w:asciiTheme="majorHAnsi" w:hAnsiTheme="majorHAnsi" w:cstheme="majorBidi"/>
                <w:sz w:val="20"/>
                <w:szCs w:val="20"/>
              </w:rPr>
            </w:pPr>
            <w:r w:rsidRPr="00C470E5">
              <w:rPr>
                <w:rFonts w:asciiTheme="majorHAnsi" w:hAnsiTheme="majorHAnsi" w:cstheme="majorBidi"/>
                <w:sz w:val="20"/>
                <w:szCs w:val="20"/>
              </w:rPr>
              <w:t>100.0%</w:t>
            </w:r>
          </w:p>
        </w:tc>
        <w:tc>
          <w:tcPr>
            <w:tcW w:w="1419" w:type="dxa"/>
            <w:shd w:val="clear" w:color="auto" w:fill="auto"/>
            <w:vAlign w:val="bottom"/>
          </w:tcPr>
          <w:p w14:paraId="2A4EEA46" w14:textId="41289894" w:rsidR="00CA62E1" w:rsidRPr="00983880" w:rsidRDefault="00CA62E1" w:rsidP="00CA62E1">
            <w:pPr>
              <w:jc w:val="center"/>
              <w:rPr>
                <w:rFonts w:asciiTheme="majorHAnsi" w:hAnsiTheme="majorHAnsi" w:cstheme="majorBidi"/>
                <w:sz w:val="20"/>
                <w:szCs w:val="20"/>
              </w:rPr>
            </w:pPr>
            <w:r w:rsidRPr="00C470E5">
              <w:rPr>
                <w:sz w:val="20"/>
                <w:szCs w:val="20"/>
              </w:rPr>
              <w:t>8.9%</w:t>
            </w:r>
          </w:p>
        </w:tc>
      </w:tr>
      <w:tr w:rsidR="00CA62E1" w:rsidRPr="00C470E5" w14:paraId="29279BE9" w14:textId="307E58BF" w:rsidTr="00C470E5">
        <w:trPr>
          <w:trHeight w:val="256"/>
        </w:trPr>
        <w:tc>
          <w:tcPr>
            <w:tcW w:w="1411" w:type="dxa"/>
            <w:vAlign w:val="center"/>
          </w:tcPr>
          <w:p w14:paraId="0796BF48" w14:textId="53E3BD16" w:rsidR="00CA62E1" w:rsidRPr="00C470E5" w:rsidRDefault="00CA62E1" w:rsidP="00CA62E1">
            <w:pPr>
              <w:rPr>
                <w:rFonts w:asciiTheme="majorHAnsi" w:hAnsiTheme="majorHAnsi" w:cstheme="majorBidi"/>
                <w:sz w:val="20"/>
                <w:szCs w:val="20"/>
              </w:rPr>
            </w:pPr>
            <w:r w:rsidRPr="00C470E5">
              <w:rPr>
                <w:rFonts w:asciiTheme="majorHAnsi" w:hAnsiTheme="majorHAnsi" w:cstheme="majorBidi"/>
                <w:sz w:val="20"/>
                <w:szCs w:val="20"/>
              </w:rPr>
              <w:t>MF</w:t>
            </w:r>
            <w:r w:rsidR="001E3642">
              <w:rPr>
                <w:rFonts w:asciiTheme="majorHAnsi" w:hAnsiTheme="majorHAnsi" w:cstheme="majorBidi"/>
                <w:sz w:val="20"/>
                <w:szCs w:val="20"/>
              </w:rPr>
              <w:t>m</w:t>
            </w:r>
          </w:p>
        </w:tc>
        <w:tc>
          <w:tcPr>
            <w:tcW w:w="1561" w:type="dxa"/>
            <w:vAlign w:val="center"/>
          </w:tcPr>
          <w:p w14:paraId="3D34E13B" w14:textId="157ECAB1"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108.9</w:t>
            </w:r>
          </w:p>
        </w:tc>
        <w:tc>
          <w:tcPr>
            <w:tcW w:w="1561" w:type="dxa"/>
            <w:vAlign w:val="center"/>
          </w:tcPr>
          <w:p w14:paraId="30B1777D" w14:textId="491FFA7D"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1,089.2</w:t>
            </w:r>
          </w:p>
        </w:tc>
        <w:tc>
          <w:tcPr>
            <w:tcW w:w="1561" w:type="dxa"/>
            <w:vAlign w:val="center"/>
          </w:tcPr>
          <w:p w14:paraId="2341D532" w14:textId="77777777"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38.9</w:t>
            </w:r>
          </w:p>
        </w:tc>
        <w:tc>
          <w:tcPr>
            <w:tcW w:w="1419" w:type="dxa"/>
            <w:vAlign w:val="center"/>
          </w:tcPr>
          <w:p w14:paraId="2F9CB063" w14:textId="77777777" w:rsidR="00CA62E1" w:rsidRPr="00C470E5" w:rsidRDefault="00CA62E1" w:rsidP="00CA62E1">
            <w:pPr>
              <w:jc w:val="center"/>
              <w:rPr>
                <w:rFonts w:asciiTheme="majorHAnsi" w:hAnsiTheme="majorHAnsi" w:cstheme="majorBidi"/>
                <w:sz w:val="20"/>
                <w:szCs w:val="20"/>
              </w:rPr>
            </w:pPr>
            <w:r w:rsidRPr="00C470E5">
              <w:rPr>
                <w:rFonts w:asciiTheme="majorHAnsi" w:hAnsiTheme="majorHAnsi" w:cstheme="majorBidi"/>
                <w:sz w:val="20"/>
                <w:szCs w:val="20"/>
              </w:rPr>
              <w:t>31.5%</w:t>
            </w:r>
          </w:p>
        </w:tc>
        <w:tc>
          <w:tcPr>
            <w:tcW w:w="1419" w:type="dxa"/>
            <w:shd w:val="clear" w:color="auto" w:fill="auto"/>
            <w:vAlign w:val="bottom"/>
          </w:tcPr>
          <w:p w14:paraId="7A1F5EA4" w14:textId="4D72363D" w:rsidR="00CA62E1" w:rsidRPr="00983880" w:rsidRDefault="00CA62E1" w:rsidP="00CA62E1">
            <w:pPr>
              <w:jc w:val="center"/>
              <w:rPr>
                <w:rFonts w:asciiTheme="majorHAnsi" w:hAnsiTheme="majorHAnsi" w:cstheme="majorBidi"/>
                <w:sz w:val="20"/>
                <w:szCs w:val="20"/>
              </w:rPr>
            </w:pPr>
            <w:r w:rsidRPr="00C470E5">
              <w:rPr>
                <w:sz w:val="20"/>
                <w:szCs w:val="20"/>
              </w:rPr>
              <w:t>8.9%</w:t>
            </w:r>
          </w:p>
        </w:tc>
      </w:tr>
      <w:tr w:rsidR="00CA62E1" w:rsidRPr="00C470E5" w14:paraId="13A44B8A" w14:textId="207EAFD1" w:rsidTr="00C470E5">
        <w:trPr>
          <w:trHeight w:val="264"/>
        </w:trPr>
        <w:tc>
          <w:tcPr>
            <w:tcW w:w="1411" w:type="dxa"/>
            <w:vAlign w:val="center"/>
          </w:tcPr>
          <w:p w14:paraId="6F94FA3B" w14:textId="62D9C803" w:rsidR="00CA62E1" w:rsidRPr="00C470E5" w:rsidRDefault="00CA62E1" w:rsidP="00CA62E1">
            <w:pPr>
              <w:rPr>
                <w:rFonts w:asciiTheme="majorHAnsi" w:hAnsiTheme="majorHAnsi" w:cstheme="majorBidi"/>
                <w:sz w:val="20"/>
                <w:szCs w:val="20"/>
              </w:rPr>
            </w:pPr>
            <w:r w:rsidRPr="00C470E5">
              <w:rPr>
                <w:rFonts w:asciiTheme="majorHAnsi" w:hAnsiTheme="majorHAnsi" w:cstheme="majorBidi"/>
                <w:sz w:val="20"/>
                <w:szCs w:val="20"/>
              </w:rPr>
              <w:t>DM</w:t>
            </w:r>
            <w:r w:rsidR="001E3642">
              <w:rPr>
                <w:rFonts w:asciiTheme="majorHAnsi" w:hAnsiTheme="majorHAnsi" w:cstheme="majorBidi"/>
                <w:sz w:val="20"/>
                <w:szCs w:val="20"/>
              </w:rPr>
              <w:t>o</w:t>
            </w:r>
          </w:p>
        </w:tc>
        <w:tc>
          <w:tcPr>
            <w:tcW w:w="1561" w:type="dxa"/>
            <w:vAlign w:val="center"/>
          </w:tcPr>
          <w:p w14:paraId="4150994D" w14:textId="7E609E03"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17.7</w:t>
            </w:r>
          </w:p>
        </w:tc>
        <w:tc>
          <w:tcPr>
            <w:tcW w:w="1561" w:type="dxa"/>
            <w:vAlign w:val="center"/>
          </w:tcPr>
          <w:p w14:paraId="4C160027" w14:textId="5D094EC6"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177.2</w:t>
            </w:r>
          </w:p>
        </w:tc>
        <w:tc>
          <w:tcPr>
            <w:tcW w:w="1561" w:type="dxa"/>
            <w:vAlign w:val="center"/>
          </w:tcPr>
          <w:p w14:paraId="0310C890" w14:textId="77777777" w:rsidR="00CA62E1" w:rsidRPr="00C470E5" w:rsidRDefault="00CA62E1" w:rsidP="00CA62E1">
            <w:pPr>
              <w:jc w:val="center"/>
              <w:rPr>
                <w:rFonts w:asciiTheme="majorHAnsi" w:hAnsiTheme="majorHAnsi" w:cstheme="majorHAnsi"/>
                <w:sz w:val="20"/>
                <w:szCs w:val="20"/>
              </w:rPr>
            </w:pPr>
            <w:r w:rsidRPr="00C470E5">
              <w:rPr>
                <w:rFonts w:asciiTheme="majorHAnsi" w:hAnsiTheme="majorHAnsi" w:cstheme="majorHAnsi"/>
                <w:sz w:val="20"/>
                <w:szCs w:val="20"/>
              </w:rPr>
              <w:t>88.6</w:t>
            </w:r>
          </w:p>
        </w:tc>
        <w:tc>
          <w:tcPr>
            <w:tcW w:w="1419" w:type="dxa"/>
            <w:vAlign w:val="center"/>
          </w:tcPr>
          <w:p w14:paraId="35EB0179" w14:textId="77777777" w:rsidR="00CA62E1" w:rsidRPr="00C470E5" w:rsidRDefault="00CA62E1" w:rsidP="00CA62E1">
            <w:pPr>
              <w:jc w:val="center"/>
              <w:rPr>
                <w:rFonts w:asciiTheme="majorHAnsi" w:hAnsiTheme="majorHAnsi" w:cstheme="majorBidi"/>
                <w:sz w:val="20"/>
                <w:szCs w:val="20"/>
              </w:rPr>
            </w:pPr>
            <w:r w:rsidRPr="00C470E5">
              <w:rPr>
                <w:rFonts w:asciiTheme="majorHAnsi" w:hAnsiTheme="majorHAnsi" w:cstheme="majorBidi"/>
                <w:sz w:val="20"/>
                <w:szCs w:val="20"/>
              </w:rPr>
              <w:t>71.7%</w:t>
            </w:r>
          </w:p>
        </w:tc>
        <w:tc>
          <w:tcPr>
            <w:tcW w:w="1419" w:type="dxa"/>
            <w:shd w:val="clear" w:color="auto" w:fill="auto"/>
            <w:vAlign w:val="bottom"/>
          </w:tcPr>
          <w:p w14:paraId="372BB0AE" w14:textId="31979F26" w:rsidR="00CA62E1" w:rsidRPr="00983880" w:rsidRDefault="00CA62E1" w:rsidP="00CA62E1">
            <w:pPr>
              <w:jc w:val="center"/>
              <w:rPr>
                <w:rFonts w:asciiTheme="majorHAnsi" w:hAnsiTheme="majorHAnsi" w:cstheme="majorBidi"/>
                <w:sz w:val="20"/>
                <w:szCs w:val="20"/>
              </w:rPr>
            </w:pPr>
            <w:r w:rsidRPr="00C470E5">
              <w:rPr>
                <w:sz w:val="20"/>
                <w:szCs w:val="20"/>
              </w:rPr>
              <w:t>8.9%</w:t>
            </w:r>
          </w:p>
        </w:tc>
      </w:tr>
    </w:tbl>
    <w:p w14:paraId="20F2A9AD" w14:textId="77777777" w:rsidR="008F51AE" w:rsidRPr="00C73BFB" w:rsidRDefault="008F51AE" w:rsidP="008F51AE">
      <w:pPr>
        <w:rPr>
          <w:rFonts w:asciiTheme="majorHAnsi" w:hAnsiTheme="majorHAnsi" w:cstheme="majorBidi"/>
          <w:sz w:val="20"/>
          <w:szCs w:val="20"/>
        </w:rPr>
      </w:pPr>
      <w:r w:rsidRPr="00C73BFB">
        <w:rPr>
          <w:rFonts w:asciiTheme="majorHAnsi" w:hAnsiTheme="majorHAnsi" w:cstheme="majorBidi"/>
          <w:sz w:val="20"/>
          <w:szCs w:val="20"/>
        </w:rPr>
        <w:t xml:space="preserve">[1] Space Heating from MC3 annual consumption summary </w:t>
      </w:r>
    </w:p>
    <w:p w14:paraId="186422B3" w14:textId="77777777" w:rsidR="008F51AE" w:rsidRDefault="008F51AE" w:rsidP="008F51AE">
      <w:pPr>
        <w:rPr>
          <w:rFonts w:asciiTheme="majorHAnsi" w:hAnsiTheme="majorHAnsi" w:cstheme="majorHAnsi"/>
        </w:rPr>
      </w:pPr>
    </w:p>
    <w:p w14:paraId="480A272E" w14:textId="58514F03" w:rsidR="008F51AE" w:rsidRPr="00C73BFB" w:rsidRDefault="008F51AE" w:rsidP="008F51AE">
      <w:pPr>
        <w:pStyle w:val="Normal1"/>
        <w:spacing w:line="276" w:lineRule="auto"/>
        <w:rPr>
          <w:rFonts w:asciiTheme="majorHAnsi" w:hAnsiTheme="majorHAnsi" w:cstheme="majorBidi"/>
        </w:rPr>
      </w:pPr>
      <w:r w:rsidRPr="000E623B">
        <w:rPr>
          <w:rFonts w:asciiTheme="majorHAnsi" w:hAnsiTheme="majorHAnsi" w:cstheme="majorBidi"/>
        </w:rPr>
        <w:t xml:space="preserve">Measure’s </w:t>
      </w:r>
      <w:r>
        <w:rPr>
          <w:rFonts w:asciiTheme="majorHAnsi" w:hAnsiTheme="majorHAnsi" w:cstheme="majorBidi"/>
        </w:rPr>
        <w:t>c</w:t>
      </w:r>
      <w:r w:rsidRPr="000E623B">
        <w:rPr>
          <w:rFonts w:asciiTheme="majorHAnsi" w:hAnsiTheme="majorHAnsi" w:cstheme="majorBidi"/>
        </w:rPr>
        <w:t xml:space="preserve">onsolidated Annual Energy Savings for SFM, </w:t>
      </w:r>
      <w:r w:rsidR="00085E54" w:rsidRPr="000E623B">
        <w:rPr>
          <w:rFonts w:asciiTheme="majorHAnsi" w:hAnsiTheme="majorHAnsi" w:cstheme="majorBidi"/>
        </w:rPr>
        <w:t>MF</w:t>
      </w:r>
      <w:r w:rsidR="00085E54">
        <w:rPr>
          <w:rFonts w:asciiTheme="majorHAnsi" w:hAnsiTheme="majorHAnsi" w:cstheme="majorBidi"/>
        </w:rPr>
        <w:t>m</w:t>
      </w:r>
      <w:r w:rsidR="00085E54" w:rsidRPr="000E623B">
        <w:rPr>
          <w:rFonts w:asciiTheme="majorHAnsi" w:hAnsiTheme="majorHAnsi" w:cstheme="majorBidi"/>
        </w:rPr>
        <w:t xml:space="preserve"> </w:t>
      </w:r>
      <w:r w:rsidRPr="000E623B">
        <w:rPr>
          <w:rFonts w:asciiTheme="majorHAnsi" w:hAnsiTheme="majorHAnsi" w:cstheme="majorBidi"/>
        </w:rPr>
        <w:t xml:space="preserve">and </w:t>
      </w:r>
      <w:r w:rsidR="00085E54" w:rsidRPr="000E623B">
        <w:rPr>
          <w:rFonts w:asciiTheme="majorHAnsi" w:hAnsiTheme="majorHAnsi" w:cstheme="majorBidi"/>
        </w:rPr>
        <w:t>DM</w:t>
      </w:r>
      <w:r w:rsidR="00085E54">
        <w:rPr>
          <w:rFonts w:asciiTheme="majorHAnsi" w:hAnsiTheme="majorHAnsi" w:cstheme="majorBidi"/>
        </w:rPr>
        <w:t>o</w:t>
      </w:r>
      <w:r w:rsidR="00085E54" w:rsidRPr="000E623B">
        <w:rPr>
          <w:rFonts w:asciiTheme="majorHAnsi" w:hAnsiTheme="majorHAnsi" w:cstheme="majorBidi"/>
        </w:rPr>
        <w:t xml:space="preserve"> </w:t>
      </w:r>
      <w:r w:rsidRPr="000E623B">
        <w:rPr>
          <w:rFonts w:asciiTheme="majorHAnsi" w:hAnsiTheme="majorHAnsi" w:cstheme="majorBidi"/>
        </w:rPr>
        <w:t>are tabulated</w:t>
      </w:r>
      <w:r w:rsidR="006E37EB">
        <w:rPr>
          <w:rFonts w:asciiTheme="majorHAnsi" w:hAnsiTheme="majorHAnsi" w:cstheme="majorBidi"/>
        </w:rPr>
        <w:t xml:space="preserve"> in Attachment </w:t>
      </w:r>
      <w:r w:rsidR="001E3642">
        <w:rPr>
          <w:rFonts w:asciiTheme="majorHAnsi" w:hAnsiTheme="majorHAnsi" w:cstheme="majorBidi"/>
        </w:rPr>
        <w:t>2</w:t>
      </w:r>
      <w:r w:rsidR="00DE0B4C">
        <w:rPr>
          <w:rFonts w:asciiTheme="majorHAnsi" w:hAnsiTheme="majorHAnsi" w:cstheme="majorBidi"/>
        </w:rPr>
        <w:t>.</w:t>
      </w:r>
    </w:p>
    <w:p w14:paraId="0B056178" w14:textId="77777777" w:rsidR="00C25D69" w:rsidRDefault="00307C60" w:rsidP="00C470E5">
      <w:pPr>
        <w:pStyle w:val="Heading1"/>
        <w:keepNext w:val="0"/>
        <w:spacing w:before="0" w:after="0"/>
        <w:rPr>
          <w:rFonts w:asciiTheme="majorHAnsi" w:hAnsiTheme="majorHAnsi" w:cstheme="majorHAnsi"/>
        </w:rPr>
      </w:pPr>
      <w:r>
        <w:rPr>
          <w:rFonts w:asciiTheme="majorHAnsi" w:hAnsiTheme="majorHAnsi" w:cstheme="majorHAnsi"/>
        </w:rPr>
        <w:lastRenderedPageBreak/>
        <w:t>Section 3</w:t>
      </w:r>
      <w:r w:rsidRPr="00737D6A">
        <w:rPr>
          <w:rFonts w:asciiTheme="majorHAnsi" w:hAnsiTheme="majorHAnsi" w:cstheme="majorHAnsi"/>
        </w:rPr>
        <w:t>. Calculation Methodology</w:t>
      </w:r>
    </w:p>
    <w:p w14:paraId="445D704D" w14:textId="574A65BA" w:rsidR="00307C60" w:rsidRDefault="007263BB" w:rsidP="00C470E5">
      <w:pPr>
        <w:pStyle w:val="Heading1"/>
        <w:keepNext w:val="0"/>
        <w:spacing w:before="0" w:after="0"/>
        <w:rPr>
          <w:rFonts w:asciiTheme="majorHAnsi" w:hAnsiTheme="majorHAnsi" w:cstheme="majorHAnsi"/>
        </w:rPr>
      </w:pPr>
      <w:r>
        <w:rPr>
          <w:rFonts w:asciiTheme="majorHAnsi" w:hAnsiTheme="majorHAnsi" w:cstheme="majorHAnsi"/>
        </w:rPr>
        <w:t>S</w:t>
      </w:r>
      <w:r w:rsidR="00C73DD3">
        <w:rPr>
          <w:rFonts w:asciiTheme="majorHAnsi" w:hAnsiTheme="majorHAnsi" w:cstheme="majorHAnsi"/>
        </w:rPr>
        <w:t>C</w:t>
      </w:r>
      <w:r w:rsidR="00C25D69">
        <w:rPr>
          <w:rFonts w:asciiTheme="majorHAnsi" w:hAnsiTheme="majorHAnsi" w:cstheme="majorHAnsi"/>
        </w:rPr>
        <w:t xml:space="preserve">T Controlling </w:t>
      </w:r>
      <w:r w:rsidR="00307C60">
        <w:rPr>
          <w:rFonts w:asciiTheme="majorHAnsi" w:hAnsiTheme="majorHAnsi" w:cstheme="majorHAnsi"/>
        </w:rPr>
        <w:t>Heat Pump Equipment</w:t>
      </w:r>
    </w:p>
    <w:p w14:paraId="28DBD0CF" w14:textId="77777777" w:rsidR="00C25D69" w:rsidRPr="00C470E5" w:rsidRDefault="00C25D69" w:rsidP="00C470E5">
      <w:pPr>
        <w:pStyle w:val="Normal1"/>
      </w:pPr>
    </w:p>
    <w:p w14:paraId="3F3FD80A" w14:textId="36C33A2C" w:rsidR="009A4D0A" w:rsidRPr="00250C22" w:rsidRDefault="00307C60" w:rsidP="002D57EC">
      <w:pPr>
        <w:pStyle w:val="Heading2"/>
        <w:spacing w:before="0" w:after="0"/>
        <w:rPr>
          <w:rFonts w:asciiTheme="majorHAnsi" w:eastAsia="Calibri" w:hAnsiTheme="majorHAnsi" w:cstheme="majorBidi"/>
        </w:rPr>
      </w:pPr>
      <w:r>
        <w:rPr>
          <w:rFonts w:asciiTheme="majorHAnsi" w:eastAsia="Calibri" w:hAnsiTheme="majorHAnsi" w:cstheme="majorBidi"/>
        </w:rPr>
        <w:t>3.0</w:t>
      </w:r>
      <w:r w:rsidR="009A4D0A" w:rsidRPr="006951B2">
        <w:rPr>
          <w:rFonts w:asciiTheme="majorHAnsi" w:eastAsia="Calibri" w:hAnsiTheme="majorHAnsi" w:cstheme="majorBidi"/>
        </w:rPr>
        <w:t xml:space="preserve"> General Methods </w:t>
      </w:r>
    </w:p>
    <w:p w14:paraId="19FA4103" w14:textId="103D159D" w:rsidR="00F0315E" w:rsidRDefault="00B04811" w:rsidP="0022166B">
      <w:pPr>
        <w:rPr>
          <w:rFonts w:asciiTheme="majorHAnsi" w:hAnsiTheme="majorHAnsi" w:cstheme="majorBidi"/>
        </w:rPr>
      </w:pPr>
      <w:r w:rsidRPr="00C470E5">
        <w:rPr>
          <w:rFonts w:asciiTheme="majorHAnsi" w:hAnsiTheme="majorHAnsi" w:cstheme="majorBidi"/>
        </w:rPr>
        <w:t>Measure savings contributions on HVAC Heat Pump equipment have not</w:t>
      </w:r>
      <w:r w:rsidR="00386539" w:rsidRPr="00C470E5">
        <w:rPr>
          <w:rFonts w:asciiTheme="majorHAnsi" w:hAnsiTheme="majorHAnsi" w:cstheme="majorBidi"/>
        </w:rPr>
        <w:t xml:space="preserve"> been </w:t>
      </w:r>
      <w:r w:rsidR="00744CB5" w:rsidRPr="00C470E5">
        <w:rPr>
          <w:rFonts w:asciiTheme="majorHAnsi" w:hAnsiTheme="majorHAnsi" w:cstheme="majorBidi"/>
        </w:rPr>
        <w:t xml:space="preserve">independently evaluated </w:t>
      </w:r>
      <w:r w:rsidRPr="00C470E5">
        <w:rPr>
          <w:rFonts w:asciiTheme="majorHAnsi" w:hAnsiTheme="majorHAnsi" w:cstheme="majorBidi"/>
        </w:rPr>
        <w:t>by IOUs</w:t>
      </w:r>
      <w:r w:rsidR="00DE0B4C">
        <w:rPr>
          <w:rFonts w:asciiTheme="majorHAnsi" w:hAnsiTheme="majorHAnsi" w:cstheme="majorBidi"/>
        </w:rPr>
        <w:t xml:space="preserve">. </w:t>
      </w:r>
      <w:r w:rsidR="000A434F">
        <w:rPr>
          <w:rFonts w:asciiTheme="majorHAnsi" w:hAnsiTheme="majorHAnsi" w:cstheme="majorBidi"/>
        </w:rPr>
        <w:t>As directed by the “</w:t>
      </w:r>
      <w:r w:rsidR="000A434F">
        <w:t>Disposition for the Smart Communicating Thermostat SCE17HCO54 Rev 1 Workpaper”</w:t>
      </w:r>
      <w:r w:rsidR="008B32E1">
        <w:t xml:space="preserve"> </w:t>
      </w:r>
      <w:r w:rsidR="0031686B">
        <w:t>[</w:t>
      </w:r>
      <w:r w:rsidR="008B32E1">
        <w:t>Attachment 12</w:t>
      </w:r>
      <w:r w:rsidR="0031686B">
        <w:t>]</w:t>
      </w:r>
      <w:r w:rsidR="000A434F">
        <w:t xml:space="preserve">, </w:t>
      </w:r>
      <w:r w:rsidR="000A434F">
        <w:rPr>
          <w:rFonts w:asciiTheme="majorHAnsi" w:hAnsiTheme="majorHAnsi" w:cstheme="majorBidi"/>
        </w:rPr>
        <w:t>u</w:t>
      </w:r>
      <w:r w:rsidR="00ED6EC1">
        <w:rPr>
          <w:rFonts w:asciiTheme="majorHAnsi" w:hAnsiTheme="majorHAnsi" w:cstheme="majorBidi"/>
        </w:rPr>
        <w:t>ntil better verifiable savings are demonstrated, the h</w:t>
      </w:r>
      <w:r w:rsidR="00ED6EC1" w:rsidRPr="00ED6EC1">
        <w:rPr>
          <w:rFonts w:asciiTheme="majorHAnsi" w:hAnsiTheme="majorHAnsi" w:cstheme="majorBidi"/>
        </w:rPr>
        <w:t>eat pump equipment</w:t>
      </w:r>
      <w:r w:rsidR="009322D0">
        <w:rPr>
          <w:rFonts w:asciiTheme="majorHAnsi" w:hAnsiTheme="majorHAnsi" w:cstheme="majorBidi"/>
        </w:rPr>
        <w:t xml:space="preserve"> is receiving</w:t>
      </w:r>
      <w:r w:rsidR="00ED6EC1" w:rsidRPr="00ED6EC1">
        <w:rPr>
          <w:rFonts w:asciiTheme="majorHAnsi" w:hAnsiTheme="majorHAnsi" w:cstheme="majorBidi"/>
        </w:rPr>
        <w:t xml:space="preserve"> the same treatment</w:t>
      </w:r>
      <w:r w:rsidR="009322D0">
        <w:rPr>
          <w:rFonts w:asciiTheme="majorHAnsi" w:hAnsiTheme="majorHAnsi" w:cstheme="majorBidi"/>
        </w:rPr>
        <w:t xml:space="preserve"> (</w:t>
      </w:r>
      <w:r w:rsidR="00C8708B">
        <w:rPr>
          <w:rFonts w:asciiTheme="majorHAnsi" w:hAnsiTheme="majorHAnsi" w:cstheme="majorBidi"/>
        </w:rPr>
        <w:t xml:space="preserve">e.g., </w:t>
      </w:r>
      <w:r w:rsidR="009322D0">
        <w:rPr>
          <w:rFonts w:asciiTheme="majorHAnsi" w:hAnsiTheme="majorHAnsi" w:cstheme="majorBidi"/>
        </w:rPr>
        <w:t>cooling measure savings)</w:t>
      </w:r>
      <w:r w:rsidR="00ED6EC1" w:rsidRPr="00ED6EC1">
        <w:rPr>
          <w:rFonts w:asciiTheme="majorHAnsi" w:hAnsiTheme="majorHAnsi" w:cstheme="majorBidi"/>
        </w:rPr>
        <w:t xml:space="preserve"> as </w:t>
      </w:r>
      <w:r w:rsidR="00F20433">
        <w:rPr>
          <w:rFonts w:asciiTheme="majorHAnsi" w:hAnsiTheme="majorHAnsi" w:cstheme="majorBidi"/>
        </w:rPr>
        <w:t xml:space="preserve">the </w:t>
      </w:r>
      <w:r w:rsidR="00ED6EC1" w:rsidRPr="00ED6EC1">
        <w:rPr>
          <w:rFonts w:asciiTheme="majorHAnsi" w:hAnsiTheme="majorHAnsi" w:cstheme="majorBidi"/>
        </w:rPr>
        <w:t>central air</w:t>
      </w:r>
      <w:r w:rsidR="00ED6EC1">
        <w:rPr>
          <w:rFonts w:asciiTheme="majorHAnsi" w:hAnsiTheme="majorHAnsi" w:cstheme="majorBidi"/>
        </w:rPr>
        <w:t xml:space="preserve"> </w:t>
      </w:r>
      <w:r w:rsidR="00ED6EC1" w:rsidRPr="00ED6EC1">
        <w:rPr>
          <w:rFonts w:asciiTheme="majorHAnsi" w:hAnsiTheme="majorHAnsi" w:cstheme="majorBidi"/>
        </w:rPr>
        <w:t>conditioning</w:t>
      </w:r>
      <w:r w:rsidR="00ED6EC1">
        <w:rPr>
          <w:rFonts w:asciiTheme="majorHAnsi" w:hAnsiTheme="majorHAnsi" w:cstheme="majorBidi"/>
        </w:rPr>
        <w:t xml:space="preserve"> </w:t>
      </w:r>
      <w:r w:rsidR="00ED6EC1" w:rsidRPr="00ED6EC1">
        <w:rPr>
          <w:rFonts w:asciiTheme="majorHAnsi" w:hAnsiTheme="majorHAnsi" w:cstheme="majorBidi"/>
        </w:rPr>
        <w:t>equipment</w:t>
      </w:r>
      <w:r w:rsidR="000B097E">
        <w:rPr>
          <w:rFonts w:asciiTheme="majorHAnsi" w:hAnsiTheme="majorHAnsi" w:cstheme="majorBidi"/>
        </w:rPr>
        <w:t>.</w:t>
      </w:r>
    </w:p>
    <w:p w14:paraId="659D5B5C" w14:textId="77777777" w:rsidR="00BD7CED" w:rsidRDefault="00BD7CED" w:rsidP="0022166B">
      <w:pPr>
        <w:rPr>
          <w:rFonts w:asciiTheme="majorHAnsi" w:hAnsiTheme="majorHAnsi" w:cstheme="majorBidi"/>
        </w:rPr>
      </w:pPr>
    </w:p>
    <w:p w14:paraId="08A6A1C5" w14:textId="2C3B8B98" w:rsidR="00C470E5" w:rsidRDefault="000B097E" w:rsidP="0022166B">
      <w:pPr>
        <w:rPr>
          <w:rFonts w:asciiTheme="majorHAnsi" w:hAnsiTheme="majorHAnsi" w:cstheme="majorBidi"/>
        </w:rPr>
      </w:pPr>
      <w:r>
        <w:rPr>
          <w:rFonts w:asciiTheme="majorHAnsi" w:hAnsiTheme="majorHAnsi" w:cstheme="majorBidi"/>
        </w:rPr>
        <w:t xml:space="preserve"> S</w:t>
      </w:r>
      <w:r w:rsidR="00ED6EC1" w:rsidRPr="00ED6EC1">
        <w:rPr>
          <w:rFonts w:asciiTheme="majorHAnsi" w:hAnsiTheme="majorHAnsi" w:cstheme="majorBidi"/>
        </w:rPr>
        <w:t>ince the cooling savings of a heat pump and central air</w:t>
      </w:r>
      <w:r w:rsidR="00ED6EC1">
        <w:rPr>
          <w:rFonts w:asciiTheme="majorHAnsi" w:hAnsiTheme="majorHAnsi" w:cstheme="majorBidi"/>
        </w:rPr>
        <w:t xml:space="preserve"> </w:t>
      </w:r>
      <w:r w:rsidR="00ED6EC1" w:rsidRPr="00ED6EC1">
        <w:rPr>
          <w:rFonts w:asciiTheme="majorHAnsi" w:hAnsiTheme="majorHAnsi" w:cstheme="majorBidi"/>
        </w:rPr>
        <w:t>condition</w:t>
      </w:r>
      <w:r w:rsidR="00ED6EC1">
        <w:rPr>
          <w:rFonts w:asciiTheme="majorHAnsi" w:hAnsiTheme="majorHAnsi" w:cstheme="majorBidi"/>
        </w:rPr>
        <w:t xml:space="preserve"> </w:t>
      </w:r>
      <w:r w:rsidR="00ED6EC1" w:rsidRPr="00ED6EC1">
        <w:rPr>
          <w:rFonts w:asciiTheme="majorHAnsi" w:hAnsiTheme="majorHAnsi" w:cstheme="majorBidi"/>
        </w:rPr>
        <w:t>unit are similar</w:t>
      </w:r>
      <w:r>
        <w:rPr>
          <w:rFonts w:asciiTheme="majorHAnsi" w:hAnsiTheme="majorHAnsi" w:cstheme="majorBidi"/>
        </w:rPr>
        <w:t>, the same cooling savings are used</w:t>
      </w:r>
      <w:r w:rsidR="00ED6EC1" w:rsidRPr="00ED6EC1">
        <w:rPr>
          <w:rFonts w:asciiTheme="majorHAnsi" w:hAnsiTheme="majorHAnsi" w:cstheme="majorBidi"/>
        </w:rPr>
        <w:t>.</w:t>
      </w:r>
      <w:r w:rsidR="0022166B">
        <w:rPr>
          <w:rFonts w:asciiTheme="majorHAnsi" w:hAnsiTheme="majorHAnsi" w:cstheme="majorBidi"/>
        </w:rPr>
        <w:t xml:space="preserve"> </w:t>
      </w:r>
      <w:r w:rsidR="0022166B" w:rsidRPr="0022166B">
        <w:rPr>
          <w:rFonts w:asciiTheme="majorHAnsi" w:hAnsiTheme="majorHAnsi" w:cstheme="majorBidi"/>
        </w:rPr>
        <w:t>The</w:t>
      </w:r>
      <w:r w:rsidR="0022166B">
        <w:rPr>
          <w:rFonts w:asciiTheme="majorHAnsi" w:hAnsiTheme="majorHAnsi" w:cstheme="majorBidi"/>
        </w:rPr>
        <w:t xml:space="preserve"> </w:t>
      </w:r>
      <w:r w:rsidR="0022166B" w:rsidRPr="0022166B">
        <w:rPr>
          <w:rFonts w:asciiTheme="majorHAnsi" w:hAnsiTheme="majorHAnsi" w:cstheme="majorBidi"/>
        </w:rPr>
        <w:t>efficiency of a heat pump varies significantly with outdoor ambient temperature</w:t>
      </w:r>
      <w:r w:rsidR="0022166B">
        <w:rPr>
          <w:rFonts w:asciiTheme="majorHAnsi" w:hAnsiTheme="majorHAnsi" w:cstheme="majorBidi"/>
        </w:rPr>
        <w:t>. T</w:t>
      </w:r>
      <w:r w:rsidR="0022166B" w:rsidRPr="0022166B">
        <w:rPr>
          <w:rFonts w:asciiTheme="majorHAnsi" w:hAnsiTheme="majorHAnsi" w:cstheme="majorBidi"/>
        </w:rPr>
        <w:t>herefore, the savings profile</w:t>
      </w:r>
      <w:r w:rsidR="0022166B">
        <w:rPr>
          <w:rFonts w:asciiTheme="majorHAnsi" w:hAnsiTheme="majorHAnsi" w:cstheme="majorBidi"/>
        </w:rPr>
        <w:t xml:space="preserve"> </w:t>
      </w:r>
      <w:r w:rsidR="0022166B" w:rsidRPr="0022166B">
        <w:rPr>
          <w:rFonts w:asciiTheme="majorHAnsi" w:hAnsiTheme="majorHAnsi" w:cstheme="majorBidi"/>
        </w:rPr>
        <w:t>of a heat pump will be very different from a natural gas-fired furnace</w:t>
      </w:r>
      <w:r w:rsidR="00FA0ABF">
        <w:rPr>
          <w:rFonts w:asciiTheme="majorHAnsi" w:hAnsiTheme="majorHAnsi" w:cstheme="majorBidi"/>
        </w:rPr>
        <w:t xml:space="preserve"> and as a result, </w:t>
      </w:r>
      <w:r w:rsidR="00F06EA6">
        <w:rPr>
          <w:rFonts w:asciiTheme="majorHAnsi" w:hAnsiTheme="majorHAnsi" w:cstheme="majorBidi"/>
        </w:rPr>
        <w:t xml:space="preserve">the space heating savings cannot be </w:t>
      </w:r>
      <w:r w:rsidR="009877A8">
        <w:rPr>
          <w:rFonts w:asciiTheme="majorHAnsi" w:hAnsiTheme="majorHAnsi" w:cstheme="majorBidi"/>
        </w:rPr>
        <w:t>calculated</w:t>
      </w:r>
      <w:r w:rsidR="00F06EA6">
        <w:rPr>
          <w:rFonts w:asciiTheme="majorHAnsi" w:hAnsiTheme="majorHAnsi" w:cstheme="majorBidi"/>
        </w:rPr>
        <w:t xml:space="preserve"> using the same approach. </w:t>
      </w:r>
      <w:r w:rsidR="00303A08">
        <w:rPr>
          <w:rFonts w:asciiTheme="majorHAnsi" w:hAnsiTheme="majorHAnsi" w:cstheme="majorBidi"/>
        </w:rPr>
        <w:t xml:space="preserve"> </w:t>
      </w:r>
      <w:r w:rsidR="00865FEE">
        <w:rPr>
          <w:rFonts w:asciiTheme="majorHAnsi" w:hAnsiTheme="majorHAnsi" w:cstheme="majorBidi"/>
        </w:rPr>
        <w:t xml:space="preserve">Electric space heating savings are not included for heat pump equipment. </w:t>
      </w:r>
    </w:p>
    <w:p w14:paraId="2A844D14" w14:textId="63CDA7EA" w:rsidR="00C470E5" w:rsidRDefault="00C470E5">
      <w:pPr>
        <w:rPr>
          <w:rFonts w:asciiTheme="majorHAnsi" w:hAnsiTheme="majorHAnsi" w:cstheme="majorBidi"/>
        </w:rPr>
      </w:pPr>
    </w:p>
    <w:p w14:paraId="4375F409" w14:textId="3A3981BD" w:rsidR="00283086" w:rsidRPr="00B435B1" w:rsidRDefault="00BD7CED">
      <w:pPr>
        <w:rPr>
          <w:rFonts w:asciiTheme="majorHAnsi" w:hAnsiTheme="majorHAnsi" w:cstheme="majorBidi"/>
        </w:rPr>
      </w:pPr>
      <w:r>
        <w:rPr>
          <w:rFonts w:asciiTheme="majorHAnsi" w:hAnsiTheme="majorHAnsi" w:cstheme="majorBidi"/>
        </w:rPr>
        <w:t>M</w:t>
      </w:r>
      <w:r w:rsidR="00DE6B2C" w:rsidRPr="00B435B1">
        <w:rPr>
          <w:rFonts w:asciiTheme="majorHAnsi" w:hAnsiTheme="majorHAnsi" w:cstheme="majorBidi"/>
        </w:rPr>
        <w:t>easure savings potentials for</w:t>
      </w:r>
      <w:r w:rsidR="00386539" w:rsidRPr="00B435B1">
        <w:rPr>
          <w:rFonts w:asciiTheme="majorHAnsi" w:hAnsiTheme="majorHAnsi" w:cstheme="majorBidi"/>
        </w:rPr>
        <w:t xml:space="preserve"> </w:t>
      </w:r>
      <w:r w:rsidR="003918D5" w:rsidRPr="00B435B1">
        <w:rPr>
          <w:rFonts w:asciiTheme="majorHAnsi" w:hAnsiTheme="majorHAnsi" w:cstheme="majorBidi"/>
        </w:rPr>
        <w:t xml:space="preserve">smart thermostat </w:t>
      </w:r>
      <w:r w:rsidR="00DE6B2C" w:rsidRPr="00B435B1">
        <w:rPr>
          <w:rFonts w:asciiTheme="majorHAnsi" w:hAnsiTheme="majorHAnsi" w:cstheme="majorBidi"/>
        </w:rPr>
        <w:t xml:space="preserve">controlling heat pump </w:t>
      </w:r>
      <w:r w:rsidR="003918D5" w:rsidRPr="00B435B1">
        <w:rPr>
          <w:rFonts w:asciiTheme="majorHAnsi" w:hAnsiTheme="majorHAnsi" w:cstheme="majorBidi"/>
        </w:rPr>
        <w:t xml:space="preserve">HVAC </w:t>
      </w:r>
      <w:r w:rsidR="00DE6B2C" w:rsidRPr="00B435B1">
        <w:rPr>
          <w:rFonts w:asciiTheme="majorHAnsi" w:hAnsiTheme="majorHAnsi" w:cstheme="majorBidi"/>
        </w:rPr>
        <w:t>equipme</w:t>
      </w:r>
      <w:r w:rsidR="00386539" w:rsidRPr="00B435B1">
        <w:rPr>
          <w:rFonts w:asciiTheme="majorHAnsi" w:hAnsiTheme="majorHAnsi" w:cstheme="majorBidi"/>
        </w:rPr>
        <w:t>nt</w:t>
      </w:r>
      <w:r>
        <w:rPr>
          <w:rFonts w:asciiTheme="majorHAnsi" w:hAnsiTheme="majorHAnsi" w:cstheme="majorBidi"/>
        </w:rPr>
        <w:t xml:space="preserve"> (under cooling mode)</w:t>
      </w:r>
      <w:r w:rsidR="00386539" w:rsidRPr="00B435B1">
        <w:rPr>
          <w:rFonts w:asciiTheme="majorHAnsi" w:hAnsiTheme="majorHAnsi" w:cstheme="majorBidi"/>
        </w:rPr>
        <w:t xml:space="preserve"> are </w:t>
      </w:r>
      <w:r w:rsidR="005F6357" w:rsidRPr="00B435B1">
        <w:rPr>
          <w:rFonts w:asciiTheme="majorHAnsi" w:hAnsiTheme="majorHAnsi" w:cstheme="majorBidi"/>
        </w:rPr>
        <w:t xml:space="preserve">conservatively </w:t>
      </w:r>
      <w:r w:rsidR="00386539" w:rsidRPr="00B435B1">
        <w:rPr>
          <w:rFonts w:asciiTheme="majorHAnsi" w:hAnsiTheme="majorHAnsi" w:cstheme="majorBidi"/>
        </w:rPr>
        <w:t>estimated</w:t>
      </w:r>
      <w:r w:rsidR="005F6357" w:rsidRPr="00B435B1">
        <w:rPr>
          <w:rFonts w:asciiTheme="majorHAnsi" w:hAnsiTheme="majorHAnsi" w:cstheme="majorBidi"/>
        </w:rPr>
        <w:t xml:space="preserve"> as follow</w:t>
      </w:r>
      <w:r w:rsidR="00F1633E" w:rsidRPr="00B435B1">
        <w:rPr>
          <w:rFonts w:asciiTheme="majorHAnsi" w:hAnsiTheme="majorHAnsi" w:cstheme="majorBidi"/>
        </w:rPr>
        <w:t xml:space="preserve">: </w:t>
      </w:r>
    </w:p>
    <w:p w14:paraId="79A55148" w14:textId="2C1C8390" w:rsidR="00DE6B2C" w:rsidRDefault="00DE6B2C" w:rsidP="006E54D1">
      <w:pPr>
        <w:rPr>
          <w:rFonts w:asciiTheme="majorHAnsi" w:hAnsiTheme="majorHAnsi" w:cstheme="majorHAnsi"/>
        </w:rPr>
      </w:pPr>
    </w:p>
    <w:p w14:paraId="5C563C2F" w14:textId="4818FC6D" w:rsidR="00377464" w:rsidRPr="00C470E5" w:rsidRDefault="00377464" w:rsidP="00DF79EA">
      <w:pPr>
        <w:pStyle w:val="ListParagraph"/>
        <w:numPr>
          <w:ilvl w:val="0"/>
          <w:numId w:val="119"/>
        </w:numPr>
        <w:rPr>
          <w:rFonts w:asciiTheme="majorHAnsi" w:hAnsiTheme="majorHAnsi" w:cstheme="majorBidi"/>
          <w:iCs/>
        </w:rPr>
      </w:pPr>
      <w:r>
        <w:rPr>
          <w:rFonts w:asciiTheme="majorHAnsi" w:hAnsiTheme="majorHAnsi" w:cstheme="majorBidi"/>
          <w:iCs/>
        </w:rPr>
        <w:t>B</w:t>
      </w:r>
      <w:r w:rsidRPr="00377464">
        <w:rPr>
          <w:rFonts w:asciiTheme="majorHAnsi" w:hAnsiTheme="majorHAnsi" w:cstheme="majorBidi"/>
          <w:iCs/>
        </w:rPr>
        <w:t>aseline characteriz</w:t>
      </w:r>
      <w:r w:rsidR="00C470E5">
        <w:rPr>
          <w:rFonts w:asciiTheme="majorHAnsi" w:hAnsiTheme="majorHAnsi" w:cstheme="majorBidi"/>
          <w:iCs/>
        </w:rPr>
        <w:t xml:space="preserve">ation for this measure </w:t>
      </w:r>
      <w:r w:rsidRPr="00377464">
        <w:rPr>
          <w:rFonts w:asciiTheme="majorHAnsi" w:hAnsiTheme="majorHAnsi" w:cstheme="majorBidi"/>
          <w:iCs/>
        </w:rPr>
        <w:t xml:space="preserve">informed by PGE’s Smart Thermostat Program </w:t>
      </w:r>
      <w:r>
        <w:rPr>
          <w:rFonts w:asciiTheme="majorHAnsi" w:hAnsiTheme="majorHAnsi" w:cstheme="majorBidi"/>
          <w:iCs/>
        </w:rPr>
        <w:t xml:space="preserve">Process Evaluation </w:t>
      </w:r>
      <w:r w:rsidRPr="00377464">
        <w:rPr>
          <w:rFonts w:asciiTheme="majorHAnsi" w:hAnsiTheme="majorHAnsi" w:cstheme="majorBidi"/>
          <w:iCs/>
        </w:rPr>
        <w:t xml:space="preserve">Report [Attachment 5].  </w:t>
      </w:r>
    </w:p>
    <w:p w14:paraId="0924463C" w14:textId="0F0A18B2" w:rsidR="00DE6B2C" w:rsidRPr="00250C22" w:rsidRDefault="00DE6B2C" w:rsidP="00250C22">
      <w:pPr>
        <w:pStyle w:val="ListParagraph"/>
        <w:numPr>
          <w:ilvl w:val="0"/>
          <w:numId w:val="119"/>
        </w:numPr>
        <w:rPr>
          <w:rFonts w:asciiTheme="majorHAnsi" w:hAnsiTheme="majorHAnsi" w:cstheme="majorBidi"/>
        </w:rPr>
      </w:pPr>
      <w:r w:rsidRPr="00250C22">
        <w:rPr>
          <w:rFonts w:asciiTheme="majorHAnsi" w:hAnsiTheme="majorHAnsi" w:cstheme="majorBidi"/>
        </w:rPr>
        <w:t>Estimate baseline HVAC (compressor + fan</w:t>
      </w:r>
      <w:r w:rsidR="00345FED" w:rsidRPr="000E623B">
        <w:rPr>
          <w:rFonts w:asciiTheme="majorHAnsi" w:hAnsiTheme="majorHAnsi" w:cstheme="majorBidi"/>
        </w:rPr>
        <w:t xml:space="preserve"> </w:t>
      </w:r>
      <w:r w:rsidR="008C5A42" w:rsidRPr="000E623B">
        <w:rPr>
          <w:rFonts w:asciiTheme="majorHAnsi" w:hAnsiTheme="majorHAnsi" w:cstheme="majorBidi"/>
        </w:rPr>
        <w:t>+ HP supplemental</w:t>
      </w:r>
      <w:r w:rsidR="00345FED" w:rsidRPr="000E623B">
        <w:rPr>
          <w:rFonts w:asciiTheme="majorHAnsi" w:hAnsiTheme="majorHAnsi" w:cstheme="majorBidi"/>
        </w:rPr>
        <w:t xml:space="preserve"> (heating only)</w:t>
      </w:r>
      <w:r w:rsidRPr="00250C22">
        <w:rPr>
          <w:rFonts w:asciiTheme="majorHAnsi" w:hAnsiTheme="majorHAnsi" w:cstheme="majorBidi"/>
        </w:rPr>
        <w:t xml:space="preserve">) </w:t>
      </w:r>
      <w:r w:rsidR="008C5A42" w:rsidRPr="000E623B">
        <w:rPr>
          <w:rFonts w:asciiTheme="majorHAnsi" w:hAnsiTheme="majorHAnsi" w:cstheme="majorBidi"/>
        </w:rPr>
        <w:t xml:space="preserve">annual </w:t>
      </w:r>
      <w:r w:rsidRPr="00250C22">
        <w:rPr>
          <w:rFonts w:asciiTheme="majorHAnsi" w:hAnsiTheme="majorHAnsi" w:cstheme="majorBidi"/>
        </w:rPr>
        <w:t>energy consumption</w:t>
      </w:r>
      <w:r w:rsidRPr="000E623B">
        <w:rPr>
          <w:rFonts w:asciiTheme="majorHAnsi" w:hAnsiTheme="majorHAnsi" w:cstheme="majorBidi"/>
        </w:rPr>
        <w:t xml:space="preserve"> for SFM, MFM, and </w:t>
      </w:r>
      <w:r w:rsidR="00A57E5C" w:rsidRPr="000E623B">
        <w:rPr>
          <w:rFonts w:asciiTheme="majorHAnsi" w:hAnsiTheme="majorHAnsi" w:cstheme="majorBidi"/>
        </w:rPr>
        <w:t>DMO</w:t>
      </w:r>
      <w:r w:rsidRPr="00250C22">
        <w:rPr>
          <w:rFonts w:asciiTheme="majorHAnsi" w:hAnsiTheme="majorHAnsi" w:cstheme="majorBidi"/>
        </w:rPr>
        <w:t xml:space="preserve"> using latest MC3 DEER prototype</w:t>
      </w:r>
      <w:r w:rsidRPr="000E623B">
        <w:rPr>
          <w:rFonts w:asciiTheme="majorHAnsi" w:hAnsiTheme="majorHAnsi" w:cstheme="majorBidi"/>
        </w:rPr>
        <w:t xml:space="preserve"> for each Climate Zone</w:t>
      </w:r>
      <w:r w:rsidR="005F6357">
        <w:rPr>
          <w:rFonts w:asciiTheme="majorHAnsi" w:hAnsiTheme="majorHAnsi" w:cstheme="majorBidi"/>
        </w:rPr>
        <w:t xml:space="preserve"> using assumptions described in Section 2.</w:t>
      </w:r>
    </w:p>
    <w:p w14:paraId="716AFC39" w14:textId="4F340F95" w:rsidR="00DE6B2C" w:rsidRPr="00250C22" w:rsidRDefault="00DE6B2C" w:rsidP="00250C22">
      <w:pPr>
        <w:pStyle w:val="ListParagraph"/>
        <w:numPr>
          <w:ilvl w:val="0"/>
          <w:numId w:val="119"/>
        </w:numPr>
        <w:rPr>
          <w:rFonts w:asciiTheme="majorHAnsi" w:hAnsiTheme="majorHAnsi" w:cstheme="majorBidi"/>
        </w:rPr>
      </w:pPr>
      <w:r w:rsidRPr="000E623B">
        <w:rPr>
          <w:rFonts w:asciiTheme="majorHAnsi" w:hAnsiTheme="majorHAnsi" w:cstheme="majorBidi"/>
        </w:rPr>
        <w:t>Disaggregate</w:t>
      </w:r>
      <w:r w:rsidR="00323922" w:rsidRPr="000E623B">
        <w:rPr>
          <w:rFonts w:asciiTheme="majorHAnsi" w:hAnsiTheme="majorHAnsi" w:cstheme="majorBidi"/>
        </w:rPr>
        <w:t xml:space="preserve"> </w:t>
      </w:r>
      <w:r w:rsidR="008C5A42" w:rsidRPr="000E623B">
        <w:rPr>
          <w:rFonts w:asciiTheme="majorHAnsi" w:hAnsiTheme="majorHAnsi" w:cstheme="majorBidi"/>
        </w:rPr>
        <w:t xml:space="preserve">baseline </w:t>
      </w:r>
      <w:r w:rsidR="00A70E21" w:rsidRPr="000E623B">
        <w:rPr>
          <w:rFonts w:asciiTheme="majorHAnsi" w:hAnsiTheme="majorHAnsi" w:cstheme="majorBidi"/>
        </w:rPr>
        <w:t xml:space="preserve">fan </w:t>
      </w:r>
      <w:r w:rsidR="00323922" w:rsidRPr="000E623B">
        <w:rPr>
          <w:rFonts w:asciiTheme="majorHAnsi" w:hAnsiTheme="majorHAnsi" w:cstheme="majorBidi"/>
        </w:rPr>
        <w:t>energy consumption</w:t>
      </w:r>
      <w:r w:rsidR="00A70E21" w:rsidRPr="000E623B">
        <w:rPr>
          <w:rFonts w:asciiTheme="majorHAnsi" w:hAnsiTheme="majorHAnsi" w:cstheme="majorBidi"/>
        </w:rPr>
        <w:t xml:space="preserve"> for </w:t>
      </w:r>
      <w:r w:rsidR="00323922" w:rsidRPr="000E623B">
        <w:rPr>
          <w:rFonts w:asciiTheme="majorHAnsi" w:hAnsiTheme="majorHAnsi" w:cstheme="majorBidi"/>
        </w:rPr>
        <w:t xml:space="preserve">HVAC </w:t>
      </w:r>
      <w:r w:rsidRPr="00250C22">
        <w:rPr>
          <w:rFonts w:asciiTheme="majorHAnsi" w:hAnsiTheme="majorHAnsi" w:cstheme="majorBidi"/>
        </w:rPr>
        <w:t xml:space="preserve">cooling </w:t>
      </w:r>
      <w:r w:rsidRPr="000E623B">
        <w:rPr>
          <w:rFonts w:asciiTheme="majorHAnsi" w:hAnsiTheme="majorHAnsi" w:cstheme="majorBidi"/>
        </w:rPr>
        <w:t xml:space="preserve">per Climate Zone </w:t>
      </w:r>
      <w:r w:rsidRPr="00250C22">
        <w:rPr>
          <w:rFonts w:asciiTheme="majorHAnsi" w:hAnsiTheme="majorHAnsi" w:cstheme="majorBidi"/>
        </w:rPr>
        <w:t>based on CTZ2010 weather cooling</w:t>
      </w:r>
      <w:r w:rsidR="00323922" w:rsidRPr="000E623B">
        <w:rPr>
          <w:rFonts w:asciiTheme="majorHAnsi" w:hAnsiTheme="majorHAnsi" w:cstheme="majorBidi"/>
        </w:rPr>
        <w:t xml:space="preserve"> (CDD)</w:t>
      </w:r>
      <w:r w:rsidRPr="00250C22">
        <w:rPr>
          <w:rFonts w:asciiTheme="majorHAnsi" w:hAnsiTheme="majorHAnsi" w:cstheme="majorBidi"/>
        </w:rPr>
        <w:t xml:space="preserve"> degree day</w:t>
      </w:r>
      <w:r w:rsidRPr="000E623B">
        <w:rPr>
          <w:rFonts w:asciiTheme="majorHAnsi" w:hAnsiTheme="majorHAnsi" w:cstheme="majorBidi"/>
        </w:rPr>
        <w:t>s</w:t>
      </w:r>
      <w:r w:rsidR="005F6357">
        <w:rPr>
          <w:rFonts w:asciiTheme="majorHAnsi" w:hAnsiTheme="majorHAnsi" w:cstheme="majorBidi"/>
        </w:rPr>
        <w:t>.</w:t>
      </w:r>
      <w:r w:rsidRPr="00250C22">
        <w:rPr>
          <w:rFonts w:asciiTheme="majorHAnsi" w:hAnsiTheme="majorHAnsi" w:cstheme="majorBidi"/>
        </w:rPr>
        <w:t xml:space="preserve"> </w:t>
      </w:r>
    </w:p>
    <w:p w14:paraId="33C98F0A" w14:textId="612A733F" w:rsidR="0094032B" w:rsidRPr="00EC722D" w:rsidRDefault="00323922" w:rsidP="00EC722D">
      <w:pPr>
        <w:pStyle w:val="ListParagraph"/>
        <w:numPr>
          <w:ilvl w:val="0"/>
          <w:numId w:val="119"/>
        </w:numPr>
        <w:rPr>
          <w:rFonts w:asciiTheme="majorHAnsi" w:hAnsiTheme="majorHAnsi" w:cstheme="majorBidi"/>
        </w:rPr>
      </w:pPr>
      <w:r w:rsidRPr="000E623B">
        <w:rPr>
          <w:rFonts w:asciiTheme="majorHAnsi" w:hAnsiTheme="majorHAnsi" w:cstheme="majorBidi"/>
        </w:rPr>
        <w:t xml:space="preserve">Estimate energy savings </w:t>
      </w:r>
      <w:r w:rsidR="00F20B3A">
        <w:rPr>
          <w:rFonts w:asciiTheme="majorHAnsi" w:hAnsiTheme="majorHAnsi" w:cstheme="majorBidi"/>
        </w:rPr>
        <w:t>potential</w:t>
      </w:r>
      <w:r w:rsidR="00EC722D">
        <w:rPr>
          <w:rFonts w:asciiTheme="majorHAnsi" w:hAnsiTheme="majorHAnsi" w:cstheme="majorBidi"/>
        </w:rPr>
        <w:t>s</w:t>
      </w:r>
      <w:r w:rsidR="00F20B3A">
        <w:rPr>
          <w:rFonts w:asciiTheme="majorHAnsi" w:hAnsiTheme="majorHAnsi" w:cstheme="majorBidi"/>
        </w:rPr>
        <w:t xml:space="preserve"> for cooling</w:t>
      </w:r>
      <w:r w:rsidR="00EC722D">
        <w:rPr>
          <w:rFonts w:asciiTheme="majorHAnsi" w:hAnsiTheme="majorHAnsi" w:cstheme="majorBidi"/>
        </w:rPr>
        <w:t xml:space="preserve"> for SFM</w:t>
      </w:r>
      <w:r w:rsidRPr="000E623B">
        <w:rPr>
          <w:rFonts w:asciiTheme="majorHAnsi" w:hAnsiTheme="majorHAnsi" w:cstheme="majorBidi"/>
        </w:rPr>
        <w:t xml:space="preserve"> b</w:t>
      </w:r>
      <w:r w:rsidR="00DA21AF" w:rsidRPr="000E623B">
        <w:rPr>
          <w:rFonts w:asciiTheme="majorHAnsi" w:hAnsiTheme="majorHAnsi" w:cstheme="majorBidi"/>
        </w:rPr>
        <w:t xml:space="preserve">y applying </w:t>
      </w:r>
      <w:r w:rsidRPr="000E623B">
        <w:rPr>
          <w:rFonts w:asciiTheme="majorHAnsi" w:hAnsiTheme="majorHAnsi" w:cstheme="majorBidi"/>
        </w:rPr>
        <w:t xml:space="preserve">estimated energy savings </w:t>
      </w:r>
      <w:r w:rsidR="00DA21AF" w:rsidRPr="000E623B">
        <w:rPr>
          <w:rFonts w:asciiTheme="majorHAnsi" w:hAnsiTheme="majorHAnsi" w:cstheme="majorBidi"/>
        </w:rPr>
        <w:t>contribution</w:t>
      </w:r>
      <w:r w:rsidR="0012415A">
        <w:rPr>
          <w:rFonts w:asciiTheme="majorHAnsi" w:hAnsiTheme="majorHAnsi" w:cstheme="majorBidi"/>
        </w:rPr>
        <w:t>s</w:t>
      </w:r>
      <w:r w:rsidR="00EC722D">
        <w:rPr>
          <w:rFonts w:asciiTheme="majorHAnsi" w:hAnsiTheme="majorHAnsi" w:cstheme="majorBidi"/>
        </w:rPr>
        <w:t xml:space="preserve"> </w:t>
      </w:r>
      <w:r w:rsidR="00DA21AF" w:rsidRPr="000E623B">
        <w:rPr>
          <w:rFonts w:asciiTheme="majorHAnsi" w:hAnsiTheme="majorHAnsi" w:cstheme="majorBidi"/>
        </w:rPr>
        <w:t>from</w:t>
      </w:r>
      <w:r w:rsidR="00F20B3A">
        <w:rPr>
          <w:rFonts w:asciiTheme="majorHAnsi" w:hAnsiTheme="majorHAnsi" w:cstheme="majorBidi"/>
        </w:rPr>
        <w:t xml:space="preserve"> </w:t>
      </w:r>
      <w:r w:rsidR="00DA21AF" w:rsidRPr="000E623B">
        <w:rPr>
          <w:rFonts w:asciiTheme="majorHAnsi" w:hAnsiTheme="majorHAnsi" w:cstheme="majorBidi"/>
        </w:rPr>
        <w:t>PGE</w:t>
      </w:r>
      <w:r w:rsidRPr="000E623B">
        <w:rPr>
          <w:rFonts w:asciiTheme="majorHAnsi" w:hAnsiTheme="majorHAnsi" w:cstheme="majorBidi"/>
        </w:rPr>
        <w:t xml:space="preserve"> Year 1</w:t>
      </w:r>
      <w:r w:rsidR="0012415A">
        <w:rPr>
          <w:rFonts w:asciiTheme="majorHAnsi" w:hAnsiTheme="majorHAnsi" w:cstheme="majorBidi"/>
        </w:rPr>
        <w:t xml:space="preserve"> </w:t>
      </w:r>
      <w:r w:rsidR="00EC722D">
        <w:rPr>
          <w:rFonts w:asciiTheme="majorHAnsi" w:hAnsiTheme="majorHAnsi" w:cstheme="majorBidi"/>
        </w:rPr>
        <w:t>study</w:t>
      </w:r>
      <w:r w:rsidRPr="00265801">
        <w:rPr>
          <w:rFonts w:asciiTheme="majorHAnsi" w:hAnsiTheme="majorHAnsi" w:cstheme="majorBidi"/>
        </w:rPr>
        <w:t>.</w:t>
      </w:r>
      <w:r w:rsidR="00EC722D">
        <w:rPr>
          <w:rFonts w:asciiTheme="majorHAnsi" w:hAnsiTheme="majorHAnsi" w:cstheme="majorBidi"/>
        </w:rPr>
        <w:t xml:space="preserve">  S</w:t>
      </w:r>
      <w:r w:rsidR="0094032B" w:rsidRPr="00EC722D">
        <w:rPr>
          <w:rFonts w:asciiTheme="majorHAnsi" w:hAnsiTheme="majorHAnsi" w:cstheme="majorBidi"/>
        </w:rPr>
        <w:t xml:space="preserve">avings for MFM and DMo are </w:t>
      </w:r>
      <w:r w:rsidR="00EC722D">
        <w:rPr>
          <w:rFonts w:asciiTheme="majorHAnsi" w:hAnsiTheme="majorHAnsi" w:cstheme="majorBidi"/>
        </w:rPr>
        <w:t>projected</w:t>
      </w:r>
      <w:r w:rsidR="0094032B" w:rsidRPr="00EC722D">
        <w:rPr>
          <w:rFonts w:asciiTheme="majorHAnsi" w:hAnsiTheme="majorHAnsi" w:cstheme="majorBidi"/>
        </w:rPr>
        <w:t xml:space="preserve"> per adjustment factors described under Section 2.3. </w:t>
      </w:r>
    </w:p>
    <w:p w14:paraId="1B032A24" w14:textId="7CC79C1D" w:rsidR="0094032B" w:rsidRPr="00C470E5" w:rsidRDefault="0094032B" w:rsidP="00C470E5">
      <w:pPr>
        <w:pStyle w:val="ListParagraph"/>
        <w:numPr>
          <w:ilvl w:val="0"/>
          <w:numId w:val="119"/>
        </w:numPr>
        <w:rPr>
          <w:rFonts w:asciiTheme="majorHAnsi" w:hAnsiTheme="majorHAnsi" w:cstheme="majorBidi"/>
        </w:rPr>
      </w:pPr>
    </w:p>
    <w:p w14:paraId="16364A10" w14:textId="2E61DD3E" w:rsidR="00A70E21" w:rsidRDefault="00A70E21" w:rsidP="00250C22">
      <w:pPr>
        <w:pStyle w:val="ListParagraph"/>
        <w:rPr>
          <w:rFonts w:asciiTheme="majorHAnsi" w:hAnsiTheme="majorHAnsi" w:cstheme="majorHAnsi"/>
        </w:rPr>
      </w:pPr>
    </w:p>
    <w:p w14:paraId="592DDB52" w14:textId="5C83CE3F" w:rsidR="00E9754A" w:rsidRPr="00250C22" w:rsidRDefault="008C5A42" w:rsidP="00250C22">
      <w:pPr>
        <w:pStyle w:val="ListParagraph"/>
        <w:rPr>
          <w:rFonts w:asciiTheme="majorHAnsi" w:hAnsiTheme="majorHAnsi" w:cstheme="majorBidi"/>
          <w:i/>
          <w:iCs/>
        </w:rPr>
      </w:pPr>
      <w:r w:rsidRPr="00250C22">
        <w:rPr>
          <w:rFonts w:asciiTheme="majorHAnsi" w:hAnsiTheme="majorHAnsi" w:cstheme="majorBidi"/>
          <w:b/>
          <w:bCs/>
          <w:i/>
          <w:iCs/>
          <w:sz w:val="20"/>
          <w:szCs w:val="20"/>
        </w:rPr>
        <w:t xml:space="preserve">HP (Cooling Savings) = </w:t>
      </w:r>
      <w:r w:rsidR="00A70E21" w:rsidRPr="00250C22">
        <w:rPr>
          <w:rFonts w:asciiTheme="majorHAnsi" w:hAnsiTheme="majorHAnsi" w:cstheme="majorBidi"/>
          <w:b/>
          <w:bCs/>
          <w:i/>
          <w:iCs/>
          <w:sz w:val="20"/>
          <w:szCs w:val="20"/>
        </w:rPr>
        <w:t>[</w:t>
      </w:r>
      <w:r w:rsidRPr="00250C22">
        <w:rPr>
          <w:rFonts w:asciiTheme="majorHAnsi" w:hAnsiTheme="majorHAnsi" w:cstheme="majorBidi"/>
          <w:b/>
          <w:bCs/>
          <w:i/>
          <w:iCs/>
          <w:sz w:val="20"/>
          <w:szCs w:val="20"/>
        </w:rPr>
        <w:t>(</w:t>
      </w:r>
      <w:r w:rsidR="003579E1" w:rsidRPr="00250C22">
        <w:rPr>
          <w:rFonts w:asciiTheme="majorHAnsi" w:hAnsiTheme="majorHAnsi" w:cstheme="majorBidi"/>
          <w:b/>
          <w:bCs/>
          <w:i/>
          <w:iCs/>
          <w:sz w:val="20"/>
          <w:szCs w:val="20"/>
        </w:rPr>
        <w:t xml:space="preserve">HP </w:t>
      </w:r>
      <w:r w:rsidR="00A0623D" w:rsidRPr="00250C22">
        <w:rPr>
          <w:rFonts w:asciiTheme="majorHAnsi" w:hAnsiTheme="majorHAnsi" w:cstheme="majorBidi"/>
          <w:b/>
          <w:bCs/>
          <w:i/>
          <w:iCs/>
          <w:sz w:val="20"/>
          <w:szCs w:val="20"/>
        </w:rPr>
        <w:t>Annual</w:t>
      </w:r>
      <w:r w:rsidRPr="00250C22">
        <w:rPr>
          <w:rFonts w:asciiTheme="majorHAnsi" w:hAnsiTheme="majorHAnsi" w:cstheme="majorBidi"/>
          <w:b/>
          <w:bCs/>
          <w:i/>
          <w:iCs/>
          <w:sz w:val="20"/>
          <w:szCs w:val="20"/>
        </w:rPr>
        <w:t xml:space="preserve"> </w:t>
      </w:r>
      <w:r w:rsidR="00A70E21" w:rsidRPr="00250C22">
        <w:rPr>
          <w:rFonts w:asciiTheme="majorHAnsi" w:hAnsiTheme="majorHAnsi" w:cstheme="majorBidi"/>
          <w:b/>
          <w:bCs/>
          <w:i/>
          <w:iCs/>
          <w:sz w:val="20"/>
          <w:szCs w:val="20"/>
        </w:rPr>
        <w:t xml:space="preserve">Cooling </w:t>
      </w:r>
      <w:r w:rsidRPr="00250C22">
        <w:rPr>
          <w:rFonts w:asciiTheme="majorHAnsi" w:hAnsiTheme="majorHAnsi" w:cstheme="majorBidi"/>
          <w:b/>
          <w:bCs/>
          <w:i/>
          <w:iCs/>
          <w:sz w:val="20"/>
          <w:szCs w:val="20"/>
        </w:rPr>
        <w:t>Energy)</w:t>
      </w:r>
      <w:r w:rsidR="00A70E21" w:rsidRPr="00250C22">
        <w:rPr>
          <w:rFonts w:asciiTheme="majorHAnsi" w:hAnsiTheme="majorHAnsi" w:cstheme="majorBidi"/>
          <w:b/>
          <w:bCs/>
          <w:i/>
          <w:iCs/>
          <w:sz w:val="20"/>
          <w:szCs w:val="20"/>
        </w:rPr>
        <w:t xml:space="preserve"> +</w:t>
      </w:r>
      <w:r w:rsidR="003579E1" w:rsidRPr="00250C22">
        <w:rPr>
          <w:rFonts w:asciiTheme="majorHAnsi" w:hAnsiTheme="majorHAnsi" w:cstheme="majorBidi"/>
          <w:b/>
          <w:bCs/>
          <w:i/>
          <w:iCs/>
          <w:sz w:val="20"/>
          <w:szCs w:val="20"/>
        </w:rPr>
        <w:t xml:space="preserve"> (</w:t>
      </w:r>
      <w:r w:rsidR="00A70E21" w:rsidRPr="00250C22">
        <w:rPr>
          <w:rFonts w:asciiTheme="majorHAnsi" w:hAnsiTheme="majorHAnsi" w:cstheme="majorBidi"/>
          <w:b/>
          <w:bCs/>
          <w:i/>
          <w:iCs/>
          <w:sz w:val="20"/>
          <w:szCs w:val="20"/>
        </w:rPr>
        <w:t>Fan Energy x (</w:t>
      </w:r>
      <w:r w:rsidR="003579E1" w:rsidRPr="00250C22">
        <w:rPr>
          <w:rFonts w:asciiTheme="majorHAnsi" w:hAnsiTheme="majorHAnsi" w:cstheme="majorBidi"/>
          <w:b/>
          <w:bCs/>
          <w:i/>
          <w:iCs/>
          <w:sz w:val="20"/>
          <w:szCs w:val="20"/>
        </w:rPr>
        <w:t>CDD/Total DD</w:t>
      </w:r>
      <w:r w:rsidR="00A70E21" w:rsidRPr="00250C22">
        <w:rPr>
          <w:rFonts w:asciiTheme="majorHAnsi" w:hAnsiTheme="majorHAnsi" w:cstheme="majorBidi"/>
          <w:b/>
          <w:bCs/>
          <w:i/>
          <w:iCs/>
          <w:sz w:val="20"/>
          <w:szCs w:val="20"/>
        </w:rPr>
        <w:t>)</w:t>
      </w:r>
      <w:r w:rsidR="003579E1" w:rsidRPr="00250C22">
        <w:rPr>
          <w:rFonts w:asciiTheme="majorHAnsi" w:hAnsiTheme="majorHAnsi" w:cstheme="majorBidi"/>
          <w:b/>
          <w:bCs/>
          <w:i/>
          <w:iCs/>
          <w:sz w:val="20"/>
          <w:szCs w:val="20"/>
        </w:rPr>
        <w:t>)</w:t>
      </w:r>
      <w:r w:rsidR="00A70E21" w:rsidRPr="00250C22">
        <w:rPr>
          <w:rFonts w:asciiTheme="majorHAnsi" w:hAnsiTheme="majorHAnsi" w:cstheme="majorBidi"/>
          <w:b/>
          <w:bCs/>
          <w:i/>
          <w:iCs/>
          <w:sz w:val="20"/>
          <w:szCs w:val="20"/>
        </w:rPr>
        <w:t>]</w:t>
      </w:r>
      <w:r w:rsidR="003579E1" w:rsidRPr="00250C22">
        <w:rPr>
          <w:rFonts w:asciiTheme="majorHAnsi" w:hAnsiTheme="majorHAnsi" w:cstheme="majorBidi"/>
          <w:b/>
          <w:bCs/>
          <w:i/>
          <w:iCs/>
          <w:sz w:val="20"/>
          <w:szCs w:val="20"/>
        </w:rPr>
        <w:t xml:space="preserve"> x (PGE Y</w:t>
      </w:r>
      <w:r w:rsidRPr="00250C22">
        <w:rPr>
          <w:rFonts w:asciiTheme="majorHAnsi" w:hAnsiTheme="majorHAnsi" w:cstheme="majorBidi"/>
          <w:b/>
          <w:bCs/>
          <w:i/>
          <w:iCs/>
          <w:sz w:val="20"/>
          <w:szCs w:val="20"/>
        </w:rPr>
        <w:t>1 Savings Estimates</w:t>
      </w:r>
      <w:r w:rsidR="0094032B">
        <w:rPr>
          <w:rFonts w:asciiTheme="majorHAnsi" w:hAnsiTheme="majorHAnsi" w:cstheme="majorBidi"/>
          <w:b/>
          <w:bCs/>
          <w:i/>
          <w:iCs/>
          <w:sz w:val="20"/>
          <w:szCs w:val="20"/>
        </w:rPr>
        <w:t xml:space="preserve"> %</w:t>
      </w:r>
      <w:r w:rsidRPr="00250C22">
        <w:rPr>
          <w:rFonts w:asciiTheme="majorHAnsi" w:hAnsiTheme="majorHAnsi" w:cstheme="majorBidi"/>
          <w:b/>
          <w:bCs/>
          <w:i/>
          <w:iCs/>
          <w:sz w:val="20"/>
          <w:szCs w:val="20"/>
        </w:rPr>
        <w:t>)</w:t>
      </w:r>
    </w:p>
    <w:p w14:paraId="273C5B40" w14:textId="478C2260" w:rsidR="003579E1" w:rsidRDefault="003579E1" w:rsidP="00250C22">
      <w:pPr>
        <w:pStyle w:val="ListParagraph"/>
      </w:pPr>
    </w:p>
    <w:p w14:paraId="0CFE0325" w14:textId="77777777" w:rsidR="009322D0" w:rsidRDefault="009322D0" w:rsidP="00250C22">
      <w:pPr>
        <w:pStyle w:val="Normal1"/>
        <w:rPr>
          <w:rFonts w:asciiTheme="majorHAnsi" w:hAnsiTheme="majorHAnsi" w:cstheme="majorBidi"/>
        </w:rPr>
      </w:pPr>
    </w:p>
    <w:p w14:paraId="1CE5FC30" w14:textId="7975A516" w:rsidR="00307C60" w:rsidRPr="006951B2" w:rsidRDefault="00D14046" w:rsidP="00250C22">
      <w:pPr>
        <w:pStyle w:val="Normal1"/>
        <w:rPr>
          <w:rFonts w:asciiTheme="majorHAnsi" w:hAnsiTheme="majorHAnsi" w:cstheme="majorBidi"/>
        </w:rPr>
      </w:pPr>
      <w:r w:rsidRPr="00D14046">
        <w:rPr>
          <w:rFonts w:asciiTheme="majorHAnsi" w:hAnsiTheme="majorHAnsi" w:cstheme="majorBidi"/>
        </w:rPr>
        <w:t xml:space="preserve">See Attachment 2 for details on approach and results. </w:t>
      </w:r>
    </w:p>
    <w:p w14:paraId="77ACA3DD" w14:textId="314B4690" w:rsidR="009A1A16" w:rsidRPr="006951B2" w:rsidRDefault="009A1A16" w:rsidP="00250C22">
      <w:pPr>
        <w:pStyle w:val="Normal1"/>
        <w:rPr>
          <w:rFonts w:asciiTheme="majorHAnsi" w:hAnsiTheme="majorHAnsi" w:cstheme="majorBidi"/>
        </w:rPr>
      </w:pPr>
    </w:p>
    <w:p w14:paraId="0A84F97A" w14:textId="77777777" w:rsidR="00576C8C" w:rsidRPr="00737D6A" w:rsidRDefault="007173B2" w:rsidP="00250C22">
      <w:pPr>
        <w:pStyle w:val="Heading1"/>
        <w:keepNext w:val="0"/>
        <w:spacing w:before="0" w:after="0"/>
        <w:rPr>
          <w:rFonts w:asciiTheme="majorHAnsi" w:hAnsiTheme="majorHAnsi" w:cstheme="majorHAnsi"/>
        </w:rPr>
      </w:pPr>
      <w:r w:rsidRPr="00737D6A">
        <w:rPr>
          <w:rFonts w:asciiTheme="majorHAnsi" w:hAnsiTheme="majorHAnsi" w:cstheme="majorHAnsi"/>
        </w:rPr>
        <w:t>Section 4. Load Shapes</w:t>
      </w:r>
    </w:p>
    <w:p w14:paraId="2A637691" w14:textId="510DA329" w:rsidR="00576C8C" w:rsidRPr="00737D6A" w:rsidRDefault="007173B2">
      <w:pPr>
        <w:pStyle w:val="Normal1"/>
        <w:rPr>
          <w:rFonts w:asciiTheme="majorHAnsi" w:hAnsiTheme="majorHAnsi" w:cstheme="majorHAnsi"/>
        </w:rPr>
      </w:pPr>
      <w:r w:rsidRPr="00737D6A">
        <w:rPr>
          <w:rFonts w:asciiTheme="majorHAnsi" w:hAnsiTheme="majorHAnsi" w:cstheme="majorHAnsi"/>
        </w:rPr>
        <w:t>The closest load shapes that are applicable to the measures in this work paper are listed in the table below.</w:t>
      </w:r>
    </w:p>
    <w:p w14:paraId="2A77DC11" w14:textId="058A2ACF" w:rsidR="00EF70E1" w:rsidRPr="00737D6A" w:rsidRDefault="00EF70E1">
      <w:pPr>
        <w:pStyle w:val="Normal1"/>
        <w:rPr>
          <w:rFonts w:asciiTheme="majorHAnsi" w:hAnsiTheme="majorHAnsi" w:cstheme="majorHAnsi"/>
        </w:rPr>
      </w:pPr>
    </w:p>
    <w:p w14:paraId="44C869D3" w14:textId="77777777" w:rsidR="00576C8C" w:rsidRPr="00737D6A" w:rsidRDefault="007173B2" w:rsidP="006E54D1">
      <w:pPr>
        <w:pStyle w:val="Normal1"/>
        <w:rPr>
          <w:rFonts w:asciiTheme="majorHAnsi" w:hAnsiTheme="majorHAnsi" w:cstheme="majorHAnsi"/>
        </w:rPr>
      </w:pPr>
      <w:r w:rsidRPr="00737D6A">
        <w:rPr>
          <w:rFonts w:asciiTheme="majorHAnsi" w:hAnsiTheme="majorHAnsi" w:cstheme="majorHAnsi"/>
          <w:b/>
        </w:rPr>
        <w:t>Building Types and Load Shapes</w:t>
      </w:r>
    </w:p>
    <w:tbl>
      <w:tblPr>
        <w:tblStyle w:val="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0"/>
        <w:gridCol w:w="3133"/>
        <w:gridCol w:w="2707"/>
      </w:tblGrid>
      <w:tr w:rsidR="00576C8C" w:rsidRPr="00737D6A" w14:paraId="5FAB51A9" w14:textId="77777777" w:rsidTr="007263BB">
        <w:tc>
          <w:tcPr>
            <w:tcW w:w="2970" w:type="dxa"/>
            <w:shd w:val="clear" w:color="auto" w:fill="D9D9D9"/>
          </w:tcPr>
          <w:p w14:paraId="579092A0"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Building Type</w:t>
            </w:r>
          </w:p>
        </w:tc>
        <w:tc>
          <w:tcPr>
            <w:tcW w:w="3133" w:type="dxa"/>
            <w:shd w:val="clear" w:color="auto" w:fill="D9D9D9"/>
          </w:tcPr>
          <w:p w14:paraId="6055EF32"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Load Shape</w:t>
            </w:r>
          </w:p>
        </w:tc>
        <w:tc>
          <w:tcPr>
            <w:tcW w:w="2707" w:type="dxa"/>
            <w:shd w:val="clear" w:color="auto" w:fill="D9D9D9"/>
          </w:tcPr>
          <w:p w14:paraId="5BC640A8"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b/>
              </w:rPr>
              <w:t>E3 Alternate Building Type</w:t>
            </w:r>
          </w:p>
        </w:tc>
      </w:tr>
      <w:tr w:rsidR="00576C8C" w:rsidRPr="00737D6A" w14:paraId="128608E5" w14:textId="77777777" w:rsidTr="007263BB">
        <w:tc>
          <w:tcPr>
            <w:tcW w:w="2970" w:type="dxa"/>
          </w:tcPr>
          <w:p w14:paraId="4A68980F"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lastRenderedPageBreak/>
              <w:t>RES</w:t>
            </w:r>
          </w:p>
        </w:tc>
        <w:tc>
          <w:tcPr>
            <w:tcW w:w="3133" w:type="dxa"/>
          </w:tcPr>
          <w:p w14:paraId="299E6539"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rPr>
              <w:t>DEER:HVAC_EFF_AC</w:t>
            </w:r>
          </w:p>
        </w:tc>
        <w:tc>
          <w:tcPr>
            <w:tcW w:w="2707" w:type="dxa"/>
          </w:tcPr>
          <w:p w14:paraId="3C9DF328" w14:textId="06CCD279" w:rsidR="00576C8C" w:rsidRPr="00737D6A" w:rsidRDefault="00843A1D">
            <w:pPr>
              <w:pStyle w:val="Normal1"/>
              <w:rPr>
                <w:rFonts w:asciiTheme="majorHAnsi" w:hAnsiTheme="majorHAnsi" w:cstheme="majorHAnsi"/>
              </w:rPr>
            </w:pPr>
            <w:r>
              <w:rPr>
                <w:rFonts w:asciiTheme="majorHAnsi" w:hAnsiTheme="majorHAnsi" w:cstheme="majorHAnsi"/>
              </w:rPr>
              <w:t>RES</w:t>
            </w:r>
          </w:p>
        </w:tc>
      </w:tr>
      <w:tr w:rsidR="007263BB" w:rsidRPr="00737D6A" w14:paraId="49873C58" w14:textId="77777777" w:rsidTr="007263BB">
        <w:tc>
          <w:tcPr>
            <w:tcW w:w="2970" w:type="dxa"/>
          </w:tcPr>
          <w:p w14:paraId="169649F1" w14:textId="5865592C" w:rsidR="007263BB" w:rsidRPr="00737D6A" w:rsidRDefault="007263BB" w:rsidP="007263BB">
            <w:pPr>
              <w:pStyle w:val="Normal1"/>
              <w:rPr>
                <w:rFonts w:asciiTheme="majorHAnsi" w:hAnsiTheme="majorHAnsi" w:cstheme="majorHAnsi"/>
              </w:rPr>
            </w:pPr>
            <w:r w:rsidRPr="00737D6A">
              <w:rPr>
                <w:rFonts w:asciiTheme="majorHAnsi" w:hAnsiTheme="majorHAnsi" w:cstheme="majorHAnsi"/>
              </w:rPr>
              <w:t>RES</w:t>
            </w:r>
          </w:p>
        </w:tc>
        <w:tc>
          <w:tcPr>
            <w:tcW w:w="3133" w:type="dxa"/>
          </w:tcPr>
          <w:p w14:paraId="1E9F6311" w14:textId="57469CC3" w:rsidR="007263BB" w:rsidRPr="00737D6A" w:rsidRDefault="007263BB" w:rsidP="007263BB">
            <w:pPr>
              <w:pStyle w:val="Normal1"/>
              <w:rPr>
                <w:rFonts w:asciiTheme="majorHAnsi" w:hAnsiTheme="majorHAnsi" w:cstheme="majorHAnsi"/>
              </w:rPr>
            </w:pPr>
            <w:r>
              <w:rPr>
                <w:rFonts w:asciiTheme="majorHAnsi" w:hAnsiTheme="majorHAnsi" w:cstheme="majorHAnsi"/>
              </w:rPr>
              <w:t>DEER:HVAC_EFF_HP</w:t>
            </w:r>
          </w:p>
        </w:tc>
        <w:tc>
          <w:tcPr>
            <w:tcW w:w="2707" w:type="dxa"/>
          </w:tcPr>
          <w:p w14:paraId="63A845B6" w14:textId="7938710F" w:rsidR="007263BB" w:rsidRPr="00737D6A" w:rsidDel="00843A1D" w:rsidRDefault="007263BB" w:rsidP="007263BB">
            <w:pPr>
              <w:pStyle w:val="Normal1"/>
              <w:rPr>
                <w:rFonts w:asciiTheme="majorHAnsi" w:hAnsiTheme="majorHAnsi" w:cstheme="majorHAnsi"/>
              </w:rPr>
            </w:pPr>
            <w:r>
              <w:rPr>
                <w:rFonts w:asciiTheme="majorHAnsi" w:hAnsiTheme="majorHAnsi" w:cstheme="majorHAnsi"/>
              </w:rPr>
              <w:t>RES</w:t>
            </w:r>
          </w:p>
        </w:tc>
      </w:tr>
    </w:tbl>
    <w:p w14:paraId="3B0FF7FB" w14:textId="2098F535" w:rsidR="00576C8C" w:rsidRPr="00737D6A" w:rsidRDefault="007173B2">
      <w:pPr>
        <w:pStyle w:val="Heading1"/>
        <w:rPr>
          <w:rFonts w:asciiTheme="majorHAnsi" w:hAnsiTheme="majorHAnsi" w:cstheme="majorHAnsi"/>
        </w:rPr>
      </w:pPr>
      <w:r w:rsidRPr="00737D6A">
        <w:rPr>
          <w:rFonts w:asciiTheme="majorHAnsi" w:hAnsiTheme="majorHAnsi" w:cstheme="majorHAnsi"/>
        </w:rPr>
        <w:t>Section 5. Costs</w:t>
      </w:r>
    </w:p>
    <w:p w14:paraId="76492D0C" w14:textId="28B66921" w:rsidR="00576C8C" w:rsidRPr="00737D6A" w:rsidRDefault="007173B2" w:rsidP="00250C22">
      <w:pPr>
        <w:pStyle w:val="Heading2"/>
        <w:rPr>
          <w:rFonts w:asciiTheme="majorHAnsi" w:hAnsiTheme="majorHAnsi" w:cstheme="majorHAnsi"/>
        </w:rPr>
      </w:pPr>
      <w:bookmarkStart w:id="23" w:name="_4i7ojhp" w:colFirst="0" w:colLast="0"/>
      <w:bookmarkEnd w:id="23"/>
      <w:r w:rsidRPr="00737D6A">
        <w:rPr>
          <w:rFonts w:asciiTheme="majorHAnsi" w:hAnsiTheme="majorHAnsi" w:cstheme="majorHAnsi"/>
        </w:rPr>
        <w:t>5.1 Base Case Cost</w:t>
      </w:r>
    </w:p>
    <w:p w14:paraId="4C4751E6" w14:textId="5E8FE0FE" w:rsidR="009D2CD3" w:rsidRPr="00C470E5" w:rsidRDefault="00C81A33">
      <w:pPr>
        <w:pStyle w:val="Normal1"/>
        <w:rPr>
          <w:rFonts w:asciiTheme="majorHAnsi" w:hAnsiTheme="majorHAnsi" w:cstheme="majorBidi"/>
        </w:rPr>
      </w:pPr>
      <w:r w:rsidRPr="000E623B">
        <w:rPr>
          <w:rFonts w:asciiTheme="majorHAnsi" w:hAnsiTheme="majorHAnsi" w:cstheme="majorBidi"/>
        </w:rPr>
        <w:t xml:space="preserve">The base case cost was obtained through online prices </w:t>
      </w:r>
      <w:r w:rsidR="003918D5" w:rsidRPr="000E623B">
        <w:rPr>
          <w:rFonts w:asciiTheme="majorHAnsi" w:hAnsiTheme="majorHAnsi" w:cstheme="majorBidi"/>
        </w:rPr>
        <w:t xml:space="preserve">research </w:t>
      </w:r>
      <w:r w:rsidRPr="000E623B">
        <w:rPr>
          <w:rFonts w:asciiTheme="majorHAnsi" w:hAnsiTheme="majorHAnsi" w:cstheme="majorBidi"/>
        </w:rPr>
        <w:t xml:space="preserve">from various retailer websites in the </w:t>
      </w:r>
      <w:r w:rsidR="000D56DA" w:rsidRPr="000E623B">
        <w:rPr>
          <w:rFonts w:asciiTheme="majorHAnsi" w:hAnsiTheme="majorHAnsi" w:cstheme="majorBidi"/>
        </w:rPr>
        <w:t>first</w:t>
      </w:r>
      <w:r w:rsidRPr="000E623B">
        <w:rPr>
          <w:rFonts w:asciiTheme="majorHAnsi" w:hAnsiTheme="majorHAnsi" w:cstheme="majorBidi"/>
        </w:rPr>
        <w:t xml:space="preserve"> quarter of 201</w:t>
      </w:r>
      <w:r w:rsidR="003B3BF2" w:rsidRPr="000E623B">
        <w:rPr>
          <w:rFonts w:asciiTheme="majorHAnsi" w:hAnsiTheme="majorHAnsi" w:cstheme="majorBidi"/>
        </w:rPr>
        <w:t>9</w:t>
      </w:r>
      <w:r w:rsidRPr="000E623B">
        <w:rPr>
          <w:rFonts w:asciiTheme="majorHAnsi" w:hAnsiTheme="majorHAnsi" w:cstheme="majorBidi"/>
        </w:rPr>
        <w:t>. The installed market percent for baseline programmable</w:t>
      </w:r>
      <w:r w:rsidR="00612662" w:rsidRPr="000E623B">
        <w:rPr>
          <w:rFonts w:asciiTheme="majorHAnsi" w:hAnsiTheme="majorHAnsi" w:cstheme="majorBidi"/>
        </w:rPr>
        <w:t>,</w:t>
      </w:r>
      <w:r w:rsidRPr="000E623B">
        <w:rPr>
          <w:rFonts w:asciiTheme="majorHAnsi" w:hAnsiTheme="majorHAnsi" w:cstheme="majorBidi"/>
        </w:rPr>
        <w:t xml:space="preserve"> </w:t>
      </w:r>
      <w:r w:rsidR="00612662" w:rsidRPr="000E623B">
        <w:rPr>
          <w:rFonts w:asciiTheme="majorHAnsi" w:hAnsiTheme="majorHAnsi" w:cstheme="majorBidi"/>
        </w:rPr>
        <w:t xml:space="preserve">non-programmable, and smart </w:t>
      </w:r>
      <w:r w:rsidRPr="00EB68B9">
        <w:rPr>
          <w:rFonts w:asciiTheme="majorHAnsi" w:hAnsiTheme="majorHAnsi" w:cstheme="majorBidi"/>
        </w:rPr>
        <w:t xml:space="preserve">thermostats was found using </w:t>
      </w:r>
      <w:r w:rsidR="003918D5" w:rsidRPr="000E623B">
        <w:rPr>
          <w:rFonts w:asciiTheme="majorHAnsi" w:hAnsiTheme="majorHAnsi" w:cstheme="majorBidi"/>
          <w:color w:val="auto"/>
        </w:rPr>
        <w:t xml:space="preserve">the </w:t>
      </w:r>
      <w:r w:rsidR="00612662" w:rsidRPr="000E623B">
        <w:rPr>
          <w:rFonts w:asciiTheme="majorHAnsi" w:hAnsiTheme="majorHAnsi" w:cstheme="majorBidi"/>
          <w:color w:val="auto"/>
        </w:rPr>
        <w:t>Evaluation</w:t>
      </w:r>
      <w:r w:rsidRPr="000E623B">
        <w:rPr>
          <w:rFonts w:asciiTheme="majorHAnsi" w:hAnsiTheme="majorHAnsi" w:cstheme="majorBidi"/>
        </w:rPr>
        <w:t xml:space="preserve">. The </w:t>
      </w:r>
      <w:r w:rsidR="00CC22DF" w:rsidRPr="000E623B">
        <w:rPr>
          <w:rFonts w:asciiTheme="majorHAnsi" w:hAnsiTheme="majorHAnsi" w:cstheme="majorBidi"/>
        </w:rPr>
        <w:t>percentages</w:t>
      </w:r>
      <w:r w:rsidRPr="000E623B">
        <w:rPr>
          <w:rFonts w:asciiTheme="majorHAnsi" w:hAnsiTheme="majorHAnsi" w:cstheme="majorBidi"/>
        </w:rPr>
        <w:t xml:space="preserve"> of baseline equipment </w:t>
      </w:r>
      <w:r w:rsidR="00B2484E" w:rsidRPr="00EB68B9">
        <w:rPr>
          <w:rFonts w:asciiTheme="majorHAnsi" w:hAnsiTheme="majorHAnsi" w:cstheme="majorBidi"/>
        </w:rPr>
        <w:t xml:space="preserve">from Section 1.1 </w:t>
      </w:r>
      <w:r w:rsidRPr="00EB68B9">
        <w:rPr>
          <w:rFonts w:asciiTheme="majorHAnsi" w:hAnsiTheme="majorHAnsi" w:cstheme="majorBidi"/>
        </w:rPr>
        <w:t>were used to weight the online retailer prices to estab</w:t>
      </w:r>
      <w:r w:rsidR="000C261C" w:rsidRPr="00EB68B9">
        <w:rPr>
          <w:rFonts w:asciiTheme="majorHAnsi" w:hAnsiTheme="majorHAnsi" w:cstheme="majorBidi"/>
        </w:rPr>
        <w:t xml:space="preserve">lish a weighted baseline cost. </w:t>
      </w:r>
    </w:p>
    <w:p w14:paraId="5F767C60" w14:textId="77777777" w:rsidR="00D4545A" w:rsidRPr="00737D6A" w:rsidRDefault="00D4545A" w:rsidP="00C81A33">
      <w:pPr>
        <w:pStyle w:val="Normal1"/>
        <w:rPr>
          <w:rFonts w:asciiTheme="majorHAnsi" w:hAnsiTheme="majorHAnsi" w:cstheme="majorHAnsi"/>
          <w:b/>
        </w:rPr>
      </w:pPr>
    </w:p>
    <w:p w14:paraId="5A083B27" w14:textId="671DD52B" w:rsidR="000C261C" w:rsidRPr="00737D6A" w:rsidRDefault="000C261C" w:rsidP="00C81A33">
      <w:pPr>
        <w:pStyle w:val="Normal1"/>
        <w:rPr>
          <w:rFonts w:asciiTheme="majorHAnsi" w:hAnsiTheme="majorHAnsi" w:cstheme="majorHAnsi"/>
          <w:b/>
        </w:rPr>
      </w:pPr>
      <w:r w:rsidRPr="00737D6A">
        <w:rPr>
          <w:rFonts w:asciiTheme="majorHAnsi" w:hAnsiTheme="majorHAnsi" w:cstheme="majorHAnsi"/>
          <w:b/>
        </w:rPr>
        <w:t>Weighted Baseline 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1903"/>
        <w:gridCol w:w="1803"/>
        <w:gridCol w:w="1903"/>
      </w:tblGrid>
      <w:tr w:rsidR="00627777" w:rsidRPr="00737D6A" w14:paraId="110EF0AE" w14:textId="77777777" w:rsidTr="00250C22">
        <w:trPr>
          <w:trHeight w:val="510"/>
        </w:trPr>
        <w:tc>
          <w:tcPr>
            <w:tcW w:w="2875" w:type="dxa"/>
            <w:shd w:val="clear" w:color="auto" w:fill="D9D9D9" w:themeFill="background1" w:themeFillShade="D9"/>
            <w:noWrap/>
            <w:vAlign w:val="center"/>
            <w:hideMark/>
          </w:tcPr>
          <w:p w14:paraId="3EEF7CA1" w14:textId="77777777" w:rsidR="00627777" w:rsidRPr="00737D6A" w:rsidRDefault="00627777" w:rsidP="006E54D1">
            <w:pPr>
              <w:rPr>
                <w:rFonts w:asciiTheme="majorHAnsi" w:eastAsia="Times New Roman" w:hAnsiTheme="majorHAnsi" w:cstheme="majorHAnsi"/>
                <w:b/>
                <w:bCs/>
                <w:sz w:val="20"/>
                <w:szCs w:val="20"/>
              </w:rPr>
            </w:pPr>
            <w:r w:rsidRPr="00737D6A">
              <w:rPr>
                <w:rFonts w:asciiTheme="majorHAnsi" w:eastAsia="Times New Roman" w:hAnsiTheme="majorHAnsi" w:cstheme="majorHAnsi"/>
                <w:b/>
                <w:bCs/>
                <w:sz w:val="20"/>
                <w:szCs w:val="20"/>
              </w:rPr>
              <w:t>Equipment</w:t>
            </w:r>
          </w:p>
        </w:tc>
        <w:tc>
          <w:tcPr>
            <w:tcW w:w="1710" w:type="dxa"/>
            <w:shd w:val="clear" w:color="auto" w:fill="D9D9D9" w:themeFill="background1" w:themeFillShade="D9"/>
            <w:vAlign w:val="center"/>
            <w:hideMark/>
          </w:tcPr>
          <w:p w14:paraId="048CFC84" w14:textId="45233B16" w:rsidR="00627777" w:rsidRPr="00737D6A" w:rsidRDefault="00627777" w:rsidP="006E54D1">
            <w:pPr>
              <w:rPr>
                <w:rFonts w:asciiTheme="majorHAnsi" w:eastAsia="Times New Roman" w:hAnsiTheme="majorHAnsi" w:cstheme="majorHAnsi"/>
                <w:b/>
                <w:bCs/>
                <w:sz w:val="20"/>
                <w:szCs w:val="20"/>
              </w:rPr>
            </w:pPr>
            <w:r w:rsidRPr="00737D6A">
              <w:rPr>
                <w:rFonts w:asciiTheme="majorHAnsi" w:eastAsia="Times New Roman" w:hAnsiTheme="majorHAnsi" w:cstheme="majorHAnsi"/>
                <w:b/>
                <w:bCs/>
                <w:sz w:val="20"/>
                <w:szCs w:val="20"/>
              </w:rPr>
              <w:t xml:space="preserve">Cost per unit </w:t>
            </w:r>
          </w:p>
        </w:tc>
        <w:tc>
          <w:tcPr>
            <w:tcW w:w="1620" w:type="dxa"/>
            <w:shd w:val="clear" w:color="auto" w:fill="D9D9D9" w:themeFill="background1" w:themeFillShade="D9"/>
            <w:vAlign w:val="center"/>
            <w:hideMark/>
          </w:tcPr>
          <w:p w14:paraId="2FC00721" w14:textId="6074CF53" w:rsidR="00627777" w:rsidRPr="00737D6A" w:rsidRDefault="00627777" w:rsidP="006E54D1">
            <w:pPr>
              <w:rPr>
                <w:rFonts w:asciiTheme="majorHAnsi" w:eastAsia="Times New Roman" w:hAnsiTheme="majorHAnsi" w:cstheme="majorHAnsi"/>
                <w:b/>
                <w:bCs/>
                <w:sz w:val="20"/>
                <w:szCs w:val="20"/>
              </w:rPr>
            </w:pPr>
            <w:r w:rsidRPr="00737D6A">
              <w:rPr>
                <w:rFonts w:asciiTheme="majorHAnsi" w:eastAsia="Times New Roman" w:hAnsiTheme="majorHAnsi" w:cstheme="majorHAnsi"/>
                <w:b/>
                <w:bCs/>
                <w:sz w:val="20"/>
                <w:szCs w:val="20"/>
              </w:rPr>
              <w:t>Market Distribution</w:t>
            </w:r>
          </w:p>
        </w:tc>
        <w:tc>
          <w:tcPr>
            <w:tcW w:w="1710" w:type="dxa"/>
            <w:shd w:val="clear" w:color="auto" w:fill="D9D9D9" w:themeFill="background1" w:themeFillShade="D9"/>
            <w:vAlign w:val="center"/>
            <w:hideMark/>
          </w:tcPr>
          <w:p w14:paraId="74DE5926" w14:textId="4AC0B908" w:rsidR="00627777" w:rsidRPr="00737D6A" w:rsidRDefault="00627777" w:rsidP="006E54D1">
            <w:pPr>
              <w:rPr>
                <w:rFonts w:asciiTheme="majorHAnsi" w:eastAsia="Times New Roman" w:hAnsiTheme="majorHAnsi" w:cstheme="majorHAnsi"/>
                <w:b/>
                <w:bCs/>
                <w:sz w:val="20"/>
                <w:szCs w:val="20"/>
              </w:rPr>
            </w:pPr>
            <w:r w:rsidRPr="00737D6A">
              <w:rPr>
                <w:rFonts w:asciiTheme="majorHAnsi" w:eastAsia="Times New Roman" w:hAnsiTheme="majorHAnsi" w:cstheme="majorHAnsi"/>
                <w:b/>
                <w:bCs/>
                <w:sz w:val="20"/>
                <w:szCs w:val="20"/>
              </w:rPr>
              <w:t xml:space="preserve">Total Baseline Weighted Cost </w:t>
            </w:r>
          </w:p>
        </w:tc>
      </w:tr>
      <w:tr w:rsidR="00627777" w:rsidRPr="00737D6A" w14:paraId="365DDF1B" w14:textId="77777777" w:rsidTr="00250C22">
        <w:trPr>
          <w:trHeight w:val="300"/>
        </w:trPr>
        <w:tc>
          <w:tcPr>
            <w:tcW w:w="2875" w:type="dxa"/>
            <w:shd w:val="clear" w:color="auto" w:fill="auto"/>
            <w:vAlign w:val="center"/>
            <w:hideMark/>
          </w:tcPr>
          <w:p w14:paraId="05341004" w14:textId="09B3AA86" w:rsidR="00627777" w:rsidRPr="00250C22" w:rsidRDefault="00627777">
            <w:pPr>
              <w:rPr>
                <w:rFonts w:asciiTheme="majorHAnsi" w:eastAsia="Times New Roman" w:hAnsiTheme="majorHAnsi" w:cstheme="majorBidi"/>
                <w:sz w:val="20"/>
                <w:szCs w:val="20"/>
              </w:rPr>
            </w:pPr>
            <w:r w:rsidRPr="000E623B">
              <w:rPr>
                <w:rFonts w:asciiTheme="majorHAnsi" w:eastAsia="Times New Roman" w:hAnsiTheme="majorHAnsi" w:cstheme="majorBidi"/>
                <w:sz w:val="20"/>
                <w:szCs w:val="20"/>
              </w:rPr>
              <w:t>Manual T</w:t>
            </w:r>
            <w:r w:rsidR="003918D5" w:rsidRPr="000E623B">
              <w:rPr>
                <w:rFonts w:asciiTheme="majorHAnsi" w:eastAsia="Times New Roman" w:hAnsiTheme="majorHAnsi" w:cstheme="majorBidi"/>
                <w:sz w:val="20"/>
                <w:szCs w:val="20"/>
              </w:rPr>
              <w:t>hermo</w:t>
            </w:r>
            <w:r w:rsidRPr="000E623B">
              <w:rPr>
                <w:rFonts w:asciiTheme="majorHAnsi" w:eastAsia="Times New Roman" w:hAnsiTheme="majorHAnsi" w:cstheme="majorBidi"/>
                <w:sz w:val="20"/>
                <w:szCs w:val="20"/>
              </w:rPr>
              <w:t>stat</w:t>
            </w:r>
          </w:p>
        </w:tc>
        <w:tc>
          <w:tcPr>
            <w:tcW w:w="1710" w:type="dxa"/>
            <w:shd w:val="clear" w:color="auto" w:fill="auto"/>
            <w:noWrap/>
            <w:vAlign w:val="bottom"/>
            <w:hideMark/>
          </w:tcPr>
          <w:p w14:paraId="395723E6" w14:textId="1FA5F89B" w:rsidR="00627777" w:rsidRPr="00737D6A" w:rsidRDefault="00627777" w:rsidP="006E54D1">
            <w:pPr>
              <w:rPr>
                <w:rFonts w:asciiTheme="majorHAnsi" w:eastAsia="Times New Roman" w:hAnsiTheme="majorHAnsi" w:cstheme="majorHAnsi"/>
                <w:sz w:val="20"/>
                <w:szCs w:val="20"/>
              </w:rPr>
            </w:pPr>
            <w:r w:rsidRPr="00737D6A">
              <w:rPr>
                <w:rFonts w:asciiTheme="majorHAnsi" w:eastAsia="Times New Roman" w:hAnsiTheme="majorHAnsi" w:cstheme="majorHAnsi"/>
                <w:sz w:val="20"/>
                <w:szCs w:val="20"/>
              </w:rPr>
              <w:t>$ 28.32</w:t>
            </w:r>
          </w:p>
        </w:tc>
        <w:tc>
          <w:tcPr>
            <w:tcW w:w="1620" w:type="dxa"/>
            <w:shd w:val="clear" w:color="auto" w:fill="auto"/>
            <w:noWrap/>
            <w:vAlign w:val="bottom"/>
            <w:hideMark/>
          </w:tcPr>
          <w:p w14:paraId="5F08FC1B" w14:textId="23900BDF" w:rsidR="00627777" w:rsidRPr="00737D6A" w:rsidRDefault="00627777" w:rsidP="006E54D1">
            <w:pPr>
              <w:rPr>
                <w:rFonts w:asciiTheme="majorHAnsi" w:eastAsia="Times New Roman" w:hAnsiTheme="majorHAnsi" w:cstheme="majorHAnsi"/>
                <w:sz w:val="20"/>
                <w:szCs w:val="20"/>
              </w:rPr>
            </w:pPr>
            <w:r w:rsidRPr="00737D6A">
              <w:rPr>
                <w:rFonts w:asciiTheme="majorHAnsi" w:eastAsia="Times New Roman" w:hAnsiTheme="majorHAnsi" w:cstheme="majorHAnsi"/>
                <w:sz w:val="20"/>
                <w:szCs w:val="20"/>
              </w:rPr>
              <w:t>1</w:t>
            </w:r>
            <w:r w:rsidR="00D5729F" w:rsidRPr="00737D6A">
              <w:rPr>
                <w:rFonts w:asciiTheme="majorHAnsi" w:eastAsia="Times New Roman" w:hAnsiTheme="majorHAnsi" w:cstheme="majorHAnsi"/>
                <w:sz w:val="20"/>
                <w:szCs w:val="20"/>
              </w:rPr>
              <w:t>2</w:t>
            </w:r>
            <w:r w:rsidRPr="00737D6A">
              <w:rPr>
                <w:rFonts w:asciiTheme="majorHAnsi" w:eastAsia="Times New Roman" w:hAnsiTheme="majorHAnsi" w:cstheme="majorHAnsi"/>
                <w:sz w:val="20"/>
                <w:szCs w:val="20"/>
              </w:rPr>
              <w:t>%</w:t>
            </w:r>
          </w:p>
        </w:tc>
        <w:tc>
          <w:tcPr>
            <w:tcW w:w="1710" w:type="dxa"/>
            <w:vMerge w:val="restart"/>
            <w:shd w:val="clear" w:color="auto" w:fill="auto"/>
            <w:noWrap/>
            <w:vAlign w:val="center"/>
            <w:hideMark/>
          </w:tcPr>
          <w:p w14:paraId="76BC7192" w14:textId="68242E45" w:rsidR="00627777" w:rsidRPr="00737D6A" w:rsidRDefault="00627777" w:rsidP="006E54D1">
            <w:pPr>
              <w:rPr>
                <w:rFonts w:asciiTheme="majorHAnsi" w:eastAsia="Times New Roman" w:hAnsiTheme="majorHAnsi" w:cstheme="majorHAnsi"/>
                <w:sz w:val="20"/>
                <w:szCs w:val="20"/>
              </w:rPr>
            </w:pPr>
            <w:r w:rsidRPr="00737D6A">
              <w:rPr>
                <w:rFonts w:asciiTheme="majorHAnsi" w:eastAsia="Times New Roman" w:hAnsiTheme="majorHAnsi" w:cstheme="majorHAnsi"/>
                <w:sz w:val="20"/>
                <w:szCs w:val="20"/>
              </w:rPr>
              <w:t>$ 4</w:t>
            </w:r>
            <w:r w:rsidR="00D5729F" w:rsidRPr="00737D6A">
              <w:rPr>
                <w:rFonts w:asciiTheme="majorHAnsi" w:eastAsia="Times New Roman" w:hAnsiTheme="majorHAnsi" w:cstheme="majorHAnsi"/>
                <w:sz w:val="20"/>
                <w:szCs w:val="20"/>
              </w:rPr>
              <w:t>0.59</w:t>
            </w:r>
          </w:p>
        </w:tc>
      </w:tr>
      <w:tr w:rsidR="00627777" w:rsidRPr="00737D6A" w14:paraId="3F5B18AC" w14:textId="77777777" w:rsidTr="00250C22">
        <w:trPr>
          <w:trHeight w:val="300"/>
        </w:trPr>
        <w:tc>
          <w:tcPr>
            <w:tcW w:w="2875" w:type="dxa"/>
            <w:shd w:val="clear" w:color="auto" w:fill="auto"/>
            <w:vAlign w:val="center"/>
            <w:hideMark/>
          </w:tcPr>
          <w:p w14:paraId="4A44EC65" w14:textId="5493C224" w:rsidR="00627777" w:rsidRPr="00250C22" w:rsidRDefault="00612662">
            <w:pPr>
              <w:rPr>
                <w:rFonts w:asciiTheme="majorHAnsi" w:eastAsia="Times New Roman" w:hAnsiTheme="majorHAnsi" w:cstheme="majorBidi"/>
                <w:sz w:val="20"/>
                <w:szCs w:val="20"/>
              </w:rPr>
            </w:pPr>
            <w:r w:rsidRPr="000E623B">
              <w:rPr>
                <w:rFonts w:asciiTheme="majorHAnsi" w:eastAsia="Times New Roman" w:hAnsiTheme="majorHAnsi" w:cstheme="majorBidi"/>
                <w:sz w:val="20"/>
                <w:szCs w:val="20"/>
              </w:rPr>
              <w:t>Programmable T</w:t>
            </w:r>
            <w:r w:rsidR="003918D5" w:rsidRPr="000E623B">
              <w:rPr>
                <w:rFonts w:asciiTheme="majorHAnsi" w:eastAsia="Times New Roman" w:hAnsiTheme="majorHAnsi" w:cstheme="majorBidi"/>
                <w:sz w:val="20"/>
                <w:szCs w:val="20"/>
              </w:rPr>
              <w:t>hermo</w:t>
            </w:r>
            <w:r w:rsidRPr="000E623B">
              <w:rPr>
                <w:rFonts w:asciiTheme="majorHAnsi" w:eastAsia="Times New Roman" w:hAnsiTheme="majorHAnsi" w:cstheme="majorBidi"/>
                <w:sz w:val="20"/>
                <w:szCs w:val="20"/>
              </w:rPr>
              <w:t>stat*</w:t>
            </w:r>
          </w:p>
        </w:tc>
        <w:tc>
          <w:tcPr>
            <w:tcW w:w="1710" w:type="dxa"/>
            <w:shd w:val="clear" w:color="auto" w:fill="auto"/>
            <w:noWrap/>
            <w:vAlign w:val="bottom"/>
            <w:hideMark/>
          </w:tcPr>
          <w:p w14:paraId="512DB382" w14:textId="3D3F2302" w:rsidR="00627777" w:rsidRPr="00737D6A" w:rsidRDefault="00627777" w:rsidP="006E54D1">
            <w:pPr>
              <w:rPr>
                <w:rFonts w:asciiTheme="majorHAnsi" w:eastAsia="Times New Roman" w:hAnsiTheme="majorHAnsi" w:cstheme="majorHAnsi"/>
                <w:sz w:val="20"/>
                <w:szCs w:val="20"/>
              </w:rPr>
            </w:pPr>
            <w:r w:rsidRPr="00737D6A">
              <w:rPr>
                <w:rFonts w:asciiTheme="majorHAnsi" w:eastAsia="Times New Roman" w:hAnsiTheme="majorHAnsi" w:cstheme="majorHAnsi"/>
                <w:sz w:val="20"/>
                <w:szCs w:val="20"/>
              </w:rPr>
              <w:t>$ 42.21</w:t>
            </w:r>
          </w:p>
        </w:tc>
        <w:tc>
          <w:tcPr>
            <w:tcW w:w="1620" w:type="dxa"/>
            <w:shd w:val="clear" w:color="auto" w:fill="auto"/>
            <w:noWrap/>
            <w:vAlign w:val="bottom"/>
            <w:hideMark/>
          </w:tcPr>
          <w:p w14:paraId="614C73BE" w14:textId="4BDD7008" w:rsidR="00627777" w:rsidRPr="00250C22" w:rsidRDefault="007757A7">
            <w:pPr>
              <w:rPr>
                <w:rFonts w:asciiTheme="majorHAnsi" w:eastAsia="Times New Roman" w:hAnsiTheme="majorHAnsi" w:cstheme="majorBidi"/>
                <w:sz w:val="20"/>
                <w:szCs w:val="20"/>
              </w:rPr>
            </w:pPr>
            <w:r w:rsidRPr="000E623B">
              <w:rPr>
                <w:rFonts w:asciiTheme="majorHAnsi" w:eastAsia="Times New Roman" w:hAnsiTheme="majorHAnsi" w:cstheme="majorBidi"/>
                <w:sz w:val="20"/>
                <w:szCs w:val="20"/>
              </w:rPr>
              <w:t>88</w:t>
            </w:r>
            <w:r w:rsidR="00627777" w:rsidRPr="000E623B">
              <w:rPr>
                <w:rFonts w:asciiTheme="majorHAnsi" w:eastAsia="Times New Roman" w:hAnsiTheme="majorHAnsi" w:cstheme="majorBidi"/>
                <w:sz w:val="20"/>
                <w:szCs w:val="20"/>
              </w:rPr>
              <w:t>%</w:t>
            </w:r>
          </w:p>
        </w:tc>
        <w:tc>
          <w:tcPr>
            <w:tcW w:w="1710" w:type="dxa"/>
            <w:vMerge/>
            <w:vAlign w:val="center"/>
            <w:hideMark/>
          </w:tcPr>
          <w:p w14:paraId="4D0120FB" w14:textId="77777777" w:rsidR="00627777" w:rsidRPr="00737D6A" w:rsidRDefault="00627777">
            <w:pPr>
              <w:rPr>
                <w:rFonts w:asciiTheme="majorHAnsi" w:eastAsia="Times New Roman" w:hAnsiTheme="majorHAnsi" w:cstheme="majorHAnsi"/>
                <w:sz w:val="20"/>
                <w:szCs w:val="20"/>
              </w:rPr>
            </w:pPr>
          </w:p>
        </w:tc>
      </w:tr>
    </w:tbl>
    <w:p w14:paraId="288830F7" w14:textId="7AF4DC7B" w:rsidR="00C81A33" w:rsidRPr="00737D6A" w:rsidRDefault="00627777" w:rsidP="006E54D1">
      <w:pPr>
        <w:rPr>
          <w:rFonts w:asciiTheme="majorHAnsi" w:hAnsiTheme="majorHAnsi" w:cstheme="majorHAnsi"/>
          <w:sz w:val="20"/>
        </w:rPr>
      </w:pPr>
      <w:r w:rsidRPr="00737D6A">
        <w:rPr>
          <w:rFonts w:asciiTheme="majorHAnsi" w:hAnsiTheme="majorHAnsi" w:cstheme="majorHAnsi"/>
          <w:sz w:val="20"/>
        </w:rPr>
        <w:t>*Unknown/Other thermostats were assumed to be programmable thermostats for the estimating market distribution</w:t>
      </w:r>
    </w:p>
    <w:p w14:paraId="1EBB5D70" w14:textId="77777777" w:rsidR="00627777" w:rsidRPr="00737D6A" w:rsidRDefault="00627777" w:rsidP="006E54D1">
      <w:pPr>
        <w:rPr>
          <w:rFonts w:asciiTheme="majorHAnsi" w:hAnsiTheme="majorHAnsi" w:cstheme="majorHAnsi"/>
        </w:rPr>
      </w:pPr>
    </w:p>
    <w:p w14:paraId="02920B4E" w14:textId="77777777" w:rsidR="000C261C" w:rsidRPr="00737D6A" w:rsidRDefault="00C81A33">
      <w:pPr>
        <w:pStyle w:val="Normal1"/>
        <w:rPr>
          <w:rFonts w:asciiTheme="majorHAnsi" w:hAnsiTheme="majorHAnsi" w:cstheme="majorHAnsi"/>
        </w:rPr>
      </w:pPr>
      <w:r w:rsidRPr="00737D6A">
        <w:rPr>
          <w:rFonts w:asciiTheme="majorHAnsi" w:hAnsiTheme="majorHAnsi" w:cstheme="majorHAnsi"/>
        </w:rPr>
        <w:t>The total equipment cost includes 8.75% tax. Shipping cost has not been included in the material price as majority of the retailers offer free shipping.</w:t>
      </w:r>
    </w:p>
    <w:p w14:paraId="45C99E66" w14:textId="7EFB4717" w:rsidR="00DD1B84" w:rsidRPr="00737D6A" w:rsidRDefault="00DD1B84">
      <w:pPr>
        <w:pStyle w:val="Normal1"/>
        <w:rPr>
          <w:rFonts w:asciiTheme="majorHAnsi" w:hAnsiTheme="majorHAnsi" w:cstheme="majorHAnsi"/>
        </w:rPr>
      </w:pPr>
    </w:p>
    <w:p w14:paraId="0787EFC0" w14:textId="51148A9D" w:rsidR="00C81A33" w:rsidRPr="00737D6A" w:rsidRDefault="000C261C">
      <w:pPr>
        <w:pStyle w:val="Normal1"/>
        <w:rPr>
          <w:rFonts w:asciiTheme="majorHAnsi" w:hAnsiTheme="majorHAnsi" w:cstheme="majorHAnsi"/>
        </w:rPr>
      </w:pPr>
      <w:r w:rsidRPr="00737D6A">
        <w:rPr>
          <w:rFonts w:asciiTheme="majorHAnsi" w:hAnsiTheme="majorHAnsi" w:cstheme="majorHAnsi"/>
        </w:rPr>
        <w:t xml:space="preserve">Labor cost </w:t>
      </w:r>
      <w:r w:rsidR="00C81A33" w:rsidRPr="00737D6A">
        <w:rPr>
          <w:rFonts w:asciiTheme="majorHAnsi" w:hAnsiTheme="majorHAnsi" w:cstheme="majorHAnsi"/>
        </w:rPr>
        <w:t>was found from RS Means Online database (2018). The bare labor hours (0.40 hours) of an electrician’s time (Residential rates including O&amp;P) was used to estimate the labor cost.</w:t>
      </w:r>
    </w:p>
    <w:p w14:paraId="5239903C" w14:textId="77777777" w:rsidR="00C81A33" w:rsidRPr="00737D6A" w:rsidRDefault="00C81A33" w:rsidP="006E54D1">
      <w:pPr>
        <w:rPr>
          <w:rFonts w:asciiTheme="majorHAnsi" w:hAnsiTheme="majorHAnsi" w:cstheme="majorHAnsi"/>
        </w:rPr>
      </w:pPr>
    </w:p>
    <w:p w14:paraId="6C989407" w14:textId="3F3AEA41" w:rsidR="00B04618" w:rsidRPr="00737D6A" w:rsidRDefault="00B04618" w:rsidP="006E54D1">
      <w:pPr>
        <w:rPr>
          <w:rFonts w:asciiTheme="majorHAnsi" w:hAnsiTheme="majorHAnsi" w:cstheme="majorHAnsi"/>
        </w:rPr>
      </w:pPr>
      <w:r w:rsidRPr="00737D6A">
        <w:rPr>
          <w:rFonts w:asciiTheme="majorHAnsi" w:hAnsiTheme="majorHAnsi" w:cstheme="majorHAnsi"/>
          <w:b/>
        </w:rPr>
        <w:t>Base Case: Material, Labor and Full Cost</w:t>
      </w:r>
    </w:p>
    <w:tbl>
      <w:tblPr>
        <w:tblStyle w:val="TableGrid1"/>
        <w:tblW w:w="5000" w:type="pct"/>
        <w:tblLook w:val="04A0" w:firstRow="1" w:lastRow="0" w:firstColumn="1" w:lastColumn="0" w:noHBand="0" w:noVBand="1"/>
      </w:tblPr>
      <w:tblGrid>
        <w:gridCol w:w="2815"/>
        <w:gridCol w:w="1787"/>
        <w:gridCol w:w="2044"/>
        <w:gridCol w:w="2164"/>
      </w:tblGrid>
      <w:tr w:rsidR="00B04618" w:rsidRPr="00737D6A" w14:paraId="09082792" w14:textId="77777777" w:rsidTr="006E54D1">
        <w:trPr>
          <w:trHeight w:val="503"/>
        </w:trPr>
        <w:tc>
          <w:tcPr>
            <w:tcW w:w="1598" w:type="pct"/>
            <w:shd w:val="clear" w:color="auto" w:fill="D9D9D9" w:themeFill="background1" w:themeFillShade="D9"/>
            <w:vAlign w:val="center"/>
          </w:tcPr>
          <w:p w14:paraId="6316CB54" w14:textId="77777777" w:rsidR="00B04618" w:rsidRPr="00737D6A" w:rsidRDefault="00B04618">
            <w:pPr>
              <w:rPr>
                <w:rFonts w:asciiTheme="majorHAnsi" w:hAnsiTheme="majorHAnsi" w:cstheme="majorHAnsi"/>
                <w:b/>
                <w:bCs/>
              </w:rPr>
            </w:pPr>
            <w:r w:rsidRPr="00737D6A">
              <w:rPr>
                <w:rFonts w:asciiTheme="majorHAnsi" w:hAnsiTheme="majorHAnsi" w:cstheme="majorHAnsi"/>
                <w:b/>
              </w:rPr>
              <w:t xml:space="preserve">Equipment </w:t>
            </w:r>
          </w:p>
        </w:tc>
        <w:tc>
          <w:tcPr>
            <w:tcW w:w="1014" w:type="pct"/>
            <w:shd w:val="clear" w:color="auto" w:fill="D9D9D9" w:themeFill="background1" w:themeFillShade="D9"/>
            <w:vAlign w:val="center"/>
          </w:tcPr>
          <w:p w14:paraId="7C8337F8" w14:textId="77777777" w:rsidR="00B04618" w:rsidRPr="00737D6A" w:rsidRDefault="00B04618">
            <w:pPr>
              <w:rPr>
                <w:rFonts w:asciiTheme="majorHAnsi" w:hAnsiTheme="majorHAnsi" w:cstheme="majorHAnsi"/>
                <w:b/>
                <w:bCs/>
              </w:rPr>
            </w:pPr>
            <w:r w:rsidRPr="00737D6A">
              <w:rPr>
                <w:rFonts w:asciiTheme="majorHAnsi" w:hAnsiTheme="majorHAnsi" w:cstheme="majorHAnsi"/>
                <w:b/>
              </w:rPr>
              <w:t>Base Case Material Price</w:t>
            </w:r>
          </w:p>
        </w:tc>
        <w:tc>
          <w:tcPr>
            <w:tcW w:w="1160" w:type="pct"/>
            <w:shd w:val="clear" w:color="auto" w:fill="D9D9D9" w:themeFill="background1" w:themeFillShade="D9"/>
            <w:vAlign w:val="center"/>
          </w:tcPr>
          <w:p w14:paraId="510718DB" w14:textId="77777777" w:rsidR="00B04618" w:rsidRPr="00737D6A" w:rsidRDefault="00B04618">
            <w:pPr>
              <w:rPr>
                <w:rFonts w:asciiTheme="majorHAnsi" w:hAnsiTheme="majorHAnsi" w:cstheme="majorHAnsi"/>
                <w:b/>
                <w:bCs/>
              </w:rPr>
            </w:pPr>
            <w:r w:rsidRPr="00737D6A">
              <w:rPr>
                <w:rFonts w:asciiTheme="majorHAnsi" w:hAnsiTheme="majorHAnsi" w:cstheme="majorHAnsi"/>
                <w:b/>
              </w:rPr>
              <w:t>Base Case Labor Price</w:t>
            </w:r>
          </w:p>
        </w:tc>
        <w:tc>
          <w:tcPr>
            <w:tcW w:w="1228" w:type="pct"/>
            <w:shd w:val="clear" w:color="auto" w:fill="D9D9D9" w:themeFill="background1" w:themeFillShade="D9"/>
            <w:vAlign w:val="center"/>
          </w:tcPr>
          <w:p w14:paraId="18517BD4" w14:textId="77777777" w:rsidR="00B04618" w:rsidRPr="00737D6A" w:rsidRDefault="00B04618">
            <w:pPr>
              <w:rPr>
                <w:rFonts w:asciiTheme="majorHAnsi" w:hAnsiTheme="majorHAnsi" w:cstheme="majorHAnsi"/>
                <w:b/>
                <w:bCs/>
              </w:rPr>
            </w:pPr>
            <w:r w:rsidRPr="00737D6A">
              <w:rPr>
                <w:rFonts w:asciiTheme="majorHAnsi" w:hAnsiTheme="majorHAnsi" w:cstheme="majorHAnsi"/>
                <w:b/>
              </w:rPr>
              <w:t>Base Case Total Price</w:t>
            </w:r>
          </w:p>
        </w:tc>
      </w:tr>
      <w:tr w:rsidR="00B04618" w:rsidRPr="00737D6A" w14:paraId="54F34F8F" w14:textId="77777777" w:rsidTr="006E54D1">
        <w:trPr>
          <w:trHeight w:val="300"/>
        </w:trPr>
        <w:tc>
          <w:tcPr>
            <w:tcW w:w="1598" w:type="pct"/>
            <w:vAlign w:val="center"/>
          </w:tcPr>
          <w:p w14:paraId="18E2BE52" w14:textId="78CD25B3" w:rsidR="00B04618" w:rsidRPr="00737D6A" w:rsidRDefault="00B04618" w:rsidP="00AD43B0">
            <w:pPr>
              <w:rPr>
                <w:rFonts w:asciiTheme="majorHAnsi" w:hAnsiTheme="majorHAnsi" w:cstheme="majorHAnsi"/>
              </w:rPr>
            </w:pPr>
            <w:r w:rsidRPr="00737D6A">
              <w:rPr>
                <w:rFonts w:asciiTheme="majorHAnsi" w:hAnsiTheme="majorHAnsi" w:cstheme="majorHAnsi"/>
              </w:rPr>
              <w:t>Residential Programmable Thermostat</w:t>
            </w:r>
          </w:p>
        </w:tc>
        <w:tc>
          <w:tcPr>
            <w:tcW w:w="1014" w:type="pct"/>
            <w:noWrap/>
            <w:vAlign w:val="center"/>
          </w:tcPr>
          <w:p w14:paraId="4DABFEB2" w14:textId="08E33BB0" w:rsidR="00B04618" w:rsidRPr="00737D6A" w:rsidRDefault="00B04618" w:rsidP="00D10618">
            <w:pPr>
              <w:rPr>
                <w:rFonts w:asciiTheme="majorHAnsi" w:hAnsiTheme="majorHAnsi" w:cstheme="majorHAnsi"/>
              </w:rPr>
            </w:pPr>
            <w:r w:rsidRPr="00737D6A">
              <w:rPr>
                <w:rFonts w:asciiTheme="majorHAnsi" w:hAnsiTheme="majorHAnsi" w:cstheme="majorHAnsi"/>
              </w:rPr>
              <w:t xml:space="preserve">$ </w:t>
            </w:r>
            <w:r w:rsidR="00612662" w:rsidRPr="00737D6A">
              <w:rPr>
                <w:rFonts w:asciiTheme="majorHAnsi" w:hAnsiTheme="majorHAnsi" w:cstheme="majorHAnsi"/>
              </w:rPr>
              <w:t>4</w:t>
            </w:r>
            <w:r w:rsidR="00D5729F" w:rsidRPr="00737D6A">
              <w:rPr>
                <w:rFonts w:asciiTheme="majorHAnsi" w:hAnsiTheme="majorHAnsi" w:cstheme="majorHAnsi"/>
              </w:rPr>
              <w:t>0.59</w:t>
            </w:r>
          </w:p>
        </w:tc>
        <w:tc>
          <w:tcPr>
            <w:tcW w:w="1160" w:type="pct"/>
            <w:noWrap/>
            <w:vAlign w:val="center"/>
          </w:tcPr>
          <w:p w14:paraId="5A56C143" w14:textId="3BC6ECF6" w:rsidR="00B04618" w:rsidRPr="00737D6A" w:rsidRDefault="00B04618">
            <w:pPr>
              <w:rPr>
                <w:rFonts w:asciiTheme="majorHAnsi" w:hAnsiTheme="majorHAnsi" w:cstheme="majorHAnsi"/>
              </w:rPr>
            </w:pPr>
            <w:r w:rsidRPr="00737D6A">
              <w:rPr>
                <w:rFonts w:asciiTheme="majorHAnsi" w:hAnsiTheme="majorHAnsi" w:cstheme="majorHAnsi"/>
              </w:rPr>
              <w:t xml:space="preserve">$ </w:t>
            </w:r>
            <w:r w:rsidR="00C81A33" w:rsidRPr="00737D6A">
              <w:rPr>
                <w:rFonts w:asciiTheme="majorHAnsi" w:hAnsiTheme="majorHAnsi" w:cstheme="majorHAnsi"/>
              </w:rPr>
              <w:t>26.26</w:t>
            </w:r>
          </w:p>
        </w:tc>
        <w:tc>
          <w:tcPr>
            <w:tcW w:w="1228" w:type="pct"/>
            <w:noWrap/>
            <w:vAlign w:val="center"/>
          </w:tcPr>
          <w:p w14:paraId="4D4115EF" w14:textId="10758C02" w:rsidR="00B04618" w:rsidRPr="00737D6A" w:rsidRDefault="00B04618">
            <w:pPr>
              <w:rPr>
                <w:rFonts w:asciiTheme="majorHAnsi" w:hAnsiTheme="majorHAnsi" w:cstheme="majorHAnsi"/>
              </w:rPr>
            </w:pPr>
            <w:r w:rsidRPr="00737D6A">
              <w:rPr>
                <w:rFonts w:asciiTheme="majorHAnsi" w:hAnsiTheme="majorHAnsi" w:cstheme="majorHAnsi"/>
              </w:rPr>
              <w:t xml:space="preserve">$ </w:t>
            </w:r>
            <w:r w:rsidR="00D5729F" w:rsidRPr="00737D6A">
              <w:rPr>
                <w:rFonts w:asciiTheme="majorHAnsi" w:hAnsiTheme="majorHAnsi" w:cstheme="majorHAnsi"/>
              </w:rPr>
              <w:t>66.85</w:t>
            </w:r>
          </w:p>
        </w:tc>
      </w:tr>
    </w:tbl>
    <w:p w14:paraId="33941361" w14:textId="495C96F6" w:rsidR="00B04618" w:rsidRPr="00250C22" w:rsidRDefault="00B04618">
      <w:pPr>
        <w:rPr>
          <w:rFonts w:asciiTheme="majorHAnsi" w:hAnsiTheme="majorHAnsi" w:cstheme="majorBidi"/>
        </w:rPr>
      </w:pPr>
      <w:r w:rsidRPr="000E623B">
        <w:rPr>
          <w:rFonts w:asciiTheme="majorHAnsi" w:hAnsiTheme="majorHAnsi" w:cstheme="majorBidi"/>
          <w:sz w:val="20"/>
          <w:szCs w:val="20"/>
        </w:rPr>
        <w:t xml:space="preserve">See Attachment </w:t>
      </w:r>
      <w:r w:rsidR="00082E06" w:rsidRPr="000E623B">
        <w:rPr>
          <w:rFonts w:asciiTheme="majorHAnsi" w:hAnsiTheme="majorHAnsi" w:cstheme="majorBidi"/>
          <w:sz w:val="20"/>
          <w:szCs w:val="20"/>
        </w:rPr>
        <w:t>3</w:t>
      </w:r>
      <w:r w:rsidRPr="000E623B">
        <w:rPr>
          <w:rFonts w:asciiTheme="majorHAnsi" w:hAnsiTheme="majorHAnsi" w:cstheme="majorBidi"/>
          <w:sz w:val="20"/>
          <w:szCs w:val="20"/>
        </w:rPr>
        <w:t xml:space="preserve"> for more details.</w:t>
      </w:r>
    </w:p>
    <w:p w14:paraId="03DECBBC" w14:textId="6DE551BA" w:rsidR="00576C8C" w:rsidRPr="00737D6A" w:rsidRDefault="007173B2" w:rsidP="00250C22">
      <w:pPr>
        <w:pStyle w:val="Heading2"/>
        <w:rPr>
          <w:rFonts w:asciiTheme="majorHAnsi" w:hAnsiTheme="majorHAnsi" w:cstheme="majorHAnsi"/>
        </w:rPr>
      </w:pPr>
      <w:bookmarkStart w:id="24" w:name="_2xcytpi" w:colFirst="0" w:colLast="0"/>
      <w:bookmarkEnd w:id="24"/>
      <w:r w:rsidRPr="00737D6A">
        <w:rPr>
          <w:rFonts w:asciiTheme="majorHAnsi" w:hAnsiTheme="majorHAnsi" w:cstheme="majorHAnsi"/>
        </w:rPr>
        <w:t>5.2 Measure Case Cost</w:t>
      </w:r>
      <w:r w:rsidR="00B07393" w:rsidRPr="00737D6A">
        <w:rPr>
          <w:rFonts w:asciiTheme="majorHAnsi" w:hAnsiTheme="majorHAnsi" w:cstheme="majorHAnsi"/>
        </w:rPr>
        <w:t xml:space="preserve"> </w:t>
      </w:r>
    </w:p>
    <w:p w14:paraId="7A01CA62" w14:textId="7C9D2BE3" w:rsidR="00D474F3" w:rsidRPr="00250C22" w:rsidRDefault="007173B2">
      <w:pPr>
        <w:pStyle w:val="Normal1"/>
        <w:rPr>
          <w:rFonts w:asciiTheme="majorHAnsi" w:hAnsiTheme="majorHAnsi" w:cstheme="majorBidi"/>
        </w:rPr>
      </w:pPr>
      <w:r w:rsidRPr="000E623B">
        <w:rPr>
          <w:rFonts w:asciiTheme="majorHAnsi" w:hAnsiTheme="majorHAnsi" w:cstheme="majorBidi"/>
        </w:rPr>
        <w:t xml:space="preserve">Smart Thermostats </w:t>
      </w:r>
      <w:r w:rsidR="00B2484E" w:rsidRPr="000E623B">
        <w:rPr>
          <w:rFonts w:asciiTheme="majorHAnsi" w:hAnsiTheme="majorHAnsi" w:cstheme="majorBidi"/>
        </w:rPr>
        <w:t xml:space="preserve">costs </w:t>
      </w:r>
      <w:r w:rsidRPr="000E623B">
        <w:rPr>
          <w:rFonts w:asciiTheme="majorHAnsi" w:hAnsiTheme="majorHAnsi" w:cstheme="majorBidi"/>
        </w:rPr>
        <w:t xml:space="preserve">are not contained within WO17 or </w:t>
      </w:r>
      <w:r w:rsidR="00B2484E" w:rsidRPr="000E623B">
        <w:rPr>
          <w:rFonts w:asciiTheme="majorHAnsi" w:hAnsiTheme="majorHAnsi" w:cstheme="majorBidi"/>
        </w:rPr>
        <w:t>DEER2019</w:t>
      </w:r>
      <w:r w:rsidRPr="000E623B">
        <w:rPr>
          <w:rFonts w:asciiTheme="majorHAnsi" w:hAnsiTheme="majorHAnsi" w:cstheme="majorBidi"/>
        </w:rPr>
        <w:t xml:space="preserve">. </w:t>
      </w:r>
      <w:r w:rsidR="00063331" w:rsidRPr="00EB68B9">
        <w:rPr>
          <w:rFonts w:asciiTheme="majorHAnsi" w:hAnsiTheme="majorHAnsi" w:cstheme="majorBidi"/>
        </w:rPr>
        <w:t xml:space="preserve">The measure case cost for the smart thermostats was obtained through online prices </w:t>
      </w:r>
      <w:r w:rsidR="003918D5" w:rsidRPr="00EB68B9">
        <w:rPr>
          <w:rFonts w:asciiTheme="majorHAnsi" w:hAnsiTheme="majorHAnsi" w:cstheme="majorBidi"/>
        </w:rPr>
        <w:t xml:space="preserve">research </w:t>
      </w:r>
      <w:r w:rsidR="00063331" w:rsidRPr="006243DD">
        <w:rPr>
          <w:rFonts w:asciiTheme="majorHAnsi" w:hAnsiTheme="majorHAnsi" w:cstheme="majorBidi"/>
        </w:rPr>
        <w:t xml:space="preserve">from various retailer websites in the </w:t>
      </w:r>
      <w:r w:rsidR="000D56DA" w:rsidRPr="00265801">
        <w:rPr>
          <w:rFonts w:asciiTheme="majorHAnsi" w:hAnsiTheme="majorHAnsi" w:cstheme="majorBidi"/>
        </w:rPr>
        <w:t>first</w:t>
      </w:r>
      <w:r w:rsidR="00063331" w:rsidRPr="000E623B">
        <w:rPr>
          <w:rFonts w:asciiTheme="majorHAnsi" w:hAnsiTheme="majorHAnsi" w:cstheme="majorBidi"/>
        </w:rPr>
        <w:t xml:space="preserve"> quarter of 201</w:t>
      </w:r>
      <w:r w:rsidR="000D56DA" w:rsidRPr="000E623B">
        <w:rPr>
          <w:rFonts w:asciiTheme="majorHAnsi" w:hAnsiTheme="majorHAnsi" w:cstheme="majorBidi"/>
        </w:rPr>
        <w:t>9</w:t>
      </w:r>
      <w:r w:rsidRPr="000E623B">
        <w:rPr>
          <w:rFonts w:asciiTheme="majorHAnsi" w:hAnsiTheme="majorHAnsi" w:cstheme="majorBidi"/>
        </w:rPr>
        <w:t xml:space="preserve">. </w:t>
      </w:r>
      <w:r w:rsidR="00CD2A24" w:rsidRPr="000E623B">
        <w:rPr>
          <w:rFonts w:asciiTheme="majorHAnsi" w:hAnsiTheme="majorHAnsi" w:cstheme="majorBidi"/>
        </w:rPr>
        <w:t xml:space="preserve">All the smart thermostat models are </w:t>
      </w:r>
      <w:r w:rsidR="003918D5" w:rsidRPr="000E623B">
        <w:rPr>
          <w:rFonts w:asciiTheme="majorHAnsi" w:hAnsiTheme="majorHAnsi" w:cstheme="majorBidi"/>
        </w:rPr>
        <w:t xml:space="preserve">ENERGYSTAR </w:t>
      </w:r>
      <w:r w:rsidR="00CD2A24" w:rsidRPr="000E623B">
        <w:rPr>
          <w:rFonts w:asciiTheme="majorHAnsi" w:hAnsiTheme="majorHAnsi" w:cstheme="majorBidi"/>
        </w:rPr>
        <w:t>certified and meet the workpaper eligibility requirements</w:t>
      </w:r>
      <w:r w:rsidR="00F304FB" w:rsidRPr="000E623B">
        <w:rPr>
          <w:rFonts w:asciiTheme="majorHAnsi" w:hAnsiTheme="majorHAnsi" w:cstheme="majorBidi"/>
        </w:rPr>
        <w:t>.</w:t>
      </w:r>
      <w:r w:rsidRPr="000E623B">
        <w:rPr>
          <w:rFonts w:asciiTheme="majorHAnsi" w:hAnsiTheme="majorHAnsi" w:cstheme="majorBidi"/>
        </w:rPr>
        <w:t xml:space="preserve">  </w:t>
      </w:r>
      <w:r w:rsidR="00063331" w:rsidRPr="00EB68B9">
        <w:rPr>
          <w:rFonts w:asciiTheme="majorHAnsi" w:hAnsiTheme="majorHAnsi" w:cstheme="majorBidi"/>
        </w:rPr>
        <w:t xml:space="preserve">The total equipment cost includes 8.75% tax. Shipping cost has not been included in the material price as majority of the retailers offer free shipping. </w:t>
      </w:r>
      <w:r w:rsidRPr="00EB68B9">
        <w:rPr>
          <w:rFonts w:asciiTheme="majorHAnsi" w:hAnsiTheme="majorHAnsi" w:cstheme="majorBidi"/>
        </w:rPr>
        <w:t>Until more updated studies are done, the online retail point of sales pricing is the best available data to support the measure equipment cost</w:t>
      </w:r>
      <w:r w:rsidR="00227AE6" w:rsidRPr="006243DD">
        <w:rPr>
          <w:rFonts w:asciiTheme="majorHAnsi" w:hAnsiTheme="majorHAnsi" w:cstheme="majorBidi"/>
        </w:rPr>
        <w:t xml:space="preserve">. </w:t>
      </w:r>
    </w:p>
    <w:p w14:paraId="6378E0AF" w14:textId="77777777" w:rsidR="00D474F3" w:rsidRPr="00737D6A" w:rsidRDefault="00D474F3">
      <w:pPr>
        <w:pStyle w:val="Normal1"/>
        <w:rPr>
          <w:rFonts w:asciiTheme="majorHAnsi" w:hAnsiTheme="majorHAnsi" w:cstheme="majorHAnsi"/>
        </w:rPr>
      </w:pPr>
    </w:p>
    <w:p w14:paraId="67A2D10F" w14:textId="275ED1F1" w:rsidR="00D474F3" w:rsidRPr="00737D6A" w:rsidRDefault="00D474F3" w:rsidP="00D474F3">
      <w:pPr>
        <w:pStyle w:val="Normal1"/>
        <w:rPr>
          <w:rFonts w:asciiTheme="majorHAnsi" w:hAnsiTheme="majorHAnsi" w:cstheme="majorHAnsi"/>
          <w:b/>
        </w:rPr>
      </w:pPr>
      <w:r w:rsidRPr="00737D6A">
        <w:rPr>
          <w:rFonts w:asciiTheme="majorHAnsi" w:hAnsiTheme="majorHAnsi" w:cstheme="majorHAnsi"/>
          <w:b/>
        </w:rPr>
        <w:t>Cost Methodology/Approach</w:t>
      </w:r>
    </w:p>
    <w:p w14:paraId="6C3B08D5" w14:textId="31FA5C70" w:rsidR="00D474F3" w:rsidRPr="00737D6A" w:rsidRDefault="00D474F3" w:rsidP="00D474F3">
      <w:pPr>
        <w:pStyle w:val="Normal1"/>
        <w:rPr>
          <w:rFonts w:asciiTheme="majorHAnsi" w:hAnsiTheme="majorHAnsi" w:cstheme="majorHAnsi"/>
        </w:rPr>
      </w:pPr>
      <w:r w:rsidRPr="00737D6A">
        <w:rPr>
          <w:rFonts w:asciiTheme="majorHAnsi" w:hAnsiTheme="majorHAnsi" w:cstheme="majorHAnsi"/>
        </w:rPr>
        <w:t xml:space="preserve">The incremental measure cost is the cost differential of the efficient option over the standard option attributable to features related to energy efficiency performance. </w:t>
      </w:r>
      <w:r w:rsidR="00431B52">
        <w:rPr>
          <w:rFonts w:asciiTheme="majorHAnsi" w:hAnsiTheme="majorHAnsi" w:cstheme="majorHAnsi"/>
        </w:rPr>
        <w:t xml:space="preserve"> </w:t>
      </w:r>
      <w:r w:rsidRPr="00737D6A">
        <w:rPr>
          <w:rFonts w:asciiTheme="majorHAnsi" w:hAnsiTheme="majorHAnsi" w:cstheme="majorHAnsi"/>
        </w:rPr>
        <w:t xml:space="preserve">A robust analysis would involve developing a taxonomy of features and determining the cost of each feature or component. </w:t>
      </w:r>
      <w:r w:rsidR="00431B52">
        <w:rPr>
          <w:rFonts w:asciiTheme="majorHAnsi" w:hAnsiTheme="majorHAnsi" w:cstheme="majorHAnsi"/>
        </w:rPr>
        <w:t xml:space="preserve"> </w:t>
      </w:r>
      <w:r w:rsidRPr="00737D6A">
        <w:rPr>
          <w:rFonts w:asciiTheme="majorHAnsi" w:hAnsiTheme="majorHAnsi" w:cstheme="majorHAnsi"/>
        </w:rPr>
        <w:t xml:space="preserve">This is generally done through such methods as product teardowns or hedonic price </w:t>
      </w:r>
      <w:r w:rsidRPr="00737D6A">
        <w:rPr>
          <w:rFonts w:asciiTheme="majorHAnsi" w:hAnsiTheme="majorHAnsi" w:cstheme="majorHAnsi"/>
        </w:rPr>
        <w:lastRenderedPageBreak/>
        <w:t xml:space="preserve">modeling. </w:t>
      </w:r>
      <w:r w:rsidR="00431B52">
        <w:rPr>
          <w:rFonts w:asciiTheme="majorHAnsi" w:hAnsiTheme="majorHAnsi" w:cstheme="majorHAnsi"/>
        </w:rPr>
        <w:t xml:space="preserve"> </w:t>
      </w:r>
      <w:r w:rsidRPr="00737D6A">
        <w:rPr>
          <w:rFonts w:asciiTheme="majorHAnsi" w:hAnsiTheme="majorHAnsi" w:cstheme="majorHAnsi"/>
        </w:rPr>
        <w:t>However, for thermostats, these methods become unwieldy because it is difficult to develop a standardized set of features due to various possible implementations of the technology and we may not find a reliable correlation between features and price.</w:t>
      </w:r>
    </w:p>
    <w:p w14:paraId="2FCED229" w14:textId="77777777" w:rsidR="00D474F3" w:rsidRPr="00737D6A" w:rsidRDefault="00D474F3" w:rsidP="00D474F3">
      <w:pPr>
        <w:pStyle w:val="Normal1"/>
        <w:rPr>
          <w:rFonts w:asciiTheme="majorHAnsi" w:hAnsiTheme="majorHAnsi" w:cstheme="majorHAnsi"/>
        </w:rPr>
      </w:pPr>
    </w:p>
    <w:p w14:paraId="6ED9276F" w14:textId="0813886E" w:rsidR="002D4EC0" w:rsidRDefault="000131D7">
      <w:pPr>
        <w:pStyle w:val="Normal1"/>
        <w:rPr>
          <w:rFonts w:asciiTheme="majorHAnsi" w:hAnsiTheme="majorHAnsi" w:cstheme="majorBidi"/>
        </w:rPr>
      </w:pPr>
      <w:r w:rsidRPr="000E623B">
        <w:rPr>
          <w:rFonts w:asciiTheme="majorHAnsi" w:hAnsiTheme="majorHAnsi" w:cstheme="majorBidi"/>
        </w:rPr>
        <w:t xml:space="preserve">The measure cost update is adjusted based on </w:t>
      </w:r>
      <w:r w:rsidR="00D474F3" w:rsidRPr="000E623B">
        <w:rPr>
          <w:rFonts w:asciiTheme="majorHAnsi" w:hAnsiTheme="majorHAnsi" w:cstheme="majorBidi"/>
        </w:rPr>
        <w:t>smart thermostat</w:t>
      </w:r>
      <w:r w:rsidR="003918D5" w:rsidRPr="000E623B">
        <w:rPr>
          <w:rFonts w:asciiTheme="majorHAnsi" w:hAnsiTheme="majorHAnsi" w:cstheme="majorBidi"/>
        </w:rPr>
        <w:t xml:space="preserve"> adoption in </w:t>
      </w:r>
      <w:r w:rsidRPr="000E623B">
        <w:rPr>
          <w:rFonts w:asciiTheme="majorHAnsi" w:hAnsiTheme="majorHAnsi" w:cstheme="majorBidi"/>
        </w:rPr>
        <w:t xml:space="preserve">the </w:t>
      </w:r>
      <w:r w:rsidR="003918D5" w:rsidRPr="000E623B">
        <w:rPr>
          <w:rFonts w:asciiTheme="majorHAnsi" w:hAnsiTheme="majorHAnsi" w:cstheme="majorBidi"/>
        </w:rPr>
        <w:t xml:space="preserve">Utility </w:t>
      </w:r>
      <w:r w:rsidRPr="000E623B">
        <w:rPr>
          <w:rFonts w:asciiTheme="majorHAnsi" w:hAnsiTheme="majorHAnsi" w:cstheme="majorBidi"/>
        </w:rPr>
        <w:t xml:space="preserve">programs in 2018.  </w:t>
      </w:r>
      <w:r w:rsidR="00D474F3" w:rsidRPr="000E623B">
        <w:rPr>
          <w:rFonts w:asciiTheme="majorHAnsi" w:hAnsiTheme="majorHAnsi" w:cstheme="majorBidi"/>
        </w:rPr>
        <w:t>I</w:t>
      </w:r>
      <w:r w:rsidRPr="00EB68B9">
        <w:rPr>
          <w:rFonts w:asciiTheme="majorHAnsi" w:hAnsiTheme="majorHAnsi" w:cstheme="majorBidi"/>
        </w:rPr>
        <w:t>OU program tracking data suggest</w:t>
      </w:r>
      <w:r w:rsidR="00D474F3" w:rsidRPr="00EB68B9">
        <w:rPr>
          <w:rFonts w:asciiTheme="majorHAnsi" w:hAnsiTheme="majorHAnsi" w:cstheme="majorBidi"/>
        </w:rPr>
        <w:t xml:space="preserve"> that 80% of all smart thermostat rebate applications are for </w:t>
      </w:r>
      <w:r w:rsidR="003918D5" w:rsidRPr="000E623B">
        <w:rPr>
          <w:rFonts w:asciiTheme="majorHAnsi" w:hAnsiTheme="majorHAnsi" w:cstheme="majorBidi"/>
        </w:rPr>
        <w:t xml:space="preserve">smart thermostat </w:t>
      </w:r>
      <w:r w:rsidR="00D474F3" w:rsidRPr="000E623B">
        <w:rPr>
          <w:rFonts w:asciiTheme="majorHAnsi" w:hAnsiTheme="majorHAnsi" w:cstheme="majorBidi"/>
        </w:rPr>
        <w:t>technology with occupancy sensing.</w:t>
      </w:r>
      <w:r w:rsidR="00743503" w:rsidRPr="000E623B">
        <w:rPr>
          <w:rFonts w:asciiTheme="majorHAnsi" w:hAnsiTheme="majorHAnsi" w:cstheme="majorBidi"/>
        </w:rPr>
        <w:t xml:space="preserve">  </w:t>
      </w:r>
      <w:r w:rsidR="00671C3A" w:rsidRPr="000E623B">
        <w:rPr>
          <w:rFonts w:asciiTheme="majorHAnsi" w:hAnsiTheme="majorHAnsi" w:cstheme="majorBidi"/>
        </w:rPr>
        <w:t>The cost per unit</w:t>
      </w:r>
      <w:r w:rsidR="00082E06" w:rsidRPr="000E623B">
        <w:rPr>
          <w:rFonts w:asciiTheme="majorHAnsi" w:hAnsiTheme="majorHAnsi" w:cstheme="majorBidi"/>
        </w:rPr>
        <w:t xml:space="preserve"> </w:t>
      </w:r>
      <w:r w:rsidR="007C6B0B" w:rsidRPr="000E623B">
        <w:rPr>
          <w:rFonts w:asciiTheme="majorHAnsi" w:hAnsiTheme="majorHAnsi" w:cstheme="majorBidi"/>
        </w:rPr>
        <w:t xml:space="preserve">is adjusted </w:t>
      </w:r>
      <w:r w:rsidR="00082E06" w:rsidRPr="000E623B">
        <w:rPr>
          <w:rFonts w:asciiTheme="majorHAnsi" w:hAnsiTheme="majorHAnsi" w:cstheme="majorBidi"/>
        </w:rPr>
        <w:t xml:space="preserve">to include only the standard features </w:t>
      </w:r>
      <w:r w:rsidR="003918D5" w:rsidRPr="000E623B">
        <w:rPr>
          <w:rFonts w:asciiTheme="majorHAnsi" w:hAnsiTheme="majorHAnsi" w:cstheme="majorBidi"/>
        </w:rPr>
        <w:t xml:space="preserve">of </w:t>
      </w:r>
      <w:r w:rsidR="00082E06" w:rsidRPr="000E623B">
        <w:rPr>
          <w:rFonts w:asciiTheme="majorHAnsi" w:hAnsiTheme="majorHAnsi" w:cstheme="majorBidi"/>
        </w:rPr>
        <w:t>smart thermostats.</w:t>
      </w:r>
      <w:r w:rsidR="002D4EC0">
        <w:rPr>
          <w:rFonts w:asciiTheme="majorHAnsi" w:hAnsiTheme="majorHAnsi" w:cstheme="majorBidi"/>
        </w:rPr>
        <w:t xml:space="preserve">  Evaluation of the measure cost resulted on </w:t>
      </w:r>
      <w:r w:rsidR="00C24DC1">
        <w:rPr>
          <w:rFonts w:asciiTheme="majorHAnsi" w:hAnsiTheme="majorHAnsi" w:cstheme="majorBidi"/>
        </w:rPr>
        <w:t xml:space="preserve">a total </w:t>
      </w:r>
      <w:r w:rsidR="0057326D">
        <w:rPr>
          <w:rFonts w:asciiTheme="majorHAnsi" w:hAnsiTheme="majorHAnsi" w:cstheme="majorBidi"/>
        </w:rPr>
        <w:t xml:space="preserve">(Program implementation) </w:t>
      </w:r>
      <w:r w:rsidR="00C55B34">
        <w:rPr>
          <w:rFonts w:asciiTheme="majorHAnsi" w:hAnsiTheme="majorHAnsi" w:cstheme="majorBidi"/>
        </w:rPr>
        <w:t>weighted cost of $183.05</w:t>
      </w:r>
      <w:r w:rsidR="002D4EC0">
        <w:rPr>
          <w:rFonts w:asciiTheme="majorHAnsi" w:hAnsiTheme="majorHAnsi" w:cstheme="majorBidi"/>
        </w:rPr>
        <w:t xml:space="preserve">. </w:t>
      </w:r>
    </w:p>
    <w:p w14:paraId="4BEE4060" w14:textId="77777777" w:rsidR="002D4EC0" w:rsidRDefault="002D4EC0">
      <w:pPr>
        <w:pStyle w:val="Normal1"/>
        <w:rPr>
          <w:rFonts w:asciiTheme="majorHAnsi" w:hAnsiTheme="majorHAnsi" w:cstheme="majorBidi"/>
        </w:rPr>
      </w:pPr>
    </w:p>
    <w:p w14:paraId="2F50901D" w14:textId="063A1955" w:rsidR="00D474F3" w:rsidRPr="00250C22" w:rsidRDefault="00826F25">
      <w:pPr>
        <w:pStyle w:val="Normal1"/>
      </w:pPr>
      <w:r w:rsidRPr="000E623B">
        <w:rPr>
          <w:rFonts w:asciiTheme="majorHAnsi" w:hAnsiTheme="majorHAnsi" w:cstheme="majorBidi"/>
        </w:rPr>
        <w:t xml:space="preserve">Attachment </w:t>
      </w:r>
      <w:r w:rsidR="00743503" w:rsidRPr="00D14046">
        <w:rPr>
          <w:rFonts w:asciiTheme="majorHAnsi" w:hAnsiTheme="majorHAnsi" w:cstheme="majorBidi"/>
        </w:rPr>
        <w:t>3</w:t>
      </w:r>
      <w:r w:rsidR="002D4EC0" w:rsidRPr="00D14046">
        <w:rPr>
          <w:rFonts w:asciiTheme="majorHAnsi" w:hAnsiTheme="majorHAnsi" w:cstheme="majorBidi"/>
        </w:rPr>
        <w:t xml:space="preserve"> (CONFIDENTIAL)</w:t>
      </w:r>
      <w:r w:rsidR="00743503" w:rsidRPr="00D14046">
        <w:rPr>
          <w:rFonts w:asciiTheme="majorHAnsi" w:hAnsiTheme="majorHAnsi" w:cstheme="majorBidi"/>
        </w:rPr>
        <w:t xml:space="preserve"> details</w:t>
      </w:r>
      <w:r w:rsidR="00743503" w:rsidRPr="000E623B">
        <w:rPr>
          <w:rFonts w:asciiTheme="majorHAnsi" w:hAnsiTheme="majorHAnsi" w:cstheme="majorBidi"/>
        </w:rPr>
        <w:t xml:space="preserve"> </w:t>
      </w:r>
      <w:r w:rsidRPr="000E623B">
        <w:rPr>
          <w:rFonts w:asciiTheme="majorHAnsi" w:hAnsiTheme="majorHAnsi" w:cstheme="majorBidi"/>
        </w:rPr>
        <w:t>the measure and base cost methodology and analysis</w:t>
      </w:r>
      <w:r w:rsidRPr="00EB68B9">
        <w:rPr>
          <w:rFonts w:asciiTheme="majorHAnsi" w:hAnsiTheme="majorHAnsi" w:cstheme="majorBidi"/>
        </w:rPr>
        <w:t>.</w:t>
      </w:r>
      <w:r w:rsidR="00082E06" w:rsidRPr="00EB68B9">
        <w:rPr>
          <w:rFonts w:asciiTheme="majorHAnsi" w:hAnsiTheme="majorHAnsi" w:cstheme="majorBidi"/>
        </w:rPr>
        <w:t xml:space="preserve"> </w:t>
      </w:r>
    </w:p>
    <w:p w14:paraId="057ECC39" w14:textId="41FD7A14" w:rsidR="002D4EC0" w:rsidRDefault="002D4EC0">
      <w:pPr>
        <w:pStyle w:val="Normal1"/>
        <w:rPr>
          <w:rFonts w:asciiTheme="majorHAnsi" w:hAnsiTheme="majorHAnsi" w:cstheme="majorHAnsi"/>
          <w:sz w:val="20"/>
          <w:szCs w:val="20"/>
        </w:rPr>
      </w:pPr>
    </w:p>
    <w:p w14:paraId="6E91BFF3" w14:textId="06683614" w:rsidR="00B04618" w:rsidRPr="00737D6A" w:rsidRDefault="00C81A33">
      <w:pPr>
        <w:pStyle w:val="Normal1"/>
        <w:rPr>
          <w:rFonts w:asciiTheme="majorHAnsi" w:hAnsiTheme="majorHAnsi" w:cstheme="majorHAnsi"/>
        </w:rPr>
      </w:pPr>
      <w:r w:rsidRPr="00737D6A">
        <w:rPr>
          <w:rFonts w:asciiTheme="majorHAnsi" w:hAnsiTheme="majorHAnsi" w:cstheme="majorHAnsi"/>
        </w:rPr>
        <w:t xml:space="preserve">The labor costs for both the measure and base case are assumed to be the same. Labor costs for both cases </w:t>
      </w:r>
      <w:r w:rsidR="00BF2383">
        <w:rPr>
          <w:rFonts w:asciiTheme="majorHAnsi" w:hAnsiTheme="majorHAnsi" w:cstheme="majorHAnsi"/>
        </w:rPr>
        <w:t>is based on</w:t>
      </w:r>
      <w:r w:rsidRPr="00737D6A">
        <w:rPr>
          <w:rFonts w:asciiTheme="majorHAnsi" w:hAnsiTheme="majorHAnsi" w:cstheme="majorHAnsi"/>
        </w:rPr>
        <w:t xml:space="preserve"> RS Means Online database (2018). The bare labor hours (0.40 hours) of an electrician’s time (Residential rates including O&amp;P) was used to estimate the labor cost</w:t>
      </w:r>
      <w:r w:rsidR="009F4D7D" w:rsidRPr="00737D6A">
        <w:rPr>
          <w:rFonts w:asciiTheme="majorHAnsi" w:hAnsiTheme="majorHAnsi" w:cstheme="majorHAnsi"/>
        </w:rPr>
        <w:t>.</w:t>
      </w:r>
    </w:p>
    <w:p w14:paraId="3A0D7E5D" w14:textId="77777777" w:rsidR="00B04618" w:rsidRPr="00737D6A" w:rsidRDefault="00B04618">
      <w:pPr>
        <w:pStyle w:val="Normal1"/>
        <w:rPr>
          <w:rFonts w:asciiTheme="majorHAnsi" w:hAnsiTheme="majorHAnsi" w:cstheme="majorHAnsi"/>
        </w:rPr>
      </w:pPr>
    </w:p>
    <w:p w14:paraId="45DDD3B3" w14:textId="2159A207" w:rsidR="00B04618" w:rsidRPr="00737D6A" w:rsidRDefault="00B04618" w:rsidP="00B04618">
      <w:pPr>
        <w:pStyle w:val="Caption"/>
        <w:rPr>
          <w:rFonts w:asciiTheme="majorHAnsi" w:hAnsiTheme="majorHAnsi" w:cstheme="majorHAnsi"/>
          <w:szCs w:val="22"/>
        </w:rPr>
      </w:pPr>
      <w:r w:rsidRPr="00737D6A">
        <w:rPr>
          <w:rFonts w:asciiTheme="majorHAnsi" w:hAnsiTheme="majorHAnsi" w:cstheme="majorHAnsi"/>
          <w:bCs w:val="0"/>
          <w:szCs w:val="22"/>
        </w:rPr>
        <w:t>Measure Case: Material, Labor and Full Cost</w:t>
      </w:r>
    </w:p>
    <w:tbl>
      <w:tblPr>
        <w:tblStyle w:val="TableGrid1"/>
        <w:tblW w:w="5000" w:type="pct"/>
        <w:tblLook w:val="04A0" w:firstRow="1" w:lastRow="0" w:firstColumn="1" w:lastColumn="0" w:noHBand="0" w:noVBand="1"/>
      </w:tblPr>
      <w:tblGrid>
        <w:gridCol w:w="2815"/>
        <w:gridCol w:w="1787"/>
        <w:gridCol w:w="2044"/>
        <w:gridCol w:w="2164"/>
      </w:tblGrid>
      <w:tr w:rsidR="00B04618" w:rsidRPr="00737D6A" w14:paraId="542A79AA" w14:textId="77777777" w:rsidTr="00225558">
        <w:trPr>
          <w:trHeight w:val="503"/>
        </w:trPr>
        <w:tc>
          <w:tcPr>
            <w:tcW w:w="1598" w:type="pct"/>
            <w:shd w:val="clear" w:color="auto" w:fill="D9D9D9" w:themeFill="background1" w:themeFillShade="D9"/>
            <w:vAlign w:val="center"/>
          </w:tcPr>
          <w:p w14:paraId="6A0F4494" w14:textId="77777777" w:rsidR="00B04618" w:rsidRPr="00737D6A" w:rsidRDefault="00B04618" w:rsidP="00D10618">
            <w:pPr>
              <w:rPr>
                <w:rFonts w:asciiTheme="majorHAnsi" w:hAnsiTheme="majorHAnsi" w:cstheme="majorHAnsi"/>
                <w:b/>
                <w:bCs/>
              </w:rPr>
            </w:pPr>
            <w:r w:rsidRPr="00737D6A">
              <w:rPr>
                <w:rFonts w:asciiTheme="majorHAnsi" w:hAnsiTheme="majorHAnsi" w:cstheme="majorHAnsi"/>
                <w:b/>
              </w:rPr>
              <w:t>Equipment</w:t>
            </w:r>
          </w:p>
        </w:tc>
        <w:tc>
          <w:tcPr>
            <w:tcW w:w="1014" w:type="pct"/>
            <w:shd w:val="clear" w:color="auto" w:fill="D9D9D9" w:themeFill="background1" w:themeFillShade="D9"/>
            <w:vAlign w:val="center"/>
          </w:tcPr>
          <w:p w14:paraId="66C6D7B3" w14:textId="77777777" w:rsidR="00B04618" w:rsidRPr="00737D6A" w:rsidRDefault="00B04618">
            <w:pPr>
              <w:rPr>
                <w:rFonts w:asciiTheme="majorHAnsi" w:hAnsiTheme="majorHAnsi" w:cstheme="majorHAnsi"/>
                <w:b/>
                <w:bCs/>
              </w:rPr>
            </w:pPr>
            <w:r w:rsidRPr="00737D6A">
              <w:rPr>
                <w:rFonts w:asciiTheme="majorHAnsi" w:hAnsiTheme="majorHAnsi" w:cstheme="majorHAnsi"/>
                <w:b/>
              </w:rPr>
              <w:t>Measure Case Material Price</w:t>
            </w:r>
          </w:p>
        </w:tc>
        <w:tc>
          <w:tcPr>
            <w:tcW w:w="1160" w:type="pct"/>
            <w:shd w:val="clear" w:color="auto" w:fill="D9D9D9" w:themeFill="background1" w:themeFillShade="D9"/>
            <w:vAlign w:val="center"/>
          </w:tcPr>
          <w:p w14:paraId="754DEA7B" w14:textId="77777777" w:rsidR="00B04618" w:rsidRPr="00737D6A" w:rsidRDefault="00B04618">
            <w:pPr>
              <w:rPr>
                <w:rFonts w:asciiTheme="majorHAnsi" w:hAnsiTheme="majorHAnsi" w:cstheme="majorHAnsi"/>
                <w:b/>
                <w:bCs/>
              </w:rPr>
            </w:pPr>
            <w:r w:rsidRPr="00737D6A">
              <w:rPr>
                <w:rFonts w:asciiTheme="majorHAnsi" w:hAnsiTheme="majorHAnsi" w:cstheme="majorHAnsi"/>
                <w:b/>
              </w:rPr>
              <w:t>Measure Case Labor Price</w:t>
            </w:r>
          </w:p>
        </w:tc>
        <w:tc>
          <w:tcPr>
            <w:tcW w:w="1228" w:type="pct"/>
            <w:shd w:val="clear" w:color="auto" w:fill="D9D9D9" w:themeFill="background1" w:themeFillShade="D9"/>
            <w:vAlign w:val="center"/>
          </w:tcPr>
          <w:p w14:paraId="49296592" w14:textId="77777777" w:rsidR="00B04618" w:rsidRPr="00737D6A" w:rsidRDefault="00B04618">
            <w:pPr>
              <w:rPr>
                <w:rFonts w:asciiTheme="majorHAnsi" w:hAnsiTheme="majorHAnsi" w:cstheme="majorHAnsi"/>
                <w:b/>
                <w:bCs/>
              </w:rPr>
            </w:pPr>
            <w:r w:rsidRPr="00737D6A">
              <w:rPr>
                <w:rFonts w:asciiTheme="majorHAnsi" w:hAnsiTheme="majorHAnsi" w:cstheme="majorHAnsi"/>
                <w:b/>
              </w:rPr>
              <w:t>Measure Case Total Price</w:t>
            </w:r>
          </w:p>
        </w:tc>
      </w:tr>
      <w:tr w:rsidR="00B04618" w:rsidRPr="00737D6A" w14:paraId="5B8F90FB" w14:textId="77777777" w:rsidTr="00225558">
        <w:trPr>
          <w:trHeight w:val="300"/>
        </w:trPr>
        <w:tc>
          <w:tcPr>
            <w:tcW w:w="1598" w:type="pct"/>
            <w:vAlign w:val="center"/>
          </w:tcPr>
          <w:p w14:paraId="7C8A509C" w14:textId="43CCC260" w:rsidR="00B04618" w:rsidRPr="00737D6A" w:rsidRDefault="002A668D" w:rsidP="00D10618">
            <w:pPr>
              <w:rPr>
                <w:rFonts w:asciiTheme="majorHAnsi" w:hAnsiTheme="majorHAnsi" w:cstheme="majorHAnsi"/>
              </w:rPr>
            </w:pPr>
            <w:r w:rsidRPr="00737D6A">
              <w:rPr>
                <w:rFonts w:asciiTheme="majorHAnsi" w:hAnsiTheme="majorHAnsi" w:cstheme="majorHAnsi"/>
              </w:rPr>
              <w:t>Residential Smart</w:t>
            </w:r>
            <w:r w:rsidR="00C25D69">
              <w:rPr>
                <w:rFonts w:asciiTheme="majorHAnsi" w:hAnsiTheme="majorHAnsi" w:cstheme="majorHAnsi"/>
              </w:rPr>
              <w:t xml:space="preserve"> </w:t>
            </w:r>
            <w:r w:rsidRPr="00737D6A">
              <w:rPr>
                <w:rFonts w:asciiTheme="majorHAnsi" w:hAnsiTheme="majorHAnsi" w:cstheme="majorHAnsi"/>
              </w:rPr>
              <w:t>Thermostat</w:t>
            </w:r>
          </w:p>
        </w:tc>
        <w:tc>
          <w:tcPr>
            <w:tcW w:w="1014" w:type="pct"/>
            <w:noWrap/>
            <w:vAlign w:val="center"/>
          </w:tcPr>
          <w:p w14:paraId="6143796A" w14:textId="73F66569" w:rsidR="00B04618" w:rsidRPr="00225558" w:rsidRDefault="00B04618">
            <w:pPr>
              <w:rPr>
                <w:rFonts w:asciiTheme="majorHAnsi" w:hAnsiTheme="majorHAnsi" w:cstheme="majorBidi"/>
              </w:rPr>
            </w:pPr>
            <w:r w:rsidRPr="000E623B">
              <w:rPr>
                <w:rFonts w:asciiTheme="majorHAnsi" w:hAnsiTheme="majorHAnsi" w:cstheme="majorBidi"/>
              </w:rPr>
              <w:t xml:space="preserve">$ </w:t>
            </w:r>
            <w:r w:rsidR="00C81A33" w:rsidRPr="000E623B">
              <w:rPr>
                <w:rFonts w:asciiTheme="majorHAnsi" w:hAnsiTheme="majorHAnsi" w:cstheme="majorBidi"/>
              </w:rPr>
              <w:t>1</w:t>
            </w:r>
            <w:r w:rsidR="00D5729F" w:rsidRPr="000E623B">
              <w:rPr>
                <w:rFonts w:asciiTheme="majorHAnsi" w:hAnsiTheme="majorHAnsi" w:cstheme="majorBidi"/>
              </w:rPr>
              <w:t>83.</w:t>
            </w:r>
            <w:r w:rsidR="00D94357">
              <w:rPr>
                <w:rFonts w:asciiTheme="majorHAnsi" w:hAnsiTheme="majorHAnsi" w:cstheme="majorBidi"/>
              </w:rPr>
              <w:t>05</w:t>
            </w:r>
          </w:p>
        </w:tc>
        <w:tc>
          <w:tcPr>
            <w:tcW w:w="1160" w:type="pct"/>
            <w:noWrap/>
            <w:vAlign w:val="center"/>
          </w:tcPr>
          <w:p w14:paraId="7495C460" w14:textId="2A08BA37" w:rsidR="00B04618" w:rsidRPr="00737D6A" w:rsidRDefault="00B04618">
            <w:pPr>
              <w:rPr>
                <w:rFonts w:asciiTheme="majorHAnsi" w:hAnsiTheme="majorHAnsi" w:cstheme="majorHAnsi"/>
              </w:rPr>
            </w:pPr>
            <w:r w:rsidRPr="00737D6A">
              <w:rPr>
                <w:rFonts w:asciiTheme="majorHAnsi" w:hAnsiTheme="majorHAnsi" w:cstheme="majorHAnsi"/>
              </w:rPr>
              <w:t xml:space="preserve">$ </w:t>
            </w:r>
            <w:r w:rsidR="00C81A33" w:rsidRPr="00737D6A">
              <w:rPr>
                <w:rFonts w:asciiTheme="majorHAnsi" w:hAnsiTheme="majorHAnsi" w:cstheme="majorHAnsi"/>
              </w:rPr>
              <w:t>26.26</w:t>
            </w:r>
          </w:p>
        </w:tc>
        <w:tc>
          <w:tcPr>
            <w:tcW w:w="1228" w:type="pct"/>
            <w:noWrap/>
            <w:vAlign w:val="center"/>
          </w:tcPr>
          <w:p w14:paraId="309B9428" w14:textId="068D371F" w:rsidR="00B04618" w:rsidRPr="00225558" w:rsidRDefault="00B04618">
            <w:pPr>
              <w:rPr>
                <w:rFonts w:asciiTheme="majorHAnsi" w:hAnsiTheme="majorHAnsi" w:cstheme="majorBidi"/>
              </w:rPr>
            </w:pPr>
            <w:r w:rsidRPr="000E623B">
              <w:rPr>
                <w:rFonts w:asciiTheme="majorHAnsi" w:hAnsiTheme="majorHAnsi" w:cstheme="majorBidi"/>
              </w:rPr>
              <w:t xml:space="preserve">$ </w:t>
            </w:r>
            <w:r w:rsidR="00D5729F" w:rsidRPr="000E623B">
              <w:rPr>
                <w:rFonts w:asciiTheme="majorHAnsi" w:hAnsiTheme="majorHAnsi" w:cstheme="majorBidi"/>
              </w:rPr>
              <w:t>209.</w:t>
            </w:r>
            <w:r w:rsidR="00D94357">
              <w:rPr>
                <w:rFonts w:asciiTheme="majorHAnsi" w:hAnsiTheme="majorHAnsi" w:cstheme="majorBidi"/>
              </w:rPr>
              <w:t>31</w:t>
            </w:r>
          </w:p>
        </w:tc>
      </w:tr>
    </w:tbl>
    <w:p w14:paraId="029F7DFD" w14:textId="68098755" w:rsidR="00576C8C" w:rsidRPr="00225558" w:rsidRDefault="00B04618">
      <w:pPr>
        <w:rPr>
          <w:rFonts w:asciiTheme="majorHAnsi" w:hAnsiTheme="majorHAnsi" w:cstheme="majorBidi"/>
          <w:sz w:val="20"/>
          <w:szCs w:val="20"/>
        </w:rPr>
      </w:pPr>
      <w:r w:rsidRPr="000E623B">
        <w:rPr>
          <w:rFonts w:asciiTheme="majorHAnsi" w:hAnsiTheme="majorHAnsi" w:cstheme="majorBidi"/>
          <w:sz w:val="20"/>
          <w:szCs w:val="20"/>
        </w:rPr>
        <w:t xml:space="preserve">See Attachment </w:t>
      </w:r>
      <w:r w:rsidR="00082E06" w:rsidRPr="000E623B">
        <w:rPr>
          <w:rFonts w:asciiTheme="majorHAnsi" w:hAnsiTheme="majorHAnsi" w:cstheme="majorBidi"/>
          <w:sz w:val="20"/>
          <w:szCs w:val="20"/>
        </w:rPr>
        <w:t>3</w:t>
      </w:r>
      <w:r w:rsidR="00D94357">
        <w:rPr>
          <w:rFonts w:asciiTheme="majorHAnsi" w:hAnsiTheme="majorHAnsi" w:cstheme="majorBidi"/>
          <w:sz w:val="20"/>
          <w:szCs w:val="20"/>
        </w:rPr>
        <w:t xml:space="preserve"> (CONFIDENTIAL)</w:t>
      </w:r>
      <w:r w:rsidRPr="000E623B">
        <w:rPr>
          <w:rFonts w:asciiTheme="majorHAnsi" w:hAnsiTheme="majorHAnsi" w:cstheme="majorBidi"/>
          <w:sz w:val="20"/>
          <w:szCs w:val="20"/>
        </w:rPr>
        <w:t xml:space="preserve"> for more details.</w:t>
      </w:r>
    </w:p>
    <w:p w14:paraId="0EA61014" w14:textId="77777777" w:rsidR="00576C8C" w:rsidRPr="00737D6A" w:rsidRDefault="007173B2" w:rsidP="00225558">
      <w:pPr>
        <w:pStyle w:val="Heading2"/>
        <w:rPr>
          <w:rFonts w:asciiTheme="majorHAnsi" w:hAnsiTheme="majorHAnsi" w:cstheme="majorHAnsi"/>
        </w:rPr>
      </w:pPr>
      <w:r w:rsidRPr="00737D6A">
        <w:rPr>
          <w:rFonts w:asciiTheme="majorHAnsi" w:hAnsiTheme="majorHAnsi" w:cstheme="majorHAnsi"/>
        </w:rPr>
        <w:t>5.3 Full and Incremental Measure Cost</w:t>
      </w:r>
    </w:p>
    <w:p w14:paraId="123DD351" w14:textId="77777777" w:rsidR="002A668D" w:rsidRPr="00737D6A" w:rsidRDefault="002A668D" w:rsidP="002A668D">
      <w:pPr>
        <w:keepNext/>
        <w:rPr>
          <w:rFonts w:asciiTheme="majorHAnsi" w:hAnsiTheme="majorHAnsi" w:cstheme="majorHAnsi"/>
        </w:rPr>
      </w:pPr>
      <w:bookmarkStart w:id="25" w:name="_3whwml4" w:colFirst="0" w:colLast="0"/>
      <w:bookmarkEnd w:id="25"/>
      <w:r w:rsidRPr="00737D6A">
        <w:rPr>
          <w:rFonts w:asciiTheme="majorHAnsi" w:hAnsiTheme="majorHAnsi" w:cstheme="majorHAnsi"/>
        </w:rPr>
        <w:t>The tables below show the calculation of the full and incremental measure costs:</w:t>
      </w:r>
    </w:p>
    <w:p w14:paraId="73937FE4" w14:textId="77777777" w:rsidR="002A668D" w:rsidRPr="00737D6A" w:rsidRDefault="002A668D" w:rsidP="002A668D">
      <w:pPr>
        <w:pStyle w:val="Caption"/>
        <w:rPr>
          <w:rFonts w:asciiTheme="majorHAnsi" w:hAnsiTheme="majorHAnsi" w:cstheme="majorHAnsi"/>
        </w:rPr>
      </w:pPr>
    </w:p>
    <w:p w14:paraId="68E09294" w14:textId="6059E42D" w:rsidR="002A668D" w:rsidRPr="00737D6A" w:rsidRDefault="002A668D" w:rsidP="002A668D">
      <w:pPr>
        <w:pStyle w:val="Caption"/>
        <w:rPr>
          <w:rFonts w:asciiTheme="majorHAnsi" w:hAnsiTheme="majorHAnsi" w:cstheme="majorHAnsi"/>
        </w:rPr>
      </w:pPr>
      <w:r w:rsidRPr="00737D6A">
        <w:rPr>
          <w:rFonts w:asciiTheme="majorHAnsi" w:hAnsiTheme="majorHAnsi" w:cstheme="majorHAnsi"/>
        </w:rPr>
        <w:t>Full and Incremental Measure Cost Equations</w:t>
      </w:r>
    </w:p>
    <w:tbl>
      <w:tblPr>
        <w:tblStyle w:val="TableGrid1"/>
        <w:tblW w:w="5000" w:type="pct"/>
        <w:tblLook w:val="01E0" w:firstRow="1" w:lastRow="1" w:firstColumn="1" w:lastColumn="1" w:noHBand="0" w:noVBand="0"/>
      </w:tblPr>
      <w:tblGrid>
        <w:gridCol w:w="1183"/>
        <w:gridCol w:w="2543"/>
        <w:gridCol w:w="2460"/>
        <w:gridCol w:w="2624"/>
      </w:tblGrid>
      <w:tr w:rsidR="002A668D" w:rsidRPr="00737D6A" w14:paraId="100B3B22" w14:textId="77777777" w:rsidTr="006E54D1">
        <w:tc>
          <w:tcPr>
            <w:tcW w:w="671" w:type="pct"/>
            <w:vMerge w:val="restart"/>
            <w:shd w:val="clear" w:color="auto" w:fill="D9D9D9" w:themeFill="background1" w:themeFillShade="D9"/>
            <w:vAlign w:val="center"/>
          </w:tcPr>
          <w:p w14:paraId="0A6434E6" w14:textId="77777777" w:rsidR="002A668D" w:rsidRPr="00737D6A" w:rsidRDefault="002A668D" w:rsidP="00B90EF4">
            <w:pPr>
              <w:rPr>
                <w:rFonts w:asciiTheme="majorHAnsi" w:hAnsiTheme="majorHAnsi" w:cstheme="majorHAnsi"/>
                <w:b/>
              </w:rPr>
            </w:pPr>
            <w:r w:rsidRPr="00737D6A">
              <w:rPr>
                <w:rFonts w:asciiTheme="majorHAnsi" w:hAnsiTheme="majorHAnsi" w:cstheme="majorHAnsi"/>
                <w:b/>
              </w:rPr>
              <w:t>Installation Type</w:t>
            </w:r>
          </w:p>
        </w:tc>
        <w:tc>
          <w:tcPr>
            <w:tcW w:w="1443" w:type="pct"/>
            <w:vMerge w:val="restart"/>
            <w:shd w:val="clear" w:color="auto" w:fill="D9D9D9" w:themeFill="background1" w:themeFillShade="D9"/>
            <w:vAlign w:val="center"/>
          </w:tcPr>
          <w:p w14:paraId="414E1C11" w14:textId="77777777" w:rsidR="002A668D" w:rsidRPr="00737D6A" w:rsidRDefault="002A668D" w:rsidP="00B90EF4">
            <w:pPr>
              <w:rPr>
                <w:rFonts w:asciiTheme="majorHAnsi" w:hAnsiTheme="majorHAnsi" w:cstheme="majorHAnsi"/>
                <w:b/>
              </w:rPr>
            </w:pPr>
            <w:r w:rsidRPr="00737D6A">
              <w:rPr>
                <w:rFonts w:asciiTheme="majorHAnsi" w:hAnsiTheme="majorHAnsi" w:cstheme="majorHAnsi"/>
                <w:b/>
              </w:rPr>
              <w:t>Incremental Measure Cost</w:t>
            </w:r>
          </w:p>
        </w:tc>
        <w:tc>
          <w:tcPr>
            <w:tcW w:w="2885" w:type="pct"/>
            <w:gridSpan w:val="2"/>
            <w:shd w:val="clear" w:color="auto" w:fill="D9D9D9" w:themeFill="background1" w:themeFillShade="D9"/>
            <w:vAlign w:val="center"/>
          </w:tcPr>
          <w:p w14:paraId="6C97A113" w14:textId="77777777" w:rsidR="002A668D" w:rsidRPr="00737D6A" w:rsidRDefault="002A668D" w:rsidP="00B90EF4">
            <w:pPr>
              <w:rPr>
                <w:rFonts w:asciiTheme="majorHAnsi" w:hAnsiTheme="majorHAnsi" w:cstheme="majorHAnsi"/>
                <w:b/>
              </w:rPr>
            </w:pPr>
            <w:r w:rsidRPr="00737D6A">
              <w:rPr>
                <w:rFonts w:asciiTheme="majorHAnsi" w:hAnsiTheme="majorHAnsi" w:cstheme="majorHAnsi"/>
                <w:b/>
              </w:rPr>
              <w:t>Full Measure Cost</w:t>
            </w:r>
          </w:p>
        </w:tc>
      </w:tr>
      <w:tr w:rsidR="002A668D" w:rsidRPr="00737D6A" w14:paraId="234620EC" w14:textId="77777777" w:rsidTr="006E54D1">
        <w:tc>
          <w:tcPr>
            <w:tcW w:w="671" w:type="pct"/>
            <w:vMerge/>
            <w:shd w:val="clear" w:color="auto" w:fill="D9D9D9" w:themeFill="background1" w:themeFillShade="D9"/>
            <w:vAlign w:val="center"/>
          </w:tcPr>
          <w:p w14:paraId="19E84A1E" w14:textId="77777777" w:rsidR="002A668D" w:rsidRPr="00737D6A" w:rsidRDefault="002A668D" w:rsidP="00B90EF4">
            <w:pPr>
              <w:rPr>
                <w:rFonts w:asciiTheme="majorHAnsi" w:hAnsiTheme="majorHAnsi" w:cstheme="majorHAnsi"/>
                <w:b/>
              </w:rPr>
            </w:pPr>
          </w:p>
        </w:tc>
        <w:tc>
          <w:tcPr>
            <w:tcW w:w="1443" w:type="pct"/>
            <w:vMerge/>
            <w:shd w:val="clear" w:color="auto" w:fill="D9D9D9" w:themeFill="background1" w:themeFillShade="D9"/>
            <w:vAlign w:val="center"/>
          </w:tcPr>
          <w:p w14:paraId="7F700E4D" w14:textId="77777777" w:rsidR="002A668D" w:rsidRPr="00737D6A" w:rsidRDefault="002A668D" w:rsidP="00B90EF4">
            <w:pPr>
              <w:rPr>
                <w:rFonts w:asciiTheme="majorHAnsi" w:hAnsiTheme="majorHAnsi" w:cstheme="majorHAnsi"/>
                <w:b/>
              </w:rPr>
            </w:pPr>
          </w:p>
        </w:tc>
        <w:tc>
          <w:tcPr>
            <w:tcW w:w="1396" w:type="pct"/>
            <w:shd w:val="clear" w:color="auto" w:fill="D9D9D9" w:themeFill="background1" w:themeFillShade="D9"/>
            <w:vAlign w:val="center"/>
          </w:tcPr>
          <w:p w14:paraId="08E1A307" w14:textId="77777777" w:rsidR="002A668D" w:rsidRPr="00737D6A" w:rsidRDefault="002A668D" w:rsidP="00B90EF4">
            <w:pPr>
              <w:rPr>
                <w:rFonts w:asciiTheme="majorHAnsi" w:hAnsiTheme="majorHAnsi" w:cstheme="majorHAnsi"/>
                <w:b/>
              </w:rPr>
            </w:pPr>
            <w:r w:rsidRPr="00737D6A">
              <w:rPr>
                <w:rFonts w:asciiTheme="majorHAnsi" w:hAnsiTheme="majorHAnsi" w:cstheme="majorHAnsi"/>
                <w:b/>
              </w:rPr>
              <w:t>1</w:t>
            </w:r>
            <w:r w:rsidRPr="00737D6A">
              <w:rPr>
                <w:rFonts w:asciiTheme="majorHAnsi" w:hAnsiTheme="majorHAnsi" w:cstheme="majorHAnsi"/>
                <w:b/>
                <w:vertAlign w:val="superscript"/>
              </w:rPr>
              <w:t>st</w:t>
            </w:r>
            <w:r w:rsidRPr="00737D6A">
              <w:rPr>
                <w:rFonts w:asciiTheme="majorHAnsi" w:hAnsiTheme="majorHAnsi" w:cstheme="majorHAnsi"/>
                <w:b/>
              </w:rPr>
              <w:t xml:space="preserve"> Baseline</w:t>
            </w:r>
          </w:p>
        </w:tc>
        <w:tc>
          <w:tcPr>
            <w:tcW w:w="1489" w:type="pct"/>
            <w:shd w:val="clear" w:color="auto" w:fill="D9D9D9" w:themeFill="background1" w:themeFillShade="D9"/>
            <w:vAlign w:val="center"/>
          </w:tcPr>
          <w:p w14:paraId="5337EB2E" w14:textId="77777777" w:rsidR="002A668D" w:rsidRPr="00737D6A" w:rsidRDefault="002A668D" w:rsidP="00B90EF4">
            <w:pPr>
              <w:rPr>
                <w:rFonts w:asciiTheme="majorHAnsi" w:hAnsiTheme="majorHAnsi" w:cstheme="majorHAnsi"/>
                <w:b/>
              </w:rPr>
            </w:pPr>
            <w:r w:rsidRPr="00737D6A">
              <w:rPr>
                <w:rFonts w:asciiTheme="majorHAnsi" w:hAnsiTheme="majorHAnsi" w:cstheme="majorHAnsi"/>
                <w:b/>
              </w:rPr>
              <w:t>2</w:t>
            </w:r>
            <w:r w:rsidRPr="00737D6A">
              <w:rPr>
                <w:rFonts w:asciiTheme="majorHAnsi" w:hAnsiTheme="majorHAnsi" w:cstheme="majorHAnsi"/>
                <w:b/>
                <w:vertAlign w:val="superscript"/>
              </w:rPr>
              <w:t>nd</w:t>
            </w:r>
            <w:r w:rsidRPr="00737D6A">
              <w:rPr>
                <w:rFonts w:asciiTheme="majorHAnsi" w:hAnsiTheme="majorHAnsi" w:cstheme="majorHAnsi"/>
                <w:b/>
              </w:rPr>
              <w:t xml:space="preserve"> Baseline</w:t>
            </w:r>
          </w:p>
        </w:tc>
      </w:tr>
      <w:tr w:rsidR="002A668D" w:rsidRPr="00737D6A" w14:paraId="1FCB7F34" w14:textId="77777777" w:rsidTr="002A668D">
        <w:tc>
          <w:tcPr>
            <w:tcW w:w="671" w:type="pct"/>
            <w:vAlign w:val="center"/>
          </w:tcPr>
          <w:p w14:paraId="5469D613" w14:textId="77777777" w:rsidR="002A668D" w:rsidRPr="00737D6A" w:rsidRDefault="002A668D" w:rsidP="00B90EF4">
            <w:pPr>
              <w:rPr>
                <w:rFonts w:asciiTheme="majorHAnsi" w:hAnsiTheme="majorHAnsi" w:cstheme="majorHAnsi"/>
              </w:rPr>
            </w:pPr>
            <w:r w:rsidRPr="00737D6A">
              <w:rPr>
                <w:rFonts w:asciiTheme="majorHAnsi" w:hAnsiTheme="majorHAnsi" w:cstheme="majorHAnsi"/>
              </w:rPr>
              <w:t>ROB</w:t>
            </w:r>
          </w:p>
        </w:tc>
        <w:tc>
          <w:tcPr>
            <w:tcW w:w="1443" w:type="pct"/>
            <w:vAlign w:val="center"/>
          </w:tcPr>
          <w:p w14:paraId="7B4676A8" w14:textId="77777777" w:rsidR="002A668D" w:rsidRPr="00737D6A" w:rsidRDefault="002A668D" w:rsidP="00B90EF4">
            <w:pPr>
              <w:rPr>
                <w:rFonts w:asciiTheme="majorHAnsi" w:hAnsiTheme="majorHAnsi" w:cstheme="majorHAnsi"/>
              </w:rPr>
            </w:pPr>
            <w:r w:rsidRPr="00737D6A">
              <w:rPr>
                <w:rFonts w:asciiTheme="majorHAnsi" w:hAnsiTheme="majorHAnsi" w:cstheme="majorHAnsi"/>
              </w:rPr>
              <w:t>(MEC + MLC) – (BEC + BLC)</w:t>
            </w:r>
          </w:p>
        </w:tc>
        <w:tc>
          <w:tcPr>
            <w:tcW w:w="1396" w:type="pct"/>
            <w:vAlign w:val="center"/>
          </w:tcPr>
          <w:p w14:paraId="5943107A" w14:textId="77777777" w:rsidR="002A668D" w:rsidRPr="00737D6A" w:rsidRDefault="002A668D" w:rsidP="00B90EF4">
            <w:pPr>
              <w:rPr>
                <w:rFonts w:asciiTheme="majorHAnsi" w:hAnsiTheme="majorHAnsi" w:cstheme="majorHAnsi"/>
              </w:rPr>
            </w:pPr>
            <w:r w:rsidRPr="00737D6A">
              <w:rPr>
                <w:rFonts w:asciiTheme="majorHAnsi" w:hAnsiTheme="majorHAnsi" w:cstheme="majorHAnsi"/>
              </w:rPr>
              <w:t>(MEC + MLC) – (BEC + BLC)</w:t>
            </w:r>
          </w:p>
        </w:tc>
        <w:tc>
          <w:tcPr>
            <w:tcW w:w="1489" w:type="pct"/>
            <w:vAlign w:val="center"/>
          </w:tcPr>
          <w:p w14:paraId="7CDC057D" w14:textId="77777777" w:rsidR="002A668D" w:rsidRPr="00737D6A" w:rsidRDefault="002A668D" w:rsidP="00D10618">
            <w:pPr>
              <w:rPr>
                <w:rFonts w:asciiTheme="majorHAnsi" w:hAnsiTheme="majorHAnsi" w:cstheme="majorHAnsi"/>
              </w:rPr>
            </w:pPr>
            <w:r w:rsidRPr="00737D6A">
              <w:rPr>
                <w:rFonts w:asciiTheme="majorHAnsi" w:hAnsiTheme="majorHAnsi" w:cstheme="majorHAnsi"/>
              </w:rPr>
              <w:t>N/A</w:t>
            </w:r>
          </w:p>
        </w:tc>
      </w:tr>
    </w:tbl>
    <w:p w14:paraId="314B41C4" w14:textId="77777777" w:rsidR="002A668D" w:rsidRPr="00737D6A" w:rsidRDefault="002A668D" w:rsidP="002A668D">
      <w:pPr>
        <w:rPr>
          <w:rFonts w:asciiTheme="majorHAnsi" w:hAnsiTheme="majorHAnsi" w:cstheme="majorHAnsi"/>
          <w:sz w:val="20"/>
          <w:szCs w:val="20"/>
        </w:rPr>
      </w:pPr>
      <w:r w:rsidRPr="00737D6A">
        <w:rPr>
          <w:rFonts w:asciiTheme="majorHAnsi" w:hAnsiTheme="majorHAnsi" w:cstheme="majorHAnsi"/>
          <w:sz w:val="20"/>
          <w:szCs w:val="20"/>
        </w:rPr>
        <w:t>MEC = Measure Equipment Cost; MLC = Measure Labor Cost</w:t>
      </w:r>
    </w:p>
    <w:p w14:paraId="2F26DA04" w14:textId="77777777" w:rsidR="002A668D" w:rsidRPr="00737D6A" w:rsidRDefault="002A668D" w:rsidP="002A668D">
      <w:pPr>
        <w:rPr>
          <w:rFonts w:asciiTheme="majorHAnsi" w:hAnsiTheme="majorHAnsi" w:cstheme="majorHAnsi"/>
          <w:sz w:val="20"/>
          <w:szCs w:val="20"/>
        </w:rPr>
      </w:pPr>
      <w:r w:rsidRPr="00737D6A">
        <w:rPr>
          <w:rFonts w:asciiTheme="majorHAnsi" w:hAnsiTheme="majorHAnsi" w:cstheme="majorHAnsi"/>
          <w:sz w:val="20"/>
          <w:szCs w:val="20"/>
        </w:rPr>
        <w:t>BEC = Base Case Equipment Cost; BLC = Base Case Labor Cost</w:t>
      </w:r>
    </w:p>
    <w:p w14:paraId="00868ED1" w14:textId="77777777" w:rsidR="002A668D" w:rsidRPr="00737D6A" w:rsidRDefault="002A668D" w:rsidP="002A668D">
      <w:pPr>
        <w:rPr>
          <w:rFonts w:asciiTheme="majorHAnsi" w:hAnsiTheme="majorHAnsi" w:cstheme="majorHAnsi"/>
          <w:color w:val="FF0000"/>
        </w:rPr>
      </w:pPr>
    </w:p>
    <w:p w14:paraId="4521A6B7" w14:textId="77777777" w:rsidR="002A668D" w:rsidRPr="00737D6A" w:rsidRDefault="002A668D" w:rsidP="002A668D">
      <w:pPr>
        <w:pStyle w:val="Caption"/>
        <w:rPr>
          <w:rFonts w:asciiTheme="majorHAnsi" w:hAnsiTheme="majorHAnsi" w:cstheme="majorHAnsi"/>
        </w:rPr>
      </w:pPr>
      <w:r w:rsidRPr="00737D6A">
        <w:rPr>
          <w:rFonts w:asciiTheme="majorHAnsi" w:hAnsiTheme="majorHAnsi" w:cstheme="majorHAnsi"/>
        </w:rPr>
        <w:t>Full and Incremental Costs</w:t>
      </w:r>
    </w:p>
    <w:tbl>
      <w:tblPr>
        <w:tblStyle w:val="TableGrid1"/>
        <w:tblW w:w="4422" w:type="pct"/>
        <w:tblLayout w:type="fixed"/>
        <w:tblLook w:val="01E0" w:firstRow="1" w:lastRow="1" w:firstColumn="1" w:lastColumn="1" w:noHBand="0" w:noVBand="0"/>
      </w:tblPr>
      <w:tblGrid>
        <w:gridCol w:w="2156"/>
        <w:gridCol w:w="1315"/>
        <w:gridCol w:w="1442"/>
        <w:gridCol w:w="1272"/>
        <w:gridCol w:w="1607"/>
      </w:tblGrid>
      <w:tr w:rsidR="002A668D" w:rsidRPr="00737D6A" w14:paraId="7F87DD41" w14:textId="77777777" w:rsidTr="00225558">
        <w:tc>
          <w:tcPr>
            <w:tcW w:w="1383" w:type="pct"/>
            <w:vMerge w:val="restart"/>
            <w:shd w:val="clear" w:color="auto" w:fill="D9D9D9" w:themeFill="background1" w:themeFillShade="D9"/>
            <w:vAlign w:val="center"/>
          </w:tcPr>
          <w:p w14:paraId="37059C90" w14:textId="77777777" w:rsidR="002A668D" w:rsidRPr="00737D6A" w:rsidRDefault="002A668D" w:rsidP="00D10618">
            <w:pPr>
              <w:rPr>
                <w:rFonts w:asciiTheme="majorHAnsi" w:hAnsiTheme="majorHAnsi" w:cstheme="majorHAnsi"/>
                <w:b/>
              </w:rPr>
            </w:pPr>
            <w:r w:rsidRPr="00737D6A">
              <w:rPr>
                <w:rFonts w:asciiTheme="majorHAnsi" w:hAnsiTheme="majorHAnsi" w:cstheme="majorHAnsi"/>
                <w:b/>
              </w:rPr>
              <w:t>Measure</w:t>
            </w:r>
          </w:p>
        </w:tc>
        <w:tc>
          <w:tcPr>
            <w:tcW w:w="844" w:type="pct"/>
            <w:vMerge w:val="restart"/>
            <w:shd w:val="clear" w:color="auto" w:fill="D9D9D9" w:themeFill="background1" w:themeFillShade="D9"/>
            <w:vAlign w:val="center"/>
          </w:tcPr>
          <w:p w14:paraId="6D541CB2" w14:textId="77777777" w:rsidR="002A668D" w:rsidRPr="00737D6A" w:rsidRDefault="002A668D">
            <w:pPr>
              <w:rPr>
                <w:rFonts w:asciiTheme="majorHAnsi" w:hAnsiTheme="majorHAnsi" w:cstheme="majorHAnsi"/>
                <w:b/>
              </w:rPr>
            </w:pPr>
            <w:r w:rsidRPr="00737D6A">
              <w:rPr>
                <w:rFonts w:asciiTheme="majorHAnsi" w:hAnsiTheme="majorHAnsi" w:cstheme="majorHAnsi"/>
                <w:b/>
              </w:rPr>
              <w:t>Installation Type</w:t>
            </w:r>
          </w:p>
        </w:tc>
        <w:tc>
          <w:tcPr>
            <w:tcW w:w="925" w:type="pct"/>
            <w:vMerge w:val="restart"/>
            <w:shd w:val="clear" w:color="auto" w:fill="D9D9D9" w:themeFill="background1" w:themeFillShade="D9"/>
            <w:vAlign w:val="center"/>
          </w:tcPr>
          <w:p w14:paraId="4EDDD771" w14:textId="77777777" w:rsidR="002A668D" w:rsidRPr="00737D6A" w:rsidRDefault="002A668D">
            <w:pPr>
              <w:rPr>
                <w:rFonts w:asciiTheme="majorHAnsi" w:hAnsiTheme="majorHAnsi" w:cstheme="majorHAnsi"/>
                <w:b/>
              </w:rPr>
            </w:pPr>
            <w:r w:rsidRPr="00737D6A">
              <w:rPr>
                <w:rFonts w:asciiTheme="majorHAnsi" w:hAnsiTheme="majorHAnsi" w:cstheme="majorHAnsi"/>
                <w:b/>
              </w:rPr>
              <w:t>Incremental Measure Cost</w:t>
            </w:r>
          </w:p>
        </w:tc>
        <w:tc>
          <w:tcPr>
            <w:tcW w:w="1847" w:type="pct"/>
            <w:gridSpan w:val="2"/>
            <w:shd w:val="clear" w:color="auto" w:fill="D9D9D9" w:themeFill="background1" w:themeFillShade="D9"/>
            <w:vAlign w:val="center"/>
          </w:tcPr>
          <w:p w14:paraId="2F9EF0C7" w14:textId="77777777" w:rsidR="002A668D" w:rsidRPr="00737D6A" w:rsidRDefault="002A668D">
            <w:pPr>
              <w:rPr>
                <w:rFonts w:asciiTheme="majorHAnsi" w:hAnsiTheme="majorHAnsi" w:cstheme="majorHAnsi"/>
                <w:b/>
              </w:rPr>
            </w:pPr>
            <w:r w:rsidRPr="00737D6A">
              <w:rPr>
                <w:rFonts w:asciiTheme="majorHAnsi" w:hAnsiTheme="majorHAnsi" w:cstheme="majorHAnsi"/>
                <w:b/>
              </w:rPr>
              <w:t>Full Measure Cost</w:t>
            </w:r>
          </w:p>
        </w:tc>
      </w:tr>
      <w:tr w:rsidR="002A668D" w:rsidRPr="00737D6A" w14:paraId="35754167" w14:textId="77777777" w:rsidTr="00225558">
        <w:tc>
          <w:tcPr>
            <w:tcW w:w="1383" w:type="pct"/>
            <w:vMerge/>
            <w:shd w:val="clear" w:color="auto" w:fill="D9D9D9" w:themeFill="background1" w:themeFillShade="D9"/>
            <w:vAlign w:val="center"/>
          </w:tcPr>
          <w:p w14:paraId="1A3FF416" w14:textId="77777777" w:rsidR="002A668D" w:rsidRPr="00737D6A" w:rsidRDefault="002A668D">
            <w:pPr>
              <w:rPr>
                <w:rFonts w:asciiTheme="majorHAnsi" w:hAnsiTheme="majorHAnsi" w:cstheme="majorHAnsi"/>
                <w:b/>
              </w:rPr>
            </w:pPr>
          </w:p>
        </w:tc>
        <w:tc>
          <w:tcPr>
            <w:tcW w:w="844" w:type="pct"/>
            <w:vMerge/>
            <w:shd w:val="clear" w:color="auto" w:fill="D9D9D9" w:themeFill="background1" w:themeFillShade="D9"/>
            <w:vAlign w:val="center"/>
          </w:tcPr>
          <w:p w14:paraId="2283B202" w14:textId="77777777" w:rsidR="002A668D" w:rsidRPr="00737D6A" w:rsidRDefault="002A668D">
            <w:pPr>
              <w:rPr>
                <w:rFonts w:asciiTheme="majorHAnsi" w:hAnsiTheme="majorHAnsi" w:cstheme="majorHAnsi"/>
                <w:b/>
              </w:rPr>
            </w:pPr>
          </w:p>
        </w:tc>
        <w:tc>
          <w:tcPr>
            <w:tcW w:w="925" w:type="pct"/>
            <w:vMerge/>
            <w:shd w:val="clear" w:color="auto" w:fill="D9D9D9" w:themeFill="background1" w:themeFillShade="D9"/>
            <w:vAlign w:val="center"/>
          </w:tcPr>
          <w:p w14:paraId="3150AB2D" w14:textId="77777777" w:rsidR="002A668D" w:rsidRPr="00737D6A" w:rsidRDefault="002A668D">
            <w:pPr>
              <w:rPr>
                <w:rFonts w:asciiTheme="majorHAnsi" w:hAnsiTheme="majorHAnsi" w:cstheme="majorHAnsi"/>
                <w:b/>
              </w:rPr>
            </w:pPr>
          </w:p>
        </w:tc>
        <w:tc>
          <w:tcPr>
            <w:tcW w:w="816" w:type="pct"/>
            <w:shd w:val="clear" w:color="auto" w:fill="D9D9D9" w:themeFill="background1" w:themeFillShade="D9"/>
            <w:vAlign w:val="center"/>
          </w:tcPr>
          <w:p w14:paraId="7EC3BCE1" w14:textId="77777777" w:rsidR="002A668D" w:rsidRPr="00737D6A" w:rsidRDefault="002A668D">
            <w:pPr>
              <w:rPr>
                <w:rFonts w:asciiTheme="majorHAnsi" w:hAnsiTheme="majorHAnsi" w:cstheme="majorHAnsi"/>
                <w:b/>
              </w:rPr>
            </w:pPr>
            <w:r w:rsidRPr="00737D6A">
              <w:rPr>
                <w:rFonts w:asciiTheme="majorHAnsi" w:hAnsiTheme="majorHAnsi" w:cstheme="majorHAnsi"/>
                <w:b/>
              </w:rPr>
              <w:t>1</w:t>
            </w:r>
            <w:r w:rsidRPr="00737D6A">
              <w:rPr>
                <w:rFonts w:asciiTheme="majorHAnsi" w:hAnsiTheme="majorHAnsi" w:cstheme="majorHAnsi"/>
                <w:b/>
                <w:vertAlign w:val="superscript"/>
              </w:rPr>
              <w:t>st</w:t>
            </w:r>
            <w:r w:rsidRPr="00737D6A">
              <w:rPr>
                <w:rFonts w:asciiTheme="majorHAnsi" w:hAnsiTheme="majorHAnsi" w:cstheme="majorHAnsi"/>
                <w:b/>
              </w:rPr>
              <w:t xml:space="preserve"> Baseline</w:t>
            </w:r>
          </w:p>
        </w:tc>
        <w:tc>
          <w:tcPr>
            <w:tcW w:w="1031" w:type="pct"/>
            <w:shd w:val="clear" w:color="auto" w:fill="D9D9D9" w:themeFill="background1" w:themeFillShade="D9"/>
            <w:vAlign w:val="center"/>
          </w:tcPr>
          <w:p w14:paraId="3631F448" w14:textId="77777777" w:rsidR="002A668D" w:rsidRPr="00737D6A" w:rsidRDefault="002A668D">
            <w:pPr>
              <w:rPr>
                <w:rFonts w:asciiTheme="majorHAnsi" w:hAnsiTheme="majorHAnsi" w:cstheme="majorHAnsi"/>
                <w:b/>
              </w:rPr>
            </w:pPr>
            <w:r w:rsidRPr="00737D6A">
              <w:rPr>
                <w:rFonts w:asciiTheme="majorHAnsi" w:hAnsiTheme="majorHAnsi" w:cstheme="majorHAnsi"/>
                <w:b/>
              </w:rPr>
              <w:t>2</w:t>
            </w:r>
            <w:r w:rsidRPr="00737D6A">
              <w:rPr>
                <w:rFonts w:asciiTheme="majorHAnsi" w:hAnsiTheme="majorHAnsi" w:cstheme="majorHAnsi"/>
                <w:b/>
                <w:vertAlign w:val="superscript"/>
              </w:rPr>
              <w:t>nd</w:t>
            </w:r>
            <w:r w:rsidRPr="00737D6A">
              <w:rPr>
                <w:rFonts w:asciiTheme="majorHAnsi" w:hAnsiTheme="majorHAnsi" w:cstheme="majorHAnsi"/>
                <w:b/>
              </w:rPr>
              <w:t xml:space="preserve"> Baseline</w:t>
            </w:r>
          </w:p>
        </w:tc>
      </w:tr>
      <w:tr w:rsidR="002A668D" w:rsidRPr="00737D6A" w14:paraId="7E6B82C1" w14:textId="77777777" w:rsidTr="00225558">
        <w:tc>
          <w:tcPr>
            <w:tcW w:w="1383" w:type="pct"/>
            <w:vAlign w:val="center"/>
          </w:tcPr>
          <w:p w14:paraId="6E5ADEB0" w14:textId="6CF1202F" w:rsidR="002A668D" w:rsidRPr="00737D6A" w:rsidRDefault="00AD43B0" w:rsidP="00D10618">
            <w:pPr>
              <w:rPr>
                <w:rFonts w:asciiTheme="majorHAnsi" w:hAnsiTheme="majorHAnsi" w:cstheme="majorHAnsi"/>
                <w:color w:val="FF0000"/>
              </w:rPr>
            </w:pPr>
            <w:r w:rsidRPr="00737D6A">
              <w:rPr>
                <w:rFonts w:asciiTheme="majorHAnsi" w:hAnsiTheme="majorHAnsi" w:cstheme="majorHAnsi"/>
              </w:rPr>
              <w:t>CE-18623</w:t>
            </w:r>
          </w:p>
        </w:tc>
        <w:tc>
          <w:tcPr>
            <w:tcW w:w="844" w:type="pct"/>
            <w:vAlign w:val="center"/>
          </w:tcPr>
          <w:p w14:paraId="2F1DF0B6" w14:textId="1FFBEFB7" w:rsidR="002A668D" w:rsidRPr="00737D6A" w:rsidRDefault="002A668D">
            <w:pPr>
              <w:rPr>
                <w:rFonts w:asciiTheme="majorHAnsi" w:hAnsiTheme="majorHAnsi" w:cstheme="majorHAnsi"/>
                <w:color w:val="FF0000"/>
              </w:rPr>
            </w:pPr>
            <w:r w:rsidRPr="00737D6A">
              <w:rPr>
                <w:rFonts w:asciiTheme="majorHAnsi" w:hAnsiTheme="majorHAnsi" w:cstheme="majorHAnsi"/>
              </w:rPr>
              <w:t>NR</w:t>
            </w:r>
          </w:p>
        </w:tc>
        <w:tc>
          <w:tcPr>
            <w:tcW w:w="925" w:type="pct"/>
            <w:vAlign w:val="center"/>
          </w:tcPr>
          <w:p w14:paraId="2AA849D0" w14:textId="7A633D33" w:rsidR="002A668D" w:rsidRPr="00C470E5" w:rsidRDefault="002A668D">
            <w:pPr>
              <w:rPr>
                <w:rFonts w:asciiTheme="majorHAnsi" w:hAnsiTheme="majorHAnsi" w:cstheme="majorBidi"/>
                <w:color w:val="FF0000"/>
              </w:rPr>
            </w:pPr>
            <w:r w:rsidRPr="000E623B">
              <w:rPr>
                <w:rFonts w:asciiTheme="majorHAnsi" w:hAnsiTheme="majorHAnsi" w:cstheme="majorBidi"/>
              </w:rPr>
              <w:t>$</w:t>
            </w:r>
            <w:r w:rsidR="00F304FB" w:rsidRPr="000E623B">
              <w:rPr>
                <w:rFonts w:asciiTheme="majorHAnsi" w:hAnsiTheme="majorHAnsi" w:cstheme="majorBidi"/>
              </w:rPr>
              <w:t xml:space="preserve"> 14</w:t>
            </w:r>
            <w:r w:rsidR="00D5729F" w:rsidRPr="000E623B">
              <w:rPr>
                <w:rFonts w:asciiTheme="majorHAnsi" w:hAnsiTheme="majorHAnsi" w:cstheme="majorBidi"/>
              </w:rPr>
              <w:t>2.</w:t>
            </w:r>
            <w:r w:rsidR="00D94357">
              <w:rPr>
                <w:rFonts w:asciiTheme="majorHAnsi" w:hAnsiTheme="majorHAnsi" w:cstheme="majorBidi"/>
              </w:rPr>
              <w:t>46</w:t>
            </w:r>
          </w:p>
        </w:tc>
        <w:tc>
          <w:tcPr>
            <w:tcW w:w="816" w:type="pct"/>
            <w:vAlign w:val="center"/>
          </w:tcPr>
          <w:p w14:paraId="15248649" w14:textId="5DB875ED" w:rsidR="002A668D" w:rsidRPr="00C470E5" w:rsidRDefault="002A668D">
            <w:pPr>
              <w:rPr>
                <w:rFonts w:asciiTheme="majorHAnsi" w:hAnsiTheme="majorHAnsi" w:cstheme="majorBidi"/>
                <w:color w:val="FF0000"/>
              </w:rPr>
            </w:pPr>
            <w:r w:rsidRPr="000E623B">
              <w:rPr>
                <w:rFonts w:asciiTheme="majorHAnsi" w:hAnsiTheme="majorHAnsi" w:cstheme="majorBidi"/>
              </w:rPr>
              <w:t xml:space="preserve">$ </w:t>
            </w:r>
            <w:r w:rsidR="00F304FB" w:rsidRPr="000E623B">
              <w:rPr>
                <w:rFonts w:asciiTheme="majorHAnsi" w:hAnsiTheme="majorHAnsi" w:cstheme="majorBidi"/>
              </w:rPr>
              <w:t>14</w:t>
            </w:r>
            <w:r w:rsidR="00D5729F" w:rsidRPr="000E623B">
              <w:rPr>
                <w:rFonts w:asciiTheme="majorHAnsi" w:hAnsiTheme="majorHAnsi" w:cstheme="majorBidi"/>
              </w:rPr>
              <w:t>2.</w:t>
            </w:r>
            <w:r w:rsidR="00D94357">
              <w:rPr>
                <w:rFonts w:asciiTheme="majorHAnsi" w:hAnsiTheme="majorHAnsi" w:cstheme="majorBidi"/>
              </w:rPr>
              <w:t>46</w:t>
            </w:r>
          </w:p>
        </w:tc>
        <w:tc>
          <w:tcPr>
            <w:tcW w:w="1031" w:type="pct"/>
            <w:vAlign w:val="center"/>
          </w:tcPr>
          <w:p w14:paraId="35404A34" w14:textId="77777777" w:rsidR="002A668D" w:rsidRPr="00737D6A" w:rsidRDefault="002A668D">
            <w:pPr>
              <w:rPr>
                <w:rFonts w:asciiTheme="majorHAnsi" w:hAnsiTheme="majorHAnsi" w:cstheme="majorHAnsi"/>
                <w:color w:val="FF0000"/>
              </w:rPr>
            </w:pPr>
            <w:r w:rsidRPr="00737D6A">
              <w:rPr>
                <w:rFonts w:asciiTheme="majorHAnsi" w:hAnsiTheme="majorHAnsi" w:cstheme="majorHAnsi"/>
              </w:rPr>
              <w:t>N/A</w:t>
            </w:r>
          </w:p>
        </w:tc>
      </w:tr>
    </w:tbl>
    <w:p w14:paraId="1B9284E3" w14:textId="77777777" w:rsidR="00E107F7" w:rsidRDefault="00E107F7">
      <w:pPr>
        <w:rPr>
          <w:rFonts w:asciiTheme="majorHAnsi" w:hAnsiTheme="majorHAnsi" w:cstheme="majorHAnsi"/>
          <w:b/>
          <w:smallCaps/>
          <w:sz w:val="36"/>
          <w:szCs w:val="36"/>
        </w:rPr>
      </w:pPr>
      <w:r>
        <w:rPr>
          <w:rFonts w:asciiTheme="majorHAnsi" w:hAnsiTheme="majorHAnsi" w:cstheme="majorHAnsi"/>
        </w:rPr>
        <w:br w:type="page"/>
      </w:r>
    </w:p>
    <w:p w14:paraId="4C157B8E" w14:textId="78421E54" w:rsidR="00576C8C" w:rsidRPr="00737D6A" w:rsidRDefault="007173B2" w:rsidP="00E107F7">
      <w:pPr>
        <w:pStyle w:val="Heading1"/>
        <w:rPr>
          <w:rFonts w:asciiTheme="majorHAnsi" w:hAnsiTheme="majorHAnsi" w:cstheme="majorHAnsi"/>
        </w:rPr>
      </w:pPr>
      <w:r w:rsidRPr="00737D6A">
        <w:rPr>
          <w:rFonts w:asciiTheme="majorHAnsi" w:hAnsiTheme="majorHAnsi" w:cstheme="majorHAnsi"/>
        </w:rPr>
        <w:lastRenderedPageBreak/>
        <w:t>Attachments</w:t>
      </w:r>
    </w:p>
    <w:p w14:paraId="5132A01A" w14:textId="2DF7AE0C" w:rsidR="006056B9" w:rsidRPr="00737D6A" w:rsidRDefault="00BA117E" w:rsidP="00BA117E">
      <w:pPr>
        <w:pStyle w:val="Normal1"/>
        <w:numPr>
          <w:ilvl w:val="0"/>
          <w:numId w:val="47"/>
        </w:numPr>
        <w:rPr>
          <w:rFonts w:asciiTheme="majorHAnsi" w:hAnsiTheme="majorHAnsi" w:cstheme="majorHAnsi"/>
        </w:rPr>
      </w:pPr>
      <w:r w:rsidRPr="00737D6A">
        <w:rPr>
          <w:rFonts w:asciiTheme="majorHAnsi" w:hAnsiTheme="majorHAnsi" w:cstheme="majorHAnsi"/>
        </w:rPr>
        <w:t>SCE17HC054.</w:t>
      </w:r>
      <w:r w:rsidR="00BF2383">
        <w:rPr>
          <w:rFonts w:asciiTheme="majorHAnsi" w:hAnsiTheme="majorHAnsi" w:cstheme="majorHAnsi"/>
        </w:rPr>
        <w:t>1</w:t>
      </w:r>
      <w:r w:rsidRPr="00737D6A">
        <w:rPr>
          <w:rFonts w:asciiTheme="majorHAnsi" w:hAnsiTheme="majorHAnsi" w:cstheme="majorHAnsi"/>
        </w:rPr>
        <w:t xml:space="preserve"> A1 - Calculatio</w:t>
      </w:r>
      <w:r w:rsidR="00D14046">
        <w:rPr>
          <w:rFonts w:asciiTheme="majorHAnsi" w:hAnsiTheme="majorHAnsi" w:cstheme="majorHAnsi"/>
        </w:rPr>
        <w:t>n Template</w:t>
      </w:r>
      <w:r w:rsidR="002B4780">
        <w:rPr>
          <w:rFonts w:asciiTheme="majorHAnsi" w:hAnsiTheme="majorHAnsi" w:cstheme="majorHAnsi"/>
        </w:rPr>
        <w:t xml:space="preserve"> 2019_1 and 2</w:t>
      </w:r>
      <w:r w:rsidRPr="00737D6A">
        <w:rPr>
          <w:rFonts w:asciiTheme="majorHAnsi" w:hAnsiTheme="majorHAnsi" w:cstheme="majorHAnsi"/>
        </w:rPr>
        <w:t>.xlsm</w:t>
      </w:r>
    </w:p>
    <w:p w14:paraId="0407481F" w14:textId="4824BF2A" w:rsidR="00A96871" w:rsidRPr="00225558" w:rsidRDefault="00061401" w:rsidP="00061401">
      <w:pPr>
        <w:pStyle w:val="Normal1"/>
        <w:numPr>
          <w:ilvl w:val="0"/>
          <w:numId w:val="47"/>
        </w:numPr>
        <w:rPr>
          <w:rFonts w:asciiTheme="majorHAnsi" w:hAnsiTheme="majorHAnsi" w:cstheme="majorBidi"/>
        </w:rPr>
      </w:pPr>
      <w:r w:rsidRPr="00061401">
        <w:rPr>
          <w:rFonts w:asciiTheme="majorHAnsi" w:hAnsiTheme="majorHAnsi" w:cstheme="majorBidi"/>
        </w:rPr>
        <w:t>SCE17HC054.1 A2 -</w:t>
      </w:r>
      <w:r w:rsidR="00FD2AC9">
        <w:rPr>
          <w:rFonts w:asciiTheme="majorHAnsi" w:hAnsiTheme="majorHAnsi" w:cstheme="majorBidi"/>
        </w:rPr>
        <w:t xml:space="preserve"> Summary of </w:t>
      </w:r>
      <w:r w:rsidRPr="00061401">
        <w:rPr>
          <w:rFonts w:asciiTheme="majorHAnsi" w:hAnsiTheme="majorHAnsi" w:cstheme="majorBidi"/>
        </w:rPr>
        <w:t>Savings</w:t>
      </w:r>
      <w:r>
        <w:rPr>
          <w:rFonts w:asciiTheme="majorHAnsi" w:hAnsiTheme="majorHAnsi" w:cstheme="majorBidi"/>
        </w:rPr>
        <w:t>.</w:t>
      </w:r>
      <w:r w:rsidR="00A96871" w:rsidRPr="000E623B">
        <w:rPr>
          <w:rFonts w:asciiTheme="majorHAnsi" w:hAnsiTheme="majorHAnsi" w:cstheme="majorBidi"/>
        </w:rPr>
        <w:t>xlsx</w:t>
      </w:r>
    </w:p>
    <w:p w14:paraId="1BD6722E" w14:textId="03106459" w:rsidR="00BA117E" w:rsidRPr="00225558" w:rsidRDefault="00BA117E">
      <w:pPr>
        <w:pStyle w:val="Normal1"/>
        <w:numPr>
          <w:ilvl w:val="0"/>
          <w:numId w:val="47"/>
        </w:numPr>
        <w:rPr>
          <w:rFonts w:asciiTheme="majorHAnsi" w:hAnsiTheme="majorHAnsi" w:cstheme="majorBidi"/>
        </w:rPr>
      </w:pPr>
      <w:r w:rsidRPr="000E623B">
        <w:rPr>
          <w:rFonts w:asciiTheme="majorHAnsi" w:hAnsiTheme="majorHAnsi" w:cstheme="majorBidi"/>
        </w:rPr>
        <w:t>SCE17HC054.</w:t>
      </w:r>
      <w:r w:rsidR="00BF2383" w:rsidRPr="000E623B">
        <w:rPr>
          <w:rFonts w:asciiTheme="majorHAnsi" w:hAnsiTheme="majorHAnsi" w:cstheme="majorBidi"/>
        </w:rPr>
        <w:t>1</w:t>
      </w:r>
      <w:r w:rsidRPr="000E623B">
        <w:rPr>
          <w:rFonts w:asciiTheme="majorHAnsi" w:hAnsiTheme="majorHAnsi" w:cstheme="majorBidi"/>
        </w:rPr>
        <w:t xml:space="preserve"> A</w:t>
      </w:r>
      <w:r w:rsidR="00A96871" w:rsidRPr="000E623B">
        <w:rPr>
          <w:rFonts w:asciiTheme="majorHAnsi" w:hAnsiTheme="majorHAnsi" w:cstheme="majorBidi"/>
        </w:rPr>
        <w:t>3</w:t>
      </w:r>
      <w:r w:rsidRPr="000E623B">
        <w:rPr>
          <w:rFonts w:asciiTheme="majorHAnsi" w:hAnsiTheme="majorHAnsi" w:cstheme="majorBidi"/>
        </w:rPr>
        <w:t xml:space="preserve"> - Full measure cost analysis and IMC analysis</w:t>
      </w:r>
      <w:r w:rsidR="00BD2BDA">
        <w:rPr>
          <w:rFonts w:asciiTheme="majorHAnsi" w:hAnsiTheme="majorHAnsi" w:cstheme="majorBidi"/>
        </w:rPr>
        <w:t>_CONFIDENTIAL</w:t>
      </w:r>
      <w:r w:rsidRPr="000E623B">
        <w:rPr>
          <w:rFonts w:asciiTheme="majorHAnsi" w:hAnsiTheme="majorHAnsi" w:cstheme="majorBidi"/>
        </w:rPr>
        <w:t>.xlsx</w:t>
      </w:r>
    </w:p>
    <w:p w14:paraId="5AFE0160" w14:textId="5878FA7D" w:rsidR="00AD601C" w:rsidRDefault="00BA117E" w:rsidP="00AD601C">
      <w:pPr>
        <w:pStyle w:val="Normal1"/>
        <w:numPr>
          <w:ilvl w:val="0"/>
          <w:numId w:val="47"/>
        </w:numPr>
        <w:rPr>
          <w:rFonts w:asciiTheme="majorHAnsi" w:hAnsiTheme="majorHAnsi" w:cstheme="majorBidi"/>
        </w:rPr>
      </w:pPr>
      <w:r w:rsidRPr="00FE6385">
        <w:rPr>
          <w:rFonts w:asciiTheme="majorHAnsi" w:hAnsiTheme="majorHAnsi" w:cstheme="majorBidi"/>
        </w:rPr>
        <w:t>SCE17HC054.</w:t>
      </w:r>
      <w:r w:rsidR="00BF2383" w:rsidRPr="00FE6385">
        <w:rPr>
          <w:rFonts w:asciiTheme="majorHAnsi" w:hAnsiTheme="majorHAnsi" w:cstheme="majorBidi"/>
        </w:rPr>
        <w:t>1</w:t>
      </w:r>
      <w:r w:rsidRPr="00FE6385">
        <w:rPr>
          <w:rFonts w:asciiTheme="majorHAnsi" w:hAnsiTheme="majorHAnsi" w:cstheme="majorBidi"/>
        </w:rPr>
        <w:t xml:space="preserve"> A</w:t>
      </w:r>
      <w:r w:rsidR="00A96871" w:rsidRPr="00FE6385">
        <w:rPr>
          <w:rFonts w:asciiTheme="majorHAnsi" w:hAnsiTheme="majorHAnsi" w:cstheme="majorBidi"/>
        </w:rPr>
        <w:t>4</w:t>
      </w:r>
      <w:r w:rsidRPr="00FE6385">
        <w:rPr>
          <w:rFonts w:asciiTheme="majorHAnsi" w:hAnsiTheme="majorHAnsi" w:cstheme="majorBidi"/>
        </w:rPr>
        <w:t xml:space="preserve"> - </w:t>
      </w:r>
      <w:r w:rsidR="00AD601C" w:rsidRPr="00AD601C">
        <w:rPr>
          <w:rFonts w:asciiTheme="majorHAnsi" w:hAnsiTheme="majorHAnsi" w:cstheme="majorBidi"/>
        </w:rPr>
        <w:t>MFmDMoScaling_v05_09_2019.xlsx</w:t>
      </w:r>
    </w:p>
    <w:p w14:paraId="082234B3" w14:textId="78D087F5" w:rsidR="007F1399" w:rsidRPr="00FE6385" w:rsidRDefault="006D2821" w:rsidP="00AD601C">
      <w:pPr>
        <w:pStyle w:val="Normal1"/>
        <w:numPr>
          <w:ilvl w:val="0"/>
          <w:numId w:val="47"/>
        </w:numPr>
        <w:rPr>
          <w:rFonts w:asciiTheme="majorHAnsi" w:hAnsiTheme="majorHAnsi" w:cstheme="majorBidi"/>
        </w:rPr>
      </w:pPr>
      <w:r w:rsidRPr="006D2821">
        <w:rPr>
          <w:rFonts w:asciiTheme="majorHAnsi" w:hAnsiTheme="majorHAnsi" w:cstheme="majorBidi"/>
        </w:rPr>
        <w:t xml:space="preserve">SCE17HC054.1 A5 - PGE Smart Thermostat Program Process </w:t>
      </w:r>
      <w:r w:rsidR="00EE58CA">
        <w:rPr>
          <w:rFonts w:asciiTheme="majorHAnsi" w:hAnsiTheme="majorHAnsi" w:cstheme="majorBidi"/>
        </w:rPr>
        <w:t>Evaluation</w:t>
      </w:r>
    </w:p>
    <w:p w14:paraId="234C67CF" w14:textId="182EEFFC" w:rsidR="007F1399" w:rsidRPr="00225558" w:rsidRDefault="007F1399">
      <w:pPr>
        <w:pStyle w:val="Normal1"/>
        <w:numPr>
          <w:ilvl w:val="0"/>
          <w:numId w:val="47"/>
        </w:numPr>
        <w:rPr>
          <w:rFonts w:asciiTheme="majorHAnsi" w:hAnsiTheme="majorHAnsi" w:cstheme="majorBidi"/>
        </w:rPr>
      </w:pPr>
      <w:r w:rsidRPr="000E623B">
        <w:rPr>
          <w:rFonts w:asciiTheme="majorHAnsi" w:hAnsiTheme="majorHAnsi" w:cstheme="majorBidi"/>
        </w:rPr>
        <w:t>SCE17HC054.</w:t>
      </w:r>
      <w:r w:rsidR="00BF2383" w:rsidRPr="000E623B">
        <w:rPr>
          <w:rFonts w:asciiTheme="majorHAnsi" w:hAnsiTheme="majorHAnsi" w:cstheme="majorBidi"/>
        </w:rPr>
        <w:t>1</w:t>
      </w:r>
      <w:r w:rsidRPr="000E623B">
        <w:rPr>
          <w:rFonts w:asciiTheme="majorHAnsi" w:hAnsiTheme="majorHAnsi" w:cstheme="majorBidi"/>
        </w:rPr>
        <w:t xml:space="preserve"> A</w:t>
      </w:r>
      <w:r w:rsidR="00A96871" w:rsidRPr="000E623B">
        <w:rPr>
          <w:rFonts w:asciiTheme="majorHAnsi" w:hAnsiTheme="majorHAnsi" w:cstheme="majorBidi"/>
        </w:rPr>
        <w:t>6</w:t>
      </w:r>
      <w:r w:rsidRPr="000E623B">
        <w:rPr>
          <w:rFonts w:asciiTheme="majorHAnsi" w:hAnsiTheme="majorHAnsi" w:cstheme="majorBidi"/>
        </w:rPr>
        <w:t xml:space="preserve"> - PG&amp;E Smart Thermostat Study - 1st Year Findings .pdf</w:t>
      </w:r>
    </w:p>
    <w:p w14:paraId="45372D31" w14:textId="5BB957CF" w:rsidR="007F1399" w:rsidRPr="00225558" w:rsidRDefault="007F1399">
      <w:pPr>
        <w:pStyle w:val="Normal1"/>
        <w:numPr>
          <w:ilvl w:val="0"/>
          <w:numId w:val="47"/>
        </w:numPr>
        <w:rPr>
          <w:rFonts w:asciiTheme="majorHAnsi" w:hAnsiTheme="majorHAnsi" w:cstheme="majorBidi"/>
        </w:rPr>
      </w:pPr>
      <w:r w:rsidRPr="000E623B">
        <w:rPr>
          <w:rFonts w:asciiTheme="majorHAnsi" w:hAnsiTheme="majorHAnsi" w:cstheme="majorBidi"/>
        </w:rPr>
        <w:t>SCE17HC054.</w:t>
      </w:r>
      <w:r w:rsidR="00BF2383" w:rsidRPr="000E623B">
        <w:rPr>
          <w:rFonts w:asciiTheme="majorHAnsi" w:hAnsiTheme="majorHAnsi" w:cstheme="majorBidi"/>
        </w:rPr>
        <w:t>1</w:t>
      </w:r>
      <w:r w:rsidRPr="000E623B">
        <w:rPr>
          <w:rFonts w:asciiTheme="majorHAnsi" w:hAnsiTheme="majorHAnsi" w:cstheme="majorBidi"/>
        </w:rPr>
        <w:t xml:space="preserve"> A</w:t>
      </w:r>
      <w:r w:rsidR="00A96871" w:rsidRPr="000E623B">
        <w:rPr>
          <w:rFonts w:asciiTheme="majorHAnsi" w:hAnsiTheme="majorHAnsi" w:cstheme="majorBidi"/>
        </w:rPr>
        <w:t>7</w:t>
      </w:r>
      <w:r w:rsidRPr="000E623B">
        <w:rPr>
          <w:rFonts w:asciiTheme="majorHAnsi" w:hAnsiTheme="majorHAnsi" w:cstheme="majorBidi"/>
        </w:rPr>
        <w:t xml:space="preserve"> - </w:t>
      </w:r>
      <w:r w:rsidRPr="00EB68B9">
        <w:rPr>
          <w:rFonts w:asciiTheme="majorHAnsi" w:hAnsiTheme="majorHAnsi" w:cstheme="majorBidi"/>
        </w:rPr>
        <w:t>PG&amp;E Smart Thermostat Study - 2nd Year Findings .pdf</w:t>
      </w:r>
    </w:p>
    <w:p w14:paraId="6DBD1607" w14:textId="706A820E" w:rsidR="00A96871" w:rsidRPr="00737D6A" w:rsidRDefault="00A96871" w:rsidP="007F1399">
      <w:pPr>
        <w:pStyle w:val="Normal1"/>
        <w:numPr>
          <w:ilvl w:val="0"/>
          <w:numId w:val="47"/>
        </w:numPr>
        <w:rPr>
          <w:rFonts w:asciiTheme="majorHAnsi" w:hAnsiTheme="majorHAnsi" w:cstheme="majorHAnsi"/>
        </w:rPr>
      </w:pPr>
      <w:r w:rsidRPr="00737D6A">
        <w:rPr>
          <w:rFonts w:asciiTheme="majorHAnsi" w:hAnsiTheme="majorHAnsi" w:cstheme="majorHAnsi"/>
        </w:rPr>
        <w:t>SCE17HC054.</w:t>
      </w:r>
      <w:r w:rsidR="00BF2383">
        <w:rPr>
          <w:rFonts w:asciiTheme="majorHAnsi" w:hAnsiTheme="majorHAnsi" w:cstheme="majorHAnsi"/>
        </w:rPr>
        <w:t>1</w:t>
      </w:r>
      <w:r w:rsidRPr="00737D6A">
        <w:rPr>
          <w:rFonts w:asciiTheme="majorHAnsi" w:hAnsiTheme="majorHAnsi" w:cstheme="majorHAnsi"/>
        </w:rPr>
        <w:t xml:space="preserve"> A8 - PGE SCT_Cooling Savings_Approach_Results_Memo.docx</w:t>
      </w:r>
    </w:p>
    <w:p w14:paraId="70CD8518" w14:textId="72FCC6A0" w:rsidR="007F1399" w:rsidRPr="00225558" w:rsidRDefault="007F1399">
      <w:pPr>
        <w:pStyle w:val="Normal1"/>
        <w:numPr>
          <w:ilvl w:val="0"/>
          <w:numId w:val="47"/>
        </w:numPr>
        <w:rPr>
          <w:rFonts w:asciiTheme="majorHAnsi" w:hAnsiTheme="majorHAnsi" w:cstheme="majorBidi"/>
        </w:rPr>
      </w:pPr>
      <w:r w:rsidRPr="000E623B">
        <w:rPr>
          <w:rFonts w:asciiTheme="majorHAnsi" w:hAnsiTheme="majorHAnsi" w:cstheme="majorBidi"/>
        </w:rPr>
        <w:t>SCE17HC054.</w:t>
      </w:r>
      <w:r w:rsidR="00BF2383" w:rsidRPr="000E623B">
        <w:rPr>
          <w:rFonts w:asciiTheme="majorHAnsi" w:hAnsiTheme="majorHAnsi" w:cstheme="majorBidi"/>
        </w:rPr>
        <w:t>1</w:t>
      </w:r>
      <w:r w:rsidRPr="000E623B">
        <w:rPr>
          <w:rFonts w:asciiTheme="majorHAnsi" w:hAnsiTheme="majorHAnsi" w:cstheme="majorBidi"/>
        </w:rPr>
        <w:t xml:space="preserve"> A</w:t>
      </w:r>
      <w:r w:rsidR="00A96871" w:rsidRPr="000E623B">
        <w:rPr>
          <w:rFonts w:asciiTheme="majorHAnsi" w:hAnsiTheme="majorHAnsi" w:cstheme="majorBidi"/>
        </w:rPr>
        <w:t>9</w:t>
      </w:r>
      <w:r w:rsidRPr="000E623B">
        <w:rPr>
          <w:rFonts w:asciiTheme="majorHAnsi" w:hAnsiTheme="majorHAnsi" w:cstheme="majorBidi"/>
        </w:rPr>
        <w:t xml:space="preserve"> - </w:t>
      </w:r>
      <w:r w:rsidR="0047731E" w:rsidRPr="00EB68B9">
        <w:rPr>
          <w:rFonts w:asciiTheme="majorHAnsi" w:hAnsiTheme="majorHAnsi" w:cstheme="majorBidi"/>
        </w:rPr>
        <w:t>EUL Analysis of SCT Memo-II</w:t>
      </w:r>
      <w:r w:rsidR="00BD2BDA">
        <w:rPr>
          <w:rFonts w:asciiTheme="majorHAnsi" w:hAnsiTheme="majorHAnsi" w:cstheme="majorBidi"/>
        </w:rPr>
        <w:t>_CONFIDENTIAL</w:t>
      </w:r>
      <w:r w:rsidR="0047731E" w:rsidRPr="00EB68B9">
        <w:rPr>
          <w:rFonts w:asciiTheme="majorHAnsi" w:hAnsiTheme="majorHAnsi" w:cstheme="majorBidi"/>
        </w:rPr>
        <w:t>.pdf</w:t>
      </w:r>
    </w:p>
    <w:p w14:paraId="137DE99E" w14:textId="39AB9E40" w:rsidR="007F1399" w:rsidRDefault="007F1399">
      <w:pPr>
        <w:pStyle w:val="Normal1"/>
        <w:numPr>
          <w:ilvl w:val="0"/>
          <w:numId w:val="47"/>
        </w:numPr>
        <w:rPr>
          <w:rFonts w:asciiTheme="majorHAnsi" w:hAnsiTheme="majorHAnsi" w:cstheme="majorBidi"/>
        </w:rPr>
      </w:pPr>
      <w:r w:rsidRPr="000E623B">
        <w:rPr>
          <w:rFonts w:asciiTheme="majorHAnsi" w:hAnsiTheme="majorHAnsi" w:cstheme="majorBidi"/>
        </w:rPr>
        <w:t>SCE17HC054.</w:t>
      </w:r>
      <w:r w:rsidR="00BF2383" w:rsidRPr="000E623B">
        <w:rPr>
          <w:rFonts w:asciiTheme="majorHAnsi" w:hAnsiTheme="majorHAnsi" w:cstheme="majorBidi"/>
        </w:rPr>
        <w:t>1</w:t>
      </w:r>
      <w:r w:rsidRPr="000E623B">
        <w:rPr>
          <w:rFonts w:asciiTheme="majorHAnsi" w:hAnsiTheme="majorHAnsi" w:cstheme="majorBidi"/>
        </w:rPr>
        <w:t xml:space="preserve"> A</w:t>
      </w:r>
      <w:r w:rsidR="00A96871" w:rsidRPr="000E623B">
        <w:rPr>
          <w:rFonts w:asciiTheme="majorHAnsi" w:hAnsiTheme="majorHAnsi" w:cstheme="majorBidi"/>
        </w:rPr>
        <w:t>10</w:t>
      </w:r>
      <w:r w:rsidRPr="000E623B">
        <w:rPr>
          <w:rFonts w:asciiTheme="majorHAnsi" w:hAnsiTheme="majorHAnsi" w:cstheme="majorBidi"/>
        </w:rPr>
        <w:t xml:space="preserve"> </w:t>
      </w:r>
      <w:r w:rsidR="006E37EB">
        <w:rPr>
          <w:rFonts w:asciiTheme="majorHAnsi" w:hAnsiTheme="majorHAnsi" w:cstheme="majorBidi"/>
        </w:rPr>
        <w:t>–</w:t>
      </w:r>
      <w:r w:rsidRPr="000E623B">
        <w:rPr>
          <w:rFonts w:asciiTheme="majorHAnsi" w:hAnsiTheme="majorHAnsi" w:cstheme="majorBidi"/>
        </w:rPr>
        <w:t xml:space="preserve"> </w:t>
      </w:r>
      <w:r w:rsidR="00A96871" w:rsidRPr="00EB68B9">
        <w:rPr>
          <w:rFonts w:asciiTheme="majorHAnsi" w:hAnsiTheme="majorHAnsi" w:cstheme="majorBidi"/>
        </w:rPr>
        <w:t>Res</w:t>
      </w:r>
      <w:r w:rsidR="006E37EB">
        <w:rPr>
          <w:rFonts w:asciiTheme="majorHAnsi" w:hAnsiTheme="majorHAnsi" w:cstheme="majorBidi"/>
        </w:rPr>
        <w:t xml:space="preserve"> </w:t>
      </w:r>
      <w:r w:rsidR="00A96871" w:rsidRPr="00EB68B9">
        <w:rPr>
          <w:rFonts w:asciiTheme="majorHAnsi" w:hAnsiTheme="majorHAnsi" w:cstheme="majorBidi"/>
        </w:rPr>
        <w:t>SCT W</w:t>
      </w:r>
      <w:r w:rsidR="006E37EB">
        <w:rPr>
          <w:rFonts w:asciiTheme="majorHAnsi" w:hAnsiTheme="majorHAnsi" w:cstheme="majorBidi"/>
        </w:rPr>
        <w:t xml:space="preserve">P </w:t>
      </w:r>
      <w:r w:rsidR="00A96871" w:rsidRPr="00EB68B9">
        <w:rPr>
          <w:rFonts w:asciiTheme="majorHAnsi" w:hAnsiTheme="majorHAnsi" w:cstheme="majorBidi"/>
        </w:rPr>
        <w:t>Disposition - July 19 2016.docx</w:t>
      </w:r>
    </w:p>
    <w:p w14:paraId="0B981F8C" w14:textId="5B0BB5B7" w:rsidR="007F1399" w:rsidRDefault="00121E32" w:rsidP="007F1399">
      <w:pPr>
        <w:pStyle w:val="Normal1"/>
        <w:numPr>
          <w:ilvl w:val="0"/>
          <w:numId w:val="47"/>
        </w:numPr>
        <w:rPr>
          <w:rFonts w:asciiTheme="majorHAnsi" w:hAnsiTheme="majorHAnsi" w:cstheme="majorBidi"/>
        </w:rPr>
      </w:pPr>
      <w:r>
        <w:rPr>
          <w:rFonts w:asciiTheme="majorHAnsi" w:hAnsiTheme="majorHAnsi" w:cstheme="majorBidi"/>
        </w:rPr>
        <w:t xml:space="preserve">SCE17HC054.1 A11 </w:t>
      </w:r>
      <w:r w:rsidR="006E37EB">
        <w:rPr>
          <w:rFonts w:asciiTheme="majorHAnsi" w:hAnsiTheme="majorHAnsi" w:cstheme="majorBidi"/>
        </w:rPr>
        <w:t>–</w:t>
      </w:r>
      <w:r>
        <w:rPr>
          <w:rFonts w:asciiTheme="majorHAnsi" w:hAnsiTheme="majorHAnsi" w:cstheme="majorBidi"/>
        </w:rPr>
        <w:t xml:space="preserve"> </w:t>
      </w:r>
      <w:r w:rsidR="00F24459" w:rsidRPr="00F24459">
        <w:rPr>
          <w:rFonts w:asciiTheme="majorHAnsi" w:hAnsiTheme="majorHAnsi" w:cstheme="majorBidi"/>
        </w:rPr>
        <w:t>Res</w:t>
      </w:r>
      <w:r w:rsidR="006E37EB">
        <w:rPr>
          <w:rFonts w:asciiTheme="majorHAnsi" w:hAnsiTheme="majorHAnsi" w:cstheme="majorBidi"/>
        </w:rPr>
        <w:t xml:space="preserve"> </w:t>
      </w:r>
      <w:r w:rsidR="00F24459" w:rsidRPr="00F24459">
        <w:rPr>
          <w:rFonts w:asciiTheme="majorHAnsi" w:hAnsiTheme="majorHAnsi" w:cstheme="majorBidi"/>
        </w:rPr>
        <w:t>SCT W</w:t>
      </w:r>
      <w:r w:rsidR="006E37EB">
        <w:rPr>
          <w:rFonts w:asciiTheme="majorHAnsi" w:hAnsiTheme="majorHAnsi" w:cstheme="majorBidi"/>
        </w:rPr>
        <w:t xml:space="preserve">P </w:t>
      </w:r>
      <w:r w:rsidR="00F24459" w:rsidRPr="00F24459">
        <w:rPr>
          <w:rFonts w:asciiTheme="majorHAnsi" w:hAnsiTheme="majorHAnsi" w:cstheme="majorBidi"/>
        </w:rPr>
        <w:t>Disposition - Novembe</w:t>
      </w:r>
      <w:r w:rsidR="00F24459">
        <w:rPr>
          <w:rFonts w:asciiTheme="majorHAnsi" w:hAnsiTheme="majorHAnsi" w:cstheme="majorBidi"/>
        </w:rPr>
        <w:t>r</w:t>
      </w:r>
      <w:r w:rsidR="00F24459" w:rsidRPr="00F24459">
        <w:rPr>
          <w:rFonts w:asciiTheme="majorHAnsi" w:hAnsiTheme="majorHAnsi" w:cstheme="majorBidi"/>
        </w:rPr>
        <w:t xml:space="preserve"> 8 2016</w:t>
      </w:r>
      <w:r w:rsidRPr="00121E32">
        <w:rPr>
          <w:rFonts w:asciiTheme="majorHAnsi" w:hAnsiTheme="majorHAnsi" w:cstheme="majorBidi"/>
        </w:rPr>
        <w:t>.docx</w:t>
      </w:r>
    </w:p>
    <w:p w14:paraId="07E7C44D" w14:textId="20E7AFD5" w:rsidR="000178C4" w:rsidRDefault="00F11D2C" w:rsidP="007F1399">
      <w:pPr>
        <w:pStyle w:val="Normal1"/>
        <w:numPr>
          <w:ilvl w:val="0"/>
          <w:numId w:val="47"/>
        </w:numPr>
        <w:rPr>
          <w:rFonts w:asciiTheme="majorHAnsi" w:hAnsiTheme="majorHAnsi" w:cstheme="majorBidi"/>
        </w:rPr>
      </w:pPr>
      <w:r>
        <w:rPr>
          <w:rFonts w:asciiTheme="majorHAnsi" w:hAnsiTheme="majorHAnsi" w:cstheme="majorBidi"/>
        </w:rPr>
        <w:t>SCE17HC054.</w:t>
      </w:r>
      <w:r w:rsidR="0004149A">
        <w:rPr>
          <w:rFonts w:asciiTheme="majorHAnsi" w:hAnsiTheme="majorHAnsi" w:cstheme="majorBidi"/>
        </w:rPr>
        <w:t>1</w:t>
      </w:r>
      <w:r>
        <w:rPr>
          <w:rFonts w:asciiTheme="majorHAnsi" w:hAnsiTheme="majorHAnsi" w:cstheme="majorBidi"/>
        </w:rPr>
        <w:t xml:space="preserve"> A12 - </w:t>
      </w:r>
      <w:r w:rsidRPr="00F24459">
        <w:rPr>
          <w:rFonts w:asciiTheme="majorHAnsi" w:hAnsiTheme="majorHAnsi" w:cstheme="majorBidi"/>
        </w:rPr>
        <w:t>Res SCT W</w:t>
      </w:r>
      <w:r w:rsidR="006E37EB">
        <w:rPr>
          <w:rFonts w:asciiTheme="majorHAnsi" w:hAnsiTheme="majorHAnsi" w:cstheme="majorBidi"/>
        </w:rPr>
        <w:t>P</w:t>
      </w:r>
      <w:r w:rsidRPr="00F24459">
        <w:rPr>
          <w:rFonts w:asciiTheme="majorHAnsi" w:hAnsiTheme="majorHAnsi" w:cstheme="majorBidi"/>
        </w:rPr>
        <w:t xml:space="preserve"> Disposition </w:t>
      </w:r>
      <w:r w:rsidR="0004149A">
        <w:rPr>
          <w:rFonts w:asciiTheme="majorHAnsi" w:hAnsiTheme="majorHAnsi" w:cstheme="majorBidi"/>
        </w:rPr>
        <w:t>–</w:t>
      </w:r>
      <w:r w:rsidRPr="00F24459">
        <w:rPr>
          <w:rFonts w:asciiTheme="majorHAnsi" w:hAnsiTheme="majorHAnsi" w:cstheme="majorBidi"/>
        </w:rPr>
        <w:t xml:space="preserve"> </w:t>
      </w:r>
      <w:r w:rsidR="0004149A">
        <w:rPr>
          <w:rFonts w:asciiTheme="majorHAnsi" w:hAnsiTheme="majorHAnsi" w:cstheme="majorBidi"/>
        </w:rPr>
        <w:t>April 5</w:t>
      </w:r>
      <w:r w:rsidRPr="00F24459">
        <w:rPr>
          <w:rFonts w:asciiTheme="majorHAnsi" w:hAnsiTheme="majorHAnsi" w:cstheme="majorBidi"/>
        </w:rPr>
        <w:t xml:space="preserve"> 201</w:t>
      </w:r>
      <w:r w:rsidR="0004149A">
        <w:rPr>
          <w:rFonts w:asciiTheme="majorHAnsi" w:hAnsiTheme="majorHAnsi" w:cstheme="majorBidi"/>
        </w:rPr>
        <w:t>9</w:t>
      </w:r>
      <w:r w:rsidRPr="00121E32">
        <w:rPr>
          <w:rFonts w:asciiTheme="majorHAnsi" w:hAnsiTheme="majorHAnsi" w:cstheme="majorBidi"/>
        </w:rPr>
        <w:t>.</w:t>
      </w:r>
      <w:r w:rsidR="0004149A">
        <w:rPr>
          <w:rFonts w:asciiTheme="majorHAnsi" w:hAnsiTheme="majorHAnsi" w:cstheme="majorBidi"/>
        </w:rPr>
        <w:t>pdf</w:t>
      </w:r>
    </w:p>
    <w:p w14:paraId="04A6B681" w14:textId="73513932" w:rsidR="00A52582" w:rsidRDefault="00A52582" w:rsidP="007F1399">
      <w:pPr>
        <w:pStyle w:val="Normal1"/>
        <w:numPr>
          <w:ilvl w:val="0"/>
          <w:numId w:val="47"/>
        </w:numPr>
        <w:rPr>
          <w:rFonts w:asciiTheme="majorHAnsi" w:hAnsiTheme="majorHAnsi" w:cstheme="majorBidi"/>
        </w:rPr>
      </w:pPr>
      <w:r>
        <w:rPr>
          <w:rFonts w:asciiTheme="majorHAnsi" w:hAnsiTheme="majorHAnsi" w:cstheme="majorBidi"/>
        </w:rPr>
        <w:t xml:space="preserve">SCE17HC054.1 A13 </w:t>
      </w:r>
      <w:r w:rsidR="00E24919">
        <w:rPr>
          <w:rFonts w:asciiTheme="majorHAnsi" w:hAnsiTheme="majorHAnsi" w:cstheme="majorBidi"/>
        </w:rPr>
        <w:t>-</w:t>
      </w:r>
      <w:r>
        <w:rPr>
          <w:rFonts w:asciiTheme="majorHAnsi" w:hAnsiTheme="majorHAnsi" w:cstheme="majorBidi"/>
        </w:rPr>
        <w:t xml:space="preserve"> MFm HVAC System Cap Analysis</w:t>
      </w:r>
    </w:p>
    <w:p w14:paraId="6BFC87DE" w14:textId="69A2DFB4" w:rsidR="006D2821" w:rsidRPr="00D94357" w:rsidRDefault="006D2821" w:rsidP="007F1399">
      <w:pPr>
        <w:pStyle w:val="Normal1"/>
        <w:numPr>
          <w:ilvl w:val="0"/>
          <w:numId w:val="47"/>
        </w:numPr>
        <w:rPr>
          <w:rFonts w:asciiTheme="majorHAnsi" w:hAnsiTheme="majorHAnsi" w:cstheme="majorBidi"/>
        </w:rPr>
      </w:pPr>
      <w:r w:rsidRPr="006D2821">
        <w:rPr>
          <w:rFonts w:asciiTheme="majorHAnsi" w:hAnsiTheme="majorHAnsi" w:cstheme="majorBidi"/>
        </w:rPr>
        <w:t>SCE17HC054.1 A14 - ST WP Update Plan_v04_23_2019</w:t>
      </w:r>
    </w:p>
    <w:p w14:paraId="3B9A5A41" w14:textId="2682BEAB" w:rsidR="004418BB" w:rsidRDefault="007173B2" w:rsidP="00C470E5">
      <w:pPr>
        <w:pStyle w:val="Heading1"/>
      </w:pPr>
      <w:r w:rsidRPr="00737D6A">
        <w:rPr>
          <w:rFonts w:asciiTheme="majorHAnsi" w:hAnsiTheme="majorHAnsi" w:cstheme="majorHAnsi"/>
        </w:rPr>
        <w:t>References</w:t>
      </w:r>
    </w:p>
    <w:p w14:paraId="1010DFE1" w14:textId="25036677" w:rsidR="00485F41" w:rsidRPr="00225558" w:rsidRDefault="007F1399" w:rsidP="00225558">
      <w:pPr>
        <w:pStyle w:val="Normal1"/>
        <w:spacing w:line="276" w:lineRule="auto"/>
        <w:contextualSpacing/>
        <w:rPr>
          <w:rFonts w:asciiTheme="majorHAnsi" w:hAnsiTheme="majorHAnsi" w:cstheme="majorBidi"/>
        </w:rPr>
      </w:pPr>
      <w:r w:rsidRPr="000E623B">
        <w:rPr>
          <w:rFonts w:asciiTheme="majorHAnsi" w:hAnsiTheme="majorHAnsi" w:cstheme="majorBidi"/>
        </w:rPr>
        <w:t>[469]</w:t>
      </w:r>
    </w:p>
    <w:p w14:paraId="55552781" w14:textId="09464869" w:rsidR="007F1399" w:rsidRPr="00225558" w:rsidRDefault="007F1399" w:rsidP="00225558">
      <w:pPr>
        <w:pStyle w:val="Normal1"/>
        <w:spacing w:line="276" w:lineRule="auto"/>
        <w:contextualSpacing/>
        <w:rPr>
          <w:rFonts w:asciiTheme="majorHAnsi" w:hAnsiTheme="majorHAnsi" w:cstheme="majorBidi"/>
        </w:rPr>
      </w:pPr>
      <w:r w:rsidRPr="000E623B">
        <w:rPr>
          <w:rFonts w:asciiTheme="majorHAnsi" w:hAnsiTheme="majorHAnsi" w:cstheme="majorBidi"/>
        </w:rPr>
        <w:t>[515]</w:t>
      </w:r>
    </w:p>
    <w:p w14:paraId="27C6F197" w14:textId="77777777" w:rsidR="00576C8C" w:rsidRPr="00737D6A" w:rsidRDefault="00576C8C">
      <w:pPr>
        <w:pStyle w:val="Normal1"/>
        <w:rPr>
          <w:rFonts w:asciiTheme="majorHAnsi" w:hAnsiTheme="majorHAnsi" w:cstheme="majorHAnsi"/>
        </w:rPr>
      </w:pPr>
    </w:p>
    <w:p w14:paraId="162EF138" w14:textId="77777777" w:rsidR="00576C8C" w:rsidRPr="00737D6A" w:rsidRDefault="007173B2">
      <w:pPr>
        <w:pStyle w:val="Normal1"/>
        <w:rPr>
          <w:rFonts w:asciiTheme="majorHAnsi" w:hAnsiTheme="majorHAnsi" w:cstheme="majorHAnsi"/>
        </w:rPr>
      </w:pPr>
      <w:r w:rsidRPr="00737D6A">
        <w:rPr>
          <w:rFonts w:asciiTheme="majorHAnsi" w:hAnsiTheme="majorHAnsi" w:cstheme="majorHAnsi"/>
          <w:color w:val="FF0000"/>
        </w:rPr>
        <w:t xml:space="preserve"> </w:t>
      </w:r>
    </w:p>
    <w:p w14:paraId="21E8B023" w14:textId="77777777" w:rsidR="00576C8C" w:rsidRPr="00737D6A" w:rsidRDefault="00576C8C">
      <w:pPr>
        <w:pStyle w:val="Normal1"/>
        <w:rPr>
          <w:rFonts w:asciiTheme="majorHAnsi" w:hAnsiTheme="majorHAnsi" w:cstheme="majorHAnsi"/>
        </w:rPr>
      </w:pPr>
      <w:bookmarkStart w:id="26" w:name="_GoBack"/>
      <w:bookmarkEnd w:id="26"/>
    </w:p>
    <w:sectPr w:rsidR="00576C8C" w:rsidRPr="00737D6A" w:rsidSect="00071018">
      <w:footerReference w:type="default" r:id="rId10"/>
      <w:pgSz w:w="12240" w:h="15840"/>
      <w:pgMar w:top="1440" w:right="1980" w:bottom="720" w:left="1440" w:header="720" w:footer="720" w:gutter="0"/>
      <w:pgNumType w:fmt="lowerRoman"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AF23D8" w16cid:durableId="208D8D39"/>
  <w16cid:commentId w16cid:paraId="6A79768D" w16cid:durableId="208E390C"/>
  <w16cid:commentId w16cid:paraId="2872AE5C" w16cid:durableId="208D8D3A"/>
  <w16cid:commentId w16cid:paraId="1B659452" w16cid:durableId="208D8E99"/>
  <w16cid:commentId w16cid:paraId="5BF5DDF1" w16cid:durableId="208D8D3B"/>
  <w16cid:commentId w16cid:paraId="17F0CD5C" w16cid:durableId="208E3AF9"/>
  <w16cid:commentId w16cid:paraId="6AFC24F5" w16cid:durableId="2082875D"/>
  <w16cid:commentId w16cid:paraId="5D3251BD" w16cid:durableId="207ED3EA"/>
  <w16cid:commentId w16cid:paraId="61572EB5" w16cid:durableId="207ED41F"/>
  <w16cid:commentId w16cid:paraId="04AF05A7" w16cid:durableId="208E46FA"/>
  <w16cid:commentId w16cid:paraId="7F2E96A2" w16cid:durableId="207ED4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1F4" w14:textId="77777777" w:rsidR="00D405BE" w:rsidRDefault="00D405BE">
      <w:r>
        <w:separator/>
      </w:r>
    </w:p>
  </w:endnote>
  <w:endnote w:type="continuationSeparator" w:id="0">
    <w:p w14:paraId="2AC27E17" w14:textId="77777777" w:rsidR="00D405BE" w:rsidRDefault="00D4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emilight">
    <w:panose1 w:val="020B04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D67C5" w14:textId="02BCEA1D" w:rsidR="003F1D7A" w:rsidRPr="003731F5" w:rsidRDefault="003F1D7A">
    <w:pPr>
      <w:pStyle w:val="Normal1"/>
      <w:tabs>
        <w:tab w:val="center" w:pos="4680"/>
        <w:tab w:val="right" w:pos="9360"/>
      </w:tabs>
      <w:rPr>
        <w:b/>
        <w:bCs/>
        <w:color w:val="auto"/>
        <w:sz w:val="20"/>
        <w:szCs w:val="20"/>
      </w:rPr>
    </w:pPr>
    <w:r w:rsidRPr="000E623B">
      <w:rPr>
        <w:b/>
        <w:bCs/>
        <w:color w:val="auto"/>
        <w:sz w:val="20"/>
        <w:szCs w:val="20"/>
      </w:rPr>
      <w:t xml:space="preserve">SCE17HC054.1, Revision 1 </w:t>
    </w:r>
    <w:r w:rsidRPr="00206AE1">
      <w:rPr>
        <w:b/>
        <w:color w:val="auto"/>
        <w:sz w:val="20"/>
        <w:szCs w:val="20"/>
      </w:rPr>
      <w:tab/>
    </w:r>
    <w:r w:rsidRPr="00206AE1">
      <w:rPr>
        <w:b/>
        <w:color w:val="auto"/>
        <w:sz w:val="20"/>
        <w:szCs w:val="20"/>
      </w:rPr>
      <w:tab/>
    </w:r>
    <w:r>
      <w:rPr>
        <w:b/>
        <w:bCs/>
        <w:color w:val="auto"/>
        <w:sz w:val="20"/>
        <w:szCs w:val="20"/>
      </w:rPr>
      <w:t>May 31, 2019</w:t>
    </w:r>
  </w:p>
  <w:p w14:paraId="41D0F6BD" w14:textId="089692D2" w:rsidR="003F1D7A" w:rsidRPr="00206AE1" w:rsidRDefault="003F1D7A" w:rsidP="007755C8">
    <w:pPr>
      <w:pStyle w:val="Normal1"/>
      <w:tabs>
        <w:tab w:val="center" w:pos="4680"/>
        <w:tab w:val="right" w:pos="9360"/>
      </w:tabs>
      <w:rPr>
        <w:color w:val="auto"/>
        <w:sz w:val="20"/>
        <w:szCs w:val="20"/>
      </w:rPr>
    </w:pPr>
    <w:r w:rsidRPr="00206AE1">
      <w:rPr>
        <w:b/>
        <w:color w:val="auto"/>
        <w:sz w:val="20"/>
        <w:szCs w:val="20"/>
      </w:rPr>
      <w:t>Southern California Edison</w:t>
    </w:r>
  </w:p>
  <w:p w14:paraId="1712D666" w14:textId="246E00C0" w:rsidR="003F1D7A" w:rsidRPr="00206AE1" w:rsidRDefault="003F1D7A" w:rsidP="006E54D1">
    <w:pPr>
      <w:pStyle w:val="Normal1"/>
      <w:tabs>
        <w:tab w:val="left" w:pos="1815"/>
        <w:tab w:val="left" w:pos="4353"/>
        <w:tab w:val="center" w:pos="4410"/>
        <w:tab w:val="center" w:pos="4680"/>
        <w:tab w:val="right" w:pos="9360"/>
      </w:tabs>
      <w:rPr>
        <w:sz w:val="20"/>
        <w:szCs w:val="20"/>
      </w:rPr>
    </w:pPr>
    <w:r>
      <w:rPr>
        <w:sz w:val="20"/>
        <w:szCs w:val="20"/>
      </w:rPr>
      <w:tab/>
    </w:r>
    <w:r>
      <w:rPr>
        <w:sz w:val="20"/>
        <w:szCs w:val="20"/>
      </w:rPr>
      <w:tab/>
    </w:r>
    <w:r>
      <w:rPr>
        <w:sz w:val="20"/>
        <w:szCs w:val="20"/>
      </w:rPr>
      <w:tab/>
    </w:r>
    <w:r>
      <w:rPr>
        <w:sz w:val="20"/>
        <w:szCs w:val="20"/>
      </w:rPr>
      <w:fldChar w:fldCharType="begin"/>
    </w:r>
    <w:r>
      <w:rPr>
        <w:sz w:val="20"/>
        <w:szCs w:val="20"/>
      </w:rPr>
      <w:instrText xml:space="preserve"> PAGE  \* Arabic </w:instrText>
    </w:r>
    <w:r>
      <w:rPr>
        <w:sz w:val="20"/>
        <w:szCs w:val="20"/>
      </w:rPr>
      <w:fldChar w:fldCharType="separate"/>
    </w:r>
    <w:r w:rsidR="00FD2AC9">
      <w:rPr>
        <w:noProof/>
        <w:sz w:val="20"/>
        <w:szCs w:val="20"/>
      </w:rPr>
      <w:t>20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8D7A" w14:textId="77777777" w:rsidR="00D405BE" w:rsidRDefault="00D405BE">
      <w:r>
        <w:separator/>
      </w:r>
    </w:p>
  </w:footnote>
  <w:footnote w:type="continuationSeparator" w:id="0">
    <w:p w14:paraId="65F11A25" w14:textId="77777777" w:rsidR="00D405BE" w:rsidRDefault="00D405BE">
      <w:r>
        <w:continuationSeparator/>
      </w:r>
    </w:p>
  </w:footnote>
  <w:footnote w:id="1">
    <w:p w14:paraId="2285FB83" w14:textId="77777777" w:rsidR="003F1D7A" w:rsidRDefault="003F1D7A" w:rsidP="6EF67A4D">
      <w:pPr>
        <w:pStyle w:val="FootnoteText"/>
      </w:pPr>
      <w:r>
        <w:rPr>
          <w:rStyle w:val="FootnoteReference"/>
        </w:rPr>
        <w:footnoteRef/>
      </w:r>
      <w:r>
        <w:t xml:space="preserve"> </w:t>
      </w:r>
      <w:r w:rsidRPr="005F7372">
        <w:rPr>
          <w:sz w:val="16"/>
          <w:szCs w:val="16"/>
        </w:rPr>
        <w:t xml:space="preserve">Adopted from </w:t>
      </w:r>
      <w:hyperlink r:id="rId1" w:history="1">
        <w:r w:rsidRPr="005F7372">
          <w:rPr>
            <w:sz w:val="16"/>
            <w:szCs w:val="16"/>
          </w:rPr>
          <w:t>https://www.energystar.gov/products/heating_cooling/smart_thermostats</w:t>
        </w:r>
      </w:hyperlink>
      <w:r>
        <w:t xml:space="preserve"> </w:t>
      </w:r>
    </w:p>
  </w:footnote>
  <w:footnote w:id="2">
    <w:p w14:paraId="01C9BD9F" w14:textId="4BA4665A" w:rsidR="003F1D7A" w:rsidRPr="00666E20" w:rsidRDefault="003F1D7A">
      <w:pPr>
        <w:pStyle w:val="FootnoteText"/>
        <w:rPr>
          <w:sz w:val="16"/>
          <w:szCs w:val="16"/>
        </w:rPr>
      </w:pPr>
      <w:r w:rsidRPr="00666E20">
        <w:rPr>
          <w:rStyle w:val="FootnoteReference"/>
          <w:sz w:val="16"/>
          <w:szCs w:val="16"/>
        </w:rPr>
        <w:footnoteRef/>
      </w:r>
      <w:r w:rsidRPr="00666E20">
        <w:rPr>
          <w:sz w:val="16"/>
          <w:szCs w:val="16"/>
        </w:rPr>
        <w:t xml:space="preserve"> Items in Disposition for WPSCGREHC160624A (SCG Smart Thermostat) issued November 8, 2016 That Impact Future Smart Thermostat Workpapers</w:t>
      </w:r>
      <w:r w:rsidRPr="00666E20">
        <w:rPr>
          <w:b/>
          <w:sz w:val="16"/>
          <w:szCs w:val="16"/>
          <w:u w:val="single"/>
        </w:rPr>
        <w:t xml:space="preserve">  </w:t>
      </w:r>
    </w:p>
  </w:footnote>
  <w:footnote w:id="3">
    <w:p w14:paraId="4EDE465D" w14:textId="77777777" w:rsidR="003F1D7A" w:rsidRDefault="003F1D7A" w:rsidP="00322B58">
      <w:pPr>
        <w:pStyle w:val="FootnoteText"/>
      </w:pPr>
      <w:r>
        <w:rPr>
          <w:rStyle w:val="FootnoteReference"/>
        </w:rPr>
        <w:footnoteRef/>
      </w:r>
      <w:r>
        <w:t xml:space="preserve"> </w:t>
      </w:r>
      <w:r>
        <w:tab/>
        <w:t xml:space="preserve">CA Energy Efficiency Evaluation Protocols available online:  </w:t>
      </w:r>
      <w:hyperlink r:id="rId2" w:history="1">
        <w:r w:rsidRPr="00AE7AED">
          <w:rPr>
            <w:rStyle w:val="Hyperlink"/>
          </w:rPr>
          <w:t>http://www.cpuc.ca.gov/WorkArea/DownloadAsset.aspx?id=5212</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022"/>
    <w:multiLevelType w:val="hybridMultilevel"/>
    <w:tmpl w:val="A1E09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181F74"/>
    <w:multiLevelType w:val="hybridMultilevel"/>
    <w:tmpl w:val="A35C7CC6"/>
    <w:lvl w:ilvl="0" w:tplc="08C02FF2">
      <w:start w:val="253"/>
      <w:numFmt w:val="bullet"/>
      <w:lvlText w:val="-"/>
      <w:lvlJc w:val="left"/>
      <w:pPr>
        <w:ind w:left="-1890" w:hanging="360"/>
      </w:pPr>
      <w:rPr>
        <w:rFonts w:ascii="Calibri" w:eastAsia="Calibri" w:hAnsi="Calibri" w:cs="Calibri"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450" w:hanging="360"/>
      </w:pPr>
      <w:rPr>
        <w:rFonts w:ascii="Wingdings" w:hAnsi="Wingdings" w:hint="default"/>
      </w:rPr>
    </w:lvl>
    <w:lvl w:ilvl="3" w:tplc="04090001" w:tentative="1">
      <w:start w:val="1"/>
      <w:numFmt w:val="bullet"/>
      <w:lvlText w:val=""/>
      <w:lvlJc w:val="left"/>
      <w:pPr>
        <w:ind w:left="270" w:hanging="360"/>
      </w:pPr>
      <w:rPr>
        <w:rFonts w:ascii="Symbol" w:hAnsi="Symbol" w:hint="default"/>
      </w:rPr>
    </w:lvl>
    <w:lvl w:ilvl="4" w:tplc="04090003" w:tentative="1">
      <w:start w:val="1"/>
      <w:numFmt w:val="bullet"/>
      <w:lvlText w:val="o"/>
      <w:lvlJc w:val="left"/>
      <w:pPr>
        <w:ind w:left="990" w:hanging="360"/>
      </w:pPr>
      <w:rPr>
        <w:rFonts w:ascii="Courier New" w:hAnsi="Courier New" w:hint="default"/>
      </w:rPr>
    </w:lvl>
    <w:lvl w:ilvl="5" w:tplc="04090005" w:tentative="1">
      <w:start w:val="1"/>
      <w:numFmt w:val="bullet"/>
      <w:lvlText w:val=""/>
      <w:lvlJc w:val="left"/>
      <w:pPr>
        <w:ind w:left="1710" w:hanging="360"/>
      </w:pPr>
      <w:rPr>
        <w:rFonts w:ascii="Wingdings" w:hAnsi="Wingdings" w:hint="default"/>
      </w:rPr>
    </w:lvl>
    <w:lvl w:ilvl="6" w:tplc="04090001" w:tentative="1">
      <w:start w:val="1"/>
      <w:numFmt w:val="bullet"/>
      <w:lvlText w:val=""/>
      <w:lvlJc w:val="left"/>
      <w:pPr>
        <w:ind w:left="2430" w:hanging="360"/>
      </w:pPr>
      <w:rPr>
        <w:rFonts w:ascii="Symbol" w:hAnsi="Symbol" w:hint="default"/>
      </w:rPr>
    </w:lvl>
    <w:lvl w:ilvl="7" w:tplc="04090003" w:tentative="1">
      <w:start w:val="1"/>
      <w:numFmt w:val="bullet"/>
      <w:lvlText w:val="o"/>
      <w:lvlJc w:val="left"/>
      <w:pPr>
        <w:ind w:left="3150" w:hanging="360"/>
      </w:pPr>
      <w:rPr>
        <w:rFonts w:ascii="Courier New" w:hAnsi="Courier New" w:hint="default"/>
      </w:rPr>
    </w:lvl>
    <w:lvl w:ilvl="8" w:tplc="04090005" w:tentative="1">
      <w:start w:val="1"/>
      <w:numFmt w:val="bullet"/>
      <w:lvlText w:val=""/>
      <w:lvlJc w:val="left"/>
      <w:pPr>
        <w:ind w:left="3870" w:hanging="360"/>
      </w:pPr>
      <w:rPr>
        <w:rFonts w:ascii="Wingdings" w:hAnsi="Wingdings" w:hint="default"/>
      </w:rPr>
    </w:lvl>
  </w:abstractNum>
  <w:abstractNum w:abstractNumId="2" w15:restartNumberingAfterBreak="0">
    <w:nsid w:val="01195A88"/>
    <w:multiLevelType w:val="hybridMultilevel"/>
    <w:tmpl w:val="D9646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02372"/>
    <w:multiLevelType w:val="hybridMultilevel"/>
    <w:tmpl w:val="28769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B201E"/>
    <w:multiLevelType w:val="hybridMultilevel"/>
    <w:tmpl w:val="B1A0B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F2269B"/>
    <w:multiLevelType w:val="hybridMultilevel"/>
    <w:tmpl w:val="72488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0A2CE3"/>
    <w:multiLevelType w:val="hybridMultilevel"/>
    <w:tmpl w:val="39946242"/>
    <w:lvl w:ilvl="0" w:tplc="BEFAEC8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14AE9"/>
    <w:multiLevelType w:val="hybridMultilevel"/>
    <w:tmpl w:val="39EC8470"/>
    <w:lvl w:ilvl="0" w:tplc="5B84621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9C2E90"/>
    <w:multiLevelType w:val="hybridMultilevel"/>
    <w:tmpl w:val="A51A4BB4"/>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8B76CE98">
      <w:numFmt w:val="bullet"/>
      <w:lvlText w:val="•"/>
      <w:lvlJc w:val="left"/>
      <w:pPr>
        <w:ind w:left="2520" w:hanging="72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7C499E"/>
    <w:multiLevelType w:val="multilevel"/>
    <w:tmpl w:val="BA283BF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C50D0C"/>
    <w:multiLevelType w:val="multilevel"/>
    <w:tmpl w:val="7B3C43C0"/>
    <w:lvl w:ilvl="0">
      <w:start w:val="1"/>
      <w:numFmt w:val="decimal"/>
      <w:lvlText w:val="%1"/>
      <w:lvlJc w:val="left"/>
      <w:pPr>
        <w:ind w:left="555" w:hanging="555"/>
      </w:pPr>
      <w:rPr>
        <w:rFonts w:ascii="Calibri" w:eastAsia="Calibri" w:hAnsi="Calibri" w:cs="Calibri" w:hint="default"/>
        <w:b/>
        <w:color w:val="000000"/>
        <w:sz w:val="26"/>
      </w:rPr>
    </w:lvl>
    <w:lvl w:ilvl="1">
      <w:start w:val="5"/>
      <w:numFmt w:val="decimal"/>
      <w:lvlText w:val="%1.%2"/>
      <w:lvlJc w:val="left"/>
      <w:pPr>
        <w:ind w:left="555" w:hanging="555"/>
      </w:pPr>
      <w:rPr>
        <w:rFonts w:ascii="Calibri" w:eastAsia="Calibri" w:hAnsi="Calibri" w:cs="Calibri" w:hint="default"/>
        <w:b/>
        <w:color w:val="000000"/>
        <w:sz w:val="26"/>
      </w:rPr>
    </w:lvl>
    <w:lvl w:ilvl="2">
      <w:start w:val="1"/>
      <w:numFmt w:val="decimal"/>
      <w:lvlText w:val="%1.%2.%3"/>
      <w:lvlJc w:val="left"/>
      <w:pPr>
        <w:ind w:left="720" w:hanging="720"/>
      </w:pPr>
      <w:rPr>
        <w:rFonts w:ascii="Calibri" w:eastAsia="Calibri" w:hAnsi="Calibri" w:cs="Calibri" w:hint="default"/>
        <w:b/>
        <w:color w:val="000000"/>
        <w:sz w:val="26"/>
      </w:rPr>
    </w:lvl>
    <w:lvl w:ilvl="3">
      <w:start w:val="1"/>
      <w:numFmt w:val="decimal"/>
      <w:lvlText w:val="%1.%2.%3.%4"/>
      <w:lvlJc w:val="left"/>
      <w:pPr>
        <w:ind w:left="720" w:hanging="720"/>
      </w:pPr>
      <w:rPr>
        <w:rFonts w:ascii="Calibri" w:eastAsia="Calibri" w:hAnsi="Calibri" w:cs="Calibri" w:hint="default"/>
        <w:b/>
        <w:color w:val="000000"/>
        <w:sz w:val="26"/>
      </w:rPr>
    </w:lvl>
    <w:lvl w:ilvl="4">
      <w:start w:val="1"/>
      <w:numFmt w:val="decimal"/>
      <w:lvlText w:val="%1.%2.%3.%4.%5"/>
      <w:lvlJc w:val="left"/>
      <w:pPr>
        <w:ind w:left="1080" w:hanging="1080"/>
      </w:pPr>
      <w:rPr>
        <w:rFonts w:ascii="Calibri" w:eastAsia="Calibri" w:hAnsi="Calibri" w:cs="Calibri" w:hint="default"/>
        <w:b/>
        <w:color w:val="000000"/>
        <w:sz w:val="26"/>
      </w:rPr>
    </w:lvl>
    <w:lvl w:ilvl="5">
      <w:start w:val="1"/>
      <w:numFmt w:val="decimal"/>
      <w:lvlText w:val="%1.%2.%3.%4.%5.%6"/>
      <w:lvlJc w:val="left"/>
      <w:pPr>
        <w:ind w:left="1080" w:hanging="1080"/>
      </w:pPr>
      <w:rPr>
        <w:rFonts w:ascii="Calibri" w:eastAsia="Calibri" w:hAnsi="Calibri" w:cs="Calibri" w:hint="default"/>
        <w:b/>
        <w:color w:val="000000"/>
        <w:sz w:val="26"/>
      </w:rPr>
    </w:lvl>
    <w:lvl w:ilvl="6">
      <w:start w:val="1"/>
      <w:numFmt w:val="decimal"/>
      <w:lvlText w:val="%1.%2.%3.%4.%5.%6.%7"/>
      <w:lvlJc w:val="left"/>
      <w:pPr>
        <w:ind w:left="1440" w:hanging="1440"/>
      </w:pPr>
      <w:rPr>
        <w:rFonts w:ascii="Calibri" w:eastAsia="Calibri" w:hAnsi="Calibri" w:cs="Calibri" w:hint="default"/>
        <w:b/>
        <w:color w:val="000000"/>
        <w:sz w:val="26"/>
      </w:rPr>
    </w:lvl>
    <w:lvl w:ilvl="7">
      <w:start w:val="1"/>
      <w:numFmt w:val="decimal"/>
      <w:lvlText w:val="%1.%2.%3.%4.%5.%6.%7.%8"/>
      <w:lvlJc w:val="left"/>
      <w:pPr>
        <w:ind w:left="1440" w:hanging="1440"/>
      </w:pPr>
      <w:rPr>
        <w:rFonts w:ascii="Calibri" w:eastAsia="Calibri" w:hAnsi="Calibri" w:cs="Calibri" w:hint="default"/>
        <w:b/>
        <w:color w:val="000000"/>
        <w:sz w:val="26"/>
      </w:rPr>
    </w:lvl>
    <w:lvl w:ilvl="8">
      <w:start w:val="1"/>
      <w:numFmt w:val="decimal"/>
      <w:lvlText w:val="%1.%2.%3.%4.%5.%6.%7.%8.%9"/>
      <w:lvlJc w:val="left"/>
      <w:pPr>
        <w:ind w:left="1440" w:hanging="1440"/>
      </w:pPr>
      <w:rPr>
        <w:rFonts w:ascii="Calibri" w:eastAsia="Calibri" w:hAnsi="Calibri" w:cs="Calibri" w:hint="default"/>
        <w:b/>
        <w:color w:val="000000"/>
        <w:sz w:val="26"/>
      </w:rPr>
    </w:lvl>
  </w:abstractNum>
  <w:abstractNum w:abstractNumId="12"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C53F5B"/>
    <w:multiLevelType w:val="hybridMultilevel"/>
    <w:tmpl w:val="A762E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2D206D"/>
    <w:multiLevelType w:val="multilevel"/>
    <w:tmpl w:val="50AA0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11C73FDA"/>
    <w:multiLevelType w:val="hybridMultilevel"/>
    <w:tmpl w:val="C4D6D1E2"/>
    <w:lvl w:ilvl="0" w:tplc="B41C13D8">
      <w:start w:val="45"/>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FC0BA2"/>
    <w:multiLevelType w:val="hybridMultilevel"/>
    <w:tmpl w:val="0B58AB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62D6DFC"/>
    <w:multiLevelType w:val="multilevel"/>
    <w:tmpl w:val="5E847C8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9" w15:restartNumberingAfterBreak="0">
    <w:nsid w:val="1663065A"/>
    <w:multiLevelType w:val="hybridMultilevel"/>
    <w:tmpl w:val="993CF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8B76CE98">
      <w:numFmt w:val="bullet"/>
      <w:lvlText w:val="•"/>
      <w:lvlJc w:val="left"/>
      <w:pPr>
        <w:ind w:left="2520" w:hanging="72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D803DB"/>
    <w:multiLevelType w:val="hybridMultilevel"/>
    <w:tmpl w:val="511C35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9200F07"/>
    <w:multiLevelType w:val="hybridMultilevel"/>
    <w:tmpl w:val="EE70D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B71664"/>
    <w:multiLevelType w:val="hybridMultilevel"/>
    <w:tmpl w:val="5D167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ADC1538"/>
    <w:multiLevelType w:val="hybridMultilevel"/>
    <w:tmpl w:val="51BC0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B651B00"/>
    <w:multiLevelType w:val="multilevel"/>
    <w:tmpl w:val="CF7A042A"/>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BD3138C"/>
    <w:multiLevelType w:val="hybridMultilevel"/>
    <w:tmpl w:val="5D666F4E"/>
    <w:lvl w:ilvl="0" w:tplc="6940280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494520"/>
    <w:multiLevelType w:val="hybridMultilevel"/>
    <w:tmpl w:val="9BCEC3E0"/>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8" w15:restartNumberingAfterBreak="0">
    <w:nsid w:val="1E8D4E50"/>
    <w:multiLevelType w:val="multilevel"/>
    <w:tmpl w:val="21E491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21822817"/>
    <w:multiLevelType w:val="multilevel"/>
    <w:tmpl w:val="448AF2D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0" w15:restartNumberingAfterBreak="0">
    <w:nsid w:val="21F56B94"/>
    <w:multiLevelType w:val="hybridMultilevel"/>
    <w:tmpl w:val="D51627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200189A"/>
    <w:multiLevelType w:val="hybridMultilevel"/>
    <w:tmpl w:val="2084C256"/>
    <w:lvl w:ilvl="0" w:tplc="0FC2E0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15:restartNumberingAfterBreak="0">
    <w:nsid w:val="236512BC"/>
    <w:multiLevelType w:val="hybridMultilevel"/>
    <w:tmpl w:val="F0AC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113A4F"/>
    <w:multiLevelType w:val="multilevel"/>
    <w:tmpl w:val="6AB8B05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5" w15:restartNumberingAfterBreak="0">
    <w:nsid w:val="25585E1F"/>
    <w:multiLevelType w:val="hybridMultilevel"/>
    <w:tmpl w:val="46A47E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81C04A4"/>
    <w:multiLevelType w:val="hybridMultilevel"/>
    <w:tmpl w:val="7BF00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8447444"/>
    <w:multiLevelType w:val="hybridMultilevel"/>
    <w:tmpl w:val="51C41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8F62B95"/>
    <w:multiLevelType w:val="hybridMultilevel"/>
    <w:tmpl w:val="69A08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29A445A6"/>
    <w:multiLevelType w:val="hybridMultilevel"/>
    <w:tmpl w:val="56DCCF3A"/>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2B42389F"/>
    <w:multiLevelType w:val="multilevel"/>
    <w:tmpl w:val="D6BEF4A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1" w15:restartNumberingAfterBreak="0">
    <w:nsid w:val="2C002F72"/>
    <w:multiLevelType w:val="hybridMultilevel"/>
    <w:tmpl w:val="D98AFD26"/>
    <w:lvl w:ilvl="0" w:tplc="7D7C8F7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9440B3"/>
    <w:multiLevelType w:val="multilevel"/>
    <w:tmpl w:val="BA283BF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3"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2E3B3724"/>
    <w:multiLevelType w:val="hybridMultilevel"/>
    <w:tmpl w:val="179AF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0B2588C"/>
    <w:multiLevelType w:val="hybridMultilevel"/>
    <w:tmpl w:val="88522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13A32AA"/>
    <w:multiLevelType w:val="hybridMultilevel"/>
    <w:tmpl w:val="BA2A8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D75048"/>
    <w:multiLevelType w:val="multilevel"/>
    <w:tmpl w:val="7B3C43C0"/>
    <w:lvl w:ilvl="0">
      <w:start w:val="1"/>
      <w:numFmt w:val="decimal"/>
      <w:lvlText w:val="%1"/>
      <w:lvlJc w:val="left"/>
      <w:pPr>
        <w:ind w:left="555" w:hanging="555"/>
      </w:pPr>
      <w:rPr>
        <w:rFonts w:ascii="Calibri" w:eastAsia="Calibri" w:hAnsi="Calibri" w:cs="Calibri" w:hint="default"/>
        <w:b/>
        <w:color w:val="000000"/>
        <w:sz w:val="26"/>
      </w:rPr>
    </w:lvl>
    <w:lvl w:ilvl="1">
      <w:start w:val="5"/>
      <w:numFmt w:val="decimal"/>
      <w:lvlText w:val="%1.%2"/>
      <w:lvlJc w:val="left"/>
      <w:pPr>
        <w:ind w:left="555" w:hanging="555"/>
      </w:pPr>
      <w:rPr>
        <w:rFonts w:ascii="Calibri" w:eastAsia="Calibri" w:hAnsi="Calibri" w:cs="Calibri" w:hint="default"/>
        <w:b/>
        <w:color w:val="000000"/>
        <w:sz w:val="26"/>
      </w:rPr>
    </w:lvl>
    <w:lvl w:ilvl="2">
      <w:start w:val="1"/>
      <w:numFmt w:val="decimal"/>
      <w:lvlText w:val="%1.%2.%3"/>
      <w:lvlJc w:val="left"/>
      <w:pPr>
        <w:ind w:left="720" w:hanging="720"/>
      </w:pPr>
      <w:rPr>
        <w:rFonts w:ascii="Calibri" w:eastAsia="Calibri" w:hAnsi="Calibri" w:cs="Calibri" w:hint="default"/>
        <w:b/>
        <w:color w:val="000000"/>
        <w:sz w:val="26"/>
      </w:rPr>
    </w:lvl>
    <w:lvl w:ilvl="3">
      <w:start w:val="1"/>
      <w:numFmt w:val="decimal"/>
      <w:lvlText w:val="%1.%2.%3.%4"/>
      <w:lvlJc w:val="left"/>
      <w:pPr>
        <w:ind w:left="720" w:hanging="720"/>
      </w:pPr>
      <w:rPr>
        <w:rFonts w:ascii="Calibri" w:eastAsia="Calibri" w:hAnsi="Calibri" w:cs="Calibri" w:hint="default"/>
        <w:b/>
        <w:color w:val="000000"/>
        <w:sz w:val="26"/>
      </w:rPr>
    </w:lvl>
    <w:lvl w:ilvl="4">
      <w:start w:val="1"/>
      <w:numFmt w:val="decimal"/>
      <w:lvlText w:val="%1.%2.%3.%4.%5"/>
      <w:lvlJc w:val="left"/>
      <w:pPr>
        <w:ind w:left="1080" w:hanging="1080"/>
      </w:pPr>
      <w:rPr>
        <w:rFonts w:ascii="Calibri" w:eastAsia="Calibri" w:hAnsi="Calibri" w:cs="Calibri" w:hint="default"/>
        <w:b/>
        <w:color w:val="000000"/>
        <w:sz w:val="26"/>
      </w:rPr>
    </w:lvl>
    <w:lvl w:ilvl="5">
      <w:start w:val="1"/>
      <w:numFmt w:val="decimal"/>
      <w:lvlText w:val="%1.%2.%3.%4.%5.%6"/>
      <w:lvlJc w:val="left"/>
      <w:pPr>
        <w:ind w:left="1080" w:hanging="1080"/>
      </w:pPr>
      <w:rPr>
        <w:rFonts w:ascii="Calibri" w:eastAsia="Calibri" w:hAnsi="Calibri" w:cs="Calibri" w:hint="default"/>
        <w:b/>
        <w:color w:val="000000"/>
        <w:sz w:val="26"/>
      </w:rPr>
    </w:lvl>
    <w:lvl w:ilvl="6">
      <w:start w:val="1"/>
      <w:numFmt w:val="decimal"/>
      <w:lvlText w:val="%1.%2.%3.%4.%5.%6.%7"/>
      <w:lvlJc w:val="left"/>
      <w:pPr>
        <w:ind w:left="1440" w:hanging="1440"/>
      </w:pPr>
      <w:rPr>
        <w:rFonts w:ascii="Calibri" w:eastAsia="Calibri" w:hAnsi="Calibri" w:cs="Calibri" w:hint="default"/>
        <w:b/>
        <w:color w:val="000000"/>
        <w:sz w:val="26"/>
      </w:rPr>
    </w:lvl>
    <w:lvl w:ilvl="7">
      <w:start w:val="1"/>
      <w:numFmt w:val="decimal"/>
      <w:lvlText w:val="%1.%2.%3.%4.%5.%6.%7.%8"/>
      <w:lvlJc w:val="left"/>
      <w:pPr>
        <w:ind w:left="1440" w:hanging="1440"/>
      </w:pPr>
      <w:rPr>
        <w:rFonts w:ascii="Calibri" w:eastAsia="Calibri" w:hAnsi="Calibri" w:cs="Calibri" w:hint="default"/>
        <w:b/>
        <w:color w:val="000000"/>
        <w:sz w:val="26"/>
      </w:rPr>
    </w:lvl>
    <w:lvl w:ilvl="8">
      <w:start w:val="1"/>
      <w:numFmt w:val="decimal"/>
      <w:lvlText w:val="%1.%2.%3.%4.%5.%6.%7.%8.%9"/>
      <w:lvlJc w:val="left"/>
      <w:pPr>
        <w:ind w:left="1440" w:hanging="1440"/>
      </w:pPr>
      <w:rPr>
        <w:rFonts w:ascii="Calibri" w:eastAsia="Calibri" w:hAnsi="Calibri" w:cs="Calibri" w:hint="default"/>
        <w:b/>
        <w:color w:val="000000"/>
        <w:sz w:val="26"/>
      </w:rPr>
    </w:lvl>
  </w:abstractNum>
  <w:abstractNum w:abstractNumId="48" w15:restartNumberingAfterBreak="0">
    <w:nsid w:val="331600A4"/>
    <w:multiLevelType w:val="hybridMultilevel"/>
    <w:tmpl w:val="A68E3EC8"/>
    <w:lvl w:ilvl="0" w:tplc="13DC56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31E4654"/>
    <w:multiLevelType w:val="multilevel"/>
    <w:tmpl w:val="7C625FD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0" w15:restartNumberingAfterBreak="0">
    <w:nsid w:val="335E5364"/>
    <w:multiLevelType w:val="hybridMultilevel"/>
    <w:tmpl w:val="CA26B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2" w15:restartNumberingAfterBreak="0">
    <w:nsid w:val="34AB53E8"/>
    <w:multiLevelType w:val="hybridMultilevel"/>
    <w:tmpl w:val="65CA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34B701F7"/>
    <w:multiLevelType w:val="hybridMultilevel"/>
    <w:tmpl w:val="346A2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5942E7B"/>
    <w:multiLevelType w:val="multilevel"/>
    <w:tmpl w:val="B43003E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5" w15:restartNumberingAfterBreak="0">
    <w:nsid w:val="36C676FF"/>
    <w:multiLevelType w:val="hybridMultilevel"/>
    <w:tmpl w:val="ACCC83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71B32E9"/>
    <w:multiLevelType w:val="hybridMultilevel"/>
    <w:tmpl w:val="C546A254"/>
    <w:lvl w:ilvl="0" w:tplc="76AAFD0E">
      <w:start w:val="2"/>
      <w:numFmt w:val="lowerLetter"/>
      <w:lvlText w:val="%1."/>
      <w:lvlJc w:val="left"/>
      <w:pPr>
        <w:ind w:left="720" w:hanging="360"/>
      </w:pPr>
      <w:rPr>
        <w:rFonts w:eastAsia="Calibri"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7A8623A"/>
    <w:multiLevelType w:val="hybridMultilevel"/>
    <w:tmpl w:val="60DE92DA"/>
    <w:lvl w:ilvl="0" w:tplc="5EEA9496">
      <w:start w:val="1"/>
      <w:numFmt w:val="upperLetter"/>
      <w:lvlText w:val="%1."/>
      <w:lvlJc w:val="left"/>
      <w:pPr>
        <w:ind w:left="720" w:hanging="360"/>
      </w:pPr>
      <w:rPr>
        <w:rFonts w:asciiTheme="majorHAnsi" w:eastAsia="Calibri" w:hAnsiTheme="majorHAnsi" w:cstheme="majorHAns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8351966"/>
    <w:multiLevelType w:val="hybridMultilevel"/>
    <w:tmpl w:val="3F3A05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892751C"/>
    <w:multiLevelType w:val="hybridMultilevel"/>
    <w:tmpl w:val="E6FCEBFE"/>
    <w:lvl w:ilvl="0" w:tplc="98BCE806">
      <w:start w:val="1"/>
      <w:numFmt w:val="decimal"/>
      <w:lvlText w:val="%1"/>
      <w:lvlJc w:val="left"/>
      <w:pPr>
        <w:ind w:left="360" w:hanging="360"/>
      </w:pPr>
      <w:rPr>
        <w:rFonts w:ascii="Arial" w:eastAsia="Arial" w:hAnsi="Arial" w:cs="Aria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A133D81"/>
    <w:multiLevelType w:val="multilevel"/>
    <w:tmpl w:val="67128FE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61" w15:restartNumberingAfterBreak="0">
    <w:nsid w:val="3AFA53EB"/>
    <w:multiLevelType w:val="hybridMultilevel"/>
    <w:tmpl w:val="6C28C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3D3C78B0"/>
    <w:multiLevelType w:val="hybridMultilevel"/>
    <w:tmpl w:val="AC44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F596B0C"/>
    <w:multiLevelType w:val="hybridMultilevel"/>
    <w:tmpl w:val="E9B42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FA265E1"/>
    <w:multiLevelType w:val="hybridMultilevel"/>
    <w:tmpl w:val="15D6F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FCF1A6B"/>
    <w:multiLevelType w:val="hybridMultilevel"/>
    <w:tmpl w:val="45C065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4070558B"/>
    <w:multiLevelType w:val="multilevel"/>
    <w:tmpl w:val="1960D8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15:restartNumberingAfterBreak="0">
    <w:nsid w:val="42685FB4"/>
    <w:multiLevelType w:val="multilevel"/>
    <w:tmpl w:val="99A84D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8" w15:restartNumberingAfterBreak="0">
    <w:nsid w:val="43F07F2B"/>
    <w:multiLevelType w:val="multilevel"/>
    <w:tmpl w:val="B8A2976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9" w15:restartNumberingAfterBreak="0">
    <w:nsid w:val="4435723D"/>
    <w:multiLevelType w:val="hybridMultilevel"/>
    <w:tmpl w:val="CF360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4820441C"/>
    <w:multiLevelType w:val="hybridMultilevel"/>
    <w:tmpl w:val="56DC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9E81699"/>
    <w:multiLevelType w:val="hybridMultilevel"/>
    <w:tmpl w:val="E702C43C"/>
    <w:lvl w:ilvl="0" w:tplc="F3802CE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A444B4F"/>
    <w:multiLevelType w:val="hybridMultilevel"/>
    <w:tmpl w:val="60C83A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A6B4118"/>
    <w:multiLevelType w:val="hybridMultilevel"/>
    <w:tmpl w:val="E0B65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4CAA6962"/>
    <w:multiLevelType w:val="multilevel"/>
    <w:tmpl w:val="376486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5" w15:restartNumberingAfterBreak="0">
    <w:nsid w:val="4FD14FDF"/>
    <w:multiLevelType w:val="hybridMultilevel"/>
    <w:tmpl w:val="E2D6AF70"/>
    <w:lvl w:ilvl="0" w:tplc="BA3E5C4A">
      <w:start w:val="8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07F6CCE"/>
    <w:multiLevelType w:val="multilevel"/>
    <w:tmpl w:val="7B3C43C0"/>
    <w:lvl w:ilvl="0">
      <w:start w:val="1"/>
      <w:numFmt w:val="decimal"/>
      <w:lvlText w:val="%1"/>
      <w:lvlJc w:val="left"/>
      <w:pPr>
        <w:ind w:left="555" w:hanging="555"/>
      </w:pPr>
      <w:rPr>
        <w:rFonts w:ascii="Calibri" w:eastAsia="Calibri" w:hAnsi="Calibri" w:cs="Calibri" w:hint="default"/>
        <w:b/>
        <w:color w:val="000000"/>
        <w:sz w:val="26"/>
      </w:rPr>
    </w:lvl>
    <w:lvl w:ilvl="1">
      <w:start w:val="5"/>
      <w:numFmt w:val="decimal"/>
      <w:lvlText w:val="%1.%2"/>
      <w:lvlJc w:val="left"/>
      <w:pPr>
        <w:ind w:left="555" w:hanging="555"/>
      </w:pPr>
      <w:rPr>
        <w:rFonts w:ascii="Calibri" w:eastAsia="Calibri" w:hAnsi="Calibri" w:cs="Calibri" w:hint="default"/>
        <w:b/>
        <w:color w:val="000000"/>
        <w:sz w:val="26"/>
      </w:rPr>
    </w:lvl>
    <w:lvl w:ilvl="2">
      <w:start w:val="1"/>
      <w:numFmt w:val="decimal"/>
      <w:lvlText w:val="%1.%2.%3"/>
      <w:lvlJc w:val="left"/>
      <w:pPr>
        <w:ind w:left="720" w:hanging="720"/>
      </w:pPr>
      <w:rPr>
        <w:rFonts w:ascii="Calibri" w:eastAsia="Calibri" w:hAnsi="Calibri" w:cs="Calibri" w:hint="default"/>
        <w:b/>
        <w:color w:val="000000"/>
        <w:sz w:val="26"/>
      </w:rPr>
    </w:lvl>
    <w:lvl w:ilvl="3">
      <w:start w:val="1"/>
      <w:numFmt w:val="decimal"/>
      <w:lvlText w:val="%1.%2.%3.%4"/>
      <w:lvlJc w:val="left"/>
      <w:pPr>
        <w:ind w:left="720" w:hanging="720"/>
      </w:pPr>
      <w:rPr>
        <w:rFonts w:ascii="Calibri" w:eastAsia="Calibri" w:hAnsi="Calibri" w:cs="Calibri" w:hint="default"/>
        <w:b/>
        <w:color w:val="000000"/>
        <w:sz w:val="26"/>
      </w:rPr>
    </w:lvl>
    <w:lvl w:ilvl="4">
      <w:start w:val="1"/>
      <w:numFmt w:val="decimal"/>
      <w:lvlText w:val="%1.%2.%3.%4.%5"/>
      <w:lvlJc w:val="left"/>
      <w:pPr>
        <w:ind w:left="1080" w:hanging="1080"/>
      </w:pPr>
      <w:rPr>
        <w:rFonts w:ascii="Calibri" w:eastAsia="Calibri" w:hAnsi="Calibri" w:cs="Calibri" w:hint="default"/>
        <w:b/>
        <w:color w:val="000000"/>
        <w:sz w:val="26"/>
      </w:rPr>
    </w:lvl>
    <w:lvl w:ilvl="5">
      <w:start w:val="1"/>
      <w:numFmt w:val="decimal"/>
      <w:lvlText w:val="%1.%2.%3.%4.%5.%6"/>
      <w:lvlJc w:val="left"/>
      <w:pPr>
        <w:ind w:left="1080" w:hanging="1080"/>
      </w:pPr>
      <w:rPr>
        <w:rFonts w:ascii="Calibri" w:eastAsia="Calibri" w:hAnsi="Calibri" w:cs="Calibri" w:hint="default"/>
        <w:b/>
        <w:color w:val="000000"/>
        <w:sz w:val="26"/>
      </w:rPr>
    </w:lvl>
    <w:lvl w:ilvl="6">
      <w:start w:val="1"/>
      <w:numFmt w:val="decimal"/>
      <w:lvlText w:val="%1.%2.%3.%4.%5.%6.%7"/>
      <w:lvlJc w:val="left"/>
      <w:pPr>
        <w:ind w:left="1440" w:hanging="1440"/>
      </w:pPr>
      <w:rPr>
        <w:rFonts w:ascii="Calibri" w:eastAsia="Calibri" w:hAnsi="Calibri" w:cs="Calibri" w:hint="default"/>
        <w:b/>
        <w:color w:val="000000"/>
        <w:sz w:val="26"/>
      </w:rPr>
    </w:lvl>
    <w:lvl w:ilvl="7">
      <w:start w:val="1"/>
      <w:numFmt w:val="decimal"/>
      <w:lvlText w:val="%1.%2.%3.%4.%5.%6.%7.%8"/>
      <w:lvlJc w:val="left"/>
      <w:pPr>
        <w:ind w:left="1440" w:hanging="1440"/>
      </w:pPr>
      <w:rPr>
        <w:rFonts w:ascii="Calibri" w:eastAsia="Calibri" w:hAnsi="Calibri" w:cs="Calibri" w:hint="default"/>
        <w:b/>
        <w:color w:val="000000"/>
        <w:sz w:val="26"/>
      </w:rPr>
    </w:lvl>
    <w:lvl w:ilvl="8">
      <w:start w:val="1"/>
      <w:numFmt w:val="decimal"/>
      <w:lvlText w:val="%1.%2.%3.%4.%5.%6.%7.%8.%9"/>
      <w:lvlJc w:val="left"/>
      <w:pPr>
        <w:ind w:left="1440" w:hanging="1440"/>
      </w:pPr>
      <w:rPr>
        <w:rFonts w:ascii="Calibri" w:eastAsia="Calibri" w:hAnsi="Calibri" w:cs="Calibri" w:hint="default"/>
        <w:b/>
        <w:color w:val="000000"/>
        <w:sz w:val="26"/>
      </w:rPr>
    </w:lvl>
  </w:abstractNum>
  <w:abstractNum w:abstractNumId="77" w15:restartNumberingAfterBreak="0">
    <w:nsid w:val="51197E48"/>
    <w:multiLevelType w:val="hybridMultilevel"/>
    <w:tmpl w:val="D93C92EC"/>
    <w:lvl w:ilvl="0" w:tplc="A1FE1F2A">
      <w:start w:val="1"/>
      <w:numFmt w:val="decimal"/>
      <w:lvlText w:val="%1"/>
      <w:lvlJc w:val="left"/>
      <w:pPr>
        <w:ind w:left="720" w:hanging="360"/>
      </w:pPr>
      <w:rPr>
        <w:rFonts w:ascii="Arial" w:eastAsia="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3152368"/>
    <w:multiLevelType w:val="multilevel"/>
    <w:tmpl w:val="0C64C08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9" w15:restartNumberingAfterBreak="0">
    <w:nsid w:val="53AB0997"/>
    <w:multiLevelType w:val="multilevel"/>
    <w:tmpl w:val="23BA1F9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0" w15:restartNumberingAfterBreak="0">
    <w:nsid w:val="53AC2D8E"/>
    <w:multiLevelType w:val="multilevel"/>
    <w:tmpl w:val="CF2A147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81" w15:restartNumberingAfterBreak="0">
    <w:nsid w:val="53FB7F89"/>
    <w:multiLevelType w:val="multilevel"/>
    <w:tmpl w:val="9D2C06E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2" w15:restartNumberingAfterBreak="0">
    <w:nsid w:val="575D649C"/>
    <w:multiLevelType w:val="multilevel"/>
    <w:tmpl w:val="17B605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3" w15:restartNumberingAfterBreak="0">
    <w:nsid w:val="593A3C47"/>
    <w:multiLevelType w:val="hybridMultilevel"/>
    <w:tmpl w:val="78F60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A7804D3"/>
    <w:multiLevelType w:val="hybridMultilevel"/>
    <w:tmpl w:val="888E2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B286996"/>
    <w:multiLevelType w:val="hybridMultilevel"/>
    <w:tmpl w:val="0EDEA3DC"/>
    <w:lvl w:ilvl="0" w:tplc="37A66A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B406221"/>
    <w:multiLevelType w:val="hybridMultilevel"/>
    <w:tmpl w:val="C66C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B662E72"/>
    <w:multiLevelType w:val="hybridMultilevel"/>
    <w:tmpl w:val="F63049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C5C6E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F9F13BB"/>
    <w:multiLevelType w:val="hybridMultilevel"/>
    <w:tmpl w:val="62CED9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60EE641E"/>
    <w:multiLevelType w:val="hybridMultilevel"/>
    <w:tmpl w:val="4B36B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619A1AC5"/>
    <w:multiLevelType w:val="multilevel"/>
    <w:tmpl w:val="544C83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3" w15:restartNumberingAfterBreak="0">
    <w:nsid w:val="622E4163"/>
    <w:multiLevelType w:val="hybridMultilevel"/>
    <w:tmpl w:val="819806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27439D0"/>
    <w:multiLevelType w:val="multilevel"/>
    <w:tmpl w:val="3C841B3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5" w15:restartNumberingAfterBreak="0">
    <w:nsid w:val="62A21C65"/>
    <w:multiLevelType w:val="hybridMultilevel"/>
    <w:tmpl w:val="28E8A7C0"/>
    <w:lvl w:ilvl="0" w:tplc="5B84621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F624CA"/>
    <w:multiLevelType w:val="hybridMultilevel"/>
    <w:tmpl w:val="1AFEC8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66A055B2"/>
    <w:multiLevelType w:val="multilevel"/>
    <w:tmpl w:val="AE72DF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8" w15:restartNumberingAfterBreak="0">
    <w:nsid w:val="671B3DC1"/>
    <w:multiLevelType w:val="hybridMultilevel"/>
    <w:tmpl w:val="422E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79248A"/>
    <w:multiLevelType w:val="multilevel"/>
    <w:tmpl w:val="FBA204FA"/>
    <w:lvl w:ilvl="0">
      <w:start w:val="1"/>
      <w:numFmt w:val="decimal"/>
      <w:lvlText w:val="%1."/>
      <w:lvlJc w:val="left"/>
      <w:pPr>
        <w:ind w:left="915" w:hanging="555"/>
      </w:pPr>
      <w:rPr>
        <w:rFonts w:hint="default"/>
        <w:b/>
        <w:color w:val="000000"/>
        <w:sz w:val="26"/>
      </w:rPr>
    </w:lvl>
    <w:lvl w:ilvl="1">
      <w:start w:val="5"/>
      <w:numFmt w:val="decimal"/>
      <w:lvlText w:val="%1.%2"/>
      <w:lvlJc w:val="left"/>
      <w:pPr>
        <w:ind w:left="915" w:hanging="555"/>
      </w:pPr>
      <w:rPr>
        <w:rFonts w:ascii="Calibri" w:eastAsia="Calibri" w:hAnsi="Calibri" w:cs="Calibri" w:hint="default"/>
        <w:b/>
        <w:color w:val="000000"/>
        <w:sz w:val="26"/>
      </w:rPr>
    </w:lvl>
    <w:lvl w:ilvl="2">
      <w:start w:val="1"/>
      <w:numFmt w:val="decimal"/>
      <w:lvlText w:val="%1.%2.%3"/>
      <w:lvlJc w:val="left"/>
      <w:pPr>
        <w:ind w:left="1080" w:hanging="720"/>
      </w:pPr>
      <w:rPr>
        <w:rFonts w:ascii="Calibri" w:eastAsia="Calibri" w:hAnsi="Calibri" w:cs="Calibri" w:hint="default"/>
        <w:b/>
        <w:color w:val="000000"/>
        <w:sz w:val="26"/>
      </w:rPr>
    </w:lvl>
    <w:lvl w:ilvl="3">
      <w:start w:val="1"/>
      <w:numFmt w:val="decimal"/>
      <w:lvlText w:val="%1.%2.%3.%4"/>
      <w:lvlJc w:val="left"/>
      <w:pPr>
        <w:ind w:left="1080" w:hanging="720"/>
      </w:pPr>
      <w:rPr>
        <w:rFonts w:ascii="Calibri" w:eastAsia="Calibri" w:hAnsi="Calibri" w:cs="Calibri" w:hint="default"/>
        <w:b/>
        <w:color w:val="000000"/>
        <w:sz w:val="26"/>
      </w:rPr>
    </w:lvl>
    <w:lvl w:ilvl="4">
      <w:start w:val="1"/>
      <w:numFmt w:val="decimal"/>
      <w:lvlText w:val="%1.%2.%3.%4.%5"/>
      <w:lvlJc w:val="left"/>
      <w:pPr>
        <w:ind w:left="1440" w:hanging="1080"/>
      </w:pPr>
      <w:rPr>
        <w:rFonts w:ascii="Calibri" w:eastAsia="Calibri" w:hAnsi="Calibri" w:cs="Calibri" w:hint="default"/>
        <w:b/>
        <w:color w:val="000000"/>
        <w:sz w:val="26"/>
      </w:rPr>
    </w:lvl>
    <w:lvl w:ilvl="5">
      <w:start w:val="1"/>
      <w:numFmt w:val="decimal"/>
      <w:lvlText w:val="%1.%2.%3.%4.%5.%6"/>
      <w:lvlJc w:val="left"/>
      <w:pPr>
        <w:ind w:left="1440" w:hanging="1080"/>
      </w:pPr>
      <w:rPr>
        <w:rFonts w:ascii="Calibri" w:eastAsia="Calibri" w:hAnsi="Calibri" w:cs="Calibri" w:hint="default"/>
        <w:b/>
        <w:color w:val="000000"/>
        <w:sz w:val="26"/>
      </w:rPr>
    </w:lvl>
    <w:lvl w:ilvl="6">
      <w:start w:val="1"/>
      <w:numFmt w:val="decimal"/>
      <w:lvlText w:val="%1.%2.%3.%4.%5.%6.%7"/>
      <w:lvlJc w:val="left"/>
      <w:pPr>
        <w:ind w:left="1800" w:hanging="1440"/>
      </w:pPr>
      <w:rPr>
        <w:rFonts w:ascii="Calibri" w:eastAsia="Calibri" w:hAnsi="Calibri" w:cs="Calibri" w:hint="default"/>
        <w:b/>
        <w:color w:val="000000"/>
        <w:sz w:val="26"/>
      </w:rPr>
    </w:lvl>
    <w:lvl w:ilvl="7">
      <w:start w:val="1"/>
      <w:numFmt w:val="decimal"/>
      <w:lvlText w:val="%1.%2.%3.%4.%5.%6.%7.%8"/>
      <w:lvlJc w:val="left"/>
      <w:pPr>
        <w:ind w:left="1800" w:hanging="1440"/>
      </w:pPr>
      <w:rPr>
        <w:rFonts w:ascii="Calibri" w:eastAsia="Calibri" w:hAnsi="Calibri" w:cs="Calibri" w:hint="default"/>
        <w:b/>
        <w:color w:val="000000"/>
        <w:sz w:val="26"/>
      </w:rPr>
    </w:lvl>
    <w:lvl w:ilvl="8">
      <w:start w:val="1"/>
      <w:numFmt w:val="decimal"/>
      <w:lvlText w:val="%1.%2.%3.%4.%5.%6.%7.%8.%9"/>
      <w:lvlJc w:val="left"/>
      <w:pPr>
        <w:ind w:left="1800" w:hanging="1440"/>
      </w:pPr>
      <w:rPr>
        <w:rFonts w:ascii="Calibri" w:eastAsia="Calibri" w:hAnsi="Calibri" w:cs="Calibri" w:hint="default"/>
        <w:b/>
        <w:color w:val="000000"/>
        <w:sz w:val="26"/>
      </w:rPr>
    </w:lvl>
  </w:abstractNum>
  <w:abstractNum w:abstractNumId="100" w15:restartNumberingAfterBreak="0">
    <w:nsid w:val="68C650D9"/>
    <w:multiLevelType w:val="multilevel"/>
    <w:tmpl w:val="9D2C06E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01" w15:restartNumberingAfterBreak="0">
    <w:nsid w:val="6B1E39F2"/>
    <w:multiLevelType w:val="hybridMultilevel"/>
    <w:tmpl w:val="8EB8A8F4"/>
    <w:lvl w:ilvl="0" w:tplc="21EEE8C0">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6F3EA7"/>
    <w:multiLevelType w:val="hybridMultilevel"/>
    <w:tmpl w:val="F0C4352E"/>
    <w:lvl w:ilvl="0" w:tplc="1FBCF51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DF632C3"/>
    <w:multiLevelType w:val="multilevel"/>
    <w:tmpl w:val="581453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06" w15:restartNumberingAfterBreak="0">
    <w:nsid w:val="6E6B43E6"/>
    <w:multiLevelType w:val="multilevel"/>
    <w:tmpl w:val="2C70129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7" w15:restartNumberingAfterBreak="0">
    <w:nsid w:val="6E836A45"/>
    <w:multiLevelType w:val="multilevel"/>
    <w:tmpl w:val="46F47E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8" w15:restartNumberingAfterBreak="0">
    <w:nsid w:val="7028024A"/>
    <w:multiLevelType w:val="multilevel"/>
    <w:tmpl w:val="09F429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9" w15:restartNumberingAfterBreak="0">
    <w:nsid w:val="712D1E03"/>
    <w:multiLevelType w:val="hybridMultilevel"/>
    <w:tmpl w:val="6CD22C0A"/>
    <w:lvl w:ilvl="0" w:tplc="110E9562">
      <w:start w:val="84"/>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30016AE"/>
    <w:multiLevelType w:val="multilevel"/>
    <w:tmpl w:val="A308F48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1" w15:restartNumberingAfterBreak="0">
    <w:nsid w:val="736700A9"/>
    <w:multiLevelType w:val="hybridMultilevel"/>
    <w:tmpl w:val="254E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36D7E9A"/>
    <w:multiLevelType w:val="multilevel"/>
    <w:tmpl w:val="61B4AB1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3" w15:restartNumberingAfterBreak="0">
    <w:nsid w:val="757D20A3"/>
    <w:multiLevelType w:val="hybridMultilevel"/>
    <w:tmpl w:val="1008799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4" w15:restartNumberingAfterBreak="0">
    <w:nsid w:val="764D2CC4"/>
    <w:multiLevelType w:val="multilevel"/>
    <w:tmpl w:val="3AE84E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5" w15:restartNumberingAfterBreak="0">
    <w:nsid w:val="764F1545"/>
    <w:multiLevelType w:val="multilevel"/>
    <w:tmpl w:val="3FA87FD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6" w15:restartNumberingAfterBreak="0">
    <w:nsid w:val="773625E4"/>
    <w:multiLevelType w:val="hybridMultilevel"/>
    <w:tmpl w:val="A8160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7AF026CC"/>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8" w15:restartNumberingAfterBreak="0">
    <w:nsid w:val="7B203EEF"/>
    <w:multiLevelType w:val="hybridMultilevel"/>
    <w:tmpl w:val="320C6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C1D45BB"/>
    <w:multiLevelType w:val="hybridMultilevel"/>
    <w:tmpl w:val="A426C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7C4A780E"/>
    <w:multiLevelType w:val="hybridMultilevel"/>
    <w:tmpl w:val="FDA2E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CAA4731"/>
    <w:multiLevelType w:val="multilevel"/>
    <w:tmpl w:val="D048ECC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22" w15:restartNumberingAfterBreak="0">
    <w:nsid w:val="7D167A69"/>
    <w:multiLevelType w:val="multilevel"/>
    <w:tmpl w:val="9F368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3" w15:restartNumberingAfterBreak="0">
    <w:nsid w:val="7E210E0D"/>
    <w:multiLevelType w:val="hybridMultilevel"/>
    <w:tmpl w:val="5D666F4E"/>
    <w:lvl w:ilvl="0" w:tplc="6940280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FDA3402"/>
    <w:multiLevelType w:val="hybridMultilevel"/>
    <w:tmpl w:val="66A8B5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FF07CF5"/>
    <w:multiLevelType w:val="hybridMultilevel"/>
    <w:tmpl w:val="159A2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1"/>
  </w:num>
  <w:num w:numId="2">
    <w:abstractNumId w:val="80"/>
  </w:num>
  <w:num w:numId="3">
    <w:abstractNumId w:val="43"/>
  </w:num>
  <w:num w:numId="4">
    <w:abstractNumId w:val="27"/>
  </w:num>
  <w:num w:numId="5">
    <w:abstractNumId w:val="121"/>
  </w:num>
  <w:num w:numId="6">
    <w:abstractNumId w:val="34"/>
  </w:num>
  <w:num w:numId="7">
    <w:abstractNumId w:val="42"/>
  </w:num>
  <w:num w:numId="8">
    <w:abstractNumId w:val="29"/>
  </w:num>
  <w:num w:numId="9">
    <w:abstractNumId w:val="54"/>
  </w:num>
  <w:num w:numId="10">
    <w:abstractNumId w:val="66"/>
  </w:num>
  <w:num w:numId="11">
    <w:abstractNumId w:val="110"/>
  </w:num>
  <w:num w:numId="12">
    <w:abstractNumId w:val="49"/>
  </w:num>
  <w:num w:numId="13">
    <w:abstractNumId w:val="60"/>
  </w:num>
  <w:num w:numId="14">
    <w:abstractNumId w:val="67"/>
  </w:num>
  <w:num w:numId="15">
    <w:abstractNumId w:val="122"/>
  </w:num>
  <w:num w:numId="16">
    <w:abstractNumId w:val="32"/>
  </w:num>
  <w:num w:numId="17">
    <w:abstractNumId w:val="105"/>
  </w:num>
  <w:num w:numId="18">
    <w:abstractNumId w:val="78"/>
  </w:num>
  <w:num w:numId="19">
    <w:abstractNumId w:val="40"/>
  </w:num>
  <w:num w:numId="20">
    <w:abstractNumId w:val="94"/>
  </w:num>
  <w:num w:numId="21">
    <w:abstractNumId w:val="68"/>
  </w:num>
  <w:num w:numId="22">
    <w:abstractNumId w:val="79"/>
  </w:num>
  <w:num w:numId="23">
    <w:abstractNumId w:val="18"/>
  </w:num>
  <w:num w:numId="24">
    <w:abstractNumId w:val="115"/>
  </w:num>
  <w:num w:numId="25">
    <w:abstractNumId w:val="100"/>
  </w:num>
  <w:num w:numId="26">
    <w:abstractNumId w:val="9"/>
  </w:num>
  <w:num w:numId="27">
    <w:abstractNumId w:val="114"/>
  </w:num>
  <w:num w:numId="28">
    <w:abstractNumId w:val="6"/>
  </w:num>
  <w:num w:numId="29">
    <w:abstractNumId w:val="97"/>
  </w:num>
  <w:num w:numId="30">
    <w:abstractNumId w:val="28"/>
  </w:num>
  <w:num w:numId="31">
    <w:abstractNumId w:val="112"/>
  </w:num>
  <w:num w:numId="32">
    <w:abstractNumId w:val="106"/>
  </w:num>
  <w:num w:numId="33">
    <w:abstractNumId w:val="74"/>
  </w:num>
  <w:num w:numId="34">
    <w:abstractNumId w:val="15"/>
  </w:num>
  <w:num w:numId="35">
    <w:abstractNumId w:val="108"/>
  </w:num>
  <w:num w:numId="36">
    <w:abstractNumId w:val="82"/>
  </w:num>
  <w:num w:numId="37">
    <w:abstractNumId w:val="92"/>
  </w:num>
  <w:num w:numId="38">
    <w:abstractNumId w:val="107"/>
  </w:num>
  <w:num w:numId="39">
    <w:abstractNumId w:val="124"/>
  </w:num>
  <w:num w:numId="40">
    <w:abstractNumId w:val="16"/>
  </w:num>
  <w:num w:numId="41">
    <w:abstractNumId w:val="7"/>
  </w:num>
  <w:num w:numId="42">
    <w:abstractNumId w:val="95"/>
  </w:num>
  <w:num w:numId="43">
    <w:abstractNumId w:val="103"/>
  </w:num>
  <w:num w:numId="44">
    <w:abstractNumId w:val="21"/>
  </w:num>
  <w:num w:numId="45">
    <w:abstractNumId w:val="1"/>
  </w:num>
  <w:num w:numId="46">
    <w:abstractNumId w:val="8"/>
  </w:num>
  <w:num w:numId="47">
    <w:abstractNumId w:val="83"/>
  </w:num>
  <w:num w:numId="48">
    <w:abstractNumId w:val="41"/>
  </w:num>
  <w:num w:numId="49">
    <w:abstractNumId w:val="75"/>
  </w:num>
  <w:num w:numId="50">
    <w:abstractNumId w:val="109"/>
  </w:num>
  <w:num w:numId="51">
    <w:abstractNumId w:val="52"/>
  </w:num>
  <w:num w:numId="52">
    <w:abstractNumId w:val="87"/>
  </w:num>
  <w:num w:numId="53">
    <w:abstractNumId w:val="55"/>
  </w:num>
  <w:num w:numId="54">
    <w:abstractNumId w:val="44"/>
  </w:num>
  <w:num w:numId="55">
    <w:abstractNumId w:val="58"/>
  </w:num>
  <w:num w:numId="56">
    <w:abstractNumId w:val="11"/>
  </w:num>
  <w:num w:numId="57">
    <w:abstractNumId w:val="47"/>
  </w:num>
  <w:num w:numId="58">
    <w:abstractNumId w:val="99"/>
  </w:num>
  <w:num w:numId="59">
    <w:abstractNumId w:val="45"/>
  </w:num>
  <w:num w:numId="60">
    <w:abstractNumId w:val="2"/>
  </w:num>
  <w:num w:numId="61">
    <w:abstractNumId w:val="81"/>
  </w:num>
  <w:num w:numId="62">
    <w:abstractNumId w:val="64"/>
  </w:num>
  <w:num w:numId="63">
    <w:abstractNumId w:val="123"/>
  </w:num>
  <w:num w:numId="64">
    <w:abstractNumId w:val="63"/>
  </w:num>
  <w:num w:numId="65">
    <w:abstractNumId w:val="119"/>
  </w:num>
  <w:num w:numId="66">
    <w:abstractNumId w:val="36"/>
  </w:num>
  <w:num w:numId="67">
    <w:abstractNumId w:val="98"/>
  </w:num>
  <w:num w:numId="68">
    <w:abstractNumId w:val="86"/>
  </w:num>
  <w:num w:numId="69">
    <w:abstractNumId w:val="120"/>
  </w:num>
  <w:num w:numId="70">
    <w:abstractNumId w:val="39"/>
  </w:num>
  <w:num w:numId="71">
    <w:abstractNumId w:val="5"/>
  </w:num>
  <w:num w:numId="72">
    <w:abstractNumId w:val="50"/>
  </w:num>
  <w:num w:numId="73">
    <w:abstractNumId w:val="96"/>
  </w:num>
  <w:num w:numId="74">
    <w:abstractNumId w:val="65"/>
  </w:num>
  <w:num w:numId="75">
    <w:abstractNumId w:val="20"/>
  </w:num>
  <w:num w:numId="76">
    <w:abstractNumId w:val="91"/>
  </w:num>
  <w:num w:numId="77">
    <w:abstractNumId w:val="37"/>
  </w:num>
  <w:num w:numId="78">
    <w:abstractNumId w:val="26"/>
  </w:num>
  <w:num w:numId="79">
    <w:abstractNumId w:val="25"/>
  </w:num>
  <w:num w:numId="80">
    <w:abstractNumId w:val="118"/>
  </w:num>
  <w:num w:numId="81">
    <w:abstractNumId w:val="93"/>
  </w:num>
  <w:num w:numId="82">
    <w:abstractNumId w:val="100"/>
  </w:num>
  <w:num w:numId="83">
    <w:abstractNumId w:val="69"/>
  </w:num>
  <w:num w:numId="84">
    <w:abstractNumId w:val="17"/>
  </w:num>
  <w:num w:numId="85">
    <w:abstractNumId w:val="116"/>
  </w:num>
  <w:num w:numId="86">
    <w:abstractNumId w:val="38"/>
  </w:num>
  <w:num w:numId="87">
    <w:abstractNumId w:val="22"/>
  </w:num>
  <w:num w:numId="88">
    <w:abstractNumId w:val="76"/>
  </w:num>
  <w:num w:numId="89">
    <w:abstractNumId w:val="61"/>
  </w:num>
  <w:num w:numId="90">
    <w:abstractNumId w:val="53"/>
  </w:num>
  <w:num w:numId="91">
    <w:abstractNumId w:val="125"/>
  </w:num>
  <w:num w:numId="92">
    <w:abstractNumId w:val="84"/>
  </w:num>
  <w:num w:numId="93">
    <w:abstractNumId w:val="73"/>
  </w:num>
  <w:num w:numId="94">
    <w:abstractNumId w:val="33"/>
  </w:num>
  <w:num w:numId="95">
    <w:abstractNumId w:val="0"/>
  </w:num>
  <w:num w:numId="96">
    <w:abstractNumId w:val="35"/>
  </w:num>
  <w:num w:numId="97">
    <w:abstractNumId w:val="89"/>
  </w:num>
  <w:num w:numId="98">
    <w:abstractNumId w:val="24"/>
  </w:num>
  <w:num w:numId="99">
    <w:abstractNumId w:val="48"/>
  </w:num>
  <w:num w:numId="100">
    <w:abstractNumId w:val="101"/>
  </w:num>
  <w:num w:numId="101">
    <w:abstractNumId w:val="4"/>
  </w:num>
  <w:num w:numId="102">
    <w:abstractNumId w:val="113"/>
  </w:num>
  <w:num w:numId="103">
    <w:abstractNumId w:val="90"/>
  </w:num>
  <w:num w:numId="104">
    <w:abstractNumId w:val="30"/>
  </w:num>
  <w:num w:numId="105">
    <w:abstractNumId w:val="70"/>
  </w:num>
  <w:num w:numId="106">
    <w:abstractNumId w:val="23"/>
  </w:num>
  <w:num w:numId="107">
    <w:abstractNumId w:val="104"/>
  </w:num>
  <w:num w:numId="108">
    <w:abstractNumId w:val="10"/>
  </w:num>
  <w:num w:numId="109">
    <w:abstractNumId w:val="12"/>
  </w:num>
  <w:num w:numId="110">
    <w:abstractNumId w:val="88"/>
  </w:num>
  <w:num w:numId="111">
    <w:abstractNumId w:val="102"/>
  </w:num>
  <w:num w:numId="112">
    <w:abstractNumId w:val="117"/>
  </w:num>
  <w:num w:numId="113">
    <w:abstractNumId w:val="77"/>
  </w:num>
  <w:num w:numId="114">
    <w:abstractNumId w:val="85"/>
  </w:num>
  <w:num w:numId="115">
    <w:abstractNumId w:val="59"/>
  </w:num>
  <w:num w:numId="116">
    <w:abstractNumId w:val="111"/>
  </w:num>
  <w:num w:numId="117">
    <w:abstractNumId w:val="62"/>
  </w:num>
  <w:num w:numId="118">
    <w:abstractNumId w:val="19"/>
  </w:num>
  <w:num w:numId="119">
    <w:abstractNumId w:val="13"/>
  </w:num>
  <w:num w:numId="120">
    <w:abstractNumId w:val="31"/>
  </w:num>
  <w:num w:numId="121">
    <w:abstractNumId w:val="56"/>
  </w:num>
  <w:num w:numId="122">
    <w:abstractNumId w:val="72"/>
  </w:num>
  <w:num w:numId="123">
    <w:abstractNumId w:val="57"/>
  </w:num>
  <w:num w:numId="124">
    <w:abstractNumId w:val="71"/>
  </w:num>
  <w:num w:numId="125">
    <w:abstractNumId w:val="46"/>
  </w:num>
  <w:num w:numId="126">
    <w:abstractNumId w:val="14"/>
  </w:num>
  <w:num w:numId="127">
    <w:abstractNumId w:val="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8C"/>
    <w:rsid w:val="0000281E"/>
    <w:rsid w:val="0000313A"/>
    <w:rsid w:val="00003BBC"/>
    <w:rsid w:val="00005362"/>
    <w:rsid w:val="00007A88"/>
    <w:rsid w:val="000131D7"/>
    <w:rsid w:val="000158B5"/>
    <w:rsid w:val="000172D3"/>
    <w:rsid w:val="000178C4"/>
    <w:rsid w:val="00017912"/>
    <w:rsid w:val="000202E8"/>
    <w:rsid w:val="00023DD2"/>
    <w:rsid w:val="00024465"/>
    <w:rsid w:val="00024EE4"/>
    <w:rsid w:val="000264E4"/>
    <w:rsid w:val="00027C77"/>
    <w:rsid w:val="00034B1A"/>
    <w:rsid w:val="000355F9"/>
    <w:rsid w:val="00036838"/>
    <w:rsid w:val="00036AB2"/>
    <w:rsid w:val="00037033"/>
    <w:rsid w:val="00037521"/>
    <w:rsid w:val="00037DE5"/>
    <w:rsid w:val="00040974"/>
    <w:rsid w:val="0004131B"/>
    <w:rsid w:val="0004149A"/>
    <w:rsid w:val="00041755"/>
    <w:rsid w:val="00041D36"/>
    <w:rsid w:val="000429FC"/>
    <w:rsid w:val="00043243"/>
    <w:rsid w:val="000446FC"/>
    <w:rsid w:val="000454D7"/>
    <w:rsid w:val="00047840"/>
    <w:rsid w:val="000501B1"/>
    <w:rsid w:val="00050B17"/>
    <w:rsid w:val="000515D8"/>
    <w:rsid w:val="00055812"/>
    <w:rsid w:val="0005595C"/>
    <w:rsid w:val="00060462"/>
    <w:rsid w:val="00061401"/>
    <w:rsid w:val="00061570"/>
    <w:rsid w:val="00062732"/>
    <w:rsid w:val="00062DAF"/>
    <w:rsid w:val="00063331"/>
    <w:rsid w:val="000645BC"/>
    <w:rsid w:val="000645E1"/>
    <w:rsid w:val="00071018"/>
    <w:rsid w:val="000714C9"/>
    <w:rsid w:val="000728FF"/>
    <w:rsid w:val="00073509"/>
    <w:rsid w:val="00074F19"/>
    <w:rsid w:val="00075B3A"/>
    <w:rsid w:val="000767A4"/>
    <w:rsid w:val="00077105"/>
    <w:rsid w:val="00077427"/>
    <w:rsid w:val="0008050C"/>
    <w:rsid w:val="00082E06"/>
    <w:rsid w:val="000837C9"/>
    <w:rsid w:val="000844C7"/>
    <w:rsid w:val="00085E54"/>
    <w:rsid w:val="00085F4F"/>
    <w:rsid w:val="000876C7"/>
    <w:rsid w:val="0009168C"/>
    <w:rsid w:val="00091CC5"/>
    <w:rsid w:val="000920EA"/>
    <w:rsid w:val="000942B2"/>
    <w:rsid w:val="000963B6"/>
    <w:rsid w:val="000A054D"/>
    <w:rsid w:val="000A1A3A"/>
    <w:rsid w:val="000A24A8"/>
    <w:rsid w:val="000A2DF6"/>
    <w:rsid w:val="000A4294"/>
    <w:rsid w:val="000A434F"/>
    <w:rsid w:val="000A4A35"/>
    <w:rsid w:val="000A7F83"/>
    <w:rsid w:val="000B097E"/>
    <w:rsid w:val="000B0E50"/>
    <w:rsid w:val="000B2493"/>
    <w:rsid w:val="000B5084"/>
    <w:rsid w:val="000B6936"/>
    <w:rsid w:val="000B7D59"/>
    <w:rsid w:val="000C08C4"/>
    <w:rsid w:val="000C2418"/>
    <w:rsid w:val="000C261C"/>
    <w:rsid w:val="000C7392"/>
    <w:rsid w:val="000D0FAB"/>
    <w:rsid w:val="000D2A13"/>
    <w:rsid w:val="000D3172"/>
    <w:rsid w:val="000D36DC"/>
    <w:rsid w:val="000D43DA"/>
    <w:rsid w:val="000D4A09"/>
    <w:rsid w:val="000D53BB"/>
    <w:rsid w:val="000D56DA"/>
    <w:rsid w:val="000D5CFC"/>
    <w:rsid w:val="000D68EB"/>
    <w:rsid w:val="000D7936"/>
    <w:rsid w:val="000E0FC0"/>
    <w:rsid w:val="000E2295"/>
    <w:rsid w:val="000E2FCE"/>
    <w:rsid w:val="000E3981"/>
    <w:rsid w:val="000E623B"/>
    <w:rsid w:val="000F1483"/>
    <w:rsid w:val="000F1B1A"/>
    <w:rsid w:val="000F43A9"/>
    <w:rsid w:val="000F4C5C"/>
    <w:rsid w:val="000F59C5"/>
    <w:rsid w:val="000F5E0F"/>
    <w:rsid w:val="000F6027"/>
    <w:rsid w:val="000F7162"/>
    <w:rsid w:val="000F7DA5"/>
    <w:rsid w:val="00101422"/>
    <w:rsid w:val="001045A1"/>
    <w:rsid w:val="001048A9"/>
    <w:rsid w:val="00106C30"/>
    <w:rsid w:val="00107701"/>
    <w:rsid w:val="001112EA"/>
    <w:rsid w:val="00111FB0"/>
    <w:rsid w:val="00112E70"/>
    <w:rsid w:val="00113C7D"/>
    <w:rsid w:val="0011482D"/>
    <w:rsid w:val="00115D93"/>
    <w:rsid w:val="00115EB2"/>
    <w:rsid w:val="0012046F"/>
    <w:rsid w:val="00121E32"/>
    <w:rsid w:val="001233AA"/>
    <w:rsid w:val="001234F3"/>
    <w:rsid w:val="0012415A"/>
    <w:rsid w:val="001255B4"/>
    <w:rsid w:val="0012594C"/>
    <w:rsid w:val="001274E0"/>
    <w:rsid w:val="0012765C"/>
    <w:rsid w:val="00130298"/>
    <w:rsid w:val="00132B01"/>
    <w:rsid w:val="001341A7"/>
    <w:rsid w:val="001360AA"/>
    <w:rsid w:val="00136BE4"/>
    <w:rsid w:val="00140B67"/>
    <w:rsid w:val="001419F7"/>
    <w:rsid w:val="00144019"/>
    <w:rsid w:val="00145F61"/>
    <w:rsid w:val="0015019C"/>
    <w:rsid w:val="00150A4C"/>
    <w:rsid w:val="00150E67"/>
    <w:rsid w:val="00151924"/>
    <w:rsid w:val="0015275A"/>
    <w:rsid w:val="00153C62"/>
    <w:rsid w:val="00154112"/>
    <w:rsid w:val="0015558D"/>
    <w:rsid w:val="00156B1E"/>
    <w:rsid w:val="00156C78"/>
    <w:rsid w:val="001604F7"/>
    <w:rsid w:val="00164A10"/>
    <w:rsid w:val="00172759"/>
    <w:rsid w:val="0017443D"/>
    <w:rsid w:val="00176CA1"/>
    <w:rsid w:val="00183713"/>
    <w:rsid w:val="001839C9"/>
    <w:rsid w:val="00183D96"/>
    <w:rsid w:val="00184B4D"/>
    <w:rsid w:val="00184D6B"/>
    <w:rsid w:val="00185372"/>
    <w:rsid w:val="001863C0"/>
    <w:rsid w:val="00186942"/>
    <w:rsid w:val="00190299"/>
    <w:rsid w:val="001909FF"/>
    <w:rsid w:val="0019163C"/>
    <w:rsid w:val="001929B5"/>
    <w:rsid w:val="00192A4F"/>
    <w:rsid w:val="001A0F17"/>
    <w:rsid w:val="001A131A"/>
    <w:rsid w:val="001A3B8B"/>
    <w:rsid w:val="001A473C"/>
    <w:rsid w:val="001A479D"/>
    <w:rsid w:val="001A48C9"/>
    <w:rsid w:val="001A7E6A"/>
    <w:rsid w:val="001B27C5"/>
    <w:rsid w:val="001B3569"/>
    <w:rsid w:val="001B36BA"/>
    <w:rsid w:val="001C0630"/>
    <w:rsid w:val="001C19BE"/>
    <w:rsid w:val="001C24D5"/>
    <w:rsid w:val="001C2666"/>
    <w:rsid w:val="001C2FEC"/>
    <w:rsid w:val="001C524F"/>
    <w:rsid w:val="001C5810"/>
    <w:rsid w:val="001C67B5"/>
    <w:rsid w:val="001C7B6E"/>
    <w:rsid w:val="001D2FB2"/>
    <w:rsid w:val="001D49FE"/>
    <w:rsid w:val="001D60F2"/>
    <w:rsid w:val="001D743A"/>
    <w:rsid w:val="001E1BC5"/>
    <w:rsid w:val="001E3642"/>
    <w:rsid w:val="001F061C"/>
    <w:rsid w:val="001F1B23"/>
    <w:rsid w:val="001F2C2B"/>
    <w:rsid w:val="001F3308"/>
    <w:rsid w:val="001F37E0"/>
    <w:rsid w:val="001F57B1"/>
    <w:rsid w:val="001F753A"/>
    <w:rsid w:val="001F78E6"/>
    <w:rsid w:val="0020202D"/>
    <w:rsid w:val="00202446"/>
    <w:rsid w:val="00204641"/>
    <w:rsid w:val="00206AE1"/>
    <w:rsid w:val="002071F5"/>
    <w:rsid w:val="0021155E"/>
    <w:rsid w:val="00211599"/>
    <w:rsid w:val="00211931"/>
    <w:rsid w:val="0021200D"/>
    <w:rsid w:val="00215554"/>
    <w:rsid w:val="0021651F"/>
    <w:rsid w:val="002165C6"/>
    <w:rsid w:val="00217284"/>
    <w:rsid w:val="0022148B"/>
    <w:rsid w:val="0022166B"/>
    <w:rsid w:val="00222E5B"/>
    <w:rsid w:val="00223B6C"/>
    <w:rsid w:val="00224B78"/>
    <w:rsid w:val="00225558"/>
    <w:rsid w:val="0022659E"/>
    <w:rsid w:val="00227AE6"/>
    <w:rsid w:val="00231D41"/>
    <w:rsid w:val="002321EF"/>
    <w:rsid w:val="002346F7"/>
    <w:rsid w:val="00234BE1"/>
    <w:rsid w:val="00235EBC"/>
    <w:rsid w:val="00237FD2"/>
    <w:rsid w:val="002407DA"/>
    <w:rsid w:val="002408DD"/>
    <w:rsid w:val="00241ACC"/>
    <w:rsid w:val="00242A0A"/>
    <w:rsid w:val="0024339F"/>
    <w:rsid w:val="002433A5"/>
    <w:rsid w:val="00244560"/>
    <w:rsid w:val="00246A58"/>
    <w:rsid w:val="00247A2E"/>
    <w:rsid w:val="00247F5C"/>
    <w:rsid w:val="00250C22"/>
    <w:rsid w:val="00251D87"/>
    <w:rsid w:val="002534F8"/>
    <w:rsid w:val="00254379"/>
    <w:rsid w:val="002562A2"/>
    <w:rsid w:val="00256855"/>
    <w:rsid w:val="002568E8"/>
    <w:rsid w:val="002571F8"/>
    <w:rsid w:val="00261420"/>
    <w:rsid w:val="002615B6"/>
    <w:rsid w:val="00262939"/>
    <w:rsid w:val="002632DF"/>
    <w:rsid w:val="0026396A"/>
    <w:rsid w:val="0026456E"/>
    <w:rsid w:val="0026463D"/>
    <w:rsid w:val="00264D50"/>
    <w:rsid w:val="00265801"/>
    <w:rsid w:val="00267474"/>
    <w:rsid w:val="00267A00"/>
    <w:rsid w:val="00280E0B"/>
    <w:rsid w:val="00280FC1"/>
    <w:rsid w:val="00281992"/>
    <w:rsid w:val="00283086"/>
    <w:rsid w:val="002874F1"/>
    <w:rsid w:val="00291CDD"/>
    <w:rsid w:val="00295AEE"/>
    <w:rsid w:val="00297614"/>
    <w:rsid w:val="00297902"/>
    <w:rsid w:val="002A1E60"/>
    <w:rsid w:val="002A2422"/>
    <w:rsid w:val="002A324E"/>
    <w:rsid w:val="002A35E4"/>
    <w:rsid w:val="002A5694"/>
    <w:rsid w:val="002A668D"/>
    <w:rsid w:val="002A70B7"/>
    <w:rsid w:val="002B0E6C"/>
    <w:rsid w:val="002B1088"/>
    <w:rsid w:val="002B1CC3"/>
    <w:rsid w:val="002B3605"/>
    <w:rsid w:val="002B3F86"/>
    <w:rsid w:val="002B4780"/>
    <w:rsid w:val="002B4975"/>
    <w:rsid w:val="002B5ED5"/>
    <w:rsid w:val="002B6611"/>
    <w:rsid w:val="002B6AEF"/>
    <w:rsid w:val="002B6FED"/>
    <w:rsid w:val="002B7F27"/>
    <w:rsid w:val="002C3255"/>
    <w:rsid w:val="002C42E1"/>
    <w:rsid w:val="002C7FDB"/>
    <w:rsid w:val="002D0B17"/>
    <w:rsid w:val="002D234F"/>
    <w:rsid w:val="002D3678"/>
    <w:rsid w:val="002D4EC0"/>
    <w:rsid w:val="002D5475"/>
    <w:rsid w:val="002D57EC"/>
    <w:rsid w:val="002D5970"/>
    <w:rsid w:val="002D66A7"/>
    <w:rsid w:val="002D7183"/>
    <w:rsid w:val="002D71B0"/>
    <w:rsid w:val="002D7233"/>
    <w:rsid w:val="002E113C"/>
    <w:rsid w:val="002E3135"/>
    <w:rsid w:val="002E63D1"/>
    <w:rsid w:val="002E6980"/>
    <w:rsid w:val="002F2186"/>
    <w:rsid w:val="002F3C81"/>
    <w:rsid w:val="002F4385"/>
    <w:rsid w:val="0030000F"/>
    <w:rsid w:val="0030056F"/>
    <w:rsid w:val="00301097"/>
    <w:rsid w:val="003024E9"/>
    <w:rsid w:val="00302D94"/>
    <w:rsid w:val="00303A08"/>
    <w:rsid w:val="00305EBF"/>
    <w:rsid w:val="00307AFC"/>
    <w:rsid w:val="00307C60"/>
    <w:rsid w:val="00307F28"/>
    <w:rsid w:val="00310392"/>
    <w:rsid w:val="00310699"/>
    <w:rsid w:val="00311068"/>
    <w:rsid w:val="00311E83"/>
    <w:rsid w:val="003127D8"/>
    <w:rsid w:val="00316159"/>
    <w:rsid w:val="0031686B"/>
    <w:rsid w:val="00317E6F"/>
    <w:rsid w:val="00320892"/>
    <w:rsid w:val="00321015"/>
    <w:rsid w:val="00322B58"/>
    <w:rsid w:val="0032334B"/>
    <w:rsid w:val="003234BA"/>
    <w:rsid w:val="00323922"/>
    <w:rsid w:val="00323FFE"/>
    <w:rsid w:val="00324871"/>
    <w:rsid w:val="003301AD"/>
    <w:rsid w:val="0033104C"/>
    <w:rsid w:val="00331506"/>
    <w:rsid w:val="00331C86"/>
    <w:rsid w:val="003340FE"/>
    <w:rsid w:val="003434D3"/>
    <w:rsid w:val="003437E8"/>
    <w:rsid w:val="00344482"/>
    <w:rsid w:val="00345B64"/>
    <w:rsid w:val="00345E5C"/>
    <w:rsid w:val="00345FED"/>
    <w:rsid w:val="00347550"/>
    <w:rsid w:val="00351B0D"/>
    <w:rsid w:val="003550A1"/>
    <w:rsid w:val="00357305"/>
    <w:rsid w:val="003578CD"/>
    <w:rsid w:val="003579E1"/>
    <w:rsid w:val="00357A41"/>
    <w:rsid w:val="00361227"/>
    <w:rsid w:val="003616F4"/>
    <w:rsid w:val="00361A5E"/>
    <w:rsid w:val="00363F6C"/>
    <w:rsid w:val="00366CB6"/>
    <w:rsid w:val="00367D5E"/>
    <w:rsid w:val="00367DE5"/>
    <w:rsid w:val="00367F87"/>
    <w:rsid w:val="00371375"/>
    <w:rsid w:val="003730EF"/>
    <w:rsid w:val="003731F5"/>
    <w:rsid w:val="003744E0"/>
    <w:rsid w:val="00374C62"/>
    <w:rsid w:val="0037639C"/>
    <w:rsid w:val="003766BD"/>
    <w:rsid w:val="00376BF9"/>
    <w:rsid w:val="00376FA8"/>
    <w:rsid w:val="00377464"/>
    <w:rsid w:val="00380D15"/>
    <w:rsid w:val="00381C45"/>
    <w:rsid w:val="00381C4A"/>
    <w:rsid w:val="00381F3F"/>
    <w:rsid w:val="00386539"/>
    <w:rsid w:val="00390477"/>
    <w:rsid w:val="003918D5"/>
    <w:rsid w:val="003922F0"/>
    <w:rsid w:val="00392589"/>
    <w:rsid w:val="003927FE"/>
    <w:rsid w:val="00394394"/>
    <w:rsid w:val="0039534A"/>
    <w:rsid w:val="0039557C"/>
    <w:rsid w:val="003963D3"/>
    <w:rsid w:val="00397D47"/>
    <w:rsid w:val="003A2917"/>
    <w:rsid w:val="003A2A92"/>
    <w:rsid w:val="003A2EEE"/>
    <w:rsid w:val="003A4976"/>
    <w:rsid w:val="003A5259"/>
    <w:rsid w:val="003A6115"/>
    <w:rsid w:val="003B07C6"/>
    <w:rsid w:val="003B3BF2"/>
    <w:rsid w:val="003B4E58"/>
    <w:rsid w:val="003B7DD1"/>
    <w:rsid w:val="003C0CDC"/>
    <w:rsid w:val="003C205E"/>
    <w:rsid w:val="003C274A"/>
    <w:rsid w:val="003C5FCF"/>
    <w:rsid w:val="003C62C1"/>
    <w:rsid w:val="003C67DA"/>
    <w:rsid w:val="003C6BE1"/>
    <w:rsid w:val="003D02E5"/>
    <w:rsid w:val="003D2620"/>
    <w:rsid w:val="003D4B2B"/>
    <w:rsid w:val="003D4E9C"/>
    <w:rsid w:val="003D51EF"/>
    <w:rsid w:val="003D574B"/>
    <w:rsid w:val="003D62E3"/>
    <w:rsid w:val="003D736C"/>
    <w:rsid w:val="003D791C"/>
    <w:rsid w:val="003D7E38"/>
    <w:rsid w:val="003E0542"/>
    <w:rsid w:val="003E1800"/>
    <w:rsid w:val="003E3A4F"/>
    <w:rsid w:val="003E4A3F"/>
    <w:rsid w:val="003E4DD4"/>
    <w:rsid w:val="003E5099"/>
    <w:rsid w:val="003E65F8"/>
    <w:rsid w:val="003E6C8D"/>
    <w:rsid w:val="003E6D80"/>
    <w:rsid w:val="003E6FFA"/>
    <w:rsid w:val="003F13DA"/>
    <w:rsid w:val="003F1D7A"/>
    <w:rsid w:val="003F30E2"/>
    <w:rsid w:val="003F75AA"/>
    <w:rsid w:val="0040170B"/>
    <w:rsid w:val="004047D7"/>
    <w:rsid w:val="00404EA3"/>
    <w:rsid w:val="00407404"/>
    <w:rsid w:val="00410D6A"/>
    <w:rsid w:val="00411988"/>
    <w:rsid w:val="00411BC3"/>
    <w:rsid w:val="004126AE"/>
    <w:rsid w:val="0041463A"/>
    <w:rsid w:val="0041506D"/>
    <w:rsid w:val="004157A7"/>
    <w:rsid w:val="004158B5"/>
    <w:rsid w:val="00416D3E"/>
    <w:rsid w:val="0041718F"/>
    <w:rsid w:val="004177C2"/>
    <w:rsid w:val="00417A60"/>
    <w:rsid w:val="00421E70"/>
    <w:rsid w:val="0042493D"/>
    <w:rsid w:val="00425286"/>
    <w:rsid w:val="004261FF"/>
    <w:rsid w:val="004303DA"/>
    <w:rsid w:val="00430BE4"/>
    <w:rsid w:val="00431B52"/>
    <w:rsid w:val="0043418A"/>
    <w:rsid w:val="00441892"/>
    <w:rsid w:val="004418BB"/>
    <w:rsid w:val="00441BE5"/>
    <w:rsid w:val="00442407"/>
    <w:rsid w:val="004433BA"/>
    <w:rsid w:val="00444E29"/>
    <w:rsid w:val="00444F86"/>
    <w:rsid w:val="00444FC3"/>
    <w:rsid w:val="00445244"/>
    <w:rsid w:val="00446007"/>
    <w:rsid w:val="00446911"/>
    <w:rsid w:val="00447750"/>
    <w:rsid w:val="004556BB"/>
    <w:rsid w:val="004573AC"/>
    <w:rsid w:val="00457575"/>
    <w:rsid w:val="004575B7"/>
    <w:rsid w:val="00457947"/>
    <w:rsid w:val="00460672"/>
    <w:rsid w:val="00462343"/>
    <w:rsid w:val="004637B9"/>
    <w:rsid w:val="004641E3"/>
    <w:rsid w:val="004647C4"/>
    <w:rsid w:val="00465CA0"/>
    <w:rsid w:val="00465FE0"/>
    <w:rsid w:val="004661EC"/>
    <w:rsid w:val="004676F9"/>
    <w:rsid w:val="00467CCE"/>
    <w:rsid w:val="004705E0"/>
    <w:rsid w:val="0047153C"/>
    <w:rsid w:val="00472F36"/>
    <w:rsid w:val="00474976"/>
    <w:rsid w:val="0047731E"/>
    <w:rsid w:val="004778D7"/>
    <w:rsid w:val="00484B63"/>
    <w:rsid w:val="00485F41"/>
    <w:rsid w:val="00486EF6"/>
    <w:rsid w:val="0048706D"/>
    <w:rsid w:val="0048724D"/>
    <w:rsid w:val="004901AB"/>
    <w:rsid w:val="00490710"/>
    <w:rsid w:val="0049099F"/>
    <w:rsid w:val="00491B45"/>
    <w:rsid w:val="00494458"/>
    <w:rsid w:val="004949F0"/>
    <w:rsid w:val="00496CF8"/>
    <w:rsid w:val="00497543"/>
    <w:rsid w:val="00497FFD"/>
    <w:rsid w:val="004A32FC"/>
    <w:rsid w:val="004A6824"/>
    <w:rsid w:val="004A6B44"/>
    <w:rsid w:val="004A6FFF"/>
    <w:rsid w:val="004A70E0"/>
    <w:rsid w:val="004A7EEB"/>
    <w:rsid w:val="004B115F"/>
    <w:rsid w:val="004B18E9"/>
    <w:rsid w:val="004B1CEF"/>
    <w:rsid w:val="004B21F1"/>
    <w:rsid w:val="004B38D7"/>
    <w:rsid w:val="004B3922"/>
    <w:rsid w:val="004B496F"/>
    <w:rsid w:val="004B6B02"/>
    <w:rsid w:val="004B75F7"/>
    <w:rsid w:val="004B7A93"/>
    <w:rsid w:val="004C0416"/>
    <w:rsid w:val="004C069D"/>
    <w:rsid w:val="004C1AEE"/>
    <w:rsid w:val="004C1DA0"/>
    <w:rsid w:val="004C2086"/>
    <w:rsid w:val="004C2251"/>
    <w:rsid w:val="004C32D1"/>
    <w:rsid w:val="004C4AFC"/>
    <w:rsid w:val="004C4EA1"/>
    <w:rsid w:val="004C66D0"/>
    <w:rsid w:val="004D2377"/>
    <w:rsid w:val="004D312A"/>
    <w:rsid w:val="004D422D"/>
    <w:rsid w:val="004D4893"/>
    <w:rsid w:val="004D7465"/>
    <w:rsid w:val="004D795D"/>
    <w:rsid w:val="004E17FF"/>
    <w:rsid w:val="004E1ADE"/>
    <w:rsid w:val="004E27AC"/>
    <w:rsid w:val="004E2A4C"/>
    <w:rsid w:val="004E30D7"/>
    <w:rsid w:val="004E35AB"/>
    <w:rsid w:val="004E3D41"/>
    <w:rsid w:val="004E4F7E"/>
    <w:rsid w:val="004E547B"/>
    <w:rsid w:val="004F01A7"/>
    <w:rsid w:val="004F1E7C"/>
    <w:rsid w:val="004F27EA"/>
    <w:rsid w:val="004F3B01"/>
    <w:rsid w:val="004F57E0"/>
    <w:rsid w:val="004F6A0F"/>
    <w:rsid w:val="004F6F57"/>
    <w:rsid w:val="00500528"/>
    <w:rsid w:val="00501AD1"/>
    <w:rsid w:val="005026C1"/>
    <w:rsid w:val="00503A83"/>
    <w:rsid w:val="005046F9"/>
    <w:rsid w:val="005049AF"/>
    <w:rsid w:val="00505618"/>
    <w:rsid w:val="00505CC1"/>
    <w:rsid w:val="00506F40"/>
    <w:rsid w:val="005072E2"/>
    <w:rsid w:val="00511B00"/>
    <w:rsid w:val="00513B70"/>
    <w:rsid w:val="0051698B"/>
    <w:rsid w:val="00517BFD"/>
    <w:rsid w:val="005203FB"/>
    <w:rsid w:val="00520C9D"/>
    <w:rsid w:val="00521009"/>
    <w:rsid w:val="00521290"/>
    <w:rsid w:val="0052305F"/>
    <w:rsid w:val="0052413F"/>
    <w:rsid w:val="005245C1"/>
    <w:rsid w:val="005279EC"/>
    <w:rsid w:val="005318EE"/>
    <w:rsid w:val="00532F92"/>
    <w:rsid w:val="00533D40"/>
    <w:rsid w:val="005351FF"/>
    <w:rsid w:val="005373EC"/>
    <w:rsid w:val="005430BF"/>
    <w:rsid w:val="00544161"/>
    <w:rsid w:val="00545549"/>
    <w:rsid w:val="00545FD2"/>
    <w:rsid w:val="00550CCB"/>
    <w:rsid w:val="00550E87"/>
    <w:rsid w:val="00552F26"/>
    <w:rsid w:val="00553E8A"/>
    <w:rsid w:val="00554D86"/>
    <w:rsid w:val="0055532E"/>
    <w:rsid w:val="00555338"/>
    <w:rsid w:val="00556286"/>
    <w:rsid w:val="00556736"/>
    <w:rsid w:val="005614CA"/>
    <w:rsid w:val="0056300C"/>
    <w:rsid w:val="005656D3"/>
    <w:rsid w:val="0056623A"/>
    <w:rsid w:val="00567204"/>
    <w:rsid w:val="00570B90"/>
    <w:rsid w:val="0057111B"/>
    <w:rsid w:val="0057112A"/>
    <w:rsid w:val="005711AC"/>
    <w:rsid w:val="00572B2E"/>
    <w:rsid w:val="0057326D"/>
    <w:rsid w:val="00573416"/>
    <w:rsid w:val="00573C7A"/>
    <w:rsid w:val="0057484D"/>
    <w:rsid w:val="00575497"/>
    <w:rsid w:val="00576C8C"/>
    <w:rsid w:val="00580399"/>
    <w:rsid w:val="00581574"/>
    <w:rsid w:val="00582B93"/>
    <w:rsid w:val="00582F45"/>
    <w:rsid w:val="005831BA"/>
    <w:rsid w:val="005846D4"/>
    <w:rsid w:val="00585274"/>
    <w:rsid w:val="00585F3A"/>
    <w:rsid w:val="00586FDF"/>
    <w:rsid w:val="00587325"/>
    <w:rsid w:val="005902FC"/>
    <w:rsid w:val="0059098A"/>
    <w:rsid w:val="0059154B"/>
    <w:rsid w:val="00594EF8"/>
    <w:rsid w:val="005959CD"/>
    <w:rsid w:val="00597E7A"/>
    <w:rsid w:val="005A0C46"/>
    <w:rsid w:val="005A1738"/>
    <w:rsid w:val="005A3736"/>
    <w:rsid w:val="005A4122"/>
    <w:rsid w:val="005A4EA3"/>
    <w:rsid w:val="005A5530"/>
    <w:rsid w:val="005A7BDD"/>
    <w:rsid w:val="005B05F7"/>
    <w:rsid w:val="005B179F"/>
    <w:rsid w:val="005B1CD5"/>
    <w:rsid w:val="005B38B3"/>
    <w:rsid w:val="005B538E"/>
    <w:rsid w:val="005B5EDE"/>
    <w:rsid w:val="005B6B6D"/>
    <w:rsid w:val="005C1D12"/>
    <w:rsid w:val="005D15B8"/>
    <w:rsid w:val="005D20EE"/>
    <w:rsid w:val="005D2327"/>
    <w:rsid w:val="005D24A2"/>
    <w:rsid w:val="005D2D6B"/>
    <w:rsid w:val="005D2E93"/>
    <w:rsid w:val="005D304C"/>
    <w:rsid w:val="005D3D49"/>
    <w:rsid w:val="005D5D20"/>
    <w:rsid w:val="005D5F76"/>
    <w:rsid w:val="005D65AB"/>
    <w:rsid w:val="005D6A51"/>
    <w:rsid w:val="005D6F8E"/>
    <w:rsid w:val="005E1CE8"/>
    <w:rsid w:val="005E2164"/>
    <w:rsid w:val="005E3A84"/>
    <w:rsid w:val="005E42A4"/>
    <w:rsid w:val="005E4B37"/>
    <w:rsid w:val="005F070E"/>
    <w:rsid w:val="005F1266"/>
    <w:rsid w:val="005F2C83"/>
    <w:rsid w:val="005F332A"/>
    <w:rsid w:val="005F3BFE"/>
    <w:rsid w:val="005F45A8"/>
    <w:rsid w:val="005F53C3"/>
    <w:rsid w:val="005F5857"/>
    <w:rsid w:val="005F6357"/>
    <w:rsid w:val="005F733E"/>
    <w:rsid w:val="005F78F3"/>
    <w:rsid w:val="00601657"/>
    <w:rsid w:val="0060170C"/>
    <w:rsid w:val="00601A71"/>
    <w:rsid w:val="006026C8"/>
    <w:rsid w:val="00602F26"/>
    <w:rsid w:val="006031E6"/>
    <w:rsid w:val="006033A7"/>
    <w:rsid w:val="006056B9"/>
    <w:rsid w:val="00611495"/>
    <w:rsid w:val="006115D8"/>
    <w:rsid w:val="00612662"/>
    <w:rsid w:val="00614792"/>
    <w:rsid w:val="00615E6A"/>
    <w:rsid w:val="006162C8"/>
    <w:rsid w:val="006163D3"/>
    <w:rsid w:val="00621438"/>
    <w:rsid w:val="00621F30"/>
    <w:rsid w:val="006243DD"/>
    <w:rsid w:val="0062631A"/>
    <w:rsid w:val="00627777"/>
    <w:rsid w:val="00635CB2"/>
    <w:rsid w:val="006363A8"/>
    <w:rsid w:val="00640FCF"/>
    <w:rsid w:val="00641C79"/>
    <w:rsid w:val="00642866"/>
    <w:rsid w:val="00644BBE"/>
    <w:rsid w:val="00645517"/>
    <w:rsid w:val="00646F0B"/>
    <w:rsid w:val="00647BE8"/>
    <w:rsid w:val="00651058"/>
    <w:rsid w:val="0065126F"/>
    <w:rsid w:val="0065445C"/>
    <w:rsid w:val="00655446"/>
    <w:rsid w:val="00655865"/>
    <w:rsid w:val="00655F39"/>
    <w:rsid w:val="00656CE4"/>
    <w:rsid w:val="00660E41"/>
    <w:rsid w:val="00662C95"/>
    <w:rsid w:val="00663406"/>
    <w:rsid w:val="00663A97"/>
    <w:rsid w:val="006651E0"/>
    <w:rsid w:val="00665735"/>
    <w:rsid w:val="0066643B"/>
    <w:rsid w:val="00666E20"/>
    <w:rsid w:val="00666FD4"/>
    <w:rsid w:val="00671C3A"/>
    <w:rsid w:val="006727AD"/>
    <w:rsid w:val="00672C92"/>
    <w:rsid w:val="00674B3F"/>
    <w:rsid w:val="00676348"/>
    <w:rsid w:val="00677934"/>
    <w:rsid w:val="0068079C"/>
    <w:rsid w:val="00680DE2"/>
    <w:rsid w:val="006825A2"/>
    <w:rsid w:val="00682B5A"/>
    <w:rsid w:val="006834A3"/>
    <w:rsid w:val="00685B05"/>
    <w:rsid w:val="0068706E"/>
    <w:rsid w:val="0069120D"/>
    <w:rsid w:val="006914AE"/>
    <w:rsid w:val="00691E89"/>
    <w:rsid w:val="00693BCD"/>
    <w:rsid w:val="00694150"/>
    <w:rsid w:val="006944D4"/>
    <w:rsid w:val="00694AD2"/>
    <w:rsid w:val="006951B2"/>
    <w:rsid w:val="006954AC"/>
    <w:rsid w:val="006A113E"/>
    <w:rsid w:val="006A154A"/>
    <w:rsid w:val="006A18CF"/>
    <w:rsid w:val="006A21F7"/>
    <w:rsid w:val="006A3363"/>
    <w:rsid w:val="006A5899"/>
    <w:rsid w:val="006A747B"/>
    <w:rsid w:val="006A7AA9"/>
    <w:rsid w:val="006B1DE2"/>
    <w:rsid w:val="006B2952"/>
    <w:rsid w:val="006B3FDC"/>
    <w:rsid w:val="006B4DA0"/>
    <w:rsid w:val="006B5B0C"/>
    <w:rsid w:val="006B60FB"/>
    <w:rsid w:val="006B6850"/>
    <w:rsid w:val="006B7110"/>
    <w:rsid w:val="006B7346"/>
    <w:rsid w:val="006B74C3"/>
    <w:rsid w:val="006C0FCE"/>
    <w:rsid w:val="006C3771"/>
    <w:rsid w:val="006C5ADE"/>
    <w:rsid w:val="006C6DAE"/>
    <w:rsid w:val="006D13F7"/>
    <w:rsid w:val="006D1FE2"/>
    <w:rsid w:val="006D2821"/>
    <w:rsid w:val="006D2BDE"/>
    <w:rsid w:val="006E1027"/>
    <w:rsid w:val="006E14CA"/>
    <w:rsid w:val="006E1B14"/>
    <w:rsid w:val="006E1D22"/>
    <w:rsid w:val="006E27E1"/>
    <w:rsid w:val="006E2C64"/>
    <w:rsid w:val="006E326C"/>
    <w:rsid w:val="006E358D"/>
    <w:rsid w:val="006E37EB"/>
    <w:rsid w:val="006E462F"/>
    <w:rsid w:val="006E54D1"/>
    <w:rsid w:val="006E5C80"/>
    <w:rsid w:val="006E6B37"/>
    <w:rsid w:val="006F5738"/>
    <w:rsid w:val="00700CFF"/>
    <w:rsid w:val="0070364C"/>
    <w:rsid w:val="007067F2"/>
    <w:rsid w:val="00706B00"/>
    <w:rsid w:val="0070713B"/>
    <w:rsid w:val="007117DB"/>
    <w:rsid w:val="00711DEC"/>
    <w:rsid w:val="00712BFC"/>
    <w:rsid w:val="00712D3F"/>
    <w:rsid w:val="00714ECC"/>
    <w:rsid w:val="00714EED"/>
    <w:rsid w:val="00717117"/>
    <w:rsid w:val="007173B2"/>
    <w:rsid w:val="00720209"/>
    <w:rsid w:val="0072066D"/>
    <w:rsid w:val="0072091D"/>
    <w:rsid w:val="00721139"/>
    <w:rsid w:val="00721143"/>
    <w:rsid w:val="00722053"/>
    <w:rsid w:val="00722068"/>
    <w:rsid w:val="00722534"/>
    <w:rsid w:val="0072361F"/>
    <w:rsid w:val="00723748"/>
    <w:rsid w:val="00724534"/>
    <w:rsid w:val="00725137"/>
    <w:rsid w:val="00725703"/>
    <w:rsid w:val="00725E83"/>
    <w:rsid w:val="007263BB"/>
    <w:rsid w:val="007264FA"/>
    <w:rsid w:val="00727D19"/>
    <w:rsid w:val="00727E0B"/>
    <w:rsid w:val="007312E8"/>
    <w:rsid w:val="00731A79"/>
    <w:rsid w:val="00733240"/>
    <w:rsid w:val="00733CC4"/>
    <w:rsid w:val="00734762"/>
    <w:rsid w:val="007350C8"/>
    <w:rsid w:val="00735B29"/>
    <w:rsid w:val="00736C28"/>
    <w:rsid w:val="00737D6A"/>
    <w:rsid w:val="0074266F"/>
    <w:rsid w:val="0074341B"/>
    <w:rsid w:val="00743503"/>
    <w:rsid w:val="007436C8"/>
    <w:rsid w:val="00743E00"/>
    <w:rsid w:val="0074453C"/>
    <w:rsid w:val="00744CB5"/>
    <w:rsid w:val="00745C55"/>
    <w:rsid w:val="007465BF"/>
    <w:rsid w:val="00746DFC"/>
    <w:rsid w:val="00746E4D"/>
    <w:rsid w:val="0075039D"/>
    <w:rsid w:val="0075063C"/>
    <w:rsid w:val="00752673"/>
    <w:rsid w:val="00754D98"/>
    <w:rsid w:val="0075541D"/>
    <w:rsid w:val="00756B27"/>
    <w:rsid w:val="00760512"/>
    <w:rsid w:val="00761C41"/>
    <w:rsid w:val="00761CD3"/>
    <w:rsid w:val="00763840"/>
    <w:rsid w:val="007646AA"/>
    <w:rsid w:val="00764A53"/>
    <w:rsid w:val="00764B80"/>
    <w:rsid w:val="007662B7"/>
    <w:rsid w:val="007701A1"/>
    <w:rsid w:val="00770742"/>
    <w:rsid w:val="007755C8"/>
    <w:rsid w:val="007757A7"/>
    <w:rsid w:val="0078030F"/>
    <w:rsid w:val="00780FAE"/>
    <w:rsid w:val="0078234A"/>
    <w:rsid w:val="00782E4D"/>
    <w:rsid w:val="00783826"/>
    <w:rsid w:val="00783F08"/>
    <w:rsid w:val="00784C1E"/>
    <w:rsid w:val="0078507C"/>
    <w:rsid w:val="00786332"/>
    <w:rsid w:val="0078635C"/>
    <w:rsid w:val="007863D2"/>
    <w:rsid w:val="00787F2B"/>
    <w:rsid w:val="00791985"/>
    <w:rsid w:val="00791D73"/>
    <w:rsid w:val="0079225E"/>
    <w:rsid w:val="00792754"/>
    <w:rsid w:val="00792DC5"/>
    <w:rsid w:val="0079349C"/>
    <w:rsid w:val="007951E3"/>
    <w:rsid w:val="007958B4"/>
    <w:rsid w:val="00796405"/>
    <w:rsid w:val="007A0222"/>
    <w:rsid w:val="007A076D"/>
    <w:rsid w:val="007A0847"/>
    <w:rsid w:val="007A34F9"/>
    <w:rsid w:val="007A3BFA"/>
    <w:rsid w:val="007A4CDF"/>
    <w:rsid w:val="007A5CA1"/>
    <w:rsid w:val="007A61D3"/>
    <w:rsid w:val="007A73EC"/>
    <w:rsid w:val="007B0706"/>
    <w:rsid w:val="007B13A1"/>
    <w:rsid w:val="007B37CB"/>
    <w:rsid w:val="007B43B2"/>
    <w:rsid w:val="007B5197"/>
    <w:rsid w:val="007B7A79"/>
    <w:rsid w:val="007B7D40"/>
    <w:rsid w:val="007C0A99"/>
    <w:rsid w:val="007C107C"/>
    <w:rsid w:val="007C1B6D"/>
    <w:rsid w:val="007C2563"/>
    <w:rsid w:val="007C3655"/>
    <w:rsid w:val="007C4904"/>
    <w:rsid w:val="007C6366"/>
    <w:rsid w:val="007C6664"/>
    <w:rsid w:val="007C6B0B"/>
    <w:rsid w:val="007C7263"/>
    <w:rsid w:val="007D03A6"/>
    <w:rsid w:val="007D0B24"/>
    <w:rsid w:val="007D1E8C"/>
    <w:rsid w:val="007D5396"/>
    <w:rsid w:val="007D73C5"/>
    <w:rsid w:val="007E1CDF"/>
    <w:rsid w:val="007E1FCB"/>
    <w:rsid w:val="007E4F8C"/>
    <w:rsid w:val="007F1399"/>
    <w:rsid w:val="007F489E"/>
    <w:rsid w:val="007F5E67"/>
    <w:rsid w:val="007F7458"/>
    <w:rsid w:val="00800215"/>
    <w:rsid w:val="00801EFD"/>
    <w:rsid w:val="008041FB"/>
    <w:rsid w:val="0080778E"/>
    <w:rsid w:val="008142BC"/>
    <w:rsid w:val="008157E7"/>
    <w:rsid w:val="0081592A"/>
    <w:rsid w:val="0081609C"/>
    <w:rsid w:val="00816457"/>
    <w:rsid w:val="0082101D"/>
    <w:rsid w:val="008211CF"/>
    <w:rsid w:val="00821369"/>
    <w:rsid w:val="00822064"/>
    <w:rsid w:val="00822F61"/>
    <w:rsid w:val="00823BE0"/>
    <w:rsid w:val="008267DC"/>
    <w:rsid w:val="00826F25"/>
    <w:rsid w:val="00833785"/>
    <w:rsid w:val="00836D8D"/>
    <w:rsid w:val="008377AF"/>
    <w:rsid w:val="00840D4A"/>
    <w:rsid w:val="00840F00"/>
    <w:rsid w:val="008417E9"/>
    <w:rsid w:val="00842606"/>
    <w:rsid w:val="00843A1D"/>
    <w:rsid w:val="00843B51"/>
    <w:rsid w:val="00843CAF"/>
    <w:rsid w:val="00843CF4"/>
    <w:rsid w:val="00844659"/>
    <w:rsid w:val="00845225"/>
    <w:rsid w:val="00845576"/>
    <w:rsid w:val="00845846"/>
    <w:rsid w:val="008510DF"/>
    <w:rsid w:val="00851F51"/>
    <w:rsid w:val="00855983"/>
    <w:rsid w:val="008565A6"/>
    <w:rsid w:val="00861B7A"/>
    <w:rsid w:val="00862B0F"/>
    <w:rsid w:val="008630B5"/>
    <w:rsid w:val="008637BB"/>
    <w:rsid w:val="00864B9B"/>
    <w:rsid w:val="00865FEE"/>
    <w:rsid w:val="00867673"/>
    <w:rsid w:val="00867E3D"/>
    <w:rsid w:val="0087616D"/>
    <w:rsid w:val="00876D57"/>
    <w:rsid w:val="00881A65"/>
    <w:rsid w:val="0088201A"/>
    <w:rsid w:val="008820C4"/>
    <w:rsid w:val="00884E55"/>
    <w:rsid w:val="0088542B"/>
    <w:rsid w:val="008937A3"/>
    <w:rsid w:val="00893B41"/>
    <w:rsid w:val="00893D16"/>
    <w:rsid w:val="0089455A"/>
    <w:rsid w:val="00894BB3"/>
    <w:rsid w:val="00895012"/>
    <w:rsid w:val="00897697"/>
    <w:rsid w:val="0089785C"/>
    <w:rsid w:val="008A13F6"/>
    <w:rsid w:val="008A1A76"/>
    <w:rsid w:val="008A27FB"/>
    <w:rsid w:val="008A2874"/>
    <w:rsid w:val="008A5154"/>
    <w:rsid w:val="008A5FF5"/>
    <w:rsid w:val="008A6FF6"/>
    <w:rsid w:val="008A7DDB"/>
    <w:rsid w:val="008B11BB"/>
    <w:rsid w:val="008B2BEE"/>
    <w:rsid w:val="008B32E1"/>
    <w:rsid w:val="008B3ECC"/>
    <w:rsid w:val="008B3FF1"/>
    <w:rsid w:val="008B4451"/>
    <w:rsid w:val="008C3FFD"/>
    <w:rsid w:val="008C4B14"/>
    <w:rsid w:val="008C4F13"/>
    <w:rsid w:val="008C5A42"/>
    <w:rsid w:val="008C6390"/>
    <w:rsid w:val="008C6641"/>
    <w:rsid w:val="008C68C0"/>
    <w:rsid w:val="008C6E96"/>
    <w:rsid w:val="008D0CA7"/>
    <w:rsid w:val="008D11F5"/>
    <w:rsid w:val="008D3B28"/>
    <w:rsid w:val="008D41E7"/>
    <w:rsid w:val="008D52C5"/>
    <w:rsid w:val="008D6EEC"/>
    <w:rsid w:val="008D7673"/>
    <w:rsid w:val="008D7BC4"/>
    <w:rsid w:val="008E0B5F"/>
    <w:rsid w:val="008E30FF"/>
    <w:rsid w:val="008E5681"/>
    <w:rsid w:val="008E71F9"/>
    <w:rsid w:val="008E7676"/>
    <w:rsid w:val="008E7CBA"/>
    <w:rsid w:val="008F1833"/>
    <w:rsid w:val="008F2BB9"/>
    <w:rsid w:val="008F42B0"/>
    <w:rsid w:val="008F51AE"/>
    <w:rsid w:val="008F5AFC"/>
    <w:rsid w:val="009014D9"/>
    <w:rsid w:val="00901C1A"/>
    <w:rsid w:val="00903478"/>
    <w:rsid w:val="00903B59"/>
    <w:rsid w:val="00904102"/>
    <w:rsid w:val="009101A7"/>
    <w:rsid w:val="00910AE0"/>
    <w:rsid w:val="00912C87"/>
    <w:rsid w:val="00913C59"/>
    <w:rsid w:val="00915B40"/>
    <w:rsid w:val="00916847"/>
    <w:rsid w:val="00917446"/>
    <w:rsid w:val="00923DEF"/>
    <w:rsid w:val="00925658"/>
    <w:rsid w:val="00930602"/>
    <w:rsid w:val="00930ECE"/>
    <w:rsid w:val="00931800"/>
    <w:rsid w:val="009322D0"/>
    <w:rsid w:val="009333A2"/>
    <w:rsid w:val="0093362C"/>
    <w:rsid w:val="00933A28"/>
    <w:rsid w:val="00934498"/>
    <w:rsid w:val="0093779B"/>
    <w:rsid w:val="0094032B"/>
    <w:rsid w:val="00941562"/>
    <w:rsid w:val="00941802"/>
    <w:rsid w:val="009426A2"/>
    <w:rsid w:val="00943B61"/>
    <w:rsid w:val="00943DAD"/>
    <w:rsid w:val="009440D8"/>
    <w:rsid w:val="00944D8E"/>
    <w:rsid w:val="00945509"/>
    <w:rsid w:val="00945CF6"/>
    <w:rsid w:val="00945D39"/>
    <w:rsid w:val="0094605E"/>
    <w:rsid w:val="00946080"/>
    <w:rsid w:val="00946139"/>
    <w:rsid w:val="009469FF"/>
    <w:rsid w:val="0095356C"/>
    <w:rsid w:val="00953E4E"/>
    <w:rsid w:val="00953F17"/>
    <w:rsid w:val="00955653"/>
    <w:rsid w:val="00957BFE"/>
    <w:rsid w:val="00957C37"/>
    <w:rsid w:val="009604BF"/>
    <w:rsid w:val="0096111E"/>
    <w:rsid w:val="009621D9"/>
    <w:rsid w:val="00962BE6"/>
    <w:rsid w:val="00963786"/>
    <w:rsid w:val="00965F57"/>
    <w:rsid w:val="0096695A"/>
    <w:rsid w:val="00967D3B"/>
    <w:rsid w:val="009703CD"/>
    <w:rsid w:val="00971372"/>
    <w:rsid w:val="0097422F"/>
    <w:rsid w:val="009746F8"/>
    <w:rsid w:val="00974C44"/>
    <w:rsid w:val="00975194"/>
    <w:rsid w:val="00975D2D"/>
    <w:rsid w:val="00976698"/>
    <w:rsid w:val="00976EFB"/>
    <w:rsid w:val="0097723C"/>
    <w:rsid w:val="0097799B"/>
    <w:rsid w:val="00977D4D"/>
    <w:rsid w:val="00980496"/>
    <w:rsid w:val="00980B80"/>
    <w:rsid w:val="00983880"/>
    <w:rsid w:val="00983DBF"/>
    <w:rsid w:val="00984C78"/>
    <w:rsid w:val="00985D45"/>
    <w:rsid w:val="00986556"/>
    <w:rsid w:val="0098771A"/>
    <w:rsid w:val="009877A8"/>
    <w:rsid w:val="0099024A"/>
    <w:rsid w:val="0099192D"/>
    <w:rsid w:val="00992B87"/>
    <w:rsid w:val="009943FE"/>
    <w:rsid w:val="0099441E"/>
    <w:rsid w:val="009944E6"/>
    <w:rsid w:val="009967A3"/>
    <w:rsid w:val="00997EB0"/>
    <w:rsid w:val="009A0209"/>
    <w:rsid w:val="009A1731"/>
    <w:rsid w:val="009A1A16"/>
    <w:rsid w:val="009A2561"/>
    <w:rsid w:val="009A28E9"/>
    <w:rsid w:val="009A3596"/>
    <w:rsid w:val="009A4101"/>
    <w:rsid w:val="009A4D0A"/>
    <w:rsid w:val="009A69FF"/>
    <w:rsid w:val="009A7233"/>
    <w:rsid w:val="009A7A42"/>
    <w:rsid w:val="009A7D6C"/>
    <w:rsid w:val="009B04A3"/>
    <w:rsid w:val="009B04B5"/>
    <w:rsid w:val="009B1197"/>
    <w:rsid w:val="009B2648"/>
    <w:rsid w:val="009B3493"/>
    <w:rsid w:val="009B4B67"/>
    <w:rsid w:val="009B5E0B"/>
    <w:rsid w:val="009B5F0B"/>
    <w:rsid w:val="009B75D4"/>
    <w:rsid w:val="009B7D45"/>
    <w:rsid w:val="009C0E81"/>
    <w:rsid w:val="009C2505"/>
    <w:rsid w:val="009C33F8"/>
    <w:rsid w:val="009C66AC"/>
    <w:rsid w:val="009C6894"/>
    <w:rsid w:val="009D05C0"/>
    <w:rsid w:val="009D0B9B"/>
    <w:rsid w:val="009D2C7E"/>
    <w:rsid w:val="009D2CD3"/>
    <w:rsid w:val="009D7868"/>
    <w:rsid w:val="009E10BF"/>
    <w:rsid w:val="009E44DE"/>
    <w:rsid w:val="009E4D8D"/>
    <w:rsid w:val="009E53A1"/>
    <w:rsid w:val="009F2120"/>
    <w:rsid w:val="009F4D7D"/>
    <w:rsid w:val="009F5CAD"/>
    <w:rsid w:val="009F652E"/>
    <w:rsid w:val="00A0158C"/>
    <w:rsid w:val="00A02176"/>
    <w:rsid w:val="00A0354A"/>
    <w:rsid w:val="00A04A4A"/>
    <w:rsid w:val="00A0623D"/>
    <w:rsid w:val="00A0680C"/>
    <w:rsid w:val="00A07B48"/>
    <w:rsid w:val="00A11352"/>
    <w:rsid w:val="00A13F1D"/>
    <w:rsid w:val="00A15B46"/>
    <w:rsid w:val="00A16451"/>
    <w:rsid w:val="00A17323"/>
    <w:rsid w:val="00A17901"/>
    <w:rsid w:val="00A21716"/>
    <w:rsid w:val="00A22E2D"/>
    <w:rsid w:val="00A23CDA"/>
    <w:rsid w:val="00A24F8E"/>
    <w:rsid w:val="00A2600D"/>
    <w:rsid w:val="00A26823"/>
    <w:rsid w:val="00A27081"/>
    <w:rsid w:val="00A279C2"/>
    <w:rsid w:val="00A31E0F"/>
    <w:rsid w:val="00A32483"/>
    <w:rsid w:val="00A32ABB"/>
    <w:rsid w:val="00A33340"/>
    <w:rsid w:val="00A33A1D"/>
    <w:rsid w:val="00A33ECC"/>
    <w:rsid w:val="00A34D81"/>
    <w:rsid w:val="00A40004"/>
    <w:rsid w:val="00A432F6"/>
    <w:rsid w:val="00A451E5"/>
    <w:rsid w:val="00A465F5"/>
    <w:rsid w:val="00A51D42"/>
    <w:rsid w:val="00A52582"/>
    <w:rsid w:val="00A53D78"/>
    <w:rsid w:val="00A55686"/>
    <w:rsid w:val="00A57E5C"/>
    <w:rsid w:val="00A621B8"/>
    <w:rsid w:val="00A6285F"/>
    <w:rsid w:val="00A66F77"/>
    <w:rsid w:val="00A7004C"/>
    <w:rsid w:val="00A70674"/>
    <w:rsid w:val="00A70E21"/>
    <w:rsid w:val="00A7581E"/>
    <w:rsid w:val="00A77AF7"/>
    <w:rsid w:val="00A77F4D"/>
    <w:rsid w:val="00A849D9"/>
    <w:rsid w:val="00A856FC"/>
    <w:rsid w:val="00A86312"/>
    <w:rsid w:val="00A87C5C"/>
    <w:rsid w:val="00A90B4B"/>
    <w:rsid w:val="00A93D2C"/>
    <w:rsid w:val="00A941B1"/>
    <w:rsid w:val="00A94B59"/>
    <w:rsid w:val="00A95C94"/>
    <w:rsid w:val="00A96871"/>
    <w:rsid w:val="00AA13C7"/>
    <w:rsid w:val="00AA2681"/>
    <w:rsid w:val="00AA2920"/>
    <w:rsid w:val="00AA6240"/>
    <w:rsid w:val="00AA76D8"/>
    <w:rsid w:val="00AA7FD5"/>
    <w:rsid w:val="00AB25B4"/>
    <w:rsid w:val="00AB2B4E"/>
    <w:rsid w:val="00AB3929"/>
    <w:rsid w:val="00AB42A9"/>
    <w:rsid w:val="00AC00A4"/>
    <w:rsid w:val="00AC0EDB"/>
    <w:rsid w:val="00AC226D"/>
    <w:rsid w:val="00AC49F2"/>
    <w:rsid w:val="00AC5314"/>
    <w:rsid w:val="00AC68B8"/>
    <w:rsid w:val="00AD1617"/>
    <w:rsid w:val="00AD1827"/>
    <w:rsid w:val="00AD1B81"/>
    <w:rsid w:val="00AD302A"/>
    <w:rsid w:val="00AD3A5F"/>
    <w:rsid w:val="00AD3FAF"/>
    <w:rsid w:val="00AD4333"/>
    <w:rsid w:val="00AD43B0"/>
    <w:rsid w:val="00AD601C"/>
    <w:rsid w:val="00AD72D7"/>
    <w:rsid w:val="00AD74E7"/>
    <w:rsid w:val="00AE024C"/>
    <w:rsid w:val="00AE1C69"/>
    <w:rsid w:val="00AE41A3"/>
    <w:rsid w:val="00AE4E5A"/>
    <w:rsid w:val="00AE68FE"/>
    <w:rsid w:val="00AE6946"/>
    <w:rsid w:val="00AF07CB"/>
    <w:rsid w:val="00AF210E"/>
    <w:rsid w:val="00AF51F6"/>
    <w:rsid w:val="00AF553D"/>
    <w:rsid w:val="00AF5674"/>
    <w:rsid w:val="00AF645A"/>
    <w:rsid w:val="00AF7C1E"/>
    <w:rsid w:val="00B04618"/>
    <w:rsid w:val="00B04811"/>
    <w:rsid w:val="00B07393"/>
    <w:rsid w:val="00B111F7"/>
    <w:rsid w:val="00B11918"/>
    <w:rsid w:val="00B121B1"/>
    <w:rsid w:val="00B12B08"/>
    <w:rsid w:val="00B139D1"/>
    <w:rsid w:val="00B148FE"/>
    <w:rsid w:val="00B1556E"/>
    <w:rsid w:val="00B16DD3"/>
    <w:rsid w:val="00B16EF9"/>
    <w:rsid w:val="00B16F13"/>
    <w:rsid w:val="00B2484E"/>
    <w:rsid w:val="00B24866"/>
    <w:rsid w:val="00B24CB8"/>
    <w:rsid w:val="00B266EB"/>
    <w:rsid w:val="00B270A3"/>
    <w:rsid w:val="00B274BE"/>
    <w:rsid w:val="00B276C2"/>
    <w:rsid w:val="00B30297"/>
    <w:rsid w:val="00B3298E"/>
    <w:rsid w:val="00B34D5B"/>
    <w:rsid w:val="00B35F45"/>
    <w:rsid w:val="00B36038"/>
    <w:rsid w:val="00B370D3"/>
    <w:rsid w:val="00B411BA"/>
    <w:rsid w:val="00B4223C"/>
    <w:rsid w:val="00B435B1"/>
    <w:rsid w:val="00B43E7E"/>
    <w:rsid w:val="00B46473"/>
    <w:rsid w:val="00B46546"/>
    <w:rsid w:val="00B505BA"/>
    <w:rsid w:val="00B5122F"/>
    <w:rsid w:val="00B51345"/>
    <w:rsid w:val="00B51863"/>
    <w:rsid w:val="00B549B3"/>
    <w:rsid w:val="00B54D31"/>
    <w:rsid w:val="00B54EF0"/>
    <w:rsid w:val="00B5557F"/>
    <w:rsid w:val="00B60C9F"/>
    <w:rsid w:val="00B62CA5"/>
    <w:rsid w:val="00B64C49"/>
    <w:rsid w:val="00B65C93"/>
    <w:rsid w:val="00B66C3F"/>
    <w:rsid w:val="00B677CF"/>
    <w:rsid w:val="00B712F0"/>
    <w:rsid w:val="00B71852"/>
    <w:rsid w:val="00B737DB"/>
    <w:rsid w:val="00B73B2D"/>
    <w:rsid w:val="00B73CCD"/>
    <w:rsid w:val="00B769D8"/>
    <w:rsid w:val="00B81EF4"/>
    <w:rsid w:val="00B82291"/>
    <w:rsid w:val="00B84D6B"/>
    <w:rsid w:val="00B85F8C"/>
    <w:rsid w:val="00B870B6"/>
    <w:rsid w:val="00B90EF4"/>
    <w:rsid w:val="00B93157"/>
    <w:rsid w:val="00B9410C"/>
    <w:rsid w:val="00B95FA8"/>
    <w:rsid w:val="00BA117E"/>
    <w:rsid w:val="00BA270E"/>
    <w:rsid w:val="00BA2ED7"/>
    <w:rsid w:val="00BA3D62"/>
    <w:rsid w:val="00BA60A0"/>
    <w:rsid w:val="00BA6C5A"/>
    <w:rsid w:val="00BA6E35"/>
    <w:rsid w:val="00BA70A7"/>
    <w:rsid w:val="00BB1509"/>
    <w:rsid w:val="00BB30F1"/>
    <w:rsid w:val="00BB35B1"/>
    <w:rsid w:val="00BB4DA2"/>
    <w:rsid w:val="00BB60BE"/>
    <w:rsid w:val="00BB66ED"/>
    <w:rsid w:val="00BC04B0"/>
    <w:rsid w:val="00BC0AA0"/>
    <w:rsid w:val="00BC17C6"/>
    <w:rsid w:val="00BC2481"/>
    <w:rsid w:val="00BC27E8"/>
    <w:rsid w:val="00BC2C21"/>
    <w:rsid w:val="00BC4758"/>
    <w:rsid w:val="00BD0E5A"/>
    <w:rsid w:val="00BD2B8D"/>
    <w:rsid w:val="00BD2BDA"/>
    <w:rsid w:val="00BD46FD"/>
    <w:rsid w:val="00BD6D9D"/>
    <w:rsid w:val="00BD7570"/>
    <w:rsid w:val="00BD7CED"/>
    <w:rsid w:val="00BE417E"/>
    <w:rsid w:val="00BE5E79"/>
    <w:rsid w:val="00BE66A2"/>
    <w:rsid w:val="00BE699A"/>
    <w:rsid w:val="00BF082F"/>
    <w:rsid w:val="00BF09A0"/>
    <w:rsid w:val="00BF2147"/>
    <w:rsid w:val="00BF2383"/>
    <w:rsid w:val="00BF2775"/>
    <w:rsid w:val="00BF3FB9"/>
    <w:rsid w:val="00BF426C"/>
    <w:rsid w:val="00BF6898"/>
    <w:rsid w:val="00BF6F03"/>
    <w:rsid w:val="00BF75A9"/>
    <w:rsid w:val="00C0009A"/>
    <w:rsid w:val="00C018BC"/>
    <w:rsid w:val="00C01E72"/>
    <w:rsid w:val="00C03CB6"/>
    <w:rsid w:val="00C057E7"/>
    <w:rsid w:val="00C060BD"/>
    <w:rsid w:val="00C061B3"/>
    <w:rsid w:val="00C1166A"/>
    <w:rsid w:val="00C12B37"/>
    <w:rsid w:val="00C1306C"/>
    <w:rsid w:val="00C1470A"/>
    <w:rsid w:val="00C16CD8"/>
    <w:rsid w:val="00C2018C"/>
    <w:rsid w:val="00C21995"/>
    <w:rsid w:val="00C23EBA"/>
    <w:rsid w:val="00C24A26"/>
    <w:rsid w:val="00C24DC1"/>
    <w:rsid w:val="00C25D69"/>
    <w:rsid w:val="00C2779E"/>
    <w:rsid w:val="00C30387"/>
    <w:rsid w:val="00C30950"/>
    <w:rsid w:val="00C32B0E"/>
    <w:rsid w:val="00C32FFC"/>
    <w:rsid w:val="00C33EEB"/>
    <w:rsid w:val="00C3558B"/>
    <w:rsid w:val="00C35EBC"/>
    <w:rsid w:val="00C36BB1"/>
    <w:rsid w:val="00C37187"/>
    <w:rsid w:val="00C44393"/>
    <w:rsid w:val="00C45263"/>
    <w:rsid w:val="00C470E5"/>
    <w:rsid w:val="00C5061A"/>
    <w:rsid w:val="00C514FB"/>
    <w:rsid w:val="00C52B25"/>
    <w:rsid w:val="00C53A77"/>
    <w:rsid w:val="00C55B34"/>
    <w:rsid w:val="00C56E08"/>
    <w:rsid w:val="00C61C8B"/>
    <w:rsid w:val="00C62094"/>
    <w:rsid w:val="00C62762"/>
    <w:rsid w:val="00C62C2F"/>
    <w:rsid w:val="00C63089"/>
    <w:rsid w:val="00C6439A"/>
    <w:rsid w:val="00C66A3A"/>
    <w:rsid w:val="00C676A8"/>
    <w:rsid w:val="00C67A68"/>
    <w:rsid w:val="00C71C06"/>
    <w:rsid w:val="00C72DFC"/>
    <w:rsid w:val="00C73DD3"/>
    <w:rsid w:val="00C74795"/>
    <w:rsid w:val="00C75DAF"/>
    <w:rsid w:val="00C77DB6"/>
    <w:rsid w:val="00C77EE0"/>
    <w:rsid w:val="00C81A33"/>
    <w:rsid w:val="00C82AEE"/>
    <w:rsid w:val="00C83382"/>
    <w:rsid w:val="00C84BF4"/>
    <w:rsid w:val="00C856D1"/>
    <w:rsid w:val="00C866B9"/>
    <w:rsid w:val="00C8708B"/>
    <w:rsid w:val="00C91FE7"/>
    <w:rsid w:val="00C92B78"/>
    <w:rsid w:val="00C97E65"/>
    <w:rsid w:val="00CA0FC2"/>
    <w:rsid w:val="00CA316C"/>
    <w:rsid w:val="00CA33A7"/>
    <w:rsid w:val="00CA4987"/>
    <w:rsid w:val="00CA62E1"/>
    <w:rsid w:val="00CA6B12"/>
    <w:rsid w:val="00CB0E43"/>
    <w:rsid w:val="00CB10D3"/>
    <w:rsid w:val="00CB1DA4"/>
    <w:rsid w:val="00CB2EAD"/>
    <w:rsid w:val="00CB4116"/>
    <w:rsid w:val="00CB4690"/>
    <w:rsid w:val="00CB4BBD"/>
    <w:rsid w:val="00CB5DCF"/>
    <w:rsid w:val="00CB6BCA"/>
    <w:rsid w:val="00CB6F02"/>
    <w:rsid w:val="00CB7B6B"/>
    <w:rsid w:val="00CB7CB0"/>
    <w:rsid w:val="00CC01CB"/>
    <w:rsid w:val="00CC22DF"/>
    <w:rsid w:val="00CC23B3"/>
    <w:rsid w:val="00CC2470"/>
    <w:rsid w:val="00CC657E"/>
    <w:rsid w:val="00CC6669"/>
    <w:rsid w:val="00CC7A80"/>
    <w:rsid w:val="00CD1F3C"/>
    <w:rsid w:val="00CD2A24"/>
    <w:rsid w:val="00CD337D"/>
    <w:rsid w:val="00CD3F54"/>
    <w:rsid w:val="00CD4F89"/>
    <w:rsid w:val="00CE13B2"/>
    <w:rsid w:val="00CE198E"/>
    <w:rsid w:val="00CE2150"/>
    <w:rsid w:val="00CE32A2"/>
    <w:rsid w:val="00CE3EF5"/>
    <w:rsid w:val="00CE4058"/>
    <w:rsid w:val="00CE4201"/>
    <w:rsid w:val="00CE55D0"/>
    <w:rsid w:val="00CE568D"/>
    <w:rsid w:val="00CE666B"/>
    <w:rsid w:val="00CE7A9F"/>
    <w:rsid w:val="00CE7AEF"/>
    <w:rsid w:val="00CF014A"/>
    <w:rsid w:val="00CF0A91"/>
    <w:rsid w:val="00CF0EAA"/>
    <w:rsid w:val="00CF45F7"/>
    <w:rsid w:val="00CF4BE8"/>
    <w:rsid w:val="00D007D7"/>
    <w:rsid w:val="00D01187"/>
    <w:rsid w:val="00D01E83"/>
    <w:rsid w:val="00D02099"/>
    <w:rsid w:val="00D023A1"/>
    <w:rsid w:val="00D02658"/>
    <w:rsid w:val="00D0343C"/>
    <w:rsid w:val="00D03869"/>
    <w:rsid w:val="00D101E9"/>
    <w:rsid w:val="00D10618"/>
    <w:rsid w:val="00D107C9"/>
    <w:rsid w:val="00D117A5"/>
    <w:rsid w:val="00D12FA1"/>
    <w:rsid w:val="00D14046"/>
    <w:rsid w:val="00D171B5"/>
    <w:rsid w:val="00D173D1"/>
    <w:rsid w:val="00D1746E"/>
    <w:rsid w:val="00D20008"/>
    <w:rsid w:val="00D21FB0"/>
    <w:rsid w:val="00D22A51"/>
    <w:rsid w:val="00D24D96"/>
    <w:rsid w:val="00D25C40"/>
    <w:rsid w:val="00D27469"/>
    <w:rsid w:val="00D30183"/>
    <w:rsid w:val="00D33304"/>
    <w:rsid w:val="00D34885"/>
    <w:rsid w:val="00D368AE"/>
    <w:rsid w:val="00D405BE"/>
    <w:rsid w:val="00D41F07"/>
    <w:rsid w:val="00D42668"/>
    <w:rsid w:val="00D4545A"/>
    <w:rsid w:val="00D474F3"/>
    <w:rsid w:val="00D4764F"/>
    <w:rsid w:val="00D47C43"/>
    <w:rsid w:val="00D503A5"/>
    <w:rsid w:val="00D515C3"/>
    <w:rsid w:val="00D51F2C"/>
    <w:rsid w:val="00D53BB2"/>
    <w:rsid w:val="00D543B3"/>
    <w:rsid w:val="00D54ED3"/>
    <w:rsid w:val="00D55537"/>
    <w:rsid w:val="00D56C7F"/>
    <w:rsid w:val="00D5729F"/>
    <w:rsid w:val="00D60E6D"/>
    <w:rsid w:val="00D60FC6"/>
    <w:rsid w:val="00D64572"/>
    <w:rsid w:val="00D65943"/>
    <w:rsid w:val="00D67168"/>
    <w:rsid w:val="00D67A4F"/>
    <w:rsid w:val="00D67D28"/>
    <w:rsid w:val="00D71805"/>
    <w:rsid w:val="00D729C8"/>
    <w:rsid w:val="00D73C5E"/>
    <w:rsid w:val="00D74593"/>
    <w:rsid w:val="00D751DB"/>
    <w:rsid w:val="00D778BE"/>
    <w:rsid w:val="00D806E4"/>
    <w:rsid w:val="00D81EB8"/>
    <w:rsid w:val="00D82D32"/>
    <w:rsid w:val="00D82F77"/>
    <w:rsid w:val="00D8300B"/>
    <w:rsid w:val="00D84B15"/>
    <w:rsid w:val="00D90657"/>
    <w:rsid w:val="00D921FE"/>
    <w:rsid w:val="00D92CF3"/>
    <w:rsid w:val="00D934CA"/>
    <w:rsid w:val="00D94357"/>
    <w:rsid w:val="00D94CC5"/>
    <w:rsid w:val="00D962A5"/>
    <w:rsid w:val="00DA0EAC"/>
    <w:rsid w:val="00DA21AF"/>
    <w:rsid w:val="00DA3E18"/>
    <w:rsid w:val="00DA3F83"/>
    <w:rsid w:val="00DA7EF4"/>
    <w:rsid w:val="00DB0BF0"/>
    <w:rsid w:val="00DB112B"/>
    <w:rsid w:val="00DB1182"/>
    <w:rsid w:val="00DB160F"/>
    <w:rsid w:val="00DB1682"/>
    <w:rsid w:val="00DB1CD4"/>
    <w:rsid w:val="00DB1DF0"/>
    <w:rsid w:val="00DB38A9"/>
    <w:rsid w:val="00DB3F1B"/>
    <w:rsid w:val="00DB4993"/>
    <w:rsid w:val="00DB4FEC"/>
    <w:rsid w:val="00DB6041"/>
    <w:rsid w:val="00DC07C4"/>
    <w:rsid w:val="00DC07C6"/>
    <w:rsid w:val="00DC0CBE"/>
    <w:rsid w:val="00DC1DCF"/>
    <w:rsid w:val="00DC3866"/>
    <w:rsid w:val="00DC6695"/>
    <w:rsid w:val="00DD1819"/>
    <w:rsid w:val="00DD1B84"/>
    <w:rsid w:val="00DD4654"/>
    <w:rsid w:val="00DD6364"/>
    <w:rsid w:val="00DD748B"/>
    <w:rsid w:val="00DD7A52"/>
    <w:rsid w:val="00DE0B4C"/>
    <w:rsid w:val="00DE6B2C"/>
    <w:rsid w:val="00DE6BF7"/>
    <w:rsid w:val="00DE7F9A"/>
    <w:rsid w:val="00DF0402"/>
    <w:rsid w:val="00DF0B08"/>
    <w:rsid w:val="00DF1832"/>
    <w:rsid w:val="00DF30A7"/>
    <w:rsid w:val="00DF3D5A"/>
    <w:rsid w:val="00DF3E8B"/>
    <w:rsid w:val="00DF504F"/>
    <w:rsid w:val="00DF5F02"/>
    <w:rsid w:val="00DF69E1"/>
    <w:rsid w:val="00DF70B4"/>
    <w:rsid w:val="00DF79EA"/>
    <w:rsid w:val="00E028E0"/>
    <w:rsid w:val="00E0475D"/>
    <w:rsid w:val="00E06059"/>
    <w:rsid w:val="00E107F7"/>
    <w:rsid w:val="00E13D89"/>
    <w:rsid w:val="00E15025"/>
    <w:rsid w:val="00E15B47"/>
    <w:rsid w:val="00E15B75"/>
    <w:rsid w:val="00E16390"/>
    <w:rsid w:val="00E202F9"/>
    <w:rsid w:val="00E24919"/>
    <w:rsid w:val="00E2575C"/>
    <w:rsid w:val="00E26391"/>
    <w:rsid w:val="00E3083D"/>
    <w:rsid w:val="00E33D77"/>
    <w:rsid w:val="00E35EFC"/>
    <w:rsid w:val="00E3670F"/>
    <w:rsid w:val="00E40982"/>
    <w:rsid w:val="00E40DD4"/>
    <w:rsid w:val="00E44311"/>
    <w:rsid w:val="00E44E69"/>
    <w:rsid w:val="00E46C4B"/>
    <w:rsid w:val="00E47129"/>
    <w:rsid w:val="00E47383"/>
    <w:rsid w:val="00E5083C"/>
    <w:rsid w:val="00E517AF"/>
    <w:rsid w:val="00E53FE4"/>
    <w:rsid w:val="00E5487F"/>
    <w:rsid w:val="00E56C39"/>
    <w:rsid w:val="00E6007F"/>
    <w:rsid w:val="00E61156"/>
    <w:rsid w:val="00E62F0B"/>
    <w:rsid w:val="00E652DE"/>
    <w:rsid w:val="00E671FE"/>
    <w:rsid w:val="00E67457"/>
    <w:rsid w:val="00E67E66"/>
    <w:rsid w:val="00E67EBD"/>
    <w:rsid w:val="00E700FB"/>
    <w:rsid w:val="00E70D5A"/>
    <w:rsid w:val="00E71521"/>
    <w:rsid w:val="00E71D0D"/>
    <w:rsid w:val="00E72B97"/>
    <w:rsid w:val="00E75177"/>
    <w:rsid w:val="00E80F60"/>
    <w:rsid w:val="00E84C01"/>
    <w:rsid w:val="00E852E5"/>
    <w:rsid w:val="00E853BD"/>
    <w:rsid w:val="00E86B84"/>
    <w:rsid w:val="00E87E76"/>
    <w:rsid w:val="00E87E8F"/>
    <w:rsid w:val="00E92F7E"/>
    <w:rsid w:val="00E93D23"/>
    <w:rsid w:val="00E96562"/>
    <w:rsid w:val="00E96C72"/>
    <w:rsid w:val="00E97386"/>
    <w:rsid w:val="00E9754A"/>
    <w:rsid w:val="00E97FB8"/>
    <w:rsid w:val="00EA1097"/>
    <w:rsid w:val="00EA13FC"/>
    <w:rsid w:val="00EA5F65"/>
    <w:rsid w:val="00EA6072"/>
    <w:rsid w:val="00EA6200"/>
    <w:rsid w:val="00EA767C"/>
    <w:rsid w:val="00EA7B28"/>
    <w:rsid w:val="00EB1C5D"/>
    <w:rsid w:val="00EB3B84"/>
    <w:rsid w:val="00EB68B9"/>
    <w:rsid w:val="00EB68C5"/>
    <w:rsid w:val="00EC05AC"/>
    <w:rsid w:val="00EC1203"/>
    <w:rsid w:val="00EC2614"/>
    <w:rsid w:val="00EC478E"/>
    <w:rsid w:val="00EC6408"/>
    <w:rsid w:val="00EC722D"/>
    <w:rsid w:val="00EC75EB"/>
    <w:rsid w:val="00ED0B6F"/>
    <w:rsid w:val="00ED0E56"/>
    <w:rsid w:val="00ED17B1"/>
    <w:rsid w:val="00ED537D"/>
    <w:rsid w:val="00ED6EC1"/>
    <w:rsid w:val="00EE0598"/>
    <w:rsid w:val="00EE1D8E"/>
    <w:rsid w:val="00EE2B1B"/>
    <w:rsid w:val="00EE3C7D"/>
    <w:rsid w:val="00EE3CDF"/>
    <w:rsid w:val="00EE40B4"/>
    <w:rsid w:val="00EE4E1F"/>
    <w:rsid w:val="00EE58CA"/>
    <w:rsid w:val="00EE605F"/>
    <w:rsid w:val="00EE6B3E"/>
    <w:rsid w:val="00EE7C8C"/>
    <w:rsid w:val="00EF016F"/>
    <w:rsid w:val="00EF2A2B"/>
    <w:rsid w:val="00EF60D3"/>
    <w:rsid w:val="00EF657B"/>
    <w:rsid w:val="00EF70E1"/>
    <w:rsid w:val="00EF768A"/>
    <w:rsid w:val="00EF7FA2"/>
    <w:rsid w:val="00F002F2"/>
    <w:rsid w:val="00F00A15"/>
    <w:rsid w:val="00F017C2"/>
    <w:rsid w:val="00F01F68"/>
    <w:rsid w:val="00F0227A"/>
    <w:rsid w:val="00F0315E"/>
    <w:rsid w:val="00F033E9"/>
    <w:rsid w:val="00F0356A"/>
    <w:rsid w:val="00F06EA6"/>
    <w:rsid w:val="00F107B4"/>
    <w:rsid w:val="00F11D2C"/>
    <w:rsid w:val="00F132AF"/>
    <w:rsid w:val="00F14BA8"/>
    <w:rsid w:val="00F1633E"/>
    <w:rsid w:val="00F17D5B"/>
    <w:rsid w:val="00F20433"/>
    <w:rsid w:val="00F20B3A"/>
    <w:rsid w:val="00F20DCA"/>
    <w:rsid w:val="00F21BB5"/>
    <w:rsid w:val="00F2226A"/>
    <w:rsid w:val="00F22F8F"/>
    <w:rsid w:val="00F2406F"/>
    <w:rsid w:val="00F24459"/>
    <w:rsid w:val="00F24FF9"/>
    <w:rsid w:val="00F2594B"/>
    <w:rsid w:val="00F25C6F"/>
    <w:rsid w:val="00F27488"/>
    <w:rsid w:val="00F27E13"/>
    <w:rsid w:val="00F304FB"/>
    <w:rsid w:val="00F3443E"/>
    <w:rsid w:val="00F35F4F"/>
    <w:rsid w:val="00F41573"/>
    <w:rsid w:val="00F454AF"/>
    <w:rsid w:val="00F458A0"/>
    <w:rsid w:val="00F462DE"/>
    <w:rsid w:val="00F46626"/>
    <w:rsid w:val="00F53F9F"/>
    <w:rsid w:val="00F54A3A"/>
    <w:rsid w:val="00F54A6D"/>
    <w:rsid w:val="00F5634D"/>
    <w:rsid w:val="00F566DE"/>
    <w:rsid w:val="00F56C46"/>
    <w:rsid w:val="00F56FF6"/>
    <w:rsid w:val="00F5715F"/>
    <w:rsid w:val="00F57642"/>
    <w:rsid w:val="00F60586"/>
    <w:rsid w:val="00F6143A"/>
    <w:rsid w:val="00F625AB"/>
    <w:rsid w:val="00F6323B"/>
    <w:rsid w:val="00F63D5D"/>
    <w:rsid w:val="00F64025"/>
    <w:rsid w:val="00F642E3"/>
    <w:rsid w:val="00F6580F"/>
    <w:rsid w:val="00F66866"/>
    <w:rsid w:val="00F72283"/>
    <w:rsid w:val="00F734AF"/>
    <w:rsid w:val="00F74789"/>
    <w:rsid w:val="00F7727F"/>
    <w:rsid w:val="00F773F3"/>
    <w:rsid w:val="00F80575"/>
    <w:rsid w:val="00F80F1D"/>
    <w:rsid w:val="00F825E6"/>
    <w:rsid w:val="00F838EB"/>
    <w:rsid w:val="00F83EAE"/>
    <w:rsid w:val="00F84E27"/>
    <w:rsid w:val="00F84FC7"/>
    <w:rsid w:val="00F85592"/>
    <w:rsid w:val="00F85A4C"/>
    <w:rsid w:val="00F87339"/>
    <w:rsid w:val="00F903B7"/>
    <w:rsid w:val="00F975CF"/>
    <w:rsid w:val="00F97DF2"/>
    <w:rsid w:val="00FA0ABF"/>
    <w:rsid w:val="00FA1C04"/>
    <w:rsid w:val="00FA4EBE"/>
    <w:rsid w:val="00FA6C85"/>
    <w:rsid w:val="00FA6FAB"/>
    <w:rsid w:val="00FB4A8E"/>
    <w:rsid w:val="00FB5767"/>
    <w:rsid w:val="00FB683A"/>
    <w:rsid w:val="00FB6D0C"/>
    <w:rsid w:val="00FC0B50"/>
    <w:rsid w:val="00FC49E4"/>
    <w:rsid w:val="00FD0C8D"/>
    <w:rsid w:val="00FD262A"/>
    <w:rsid w:val="00FD2AC9"/>
    <w:rsid w:val="00FD31C1"/>
    <w:rsid w:val="00FD493E"/>
    <w:rsid w:val="00FD4DC7"/>
    <w:rsid w:val="00FD6DF6"/>
    <w:rsid w:val="00FE0D5D"/>
    <w:rsid w:val="00FE2184"/>
    <w:rsid w:val="00FE2FE0"/>
    <w:rsid w:val="00FE5A4F"/>
    <w:rsid w:val="00FE6385"/>
    <w:rsid w:val="00FE75E2"/>
    <w:rsid w:val="00FE7C04"/>
    <w:rsid w:val="00FF1179"/>
    <w:rsid w:val="00FF1E6F"/>
    <w:rsid w:val="00FF21E3"/>
    <w:rsid w:val="00FF31F1"/>
    <w:rsid w:val="00FF499D"/>
    <w:rsid w:val="00FF65B2"/>
    <w:rsid w:val="00FF6AFE"/>
    <w:rsid w:val="00FF7761"/>
    <w:rsid w:val="0587C25A"/>
    <w:rsid w:val="6EF6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315FBB"/>
  <w15:docId w15:val="{D99F415F-7C70-4F16-8BD2-4A765DBC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pPr>
      <w:keepNext/>
      <w:keepLines/>
      <w:spacing w:before="240" w:after="120"/>
      <w:outlineLvl w:val="0"/>
    </w:pPr>
    <w:rPr>
      <w:b/>
      <w:smallCaps/>
      <w:sz w:val="36"/>
      <w:szCs w:val="36"/>
    </w:rPr>
  </w:style>
  <w:style w:type="paragraph" w:styleId="Heading2">
    <w:name w:val="heading 2"/>
    <w:basedOn w:val="Normal1"/>
    <w:next w:val="Normal1"/>
    <w:link w:val="Heading2Char"/>
    <w:rsid w:val="00F6143A"/>
    <w:pPr>
      <w:keepNext/>
      <w:keepLines/>
      <w:spacing w:before="240" w:after="60"/>
      <w:outlineLvl w:val="1"/>
    </w:pPr>
    <w:rPr>
      <w:rFonts w:eastAsia="Arial Narrow" w:cs="Arial Narrow"/>
      <w:b/>
      <w:smallCaps/>
      <w:sz w:val="28"/>
      <w:szCs w:val="28"/>
    </w:rPr>
  </w:style>
  <w:style w:type="paragraph" w:styleId="Heading3">
    <w:name w:val="heading 3"/>
    <w:basedOn w:val="Normal1"/>
    <w:next w:val="Normal1"/>
    <w:rsid w:val="00F6143A"/>
    <w:pPr>
      <w:keepNext/>
      <w:keepLines/>
      <w:spacing w:before="240" w:after="60"/>
      <w:outlineLvl w:val="2"/>
    </w:pPr>
    <w:rPr>
      <w:rFonts w:eastAsia="Arial" w:cs="Arial"/>
      <w:b/>
      <w:sz w:val="26"/>
      <w:szCs w:val="26"/>
    </w:rPr>
  </w:style>
  <w:style w:type="paragraph" w:styleId="Heading4">
    <w:name w:val="heading 4"/>
    <w:basedOn w:val="Normal1"/>
    <w:next w:val="Normal1"/>
    <w:pPr>
      <w:keepNext/>
      <w:keepLines/>
      <w:spacing w:before="240" w:after="40"/>
      <w:outlineLvl w:val="3"/>
    </w:pPr>
    <w:rPr>
      <w:b/>
      <w:sz w:val="24"/>
      <w:szCs w:val="24"/>
    </w:rPr>
  </w:style>
  <w:style w:type="paragraph" w:styleId="Heading5">
    <w:name w:val="heading 5"/>
    <w:basedOn w:val="Normal1"/>
    <w:next w:val="Normal1"/>
    <w:pPr>
      <w:keepNext/>
      <w:keepLines/>
      <w:spacing w:before="220" w:after="40"/>
      <w:outlineLvl w:val="4"/>
    </w:pPr>
    <w:rPr>
      <w:b/>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27">
    <w:name w:val="27"/>
    <w:basedOn w:val="TableNormal"/>
    <w:pPr>
      <w:contextualSpacing/>
    </w:pPr>
    <w:rPr>
      <w:sz w:val="20"/>
      <w:szCs w:val="20"/>
    </w:rPr>
    <w:tblPr>
      <w:tblStyleRowBandSize w:val="1"/>
      <w:tblStyleColBandSize w:val="1"/>
      <w:tblCellMar>
        <w:left w:w="115" w:type="dxa"/>
        <w:right w:w="115" w:type="dxa"/>
      </w:tblCellMar>
    </w:tblPr>
  </w:style>
  <w:style w:type="table" w:customStyle="1" w:styleId="26">
    <w:name w:val="26"/>
    <w:basedOn w:val="TableNormal"/>
    <w:pPr>
      <w:contextualSpacing/>
    </w:pPr>
    <w:rPr>
      <w:sz w:val="20"/>
      <w:szCs w:val="20"/>
    </w:rPr>
    <w:tblPr>
      <w:tblStyleRowBandSize w:val="1"/>
      <w:tblStyleColBandSize w:val="1"/>
      <w:tblCellMar>
        <w:left w:w="115" w:type="dxa"/>
        <w:right w:w="115" w:type="dxa"/>
      </w:tblCellMar>
    </w:tblPr>
  </w:style>
  <w:style w:type="table" w:customStyle="1" w:styleId="25">
    <w:name w:val="25"/>
    <w:basedOn w:val="TableNormal"/>
    <w:pPr>
      <w:contextualSpacing/>
    </w:pPr>
    <w:rPr>
      <w:sz w:val="20"/>
      <w:szCs w:val="20"/>
    </w:rPr>
    <w:tblPr>
      <w:tblStyleRowBandSize w:val="1"/>
      <w:tblStyleColBandSize w:val="1"/>
      <w:tblCellMar>
        <w:left w:w="115" w:type="dxa"/>
        <w:right w:w="115" w:type="dxa"/>
      </w:tblCellMar>
    </w:tblPr>
  </w:style>
  <w:style w:type="table" w:customStyle="1" w:styleId="24">
    <w:name w:val="24"/>
    <w:basedOn w:val="TableNormal"/>
    <w:pPr>
      <w:contextualSpacing/>
    </w:pPr>
    <w:rPr>
      <w:sz w:val="20"/>
      <w:szCs w:val="20"/>
    </w:rPr>
    <w:tblPr>
      <w:tblStyleRowBandSize w:val="1"/>
      <w:tblStyleColBandSize w:val="1"/>
      <w:tblCellMar>
        <w:left w:w="115" w:type="dxa"/>
        <w:right w:w="115" w:type="dxa"/>
      </w:tblCellMar>
    </w:tblPr>
  </w:style>
  <w:style w:type="table" w:customStyle="1" w:styleId="23">
    <w:name w:val="23"/>
    <w:basedOn w:val="TableNormal"/>
    <w:pPr>
      <w:contextualSpacing/>
    </w:pPr>
    <w:rPr>
      <w:sz w:val="20"/>
      <w:szCs w:val="20"/>
    </w:rPr>
    <w:tblPr>
      <w:tblStyleRowBandSize w:val="1"/>
      <w:tblStyleColBandSize w:val="1"/>
      <w:tblCellMar>
        <w:left w:w="115" w:type="dxa"/>
        <w:right w:w="115" w:type="dxa"/>
      </w:tblCellMar>
    </w:tblPr>
  </w:style>
  <w:style w:type="table" w:customStyle="1" w:styleId="22">
    <w:name w:val="22"/>
    <w:basedOn w:val="TableNormal"/>
    <w:pPr>
      <w:contextualSpacing/>
    </w:pPr>
    <w:rPr>
      <w:sz w:val="20"/>
      <w:szCs w:val="20"/>
    </w:rPr>
    <w:tblPr>
      <w:tblStyleRowBandSize w:val="1"/>
      <w:tblStyleColBandSize w:val="1"/>
      <w:tblCellMar>
        <w:left w:w="115" w:type="dxa"/>
        <w:right w:w="115" w:type="dxa"/>
      </w:tblCellMar>
    </w:tblPr>
  </w:style>
  <w:style w:type="table" w:customStyle="1" w:styleId="21">
    <w:name w:val="21"/>
    <w:basedOn w:val="TableNormal"/>
    <w:pPr>
      <w:contextualSpacing/>
    </w:pPr>
    <w:tblPr>
      <w:tblStyleRowBandSize w:val="1"/>
      <w:tblStyleColBandSize w:val="1"/>
      <w:tblCellMar>
        <w:left w:w="115" w:type="dxa"/>
        <w:right w:w="115" w:type="dxa"/>
      </w:tblCellMar>
    </w:tblPr>
  </w:style>
  <w:style w:type="table" w:customStyle="1" w:styleId="20">
    <w:name w:val="20"/>
    <w:basedOn w:val="TableNormal"/>
    <w:pPr>
      <w:contextualSpacing/>
    </w:pPr>
    <w:rPr>
      <w:sz w:val="20"/>
      <w:szCs w:val="20"/>
    </w:rPr>
    <w:tblPr>
      <w:tblStyleRowBandSize w:val="1"/>
      <w:tblStyleColBandSize w:val="1"/>
      <w:tblCellMar>
        <w:left w:w="115" w:type="dxa"/>
        <w:right w:w="115" w:type="dxa"/>
      </w:tblCellMar>
    </w:tblPr>
  </w:style>
  <w:style w:type="table" w:customStyle="1" w:styleId="19">
    <w:name w:val="19"/>
    <w:basedOn w:val="TableNormal"/>
    <w:pPr>
      <w:contextualSpacing/>
    </w:pPr>
    <w:rPr>
      <w:sz w:val="20"/>
      <w:szCs w:val="20"/>
    </w:rPr>
    <w:tblPr>
      <w:tblStyleRowBandSize w:val="1"/>
      <w:tblStyleColBandSize w:val="1"/>
      <w:tblCellMar>
        <w:left w:w="115" w:type="dxa"/>
        <w:right w:w="115" w:type="dxa"/>
      </w:tblCellMar>
    </w:tblPr>
  </w:style>
  <w:style w:type="table" w:customStyle="1" w:styleId="18">
    <w:name w:val="18"/>
    <w:basedOn w:val="TableNormal"/>
    <w:pPr>
      <w:contextualSpacing/>
    </w:pPr>
    <w:rPr>
      <w:sz w:val="20"/>
      <w:szCs w:val="20"/>
    </w:rPr>
    <w:tblPr>
      <w:tblStyleRowBandSize w:val="1"/>
      <w:tblStyleColBandSize w:val="1"/>
      <w:tblCellMar>
        <w:left w:w="115" w:type="dxa"/>
        <w:right w:w="115" w:type="dxa"/>
      </w:tblCellMar>
    </w:tblPr>
  </w:style>
  <w:style w:type="table" w:customStyle="1" w:styleId="17">
    <w:name w:val="17"/>
    <w:basedOn w:val="TableNormal"/>
    <w:pPr>
      <w:contextualSpacing/>
    </w:pPr>
    <w:rPr>
      <w:sz w:val="20"/>
      <w:szCs w:val="20"/>
    </w:rPr>
    <w:tblPr>
      <w:tblStyleRowBandSize w:val="1"/>
      <w:tblStyleColBandSize w:val="1"/>
      <w:tblCellMar>
        <w:left w:w="115" w:type="dxa"/>
        <w:right w:w="115" w:type="dxa"/>
      </w:tblCellMar>
    </w:tblPr>
  </w:style>
  <w:style w:type="table" w:customStyle="1" w:styleId="16">
    <w:name w:val="16"/>
    <w:basedOn w:val="TableNormal"/>
    <w:pPr>
      <w:contextualSpacing/>
    </w:pPr>
    <w:tblPr>
      <w:tblStyleRowBandSize w:val="1"/>
      <w:tblStyleColBandSize w:val="1"/>
      <w:tblCellMar>
        <w:left w:w="115" w:type="dxa"/>
        <w:right w:w="115" w:type="dxa"/>
      </w:tblCellMar>
    </w:tblPr>
  </w:style>
  <w:style w:type="table" w:customStyle="1" w:styleId="15">
    <w:name w:val="15"/>
    <w:basedOn w:val="TableNormal"/>
    <w:pPr>
      <w:contextualSpacing/>
    </w:pPr>
    <w:rPr>
      <w:sz w:val="20"/>
      <w:szCs w:val="20"/>
    </w:rPr>
    <w:tblPr>
      <w:tblStyleRowBandSize w:val="1"/>
      <w:tblStyleColBandSize w:val="1"/>
      <w:tblCellMar>
        <w:left w:w="115" w:type="dxa"/>
        <w:right w:w="115" w:type="dxa"/>
      </w:tblCellMar>
    </w:tblPr>
  </w:style>
  <w:style w:type="table" w:customStyle="1" w:styleId="14">
    <w:name w:val="14"/>
    <w:basedOn w:val="TableNormal"/>
    <w:pPr>
      <w:contextualSpacing/>
    </w:pPr>
    <w:rPr>
      <w:sz w:val="20"/>
      <w:szCs w:val="20"/>
    </w:rPr>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Pr>
  </w:style>
  <w:style w:type="table" w:customStyle="1" w:styleId="12">
    <w:name w:val="12"/>
    <w:basedOn w:val="TableNormal"/>
    <w:pPr>
      <w:contextualSpacing/>
    </w:pPr>
    <w:rPr>
      <w:sz w:val="20"/>
      <w:szCs w:val="20"/>
    </w:rPr>
    <w:tblPr>
      <w:tblStyleRowBandSize w:val="1"/>
      <w:tblStyleColBandSize w:val="1"/>
      <w:tblCellMar>
        <w:left w:w="115" w:type="dxa"/>
        <w:right w:w="115" w:type="dxa"/>
      </w:tblCellMar>
    </w:tblPr>
  </w:style>
  <w:style w:type="table" w:customStyle="1" w:styleId="11">
    <w:name w:val="11"/>
    <w:basedOn w:val="TableNormal"/>
    <w:pPr>
      <w:contextualSpacing/>
    </w:pPr>
    <w:rPr>
      <w:sz w:val="20"/>
      <w:szCs w:val="20"/>
    </w:rPr>
    <w:tblPr>
      <w:tblStyleRowBandSize w:val="1"/>
      <w:tblStyleColBandSize w:val="1"/>
      <w:tblCellMar>
        <w:left w:w="115" w:type="dxa"/>
        <w:right w:w="115" w:type="dxa"/>
      </w:tblCellMar>
    </w:tblPr>
  </w:style>
  <w:style w:type="table" w:customStyle="1" w:styleId="10">
    <w:name w:val="10"/>
    <w:basedOn w:val="TableNormal"/>
    <w:pPr>
      <w:contextualSpacing/>
    </w:pPr>
    <w:tblPr>
      <w:tblStyleRowBandSize w:val="1"/>
      <w:tblStyleColBandSize w:val="1"/>
      <w:tblCellMar>
        <w:left w:w="115" w:type="dxa"/>
        <w:right w:w="115" w:type="dxa"/>
      </w:tblCellMar>
    </w:tblPr>
  </w:style>
  <w:style w:type="table" w:customStyle="1" w:styleId="9">
    <w:name w:val="9"/>
    <w:basedOn w:val="TableNormal"/>
    <w:pPr>
      <w:contextualSpacing/>
    </w:pPr>
    <w:rPr>
      <w:sz w:val="20"/>
      <w:szCs w:val="20"/>
    </w:rPr>
    <w:tblPr>
      <w:tblStyleRowBandSize w:val="1"/>
      <w:tblStyleColBandSize w:val="1"/>
      <w:tblCellMar>
        <w:left w:w="115" w:type="dxa"/>
        <w:right w:w="115" w:type="dxa"/>
      </w:tblCellMar>
    </w:tblPr>
  </w:style>
  <w:style w:type="table" w:customStyle="1" w:styleId="8">
    <w:name w:val="8"/>
    <w:basedOn w:val="TableNormal"/>
    <w:pPr>
      <w:contextualSpacing/>
    </w:pPr>
    <w:tblPr>
      <w:tblStyleRowBandSize w:val="1"/>
      <w:tblStyleColBandSize w:val="1"/>
      <w:tblCellMar>
        <w:left w:w="115" w:type="dxa"/>
        <w:right w:w="115" w:type="dxa"/>
      </w:tblCellMar>
    </w:tblPr>
  </w:style>
  <w:style w:type="table" w:customStyle="1" w:styleId="7">
    <w:name w:val="7"/>
    <w:basedOn w:val="TableNormal"/>
    <w:pPr>
      <w:contextualSpacing/>
    </w:pPr>
    <w:tblPr>
      <w:tblStyleRowBandSize w:val="1"/>
      <w:tblStyleColBandSize w:val="1"/>
      <w:tblCellMar>
        <w:left w:w="115" w:type="dxa"/>
        <w:right w:w="115" w:type="dxa"/>
      </w:tblCellMar>
    </w:tblPr>
  </w:style>
  <w:style w:type="table" w:customStyle="1" w:styleId="6">
    <w:name w:val="6"/>
    <w:basedOn w:val="TableNormal"/>
    <w:pPr>
      <w:contextualSpacing/>
    </w:pPr>
    <w:tblPr>
      <w:tblStyleRowBandSize w:val="1"/>
      <w:tblStyleColBandSize w:val="1"/>
      <w:tblCellMar>
        <w:left w:w="115" w:type="dxa"/>
        <w:right w:w="115" w:type="dxa"/>
      </w:tblCellMar>
    </w:tblPr>
  </w:style>
  <w:style w:type="table" w:customStyle="1" w:styleId="5">
    <w:name w:val="5"/>
    <w:basedOn w:val="TableNormal"/>
    <w:pPr>
      <w:contextualSpacing/>
    </w:pPr>
    <w:tblPr>
      <w:tblStyleRowBandSize w:val="1"/>
      <w:tblStyleColBandSize w:val="1"/>
      <w:tblCellMar>
        <w:left w:w="115" w:type="dxa"/>
        <w:right w:w="115" w:type="dxa"/>
      </w:tblCellMar>
    </w:tblPr>
  </w:style>
  <w:style w:type="table" w:customStyle="1" w:styleId="4">
    <w:name w:val="4"/>
    <w:basedOn w:val="TableNormal"/>
    <w:pPr>
      <w:contextualSpacing/>
    </w:pPr>
    <w:tblPr>
      <w:tblStyleRowBandSize w:val="1"/>
      <w:tblStyleColBandSize w:val="1"/>
      <w:tblCellMar>
        <w:left w:w="115" w:type="dxa"/>
        <w:right w:w="115" w:type="dxa"/>
      </w:tblCellMar>
    </w:tblPr>
  </w:style>
  <w:style w:type="table" w:customStyle="1" w:styleId="3">
    <w:name w:val="3"/>
    <w:basedOn w:val="TableNormal"/>
    <w:pPr>
      <w:contextualSpacing/>
    </w:pPr>
    <w:rPr>
      <w:sz w:val="20"/>
      <w:szCs w:val="20"/>
    </w:rPr>
    <w:tblPr>
      <w:tblStyleRowBandSize w:val="1"/>
      <w:tblStyleColBandSize w:val="1"/>
      <w:tblCellMar>
        <w:left w:w="115" w:type="dxa"/>
        <w:right w:w="115" w:type="dxa"/>
      </w:tblCellMar>
    </w:tblPr>
  </w:style>
  <w:style w:type="table" w:customStyle="1" w:styleId="2">
    <w:name w:val="2"/>
    <w:basedOn w:val="TableNormal"/>
    <w:pPr>
      <w:contextualSpacing/>
    </w:pPr>
    <w:rPr>
      <w:sz w:val="20"/>
      <w:szCs w:val="20"/>
    </w:rPr>
    <w:tblPr>
      <w:tblStyleRowBandSize w:val="1"/>
      <w:tblStyleColBandSize w:val="1"/>
      <w:tblCellMar>
        <w:left w:w="115" w:type="dxa"/>
        <w:right w:w="115" w:type="dxa"/>
      </w:tblCellMar>
    </w:tblPr>
  </w:style>
  <w:style w:type="table" w:customStyle="1" w:styleId="1">
    <w:name w:val="1"/>
    <w:basedOn w:val="TableNormal"/>
    <w:pPr>
      <w:contextualSpacing/>
    </w:pPr>
    <w:rPr>
      <w:sz w:val="20"/>
      <w:szCs w:val="20"/>
    </w:r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506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063C"/>
    <w:rPr>
      <w:rFonts w:ascii="Lucida Grande" w:hAnsi="Lucida Grande" w:cs="Lucida Grande"/>
      <w:sz w:val="18"/>
      <w:szCs w:val="18"/>
    </w:rPr>
  </w:style>
  <w:style w:type="paragraph" w:styleId="Header">
    <w:name w:val="header"/>
    <w:basedOn w:val="Normal"/>
    <w:link w:val="HeaderChar"/>
    <w:uiPriority w:val="99"/>
    <w:unhideWhenUsed/>
    <w:rsid w:val="008637BB"/>
    <w:pPr>
      <w:tabs>
        <w:tab w:val="center" w:pos="4320"/>
        <w:tab w:val="right" w:pos="8640"/>
      </w:tabs>
    </w:pPr>
  </w:style>
  <w:style w:type="character" w:customStyle="1" w:styleId="HeaderChar">
    <w:name w:val="Header Char"/>
    <w:basedOn w:val="DefaultParagraphFont"/>
    <w:link w:val="Header"/>
    <w:uiPriority w:val="99"/>
    <w:rsid w:val="008637BB"/>
  </w:style>
  <w:style w:type="paragraph" w:styleId="Footer">
    <w:name w:val="footer"/>
    <w:basedOn w:val="Normal"/>
    <w:link w:val="FooterChar"/>
    <w:uiPriority w:val="99"/>
    <w:unhideWhenUsed/>
    <w:rsid w:val="008637BB"/>
    <w:pPr>
      <w:tabs>
        <w:tab w:val="center" w:pos="4320"/>
        <w:tab w:val="right" w:pos="8640"/>
      </w:tabs>
    </w:pPr>
  </w:style>
  <w:style w:type="character" w:customStyle="1" w:styleId="FooterChar">
    <w:name w:val="Footer Char"/>
    <w:basedOn w:val="DefaultParagraphFont"/>
    <w:link w:val="Footer"/>
    <w:uiPriority w:val="99"/>
    <w:rsid w:val="008637BB"/>
  </w:style>
  <w:style w:type="character" w:styleId="CommentReference">
    <w:name w:val="annotation reference"/>
    <w:basedOn w:val="DefaultParagraphFont"/>
    <w:uiPriority w:val="99"/>
    <w:semiHidden/>
    <w:unhideWhenUsed/>
    <w:rsid w:val="006825A2"/>
    <w:rPr>
      <w:sz w:val="16"/>
      <w:szCs w:val="16"/>
    </w:rPr>
  </w:style>
  <w:style w:type="paragraph" w:styleId="CommentText">
    <w:name w:val="annotation text"/>
    <w:basedOn w:val="Normal"/>
    <w:link w:val="CommentTextChar"/>
    <w:uiPriority w:val="99"/>
    <w:unhideWhenUsed/>
    <w:rsid w:val="006825A2"/>
    <w:rPr>
      <w:sz w:val="20"/>
      <w:szCs w:val="20"/>
    </w:rPr>
  </w:style>
  <w:style w:type="character" w:customStyle="1" w:styleId="CommentTextChar">
    <w:name w:val="Comment Text Char"/>
    <w:basedOn w:val="DefaultParagraphFont"/>
    <w:link w:val="CommentText"/>
    <w:uiPriority w:val="99"/>
    <w:rsid w:val="006825A2"/>
    <w:rPr>
      <w:sz w:val="20"/>
      <w:szCs w:val="20"/>
    </w:rPr>
  </w:style>
  <w:style w:type="paragraph" w:styleId="CommentSubject">
    <w:name w:val="annotation subject"/>
    <w:basedOn w:val="CommentText"/>
    <w:next w:val="CommentText"/>
    <w:link w:val="CommentSubjectChar"/>
    <w:uiPriority w:val="99"/>
    <w:semiHidden/>
    <w:unhideWhenUsed/>
    <w:rsid w:val="006825A2"/>
    <w:rPr>
      <w:b/>
      <w:bCs/>
    </w:rPr>
  </w:style>
  <w:style w:type="character" w:customStyle="1" w:styleId="CommentSubjectChar">
    <w:name w:val="Comment Subject Char"/>
    <w:basedOn w:val="CommentTextChar"/>
    <w:link w:val="CommentSubject"/>
    <w:uiPriority w:val="99"/>
    <w:semiHidden/>
    <w:rsid w:val="006825A2"/>
    <w:rPr>
      <w:b/>
      <w:bCs/>
      <w:sz w:val="20"/>
      <w:szCs w:val="20"/>
    </w:rPr>
  </w:style>
  <w:style w:type="paragraph" w:styleId="ListParagraph">
    <w:name w:val="List Paragraph"/>
    <w:basedOn w:val="Normal"/>
    <w:uiPriority w:val="34"/>
    <w:qFormat/>
    <w:rsid w:val="003C62C1"/>
    <w:pPr>
      <w:spacing w:after="200" w:line="276" w:lineRule="auto"/>
      <w:ind w:left="720"/>
      <w:contextualSpacing/>
    </w:pPr>
    <w:rPr>
      <w:rFonts w:eastAsia="Times New Roman" w:cs="Times New Roman"/>
      <w:color w:val="auto"/>
    </w:rPr>
  </w:style>
  <w:style w:type="character" w:styleId="Hyperlink">
    <w:name w:val="Hyperlink"/>
    <w:basedOn w:val="DefaultParagraphFont"/>
    <w:uiPriority w:val="99"/>
    <w:unhideWhenUsed/>
    <w:rsid w:val="0020202D"/>
    <w:rPr>
      <w:color w:val="0000FF" w:themeColor="hyperlink"/>
      <w:u w:val="single"/>
    </w:rPr>
  </w:style>
  <w:style w:type="character" w:customStyle="1" w:styleId="apple-converted-space">
    <w:name w:val="apple-converted-space"/>
    <w:basedOn w:val="DefaultParagraphFont"/>
    <w:rsid w:val="00FC49E4"/>
  </w:style>
  <w:style w:type="character" w:customStyle="1" w:styleId="gmailmsg">
    <w:name w:val="gmail_msg"/>
    <w:basedOn w:val="DefaultParagraphFont"/>
    <w:rsid w:val="00FC49E4"/>
  </w:style>
  <w:style w:type="paragraph" w:styleId="FootnoteText">
    <w:name w:val="footnote text"/>
    <w:aliases w:val="Footnote Text1 Char,Footnote Text Char Ch Char Char Char,Footnote Text Char Ch Char Char,Footnote Text1 Char Char Char,Footnote Text Char Ch Char,Footnote Text Char Ch,Char2 Char,ALTS FOOTNOTE,fn,Footnote Text 2,Footnote text,FOOTNOTE,ft"/>
    <w:basedOn w:val="Normal"/>
    <w:link w:val="FootnoteTextChar"/>
    <w:uiPriority w:val="99"/>
    <w:qFormat/>
    <w:rsid w:val="00244560"/>
    <w:rPr>
      <w:rFonts w:eastAsia="Times New Roman" w:cs="Times New Roman"/>
      <w:color w:val="auto"/>
      <w:sz w:val="20"/>
      <w:szCs w:val="20"/>
    </w:rPr>
  </w:style>
  <w:style w:type="character" w:customStyle="1" w:styleId="FootnoteTextChar">
    <w:name w:val="Footnote Text Char"/>
    <w:aliases w:val="Footnote Text1 Char Char,Footnote Text Char Ch Char Char Char Char,Footnote Text Char Ch Char Char Char1,Footnote Text1 Char Char Char Char,Footnote Text Char Ch Char Char1,Footnote Text Char Ch Char1,Char2 Char Char,fn Char,ft Char"/>
    <w:basedOn w:val="DefaultParagraphFont"/>
    <w:link w:val="FootnoteText"/>
    <w:uiPriority w:val="99"/>
    <w:rsid w:val="00244560"/>
    <w:rPr>
      <w:rFonts w:eastAsia="Times New Roman" w:cs="Times New Roman"/>
      <w:color w:val="auto"/>
      <w:sz w:val="20"/>
      <w:szCs w:val="20"/>
    </w:rPr>
  </w:style>
  <w:style w:type="character" w:styleId="FootnoteReference">
    <w:name w:val="footnote reference"/>
    <w:aliases w:val="o,fr,Footnote_Reference"/>
    <w:basedOn w:val="DefaultParagraphFont"/>
    <w:uiPriority w:val="99"/>
    <w:qFormat/>
    <w:rsid w:val="00244560"/>
    <w:rPr>
      <w:rFonts w:cs="Times New Roman"/>
      <w:vertAlign w:val="superscript"/>
    </w:rPr>
  </w:style>
  <w:style w:type="paragraph" w:styleId="NormalWeb">
    <w:name w:val="Normal (Web)"/>
    <w:basedOn w:val="Normal"/>
    <w:uiPriority w:val="99"/>
    <w:unhideWhenUsed/>
    <w:rsid w:val="002B6AEF"/>
    <w:pPr>
      <w:spacing w:before="100" w:beforeAutospacing="1" w:after="100" w:afterAutospacing="1"/>
    </w:pPr>
    <w:rPr>
      <w:rFonts w:ascii="Times" w:hAnsi="Times" w:cs="Times New Roman"/>
      <w:color w:val="auto"/>
      <w:sz w:val="20"/>
      <w:szCs w:val="20"/>
    </w:rPr>
  </w:style>
  <w:style w:type="table" w:styleId="TableGrid">
    <w:name w:val="Table Grid"/>
    <w:basedOn w:val="TableNormal"/>
    <w:uiPriority w:val="59"/>
    <w:rsid w:val="003D7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4164623072496684233gmail-normal1">
    <w:name w:val="m_-4164623072496684233gmail-normal1"/>
    <w:basedOn w:val="Normal"/>
    <w:rsid w:val="00AB2B4E"/>
    <w:pPr>
      <w:spacing w:before="100" w:beforeAutospacing="1" w:after="100" w:afterAutospacing="1"/>
    </w:pPr>
    <w:rPr>
      <w:rFonts w:ascii="Times" w:hAnsi="Times"/>
      <w:color w:val="auto"/>
      <w:sz w:val="20"/>
      <w:szCs w:val="20"/>
    </w:rPr>
  </w:style>
  <w:style w:type="paragraph" w:styleId="Caption">
    <w:name w:val="caption"/>
    <w:basedOn w:val="Normal"/>
    <w:next w:val="Normal"/>
    <w:link w:val="CaptionChar"/>
    <w:uiPriority w:val="35"/>
    <w:qFormat/>
    <w:rsid w:val="00D543B3"/>
    <w:rPr>
      <w:rFonts w:asciiTheme="minorHAnsi" w:eastAsia="Times New Roman" w:hAnsiTheme="minorHAnsi" w:cs="Times New Roman"/>
      <w:b/>
      <w:bCs/>
      <w:color w:val="auto"/>
      <w:szCs w:val="3276"/>
    </w:rPr>
  </w:style>
  <w:style w:type="character" w:customStyle="1" w:styleId="CaptionChar">
    <w:name w:val="Caption Char"/>
    <w:basedOn w:val="DefaultParagraphFont"/>
    <w:link w:val="Caption"/>
    <w:uiPriority w:val="35"/>
    <w:rsid w:val="00D543B3"/>
    <w:rPr>
      <w:rFonts w:asciiTheme="minorHAnsi" w:eastAsia="Times New Roman" w:hAnsiTheme="minorHAnsi" w:cs="Times New Roman"/>
      <w:b/>
      <w:bCs/>
      <w:color w:val="auto"/>
      <w:szCs w:val="3276"/>
    </w:rPr>
  </w:style>
  <w:style w:type="paragraph" w:styleId="Revision">
    <w:name w:val="Revision"/>
    <w:hidden/>
    <w:uiPriority w:val="99"/>
    <w:semiHidden/>
    <w:rsid w:val="00717117"/>
  </w:style>
  <w:style w:type="character" w:styleId="FollowedHyperlink">
    <w:name w:val="FollowedHyperlink"/>
    <w:basedOn w:val="DefaultParagraphFont"/>
    <w:uiPriority w:val="99"/>
    <w:semiHidden/>
    <w:unhideWhenUsed/>
    <w:rsid w:val="00A07B48"/>
    <w:rPr>
      <w:color w:val="800080" w:themeColor="followedHyperlink"/>
      <w:u w:val="single"/>
    </w:rPr>
  </w:style>
  <w:style w:type="paragraph" w:customStyle="1" w:styleId="Normal2">
    <w:name w:val="Normal2"/>
    <w:rsid w:val="00E71521"/>
    <w:pPr>
      <w:widowControl w:val="0"/>
    </w:pPr>
  </w:style>
  <w:style w:type="character" w:styleId="PlaceholderText">
    <w:name w:val="Placeholder Text"/>
    <w:basedOn w:val="DefaultParagraphFont"/>
    <w:uiPriority w:val="99"/>
    <w:semiHidden/>
    <w:rsid w:val="00BF3FB9"/>
    <w:rPr>
      <w:color w:val="808080"/>
    </w:rPr>
  </w:style>
  <w:style w:type="table" w:customStyle="1" w:styleId="TableGrid1">
    <w:name w:val="Table Grid1"/>
    <w:basedOn w:val="TableNormal"/>
    <w:next w:val="TableGrid"/>
    <w:rsid w:val="00B04618"/>
    <w:rPr>
      <w:rFonts w:asciiTheme="minorHAnsi" w:eastAsia="Times New Roman" w:hAnsiTheme="minorHAns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stBullet"/>
    <w:qFormat/>
    <w:rsid w:val="002D7233"/>
    <w:pPr>
      <w:spacing w:before="120" w:after="120" w:line="240" w:lineRule="atLeast"/>
      <w:contextualSpacing w:val="0"/>
      <w:jc w:val="both"/>
    </w:pPr>
    <w:rPr>
      <w:rFonts w:ascii="Segoe UI Semilight" w:eastAsia="Times New Roman" w:hAnsi="Segoe UI Semilight" w:cs="Tahoma"/>
      <w:color w:val="auto"/>
      <w:kern w:val="20"/>
      <w:sz w:val="20"/>
      <w:szCs w:val="18"/>
      <w14:ligatures w14:val="standardContextual"/>
    </w:rPr>
  </w:style>
  <w:style w:type="paragraph" w:styleId="ListBullet">
    <w:name w:val="List Bullet"/>
    <w:basedOn w:val="Normal"/>
    <w:uiPriority w:val="99"/>
    <w:semiHidden/>
    <w:unhideWhenUsed/>
    <w:rsid w:val="002D7233"/>
    <w:pPr>
      <w:ind w:left="360" w:hanging="360"/>
      <w:contextualSpacing/>
    </w:pPr>
  </w:style>
  <w:style w:type="table" w:customStyle="1" w:styleId="AEGTableAccent5">
    <w:name w:val="AEG Table (Accent 5)"/>
    <w:basedOn w:val="TableNormal"/>
    <w:uiPriority w:val="99"/>
    <w:rsid w:val="00FD493E"/>
    <w:pPr>
      <w:jc w:val="right"/>
    </w:pPr>
    <w:rPr>
      <w:rFonts w:eastAsia="Times New Roman" w:cs="Times New Roman"/>
      <w:color w:val="auto"/>
      <w:sz w:val="20"/>
      <w:szCs w:val="20"/>
    </w:rPr>
    <w:tblPr>
      <w:tblStyleRowBandSize w:val="1"/>
      <w:tblStyleColBandSize w:val="1"/>
      <w:jc w:val="center"/>
    </w:tblPr>
    <w:trPr>
      <w:jc w:val="center"/>
    </w:trPr>
    <w:tcPr>
      <w:vAlign w:val="center"/>
    </w:tc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FAD0B0"/>
      </w:tcPr>
    </w:tblStylePr>
    <w:tblStylePr w:type="band2Horz">
      <w:tblPr/>
      <w:tcPr>
        <w:shd w:val="clear" w:color="auto" w:fill="FAD0B0"/>
      </w:tcPr>
    </w:tblStylePr>
  </w:style>
  <w:style w:type="table" w:styleId="PlainTable4">
    <w:name w:val="Plain Table 4"/>
    <w:basedOn w:val="TableNormal"/>
    <w:uiPriority w:val="99"/>
    <w:rsid w:val="00682B5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EE3C7D"/>
    <w:rPr>
      <w:b/>
      <w:smallCaps/>
      <w:sz w:val="36"/>
      <w:szCs w:val="36"/>
    </w:rPr>
  </w:style>
  <w:style w:type="character" w:customStyle="1" w:styleId="Heading2Char">
    <w:name w:val="Heading 2 Char"/>
    <w:basedOn w:val="DefaultParagraphFont"/>
    <w:link w:val="Heading2"/>
    <w:rsid w:val="00F6143A"/>
    <w:rPr>
      <w:rFonts w:eastAsia="Arial Narrow" w:cs="Arial Narrow"/>
      <w:b/>
      <w:small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6234">
      <w:bodyDiv w:val="1"/>
      <w:marLeft w:val="0"/>
      <w:marRight w:val="0"/>
      <w:marTop w:val="0"/>
      <w:marBottom w:val="0"/>
      <w:divBdr>
        <w:top w:val="none" w:sz="0" w:space="0" w:color="auto"/>
        <w:left w:val="none" w:sz="0" w:space="0" w:color="auto"/>
        <w:bottom w:val="none" w:sz="0" w:space="0" w:color="auto"/>
        <w:right w:val="none" w:sz="0" w:space="0" w:color="auto"/>
      </w:divBdr>
    </w:div>
    <w:div w:id="98068762">
      <w:bodyDiv w:val="1"/>
      <w:marLeft w:val="0"/>
      <w:marRight w:val="0"/>
      <w:marTop w:val="0"/>
      <w:marBottom w:val="0"/>
      <w:divBdr>
        <w:top w:val="none" w:sz="0" w:space="0" w:color="auto"/>
        <w:left w:val="none" w:sz="0" w:space="0" w:color="auto"/>
        <w:bottom w:val="none" w:sz="0" w:space="0" w:color="auto"/>
        <w:right w:val="none" w:sz="0" w:space="0" w:color="auto"/>
      </w:divBdr>
    </w:div>
    <w:div w:id="142817197">
      <w:bodyDiv w:val="1"/>
      <w:marLeft w:val="0"/>
      <w:marRight w:val="0"/>
      <w:marTop w:val="0"/>
      <w:marBottom w:val="0"/>
      <w:divBdr>
        <w:top w:val="none" w:sz="0" w:space="0" w:color="auto"/>
        <w:left w:val="none" w:sz="0" w:space="0" w:color="auto"/>
        <w:bottom w:val="none" w:sz="0" w:space="0" w:color="auto"/>
        <w:right w:val="none" w:sz="0" w:space="0" w:color="auto"/>
      </w:divBdr>
    </w:div>
    <w:div w:id="228077581">
      <w:bodyDiv w:val="1"/>
      <w:marLeft w:val="0"/>
      <w:marRight w:val="0"/>
      <w:marTop w:val="0"/>
      <w:marBottom w:val="0"/>
      <w:divBdr>
        <w:top w:val="none" w:sz="0" w:space="0" w:color="auto"/>
        <w:left w:val="none" w:sz="0" w:space="0" w:color="auto"/>
        <w:bottom w:val="none" w:sz="0" w:space="0" w:color="auto"/>
        <w:right w:val="none" w:sz="0" w:space="0" w:color="auto"/>
      </w:divBdr>
    </w:div>
    <w:div w:id="259216944">
      <w:bodyDiv w:val="1"/>
      <w:marLeft w:val="0"/>
      <w:marRight w:val="0"/>
      <w:marTop w:val="0"/>
      <w:marBottom w:val="0"/>
      <w:divBdr>
        <w:top w:val="none" w:sz="0" w:space="0" w:color="auto"/>
        <w:left w:val="none" w:sz="0" w:space="0" w:color="auto"/>
        <w:bottom w:val="none" w:sz="0" w:space="0" w:color="auto"/>
        <w:right w:val="none" w:sz="0" w:space="0" w:color="auto"/>
      </w:divBdr>
    </w:div>
    <w:div w:id="292715760">
      <w:bodyDiv w:val="1"/>
      <w:marLeft w:val="0"/>
      <w:marRight w:val="0"/>
      <w:marTop w:val="0"/>
      <w:marBottom w:val="0"/>
      <w:divBdr>
        <w:top w:val="none" w:sz="0" w:space="0" w:color="auto"/>
        <w:left w:val="none" w:sz="0" w:space="0" w:color="auto"/>
        <w:bottom w:val="none" w:sz="0" w:space="0" w:color="auto"/>
        <w:right w:val="none" w:sz="0" w:space="0" w:color="auto"/>
      </w:divBdr>
    </w:div>
    <w:div w:id="410544315">
      <w:bodyDiv w:val="1"/>
      <w:marLeft w:val="0"/>
      <w:marRight w:val="0"/>
      <w:marTop w:val="0"/>
      <w:marBottom w:val="0"/>
      <w:divBdr>
        <w:top w:val="none" w:sz="0" w:space="0" w:color="auto"/>
        <w:left w:val="none" w:sz="0" w:space="0" w:color="auto"/>
        <w:bottom w:val="none" w:sz="0" w:space="0" w:color="auto"/>
        <w:right w:val="none" w:sz="0" w:space="0" w:color="auto"/>
      </w:divBdr>
    </w:div>
    <w:div w:id="437217181">
      <w:bodyDiv w:val="1"/>
      <w:marLeft w:val="0"/>
      <w:marRight w:val="0"/>
      <w:marTop w:val="0"/>
      <w:marBottom w:val="0"/>
      <w:divBdr>
        <w:top w:val="none" w:sz="0" w:space="0" w:color="auto"/>
        <w:left w:val="none" w:sz="0" w:space="0" w:color="auto"/>
        <w:bottom w:val="none" w:sz="0" w:space="0" w:color="auto"/>
        <w:right w:val="none" w:sz="0" w:space="0" w:color="auto"/>
      </w:divBdr>
    </w:div>
    <w:div w:id="511728267">
      <w:bodyDiv w:val="1"/>
      <w:marLeft w:val="0"/>
      <w:marRight w:val="0"/>
      <w:marTop w:val="0"/>
      <w:marBottom w:val="0"/>
      <w:divBdr>
        <w:top w:val="none" w:sz="0" w:space="0" w:color="auto"/>
        <w:left w:val="none" w:sz="0" w:space="0" w:color="auto"/>
        <w:bottom w:val="none" w:sz="0" w:space="0" w:color="auto"/>
        <w:right w:val="none" w:sz="0" w:space="0" w:color="auto"/>
      </w:divBdr>
      <w:divsChild>
        <w:div w:id="91823643">
          <w:marLeft w:val="0"/>
          <w:marRight w:val="0"/>
          <w:marTop w:val="0"/>
          <w:marBottom w:val="0"/>
          <w:divBdr>
            <w:top w:val="none" w:sz="0" w:space="0" w:color="auto"/>
            <w:left w:val="none" w:sz="0" w:space="0" w:color="auto"/>
            <w:bottom w:val="none" w:sz="0" w:space="0" w:color="auto"/>
            <w:right w:val="none" w:sz="0" w:space="0" w:color="auto"/>
          </w:divBdr>
        </w:div>
        <w:div w:id="102460634">
          <w:marLeft w:val="0"/>
          <w:marRight w:val="0"/>
          <w:marTop w:val="0"/>
          <w:marBottom w:val="0"/>
          <w:divBdr>
            <w:top w:val="none" w:sz="0" w:space="0" w:color="auto"/>
            <w:left w:val="none" w:sz="0" w:space="0" w:color="auto"/>
            <w:bottom w:val="none" w:sz="0" w:space="0" w:color="auto"/>
            <w:right w:val="none" w:sz="0" w:space="0" w:color="auto"/>
          </w:divBdr>
        </w:div>
        <w:div w:id="193200763">
          <w:marLeft w:val="0"/>
          <w:marRight w:val="0"/>
          <w:marTop w:val="0"/>
          <w:marBottom w:val="0"/>
          <w:divBdr>
            <w:top w:val="none" w:sz="0" w:space="0" w:color="auto"/>
            <w:left w:val="none" w:sz="0" w:space="0" w:color="auto"/>
            <w:bottom w:val="none" w:sz="0" w:space="0" w:color="auto"/>
            <w:right w:val="none" w:sz="0" w:space="0" w:color="auto"/>
          </w:divBdr>
        </w:div>
        <w:div w:id="261690704">
          <w:marLeft w:val="0"/>
          <w:marRight w:val="0"/>
          <w:marTop w:val="0"/>
          <w:marBottom w:val="0"/>
          <w:divBdr>
            <w:top w:val="none" w:sz="0" w:space="0" w:color="auto"/>
            <w:left w:val="none" w:sz="0" w:space="0" w:color="auto"/>
            <w:bottom w:val="none" w:sz="0" w:space="0" w:color="auto"/>
            <w:right w:val="none" w:sz="0" w:space="0" w:color="auto"/>
          </w:divBdr>
        </w:div>
        <w:div w:id="425421686">
          <w:marLeft w:val="0"/>
          <w:marRight w:val="0"/>
          <w:marTop w:val="0"/>
          <w:marBottom w:val="0"/>
          <w:divBdr>
            <w:top w:val="none" w:sz="0" w:space="0" w:color="auto"/>
            <w:left w:val="none" w:sz="0" w:space="0" w:color="auto"/>
            <w:bottom w:val="none" w:sz="0" w:space="0" w:color="auto"/>
            <w:right w:val="none" w:sz="0" w:space="0" w:color="auto"/>
          </w:divBdr>
        </w:div>
        <w:div w:id="795024207">
          <w:marLeft w:val="0"/>
          <w:marRight w:val="0"/>
          <w:marTop w:val="0"/>
          <w:marBottom w:val="0"/>
          <w:divBdr>
            <w:top w:val="none" w:sz="0" w:space="0" w:color="auto"/>
            <w:left w:val="none" w:sz="0" w:space="0" w:color="auto"/>
            <w:bottom w:val="none" w:sz="0" w:space="0" w:color="auto"/>
            <w:right w:val="none" w:sz="0" w:space="0" w:color="auto"/>
          </w:divBdr>
        </w:div>
        <w:div w:id="826870068">
          <w:marLeft w:val="0"/>
          <w:marRight w:val="0"/>
          <w:marTop w:val="0"/>
          <w:marBottom w:val="0"/>
          <w:divBdr>
            <w:top w:val="none" w:sz="0" w:space="0" w:color="auto"/>
            <w:left w:val="none" w:sz="0" w:space="0" w:color="auto"/>
            <w:bottom w:val="none" w:sz="0" w:space="0" w:color="auto"/>
            <w:right w:val="none" w:sz="0" w:space="0" w:color="auto"/>
          </w:divBdr>
        </w:div>
        <w:div w:id="1113212970">
          <w:marLeft w:val="0"/>
          <w:marRight w:val="0"/>
          <w:marTop w:val="0"/>
          <w:marBottom w:val="0"/>
          <w:divBdr>
            <w:top w:val="none" w:sz="0" w:space="0" w:color="auto"/>
            <w:left w:val="none" w:sz="0" w:space="0" w:color="auto"/>
            <w:bottom w:val="none" w:sz="0" w:space="0" w:color="auto"/>
            <w:right w:val="none" w:sz="0" w:space="0" w:color="auto"/>
          </w:divBdr>
        </w:div>
        <w:div w:id="1187910788">
          <w:marLeft w:val="0"/>
          <w:marRight w:val="0"/>
          <w:marTop w:val="0"/>
          <w:marBottom w:val="0"/>
          <w:divBdr>
            <w:top w:val="none" w:sz="0" w:space="0" w:color="auto"/>
            <w:left w:val="none" w:sz="0" w:space="0" w:color="auto"/>
            <w:bottom w:val="none" w:sz="0" w:space="0" w:color="auto"/>
            <w:right w:val="none" w:sz="0" w:space="0" w:color="auto"/>
          </w:divBdr>
        </w:div>
        <w:div w:id="1194539288">
          <w:marLeft w:val="0"/>
          <w:marRight w:val="0"/>
          <w:marTop w:val="0"/>
          <w:marBottom w:val="0"/>
          <w:divBdr>
            <w:top w:val="none" w:sz="0" w:space="0" w:color="auto"/>
            <w:left w:val="none" w:sz="0" w:space="0" w:color="auto"/>
            <w:bottom w:val="none" w:sz="0" w:space="0" w:color="auto"/>
            <w:right w:val="none" w:sz="0" w:space="0" w:color="auto"/>
          </w:divBdr>
        </w:div>
        <w:div w:id="1214855691">
          <w:marLeft w:val="0"/>
          <w:marRight w:val="0"/>
          <w:marTop w:val="0"/>
          <w:marBottom w:val="0"/>
          <w:divBdr>
            <w:top w:val="none" w:sz="0" w:space="0" w:color="auto"/>
            <w:left w:val="none" w:sz="0" w:space="0" w:color="auto"/>
            <w:bottom w:val="none" w:sz="0" w:space="0" w:color="auto"/>
            <w:right w:val="none" w:sz="0" w:space="0" w:color="auto"/>
          </w:divBdr>
        </w:div>
        <w:div w:id="1453207003">
          <w:marLeft w:val="0"/>
          <w:marRight w:val="0"/>
          <w:marTop w:val="0"/>
          <w:marBottom w:val="0"/>
          <w:divBdr>
            <w:top w:val="none" w:sz="0" w:space="0" w:color="auto"/>
            <w:left w:val="none" w:sz="0" w:space="0" w:color="auto"/>
            <w:bottom w:val="none" w:sz="0" w:space="0" w:color="auto"/>
            <w:right w:val="none" w:sz="0" w:space="0" w:color="auto"/>
          </w:divBdr>
        </w:div>
        <w:div w:id="1471897293">
          <w:marLeft w:val="0"/>
          <w:marRight w:val="0"/>
          <w:marTop w:val="0"/>
          <w:marBottom w:val="0"/>
          <w:divBdr>
            <w:top w:val="none" w:sz="0" w:space="0" w:color="auto"/>
            <w:left w:val="none" w:sz="0" w:space="0" w:color="auto"/>
            <w:bottom w:val="none" w:sz="0" w:space="0" w:color="auto"/>
            <w:right w:val="none" w:sz="0" w:space="0" w:color="auto"/>
          </w:divBdr>
        </w:div>
      </w:divsChild>
    </w:div>
    <w:div w:id="596913514">
      <w:bodyDiv w:val="1"/>
      <w:marLeft w:val="0"/>
      <w:marRight w:val="0"/>
      <w:marTop w:val="0"/>
      <w:marBottom w:val="0"/>
      <w:divBdr>
        <w:top w:val="none" w:sz="0" w:space="0" w:color="auto"/>
        <w:left w:val="none" w:sz="0" w:space="0" w:color="auto"/>
        <w:bottom w:val="none" w:sz="0" w:space="0" w:color="auto"/>
        <w:right w:val="none" w:sz="0" w:space="0" w:color="auto"/>
      </w:divBdr>
    </w:div>
    <w:div w:id="621038782">
      <w:bodyDiv w:val="1"/>
      <w:marLeft w:val="0"/>
      <w:marRight w:val="0"/>
      <w:marTop w:val="0"/>
      <w:marBottom w:val="0"/>
      <w:divBdr>
        <w:top w:val="none" w:sz="0" w:space="0" w:color="auto"/>
        <w:left w:val="none" w:sz="0" w:space="0" w:color="auto"/>
        <w:bottom w:val="none" w:sz="0" w:space="0" w:color="auto"/>
        <w:right w:val="none" w:sz="0" w:space="0" w:color="auto"/>
      </w:divBdr>
    </w:div>
    <w:div w:id="634139028">
      <w:bodyDiv w:val="1"/>
      <w:marLeft w:val="0"/>
      <w:marRight w:val="0"/>
      <w:marTop w:val="0"/>
      <w:marBottom w:val="0"/>
      <w:divBdr>
        <w:top w:val="none" w:sz="0" w:space="0" w:color="auto"/>
        <w:left w:val="none" w:sz="0" w:space="0" w:color="auto"/>
        <w:bottom w:val="none" w:sz="0" w:space="0" w:color="auto"/>
        <w:right w:val="none" w:sz="0" w:space="0" w:color="auto"/>
      </w:divBdr>
    </w:div>
    <w:div w:id="635524657">
      <w:bodyDiv w:val="1"/>
      <w:marLeft w:val="0"/>
      <w:marRight w:val="0"/>
      <w:marTop w:val="0"/>
      <w:marBottom w:val="0"/>
      <w:divBdr>
        <w:top w:val="none" w:sz="0" w:space="0" w:color="auto"/>
        <w:left w:val="none" w:sz="0" w:space="0" w:color="auto"/>
        <w:bottom w:val="none" w:sz="0" w:space="0" w:color="auto"/>
        <w:right w:val="none" w:sz="0" w:space="0" w:color="auto"/>
      </w:divBdr>
    </w:div>
    <w:div w:id="638463426">
      <w:bodyDiv w:val="1"/>
      <w:marLeft w:val="0"/>
      <w:marRight w:val="0"/>
      <w:marTop w:val="0"/>
      <w:marBottom w:val="0"/>
      <w:divBdr>
        <w:top w:val="none" w:sz="0" w:space="0" w:color="auto"/>
        <w:left w:val="none" w:sz="0" w:space="0" w:color="auto"/>
        <w:bottom w:val="none" w:sz="0" w:space="0" w:color="auto"/>
        <w:right w:val="none" w:sz="0" w:space="0" w:color="auto"/>
      </w:divBdr>
    </w:div>
    <w:div w:id="679359801">
      <w:bodyDiv w:val="1"/>
      <w:marLeft w:val="0"/>
      <w:marRight w:val="0"/>
      <w:marTop w:val="0"/>
      <w:marBottom w:val="0"/>
      <w:divBdr>
        <w:top w:val="none" w:sz="0" w:space="0" w:color="auto"/>
        <w:left w:val="none" w:sz="0" w:space="0" w:color="auto"/>
        <w:bottom w:val="none" w:sz="0" w:space="0" w:color="auto"/>
        <w:right w:val="none" w:sz="0" w:space="0" w:color="auto"/>
      </w:divBdr>
      <w:divsChild>
        <w:div w:id="519900823">
          <w:marLeft w:val="0"/>
          <w:marRight w:val="0"/>
          <w:marTop w:val="0"/>
          <w:marBottom w:val="0"/>
          <w:divBdr>
            <w:top w:val="none" w:sz="0" w:space="0" w:color="auto"/>
            <w:left w:val="none" w:sz="0" w:space="0" w:color="auto"/>
            <w:bottom w:val="none" w:sz="0" w:space="0" w:color="auto"/>
            <w:right w:val="none" w:sz="0" w:space="0" w:color="auto"/>
          </w:divBdr>
        </w:div>
        <w:div w:id="599876194">
          <w:marLeft w:val="0"/>
          <w:marRight w:val="0"/>
          <w:marTop w:val="0"/>
          <w:marBottom w:val="0"/>
          <w:divBdr>
            <w:top w:val="none" w:sz="0" w:space="0" w:color="auto"/>
            <w:left w:val="none" w:sz="0" w:space="0" w:color="auto"/>
            <w:bottom w:val="none" w:sz="0" w:space="0" w:color="auto"/>
            <w:right w:val="none" w:sz="0" w:space="0" w:color="auto"/>
          </w:divBdr>
        </w:div>
        <w:div w:id="1005404149">
          <w:marLeft w:val="0"/>
          <w:marRight w:val="0"/>
          <w:marTop w:val="0"/>
          <w:marBottom w:val="0"/>
          <w:divBdr>
            <w:top w:val="none" w:sz="0" w:space="0" w:color="auto"/>
            <w:left w:val="none" w:sz="0" w:space="0" w:color="auto"/>
            <w:bottom w:val="none" w:sz="0" w:space="0" w:color="auto"/>
            <w:right w:val="none" w:sz="0" w:space="0" w:color="auto"/>
          </w:divBdr>
        </w:div>
        <w:div w:id="1316257551">
          <w:marLeft w:val="0"/>
          <w:marRight w:val="0"/>
          <w:marTop w:val="0"/>
          <w:marBottom w:val="0"/>
          <w:divBdr>
            <w:top w:val="none" w:sz="0" w:space="0" w:color="auto"/>
            <w:left w:val="none" w:sz="0" w:space="0" w:color="auto"/>
            <w:bottom w:val="none" w:sz="0" w:space="0" w:color="auto"/>
            <w:right w:val="none" w:sz="0" w:space="0" w:color="auto"/>
          </w:divBdr>
        </w:div>
        <w:div w:id="2034528503">
          <w:marLeft w:val="0"/>
          <w:marRight w:val="0"/>
          <w:marTop w:val="0"/>
          <w:marBottom w:val="0"/>
          <w:divBdr>
            <w:top w:val="none" w:sz="0" w:space="0" w:color="auto"/>
            <w:left w:val="none" w:sz="0" w:space="0" w:color="auto"/>
            <w:bottom w:val="none" w:sz="0" w:space="0" w:color="auto"/>
            <w:right w:val="none" w:sz="0" w:space="0" w:color="auto"/>
          </w:divBdr>
        </w:div>
      </w:divsChild>
    </w:div>
    <w:div w:id="696467831">
      <w:bodyDiv w:val="1"/>
      <w:marLeft w:val="0"/>
      <w:marRight w:val="0"/>
      <w:marTop w:val="0"/>
      <w:marBottom w:val="0"/>
      <w:divBdr>
        <w:top w:val="none" w:sz="0" w:space="0" w:color="auto"/>
        <w:left w:val="none" w:sz="0" w:space="0" w:color="auto"/>
        <w:bottom w:val="none" w:sz="0" w:space="0" w:color="auto"/>
        <w:right w:val="none" w:sz="0" w:space="0" w:color="auto"/>
      </w:divBdr>
    </w:div>
    <w:div w:id="949170066">
      <w:bodyDiv w:val="1"/>
      <w:marLeft w:val="0"/>
      <w:marRight w:val="0"/>
      <w:marTop w:val="0"/>
      <w:marBottom w:val="0"/>
      <w:divBdr>
        <w:top w:val="none" w:sz="0" w:space="0" w:color="auto"/>
        <w:left w:val="none" w:sz="0" w:space="0" w:color="auto"/>
        <w:bottom w:val="none" w:sz="0" w:space="0" w:color="auto"/>
        <w:right w:val="none" w:sz="0" w:space="0" w:color="auto"/>
      </w:divBdr>
    </w:div>
    <w:div w:id="1058093528">
      <w:bodyDiv w:val="1"/>
      <w:marLeft w:val="0"/>
      <w:marRight w:val="0"/>
      <w:marTop w:val="0"/>
      <w:marBottom w:val="0"/>
      <w:divBdr>
        <w:top w:val="none" w:sz="0" w:space="0" w:color="auto"/>
        <w:left w:val="none" w:sz="0" w:space="0" w:color="auto"/>
        <w:bottom w:val="none" w:sz="0" w:space="0" w:color="auto"/>
        <w:right w:val="none" w:sz="0" w:space="0" w:color="auto"/>
      </w:divBdr>
    </w:div>
    <w:div w:id="1080326750">
      <w:bodyDiv w:val="1"/>
      <w:marLeft w:val="0"/>
      <w:marRight w:val="0"/>
      <w:marTop w:val="0"/>
      <w:marBottom w:val="0"/>
      <w:divBdr>
        <w:top w:val="none" w:sz="0" w:space="0" w:color="auto"/>
        <w:left w:val="none" w:sz="0" w:space="0" w:color="auto"/>
        <w:bottom w:val="none" w:sz="0" w:space="0" w:color="auto"/>
        <w:right w:val="none" w:sz="0" w:space="0" w:color="auto"/>
      </w:divBdr>
    </w:div>
    <w:div w:id="1094588256">
      <w:bodyDiv w:val="1"/>
      <w:marLeft w:val="0"/>
      <w:marRight w:val="0"/>
      <w:marTop w:val="0"/>
      <w:marBottom w:val="0"/>
      <w:divBdr>
        <w:top w:val="none" w:sz="0" w:space="0" w:color="auto"/>
        <w:left w:val="none" w:sz="0" w:space="0" w:color="auto"/>
        <w:bottom w:val="none" w:sz="0" w:space="0" w:color="auto"/>
        <w:right w:val="none" w:sz="0" w:space="0" w:color="auto"/>
      </w:divBdr>
    </w:div>
    <w:div w:id="1096900508">
      <w:bodyDiv w:val="1"/>
      <w:marLeft w:val="0"/>
      <w:marRight w:val="0"/>
      <w:marTop w:val="0"/>
      <w:marBottom w:val="0"/>
      <w:divBdr>
        <w:top w:val="none" w:sz="0" w:space="0" w:color="auto"/>
        <w:left w:val="none" w:sz="0" w:space="0" w:color="auto"/>
        <w:bottom w:val="none" w:sz="0" w:space="0" w:color="auto"/>
        <w:right w:val="none" w:sz="0" w:space="0" w:color="auto"/>
      </w:divBdr>
    </w:div>
    <w:div w:id="1111895905">
      <w:bodyDiv w:val="1"/>
      <w:marLeft w:val="0"/>
      <w:marRight w:val="0"/>
      <w:marTop w:val="0"/>
      <w:marBottom w:val="0"/>
      <w:divBdr>
        <w:top w:val="none" w:sz="0" w:space="0" w:color="auto"/>
        <w:left w:val="none" w:sz="0" w:space="0" w:color="auto"/>
        <w:bottom w:val="none" w:sz="0" w:space="0" w:color="auto"/>
        <w:right w:val="none" w:sz="0" w:space="0" w:color="auto"/>
      </w:divBdr>
    </w:div>
    <w:div w:id="1243950571">
      <w:bodyDiv w:val="1"/>
      <w:marLeft w:val="0"/>
      <w:marRight w:val="0"/>
      <w:marTop w:val="0"/>
      <w:marBottom w:val="0"/>
      <w:divBdr>
        <w:top w:val="none" w:sz="0" w:space="0" w:color="auto"/>
        <w:left w:val="none" w:sz="0" w:space="0" w:color="auto"/>
        <w:bottom w:val="none" w:sz="0" w:space="0" w:color="auto"/>
        <w:right w:val="none" w:sz="0" w:space="0" w:color="auto"/>
      </w:divBdr>
    </w:div>
    <w:div w:id="1429084253">
      <w:bodyDiv w:val="1"/>
      <w:marLeft w:val="0"/>
      <w:marRight w:val="0"/>
      <w:marTop w:val="0"/>
      <w:marBottom w:val="0"/>
      <w:divBdr>
        <w:top w:val="none" w:sz="0" w:space="0" w:color="auto"/>
        <w:left w:val="none" w:sz="0" w:space="0" w:color="auto"/>
        <w:bottom w:val="none" w:sz="0" w:space="0" w:color="auto"/>
        <w:right w:val="none" w:sz="0" w:space="0" w:color="auto"/>
      </w:divBdr>
    </w:div>
    <w:div w:id="1523974731">
      <w:bodyDiv w:val="1"/>
      <w:marLeft w:val="0"/>
      <w:marRight w:val="0"/>
      <w:marTop w:val="0"/>
      <w:marBottom w:val="0"/>
      <w:divBdr>
        <w:top w:val="none" w:sz="0" w:space="0" w:color="auto"/>
        <w:left w:val="none" w:sz="0" w:space="0" w:color="auto"/>
        <w:bottom w:val="none" w:sz="0" w:space="0" w:color="auto"/>
        <w:right w:val="none" w:sz="0" w:space="0" w:color="auto"/>
      </w:divBdr>
    </w:div>
    <w:div w:id="1581717611">
      <w:bodyDiv w:val="1"/>
      <w:marLeft w:val="0"/>
      <w:marRight w:val="0"/>
      <w:marTop w:val="0"/>
      <w:marBottom w:val="0"/>
      <w:divBdr>
        <w:top w:val="none" w:sz="0" w:space="0" w:color="auto"/>
        <w:left w:val="none" w:sz="0" w:space="0" w:color="auto"/>
        <w:bottom w:val="none" w:sz="0" w:space="0" w:color="auto"/>
        <w:right w:val="none" w:sz="0" w:space="0" w:color="auto"/>
      </w:divBdr>
    </w:div>
    <w:div w:id="1639266351">
      <w:bodyDiv w:val="1"/>
      <w:marLeft w:val="0"/>
      <w:marRight w:val="0"/>
      <w:marTop w:val="0"/>
      <w:marBottom w:val="0"/>
      <w:divBdr>
        <w:top w:val="none" w:sz="0" w:space="0" w:color="auto"/>
        <w:left w:val="none" w:sz="0" w:space="0" w:color="auto"/>
        <w:bottom w:val="none" w:sz="0" w:space="0" w:color="auto"/>
        <w:right w:val="none" w:sz="0" w:space="0" w:color="auto"/>
      </w:divBdr>
    </w:div>
    <w:div w:id="1669600790">
      <w:bodyDiv w:val="1"/>
      <w:marLeft w:val="0"/>
      <w:marRight w:val="0"/>
      <w:marTop w:val="0"/>
      <w:marBottom w:val="0"/>
      <w:divBdr>
        <w:top w:val="none" w:sz="0" w:space="0" w:color="auto"/>
        <w:left w:val="none" w:sz="0" w:space="0" w:color="auto"/>
        <w:bottom w:val="none" w:sz="0" w:space="0" w:color="auto"/>
        <w:right w:val="none" w:sz="0" w:space="0" w:color="auto"/>
      </w:divBdr>
    </w:div>
    <w:div w:id="1778791365">
      <w:bodyDiv w:val="1"/>
      <w:marLeft w:val="0"/>
      <w:marRight w:val="0"/>
      <w:marTop w:val="0"/>
      <w:marBottom w:val="0"/>
      <w:divBdr>
        <w:top w:val="none" w:sz="0" w:space="0" w:color="auto"/>
        <w:left w:val="none" w:sz="0" w:space="0" w:color="auto"/>
        <w:bottom w:val="none" w:sz="0" w:space="0" w:color="auto"/>
        <w:right w:val="none" w:sz="0" w:space="0" w:color="auto"/>
      </w:divBdr>
    </w:div>
    <w:div w:id="1824153670">
      <w:bodyDiv w:val="1"/>
      <w:marLeft w:val="0"/>
      <w:marRight w:val="0"/>
      <w:marTop w:val="0"/>
      <w:marBottom w:val="0"/>
      <w:divBdr>
        <w:top w:val="none" w:sz="0" w:space="0" w:color="auto"/>
        <w:left w:val="none" w:sz="0" w:space="0" w:color="auto"/>
        <w:bottom w:val="none" w:sz="0" w:space="0" w:color="auto"/>
        <w:right w:val="none" w:sz="0" w:space="0" w:color="auto"/>
      </w:divBdr>
    </w:div>
    <w:div w:id="1832022987">
      <w:bodyDiv w:val="1"/>
      <w:marLeft w:val="0"/>
      <w:marRight w:val="0"/>
      <w:marTop w:val="0"/>
      <w:marBottom w:val="0"/>
      <w:divBdr>
        <w:top w:val="none" w:sz="0" w:space="0" w:color="auto"/>
        <w:left w:val="none" w:sz="0" w:space="0" w:color="auto"/>
        <w:bottom w:val="none" w:sz="0" w:space="0" w:color="auto"/>
        <w:right w:val="none" w:sz="0" w:space="0" w:color="auto"/>
      </w:divBdr>
    </w:div>
    <w:div w:id="1870528664">
      <w:bodyDiv w:val="1"/>
      <w:marLeft w:val="0"/>
      <w:marRight w:val="0"/>
      <w:marTop w:val="0"/>
      <w:marBottom w:val="0"/>
      <w:divBdr>
        <w:top w:val="none" w:sz="0" w:space="0" w:color="auto"/>
        <w:left w:val="none" w:sz="0" w:space="0" w:color="auto"/>
        <w:bottom w:val="none" w:sz="0" w:space="0" w:color="auto"/>
        <w:right w:val="none" w:sz="0" w:space="0" w:color="auto"/>
      </w:divBdr>
    </w:div>
    <w:div w:id="1915698577">
      <w:bodyDiv w:val="1"/>
      <w:marLeft w:val="0"/>
      <w:marRight w:val="0"/>
      <w:marTop w:val="0"/>
      <w:marBottom w:val="0"/>
      <w:divBdr>
        <w:top w:val="none" w:sz="0" w:space="0" w:color="auto"/>
        <w:left w:val="none" w:sz="0" w:space="0" w:color="auto"/>
        <w:bottom w:val="none" w:sz="0" w:space="0" w:color="auto"/>
        <w:right w:val="none" w:sz="0" w:space="0" w:color="auto"/>
      </w:divBdr>
    </w:div>
    <w:div w:id="1976134409">
      <w:bodyDiv w:val="1"/>
      <w:marLeft w:val="0"/>
      <w:marRight w:val="0"/>
      <w:marTop w:val="0"/>
      <w:marBottom w:val="0"/>
      <w:divBdr>
        <w:top w:val="none" w:sz="0" w:space="0" w:color="auto"/>
        <w:left w:val="none" w:sz="0" w:space="0" w:color="auto"/>
        <w:bottom w:val="none" w:sz="0" w:space="0" w:color="auto"/>
        <w:right w:val="none" w:sz="0" w:space="0" w:color="auto"/>
      </w:divBdr>
    </w:div>
    <w:div w:id="2047942557">
      <w:bodyDiv w:val="1"/>
      <w:marLeft w:val="0"/>
      <w:marRight w:val="0"/>
      <w:marTop w:val="0"/>
      <w:marBottom w:val="0"/>
      <w:divBdr>
        <w:top w:val="none" w:sz="0" w:space="0" w:color="auto"/>
        <w:left w:val="none" w:sz="0" w:space="0" w:color="auto"/>
        <w:bottom w:val="none" w:sz="0" w:space="0" w:color="auto"/>
        <w:right w:val="none" w:sz="0" w:space="0" w:color="auto"/>
      </w:divBdr>
    </w:div>
    <w:div w:id="2063478355">
      <w:bodyDiv w:val="1"/>
      <w:marLeft w:val="0"/>
      <w:marRight w:val="0"/>
      <w:marTop w:val="0"/>
      <w:marBottom w:val="0"/>
      <w:divBdr>
        <w:top w:val="none" w:sz="0" w:space="0" w:color="auto"/>
        <w:left w:val="none" w:sz="0" w:space="0" w:color="auto"/>
        <w:bottom w:val="none" w:sz="0" w:space="0" w:color="auto"/>
        <w:right w:val="none" w:sz="0" w:space="0" w:color="auto"/>
      </w:divBdr>
    </w:div>
    <w:div w:id="2095781494">
      <w:bodyDiv w:val="1"/>
      <w:marLeft w:val="0"/>
      <w:marRight w:val="0"/>
      <w:marTop w:val="0"/>
      <w:marBottom w:val="0"/>
      <w:divBdr>
        <w:top w:val="none" w:sz="0" w:space="0" w:color="auto"/>
        <w:left w:val="none" w:sz="0" w:space="0" w:color="auto"/>
        <w:bottom w:val="none" w:sz="0" w:space="0" w:color="auto"/>
        <w:right w:val="none" w:sz="0" w:space="0" w:color="auto"/>
      </w:divBdr>
    </w:div>
    <w:div w:id="2102409367">
      <w:bodyDiv w:val="1"/>
      <w:marLeft w:val="0"/>
      <w:marRight w:val="0"/>
      <w:marTop w:val="0"/>
      <w:marBottom w:val="0"/>
      <w:divBdr>
        <w:top w:val="none" w:sz="0" w:space="0" w:color="auto"/>
        <w:left w:val="none" w:sz="0" w:space="0" w:color="auto"/>
        <w:bottom w:val="none" w:sz="0" w:space="0" w:color="auto"/>
        <w:right w:val="none" w:sz="0" w:space="0" w:color="auto"/>
      </w:divBdr>
    </w:div>
    <w:div w:id="2132549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ltf.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cpuc.ca.gov/WorkArea/DownloadAsset.aspx?id=5212" TargetMode="External"/><Relationship Id="rId1" Type="http://schemas.openxmlformats.org/officeDocument/2006/relationships/hyperlink" Target="https://www.energystar.gov/products/heating_cooling/smart_thermosta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F19B6-C845-4B82-B2AD-30B3355F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22</Pages>
  <Words>6909</Words>
  <Characters>39385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Beitel</dc:creator>
  <cp:keywords/>
  <dc:description/>
  <cp:lastModifiedBy>Andres Fergadiotti</cp:lastModifiedBy>
  <cp:revision>8</cp:revision>
  <cp:lastPrinted>2019-02-28T18:37:00Z</cp:lastPrinted>
  <dcterms:created xsi:type="dcterms:W3CDTF">2019-05-29T16:25:00Z</dcterms:created>
  <dcterms:modified xsi:type="dcterms:W3CDTF">2019-05-31T21:47:00Z</dcterms:modified>
</cp:coreProperties>
</file>