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FF"/>
  <w:body>
    <w:p w14:paraId="0334F259" w14:textId="03F43BC3" w:rsidR="00576C8C" w:rsidRDefault="007173B2">
      <w:pPr>
        <w:pStyle w:val="Normal1"/>
        <w:jc w:val="right"/>
      </w:pPr>
      <w:bookmarkStart w:id="0" w:name="_gjdgxs" w:colFirst="0" w:colLast="0"/>
      <w:bookmarkEnd w:id="0"/>
      <w:r>
        <w:rPr>
          <w:b/>
          <w:sz w:val="48"/>
          <w:szCs w:val="48"/>
        </w:rPr>
        <w:t>Work Paper S</w:t>
      </w:r>
      <w:r w:rsidR="006825A2">
        <w:rPr>
          <w:b/>
          <w:sz w:val="48"/>
          <w:szCs w:val="48"/>
        </w:rPr>
        <w:t>CE</w:t>
      </w:r>
      <w:r>
        <w:rPr>
          <w:b/>
          <w:sz w:val="48"/>
          <w:szCs w:val="48"/>
        </w:rPr>
        <w:t>1</w:t>
      </w:r>
      <w:r w:rsidR="006825A2">
        <w:rPr>
          <w:b/>
          <w:sz w:val="48"/>
          <w:szCs w:val="48"/>
        </w:rPr>
        <w:t>7HC054</w:t>
      </w:r>
    </w:p>
    <w:p w14:paraId="2141E161" w14:textId="6D13AC09" w:rsidR="00576C8C" w:rsidRDefault="007173B2">
      <w:pPr>
        <w:pStyle w:val="Normal1"/>
        <w:jc w:val="right"/>
      </w:pPr>
      <w:r>
        <w:rPr>
          <w:b/>
          <w:sz w:val="48"/>
          <w:szCs w:val="48"/>
        </w:rPr>
        <w:t xml:space="preserve">Revision </w:t>
      </w:r>
      <w:r w:rsidR="00F25C6F">
        <w:rPr>
          <w:b/>
          <w:sz w:val="48"/>
          <w:szCs w:val="48"/>
        </w:rPr>
        <w:t>0</w:t>
      </w:r>
    </w:p>
    <w:p w14:paraId="776FFDAF" w14:textId="77777777" w:rsidR="00576C8C" w:rsidRDefault="00576C8C">
      <w:pPr>
        <w:pStyle w:val="Normal1"/>
        <w:jc w:val="right"/>
      </w:pPr>
    </w:p>
    <w:p w14:paraId="1E64234E" w14:textId="26BBBC26" w:rsidR="00576C8C" w:rsidRDefault="007173B2">
      <w:pPr>
        <w:pStyle w:val="Normal1"/>
      </w:pPr>
      <w:bookmarkStart w:id="1" w:name="_30j0zll" w:colFirst="0" w:colLast="0"/>
      <w:bookmarkEnd w:id="1"/>
      <w:r>
        <w:rPr>
          <w:b/>
          <w:sz w:val="36"/>
          <w:szCs w:val="36"/>
        </w:rPr>
        <w:t>Southern California Edison</w:t>
      </w:r>
    </w:p>
    <w:p w14:paraId="02AB1D37" w14:textId="309C30AD" w:rsidR="00576C8C" w:rsidRDefault="007173B2">
      <w:pPr>
        <w:pStyle w:val="Normal1"/>
      </w:pPr>
      <w:bookmarkStart w:id="2" w:name="_1fob9te" w:colFirst="0" w:colLast="0"/>
      <w:bookmarkEnd w:id="2"/>
      <w:r>
        <w:rPr>
          <w:b/>
          <w:sz w:val="16"/>
          <w:szCs w:val="16"/>
        </w:rPr>
        <w:t>_____________________________________________________________________________________________________________</w:t>
      </w:r>
    </w:p>
    <w:p w14:paraId="1AF566B1" w14:textId="77777777" w:rsidR="00576C8C" w:rsidRDefault="00576C8C">
      <w:pPr>
        <w:pStyle w:val="Normal1"/>
      </w:pPr>
      <w:bookmarkStart w:id="3" w:name="_3znysh7" w:colFirst="0" w:colLast="0"/>
      <w:bookmarkEnd w:id="3"/>
    </w:p>
    <w:p w14:paraId="53715F27" w14:textId="77777777" w:rsidR="00576C8C" w:rsidRDefault="007173B2">
      <w:pPr>
        <w:pStyle w:val="Normal1"/>
        <w:tabs>
          <w:tab w:val="left" w:pos="8190"/>
        </w:tabs>
      </w:pPr>
      <w:r>
        <w:tab/>
      </w:r>
    </w:p>
    <w:p w14:paraId="3F5C469E" w14:textId="77777777" w:rsidR="00576C8C" w:rsidRDefault="00576C8C">
      <w:pPr>
        <w:pStyle w:val="Normal1"/>
      </w:pPr>
    </w:p>
    <w:p w14:paraId="520DE102" w14:textId="77777777" w:rsidR="00576C8C" w:rsidRDefault="00576C8C">
      <w:pPr>
        <w:pStyle w:val="Normal1"/>
      </w:pPr>
    </w:p>
    <w:p w14:paraId="797DD9BF" w14:textId="77777777" w:rsidR="00576C8C" w:rsidRDefault="00576C8C">
      <w:pPr>
        <w:pStyle w:val="Normal1"/>
      </w:pPr>
    </w:p>
    <w:p w14:paraId="6C177449" w14:textId="77777777" w:rsidR="00576C8C" w:rsidRDefault="00576C8C">
      <w:pPr>
        <w:pStyle w:val="Normal1"/>
      </w:pPr>
    </w:p>
    <w:p w14:paraId="0B268705" w14:textId="77777777" w:rsidR="00206AE1" w:rsidRDefault="00206AE1">
      <w:pPr>
        <w:pStyle w:val="Normal1"/>
      </w:pPr>
    </w:p>
    <w:p w14:paraId="5AD5171E" w14:textId="77777777" w:rsidR="00576C8C" w:rsidRDefault="00576C8C">
      <w:pPr>
        <w:pStyle w:val="Normal1"/>
      </w:pPr>
    </w:p>
    <w:p w14:paraId="3BE4CAD1" w14:textId="1A127816" w:rsidR="00576C8C" w:rsidRDefault="007173B2">
      <w:pPr>
        <w:pStyle w:val="Normal1"/>
      </w:pPr>
      <w:bookmarkStart w:id="4" w:name="_2et92p0" w:colFirst="0" w:colLast="0"/>
      <w:bookmarkEnd w:id="4"/>
      <w:r>
        <w:rPr>
          <w:b/>
          <w:sz w:val="72"/>
          <w:szCs w:val="72"/>
        </w:rPr>
        <w:t xml:space="preserve">Residential Smart </w:t>
      </w:r>
      <w:r w:rsidR="00371375">
        <w:rPr>
          <w:b/>
          <w:sz w:val="72"/>
          <w:szCs w:val="72"/>
        </w:rPr>
        <w:t xml:space="preserve">Communicating </w:t>
      </w:r>
      <w:r>
        <w:rPr>
          <w:b/>
          <w:sz w:val="72"/>
          <w:szCs w:val="72"/>
        </w:rPr>
        <w:t>Thermostat</w:t>
      </w:r>
    </w:p>
    <w:p w14:paraId="53458380" w14:textId="77777777" w:rsidR="00576C8C" w:rsidRDefault="00576C8C">
      <w:pPr>
        <w:pStyle w:val="Normal1"/>
        <w:spacing w:before="40" w:after="40"/>
      </w:pPr>
    </w:p>
    <w:p w14:paraId="2CD29B98" w14:textId="77777777" w:rsidR="00576C8C" w:rsidRDefault="00576C8C">
      <w:pPr>
        <w:pStyle w:val="Normal1"/>
        <w:spacing w:before="40" w:after="40"/>
      </w:pPr>
    </w:p>
    <w:p w14:paraId="4D319BBE" w14:textId="77777777" w:rsidR="00576C8C" w:rsidRDefault="00576C8C">
      <w:pPr>
        <w:pStyle w:val="Normal1"/>
        <w:spacing w:before="40" w:after="40"/>
      </w:pPr>
    </w:p>
    <w:p w14:paraId="0330A0AB" w14:textId="77777777" w:rsidR="00576C8C" w:rsidRDefault="00576C8C">
      <w:pPr>
        <w:pStyle w:val="Normal1"/>
        <w:spacing w:before="40" w:after="40"/>
      </w:pPr>
    </w:p>
    <w:p w14:paraId="7B906F06" w14:textId="77777777" w:rsidR="00576C8C" w:rsidRDefault="00576C8C">
      <w:pPr>
        <w:pStyle w:val="Normal1"/>
        <w:spacing w:before="40" w:after="40"/>
      </w:pPr>
    </w:p>
    <w:p w14:paraId="6F002E24" w14:textId="77777777" w:rsidR="00576C8C" w:rsidRDefault="00576C8C">
      <w:pPr>
        <w:pStyle w:val="Normal1"/>
        <w:spacing w:before="40" w:after="40"/>
      </w:pPr>
    </w:p>
    <w:p w14:paraId="74F720AC" w14:textId="77777777" w:rsidR="00576C8C" w:rsidRDefault="00576C8C">
      <w:pPr>
        <w:pStyle w:val="Normal1"/>
        <w:spacing w:before="40" w:after="40"/>
      </w:pPr>
    </w:p>
    <w:p w14:paraId="051DA7A1" w14:textId="77777777" w:rsidR="0043418A" w:rsidRDefault="0043418A">
      <w:pPr>
        <w:pStyle w:val="Normal1"/>
        <w:spacing w:before="40" w:after="40"/>
      </w:pPr>
    </w:p>
    <w:p w14:paraId="47AD6197" w14:textId="77777777" w:rsidR="00576C8C" w:rsidRDefault="00576C8C">
      <w:pPr>
        <w:pStyle w:val="Normal1"/>
        <w:spacing w:before="40" w:after="40"/>
      </w:pPr>
    </w:p>
    <w:p w14:paraId="6185C87A" w14:textId="77777777" w:rsidR="00576C8C" w:rsidRDefault="00576C8C">
      <w:pPr>
        <w:pStyle w:val="Normal1"/>
        <w:spacing w:before="40" w:after="40"/>
      </w:pPr>
    </w:p>
    <w:p w14:paraId="38C77BC6" w14:textId="77777777" w:rsidR="007755C8" w:rsidRDefault="007755C8">
      <w:pPr>
        <w:rPr>
          <w:b/>
          <w:smallCaps/>
          <w:sz w:val="36"/>
          <w:szCs w:val="36"/>
        </w:rPr>
      </w:pPr>
      <w:bookmarkStart w:id="5" w:name="_tyjcwt" w:colFirst="0" w:colLast="0"/>
      <w:bookmarkEnd w:id="5"/>
      <w:r>
        <w:br w:type="page"/>
      </w:r>
    </w:p>
    <w:p w14:paraId="6468DC5D" w14:textId="20D57A74" w:rsidR="00576C8C" w:rsidRDefault="007173B2">
      <w:pPr>
        <w:pStyle w:val="Heading1"/>
      </w:pPr>
      <w:r>
        <w:lastRenderedPageBreak/>
        <w:t>At-a-Glance Summary</w:t>
      </w:r>
    </w:p>
    <w:tbl>
      <w:tblPr>
        <w:tblStyle w:val="a0"/>
        <w:tblW w:w="9576" w:type="dxa"/>
        <w:tblInd w:w="-2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405"/>
        <w:gridCol w:w="6171"/>
      </w:tblGrid>
      <w:tr w:rsidR="00576C8C" w:rsidRPr="00206AE1" w14:paraId="576457AC" w14:textId="77777777" w:rsidTr="00D54ED3">
        <w:trPr>
          <w:trHeight w:val="460"/>
        </w:trPr>
        <w:tc>
          <w:tcPr>
            <w:tcW w:w="3405" w:type="dxa"/>
          </w:tcPr>
          <w:p w14:paraId="25DAD924" w14:textId="77777777" w:rsidR="00576C8C" w:rsidRPr="00206AE1" w:rsidRDefault="007173B2">
            <w:pPr>
              <w:pStyle w:val="Normal1"/>
              <w:contextualSpacing w:val="0"/>
            </w:pPr>
            <w:r w:rsidRPr="00206AE1">
              <w:rPr>
                <w:b/>
              </w:rPr>
              <w:t>Measure Codes</w:t>
            </w:r>
          </w:p>
        </w:tc>
        <w:tc>
          <w:tcPr>
            <w:tcW w:w="6171" w:type="dxa"/>
          </w:tcPr>
          <w:p w14:paraId="57C90F7F" w14:textId="4BA56727" w:rsidR="00576C8C" w:rsidRPr="00206AE1" w:rsidRDefault="00AC49F2">
            <w:pPr>
              <w:pStyle w:val="Normal1"/>
              <w:contextualSpacing w:val="0"/>
            </w:pPr>
            <w:r w:rsidRPr="00206AE1">
              <w:t>See section 1.1</w:t>
            </w:r>
          </w:p>
        </w:tc>
      </w:tr>
      <w:tr w:rsidR="00576C8C" w:rsidRPr="00206AE1" w14:paraId="264F7BC9" w14:textId="77777777" w:rsidTr="00D54ED3">
        <w:trPr>
          <w:trHeight w:val="460"/>
        </w:trPr>
        <w:tc>
          <w:tcPr>
            <w:tcW w:w="3405" w:type="dxa"/>
          </w:tcPr>
          <w:p w14:paraId="3F8447D6" w14:textId="77777777" w:rsidR="00576C8C" w:rsidRPr="00206AE1" w:rsidRDefault="007173B2">
            <w:pPr>
              <w:pStyle w:val="Normal1"/>
              <w:contextualSpacing w:val="0"/>
            </w:pPr>
            <w:r w:rsidRPr="00206AE1">
              <w:rPr>
                <w:b/>
              </w:rPr>
              <w:t>Measure Description</w:t>
            </w:r>
          </w:p>
        </w:tc>
        <w:tc>
          <w:tcPr>
            <w:tcW w:w="6171" w:type="dxa"/>
          </w:tcPr>
          <w:p w14:paraId="50C4BB3A" w14:textId="3CCA1CC7" w:rsidR="00576C8C" w:rsidRPr="00206AE1" w:rsidRDefault="007173B2">
            <w:pPr>
              <w:pStyle w:val="Normal1"/>
              <w:contextualSpacing w:val="0"/>
            </w:pPr>
            <w:r w:rsidRPr="00206AE1">
              <w:t>Residential Smart Thermostat</w:t>
            </w:r>
          </w:p>
        </w:tc>
      </w:tr>
      <w:tr w:rsidR="00576C8C" w:rsidRPr="00206AE1" w14:paraId="66777A38" w14:textId="77777777" w:rsidTr="00D54ED3">
        <w:trPr>
          <w:trHeight w:val="460"/>
        </w:trPr>
        <w:tc>
          <w:tcPr>
            <w:tcW w:w="3405" w:type="dxa"/>
          </w:tcPr>
          <w:p w14:paraId="524C8E15" w14:textId="77777777" w:rsidR="00576C8C" w:rsidRPr="00206AE1" w:rsidRDefault="007173B2">
            <w:pPr>
              <w:pStyle w:val="Normal1"/>
              <w:contextualSpacing w:val="0"/>
            </w:pPr>
            <w:r w:rsidRPr="00206AE1">
              <w:rPr>
                <w:b/>
              </w:rPr>
              <w:t>Base Case Description</w:t>
            </w:r>
          </w:p>
        </w:tc>
        <w:tc>
          <w:tcPr>
            <w:tcW w:w="6171" w:type="dxa"/>
          </w:tcPr>
          <w:p w14:paraId="5DF3A115" w14:textId="77777777" w:rsidR="00576C8C" w:rsidRPr="00206AE1" w:rsidRDefault="007173B2">
            <w:pPr>
              <w:pStyle w:val="Normal1"/>
              <w:contextualSpacing w:val="0"/>
            </w:pPr>
            <w:r w:rsidRPr="00206AE1">
              <w:t>A combination of programmed Setback Programmable Thermostats and Non-Programmable Thermostats (or not programmed setback thermostats)</w:t>
            </w:r>
          </w:p>
        </w:tc>
      </w:tr>
      <w:tr w:rsidR="00576C8C" w:rsidRPr="00206AE1" w14:paraId="03B703DD" w14:textId="77777777" w:rsidTr="00D54ED3">
        <w:trPr>
          <w:trHeight w:val="460"/>
        </w:trPr>
        <w:tc>
          <w:tcPr>
            <w:tcW w:w="3405" w:type="dxa"/>
          </w:tcPr>
          <w:p w14:paraId="10989D26" w14:textId="77777777" w:rsidR="00576C8C" w:rsidRPr="00206AE1" w:rsidRDefault="007173B2">
            <w:pPr>
              <w:pStyle w:val="Normal1"/>
              <w:contextualSpacing w:val="0"/>
            </w:pPr>
            <w:r w:rsidRPr="00206AE1">
              <w:rPr>
                <w:b/>
              </w:rPr>
              <w:t>Units</w:t>
            </w:r>
          </w:p>
        </w:tc>
        <w:tc>
          <w:tcPr>
            <w:tcW w:w="6171" w:type="dxa"/>
          </w:tcPr>
          <w:p w14:paraId="49D1765F" w14:textId="77777777" w:rsidR="00576C8C" w:rsidRPr="00206AE1" w:rsidRDefault="007173B2">
            <w:pPr>
              <w:pStyle w:val="Normal1"/>
              <w:contextualSpacing w:val="0"/>
            </w:pPr>
            <w:r w:rsidRPr="00206AE1">
              <w:t>1 unit = 1 Smart Thermostat</w:t>
            </w:r>
          </w:p>
        </w:tc>
      </w:tr>
      <w:tr w:rsidR="00576C8C" w:rsidRPr="00206AE1" w14:paraId="20892B55" w14:textId="77777777" w:rsidTr="00D54ED3">
        <w:trPr>
          <w:trHeight w:val="460"/>
        </w:trPr>
        <w:tc>
          <w:tcPr>
            <w:tcW w:w="3405" w:type="dxa"/>
          </w:tcPr>
          <w:p w14:paraId="1F1BF799" w14:textId="77777777" w:rsidR="00576C8C" w:rsidRPr="00206AE1" w:rsidRDefault="007173B2">
            <w:pPr>
              <w:pStyle w:val="Normal1"/>
              <w:contextualSpacing w:val="0"/>
            </w:pPr>
            <w:r w:rsidRPr="00206AE1">
              <w:rPr>
                <w:b/>
              </w:rPr>
              <w:t>Energy Savings</w:t>
            </w:r>
          </w:p>
        </w:tc>
        <w:tc>
          <w:tcPr>
            <w:tcW w:w="6171" w:type="dxa"/>
          </w:tcPr>
          <w:p w14:paraId="0EF678E9" w14:textId="77777777" w:rsidR="00576C8C" w:rsidRPr="00206AE1" w:rsidRDefault="007173B2">
            <w:pPr>
              <w:pStyle w:val="Normal1"/>
              <w:contextualSpacing w:val="0"/>
            </w:pPr>
            <w:r w:rsidRPr="00206AE1">
              <w:t>Refer to Attachment</w:t>
            </w:r>
          </w:p>
        </w:tc>
      </w:tr>
      <w:tr w:rsidR="00576C8C" w:rsidRPr="00206AE1" w14:paraId="5FC36501" w14:textId="77777777" w:rsidTr="00D54ED3">
        <w:trPr>
          <w:trHeight w:val="460"/>
        </w:trPr>
        <w:tc>
          <w:tcPr>
            <w:tcW w:w="3405" w:type="dxa"/>
          </w:tcPr>
          <w:p w14:paraId="4950278E" w14:textId="77777777" w:rsidR="00576C8C" w:rsidRPr="00206AE1" w:rsidRDefault="007173B2">
            <w:pPr>
              <w:pStyle w:val="Normal1"/>
              <w:contextualSpacing w:val="0"/>
            </w:pPr>
            <w:r w:rsidRPr="00206AE1">
              <w:rPr>
                <w:b/>
              </w:rPr>
              <w:t>Full Measure Cost ($/unit)</w:t>
            </w:r>
          </w:p>
        </w:tc>
        <w:tc>
          <w:tcPr>
            <w:tcW w:w="617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30A5DF6" w14:textId="6782FB08" w:rsidR="00576C8C" w:rsidRPr="00206AE1" w:rsidRDefault="00154112">
            <w:pPr>
              <w:pStyle w:val="Normal1"/>
              <w:contextualSpacing w:val="0"/>
            </w:pPr>
            <w:r w:rsidRPr="00206AE1">
              <w:t>$</w:t>
            </w:r>
            <w:r w:rsidR="003C205E" w:rsidRPr="00206AE1">
              <w:rPr>
                <w:color w:val="auto"/>
              </w:rPr>
              <w:t>186.5</w:t>
            </w:r>
          </w:p>
        </w:tc>
      </w:tr>
      <w:tr w:rsidR="00576C8C" w:rsidRPr="00206AE1" w14:paraId="6BA16B07" w14:textId="77777777" w:rsidTr="00D54ED3">
        <w:trPr>
          <w:trHeight w:val="460"/>
        </w:trPr>
        <w:tc>
          <w:tcPr>
            <w:tcW w:w="3405" w:type="dxa"/>
          </w:tcPr>
          <w:p w14:paraId="6606D1DE" w14:textId="77777777" w:rsidR="00576C8C" w:rsidRPr="00206AE1" w:rsidRDefault="007173B2">
            <w:pPr>
              <w:pStyle w:val="Normal1"/>
              <w:contextualSpacing w:val="0"/>
            </w:pPr>
            <w:r w:rsidRPr="00206AE1">
              <w:rPr>
                <w:b/>
              </w:rPr>
              <w:t>Incremental Measure Cost ($/unit)</w:t>
            </w:r>
          </w:p>
        </w:tc>
        <w:tc>
          <w:tcPr>
            <w:tcW w:w="6171" w:type="dxa"/>
          </w:tcPr>
          <w:p w14:paraId="2EAE312E" w14:textId="39F8400E" w:rsidR="00576C8C" w:rsidRPr="00206AE1" w:rsidRDefault="007173B2" w:rsidP="00154112">
            <w:pPr>
              <w:pStyle w:val="Normal1"/>
              <w:contextualSpacing w:val="0"/>
            </w:pPr>
            <w:r w:rsidRPr="00206AE1">
              <w:t>$</w:t>
            </w:r>
            <w:r w:rsidR="00154112" w:rsidRPr="00206AE1">
              <w:t>92.38</w:t>
            </w:r>
          </w:p>
        </w:tc>
      </w:tr>
      <w:tr w:rsidR="00576C8C" w:rsidRPr="00206AE1" w14:paraId="0DDE4526" w14:textId="77777777" w:rsidTr="00D54ED3">
        <w:trPr>
          <w:trHeight w:val="460"/>
        </w:trPr>
        <w:tc>
          <w:tcPr>
            <w:tcW w:w="3405" w:type="dxa"/>
          </w:tcPr>
          <w:p w14:paraId="2A93EA06" w14:textId="77777777" w:rsidR="00576C8C" w:rsidRPr="00206AE1" w:rsidRDefault="007173B2">
            <w:pPr>
              <w:pStyle w:val="Normal1"/>
              <w:contextualSpacing w:val="0"/>
            </w:pPr>
            <w:r w:rsidRPr="00206AE1">
              <w:rPr>
                <w:b/>
              </w:rPr>
              <w:t>Effective Useful Life</w:t>
            </w:r>
          </w:p>
        </w:tc>
        <w:tc>
          <w:tcPr>
            <w:tcW w:w="6171" w:type="dxa"/>
          </w:tcPr>
          <w:p w14:paraId="0785B309" w14:textId="7A06238D" w:rsidR="00576C8C" w:rsidRPr="00206AE1" w:rsidRDefault="00666FD4">
            <w:pPr>
              <w:pStyle w:val="Normal1"/>
              <w:contextualSpacing w:val="0"/>
            </w:pPr>
            <w:r w:rsidRPr="00206AE1">
              <w:t xml:space="preserve">EUL: </w:t>
            </w:r>
            <w:r w:rsidR="00CA6B12" w:rsidRPr="00206AE1">
              <w:t>11</w:t>
            </w:r>
            <w:r w:rsidR="007173B2" w:rsidRPr="00206AE1">
              <w:t xml:space="preserve"> years</w:t>
            </w:r>
            <w:r w:rsidR="007D73C5" w:rsidRPr="00206AE1">
              <w:t xml:space="preserve"> (No DE</w:t>
            </w:r>
            <w:r w:rsidR="00F566DE" w:rsidRPr="00206AE1">
              <w:t>ER ID available</w:t>
            </w:r>
            <w:r w:rsidR="007D73C5" w:rsidRPr="00206AE1">
              <w:t>)</w:t>
            </w:r>
          </w:p>
          <w:p w14:paraId="31CFD9AB" w14:textId="57EFCFE3" w:rsidR="00576C8C" w:rsidRPr="00206AE1" w:rsidRDefault="007173B2">
            <w:pPr>
              <w:pStyle w:val="Normal1"/>
              <w:contextualSpacing w:val="0"/>
            </w:pPr>
            <w:r w:rsidRPr="00206AE1">
              <w:t>RUL: 3.66 years</w:t>
            </w:r>
          </w:p>
        </w:tc>
      </w:tr>
      <w:tr w:rsidR="00576C8C" w:rsidRPr="00206AE1" w14:paraId="35E9EBD8" w14:textId="77777777" w:rsidTr="00D54ED3">
        <w:trPr>
          <w:trHeight w:val="460"/>
        </w:trPr>
        <w:tc>
          <w:tcPr>
            <w:tcW w:w="3405" w:type="dxa"/>
          </w:tcPr>
          <w:p w14:paraId="230F75FC" w14:textId="77777777" w:rsidR="00576C8C" w:rsidRPr="00206AE1" w:rsidRDefault="007173B2">
            <w:pPr>
              <w:pStyle w:val="Normal1"/>
              <w:contextualSpacing w:val="0"/>
            </w:pPr>
            <w:r w:rsidRPr="00206AE1">
              <w:rPr>
                <w:b/>
              </w:rPr>
              <w:t>Measure Installation Type</w:t>
            </w:r>
          </w:p>
        </w:tc>
        <w:tc>
          <w:tcPr>
            <w:tcW w:w="6171" w:type="dxa"/>
          </w:tcPr>
          <w:p w14:paraId="22E51787" w14:textId="1A1784CE" w:rsidR="00576C8C" w:rsidRPr="00206AE1" w:rsidRDefault="002A70B7">
            <w:pPr>
              <w:pStyle w:val="Normal1"/>
              <w:contextualSpacing w:val="0"/>
            </w:pPr>
            <w:r w:rsidRPr="00206AE1">
              <w:t xml:space="preserve">IOU’s: </w:t>
            </w:r>
            <w:r w:rsidR="0078234A" w:rsidRPr="00206AE1">
              <w:t>Replace on Burnout</w:t>
            </w:r>
            <w:r w:rsidR="00D54ED3" w:rsidRPr="00206AE1">
              <w:t xml:space="preserve"> (15%)</w:t>
            </w:r>
            <w:r w:rsidR="0078234A" w:rsidRPr="00206AE1">
              <w:t xml:space="preserve"> and </w:t>
            </w:r>
            <w:r w:rsidR="007173B2" w:rsidRPr="00206AE1">
              <w:t>Early Retirement (ER)</w:t>
            </w:r>
            <w:r w:rsidR="00D54ED3" w:rsidRPr="00206AE1">
              <w:t xml:space="preserve"> (85%)</w:t>
            </w:r>
          </w:p>
          <w:p w14:paraId="232DFA59" w14:textId="5BE0C74E" w:rsidR="002A70B7" w:rsidRPr="00206AE1" w:rsidRDefault="002A70B7">
            <w:pPr>
              <w:pStyle w:val="Normal1"/>
              <w:contextualSpacing w:val="0"/>
            </w:pPr>
            <w:r w:rsidRPr="00206AE1">
              <w:t xml:space="preserve">POU’s: </w:t>
            </w:r>
            <w:r w:rsidR="00D03869" w:rsidRPr="00206AE1">
              <w:t>Replace on Burnout</w:t>
            </w:r>
          </w:p>
        </w:tc>
      </w:tr>
      <w:tr w:rsidR="00576C8C" w:rsidRPr="00206AE1" w14:paraId="0F8514AA" w14:textId="77777777" w:rsidTr="00D54ED3">
        <w:trPr>
          <w:trHeight w:val="460"/>
        </w:trPr>
        <w:tc>
          <w:tcPr>
            <w:tcW w:w="3405" w:type="dxa"/>
          </w:tcPr>
          <w:p w14:paraId="6A098A31" w14:textId="77777777" w:rsidR="00576C8C" w:rsidRPr="00206AE1" w:rsidRDefault="007173B2">
            <w:pPr>
              <w:pStyle w:val="Normal1"/>
              <w:contextualSpacing w:val="0"/>
            </w:pPr>
            <w:r w:rsidRPr="00206AE1">
              <w:rPr>
                <w:b/>
              </w:rPr>
              <w:t>Net-to-Gross Ratio</w:t>
            </w:r>
          </w:p>
        </w:tc>
        <w:tc>
          <w:tcPr>
            <w:tcW w:w="6171" w:type="dxa"/>
          </w:tcPr>
          <w:p w14:paraId="0B077A02" w14:textId="09E60432" w:rsidR="00576C8C" w:rsidRPr="00206AE1" w:rsidRDefault="00D03869">
            <w:pPr>
              <w:pStyle w:val="Normal1"/>
              <w:contextualSpacing w:val="0"/>
            </w:pPr>
            <w:r w:rsidRPr="00206AE1">
              <w:t xml:space="preserve">IOU’s: </w:t>
            </w:r>
            <w:r w:rsidR="002F2186" w:rsidRPr="00206AE1">
              <w:t>0.55</w:t>
            </w:r>
            <w:r w:rsidR="007D73C5" w:rsidRPr="00206AE1">
              <w:t xml:space="preserve"> (Res-Default&gt;2)</w:t>
            </w:r>
            <w:r w:rsidRPr="00206AE1">
              <w:t xml:space="preserve"> </w:t>
            </w:r>
          </w:p>
          <w:p w14:paraId="334627F3" w14:textId="2B8CDED0" w:rsidR="002A70B7" w:rsidRPr="00206AE1" w:rsidRDefault="00D03869">
            <w:pPr>
              <w:pStyle w:val="Normal1"/>
              <w:contextualSpacing w:val="0"/>
            </w:pPr>
            <w:r w:rsidRPr="00206AE1">
              <w:t xml:space="preserve">POU’s: </w:t>
            </w:r>
            <w:r w:rsidR="002A70B7" w:rsidRPr="00206AE1">
              <w:t xml:space="preserve">0.96 </w:t>
            </w:r>
          </w:p>
          <w:p w14:paraId="38E04A09" w14:textId="77777777" w:rsidR="00576C8C" w:rsidRPr="00206AE1" w:rsidRDefault="007173B2">
            <w:pPr>
              <w:pStyle w:val="Normal1"/>
              <w:contextualSpacing w:val="0"/>
            </w:pPr>
            <w:r w:rsidRPr="00206AE1">
              <w:t>Refer to description below for details</w:t>
            </w:r>
          </w:p>
        </w:tc>
      </w:tr>
      <w:tr w:rsidR="00576C8C" w:rsidRPr="00206AE1" w14:paraId="3E8EA401" w14:textId="77777777" w:rsidTr="00D54ED3">
        <w:trPr>
          <w:trHeight w:val="460"/>
        </w:trPr>
        <w:tc>
          <w:tcPr>
            <w:tcW w:w="3405" w:type="dxa"/>
          </w:tcPr>
          <w:p w14:paraId="7F76659E" w14:textId="25776108" w:rsidR="00576C8C" w:rsidRPr="00206AE1" w:rsidRDefault="007173B2">
            <w:pPr>
              <w:pStyle w:val="Normal1"/>
              <w:contextualSpacing w:val="0"/>
            </w:pPr>
            <w:r w:rsidRPr="00206AE1">
              <w:rPr>
                <w:b/>
              </w:rPr>
              <w:t>Important Comments</w:t>
            </w:r>
          </w:p>
        </w:tc>
        <w:tc>
          <w:tcPr>
            <w:tcW w:w="6171" w:type="dxa"/>
          </w:tcPr>
          <w:p w14:paraId="77D2C0D3" w14:textId="77777777" w:rsidR="00576C8C" w:rsidRPr="00206AE1" w:rsidRDefault="007173B2">
            <w:pPr>
              <w:pStyle w:val="Normal1"/>
              <w:contextualSpacing w:val="0"/>
            </w:pPr>
            <w:r w:rsidRPr="00206AE1">
              <w:t>This work paper is intended to replace the interim smart thermostat work paper already submitted by SoCal Gas. This work paper includes heating and cooling data (and savings) for all climate zones.</w:t>
            </w:r>
          </w:p>
          <w:p w14:paraId="6B3C5B8E" w14:textId="77777777" w:rsidR="00760512" w:rsidRPr="00206AE1" w:rsidRDefault="00760512">
            <w:pPr>
              <w:pStyle w:val="Normal1"/>
              <w:contextualSpacing w:val="0"/>
            </w:pPr>
          </w:p>
          <w:p w14:paraId="7C255083" w14:textId="05914F00" w:rsidR="00760512" w:rsidRPr="00206AE1" w:rsidRDefault="00760512">
            <w:pPr>
              <w:pStyle w:val="Normal1"/>
              <w:contextualSpacing w:val="0"/>
            </w:pPr>
            <w:r w:rsidRPr="00206AE1">
              <w:rPr>
                <w:rFonts w:cs="Arial"/>
              </w:rPr>
              <w:t>This work paper has a complementary Ex Ante Database data set that will be provided in a separate submission to the California Public Utilities Commission (CPUC).</w:t>
            </w:r>
          </w:p>
        </w:tc>
      </w:tr>
    </w:tbl>
    <w:p w14:paraId="0136A24B" w14:textId="77777777" w:rsidR="00576C8C" w:rsidRDefault="00576C8C">
      <w:pPr>
        <w:pStyle w:val="Normal1"/>
        <w:spacing w:after="200" w:line="276" w:lineRule="auto"/>
      </w:pPr>
    </w:p>
    <w:p w14:paraId="279B1126" w14:textId="5DB48D46" w:rsidR="00576C8C" w:rsidRDefault="007173B2">
      <w:pPr>
        <w:pStyle w:val="Normal1"/>
      </w:pPr>
      <w:r>
        <w:br w:type="page"/>
      </w:r>
    </w:p>
    <w:p w14:paraId="02EDB23E" w14:textId="77777777" w:rsidR="00576C8C" w:rsidRDefault="007173B2">
      <w:pPr>
        <w:pStyle w:val="Heading1"/>
      </w:pPr>
      <w:r>
        <w:lastRenderedPageBreak/>
        <w:t>Revision History</w:t>
      </w:r>
    </w:p>
    <w:tbl>
      <w:tblPr>
        <w:tblStyle w:val="a1"/>
        <w:tblW w:w="9570" w:type="dxa"/>
        <w:tblInd w:w="-2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80"/>
        <w:gridCol w:w="1365"/>
        <w:gridCol w:w="3900"/>
        <w:gridCol w:w="3525"/>
      </w:tblGrid>
      <w:tr w:rsidR="00576C8C" w:rsidRPr="00206AE1" w14:paraId="41E25487" w14:textId="77777777" w:rsidTr="00320892">
        <w:trPr>
          <w:trHeight w:val="20"/>
        </w:trPr>
        <w:tc>
          <w:tcPr>
            <w:tcW w:w="780" w:type="dxa"/>
            <w:shd w:val="clear" w:color="auto" w:fill="D9D9D9"/>
          </w:tcPr>
          <w:p w14:paraId="73DB9EAB" w14:textId="77777777" w:rsidR="00576C8C" w:rsidRPr="00206AE1" w:rsidRDefault="007173B2">
            <w:pPr>
              <w:pStyle w:val="Normal1"/>
              <w:contextualSpacing w:val="0"/>
            </w:pPr>
            <w:r w:rsidRPr="00206AE1">
              <w:rPr>
                <w:b/>
              </w:rPr>
              <w:t>Rev</w:t>
            </w:r>
          </w:p>
        </w:tc>
        <w:tc>
          <w:tcPr>
            <w:tcW w:w="1365" w:type="dxa"/>
            <w:shd w:val="clear" w:color="auto" w:fill="D9D9D9"/>
          </w:tcPr>
          <w:p w14:paraId="4B62F9C6" w14:textId="77777777" w:rsidR="00576C8C" w:rsidRPr="00206AE1" w:rsidRDefault="007173B2">
            <w:pPr>
              <w:pStyle w:val="Normal1"/>
              <w:contextualSpacing w:val="0"/>
            </w:pPr>
            <w:r w:rsidRPr="00206AE1">
              <w:rPr>
                <w:b/>
              </w:rPr>
              <w:t>Date</w:t>
            </w:r>
          </w:p>
        </w:tc>
        <w:tc>
          <w:tcPr>
            <w:tcW w:w="3900" w:type="dxa"/>
            <w:shd w:val="clear" w:color="auto" w:fill="D9D9D9"/>
          </w:tcPr>
          <w:p w14:paraId="2F150C9A" w14:textId="77777777" w:rsidR="00576C8C" w:rsidRPr="00206AE1" w:rsidRDefault="007173B2">
            <w:pPr>
              <w:pStyle w:val="Normal1"/>
              <w:contextualSpacing w:val="0"/>
            </w:pPr>
            <w:r w:rsidRPr="00206AE1">
              <w:rPr>
                <w:b/>
              </w:rPr>
              <w:t>Author</w:t>
            </w:r>
          </w:p>
        </w:tc>
        <w:tc>
          <w:tcPr>
            <w:tcW w:w="3525" w:type="dxa"/>
            <w:shd w:val="clear" w:color="auto" w:fill="D9D9D9"/>
          </w:tcPr>
          <w:p w14:paraId="55914A75" w14:textId="77777777" w:rsidR="00576C8C" w:rsidRPr="00206AE1" w:rsidRDefault="007173B2">
            <w:pPr>
              <w:pStyle w:val="Normal1"/>
              <w:contextualSpacing w:val="0"/>
            </w:pPr>
            <w:r w:rsidRPr="00206AE1">
              <w:rPr>
                <w:b/>
              </w:rPr>
              <w:t>Summary of Changes</w:t>
            </w:r>
          </w:p>
        </w:tc>
      </w:tr>
      <w:tr w:rsidR="00576C8C" w:rsidRPr="00206AE1" w14:paraId="2DD0EF05" w14:textId="77777777" w:rsidTr="00320892">
        <w:trPr>
          <w:trHeight w:val="20"/>
        </w:trPr>
        <w:tc>
          <w:tcPr>
            <w:tcW w:w="780" w:type="dxa"/>
          </w:tcPr>
          <w:p w14:paraId="22D199B5" w14:textId="77777777" w:rsidR="00576C8C" w:rsidRPr="00206AE1" w:rsidRDefault="007173B2">
            <w:pPr>
              <w:pStyle w:val="Normal1"/>
              <w:contextualSpacing w:val="0"/>
            </w:pPr>
            <w:r w:rsidRPr="00206AE1">
              <w:t>0</w:t>
            </w:r>
          </w:p>
        </w:tc>
        <w:tc>
          <w:tcPr>
            <w:tcW w:w="1365" w:type="dxa"/>
          </w:tcPr>
          <w:p w14:paraId="5E028659" w14:textId="39B9F092" w:rsidR="00576C8C" w:rsidRPr="00206AE1" w:rsidRDefault="00345B64">
            <w:pPr>
              <w:pStyle w:val="Normal1"/>
              <w:contextualSpacing w:val="0"/>
              <w:rPr>
                <w:color w:val="auto"/>
              </w:rPr>
            </w:pPr>
            <w:r w:rsidRPr="00206AE1">
              <w:rPr>
                <w:color w:val="auto"/>
              </w:rPr>
              <w:t>2/</w:t>
            </w:r>
            <w:r w:rsidR="00320892" w:rsidRPr="00206AE1">
              <w:rPr>
                <w:color w:val="auto"/>
              </w:rPr>
              <w:t>17</w:t>
            </w:r>
            <w:r w:rsidRPr="00206AE1">
              <w:rPr>
                <w:color w:val="auto"/>
              </w:rPr>
              <w:t>/2017</w:t>
            </w:r>
          </w:p>
        </w:tc>
        <w:tc>
          <w:tcPr>
            <w:tcW w:w="3900" w:type="dxa"/>
          </w:tcPr>
          <w:p w14:paraId="72A33F90" w14:textId="1E80957F" w:rsidR="00666E20" w:rsidRDefault="00666E20">
            <w:pPr>
              <w:pStyle w:val="Normal1"/>
              <w:contextualSpacing w:val="0"/>
            </w:pPr>
            <w:r>
              <w:t>SCE/NEST Collaboration:</w:t>
            </w:r>
          </w:p>
          <w:p w14:paraId="21E8FD1E" w14:textId="77777777" w:rsidR="00576C8C" w:rsidRPr="00206AE1" w:rsidRDefault="007173B2">
            <w:pPr>
              <w:pStyle w:val="Normal1"/>
              <w:contextualSpacing w:val="0"/>
            </w:pPr>
            <w:r w:rsidRPr="00206AE1">
              <w:t>Jeff Gleeson (Nest), Aaron Berndt (Nest),</w:t>
            </w:r>
          </w:p>
          <w:p w14:paraId="02433A40" w14:textId="77777777" w:rsidR="00576C8C" w:rsidRPr="00206AE1" w:rsidRDefault="007173B2">
            <w:pPr>
              <w:pStyle w:val="Normal1"/>
              <w:contextualSpacing w:val="0"/>
            </w:pPr>
            <w:r w:rsidRPr="00206AE1">
              <w:t>Andres Fergadiotti (SCE)</w:t>
            </w:r>
          </w:p>
        </w:tc>
        <w:tc>
          <w:tcPr>
            <w:tcW w:w="3525" w:type="dxa"/>
          </w:tcPr>
          <w:p w14:paraId="681E4E43" w14:textId="77777777" w:rsidR="00576C8C" w:rsidRPr="00206AE1" w:rsidRDefault="007173B2">
            <w:pPr>
              <w:pStyle w:val="Normal1"/>
              <w:contextualSpacing w:val="0"/>
            </w:pPr>
            <w:r w:rsidRPr="00206AE1">
              <w:t>New work paper, first version</w:t>
            </w:r>
          </w:p>
          <w:p w14:paraId="6DAD5634" w14:textId="77777777" w:rsidR="00576C8C" w:rsidRPr="00206AE1" w:rsidRDefault="00576C8C">
            <w:pPr>
              <w:pStyle w:val="Normal1"/>
              <w:contextualSpacing w:val="0"/>
            </w:pPr>
          </w:p>
        </w:tc>
      </w:tr>
    </w:tbl>
    <w:p w14:paraId="3C8FE2A3" w14:textId="7BCA648E" w:rsidR="00576C8C" w:rsidRDefault="007173B2">
      <w:pPr>
        <w:pStyle w:val="Heading1"/>
      </w:pPr>
      <w:r>
        <w:t>Commission Staff and Cal TF Comments</w:t>
      </w:r>
    </w:p>
    <w:tbl>
      <w:tblPr>
        <w:tblStyle w:val="a2"/>
        <w:tblW w:w="9585" w:type="dxa"/>
        <w:tblInd w:w="-2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30"/>
        <w:gridCol w:w="765"/>
        <w:gridCol w:w="1215"/>
        <w:gridCol w:w="1320"/>
        <w:gridCol w:w="2865"/>
        <w:gridCol w:w="2790"/>
      </w:tblGrid>
      <w:tr w:rsidR="00576C8C" w:rsidRPr="00206AE1" w14:paraId="0DFBBDE6" w14:textId="77777777">
        <w:trPr>
          <w:trHeight w:val="20"/>
        </w:trPr>
        <w:tc>
          <w:tcPr>
            <w:tcW w:w="630" w:type="dxa"/>
            <w:shd w:val="clear" w:color="auto" w:fill="D9D9D9"/>
          </w:tcPr>
          <w:p w14:paraId="76F6537D" w14:textId="77777777" w:rsidR="00576C8C" w:rsidRPr="00206AE1" w:rsidRDefault="007173B2">
            <w:pPr>
              <w:pStyle w:val="Normal1"/>
              <w:contextualSpacing w:val="0"/>
            </w:pPr>
            <w:r w:rsidRPr="00206AE1">
              <w:rPr>
                <w:b/>
              </w:rPr>
              <w:t>Rev</w:t>
            </w:r>
          </w:p>
        </w:tc>
        <w:tc>
          <w:tcPr>
            <w:tcW w:w="765" w:type="dxa"/>
            <w:shd w:val="clear" w:color="auto" w:fill="D9D9D9"/>
          </w:tcPr>
          <w:p w14:paraId="62EDDF2A" w14:textId="77777777" w:rsidR="00576C8C" w:rsidRPr="00206AE1" w:rsidRDefault="007173B2">
            <w:pPr>
              <w:pStyle w:val="Normal1"/>
              <w:contextualSpacing w:val="0"/>
            </w:pPr>
            <w:r w:rsidRPr="00206AE1">
              <w:rPr>
                <w:b/>
              </w:rPr>
              <w:t>Party</w:t>
            </w:r>
          </w:p>
        </w:tc>
        <w:tc>
          <w:tcPr>
            <w:tcW w:w="1215" w:type="dxa"/>
            <w:shd w:val="clear" w:color="auto" w:fill="D9D9D9"/>
          </w:tcPr>
          <w:p w14:paraId="5A9738BB" w14:textId="77777777" w:rsidR="00576C8C" w:rsidRPr="00206AE1" w:rsidRDefault="007173B2">
            <w:pPr>
              <w:pStyle w:val="Normal1"/>
              <w:contextualSpacing w:val="0"/>
            </w:pPr>
            <w:r w:rsidRPr="00206AE1">
              <w:rPr>
                <w:b/>
              </w:rPr>
              <w:t>Submittal Date</w:t>
            </w:r>
          </w:p>
        </w:tc>
        <w:tc>
          <w:tcPr>
            <w:tcW w:w="1320" w:type="dxa"/>
            <w:shd w:val="clear" w:color="auto" w:fill="D9D9D9"/>
          </w:tcPr>
          <w:p w14:paraId="76683C0A" w14:textId="77777777" w:rsidR="00576C8C" w:rsidRPr="00206AE1" w:rsidRDefault="007173B2">
            <w:pPr>
              <w:pStyle w:val="Normal1"/>
              <w:contextualSpacing w:val="0"/>
            </w:pPr>
            <w:r w:rsidRPr="00206AE1">
              <w:rPr>
                <w:b/>
              </w:rPr>
              <w:t>Comment Date</w:t>
            </w:r>
          </w:p>
        </w:tc>
        <w:tc>
          <w:tcPr>
            <w:tcW w:w="2865" w:type="dxa"/>
            <w:shd w:val="clear" w:color="auto" w:fill="D9D9D9"/>
          </w:tcPr>
          <w:p w14:paraId="17D4513C" w14:textId="77777777" w:rsidR="00576C8C" w:rsidRPr="00206AE1" w:rsidRDefault="007173B2">
            <w:pPr>
              <w:pStyle w:val="Normal1"/>
              <w:contextualSpacing w:val="0"/>
            </w:pPr>
            <w:r w:rsidRPr="00206AE1">
              <w:rPr>
                <w:b/>
              </w:rPr>
              <w:t>Comments</w:t>
            </w:r>
          </w:p>
        </w:tc>
        <w:tc>
          <w:tcPr>
            <w:tcW w:w="2790" w:type="dxa"/>
            <w:shd w:val="clear" w:color="auto" w:fill="D9D9D9"/>
          </w:tcPr>
          <w:p w14:paraId="473D192D" w14:textId="77777777" w:rsidR="00576C8C" w:rsidRPr="00206AE1" w:rsidRDefault="007173B2">
            <w:pPr>
              <w:pStyle w:val="Normal1"/>
              <w:contextualSpacing w:val="0"/>
            </w:pPr>
            <w:r w:rsidRPr="00206AE1">
              <w:rPr>
                <w:b/>
              </w:rPr>
              <w:t>WP Developer Response</w:t>
            </w:r>
          </w:p>
        </w:tc>
      </w:tr>
      <w:tr w:rsidR="00576C8C" w:rsidRPr="00206AE1" w14:paraId="54AED432" w14:textId="77777777">
        <w:trPr>
          <w:trHeight w:val="20"/>
        </w:trPr>
        <w:tc>
          <w:tcPr>
            <w:tcW w:w="630" w:type="dxa"/>
          </w:tcPr>
          <w:p w14:paraId="0DB0DF46" w14:textId="77777777" w:rsidR="00576C8C" w:rsidRPr="00206AE1" w:rsidRDefault="00576C8C">
            <w:pPr>
              <w:pStyle w:val="Normal1"/>
              <w:contextualSpacing w:val="0"/>
            </w:pPr>
          </w:p>
        </w:tc>
        <w:tc>
          <w:tcPr>
            <w:tcW w:w="765" w:type="dxa"/>
          </w:tcPr>
          <w:p w14:paraId="5572352E" w14:textId="77777777" w:rsidR="00576C8C" w:rsidRPr="00206AE1" w:rsidRDefault="00576C8C">
            <w:pPr>
              <w:pStyle w:val="Normal1"/>
              <w:contextualSpacing w:val="0"/>
            </w:pPr>
          </w:p>
        </w:tc>
        <w:tc>
          <w:tcPr>
            <w:tcW w:w="1215" w:type="dxa"/>
          </w:tcPr>
          <w:p w14:paraId="196EFAC2" w14:textId="77777777" w:rsidR="00576C8C" w:rsidRPr="00206AE1" w:rsidRDefault="00576C8C">
            <w:pPr>
              <w:pStyle w:val="Normal1"/>
              <w:contextualSpacing w:val="0"/>
            </w:pPr>
          </w:p>
        </w:tc>
        <w:tc>
          <w:tcPr>
            <w:tcW w:w="1320" w:type="dxa"/>
          </w:tcPr>
          <w:p w14:paraId="51969E2C" w14:textId="77777777" w:rsidR="00576C8C" w:rsidRPr="00206AE1" w:rsidRDefault="00576C8C">
            <w:pPr>
              <w:pStyle w:val="Normal1"/>
              <w:contextualSpacing w:val="0"/>
            </w:pPr>
          </w:p>
        </w:tc>
        <w:tc>
          <w:tcPr>
            <w:tcW w:w="2865" w:type="dxa"/>
          </w:tcPr>
          <w:p w14:paraId="1A3ED295" w14:textId="77777777" w:rsidR="00576C8C" w:rsidRPr="00206AE1" w:rsidRDefault="00576C8C">
            <w:pPr>
              <w:pStyle w:val="Normal1"/>
              <w:contextualSpacing w:val="0"/>
            </w:pPr>
          </w:p>
        </w:tc>
        <w:tc>
          <w:tcPr>
            <w:tcW w:w="2790" w:type="dxa"/>
          </w:tcPr>
          <w:p w14:paraId="77215460" w14:textId="05D7B2B5" w:rsidR="00576C8C" w:rsidRPr="00206AE1" w:rsidRDefault="007C3655" w:rsidP="004C1AEE">
            <w:pPr>
              <w:pStyle w:val="Normal1"/>
              <w:contextualSpacing w:val="0"/>
            </w:pPr>
            <w:r w:rsidRPr="00206AE1">
              <w:t xml:space="preserve">Consolidated comments to draft WP included in </w:t>
            </w:r>
            <w:r w:rsidR="004C1AEE" w:rsidRPr="00206AE1">
              <w:t xml:space="preserve">Attachment #5 </w:t>
            </w:r>
          </w:p>
        </w:tc>
      </w:tr>
    </w:tbl>
    <w:p w14:paraId="39F75307" w14:textId="77777777" w:rsidR="00576C8C" w:rsidRDefault="007173B2">
      <w:pPr>
        <w:pStyle w:val="Normal1"/>
        <w:spacing w:line="276" w:lineRule="auto"/>
      </w:pPr>
      <w:r>
        <w:rPr>
          <w:sz w:val="20"/>
          <w:szCs w:val="20"/>
        </w:rPr>
        <w:t xml:space="preserve">Cal TF website: </w:t>
      </w:r>
      <w:hyperlink r:id="rId8">
        <w:r>
          <w:rPr>
            <w:color w:val="0000FF"/>
            <w:sz w:val="20"/>
            <w:szCs w:val="20"/>
            <w:u w:val="single"/>
          </w:rPr>
          <w:t>http://www.caltf.org/</w:t>
        </w:r>
      </w:hyperlink>
      <w:r>
        <w:rPr>
          <w:sz w:val="20"/>
          <w:szCs w:val="20"/>
        </w:rPr>
        <w:t xml:space="preserve"> </w:t>
      </w:r>
    </w:p>
    <w:p w14:paraId="60391180" w14:textId="77777777" w:rsidR="00576C8C" w:rsidRDefault="007173B2">
      <w:pPr>
        <w:pStyle w:val="Normal1"/>
      </w:pPr>
      <w:r>
        <w:br w:type="page"/>
      </w:r>
    </w:p>
    <w:p w14:paraId="0861532A" w14:textId="77777777" w:rsidR="00576C8C" w:rsidRDefault="007173B2">
      <w:pPr>
        <w:pStyle w:val="Heading1"/>
      </w:pPr>
      <w:r>
        <w:lastRenderedPageBreak/>
        <w:t>Section 1. General Measure &amp; Baseline Data</w:t>
      </w:r>
    </w:p>
    <w:p w14:paraId="18C028CF" w14:textId="77777777" w:rsidR="00576C8C" w:rsidRDefault="007173B2">
      <w:pPr>
        <w:pStyle w:val="Heading2"/>
      </w:pPr>
      <w:bookmarkStart w:id="6" w:name="_3dy6vkm" w:colFirst="0" w:colLast="0"/>
      <w:bookmarkEnd w:id="6"/>
      <w:r>
        <w:rPr>
          <w:rFonts w:ascii="Calibri" w:eastAsia="Calibri" w:hAnsi="Calibri" w:cs="Calibri"/>
        </w:rPr>
        <w:t xml:space="preserve">1.1 Measure Description &amp; Background </w:t>
      </w:r>
    </w:p>
    <w:p w14:paraId="1EEA49AB" w14:textId="77777777" w:rsidR="00576C8C" w:rsidRDefault="00576C8C">
      <w:pPr>
        <w:pStyle w:val="Normal1"/>
      </w:pPr>
    </w:p>
    <w:p w14:paraId="1D18EF01" w14:textId="77777777" w:rsidR="00576C8C" w:rsidRDefault="007173B2">
      <w:pPr>
        <w:pStyle w:val="Normal1"/>
      </w:pPr>
      <w:r>
        <w:rPr>
          <w:color w:val="141313"/>
        </w:rPr>
        <w:t xml:space="preserve">A </w:t>
      </w:r>
      <w:r>
        <w:rPr>
          <w:b/>
          <w:color w:val="141313"/>
        </w:rPr>
        <w:t xml:space="preserve">Smart Thermostat </w:t>
      </w:r>
      <w:r>
        <w:rPr>
          <w:color w:val="141313"/>
        </w:rPr>
        <w:t>is a device that controls heating, ventilation, and air-conditioning (HVAC) equipment to regulate the temperature of the room or space in which it is installed, has the ability to make automated adjustments to the set point of the HVAC system to drive energy savings (electric and gas), and has the ability to communicate with sources external to the HVAC system. For connection, the Smart Thermostat may rely on a home area network (e.g. Wi-Fi) and an internet connection that is independent of the Smart Thermostat.</w:t>
      </w:r>
    </w:p>
    <w:p w14:paraId="6095B095" w14:textId="77777777" w:rsidR="00576C8C" w:rsidRDefault="007173B2">
      <w:pPr>
        <w:pStyle w:val="Normal1"/>
      </w:pPr>
      <w:r>
        <w:rPr>
          <w:color w:val="141313"/>
        </w:rPr>
        <w:t xml:space="preserve"> </w:t>
      </w:r>
    </w:p>
    <w:p w14:paraId="69A43F4F" w14:textId="77777777" w:rsidR="00576C8C" w:rsidRDefault="007173B2">
      <w:pPr>
        <w:pStyle w:val="Normal1"/>
        <w:rPr>
          <w:color w:val="141313"/>
        </w:rPr>
      </w:pPr>
      <w:r>
        <w:rPr>
          <w:color w:val="141313"/>
        </w:rPr>
        <w:t xml:space="preserve">This </w:t>
      </w:r>
      <w:proofErr w:type="spellStart"/>
      <w:r>
        <w:rPr>
          <w:color w:val="141313"/>
        </w:rPr>
        <w:t>workpaper</w:t>
      </w:r>
      <w:proofErr w:type="spellEnd"/>
      <w:r>
        <w:rPr>
          <w:color w:val="141313"/>
        </w:rPr>
        <w:t xml:space="preserve"> (</w:t>
      </w:r>
      <w:proofErr w:type="spellStart"/>
      <w:proofErr w:type="gramStart"/>
      <w:r>
        <w:rPr>
          <w:color w:val="141313"/>
        </w:rPr>
        <w:t>wp</w:t>
      </w:r>
      <w:proofErr w:type="spellEnd"/>
      <w:proofErr w:type="gramEnd"/>
      <w:r>
        <w:rPr>
          <w:color w:val="141313"/>
        </w:rPr>
        <w:t xml:space="preserve">) details the installation of a Residential Smart Thermostat. This measure characterizes the household </w:t>
      </w:r>
      <w:r w:rsidRPr="00DF504F">
        <w:rPr>
          <w:color w:val="auto"/>
        </w:rPr>
        <w:t>heating</w:t>
      </w:r>
      <w:r>
        <w:rPr>
          <w:color w:val="141313"/>
        </w:rPr>
        <w:t xml:space="preserve"> and cooling energy savings from the installation of a Smart Thermostat. Smart Thermostats reduce energy consumption using a combination of features described in Section 1.2 Technical Description.</w:t>
      </w:r>
    </w:p>
    <w:p w14:paraId="3FD295CC" w14:textId="77777777" w:rsidR="00DF504F" w:rsidRPr="006A747B" w:rsidRDefault="00DF504F">
      <w:pPr>
        <w:pStyle w:val="Normal1"/>
        <w:rPr>
          <w:color w:val="auto"/>
        </w:rPr>
      </w:pPr>
    </w:p>
    <w:p w14:paraId="540C2190" w14:textId="2089D6DB" w:rsidR="00AF5674" w:rsidRPr="006A747B" w:rsidRDefault="00DF504F">
      <w:pPr>
        <w:pStyle w:val="Normal1"/>
        <w:rPr>
          <w:color w:val="auto"/>
        </w:rPr>
      </w:pPr>
      <w:r w:rsidRPr="006A747B">
        <w:rPr>
          <w:color w:val="auto"/>
        </w:rPr>
        <w:t xml:space="preserve">The calculation approach utilized in this </w:t>
      </w:r>
      <w:proofErr w:type="spellStart"/>
      <w:r w:rsidRPr="006A747B">
        <w:rPr>
          <w:color w:val="auto"/>
        </w:rPr>
        <w:t>workpaper</w:t>
      </w:r>
      <w:proofErr w:type="spellEnd"/>
      <w:r w:rsidRPr="006A747B">
        <w:rPr>
          <w:color w:val="auto"/>
        </w:rPr>
        <w:t xml:space="preserve"> ensures </w:t>
      </w:r>
      <w:r w:rsidR="00AF5674" w:rsidRPr="006A747B">
        <w:rPr>
          <w:color w:val="auto"/>
        </w:rPr>
        <w:t xml:space="preserve">the </w:t>
      </w:r>
      <w:r w:rsidR="00F25C6F">
        <w:rPr>
          <w:color w:val="auto"/>
        </w:rPr>
        <w:t>range</w:t>
      </w:r>
      <w:r w:rsidR="00F25C6F" w:rsidRPr="006A747B">
        <w:rPr>
          <w:color w:val="auto"/>
        </w:rPr>
        <w:t xml:space="preserve"> </w:t>
      </w:r>
      <w:r w:rsidR="00AF5674" w:rsidRPr="006A747B">
        <w:rPr>
          <w:color w:val="auto"/>
        </w:rPr>
        <w:t xml:space="preserve">in energy savings (both increases and decreases) associated with smart thermostat installations </w:t>
      </w:r>
      <w:r w:rsidR="00AF5674" w:rsidRPr="006A747B">
        <w:rPr>
          <w:color w:val="auto"/>
          <w:highlight w:val="white"/>
        </w:rPr>
        <w:t xml:space="preserve">are captured and studied in the analysis and therefore the results create the average </w:t>
      </w:r>
      <w:r w:rsidR="00F25C6F">
        <w:rPr>
          <w:color w:val="auto"/>
          <w:highlight w:val="white"/>
        </w:rPr>
        <w:t xml:space="preserve">net </w:t>
      </w:r>
      <w:r w:rsidR="00AF5674" w:rsidRPr="006A747B">
        <w:rPr>
          <w:color w:val="auto"/>
          <w:highlight w:val="white"/>
        </w:rPr>
        <w:t>savings by climate zone.</w:t>
      </w:r>
    </w:p>
    <w:p w14:paraId="5D1DAB37" w14:textId="77777777" w:rsidR="00576C8C" w:rsidRPr="006A747B" w:rsidRDefault="00576C8C">
      <w:pPr>
        <w:pStyle w:val="Normal1"/>
        <w:spacing w:before="40" w:after="40"/>
        <w:rPr>
          <w:color w:val="auto"/>
        </w:rPr>
      </w:pPr>
    </w:p>
    <w:p w14:paraId="563E3DF0" w14:textId="77777777" w:rsidR="00576C8C" w:rsidRDefault="007173B2">
      <w:pPr>
        <w:pStyle w:val="Normal1"/>
      </w:pPr>
      <w:r>
        <w:rPr>
          <w:b/>
        </w:rPr>
        <w:t>Base, Standard, and Measure Cases</w:t>
      </w:r>
    </w:p>
    <w:tbl>
      <w:tblPr>
        <w:tblStyle w:val="a3"/>
        <w:tblW w:w="9180" w:type="dxa"/>
        <w:tblInd w:w="8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562"/>
        <w:gridCol w:w="6618"/>
      </w:tblGrid>
      <w:tr w:rsidR="00576C8C" w:rsidRPr="00206AE1" w14:paraId="60A020F6" w14:textId="77777777" w:rsidTr="00A0158C">
        <w:trPr>
          <w:trHeight w:val="20"/>
        </w:trPr>
        <w:tc>
          <w:tcPr>
            <w:tcW w:w="2562" w:type="dxa"/>
            <w:shd w:val="clear" w:color="auto" w:fill="D9D9D9"/>
          </w:tcPr>
          <w:p w14:paraId="2CDAFBAD" w14:textId="77777777" w:rsidR="00576C8C" w:rsidRPr="00206AE1" w:rsidRDefault="007173B2">
            <w:pPr>
              <w:pStyle w:val="Normal1"/>
              <w:contextualSpacing w:val="0"/>
            </w:pPr>
            <w:r w:rsidRPr="00206AE1">
              <w:rPr>
                <w:b/>
              </w:rPr>
              <w:t>Case</w:t>
            </w:r>
          </w:p>
        </w:tc>
        <w:tc>
          <w:tcPr>
            <w:tcW w:w="6618" w:type="dxa"/>
            <w:shd w:val="clear" w:color="auto" w:fill="D9D9D9"/>
          </w:tcPr>
          <w:p w14:paraId="67F5ED5E" w14:textId="77777777" w:rsidR="00576C8C" w:rsidRPr="00206AE1" w:rsidRDefault="007173B2">
            <w:pPr>
              <w:pStyle w:val="Normal1"/>
              <w:contextualSpacing w:val="0"/>
            </w:pPr>
            <w:r w:rsidRPr="00206AE1">
              <w:rPr>
                <w:b/>
              </w:rPr>
              <w:t>Description of Typical Scenario</w:t>
            </w:r>
          </w:p>
        </w:tc>
      </w:tr>
      <w:tr w:rsidR="00576C8C" w:rsidRPr="00206AE1" w14:paraId="243E5181" w14:textId="77777777" w:rsidTr="00A0158C">
        <w:trPr>
          <w:trHeight w:val="20"/>
        </w:trPr>
        <w:tc>
          <w:tcPr>
            <w:tcW w:w="2562" w:type="dxa"/>
          </w:tcPr>
          <w:p w14:paraId="7A1D7A32" w14:textId="77777777" w:rsidR="00576C8C" w:rsidRPr="00206AE1" w:rsidRDefault="007173B2">
            <w:pPr>
              <w:pStyle w:val="Normal1"/>
              <w:contextualSpacing w:val="0"/>
            </w:pPr>
            <w:r w:rsidRPr="00206AE1">
              <w:t>Measure</w:t>
            </w:r>
          </w:p>
        </w:tc>
        <w:tc>
          <w:tcPr>
            <w:tcW w:w="6618" w:type="dxa"/>
          </w:tcPr>
          <w:p w14:paraId="57E5C188" w14:textId="76A44DB1" w:rsidR="00576C8C" w:rsidRPr="00206AE1" w:rsidRDefault="007173B2">
            <w:pPr>
              <w:pStyle w:val="Normal1"/>
              <w:contextualSpacing w:val="0"/>
            </w:pPr>
            <w:r w:rsidRPr="00206AE1">
              <w:t xml:space="preserve">Residential Smart </w:t>
            </w:r>
            <w:r w:rsidR="0099024A" w:rsidRPr="00206AE1">
              <w:t xml:space="preserve">Communicating </w:t>
            </w:r>
            <w:r w:rsidRPr="00206AE1">
              <w:t xml:space="preserve">Thermostat with two way communication and automatic scheduling capabilities </w:t>
            </w:r>
          </w:p>
        </w:tc>
      </w:tr>
      <w:tr w:rsidR="00576C8C" w:rsidRPr="00206AE1" w14:paraId="476EFA95" w14:textId="77777777" w:rsidTr="00A0158C">
        <w:trPr>
          <w:trHeight w:val="20"/>
        </w:trPr>
        <w:tc>
          <w:tcPr>
            <w:tcW w:w="2562" w:type="dxa"/>
          </w:tcPr>
          <w:p w14:paraId="05C98634" w14:textId="77777777" w:rsidR="00576C8C" w:rsidRPr="00206AE1" w:rsidRDefault="007173B2">
            <w:pPr>
              <w:pStyle w:val="Normal1"/>
              <w:contextualSpacing w:val="0"/>
            </w:pPr>
            <w:r w:rsidRPr="00206AE1">
              <w:t>Existing Condition</w:t>
            </w:r>
          </w:p>
        </w:tc>
        <w:tc>
          <w:tcPr>
            <w:tcW w:w="6618" w:type="dxa"/>
          </w:tcPr>
          <w:p w14:paraId="1F2E1F2E" w14:textId="77777777" w:rsidR="00576C8C" w:rsidRPr="00206AE1" w:rsidRDefault="007173B2">
            <w:pPr>
              <w:pStyle w:val="Normal1"/>
              <w:contextualSpacing w:val="0"/>
            </w:pPr>
            <w:r w:rsidRPr="00206AE1">
              <w:t>Setback Programmable Thermostats or Non-Programmable Thermostats</w:t>
            </w:r>
          </w:p>
        </w:tc>
      </w:tr>
    </w:tbl>
    <w:p w14:paraId="078FFBED" w14:textId="77777777" w:rsidR="00576C8C" w:rsidRDefault="00576C8C">
      <w:pPr>
        <w:pStyle w:val="Normal1"/>
      </w:pPr>
    </w:p>
    <w:p w14:paraId="39C065C0" w14:textId="77777777" w:rsidR="00576C8C" w:rsidRDefault="007173B2">
      <w:pPr>
        <w:pStyle w:val="Normal1"/>
      </w:pPr>
      <w:r>
        <w:rPr>
          <w:b/>
        </w:rPr>
        <w:t>Measures and Codes</w:t>
      </w:r>
    </w:p>
    <w:tbl>
      <w:tblPr>
        <w:tblStyle w:val="a4"/>
        <w:tblW w:w="9127"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32"/>
        <w:gridCol w:w="1032"/>
        <w:gridCol w:w="1159"/>
        <w:gridCol w:w="1289"/>
        <w:gridCol w:w="1143"/>
        <w:gridCol w:w="3472"/>
      </w:tblGrid>
      <w:tr w:rsidR="006C0FCE" w:rsidRPr="00206AE1" w14:paraId="11F3A23E" w14:textId="77777777" w:rsidTr="00206AE1">
        <w:tc>
          <w:tcPr>
            <w:tcW w:w="5655" w:type="dxa"/>
            <w:gridSpan w:val="5"/>
            <w:shd w:val="clear" w:color="auto" w:fill="D9D9D9" w:themeFill="background1" w:themeFillShade="D9"/>
          </w:tcPr>
          <w:p w14:paraId="4EA40CD1" w14:textId="58B2A54C" w:rsidR="006C0FCE" w:rsidRPr="00206AE1" w:rsidRDefault="006C0FCE">
            <w:pPr>
              <w:pStyle w:val="Normal1"/>
              <w:rPr>
                <w:b/>
              </w:rPr>
            </w:pPr>
            <w:r w:rsidRPr="00206AE1">
              <w:rPr>
                <w:b/>
              </w:rPr>
              <w:t>Measure Codes</w:t>
            </w:r>
          </w:p>
        </w:tc>
        <w:tc>
          <w:tcPr>
            <w:tcW w:w="3472" w:type="dxa"/>
            <w:vMerge w:val="restart"/>
            <w:shd w:val="clear" w:color="auto" w:fill="D9D9D9" w:themeFill="background1" w:themeFillShade="D9"/>
          </w:tcPr>
          <w:p w14:paraId="6346107E" w14:textId="7EBA5D8E" w:rsidR="006C0FCE" w:rsidRPr="00206AE1" w:rsidRDefault="006C0FCE">
            <w:pPr>
              <w:pStyle w:val="Normal1"/>
              <w:contextualSpacing w:val="0"/>
            </w:pPr>
            <w:r w:rsidRPr="00206AE1">
              <w:rPr>
                <w:b/>
              </w:rPr>
              <w:t>Measure Name</w:t>
            </w:r>
          </w:p>
        </w:tc>
      </w:tr>
      <w:tr w:rsidR="006C0FCE" w:rsidRPr="00206AE1" w14:paraId="2516E93A" w14:textId="77777777" w:rsidTr="00206AE1">
        <w:tc>
          <w:tcPr>
            <w:tcW w:w="1032" w:type="dxa"/>
            <w:shd w:val="clear" w:color="auto" w:fill="D9D9D9" w:themeFill="background1" w:themeFillShade="D9"/>
          </w:tcPr>
          <w:p w14:paraId="4AA3F0A6" w14:textId="77777777" w:rsidR="006C0FCE" w:rsidRPr="00206AE1" w:rsidRDefault="006C0FCE">
            <w:pPr>
              <w:pStyle w:val="Normal1"/>
              <w:contextualSpacing w:val="0"/>
            </w:pPr>
            <w:r w:rsidRPr="00206AE1">
              <w:t>SCG</w:t>
            </w:r>
          </w:p>
        </w:tc>
        <w:tc>
          <w:tcPr>
            <w:tcW w:w="1032" w:type="dxa"/>
            <w:shd w:val="clear" w:color="auto" w:fill="D9D9D9" w:themeFill="background1" w:themeFillShade="D9"/>
          </w:tcPr>
          <w:p w14:paraId="0E53FF21" w14:textId="77777777" w:rsidR="006C0FCE" w:rsidRPr="00206AE1" w:rsidRDefault="006C0FCE">
            <w:pPr>
              <w:pStyle w:val="Normal1"/>
              <w:contextualSpacing w:val="0"/>
            </w:pPr>
            <w:r w:rsidRPr="00206AE1">
              <w:t>SDG&amp;E</w:t>
            </w:r>
          </w:p>
        </w:tc>
        <w:tc>
          <w:tcPr>
            <w:tcW w:w="1159" w:type="dxa"/>
            <w:shd w:val="clear" w:color="auto" w:fill="D9D9D9" w:themeFill="background1" w:themeFillShade="D9"/>
          </w:tcPr>
          <w:p w14:paraId="476F3AE7" w14:textId="77777777" w:rsidR="006C0FCE" w:rsidRPr="00206AE1" w:rsidRDefault="006C0FCE">
            <w:pPr>
              <w:pStyle w:val="Normal1"/>
              <w:contextualSpacing w:val="0"/>
            </w:pPr>
            <w:r w:rsidRPr="00206AE1">
              <w:t>SCE</w:t>
            </w:r>
          </w:p>
        </w:tc>
        <w:tc>
          <w:tcPr>
            <w:tcW w:w="1289" w:type="dxa"/>
            <w:shd w:val="clear" w:color="auto" w:fill="D9D9D9" w:themeFill="background1" w:themeFillShade="D9"/>
          </w:tcPr>
          <w:p w14:paraId="11338650" w14:textId="77777777" w:rsidR="006C0FCE" w:rsidRPr="00206AE1" w:rsidRDefault="006C0FCE">
            <w:pPr>
              <w:pStyle w:val="Normal1"/>
              <w:contextualSpacing w:val="0"/>
            </w:pPr>
            <w:r w:rsidRPr="00206AE1">
              <w:t>PG&amp;E</w:t>
            </w:r>
          </w:p>
        </w:tc>
        <w:tc>
          <w:tcPr>
            <w:tcW w:w="1143" w:type="dxa"/>
            <w:shd w:val="clear" w:color="auto" w:fill="D9D9D9" w:themeFill="background1" w:themeFillShade="D9"/>
          </w:tcPr>
          <w:p w14:paraId="5932B103" w14:textId="3B0FB36C" w:rsidR="006C0FCE" w:rsidRPr="00206AE1" w:rsidRDefault="006C0FCE">
            <w:pPr>
              <w:pStyle w:val="Normal1"/>
              <w:rPr>
                <w:color w:val="auto"/>
              </w:rPr>
            </w:pPr>
            <w:r w:rsidRPr="00206AE1">
              <w:rPr>
                <w:color w:val="auto"/>
              </w:rPr>
              <w:t>POU’s</w:t>
            </w:r>
          </w:p>
        </w:tc>
        <w:tc>
          <w:tcPr>
            <w:tcW w:w="3472" w:type="dxa"/>
            <w:vMerge/>
            <w:shd w:val="clear" w:color="auto" w:fill="D9D9D9"/>
          </w:tcPr>
          <w:p w14:paraId="00B46F1A" w14:textId="068C8E10" w:rsidR="006C0FCE" w:rsidRPr="00206AE1" w:rsidRDefault="006C0FCE">
            <w:pPr>
              <w:pStyle w:val="Normal1"/>
              <w:contextualSpacing w:val="0"/>
            </w:pPr>
          </w:p>
        </w:tc>
      </w:tr>
      <w:tr w:rsidR="006C0FCE" w:rsidRPr="00206AE1" w14:paraId="7DFBC566" w14:textId="77777777" w:rsidTr="006C0FCE">
        <w:trPr>
          <w:trHeight w:val="240"/>
        </w:trPr>
        <w:tc>
          <w:tcPr>
            <w:tcW w:w="1032" w:type="dxa"/>
          </w:tcPr>
          <w:p w14:paraId="7AFE130F" w14:textId="77777777" w:rsidR="006C0FCE" w:rsidRPr="00206AE1" w:rsidRDefault="006C0FCE">
            <w:pPr>
              <w:pStyle w:val="Normal1"/>
              <w:contextualSpacing w:val="0"/>
            </w:pPr>
            <w:r w:rsidRPr="00206AE1">
              <w:t>TBD</w:t>
            </w:r>
          </w:p>
        </w:tc>
        <w:tc>
          <w:tcPr>
            <w:tcW w:w="1032" w:type="dxa"/>
          </w:tcPr>
          <w:p w14:paraId="002E2C9D" w14:textId="77777777" w:rsidR="006C0FCE" w:rsidRPr="00206AE1" w:rsidRDefault="006C0FCE">
            <w:pPr>
              <w:pStyle w:val="Normal1"/>
              <w:contextualSpacing w:val="0"/>
            </w:pPr>
            <w:r w:rsidRPr="00206AE1">
              <w:t>TBD</w:t>
            </w:r>
          </w:p>
        </w:tc>
        <w:tc>
          <w:tcPr>
            <w:tcW w:w="1159" w:type="dxa"/>
          </w:tcPr>
          <w:p w14:paraId="06722C2D" w14:textId="39F542B8" w:rsidR="006C0FCE" w:rsidRPr="00206AE1" w:rsidRDefault="006C0FCE">
            <w:pPr>
              <w:pStyle w:val="Normal1"/>
              <w:contextualSpacing w:val="0"/>
            </w:pPr>
            <w:r w:rsidRPr="00206AE1">
              <w:t>CE-18623</w:t>
            </w:r>
          </w:p>
        </w:tc>
        <w:tc>
          <w:tcPr>
            <w:tcW w:w="1289" w:type="dxa"/>
          </w:tcPr>
          <w:p w14:paraId="6515631C" w14:textId="77777777" w:rsidR="006C0FCE" w:rsidRPr="00206AE1" w:rsidRDefault="006C0FCE">
            <w:pPr>
              <w:pStyle w:val="Normal1"/>
              <w:contextualSpacing w:val="0"/>
            </w:pPr>
            <w:r w:rsidRPr="00206AE1">
              <w:t>TBD</w:t>
            </w:r>
          </w:p>
        </w:tc>
        <w:tc>
          <w:tcPr>
            <w:tcW w:w="1143" w:type="dxa"/>
          </w:tcPr>
          <w:p w14:paraId="6C935375" w14:textId="454A6A26" w:rsidR="006C0FCE" w:rsidRPr="00206AE1" w:rsidRDefault="006C0FCE">
            <w:pPr>
              <w:pStyle w:val="Normal1"/>
            </w:pPr>
            <w:r w:rsidRPr="00206AE1">
              <w:t>TBD</w:t>
            </w:r>
          </w:p>
        </w:tc>
        <w:tc>
          <w:tcPr>
            <w:tcW w:w="3472" w:type="dxa"/>
          </w:tcPr>
          <w:p w14:paraId="00880A32" w14:textId="5A1132E5" w:rsidR="006C0FCE" w:rsidRPr="00206AE1" w:rsidRDefault="006C0FCE">
            <w:pPr>
              <w:pStyle w:val="Normal1"/>
              <w:contextualSpacing w:val="0"/>
            </w:pPr>
            <w:r w:rsidRPr="00206AE1">
              <w:t xml:space="preserve">Residential Smart </w:t>
            </w:r>
            <w:r w:rsidR="003B07C6" w:rsidRPr="00206AE1">
              <w:t xml:space="preserve">(Communicating) </w:t>
            </w:r>
            <w:r w:rsidRPr="00206AE1">
              <w:t>Thermostat</w:t>
            </w:r>
          </w:p>
        </w:tc>
      </w:tr>
    </w:tbl>
    <w:p w14:paraId="3ED0E4D3" w14:textId="4DB06959" w:rsidR="00576C8C" w:rsidRDefault="006C0FCE">
      <w:pPr>
        <w:pStyle w:val="Normal1"/>
        <w:spacing w:before="40" w:after="40"/>
      </w:pPr>
      <w:r>
        <w:t>*all POU measures will be filed as ROB</w:t>
      </w:r>
    </w:p>
    <w:p w14:paraId="4A19B276" w14:textId="77777777" w:rsidR="00BB4DA2" w:rsidRDefault="00BB4DA2">
      <w:pPr>
        <w:pStyle w:val="Normal1"/>
        <w:spacing w:before="40" w:after="40"/>
      </w:pPr>
    </w:p>
    <w:p w14:paraId="482B0571" w14:textId="477B68A4" w:rsidR="00C32B0E" w:rsidRPr="00C32B0E" w:rsidRDefault="00C32B0E" w:rsidP="00C32B0E">
      <w:pPr>
        <w:pStyle w:val="Normal1"/>
        <w:spacing w:line="276" w:lineRule="auto"/>
        <w:rPr>
          <w:b/>
          <w:color w:val="FF0000"/>
        </w:rPr>
      </w:pPr>
      <w:r w:rsidRPr="00037033">
        <w:rPr>
          <w:b/>
        </w:rPr>
        <w:t xml:space="preserve">Technologies that customers </w:t>
      </w:r>
      <w:r w:rsidR="00C83382">
        <w:rPr>
          <w:b/>
        </w:rPr>
        <w:t>are</w:t>
      </w:r>
      <w:r w:rsidRPr="00037033">
        <w:rPr>
          <w:b/>
        </w:rPr>
        <w:t xml:space="preserve"> replacing:</w:t>
      </w:r>
      <w:r>
        <w:rPr>
          <w:b/>
        </w:rPr>
        <w:t xml:space="preserve"> </w:t>
      </w:r>
    </w:p>
    <w:p w14:paraId="5AC7CBA6" w14:textId="652632C0" w:rsidR="00903478" w:rsidRDefault="000942B2" w:rsidP="006C0FCE">
      <w:pPr>
        <w:rPr>
          <w:rFonts w:asciiTheme="majorHAnsi" w:hAnsiTheme="majorHAnsi" w:cs="Arial"/>
          <w:color w:val="auto"/>
        </w:rPr>
      </w:pPr>
      <w:r w:rsidRPr="0088542B">
        <w:rPr>
          <w:color w:val="auto"/>
        </w:rPr>
        <w:t>I</w:t>
      </w:r>
      <w:r w:rsidR="00C32B0E" w:rsidRPr="0088542B">
        <w:rPr>
          <w:color w:val="auto"/>
        </w:rPr>
        <w:t xml:space="preserve">n PG&amp;E’s recent smart thermostat ET </w:t>
      </w:r>
      <w:proofErr w:type="gramStart"/>
      <w:r w:rsidR="00C32B0E" w:rsidRPr="0088542B">
        <w:rPr>
          <w:color w:val="auto"/>
        </w:rPr>
        <w:t>Study</w:t>
      </w:r>
      <w:r w:rsidR="00C32B0E" w:rsidRPr="0088542B">
        <w:rPr>
          <w:color w:val="auto"/>
          <w:vertAlign w:val="superscript"/>
        </w:rPr>
        <w:t>(</w:t>
      </w:r>
      <w:proofErr w:type="gramEnd"/>
      <w:r w:rsidR="00C32B0E" w:rsidRPr="0088542B">
        <w:rPr>
          <w:color w:val="auto"/>
          <w:vertAlign w:val="superscript"/>
        </w:rPr>
        <w:t>35)</w:t>
      </w:r>
      <w:r w:rsidR="00C32B0E" w:rsidRPr="0088542B">
        <w:rPr>
          <w:color w:val="auto"/>
        </w:rPr>
        <w:t xml:space="preserve">, </w:t>
      </w:r>
      <w:r w:rsidR="00F25C6F">
        <w:rPr>
          <w:color w:val="auto"/>
        </w:rPr>
        <w:t xml:space="preserve">the </w:t>
      </w:r>
      <w:proofErr w:type="spellStart"/>
      <w:r w:rsidR="00C32B0E" w:rsidRPr="0088542B">
        <w:rPr>
          <w:color w:val="auto"/>
        </w:rPr>
        <w:t>surveys</w:t>
      </w:r>
      <w:proofErr w:type="spellEnd"/>
      <w:r w:rsidR="00C32B0E" w:rsidRPr="0088542B">
        <w:rPr>
          <w:color w:val="auto"/>
        </w:rPr>
        <w:t xml:space="preserve"> </w:t>
      </w:r>
      <w:r w:rsidR="00F25C6F">
        <w:rPr>
          <w:color w:val="auto"/>
        </w:rPr>
        <w:t>results indicated</w:t>
      </w:r>
      <w:r w:rsidR="00F25C6F" w:rsidRPr="0088542B">
        <w:rPr>
          <w:color w:val="auto"/>
        </w:rPr>
        <w:t xml:space="preserve"> </w:t>
      </w:r>
      <w:r w:rsidR="00C32B0E" w:rsidRPr="0088542B">
        <w:rPr>
          <w:color w:val="auto"/>
        </w:rPr>
        <w:t>that only 1% of customers had an existing smart thermostat that they were replacing. 15%</w:t>
      </w:r>
      <w:r w:rsidR="00DB38A9">
        <w:rPr>
          <w:rStyle w:val="FootnoteReference"/>
          <w:color w:val="auto"/>
        </w:rPr>
        <w:footnoteReference w:id="1"/>
      </w:r>
      <w:r w:rsidR="00C32B0E" w:rsidRPr="0088542B">
        <w:rPr>
          <w:color w:val="auto"/>
        </w:rPr>
        <w:t xml:space="preserve"> of customers had manual thermostats, which are very likely to be operat</w:t>
      </w:r>
      <w:r w:rsidR="00F25C6F">
        <w:rPr>
          <w:color w:val="auto"/>
        </w:rPr>
        <w:t>ing</w:t>
      </w:r>
      <w:r w:rsidR="00C32B0E" w:rsidRPr="0088542B">
        <w:rPr>
          <w:color w:val="auto"/>
        </w:rPr>
        <w:t xml:space="preserve"> past their EUL</w:t>
      </w:r>
      <w:r w:rsidR="00F25C6F">
        <w:rPr>
          <w:color w:val="auto"/>
        </w:rPr>
        <w:t>, based upon the code requirements for programmable thermostats</w:t>
      </w:r>
      <w:r w:rsidR="00C32B0E" w:rsidRPr="0088542B">
        <w:rPr>
          <w:color w:val="auto"/>
        </w:rPr>
        <w:t xml:space="preserve">. The remaining 85% of customers stated having a programmable thermostat. </w:t>
      </w:r>
      <w:r w:rsidR="00C32B0E" w:rsidRPr="0088542B">
        <w:rPr>
          <w:rFonts w:asciiTheme="majorHAnsi" w:hAnsiTheme="majorHAnsi" w:cs="Arial"/>
          <w:color w:val="auto"/>
        </w:rPr>
        <w:t xml:space="preserve">Based on </w:t>
      </w:r>
      <w:proofErr w:type="spellStart"/>
      <w:r w:rsidR="00C32B0E" w:rsidRPr="0088542B">
        <w:rPr>
          <w:rFonts w:asciiTheme="majorHAnsi" w:hAnsiTheme="majorHAnsi" w:cs="Arial"/>
          <w:color w:val="auto"/>
        </w:rPr>
        <w:t>CalTF</w:t>
      </w:r>
      <w:proofErr w:type="spellEnd"/>
      <w:r w:rsidR="00C32B0E" w:rsidRPr="0088542B">
        <w:rPr>
          <w:rFonts w:asciiTheme="majorHAnsi" w:hAnsiTheme="majorHAnsi" w:cs="Arial"/>
          <w:color w:val="auto"/>
        </w:rPr>
        <w:t xml:space="preserve"> and Ex-Ante team feedback, this measure </w:t>
      </w:r>
      <w:r w:rsidR="00D56C7F" w:rsidRPr="0088542B">
        <w:rPr>
          <w:rFonts w:asciiTheme="majorHAnsi" w:hAnsiTheme="majorHAnsi" w:cs="Arial"/>
          <w:color w:val="auto"/>
        </w:rPr>
        <w:t>is</w:t>
      </w:r>
      <w:r w:rsidR="00C32B0E" w:rsidRPr="0088542B">
        <w:rPr>
          <w:rFonts w:asciiTheme="majorHAnsi" w:hAnsiTheme="majorHAnsi" w:cs="Arial"/>
          <w:color w:val="auto"/>
        </w:rPr>
        <w:t xml:space="preserve"> most appropriately classified as a blend of ROB an</w:t>
      </w:r>
      <w:r w:rsidR="00F25C6F">
        <w:rPr>
          <w:rFonts w:asciiTheme="majorHAnsi" w:hAnsiTheme="majorHAnsi" w:cs="Arial"/>
          <w:color w:val="auto"/>
        </w:rPr>
        <w:t>d</w:t>
      </w:r>
      <w:r w:rsidR="00C32B0E" w:rsidRPr="0088542B">
        <w:rPr>
          <w:rFonts w:asciiTheme="majorHAnsi" w:hAnsiTheme="majorHAnsi" w:cs="Arial"/>
          <w:color w:val="auto"/>
        </w:rPr>
        <w:t xml:space="preserve"> ER given the dat</w:t>
      </w:r>
      <w:r w:rsidR="00D56C7F" w:rsidRPr="0088542B">
        <w:rPr>
          <w:rFonts w:asciiTheme="majorHAnsi" w:hAnsiTheme="majorHAnsi" w:cs="Arial"/>
          <w:color w:val="auto"/>
        </w:rPr>
        <w:t>a</w:t>
      </w:r>
      <w:r w:rsidR="00C32B0E" w:rsidRPr="0088542B">
        <w:rPr>
          <w:rFonts w:asciiTheme="majorHAnsi" w:hAnsiTheme="majorHAnsi" w:cs="Arial"/>
          <w:color w:val="auto"/>
        </w:rPr>
        <w:t xml:space="preserve">. </w:t>
      </w:r>
      <w:r w:rsidRPr="0088542B">
        <w:rPr>
          <w:rFonts w:asciiTheme="majorHAnsi" w:hAnsiTheme="majorHAnsi" w:cs="Arial"/>
          <w:color w:val="auto"/>
        </w:rPr>
        <w:t>To accomplish this</w:t>
      </w:r>
      <w:r w:rsidR="00FF6AFE" w:rsidRPr="0088542B">
        <w:rPr>
          <w:rFonts w:asciiTheme="majorHAnsi" w:hAnsiTheme="majorHAnsi" w:cs="Arial"/>
          <w:color w:val="auto"/>
        </w:rPr>
        <w:t>,</w:t>
      </w:r>
      <w:r w:rsidR="009F652E">
        <w:rPr>
          <w:rFonts w:asciiTheme="majorHAnsi" w:hAnsiTheme="majorHAnsi" w:cs="Arial"/>
          <w:color w:val="auto"/>
        </w:rPr>
        <w:t xml:space="preserve"> measure impacts are reported with both ROB and RET/ER offerings</w:t>
      </w:r>
      <w:r w:rsidRPr="0088542B">
        <w:rPr>
          <w:rFonts w:asciiTheme="majorHAnsi" w:hAnsiTheme="majorHAnsi" w:cs="Arial"/>
          <w:color w:val="auto"/>
        </w:rPr>
        <w:t xml:space="preserve">. When savings claims </w:t>
      </w:r>
      <w:r w:rsidR="00585F3A" w:rsidRPr="0088542B">
        <w:rPr>
          <w:rFonts w:asciiTheme="majorHAnsi" w:hAnsiTheme="majorHAnsi" w:cs="Arial"/>
          <w:color w:val="auto"/>
        </w:rPr>
        <w:t>are filed</w:t>
      </w:r>
      <w:r w:rsidR="00F25C6F">
        <w:rPr>
          <w:rFonts w:asciiTheme="majorHAnsi" w:hAnsiTheme="majorHAnsi" w:cs="Arial"/>
          <w:color w:val="auto"/>
        </w:rPr>
        <w:t>,</w:t>
      </w:r>
      <w:r w:rsidR="00585F3A" w:rsidRPr="0088542B">
        <w:rPr>
          <w:rFonts w:asciiTheme="majorHAnsi" w:hAnsiTheme="majorHAnsi" w:cs="Arial"/>
          <w:color w:val="auto"/>
        </w:rPr>
        <w:t xml:space="preserve"> </w:t>
      </w:r>
      <w:r w:rsidRPr="0088542B">
        <w:rPr>
          <w:rFonts w:asciiTheme="majorHAnsi" w:hAnsiTheme="majorHAnsi" w:cs="Arial"/>
          <w:color w:val="auto"/>
        </w:rPr>
        <w:t>they will</w:t>
      </w:r>
      <w:r w:rsidR="00FF6AFE" w:rsidRPr="0088542B">
        <w:rPr>
          <w:rFonts w:asciiTheme="majorHAnsi" w:hAnsiTheme="majorHAnsi" w:cs="Arial"/>
          <w:color w:val="auto"/>
        </w:rPr>
        <w:t xml:space="preserve"> </w:t>
      </w:r>
      <w:r w:rsidR="00585F3A" w:rsidRPr="0088542B">
        <w:rPr>
          <w:rFonts w:asciiTheme="majorHAnsi" w:hAnsiTheme="majorHAnsi" w:cs="Arial"/>
          <w:color w:val="auto"/>
        </w:rPr>
        <w:t>be submitted as</w:t>
      </w:r>
      <w:r w:rsidR="007436C8" w:rsidRPr="0088542B">
        <w:rPr>
          <w:rFonts w:asciiTheme="majorHAnsi" w:hAnsiTheme="majorHAnsi" w:cs="Arial"/>
          <w:color w:val="auto"/>
        </w:rPr>
        <w:t xml:space="preserve"> </w:t>
      </w:r>
      <w:r w:rsidR="00EF60D3">
        <w:rPr>
          <w:rFonts w:asciiTheme="majorHAnsi" w:hAnsiTheme="majorHAnsi" w:cs="Arial"/>
          <w:color w:val="auto"/>
        </w:rPr>
        <w:t>15</w:t>
      </w:r>
      <w:r w:rsidR="007436C8" w:rsidRPr="0088542B">
        <w:rPr>
          <w:rFonts w:asciiTheme="majorHAnsi" w:hAnsiTheme="majorHAnsi" w:cs="Arial"/>
          <w:color w:val="auto"/>
        </w:rPr>
        <w:t xml:space="preserve">% </w:t>
      </w:r>
      <w:r w:rsidR="00FF6AFE" w:rsidRPr="0088542B">
        <w:rPr>
          <w:rFonts w:asciiTheme="majorHAnsi" w:hAnsiTheme="majorHAnsi" w:cs="Arial"/>
          <w:color w:val="auto"/>
        </w:rPr>
        <w:t xml:space="preserve">as ROB and </w:t>
      </w:r>
      <w:r w:rsidR="00EF60D3">
        <w:rPr>
          <w:rFonts w:asciiTheme="majorHAnsi" w:hAnsiTheme="majorHAnsi" w:cs="Arial"/>
          <w:color w:val="auto"/>
        </w:rPr>
        <w:t>85</w:t>
      </w:r>
      <w:r w:rsidR="007436C8" w:rsidRPr="0088542B">
        <w:rPr>
          <w:rFonts w:asciiTheme="majorHAnsi" w:hAnsiTheme="majorHAnsi" w:cs="Arial"/>
          <w:color w:val="auto"/>
        </w:rPr>
        <w:t>%</w:t>
      </w:r>
      <w:r w:rsidR="00FF6AFE" w:rsidRPr="0088542B">
        <w:rPr>
          <w:rFonts w:asciiTheme="majorHAnsi" w:hAnsiTheme="majorHAnsi" w:cs="Arial"/>
          <w:color w:val="auto"/>
        </w:rPr>
        <w:t xml:space="preserve"> RET/ER</w:t>
      </w:r>
      <w:r w:rsidR="009C66AC" w:rsidRPr="0088542B">
        <w:rPr>
          <w:rFonts w:asciiTheme="majorHAnsi" w:hAnsiTheme="majorHAnsi" w:cs="Arial"/>
          <w:color w:val="auto"/>
        </w:rPr>
        <w:t xml:space="preserve"> to</w:t>
      </w:r>
      <w:r w:rsidR="0088542B" w:rsidRPr="0088542B">
        <w:rPr>
          <w:rFonts w:asciiTheme="majorHAnsi" w:hAnsiTheme="majorHAnsi" w:cs="Arial"/>
          <w:color w:val="auto"/>
        </w:rPr>
        <w:t xml:space="preserve"> </w:t>
      </w:r>
      <w:r w:rsidR="009F652E">
        <w:rPr>
          <w:rFonts w:asciiTheme="majorHAnsi" w:hAnsiTheme="majorHAnsi" w:cs="Arial"/>
          <w:color w:val="auto"/>
        </w:rPr>
        <w:t xml:space="preserve">account for forecasted </w:t>
      </w:r>
      <w:r w:rsidR="0088542B" w:rsidRPr="0088542B">
        <w:rPr>
          <w:rFonts w:asciiTheme="majorHAnsi" w:hAnsiTheme="majorHAnsi" w:cs="Arial"/>
          <w:color w:val="auto"/>
        </w:rPr>
        <w:t>installation types</w:t>
      </w:r>
      <w:r w:rsidR="007436C8" w:rsidRPr="0088542B">
        <w:rPr>
          <w:rFonts w:asciiTheme="majorHAnsi" w:hAnsiTheme="majorHAnsi" w:cs="Arial"/>
          <w:color w:val="auto"/>
        </w:rPr>
        <w:t xml:space="preserve">. </w:t>
      </w:r>
      <w:r w:rsidR="00C32B0E" w:rsidRPr="0088542B">
        <w:rPr>
          <w:rFonts w:asciiTheme="majorHAnsi" w:hAnsiTheme="majorHAnsi" w:cs="Arial"/>
          <w:color w:val="auto"/>
        </w:rPr>
        <w:t xml:space="preserve">This </w:t>
      </w:r>
      <w:r w:rsidR="00C32B0E" w:rsidRPr="0088542B">
        <w:rPr>
          <w:rFonts w:asciiTheme="majorHAnsi" w:hAnsiTheme="majorHAnsi" w:cs="Arial"/>
          <w:color w:val="auto"/>
        </w:rPr>
        <w:lastRenderedPageBreak/>
        <w:t>approach reasonably estimate market conditions while providing conservative</w:t>
      </w:r>
      <w:r w:rsidR="0088542B" w:rsidRPr="0088542B">
        <w:rPr>
          <w:rFonts w:asciiTheme="majorHAnsi" w:hAnsiTheme="majorHAnsi" w:cs="Arial"/>
          <w:color w:val="auto"/>
        </w:rPr>
        <w:t xml:space="preserve"> savings estimates</w:t>
      </w:r>
      <w:r w:rsidR="0008050C">
        <w:rPr>
          <w:rFonts w:asciiTheme="majorHAnsi" w:hAnsiTheme="majorHAnsi" w:cs="Arial"/>
          <w:color w:val="auto"/>
        </w:rPr>
        <w:t xml:space="preserve"> given they are based on </w:t>
      </w:r>
      <w:r w:rsidR="00580399">
        <w:rPr>
          <w:rFonts w:asciiTheme="majorHAnsi" w:hAnsiTheme="majorHAnsi" w:cs="Arial"/>
          <w:color w:val="auto"/>
        </w:rPr>
        <w:t xml:space="preserve">output of </w:t>
      </w:r>
      <w:r w:rsidR="0008050C">
        <w:rPr>
          <w:rFonts w:asciiTheme="majorHAnsi" w:hAnsiTheme="majorHAnsi" w:cs="Arial"/>
          <w:color w:val="auto"/>
        </w:rPr>
        <w:t xml:space="preserve">two independent </w:t>
      </w:r>
      <w:r w:rsidR="00580399">
        <w:rPr>
          <w:rFonts w:asciiTheme="majorHAnsi" w:hAnsiTheme="majorHAnsi" w:cs="Arial"/>
          <w:color w:val="auto"/>
        </w:rPr>
        <w:t xml:space="preserve">studies with comparable results. </w:t>
      </w:r>
    </w:p>
    <w:p w14:paraId="349EC1B5" w14:textId="77777777" w:rsidR="00C2018C" w:rsidRDefault="00C2018C" w:rsidP="006C0FCE">
      <w:pPr>
        <w:rPr>
          <w:rFonts w:asciiTheme="majorHAnsi" w:hAnsiTheme="majorHAnsi" w:cs="Arial"/>
          <w:color w:val="auto"/>
        </w:rPr>
      </w:pPr>
    </w:p>
    <w:p w14:paraId="3897346D" w14:textId="06CFD3B6" w:rsidR="00C53A77" w:rsidRPr="0088542B" w:rsidRDefault="00C53A77" w:rsidP="006C0FCE">
      <w:pPr>
        <w:rPr>
          <w:color w:val="auto"/>
        </w:rPr>
      </w:pPr>
      <w:r>
        <w:rPr>
          <w:rFonts w:asciiTheme="majorHAnsi" w:hAnsiTheme="majorHAnsi" w:cs="Arial"/>
          <w:color w:val="auto"/>
        </w:rPr>
        <w:t xml:space="preserve">POU Programs: </w:t>
      </w:r>
      <w:r w:rsidRPr="0088542B">
        <w:rPr>
          <w:color w:val="auto"/>
        </w:rPr>
        <w:t xml:space="preserve">In PG&amp;E’s recent smart thermostat ET </w:t>
      </w:r>
      <w:proofErr w:type="gramStart"/>
      <w:r w:rsidRPr="0088542B">
        <w:rPr>
          <w:color w:val="auto"/>
        </w:rPr>
        <w:t>Study</w:t>
      </w:r>
      <w:r w:rsidRPr="0088542B">
        <w:rPr>
          <w:color w:val="auto"/>
          <w:vertAlign w:val="superscript"/>
        </w:rPr>
        <w:t>(</w:t>
      </w:r>
      <w:proofErr w:type="gramEnd"/>
      <w:r w:rsidRPr="0088542B">
        <w:rPr>
          <w:color w:val="auto"/>
          <w:vertAlign w:val="superscript"/>
        </w:rPr>
        <w:t>35)</w:t>
      </w:r>
      <w:r w:rsidRPr="0088542B">
        <w:rPr>
          <w:color w:val="auto"/>
        </w:rPr>
        <w:t xml:space="preserve">, 85% of customers stated having a programmable thermostat. Given that the reported customer demographics of the study showed that 78% of customers live in a home built prior to the year 2000, the age of home indicates that a good portion of those thermostats as well would also be past their EUL. With that data, it is possible that up to </w:t>
      </w:r>
      <w:r w:rsidR="00B24CB8">
        <w:rPr>
          <w:color w:val="auto"/>
        </w:rPr>
        <w:t>78</w:t>
      </w:r>
      <w:r w:rsidRPr="0088542B">
        <w:rPr>
          <w:color w:val="auto"/>
        </w:rPr>
        <w:t xml:space="preserve">% of the installations could be classified as ROB.  </w:t>
      </w:r>
      <w:r>
        <w:rPr>
          <w:color w:val="auto"/>
        </w:rPr>
        <w:t xml:space="preserve">While this data doesn’t represent a definitive </w:t>
      </w:r>
      <w:r w:rsidR="003E3A4F">
        <w:rPr>
          <w:color w:val="auto"/>
        </w:rPr>
        <w:t>answer</w:t>
      </w:r>
      <w:r>
        <w:rPr>
          <w:color w:val="auto"/>
        </w:rPr>
        <w:t xml:space="preserve"> on the RUL of programmable thermostats that are in market, it does represent reasonable support that most of the installations would be classified as ROB</w:t>
      </w:r>
      <w:r w:rsidR="00544161">
        <w:rPr>
          <w:color w:val="auto"/>
        </w:rPr>
        <w:t xml:space="preserve"> (i.e. not likely at the IOU requirement for preponderance of evidence)</w:t>
      </w:r>
      <w:r>
        <w:rPr>
          <w:color w:val="auto"/>
        </w:rPr>
        <w:t xml:space="preserve"> and therefore it is most appropriate to file POU smart thermostat measures as ROB. </w:t>
      </w:r>
    </w:p>
    <w:p w14:paraId="4C2B4DCD" w14:textId="77777777" w:rsidR="0048724D" w:rsidRPr="0048724D" w:rsidRDefault="0048724D" w:rsidP="000942B2">
      <w:pPr>
        <w:rPr>
          <w:rFonts w:asciiTheme="majorHAnsi" w:hAnsiTheme="majorHAnsi" w:cs="Arial"/>
          <w:color w:val="FF0000"/>
        </w:rPr>
      </w:pPr>
    </w:p>
    <w:p w14:paraId="16AD6A1C" w14:textId="26C8D615" w:rsidR="00910AE0" w:rsidRPr="001E5E83" w:rsidRDefault="00910AE0" w:rsidP="00910AE0">
      <w:pPr>
        <w:rPr>
          <w:sz w:val="28"/>
          <w:szCs w:val="28"/>
        </w:rPr>
      </w:pPr>
      <w:r w:rsidRPr="00113C7D">
        <w:rPr>
          <w:b/>
        </w:rPr>
        <w:t>General Eligibility Requirements</w:t>
      </w:r>
      <w:r w:rsidR="00733CC4" w:rsidRPr="00C35EBC">
        <w:rPr>
          <w:rStyle w:val="FootnoteReference"/>
          <w:sz w:val="20"/>
          <w:szCs w:val="20"/>
        </w:rPr>
        <w:footnoteReference w:id="2"/>
      </w:r>
    </w:p>
    <w:p w14:paraId="5D46C1C3" w14:textId="1CA5D7C5" w:rsidR="00910AE0" w:rsidRDefault="00910AE0" w:rsidP="00910AE0">
      <w:pPr>
        <w:pStyle w:val="ListParagraph"/>
        <w:numPr>
          <w:ilvl w:val="0"/>
          <w:numId w:val="46"/>
        </w:numPr>
      </w:pPr>
      <w:r>
        <w:t>PA shall employ QA/QC procedures to ensure that the thermostat is installed in an eligible home and is attached to the type of HVAC equipment that is being incentivized, whether it is for natural gas or electricity savings.</w:t>
      </w:r>
    </w:p>
    <w:p w14:paraId="7E842E40" w14:textId="69570E92" w:rsidR="00910AE0" w:rsidRDefault="00910AE0" w:rsidP="00910AE0">
      <w:pPr>
        <w:pStyle w:val="ListParagraph"/>
        <w:numPr>
          <w:ilvl w:val="0"/>
          <w:numId w:val="46"/>
        </w:numPr>
      </w:pPr>
      <w:r>
        <w:t xml:space="preserve">PA shall confirm that the customer has a </w:t>
      </w:r>
      <w:r w:rsidR="00113C7D">
        <w:t>newly</w:t>
      </w:r>
      <w:r>
        <w:t xml:space="preserve"> </w:t>
      </w:r>
      <w:r w:rsidR="00113C7D">
        <w:t>purchased</w:t>
      </w:r>
      <w:r>
        <w:t xml:space="preserve"> smart thermostat.  At minimum, the PA shall obtain a copy of the thermostat sales receipt and the PA shall confirm the purchase date is on or after the program’s start date.</w:t>
      </w:r>
    </w:p>
    <w:p w14:paraId="28C4884B" w14:textId="153AF7F5" w:rsidR="00910AE0" w:rsidRPr="00113C7D" w:rsidRDefault="00910AE0" w:rsidP="00113C7D">
      <w:pPr>
        <w:pStyle w:val="ListParagraph"/>
        <w:numPr>
          <w:ilvl w:val="0"/>
          <w:numId w:val="46"/>
        </w:numPr>
        <w:rPr>
          <w:b/>
        </w:rPr>
      </w:pPr>
      <w:r>
        <w:t>Customer eligibility shall be determined by each PA prior to paying rebates.  Upon request, all data associated with determining eligibility shall be provided to Energy Division.  PAs shall extend this requirement to any third party vendors in who assist PAs with determining customer eligibility.  To the extent that they are used to determine eligibility, data regarding dates of purchase, location of home, customer HVAC equipment type, pre-installation HVAC energy use, and etcetera shall be made available.</w:t>
      </w:r>
    </w:p>
    <w:p w14:paraId="6EE740F3" w14:textId="77777777" w:rsidR="00576C8C" w:rsidRDefault="007173B2">
      <w:pPr>
        <w:pStyle w:val="Normal1"/>
      </w:pPr>
      <w:r>
        <w:rPr>
          <w:b/>
        </w:rPr>
        <w:t>Device Eligibility Requirements</w:t>
      </w:r>
      <w:r>
        <w:t>:</w:t>
      </w:r>
    </w:p>
    <w:p w14:paraId="38B3A35D" w14:textId="77777777" w:rsidR="00576C8C" w:rsidRDefault="007173B2">
      <w:pPr>
        <w:pStyle w:val="Normal1"/>
        <w:numPr>
          <w:ilvl w:val="0"/>
          <w:numId w:val="4"/>
        </w:numPr>
        <w:ind w:hanging="360"/>
        <w:contextualSpacing/>
      </w:pPr>
      <w:r>
        <w:t>A qualified Wi-Fi thermostat per guidelines described below in Section 1.2</w:t>
      </w:r>
    </w:p>
    <w:p w14:paraId="5E8EEEA4" w14:textId="77777777" w:rsidR="00576C8C" w:rsidRDefault="00576C8C">
      <w:pPr>
        <w:pStyle w:val="Normal1"/>
      </w:pPr>
    </w:p>
    <w:p w14:paraId="2C65EAD6" w14:textId="77777777" w:rsidR="00576C8C" w:rsidRDefault="007173B2">
      <w:pPr>
        <w:pStyle w:val="Normal1"/>
      </w:pPr>
      <w:r>
        <w:rPr>
          <w:b/>
        </w:rPr>
        <w:t>Customer Eligibility Requirements:</w:t>
      </w:r>
    </w:p>
    <w:p w14:paraId="5CEEE4BD" w14:textId="77777777" w:rsidR="00576C8C" w:rsidRDefault="007173B2">
      <w:pPr>
        <w:pStyle w:val="Normal1"/>
        <w:numPr>
          <w:ilvl w:val="0"/>
          <w:numId w:val="15"/>
        </w:numPr>
        <w:ind w:hanging="360"/>
      </w:pPr>
      <w:r>
        <w:t>Customer segment: residential</w:t>
      </w:r>
    </w:p>
    <w:p w14:paraId="53CA0E0F" w14:textId="77777777" w:rsidR="00576C8C" w:rsidRDefault="007173B2">
      <w:pPr>
        <w:pStyle w:val="Normal1"/>
        <w:numPr>
          <w:ilvl w:val="0"/>
          <w:numId w:val="15"/>
        </w:numPr>
        <w:ind w:hanging="360"/>
        <w:contextualSpacing/>
      </w:pPr>
      <w:r>
        <w:t>Must use the thermostat to control heating and/or cooling equipment supplied by fuels provided by the utility paying the end-customer incentive</w:t>
      </w:r>
    </w:p>
    <w:p w14:paraId="098A48C4" w14:textId="77777777" w:rsidR="00576C8C" w:rsidRDefault="007173B2">
      <w:pPr>
        <w:pStyle w:val="Normal1"/>
        <w:numPr>
          <w:ilvl w:val="1"/>
          <w:numId w:val="15"/>
        </w:numPr>
        <w:ind w:hanging="360"/>
        <w:contextualSpacing/>
      </w:pPr>
      <w:r>
        <w:t>For single-fuel utilities (or dual-fuel utilities in a portion of their service area where they only supply one fuel), only savings for the applicable delivered fuel may be claimed</w:t>
      </w:r>
    </w:p>
    <w:p w14:paraId="19164F96" w14:textId="77777777" w:rsidR="00576C8C" w:rsidRDefault="007173B2">
      <w:pPr>
        <w:pStyle w:val="Normal1"/>
        <w:numPr>
          <w:ilvl w:val="1"/>
          <w:numId w:val="15"/>
        </w:numPr>
        <w:ind w:hanging="360"/>
        <w:contextualSpacing/>
      </w:pPr>
      <w:r>
        <w:t>Eligible heating equipment: gas forced-air furnace, electric forced-air furnace, heat pump</w:t>
      </w:r>
    </w:p>
    <w:p w14:paraId="07F7F2CE" w14:textId="77777777" w:rsidR="00576C8C" w:rsidRDefault="007173B2">
      <w:pPr>
        <w:pStyle w:val="Normal1"/>
        <w:numPr>
          <w:ilvl w:val="1"/>
          <w:numId w:val="15"/>
        </w:numPr>
        <w:ind w:hanging="360"/>
        <w:contextualSpacing/>
      </w:pPr>
      <w:r>
        <w:t>Eligible cooling equipment: central air conditioning</w:t>
      </w:r>
    </w:p>
    <w:p w14:paraId="4E2A7CFC" w14:textId="77777777" w:rsidR="00576C8C" w:rsidRDefault="00576C8C">
      <w:pPr>
        <w:pStyle w:val="Normal1"/>
        <w:ind w:left="1440"/>
      </w:pPr>
    </w:p>
    <w:p w14:paraId="4F09B992" w14:textId="77777777" w:rsidR="00576C8C" w:rsidRDefault="007173B2">
      <w:pPr>
        <w:pStyle w:val="Normal1"/>
      </w:pPr>
      <w:r>
        <w:rPr>
          <w:b/>
        </w:rPr>
        <w:t>Program Design Options:</w:t>
      </w:r>
    </w:p>
    <w:p w14:paraId="4320F0B4" w14:textId="77777777" w:rsidR="00576C8C" w:rsidRDefault="007173B2">
      <w:pPr>
        <w:pStyle w:val="Normal1"/>
        <w:numPr>
          <w:ilvl w:val="0"/>
          <w:numId w:val="16"/>
        </w:numPr>
        <w:ind w:hanging="360"/>
        <w:rPr>
          <w:b/>
        </w:rPr>
      </w:pPr>
      <w:r>
        <w:rPr>
          <w:b/>
        </w:rPr>
        <w:t xml:space="preserve">Downstream energy efficiency rebate (no demand response): </w:t>
      </w:r>
    </w:p>
    <w:p w14:paraId="33FEE304" w14:textId="77777777" w:rsidR="00C83382" w:rsidRDefault="00C83382" w:rsidP="00C83382">
      <w:pPr>
        <w:pStyle w:val="Normal1"/>
        <w:numPr>
          <w:ilvl w:val="1"/>
          <w:numId w:val="16"/>
        </w:numPr>
        <w:ind w:hanging="360"/>
      </w:pPr>
      <w:r>
        <w:lastRenderedPageBreak/>
        <w:t xml:space="preserve">Customer must purchase and install a qualifying product in order to receive an energy efficiency (EE) rebate </w:t>
      </w:r>
    </w:p>
    <w:p w14:paraId="11CB88BE" w14:textId="0575E82A" w:rsidR="00C83382" w:rsidRDefault="00C83382">
      <w:pPr>
        <w:pStyle w:val="Normal1"/>
        <w:numPr>
          <w:ilvl w:val="1"/>
          <w:numId w:val="16"/>
        </w:numPr>
        <w:ind w:hanging="360"/>
      </w:pPr>
      <w:r>
        <w:t>Customer who purchase qualifying equipment, but choose not</w:t>
      </w:r>
      <w:r w:rsidR="009F652E">
        <w:t xml:space="preserve"> </w:t>
      </w:r>
      <w:r>
        <w:t>to join a demand response (DR) program, can still receive a rebate.</w:t>
      </w:r>
    </w:p>
    <w:p w14:paraId="4B317465" w14:textId="77777777" w:rsidR="00C83382" w:rsidRPr="00AE67D2" w:rsidRDefault="00C83382" w:rsidP="00C83382">
      <w:pPr>
        <w:pStyle w:val="Normal1"/>
        <w:numPr>
          <w:ilvl w:val="1"/>
          <w:numId w:val="16"/>
        </w:numPr>
        <w:ind w:hanging="360"/>
      </w:pPr>
      <w:r>
        <w:rPr>
          <w:i/>
        </w:rPr>
        <w:t xml:space="preserve">Applicable utilities:  SDG&amp;E, SCE, SoCal Gas and PG&amp;E. </w:t>
      </w:r>
    </w:p>
    <w:p w14:paraId="61BEFAFC" w14:textId="34CAC7D9" w:rsidR="00576C8C" w:rsidRDefault="00576C8C" w:rsidP="00C83382">
      <w:pPr>
        <w:pStyle w:val="Normal1"/>
        <w:ind w:left="1440"/>
      </w:pPr>
    </w:p>
    <w:p w14:paraId="292E0FDF" w14:textId="13FA1536" w:rsidR="004B6B02" w:rsidRDefault="004B6B02" w:rsidP="004B6B02">
      <w:pPr>
        <w:pStyle w:val="Normal1"/>
        <w:numPr>
          <w:ilvl w:val="0"/>
          <w:numId w:val="16"/>
        </w:numPr>
        <w:ind w:hanging="360"/>
        <w:rPr>
          <w:b/>
        </w:rPr>
      </w:pPr>
      <w:r>
        <w:rPr>
          <w:b/>
        </w:rPr>
        <w:t xml:space="preserve">Downstream energy efficiency rebate with Demand Response rebate (or incentive) to encourage IDSM: </w:t>
      </w:r>
    </w:p>
    <w:p w14:paraId="1FF36567" w14:textId="77777777" w:rsidR="004B6B02" w:rsidRDefault="004B6B02" w:rsidP="004B6B02">
      <w:pPr>
        <w:pStyle w:val="Normal1"/>
        <w:numPr>
          <w:ilvl w:val="1"/>
          <w:numId w:val="16"/>
        </w:numPr>
        <w:ind w:hanging="360"/>
      </w:pPr>
      <w:r>
        <w:t xml:space="preserve">Customer must purchase and install a qualifying product in order to receive the energy efficiency (EE) rebate </w:t>
      </w:r>
    </w:p>
    <w:p w14:paraId="3F7C8880" w14:textId="53F2C663" w:rsidR="004B6B02" w:rsidRDefault="004B6B02" w:rsidP="004B6B02">
      <w:pPr>
        <w:pStyle w:val="Normal1"/>
        <w:numPr>
          <w:ilvl w:val="1"/>
          <w:numId w:val="16"/>
        </w:numPr>
        <w:ind w:hanging="360"/>
      </w:pPr>
      <w:r>
        <w:t xml:space="preserve">Additional Demand Response (DR) rebate or incentive can be provided to the customer if they choose to enroll in a DR program after installing their new device. </w:t>
      </w:r>
    </w:p>
    <w:p w14:paraId="02C70907" w14:textId="77777777" w:rsidR="004B6B02" w:rsidRDefault="004B6B02" w:rsidP="004B6B02">
      <w:pPr>
        <w:pStyle w:val="Normal1"/>
        <w:numPr>
          <w:ilvl w:val="1"/>
          <w:numId w:val="16"/>
        </w:numPr>
        <w:ind w:hanging="360"/>
      </w:pPr>
      <w:r>
        <w:t>Some customers will only redeem the EE rebate. A portion of customers will redeem both the EE and DR.</w:t>
      </w:r>
    </w:p>
    <w:p w14:paraId="2100F0F6" w14:textId="0F2AEF70" w:rsidR="00576C8C" w:rsidRDefault="004B6B02">
      <w:pPr>
        <w:pStyle w:val="Normal1"/>
        <w:numPr>
          <w:ilvl w:val="1"/>
          <w:numId w:val="16"/>
        </w:numPr>
        <w:ind w:hanging="360"/>
      </w:pPr>
      <w:r>
        <w:rPr>
          <w:i/>
        </w:rPr>
        <w:t>Applicable utilities:  SDG&amp;E, SCE, SoCal Gas and PG&amp;E.</w:t>
      </w:r>
    </w:p>
    <w:p w14:paraId="207D6C2B" w14:textId="77777777" w:rsidR="00576C8C" w:rsidRDefault="00576C8C">
      <w:pPr>
        <w:pStyle w:val="Normal1"/>
        <w:ind w:left="1440"/>
      </w:pPr>
    </w:p>
    <w:p w14:paraId="06AB7FBF" w14:textId="77777777" w:rsidR="00576C8C" w:rsidRDefault="007173B2">
      <w:pPr>
        <w:pStyle w:val="Normal1"/>
      </w:pPr>
      <w:r>
        <w:rPr>
          <w:b/>
        </w:rPr>
        <w:t>Implementation and Installation Requirements:</w:t>
      </w:r>
    </w:p>
    <w:p w14:paraId="7C5078DB" w14:textId="77777777" w:rsidR="00576C8C" w:rsidRDefault="007173B2">
      <w:pPr>
        <w:pStyle w:val="Normal1"/>
        <w:numPr>
          <w:ilvl w:val="0"/>
          <w:numId w:val="4"/>
        </w:numPr>
        <w:ind w:hanging="360"/>
        <w:contextualSpacing/>
      </w:pPr>
      <w:r>
        <w:rPr>
          <w:b/>
        </w:rPr>
        <w:t>Climate Zones:</w:t>
      </w:r>
      <w:r>
        <w:t xml:space="preserve"> All 16 California Climate Zones are eligible (no cooling savings defined for Climate Zone 1)</w:t>
      </w:r>
    </w:p>
    <w:p w14:paraId="36396BC9" w14:textId="175842C4" w:rsidR="00576C8C" w:rsidRDefault="007173B2">
      <w:pPr>
        <w:pStyle w:val="Normal1"/>
        <w:numPr>
          <w:ilvl w:val="0"/>
          <w:numId w:val="4"/>
        </w:numPr>
        <w:ind w:hanging="360"/>
        <w:contextualSpacing/>
      </w:pPr>
      <w:r>
        <w:rPr>
          <w:b/>
        </w:rPr>
        <w:t xml:space="preserve">Building Types: </w:t>
      </w:r>
      <w:r>
        <w:t>Single Family Residential Building Types</w:t>
      </w:r>
      <w:r w:rsidR="00361A5E">
        <w:t xml:space="preserve"> (including SFM, MF, and </w:t>
      </w:r>
      <w:proofErr w:type="spellStart"/>
      <w:r w:rsidR="00361A5E">
        <w:t>DMo</w:t>
      </w:r>
      <w:proofErr w:type="spellEnd"/>
      <w:r w:rsidR="00361A5E">
        <w:t>)</w:t>
      </w:r>
    </w:p>
    <w:p w14:paraId="53E8CC2B" w14:textId="77777777" w:rsidR="00576C8C" w:rsidRDefault="007173B2">
      <w:pPr>
        <w:pStyle w:val="Heading2"/>
      </w:pPr>
      <w:r>
        <w:rPr>
          <w:rFonts w:ascii="Calibri" w:eastAsia="Calibri" w:hAnsi="Calibri" w:cs="Calibri"/>
        </w:rPr>
        <w:t>1.2 Technical Description</w:t>
      </w:r>
    </w:p>
    <w:p w14:paraId="24ED78C5" w14:textId="77777777" w:rsidR="00576C8C" w:rsidRDefault="007173B2">
      <w:pPr>
        <w:pStyle w:val="Normal1"/>
        <w:jc w:val="both"/>
      </w:pPr>
      <w:r>
        <w:t>Smart thermostats are enhanced by data gathering and analytics functionalities, which enables them to use a variety of methods to optimize HVAC settings for efficient and automated energy consumption. Specifically, a smart thermostat is defined as a thermostat that is compatible with the participant’s HVAC system, and has</w:t>
      </w:r>
    </w:p>
    <w:p w14:paraId="453EEDAA" w14:textId="77777777" w:rsidR="00576C8C" w:rsidRDefault="00576C8C">
      <w:pPr>
        <w:pStyle w:val="Normal1"/>
        <w:jc w:val="both"/>
      </w:pPr>
    </w:p>
    <w:p w14:paraId="1A307345" w14:textId="77777777" w:rsidR="00576C8C" w:rsidRDefault="007173B2">
      <w:pPr>
        <w:pStyle w:val="Normal1"/>
        <w:numPr>
          <w:ilvl w:val="0"/>
          <w:numId w:val="2"/>
        </w:numPr>
        <w:ind w:hanging="360"/>
        <w:contextualSpacing/>
        <w:jc w:val="both"/>
      </w:pPr>
      <w:r>
        <w:t>Two-way communication,</w:t>
      </w:r>
    </w:p>
    <w:p w14:paraId="4FC2CFBE" w14:textId="77777777" w:rsidR="00576C8C" w:rsidRDefault="007173B2">
      <w:pPr>
        <w:pStyle w:val="Normal1"/>
        <w:numPr>
          <w:ilvl w:val="0"/>
          <w:numId w:val="11"/>
        </w:numPr>
        <w:ind w:hanging="360"/>
        <w:contextualSpacing/>
        <w:jc w:val="both"/>
      </w:pPr>
      <w:r>
        <w:t xml:space="preserve">Occupancy detection (through the use of occupancy sensors, </w:t>
      </w:r>
      <w:proofErr w:type="spellStart"/>
      <w:r>
        <w:t>geofencing</w:t>
      </w:r>
      <w:proofErr w:type="spellEnd"/>
      <w:r>
        <w:t>, etc.), and</w:t>
      </w:r>
    </w:p>
    <w:p w14:paraId="7FA89645" w14:textId="4B671A05" w:rsidR="00576C8C" w:rsidRDefault="007173B2">
      <w:pPr>
        <w:pStyle w:val="Normal1"/>
        <w:numPr>
          <w:ilvl w:val="0"/>
          <w:numId w:val="11"/>
        </w:numPr>
        <w:ind w:hanging="360"/>
        <w:contextualSpacing/>
        <w:jc w:val="both"/>
      </w:pPr>
      <w:r>
        <w:t>At least two of the features in</w:t>
      </w:r>
      <w:r w:rsidR="000A24A8">
        <w:t xml:space="preserve"> following </w:t>
      </w:r>
      <w:r>
        <w:t>Table</w:t>
      </w:r>
    </w:p>
    <w:p w14:paraId="0199C4A4" w14:textId="77777777" w:rsidR="00576C8C" w:rsidRDefault="00576C8C">
      <w:pPr>
        <w:pStyle w:val="Normal1"/>
        <w:jc w:val="both"/>
      </w:pPr>
    </w:p>
    <w:p w14:paraId="03196687" w14:textId="41D11D8D" w:rsidR="00576C8C" w:rsidRDefault="007173B2">
      <w:pPr>
        <w:pStyle w:val="Normal1"/>
        <w:jc w:val="both"/>
      </w:pPr>
      <w:r>
        <w:t>Explanations of how these features save energy is provided in Table</w:t>
      </w:r>
      <w:r w:rsidR="000A24A8">
        <w:t xml:space="preserve"> below</w:t>
      </w:r>
    </w:p>
    <w:p w14:paraId="674977F4" w14:textId="77777777" w:rsidR="00D962A5" w:rsidRDefault="00D962A5">
      <w:pPr>
        <w:pStyle w:val="Normal1"/>
        <w:jc w:val="both"/>
      </w:pPr>
    </w:p>
    <w:tbl>
      <w:tblPr>
        <w:tblStyle w:val="a5"/>
        <w:tblW w:w="9750" w:type="dxa"/>
        <w:tblInd w:w="-20" w:type="dxa"/>
        <w:tblLayout w:type="fixed"/>
        <w:tblLook w:val="0600" w:firstRow="0" w:lastRow="0" w:firstColumn="0" w:lastColumn="0" w:noHBand="1" w:noVBand="1"/>
      </w:tblPr>
      <w:tblGrid>
        <w:gridCol w:w="2625"/>
        <w:gridCol w:w="7125"/>
      </w:tblGrid>
      <w:tr w:rsidR="00576C8C" w14:paraId="22C43653" w14:textId="77777777" w:rsidTr="00D962A5">
        <w:tc>
          <w:tcPr>
            <w:tcW w:w="9750" w:type="dxa"/>
            <w:gridSpan w:val="2"/>
            <w:tcBorders>
              <w:top w:val="single" w:sz="8" w:space="0" w:color="FFFFFF"/>
              <w:left w:val="single" w:sz="8" w:space="0" w:color="FFFFFF"/>
              <w:bottom w:val="single" w:sz="8" w:space="0" w:color="000000"/>
            </w:tcBorders>
            <w:tcMar>
              <w:top w:w="100" w:type="dxa"/>
              <w:left w:w="20" w:type="dxa"/>
              <w:bottom w:w="100" w:type="dxa"/>
              <w:right w:w="20" w:type="dxa"/>
            </w:tcMar>
          </w:tcPr>
          <w:p w14:paraId="3B3411C9" w14:textId="77777777" w:rsidR="00640FCF" w:rsidRDefault="00D962A5" w:rsidP="00D962A5">
            <w:pPr>
              <w:pStyle w:val="Normal1"/>
              <w:tabs>
                <w:tab w:val="center" w:pos="4855"/>
                <w:tab w:val="right" w:pos="9710"/>
              </w:tabs>
              <w:contextualSpacing w:val="0"/>
              <w:rPr>
                <w:b/>
              </w:rPr>
            </w:pPr>
            <w:r>
              <w:rPr>
                <w:b/>
              </w:rPr>
              <w:tab/>
            </w:r>
          </w:p>
          <w:p w14:paraId="75A67EFD" w14:textId="77777777" w:rsidR="00640FCF" w:rsidRDefault="00640FCF" w:rsidP="00D962A5">
            <w:pPr>
              <w:pStyle w:val="Normal1"/>
              <w:tabs>
                <w:tab w:val="center" w:pos="4855"/>
                <w:tab w:val="right" w:pos="9710"/>
              </w:tabs>
              <w:contextualSpacing w:val="0"/>
              <w:rPr>
                <w:b/>
              </w:rPr>
            </w:pPr>
          </w:p>
          <w:p w14:paraId="0F62A254" w14:textId="77777777" w:rsidR="00640FCF" w:rsidRDefault="00640FCF" w:rsidP="00D962A5">
            <w:pPr>
              <w:pStyle w:val="Normal1"/>
              <w:tabs>
                <w:tab w:val="center" w:pos="4855"/>
                <w:tab w:val="right" w:pos="9710"/>
              </w:tabs>
              <w:contextualSpacing w:val="0"/>
              <w:rPr>
                <w:b/>
              </w:rPr>
            </w:pPr>
          </w:p>
          <w:p w14:paraId="55FA3214" w14:textId="77777777" w:rsidR="00640FCF" w:rsidRDefault="00640FCF" w:rsidP="00D962A5">
            <w:pPr>
              <w:pStyle w:val="Normal1"/>
              <w:tabs>
                <w:tab w:val="center" w:pos="4855"/>
                <w:tab w:val="right" w:pos="9710"/>
              </w:tabs>
              <w:contextualSpacing w:val="0"/>
              <w:rPr>
                <w:b/>
              </w:rPr>
            </w:pPr>
          </w:p>
          <w:p w14:paraId="7A6000A1" w14:textId="77777777" w:rsidR="00640FCF" w:rsidRDefault="00640FCF" w:rsidP="00D962A5">
            <w:pPr>
              <w:pStyle w:val="Normal1"/>
              <w:tabs>
                <w:tab w:val="center" w:pos="4855"/>
                <w:tab w:val="right" w:pos="9710"/>
              </w:tabs>
              <w:contextualSpacing w:val="0"/>
              <w:rPr>
                <w:b/>
              </w:rPr>
            </w:pPr>
          </w:p>
          <w:p w14:paraId="500518BF" w14:textId="77777777" w:rsidR="00640FCF" w:rsidRDefault="00640FCF" w:rsidP="00D962A5">
            <w:pPr>
              <w:pStyle w:val="Normal1"/>
              <w:tabs>
                <w:tab w:val="center" w:pos="4855"/>
                <w:tab w:val="right" w:pos="9710"/>
              </w:tabs>
              <w:contextualSpacing w:val="0"/>
              <w:rPr>
                <w:b/>
              </w:rPr>
            </w:pPr>
          </w:p>
          <w:p w14:paraId="6E9345C1" w14:textId="77777777" w:rsidR="00640FCF" w:rsidRDefault="00640FCF" w:rsidP="00D962A5">
            <w:pPr>
              <w:pStyle w:val="Normal1"/>
              <w:tabs>
                <w:tab w:val="center" w:pos="4855"/>
                <w:tab w:val="right" w:pos="9710"/>
              </w:tabs>
              <w:contextualSpacing w:val="0"/>
              <w:rPr>
                <w:b/>
              </w:rPr>
            </w:pPr>
          </w:p>
          <w:p w14:paraId="22E7EC4F" w14:textId="77777777" w:rsidR="00640FCF" w:rsidRDefault="00640FCF" w:rsidP="00D962A5">
            <w:pPr>
              <w:pStyle w:val="Normal1"/>
              <w:tabs>
                <w:tab w:val="center" w:pos="4855"/>
                <w:tab w:val="right" w:pos="9710"/>
              </w:tabs>
              <w:contextualSpacing w:val="0"/>
              <w:rPr>
                <w:b/>
              </w:rPr>
            </w:pPr>
          </w:p>
          <w:p w14:paraId="36615B75" w14:textId="77777777" w:rsidR="00640FCF" w:rsidRDefault="00640FCF" w:rsidP="00D962A5">
            <w:pPr>
              <w:pStyle w:val="Normal1"/>
              <w:tabs>
                <w:tab w:val="center" w:pos="4855"/>
                <w:tab w:val="right" w:pos="9710"/>
              </w:tabs>
              <w:contextualSpacing w:val="0"/>
              <w:rPr>
                <w:b/>
              </w:rPr>
            </w:pPr>
          </w:p>
          <w:p w14:paraId="4FFE594A" w14:textId="77777777" w:rsidR="00640FCF" w:rsidRDefault="00640FCF" w:rsidP="00D962A5">
            <w:pPr>
              <w:pStyle w:val="Normal1"/>
              <w:tabs>
                <w:tab w:val="center" w:pos="4855"/>
                <w:tab w:val="right" w:pos="9710"/>
              </w:tabs>
              <w:contextualSpacing w:val="0"/>
              <w:rPr>
                <w:b/>
              </w:rPr>
            </w:pPr>
          </w:p>
          <w:p w14:paraId="6BB45827" w14:textId="77777777" w:rsidR="00640FCF" w:rsidRDefault="00640FCF" w:rsidP="00D962A5">
            <w:pPr>
              <w:pStyle w:val="Normal1"/>
              <w:tabs>
                <w:tab w:val="center" w:pos="4855"/>
                <w:tab w:val="right" w:pos="9710"/>
              </w:tabs>
              <w:contextualSpacing w:val="0"/>
              <w:rPr>
                <w:b/>
              </w:rPr>
            </w:pPr>
          </w:p>
          <w:p w14:paraId="00A6BC12" w14:textId="77777777" w:rsidR="00640FCF" w:rsidRDefault="00640FCF" w:rsidP="00D962A5">
            <w:pPr>
              <w:pStyle w:val="Normal1"/>
              <w:tabs>
                <w:tab w:val="center" w:pos="4855"/>
                <w:tab w:val="right" w:pos="9710"/>
              </w:tabs>
              <w:contextualSpacing w:val="0"/>
              <w:rPr>
                <w:b/>
              </w:rPr>
            </w:pPr>
          </w:p>
          <w:p w14:paraId="1789A13C" w14:textId="77777777" w:rsidR="00640FCF" w:rsidRDefault="00640FCF" w:rsidP="00D962A5">
            <w:pPr>
              <w:pStyle w:val="Normal1"/>
              <w:tabs>
                <w:tab w:val="center" w:pos="4855"/>
                <w:tab w:val="right" w:pos="9710"/>
              </w:tabs>
              <w:contextualSpacing w:val="0"/>
              <w:rPr>
                <w:b/>
              </w:rPr>
            </w:pPr>
          </w:p>
          <w:p w14:paraId="007EFD33" w14:textId="579B234F" w:rsidR="00576C8C" w:rsidRDefault="007173B2" w:rsidP="00D962A5">
            <w:pPr>
              <w:pStyle w:val="Normal1"/>
              <w:tabs>
                <w:tab w:val="center" w:pos="4855"/>
                <w:tab w:val="right" w:pos="9710"/>
              </w:tabs>
              <w:contextualSpacing w:val="0"/>
            </w:pPr>
            <w:r>
              <w:rPr>
                <w:b/>
              </w:rPr>
              <w:lastRenderedPageBreak/>
              <w:t>Smart Thermostat Features</w:t>
            </w:r>
            <w:r w:rsidRPr="00172759">
              <w:rPr>
                <w:b/>
                <w:vertAlign w:val="superscript"/>
              </w:rPr>
              <w:t>[1]</w:t>
            </w:r>
            <w:r w:rsidR="00D962A5">
              <w:rPr>
                <w:b/>
              </w:rPr>
              <w:tab/>
            </w:r>
          </w:p>
        </w:tc>
      </w:tr>
      <w:tr w:rsidR="00576C8C" w14:paraId="2E41DC5C" w14:textId="77777777">
        <w:tc>
          <w:tcPr>
            <w:tcW w:w="2625" w:type="dxa"/>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tcPr>
          <w:p w14:paraId="5C64E078" w14:textId="77777777" w:rsidR="00576C8C" w:rsidRPr="00206AE1" w:rsidRDefault="007173B2">
            <w:pPr>
              <w:pStyle w:val="Normal1"/>
              <w:contextualSpacing w:val="0"/>
              <w:jc w:val="center"/>
              <w:rPr>
                <w:sz w:val="20"/>
                <w:szCs w:val="20"/>
              </w:rPr>
            </w:pPr>
            <w:r w:rsidRPr="00206AE1">
              <w:rPr>
                <w:b/>
                <w:sz w:val="20"/>
                <w:szCs w:val="20"/>
                <w:shd w:val="clear" w:color="auto" w:fill="D9D9D9"/>
              </w:rPr>
              <w:lastRenderedPageBreak/>
              <w:t>Feature</w:t>
            </w:r>
          </w:p>
        </w:tc>
        <w:tc>
          <w:tcPr>
            <w:tcW w:w="7125" w:type="dxa"/>
            <w:tcBorders>
              <w:top w:val="single" w:sz="8" w:space="0" w:color="000000"/>
              <w:bottom w:val="single" w:sz="8" w:space="0" w:color="000000"/>
              <w:right w:val="single" w:sz="8" w:space="0" w:color="000000"/>
            </w:tcBorders>
            <w:shd w:val="clear" w:color="auto" w:fill="D9D9D9"/>
            <w:tcMar>
              <w:top w:w="100" w:type="dxa"/>
              <w:left w:w="100" w:type="dxa"/>
              <w:bottom w:w="100" w:type="dxa"/>
              <w:right w:w="100" w:type="dxa"/>
            </w:tcMar>
          </w:tcPr>
          <w:p w14:paraId="25043A6B" w14:textId="77777777" w:rsidR="00576C8C" w:rsidRPr="00206AE1" w:rsidRDefault="007173B2">
            <w:pPr>
              <w:pStyle w:val="Normal1"/>
              <w:contextualSpacing w:val="0"/>
              <w:jc w:val="center"/>
              <w:rPr>
                <w:sz w:val="20"/>
                <w:szCs w:val="20"/>
              </w:rPr>
            </w:pPr>
            <w:r w:rsidRPr="00206AE1">
              <w:rPr>
                <w:b/>
                <w:sz w:val="20"/>
                <w:szCs w:val="20"/>
                <w:shd w:val="clear" w:color="auto" w:fill="D9D9D9"/>
              </w:rPr>
              <w:t>Feature Description</w:t>
            </w:r>
          </w:p>
        </w:tc>
      </w:tr>
      <w:tr w:rsidR="00576C8C" w14:paraId="4EC56141" w14:textId="77777777">
        <w:tc>
          <w:tcPr>
            <w:tcW w:w="2625" w:type="dxa"/>
            <w:tcBorders>
              <w:left w:val="single" w:sz="8" w:space="0" w:color="000000"/>
              <w:bottom w:val="single" w:sz="8" w:space="0" w:color="000000"/>
              <w:right w:val="single" w:sz="8" w:space="0" w:color="000000"/>
            </w:tcBorders>
            <w:shd w:val="clear" w:color="auto" w:fill="FFFFFF"/>
            <w:tcMar>
              <w:top w:w="100" w:type="dxa"/>
              <w:left w:w="100" w:type="dxa"/>
              <w:bottom w:w="100" w:type="dxa"/>
              <w:right w:w="100" w:type="dxa"/>
            </w:tcMar>
          </w:tcPr>
          <w:p w14:paraId="2FAF85D2" w14:textId="77777777" w:rsidR="00576C8C" w:rsidRPr="00206AE1" w:rsidRDefault="007173B2">
            <w:pPr>
              <w:pStyle w:val="Normal1"/>
              <w:contextualSpacing w:val="0"/>
              <w:rPr>
                <w:sz w:val="20"/>
                <w:szCs w:val="20"/>
              </w:rPr>
            </w:pPr>
            <w:r w:rsidRPr="00206AE1">
              <w:rPr>
                <w:sz w:val="20"/>
                <w:szCs w:val="20"/>
                <w:highlight w:val="white"/>
              </w:rPr>
              <w:t>Schedule learning</w:t>
            </w:r>
          </w:p>
        </w:tc>
        <w:tc>
          <w:tcPr>
            <w:tcW w:w="7125" w:type="dxa"/>
            <w:tcBorders>
              <w:bottom w:val="single" w:sz="8" w:space="0" w:color="000000"/>
              <w:right w:val="single" w:sz="8" w:space="0" w:color="000000"/>
            </w:tcBorders>
            <w:shd w:val="clear" w:color="auto" w:fill="FFFFFF"/>
            <w:tcMar>
              <w:top w:w="100" w:type="dxa"/>
              <w:left w:w="100" w:type="dxa"/>
              <w:bottom w:w="100" w:type="dxa"/>
              <w:right w:w="100" w:type="dxa"/>
            </w:tcMar>
          </w:tcPr>
          <w:p w14:paraId="7BAD9F4E" w14:textId="77777777" w:rsidR="00576C8C" w:rsidRPr="00206AE1" w:rsidRDefault="007173B2">
            <w:pPr>
              <w:pStyle w:val="Normal1"/>
              <w:contextualSpacing w:val="0"/>
              <w:rPr>
                <w:sz w:val="20"/>
                <w:szCs w:val="20"/>
              </w:rPr>
            </w:pPr>
            <w:r w:rsidRPr="00206AE1">
              <w:rPr>
                <w:sz w:val="20"/>
                <w:szCs w:val="20"/>
                <w:highlight w:val="white"/>
              </w:rPr>
              <w:t>Thermostat learns occupant patterns with little to no effort from the customer.</w:t>
            </w:r>
          </w:p>
        </w:tc>
      </w:tr>
      <w:tr w:rsidR="00576C8C" w14:paraId="1E9445B7" w14:textId="77777777">
        <w:tc>
          <w:tcPr>
            <w:tcW w:w="2625" w:type="dxa"/>
            <w:tcBorders>
              <w:left w:val="single" w:sz="8" w:space="0" w:color="000000"/>
              <w:bottom w:val="single" w:sz="8" w:space="0" w:color="000000"/>
              <w:right w:val="single" w:sz="8" w:space="0" w:color="000000"/>
            </w:tcBorders>
            <w:shd w:val="clear" w:color="auto" w:fill="FFFFFF"/>
            <w:tcMar>
              <w:top w:w="100" w:type="dxa"/>
              <w:left w:w="100" w:type="dxa"/>
              <w:bottom w:w="100" w:type="dxa"/>
              <w:right w:w="100" w:type="dxa"/>
            </w:tcMar>
          </w:tcPr>
          <w:p w14:paraId="0530E670" w14:textId="77777777" w:rsidR="00576C8C" w:rsidRPr="00206AE1" w:rsidRDefault="007173B2">
            <w:pPr>
              <w:pStyle w:val="Normal1"/>
              <w:contextualSpacing w:val="0"/>
              <w:rPr>
                <w:sz w:val="20"/>
                <w:szCs w:val="20"/>
              </w:rPr>
            </w:pPr>
            <w:r w:rsidRPr="00206AE1">
              <w:rPr>
                <w:sz w:val="20"/>
                <w:szCs w:val="20"/>
                <w:highlight w:val="white"/>
              </w:rPr>
              <w:t>Heat pump auxiliary heat optimization</w:t>
            </w:r>
          </w:p>
        </w:tc>
        <w:tc>
          <w:tcPr>
            <w:tcW w:w="7125" w:type="dxa"/>
            <w:tcBorders>
              <w:bottom w:val="single" w:sz="8" w:space="0" w:color="000000"/>
              <w:right w:val="single" w:sz="8" w:space="0" w:color="000000"/>
            </w:tcBorders>
            <w:shd w:val="clear" w:color="auto" w:fill="FFFFFF"/>
            <w:tcMar>
              <w:top w:w="100" w:type="dxa"/>
              <w:left w:w="100" w:type="dxa"/>
              <w:bottom w:w="100" w:type="dxa"/>
              <w:right w:w="100" w:type="dxa"/>
            </w:tcMar>
          </w:tcPr>
          <w:p w14:paraId="400518C6" w14:textId="77777777" w:rsidR="00576C8C" w:rsidRPr="00206AE1" w:rsidRDefault="007173B2">
            <w:pPr>
              <w:pStyle w:val="Normal1"/>
              <w:contextualSpacing w:val="0"/>
              <w:rPr>
                <w:sz w:val="20"/>
                <w:szCs w:val="20"/>
              </w:rPr>
            </w:pPr>
            <w:r w:rsidRPr="00206AE1">
              <w:rPr>
                <w:sz w:val="20"/>
                <w:szCs w:val="20"/>
                <w:highlight w:val="white"/>
              </w:rPr>
              <w:t>Thermostat optimizes the use of the refrigerant heating cycle in preference to auxiliary heat, while still enabling the home to achieve a comfortable set point.</w:t>
            </w:r>
          </w:p>
        </w:tc>
      </w:tr>
      <w:tr w:rsidR="00576C8C" w14:paraId="424C8DF1" w14:textId="77777777">
        <w:tc>
          <w:tcPr>
            <w:tcW w:w="2625" w:type="dxa"/>
            <w:tcBorders>
              <w:left w:val="single" w:sz="8" w:space="0" w:color="000000"/>
              <w:bottom w:val="single" w:sz="8" w:space="0" w:color="000000"/>
              <w:right w:val="single" w:sz="8" w:space="0" w:color="000000"/>
            </w:tcBorders>
            <w:shd w:val="clear" w:color="auto" w:fill="FFFFFF"/>
            <w:tcMar>
              <w:top w:w="100" w:type="dxa"/>
              <w:left w:w="100" w:type="dxa"/>
              <w:bottom w:w="100" w:type="dxa"/>
              <w:right w:w="100" w:type="dxa"/>
            </w:tcMar>
          </w:tcPr>
          <w:p w14:paraId="39433288" w14:textId="77777777" w:rsidR="00576C8C" w:rsidRPr="00206AE1" w:rsidRDefault="007173B2">
            <w:pPr>
              <w:pStyle w:val="Normal1"/>
              <w:contextualSpacing w:val="0"/>
              <w:rPr>
                <w:sz w:val="20"/>
                <w:szCs w:val="20"/>
              </w:rPr>
            </w:pPr>
            <w:r w:rsidRPr="00206AE1">
              <w:rPr>
                <w:sz w:val="20"/>
                <w:szCs w:val="20"/>
                <w:highlight w:val="white"/>
              </w:rPr>
              <w:t xml:space="preserve">Upstaging / </w:t>
            </w:r>
            <w:proofErr w:type="spellStart"/>
            <w:r w:rsidRPr="00206AE1">
              <w:rPr>
                <w:sz w:val="20"/>
                <w:szCs w:val="20"/>
                <w:highlight w:val="white"/>
              </w:rPr>
              <w:t>downstaging</w:t>
            </w:r>
            <w:proofErr w:type="spellEnd"/>
            <w:r w:rsidRPr="00206AE1">
              <w:rPr>
                <w:sz w:val="20"/>
                <w:szCs w:val="20"/>
                <w:highlight w:val="white"/>
              </w:rPr>
              <w:t xml:space="preserve"> optimization</w:t>
            </w:r>
          </w:p>
        </w:tc>
        <w:tc>
          <w:tcPr>
            <w:tcW w:w="7125" w:type="dxa"/>
            <w:tcBorders>
              <w:bottom w:val="single" w:sz="8" w:space="0" w:color="000000"/>
              <w:right w:val="single" w:sz="8" w:space="0" w:color="000000"/>
            </w:tcBorders>
            <w:shd w:val="clear" w:color="auto" w:fill="FFFFFF"/>
            <w:tcMar>
              <w:top w:w="100" w:type="dxa"/>
              <w:left w:w="100" w:type="dxa"/>
              <w:bottom w:w="100" w:type="dxa"/>
              <w:right w:w="100" w:type="dxa"/>
            </w:tcMar>
          </w:tcPr>
          <w:p w14:paraId="61F655F5" w14:textId="77777777" w:rsidR="00576C8C" w:rsidRPr="00206AE1" w:rsidRDefault="007173B2">
            <w:pPr>
              <w:pStyle w:val="Normal1"/>
              <w:contextualSpacing w:val="0"/>
              <w:rPr>
                <w:sz w:val="20"/>
                <w:szCs w:val="20"/>
              </w:rPr>
            </w:pPr>
            <w:r w:rsidRPr="00206AE1">
              <w:rPr>
                <w:sz w:val="20"/>
                <w:szCs w:val="20"/>
                <w:highlight w:val="white"/>
              </w:rPr>
              <w:t>Thermostat optimizes the use of the lowest and most efficient stage of heating or cooling in preference of the higher capacity stage, while still enabling the home to achieve a comfortable set point.</w:t>
            </w:r>
          </w:p>
        </w:tc>
      </w:tr>
      <w:tr w:rsidR="00576C8C" w14:paraId="246DB0DC" w14:textId="77777777">
        <w:tc>
          <w:tcPr>
            <w:tcW w:w="2625" w:type="dxa"/>
            <w:tcBorders>
              <w:left w:val="single" w:sz="8" w:space="0" w:color="000000"/>
              <w:bottom w:val="single" w:sz="8" w:space="0" w:color="000000"/>
              <w:right w:val="single" w:sz="8" w:space="0" w:color="000000"/>
            </w:tcBorders>
            <w:shd w:val="clear" w:color="auto" w:fill="FFFFFF"/>
            <w:tcMar>
              <w:top w:w="100" w:type="dxa"/>
              <w:left w:w="100" w:type="dxa"/>
              <w:bottom w:w="100" w:type="dxa"/>
              <w:right w:w="100" w:type="dxa"/>
            </w:tcMar>
          </w:tcPr>
          <w:p w14:paraId="0DEE2CA6" w14:textId="77777777" w:rsidR="00576C8C" w:rsidRPr="00206AE1" w:rsidRDefault="007173B2">
            <w:pPr>
              <w:pStyle w:val="Normal1"/>
              <w:contextualSpacing w:val="0"/>
              <w:rPr>
                <w:sz w:val="20"/>
                <w:szCs w:val="20"/>
              </w:rPr>
            </w:pPr>
            <w:r w:rsidRPr="00206AE1">
              <w:rPr>
                <w:sz w:val="20"/>
                <w:szCs w:val="20"/>
                <w:highlight w:val="white"/>
              </w:rPr>
              <w:t>Humidity control</w:t>
            </w:r>
          </w:p>
        </w:tc>
        <w:tc>
          <w:tcPr>
            <w:tcW w:w="7125" w:type="dxa"/>
            <w:tcBorders>
              <w:bottom w:val="single" w:sz="8" w:space="0" w:color="000000"/>
              <w:right w:val="single" w:sz="8" w:space="0" w:color="000000"/>
            </w:tcBorders>
            <w:shd w:val="clear" w:color="auto" w:fill="FFFFFF"/>
            <w:tcMar>
              <w:top w:w="100" w:type="dxa"/>
              <w:left w:w="100" w:type="dxa"/>
              <w:bottom w:w="100" w:type="dxa"/>
              <w:right w:w="100" w:type="dxa"/>
            </w:tcMar>
          </w:tcPr>
          <w:p w14:paraId="05338478" w14:textId="77777777" w:rsidR="00576C8C" w:rsidRPr="00206AE1" w:rsidRDefault="007173B2">
            <w:pPr>
              <w:pStyle w:val="Normal1"/>
              <w:contextualSpacing w:val="0"/>
              <w:rPr>
                <w:sz w:val="20"/>
                <w:szCs w:val="20"/>
              </w:rPr>
            </w:pPr>
            <w:r w:rsidRPr="00206AE1">
              <w:rPr>
                <w:sz w:val="20"/>
                <w:szCs w:val="20"/>
                <w:highlight w:val="white"/>
              </w:rPr>
              <w:t>Thermostat uses a humidity sensor to optimize HVAC operation.</w:t>
            </w:r>
          </w:p>
        </w:tc>
      </w:tr>
      <w:tr w:rsidR="00576C8C" w14:paraId="52672043" w14:textId="77777777">
        <w:tc>
          <w:tcPr>
            <w:tcW w:w="2625" w:type="dxa"/>
            <w:tcBorders>
              <w:left w:val="single" w:sz="8" w:space="0" w:color="000000"/>
              <w:bottom w:val="single" w:sz="8" w:space="0" w:color="000000"/>
              <w:right w:val="single" w:sz="8" w:space="0" w:color="000000"/>
            </w:tcBorders>
            <w:shd w:val="clear" w:color="auto" w:fill="FFFFFF"/>
            <w:tcMar>
              <w:top w:w="100" w:type="dxa"/>
              <w:left w:w="100" w:type="dxa"/>
              <w:bottom w:w="100" w:type="dxa"/>
              <w:right w:w="100" w:type="dxa"/>
            </w:tcMar>
          </w:tcPr>
          <w:p w14:paraId="1F26A36B" w14:textId="77777777" w:rsidR="00576C8C" w:rsidRPr="00206AE1" w:rsidRDefault="007173B2">
            <w:pPr>
              <w:pStyle w:val="Normal1"/>
              <w:contextualSpacing w:val="0"/>
              <w:rPr>
                <w:sz w:val="20"/>
                <w:szCs w:val="20"/>
              </w:rPr>
            </w:pPr>
            <w:r w:rsidRPr="00206AE1">
              <w:rPr>
                <w:sz w:val="20"/>
                <w:szCs w:val="20"/>
                <w:highlight w:val="white"/>
              </w:rPr>
              <w:t>Weather-enabled optimization</w:t>
            </w:r>
          </w:p>
        </w:tc>
        <w:tc>
          <w:tcPr>
            <w:tcW w:w="7125" w:type="dxa"/>
            <w:tcBorders>
              <w:bottom w:val="single" w:sz="8" w:space="0" w:color="000000"/>
              <w:right w:val="single" w:sz="8" w:space="0" w:color="000000"/>
            </w:tcBorders>
            <w:shd w:val="clear" w:color="auto" w:fill="FFFFFF"/>
            <w:tcMar>
              <w:top w:w="100" w:type="dxa"/>
              <w:left w:w="100" w:type="dxa"/>
              <w:bottom w:w="100" w:type="dxa"/>
              <w:right w:w="100" w:type="dxa"/>
            </w:tcMar>
          </w:tcPr>
          <w:p w14:paraId="2857FBE4" w14:textId="77777777" w:rsidR="00576C8C" w:rsidRPr="00206AE1" w:rsidRDefault="007173B2">
            <w:pPr>
              <w:pStyle w:val="Normal1"/>
              <w:contextualSpacing w:val="0"/>
              <w:rPr>
                <w:sz w:val="20"/>
                <w:szCs w:val="20"/>
              </w:rPr>
            </w:pPr>
            <w:r w:rsidRPr="00206AE1">
              <w:rPr>
                <w:sz w:val="20"/>
                <w:szCs w:val="20"/>
                <w:highlight w:val="white"/>
              </w:rPr>
              <w:t>Thermostat uses weather predictions and weather data to optimize the HVAC system.</w:t>
            </w:r>
          </w:p>
        </w:tc>
      </w:tr>
      <w:tr w:rsidR="00576C8C" w14:paraId="564AB16C" w14:textId="77777777">
        <w:tc>
          <w:tcPr>
            <w:tcW w:w="2625" w:type="dxa"/>
            <w:tcBorders>
              <w:left w:val="single" w:sz="8" w:space="0" w:color="000000"/>
              <w:bottom w:val="single" w:sz="8" w:space="0" w:color="000000"/>
              <w:right w:val="single" w:sz="8" w:space="0" w:color="000000"/>
            </w:tcBorders>
            <w:shd w:val="clear" w:color="auto" w:fill="FFFFFF"/>
            <w:tcMar>
              <w:top w:w="100" w:type="dxa"/>
              <w:left w:w="100" w:type="dxa"/>
              <w:bottom w:w="100" w:type="dxa"/>
              <w:right w:w="100" w:type="dxa"/>
            </w:tcMar>
          </w:tcPr>
          <w:p w14:paraId="594D7A4A" w14:textId="77777777" w:rsidR="00576C8C" w:rsidRPr="00206AE1" w:rsidRDefault="007173B2">
            <w:pPr>
              <w:pStyle w:val="Normal1"/>
              <w:contextualSpacing w:val="0"/>
              <w:rPr>
                <w:sz w:val="20"/>
                <w:szCs w:val="20"/>
              </w:rPr>
            </w:pPr>
            <w:r w:rsidRPr="00206AE1">
              <w:rPr>
                <w:sz w:val="20"/>
                <w:szCs w:val="20"/>
                <w:highlight w:val="white"/>
              </w:rPr>
              <w:t>Free cooling / economizer capability</w:t>
            </w:r>
          </w:p>
        </w:tc>
        <w:tc>
          <w:tcPr>
            <w:tcW w:w="7125" w:type="dxa"/>
            <w:tcBorders>
              <w:bottom w:val="single" w:sz="8" w:space="0" w:color="000000"/>
              <w:right w:val="single" w:sz="8" w:space="0" w:color="000000"/>
            </w:tcBorders>
            <w:shd w:val="clear" w:color="auto" w:fill="FFFFFF"/>
            <w:tcMar>
              <w:top w:w="100" w:type="dxa"/>
              <w:left w:w="100" w:type="dxa"/>
              <w:bottom w:w="100" w:type="dxa"/>
              <w:right w:w="100" w:type="dxa"/>
            </w:tcMar>
          </w:tcPr>
          <w:p w14:paraId="0C593B75" w14:textId="77777777" w:rsidR="00576C8C" w:rsidRPr="00206AE1" w:rsidRDefault="007173B2">
            <w:pPr>
              <w:pStyle w:val="Normal1"/>
              <w:contextualSpacing w:val="0"/>
              <w:rPr>
                <w:sz w:val="20"/>
                <w:szCs w:val="20"/>
              </w:rPr>
            </w:pPr>
            <w:r w:rsidRPr="00206AE1">
              <w:rPr>
                <w:sz w:val="20"/>
                <w:szCs w:val="20"/>
                <w:highlight w:val="white"/>
              </w:rPr>
              <w:t>Thermostat recognizes the indoor/outdoor temperature difference and uses the outside air instead of the air conditioner or heating system to cool or heat the home when possible.</w:t>
            </w:r>
          </w:p>
        </w:tc>
      </w:tr>
    </w:tbl>
    <w:p w14:paraId="3A9CAD8C" w14:textId="77777777" w:rsidR="00576C8C" w:rsidRDefault="00635CB2">
      <w:pPr>
        <w:pStyle w:val="Normal1"/>
      </w:pPr>
      <w:r>
        <w:pict w14:anchorId="76B9EA6E">
          <v:rect id="_x0000_i1025" style="width:0;height:1.5pt" o:hralign="center" o:hrstd="t" o:hr="t" fillcolor="#a0a0a0" stroked="f"/>
        </w:pict>
      </w:r>
    </w:p>
    <w:p w14:paraId="27BA9BF1" w14:textId="77777777" w:rsidR="00576C8C" w:rsidRPr="00666E20" w:rsidRDefault="007173B2">
      <w:pPr>
        <w:pStyle w:val="Normal1"/>
        <w:rPr>
          <w:sz w:val="16"/>
          <w:szCs w:val="16"/>
        </w:rPr>
      </w:pPr>
      <w:r w:rsidRPr="00666E20">
        <w:rPr>
          <w:sz w:val="16"/>
          <w:szCs w:val="16"/>
        </w:rPr>
        <w:t>[1] In addition to the features listed, smart thermostats typically have easy-to-use set point scheduling, fan dissipation, and behavioral features. Fan dissipation enables compressors or heaters to turn off early, while the fan continues to run and condition the home with air in the duct system that is still cold or warm. Also, smart thermostats often have behavioral features such as default or recommended setback temperatures, and energy scorecards.</w:t>
      </w:r>
    </w:p>
    <w:p w14:paraId="3CFD3C5A" w14:textId="356F141F" w:rsidR="00576C8C" w:rsidRPr="00903478" w:rsidRDefault="007173B2">
      <w:pPr>
        <w:pStyle w:val="Heading2"/>
        <w:rPr>
          <w:color w:val="FF0000"/>
        </w:rPr>
      </w:pPr>
      <w:r>
        <w:rPr>
          <w:rFonts w:ascii="Calibri" w:eastAsia="Calibri" w:hAnsi="Calibri" w:cs="Calibri"/>
        </w:rPr>
        <w:t xml:space="preserve">1.3 Installation Types and Delivery Mechanisms </w:t>
      </w:r>
    </w:p>
    <w:p w14:paraId="5A010D54" w14:textId="77777777" w:rsidR="00576C8C" w:rsidRDefault="007173B2">
      <w:pPr>
        <w:pStyle w:val="Normal1"/>
      </w:pPr>
      <w:r>
        <w:rPr>
          <w:b/>
        </w:rPr>
        <w:t>Installation Type Descriptions</w:t>
      </w:r>
    </w:p>
    <w:tbl>
      <w:tblPr>
        <w:tblStyle w:val="a6"/>
        <w:tblW w:w="9576" w:type="dxa"/>
        <w:tblInd w:w="-2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406"/>
        <w:gridCol w:w="2120"/>
        <w:gridCol w:w="2122"/>
        <w:gridCol w:w="921"/>
        <w:gridCol w:w="1007"/>
      </w:tblGrid>
      <w:tr w:rsidR="00576C8C" w:rsidRPr="00206AE1" w14:paraId="29FE49DD" w14:textId="77777777">
        <w:trPr>
          <w:trHeight w:val="20"/>
        </w:trPr>
        <w:tc>
          <w:tcPr>
            <w:tcW w:w="3406" w:type="dxa"/>
            <w:vMerge w:val="restart"/>
            <w:shd w:val="clear" w:color="auto" w:fill="D9D9D9"/>
          </w:tcPr>
          <w:p w14:paraId="7569380A" w14:textId="77777777" w:rsidR="00576C8C" w:rsidRPr="00206AE1" w:rsidRDefault="007173B2">
            <w:pPr>
              <w:pStyle w:val="Normal1"/>
              <w:contextualSpacing w:val="0"/>
            </w:pPr>
            <w:r w:rsidRPr="00206AE1">
              <w:rPr>
                <w:b/>
              </w:rPr>
              <w:t>Installation Type</w:t>
            </w:r>
          </w:p>
        </w:tc>
        <w:tc>
          <w:tcPr>
            <w:tcW w:w="4242" w:type="dxa"/>
            <w:gridSpan w:val="2"/>
            <w:shd w:val="clear" w:color="auto" w:fill="D9D9D9"/>
          </w:tcPr>
          <w:p w14:paraId="6097C062" w14:textId="77777777" w:rsidR="00576C8C" w:rsidRPr="00206AE1" w:rsidRDefault="007173B2">
            <w:pPr>
              <w:pStyle w:val="Normal1"/>
              <w:contextualSpacing w:val="0"/>
            </w:pPr>
            <w:r w:rsidRPr="00206AE1">
              <w:rPr>
                <w:b/>
              </w:rPr>
              <w:t>Savings</w:t>
            </w:r>
          </w:p>
        </w:tc>
        <w:tc>
          <w:tcPr>
            <w:tcW w:w="1928" w:type="dxa"/>
            <w:gridSpan w:val="2"/>
            <w:shd w:val="clear" w:color="auto" w:fill="D9D9D9"/>
          </w:tcPr>
          <w:p w14:paraId="38BC470B" w14:textId="77777777" w:rsidR="00576C8C" w:rsidRPr="00206AE1" w:rsidRDefault="007173B2">
            <w:pPr>
              <w:pStyle w:val="Normal1"/>
              <w:contextualSpacing w:val="0"/>
            </w:pPr>
            <w:r w:rsidRPr="00206AE1">
              <w:rPr>
                <w:b/>
              </w:rPr>
              <w:t>Life</w:t>
            </w:r>
          </w:p>
        </w:tc>
      </w:tr>
      <w:tr w:rsidR="00576C8C" w:rsidRPr="00206AE1" w14:paraId="79DCDF06" w14:textId="77777777">
        <w:trPr>
          <w:trHeight w:val="20"/>
        </w:trPr>
        <w:tc>
          <w:tcPr>
            <w:tcW w:w="3406" w:type="dxa"/>
            <w:vMerge/>
            <w:shd w:val="clear" w:color="auto" w:fill="D9D9D9"/>
          </w:tcPr>
          <w:p w14:paraId="1B646719" w14:textId="77777777" w:rsidR="00576C8C" w:rsidRPr="00206AE1" w:rsidRDefault="00576C8C">
            <w:pPr>
              <w:pStyle w:val="Normal1"/>
              <w:contextualSpacing w:val="0"/>
            </w:pPr>
          </w:p>
        </w:tc>
        <w:tc>
          <w:tcPr>
            <w:tcW w:w="2120" w:type="dxa"/>
            <w:shd w:val="clear" w:color="auto" w:fill="F2F2F2"/>
          </w:tcPr>
          <w:p w14:paraId="75D3EC51" w14:textId="77777777" w:rsidR="00576C8C" w:rsidRPr="00206AE1" w:rsidRDefault="007173B2">
            <w:pPr>
              <w:pStyle w:val="Normal1"/>
              <w:contextualSpacing w:val="0"/>
            </w:pPr>
            <w:r w:rsidRPr="00206AE1">
              <w:t>1</w:t>
            </w:r>
            <w:r w:rsidRPr="00206AE1">
              <w:rPr>
                <w:vertAlign w:val="superscript"/>
              </w:rPr>
              <w:t>st</w:t>
            </w:r>
            <w:r w:rsidRPr="00206AE1">
              <w:t xml:space="preserve"> Baseline (BL)</w:t>
            </w:r>
          </w:p>
        </w:tc>
        <w:tc>
          <w:tcPr>
            <w:tcW w:w="2122" w:type="dxa"/>
            <w:shd w:val="clear" w:color="auto" w:fill="F2F2F2"/>
          </w:tcPr>
          <w:p w14:paraId="5E1DCF24" w14:textId="77777777" w:rsidR="00576C8C" w:rsidRPr="00206AE1" w:rsidRDefault="007173B2">
            <w:pPr>
              <w:pStyle w:val="Normal1"/>
              <w:contextualSpacing w:val="0"/>
            </w:pPr>
            <w:r w:rsidRPr="00206AE1">
              <w:t>2</w:t>
            </w:r>
            <w:r w:rsidRPr="00206AE1">
              <w:rPr>
                <w:vertAlign w:val="superscript"/>
              </w:rPr>
              <w:t>nd</w:t>
            </w:r>
            <w:r w:rsidRPr="00206AE1">
              <w:t xml:space="preserve"> BL</w:t>
            </w:r>
          </w:p>
        </w:tc>
        <w:tc>
          <w:tcPr>
            <w:tcW w:w="921" w:type="dxa"/>
            <w:shd w:val="clear" w:color="auto" w:fill="F2F2F2"/>
          </w:tcPr>
          <w:p w14:paraId="38A091B0" w14:textId="77777777" w:rsidR="00576C8C" w:rsidRPr="00206AE1" w:rsidRDefault="007173B2">
            <w:pPr>
              <w:pStyle w:val="Normal1"/>
              <w:contextualSpacing w:val="0"/>
            </w:pPr>
            <w:r w:rsidRPr="00206AE1">
              <w:t>1</w:t>
            </w:r>
            <w:r w:rsidRPr="00206AE1">
              <w:rPr>
                <w:vertAlign w:val="superscript"/>
              </w:rPr>
              <w:t>st</w:t>
            </w:r>
            <w:r w:rsidRPr="00206AE1">
              <w:t xml:space="preserve"> BL</w:t>
            </w:r>
          </w:p>
        </w:tc>
        <w:tc>
          <w:tcPr>
            <w:tcW w:w="1007" w:type="dxa"/>
            <w:shd w:val="clear" w:color="auto" w:fill="F2F2F2"/>
          </w:tcPr>
          <w:p w14:paraId="0301DF36" w14:textId="77777777" w:rsidR="00576C8C" w:rsidRPr="00206AE1" w:rsidRDefault="007173B2">
            <w:pPr>
              <w:pStyle w:val="Normal1"/>
              <w:contextualSpacing w:val="0"/>
            </w:pPr>
            <w:r w:rsidRPr="00206AE1">
              <w:t>2</w:t>
            </w:r>
            <w:r w:rsidRPr="00206AE1">
              <w:rPr>
                <w:vertAlign w:val="superscript"/>
              </w:rPr>
              <w:t>nd</w:t>
            </w:r>
            <w:r w:rsidRPr="00206AE1">
              <w:t xml:space="preserve"> BL</w:t>
            </w:r>
          </w:p>
        </w:tc>
      </w:tr>
      <w:tr w:rsidR="003F30E2" w:rsidRPr="00206AE1" w14:paraId="4E236926" w14:textId="77777777">
        <w:trPr>
          <w:trHeight w:val="20"/>
        </w:trPr>
        <w:tc>
          <w:tcPr>
            <w:tcW w:w="3406" w:type="dxa"/>
          </w:tcPr>
          <w:p w14:paraId="2964E32B" w14:textId="571BC6F2" w:rsidR="003F30E2" w:rsidRPr="00206AE1" w:rsidRDefault="003F30E2">
            <w:pPr>
              <w:pStyle w:val="Normal1"/>
              <w:contextualSpacing w:val="0"/>
            </w:pPr>
            <w:r w:rsidRPr="00206AE1">
              <w:t>Replace on Burnout</w:t>
            </w:r>
            <w:r w:rsidR="00644BBE">
              <w:t xml:space="preserve"> (ROB)</w:t>
            </w:r>
          </w:p>
        </w:tc>
        <w:tc>
          <w:tcPr>
            <w:tcW w:w="2120" w:type="dxa"/>
          </w:tcPr>
          <w:p w14:paraId="1E6BA816" w14:textId="0B84C513" w:rsidR="003F30E2" w:rsidRPr="00206AE1" w:rsidRDefault="003F30E2">
            <w:pPr>
              <w:pStyle w:val="Normal1"/>
              <w:contextualSpacing w:val="0"/>
            </w:pPr>
            <w:r w:rsidRPr="00206AE1">
              <w:t>Above Customer Existing</w:t>
            </w:r>
          </w:p>
        </w:tc>
        <w:tc>
          <w:tcPr>
            <w:tcW w:w="2122" w:type="dxa"/>
          </w:tcPr>
          <w:p w14:paraId="231C2810" w14:textId="6784D974" w:rsidR="003F30E2" w:rsidRPr="00206AE1" w:rsidRDefault="003F30E2">
            <w:pPr>
              <w:pStyle w:val="Normal1"/>
              <w:contextualSpacing w:val="0"/>
            </w:pPr>
            <w:r w:rsidRPr="00206AE1">
              <w:t>-</w:t>
            </w:r>
          </w:p>
        </w:tc>
        <w:tc>
          <w:tcPr>
            <w:tcW w:w="921" w:type="dxa"/>
          </w:tcPr>
          <w:p w14:paraId="0A39C003" w14:textId="3D8DD459" w:rsidR="003F30E2" w:rsidRPr="00206AE1" w:rsidRDefault="00506F40">
            <w:pPr>
              <w:pStyle w:val="Normal1"/>
              <w:contextualSpacing w:val="0"/>
            </w:pPr>
            <w:r w:rsidRPr="00206AE1">
              <w:t>EUL</w:t>
            </w:r>
          </w:p>
        </w:tc>
        <w:tc>
          <w:tcPr>
            <w:tcW w:w="1007" w:type="dxa"/>
          </w:tcPr>
          <w:p w14:paraId="6487F087" w14:textId="05181EAC" w:rsidR="003F30E2" w:rsidRPr="00206AE1" w:rsidRDefault="00506F40">
            <w:pPr>
              <w:pStyle w:val="Normal1"/>
              <w:contextualSpacing w:val="0"/>
            </w:pPr>
            <w:r w:rsidRPr="00206AE1">
              <w:t>-</w:t>
            </w:r>
          </w:p>
        </w:tc>
      </w:tr>
      <w:tr w:rsidR="003F30E2" w:rsidRPr="00206AE1" w14:paraId="000677B1" w14:textId="77777777">
        <w:trPr>
          <w:trHeight w:val="20"/>
        </w:trPr>
        <w:tc>
          <w:tcPr>
            <w:tcW w:w="3406" w:type="dxa"/>
          </w:tcPr>
          <w:p w14:paraId="09655D25" w14:textId="47AFC8FB" w:rsidR="003F30E2" w:rsidRPr="00206AE1" w:rsidRDefault="003F30E2">
            <w:pPr>
              <w:pStyle w:val="Normal1"/>
            </w:pPr>
            <w:r w:rsidRPr="00206AE1">
              <w:t>Retrofit or Early Replacement (RET/ER)*</w:t>
            </w:r>
          </w:p>
        </w:tc>
        <w:tc>
          <w:tcPr>
            <w:tcW w:w="2120" w:type="dxa"/>
          </w:tcPr>
          <w:p w14:paraId="10B312B6" w14:textId="3DBE332E" w:rsidR="003F30E2" w:rsidRPr="00206AE1" w:rsidRDefault="003F30E2">
            <w:pPr>
              <w:pStyle w:val="Normal1"/>
            </w:pPr>
            <w:r w:rsidRPr="00206AE1">
              <w:t>Above Customer Existing</w:t>
            </w:r>
          </w:p>
        </w:tc>
        <w:tc>
          <w:tcPr>
            <w:tcW w:w="2122" w:type="dxa"/>
          </w:tcPr>
          <w:p w14:paraId="40E1816C" w14:textId="44BE3810" w:rsidR="003F30E2" w:rsidRPr="00206AE1" w:rsidRDefault="003F30E2">
            <w:pPr>
              <w:pStyle w:val="Normal1"/>
            </w:pPr>
            <w:r w:rsidRPr="00206AE1">
              <w:t>Above Code or Standard</w:t>
            </w:r>
          </w:p>
        </w:tc>
        <w:tc>
          <w:tcPr>
            <w:tcW w:w="921" w:type="dxa"/>
          </w:tcPr>
          <w:p w14:paraId="262ED3A5" w14:textId="50799B2C" w:rsidR="003F30E2" w:rsidRPr="00206AE1" w:rsidRDefault="003F30E2">
            <w:pPr>
              <w:pStyle w:val="Normal1"/>
            </w:pPr>
            <w:r w:rsidRPr="00206AE1">
              <w:t>RUL</w:t>
            </w:r>
          </w:p>
        </w:tc>
        <w:tc>
          <w:tcPr>
            <w:tcW w:w="1007" w:type="dxa"/>
          </w:tcPr>
          <w:p w14:paraId="6D7A1863" w14:textId="6442CD42" w:rsidR="003F30E2" w:rsidRPr="00206AE1" w:rsidRDefault="003F30E2">
            <w:pPr>
              <w:pStyle w:val="Normal1"/>
            </w:pPr>
            <w:r w:rsidRPr="00206AE1">
              <w:t>EUL-RUL</w:t>
            </w:r>
          </w:p>
        </w:tc>
      </w:tr>
    </w:tbl>
    <w:p w14:paraId="2627DFB1" w14:textId="77777777" w:rsidR="00247A2E" w:rsidRDefault="00247A2E">
      <w:pPr>
        <w:pStyle w:val="Normal1"/>
        <w:spacing w:before="40" w:after="40"/>
      </w:pPr>
    </w:p>
    <w:p w14:paraId="051EAF67" w14:textId="77777777" w:rsidR="00576C8C" w:rsidRDefault="007173B2">
      <w:pPr>
        <w:pStyle w:val="Normal1"/>
        <w:spacing w:before="40" w:after="40"/>
      </w:pPr>
      <w:r>
        <w:t>A delivery mechanism is a delivery method paired with an incentive method. Delivery mechanisms are used by programs to obtain program participation and energy savings.</w:t>
      </w:r>
    </w:p>
    <w:p w14:paraId="789AB699" w14:textId="77777777" w:rsidR="00CB6F02" w:rsidRDefault="00CB6F02">
      <w:pPr>
        <w:pStyle w:val="Normal1"/>
        <w:spacing w:before="40" w:after="40"/>
      </w:pPr>
    </w:p>
    <w:p w14:paraId="02910F62" w14:textId="740CF646" w:rsidR="00CB6F02" w:rsidRDefault="00CB6F02" w:rsidP="00CB6F02">
      <w:pPr>
        <w:rPr>
          <w:rFonts w:eastAsia="Times New Roman" w:cs="Times New Roman"/>
          <w:shd w:val="clear" w:color="auto" w:fill="FFFFFF"/>
        </w:rPr>
      </w:pPr>
      <w:r w:rsidRPr="00ED0B6F">
        <w:rPr>
          <w:rFonts w:eastAsia="Times New Roman" w:cs="Times New Roman"/>
          <w:shd w:val="clear" w:color="auto" w:fill="FFFFFF"/>
        </w:rPr>
        <w:t>Early Retirement (ER)/Retrofit (RET) - In this delivery approach, units (thermostats) that are still functional, but needing replacement will be retired prematurely before reaching the end of their useful life.  The program will</w:t>
      </w:r>
      <w:r w:rsidR="00ED0B6F">
        <w:rPr>
          <w:rFonts w:eastAsia="Times New Roman" w:cs="Times New Roman"/>
          <w:shd w:val="clear" w:color="auto" w:fill="FFFFFF"/>
        </w:rPr>
        <w:t xml:space="preserve"> provide incentives to the home</w:t>
      </w:r>
      <w:r w:rsidRPr="00ED0B6F">
        <w:rPr>
          <w:rFonts w:eastAsia="Times New Roman" w:cs="Times New Roman"/>
          <w:shd w:val="clear" w:color="auto" w:fill="FFFFFF"/>
        </w:rPr>
        <w:t>owner (custo</w:t>
      </w:r>
      <w:r w:rsidR="004261FF">
        <w:rPr>
          <w:rFonts w:eastAsia="Times New Roman" w:cs="Times New Roman"/>
          <w:shd w:val="clear" w:color="auto" w:fill="FFFFFF"/>
        </w:rPr>
        <w:t>mer) via Down-Stream or</w:t>
      </w:r>
      <w:r w:rsidR="009F652E">
        <w:rPr>
          <w:rFonts w:eastAsia="Times New Roman" w:cs="Times New Roman"/>
          <w:shd w:val="clear" w:color="auto" w:fill="FFFFFF"/>
        </w:rPr>
        <w:t xml:space="preserve"> </w:t>
      </w:r>
      <w:r w:rsidRPr="00ED0B6F">
        <w:rPr>
          <w:rFonts w:eastAsia="Times New Roman" w:cs="Times New Roman"/>
          <w:shd w:val="clear" w:color="auto" w:fill="FFFFFF"/>
        </w:rPr>
        <w:t>Direct Install incentive mechanisms.  Part of the application process will include verification procedures for ensuring that existing HVAC controlling thermostats are installed and operational and currently controlling existing HVAC equipment</w:t>
      </w:r>
      <w:r w:rsidR="004261FF">
        <w:rPr>
          <w:rFonts w:eastAsia="Times New Roman" w:cs="Times New Roman"/>
          <w:shd w:val="clear" w:color="auto" w:fill="FFFFFF"/>
        </w:rPr>
        <w:t>.</w:t>
      </w:r>
    </w:p>
    <w:p w14:paraId="343A38C9" w14:textId="77777777" w:rsidR="00662C95" w:rsidRDefault="00662C95" w:rsidP="00CB6F02">
      <w:pPr>
        <w:rPr>
          <w:rFonts w:eastAsia="Times New Roman" w:cs="Times New Roman"/>
          <w:shd w:val="clear" w:color="auto" w:fill="FFFFFF"/>
        </w:rPr>
      </w:pPr>
    </w:p>
    <w:p w14:paraId="38A13F1A" w14:textId="7FF917C6" w:rsidR="00662C95" w:rsidRPr="00640FCF" w:rsidRDefault="00662C95" w:rsidP="00CB6F02">
      <w:pPr>
        <w:rPr>
          <w:rFonts w:eastAsia="Times New Roman" w:cs="Times New Roman"/>
          <w:color w:val="auto"/>
        </w:rPr>
      </w:pPr>
      <w:r w:rsidRPr="00640FCF">
        <w:rPr>
          <w:rFonts w:eastAsia="Times New Roman" w:cs="Times New Roman"/>
          <w:color w:val="auto"/>
          <w:shd w:val="clear" w:color="auto" w:fill="FFFFFF"/>
        </w:rPr>
        <w:t xml:space="preserve">Note that Resolution E-4818, which focus on measure level baseline assignment and preponderance of evidence guidance to establish eligibility for an accelerated replacement baseline treatment, </w:t>
      </w:r>
      <w:r w:rsidR="00644BBE" w:rsidRPr="00640FCF">
        <w:rPr>
          <w:rFonts w:eastAsia="Times New Roman" w:cs="Times New Roman"/>
          <w:color w:val="auto"/>
          <w:shd w:val="clear" w:color="auto" w:fill="FFFFFF"/>
        </w:rPr>
        <w:t xml:space="preserve">and </w:t>
      </w:r>
      <w:r w:rsidRPr="00640FCF">
        <w:rPr>
          <w:rFonts w:eastAsia="Times New Roman" w:cs="Times New Roman"/>
          <w:color w:val="auto"/>
          <w:shd w:val="clear" w:color="auto" w:fill="FFFFFF"/>
        </w:rPr>
        <w:t xml:space="preserve">dated March 02, 2017, permits the Program Administrators to apply a </w:t>
      </w:r>
      <w:r w:rsidRPr="00640FCF">
        <w:rPr>
          <w:rFonts w:eastAsia="Times New Roman" w:cs="Times New Roman"/>
          <w:color w:val="auto"/>
          <w:shd w:val="clear" w:color="auto" w:fill="FFFFFF"/>
        </w:rPr>
        <w:lastRenderedPageBreak/>
        <w:t>normal replacement baseline to any measure or program, regardless of the default category, and without a burden of proof.</w:t>
      </w:r>
    </w:p>
    <w:p w14:paraId="053BC628" w14:textId="77777777" w:rsidR="00576C8C" w:rsidRDefault="00576C8C">
      <w:pPr>
        <w:pStyle w:val="Normal1"/>
      </w:pPr>
    </w:p>
    <w:p w14:paraId="612DA7CC" w14:textId="18787DB5" w:rsidR="00576C8C" w:rsidRDefault="00351B0D">
      <w:pPr>
        <w:pStyle w:val="Normal1"/>
      </w:pPr>
      <w:r>
        <w:rPr>
          <w:b/>
        </w:rPr>
        <w:t xml:space="preserve">Incentive </w:t>
      </w:r>
      <w:r w:rsidR="007173B2">
        <w:rPr>
          <w:b/>
        </w:rPr>
        <w:t>Method Descriptions</w:t>
      </w:r>
      <w:r w:rsidR="00DC07C6">
        <w:rPr>
          <w:b/>
        </w:rPr>
        <w:t xml:space="preserve"> </w:t>
      </w:r>
    </w:p>
    <w:tbl>
      <w:tblPr>
        <w:tblStyle w:val="a7"/>
        <w:tblW w:w="9576" w:type="dxa"/>
        <w:tblInd w:w="-2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484"/>
        <w:gridCol w:w="7092"/>
      </w:tblGrid>
      <w:tr w:rsidR="00576C8C" w:rsidRPr="00206AE1" w14:paraId="31B980BA" w14:textId="77777777">
        <w:tc>
          <w:tcPr>
            <w:tcW w:w="2484" w:type="dxa"/>
            <w:shd w:val="clear" w:color="auto" w:fill="D9D9D9"/>
          </w:tcPr>
          <w:p w14:paraId="2F8B30F3" w14:textId="2E559986" w:rsidR="00576C8C" w:rsidRPr="00206AE1" w:rsidRDefault="00351B0D">
            <w:pPr>
              <w:pStyle w:val="Normal1"/>
              <w:contextualSpacing w:val="0"/>
            </w:pPr>
            <w:r w:rsidRPr="00206AE1">
              <w:rPr>
                <w:b/>
              </w:rPr>
              <w:t xml:space="preserve">Incentive </w:t>
            </w:r>
            <w:r w:rsidR="007173B2" w:rsidRPr="00206AE1">
              <w:rPr>
                <w:b/>
              </w:rPr>
              <w:t>Method</w:t>
            </w:r>
          </w:p>
        </w:tc>
        <w:tc>
          <w:tcPr>
            <w:tcW w:w="7092" w:type="dxa"/>
            <w:shd w:val="clear" w:color="auto" w:fill="D9D9D9"/>
          </w:tcPr>
          <w:p w14:paraId="09E1AD14" w14:textId="77777777" w:rsidR="00576C8C" w:rsidRPr="00206AE1" w:rsidRDefault="007173B2">
            <w:pPr>
              <w:pStyle w:val="Normal1"/>
              <w:contextualSpacing w:val="0"/>
            </w:pPr>
            <w:r w:rsidRPr="00206AE1">
              <w:rPr>
                <w:b/>
              </w:rPr>
              <w:t>Description</w:t>
            </w:r>
          </w:p>
        </w:tc>
      </w:tr>
      <w:tr w:rsidR="00576C8C" w:rsidRPr="00206AE1" w14:paraId="74C15880" w14:textId="77777777">
        <w:tc>
          <w:tcPr>
            <w:tcW w:w="2484" w:type="dxa"/>
          </w:tcPr>
          <w:p w14:paraId="348C3CB5" w14:textId="77777777" w:rsidR="00576C8C" w:rsidRPr="00206AE1" w:rsidRDefault="007173B2">
            <w:pPr>
              <w:pStyle w:val="Normal1"/>
              <w:contextualSpacing w:val="0"/>
            </w:pPr>
            <w:r w:rsidRPr="00206AE1">
              <w:t>Financial Support</w:t>
            </w:r>
          </w:p>
        </w:tc>
        <w:tc>
          <w:tcPr>
            <w:tcW w:w="7092" w:type="dxa"/>
          </w:tcPr>
          <w:p w14:paraId="0301BD21" w14:textId="77777777" w:rsidR="00576C8C" w:rsidRPr="00206AE1" w:rsidRDefault="007173B2">
            <w:pPr>
              <w:pStyle w:val="Normal1"/>
              <w:contextualSpacing w:val="0"/>
            </w:pPr>
            <w:r w:rsidRPr="00206AE1">
              <w:t>The program motivates customers, through financial incentives such as rebates or low interest loans, to implement energy efficient measures or projects.</w:t>
            </w:r>
          </w:p>
        </w:tc>
      </w:tr>
    </w:tbl>
    <w:p w14:paraId="386D2B93" w14:textId="77777777" w:rsidR="00576C8C" w:rsidRDefault="00576C8C">
      <w:pPr>
        <w:pStyle w:val="Normal1"/>
      </w:pPr>
    </w:p>
    <w:p w14:paraId="4F2D87BC" w14:textId="24EF83B5" w:rsidR="00576C8C" w:rsidRDefault="00351B0D">
      <w:pPr>
        <w:pStyle w:val="Normal1"/>
      </w:pPr>
      <w:r>
        <w:rPr>
          <w:b/>
        </w:rPr>
        <w:t xml:space="preserve">Delivery </w:t>
      </w:r>
      <w:r w:rsidR="007173B2">
        <w:rPr>
          <w:b/>
        </w:rPr>
        <w:t>Method Descriptions</w:t>
      </w:r>
    </w:p>
    <w:tbl>
      <w:tblPr>
        <w:tblStyle w:val="a8"/>
        <w:tblW w:w="9576" w:type="dxa"/>
        <w:tblInd w:w="-2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484"/>
        <w:gridCol w:w="7092"/>
      </w:tblGrid>
      <w:tr w:rsidR="00576C8C" w:rsidRPr="00206AE1" w14:paraId="532A8116" w14:textId="77777777">
        <w:tc>
          <w:tcPr>
            <w:tcW w:w="2484" w:type="dxa"/>
            <w:shd w:val="clear" w:color="auto" w:fill="D9D9D9"/>
          </w:tcPr>
          <w:p w14:paraId="20BD0F44" w14:textId="139C86AB" w:rsidR="00576C8C" w:rsidRPr="00206AE1" w:rsidRDefault="00351B0D">
            <w:pPr>
              <w:pStyle w:val="Normal1"/>
              <w:contextualSpacing w:val="0"/>
            </w:pPr>
            <w:r w:rsidRPr="00206AE1">
              <w:rPr>
                <w:b/>
              </w:rPr>
              <w:t xml:space="preserve">Delivery </w:t>
            </w:r>
            <w:r w:rsidR="007173B2" w:rsidRPr="00206AE1">
              <w:rPr>
                <w:b/>
              </w:rPr>
              <w:t>Method</w:t>
            </w:r>
          </w:p>
        </w:tc>
        <w:tc>
          <w:tcPr>
            <w:tcW w:w="7092" w:type="dxa"/>
            <w:shd w:val="clear" w:color="auto" w:fill="D9D9D9"/>
          </w:tcPr>
          <w:p w14:paraId="0FFF60A0" w14:textId="77777777" w:rsidR="00576C8C" w:rsidRPr="00206AE1" w:rsidRDefault="007173B2">
            <w:pPr>
              <w:pStyle w:val="Normal1"/>
              <w:contextualSpacing w:val="0"/>
            </w:pPr>
            <w:r w:rsidRPr="00206AE1">
              <w:rPr>
                <w:b/>
              </w:rPr>
              <w:t>Description</w:t>
            </w:r>
          </w:p>
        </w:tc>
      </w:tr>
      <w:tr w:rsidR="00576C8C" w:rsidRPr="00206AE1" w14:paraId="7BC7FDBE" w14:textId="77777777">
        <w:tc>
          <w:tcPr>
            <w:tcW w:w="2484" w:type="dxa"/>
          </w:tcPr>
          <w:p w14:paraId="20A71438" w14:textId="77777777" w:rsidR="00576C8C" w:rsidRPr="00206AE1" w:rsidRDefault="007173B2">
            <w:pPr>
              <w:pStyle w:val="Normal1"/>
              <w:contextualSpacing w:val="0"/>
            </w:pPr>
            <w:r w:rsidRPr="00206AE1">
              <w:t>Downstream Incentive</w:t>
            </w:r>
          </w:p>
        </w:tc>
        <w:tc>
          <w:tcPr>
            <w:tcW w:w="7092" w:type="dxa"/>
          </w:tcPr>
          <w:p w14:paraId="44BF590C" w14:textId="77777777" w:rsidR="00576C8C" w:rsidRPr="00206AE1" w:rsidRDefault="007173B2">
            <w:pPr>
              <w:pStyle w:val="Normal1"/>
              <w:contextualSpacing w:val="0"/>
            </w:pPr>
            <w:r w:rsidRPr="00206AE1">
              <w:t>The customer installs qualifying energy efficient equipment and submits an incentive application to the utility program. Upon application approval, the utility program pays an incentive to the customer. Such an incentive may be deemed or customized.</w:t>
            </w:r>
          </w:p>
        </w:tc>
      </w:tr>
      <w:tr w:rsidR="00036838" w:rsidRPr="00206AE1" w14:paraId="29E8FDFB" w14:textId="77777777">
        <w:tc>
          <w:tcPr>
            <w:tcW w:w="2484" w:type="dxa"/>
          </w:tcPr>
          <w:p w14:paraId="27BAB1D4" w14:textId="2EE4A451" w:rsidR="00036838" w:rsidRPr="00206AE1" w:rsidRDefault="00036838" w:rsidP="00036838">
            <w:pPr>
              <w:pStyle w:val="Normal1"/>
            </w:pPr>
            <w:r w:rsidRPr="00206AE1">
              <w:rPr>
                <w:rFonts w:cs="Helv"/>
              </w:rPr>
              <w:t>Direct Install</w:t>
            </w:r>
          </w:p>
        </w:tc>
        <w:tc>
          <w:tcPr>
            <w:tcW w:w="7092" w:type="dxa"/>
          </w:tcPr>
          <w:p w14:paraId="4044C93D" w14:textId="5ABB349E" w:rsidR="00BB4DA2" w:rsidRPr="00206AE1" w:rsidRDefault="00036838" w:rsidP="00036838">
            <w:pPr>
              <w:pStyle w:val="Normal1"/>
            </w:pPr>
            <w:r w:rsidRPr="00206AE1">
              <w:rPr>
                <w:rFonts w:cs="Helv"/>
              </w:rPr>
              <w:t xml:space="preserve">The program </w:t>
            </w:r>
            <w:r w:rsidRPr="00206AE1">
              <w:t>implements energy efficiency measures for qualifying customers, at no cost to the customer.</w:t>
            </w:r>
          </w:p>
        </w:tc>
      </w:tr>
    </w:tbl>
    <w:p w14:paraId="39B47F33" w14:textId="77777777" w:rsidR="00576C8C" w:rsidRDefault="007173B2">
      <w:pPr>
        <w:pStyle w:val="Heading2"/>
      </w:pPr>
      <w:bookmarkStart w:id="7" w:name="_1t3h5sf" w:colFirst="0" w:colLast="0"/>
      <w:bookmarkEnd w:id="7"/>
      <w:r>
        <w:rPr>
          <w:rFonts w:ascii="Calibri" w:eastAsia="Calibri" w:hAnsi="Calibri" w:cs="Calibri"/>
        </w:rPr>
        <w:t>1.4 Measure Parameters</w:t>
      </w:r>
    </w:p>
    <w:p w14:paraId="5C80A27D" w14:textId="77777777" w:rsidR="00576C8C" w:rsidRDefault="007173B2">
      <w:pPr>
        <w:pStyle w:val="Heading3"/>
      </w:pPr>
      <w:r>
        <w:rPr>
          <w:rFonts w:ascii="Calibri" w:eastAsia="Calibri" w:hAnsi="Calibri" w:cs="Calibri"/>
        </w:rPr>
        <w:t>1.4.1 DEER Data</w:t>
      </w:r>
    </w:p>
    <w:p w14:paraId="4DE682E1" w14:textId="77777777" w:rsidR="00576C8C" w:rsidRDefault="007173B2">
      <w:pPr>
        <w:pStyle w:val="Normal1"/>
        <w:keepNext/>
        <w:jc w:val="center"/>
      </w:pPr>
      <w:r>
        <w:rPr>
          <w:b/>
        </w:rPr>
        <w:t>DEER Difference Summary</w:t>
      </w:r>
    </w:p>
    <w:tbl>
      <w:tblPr>
        <w:tblStyle w:val="a9"/>
        <w:tblW w:w="9590" w:type="dxa"/>
        <w:tblInd w:w="-2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969"/>
        <w:gridCol w:w="6621"/>
      </w:tblGrid>
      <w:tr w:rsidR="00576C8C" w:rsidRPr="00206AE1" w14:paraId="74717CF9" w14:textId="77777777">
        <w:trPr>
          <w:trHeight w:val="20"/>
        </w:trPr>
        <w:tc>
          <w:tcPr>
            <w:tcW w:w="2969" w:type="dxa"/>
            <w:shd w:val="clear" w:color="auto" w:fill="D9D9D9"/>
          </w:tcPr>
          <w:p w14:paraId="1F37DA0A" w14:textId="77777777" w:rsidR="00576C8C" w:rsidRPr="00206AE1" w:rsidRDefault="007173B2">
            <w:pPr>
              <w:pStyle w:val="Normal1"/>
              <w:tabs>
                <w:tab w:val="right" w:pos="2957"/>
              </w:tabs>
              <w:contextualSpacing w:val="0"/>
            </w:pPr>
            <w:r w:rsidRPr="00206AE1">
              <w:rPr>
                <w:b/>
              </w:rPr>
              <w:t>DEER Item</w:t>
            </w:r>
          </w:p>
        </w:tc>
        <w:tc>
          <w:tcPr>
            <w:tcW w:w="6621" w:type="dxa"/>
            <w:shd w:val="clear" w:color="auto" w:fill="D9D9D9"/>
          </w:tcPr>
          <w:p w14:paraId="3CB4857A" w14:textId="77777777" w:rsidR="00576C8C" w:rsidRPr="00206AE1" w:rsidRDefault="007173B2">
            <w:pPr>
              <w:pStyle w:val="Normal1"/>
              <w:contextualSpacing w:val="0"/>
            </w:pPr>
            <w:r w:rsidRPr="00206AE1">
              <w:rPr>
                <w:b/>
              </w:rPr>
              <w:t xml:space="preserve">Used for </w:t>
            </w:r>
            <w:proofErr w:type="spellStart"/>
            <w:r w:rsidRPr="00206AE1">
              <w:rPr>
                <w:b/>
              </w:rPr>
              <w:t>Workpaper</w:t>
            </w:r>
            <w:proofErr w:type="spellEnd"/>
            <w:r w:rsidRPr="00206AE1">
              <w:rPr>
                <w:b/>
              </w:rPr>
              <w:t>?</w:t>
            </w:r>
          </w:p>
        </w:tc>
      </w:tr>
      <w:tr w:rsidR="00576C8C" w:rsidRPr="00206AE1" w14:paraId="45376DD6" w14:textId="77777777">
        <w:trPr>
          <w:trHeight w:val="240"/>
        </w:trPr>
        <w:tc>
          <w:tcPr>
            <w:tcW w:w="2969" w:type="dxa"/>
          </w:tcPr>
          <w:p w14:paraId="40D44CA0" w14:textId="77777777" w:rsidR="00576C8C" w:rsidRPr="00206AE1" w:rsidRDefault="007173B2">
            <w:pPr>
              <w:pStyle w:val="Normal1"/>
              <w:contextualSpacing w:val="0"/>
            </w:pPr>
            <w:r w:rsidRPr="00206AE1">
              <w:t>Modified DEER methodology</w:t>
            </w:r>
          </w:p>
        </w:tc>
        <w:tc>
          <w:tcPr>
            <w:tcW w:w="6621" w:type="dxa"/>
          </w:tcPr>
          <w:p w14:paraId="2B8C6CD2" w14:textId="77777777" w:rsidR="00576C8C" w:rsidRPr="00206AE1" w:rsidRDefault="007173B2">
            <w:pPr>
              <w:pStyle w:val="Normal1"/>
              <w:contextualSpacing w:val="0"/>
            </w:pPr>
            <w:r w:rsidRPr="00206AE1">
              <w:t>No</w:t>
            </w:r>
          </w:p>
        </w:tc>
      </w:tr>
      <w:tr w:rsidR="00576C8C" w:rsidRPr="00206AE1" w14:paraId="3B04C301" w14:textId="77777777">
        <w:trPr>
          <w:trHeight w:val="20"/>
        </w:trPr>
        <w:tc>
          <w:tcPr>
            <w:tcW w:w="2969" w:type="dxa"/>
          </w:tcPr>
          <w:p w14:paraId="7A7D7165" w14:textId="77777777" w:rsidR="00576C8C" w:rsidRPr="00206AE1" w:rsidRDefault="007173B2">
            <w:pPr>
              <w:pStyle w:val="Normal1"/>
              <w:contextualSpacing w:val="0"/>
            </w:pPr>
            <w:r w:rsidRPr="00206AE1">
              <w:t>Scaled DEER measure</w:t>
            </w:r>
          </w:p>
        </w:tc>
        <w:tc>
          <w:tcPr>
            <w:tcW w:w="6621" w:type="dxa"/>
          </w:tcPr>
          <w:p w14:paraId="39743AE9" w14:textId="406A5FE5" w:rsidR="00576C8C" w:rsidRPr="00206AE1" w:rsidRDefault="00295AEE" w:rsidP="00295AEE">
            <w:pPr>
              <w:pStyle w:val="Normal1"/>
              <w:contextualSpacing w:val="0"/>
            </w:pPr>
            <w:r>
              <w:t>See details below for manufactured and multifamily residences</w:t>
            </w:r>
          </w:p>
        </w:tc>
      </w:tr>
      <w:tr w:rsidR="00576C8C" w:rsidRPr="00206AE1" w14:paraId="0388D74F" w14:textId="77777777">
        <w:trPr>
          <w:trHeight w:val="20"/>
        </w:trPr>
        <w:tc>
          <w:tcPr>
            <w:tcW w:w="2969" w:type="dxa"/>
          </w:tcPr>
          <w:p w14:paraId="40B9C658" w14:textId="77777777" w:rsidR="00576C8C" w:rsidRPr="00206AE1" w:rsidRDefault="007173B2">
            <w:pPr>
              <w:pStyle w:val="Normal1"/>
              <w:contextualSpacing w:val="0"/>
            </w:pPr>
            <w:r w:rsidRPr="00206AE1">
              <w:t>DEER Base Case</w:t>
            </w:r>
          </w:p>
        </w:tc>
        <w:tc>
          <w:tcPr>
            <w:tcW w:w="6621" w:type="dxa"/>
          </w:tcPr>
          <w:p w14:paraId="31FAF4A9" w14:textId="77777777" w:rsidR="00576C8C" w:rsidRPr="00206AE1" w:rsidRDefault="007173B2">
            <w:pPr>
              <w:pStyle w:val="Normal1"/>
              <w:contextualSpacing w:val="0"/>
            </w:pPr>
            <w:r w:rsidRPr="00206AE1">
              <w:t>See details below for description of the RASS Base Case Calibration Factor, which leverages the same data used to create the DEER programmable thermostat base case</w:t>
            </w:r>
          </w:p>
        </w:tc>
      </w:tr>
      <w:tr w:rsidR="00576C8C" w:rsidRPr="00206AE1" w14:paraId="1AE99233" w14:textId="77777777">
        <w:trPr>
          <w:trHeight w:val="20"/>
        </w:trPr>
        <w:tc>
          <w:tcPr>
            <w:tcW w:w="2969" w:type="dxa"/>
          </w:tcPr>
          <w:p w14:paraId="33B891FF" w14:textId="77777777" w:rsidR="00576C8C" w:rsidRPr="00206AE1" w:rsidRDefault="007173B2">
            <w:pPr>
              <w:pStyle w:val="Normal1"/>
              <w:contextualSpacing w:val="0"/>
            </w:pPr>
            <w:r w:rsidRPr="00206AE1">
              <w:t>DEER Measure Case</w:t>
            </w:r>
          </w:p>
        </w:tc>
        <w:tc>
          <w:tcPr>
            <w:tcW w:w="6621" w:type="dxa"/>
          </w:tcPr>
          <w:p w14:paraId="4AC5A220" w14:textId="77777777" w:rsidR="00576C8C" w:rsidRPr="00206AE1" w:rsidRDefault="007173B2">
            <w:pPr>
              <w:pStyle w:val="Normal1"/>
              <w:contextualSpacing w:val="0"/>
            </w:pPr>
            <w:r w:rsidRPr="00206AE1">
              <w:t>No</w:t>
            </w:r>
          </w:p>
        </w:tc>
      </w:tr>
      <w:tr w:rsidR="00576C8C" w:rsidRPr="00206AE1" w14:paraId="23ED039E" w14:textId="77777777">
        <w:trPr>
          <w:trHeight w:val="20"/>
        </w:trPr>
        <w:tc>
          <w:tcPr>
            <w:tcW w:w="2969" w:type="dxa"/>
          </w:tcPr>
          <w:p w14:paraId="0D9A6993" w14:textId="77777777" w:rsidR="00576C8C" w:rsidRPr="00206AE1" w:rsidRDefault="007173B2">
            <w:pPr>
              <w:pStyle w:val="Normal1"/>
              <w:contextualSpacing w:val="0"/>
            </w:pPr>
            <w:r w:rsidRPr="00206AE1">
              <w:t>DEER Building Types</w:t>
            </w:r>
          </w:p>
        </w:tc>
        <w:tc>
          <w:tcPr>
            <w:tcW w:w="6621" w:type="dxa"/>
          </w:tcPr>
          <w:p w14:paraId="77D0E4F8" w14:textId="77777777" w:rsidR="00576C8C" w:rsidRPr="00206AE1" w:rsidRDefault="007173B2">
            <w:pPr>
              <w:pStyle w:val="Normal1"/>
              <w:contextualSpacing w:val="0"/>
            </w:pPr>
            <w:r w:rsidRPr="00206AE1">
              <w:t>No</w:t>
            </w:r>
          </w:p>
        </w:tc>
      </w:tr>
      <w:tr w:rsidR="00576C8C" w:rsidRPr="00206AE1" w14:paraId="1FD4A544" w14:textId="77777777">
        <w:trPr>
          <w:trHeight w:val="20"/>
        </w:trPr>
        <w:tc>
          <w:tcPr>
            <w:tcW w:w="2969" w:type="dxa"/>
          </w:tcPr>
          <w:p w14:paraId="56B0923F" w14:textId="77777777" w:rsidR="00576C8C" w:rsidRPr="00206AE1" w:rsidRDefault="007173B2">
            <w:pPr>
              <w:pStyle w:val="Normal1"/>
              <w:contextualSpacing w:val="0"/>
            </w:pPr>
            <w:r w:rsidRPr="00206AE1">
              <w:t>DEER Operating Hours</w:t>
            </w:r>
          </w:p>
        </w:tc>
        <w:tc>
          <w:tcPr>
            <w:tcW w:w="6621" w:type="dxa"/>
          </w:tcPr>
          <w:p w14:paraId="4EE77086" w14:textId="77777777" w:rsidR="00576C8C" w:rsidRPr="00206AE1" w:rsidRDefault="007173B2">
            <w:pPr>
              <w:pStyle w:val="Normal1"/>
              <w:contextualSpacing w:val="0"/>
            </w:pPr>
            <w:r w:rsidRPr="00206AE1">
              <w:t>No</w:t>
            </w:r>
          </w:p>
        </w:tc>
      </w:tr>
      <w:tr w:rsidR="00576C8C" w:rsidRPr="00206AE1" w14:paraId="1D9F6E73" w14:textId="77777777">
        <w:trPr>
          <w:trHeight w:val="20"/>
        </w:trPr>
        <w:tc>
          <w:tcPr>
            <w:tcW w:w="2969" w:type="dxa"/>
          </w:tcPr>
          <w:p w14:paraId="3BD4DA59" w14:textId="77777777" w:rsidR="00576C8C" w:rsidRPr="00206AE1" w:rsidRDefault="007173B2">
            <w:pPr>
              <w:pStyle w:val="Normal1"/>
              <w:contextualSpacing w:val="0"/>
            </w:pPr>
            <w:r w:rsidRPr="00206AE1">
              <w:t xml:space="preserve">DEER </w:t>
            </w:r>
            <w:proofErr w:type="spellStart"/>
            <w:r w:rsidRPr="00206AE1">
              <w:t>eQUEST</w:t>
            </w:r>
            <w:proofErr w:type="spellEnd"/>
            <w:r w:rsidRPr="00206AE1">
              <w:t xml:space="preserve"> Prototypes</w:t>
            </w:r>
          </w:p>
        </w:tc>
        <w:tc>
          <w:tcPr>
            <w:tcW w:w="6621" w:type="dxa"/>
          </w:tcPr>
          <w:p w14:paraId="6FC96E75" w14:textId="77777777" w:rsidR="00576C8C" w:rsidRPr="00206AE1" w:rsidRDefault="007173B2">
            <w:pPr>
              <w:pStyle w:val="Normal1"/>
              <w:contextualSpacing w:val="0"/>
            </w:pPr>
            <w:r w:rsidRPr="00206AE1">
              <w:t>No</w:t>
            </w:r>
          </w:p>
        </w:tc>
      </w:tr>
      <w:tr w:rsidR="00576C8C" w:rsidRPr="00206AE1" w14:paraId="0153F4EC" w14:textId="77777777">
        <w:trPr>
          <w:trHeight w:val="20"/>
        </w:trPr>
        <w:tc>
          <w:tcPr>
            <w:tcW w:w="2969" w:type="dxa"/>
          </w:tcPr>
          <w:p w14:paraId="085CF3A5" w14:textId="77777777" w:rsidR="00576C8C" w:rsidRPr="00206AE1" w:rsidRDefault="007173B2">
            <w:pPr>
              <w:pStyle w:val="Normal1"/>
              <w:contextualSpacing w:val="0"/>
            </w:pPr>
            <w:r w:rsidRPr="00206AE1">
              <w:t>DEER Version</w:t>
            </w:r>
          </w:p>
        </w:tc>
        <w:tc>
          <w:tcPr>
            <w:tcW w:w="6621" w:type="dxa"/>
          </w:tcPr>
          <w:p w14:paraId="70FBA774" w14:textId="77777777" w:rsidR="00576C8C" w:rsidRPr="00206AE1" w:rsidRDefault="007173B2">
            <w:pPr>
              <w:pStyle w:val="Normal1"/>
              <w:contextualSpacing w:val="0"/>
            </w:pPr>
            <w:r w:rsidRPr="00206AE1">
              <w:t>-</w:t>
            </w:r>
          </w:p>
        </w:tc>
      </w:tr>
      <w:tr w:rsidR="00576C8C" w:rsidRPr="00206AE1" w14:paraId="61DE919C" w14:textId="77777777">
        <w:trPr>
          <w:trHeight w:val="20"/>
        </w:trPr>
        <w:tc>
          <w:tcPr>
            <w:tcW w:w="2969" w:type="dxa"/>
          </w:tcPr>
          <w:p w14:paraId="0CE7A4E1" w14:textId="77777777" w:rsidR="00576C8C" w:rsidRPr="00206AE1" w:rsidRDefault="007173B2">
            <w:pPr>
              <w:pStyle w:val="Normal1"/>
              <w:contextualSpacing w:val="0"/>
            </w:pPr>
            <w:r w:rsidRPr="00206AE1">
              <w:t>Reason for Deviation from DEER</w:t>
            </w:r>
          </w:p>
        </w:tc>
        <w:tc>
          <w:tcPr>
            <w:tcW w:w="6621" w:type="dxa"/>
            <w:tcBorders>
              <w:top w:val="single" w:sz="8" w:space="0" w:color="000000"/>
              <w:left w:val="single" w:sz="8" w:space="0" w:color="000000"/>
              <w:bottom w:val="single" w:sz="8" w:space="0" w:color="000000"/>
              <w:right w:val="single" w:sz="8" w:space="0" w:color="000000"/>
            </w:tcBorders>
            <w:tcMar>
              <w:top w:w="100" w:type="dxa"/>
              <w:left w:w="120" w:type="dxa"/>
              <w:bottom w:w="100" w:type="dxa"/>
              <w:right w:w="120" w:type="dxa"/>
            </w:tcMar>
          </w:tcPr>
          <w:p w14:paraId="2DAD067C" w14:textId="77777777" w:rsidR="00576C8C" w:rsidRPr="00206AE1" w:rsidRDefault="007173B2">
            <w:pPr>
              <w:pStyle w:val="Normal1"/>
              <w:contextualSpacing w:val="0"/>
            </w:pPr>
            <w:r w:rsidRPr="00206AE1">
              <w:t>The DEER 2016 database does not contain an updated measure for Smart Thermostats.</w:t>
            </w:r>
          </w:p>
        </w:tc>
      </w:tr>
      <w:tr w:rsidR="00576C8C" w:rsidRPr="00206AE1" w14:paraId="6CD20D94" w14:textId="77777777">
        <w:trPr>
          <w:trHeight w:val="20"/>
        </w:trPr>
        <w:tc>
          <w:tcPr>
            <w:tcW w:w="2969" w:type="dxa"/>
          </w:tcPr>
          <w:p w14:paraId="3284E59A" w14:textId="77777777" w:rsidR="00576C8C" w:rsidRPr="00206AE1" w:rsidRDefault="007173B2">
            <w:pPr>
              <w:pStyle w:val="Normal1"/>
              <w:contextualSpacing w:val="0"/>
            </w:pPr>
            <w:r w:rsidRPr="00206AE1">
              <w:t>DEER Measure IDs Used</w:t>
            </w:r>
          </w:p>
        </w:tc>
        <w:tc>
          <w:tcPr>
            <w:tcW w:w="6621" w:type="dxa"/>
          </w:tcPr>
          <w:p w14:paraId="2F691186" w14:textId="77777777" w:rsidR="00576C8C" w:rsidRPr="00206AE1" w:rsidRDefault="007173B2">
            <w:pPr>
              <w:pStyle w:val="Normal1"/>
              <w:contextualSpacing w:val="0"/>
            </w:pPr>
            <w:r w:rsidRPr="00206AE1">
              <w:t>-</w:t>
            </w:r>
          </w:p>
        </w:tc>
      </w:tr>
    </w:tbl>
    <w:p w14:paraId="515FE70B" w14:textId="77777777" w:rsidR="00576C8C" w:rsidRDefault="00576C8C">
      <w:pPr>
        <w:pStyle w:val="Normal1"/>
        <w:keepNext/>
      </w:pPr>
    </w:p>
    <w:p w14:paraId="281DFCCE" w14:textId="5F8D6C97" w:rsidR="00311E83" w:rsidRPr="008B3FF1" w:rsidRDefault="00311E83" w:rsidP="00311E83">
      <w:pPr>
        <w:pStyle w:val="Heading3"/>
        <w:rPr>
          <w:rFonts w:asciiTheme="majorHAnsi" w:hAnsiTheme="majorHAnsi"/>
        </w:rPr>
      </w:pPr>
      <w:r w:rsidRPr="008B3FF1">
        <w:rPr>
          <w:rFonts w:asciiTheme="majorHAnsi" w:eastAsia="Calibri" w:hAnsiTheme="majorHAnsi" w:cs="Calibri"/>
        </w:rPr>
        <w:t xml:space="preserve">1.4.2 </w:t>
      </w:r>
      <w:r w:rsidRPr="008B3FF1">
        <w:rPr>
          <w:rFonts w:asciiTheme="majorHAnsi" w:hAnsiTheme="majorHAnsi"/>
        </w:rPr>
        <w:t>Net-to-Gross Ratio</w:t>
      </w:r>
    </w:p>
    <w:p w14:paraId="366BB780" w14:textId="23F68711" w:rsidR="00411BC3" w:rsidRPr="00130298" w:rsidRDefault="003C62C1" w:rsidP="00782E4D">
      <w:pPr>
        <w:rPr>
          <w:rFonts w:ascii="Times" w:eastAsia="Times New Roman" w:hAnsi="Times" w:cs="Times New Roman"/>
          <w:color w:val="auto"/>
          <w:sz w:val="20"/>
          <w:szCs w:val="20"/>
        </w:rPr>
      </w:pPr>
      <w:r>
        <w:t xml:space="preserve">The Net-to-Gross (NTG) Ratio for this smart thermostat measure </w:t>
      </w:r>
      <w:r w:rsidR="00E53FE4">
        <w:t xml:space="preserve">uses </w:t>
      </w:r>
      <w:r w:rsidR="00AE4E5A">
        <w:t xml:space="preserve">the default </w:t>
      </w:r>
      <w:r>
        <w:t>0.55</w:t>
      </w:r>
      <w:r w:rsidR="00AE4E5A">
        <w:t xml:space="preserve"> value</w:t>
      </w:r>
      <w:r>
        <w:t xml:space="preserve">, based on the Nov 8, 2016 Smart Thermostat </w:t>
      </w:r>
      <w:proofErr w:type="spellStart"/>
      <w:r>
        <w:t>workpaper</w:t>
      </w:r>
      <w:proofErr w:type="spellEnd"/>
      <w:r>
        <w:t xml:space="preserve"> disposition. </w:t>
      </w:r>
      <w:r w:rsidR="001F37E0">
        <w:t>This value is significantly lower than comparable values from program jurisdictions across the country, as noted in Section 1.4.2.1. Section 1.4.2.2 also shows that having a smart thermostat rebate/program in</w:t>
      </w:r>
      <w:r w:rsidR="00E53FE4">
        <w:t xml:space="preserve"> a </w:t>
      </w:r>
      <w:r w:rsidR="001F37E0">
        <w:t xml:space="preserve">market </w:t>
      </w:r>
      <w:r w:rsidR="00E53FE4">
        <w:t>has</w:t>
      </w:r>
      <w:r w:rsidR="001F37E0">
        <w:t xml:space="preserve"> a significant uplift in </w:t>
      </w:r>
      <w:r w:rsidR="001F37E0" w:rsidRPr="00E86B84">
        <w:rPr>
          <w:u w:val="single"/>
        </w:rPr>
        <w:t>program</w:t>
      </w:r>
      <w:r w:rsidR="001F37E0">
        <w:t xml:space="preserve"> participation. Based on this data, it is recommended that a</w:t>
      </w:r>
      <w:r w:rsidR="00310392">
        <w:t>n</w:t>
      </w:r>
      <w:r w:rsidR="001F37E0">
        <w:t xml:space="preserve"> </w:t>
      </w:r>
      <w:r w:rsidR="00310392">
        <w:t>EM&amp;V study be designed and completed to appropriate</w:t>
      </w:r>
      <w:r w:rsidR="009A2561">
        <w:t>ly capture</w:t>
      </w:r>
      <w:r w:rsidR="00310392">
        <w:t xml:space="preserve"> customer </w:t>
      </w:r>
      <w:r w:rsidR="00FA4EBE">
        <w:t xml:space="preserve">information needed to ensure </w:t>
      </w:r>
      <w:r w:rsidR="00310392">
        <w:t>the default NTG value is adjusted accordingly. This study has been noted in Section 1.6.</w:t>
      </w:r>
      <w:r w:rsidR="00363F6C">
        <w:t>4</w:t>
      </w:r>
      <w:r w:rsidR="00310392">
        <w:t xml:space="preserve"> Future Data Needs.</w:t>
      </w:r>
      <w:r w:rsidR="00411BC3">
        <w:t xml:space="preserve"> In support of this effort, </w:t>
      </w:r>
      <w:r w:rsidR="00581574" w:rsidRPr="00411BC3">
        <w:rPr>
          <w:color w:val="auto"/>
        </w:rPr>
        <w:t xml:space="preserve">smart thermostat vendors could provide </w:t>
      </w:r>
      <w:r w:rsidR="00411BC3" w:rsidRPr="00411BC3">
        <w:rPr>
          <w:color w:val="auto"/>
        </w:rPr>
        <w:t xml:space="preserve">data to support the research effort. </w:t>
      </w:r>
      <w:r w:rsidR="009A2561">
        <w:rPr>
          <w:color w:val="auto"/>
        </w:rPr>
        <w:t xml:space="preserve">Additional data may be available from manufactures. </w:t>
      </w:r>
      <w:r w:rsidR="00411BC3" w:rsidRPr="00411BC3">
        <w:rPr>
          <w:color w:val="auto"/>
        </w:rPr>
        <w:t>The data available can vary by manufacture on its availability and form, however most should be able to</w:t>
      </w:r>
      <w:r w:rsidR="006E6B37">
        <w:rPr>
          <w:color w:val="auto"/>
        </w:rPr>
        <w:t xml:space="preserve"> </w:t>
      </w:r>
      <w:r w:rsidR="006E6B37">
        <w:rPr>
          <w:color w:val="auto"/>
        </w:rPr>
        <w:lastRenderedPageBreak/>
        <w:t>provide a subset of data to</w:t>
      </w:r>
      <w:r w:rsidR="00411BC3" w:rsidRPr="00411BC3">
        <w:rPr>
          <w:color w:val="auto"/>
        </w:rPr>
        <w:t xml:space="preserve"> support and could be updated on a regular basis for program monitoring purposes – such as activation rates, leakage,</w:t>
      </w:r>
      <w:r w:rsidR="00F00A15">
        <w:rPr>
          <w:color w:val="auto"/>
        </w:rPr>
        <w:t xml:space="preserve"> </w:t>
      </w:r>
      <w:r w:rsidR="00411BC3" w:rsidRPr="00411BC3">
        <w:rPr>
          <w:color w:val="auto"/>
        </w:rPr>
        <w:t>high level system characteristics</w:t>
      </w:r>
      <w:r w:rsidR="00F00A15">
        <w:rPr>
          <w:rFonts w:ascii="Arial" w:eastAsia="Times New Roman" w:hAnsi="Arial" w:cs="Times New Roman"/>
        </w:rPr>
        <w:t>.</w:t>
      </w:r>
      <w:r w:rsidR="00130298">
        <w:rPr>
          <w:rFonts w:ascii="Arial" w:eastAsia="Times New Roman" w:hAnsi="Arial" w:cs="Times New Roman"/>
        </w:rPr>
        <w:t xml:space="preserve"> </w:t>
      </w:r>
      <w:r w:rsidR="006E6B37" w:rsidRPr="00DF5F02">
        <w:rPr>
          <w:color w:val="auto"/>
        </w:rPr>
        <w:t>In addition to these metrics,</w:t>
      </w:r>
      <w:r w:rsidR="00DF5F02" w:rsidRPr="00DF5F02">
        <w:rPr>
          <w:color w:val="auto"/>
        </w:rPr>
        <w:t xml:space="preserve"> Nest regularly survey’s new smart thermostat customers and asks them if a rebate influenced their purchase. This data could be provided to the EM&amp;V contractor in a similar format outlined in Section </w:t>
      </w:r>
      <w:r w:rsidR="00DF3D5A">
        <w:rPr>
          <w:color w:val="auto"/>
        </w:rPr>
        <w:t>1.6.2</w:t>
      </w:r>
      <w:r w:rsidR="00DF5F02" w:rsidRPr="00DF5F02">
        <w:rPr>
          <w:color w:val="auto"/>
        </w:rPr>
        <w:t>.</w:t>
      </w:r>
    </w:p>
    <w:p w14:paraId="645C9A5D" w14:textId="1EF6A16F" w:rsidR="00B139D1" w:rsidRDefault="00411BC3" w:rsidP="005A7BDD">
      <w:pPr>
        <w:pStyle w:val="Normal1"/>
        <w:spacing w:before="40" w:after="40"/>
        <w:rPr>
          <w:color w:val="FF0000"/>
        </w:rPr>
      </w:pPr>
      <w:r>
        <w:rPr>
          <w:color w:val="FF0000"/>
        </w:rPr>
        <w:t xml:space="preserve"> </w:t>
      </w:r>
    </w:p>
    <w:p w14:paraId="1A237021" w14:textId="5BB422C3" w:rsidR="0072066D" w:rsidRPr="009A2561" w:rsidRDefault="00E86B84" w:rsidP="0072066D">
      <w:pPr>
        <w:shd w:val="clear" w:color="auto" w:fill="FFFFFF"/>
        <w:rPr>
          <w:rFonts w:eastAsia="Times New Roman" w:cs="Times New Roman"/>
          <w:color w:val="auto"/>
        </w:rPr>
      </w:pPr>
      <w:r w:rsidRPr="009A2561">
        <w:rPr>
          <w:rFonts w:eastAsia="Times New Roman" w:cs="Times New Roman"/>
          <w:color w:val="auto"/>
        </w:rPr>
        <w:t>Regarding the Nov, 8, 2016 Smart Th</w:t>
      </w:r>
      <w:r w:rsidR="00903B59" w:rsidRPr="009A2561">
        <w:rPr>
          <w:rFonts w:eastAsia="Times New Roman" w:cs="Times New Roman"/>
          <w:color w:val="auto"/>
        </w:rPr>
        <w:t xml:space="preserve">ermostat </w:t>
      </w:r>
      <w:proofErr w:type="spellStart"/>
      <w:r w:rsidR="00903B59" w:rsidRPr="009A2561">
        <w:rPr>
          <w:rFonts w:eastAsia="Times New Roman" w:cs="Times New Roman"/>
          <w:color w:val="auto"/>
        </w:rPr>
        <w:t>workpaper</w:t>
      </w:r>
      <w:proofErr w:type="spellEnd"/>
      <w:r w:rsidR="00903B59" w:rsidRPr="009A2561">
        <w:rPr>
          <w:rFonts w:eastAsia="Times New Roman" w:cs="Times New Roman"/>
          <w:color w:val="auto"/>
        </w:rPr>
        <w:t xml:space="preserve"> disposition, t</w:t>
      </w:r>
      <w:r w:rsidR="0072066D" w:rsidRPr="009A2561">
        <w:rPr>
          <w:rFonts w:eastAsia="Times New Roman" w:cs="Times New Roman"/>
          <w:color w:val="auto"/>
        </w:rPr>
        <w:t>he proposed sales data tracking to estimate the program specific NTG for this measure is not an appropriate methodology for a downstream delivery as it is for upstream, market transforming delivery methods.  According to the CA Evaluation guidelines, sales data tracking is a more appropriate metric for measuring a change in market (market effect) for a market transforming measure. A sales lift can be caused by other confounding factors such as economic and market activity thereby not accurately capturing the program influence.  Hence a more appropriate methodology to use is as guided by the CA evaluation framework, which includes either econometric methods or survey-based methods.  Evaluation of the measure NTG will be guided by these protocols. </w:t>
      </w:r>
      <w:r w:rsidRPr="009A2561">
        <w:rPr>
          <w:rStyle w:val="FootnoteReference"/>
          <w:rFonts w:eastAsia="Times New Roman"/>
          <w:color w:val="auto"/>
        </w:rPr>
        <w:footnoteReference w:id="3"/>
      </w:r>
    </w:p>
    <w:p w14:paraId="54A2E235" w14:textId="77777777" w:rsidR="0072066D" w:rsidRPr="00411BC3" w:rsidRDefault="0072066D" w:rsidP="005A7BDD">
      <w:pPr>
        <w:pStyle w:val="Normal1"/>
        <w:spacing w:before="40" w:after="40"/>
        <w:rPr>
          <w:color w:val="FF0000"/>
        </w:rPr>
      </w:pPr>
    </w:p>
    <w:p w14:paraId="672FE468" w14:textId="77777777" w:rsidR="00640FCF" w:rsidRDefault="00640FCF">
      <w:pPr>
        <w:pStyle w:val="Normal1"/>
        <w:spacing w:before="40" w:after="40"/>
        <w:rPr>
          <w:b/>
        </w:rPr>
      </w:pPr>
    </w:p>
    <w:p w14:paraId="335A4B7D" w14:textId="77777777" w:rsidR="00640FCF" w:rsidRDefault="00640FCF">
      <w:pPr>
        <w:pStyle w:val="Normal1"/>
        <w:spacing w:before="40" w:after="40"/>
        <w:rPr>
          <w:b/>
        </w:rPr>
      </w:pPr>
    </w:p>
    <w:p w14:paraId="2A0ECEDB" w14:textId="77777777" w:rsidR="00640FCF" w:rsidRDefault="00640FCF">
      <w:pPr>
        <w:pStyle w:val="Normal1"/>
        <w:spacing w:before="40" w:after="40"/>
        <w:rPr>
          <w:b/>
        </w:rPr>
      </w:pPr>
    </w:p>
    <w:p w14:paraId="1522763C" w14:textId="77777777" w:rsidR="00640FCF" w:rsidRDefault="00640FCF">
      <w:pPr>
        <w:pStyle w:val="Normal1"/>
        <w:spacing w:before="40" w:after="40"/>
        <w:rPr>
          <w:b/>
        </w:rPr>
      </w:pPr>
    </w:p>
    <w:p w14:paraId="661EAAFE" w14:textId="77777777" w:rsidR="00640FCF" w:rsidRDefault="00640FCF">
      <w:pPr>
        <w:pStyle w:val="Normal1"/>
        <w:spacing w:before="40" w:after="40"/>
        <w:rPr>
          <w:b/>
        </w:rPr>
      </w:pPr>
    </w:p>
    <w:p w14:paraId="4192D240" w14:textId="77777777" w:rsidR="00640FCF" w:rsidRDefault="00640FCF">
      <w:pPr>
        <w:pStyle w:val="Normal1"/>
        <w:spacing w:before="40" w:after="40"/>
        <w:rPr>
          <w:b/>
        </w:rPr>
      </w:pPr>
    </w:p>
    <w:p w14:paraId="3898C462" w14:textId="77777777" w:rsidR="00640FCF" w:rsidRDefault="00640FCF">
      <w:pPr>
        <w:pStyle w:val="Normal1"/>
        <w:spacing w:before="40" w:after="40"/>
        <w:rPr>
          <w:b/>
        </w:rPr>
      </w:pPr>
    </w:p>
    <w:p w14:paraId="57B2A2FD" w14:textId="77777777" w:rsidR="00640FCF" w:rsidRDefault="00640FCF">
      <w:pPr>
        <w:pStyle w:val="Normal1"/>
        <w:spacing w:before="40" w:after="40"/>
        <w:rPr>
          <w:b/>
        </w:rPr>
      </w:pPr>
    </w:p>
    <w:p w14:paraId="7B23B75F" w14:textId="77777777" w:rsidR="00640FCF" w:rsidRDefault="00640FCF">
      <w:pPr>
        <w:pStyle w:val="Normal1"/>
        <w:spacing w:before="40" w:after="40"/>
        <w:rPr>
          <w:b/>
        </w:rPr>
      </w:pPr>
    </w:p>
    <w:p w14:paraId="243EB432" w14:textId="77777777" w:rsidR="00640FCF" w:rsidRDefault="00640FCF">
      <w:pPr>
        <w:pStyle w:val="Normal1"/>
        <w:spacing w:before="40" w:after="40"/>
        <w:rPr>
          <w:b/>
        </w:rPr>
      </w:pPr>
    </w:p>
    <w:p w14:paraId="14939F3C" w14:textId="77777777" w:rsidR="00640FCF" w:rsidRDefault="00640FCF">
      <w:pPr>
        <w:pStyle w:val="Normal1"/>
        <w:spacing w:before="40" w:after="40"/>
        <w:rPr>
          <w:b/>
        </w:rPr>
      </w:pPr>
    </w:p>
    <w:p w14:paraId="7E5075B1" w14:textId="77777777" w:rsidR="00640FCF" w:rsidRDefault="00640FCF">
      <w:pPr>
        <w:pStyle w:val="Normal1"/>
        <w:spacing w:before="40" w:after="40"/>
        <w:rPr>
          <w:b/>
        </w:rPr>
      </w:pPr>
    </w:p>
    <w:p w14:paraId="6FC010A4" w14:textId="77777777" w:rsidR="00640FCF" w:rsidRDefault="00640FCF">
      <w:pPr>
        <w:pStyle w:val="Normal1"/>
        <w:spacing w:before="40" w:after="40"/>
        <w:rPr>
          <w:b/>
        </w:rPr>
      </w:pPr>
    </w:p>
    <w:p w14:paraId="364B61D5" w14:textId="77777777" w:rsidR="00640FCF" w:rsidRDefault="00640FCF">
      <w:pPr>
        <w:pStyle w:val="Normal1"/>
        <w:spacing w:before="40" w:after="40"/>
        <w:rPr>
          <w:b/>
        </w:rPr>
      </w:pPr>
    </w:p>
    <w:p w14:paraId="04F504C5" w14:textId="77777777" w:rsidR="00640FCF" w:rsidRDefault="00640FCF">
      <w:pPr>
        <w:pStyle w:val="Normal1"/>
        <w:spacing w:before="40" w:after="40"/>
        <w:rPr>
          <w:b/>
        </w:rPr>
      </w:pPr>
    </w:p>
    <w:p w14:paraId="46C4AB9E" w14:textId="77777777" w:rsidR="00640FCF" w:rsidRDefault="00640FCF">
      <w:pPr>
        <w:pStyle w:val="Normal1"/>
        <w:spacing w:before="40" w:after="40"/>
        <w:rPr>
          <w:b/>
        </w:rPr>
      </w:pPr>
    </w:p>
    <w:p w14:paraId="01F8B321" w14:textId="77777777" w:rsidR="00640FCF" w:rsidRDefault="00640FCF">
      <w:pPr>
        <w:pStyle w:val="Normal1"/>
        <w:spacing w:before="40" w:after="40"/>
        <w:rPr>
          <w:b/>
        </w:rPr>
      </w:pPr>
    </w:p>
    <w:p w14:paraId="3CFCAD97" w14:textId="77777777" w:rsidR="00640FCF" w:rsidRDefault="00640FCF">
      <w:pPr>
        <w:pStyle w:val="Normal1"/>
        <w:spacing w:before="40" w:after="40"/>
        <w:rPr>
          <w:b/>
        </w:rPr>
      </w:pPr>
    </w:p>
    <w:p w14:paraId="449C40F7" w14:textId="77777777" w:rsidR="00640FCF" w:rsidRDefault="00640FCF">
      <w:pPr>
        <w:pStyle w:val="Normal1"/>
        <w:spacing w:before="40" w:after="40"/>
        <w:rPr>
          <w:b/>
        </w:rPr>
      </w:pPr>
    </w:p>
    <w:p w14:paraId="39751CAC" w14:textId="77777777" w:rsidR="00640FCF" w:rsidRDefault="00640FCF">
      <w:pPr>
        <w:pStyle w:val="Normal1"/>
        <w:spacing w:before="40" w:after="40"/>
        <w:rPr>
          <w:b/>
        </w:rPr>
      </w:pPr>
    </w:p>
    <w:p w14:paraId="20F4677C" w14:textId="5CD9BD43" w:rsidR="00576C8C" w:rsidRPr="00347550" w:rsidRDefault="005A7BDD">
      <w:pPr>
        <w:pStyle w:val="Normal1"/>
        <w:spacing w:before="40" w:after="40"/>
        <w:rPr>
          <w:b/>
        </w:rPr>
      </w:pPr>
      <w:r w:rsidRPr="00347550">
        <w:rPr>
          <w:b/>
        </w:rPr>
        <w:lastRenderedPageBreak/>
        <w:t>1.4.2.1</w:t>
      </w:r>
      <w:r w:rsidR="00347550" w:rsidRPr="00347550">
        <w:rPr>
          <w:b/>
        </w:rPr>
        <w:t xml:space="preserve"> NTG</w:t>
      </w:r>
      <w:r w:rsidR="007173B2" w:rsidRPr="00347550">
        <w:rPr>
          <w:b/>
        </w:rPr>
        <w:t xml:space="preserve"> Ratio</w:t>
      </w:r>
      <w:r w:rsidR="00AC226D" w:rsidRPr="00347550">
        <w:rPr>
          <w:b/>
        </w:rPr>
        <w:t>s</w:t>
      </w:r>
      <w:r w:rsidR="007173B2" w:rsidRPr="00347550">
        <w:rPr>
          <w:b/>
        </w:rPr>
        <w:t xml:space="preserve"> from existing smart therm</w:t>
      </w:r>
      <w:r w:rsidR="00347550" w:rsidRPr="00347550">
        <w:rPr>
          <w:b/>
        </w:rPr>
        <w:t>ostat programs in North America</w:t>
      </w:r>
    </w:p>
    <w:p w14:paraId="5B32CEA5" w14:textId="77777777" w:rsidR="00576C8C" w:rsidRDefault="00576C8C">
      <w:pPr>
        <w:pStyle w:val="Normal1"/>
        <w:spacing w:before="40" w:after="40"/>
      </w:pPr>
    </w:p>
    <w:tbl>
      <w:tblPr>
        <w:tblStyle w:val="aa"/>
        <w:tblW w:w="942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10"/>
        <w:gridCol w:w="1022"/>
        <w:gridCol w:w="1318"/>
        <w:gridCol w:w="1950"/>
        <w:gridCol w:w="2415"/>
        <w:gridCol w:w="1005"/>
      </w:tblGrid>
      <w:tr w:rsidR="00A07B48" w:rsidRPr="00206AE1" w14:paraId="5D99283E" w14:textId="77777777" w:rsidTr="00A0158C">
        <w:trPr>
          <w:jc w:val="center"/>
        </w:trPr>
        <w:tc>
          <w:tcPr>
            <w:tcW w:w="1710" w:type="dxa"/>
            <w:shd w:val="clear" w:color="auto" w:fill="D9D9D9" w:themeFill="background1" w:themeFillShade="D9"/>
          </w:tcPr>
          <w:p w14:paraId="472E7E89" w14:textId="77777777" w:rsidR="00A07B48" w:rsidRPr="00206AE1" w:rsidRDefault="00A07B48">
            <w:pPr>
              <w:pStyle w:val="Normal1"/>
              <w:spacing w:before="40" w:after="40"/>
              <w:contextualSpacing w:val="0"/>
              <w:rPr>
                <w:sz w:val="20"/>
                <w:szCs w:val="20"/>
              </w:rPr>
            </w:pPr>
            <w:r w:rsidRPr="00206AE1">
              <w:rPr>
                <w:b/>
                <w:sz w:val="20"/>
                <w:szCs w:val="20"/>
              </w:rPr>
              <w:t>Utility Company</w:t>
            </w:r>
          </w:p>
        </w:tc>
        <w:tc>
          <w:tcPr>
            <w:tcW w:w="1022" w:type="dxa"/>
            <w:shd w:val="clear" w:color="auto" w:fill="D9D9D9" w:themeFill="background1" w:themeFillShade="D9"/>
          </w:tcPr>
          <w:p w14:paraId="47D00CA5" w14:textId="3DA148C7" w:rsidR="00A07B48" w:rsidRPr="00206AE1" w:rsidRDefault="00A07B48">
            <w:pPr>
              <w:pStyle w:val="Normal1"/>
              <w:spacing w:before="40" w:after="40"/>
              <w:rPr>
                <w:b/>
                <w:sz w:val="20"/>
                <w:szCs w:val="20"/>
              </w:rPr>
            </w:pPr>
            <w:r w:rsidRPr="00206AE1">
              <w:rPr>
                <w:b/>
                <w:sz w:val="20"/>
                <w:szCs w:val="20"/>
              </w:rPr>
              <w:t>Location</w:t>
            </w:r>
          </w:p>
        </w:tc>
        <w:tc>
          <w:tcPr>
            <w:tcW w:w="1318" w:type="dxa"/>
            <w:shd w:val="clear" w:color="auto" w:fill="D9D9D9" w:themeFill="background1" w:themeFillShade="D9"/>
          </w:tcPr>
          <w:p w14:paraId="5DB92B81" w14:textId="2CC54305" w:rsidR="00A07B48" w:rsidRPr="00206AE1" w:rsidRDefault="00A07B48">
            <w:pPr>
              <w:pStyle w:val="Normal1"/>
              <w:spacing w:before="40" w:after="40"/>
              <w:contextualSpacing w:val="0"/>
              <w:rPr>
                <w:sz w:val="20"/>
                <w:szCs w:val="20"/>
              </w:rPr>
            </w:pPr>
            <w:r w:rsidRPr="00206AE1">
              <w:rPr>
                <w:b/>
                <w:sz w:val="20"/>
                <w:szCs w:val="20"/>
              </w:rPr>
              <w:t>Date</w:t>
            </w:r>
          </w:p>
        </w:tc>
        <w:tc>
          <w:tcPr>
            <w:tcW w:w="1950" w:type="dxa"/>
            <w:shd w:val="clear" w:color="auto" w:fill="D9D9D9" w:themeFill="background1" w:themeFillShade="D9"/>
          </w:tcPr>
          <w:p w14:paraId="23C6D69F" w14:textId="77777777" w:rsidR="00A07B48" w:rsidRPr="00206AE1" w:rsidRDefault="00A07B48">
            <w:pPr>
              <w:pStyle w:val="Normal1"/>
              <w:spacing w:before="40" w:after="40"/>
              <w:contextualSpacing w:val="0"/>
              <w:rPr>
                <w:sz w:val="20"/>
                <w:szCs w:val="20"/>
              </w:rPr>
            </w:pPr>
            <w:r w:rsidRPr="00206AE1">
              <w:rPr>
                <w:b/>
                <w:sz w:val="20"/>
                <w:szCs w:val="20"/>
              </w:rPr>
              <w:t>Smart Thermostat Program</w:t>
            </w:r>
          </w:p>
        </w:tc>
        <w:tc>
          <w:tcPr>
            <w:tcW w:w="2415" w:type="dxa"/>
            <w:shd w:val="clear" w:color="auto" w:fill="D9D9D9" w:themeFill="background1" w:themeFillShade="D9"/>
          </w:tcPr>
          <w:p w14:paraId="1E2454AD" w14:textId="77777777" w:rsidR="00A07B48" w:rsidRPr="00206AE1" w:rsidRDefault="00A07B48">
            <w:pPr>
              <w:pStyle w:val="Normal1"/>
              <w:spacing w:before="40" w:after="40"/>
              <w:contextualSpacing w:val="0"/>
              <w:rPr>
                <w:sz w:val="20"/>
                <w:szCs w:val="20"/>
              </w:rPr>
            </w:pPr>
            <w:r w:rsidRPr="00206AE1">
              <w:rPr>
                <w:b/>
                <w:sz w:val="20"/>
                <w:szCs w:val="20"/>
              </w:rPr>
              <w:t>Products Eligible for EE Rebate</w:t>
            </w:r>
          </w:p>
        </w:tc>
        <w:tc>
          <w:tcPr>
            <w:tcW w:w="1005" w:type="dxa"/>
            <w:shd w:val="clear" w:color="auto" w:fill="D9D9D9" w:themeFill="background1" w:themeFillShade="D9"/>
          </w:tcPr>
          <w:p w14:paraId="72D12C30" w14:textId="77777777" w:rsidR="00A07B48" w:rsidRPr="00206AE1" w:rsidRDefault="00A07B48">
            <w:pPr>
              <w:pStyle w:val="Normal1"/>
              <w:spacing w:before="40" w:after="40"/>
              <w:contextualSpacing w:val="0"/>
              <w:rPr>
                <w:sz w:val="20"/>
                <w:szCs w:val="20"/>
              </w:rPr>
            </w:pPr>
            <w:r w:rsidRPr="00206AE1">
              <w:rPr>
                <w:b/>
                <w:sz w:val="20"/>
                <w:szCs w:val="20"/>
              </w:rPr>
              <w:t>Net-to-Gross</w:t>
            </w:r>
          </w:p>
        </w:tc>
      </w:tr>
      <w:tr w:rsidR="00A07B48" w:rsidRPr="00206AE1" w14:paraId="4142A58D" w14:textId="77777777" w:rsidTr="00A0158C">
        <w:trPr>
          <w:jc w:val="center"/>
        </w:trPr>
        <w:tc>
          <w:tcPr>
            <w:tcW w:w="1710" w:type="dxa"/>
          </w:tcPr>
          <w:p w14:paraId="57A9C7A3" w14:textId="77777777" w:rsidR="00A07B48" w:rsidRPr="00206AE1" w:rsidRDefault="00A07B48">
            <w:pPr>
              <w:pStyle w:val="Normal1"/>
              <w:spacing w:before="40" w:after="40"/>
              <w:contextualSpacing w:val="0"/>
              <w:rPr>
                <w:sz w:val="20"/>
                <w:szCs w:val="20"/>
              </w:rPr>
            </w:pPr>
            <w:r w:rsidRPr="00206AE1">
              <w:rPr>
                <w:sz w:val="20"/>
                <w:szCs w:val="20"/>
              </w:rPr>
              <w:t>Commonwealth Edison</w:t>
            </w:r>
          </w:p>
        </w:tc>
        <w:tc>
          <w:tcPr>
            <w:tcW w:w="1022" w:type="dxa"/>
          </w:tcPr>
          <w:p w14:paraId="7C59CBFF" w14:textId="009366B7" w:rsidR="00A07B48" w:rsidRPr="00206AE1" w:rsidRDefault="00A07B48">
            <w:pPr>
              <w:pStyle w:val="Normal1"/>
              <w:spacing w:before="40" w:after="40"/>
              <w:rPr>
                <w:sz w:val="20"/>
                <w:szCs w:val="20"/>
              </w:rPr>
            </w:pPr>
            <w:r w:rsidRPr="00206AE1">
              <w:rPr>
                <w:sz w:val="20"/>
                <w:szCs w:val="20"/>
              </w:rPr>
              <w:t>Illinois</w:t>
            </w:r>
          </w:p>
        </w:tc>
        <w:tc>
          <w:tcPr>
            <w:tcW w:w="1318" w:type="dxa"/>
          </w:tcPr>
          <w:p w14:paraId="275C8E62" w14:textId="26A8D1DD" w:rsidR="00A07B48" w:rsidRPr="00206AE1" w:rsidRDefault="00A07B48">
            <w:pPr>
              <w:pStyle w:val="Normal1"/>
              <w:spacing w:before="40" w:after="40"/>
              <w:contextualSpacing w:val="0"/>
              <w:rPr>
                <w:sz w:val="20"/>
                <w:szCs w:val="20"/>
              </w:rPr>
            </w:pPr>
            <w:r w:rsidRPr="00206AE1">
              <w:rPr>
                <w:sz w:val="20"/>
                <w:szCs w:val="20"/>
              </w:rPr>
              <w:t>June, 2015</w:t>
            </w:r>
          </w:p>
        </w:tc>
        <w:tc>
          <w:tcPr>
            <w:tcW w:w="1950" w:type="dxa"/>
          </w:tcPr>
          <w:p w14:paraId="24CF1B19" w14:textId="77777777" w:rsidR="00A07B48" w:rsidRPr="00206AE1" w:rsidRDefault="00A07B48">
            <w:pPr>
              <w:pStyle w:val="Normal1"/>
              <w:spacing w:before="40" w:after="40"/>
              <w:contextualSpacing w:val="0"/>
              <w:rPr>
                <w:sz w:val="20"/>
                <w:szCs w:val="20"/>
              </w:rPr>
            </w:pPr>
            <w:r w:rsidRPr="00206AE1">
              <w:rPr>
                <w:sz w:val="20"/>
                <w:szCs w:val="20"/>
              </w:rPr>
              <w:t>$100 downstream energy efficiency</w:t>
            </w:r>
          </w:p>
          <w:p w14:paraId="384F4B39" w14:textId="77777777" w:rsidR="00A07B48" w:rsidRPr="00206AE1" w:rsidRDefault="00A07B48">
            <w:pPr>
              <w:pStyle w:val="Normal1"/>
              <w:spacing w:before="40" w:after="40"/>
              <w:contextualSpacing w:val="0"/>
              <w:rPr>
                <w:sz w:val="20"/>
                <w:szCs w:val="20"/>
              </w:rPr>
            </w:pPr>
            <w:r w:rsidRPr="00206AE1">
              <w:rPr>
                <w:sz w:val="20"/>
                <w:szCs w:val="20"/>
              </w:rPr>
              <w:t>rebate and additional $40 for optional enrollment in Demand Response</w:t>
            </w:r>
          </w:p>
        </w:tc>
        <w:tc>
          <w:tcPr>
            <w:tcW w:w="2415" w:type="dxa"/>
          </w:tcPr>
          <w:p w14:paraId="5505ABF0" w14:textId="77777777" w:rsidR="00A07B48" w:rsidRPr="00206AE1" w:rsidRDefault="00A07B48">
            <w:pPr>
              <w:pStyle w:val="Normal1"/>
              <w:spacing w:before="40" w:after="40"/>
              <w:contextualSpacing w:val="0"/>
              <w:rPr>
                <w:sz w:val="20"/>
                <w:szCs w:val="20"/>
              </w:rPr>
            </w:pPr>
            <w:r w:rsidRPr="00206AE1">
              <w:rPr>
                <w:sz w:val="20"/>
                <w:szCs w:val="20"/>
              </w:rPr>
              <w:t xml:space="preserve">Allure </w:t>
            </w:r>
            <w:proofErr w:type="spellStart"/>
            <w:r w:rsidRPr="00206AE1">
              <w:rPr>
                <w:sz w:val="20"/>
                <w:szCs w:val="20"/>
              </w:rPr>
              <w:t>EverSense</w:t>
            </w:r>
            <w:proofErr w:type="spellEnd"/>
            <w:r w:rsidRPr="00206AE1">
              <w:rPr>
                <w:sz w:val="20"/>
                <w:szCs w:val="20"/>
              </w:rPr>
              <w:t xml:space="preserve">, ecobee3, Honeywell Lyric, Lennox </w:t>
            </w:r>
            <w:proofErr w:type="spellStart"/>
            <w:r w:rsidRPr="00206AE1">
              <w:rPr>
                <w:sz w:val="20"/>
                <w:szCs w:val="20"/>
              </w:rPr>
              <w:t>iComfort</w:t>
            </w:r>
            <w:proofErr w:type="spellEnd"/>
            <w:r w:rsidRPr="00206AE1">
              <w:rPr>
                <w:sz w:val="20"/>
                <w:szCs w:val="20"/>
              </w:rPr>
              <w:t xml:space="preserve"> S30, LUX/GEO, Nest Learning Thermostat, Radio Thermostat CT50, Radio Thermostat CT80</w:t>
            </w:r>
          </w:p>
        </w:tc>
        <w:tc>
          <w:tcPr>
            <w:tcW w:w="1005" w:type="dxa"/>
          </w:tcPr>
          <w:p w14:paraId="55A1F50C" w14:textId="77777777" w:rsidR="00A07B48" w:rsidRPr="00206AE1" w:rsidRDefault="00A07B48">
            <w:pPr>
              <w:pStyle w:val="Normal1"/>
              <w:spacing w:before="40" w:after="40"/>
              <w:contextualSpacing w:val="0"/>
              <w:rPr>
                <w:sz w:val="20"/>
                <w:szCs w:val="20"/>
              </w:rPr>
            </w:pPr>
            <w:r w:rsidRPr="00206AE1">
              <w:rPr>
                <w:sz w:val="20"/>
                <w:szCs w:val="20"/>
              </w:rPr>
              <w:t>0.96</w:t>
            </w:r>
            <w:r w:rsidRPr="00206AE1">
              <w:rPr>
                <w:sz w:val="20"/>
                <w:szCs w:val="20"/>
                <w:vertAlign w:val="superscript"/>
              </w:rPr>
              <w:t>(5)</w:t>
            </w:r>
          </w:p>
        </w:tc>
      </w:tr>
      <w:tr w:rsidR="00A07B48" w:rsidRPr="00206AE1" w14:paraId="20E548D5" w14:textId="77777777" w:rsidTr="00A0158C">
        <w:trPr>
          <w:jc w:val="center"/>
        </w:trPr>
        <w:tc>
          <w:tcPr>
            <w:tcW w:w="1710" w:type="dxa"/>
          </w:tcPr>
          <w:p w14:paraId="34D5E40C" w14:textId="77777777" w:rsidR="00A07B48" w:rsidRPr="00206AE1" w:rsidRDefault="00A07B48">
            <w:pPr>
              <w:pStyle w:val="Normal1"/>
              <w:spacing w:before="40" w:after="40"/>
              <w:contextualSpacing w:val="0"/>
              <w:rPr>
                <w:sz w:val="20"/>
                <w:szCs w:val="20"/>
              </w:rPr>
            </w:pPr>
            <w:r w:rsidRPr="00206AE1">
              <w:rPr>
                <w:sz w:val="20"/>
                <w:szCs w:val="20"/>
              </w:rPr>
              <w:t>National Grid</w:t>
            </w:r>
          </w:p>
        </w:tc>
        <w:tc>
          <w:tcPr>
            <w:tcW w:w="1022" w:type="dxa"/>
          </w:tcPr>
          <w:p w14:paraId="76D525C0" w14:textId="77777777" w:rsidR="00A07B48" w:rsidRPr="00206AE1" w:rsidRDefault="00A07B48">
            <w:pPr>
              <w:pStyle w:val="Normal1"/>
              <w:spacing w:before="40" w:after="40"/>
              <w:rPr>
                <w:sz w:val="20"/>
                <w:szCs w:val="20"/>
              </w:rPr>
            </w:pPr>
          </w:p>
        </w:tc>
        <w:tc>
          <w:tcPr>
            <w:tcW w:w="1318" w:type="dxa"/>
          </w:tcPr>
          <w:p w14:paraId="4B3EA134" w14:textId="77777777" w:rsidR="00A07B48" w:rsidRPr="00206AE1" w:rsidRDefault="00A07B48" w:rsidP="00A07B48">
            <w:pPr>
              <w:rPr>
                <w:rFonts w:asciiTheme="majorHAnsi" w:eastAsia="Times New Roman" w:hAnsiTheme="majorHAnsi" w:cs="Times New Roman"/>
                <w:color w:val="auto"/>
                <w:sz w:val="20"/>
                <w:szCs w:val="20"/>
              </w:rPr>
            </w:pPr>
            <w:r w:rsidRPr="00206AE1">
              <w:rPr>
                <w:rFonts w:asciiTheme="majorHAnsi" w:eastAsia="Times New Roman" w:hAnsiTheme="majorHAnsi" w:cs="Times New Roman"/>
                <w:color w:val="auto"/>
                <w:sz w:val="20"/>
                <w:szCs w:val="20"/>
              </w:rPr>
              <w:t>2013-2015 Program Years</w:t>
            </w:r>
          </w:p>
          <w:p w14:paraId="0C9A6153" w14:textId="1BF3E642" w:rsidR="00A07B48" w:rsidRPr="00206AE1" w:rsidRDefault="00A07B48">
            <w:pPr>
              <w:pStyle w:val="Normal1"/>
              <w:spacing w:before="40" w:after="40"/>
              <w:contextualSpacing w:val="0"/>
              <w:rPr>
                <w:sz w:val="20"/>
                <w:szCs w:val="20"/>
              </w:rPr>
            </w:pPr>
          </w:p>
        </w:tc>
        <w:tc>
          <w:tcPr>
            <w:tcW w:w="1950" w:type="dxa"/>
          </w:tcPr>
          <w:p w14:paraId="19947323" w14:textId="77777777" w:rsidR="00A07B48" w:rsidRPr="00206AE1" w:rsidRDefault="00A07B48">
            <w:pPr>
              <w:pStyle w:val="Normal1"/>
              <w:spacing w:before="40" w:after="40"/>
              <w:contextualSpacing w:val="0"/>
              <w:rPr>
                <w:sz w:val="20"/>
                <w:szCs w:val="20"/>
              </w:rPr>
            </w:pPr>
            <w:r w:rsidRPr="00206AE1">
              <w:rPr>
                <w:sz w:val="20"/>
                <w:szCs w:val="20"/>
              </w:rPr>
              <w:t>$100 downstream energy efficiency rebate and additional $40 for optional enrollment in Demand Response</w:t>
            </w:r>
          </w:p>
        </w:tc>
        <w:tc>
          <w:tcPr>
            <w:tcW w:w="2415" w:type="dxa"/>
          </w:tcPr>
          <w:p w14:paraId="6F11D237" w14:textId="77777777" w:rsidR="00A07B48" w:rsidRPr="00206AE1" w:rsidRDefault="00A07B48">
            <w:pPr>
              <w:pStyle w:val="Normal1"/>
              <w:spacing w:before="40" w:after="40"/>
              <w:contextualSpacing w:val="0"/>
              <w:rPr>
                <w:sz w:val="20"/>
                <w:szCs w:val="20"/>
              </w:rPr>
            </w:pPr>
            <w:r w:rsidRPr="00206AE1">
              <w:rPr>
                <w:sz w:val="20"/>
                <w:szCs w:val="20"/>
              </w:rPr>
              <w:t xml:space="preserve">Building 36 Intelligent Thermostat, </w:t>
            </w:r>
            <w:proofErr w:type="spellStart"/>
            <w:r w:rsidRPr="00206AE1">
              <w:rPr>
                <w:sz w:val="20"/>
                <w:szCs w:val="20"/>
              </w:rPr>
              <w:t>ecobee</w:t>
            </w:r>
            <w:proofErr w:type="spellEnd"/>
            <w:r w:rsidRPr="00206AE1">
              <w:rPr>
                <w:sz w:val="20"/>
                <w:szCs w:val="20"/>
              </w:rPr>
              <w:t xml:space="preserve"> Smart Si, Honeywell Wi-Fi 9000, Nest Learning Thermostat </w:t>
            </w:r>
          </w:p>
        </w:tc>
        <w:tc>
          <w:tcPr>
            <w:tcW w:w="1005" w:type="dxa"/>
          </w:tcPr>
          <w:p w14:paraId="19BA7348" w14:textId="1E09D29E" w:rsidR="00A07B48" w:rsidRPr="00206AE1" w:rsidRDefault="00A07B48" w:rsidP="00FB6D0C">
            <w:pPr>
              <w:pStyle w:val="Normal1"/>
              <w:spacing w:before="40" w:after="40"/>
              <w:contextualSpacing w:val="0"/>
              <w:rPr>
                <w:sz w:val="20"/>
                <w:szCs w:val="20"/>
              </w:rPr>
            </w:pPr>
            <w:r w:rsidRPr="00206AE1">
              <w:rPr>
                <w:sz w:val="20"/>
                <w:szCs w:val="20"/>
              </w:rPr>
              <w:t>1.00</w:t>
            </w:r>
            <w:r w:rsidRPr="00206AE1">
              <w:rPr>
                <w:sz w:val="20"/>
                <w:szCs w:val="20"/>
                <w:vertAlign w:val="superscript"/>
              </w:rPr>
              <w:t xml:space="preserve">(33) </w:t>
            </w:r>
          </w:p>
        </w:tc>
      </w:tr>
      <w:tr w:rsidR="00A07B48" w:rsidRPr="00206AE1" w14:paraId="56B14496" w14:textId="77777777" w:rsidTr="00A0158C">
        <w:trPr>
          <w:jc w:val="center"/>
        </w:trPr>
        <w:tc>
          <w:tcPr>
            <w:tcW w:w="1710" w:type="dxa"/>
          </w:tcPr>
          <w:p w14:paraId="1727C549" w14:textId="77777777" w:rsidR="00A07B48" w:rsidRPr="00206AE1" w:rsidRDefault="00A07B48">
            <w:pPr>
              <w:pStyle w:val="Normal1"/>
              <w:spacing w:before="40" w:after="40"/>
              <w:contextualSpacing w:val="0"/>
              <w:rPr>
                <w:sz w:val="20"/>
                <w:szCs w:val="20"/>
              </w:rPr>
            </w:pPr>
            <w:r w:rsidRPr="00206AE1">
              <w:rPr>
                <w:sz w:val="20"/>
                <w:szCs w:val="20"/>
              </w:rPr>
              <w:t>Enbridge Natural Gas</w:t>
            </w:r>
          </w:p>
        </w:tc>
        <w:tc>
          <w:tcPr>
            <w:tcW w:w="1022" w:type="dxa"/>
          </w:tcPr>
          <w:p w14:paraId="6E7B40A9" w14:textId="674B52E4" w:rsidR="00A07B48" w:rsidRPr="00206AE1" w:rsidRDefault="00A07B48">
            <w:pPr>
              <w:pStyle w:val="Normal1"/>
              <w:spacing w:before="40" w:after="40"/>
              <w:rPr>
                <w:sz w:val="20"/>
                <w:szCs w:val="20"/>
              </w:rPr>
            </w:pPr>
            <w:r w:rsidRPr="00206AE1">
              <w:rPr>
                <w:sz w:val="20"/>
                <w:szCs w:val="20"/>
              </w:rPr>
              <w:t>Ontario (CAN)</w:t>
            </w:r>
          </w:p>
        </w:tc>
        <w:tc>
          <w:tcPr>
            <w:tcW w:w="1318" w:type="dxa"/>
          </w:tcPr>
          <w:p w14:paraId="6BC833F2" w14:textId="3BEEECA3" w:rsidR="00A07B48" w:rsidRPr="00206AE1" w:rsidRDefault="00150A4C">
            <w:pPr>
              <w:pStyle w:val="Normal1"/>
              <w:spacing w:before="40" w:after="40"/>
              <w:contextualSpacing w:val="0"/>
              <w:rPr>
                <w:sz w:val="20"/>
                <w:szCs w:val="20"/>
              </w:rPr>
            </w:pPr>
            <w:r w:rsidRPr="00206AE1">
              <w:rPr>
                <w:sz w:val="20"/>
                <w:szCs w:val="20"/>
              </w:rPr>
              <w:t>December, 2015</w:t>
            </w:r>
          </w:p>
        </w:tc>
        <w:tc>
          <w:tcPr>
            <w:tcW w:w="1950" w:type="dxa"/>
          </w:tcPr>
          <w:p w14:paraId="7A7DAE1E" w14:textId="77777777" w:rsidR="00A07B48" w:rsidRPr="00206AE1" w:rsidRDefault="00A07B48">
            <w:pPr>
              <w:pStyle w:val="Normal1"/>
              <w:spacing w:before="40" w:after="40"/>
              <w:contextualSpacing w:val="0"/>
              <w:rPr>
                <w:sz w:val="20"/>
                <w:szCs w:val="20"/>
              </w:rPr>
            </w:pPr>
            <w:r w:rsidRPr="00206AE1">
              <w:rPr>
                <w:sz w:val="20"/>
                <w:szCs w:val="20"/>
              </w:rPr>
              <w:t>$100 downstream energy efficiency rebate</w:t>
            </w:r>
          </w:p>
        </w:tc>
        <w:tc>
          <w:tcPr>
            <w:tcW w:w="2415" w:type="dxa"/>
          </w:tcPr>
          <w:p w14:paraId="428DA19F" w14:textId="77777777" w:rsidR="00A07B48" w:rsidRPr="00206AE1" w:rsidRDefault="00A07B48">
            <w:pPr>
              <w:pStyle w:val="Normal1"/>
              <w:spacing w:before="40" w:after="40"/>
              <w:contextualSpacing w:val="0"/>
              <w:rPr>
                <w:sz w:val="20"/>
                <w:szCs w:val="20"/>
              </w:rPr>
            </w:pPr>
            <w:r w:rsidRPr="00206AE1">
              <w:rPr>
                <w:sz w:val="20"/>
                <w:szCs w:val="20"/>
              </w:rPr>
              <w:t>Nest Learning Thermostat and the ecobee3</w:t>
            </w:r>
          </w:p>
        </w:tc>
        <w:tc>
          <w:tcPr>
            <w:tcW w:w="1005" w:type="dxa"/>
          </w:tcPr>
          <w:p w14:paraId="4E7E19D1" w14:textId="77777777" w:rsidR="00A07B48" w:rsidRPr="00206AE1" w:rsidRDefault="00A07B48">
            <w:pPr>
              <w:pStyle w:val="Normal1"/>
              <w:spacing w:before="40" w:after="40"/>
              <w:contextualSpacing w:val="0"/>
              <w:rPr>
                <w:sz w:val="20"/>
                <w:szCs w:val="20"/>
              </w:rPr>
            </w:pPr>
            <w:r w:rsidRPr="00206AE1">
              <w:rPr>
                <w:sz w:val="20"/>
                <w:szCs w:val="20"/>
              </w:rPr>
              <w:t>0.96</w:t>
            </w:r>
            <w:r w:rsidRPr="00206AE1">
              <w:rPr>
                <w:sz w:val="20"/>
                <w:szCs w:val="20"/>
                <w:vertAlign w:val="superscript"/>
              </w:rPr>
              <w:t>(7)</w:t>
            </w:r>
          </w:p>
        </w:tc>
      </w:tr>
      <w:tr w:rsidR="00A07B48" w:rsidRPr="00206AE1" w14:paraId="02B7E344" w14:textId="77777777" w:rsidTr="00A0158C">
        <w:trPr>
          <w:jc w:val="center"/>
        </w:trPr>
        <w:tc>
          <w:tcPr>
            <w:tcW w:w="1710" w:type="dxa"/>
          </w:tcPr>
          <w:p w14:paraId="69A10A47" w14:textId="77777777" w:rsidR="00A07B48" w:rsidRPr="00206AE1" w:rsidRDefault="00A07B48">
            <w:pPr>
              <w:pStyle w:val="Normal1"/>
              <w:spacing w:before="40" w:after="40"/>
              <w:contextualSpacing w:val="0"/>
              <w:rPr>
                <w:sz w:val="20"/>
                <w:szCs w:val="20"/>
              </w:rPr>
            </w:pPr>
            <w:proofErr w:type="spellStart"/>
            <w:r w:rsidRPr="00206AE1">
              <w:rPr>
                <w:sz w:val="20"/>
                <w:szCs w:val="20"/>
              </w:rPr>
              <w:t>Vectren</w:t>
            </w:r>
            <w:proofErr w:type="spellEnd"/>
            <w:r w:rsidRPr="00206AE1">
              <w:rPr>
                <w:sz w:val="20"/>
                <w:szCs w:val="20"/>
              </w:rPr>
              <w:t xml:space="preserve"> </w:t>
            </w:r>
          </w:p>
        </w:tc>
        <w:tc>
          <w:tcPr>
            <w:tcW w:w="1022" w:type="dxa"/>
          </w:tcPr>
          <w:p w14:paraId="25F9BFCF" w14:textId="6F4AE61A" w:rsidR="00A07B48" w:rsidRPr="00206AE1" w:rsidRDefault="00A07B48">
            <w:pPr>
              <w:pStyle w:val="Normal1"/>
              <w:spacing w:before="40" w:after="40"/>
              <w:rPr>
                <w:sz w:val="20"/>
                <w:szCs w:val="20"/>
              </w:rPr>
            </w:pPr>
          </w:p>
        </w:tc>
        <w:tc>
          <w:tcPr>
            <w:tcW w:w="1318" w:type="dxa"/>
          </w:tcPr>
          <w:p w14:paraId="62143330" w14:textId="50762F89" w:rsidR="00A07B48" w:rsidRPr="00206AE1" w:rsidRDefault="00024EE4">
            <w:pPr>
              <w:pStyle w:val="Normal1"/>
              <w:spacing w:before="40" w:after="40"/>
              <w:contextualSpacing w:val="0"/>
              <w:rPr>
                <w:sz w:val="20"/>
                <w:szCs w:val="20"/>
              </w:rPr>
            </w:pPr>
            <w:r w:rsidRPr="00206AE1">
              <w:rPr>
                <w:sz w:val="20"/>
                <w:szCs w:val="20"/>
              </w:rPr>
              <w:t>June, 2015</w:t>
            </w:r>
          </w:p>
        </w:tc>
        <w:tc>
          <w:tcPr>
            <w:tcW w:w="1950" w:type="dxa"/>
          </w:tcPr>
          <w:p w14:paraId="3BFC99C5" w14:textId="77777777" w:rsidR="00A07B48" w:rsidRPr="00206AE1" w:rsidRDefault="00A07B48">
            <w:pPr>
              <w:pStyle w:val="Normal1"/>
              <w:spacing w:before="40" w:after="40"/>
              <w:contextualSpacing w:val="0"/>
              <w:rPr>
                <w:sz w:val="20"/>
                <w:szCs w:val="20"/>
              </w:rPr>
            </w:pPr>
            <w:r w:rsidRPr="00206AE1">
              <w:rPr>
                <w:sz w:val="20"/>
                <w:szCs w:val="20"/>
              </w:rPr>
              <w:t xml:space="preserve">$100 energy efficiency downstream rebate </w:t>
            </w:r>
          </w:p>
        </w:tc>
        <w:tc>
          <w:tcPr>
            <w:tcW w:w="2415" w:type="dxa"/>
          </w:tcPr>
          <w:p w14:paraId="64A3F288" w14:textId="77777777" w:rsidR="00A07B48" w:rsidRPr="00206AE1" w:rsidRDefault="00A07B48">
            <w:pPr>
              <w:pStyle w:val="Normal1"/>
              <w:spacing w:before="40" w:after="40"/>
              <w:contextualSpacing w:val="0"/>
              <w:rPr>
                <w:sz w:val="20"/>
                <w:szCs w:val="20"/>
              </w:rPr>
            </w:pPr>
            <w:r w:rsidRPr="00206AE1">
              <w:rPr>
                <w:sz w:val="20"/>
                <w:szCs w:val="20"/>
              </w:rPr>
              <w:t xml:space="preserve">Extensive list published on </w:t>
            </w:r>
            <w:proofErr w:type="spellStart"/>
            <w:r w:rsidRPr="00206AE1">
              <w:rPr>
                <w:sz w:val="20"/>
                <w:szCs w:val="20"/>
              </w:rPr>
              <w:t>Vectren</w:t>
            </w:r>
            <w:proofErr w:type="spellEnd"/>
            <w:r w:rsidRPr="00206AE1">
              <w:rPr>
                <w:sz w:val="20"/>
                <w:szCs w:val="20"/>
              </w:rPr>
              <w:t xml:space="preserve"> site</w:t>
            </w:r>
            <w:r w:rsidRPr="00206AE1">
              <w:rPr>
                <w:sz w:val="20"/>
                <w:szCs w:val="20"/>
                <w:vertAlign w:val="superscript"/>
              </w:rPr>
              <w:footnoteReference w:id="4"/>
            </w:r>
          </w:p>
        </w:tc>
        <w:tc>
          <w:tcPr>
            <w:tcW w:w="1005" w:type="dxa"/>
          </w:tcPr>
          <w:p w14:paraId="009C2EB1" w14:textId="77777777" w:rsidR="00A07B48" w:rsidRPr="00206AE1" w:rsidRDefault="00A07B48">
            <w:pPr>
              <w:pStyle w:val="Normal1"/>
              <w:spacing w:before="40" w:after="40"/>
              <w:contextualSpacing w:val="0"/>
              <w:rPr>
                <w:sz w:val="20"/>
                <w:szCs w:val="20"/>
              </w:rPr>
            </w:pPr>
            <w:r w:rsidRPr="00206AE1">
              <w:rPr>
                <w:sz w:val="20"/>
                <w:szCs w:val="20"/>
              </w:rPr>
              <w:t>1.00</w:t>
            </w:r>
            <w:r w:rsidRPr="00206AE1">
              <w:rPr>
                <w:sz w:val="20"/>
                <w:szCs w:val="20"/>
                <w:vertAlign w:val="superscript"/>
              </w:rPr>
              <w:t>(8)</w:t>
            </w:r>
          </w:p>
        </w:tc>
      </w:tr>
    </w:tbl>
    <w:p w14:paraId="63966C90" w14:textId="77777777" w:rsidR="00576C8C" w:rsidRDefault="00576C8C">
      <w:pPr>
        <w:pStyle w:val="Normal1"/>
        <w:spacing w:before="40" w:after="40"/>
      </w:pPr>
    </w:p>
    <w:p w14:paraId="1CCFB2E1" w14:textId="5AD9ED09" w:rsidR="00576C8C" w:rsidRDefault="007173B2">
      <w:pPr>
        <w:pStyle w:val="Normal1"/>
        <w:spacing w:before="40" w:after="40"/>
      </w:pPr>
      <w:r>
        <w:t xml:space="preserve">The 0.96 NTG value used for both of these programs is based on a white paper by </w:t>
      </w:r>
      <w:proofErr w:type="spellStart"/>
      <w:r>
        <w:t>CLEAResult</w:t>
      </w:r>
      <w:proofErr w:type="spellEnd"/>
      <w:r>
        <w:t xml:space="preserve"> Consulting, “Smart Thermostats: A </w:t>
      </w:r>
      <w:proofErr w:type="spellStart"/>
      <w:r>
        <w:t>CLEAResult</w:t>
      </w:r>
      <w:proofErr w:type="spellEnd"/>
      <w:r>
        <w:t xml:space="preserve"> White Paper Prepared for Commonwealth Edison.”</w:t>
      </w:r>
      <w:r w:rsidR="0020202D">
        <w:rPr>
          <w:vertAlign w:val="superscript"/>
        </w:rPr>
        <w:t>(34)</w:t>
      </w:r>
      <w:r>
        <w:t xml:space="preserve"> The report shows that: </w:t>
      </w:r>
    </w:p>
    <w:p w14:paraId="670E35CE" w14:textId="77777777" w:rsidR="00576C8C" w:rsidRDefault="00576C8C">
      <w:pPr>
        <w:pStyle w:val="Normal1"/>
        <w:spacing w:before="40" w:after="40"/>
      </w:pPr>
    </w:p>
    <w:p w14:paraId="27331866" w14:textId="77777777" w:rsidR="00576C8C" w:rsidRPr="00206AE1" w:rsidRDefault="007173B2">
      <w:pPr>
        <w:pStyle w:val="Normal1"/>
      </w:pPr>
      <w:r w:rsidRPr="00206AE1">
        <w:rPr>
          <w:i/>
          <w:color w:val="222222"/>
          <w:highlight w:val="white"/>
        </w:rPr>
        <w:t>“Given the higher cost of smart thermostats, as well as low saturation in Illinois as reported by sales representatives for Honeywell, </w:t>
      </w:r>
      <w:proofErr w:type="spellStart"/>
      <w:r w:rsidRPr="00206AE1">
        <w:rPr>
          <w:i/>
          <w:color w:val="222222"/>
          <w:highlight w:val="white"/>
        </w:rPr>
        <w:t>Ecobee</w:t>
      </w:r>
      <w:proofErr w:type="spellEnd"/>
      <w:r w:rsidRPr="00206AE1">
        <w:rPr>
          <w:i/>
          <w:color w:val="222222"/>
          <w:highlight w:val="white"/>
        </w:rPr>
        <w:t>, and Nest, a smart thermostat program is likely to see low free ridership and thus a strong NTG figure.”</w:t>
      </w:r>
    </w:p>
    <w:p w14:paraId="1B0AB731" w14:textId="77777777" w:rsidR="00576C8C" w:rsidRDefault="00576C8C">
      <w:pPr>
        <w:pStyle w:val="Normal1"/>
        <w:spacing w:before="40" w:after="40"/>
      </w:pPr>
    </w:p>
    <w:p w14:paraId="05228D19" w14:textId="3BFE7320" w:rsidR="00576C8C" w:rsidRDefault="007173B2">
      <w:pPr>
        <w:pStyle w:val="Normal1"/>
        <w:spacing w:before="40" w:after="40"/>
      </w:pPr>
      <w:r>
        <w:rPr>
          <w:b/>
        </w:rPr>
        <w:t>1.4.</w:t>
      </w:r>
      <w:r w:rsidR="005A7BDD">
        <w:rPr>
          <w:b/>
        </w:rPr>
        <w:t>2.2</w:t>
      </w:r>
      <w:r>
        <w:rPr>
          <w:b/>
        </w:rPr>
        <w:t xml:space="preserve"> Net-to-Gross Ratio: Supporting Program Data</w:t>
      </w:r>
    </w:p>
    <w:p w14:paraId="1E47923C" w14:textId="32DBC557" w:rsidR="00576C8C" w:rsidRDefault="007173B2">
      <w:pPr>
        <w:pStyle w:val="Normal1"/>
        <w:spacing w:before="40" w:after="40"/>
      </w:pPr>
      <w:r>
        <w:t xml:space="preserve">In addition to documented smart thermostat program NTG values, prior program results demonstrate that, because of the price elasticity of smart thermostat products, customers who were “sitting on the sidelines” because of the high upfront cost of the technology will make the decision to purchase after an up-front rebate or incentive is offered via a utility program. </w:t>
      </w:r>
    </w:p>
    <w:p w14:paraId="6A241095" w14:textId="77777777" w:rsidR="00CE7A9F" w:rsidRDefault="00CE7A9F">
      <w:pPr>
        <w:pStyle w:val="Normal1"/>
        <w:spacing w:before="40" w:after="40"/>
      </w:pPr>
    </w:p>
    <w:p w14:paraId="3AC1DA25" w14:textId="77777777" w:rsidR="00576C8C" w:rsidRDefault="007173B2">
      <w:pPr>
        <w:pStyle w:val="Normal1"/>
        <w:spacing w:before="40" w:after="40"/>
      </w:pPr>
      <w:r w:rsidRPr="009F2120">
        <w:rPr>
          <w:b/>
          <w:i/>
        </w:rPr>
        <w:t>SCE and SoCal Gas Joint Rebate Drives Significant Participation and Device Purchase Ramp-Up</w:t>
      </w:r>
    </w:p>
    <w:p w14:paraId="7E75A465" w14:textId="004A93EE" w:rsidR="002568E8" w:rsidRDefault="007173B2" w:rsidP="009A2561">
      <w:pPr>
        <w:pStyle w:val="Normal1"/>
        <w:spacing w:before="40" w:after="40"/>
        <w:rPr>
          <w:b/>
        </w:rPr>
      </w:pPr>
      <w:r>
        <w:t>The new $125 up-front incentive jointly offered by SCE and SoCal Ga</w:t>
      </w:r>
      <w:r w:rsidR="006033A7">
        <w:t>s, although launched less than 8</w:t>
      </w:r>
      <w:r>
        <w:t xml:space="preserve"> months ago as of this writing, has already driven a remarkable ramp-up in demand response program participation. Most notably, the percentage of devices enrolling in the program that were purchased after program launch is significant. The figure below shows very clearly that program engagement, when an up-front incentive is offered, increases dramatically. </w:t>
      </w:r>
      <w:r w:rsidR="007D1E8C">
        <w:t xml:space="preserve">The daily rate of </w:t>
      </w:r>
      <w:r w:rsidR="007D1E8C">
        <w:lastRenderedPageBreak/>
        <w:t xml:space="preserve">program enrollments increased over 6 fold as compared to the prior program design that did not include an upfront incentive. </w:t>
      </w:r>
    </w:p>
    <w:p w14:paraId="0230A896" w14:textId="77777777" w:rsidR="002568E8" w:rsidRDefault="002568E8" w:rsidP="00491B45">
      <w:pPr>
        <w:pStyle w:val="Normal1"/>
        <w:spacing w:before="40" w:after="40"/>
        <w:jc w:val="center"/>
        <w:rPr>
          <w:b/>
        </w:rPr>
      </w:pPr>
    </w:p>
    <w:p w14:paraId="5171F8DF" w14:textId="185B237B" w:rsidR="00576C8C" w:rsidRDefault="007173B2" w:rsidP="00491B45">
      <w:pPr>
        <w:pStyle w:val="Normal1"/>
        <w:spacing w:before="40" w:after="40"/>
        <w:jc w:val="center"/>
      </w:pPr>
      <w:r>
        <w:rPr>
          <w:b/>
        </w:rPr>
        <w:t>Enrollment in SCE’s PTR Program Before and After Launch of Up-Front Incentive</w:t>
      </w:r>
    </w:p>
    <w:p w14:paraId="1C656A44" w14:textId="41817540" w:rsidR="00576C8C" w:rsidRDefault="000A7F83">
      <w:pPr>
        <w:pStyle w:val="Normal1"/>
        <w:spacing w:before="40" w:after="40"/>
      </w:pPr>
      <w:r>
        <w:rPr>
          <w:noProof/>
        </w:rPr>
        <w:drawing>
          <wp:inline distT="0" distB="0" distL="0" distR="0" wp14:anchorId="1E7BEA99" wp14:editId="6DDED340">
            <wp:extent cx="5600700" cy="2680677"/>
            <wp:effectExtent l="0" t="0" r="0" b="1206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 Shot 2017-02-15 at 11.45.08 AM.png"/>
                    <pic:cNvPicPr/>
                  </pic:nvPicPr>
                  <pic:blipFill>
                    <a:blip r:embed="rId9">
                      <a:extLst>
                        <a:ext uri="{28A0092B-C50C-407E-A947-70E740481C1C}">
                          <a14:useLocalDpi xmlns:a14="http://schemas.microsoft.com/office/drawing/2010/main" val="0"/>
                        </a:ext>
                      </a:extLst>
                    </a:blip>
                    <a:stretch>
                      <a:fillRect/>
                    </a:stretch>
                  </pic:blipFill>
                  <pic:spPr>
                    <a:xfrm>
                      <a:off x="0" y="0"/>
                      <a:ext cx="5600700" cy="2680677"/>
                    </a:xfrm>
                    <a:prstGeom prst="rect">
                      <a:avLst/>
                    </a:prstGeom>
                  </pic:spPr>
                </pic:pic>
              </a:graphicData>
            </a:graphic>
          </wp:inline>
        </w:drawing>
      </w:r>
    </w:p>
    <w:p w14:paraId="29A8924C" w14:textId="77777777" w:rsidR="000E0FC0" w:rsidRDefault="000E0FC0">
      <w:pPr>
        <w:pStyle w:val="Normal1"/>
        <w:spacing w:before="40" w:after="40"/>
      </w:pPr>
    </w:p>
    <w:p w14:paraId="2D0FCB14" w14:textId="66C9678A" w:rsidR="00576C8C" w:rsidRDefault="007173B2">
      <w:pPr>
        <w:pStyle w:val="Normal1"/>
        <w:spacing w:before="40" w:after="40"/>
      </w:pPr>
      <w:r>
        <w:t>The SCE/SoCal Gas program examples show that up-front incentives drive smart thermostat activity and engagement that would not take place without utility program intervention.</w:t>
      </w:r>
    </w:p>
    <w:p w14:paraId="57960999" w14:textId="77777777" w:rsidR="004B496F" w:rsidRDefault="004B496F">
      <w:pPr>
        <w:pStyle w:val="Normal1"/>
        <w:spacing w:before="40" w:after="40"/>
      </w:pPr>
    </w:p>
    <w:p w14:paraId="2AC94901" w14:textId="0EC4A003" w:rsidR="00CF014A" w:rsidRPr="000D36DC" w:rsidRDefault="005B538E">
      <w:pPr>
        <w:pStyle w:val="Normal1"/>
        <w:spacing w:before="40" w:after="40"/>
        <w:rPr>
          <w:color w:val="auto"/>
        </w:rPr>
      </w:pPr>
      <w:r>
        <w:rPr>
          <w:color w:val="auto"/>
        </w:rPr>
        <w:t>As mentioned</w:t>
      </w:r>
      <w:r w:rsidR="00CF014A" w:rsidRPr="000D36DC">
        <w:rPr>
          <w:color w:val="auto"/>
        </w:rPr>
        <w:t xml:space="preserve">, not only did the up-front incentives drive new program enrollments, </w:t>
      </w:r>
      <w:r w:rsidR="000D36DC" w:rsidRPr="000D36DC">
        <w:rPr>
          <w:color w:val="auto"/>
        </w:rPr>
        <w:t>it</w:t>
      </w:r>
      <w:r w:rsidR="00CF014A" w:rsidRPr="000D36DC">
        <w:rPr>
          <w:color w:val="auto"/>
        </w:rPr>
        <w:t xml:space="preserve"> drove increased adoption of the technology as the chart below shows. Initial new enrollments were from customers who already had the technology, but that quickly transitioned to a high portion of new customers. </w:t>
      </w:r>
    </w:p>
    <w:p w14:paraId="37715960" w14:textId="77777777" w:rsidR="00CF014A" w:rsidRDefault="00CF014A">
      <w:pPr>
        <w:pStyle w:val="Normal1"/>
        <w:spacing w:before="40" w:after="40"/>
        <w:rPr>
          <w:color w:val="FF0000"/>
        </w:rPr>
      </w:pPr>
    </w:p>
    <w:p w14:paraId="7ED5FD41" w14:textId="4E51F6B1" w:rsidR="002D7183" w:rsidRPr="00581574" w:rsidRDefault="008C4F13">
      <w:pPr>
        <w:pStyle w:val="Normal1"/>
        <w:spacing w:before="40" w:after="40"/>
        <w:rPr>
          <w:color w:val="FF0000"/>
        </w:rPr>
      </w:pPr>
      <w:r>
        <w:rPr>
          <w:noProof/>
          <w:color w:val="FF0000"/>
        </w:rPr>
        <w:lastRenderedPageBreak/>
        <w:drawing>
          <wp:inline distT="0" distB="0" distL="0" distR="0" wp14:anchorId="66CC7B4A" wp14:editId="5B71337C">
            <wp:extent cx="5257800" cy="3588897"/>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 Shot 2017-01-20 at 7.21.30 AM.png"/>
                    <pic:cNvPicPr/>
                  </pic:nvPicPr>
                  <pic:blipFill>
                    <a:blip r:embed="rId10">
                      <a:extLst>
                        <a:ext uri="{28A0092B-C50C-407E-A947-70E740481C1C}">
                          <a14:useLocalDpi xmlns:a14="http://schemas.microsoft.com/office/drawing/2010/main" val="0"/>
                        </a:ext>
                      </a:extLst>
                    </a:blip>
                    <a:stretch>
                      <a:fillRect/>
                    </a:stretch>
                  </pic:blipFill>
                  <pic:spPr>
                    <a:xfrm>
                      <a:off x="0" y="0"/>
                      <a:ext cx="5258905" cy="3589652"/>
                    </a:xfrm>
                    <a:prstGeom prst="rect">
                      <a:avLst/>
                    </a:prstGeom>
                  </pic:spPr>
                </pic:pic>
              </a:graphicData>
            </a:graphic>
          </wp:inline>
        </w:drawing>
      </w:r>
    </w:p>
    <w:p w14:paraId="51EE952F" w14:textId="08BD17F6" w:rsidR="00576C8C" w:rsidRDefault="00D171B5">
      <w:pPr>
        <w:pStyle w:val="Normal1"/>
        <w:spacing w:before="40" w:after="40"/>
      </w:pPr>
      <w:r>
        <w:rPr>
          <w:b/>
        </w:rPr>
        <w:t>1.4.2</w:t>
      </w:r>
      <w:r w:rsidR="007173B2">
        <w:rPr>
          <w:b/>
        </w:rPr>
        <w:t>.3 Net-to-Gross Ratio: Alignment with IDSM and AB793 Strategies</w:t>
      </w:r>
    </w:p>
    <w:p w14:paraId="48DDFA86" w14:textId="77777777" w:rsidR="00576C8C" w:rsidRDefault="007173B2">
      <w:pPr>
        <w:pStyle w:val="Normal1"/>
        <w:spacing w:before="40" w:after="40"/>
      </w:pPr>
      <w:r>
        <w:rPr>
          <w:color w:val="212121"/>
          <w:highlight w:val="white"/>
        </w:rPr>
        <w:t>It is also important to consider the context of smart thermostat programs that deliver benefits to multiple utility programs. Because smart thermostats can deliver energy savings alongside demand response or Time of Use load management, it is important that the NTG Ratio for this measure be assessed in an integrated manner that is consistent with the goals of AB793, California's Long Term Strategic Energy Efficiency Plan, and California's long stated goals for integrated demand side management. These strategic drivers encourage the adoption of this type of technology - which can deliver EE and DR - to encourage the</w:t>
      </w:r>
      <w:r>
        <w:t xml:space="preserve"> integration of demand side programs to achieve maximum savings and load management benefit, avoid duplicative efforts, reducing transaction costs, and reducing customer confusion.</w:t>
      </w:r>
      <w:r>
        <w:rPr>
          <w:color w:val="212121"/>
          <w:highlight w:val="white"/>
        </w:rPr>
        <w:t xml:space="preserve"> </w:t>
      </w:r>
    </w:p>
    <w:p w14:paraId="06E0C757" w14:textId="77777777" w:rsidR="00576C8C" w:rsidRDefault="00576C8C">
      <w:pPr>
        <w:pStyle w:val="Normal1"/>
        <w:spacing w:before="40" w:after="40"/>
      </w:pPr>
      <w:bookmarkStart w:id="8" w:name="_4d34og8" w:colFirst="0" w:colLast="0"/>
      <w:bookmarkEnd w:id="8"/>
    </w:p>
    <w:p w14:paraId="784C1437" w14:textId="77777777" w:rsidR="00576C8C" w:rsidRDefault="007173B2">
      <w:pPr>
        <w:pStyle w:val="Normal1"/>
      </w:pPr>
      <w:r>
        <w:t>The relevant NTG values for the measures in this work paper are in the table below.</w:t>
      </w:r>
    </w:p>
    <w:p w14:paraId="19B08A5A" w14:textId="77777777" w:rsidR="00576C8C" w:rsidRDefault="00576C8C">
      <w:pPr>
        <w:pStyle w:val="Normal1"/>
      </w:pPr>
    </w:p>
    <w:tbl>
      <w:tblPr>
        <w:tblStyle w:val="ab"/>
        <w:tblW w:w="9960" w:type="dxa"/>
        <w:tblInd w:w="-2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290"/>
        <w:gridCol w:w="3600"/>
        <w:gridCol w:w="1095"/>
        <w:gridCol w:w="1275"/>
        <w:gridCol w:w="1500"/>
        <w:gridCol w:w="1200"/>
      </w:tblGrid>
      <w:tr w:rsidR="00576C8C" w:rsidRPr="00206AE1" w14:paraId="01C3FCE2" w14:textId="77777777">
        <w:tc>
          <w:tcPr>
            <w:tcW w:w="1290" w:type="dxa"/>
            <w:shd w:val="clear" w:color="auto" w:fill="D9D9D9"/>
          </w:tcPr>
          <w:p w14:paraId="24B868A7" w14:textId="77777777" w:rsidR="00576C8C" w:rsidRPr="00206AE1" w:rsidRDefault="007173B2">
            <w:pPr>
              <w:pStyle w:val="Normal1"/>
              <w:contextualSpacing w:val="0"/>
            </w:pPr>
            <w:r w:rsidRPr="00206AE1">
              <w:rPr>
                <w:b/>
              </w:rPr>
              <w:t>NTGR ID</w:t>
            </w:r>
          </w:p>
        </w:tc>
        <w:tc>
          <w:tcPr>
            <w:tcW w:w="3600" w:type="dxa"/>
            <w:shd w:val="clear" w:color="auto" w:fill="D9D9D9"/>
          </w:tcPr>
          <w:p w14:paraId="51938CDC" w14:textId="77777777" w:rsidR="00576C8C" w:rsidRPr="00206AE1" w:rsidRDefault="007173B2">
            <w:pPr>
              <w:pStyle w:val="Normal1"/>
              <w:contextualSpacing w:val="0"/>
            </w:pPr>
            <w:r w:rsidRPr="00206AE1">
              <w:rPr>
                <w:b/>
              </w:rPr>
              <w:t>Description</w:t>
            </w:r>
          </w:p>
        </w:tc>
        <w:tc>
          <w:tcPr>
            <w:tcW w:w="1095" w:type="dxa"/>
            <w:shd w:val="clear" w:color="auto" w:fill="D9D9D9"/>
          </w:tcPr>
          <w:p w14:paraId="248FA49F" w14:textId="77777777" w:rsidR="00576C8C" w:rsidRPr="00206AE1" w:rsidRDefault="007173B2">
            <w:pPr>
              <w:pStyle w:val="Normal1"/>
              <w:contextualSpacing w:val="0"/>
            </w:pPr>
            <w:r w:rsidRPr="00206AE1">
              <w:rPr>
                <w:b/>
              </w:rPr>
              <w:t>Sector</w:t>
            </w:r>
          </w:p>
        </w:tc>
        <w:tc>
          <w:tcPr>
            <w:tcW w:w="1275" w:type="dxa"/>
            <w:shd w:val="clear" w:color="auto" w:fill="D9D9D9"/>
          </w:tcPr>
          <w:p w14:paraId="35AB334A" w14:textId="77777777" w:rsidR="00576C8C" w:rsidRPr="00206AE1" w:rsidRDefault="007173B2">
            <w:pPr>
              <w:pStyle w:val="Normal1"/>
              <w:contextualSpacing w:val="0"/>
            </w:pPr>
            <w:proofErr w:type="spellStart"/>
            <w:r w:rsidRPr="00206AE1">
              <w:rPr>
                <w:b/>
              </w:rPr>
              <w:t>BldgType</w:t>
            </w:r>
            <w:proofErr w:type="spellEnd"/>
          </w:p>
        </w:tc>
        <w:tc>
          <w:tcPr>
            <w:tcW w:w="1500" w:type="dxa"/>
            <w:shd w:val="clear" w:color="auto" w:fill="D9D9D9"/>
          </w:tcPr>
          <w:p w14:paraId="03DB7B53" w14:textId="77777777" w:rsidR="00576C8C" w:rsidRPr="00206AE1" w:rsidRDefault="007173B2">
            <w:pPr>
              <w:pStyle w:val="Normal1"/>
              <w:contextualSpacing w:val="0"/>
            </w:pPr>
            <w:r w:rsidRPr="00206AE1">
              <w:rPr>
                <w:b/>
              </w:rPr>
              <w:t>Measure Delivery</w:t>
            </w:r>
          </w:p>
        </w:tc>
        <w:tc>
          <w:tcPr>
            <w:tcW w:w="1200" w:type="dxa"/>
            <w:shd w:val="clear" w:color="auto" w:fill="D9D9D9"/>
          </w:tcPr>
          <w:p w14:paraId="1616BFAD" w14:textId="77777777" w:rsidR="00576C8C" w:rsidRPr="00206AE1" w:rsidRDefault="007173B2">
            <w:pPr>
              <w:pStyle w:val="Normal1"/>
              <w:contextualSpacing w:val="0"/>
            </w:pPr>
            <w:r w:rsidRPr="00206AE1">
              <w:rPr>
                <w:b/>
              </w:rPr>
              <w:t>NTGR</w:t>
            </w:r>
          </w:p>
        </w:tc>
      </w:tr>
      <w:tr w:rsidR="00576C8C" w:rsidRPr="00206AE1" w14:paraId="2F758F50" w14:textId="77777777">
        <w:tc>
          <w:tcPr>
            <w:tcW w:w="1290" w:type="dxa"/>
          </w:tcPr>
          <w:p w14:paraId="56C923F2" w14:textId="3F3991E9" w:rsidR="00576C8C" w:rsidRPr="00206AE1" w:rsidRDefault="00F84E27">
            <w:pPr>
              <w:pStyle w:val="Normal1"/>
              <w:contextualSpacing w:val="0"/>
            </w:pPr>
            <w:r w:rsidRPr="00206AE1">
              <w:t>Res-Default&gt;2</w:t>
            </w:r>
          </w:p>
        </w:tc>
        <w:tc>
          <w:tcPr>
            <w:tcW w:w="3600" w:type="dxa"/>
          </w:tcPr>
          <w:p w14:paraId="7D74DD72" w14:textId="1E9F61E7" w:rsidR="00576C8C" w:rsidRPr="00206AE1" w:rsidRDefault="00EB3B84">
            <w:pPr>
              <w:pStyle w:val="Normal1"/>
              <w:contextualSpacing w:val="0"/>
            </w:pPr>
            <w:r w:rsidRPr="00206AE1">
              <w:t>All other EEM with no evaluated NTGR; existing EEM with same delivery mechanism for more than 2 years</w:t>
            </w:r>
          </w:p>
        </w:tc>
        <w:tc>
          <w:tcPr>
            <w:tcW w:w="1095" w:type="dxa"/>
          </w:tcPr>
          <w:p w14:paraId="076049CA" w14:textId="77777777" w:rsidR="00576C8C" w:rsidRPr="00206AE1" w:rsidRDefault="007173B2">
            <w:pPr>
              <w:pStyle w:val="Normal1"/>
              <w:contextualSpacing w:val="0"/>
            </w:pPr>
            <w:r w:rsidRPr="00206AE1">
              <w:t>Res</w:t>
            </w:r>
          </w:p>
        </w:tc>
        <w:tc>
          <w:tcPr>
            <w:tcW w:w="1275" w:type="dxa"/>
          </w:tcPr>
          <w:p w14:paraId="13FB891A" w14:textId="77777777" w:rsidR="00576C8C" w:rsidRPr="00206AE1" w:rsidRDefault="007173B2">
            <w:pPr>
              <w:pStyle w:val="Normal1"/>
              <w:contextualSpacing w:val="0"/>
            </w:pPr>
            <w:r w:rsidRPr="00206AE1">
              <w:t>Any</w:t>
            </w:r>
          </w:p>
        </w:tc>
        <w:tc>
          <w:tcPr>
            <w:tcW w:w="1500" w:type="dxa"/>
          </w:tcPr>
          <w:p w14:paraId="33C75F32" w14:textId="77777777" w:rsidR="00576C8C" w:rsidRPr="00206AE1" w:rsidRDefault="007173B2">
            <w:pPr>
              <w:pStyle w:val="Normal1"/>
              <w:contextualSpacing w:val="0"/>
            </w:pPr>
            <w:r w:rsidRPr="00206AE1">
              <w:t>Any</w:t>
            </w:r>
          </w:p>
        </w:tc>
        <w:tc>
          <w:tcPr>
            <w:tcW w:w="1200" w:type="dxa"/>
          </w:tcPr>
          <w:p w14:paraId="029BD636" w14:textId="180380AD" w:rsidR="00576C8C" w:rsidRPr="00206AE1" w:rsidRDefault="002D7183">
            <w:pPr>
              <w:pStyle w:val="Normal1"/>
              <w:contextualSpacing w:val="0"/>
            </w:pPr>
            <w:r w:rsidRPr="00206AE1">
              <w:t>0.55</w:t>
            </w:r>
          </w:p>
        </w:tc>
      </w:tr>
      <w:tr w:rsidR="00EB3B84" w:rsidRPr="00206AE1" w14:paraId="4B5A4ED4" w14:textId="77777777">
        <w:tc>
          <w:tcPr>
            <w:tcW w:w="1290" w:type="dxa"/>
          </w:tcPr>
          <w:p w14:paraId="7656D4CF" w14:textId="310E2263" w:rsidR="00EB3B84" w:rsidRPr="00206AE1" w:rsidRDefault="00EB3B84" w:rsidP="00EB3B84">
            <w:pPr>
              <w:pStyle w:val="Normal1"/>
            </w:pPr>
            <w:r w:rsidRPr="00206AE1">
              <w:t>Res-Default-HTR-di</w:t>
            </w:r>
          </w:p>
        </w:tc>
        <w:tc>
          <w:tcPr>
            <w:tcW w:w="3600" w:type="dxa"/>
          </w:tcPr>
          <w:p w14:paraId="7C2F0760" w14:textId="2AC3B812" w:rsidR="00EB3B84" w:rsidRPr="00206AE1" w:rsidRDefault="00EB3B84" w:rsidP="00EB3B84">
            <w:pPr>
              <w:pStyle w:val="Normal1"/>
            </w:pPr>
            <w:r w:rsidRPr="00206AE1">
              <w:t>All other EEM with no evaluated NTGR; direct install hard-to-reach only.</w:t>
            </w:r>
          </w:p>
        </w:tc>
        <w:tc>
          <w:tcPr>
            <w:tcW w:w="1095" w:type="dxa"/>
          </w:tcPr>
          <w:p w14:paraId="333AE995" w14:textId="7CDBED0B" w:rsidR="00EB3B84" w:rsidRPr="00206AE1" w:rsidRDefault="00EB3B84" w:rsidP="00EB3B84">
            <w:pPr>
              <w:pStyle w:val="Normal1"/>
            </w:pPr>
            <w:r w:rsidRPr="00206AE1">
              <w:t>Res</w:t>
            </w:r>
          </w:p>
        </w:tc>
        <w:tc>
          <w:tcPr>
            <w:tcW w:w="1275" w:type="dxa"/>
          </w:tcPr>
          <w:p w14:paraId="761FCEC5" w14:textId="1C21C246" w:rsidR="00EB3B84" w:rsidRPr="00206AE1" w:rsidRDefault="00EB3B84" w:rsidP="00EB3B84">
            <w:pPr>
              <w:pStyle w:val="Normal1"/>
            </w:pPr>
            <w:r w:rsidRPr="00206AE1">
              <w:t>Any</w:t>
            </w:r>
          </w:p>
        </w:tc>
        <w:tc>
          <w:tcPr>
            <w:tcW w:w="1500" w:type="dxa"/>
          </w:tcPr>
          <w:p w14:paraId="3D4C4D02" w14:textId="5626B3E5" w:rsidR="00EB3B84" w:rsidRPr="00206AE1" w:rsidRDefault="00EB3B84" w:rsidP="00EB3B84">
            <w:pPr>
              <w:pStyle w:val="Normal1"/>
            </w:pPr>
            <w:r w:rsidRPr="00206AE1">
              <w:t>Any</w:t>
            </w:r>
          </w:p>
        </w:tc>
        <w:tc>
          <w:tcPr>
            <w:tcW w:w="1200" w:type="dxa"/>
          </w:tcPr>
          <w:p w14:paraId="33331FDE" w14:textId="188B54BC" w:rsidR="00EB3B84" w:rsidRPr="00206AE1" w:rsidRDefault="00EB3B84" w:rsidP="00EB3B84">
            <w:pPr>
              <w:pStyle w:val="Normal1"/>
            </w:pPr>
            <w:r w:rsidRPr="00206AE1">
              <w:t>0.85</w:t>
            </w:r>
          </w:p>
        </w:tc>
      </w:tr>
      <w:tr w:rsidR="001D743A" w:rsidRPr="00206AE1" w14:paraId="10710FDB" w14:textId="77777777">
        <w:tc>
          <w:tcPr>
            <w:tcW w:w="1290" w:type="dxa"/>
          </w:tcPr>
          <w:p w14:paraId="3B32193A" w14:textId="7B6CE871" w:rsidR="001D743A" w:rsidRPr="00206AE1" w:rsidRDefault="00491B45" w:rsidP="00EB3B84">
            <w:pPr>
              <w:pStyle w:val="Normal1"/>
            </w:pPr>
            <w:r w:rsidRPr="00206AE1">
              <w:t>TBD</w:t>
            </w:r>
          </w:p>
        </w:tc>
        <w:tc>
          <w:tcPr>
            <w:tcW w:w="3600" w:type="dxa"/>
          </w:tcPr>
          <w:p w14:paraId="0BFEA635" w14:textId="49FD5B7F" w:rsidR="001D743A" w:rsidRPr="00206AE1" w:rsidRDefault="00491B45" w:rsidP="00EB3B84">
            <w:pPr>
              <w:pStyle w:val="Normal1"/>
            </w:pPr>
            <w:r w:rsidRPr="00206AE1">
              <w:t xml:space="preserve">NTG Value for </w:t>
            </w:r>
            <w:r w:rsidR="001D743A" w:rsidRPr="00206AE1">
              <w:t>POU</w:t>
            </w:r>
            <w:r w:rsidRPr="00206AE1">
              <w:t xml:space="preserve"> Programs</w:t>
            </w:r>
          </w:p>
        </w:tc>
        <w:tc>
          <w:tcPr>
            <w:tcW w:w="1095" w:type="dxa"/>
          </w:tcPr>
          <w:p w14:paraId="433AF474" w14:textId="1C1E3130" w:rsidR="001D743A" w:rsidRPr="00206AE1" w:rsidRDefault="00491B45" w:rsidP="00EB3B84">
            <w:pPr>
              <w:pStyle w:val="Normal1"/>
            </w:pPr>
            <w:r w:rsidRPr="00206AE1">
              <w:t>Res</w:t>
            </w:r>
          </w:p>
        </w:tc>
        <w:tc>
          <w:tcPr>
            <w:tcW w:w="1275" w:type="dxa"/>
          </w:tcPr>
          <w:p w14:paraId="47C0DEA1" w14:textId="4D51B4E9" w:rsidR="001D743A" w:rsidRPr="00206AE1" w:rsidRDefault="00491B45" w:rsidP="00EB3B84">
            <w:pPr>
              <w:pStyle w:val="Normal1"/>
            </w:pPr>
            <w:r w:rsidRPr="00206AE1">
              <w:t>Any</w:t>
            </w:r>
          </w:p>
        </w:tc>
        <w:tc>
          <w:tcPr>
            <w:tcW w:w="1500" w:type="dxa"/>
          </w:tcPr>
          <w:p w14:paraId="4D29B42F" w14:textId="17ABF6E6" w:rsidR="001D743A" w:rsidRPr="00206AE1" w:rsidRDefault="00491B45" w:rsidP="00EB3B84">
            <w:pPr>
              <w:pStyle w:val="Normal1"/>
            </w:pPr>
            <w:r w:rsidRPr="00206AE1">
              <w:t>Any</w:t>
            </w:r>
          </w:p>
        </w:tc>
        <w:tc>
          <w:tcPr>
            <w:tcW w:w="1200" w:type="dxa"/>
          </w:tcPr>
          <w:p w14:paraId="53F245EA" w14:textId="3B2B8E47" w:rsidR="001D743A" w:rsidRPr="00206AE1" w:rsidRDefault="001D743A" w:rsidP="00EB3B84">
            <w:pPr>
              <w:pStyle w:val="Normal1"/>
            </w:pPr>
            <w:r w:rsidRPr="00206AE1">
              <w:t>0.96</w:t>
            </w:r>
            <w:r w:rsidR="00491B45" w:rsidRPr="00206AE1">
              <w:t>*</w:t>
            </w:r>
          </w:p>
        </w:tc>
      </w:tr>
    </w:tbl>
    <w:p w14:paraId="10FE0087" w14:textId="706C91D0" w:rsidR="00491B45" w:rsidRDefault="00491B45" w:rsidP="00034B1A">
      <w:pPr>
        <w:rPr>
          <w:sz w:val="18"/>
          <w:szCs w:val="18"/>
        </w:rPr>
      </w:pPr>
      <w:r>
        <w:t xml:space="preserve">* </w:t>
      </w:r>
      <w:r w:rsidR="008A27FB" w:rsidRPr="00206AE1">
        <w:rPr>
          <w:sz w:val="18"/>
          <w:szCs w:val="18"/>
        </w:rPr>
        <w:t xml:space="preserve">Per </w:t>
      </w:r>
      <w:r w:rsidR="007A3BFA" w:rsidRPr="00206AE1">
        <w:rPr>
          <w:sz w:val="18"/>
          <w:szCs w:val="18"/>
        </w:rPr>
        <w:t xml:space="preserve">the </w:t>
      </w:r>
      <w:r w:rsidR="008A27FB" w:rsidRPr="00206AE1">
        <w:rPr>
          <w:sz w:val="18"/>
          <w:szCs w:val="18"/>
        </w:rPr>
        <w:t>policy manual the IOU programs are mandated to initially file a 0.55 default NTG for new measures. POU programs will utilize the substantial data outlined in this section to support a more reasonable 0.96 NTG based on market conditions</w:t>
      </w:r>
      <w:r w:rsidR="00074F19" w:rsidRPr="00206AE1">
        <w:rPr>
          <w:sz w:val="18"/>
          <w:szCs w:val="18"/>
        </w:rPr>
        <w:t xml:space="preserve"> and being more aligned with several current programs operating across the US.</w:t>
      </w:r>
    </w:p>
    <w:p w14:paraId="4A9F66E3" w14:textId="77777777" w:rsidR="00A70674" w:rsidRPr="00206AE1" w:rsidRDefault="00A70674" w:rsidP="00034B1A">
      <w:pPr>
        <w:rPr>
          <w:sz w:val="18"/>
          <w:szCs w:val="18"/>
        </w:rPr>
      </w:pPr>
    </w:p>
    <w:p w14:paraId="283E97D2" w14:textId="77777777" w:rsidR="00640FCF" w:rsidRDefault="00640FCF">
      <w:pPr>
        <w:pStyle w:val="Normal1"/>
        <w:spacing w:before="40" w:after="40"/>
        <w:rPr>
          <w:b/>
          <w:sz w:val="26"/>
          <w:szCs w:val="26"/>
        </w:rPr>
      </w:pPr>
    </w:p>
    <w:p w14:paraId="611054A5" w14:textId="0BA47A65" w:rsidR="00576C8C" w:rsidRPr="00EE0598" w:rsidRDefault="00EE0598">
      <w:pPr>
        <w:pStyle w:val="Normal1"/>
        <w:spacing w:before="40" w:after="40"/>
        <w:rPr>
          <w:sz w:val="26"/>
          <w:szCs w:val="26"/>
        </w:rPr>
      </w:pPr>
      <w:r w:rsidRPr="00EE0598">
        <w:rPr>
          <w:b/>
          <w:sz w:val="26"/>
          <w:szCs w:val="26"/>
        </w:rPr>
        <w:lastRenderedPageBreak/>
        <w:t>1.4.</w:t>
      </w:r>
      <w:r w:rsidR="00F0227A">
        <w:rPr>
          <w:b/>
          <w:sz w:val="26"/>
          <w:szCs w:val="26"/>
        </w:rPr>
        <w:t>3</w:t>
      </w:r>
      <w:r w:rsidRPr="00EE0598">
        <w:rPr>
          <w:b/>
          <w:sz w:val="26"/>
          <w:szCs w:val="26"/>
        </w:rPr>
        <w:t xml:space="preserve"> </w:t>
      </w:r>
      <w:r w:rsidR="007173B2" w:rsidRPr="00EE0598">
        <w:rPr>
          <w:b/>
          <w:sz w:val="26"/>
          <w:szCs w:val="26"/>
        </w:rPr>
        <w:t>Spillage Rate</w:t>
      </w:r>
    </w:p>
    <w:p w14:paraId="4A8C2232" w14:textId="77777777" w:rsidR="00576C8C" w:rsidRDefault="007173B2">
      <w:pPr>
        <w:pStyle w:val="Normal1"/>
        <w:spacing w:before="40" w:after="40"/>
      </w:pPr>
      <w:r>
        <w:t xml:space="preserve">Spillage rates are not tracked in work papers; they are tracked in an external document which will be supplied to the Commission Staff as discussed in the Future Data Needs section. </w:t>
      </w:r>
    </w:p>
    <w:p w14:paraId="7D08B359" w14:textId="77777777" w:rsidR="00576C8C" w:rsidRDefault="00576C8C">
      <w:pPr>
        <w:pStyle w:val="Normal1"/>
        <w:spacing w:before="40" w:after="40"/>
      </w:pPr>
    </w:p>
    <w:p w14:paraId="51D55FB5" w14:textId="02C0AF4A" w:rsidR="00576C8C" w:rsidRPr="00EE0598" w:rsidRDefault="00EE0598">
      <w:pPr>
        <w:pStyle w:val="Normal1"/>
        <w:spacing w:before="40" w:after="40"/>
        <w:rPr>
          <w:sz w:val="26"/>
          <w:szCs w:val="26"/>
        </w:rPr>
      </w:pPr>
      <w:r w:rsidRPr="00EE0598">
        <w:rPr>
          <w:b/>
          <w:sz w:val="26"/>
          <w:szCs w:val="26"/>
        </w:rPr>
        <w:t>1.4.</w:t>
      </w:r>
      <w:r w:rsidR="00F0227A">
        <w:rPr>
          <w:b/>
          <w:sz w:val="26"/>
          <w:szCs w:val="26"/>
        </w:rPr>
        <w:t>4</w:t>
      </w:r>
      <w:r w:rsidRPr="00EE0598">
        <w:rPr>
          <w:b/>
          <w:sz w:val="26"/>
          <w:szCs w:val="26"/>
        </w:rPr>
        <w:t xml:space="preserve"> </w:t>
      </w:r>
      <w:r w:rsidR="007173B2" w:rsidRPr="00EE0598">
        <w:rPr>
          <w:b/>
          <w:sz w:val="26"/>
          <w:szCs w:val="26"/>
        </w:rPr>
        <w:t>Installation Rate</w:t>
      </w:r>
    </w:p>
    <w:p w14:paraId="109A2146" w14:textId="757B33E7" w:rsidR="00576C8C" w:rsidRDefault="007173B2">
      <w:pPr>
        <w:pStyle w:val="Normal1"/>
      </w:pPr>
      <w:r>
        <w:t xml:space="preserve">The installation rate (IR) value was obtained using the DEER 2016, READI v2.4.3 tool. The relevant IR value for this </w:t>
      </w:r>
      <w:proofErr w:type="spellStart"/>
      <w:proofErr w:type="gramStart"/>
      <w:r>
        <w:t>wp</w:t>
      </w:r>
      <w:proofErr w:type="spellEnd"/>
      <w:proofErr w:type="gramEnd"/>
      <w:r>
        <w:t xml:space="preserve"> measure is shown </w:t>
      </w:r>
      <w:r w:rsidR="000A24A8">
        <w:t>below.</w:t>
      </w:r>
    </w:p>
    <w:p w14:paraId="03FB2D2A" w14:textId="77777777" w:rsidR="00576C8C" w:rsidRDefault="00576C8C">
      <w:pPr>
        <w:pStyle w:val="Normal1"/>
      </w:pPr>
    </w:p>
    <w:p w14:paraId="56004740" w14:textId="4C8A2421" w:rsidR="00576C8C" w:rsidRPr="00206AE1" w:rsidRDefault="007173B2" w:rsidP="00206AE1">
      <w:pPr>
        <w:pStyle w:val="Normal1"/>
        <w:jc w:val="center"/>
        <w:rPr>
          <w:b/>
        </w:rPr>
      </w:pPr>
      <w:r w:rsidRPr="00206AE1">
        <w:rPr>
          <w:b/>
        </w:rPr>
        <w:t>Gross Savings Installation Adjustment Rate</w:t>
      </w:r>
    </w:p>
    <w:tbl>
      <w:tblPr>
        <w:tblStyle w:val="ac"/>
        <w:tblW w:w="9675" w:type="dxa"/>
        <w:tblInd w:w="-2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380"/>
        <w:gridCol w:w="2685"/>
        <w:gridCol w:w="1320"/>
        <w:gridCol w:w="1650"/>
        <w:gridCol w:w="1425"/>
        <w:gridCol w:w="1215"/>
      </w:tblGrid>
      <w:tr w:rsidR="00576C8C" w:rsidRPr="00206AE1" w14:paraId="7B91C8BE" w14:textId="77777777">
        <w:tc>
          <w:tcPr>
            <w:tcW w:w="1380" w:type="dxa"/>
            <w:shd w:val="clear" w:color="auto" w:fill="D9D9D9"/>
          </w:tcPr>
          <w:p w14:paraId="63BA356B" w14:textId="77777777" w:rsidR="00576C8C" w:rsidRPr="00206AE1" w:rsidRDefault="007173B2">
            <w:pPr>
              <w:pStyle w:val="Normal1"/>
              <w:contextualSpacing w:val="0"/>
            </w:pPr>
            <w:r w:rsidRPr="00206AE1">
              <w:rPr>
                <w:b/>
              </w:rPr>
              <w:t>GSIA ID</w:t>
            </w:r>
          </w:p>
        </w:tc>
        <w:tc>
          <w:tcPr>
            <w:tcW w:w="2685" w:type="dxa"/>
            <w:shd w:val="clear" w:color="auto" w:fill="D9D9D9"/>
          </w:tcPr>
          <w:p w14:paraId="79A03B89" w14:textId="77777777" w:rsidR="00576C8C" w:rsidRPr="00206AE1" w:rsidRDefault="007173B2">
            <w:pPr>
              <w:pStyle w:val="Normal1"/>
              <w:contextualSpacing w:val="0"/>
            </w:pPr>
            <w:r w:rsidRPr="00206AE1">
              <w:rPr>
                <w:b/>
              </w:rPr>
              <w:t>Description</w:t>
            </w:r>
          </w:p>
        </w:tc>
        <w:tc>
          <w:tcPr>
            <w:tcW w:w="1320" w:type="dxa"/>
            <w:shd w:val="clear" w:color="auto" w:fill="D9D9D9"/>
          </w:tcPr>
          <w:p w14:paraId="1318E5AB" w14:textId="77777777" w:rsidR="00576C8C" w:rsidRPr="00206AE1" w:rsidRDefault="007173B2">
            <w:pPr>
              <w:pStyle w:val="Normal1"/>
              <w:contextualSpacing w:val="0"/>
            </w:pPr>
            <w:r w:rsidRPr="00206AE1">
              <w:rPr>
                <w:b/>
              </w:rPr>
              <w:t>Sector</w:t>
            </w:r>
          </w:p>
        </w:tc>
        <w:tc>
          <w:tcPr>
            <w:tcW w:w="1650" w:type="dxa"/>
            <w:shd w:val="clear" w:color="auto" w:fill="D9D9D9"/>
          </w:tcPr>
          <w:p w14:paraId="3D2F7E01" w14:textId="77777777" w:rsidR="00576C8C" w:rsidRPr="00206AE1" w:rsidRDefault="007173B2">
            <w:pPr>
              <w:pStyle w:val="Normal1"/>
              <w:contextualSpacing w:val="0"/>
            </w:pPr>
            <w:proofErr w:type="spellStart"/>
            <w:r w:rsidRPr="00206AE1">
              <w:rPr>
                <w:b/>
              </w:rPr>
              <w:t>BldgType</w:t>
            </w:r>
            <w:proofErr w:type="spellEnd"/>
          </w:p>
        </w:tc>
        <w:tc>
          <w:tcPr>
            <w:tcW w:w="1425" w:type="dxa"/>
            <w:shd w:val="clear" w:color="auto" w:fill="D9D9D9"/>
          </w:tcPr>
          <w:p w14:paraId="6201BEA2" w14:textId="77777777" w:rsidR="00576C8C" w:rsidRPr="00206AE1" w:rsidRDefault="007173B2">
            <w:pPr>
              <w:pStyle w:val="Normal1"/>
              <w:contextualSpacing w:val="0"/>
            </w:pPr>
            <w:proofErr w:type="spellStart"/>
            <w:r w:rsidRPr="00206AE1">
              <w:rPr>
                <w:b/>
              </w:rPr>
              <w:t>ProgDelivID</w:t>
            </w:r>
            <w:proofErr w:type="spellEnd"/>
          </w:p>
        </w:tc>
        <w:tc>
          <w:tcPr>
            <w:tcW w:w="1215" w:type="dxa"/>
            <w:shd w:val="clear" w:color="auto" w:fill="D9D9D9"/>
          </w:tcPr>
          <w:p w14:paraId="77FB379F" w14:textId="77777777" w:rsidR="00576C8C" w:rsidRPr="00206AE1" w:rsidRDefault="007173B2">
            <w:pPr>
              <w:pStyle w:val="Normal1"/>
              <w:contextualSpacing w:val="0"/>
            </w:pPr>
            <w:proofErr w:type="spellStart"/>
            <w:r w:rsidRPr="00206AE1">
              <w:rPr>
                <w:b/>
              </w:rPr>
              <w:t>GSIAValue</w:t>
            </w:r>
            <w:proofErr w:type="spellEnd"/>
          </w:p>
        </w:tc>
      </w:tr>
      <w:tr w:rsidR="00576C8C" w:rsidRPr="00206AE1" w14:paraId="7F33F31A" w14:textId="77777777">
        <w:tc>
          <w:tcPr>
            <w:tcW w:w="1380" w:type="dxa"/>
          </w:tcPr>
          <w:p w14:paraId="22CF1623" w14:textId="77777777" w:rsidR="00576C8C" w:rsidRPr="00206AE1" w:rsidRDefault="007173B2">
            <w:pPr>
              <w:pStyle w:val="Normal1"/>
              <w:contextualSpacing w:val="0"/>
            </w:pPr>
            <w:r w:rsidRPr="00206AE1">
              <w:t>Def-GSIA</w:t>
            </w:r>
          </w:p>
        </w:tc>
        <w:tc>
          <w:tcPr>
            <w:tcW w:w="2685" w:type="dxa"/>
          </w:tcPr>
          <w:p w14:paraId="7D9112F4" w14:textId="77777777" w:rsidR="00576C8C" w:rsidRPr="00206AE1" w:rsidRDefault="007173B2">
            <w:pPr>
              <w:pStyle w:val="Normal1"/>
              <w:contextualSpacing w:val="0"/>
            </w:pPr>
            <w:r w:rsidRPr="00206AE1">
              <w:t>Default GSIA values</w:t>
            </w:r>
          </w:p>
        </w:tc>
        <w:tc>
          <w:tcPr>
            <w:tcW w:w="1320" w:type="dxa"/>
          </w:tcPr>
          <w:p w14:paraId="41911D77" w14:textId="77777777" w:rsidR="00576C8C" w:rsidRPr="00206AE1" w:rsidRDefault="007173B2">
            <w:pPr>
              <w:pStyle w:val="Normal1"/>
              <w:contextualSpacing w:val="0"/>
            </w:pPr>
            <w:r w:rsidRPr="00206AE1">
              <w:t>Any</w:t>
            </w:r>
          </w:p>
        </w:tc>
        <w:tc>
          <w:tcPr>
            <w:tcW w:w="1650" w:type="dxa"/>
          </w:tcPr>
          <w:p w14:paraId="77243DC3" w14:textId="77777777" w:rsidR="00576C8C" w:rsidRPr="00206AE1" w:rsidRDefault="007173B2">
            <w:pPr>
              <w:pStyle w:val="Normal1"/>
              <w:contextualSpacing w:val="0"/>
            </w:pPr>
            <w:r w:rsidRPr="00206AE1">
              <w:t>Any</w:t>
            </w:r>
          </w:p>
        </w:tc>
        <w:tc>
          <w:tcPr>
            <w:tcW w:w="1425" w:type="dxa"/>
          </w:tcPr>
          <w:p w14:paraId="44625262" w14:textId="77777777" w:rsidR="00576C8C" w:rsidRPr="00206AE1" w:rsidRDefault="007173B2">
            <w:pPr>
              <w:pStyle w:val="Normal1"/>
              <w:contextualSpacing w:val="0"/>
            </w:pPr>
            <w:r w:rsidRPr="00206AE1">
              <w:t>Any</w:t>
            </w:r>
          </w:p>
        </w:tc>
        <w:tc>
          <w:tcPr>
            <w:tcW w:w="1215" w:type="dxa"/>
          </w:tcPr>
          <w:p w14:paraId="0AFF4CDA" w14:textId="77777777" w:rsidR="00576C8C" w:rsidRPr="00206AE1" w:rsidRDefault="007173B2">
            <w:pPr>
              <w:pStyle w:val="Normal1"/>
              <w:contextualSpacing w:val="0"/>
            </w:pPr>
            <w:r w:rsidRPr="00206AE1">
              <w:t>1</w:t>
            </w:r>
          </w:p>
        </w:tc>
      </w:tr>
    </w:tbl>
    <w:p w14:paraId="07021739" w14:textId="77777777" w:rsidR="00576C8C" w:rsidRDefault="00576C8C">
      <w:pPr>
        <w:pStyle w:val="Normal1"/>
        <w:spacing w:before="40" w:after="40"/>
      </w:pPr>
    </w:p>
    <w:p w14:paraId="76419309" w14:textId="350FCB5C" w:rsidR="00576C8C" w:rsidRPr="006B6850" w:rsidRDefault="00EE0598">
      <w:pPr>
        <w:pStyle w:val="Normal1"/>
        <w:rPr>
          <w:color w:val="FF0000"/>
          <w:sz w:val="26"/>
          <w:szCs w:val="26"/>
        </w:rPr>
      </w:pPr>
      <w:r w:rsidRPr="00037033">
        <w:rPr>
          <w:b/>
          <w:sz w:val="26"/>
          <w:szCs w:val="26"/>
        </w:rPr>
        <w:t>1.4.</w:t>
      </w:r>
      <w:r w:rsidR="00F0227A">
        <w:rPr>
          <w:b/>
          <w:sz w:val="26"/>
          <w:szCs w:val="26"/>
        </w:rPr>
        <w:t>5</w:t>
      </w:r>
      <w:r w:rsidRPr="00037033">
        <w:rPr>
          <w:b/>
          <w:sz w:val="26"/>
          <w:szCs w:val="26"/>
        </w:rPr>
        <w:t xml:space="preserve"> </w:t>
      </w:r>
      <w:r w:rsidR="007173B2" w:rsidRPr="00037033">
        <w:rPr>
          <w:b/>
          <w:sz w:val="26"/>
          <w:szCs w:val="26"/>
        </w:rPr>
        <w:t>Effective and Remaining Useful Life</w:t>
      </w:r>
      <w:r w:rsidR="006B6850">
        <w:rPr>
          <w:b/>
          <w:sz w:val="26"/>
          <w:szCs w:val="26"/>
        </w:rPr>
        <w:t xml:space="preserve"> </w:t>
      </w:r>
    </w:p>
    <w:p w14:paraId="14A54514" w14:textId="77777777" w:rsidR="00576C8C" w:rsidRDefault="00576C8C">
      <w:pPr>
        <w:pStyle w:val="Normal1"/>
        <w:spacing w:line="276" w:lineRule="auto"/>
      </w:pPr>
    </w:p>
    <w:p w14:paraId="54770BFD" w14:textId="23905533" w:rsidR="00037033" w:rsidRPr="006A7AA9" w:rsidRDefault="00037033" w:rsidP="00037033">
      <w:pPr>
        <w:pStyle w:val="Normal1"/>
        <w:spacing w:line="276" w:lineRule="auto"/>
        <w:rPr>
          <w:b/>
          <w:color w:val="FF0000"/>
        </w:rPr>
      </w:pPr>
      <w:r w:rsidRPr="008D0CA7">
        <w:rPr>
          <w:b/>
        </w:rPr>
        <w:t>Effective Useful Life:</w:t>
      </w:r>
      <w:r w:rsidR="006A7AA9">
        <w:rPr>
          <w:b/>
        </w:rPr>
        <w:t xml:space="preserve"> </w:t>
      </w:r>
    </w:p>
    <w:p w14:paraId="28F8DDCB" w14:textId="6C6D4B7A" w:rsidR="00E71521" w:rsidRDefault="00E71521" w:rsidP="00E71521">
      <w:pPr>
        <w:pStyle w:val="Normal2"/>
      </w:pPr>
      <w:r w:rsidRPr="005B22B9">
        <w:rPr>
          <w:color w:val="263238"/>
        </w:rPr>
        <w:t>Information about effective useful life of the measure can be gleaned by an empirical analysis of currently available field data.</w:t>
      </w:r>
      <w:r w:rsidRPr="00050B17">
        <w:rPr>
          <w:color w:val="auto"/>
          <w:vertAlign w:val="superscript"/>
        </w:rPr>
        <w:footnoteReference w:id="5"/>
      </w:r>
      <w:r w:rsidRPr="00050B17">
        <w:rPr>
          <w:color w:val="auto"/>
        </w:rPr>
        <w:t xml:space="preserve"> </w:t>
      </w:r>
      <w:r w:rsidRPr="005B22B9">
        <w:rPr>
          <w:color w:val="263238"/>
        </w:rPr>
        <w:t xml:space="preserve"> In order to estimate the expected persistence of </w:t>
      </w:r>
      <w:r w:rsidR="001048A9">
        <w:rPr>
          <w:color w:val="263238"/>
        </w:rPr>
        <w:t>residential smart thermostat</w:t>
      </w:r>
      <w:r w:rsidRPr="005B22B9">
        <w:rPr>
          <w:color w:val="263238"/>
        </w:rPr>
        <w:t xml:space="preserve"> energy-saving features, we present a model that takes into account the reduction over time in NLTs that are on-line, makes certain adjustments to account for likely off-line operation, and develops an empirical prediction of the persistence of ene</w:t>
      </w:r>
      <w:r w:rsidR="001048A9">
        <w:rPr>
          <w:color w:val="263238"/>
        </w:rPr>
        <w:t xml:space="preserve">rgy savings associated with smart thermostats </w:t>
      </w:r>
      <w:r w:rsidRPr="005B22B9">
        <w:rPr>
          <w:color w:val="263238"/>
        </w:rPr>
        <w:t xml:space="preserve">following installation.   </w:t>
      </w:r>
    </w:p>
    <w:p w14:paraId="6E617435" w14:textId="77777777" w:rsidR="00E71521" w:rsidRDefault="00E71521" w:rsidP="00E71521">
      <w:pPr>
        <w:pStyle w:val="Normal2"/>
      </w:pPr>
    </w:p>
    <w:p w14:paraId="2BB40FB0" w14:textId="04531D06" w:rsidR="00E71521" w:rsidRPr="0030056F" w:rsidRDefault="001048A9" w:rsidP="0030056F">
      <w:pPr>
        <w:rPr>
          <w:rFonts w:eastAsia="Times New Roman" w:cs="Times New Roman"/>
        </w:rPr>
      </w:pPr>
      <w:r>
        <w:rPr>
          <w:color w:val="263238"/>
        </w:rPr>
        <w:t>The</w:t>
      </w:r>
      <w:r w:rsidR="00E71521">
        <w:rPr>
          <w:color w:val="263238"/>
        </w:rPr>
        <w:t xml:space="preserve"> NLT can be operated both online and offline.   To </w:t>
      </w:r>
      <w:r>
        <w:rPr>
          <w:color w:val="263238"/>
        </w:rPr>
        <w:t>project</w:t>
      </w:r>
      <w:r w:rsidR="00E71521">
        <w:rPr>
          <w:color w:val="263238"/>
        </w:rPr>
        <w:t xml:space="preserve"> the</w:t>
      </w:r>
      <w:r>
        <w:rPr>
          <w:color w:val="263238"/>
        </w:rPr>
        <w:t xml:space="preserve"> measure’s </w:t>
      </w:r>
      <w:r w:rsidR="00E71521">
        <w:rPr>
          <w:color w:val="263238"/>
        </w:rPr>
        <w:t>effective life, we used survival analysis met</w:t>
      </w:r>
      <w:r w:rsidR="0074453C">
        <w:rPr>
          <w:color w:val="263238"/>
        </w:rPr>
        <w:t>hods on I</w:t>
      </w:r>
      <w:r w:rsidR="00E71521">
        <w:rPr>
          <w:color w:val="263238"/>
        </w:rPr>
        <w:t>nternet connectivity data for the full population of Nest thermostats.  This analysis will likely understate the true measure life unless an adjustment is made for thermostats that are offline but still providing energy savings.  (I.e. In many cases, even if an NLT goes offline, it can continue to deliver many of its energy saving features.)  Nest does not have firm data on this issue, but conservatively estimates a range of 10%-40% of off-line devices will still be providing savings. The results of this statistical survival analysis currently suggest that the energy savings associated with NLT deployment persist for approximately 9.2 - 13.8 years.  Based on this data and analysis</w:t>
      </w:r>
      <w:r w:rsidR="00640FCF">
        <w:rPr>
          <w:color w:val="263238"/>
        </w:rPr>
        <w:t>,</w:t>
      </w:r>
      <w:r w:rsidR="00E71521">
        <w:rPr>
          <w:color w:val="263238"/>
        </w:rPr>
        <w:t xml:space="preserve"> we have selected the conservative </w:t>
      </w:r>
      <w:r w:rsidR="00BF75A9">
        <w:rPr>
          <w:color w:val="263238"/>
        </w:rPr>
        <w:t xml:space="preserve">mid-point </w:t>
      </w:r>
      <w:r w:rsidR="00E71521">
        <w:rPr>
          <w:color w:val="263238"/>
        </w:rPr>
        <w:t xml:space="preserve">of that range and </w:t>
      </w:r>
      <w:r w:rsidR="0074453C">
        <w:rPr>
          <w:color w:val="263238"/>
        </w:rPr>
        <w:t>projected</w:t>
      </w:r>
      <w:r w:rsidR="00E71521">
        <w:rPr>
          <w:color w:val="263238"/>
        </w:rPr>
        <w:t xml:space="preserve"> </w:t>
      </w:r>
      <w:r w:rsidR="00BF75A9">
        <w:rPr>
          <w:color w:val="263238"/>
        </w:rPr>
        <w:t>11</w:t>
      </w:r>
      <w:r w:rsidR="00E71521">
        <w:rPr>
          <w:color w:val="263238"/>
        </w:rPr>
        <w:t xml:space="preserve"> years as the measure EUL for purposes of this analysis</w:t>
      </w:r>
      <w:r w:rsidR="00BF75A9">
        <w:rPr>
          <w:color w:val="263238"/>
        </w:rPr>
        <w:t xml:space="preserve">, </w:t>
      </w:r>
      <w:r w:rsidR="00BF75A9" w:rsidRPr="0030056F">
        <w:rPr>
          <w:color w:val="263238"/>
        </w:rPr>
        <w:t xml:space="preserve">which is consistent with the EUL for </w:t>
      </w:r>
      <w:r w:rsidR="00822F61" w:rsidRPr="0030056F">
        <w:rPr>
          <w:rFonts w:eastAsia="Times New Roman" w:cs="Arial"/>
          <w:color w:val="263238"/>
        </w:rPr>
        <w:t>energy savings associated</w:t>
      </w:r>
      <w:r w:rsidR="00822F61" w:rsidRPr="0030056F">
        <w:rPr>
          <w:rStyle w:val="apple-converted-space"/>
          <w:rFonts w:eastAsia="Times New Roman" w:cs="Arial"/>
          <w:color w:val="263238"/>
        </w:rPr>
        <w:t xml:space="preserve"> with </w:t>
      </w:r>
      <w:r w:rsidR="00BF75A9" w:rsidRPr="0030056F">
        <w:rPr>
          <w:color w:val="263238"/>
        </w:rPr>
        <w:t>programmable thermostats.</w:t>
      </w:r>
      <w:r w:rsidR="00BF75A9">
        <w:rPr>
          <w:color w:val="263238"/>
        </w:rPr>
        <w:t xml:space="preserve"> </w:t>
      </w:r>
    </w:p>
    <w:p w14:paraId="35CAA549" w14:textId="77777777" w:rsidR="00E71521" w:rsidRDefault="00E71521" w:rsidP="00E71521">
      <w:pPr>
        <w:pStyle w:val="Normal2"/>
      </w:pPr>
    </w:p>
    <w:p w14:paraId="3A33ACE6" w14:textId="56F06A4A" w:rsidR="00E71521" w:rsidRDefault="0074453C" w:rsidP="00E71521">
      <w:pPr>
        <w:pStyle w:val="Normal2"/>
      </w:pPr>
      <w:r>
        <w:t>Our analysis</w:t>
      </w:r>
      <w:r w:rsidR="00E71521">
        <w:t xml:space="preserve"> further explored the persistence of energy saving feature usage by analyzing thermostat setting behavior across multiple years.  We analyzed data for the month of January in the years 2014, 2015, and 2016 and found that thermostat settings across hundreds of thousands of operating devices in each year became slightly more efficient over time -- implying increasing energy savings over the years.  The averag</w:t>
      </w:r>
      <w:r w:rsidR="00640FCF">
        <w:t>e January heating set point was</w:t>
      </w:r>
      <w:r w:rsidR="00E71521">
        <w:t xml:space="preserve"> 67.5°F in 2014, 67.4°F in 2015, and 67.3°F in 2016 for the group with data from all three years.  This 0.2°F decline in </w:t>
      </w:r>
      <w:r w:rsidR="00E71521">
        <w:lastRenderedPageBreak/>
        <w:t>average heating temperature implies about a 1% increase in annual percent heating savings over time.  Dating back to 2012, the average percentage of devices with energy savings features like Auto-Away is 83% of devices - a value that is already incorporated into the energy s</w:t>
      </w:r>
      <w:r>
        <w:t xml:space="preserve">avings methodology outlined </w:t>
      </w:r>
      <w:r w:rsidR="00381F3F">
        <w:t>i</w:t>
      </w:r>
      <w:r w:rsidR="00E71521">
        <w:t xml:space="preserve">n this </w:t>
      </w:r>
      <w:proofErr w:type="spellStart"/>
      <w:r w:rsidR="00E71521">
        <w:t>workpaper</w:t>
      </w:r>
      <w:proofErr w:type="spellEnd"/>
      <w:r w:rsidR="00E71521">
        <w:t xml:space="preserve"> (i.e. the analysis incorporates devices </w:t>
      </w:r>
      <w:r>
        <w:t>with and without Auto-Away in order</w:t>
      </w:r>
      <w:r w:rsidR="00E71521">
        <w:t xml:space="preserve"> to ensure t</w:t>
      </w:r>
      <w:r>
        <w:t>hat t</w:t>
      </w:r>
      <w:r w:rsidR="00E71521">
        <w:t xml:space="preserve">he </w:t>
      </w:r>
      <w:proofErr w:type="spellStart"/>
      <w:r w:rsidR="00E71521">
        <w:t>workpaper</w:t>
      </w:r>
      <w:proofErr w:type="spellEnd"/>
      <w:r w:rsidR="00E71521">
        <w:t xml:space="preserve"> includes energy decreases and increases in average savings values). </w:t>
      </w:r>
      <w:r>
        <w:t>Furthermore, the time spent in Auto-A</w:t>
      </w:r>
      <w:r w:rsidR="00E71521">
        <w:t xml:space="preserve">way actually grew slightly from 93 hours in 2014 to 96 hours in 2015 to 98 hours in 2016.  Based on this data, it appears that the persistence of energy-saving feature usage for smart thermostats is excellent. </w:t>
      </w:r>
    </w:p>
    <w:p w14:paraId="1760EACA" w14:textId="77777777" w:rsidR="00C24A26" w:rsidRDefault="00C24A26">
      <w:pPr>
        <w:pStyle w:val="Normal1"/>
        <w:spacing w:line="276" w:lineRule="auto"/>
        <w:rPr>
          <w:b/>
        </w:rPr>
      </w:pPr>
    </w:p>
    <w:p w14:paraId="2357C3BE" w14:textId="77777777" w:rsidR="00576C8C" w:rsidRPr="00037033" w:rsidRDefault="007173B2">
      <w:pPr>
        <w:pStyle w:val="Normal1"/>
        <w:spacing w:line="276" w:lineRule="auto"/>
        <w:rPr>
          <w:b/>
        </w:rPr>
      </w:pPr>
      <w:r w:rsidRPr="00037033">
        <w:rPr>
          <w:b/>
        </w:rPr>
        <w:t>Standard/Code technology After RUL:</w:t>
      </w:r>
    </w:p>
    <w:p w14:paraId="5A58705F" w14:textId="65B97F1F" w:rsidR="002B0E6C" w:rsidRDefault="007173B2" w:rsidP="00206AE1">
      <w:pPr>
        <w:pStyle w:val="Normal1"/>
      </w:pPr>
      <w:r>
        <w:t xml:space="preserve">Smart thermostat technology is in an early stage of market adoption. Indeed, this was a main driver for AB793 legislation, which requires the utility programs to promote this type of technology to drive wider adoption.  It is worth noting that the definition of smart thermostats, for the purpose of this work paper, only includes those devices that provide enough software intelligence, combined with hardware features, to help customers automatically save energy. This definition very purposefully does not include those thermostats that are simply </w:t>
      </w:r>
      <w:r w:rsidRPr="00206AE1">
        <w:t>connected</w:t>
      </w:r>
      <w:r>
        <w:t xml:space="preserve"> to the internet. It is </w:t>
      </w:r>
      <w:r w:rsidR="002B0E6C">
        <w:t>worth noting that in most market projections</w:t>
      </w:r>
      <w:r w:rsidR="002B0E6C" w:rsidRPr="00206AE1">
        <w:t xml:space="preserve"> connected</w:t>
      </w:r>
      <w:r w:rsidR="002B0E6C">
        <w:t xml:space="preserve"> thermostats are combined with smart thermostats. The market penetration for the whole category is low, and when limiting to </w:t>
      </w:r>
      <w:r w:rsidR="002B0E6C" w:rsidRPr="00206AE1">
        <w:t>smart</w:t>
      </w:r>
      <w:r w:rsidR="002B0E6C">
        <w:t xml:space="preserve"> thermostats, even lower. </w:t>
      </w:r>
    </w:p>
    <w:p w14:paraId="2202830E" w14:textId="77777777" w:rsidR="00576C8C" w:rsidRDefault="00576C8C">
      <w:pPr>
        <w:pStyle w:val="Normal1"/>
        <w:spacing w:line="276" w:lineRule="auto"/>
      </w:pPr>
    </w:p>
    <w:p w14:paraId="556A7E63" w14:textId="77777777" w:rsidR="00576C8C" w:rsidRDefault="007173B2" w:rsidP="00206AE1">
      <w:pPr>
        <w:pStyle w:val="Normal1"/>
      </w:pPr>
      <w:r>
        <w:t>Here is the research summarizing the early stages of adoption of the smart thermostats:</w:t>
      </w:r>
    </w:p>
    <w:p w14:paraId="717F6EAF" w14:textId="77777777" w:rsidR="00576C8C" w:rsidRDefault="007173B2" w:rsidP="00206AE1">
      <w:pPr>
        <w:pStyle w:val="Normal1"/>
        <w:numPr>
          <w:ilvl w:val="0"/>
          <w:numId w:val="5"/>
        </w:numPr>
        <w:ind w:hanging="360"/>
        <w:contextualSpacing/>
      </w:pPr>
      <w:r>
        <w:t>Market penetration for Smart Thermostats, while growing each year, remains on the order of magnitude that places it in the early-adopter stage of the technology adoption cycle. Research by Berg Insights estimates that smart thermostats were installed in 4.5 million North American homes as of 2015</w:t>
      </w:r>
      <w:r>
        <w:rPr>
          <w:vertAlign w:val="superscript"/>
        </w:rPr>
        <w:t>(1)</w:t>
      </w:r>
      <w:r>
        <w:t xml:space="preserve">. Given the total number of households in the US - close to 125 million - this single-digit adoption percentage shows that the market is still predominantly comprised of early adopters, and that it will take many years for the technology to become standard. </w:t>
      </w:r>
    </w:p>
    <w:p w14:paraId="40C61DCB" w14:textId="77777777" w:rsidR="00576C8C" w:rsidRDefault="007173B2" w:rsidP="00206AE1">
      <w:pPr>
        <w:pStyle w:val="Normal1"/>
        <w:numPr>
          <w:ilvl w:val="0"/>
          <w:numId w:val="13"/>
        </w:numPr>
        <w:ind w:hanging="360"/>
        <w:contextualSpacing/>
      </w:pPr>
      <w:r>
        <w:t>Indeed, a report by Business Insider found that “the US smart home market as a whole is in the ‘chasm’ of the tech adoption curve...”</w:t>
      </w:r>
      <w:r>
        <w:rPr>
          <w:vertAlign w:val="superscript"/>
        </w:rPr>
        <w:t>(3)</w:t>
      </w:r>
      <w:r>
        <w:t xml:space="preserve"> </w:t>
      </w:r>
    </w:p>
    <w:p w14:paraId="0B71D615" w14:textId="77777777" w:rsidR="00576C8C" w:rsidRDefault="007173B2" w:rsidP="00206AE1">
      <w:pPr>
        <w:pStyle w:val="Normal1"/>
        <w:numPr>
          <w:ilvl w:val="0"/>
          <w:numId w:val="13"/>
        </w:numPr>
        <w:ind w:hanging="360"/>
        <w:contextualSpacing/>
      </w:pPr>
      <w:r>
        <w:t xml:space="preserve">A report by Parks Associates found the market penetration, measured by the adoption of smart-home energy management technologies (which includes smart thermostats), to be on the order of 7% </w:t>
      </w:r>
      <w:r>
        <w:rPr>
          <w:highlight w:val="white"/>
        </w:rPr>
        <w:t xml:space="preserve">of all U.S. broadband </w:t>
      </w:r>
      <w:proofErr w:type="gramStart"/>
      <w:r>
        <w:rPr>
          <w:highlight w:val="white"/>
        </w:rPr>
        <w:t>households</w:t>
      </w:r>
      <w:r>
        <w:rPr>
          <w:vertAlign w:val="superscript"/>
        </w:rPr>
        <w:t>(</w:t>
      </w:r>
      <w:proofErr w:type="gramEnd"/>
      <w:r>
        <w:rPr>
          <w:vertAlign w:val="superscript"/>
        </w:rPr>
        <w:t>2)</w:t>
      </w:r>
      <w:r>
        <w:t xml:space="preserve">. It is worth noting that this includes additional smart home technology, not just smart thermostats. </w:t>
      </w:r>
    </w:p>
    <w:p w14:paraId="7F136462" w14:textId="77777777" w:rsidR="004E30D7" w:rsidRDefault="007173B2" w:rsidP="00206AE1">
      <w:pPr>
        <w:pStyle w:val="Normal1"/>
        <w:numPr>
          <w:ilvl w:val="0"/>
          <w:numId w:val="13"/>
        </w:numPr>
        <w:ind w:hanging="360"/>
        <w:contextualSpacing/>
      </w:pPr>
      <w:r>
        <w:t xml:space="preserve">The Business Insider research, and an additional report by Parks </w:t>
      </w:r>
      <w:proofErr w:type="gramStart"/>
      <w:r>
        <w:t>Associates</w:t>
      </w:r>
      <w:r>
        <w:rPr>
          <w:vertAlign w:val="superscript"/>
        </w:rPr>
        <w:t>(</w:t>
      </w:r>
      <w:proofErr w:type="gramEnd"/>
      <w:r>
        <w:rPr>
          <w:vertAlign w:val="superscript"/>
        </w:rPr>
        <w:t>4)</w:t>
      </w:r>
      <w:r>
        <w:t>, found that high up-front product costs and low overall familiarity are two significant barriers to adoption.</w:t>
      </w:r>
    </w:p>
    <w:p w14:paraId="0869C12E" w14:textId="09A7115E" w:rsidR="000645BC" w:rsidRDefault="00D107C9" w:rsidP="00206AE1">
      <w:pPr>
        <w:pStyle w:val="Normal1"/>
        <w:numPr>
          <w:ilvl w:val="0"/>
          <w:numId w:val="13"/>
        </w:numPr>
        <w:ind w:hanging="360"/>
        <w:contextualSpacing/>
      </w:pPr>
      <w:r>
        <w:t>Market Penetration</w:t>
      </w:r>
      <w:r w:rsidR="008B3ECC">
        <w:t xml:space="preserve"> study</w:t>
      </w:r>
      <w:r>
        <w:t xml:space="preserve"> conducted by e-Source in February</w:t>
      </w:r>
      <w:r w:rsidR="000645BC">
        <w:t xml:space="preserve">, 2017 (which was primarily based on the Nielsen Energy Behavior Trach research) </w:t>
      </w:r>
      <w:r>
        <w:t>suggests that smart (communicating) thermostat</w:t>
      </w:r>
      <w:r w:rsidR="00CF0A91">
        <w:t>s</w:t>
      </w:r>
      <w:r>
        <w:t xml:space="preserve"> </w:t>
      </w:r>
      <w:r w:rsidR="000645BC">
        <w:t xml:space="preserve">in U.S. Single Family homes had a market </w:t>
      </w:r>
      <w:r>
        <w:t>penetration</w:t>
      </w:r>
      <w:r w:rsidR="000645BC">
        <w:t xml:space="preserve"> of 6% in 2016 </w:t>
      </w:r>
      <w:r w:rsidR="008B3ECC">
        <w:t>doubling from 3% in 2014.  For California, the study suggest</w:t>
      </w:r>
      <w:r w:rsidR="000645BC">
        <w:t>s</w:t>
      </w:r>
      <w:r w:rsidR="008B3ECC">
        <w:t xml:space="preserve"> a market penetration</w:t>
      </w:r>
      <w:r w:rsidR="000645BC">
        <w:t xml:space="preserve"> of</w:t>
      </w:r>
      <w:r w:rsidR="008B3ECC">
        <w:t xml:space="preserve"> 9%</w:t>
      </w:r>
      <w:r w:rsidR="000645BC">
        <w:t xml:space="preserve"> in 2016.</w:t>
      </w:r>
    </w:p>
    <w:p w14:paraId="292E953C" w14:textId="11E0520E" w:rsidR="00576C8C" w:rsidRDefault="000645BC" w:rsidP="00206AE1">
      <w:pPr>
        <w:pStyle w:val="Normal1"/>
        <w:numPr>
          <w:ilvl w:val="0"/>
          <w:numId w:val="13"/>
        </w:numPr>
        <w:ind w:hanging="360"/>
        <w:contextualSpacing/>
      </w:pPr>
      <w:r>
        <w:t>PGE’s Code and Standards study – Home Energy Use Study (HEUS)</w:t>
      </w:r>
      <w:r w:rsidR="0056300C">
        <w:t xml:space="preserve"> by Evergreen Economics</w:t>
      </w:r>
      <w:r>
        <w:t>, dated January 2017,</w:t>
      </w:r>
      <w:r w:rsidR="0056300C">
        <w:t xml:space="preserve"> </w:t>
      </w:r>
      <w:r>
        <w:t>including approximately 1,000 on-site surveys, suggests</w:t>
      </w:r>
      <w:r w:rsidR="0056300C">
        <w:t xml:space="preserve"> a 3% market penetration of the smart communicating smart technology with 14% and 83% for manual (non-progr</w:t>
      </w:r>
      <w:r w:rsidR="00965F57">
        <w:t>ammable) and programmable thermostat</w:t>
      </w:r>
      <w:r w:rsidR="0056300C">
        <w:t xml:space="preserve"> respectively. </w:t>
      </w:r>
      <w:r>
        <w:t xml:space="preserve"> </w:t>
      </w:r>
      <w:r w:rsidR="008B3ECC">
        <w:t xml:space="preserve">   </w:t>
      </w:r>
      <w:r w:rsidR="007173B2">
        <w:t xml:space="preserve">  </w:t>
      </w:r>
    </w:p>
    <w:p w14:paraId="7B1FDBB6" w14:textId="77777777" w:rsidR="00576C8C" w:rsidRDefault="00576C8C">
      <w:pPr>
        <w:pStyle w:val="Normal1"/>
        <w:spacing w:line="276" w:lineRule="auto"/>
      </w:pPr>
    </w:p>
    <w:p w14:paraId="103CC8CF" w14:textId="380CE00D" w:rsidR="00576C8C" w:rsidRDefault="007173B2" w:rsidP="00206AE1">
      <w:pPr>
        <w:pStyle w:val="Normal1"/>
      </w:pPr>
      <w:r>
        <w:lastRenderedPageBreak/>
        <w:t>Because of this low market penetration</w:t>
      </w:r>
      <w:r w:rsidR="002B0E6C">
        <w:t>, t</w:t>
      </w:r>
      <w:r>
        <w:t xml:space="preserve">he standard/code technology after the RUL </w:t>
      </w:r>
      <w:r w:rsidR="004F57E0">
        <w:t xml:space="preserve">period </w:t>
      </w:r>
      <w:r>
        <w:t>is a blend of programmable thermostats (code) and a portion of smart thermostats.  Since a portion of the market will be selecting smart thermostats, savings were reduced for the 2nd baseline time period accordingly. This methodology is outlined in Section 2.</w:t>
      </w:r>
      <w:r w:rsidR="00D73C5E">
        <w:t>3.7</w:t>
      </w:r>
      <w:r>
        <w:t xml:space="preserve">. </w:t>
      </w:r>
    </w:p>
    <w:p w14:paraId="5A8AF938" w14:textId="77777777" w:rsidR="00A40004" w:rsidRDefault="00A40004" w:rsidP="00206AE1">
      <w:pPr>
        <w:pStyle w:val="Normal1"/>
      </w:pPr>
    </w:p>
    <w:p w14:paraId="2087CA90" w14:textId="7A59697A" w:rsidR="00A40004" w:rsidRDefault="00A40004" w:rsidP="00206AE1">
      <w:r w:rsidRPr="0026463D">
        <w:t xml:space="preserve">Measure classification: </w:t>
      </w:r>
      <w:r w:rsidRPr="0026463D">
        <w:rPr>
          <w:rFonts w:eastAsia="Times New Roman" w:cs="Times New Roman"/>
          <w:shd w:val="clear" w:color="auto" w:fill="FFFFFF"/>
        </w:rPr>
        <w:t xml:space="preserve">Much research of the past indicates that energy savings from thermostatic control devices are dependent on thermostat setting behavior. Many of the past programmable thermostat measure savings could not be fully realized because of manual practices of users and inability to program thermostats to realize savings from changing set points. A smart thermostat </w:t>
      </w:r>
      <w:r w:rsidR="004573AC">
        <w:rPr>
          <w:rFonts w:eastAsia="Times New Roman" w:cs="Times New Roman"/>
          <w:shd w:val="clear" w:color="auto" w:fill="FFFFFF"/>
        </w:rPr>
        <w:t xml:space="preserve">addresses </w:t>
      </w:r>
      <w:r w:rsidRPr="0026463D">
        <w:rPr>
          <w:rFonts w:eastAsia="Times New Roman" w:cs="Times New Roman"/>
          <w:shd w:val="clear" w:color="auto" w:fill="FFFFFF"/>
        </w:rPr>
        <w:t>issue by taking the manual behavior out of the equation so that programming on set‐points is built‐in for realizing savings from tweaking consumers existing set‐points without having them change their behavior. </w:t>
      </w:r>
      <w:r w:rsidR="0026463D" w:rsidRPr="0026463D">
        <w:rPr>
          <w:rStyle w:val="FootnoteReference"/>
          <w:rFonts w:eastAsia="Times New Roman"/>
          <w:shd w:val="clear" w:color="auto" w:fill="FFFFFF"/>
        </w:rPr>
        <w:footnoteReference w:id="6"/>
      </w:r>
      <w:r w:rsidR="004573AC">
        <w:rPr>
          <w:rFonts w:eastAsia="Times New Roman" w:cs="Times New Roman"/>
          <w:shd w:val="clear" w:color="auto" w:fill="FFFFFF"/>
        </w:rPr>
        <w:t xml:space="preserve">  Therefore, we disagree that the smart thermostat is purely a BRO measure and as such have treated as a hardware measure, with corresponding life.</w:t>
      </w:r>
    </w:p>
    <w:p w14:paraId="06F07210" w14:textId="77777777" w:rsidR="00576C8C" w:rsidRDefault="00576C8C">
      <w:pPr>
        <w:pStyle w:val="Normal1"/>
      </w:pPr>
    </w:p>
    <w:tbl>
      <w:tblPr>
        <w:tblStyle w:val="ae"/>
        <w:tblW w:w="9590" w:type="dxa"/>
        <w:tblInd w:w="-2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55"/>
        <w:gridCol w:w="1890"/>
        <w:gridCol w:w="810"/>
        <w:gridCol w:w="1440"/>
        <w:gridCol w:w="1710"/>
        <w:gridCol w:w="1985"/>
      </w:tblGrid>
      <w:tr w:rsidR="00642866" w:rsidRPr="00206AE1" w14:paraId="2B3234C2" w14:textId="77777777" w:rsidTr="00F00A15">
        <w:tc>
          <w:tcPr>
            <w:tcW w:w="1755" w:type="dxa"/>
            <w:vMerge w:val="restart"/>
            <w:shd w:val="clear" w:color="auto" w:fill="D9D9D9"/>
          </w:tcPr>
          <w:p w14:paraId="51548084" w14:textId="77777777" w:rsidR="00642866" w:rsidRPr="00206AE1" w:rsidRDefault="00642866">
            <w:pPr>
              <w:pStyle w:val="Normal1"/>
              <w:contextualSpacing w:val="0"/>
            </w:pPr>
            <w:r w:rsidRPr="00206AE1">
              <w:rPr>
                <w:b/>
              </w:rPr>
              <w:t>EUL ID</w:t>
            </w:r>
          </w:p>
        </w:tc>
        <w:tc>
          <w:tcPr>
            <w:tcW w:w="1890" w:type="dxa"/>
            <w:vMerge w:val="restart"/>
            <w:shd w:val="clear" w:color="auto" w:fill="D9D9D9"/>
          </w:tcPr>
          <w:p w14:paraId="31D32457" w14:textId="77777777" w:rsidR="00642866" w:rsidRPr="00206AE1" w:rsidRDefault="00642866">
            <w:pPr>
              <w:pStyle w:val="Normal1"/>
              <w:contextualSpacing w:val="0"/>
            </w:pPr>
            <w:r w:rsidRPr="00206AE1">
              <w:rPr>
                <w:b/>
              </w:rPr>
              <w:t>Description</w:t>
            </w:r>
          </w:p>
        </w:tc>
        <w:tc>
          <w:tcPr>
            <w:tcW w:w="810" w:type="dxa"/>
            <w:vMerge w:val="restart"/>
            <w:shd w:val="clear" w:color="auto" w:fill="D9D9D9"/>
          </w:tcPr>
          <w:p w14:paraId="0C25F606" w14:textId="77777777" w:rsidR="00642866" w:rsidRPr="00206AE1" w:rsidRDefault="00642866">
            <w:pPr>
              <w:pStyle w:val="Normal1"/>
              <w:contextualSpacing w:val="0"/>
            </w:pPr>
            <w:r w:rsidRPr="00206AE1">
              <w:rPr>
                <w:b/>
              </w:rPr>
              <w:t>Sector</w:t>
            </w:r>
          </w:p>
        </w:tc>
        <w:tc>
          <w:tcPr>
            <w:tcW w:w="1440" w:type="dxa"/>
            <w:vMerge w:val="restart"/>
            <w:shd w:val="clear" w:color="auto" w:fill="D9D9D9"/>
          </w:tcPr>
          <w:p w14:paraId="275C048C" w14:textId="77777777" w:rsidR="00642866" w:rsidRPr="00206AE1" w:rsidRDefault="00642866">
            <w:pPr>
              <w:pStyle w:val="Normal1"/>
              <w:contextualSpacing w:val="0"/>
            </w:pPr>
            <w:proofErr w:type="spellStart"/>
            <w:r w:rsidRPr="00206AE1">
              <w:rPr>
                <w:b/>
              </w:rPr>
              <w:t>UseCategory</w:t>
            </w:r>
            <w:proofErr w:type="spellEnd"/>
          </w:p>
        </w:tc>
        <w:tc>
          <w:tcPr>
            <w:tcW w:w="3695" w:type="dxa"/>
            <w:gridSpan w:val="2"/>
            <w:tcBorders>
              <w:bottom w:val="single" w:sz="4" w:space="0" w:color="000000"/>
            </w:tcBorders>
            <w:shd w:val="clear" w:color="auto" w:fill="D9D9D9"/>
          </w:tcPr>
          <w:p w14:paraId="48882CF9" w14:textId="0C49C9B0" w:rsidR="00642866" w:rsidRPr="00206AE1" w:rsidRDefault="00642866">
            <w:pPr>
              <w:pStyle w:val="Normal1"/>
              <w:contextualSpacing w:val="0"/>
            </w:pPr>
            <w:r w:rsidRPr="00206AE1">
              <w:rPr>
                <w:b/>
              </w:rPr>
              <w:t>Life</w:t>
            </w:r>
          </w:p>
        </w:tc>
      </w:tr>
      <w:tr w:rsidR="00C2018C" w:rsidRPr="00206AE1" w14:paraId="09CABC6E" w14:textId="77777777" w:rsidTr="00712BFC">
        <w:trPr>
          <w:trHeight w:val="240"/>
        </w:trPr>
        <w:tc>
          <w:tcPr>
            <w:tcW w:w="1755" w:type="dxa"/>
            <w:vMerge/>
          </w:tcPr>
          <w:p w14:paraId="583233F7" w14:textId="77777777" w:rsidR="00C2018C" w:rsidRPr="00206AE1" w:rsidRDefault="00C2018C">
            <w:pPr>
              <w:pStyle w:val="Normal1"/>
            </w:pPr>
          </w:p>
        </w:tc>
        <w:tc>
          <w:tcPr>
            <w:tcW w:w="1890" w:type="dxa"/>
            <w:vMerge/>
          </w:tcPr>
          <w:p w14:paraId="19006792" w14:textId="77777777" w:rsidR="00C2018C" w:rsidRPr="00206AE1" w:rsidRDefault="00C2018C">
            <w:pPr>
              <w:pStyle w:val="Normal1"/>
            </w:pPr>
          </w:p>
        </w:tc>
        <w:tc>
          <w:tcPr>
            <w:tcW w:w="810" w:type="dxa"/>
            <w:vMerge/>
          </w:tcPr>
          <w:p w14:paraId="3F92018A" w14:textId="77777777" w:rsidR="00C2018C" w:rsidRPr="00206AE1" w:rsidRDefault="00C2018C">
            <w:pPr>
              <w:pStyle w:val="Normal1"/>
            </w:pPr>
          </w:p>
        </w:tc>
        <w:tc>
          <w:tcPr>
            <w:tcW w:w="1440" w:type="dxa"/>
            <w:vMerge/>
          </w:tcPr>
          <w:p w14:paraId="5F51D922" w14:textId="77777777" w:rsidR="00C2018C" w:rsidRPr="00206AE1" w:rsidRDefault="00C2018C">
            <w:pPr>
              <w:pStyle w:val="Normal1"/>
            </w:pPr>
          </w:p>
        </w:tc>
        <w:tc>
          <w:tcPr>
            <w:tcW w:w="1710" w:type="dxa"/>
            <w:shd w:val="clear" w:color="auto" w:fill="D9D9D9"/>
          </w:tcPr>
          <w:p w14:paraId="6203CA90" w14:textId="6F6B1C28" w:rsidR="00C2018C" w:rsidRPr="00206AE1" w:rsidRDefault="00C2018C">
            <w:pPr>
              <w:pStyle w:val="Normal1"/>
              <w:rPr>
                <w:color w:val="auto"/>
              </w:rPr>
            </w:pPr>
            <w:r w:rsidRPr="00206AE1">
              <w:rPr>
                <w:color w:val="auto"/>
              </w:rPr>
              <w:t>1</w:t>
            </w:r>
            <w:r w:rsidRPr="00206AE1">
              <w:rPr>
                <w:color w:val="auto"/>
                <w:vertAlign w:val="superscript"/>
              </w:rPr>
              <w:t>st</w:t>
            </w:r>
            <w:r w:rsidRPr="00206AE1">
              <w:rPr>
                <w:color w:val="auto"/>
              </w:rPr>
              <w:t xml:space="preserve"> Baseline</w:t>
            </w:r>
          </w:p>
        </w:tc>
        <w:tc>
          <w:tcPr>
            <w:tcW w:w="1985" w:type="dxa"/>
            <w:shd w:val="clear" w:color="auto" w:fill="D9D9D9"/>
          </w:tcPr>
          <w:p w14:paraId="467ECEA7" w14:textId="60B42630" w:rsidR="00C2018C" w:rsidRPr="00206AE1" w:rsidRDefault="00C2018C">
            <w:pPr>
              <w:pStyle w:val="Normal1"/>
            </w:pPr>
            <w:r w:rsidRPr="00206AE1">
              <w:t>2</w:t>
            </w:r>
            <w:r w:rsidRPr="00206AE1">
              <w:rPr>
                <w:vertAlign w:val="superscript"/>
              </w:rPr>
              <w:t>nd</w:t>
            </w:r>
            <w:r w:rsidRPr="00206AE1">
              <w:t xml:space="preserve"> Baseline</w:t>
            </w:r>
          </w:p>
        </w:tc>
      </w:tr>
      <w:tr w:rsidR="00576C8C" w:rsidRPr="00206AE1" w14:paraId="3942DDE5" w14:textId="77777777" w:rsidTr="00C1306C">
        <w:trPr>
          <w:trHeight w:val="240"/>
        </w:trPr>
        <w:tc>
          <w:tcPr>
            <w:tcW w:w="1755" w:type="dxa"/>
          </w:tcPr>
          <w:p w14:paraId="098DEF92" w14:textId="77777777" w:rsidR="00601A71" w:rsidRPr="00206AE1" w:rsidRDefault="007173B2">
            <w:pPr>
              <w:pStyle w:val="Normal1"/>
              <w:contextualSpacing w:val="0"/>
            </w:pPr>
            <w:r w:rsidRPr="00206AE1">
              <w:t>TBD</w:t>
            </w:r>
          </w:p>
          <w:p w14:paraId="401ECA52" w14:textId="252C7093" w:rsidR="00576C8C" w:rsidRPr="00206AE1" w:rsidRDefault="0096111E">
            <w:pPr>
              <w:pStyle w:val="Normal1"/>
              <w:contextualSpacing w:val="0"/>
            </w:pPr>
            <w:r w:rsidRPr="00206AE1">
              <w:t>(ROB – 15%)</w:t>
            </w:r>
          </w:p>
        </w:tc>
        <w:tc>
          <w:tcPr>
            <w:tcW w:w="1890" w:type="dxa"/>
          </w:tcPr>
          <w:p w14:paraId="78448F71" w14:textId="77777777" w:rsidR="00576C8C" w:rsidRPr="00206AE1" w:rsidRDefault="007173B2">
            <w:pPr>
              <w:pStyle w:val="Normal1"/>
              <w:contextualSpacing w:val="0"/>
            </w:pPr>
            <w:r w:rsidRPr="00206AE1">
              <w:t>Smart Thermostats</w:t>
            </w:r>
          </w:p>
        </w:tc>
        <w:tc>
          <w:tcPr>
            <w:tcW w:w="810" w:type="dxa"/>
          </w:tcPr>
          <w:p w14:paraId="793FD237" w14:textId="77777777" w:rsidR="00576C8C" w:rsidRPr="00206AE1" w:rsidRDefault="007173B2">
            <w:pPr>
              <w:pStyle w:val="Normal1"/>
              <w:contextualSpacing w:val="0"/>
            </w:pPr>
            <w:r w:rsidRPr="00206AE1">
              <w:t>Res</w:t>
            </w:r>
          </w:p>
        </w:tc>
        <w:tc>
          <w:tcPr>
            <w:tcW w:w="1440" w:type="dxa"/>
          </w:tcPr>
          <w:p w14:paraId="2070850A" w14:textId="77777777" w:rsidR="00576C8C" w:rsidRPr="00206AE1" w:rsidRDefault="007173B2">
            <w:pPr>
              <w:pStyle w:val="Normal1"/>
              <w:contextualSpacing w:val="0"/>
            </w:pPr>
            <w:r w:rsidRPr="00206AE1">
              <w:t>HVAC</w:t>
            </w:r>
          </w:p>
        </w:tc>
        <w:tc>
          <w:tcPr>
            <w:tcW w:w="1710" w:type="dxa"/>
          </w:tcPr>
          <w:p w14:paraId="17AC8A41" w14:textId="673861ED" w:rsidR="00576C8C" w:rsidRPr="00206AE1" w:rsidRDefault="00F5715F">
            <w:pPr>
              <w:pStyle w:val="Normal1"/>
              <w:contextualSpacing w:val="0"/>
              <w:rPr>
                <w:color w:val="auto"/>
              </w:rPr>
            </w:pPr>
            <w:r w:rsidRPr="00206AE1">
              <w:rPr>
                <w:color w:val="auto"/>
              </w:rPr>
              <w:t>11</w:t>
            </w:r>
            <w:r w:rsidR="0096111E" w:rsidRPr="00206AE1">
              <w:rPr>
                <w:color w:val="auto"/>
              </w:rPr>
              <w:t xml:space="preserve"> </w:t>
            </w:r>
            <w:r w:rsidR="008565A6" w:rsidRPr="00206AE1">
              <w:rPr>
                <w:color w:val="auto"/>
              </w:rPr>
              <w:t xml:space="preserve"> (EUL)</w:t>
            </w:r>
          </w:p>
        </w:tc>
        <w:tc>
          <w:tcPr>
            <w:tcW w:w="1985" w:type="dxa"/>
          </w:tcPr>
          <w:p w14:paraId="5140AD3D" w14:textId="7202821F" w:rsidR="00576C8C" w:rsidRPr="00206AE1" w:rsidRDefault="0096111E">
            <w:pPr>
              <w:pStyle w:val="Normal1"/>
              <w:contextualSpacing w:val="0"/>
            </w:pPr>
            <w:r w:rsidRPr="00206AE1">
              <w:t xml:space="preserve"> N/A</w:t>
            </w:r>
          </w:p>
        </w:tc>
      </w:tr>
      <w:tr w:rsidR="0096111E" w:rsidRPr="00206AE1" w14:paraId="0A0FFE4A" w14:textId="77777777" w:rsidTr="00C1306C">
        <w:trPr>
          <w:trHeight w:val="240"/>
        </w:trPr>
        <w:tc>
          <w:tcPr>
            <w:tcW w:w="1755" w:type="dxa"/>
          </w:tcPr>
          <w:p w14:paraId="0DB3F204" w14:textId="2ABCD273" w:rsidR="00F5715F" w:rsidRPr="00206AE1" w:rsidRDefault="00F5715F" w:rsidP="0096111E">
            <w:pPr>
              <w:pStyle w:val="Normal1"/>
            </w:pPr>
            <w:r w:rsidRPr="00206AE1">
              <w:t>TBD</w:t>
            </w:r>
          </w:p>
          <w:p w14:paraId="0F4E08F3" w14:textId="5FAA1D38" w:rsidR="0096111E" w:rsidRPr="00206AE1" w:rsidRDefault="0096111E" w:rsidP="0096111E">
            <w:pPr>
              <w:pStyle w:val="Normal1"/>
            </w:pPr>
            <w:r w:rsidRPr="00206AE1">
              <w:t>(RET/ER – 85%)</w:t>
            </w:r>
          </w:p>
        </w:tc>
        <w:tc>
          <w:tcPr>
            <w:tcW w:w="1890" w:type="dxa"/>
          </w:tcPr>
          <w:p w14:paraId="3FBA1616" w14:textId="0E86AD11" w:rsidR="0096111E" w:rsidRPr="00206AE1" w:rsidRDefault="00F5715F" w:rsidP="00F5715F">
            <w:pPr>
              <w:pStyle w:val="Normal1"/>
            </w:pPr>
            <w:r w:rsidRPr="00206AE1">
              <w:t>Smart Thermostats</w:t>
            </w:r>
          </w:p>
        </w:tc>
        <w:tc>
          <w:tcPr>
            <w:tcW w:w="810" w:type="dxa"/>
          </w:tcPr>
          <w:p w14:paraId="60EE3297" w14:textId="4144B185" w:rsidR="0096111E" w:rsidRPr="00206AE1" w:rsidRDefault="0096111E" w:rsidP="0096111E">
            <w:pPr>
              <w:pStyle w:val="Normal1"/>
            </w:pPr>
            <w:r w:rsidRPr="00206AE1">
              <w:t>Res</w:t>
            </w:r>
          </w:p>
        </w:tc>
        <w:tc>
          <w:tcPr>
            <w:tcW w:w="1440" w:type="dxa"/>
          </w:tcPr>
          <w:p w14:paraId="2D17BA93" w14:textId="035B0D71" w:rsidR="0096111E" w:rsidRPr="00206AE1" w:rsidRDefault="0096111E" w:rsidP="0096111E">
            <w:pPr>
              <w:pStyle w:val="Normal1"/>
            </w:pPr>
            <w:r w:rsidRPr="00206AE1">
              <w:t>HVAC</w:t>
            </w:r>
          </w:p>
        </w:tc>
        <w:tc>
          <w:tcPr>
            <w:tcW w:w="1710" w:type="dxa"/>
          </w:tcPr>
          <w:p w14:paraId="025D6C94" w14:textId="7EBAEC2B" w:rsidR="00676348" w:rsidRPr="00206AE1" w:rsidRDefault="00F5715F" w:rsidP="0096111E">
            <w:pPr>
              <w:pStyle w:val="Normal1"/>
              <w:rPr>
                <w:color w:val="auto"/>
              </w:rPr>
            </w:pPr>
            <w:r w:rsidRPr="00206AE1">
              <w:rPr>
                <w:color w:val="auto"/>
              </w:rPr>
              <w:t>3.66</w:t>
            </w:r>
            <w:r w:rsidR="000D4A09" w:rsidRPr="00206AE1">
              <w:rPr>
                <w:color w:val="auto"/>
              </w:rPr>
              <w:t>*</w:t>
            </w:r>
            <w:r w:rsidR="00601A71" w:rsidRPr="00206AE1">
              <w:rPr>
                <w:color w:val="auto"/>
              </w:rPr>
              <w:t xml:space="preserve"> </w:t>
            </w:r>
            <w:r w:rsidR="008565A6" w:rsidRPr="00206AE1">
              <w:rPr>
                <w:color w:val="auto"/>
              </w:rPr>
              <w:t>(</w:t>
            </w:r>
            <w:r w:rsidR="0096111E" w:rsidRPr="00206AE1">
              <w:rPr>
                <w:color w:val="auto"/>
              </w:rPr>
              <w:t>RUL</w:t>
            </w:r>
            <w:r w:rsidR="008565A6" w:rsidRPr="00206AE1">
              <w:rPr>
                <w:color w:val="auto"/>
              </w:rPr>
              <w:t>)</w:t>
            </w:r>
          </w:p>
        </w:tc>
        <w:tc>
          <w:tcPr>
            <w:tcW w:w="1985" w:type="dxa"/>
          </w:tcPr>
          <w:p w14:paraId="2BA27EFD" w14:textId="7A34676E" w:rsidR="0096111E" w:rsidRPr="00206AE1" w:rsidRDefault="008565A6" w:rsidP="0096111E">
            <w:pPr>
              <w:pStyle w:val="Normal1"/>
            </w:pPr>
            <w:r w:rsidRPr="00206AE1">
              <w:t xml:space="preserve">7.34 </w:t>
            </w:r>
            <w:r w:rsidR="00C2018C" w:rsidRPr="00206AE1">
              <w:t>(</w:t>
            </w:r>
            <w:r w:rsidR="0096111E" w:rsidRPr="00206AE1">
              <w:t>EUL-RUL</w:t>
            </w:r>
            <w:r w:rsidR="00C2018C" w:rsidRPr="00206AE1">
              <w:t>)</w:t>
            </w:r>
          </w:p>
          <w:p w14:paraId="551B0EB4" w14:textId="6F550B3E" w:rsidR="0096111E" w:rsidRPr="00206AE1" w:rsidRDefault="0096111E" w:rsidP="008565A6">
            <w:pPr>
              <w:pStyle w:val="Normal1"/>
            </w:pPr>
          </w:p>
        </w:tc>
      </w:tr>
      <w:tr w:rsidR="00C2018C" w:rsidRPr="00206AE1" w14:paraId="5F0EFCC5" w14:textId="77777777" w:rsidTr="00C1306C">
        <w:trPr>
          <w:trHeight w:val="240"/>
        </w:trPr>
        <w:tc>
          <w:tcPr>
            <w:tcW w:w="1755" w:type="dxa"/>
          </w:tcPr>
          <w:p w14:paraId="7D27FB68" w14:textId="77777777" w:rsidR="00C2018C" w:rsidRPr="00206AE1" w:rsidRDefault="00C2018C" w:rsidP="0096111E">
            <w:pPr>
              <w:pStyle w:val="Normal1"/>
            </w:pPr>
            <w:r w:rsidRPr="00206AE1">
              <w:t xml:space="preserve">TBD – </w:t>
            </w:r>
          </w:p>
          <w:p w14:paraId="1716D3CB" w14:textId="3E4F2159" w:rsidR="00C2018C" w:rsidRPr="00206AE1" w:rsidDel="00F5715F" w:rsidRDefault="00C2018C" w:rsidP="0096111E">
            <w:pPr>
              <w:pStyle w:val="Normal1"/>
            </w:pPr>
            <w:r w:rsidRPr="00206AE1">
              <w:t>POU Programs</w:t>
            </w:r>
          </w:p>
        </w:tc>
        <w:tc>
          <w:tcPr>
            <w:tcW w:w="1890" w:type="dxa"/>
          </w:tcPr>
          <w:p w14:paraId="61C7C0AD" w14:textId="7CBF32F1" w:rsidR="00C2018C" w:rsidRPr="00206AE1" w:rsidRDefault="00C2018C" w:rsidP="00F5715F">
            <w:pPr>
              <w:pStyle w:val="Normal1"/>
            </w:pPr>
            <w:r w:rsidRPr="00206AE1">
              <w:t>Smart Thermostats</w:t>
            </w:r>
          </w:p>
        </w:tc>
        <w:tc>
          <w:tcPr>
            <w:tcW w:w="810" w:type="dxa"/>
          </w:tcPr>
          <w:p w14:paraId="473793F3" w14:textId="27A0623C" w:rsidR="00C2018C" w:rsidRPr="00206AE1" w:rsidRDefault="00C2018C" w:rsidP="0096111E">
            <w:pPr>
              <w:pStyle w:val="Normal1"/>
            </w:pPr>
            <w:r w:rsidRPr="00206AE1">
              <w:t>Res</w:t>
            </w:r>
          </w:p>
        </w:tc>
        <w:tc>
          <w:tcPr>
            <w:tcW w:w="1440" w:type="dxa"/>
          </w:tcPr>
          <w:p w14:paraId="3A33A8B8" w14:textId="4EE56918" w:rsidR="00C2018C" w:rsidRPr="00206AE1" w:rsidRDefault="00C2018C" w:rsidP="0096111E">
            <w:pPr>
              <w:pStyle w:val="Normal1"/>
            </w:pPr>
            <w:r w:rsidRPr="00206AE1">
              <w:t>HVAC</w:t>
            </w:r>
          </w:p>
        </w:tc>
        <w:tc>
          <w:tcPr>
            <w:tcW w:w="1710" w:type="dxa"/>
          </w:tcPr>
          <w:p w14:paraId="6ADC73B5" w14:textId="51FD9AA1" w:rsidR="00C2018C" w:rsidRPr="00206AE1" w:rsidRDefault="00C2018C" w:rsidP="0096111E">
            <w:pPr>
              <w:pStyle w:val="Normal1"/>
              <w:rPr>
                <w:color w:val="auto"/>
              </w:rPr>
            </w:pPr>
            <w:r w:rsidRPr="00206AE1">
              <w:rPr>
                <w:color w:val="auto"/>
              </w:rPr>
              <w:t>11  (EUL)</w:t>
            </w:r>
          </w:p>
        </w:tc>
        <w:tc>
          <w:tcPr>
            <w:tcW w:w="1985" w:type="dxa"/>
          </w:tcPr>
          <w:p w14:paraId="264FD0EE" w14:textId="76CD14AA" w:rsidR="00C2018C" w:rsidRPr="00206AE1" w:rsidRDefault="00C2018C" w:rsidP="0096111E">
            <w:pPr>
              <w:pStyle w:val="Normal1"/>
            </w:pPr>
            <w:r w:rsidRPr="00206AE1">
              <w:t>N/A</w:t>
            </w:r>
          </w:p>
        </w:tc>
      </w:tr>
    </w:tbl>
    <w:p w14:paraId="554760C6" w14:textId="23FD45E6" w:rsidR="00576C8C" w:rsidRDefault="0055532E">
      <w:pPr>
        <w:pStyle w:val="Normal1"/>
        <w:spacing w:line="276" w:lineRule="auto"/>
        <w:rPr>
          <w:color w:val="auto"/>
        </w:rPr>
      </w:pPr>
      <w:r w:rsidRPr="006F5738">
        <w:rPr>
          <w:color w:val="auto"/>
        </w:rPr>
        <w:t>*</w:t>
      </w:r>
      <w:r w:rsidR="006F5738" w:rsidRPr="006F5738">
        <w:rPr>
          <w:color w:val="auto"/>
        </w:rPr>
        <w:t xml:space="preserve">one third of the expected useful life of a programmable thermostat that has an EUL of 11 years </w:t>
      </w:r>
    </w:p>
    <w:p w14:paraId="2E5869D1" w14:textId="5BB68B40" w:rsidR="00576C8C" w:rsidRDefault="00037033">
      <w:pPr>
        <w:pStyle w:val="Heading3"/>
      </w:pPr>
      <w:r>
        <w:rPr>
          <w:rFonts w:ascii="Calibri" w:eastAsia="Calibri" w:hAnsi="Calibri" w:cs="Calibri"/>
        </w:rPr>
        <w:t>1.4.</w:t>
      </w:r>
      <w:r w:rsidR="00F53F9F">
        <w:rPr>
          <w:rFonts w:ascii="Calibri" w:eastAsia="Calibri" w:hAnsi="Calibri" w:cs="Calibri"/>
        </w:rPr>
        <w:t>6</w:t>
      </w:r>
      <w:r w:rsidR="007173B2">
        <w:rPr>
          <w:rFonts w:ascii="Calibri" w:eastAsia="Calibri" w:hAnsi="Calibri" w:cs="Calibri"/>
        </w:rPr>
        <w:t xml:space="preserve"> Codes and Standards Analysis </w:t>
      </w:r>
    </w:p>
    <w:p w14:paraId="06343BA6" w14:textId="5FF22C36" w:rsidR="00576C8C" w:rsidRDefault="007173B2" w:rsidP="005D20EE">
      <w:pPr>
        <w:pStyle w:val="Normal1"/>
        <w:keepNext/>
      </w:pPr>
      <w:r>
        <w:t>This measure falls under the jurisdiction of Title 24 as listed in</w:t>
      </w:r>
      <w:r w:rsidR="000A24A8">
        <w:t xml:space="preserve"> Table below</w:t>
      </w:r>
      <w:r>
        <w:t>. Smart Thermostats have the capability to respond to a demand response signal, and therefore; exceed the functionality of thermostats that meet current 201</w:t>
      </w:r>
      <w:r w:rsidR="00754D98">
        <w:t>5</w:t>
      </w:r>
      <w:r>
        <w:t xml:space="preserve"> Title-24 standards.</w:t>
      </w:r>
    </w:p>
    <w:p w14:paraId="3E6690EC" w14:textId="77777777" w:rsidR="000A24A8" w:rsidRDefault="000A24A8" w:rsidP="005D20EE">
      <w:pPr>
        <w:pStyle w:val="Normal1"/>
        <w:keepNext/>
      </w:pPr>
    </w:p>
    <w:p w14:paraId="1CE10B66" w14:textId="5CCDE046" w:rsidR="00576C8C" w:rsidRDefault="000A24A8" w:rsidP="00206AE1">
      <w:pPr>
        <w:pStyle w:val="Normal1"/>
        <w:keepNext/>
      </w:pPr>
      <w:r>
        <w:rPr>
          <w:b/>
        </w:rPr>
        <w:t xml:space="preserve">    </w:t>
      </w:r>
      <w:r w:rsidR="007173B2">
        <w:rPr>
          <w:b/>
        </w:rPr>
        <w:t>Code Summary</w:t>
      </w:r>
    </w:p>
    <w:tbl>
      <w:tblPr>
        <w:tblStyle w:val="af"/>
        <w:tblW w:w="832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160"/>
        <w:gridCol w:w="3645"/>
        <w:gridCol w:w="2520"/>
      </w:tblGrid>
      <w:tr w:rsidR="00576C8C" w:rsidRPr="00206AE1" w14:paraId="3366D6EB" w14:textId="77777777" w:rsidTr="00206AE1">
        <w:trPr>
          <w:jc w:val="center"/>
        </w:trPr>
        <w:tc>
          <w:tcPr>
            <w:tcW w:w="2160" w:type="dxa"/>
            <w:shd w:val="clear" w:color="auto" w:fill="D9D9D9"/>
          </w:tcPr>
          <w:p w14:paraId="007F1576" w14:textId="77777777" w:rsidR="00576C8C" w:rsidRPr="00206AE1" w:rsidRDefault="007173B2">
            <w:pPr>
              <w:pStyle w:val="Normal1"/>
              <w:keepNext/>
              <w:contextualSpacing w:val="0"/>
            </w:pPr>
            <w:r w:rsidRPr="00206AE1">
              <w:rPr>
                <w:b/>
                <w:shd w:val="clear" w:color="auto" w:fill="D9D9D9"/>
              </w:rPr>
              <w:t>Code</w:t>
            </w:r>
          </w:p>
        </w:tc>
        <w:tc>
          <w:tcPr>
            <w:tcW w:w="3645" w:type="dxa"/>
            <w:shd w:val="clear" w:color="auto" w:fill="D9D9D9"/>
          </w:tcPr>
          <w:p w14:paraId="2666F555" w14:textId="77777777" w:rsidR="00576C8C" w:rsidRPr="00206AE1" w:rsidRDefault="007173B2">
            <w:pPr>
              <w:pStyle w:val="Normal1"/>
              <w:widowControl w:val="0"/>
              <w:spacing w:line="276" w:lineRule="auto"/>
              <w:contextualSpacing w:val="0"/>
            </w:pPr>
            <w:r w:rsidRPr="00206AE1">
              <w:rPr>
                <w:b/>
                <w:shd w:val="clear" w:color="auto" w:fill="D9D9D9"/>
              </w:rPr>
              <w:t>Reference</w:t>
            </w:r>
          </w:p>
        </w:tc>
        <w:tc>
          <w:tcPr>
            <w:tcW w:w="2520" w:type="dxa"/>
            <w:shd w:val="clear" w:color="auto" w:fill="D9D9D9"/>
          </w:tcPr>
          <w:p w14:paraId="56DE90D3" w14:textId="77777777" w:rsidR="00576C8C" w:rsidRPr="00206AE1" w:rsidRDefault="007173B2">
            <w:pPr>
              <w:pStyle w:val="Normal1"/>
              <w:widowControl w:val="0"/>
              <w:spacing w:line="276" w:lineRule="auto"/>
              <w:contextualSpacing w:val="0"/>
            </w:pPr>
            <w:r w:rsidRPr="00206AE1">
              <w:rPr>
                <w:b/>
                <w:shd w:val="clear" w:color="auto" w:fill="D9D9D9"/>
              </w:rPr>
              <w:t>Effective Dates</w:t>
            </w:r>
          </w:p>
        </w:tc>
      </w:tr>
      <w:tr w:rsidR="00576C8C" w:rsidRPr="00206AE1" w14:paraId="4AF479FF" w14:textId="77777777" w:rsidTr="00206AE1">
        <w:trPr>
          <w:trHeight w:val="240"/>
          <w:jc w:val="center"/>
        </w:trPr>
        <w:tc>
          <w:tcPr>
            <w:tcW w:w="2160" w:type="dxa"/>
          </w:tcPr>
          <w:p w14:paraId="0B4FB284" w14:textId="21258195" w:rsidR="00576C8C" w:rsidRPr="00206AE1" w:rsidRDefault="007173B2">
            <w:pPr>
              <w:pStyle w:val="Normal1"/>
              <w:widowControl w:val="0"/>
              <w:spacing w:line="276" w:lineRule="auto"/>
              <w:contextualSpacing w:val="0"/>
            </w:pPr>
            <w:r w:rsidRPr="00206AE1">
              <w:t>Title 20 (201</w:t>
            </w:r>
            <w:r w:rsidR="00965F57" w:rsidRPr="00206AE1">
              <w:t>6</w:t>
            </w:r>
            <w:r w:rsidRPr="00206AE1">
              <w:t>)</w:t>
            </w:r>
          </w:p>
        </w:tc>
        <w:tc>
          <w:tcPr>
            <w:tcW w:w="3645" w:type="dxa"/>
          </w:tcPr>
          <w:p w14:paraId="0B802DD3" w14:textId="77777777" w:rsidR="00576C8C" w:rsidRPr="00206AE1" w:rsidRDefault="007173B2">
            <w:pPr>
              <w:pStyle w:val="Normal1"/>
              <w:widowControl w:val="0"/>
              <w:spacing w:line="276" w:lineRule="auto"/>
              <w:contextualSpacing w:val="0"/>
            </w:pPr>
            <w:r w:rsidRPr="00206AE1">
              <w:t>N/A</w:t>
            </w:r>
          </w:p>
        </w:tc>
        <w:tc>
          <w:tcPr>
            <w:tcW w:w="2520" w:type="dxa"/>
          </w:tcPr>
          <w:p w14:paraId="4F6AB026" w14:textId="77777777" w:rsidR="00576C8C" w:rsidRPr="00206AE1" w:rsidRDefault="007173B2">
            <w:pPr>
              <w:pStyle w:val="Normal1"/>
              <w:widowControl w:val="0"/>
              <w:spacing w:line="276" w:lineRule="auto"/>
              <w:contextualSpacing w:val="0"/>
            </w:pPr>
            <w:r w:rsidRPr="00206AE1">
              <w:t>N/A</w:t>
            </w:r>
          </w:p>
        </w:tc>
      </w:tr>
      <w:tr w:rsidR="00576C8C" w:rsidRPr="00206AE1" w14:paraId="5CFA2149" w14:textId="77777777" w:rsidTr="00206AE1">
        <w:trPr>
          <w:trHeight w:val="240"/>
          <w:jc w:val="center"/>
        </w:trPr>
        <w:tc>
          <w:tcPr>
            <w:tcW w:w="2160" w:type="dxa"/>
          </w:tcPr>
          <w:p w14:paraId="1FF8FD76" w14:textId="36E8FA56" w:rsidR="00576C8C" w:rsidRPr="00206AE1" w:rsidRDefault="007173B2">
            <w:pPr>
              <w:pStyle w:val="Normal1"/>
              <w:contextualSpacing w:val="0"/>
            </w:pPr>
            <w:r w:rsidRPr="00206AE1">
              <w:t>Title 24 (201</w:t>
            </w:r>
            <w:r w:rsidR="00965F57" w:rsidRPr="00206AE1">
              <w:t>6</w:t>
            </w:r>
            <w:r w:rsidRPr="00206AE1">
              <w:t>)</w:t>
            </w:r>
          </w:p>
        </w:tc>
        <w:tc>
          <w:tcPr>
            <w:tcW w:w="3645" w:type="dxa"/>
          </w:tcPr>
          <w:p w14:paraId="2E2058D5" w14:textId="77777777" w:rsidR="00576C8C" w:rsidRPr="00206AE1" w:rsidRDefault="007173B2">
            <w:pPr>
              <w:pStyle w:val="Normal1"/>
              <w:contextualSpacing w:val="0"/>
            </w:pPr>
            <w:r w:rsidRPr="00206AE1">
              <w:t>Title 24, part 6 Section 110 Thermostats</w:t>
            </w:r>
          </w:p>
        </w:tc>
        <w:tc>
          <w:tcPr>
            <w:tcW w:w="2520" w:type="dxa"/>
          </w:tcPr>
          <w:p w14:paraId="29FCA95D" w14:textId="65DF6DDD" w:rsidR="00576C8C" w:rsidRPr="00206AE1" w:rsidRDefault="00965F57">
            <w:pPr>
              <w:pStyle w:val="Normal1"/>
              <w:contextualSpacing w:val="0"/>
            </w:pPr>
            <w:r w:rsidRPr="00206AE1">
              <w:t>January 1</w:t>
            </w:r>
            <w:r w:rsidR="007173B2" w:rsidRPr="00206AE1">
              <w:t>, 201</w:t>
            </w:r>
            <w:r w:rsidRPr="00206AE1">
              <w:t>7</w:t>
            </w:r>
          </w:p>
        </w:tc>
      </w:tr>
    </w:tbl>
    <w:p w14:paraId="02DBD8D2" w14:textId="77777777" w:rsidR="00576C8C" w:rsidRDefault="007173B2">
      <w:pPr>
        <w:pStyle w:val="Normal1"/>
        <w:keepNext/>
      </w:pPr>
      <w:r>
        <w:rPr>
          <w:b/>
        </w:rPr>
        <w:lastRenderedPageBreak/>
        <w:t xml:space="preserve">Title 20: </w:t>
      </w:r>
      <w:r>
        <w:t>This measure does not fall under Title 20 of the California Code of Regulations</w:t>
      </w:r>
    </w:p>
    <w:p w14:paraId="4719A7F6" w14:textId="77777777" w:rsidR="00576C8C" w:rsidRDefault="007173B2">
      <w:pPr>
        <w:pStyle w:val="Normal1"/>
        <w:keepNext/>
      </w:pPr>
      <w:r>
        <w:rPr>
          <w:b/>
        </w:rPr>
        <w:t>Title 24:</w:t>
      </w:r>
      <w:r>
        <w:t xml:space="preserve"> Thermostats do fall under Title 24 of the California Code of Regulations, but smart thermostats discussed in this work paper do not. Title 24, part 6 states</w:t>
      </w:r>
      <w:r>
        <w:rPr>
          <w:sz w:val="18"/>
          <w:szCs w:val="18"/>
          <w:vertAlign w:val="superscript"/>
        </w:rPr>
        <w:t>[i]</w:t>
      </w:r>
      <w:r>
        <w:t>:</w:t>
      </w:r>
    </w:p>
    <w:p w14:paraId="654F0716" w14:textId="77777777" w:rsidR="00C62762" w:rsidRDefault="00C62762">
      <w:pPr>
        <w:pStyle w:val="Normal1"/>
        <w:keepNext/>
        <w:ind w:left="900"/>
        <w:rPr>
          <w:b/>
        </w:rPr>
      </w:pPr>
    </w:p>
    <w:p w14:paraId="3E4D60A3" w14:textId="095D8F4C" w:rsidR="00576C8C" w:rsidRDefault="007173B2">
      <w:pPr>
        <w:pStyle w:val="Normal1"/>
        <w:keepNext/>
        <w:ind w:left="900"/>
        <w:rPr>
          <w:b/>
        </w:rPr>
      </w:pPr>
      <w:r>
        <w:rPr>
          <w:b/>
        </w:rPr>
        <w:t>Section 110</w:t>
      </w:r>
      <w:r w:rsidR="00BA6C5A">
        <w:rPr>
          <w:b/>
        </w:rPr>
        <w:t>.2</w:t>
      </w:r>
      <w:r w:rsidR="00C62762">
        <w:rPr>
          <w:b/>
        </w:rPr>
        <w:t xml:space="preserve"> Mandatory Requirements for Space Conditioning Equipment</w:t>
      </w:r>
    </w:p>
    <w:p w14:paraId="5124BC6D" w14:textId="77777777" w:rsidR="00C62762" w:rsidRDefault="00C62762">
      <w:pPr>
        <w:pStyle w:val="Normal1"/>
        <w:keepNext/>
        <w:ind w:left="900"/>
      </w:pPr>
    </w:p>
    <w:p w14:paraId="398116A5" w14:textId="77777777" w:rsidR="00576C8C" w:rsidRDefault="007173B2">
      <w:pPr>
        <w:pStyle w:val="Normal1"/>
        <w:keepNext/>
        <w:ind w:left="900"/>
      </w:pPr>
      <w:r>
        <w:rPr>
          <w:b/>
          <w:u w:val="single"/>
        </w:rPr>
        <w:t>Thermostats.</w:t>
      </w:r>
      <w:r>
        <w:t xml:space="preserve"> All unitary heating or cooling systems, including heat pumps, not controlled by a central energy management control system (EMCS) shall have a setback thermostat.</w:t>
      </w:r>
    </w:p>
    <w:p w14:paraId="284E9215" w14:textId="77777777" w:rsidR="00576C8C" w:rsidRDefault="007173B2">
      <w:pPr>
        <w:pStyle w:val="Normal1"/>
        <w:keepNext/>
        <w:ind w:left="900"/>
      </w:pPr>
      <w:r>
        <w:rPr>
          <w:b/>
          <w:u w:val="single"/>
        </w:rPr>
        <w:t>1. Setback Capabilities.</w:t>
      </w:r>
      <w:r>
        <w:t xml:space="preserve"> All thermostats shall have a clock mechanism that allows the building occupant to Program the temperature set points for at least four periods within 24 hours. Thermostats for heat pumps shall meet the requirements of Section 110.2(b). Space-conditioning systems shall be installed with controls that comply with the applicable requirements of Subsections (a) through (i).</w:t>
      </w:r>
    </w:p>
    <w:p w14:paraId="6946F6CF" w14:textId="77777777" w:rsidR="00576C8C" w:rsidRDefault="007173B2">
      <w:pPr>
        <w:pStyle w:val="Normal1"/>
        <w:keepNext/>
        <w:ind w:left="900"/>
      </w:pPr>
      <w:r>
        <w:t xml:space="preserve"> </w:t>
      </w:r>
    </w:p>
    <w:p w14:paraId="62775277" w14:textId="77777777" w:rsidR="00576C8C" w:rsidRDefault="007173B2">
      <w:pPr>
        <w:pStyle w:val="Normal1"/>
        <w:keepNext/>
        <w:ind w:left="900"/>
      </w:pPr>
      <w:r>
        <w:rPr>
          <w:b/>
        </w:rPr>
        <w:t>Section 120</w:t>
      </w:r>
    </w:p>
    <w:p w14:paraId="16A39552" w14:textId="77777777" w:rsidR="00576C8C" w:rsidRDefault="007173B2">
      <w:pPr>
        <w:pStyle w:val="Normal1"/>
        <w:keepNext/>
        <w:ind w:left="900"/>
      </w:pPr>
      <w:r>
        <w:rPr>
          <w:b/>
          <w:u w:val="single"/>
        </w:rPr>
        <w:t>Thermostatic Controls for Each Zone.</w:t>
      </w:r>
      <w:r>
        <w:t xml:space="preserve"> The supply of heating and cooling energy to each space-conditioning zone or dwelling unit shall be controlled by an individual thermostatic control that responds to temperature within the zone and that meets the applicable requirements of Section 120.2(b).</w:t>
      </w:r>
    </w:p>
    <w:p w14:paraId="1CA42875" w14:textId="77777777" w:rsidR="00576C8C" w:rsidRDefault="007173B2">
      <w:pPr>
        <w:pStyle w:val="Normal1"/>
        <w:keepNext/>
        <w:ind w:left="900"/>
      </w:pPr>
      <w:r>
        <w:t xml:space="preserve"> </w:t>
      </w:r>
    </w:p>
    <w:p w14:paraId="60B0D6C9" w14:textId="77777777" w:rsidR="00576C8C" w:rsidRDefault="007173B2">
      <w:pPr>
        <w:pStyle w:val="Normal1"/>
        <w:keepNext/>
        <w:ind w:left="900"/>
      </w:pPr>
      <w:r>
        <w:rPr>
          <w:b/>
          <w:u w:val="single"/>
        </w:rPr>
        <w:t>EXCEPTION to Section 120.2(a):</w:t>
      </w:r>
      <w:r>
        <w:t xml:space="preserve"> An independent perimeter heating or cooling system may serve more than one zone without individual thermostatic controls if:</w:t>
      </w:r>
    </w:p>
    <w:p w14:paraId="7B2CC564" w14:textId="77777777" w:rsidR="00576C8C" w:rsidRDefault="007173B2">
      <w:pPr>
        <w:pStyle w:val="Normal1"/>
        <w:keepNext/>
        <w:ind w:left="900"/>
      </w:pPr>
      <w:r>
        <w:t>1. All zones are also served by an interior cooling system;</w:t>
      </w:r>
    </w:p>
    <w:p w14:paraId="7F9D8E80" w14:textId="77777777" w:rsidR="00576C8C" w:rsidRDefault="007173B2">
      <w:pPr>
        <w:pStyle w:val="Normal1"/>
        <w:keepNext/>
        <w:ind w:left="900"/>
      </w:pPr>
      <w:r>
        <w:t>2. The perimeter system is designed solely to offset envelope heat losses or gains;</w:t>
      </w:r>
    </w:p>
    <w:p w14:paraId="5A70CA65" w14:textId="77777777" w:rsidR="00576C8C" w:rsidRDefault="007173B2">
      <w:pPr>
        <w:pStyle w:val="Normal1"/>
        <w:keepNext/>
        <w:ind w:left="900"/>
      </w:pPr>
      <w:r>
        <w:t>3. The perimeter system has at least one thermostatic control for each building orientation of 50 feet or more; and</w:t>
      </w:r>
    </w:p>
    <w:p w14:paraId="3411754F" w14:textId="77777777" w:rsidR="00576C8C" w:rsidRDefault="007173B2">
      <w:pPr>
        <w:pStyle w:val="Normal1"/>
        <w:keepNext/>
        <w:ind w:left="900"/>
      </w:pPr>
      <w:r>
        <w:t>4. The perimeter system is controlled by at least one thermostat located in one of the zones served by the system.</w:t>
      </w:r>
    </w:p>
    <w:p w14:paraId="1CCE31C4" w14:textId="77777777" w:rsidR="00576C8C" w:rsidRDefault="007173B2">
      <w:pPr>
        <w:pStyle w:val="Normal1"/>
        <w:keepNext/>
        <w:ind w:left="900"/>
      </w:pPr>
      <w:r>
        <w:t xml:space="preserve"> </w:t>
      </w:r>
    </w:p>
    <w:p w14:paraId="2D57EC6B" w14:textId="77777777" w:rsidR="00576C8C" w:rsidRDefault="007173B2">
      <w:pPr>
        <w:pStyle w:val="Normal1"/>
        <w:keepNext/>
        <w:ind w:left="900"/>
      </w:pPr>
      <w:r>
        <w:rPr>
          <w:b/>
          <w:u w:val="single"/>
        </w:rPr>
        <w:t>(b) Criteria for Zonal Thermostatic Controls.</w:t>
      </w:r>
      <w:r>
        <w:t xml:space="preserve"> The individual thermostatic controls required by Section 120.2(a) shall meet the following requirements as applicable:</w:t>
      </w:r>
    </w:p>
    <w:p w14:paraId="211591E6" w14:textId="77777777" w:rsidR="00576C8C" w:rsidRDefault="007173B2">
      <w:pPr>
        <w:pStyle w:val="Normal1"/>
        <w:keepNext/>
        <w:ind w:left="900"/>
      </w:pPr>
      <w:r>
        <w:t>1. Where used to control comfort heating, the thermostatic controls shall be capable of being set, locally or remotely, down to 55°F or lower.</w:t>
      </w:r>
    </w:p>
    <w:p w14:paraId="538AF3E7" w14:textId="77777777" w:rsidR="00576C8C" w:rsidRDefault="007173B2">
      <w:pPr>
        <w:pStyle w:val="Normal1"/>
        <w:keepNext/>
        <w:ind w:left="900"/>
      </w:pPr>
      <w:r>
        <w:t>2. Where used to control comfort cooling, the thermostatic controls shall be capable of being set, locally or remotely, up to 85°F or higher.</w:t>
      </w:r>
    </w:p>
    <w:p w14:paraId="14BBCC79" w14:textId="77777777" w:rsidR="00576C8C" w:rsidRDefault="007173B2">
      <w:pPr>
        <w:pStyle w:val="Normal1"/>
        <w:keepNext/>
        <w:ind w:left="900"/>
      </w:pPr>
      <w:r>
        <w:t>3. Where used to control both comfort heating and comfort cooling, the thermostatic controls shall meet Items 1 and 2 and shall be capable of providing a temperature range or dead band of at least 5°F within which the supply of heating and cooling energy to the zone is shut off or reduced to a minimum.</w:t>
      </w:r>
    </w:p>
    <w:p w14:paraId="039FF27C" w14:textId="77777777" w:rsidR="00576C8C" w:rsidRDefault="007173B2">
      <w:pPr>
        <w:pStyle w:val="Normal1"/>
        <w:keepNext/>
        <w:ind w:left="900"/>
      </w:pPr>
      <w:r>
        <w:t xml:space="preserve"> </w:t>
      </w:r>
    </w:p>
    <w:p w14:paraId="2A263F30" w14:textId="77777777" w:rsidR="00576C8C" w:rsidRDefault="007173B2">
      <w:pPr>
        <w:pStyle w:val="Normal1"/>
        <w:keepNext/>
        <w:ind w:left="900"/>
      </w:pPr>
      <w:r>
        <w:rPr>
          <w:b/>
          <w:u w:val="single"/>
        </w:rPr>
        <w:t>EXCEPTION to Section 120.2(b</w:t>
      </w:r>
      <w:proofErr w:type="gramStart"/>
      <w:r>
        <w:rPr>
          <w:b/>
          <w:u w:val="single"/>
        </w:rPr>
        <w:t>)3</w:t>
      </w:r>
      <w:proofErr w:type="gramEnd"/>
      <w:r>
        <w:rPr>
          <w:b/>
          <w:u w:val="single"/>
        </w:rPr>
        <w:t>:</w:t>
      </w:r>
      <w:r>
        <w:rPr>
          <w:u w:val="single"/>
        </w:rPr>
        <w:t xml:space="preserve"> </w:t>
      </w:r>
      <w:r>
        <w:t>Systems with thermostats that require manual changeover between heating and cooling modes.</w:t>
      </w:r>
    </w:p>
    <w:p w14:paraId="1852DA80" w14:textId="77777777" w:rsidR="00576C8C" w:rsidRDefault="007173B2">
      <w:pPr>
        <w:pStyle w:val="Normal1"/>
        <w:keepNext/>
        <w:ind w:left="900"/>
      </w:pPr>
      <w:r>
        <w:t xml:space="preserve">4. Thermostatic controls for all unitary single zone, air conditioners, heat pumps, and furnaces, shall comply with the requirements of Section 110.2(c) and Reference Joint </w:t>
      </w:r>
      <w:r>
        <w:lastRenderedPageBreak/>
        <w:t>Appendix JA5 or, if equipped with DDC to the Zone level, with the Automatic Demand Shed Controls of Section 120.2(h).</w:t>
      </w:r>
    </w:p>
    <w:p w14:paraId="3D950D9B" w14:textId="77777777" w:rsidR="00576C8C" w:rsidRDefault="00576C8C">
      <w:pPr>
        <w:pStyle w:val="Normal1"/>
        <w:keepNext/>
        <w:ind w:left="900"/>
      </w:pPr>
    </w:p>
    <w:p w14:paraId="1A37DA7D" w14:textId="77777777" w:rsidR="00576C8C" w:rsidRDefault="007173B2">
      <w:pPr>
        <w:pStyle w:val="Normal1"/>
        <w:keepNext/>
        <w:ind w:left="900"/>
      </w:pPr>
      <w:r>
        <w:rPr>
          <w:b/>
        </w:rPr>
        <w:t xml:space="preserve">Appendix JA5 - Technical Specifications </w:t>
      </w:r>
      <w:proofErr w:type="gramStart"/>
      <w:r>
        <w:rPr>
          <w:b/>
        </w:rPr>
        <w:t>For</w:t>
      </w:r>
      <w:proofErr w:type="gramEnd"/>
      <w:r>
        <w:rPr>
          <w:b/>
        </w:rPr>
        <w:t xml:space="preserve"> Occupant Controlled Smart Thermostats</w:t>
      </w:r>
    </w:p>
    <w:p w14:paraId="50B42864" w14:textId="77777777" w:rsidR="006727AD" w:rsidRDefault="007173B2" w:rsidP="006825A2">
      <w:pPr>
        <w:pStyle w:val="Normal1"/>
        <w:keepNext/>
        <w:ind w:left="900"/>
      </w:pPr>
      <w:r>
        <w:t>The Occupant Controlled Smart Thermostat (OCST</w:t>
      </w:r>
      <w:proofErr w:type="gramStart"/>
      <w:r>
        <w:t>)2</w:t>
      </w:r>
      <w:proofErr w:type="gramEnd"/>
      <w:r>
        <w:t xml:space="preserve"> shall be self- certified by the manufacturer to the Energy Commission to meet the requirements described in this section. This document provides a high level technical specification for an OCST. </w:t>
      </w:r>
    </w:p>
    <w:p w14:paraId="18694E40" w14:textId="2A7E5F11" w:rsidR="00576C8C" w:rsidRDefault="007173B2" w:rsidP="006825A2">
      <w:pPr>
        <w:pStyle w:val="Normal1"/>
        <w:keepNext/>
        <w:ind w:left="900"/>
      </w:pPr>
      <w:r>
        <w:t>All</w:t>
      </w:r>
      <w:r w:rsidR="00A0158C">
        <w:t xml:space="preserve"> </w:t>
      </w:r>
      <w:r>
        <w:t>CST</w:t>
      </w:r>
      <w:r w:rsidR="00295AEE">
        <w:t xml:space="preserve"> </w:t>
      </w:r>
      <w:r>
        <w:t>shall comply with the</w:t>
      </w:r>
      <w:r w:rsidR="006825A2">
        <w:t xml:space="preserve"> </w:t>
      </w:r>
      <w:r>
        <w:t>specifications set forth in this document or a specification approved by the Executive Director.</w:t>
      </w:r>
    </w:p>
    <w:p w14:paraId="1AEBB183" w14:textId="77777777" w:rsidR="00576C8C" w:rsidRDefault="007173B2">
      <w:pPr>
        <w:pStyle w:val="Normal1"/>
        <w:keepNext/>
        <w:ind w:left="900"/>
      </w:pPr>
      <w:r>
        <w:t xml:space="preserve"> </w:t>
      </w:r>
    </w:p>
    <w:p w14:paraId="5F05B446" w14:textId="77777777" w:rsidR="00576C8C" w:rsidRDefault="007173B2">
      <w:pPr>
        <w:pStyle w:val="Normal1"/>
        <w:keepNext/>
        <w:spacing w:after="200" w:line="276" w:lineRule="auto"/>
        <w:ind w:left="900"/>
      </w:pPr>
      <w:r>
        <w:rPr>
          <w:b/>
        </w:rPr>
        <w:t>JA5.2 Required Functional Resources</w:t>
      </w:r>
    </w:p>
    <w:p w14:paraId="78E1B86B" w14:textId="77777777" w:rsidR="00576C8C" w:rsidRDefault="007173B2">
      <w:pPr>
        <w:pStyle w:val="Normal1"/>
        <w:keepNext/>
        <w:ind w:left="900"/>
      </w:pPr>
      <w:r>
        <w:rPr>
          <w:b/>
        </w:rPr>
        <w:t>JA5.2.1 Setback Capabilities</w:t>
      </w:r>
    </w:p>
    <w:p w14:paraId="066CDCA8" w14:textId="32193B94" w:rsidR="00576C8C" w:rsidRDefault="007173B2">
      <w:pPr>
        <w:pStyle w:val="Normal1"/>
        <w:keepNext/>
        <w:ind w:left="900"/>
      </w:pPr>
      <w:r>
        <w:t xml:space="preserve">All OCSTs shall meet the requirements of Section 110.2(c). Thermostats for heat pumps shall </w:t>
      </w:r>
      <w:r w:rsidR="00295AEE">
        <w:t>a</w:t>
      </w:r>
      <w:r>
        <w:t>lso meet the requirements of Section 110.2(b).</w:t>
      </w:r>
    </w:p>
    <w:p w14:paraId="1959CF35" w14:textId="77777777" w:rsidR="00576C8C" w:rsidRDefault="007173B2">
      <w:pPr>
        <w:pStyle w:val="Normal1"/>
        <w:keepNext/>
        <w:ind w:left="900"/>
      </w:pPr>
      <w:r>
        <w:t xml:space="preserve"> </w:t>
      </w:r>
    </w:p>
    <w:p w14:paraId="256EE43F" w14:textId="77777777" w:rsidR="00576C8C" w:rsidRDefault="007173B2">
      <w:pPr>
        <w:pStyle w:val="Normal1"/>
        <w:keepNext/>
        <w:ind w:left="900"/>
      </w:pPr>
      <w:r>
        <w:rPr>
          <w:b/>
        </w:rPr>
        <w:t>JA5.2.2 Communication Capabilities</w:t>
      </w:r>
    </w:p>
    <w:p w14:paraId="2A36FD02" w14:textId="77777777" w:rsidR="00576C8C" w:rsidRDefault="007173B2">
      <w:pPr>
        <w:pStyle w:val="Normal1"/>
        <w:keepNext/>
        <w:ind w:left="900"/>
      </w:pPr>
      <w:r>
        <w:t>OCSTs shall include communication capabilities enabled through either:</w:t>
      </w:r>
    </w:p>
    <w:p w14:paraId="1A951171" w14:textId="77777777" w:rsidR="00576C8C" w:rsidRDefault="007173B2">
      <w:pPr>
        <w:pStyle w:val="Normal1"/>
        <w:keepNext/>
        <w:ind w:left="900"/>
      </w:pPr>
      <w:r>
        <w:t xml:space="preserve"> </w:t>
      </w:r>
    </w:p>
    <w:p w14:paraId="63CADC1D" w14:textId="77777777" w:rsidR="00576C8C" w:rsidRDefault="007173B2">
      <w:pPr>
        <w:pStyle w:val="Normal1"/>
        <w:keepNext/>
        <w:ind w:left="900"/>
      </w:pPr>
      <w:r>
        <w:t>(a) At least one expansion port which will allow for the installation of a removable module containing a radio or physical connection port to enable communication; or</w:t>
      </w:r>
    </w:p>
    <w:p w14:paraId="786B29FC" w14:textId="77777777" w:rsidR="00576C8C" w:rsidRDefault="007173B2">
      <w:pPr>
        <w:pStyle w:val="Normal1"/>
        <w:keepNext/>
        <w:ind w:left="900"/>
      </w:pPr>
      <w:r>
        <w:t xml:space="preserve"> </w:t>
      </w:r>
    </w:p>
    <w:p w14:paraId="4236A680" w14:textId="77777777" w:rsidR="00576C8C" w:rsidRDefault="007173B2">
      <w:pPr>
        <w:pStyle w:val="Normal1"/>
        <w:keepNext/>
        <w:ind w:left="900"/>
      </w:pPr>
      <w:r>
        <w:t>(b) Onboard communication device(s)</w:t>
      </w:r>
    </w:p>
    <w:p w14:paraId="459E6360" w14:textId="77777777" w:rsidR="00576C8C" w:rsidRDefault="007173B2">
      <w:pPr>
        <w:pStyle w:val="Normal1"/>
        <w:keepNext/>
        <w:ind w:left="900"/>
      </w:pPr>
      <w:r>
        <w:rPr>
          <w:u w:val="single"/>
        </w:rPr>
        <w:t xml:space="preserve"> </w:t>
      </w:r>
    </w:p>
    <w:p w14:paraId="685742C6" w14:textId="77777777" w:rsidR="00576C8C" w:rsidRDefault="007173B2">
      <w:pPr>
        <w:pStyle w:val="Normal1"/>
        <w:keepNext/>
        <w:ind w:left="900"/>
      </w:pPr>
      <w:r>
        <w:rPr>
          <w:b/>
          <w:u w:val="single"/>
        </w:rPr>
        <w:t>Shut-off and Reset Controls for Space-conditioning Systems.</w:t>
      </w:r>
      <w:r>
        <w:rPr>
          <w:u w:val="single"/>
        </w:rPr>
        <w:t xml:space="preserve"> </w:t>
      </w:r>
      <w:r>
        <w:t>Each space-conditioning system shall be installed with controls that comply with the following:</w:t>
      </w:r>
    </w:p>
    <w:p w14:paraId="76A98B28" w14:textId="77777777" w:rsidR="00576C8C" w:rsidRDefault="007173B2">
      <w:pPr>
        <w:pStyle w:val="Normal1"/>
        <w:keepNext/>
        <w:ind w:left="900"/>
      </w:pPr>
      <w:r>
        <w:t xml:space="preserve"> </w:t>
      </w:r>
    </w:p>
    <w:p w14:paraId="614C6694" w14:textId="77777777" w:rsidR="00576C8C" w:rsidRDefault="007173B2">
      <w:pPr>
        <w:pStyle w:val="Normal1"/>
        <w:keepNext/>
        <w:ind w:left="900"/>
      </w:pPr>
      <w:r>
        <w:t>1. The control shall be capable of automatically shutting off the system during periods of nonuse and shall have:</w:t>
      </w:r>
    </w:p>
    <w:p w14:paraId="4B082F14" w14:textId="77777777" w:rsidR="00576C8C" w:rsidRDefault="007173B2">
      <w:pPr>
        <w:pStyle w:val="Normal1"/>
        <w:keepNext/>
        <w:ind w:left="900"/>
      </w:pPr>
      <w:r>
        <w:t>A. An automatic time switch control device complying with Section 110.9, with an accessible manual override that allows operation of the system for up to 4 hours; or</w:t>
      </w:r>
    </w:p>
    <w:p w14:paraId="14030103" w14:textId="77777777" w:rsidR="00576C8C" w:rsidRDefault="007173B2">
      <w:pPr>
        <w:pStyle w:val="Normal1"/>
        <w:keepNext/>
        <w:ind w:left="900"/>
      </w:pPr>
      <w:r>
        <w:t>B. An occupancy sensor; or</w:t>
      </w:r>
    </w:p>
    <w:p w14:paraId="524A9566" w14:textId="77777777" w:rsidR="00576C8C" w:rsidRDefault="007173B2">
      <w:pPr>
        <w:pStyle w:val="Normal1"/>
        <w:keepNext/>
        <w:ind w:left="900"/>
      </w:pPr>
      <w:r>
        <w:t>C. A 4-hour timer that can be manually operated.</w:t>
      </w:r>
    </w:p>
    <w:p w14:paraId="12524492" w14:textId="77777777" w:rsidR="00576C8C" w:rsidRDefault="007173B2">
      <w:pPr>
        <w:pStyle w:val="Normal1"/>
        <w:keepNext/>
        <w:ind w:left="900"/>
      </w:pPr>
      <w:r>
        <w:rPr>
          <w:i/>
        </w:rPr>
        <w:t xml:space="preserve"> </w:t>
      </w:r>
    </w:p>
    <w:p w14:paraId="791D58B2" w14:textId="77777777" w:rsidR="00576C8C" w:rsidRDefault="007173B2">
      <w:pPr>
        <w:pStyle w:val="Normal1"/>
        <w:keepNext/>
        <w:ind w:left="900"/>
      </w:pPr>
      <w:r>
        <w:rPr>
          <w:b/>
          <w:u w:val="single"/>
        </w:rPr>
        <w:t>EXCEPTION to Section 120.2(e</w:t>
      </w:r>
      <w:proofErr w:type="gramStart"/>
      <w:r>
        <w:rPr>
          <w:b/>
          <w:u w:val="single"/>
        </w:rPr>
        <w:t>)1</w:t>
      </w:r>
      <w:proofErr w:type="gramEnd"/>
      <w:r>
        <w:rPr>
          <w:b/>
          <w:u w:val="single"/>
        </w:rPr>
        <w:t>:</w:t>
      </w:r>
      <w:r>
        <w:rPr>
          <w:i/>
        </w:rPr>
        <w:t xml:space="preserve"> </w:t>
      </w:r>
      <w:r>
        <w:t>Mechanical systems serving retail stores and associated malls, restaurants, grocery stores, churches, and theaters equipped with 7-day programmable timers.</w:t>
      </w:r>
    </w:p>
    <w:p w14:paraId="75E0A5B0" w14:textId="77777777" w:rsidR="00576C8C" w:rsidRDefault="007173B2">
      <w:pPr>
        <w:pStyle w:val="Normal1"/>
        <w:keepNext/>
        <w:ind w:left="900"/>
      </w:pPr>
      <w:r>
        <w:t xml:space="preserve"> </w:t>
      </w:r>
    </w:p>
    <w:p w14:paraId="4641490C" w14:textId="77777777" w:rsidR="00576C8C" w:rsidRDefault="007173B2">
      <w:pPr>
        <w:pStyle w:val="Normal1"/>
        <w:keepNext/>
        <w:ind w:left="900"/>
      </w:pPr>
      <w:r>
        <w:t>2. The control shall automatically restart and temporarily operate the system as required to maintain:</w:t>
      </w:r>
    </w:p>
    <w:p w14:paraId="519C31CB" w14:textId="77777777" w:rsidR="00576C8C" w:rsidRDefault="007173B2">
      <w:pPr>
        <w:pStyle w:val="Normal1"/>
        <w:keepNext/>
        <w:ind w:left="900"/>
      </w:pPr>
      <w:r>
        <w:t>A. A setback heating thermostat set point if the system provides mechanical heating; and</w:t>
      </w:r>
    </w:p>
    <w:p w14:paraId="702F09D1" w14:textId="77777777" w:rsidR="00576C8C" w:rsidRDefault="007173B2">
      <w:pPr>
        <w:pStyle w:val="Normal1"/>
        <w:keepNext/>
        <w:ind w:left="900"/>
      </w:pPr>
      <w:r>
        <w:t xml:space="preserve"> </w:t>
      </w:r>
    </w:p>
    <w:p w14:paraId="5798854B" w14:textId="77777777" w:rsidR="00576C8C" w:rsidRDefault="007173B2">
      <w:pPr>
        <w:pStyle w:val="Normal1"/>
        <w:keepNext/>
        <w:ind w:left="900"/>
      </w:pPr>
      <w:r>
        <w:rPr>
          <w:b/>
        </w:rPr>
        <w:t>EXCEPTION to Section 120.2(e</w:t>
      </w:r>
      <w:proofErr w:type="gramStart"/>
      <w:r>
        <w:rPr>
          <w:b/>
        </w:rPr>
        <w:t>)2A</w:t>
      </w:r>
      <w:proofErr w:type="gramEnd"/>
      <w:r>
        <w:rPr>
          <w:b/>
        </w:rPr>
        <w:t>:</w:t>
      </w:r>
      <w:r>
        <w:t xml:space="preserve"> Thermostat setback controls are not required in nonresidential buildings in areas where the Winter Median of Extremes outdoor air temperature determined in accordance with Section 140.4(b)4 is greater than 32°F.</w:t>
      </w:r>
    </w:p>
    <w:p w14:paraId="113E7D85" w14:textId="77777777" w:rsidR="00576C8C" w:rsidRDefault="007173B2">
      <w:pPr>
        <w:pStyle w:val="Normal1"/>
        <w:keepNext/>
        <w:ind w:left="900"/>
      </w:pPr>
      <w:r>
        <w:t xml:space="preserve"> </w:t>
      </w:r>
    </w:p>
    <w:p w14:paraId="256200AE" w14:textId="77777777" w:rsidR="00576C8C" w:rsidRDefault="007173B2">
      <w:pPr>
        <w:pStyle w:val="Normal1"/>
        <w:keepNext/>
        <w:ind w:left="900"/>
      </w:pPr>
      <w:r>
        <w:t>B. A setup cooling thermostat set point if the system provides mechanical cooling.</w:t>
      </w:r>
    </w:p>
    <w:p w14:paraId="3BC0D0E1" w14:textId="77777777" w:rsidR="00576C8C" w:rsidRDefault="007173B2">
      <w:pPr>
        <w:pStyle w:val="Normal1"/>
        <w:keepNext/>
        <w:ind w:left="900"/>
      </w:pPr>
      <w:r>
        <w:rPr>
          <w:i/>
        </w:rPr>
        <w:lastRenderedPageBreak/>
        <w:t xml:space="preserve"> </w:t>
      </w:r>
    </w:p>
    <w:p w14:paraId="6F1A0E05" w14:textId="77777777" w:rsidR="00576C8C" w:rsidRDefault="007173B2">
      <w:pPr>
        <w:pStyle w:val="Normal1"/>
        <w:keepNext/>
        <w:ind w:left="900"/>
      </w:pPr>
      <w:r>
        <w:rPr>
          <w:b/>
        </w:rPr>
        <w:t>EXCEPTION to Section 120.2(e</w:t>
      </w:r>
      <w:proofErr w:type="gramStart"/>
      <w:r>
        <w:rPr>
          <w:b/>
        </w:rPr>
        <w:t>)2B</w:t>
      </w:r>
      <w:proofErr w:type="gramEnd"/>
      <w:r>
        <w:rPr>
          <w:b/>
        </w:rPr>
        <w:t>:</w:t>
      </w:r>
      <w:r>
        <w:rPr>
          <w:i/>
        </w:rPr>
        <w:t xml:space="preserve"> </w:t>
      </w:r>
      <w:r>
        <w:t>Thermostat setup controls are not required in nonresidential buildings in areas where the Summer Design Dry Bulb 0.5 percent temperature determined in accordance with Section 140.4(b)4 is less than 100°F.</w:t>
      </w:r>
    </w:p>
    <w:p w14:paraId="5598BE31" w14:textId="77777777" w:rsidR="00576C8C" w:rsidRDefault="007173B2">
      <w:pPr>
        <w:pStyle w:val="Normal1"/>
        <w:keepNext/>
      </w:pPr>
      <w:r>
        <w:rPr>
          <w:b/>
          <w:i/>
        </w:rPr>
        <w:t xml:space="preserve"> </w:t>
      </w:r>
    </w:p>
    <w:p w14:paraId="5FC538B0" w14:textId="77777777" w:rsidR="00576C8C" w:rsidRDefault="007173B2">
      <w:pPr>
        <w:pStyle w:val="Normal1"/>
        <w:keepNext/>
      </w:pPr>
      <w:r>
        <w:rPr>
          <w:b/>
        </w:rPr>
        <w:t xml:space="preserve">Federal Standards: </w:t>
      </w:r>
      <w:r>
        <w:rPr>
          <w:sz w:val="20"/>
          <w:szCs w:val="20"/>
        </w:rPr>
        <w:t>These measures do not fall under Federal DOE or EPA Energy Regulations.</w:t>
      </w:r>
    </w:p>
    <w:p w14:paraId="2C1C9E71" w14:textId="77777777" w:rsidR="00576C8C" w:rsidRDefault="007173B2">
      <w:pPr>
        <w:pStyle w:val="Normal1"/>
        <w:keepNext/>
      </w:pPr>
      <w:r>
        <w:t xml:space="preserve"> </w:t>
      </w:r>
    </w:p>
    <w:p w14:paraId="60F71B1B" w14:textId="77777777" w:rsidR="00576C8C" w:rsidRDefault="007173B2">
      <w:pPr>
        <w:pStyle w:val="Normal1"/>
        <w:keepNext/>
      </w:pPr>
      <w:r>
        <w:t>Note that the applicable codes and standards for these measures dictate only that the thermostats be capable of shutting systems off and adjusting temperature set points during unoccupied hours. There are no requirements to actually shut down systems during unoccupied hours, or to make any specific unoccupied temperature set point adjustments</w:t>
      </w:r>
    </w:p>
    <w:p w14:paraId="02D7D4A5" w14:textId="77777777" w:rsidR="00576C8C" w:rsidRDefault="00576C8C">
      <w:pPr>
        <w:pStyle w:val="Normal1"/>
        <w:keepNext/>
      </w:pPr>
    </w:p>
    <w:p w14:paraId="2D057EC2" w14:textId="77777777" w:rsidR="00576C8C" w:rsidRDefault="007173B2">
      <w:pPr>
        <w:pStyle w:val="Normal1"/>
        <w:keepNext/>
      </w:pPr>
      <w:r>
        <w:t>[i] Appendix H – 2013 Building Energy Efficiency Standards, Section 110.2</w:t>
      </w:r>
    </w:p>
    <w:p w14:paraId="46DC9086" w14:textId="77777777" w:rsidR="00576C8C" w:rsidRDefault="007173B2">
      <w:pPr>
        <w:pStyle w:val="Heading2"/>
      </w:pPr>
      <w:bookmarkStart w:id="9" w:name="_2s8eyo1" w:colFirst="0" w:colLast="0"/>
      <w:bookmarkEnd w:id="9"/>
      <w:r>
        <w:rPr>
          <w:rFonts w:ascii="Calibri" w:eastAsia="Calibri" w:hAnsi="Calibri" w:cs="Calibri"/>
        </w:rPr>
        <w:t>1.5 EM&amp;V, Market Potential, and Other Studies – Base Case and Measure Case Information</w:t>
      </w:r>
    </w:p>
    <w:p w14:paraId="16A1506E" w14:textId="35DF062B" w:rsidR="00576C8C" w:rsidRDefault="00361A5E" w:rsidP="001C67B5">
      <w:r>
        <w:t xml:space="preserve">Based on </w:t>
      </w:r>
      <w:r w:rsidR="001C67B5">
        <w:t>thorough review</w:t>
      </w:r>
      <w:r>
        <w:t xml:space="preserve"> conducted by the </w:t>
      </w:r>
      <w:r w:rsidR="001C67B5">
        <w:t>IOU M&amp;</w:t>
      </w:r>
      <w:r>
        <w:t>V team</w:t>
      </w:r>
      <w:r w:rsidR="001C67B5">
        <w:t>s</w:t>
      </w:r>
      <w:r>
        <w:t xml:space="preserve"> on related evaluation and pilot studies, r</w:t>
      </w:r>
      <w:r w:rsidR="007173B2">
        <w:t>elevant smart thermostat studies</w:t>
      </w:r>
      <w:r w:rsidR="00DC1DCF">
        <w:t xml:space="preserve"> that can be leveraged to support measure impacts are included below</w:t>
      </w:r>
      <w:r w:rsidR="00BC2C21">
        <w:t xml:space="preserve"> - </w:t>
      </w:r>
      <w:r w:rsidRPr="00361A5E">
        <w:t>screening criteria included experimental methods (includ</w:t>
      </w:r>
      <w:r w:rsidR="001F78E6">
        <w:t xml:space="preserve">ing </w:t>
      </w:r>
      <w:r w:rsidR="00DC1DCF">
        <w:t xml:space="preserve">level of documentation </w:t>
      </w:r>
      <w:r w:rsidRPr="00361A5E">
        <w:t xml:space="preserve">describing/confirming experimental methods); source of the data (excluding those reports reporting from other sources); year of study (primarily recent studies reflecting and/or consistent with advances on thermostats optimization functionality/features); </w:t>
      </w:r>
      <w:r w:rsidR="001F78E6">
        <w:t xml:space="preserve">climate under evaluation; and </w:t>
      </w:r>
      <w:r w:rsidRPr="00361A5E">
        <w:t xml:space="preserve">technology.   </w:t>
      </w:r>
      <w:r w:rsidR="00BC2C21">
        <w:t>The list in this section also includes s</w:t>
      </w:r>
      <w:r w:rsidR="009D05C0">
        <w:t>tudies that were recommended fo</w:t>
      </w:r>
      <w:r w:rsidR="00BC2C21">
        <w:t>r</w:t>
      </w:r>
      <w:r w:rsidR="009D05C0">
        <w:t xml:space="preserve"> </w:t>
      </w:r>
      <w:r w:rsidR="00BC2C21">
        <w:t xml:space="preserve">review during feedback received in </w:t>
      </w:r>
      <w:proofErr w:type="spellStart"/>
      <w:r w:rsidR="00BC2C21">
        <w:t>CalTF</w:t>
      </w:r>
      <w:proofErr w:type="spellEnd"/>
      <w:r w:rsidR="00BC2C21">
        <w:t xml:space="preserve"> meetings. The studies that were determined relevant for comparison purposes are described more in depth in Section </w:t>
      </w:r>
      <w:r w:rsidR="009D05C0">
        <w:t>3.3</w:t>
      </w:r>
      <w:r w:rsidR="00BC2C21">
        <w:t xml:space="preserve">.  </w:t>
      </w:r>
    </w:p>
    <w:p w14:paraId="08318DC5" w14:textId="77777777" w:rsidR="00976EFB" w:rsidRDefault="00976EFB">
      <w:pPr>
        <w:pStyle w:val="Normal1"/>
      </w:pPr>
    </w:p>
    <w:p w14:paraId="75B657D6" w14:textId="11DA0E6E" w:rsidR="00976EFB" w:rsidRPr="0021200D" w:rsidRDefault="00976EFB" w:rsidP="00976EFB">
      <w:pPr>
        <w:rPr>
          <w:rFonts w:ascii="Times" w:eastAsia="Times New Roman" w:hAnsi="Times" w:cs="Times New Roman"/>
          <w:color w:val="auto"/>
          <w:sz w:val="20"/>
          <w:szCs w:val="20"/>
        </w:rPr>
      </w:pPr>
      <w:r>
        <w:rPr>
          <w:b/>
          <w:sz w:val="26"/>
          <w:szCs w:val="26"/>
        </w:rPr>
        <w:t xml:space="preserve">1.5.1 </w:t>
      </w:r>
      <w:r w:rsidRPr="0021200D">
        <w:rPr>
          <w:rFonts w:eastAsia="Times New Roman" w:cs="Times New Roman"/>
          <w:b/>
          <w:sz w:val="26"/>
          <w:szCs w:val="26"/>
          <w:shd w:val="clear" w:color="auto" w:fill="FFFFFF"/>
        </w:rPr>
        <w:t>PG&amp;E Smart Thermostat Study: First Year Findings</w:t>
      </w:r>
    </w:p>
    <w:p w14:paraId="6F54A659" w14:textId="77777777" w:rsidR="00976EFB" w:rsidRDefault="00976EFB" w:rsidP="00976EFB">
      <w:pPr>
        <w:pStyle w:val="Normal1"/>
        <w:numPr>
          <w:ilvl w:val="0"/>
          <w:numId w:val="25"/>
        </w:numPr>
        <w:ind w:hanging="360"/>
        <w:contextualSpacing/>
      </w:pPr>
      <w:r>
        <w:t>PG&amp;E staff and M&amp;V consultants</w:t>
      </w:r>
    </w:p>
    <w:p w14:paraId="1D7E9D0B" w14:textId="77777777" w:rsidR="00976EFB" w:rsidRDefault="00976EFB" w:rsidP="00976EFB">
      <w:pPr>
        <w:pStyle w:val="Normal1"/>
        <w:numPr>
          <w:ilvl w:val="0"/>
          <w:numId w:val="25"/>
        </w:numPr>
        <w:ind w:hanging="360"/>
        <w:contextualSpacing/>
      </w:pPr>
      <w:r>
        <w:t>Devices currently installed in-field, initial report released in Dec 2016</w:t>
      </w:r>
    </w:p>
    <w:p w14:paraId="1D5B7A74" w14:textId="77777777" w:rsidR="00976EFB" w:rsidRDefault="00976EFB" w:rsidP="00976EFB">
      <w:pPr>
        <w:pStyle w:val="Normal1"/>
        <w:numPr>
          <w:ilvl w:val="0"/>
          <w:numId w:val="25"/>
        </w:numPr>
        <w:ind w:hanging="360"/>
        <w:contextualSpacing/>
      </w:pPr>
      <w:r>
        <w:t>Market Covered: PG&amp;E’s inland climate zones</w:t>
      </w:r>
    </w:p>
    <w:p w14:paraId="5975643E" w14:textId="77777777" w:rsidR="00976EFB" w:rsidRDefault="00976EFB" w:rsidP="00976EFB">
      <w:pPr>
        <w:pStyle w:val="Normal1"/>
        <w:numPr>
          <w:ilvl w:val="0"/>
          <w:numId w:val="25"/>
        </w:numPr>
        <w:ind w:hanging="360"/>
        <w:contextualSpacing/>
      </w:pPr>
      <w:r>
        <w:t>Techniques used: RCT and billing analysis</w:t>
      </w:r>
    </w:p>
    <w:p w14:paraId="07938FE5" w14:textId="77777777" w:rsidR="00976EFB" w:rsidRDefault="00976EFB" w:rsidP="00976EFB">
      <w:pPr>
        <w:pStyle w:val="Normal1"/>
        <w:numPr>
          <w:ilvl w:val="0"/>
          <w:numId w:val="25"/>
        </w:numPr>
        <w:ind w:hanging="360"/>
        <w:contextualSpacing/>
      </w:pPr>
      <w:r>
        <w:rPr>
          <w:b/>
        </w:rPr>
        <w:t>Relevance and impacts on this work paper:</w:t>
      </w:r>
      <w:r>
        <w:t xml:space="preserve"> The initial findings of the PG&amp;E are discussed in Section 2.3.9. Initial analysis further shows that the average savings estimates this </w:t>
      </w:r>
      <w:proofErr w:type="spellStart"/>
      <w:r>
        <w:t>workpaper</w:t>
      </w:r>
      <w:proofErr w:type="spellEnd"/>
      <w:r>
        <w:t xml:space="preserve"> methodology has generated are in line with reasonable expected values for California. </w:t>
      </w:r>
    </w:p>
    <w:p w14:paraId="701877BC" w14:textId="77777777" w:rsidR="00976EFB" w:rsidRDefault="00976EFB">
      <w:pPr>
        <w:pStyle w:val="Normal1"/>
      </w:pPr>
    </w:p>
    <w:p w14:paraId="39C9B2AA" w14:textId="3F5047ED" w:rsidR="00C91FE7" w:rsidRDefault="00C91FE7" w:rsidP="00C91FE7">
      <w:pPr>
        <w:pStyle w:val="Normal1"/>
      </w:pPr>
      <w:r>
        <w:rPr>
          <w:b/>
          <w:sz w:val="26"/>
          <w:szCs w:val="26"/>
        </w:rPr>
        <w:t>1.5.</w:t>
      </w:r>
      <w:r w:rsidR="000C7392">
        <w:rPr>
          <w:b/>
          <w:sz w:val="26"/>
          <w:szCs w:val="26"/>
        </w:rPr>
        <w:t>2</w:t>
      </w:r>
      <w:r>
        <w:rPr>
          <w:b/>
          <w:sz w:val="26"/>
          <w:szCs w:val="26"/>
        </w:rPr>
        <w:t xml:space="preserve"> Nest Learning Thermostat Pilot Study (Draft</w:t>
      </w:r>
      <w:proofErr w:type="gramStart"/>
      <w:r>
        <w:rPr>
          <w:b/>
          <w:sz w:val="26"/>
          <w:szCs w:val="26"/>
        </w:rPr>
        <w:t>)</w:t>
      </w:r>
      <w:r>
        <w:rPr>
          <w:sz w:val="26"/>
          <w:szCs w:val="26"/>
          <w:vertAlign w:val="superscript"/>
        </w:rPr>
        <w:t>(</w:t>
      </w:r>
      <w:proofErr w:type="gramEnd"/>
      <w:r>
        <w:rPr>
          <w:sz w:val="26"/>
          <w:szCs w:val="26"/>
          <w:vertAlign w:val="superscript"/>
        </w:rPr>
        <w:t xml:space="preserve">32) </w:t>
      </w:r>
    </w:p>
    <w:p w14:paraId="09D7F7AE" w14:textId="77777777" w:rsidR="00C91FE7" w:rsidRDefault="00C91FE7" w:rsidP="00C91FE7">
      <w:pPr>
        <w:pStyle w:val="Normal1"/>
        <w:numPr>
          <w:ilvl w:val="0"/>
          <w:numId w:val="25"/>
        </w:numPr>
        <w:ind w:hanging="360"/>
        <w:contextualSpacing/>
      </w:pPr>
      <w:r>
        <w:t xml:space="preserve">Prepared for SoCal Gas by Navigant Consulting </w:t>
      </w:r>
    </w:p>
    <w:p w14:paraId="3D459279" w14:textId="77777777" w:rsidR="00C91FE7" w:rsidRDefault="00C91FE7" w:rsidP="00C91FE7">
      <w:pPr>
        <w:pStyle w:val="Normal1"/>
        <w:numPr>
          <w:ilvl w:val="0"/>
          <w:numId w:val="25"/>
        </w:numPr>
        <w:ind w:hanging="360"/>
        <w:contextualSpacing/>
      </w:pPr>
      <w:r>
        <w:t>Study designed and conducted to measure gas savings</w:t>
      </w:r>
    </w:p>
    <w:p w14:paraId="3110F1A4" w14:textId="77777777" w:rsidR="00C91FE7" w:rsidRDefault="00C91FE7" w:rsidP="00C91FE7">
      <w:pPr>
        <w:pStyle w:val="Normal1"/>
        <w:numPr>
          <w:ilvl w:val="0"/>
          <w:numId w:val="25"/>
        </w:numPr>
        <w:ind w:hanging="360"/>
        <w:contextualSpacing/>
      </w:pPr>
      <w:r>
        <w:t>Foundation for the smart thermostat work paper submitted to CPUC by SoCal Gas in 2016</w:t>
      </w:r>
    </w:p>
    <w:p w14:paraId="0B46E4F1" w14:textId="27B28487" w:rsidR="00C91FE7" w:rsidRDefault="00C91FE7" w:rsidP="000C7392">
      <w:pPr>
        <w:pStyle w:val="Normal1"/>
        <w:numPr>
          <w:ilvl w:val="0"/>
          <w:numId w:val="25"/>
        </w:numPr>
        <w:ind w:hanging="360"/>
        <w:contextualSpacing/>
      </w:pPr>
      <w:r>
        <w:rPr>
          <w:b/>
        </w:rPr>
        <w:t xml:space="preserve">Relevance and impacts on this work paper: </w:t>
      </w:r>
      <w:r>
        <w:t>According to the authors, this study is not useful for estimating electric savings, because “the study was designed around gas usage and spanned multiple utilities with different rate structures and billing practices.”</w:t>
      </w:r>
    </w:p>
    <w:p w14:paraId="45974714" w14:textId="0D0F600E" w:rsidR="00576C8C" w:rsidRDefault="007173B2">
      <w:pPr>
        <w:pStyle w:val="Heading3"/>
      </w:pPr>
      <w:r>
        <w:rPr>
          <w:rFonts w:ascii="Calibri" w:eastAsia="Calibri" w:hAnsi="Calibri" w:cs="Calibri"/>
        </w:rPr>
        <w:t>1.5.</w:t>
      </w:r>
      <w:r w:rsidR="000C7392">
        <w:rPr>
          <w:rFonts w:ascii="Calibri" w:eastAsia="Calibri" w:hAnsi="Calibri" w:cs="Calibri"/>
        </w:rPr>
        <w:t>3</w:t>
      </w:r>
      <w:r>
        <w:rPr>
          <w:rFonts w:ascii="Calibri" w:eastAsia="Calibri" w:hAnsi="Calibri" w:cs="Calibri"/>
        </w:rPr>
        <w:t xml:space="preserve"> </w:t>
      </w:r>
      <w:r>
        <w:rPr>
          <w:rFonts w:ascii="Calibri" w:eastAsia="Calibri" w:hAnsi="Calibri" w:cs="Calibri"/>
          <w:highlight w:val="white"/>
        </w:rPr>
        <w:t>Nest - Energy Savings from the Nest Learning Thermostat: Energy Bill Analysis Results</w:t>
      </w:r>
      <w:r w:rsidR="00295AEE">
        <w:rPr>
          <w:rFonts w:ascii="Calibri" w:eastAsia="Calibri" w:hAnsi="Calibri" w:cs="Calibri"/>
          <w:highlight w:val="white"/>
        </w:rPr>
        <w:t xml:space="preserve"> </w:t>
      </w:r>
      <w:r>
        <w:rPr>
          <w:rFonts w:ascii="Calibri" w:eastAsia="Calibri" w:hAnsi="Calibri" w:cs="Calibri"/>
          <w:b w:val="0"/>
          <w:highlight w:val="white"/>
          <w:vertAlign w:val="superscript"/>
        </w:rPr>
        <w:t xml:space="preserve">(18) </w:t>
      </w:r>
    </w:p>
    <w:p w14:paraId="578EB02B" w14:textId="77777777" w:rsidR="00576C8C" w:rsidRDefault="007173B2">
      <w:pPr>
        <w:pStyle w:val="Normal1"/>
        <w:numPr>
          <w:ilvl w:val="0"/>
          <w:numId w:val="6"/>
        </w:numPr>
        <w:ind w:hanging="360"/>
        <w:contextualSpacing/>
      </w:pPr>
      <w:r>
        <w:t>Nest Labs</w:t>
      </w:r>
    </w:p>
    <w:p w14:paraId="18093CA9" w14:textId="77777777" w:rsidR="00576C8C" w:rsidRDefault="007173B2">
      <w:pPr>
        <w:pStyle w:val="Normal1"/>
        <w:numPr>
          <w:ilvl w:val="0"/>
          <w:numId w:val="6"/>
        </w:numPr>
        <w:ind w:hanging="360"/>
        <w:contextualSpacing/>
      </w:pPr>
      <w:r>
        <w:lastRenderedPageBreak/>
        <w:t>Completed: February, 2015</w:t>
      </w:r>
    </w:p>
    <w:p w14:paraId="3568ED79" w14:textId="77777777" w:rsidR="00576C8C" w:rsidRDefault="007173B2">
      <w:pPr>
        <w:pStyle w:val="Normal1"/>
        <w:numPr>
          <w:ilvl w:val="0"/>
          <w:numId w:val="6"/>
        </w:numPr>
        <w:ind w:hanging="360"/>
        <w:contextualSpacing/>
      </w:pPr>
      <w:r>
        <w:t>Market Covered: Nationwide</w:t>
      </w:r>
    </w:p>
    <w:p w14:paraId="156AF8C7" w14:textId="77777777" w:rsidR="00576C8C" w:rsidRDefault="007173B2">
      <w:pPr>
        <w:pStyle w:val="Normal1"/>
        <w:numPr>
          <w:ilvl w:val="0"/>
          <w:numId w:val="6"/>
        </w:numPr>
        <w:ind w:hanging="360"/>
        <w:contextualSpacing/>
      </w:pPr>
      <w:r>
        <w:t>Techniques used: Billing analysis</w:t>
      </w:r>
    </w:p>
    <w:p w14:paraId="43D69826" w14:textId="77777777" w:rsidR="00576C8C" w:rsidRDefault="007173B2">
      <w:pPr>
        <w:pStyle w:val="Normal1"/>
        <w:numPr>
          <w:ilvl w:val="0"/>
          <w:numId w:val="6"/>
        </w:numPr>
        <w:ind w:hanging="360"/>
        <w:contextualSpacing/>
      </w:pPr>
      <w:r>
        <w:rPr>
          <w:b/>
        </w:rPr>
        <w:t>Relevance to and impacts on this work paper:</w:t>
      </w:r>
      <w:r>
        <w:t xml:space="preserve"> the billing analysis conducted in this study, as well as the randomized control trials it summarizes, identified smart thermostat percent savings close to those generated by this work paper analysis. </w:t>
      </w:r>
    </w:p>
    <w:p w14:paraId="1A97C9F1" w14:textId="21E4B0E9" w:rsidR="00576C8C" w:rsidRDefault="007173B2">
      <w:pPr>
        <w:pStyle w:val="Heading3"/>
      </w:pPr>
      <w:bookmarkStart w:id="10" w:name="_17dp8vu" w:colFirst="0" w:colLast="0"/>
      <w:bookmarkEnd w:id="10"/>
      <w:r>
        <w:rPr>
          <w:rFonts w:ascii="Calibri" w:eastAsia="Calibri" w:hAnsi="Calibri" w:cs="Calibri"/>
        </w:rPr>
        <w:t>1.5.</w:t>
      </w:r>
      <w:r w:rsidR="000C7392">
        <w:rPr>
          <w:rFonts w:ascii="Calibri" w:eastAsia="Calibri" w:hAnsi="Calibri" w:cs="Calibri"/>
        </w:rPr>
        <w:t>4</w:t>
      </w:r>
      <w:r>
        <w:rPr>
          <w:rFonts w:ascii="Calibri" w:eastAsia="Calibri" w:hAnsi="Calibri" w:cs="Calibri"/>
        </w:rPr>
        <w:t xml:space="preserve"> </w:t>
      </w:r>
      <w:r>
        <w:rPr>
          <w:rFonts w:ascii="Calibri" w:eastAsia="Calibri" w:hAnsi="Calibri" w:cs="Calibri"/>
          <w:highlight w:val="white"/>
        </w:rPr>
        <w:t>Energy Trust of Oregon Heat Pump Control Pilot Evaluation</w:t>
      </w:r>
      <w:r w:rsidR="00295AEE">
        <w:rPr>
          <w:rFonts w:ascii="Calibri" w:eastAsia="Calibri" w:hAnsi="Calibri" w:cs="Calibri"/>
          <w:highlight w:val="white"/>
        </w:rPr>
        <w:t xml:space="preserve"> </w:t>
      </w:r>
      <w:r>
        <w:rPr>
          <w:rFonts w:ascii="Calibri" w:eastAsia="Calibri" w:hAnsi="Calibri" w:cs="Calibri"/>
          <w:b w:val="0"/>
          <w:highlight w:val="white"/>
          <w:vertAlign w:val="superscript"/>
        </w:rPr>
        <w:t>(19)</w:t>
      </w:r>
    </w:p>
    <w:p w14:paraId="4C2AD7C0" w14:textId="77777777" w:rsidR="00576C8C" w:rsidRDefault="007173B2">
      <w:pPr>
        <w:pStyle w:val="Normal1"/>
        <w:numPr>
          <w:ilvl w:val="0"/>
          <w:numId w:val="8"/>
        </w:numPr>
        <w:ind w:hanging="360"/>
        <w:contextualSpacing/>
      </w:pPr>
      <w:r>
        <w:t>Prepared for Energy Trust of Oregon Prepared by Apex Analytics LLC</w:t>
      </w:r>
    </w:p>
    <w:p w14:paraId="22A3B93E" w14:textId="77777777" w:rsidR="00576C8C" w:rsidRDefault="007173B2">
      <w:pPr>
        <w:pStyle w:val="Normal1"/>
        <w:numPr>
          <w:ilvl w:val="0"/>
          <w:numId w:val="8"/>
        </w:numPr>
        <w:ind w:hanging="360"/>
        <w:contextualSpacing/>
      </w:pPr>
      <w:r>
        <w:t>Completed: October, 2014</w:t>
      </w:r>
    </w:p>
    <w:p w14:paraId="7E0646DA" w14:textId="77777777" w:rsidR="00576C8C" w:rsidRDefault="007173B2">
      <w:pPr>
        <w:pStyle w:val="Normal1"/>
        <w:numPr>
          <w:ilvl w:val="0"/>
          <w:numId w:val="8"/>
        </w:numPr>
        <w:ind w:hanging="360"/>
        <w:contextualSpacing/>
      </w:pPr>
      <w:r>
        <w:t>Market Covered: state of Oregon</w:t>
      </w:r>
    </w:p>
    <w:p w14:paraId="51D91666" w14:textId="77777777" w:rsidR="00576C8C" w:rsidRDefault="007173B2">
      <w:pPr>
        <w:pStyle w:val="Normal1"/>
        <w:numPr>
          <w:ilvl w:val="0"/>
          <w:numId w:val="8"/>
        </w:numPr>
        <w:ind w:hanging="360"/>
        <w:contextualSpacing/>
      </w:pPr>
      <w:r>
        <w:t>Techniques used: Billing analysis and surveys</w:t>
      </w:r>
    </w:p>
    <w:p w14:paraId="103D34FA" w14:textId="77777777" w:rsidR="00576C8C" w:rsidRDefault="007173B2">
      <w:pPr>
        <w:pStyle w:val="Normal1"/>
        <w:numPr>
          <w:ilvl w:val="0"/>
          <w:numId w:val="8"/>
        </w:numPr>
        <w:ind w:hanging="360"/>
        <w:contextualSpacing/>
      </w:pPr>
      <w:r>
        <w:rPr>
          <w:b/>
        </w:rPr>
        <w:t xml:space="preserve">Relevance to and impacts on this work paper: </w:t>
      </w:r>
      <w:r>
        <w:t>a thorough study that found significant energy savings for heat pump customers driven by Nest Thermostats, providing validation of the level of savings identified in this work paper. Although this work paper does not focus on heat pumps, the level of savings in this Energy Trust study provide a good check of reasonableness for the final heating savings estimates included herein.</w:t>
      </w:r>
    </w:p>
    <w:p w14:paraId="17262035" w14:textId="3A20B78C" w:rsidR="00576C8C" w:rsidRDefault="007173B2">
      <w:pPr>
        <w:pStyle w:val="Heading3"/>
      </w:pPr>
      <w:bookmarkStart w:id="11" w:name="_3rdcrjn" w:colFirst="0" w:colLast="0"/>
      <w:bookmarkEnd w:id="11"/>
      <w:r>
        <w:rPr>
          <w:rFonts w:ascii="Calibri" w:eastAsia="Calibri" w:hAnsi="Calibri" w:cs="Calibri"/>
        </w:rPr>
        <w:t>1.5.</w:t>
      </w:r>
      <w:r w:rsidR="000C7392">
        <w:rPr>
          <w:rFonts w:ascii="Calibri" w:eastAsia="Calibri" w:hAnsi="Calibri" w:cs="Calibri"/>
        </w:rPr>
        <w:t>5</w:t>
      </w:r>
      <w:r>
        <w:rPr>
          <w:rFonts w:ascii="Calibri" w:eastAsia="Calibri" w:hAnsi="Calibri" w:cs="Calibri"/>
        </w:rPr>
        <w:t xml:space="preserve"> Evaluation of the 2013–2014 Programmable and Smart Thermostat </w:t>
      </w:r>
      <w:proofErr w:type="gramStart"/>
      <w:r>
        <w:rPr>
          <w:rFonts w:ascii="Calibri" w:eastAsia="Calibri" w:hAnsi="Calibri" w:cs="Calibri"/>
        </w:rPr>
        <w:t>Program</w:t>
      </w:r>
      <w:r>
        <w:rPr>
          <w:rFonts w:ascii="Calibri" w:eastAsia="Calibri" w:hAnsi="Calibri" w:cs="Calibri"/>
          <w:b w:val="0"/>
          <w:vertAlign w:val="superscript"/>
        </w:rPr>
        <w:t>(</w:t>
      </w:r>
      <w:proofErr w:type="gramEnd"/>
      <w:r>
        <w:rPr>
          <w:rFonts w:ascii="Calibri" w:eastAsia="Calibri" w:hAnsi="Calibri" w:cs="Calibri"/>
          <w:b w:val="0"/>
          <w:vertAlign w:val="superscript"/>
        </w:rPr>
        <w:t xml:space="preserve">20) </w:t>
      </w:r>
    </w:p>
    <w:p w14:paraId="2CAE4C60" w14:textId="77777777" w:rsidR="00576C8C" w:rsidRDefault="007173B2">
      <w:pPr>
        <w:pStyle w:val="Normal1"/>
        <w:numPr>
          <w:ilvl w:val="0"/>
          <w:numId w:val="20"/>
        </w:numPr>
        <w:ind w:hanging="360"/>
        <w:contextualSpacing/>
      </w:pPr>
      <w:r>
        <w:t xml:space="preserve">Prepared for </w:t>
      </w:r>
      <w:proofErr w:type="spellStart"/>
      <w:r>
        <w:t>Vectren</w:t>
      </w:r>
      <w:proofErr w:type="spellEnd"/>
      <w:r>
        <w:t xml:space="preserve"> Corporation by The Cadmus Group</w:t>
      </w:r>
    </w:p>
    <w:p w14:paraId="35B4BE6A" w14:textId="77777777" w:rsidR="00576C8C" w:rsidRDefault="007173B2">
      <w:pPr>
        <w:pStyle w:val="Normal1"/>
        <w:numPr>
          <w:ilvl w:val="0"/>
          <w:numId w:val="20"/>
        </w:numPr>
        <w:ind w:hanging="360"/>
        <w:contextualSpacing/>
      </w:pPr>
      <w:r>
        <w:t>Completed: January, 2015</w:t>
      </w:r>
    </w:p>
    <w:p w14:paraId="71F9C38B" w14:textId="77777777" w:rsidR="00576C8C" w:rsidRDefault="007173B2">
      <w:pPr>
        <w:pStyle w:val="Normal1"/>
        <w:numPr>
          <w:ilvl w:val="0"/>
          <w:numId w:val="20"/>
        </w:numPr>
        <w:ind w:hanging="360"/>
        <w:contextualSpacing/>
      </w:pPr>
      <w:r>
        <w:t>Market Covered: Central Indiana</w:t>
      </w:r>
    </w:p>
    <w:p w14:paraId="15CF9FF0" w14:textId="77777777" w:rsidR="00576C8C" w:rsidRDefault="007173B2">
      <w:pPr>
        <w:pStyle w:val="Normal1"/>
        <w:numPr>
          <w:ilvl w:val="0"/>
          <w:numId w:val="20"/>
        </w:numPr>
        <w:ind w:hanging="360"/>
        <w:contextualSpacing/>
      </w:pPr>
      <w:r>
        <w:t>Techniques used: Billing analysis with some onsite data collection</w:t>
      </w:r>
    </w:p>
    <w:p w14:paraId="59377827" w14:textId="77777777" w:rsidR="00576C8C" w:rsidRDefault="007173B2">
      <w:pPr>
        <w:pStyle w:val="Normal1"/>
        <w:numPr>
          <w:ilvl w:val="0"/>
          <w:numId w:val="20"/>
        </w:numPr>
        <w:ind w:hanging="360"/>
        <w:contextualSpacing/>
      </w:pPr>
      <w:r>
        <w:rPr>
          <w:b/>
        </w:rPr>
        <w:t xml:space="preserve">Relevance to and impacts on this work paper: </w:t>
      </w:r>
      <w:r>
        <w:t>a pre/post billing analysis that found % energy savings equivalent to those found in the analysis for this work paper, providing a good check of reasonableness for the final savings estimates included herein.</w:t>
      </w:r>
    </w:p>
    <w:p w14:paraId="40095253" w14:textId="0FDA05E4" w:rsidR="00576C8C" w:rsidRDefault="007173B2">
      <w:pPr>
        <w:pStyle w:val="Heading3"/>
      </w:pPr>
      <w:bookmarkStart w:id="12" w:name="_26in1rg" w:colFirst="0" w:colLast="0"/>
      <w:bookmarkEnd w:id="12"/>
      <w:r>
        <w:rPr>
          <w:rFonts w:ascii="Calibri" w:eastAsia="Calibri" w:hAnsi="Calibri" w:cs="Calibri"/>
        </w:rPr>
        <w:t>1.5.</w:t>
      </w:r>
      <w:r w:rsidR="000C7392">
        <w:rPr>
          <w:rFonts w:ascii="Calibri" w:eastAsia="Calibri" w:hAnsi="Calibri" w:cs="Calibri"/>
        </w:rPr>
        <w:t>6</w:t>
      </w:r>
      <w:r>
        <w:rPr>
          <w:rFonts w:ascii="Calibri" w:eastAsia="Calibri" w:hAnsi="Calibri" w:cs="Calibri"/>
        </w:rPr>
        <w:t xml:space="preserve"> Evaluation of the 2013–2014 Programmable and Smart Thermostat </w:t>
      </w:r>
      <w:proofErr w:type="gramStart"/>
      <w:r>
        <w:rPr>
          <w:rFonts w:ascii="Calibri" w:eastAsia="Calibri" w:hAnsi="Calibri" w:cs="Calibri"/>
        </w:rPr>
        <w:t>Program</w:t>
      </w:r>
      <w:r>
        <w:rPr>
          <w:rFonts w:ascii="Calibri" w:eastAsia="Calibri" w:hAnsi="Calibri" w:cs="Calibri"/>
          <w:b w:val="0"/>
          <w:vertAlign w:val="superscript"/>
        </w:rPr>
        <w:t>(</w:t>
      </w:r>
      <w:proofErr w:type="gramEnd"/>
      <w:r>
        <w:rPr>
          <w:rFonts w:ascii="Calibri" w:eastAsia="Calibri" w:hAnsi="Calibri" w:cs="Calibri"/>
          <w:b w:val="0"/>
          <w:vertAlign w:val="superscript"/>
        </w:rPr>
        <w:t>21)</w:t>
      </w:r>
      <w:r>
        <w:rPr>
          <w:rFonts w:ascii="Calibri" w:eastAsia="Calibri" w:hAnsi="Calibri" w:cs="Calibri"/>
        </w:rPr>
        <w:t xml:space="preserve"> </w:t>
      </w:r>
    </w:p>
    <w:p w14:paraId="40A8120B" w14:textId="77777777" w:rsidR="00576C8C" w:rsidRDefault="007173B2">
      <w:pPr>
        <w:pStyle w:val="Normal1"/>
        <w:numPr>
          <w:ilvl w:val="0"/>
          <w:numId w:val="19"/>
        </w:numPr>
        <w:ind w:hanging="360"/>
        <w:contextualSpacing/>
      </w:pPr>
      <w:r>
        <w:t>Prepared for Northern Indiana Public Service Company by The Cadmus Group</w:t>
      </w:r>
    </w:p>
    <w:p w14:paraId="0AC90C50" w14:textId="77777777" w:rsidR="00576C8C" w:rsidRDefault="007173B2">
      <w:pPr>
        <w:pStyle w:val="Normal1"/>
        <w:numPr>
          <w:ilvl w:val="0"/>
          <w:numId w:val="19"/>
        </w:numPr>
        <w:ind w:hanging="360"/>
        <w:contextualSpacing/>
      </w:pPr>
      <w:r>
        <w:t>Completed: January, 2015</w:t>
      </w:r>
    </w:p>
    <w:p w14:paraId="5DEA0425" w14:textId="77777777" w:rsidR="00576C8C" w:rsidRDefault="007173B2">
      <w:pPr>
        <w:pStyle w:val="Normal1"/>
        <w:numPr>
          <w:ilvl w:val="0"/>
          <w:numId w:val="19"/>
        </w:numPr>
        <w:ind w:hanging="360"/>
        <w:contextualSpacing/>
      </w:pPr>
      <w:r>
        <w:t>Market Covered: Northern Indiana</w:t>
      </w:r>
    </w:p>
    <w:p w14:paraId="75ADEA49" w14:textId="77777777" w:rsidR="00576C8C" w:rsidRDefault="007173B2">
      <w:pPr>
        <w:pStyle w:val="Normal1"/>
        <w:numPr>
          <w:ilvl w:val="0"/>
          <w:numId w:val="19"/>
        </w:numPr>
        <w:ind w:hanging="360"/>
        <w:contextualSpacing/>
      </w:pPr>
      <w:r>
        <w:t>Techniques used: Billing analysis with some onsite data collection</w:t>
      </w:r>
    </w:p>
    <w:p w14:paraId="2C01F379" w14:textId="77777777" w:rsidR="00576C8C" w:rsidRDefault="007173B2">
      <w:pPr>
        <w:pStyle w:val="Normal1"/>
        <w:numPr>
          <w:ilvl w:val="0"/>
          <w:numId w:val="19"/>
        </w:numPr>
        <w:ind w:hanging="360"/>
        <w:contextualSpacing/>
      </w:pPr>
      <w:r>
        <w:rPr>
          <w:b/>
        </w:rPr>
        <w:t xml:space="preserve">Relevance to and impacts on this work paper: </w:t>
      </w:r>
      <w:r>
        <w:t>a pre/post billing analysis that found % energy savings equivalent to those found in the analysis for this work paper, providing a good check of reasonableness for the final savings estimates included herein.</w:t>
      </w:r>
    </w:p>
    <w:p w14:paraId="61E633A9" w14:textId="606F462C" w:rsidR="00576C8C" w:rsidRDefault="007173B2">
      <w:pPr>
        <w:pStyle w:val="Heading3"/>
      </w:pPr>
      <w:bookmarkStart w:id="13" w:name="_lnxbz9" w:colFirst="0" w:colLast="0"/>
      <w:bookmarkEnd w:id="13"/>
      <w:r>
        <w:rPr>
          <w:rFonts w:ascii="Calibri" w:eastAsia="Calibri" w:hAnsi="Calibri" w:cs="Calibri"/>
        </w:rPr>
        <w:t>1.5.</w:t>
      </w:r>
      <w:r w:rsidR="000C7392">
        <w:rPr>
          <w:rFonts w:ascii="Calibri" w:eastAsia="Calibri" w:hAnsi="Calibri" w:cs="Calibri"/>
        </w:rPr>
        <w:t>7</w:t>
      </w:r>
      <w:r>
        <w:rPr>
          <w:rFonts w:ascii="Calibri" w:eastAsia="Calibri" w:hAnsi="Calibri" w:cs="Calibri"/>
        </w:rPr>
        <w:t xml:space="preserve"> CPS Energy Nest Pilot Evaluation FY2015 </w:t>
      </w:r>
      <w:r w:rsidR="00295AEE">
        <w:rPr>
          <w:rFonts w:ascii="Calibri" w:eastAsia="Calibri" w:hAnsi="Calibri" w:cs="Calibri"/>
        </w:rPr>
        <w:t>–</w:t>
      </w:r>
      <w:r>
        <w:rPr>
          <w:rFonts w:ascii="Calibri" w:eastAsia="Calibri" w:hAnsi="Calibri" w:cs="Calibri"/>
        </w:rPr>
        <w:t xml:space="preserve"> FINAL</w:t>
      </w:r>
      <w:r w:rsidR="00295AEE">
        <w:rPr>
          <w:rFonts w:ascii="Calibri" w:eastAsia="Calibri" w:hAnsi="Calibri" w:cs="Calibri"/>
        </w:rPr>
        <w:t xml:space="preserve"> </w:t>
      </w:r>
      <w:r>
        <w:rPr>
          <w:rFonts w:ascii="Calibri" w:eastAsia="Calibri" w:hAnsi="Calibri" w:cs="Calibri"/>
          <w:b w:val="0"/>
          <w:vertAlign w:val="superscript"/>
        </w:rPr>
        <w:t>(22)</w:t>
      </w:r>
    </w:p>
    <w:p w14:paraId="5758B7E7" w14:textId="77777777" w:rsidR="00576C8C" w:rsidRDefault="007173B2">
      <w:pPr>
        <w:pStyle w:val="Normal1"/>
        <w:numPr>
          <w:ilvl w:val="0"/>
          <w:numId w:val="18"/>
        </w:numPr>
        <w:ind w:hanging="360"/>
        <w:contextualSpacing/>
      </w:pPr>
      <w:r>
        <w:t xml:space="preserve">Prepared for CPS Energy by </w:t>
      </w:r>
      <w:proofErr w:type="spellStart"/>
      <w:r>
        <w:t>Nexant</w:t>
      </w:r>
      <w:proofErr w:type="spellEnd"/>
    </w:p>
    <w:p w14:paraId="01940D23" w14:textId="77777777" w:rsidR="00576C8C" w:rsidRDefault="007173B2">
      <w:pPr>
        <w:pStyle w:val="Normal1"/>
        <w:numPr>
          <w:ilvl w:val="0"/>
          <w:numId w:val="18"/>
        </w:numPr>
        <w:ind w:hanging="360"/>
        <w:contextualSpacing/>
      </w:pPr>
      <w:r>
        <w:t>Completed: November, 2014</w:t>
      </w:r>
    </w:p>
    <w:p w14:paraId="27C8A0A1" w14:textId="77777777" w:rsidR="00576C8C" w:rsidRDefault="007173B2">
      <w:pPr>
        <w:pStyle w:val="Normal1"/>
        <w:numPr>
          <w:ilvl w:val="0"/>
          <w:numId w:val="18"/>
        </w:numPr>
        <w:ind w:hanging="360"/>
        <w:contextualSpacing/>
      </w:pPr>
      <w:r>
        <w:t>Market Covered: Greater San Antonio, Texas area</w:t>
      </w:r>
    </w:p>
    <w:p w14:paraId="56C6FAB5" w14:textId="77777777" w:rsidR="00576C8C" w:rsidRDefault="007173B2">
      <w:pPr>
        <w:pStyle w:val="Normal1"/>
        <w:numPr>
          <w:ilvl w:val="0"/>
          <w:numId w:val="18"/>
        </w:numPr>
        <w:ind w:hanging="360"/>
        <w:contextualSpacing/>
      </w:pPr>
      <w:r>
        <w:t>Techniques used: RCT billing analysis</w:t>
      </w:r>
    </w:p>
    <w:p w14:paraId="2A8CDC44" w14:textId="77777777" w:rsidR="00576C8C" w:rsidRDefault="007173B2">
      <w:pPr>
        <w:pStyle w:val="Normal1"/>
        <w:numPr>
          <w:ilvl w:val="0"/>
          <w:numId w:val="18"/>
        </w:numPr>
        <w:ind w:hanging="360"/>
        <w:contextualSpacing/>
      </w:pPr>
      <w:r>
        <w:rPr>
          <w:b/>
        </w:rPr>
        <w:t>Relevance to and impacts on this work paper:</w:t>
      </w:r>
      <w:r>
        <w:t xml:space="preserve"> This report documented the impacts of a smart thermostat demand response pilot. As a result, this paper is not additive to this work paper but the team wanted to acknowledge it here and note that it was considered for relevance.</w:t>
      </w:r>
    </w:p>
    <w:p w14:paraId="78EAEB13" w14:textId="27E3EBAA" w:rsidR="00576C8C" w:rsidRDefault="007173B2">
      <w:pPr>
        <w:pStyle w:val="Heading3"/>
      </w:pPr>
      <w:bookmarkStart w:id="14" w:name="_35nkun2" w:colFirst="0" w:colLast="0"/>
      <w:bookmarkEnd w:id="14"/>
      <w:r>
        <w:rPr>
          <w:rFonts w:ascii="Calibri" w:eastAsia="Calibri" w:hAnsi="Calibri" w:cs="Calibri"/>
        </w:rPr>
        <w:lastRenderedPageBreak/>
        <w:t>1.5.</w:t>
      </w:r>
      <w:r w:rsidR="000C7392">
        <w:rPr>
          <w:rFonts w:ascii="Calibri" w:eastAsia="Calibri" w:hAnsi="Calibri" w:cs="Calibri"/>
        </w:rPr>
        <w:t>8</w:t>
      </w:r>
      <w:r>
        <w:rPr>
          <w:rFonts w:ascii="Calibri" w:eastAsia="Calibri" w:hAnsi="Calibri" w:cs="Calibri"/>
        </w:rPr>
        <w:t xml:space="preserve"> Evaluation of the Space Heating and Cooling Energy Savings of Smart Thermostats in a Hot-Humid Climate using Long-term Data</w:t>
      </w:r>
      <w:r w:rsidR="00295AEE">
        <w:rPr>
          <w:rFonts w:ascii="Calibri" w:eastAsia="Calibri" w:hAnsi="Calibri" w:cs="Calibri"/>
        </w:rPr>
        <w:t xml:space="preserve"> </w:t>
      </w:r>
      <w:r>
        <w:rPr>
          <w:rFonts w:ascii="Calibri" w:eastAsia="Calibri" w:hAnsi="Calibri" w:cs="Calibri"/>
          <w:b w:val="0"/>
          <w:vertAlign w:val="superscript"/>
        </w:rPr>
        <w:t>(23)</w:t>
      </w:r>
    </w:p>
    <w:p w14:paraId="674937F4" w14:textId="77777777" w:rsidR="00576C8C" w:rsidRDefault="007173B2">
      <w:pPr>
        <w:pStyle w:val="Normal1"/>
        <w:numPr>
          <w:ilvl w:val="0"/>
          <w:numId w:val="17"/>
        </w:numPr>
        <w:ind w:hanging="360"/>
        <w:contextualSpacing/>
      </w:pPr>
      <w:r>
        <w:t xml:space="preserve">D. Parker, K. Sutherland, D. </w:t>
      </w:r>
      <w:proofErr w:type="spellStart"/>
      <w:r>
        <w:t>Chasar</w:t>
      </w:r>
      <w:proofErr w:type="spellEnd"/>
      <w:r>
        <w:t xml:space="preserve"> Florida Solar Energy Center (FSEC)</w:t>
      </w:r>
    </w:p>
    <w:p w14:paraId="7EF475CF" w14:textId="77777777" w:rsidR="00576C8C" w:rsidRDefault="007173B2">
      <w:pPr>
        <w:pStyle w:val="Normal1"/>
        <w:numPr>
          <w:ilvl w:val="0"/>
          <w:numId w:val="17"/>
        </w:numPr>
        <w:ind w:hanging="360"/>
        <w:contextualSpacing/>
      </w:pPr>
      <w:r>
        <w:t>Completed: June, 2016</w:t>
      </w:r>
    </w:p>
    <w:p w14:paraId="0358952B" w14:textId="77777777" w:rsidR="00576C8C" w:rsidRDefault="007173B2">
      <w:pPr>
        <w:pStyle w:val="Normal1"/>
        <w:numPr>
          <w:ilvl w:val="0"/>
          <w:numId w:val="17"/>
        </w:numPr>
        <w:ind w:hanging="360"/>
        <w:contextualSpacing/>
      </w:pPr>
      <w:r>
        <w:t>Market Covered: Florida</w:t>
      </w:r>
    </w:p>
    <w:p w14:paraId="785F359C" w14:textId="77777777" w:rsidR="00576C8C" w:rsidRDefault="007173B2">
      <w:pPr>
        <w:pStyle w:val="Normal1"/>
        <w:numPr>
          <w:ilvl w:val="0"/>
          <w:numId w:val="17"/>
        </w:numPr>
        <w:ind w:hanging="360"/>
        <w:contextualSpacing/>
      </w:pPr>
      <w:r>
        <w:t>Techniques used: Pre-Post Analysis</w:t>
      </w:r>
    </w:p>
    <w:p w14:paraId="77989B34" w14:textId="77777777" w:rsidR="00576C8C" w:rsidRDefault="007173B2">
      <w:pPr>
        <w:pStyle w:val="Normal1"/>
        <w:numPr>
          <w:ilvl w:val="0"/>
          <w:numId w:val="17"/>
        </w:numPr>
        <w:ind w:hanging="360"/>
        <w:contextualSpacing/>
      </w:pPr>
      <w:r>
        <w:rPr>
          <w:b/>
        </w:rPr>
        <w:t>Relevance to and impacts on this work paper:</w:t>
      </w:r>
      <w:r>
        <w:t xml:space="preserve">  This FSEC report is particularly valuable for this work paper, as described in more detail below. Because this report included multiple years of pre/post sub-metering data for smart thermostat study participants, this study validates that the use of set points in the savings regression model, instead of indoor temperatures, provides accurate savings estimates. In addition, it helps to validate that the approach described in this work paper accounts for any shifting of HVAC runtime to various times of day. </w:t>
      </w:r>
    </w:p>
    <w:p w14:paraId="34870BB5" w14:textId="6DD49EE3" w:rsidR="00576C8C" w:rsidRDefault="007173B2">
      <w:pPr>
        <w:pStyle w:val="Heading3"/>
      </w:pPr>
      <w:bookmarkStart w:id="15" w:name="_1ksv4uv" w:colFirst="0" w:colLast="0"/>
      <w:bookmarkEnd w:id="15"/>
      <w:r>
        <w:rPr>
          <w:rFonts w:ascii="Calibri" w:eastAsia="Calibri" w:hAnsi="Calibri" w:cs="Calibri"/>
        </w:rPr>
        <w:t>1.5.</w:t>
      </w:r>
      <w:r w:rsidR="000C7392">
        <w:rPr>
          <w:rFonts w:ascii="Calibri" w:eastAsia="Calibri" w:hAnsi="Calibri" w:cs="Calibri"/>
        </w:rPr>
        <w:t>9</w:t>
      </w:r>
      <w:r>
        <w:rPr>
          <w:rFonts w:ascii="Calibri" w:eastAsia="Calibri" w:hAnsi="Calibri" w:cs="Calibri"/>
        </w:rPr>
        <w:t xml:space="preserve"> </w:t>
      </w:r>
      <w:r>
        <w:rPr>
          <w:rFonts w:ascii="Calibri" w:eastAsia="Calibri" w:hAnsi="Calibri" w:cs="Calibri"/>
          <w:highlight w:val="white"/>
        </w:rPr>
        <w:t xml:space="preserve">Demand Response Technology Evaluation of </w:t>
      </w:r>
      <w:proofErr w:type="spellStart"/>
      <w:r>
        <w:rPr>
          <w:rFonts w:ascii="Calibri" w:eastAsia="Calibri" w:hAnsi="Calibri" w:cs="Calibri"/>
          <w:highlight w:val="white"/>
        </w:rPr>
        <w:t>AutoDR</w:t>
      </w:r>
      <w:proofErr w:type="spellEnd"/>
      <w:r>
        <w:rPr>
          <w:rFonts w:ascii="Calibri" w:eastAsia="Calibri" w:hAnsi="Calibri" w:cs="Calibri"/>
          <w:highlight w:val="white"/>
        </w:rPr>
        <w:t xml:space="preserve"> Programmable Communicating Thermostats</w:t>
      </w:r>
      <w:r w:rsidR="00295AEE">
        <w:rPr>
          <w:rFonts w:ascii="Calibri" w:eastAsia="Calibri" w:hAnsi="Calibri" w:cs="Calibri"/>
          <w:highlight w:val="white"/>
        </w:rPr>
        <w:t xml:space="preserve"> </w:t>
      </w:r>
      <w:r w:rsidRPr="005D3D49">
        <w:rPr>
          <w:rFonts w:ascii="Calibri" w:eastAsia="Calibri" w:hAnsi="Calibri" w:cs="Calibri"/>
          <w:b w:val="0"/>
          <w:highlight w:val="white"/>
          <w:vertAlign w:val="superscript"/>
        </w:rPr>
        <w:t>(24)</w:t>
      </w:r>
    </w:p>
    <w:p w14:paraId="3BD8F54C" w14:textId="77777777" w:rsidR="00576C8C" w:rsidRDefault="007173B2">
      <w:pPr>
        <w:pStyle w:val="Normal1"/>
        <w:numPr>
          <w:ilvl w:val="0"/>
          <w:numId w:val="25"/>
        </w:numPr>
        <w:ind w:hanging="360"/>
        <w:contextualSpacing/>
      </w:pPr>
      <w:r>
        <w:t xml:space="preserve">Design &amp; Engineering Services, Southern California Edison </w:t>
      </w:r>
    </w:p>
    <w:p w14:paraId="0D473696" w14:textId="77777777" w:rsidR="00576C8C" w:rsidRDefault="007173B2">
      <w:pPr>
        <w:pStyle w:val="Normal1"/>
        <w:numPr>
          <w:ilvl w:val="0"/>
          <w:numId w:val="25"/>
        </w:numPr>
        <w:ind w:hanging="360"/>
        <w:contextualSpacing/>
      </w:pPr>
      <w:r>
        <w:t>Completed: December, 2012</w:t>
      </w:r>
    </w:p>
    <w:p w14:paraId="0005C108" w14:textId="77777777" w:rsidR="00576C8C" w:rsidRDefault="007173B2">
      <w:pPr>
        <w:pStyle w:val="Normal1"/>
        <w:numPr>
          <w:ilvl w:val="0"/>
          <w:numId w:val="25"/>
        </w:numPr>
        <w:ind w:hanging="360"/>
        <w:contextualSpacing/>
      </w:pPr>
      <w:r>
        <w:t>Market Covered: SCE Territory</w:t>
      </w:r>
    </w:p>
    <w:p w14:paraId="77CB0DA5" w14:textId="77777777" w:rsidR="00576C8C" w:rsidRDefault="007173B2">
      <w:pPr>
        <w:pStyle w:val="Normal1"/>
        <w:numPr>
          <w:ilvl w:val="0"/>
          <w:numId w:val="25"/>
        </w:numPr>
        <w:ind w:hanging="360"/>
        <w:contextualSpacing/>
      </w:pPr>
      <w:r>
        <w:t>Techniques used: Field measurements to evaluate the Demand Response (DR) capabilities of Programmable Communicating Thermostats (PCTs) leveraging Open Automated Demand Response (</w:t>
      </w:r>
      <w:proofErr w:type="spellStart"/>
      <w:r>
        <w:t>OpenADR</w:t>
      </w:r>
      <w:proofErr w:type="spellEnd"/>
      <w:r>
        <w:t>).</w:t>
      </w:r>
    </w:p>
    <w:p w14:paraId="43D7668F" w14:textId="77777777" w:rsidR="00576C8C" w:rsidRDefault="007173B2">
      <w:pPr>
        <w:pStyle w:val="Normal1"/>
        <w:numPr>
          <w:ilvl w:val="0"/>
          <w:numId w:val="25"/>
        </w:numPr>
        <w:ind w:hanging="360"/>
        <w:contextualSpacing/>
      </w:pPr>
      <w:r>
        <w:rPr>
          <w:b/>
        </w:rPr>
        <w:t>Relevance to and impacts on this work paper:</w:t>
      </w:r>
      <w:r>
        <w:t xml:space="preserve"> This paper is not additive to this work paper but the team wanted to acknowledge it here and note that it was considered for relevance.</w:t>
      </w:r>
    </w:p>
    <w:p w14:paraId="398647B4" w14:textId="10E06B45" w:rsidR="00576C8C" w:rsidRDefault="007173B2">
      <w:pPr>
        <w:pStyle w:val="Heading3"/>
      </w:pPr>
      <w:bookmarkStart w:id="16" w:name="_44sinio" w:colFirst="0" w:colLast="0"/>
      <w:bookmarkEnd w:id="16"/>
      <w:r>
        <w:rPr>
          <w:rFonts w:ascii="Calibri" w:eastAsia="Calibri" w:hAnsi="Calibri" w:cs="Calibri"/>
        </w:rPr>
        <w:t>1.5.</w:t>
      </w:r>
      <w:r w:rsidR="000C7392">
        <w:rPr>
          <w:rFonts w:ascii="Calibri" w:eastAsia="Calibri" w:hAnsi="Calibri" w:cs="Calibri"/>
        </w:rPr>
        <w:t>10</w:t>
      </w:r>
      <w:r>
        <w:rPr>
          <w:rFonts w:ascii="Calibri" w:eastAsia="Calibri" w:hAnsi="Calibri" w:cs="Calibri"/>
        </w:rPr>
        <w:t xml:space="preserve"> </w:t>
      </w:r>
      <w:r>
        <w:rPr>
          <w:rFonts w:ascii="Calibri" w:eastAsia="Calibri" w:hAnsi="Calibri" w:cs="Calibri"/>
          <w:highlight w:val="white"/>
        </w:rPr>
        <w:t>Residential Programmable Communicating Thermostat Customer Satisfaction Survey</w:t>
      </w:r>
      <w:r w:rsidR="00295AEE">
        <w:rPr>
          <w:rFonts w:ascii="Calibri" w:eastAsia="Calibri" w:hAnsi="Calibri" w:cs="Calibri"/>
          <w:highlight w:val="white"/>
        </w:rPr>
        <w:t xml:space="preserve"> </w:t>
      </w:r>
      <w:r>
        <w:rPr>
          <w:rFonts w:ascii="Calibri" w:eastAsia="Calibri" w:hAnsi="Calibri" w:cs="Calibri"/>
          <w:b w:val="0"/>
          <w:highlight w:val="white"/>
          <w:vertAlign w:val="superscript"/>
        </w:rPr>
        <w:t>(25)</w:t>
      </w:r>
    </w:p>
    <w:p w14:paraId="6F79905E" w14:textId="77777777" w:rsidR="00576C8C" w:rsidRDefault="007173B2">
      <w:pPr>
        <w:pStyle w:val="Normal1"/>
        <w:numPr>
          <w:ilvl w:val="0"/>
          <w:numId w:val="24"/>
        </w:numPr>
        <w:ind w:hanging="360"/>
        <w:contextualSpacing/>
      </w:pPr>
      <w:r>
        <w:t xml:space="preserve">Design &amp; Engineering Services, Southern California Edison </w:t>
      </w:r>
    </w:p>
    <w:p w14:paraId="25A44708" w14:textId="77777777" w:rsidR="00576C8C" w:rsidRDefault="007173B2">
      <w:pPr>
        <w:pStyle w:val="Normal1"/>
        <w:numPr>
          <w:ilvl w:val="0"/>
          <w:numId w:val="24"/>
        </w:numPr>
        <w:ind w:hanging="360"/>
        <w:contextualSpacing/>
      </w:pPr>
      <w:r>
        <w:t>Completed: March, 2006</w:t>
      </w:r>
    </w:p>
    <w:p w14:paraId="2A45D280" w14:textId="77777777" w:rsidR="00576C8C" w:rsidRDefault="007173B2">
      <w:pPr>
        <w:pStyle w:val="Normal1"/>
        <w:numPr>
          <w:ilvl w:val="0"/>
          <w:numId w:val="24"/>
        </w:numPr>
        <w:ind w:hanging="360"/>
        <w:contextualSpacing/>
      </w:pPr>
      <w:r>
        <w:t>Market Covered: SCE Territory</w:t>
      </w:r>
    </w:p>
    <w:p w14:paraId="53A9551C" w14:textId="77777777" w:rsidR="00576C8C" w:rsidRDefault="007173B2">
      <w:pPr>
        <w:pStyle w:val="Normal1"/>
        <w:numPr>
          <w:ilvl w:val="0"/>
          <w:numId w:val="24"/>
        </w:numPr>
        <w:ind w:hanging="360"/>
        <w:contextualSpacing/>
      </w:pPr>
      <w:r>
        <w:t xml:space="preserve">Techniques used: This report summarizes the responses of residential customers to a Programmable Communicating Thermostat (PCT) installed in their home to control their heating, ventilation, and air conditioning (HVAC) systems. </w:t>
      </w:r>
    </w:p>
    <w:p w14:paraId="2233007F" w14:textId="77777777" w:rsidR="00576C8C" w:rsidRDefault="007173B2">
      <w:pPr>
        <w:pStyle w:val="Normal1"/>
        <w:numPr>
          <w:ilvl w:val="0"/>
          <w:numId w:val="24"/>
        </w:numPr>
        <w:ind w:hanging="360"/>
        <w:contextualSpacing/>
      </w:pPr>
      <w:r>
        <w:rPr>
          <w:b/>
        </w:rPr>
        <w:t xml:space="preserve">Relevance to and impacts on this work paper: </w:t>
      </w:r>
      <w:r>
        <w:t>Aside from documenting that customers like and are interested in this type of technology, this paper is not additive to this work paper but the team wanted to acknowledge it here and note that it was considered for relevance.</w:t>
      </w:r>
    </w:p>
    <w:p w14:paraId="19A6BC24" w14:textId="0C7FF2D6" w:rsidR="00576C8C" w:rsidRDefault="007173B2">
      <w:pPr>
        <w:pStyle w:val="Heading3"/>
      </w:pPr>
      <w:bookmarkStart w:id="17" w:name="_2jxsxqh" w:colFirst="0" w:colLast="0"/>
      <w:bookmarkEnd w:id="17"/>
      <w:r>
        <w:rPr>
          <w:rFonts w:ascii="Calibri" w:eastAsia="Calibri" w:hAnsi="Calibri" w:cs="Calibri"/>
        </w:rPr>
        <w:t>1.5.</w:t>
      </w:r>
      <w:r w:rsidR="000C7392">
        <w:rPr>
          <w:rFonts w:ascii="Calibri" w:eastAsia="Calibri" w:hAnsi="Calibri" w:cs="Calibri"/>
        </w:rPr>
        <w:t>11</w:t>
      </w:r>
      <w:r>
        <w:rPr>
          <w:rFonts w:ascii="Calibri" w:eastAsia="Calibri" w:hAnsi="Calibri" w:cs="Calibri"/>
        </w:rPr>
        <w:t xml:space="preserve"> </w:t>
      </w:r>
      <w:r>
        <w:rPr>
          <w:rFonts w:ascii="Calibri" w:eastAsia="Calibri" w:hAnsi="Calibri" w:cs="Calibri"/>
          <w:highlight w:val="white"/>
        </w:rPr>
        <w:t xml:space="preserve">Impact </w:t>
      </w:r>
      <w:proofErr w:type="gramStart"/>
      <w:r>
        <w:rPr>
          <w:rFonts w:ascii="Calibri" w:eastAsia="Calibri" w:hAnsi="Calibri" w:cs="Calibri"/>
          <w:highlight w:val="white"/>
        </w:rPr>
        <w:t>Of</w:t>
      </w:r>
      <w:proofErr w:type="gramEnd"/>
      <w:r>
        <w:rPr>
          <w:rFonts w:ascii="Calibri" w:eastAsia="Calibri" w:hAnsi="Calibri" w:cs="Calibri"/>
          <w:highlight w:val="white"/>
        </w:rPr>
        <w:t xml:space="preserve"> PCTs On Demand Response – PHASE II</w:t>
      </w:r>
      <w:r w:rsidR="00295AEE">
        <w:rPr>
          <w:rFonts w:ascii="Calibri" w:eastAsia="Calibri" w:hAnsi="Calibri" w:cs="Calibri"/>
          <w:highlight w:val="white"/>
        </w:rPr>
        <w:t xml:space="preserve"> </w:t>
      </w:r>
      <w:r w:rsidRPr="005D3D49">
        <w:rPr>
          <w:rFonts w:ascii="Calibri" w:eastAsia="Calibri" w:hAnsi="Calibri" w:cs="Calibri"/>
          <w:b w:val="0"/>
          <w:highlight w:val="white"/>
          <w:vertAlign w:val="superscript"/>
        </w:rPr>
        <w:t>(26)</w:t>
      </w:r>
    </w:p>
    <w:p w14:paraId="2C8C66CE" w14:textId="77777777" w:rsidR="00576C8C" w:rsidRDefault="007173B2">
      <w:pPr>
        <w:pStyle w:val="Normal1"/>
        <w:numPr>
          <w:ilvl w:val="0"/>
          <w:numId w:val="23"/>
        </w:numPr>
        <w:ind w:hanging="360"/>
        <w:contextualSpacing/>
      </w:pPr>
      <w:r>
        <w:t xml:space="preserve">Design &amp; Engineering Services, Southern California Edison </w:t>
      </w:r>
    </w:p>
    <w:p w14:paraId="2150A961" w14:textId="77777777" w:rsidR="00576C8C" w:rsidRDefault="007173B2">
      <w:pPr>
        <w:pStyle w:val="Normal1"/>
        <w:numPr>
          <w:ilvl w:val="0"/>
          <w:numId w:val="23"/>
        </w:numPr>
        <w:ind w:hanging="360"/>
        <w:contextualSpacing/>
      </w:pPr>
      <w:r>
        <w:t>Completed: April, 2007</w:t>
      </w:r>
    </w:p>
    <w:p w14:paraId="2E7EBF16" w14:textId="77777777" w:rsidR="00576C8C" w:rsidRDefault="007173B2">
      <w:pPr>
        <w:pStyle w:val="Normal1"/>
        <w:numPr>
          <w:ilvl w:val="0"/>
          <w:numId w:val="23"/>
        </w:numPr>
        <w:ind w:hanging="360"/>
        <w:contextualSpacing/>
      </w:pPr>
      <w:r>
        <w:t>Market Covered: SCE Territory</w:t>
      </w:r>
    </w:p>
    <w:p w14:paraId="4F758875" w14:textId="77777777" w:rsidR="00576C8C" w:rsidRDefault="007173B2">
      <w:pPr>
        <w:pStyle w:val="Normal1"/>
        <w:numPr>
          <w:ilvl w:val="0"/>
          <w:numId w:val="23"/>
        </w:numPr>
        <w:ind w:hanging="360"/>
        <w:contextualSpacing/>
      </w:pPr>
      <w:r>
        <w:t xml:space="preserve">Techniques used: This project analyzes the potential electricity demand response of small commercial HVAC systems and residential split air-conditioners due to the use of programmable communicating thermostats (PCTs). </w:t>
      </w:r>
    </w:p>
    <w:p w14:paraId="6B00C5B2" w14:textId="77777777" w:rsidR="00576C8C" w:rsidRDefault="007173B2">
      <w:pPr>
        <w:pStyle w:val="Normal1"/>
        <w:numPr>
          <w:ilvl w:val="0"/>
          <w:numId w:val="23"/>
        </w:numPr>
        <w:ind w:hanging="360"/>
        <w:contextualSpacing/>
      </w:pPr>
      <w:r>
        <w:rPr>
          <w:b/>
        </w:rPr>
        <w:t xml:space="preserve">Relevance to and impacts on this work paper: </w:t>
      </w:r>
      <w:r>
        <w:t>This paper is not additive to this work paper but the team wanted to acknowledge it here and note that it was considered for relevance.</w:t>
      </w:r>
    </w:p>
    <w:p w14:paraId="17AD2BA9" w14:textId="2393BB22" w:rsidR="00576C8C" w:rsidRDefault="007173B2">
      <w:pPr>
        <w:pStyle w:val="Heading3"/>
      </w:pPr>
      <w:bookmarkStart w:id="18" w:name="_z337ya" w:colFirst="0" w:colLast="0"/>
      <w:bookmarkEnd w:id="18"/>
      <w:r>
        <w:rPr>
          <w:rFonts w:ascii="Calibri" w:eastAsia="Calibri" w:hAnsi="Calibri" w:cs="Calibri"/>
        </w:rPr>
        <w:lastRenderedPageBreak/>
        <w:t>1.5.1</w:t>
      </w:r>
      <w:r w:rsidR="000C7392">
        <w:rPr>
          <w:rFonts w:ascii="Calibri" w:eastAsia="Calibri" w:hAnsi="Calibri" w:cs="Calibri"/>
        </w:rPr>
        <w:t>2</w:t>
      </w:r>
      <w:r>
        <w:rPr>
          <w:rFonts w:ascii="Calibri" w:eastAsia="Calibri" w:hAnsi="Calibri" w:cs="Calibri"/>
        </w:rPr>
        <w:t xml:space="preserve"> </w:t>
      </w:r>
      <w:r>
        <w:rPr>
          <w:rFonts w:ascii="Calibri" w:eastAsia="Calibri" w:hAnsi="Calibri" w:cs="Calibri"/>
          <w:highlight w:val="white"/>
        </w:rPr>
        <w:t>Assessment of Programmable Communicating Thermostats: Technology, Costs and Required Functionality</w:t>
      </w:r>
      <w:r w:rsidR="00295AEE">
        <w:rPr>
          <w:rFonts w:ascii="Calibri" w:eastAsia="Calibri" w:hAnsi="Calibri" w:cs="Calibri"/>
          <w:highlight w:val="white"/>
        </w:rPr>
        <w:t xml:space="preserve"> </w:t>
      </w:r>
      <w:r>
        <w:rPr>
          <w:rFonts w:ascii="Calibri" w:eastAsia="Calibri" w:hAnsi="Calibri" w:cs="Calibri"/>
          <w:b w:val="0"/>
          <w:highlight w:val="white"/>
          <w:vertAlign w:val="superscript"/>
        </w:rPr>
        <w:t>(27)</w:t>
      </w:r>
    </w:p>
    <w:p w14:paraId="6970BEBF" w14:textId="77777777" w:rsidR="00576C8C" w:rsidRDefault="007173B2">
      <w:pPr>
        <w:pStyle w:val="Normal1"/>
        <w:numPr>
          <w:ilvl w:val="0"/>
          <w:numId w:val="22"/>
        </w:numPr>
        <w:ind w:hanging="360"/>
        <w:contextualSpacing/>
      </w:pPr>
      <w:r>
        <w:t xml:space="preserve">Design &amp; Engineering Services, Southern California Edison </w:t>
      </w:r>
    </w:p>
    <w:p w14:paraId="255282C0" w14:textId="77777777" w:rsidR="00576C8C" w:rsidRDefault="007173B2">
      <w:pPr>
        <w:pStyle w:val="Normal1"/>
        <w:numPr>
          <w:ilvl w:val="0"/>
          <w:numId w:val="22"/>
        </w:numPr>
        <w:ind w:hanging="360"/>
        <w:contextualSpacing/>
      </w:pPr>
      <w:r>
        <w:t>Completed: September, 2005</w:t>
      </w:r>
    </w:p>
    <w:p w14:paraId="696EBFA9" w14:textId="77777777" w:rsidR="00576C8C" w:rsidRDefault="007173B2">
      <w:pPr>
        <w:pStyle w:val="Normal1"/>
        <w:numPr>
          <w:ilvl w:val="0"/>
          <w:numId w:val="22"/>
        </w:numPr>
        <w:ind w:hanging="360"/>
        <w:contextualSpacing/>
      </w:pPr>
      <w:r>
        <w:t>Market Covered: SCE Territory</w:t>
      </w:r>
    </w:p>
    <w:p w14:paraId="58BBB446" w14:textId="77777777" w:rsidR="00576C8C" w:rsidRDefault="007173B2">
      <w:pPr>
        <w:pStyle w:val="Normal1"/>
        <w:numPr>
          <w:ilvl w:val="0"/>
          <w:numId w:val="22"/>
        </w:numPr>
        <w:ind w:hanging="360"/>
        <w:contextualSpacing/>
      </w:pPr>
      <w:r>
        <w:t>Techniques used: This document characterizes the attributes of existing and potential programmable communicating thermostats (PCTs), assesses utility program experience, PCT hardware, installation, and communication-related costs.</w:t>
      </w:r>
    </w:p>
    <w:p w14:paraId="33FFC144" w14:textId="77777777" w:rsidR="00576C8C" w:rsidRDefault="007173B2">
      <w:pPr>
        <w:pStyle w:val="Normal1"/>
        <w:numPr>
          <w:ilvl w:val="0"/>
          <w:numId w:val="22"/>
        </w:numPr>
        <w:ind w:hanging="360"/>
        <w:contextualSpacing/>
      </w:pPr>
      <w:r>
        <w:rPr>
          <w:b/>
        </w:rPr>
        <w:t xml:space="preserve">Relevance to and impacts on this work paper: </w:t>
      </w:r>
      <w:r>
        <w:t>This paper begins to document relevant features and costs associated with the smart thermostat category but cannot be directly leveraged here but the team wanted to acknowledge it here and note that it was considered for relevance.</w:t>
      </w:r>
    </w:p>
    <w:p w14:paraId="75A60D64" w14:textId="757ED473" w:rsidR="00576C8C" w:rsidRDefault="007173B2">
      <w:pPr>
        <w:pStyle w:val="Heading3"/>
      </w:pPr>
      <w:bookmarkStart w:id="19" w:name="_3j2qqm3" w:colFirst="0" w:colLast="0"/>
      <w:bookmarkEnd w:id="19"/>
      <w:r>
        <w:rPr>
          <w:rFonts w:ascii="Calibri" w:eastAsia="Calibri" w:hAnsi="Calibri" w:cs="Calibri"/>
        </w:rPr>
        <w:t>1.5.1</w:t>
      </w:r>
      <w:r w:rsidR="000C7392">
        <w:rPr>
          <w:rFonts w:ascii="Calibri" w:eastAsia="Calibri" w:hAnsi="Calibri" w:cs="Calibri"/>
        </w:rPr>
        <w:t>3</w:t>
      </w:r>
      <w:r>
        <w:rPr>
          <w:rFonts w:ascii="Calibri" w:eastAsia="Calibri" w:hAnsi="Calibri" w:cs="Calibri"/>
        </w:rPr>
        <w:t xml:space="preserve"> </w:t>
      </w:r>
      <w:r>
        <w:rPr>
          <w:rFonts w:ascii="Calibri" w:eastAsia="Calibri" w:hAnsi="Calibri" w:cs="Calibri"/>
          <w:highlight w:val="white"/>
        </w:rPr>
        <w:t>Residential Programmable Communicating Thermostat Customer Satisfaction Survey</w:t>
      </w:r>
      <w:r w:rsidR="00295AEE">
        <w:rPr>
          <w:rFonts w:ascii="Calibri" w:eastAsia="Calibri" w:hAnsi="Calibri" w:cs="Calibri"/>
          <w:highlight w:val="white"/>
        </w:rPr>
        <w:t xml:space="preserve"> </w:t>
      </w:r>
      <w:r>
        <w:rPr>
          <w:rFonts w:ascii="Calibri" w:eastAsia="Calibri" w:hAnsi="Calibri" w:cs="Calibri"/>
          <w:b w:val="0"/>
          <w:highlight w:val="white"/>
          <w:vertAlign w:val="superscript"/>
        </w:rPr>
        <w:t>(28)</w:t>
      </w:r>
    </w:p>
    <w:p w14:paraId="7E5C9E4D" w14:textId="77777777" w:rsidR="00576C8C" w:rsidRDefault="007173B2">
      <w:pPr>
        <w:pStyle w:val="Normal1"/>
        <w:numPr>
          <w:ilvl w:val="0"/>
          <w:numId w:val="21"/>
        </w:numPr>
        <w:ind w:left="360" w:hanging="360"/>
        <w:contextualSpacing/>
      </w:pPr>
      <w:r>
        <w:t xml:space="preserve">Design &amp; Engineering Services, Southern California Edison </w:t>
      </w:r>
    </w:p>
    <w:p w14:paraId="4231DC3F" w14:textId="77777777" w:rsidR="00576C8C" w:rsidRDefault="007173B2">
      <w:pPr>
        <w:pStyle w:val="Normal1"/>
        <w:numPr>
          <w:ilvl w:val="0"/>
          <w:numId w:val="21"/>
        </w:numPr>
        <w:ind w:left="360" w:hanging="360"/>
        <w:contextualSpacing/>
      </w:pPr>
      <w:r>
        <w:t>Completed: March, 2007</w:t>
      </w:r>
    </w:p>
    <w:p w14:paraId="0DDB2280" w14:textId="77777777" w:rsidR="00576C8C" w:rsidRDefault="007173B2">
      <w:pPr>
        <w:pStyle w:val="Normal1"/>
        <w:numPr>
          <w:ilvl w:val="0"/>
          <w:numId w:val="21"/>
        </w:numPr>
        <w:ind w:left="360" w:hanging="360"/>
        <w:contextualSpacing/>
      </w:pPr>
      <w:r>
        <w:t>Market Covered: SCE Territory</w:t>
      </w:r>
    </w:p>
    <w:p w14:paraId="2AC73229" w14:textId="77777777" w:rsidR="00576C8C" w:rsidRDefault="007173B2">
      <w:pPr>
        <w:pStyle w:val="Normal1"/>
        <w:numPr>
          <w:ilvl w:val="0"/>
          <w:numId w:val="21"/>
        </w:numPr>
        <w:ind w:left="360" w:hanging="360"/>
        <w:contextualSpacing/>
      </w:pPr>
      <w:r>
        <w:t xml:space="preserve">Techniques used: This report summarizes the survey responses of residential customers who were selected to participate in a test of a Programmable Communicating Thermostat (PCT) installed in their home to control their heating, ventilation, and air conditioning (HVAC) systems. </w:t>
      </w:r>
    </w:p>
    <w:p w14:paraId="36DC286F" w14:textId="77777777" w:rsidR="00576C8C" w:rsidRDefault="007173B2">
      <w:pPr>
        <w:pStyle w:val="Normal1"/>
        <w:numPr>
          <w:ilvl w:val="0"/>
          <w:numId w:val="21"/>
        </w:numPr>
        <w:ind w:left="360" w:hanging="360"/>
        <w:contextualSpacing/>
      </w:pPr>
      <w:r>
        <w:rPr>
          <w:b/>
        </w:rPr>
        <w:t>Relevance to and impacts on this work paper:</w:t>
      </w:r>
      <w:r>
        <w:t xml:space="preserve"> Aside from documenting that customers like and are interested in this type of technology, this paper is not additive to this work paper but the team wanted to acknowledge it here and note that it was considered for relevance.</w:t>
      </w:r>
    </w:p>
    <w:p w14:paraId="3708067D" w14:textId="77777777" w:rsidR="00576C8C" w:rsidRDefault="00576C8C">
      <w:pPr>
        <w:pStyle w:val="Normal1"/>
      </w:pPr>
    </w:p>
    <w:p w14:paraId="49EDACEC" w14:textId="724D6B93" w:rsidR="00576C8C" w:rsidRDefault="007173B2">
      <w:pPr>
        <w:pStyle w:val="Normal1"/>
      </w:pPr>
      <w:r>
        <w:rPr>
          <w:b/>
          <w:sz w:val="26"/>
          <w:szCs w:val="26"/>
        </w:rPr>
        <w:t>1.5.1</w:t>
      </w:r>
      <w:r w:rsidR="000C7392">
        <w:rPr>
          <w:b/>
          <w:sz w:val="26"/>
          <w:szCs w:val="26"/>
        </w:rPr>
        <w:t>4</w:t>
      </w:r>
      <w:r>
        <w:rPr>
          <w:b/>
          <w:sz w:val="26"/>
          <w:szCs w:val="26"/>
        </w:rPr>
        <w:t xml:space="preserve"> </w:t>
      </w:r>
      <w:proofErr w:type="gramStart"/>
      <w:r>
        <w:rPr>
          <w:b/>
          <w:sz w:val="26"/>
          <w:szCs w:val="26"/>
        </w:rPr>
        <w:t>A</w:t>
      </w:r>
      <w:proofErr w:type="gramEnd"/>
      <w:r>
        <w:rPr>
          <w:b/>
          <w:sz w:val="26"/>
          <w:szCs w:val="26"/>
        </w:rPr>
        <w:t xml:space="preserve"> Look Inside the Eye on the Wall: Sub-metering Data Analysis and Savings</w:t>
      </w:r>
    </w:p>
    <w:p w14:paraId="3E0FA676" w14:textId="77777777" w:rsidR="00576C8C" w:rsidRDefault="007173B2">
      <w:pPr>
        <w:pStyle w:val="Normal1"/>
      </w:pPr>
      <w:r>
        <w:rPr>
          <w:b/>
          <w:sz w:val="26"/>
          <w:szCs w:val="26"/>
        </w:rPr>
        <w:t>Assessment of the Nest Learning Thermostat (BPA report</w:t>
      </w:r>
      <w:proofErr w:type="gramStart"/>
      <w:r>
        <w:rPr>
          <w:b/>
          <w:sz w:val="26"/>
          <w:szCs w:val="26"/>
        </w:rPr>
        <w:t>)</w:t>
      </w:r>
      <w:r>
        <w:rPr>
          <w:sz w:val="26"/>
          <w:szCs w:val="26"/>
          <w:vertAlign w:val="superscript"/>
        </w:rPr>
        <w:t>(</w:t>
      </w:r>
      <w:proofErr w:type="gramEnd"/>
      <w:r>
        <w:rPr>
          <w:sz w:val="26"/>
          <w:szCs w:val="26"/>
          <w:vertAlign w:val="superscript"/>
        </w:rPr>
        <w:t xml:space="preserve">29) </w:t>
      </w:r>
    </w:p>
    <w:p w14:paraId="7971D6B4" w14:textId="77777777" w:rsidR="00576C8C" w:rsidRDefault="007173B2">
      <w:pPr>
        <w:pStyle w:val="Normal1"/>
        <w:numPr>
          <w:ilvl w:val="0"/>
          <w:numId w:val="25"/>
        </w:numPr>
        <w:ind w:hanging="360"/>
        <w:contextualSpacing/>
      </w:pPr>
      <w:r>
        <w:t xml:space="preserve">Phillip </w:t>
      </w:r>
      <w:proofErr w:type="spellStart"/>
      <w:r>
        <w:t>Kelsven</w:t>
      </w:r>
      <w:proofErr w:type="spellEnd"/>
      <w:r>
        <w:t>, Robert Weber, Bonneville Power Administration</w:t>
      </w:r>
    </w:p>
    <w:p w14:paraId="1F46AF6E" w14:textId="77777777" w:rsidR="00576C8C" w:rsidRDefault="007173B2">
      <w:pPr>
        <w:pStyle w:val="Normal1"/>
        <w:numPr>
          <w:ilvl w:val="0"/>
          <w:numId w:val="25"/>
        </w:numPr>
        <w:ind w:hanging="360"/>
        <w:contextualSpacing/>
      </w:pPr>
      <w:r>
        <w:t xml:space="preserve">Completed: 2016 ACEEE Summer Study </w:t>
      </w:r>
    </w:p>
    <w:p w14:paraId="75C4C222" w14:textId="77777777" w:rsidR="00576C8C" w:rsidRDefault="007173B2">
      <w:pPr>
        <w:pStyle w:val="Normal1"/>
        <w:numPr>
          <w:ilvl w:val="0"/>
          <w:numId w:val="25"/>
        </w:numPr>
        <w:ind w:hanging="360"/>
        <w:contextualSpacing/>
      </w:pPr>
      <w:r>
        <w:t>Market Covered: Pacific Northwest</w:t>
      </w:r>
    </w:p>
    <w:p w14:paraId="185894E1" w14:textId="77777777" w:rsidR="00576C8C" w:rsidRDefault="007173B2">
      <w:pPr>
        <w:pStyle w:val="Normal1"/>
        <w:numPr>
          <w:ilvl w:val="0"/>
          <w:numId w:val="25"/>
        </w:numPr>
        <w:ind w:hanging="360"/>
        <w:contextualSpacing/>
      </w:pPr>
      <w:r>
        <w:t>Techniques used: several, including sub-metering</w:t>
      </w:r>
    </w:p>
    <w:p w14:paraId="19543F67" w14:textId="77777777" w:rsidR="00576C8C" w:rsidRDefault="007173B2">
      <w:pPr>
        <w:pStyle w:val="Normal1"/>
        <w:numPr>
          <w:ilvl w:val="0"/>
          <w:numId w:val="25"/>
        </w:numPr>
        <w:ind w:hanging="360"/>
        <w:contextualSpacing/>
      </w:pPr>
      <w:r>
        <w:rPr>
          <w:b/>
        </w:rPr>
        <w:t>Relevance to and impacts on this work paper:</w:t>
      </w:r>
      <w:r>
        <w:t xml:space="preserve"> This study provides additional data from a highly sub-metered study that found energy savings driven by smart thermostats. </w:t>
      </w:r>
    </w:p>
    <w:p w14:paraId="501106B8" w14:textId="77777777" w:rsidR="00576C8C" w:rsidRDefault="00576C8C">
      <w:pPr>
        <w:pStyle w:val="Normal1"/>
      </w:pPr>
    </w:p>
    <w:p w14:paraId="383B9271" w14:textId="1DA93C76" w:rsidR="00576C8C" w:rsidRDefault="007173B2">
      <w:pPr>
        <w:pStyle w:val="Normal1"/>
      </w:pPr>
      <w:r>
        <w:rPr>
          <w:b/>
          <w:sz w:val="26"/>
          <w:szCs w:val="26"/>
        </w:rPr>
        <w:t>1.5.1</w:t>
      </w:r>
      <w:r w:rsidR="000C7392">
        <w:rPr>
          <w:b/>
          <w:sz w:val="26"/>
          <w:szCs w:val="26"/>
        </w:rPr>
        <w:t>5</w:t>
      </w:r>
      <w:r>
        <w:rPr>
          <w:b/>
          <w:sz w:val="26"/>
          <w:szCs w:val="26"/>
        </w:rPr>
        <w:t xml:space="preserve"> Thriller in Asilomar: Battle of the Smart Thermostats</w:t>
      </w:r>
      <w:r w:rsidR="00295AEE">
        <w:rPr>
          <w:b/>
          <w:sz w:val="26"/>
          <w:szCs w:val="26"/>
        </w:rPr>
        <w:t xml:space="preserve"> </w:t>
      </w:r>
      <w:r>
        <w:rPr>
          <w:sz w:val="26"/>
          <w:szCs w:val="26"/>
          <w:vertAlign w:val="superscript"/>
        </w:rPr>
        <w:t xml:space="preserve">(30) </w:t>
      </w:r>
    </w:p>
    <w:p w14:paraId="606DCB78" w14:textId="77777777" w:rsidR="00576C8C" w:rsidRDefault="007173B2">
      <w:pPr>
        <w:pStyle w:val="Normal1"/>
        <w:numPr>
          <w:ilvl w:val="0"/>
          <w:numId w:val="14"/>
        </w:numPr>
        <w:ind w:left="360" w:hanging="360"/>
        <w:contextualSpacing/>
      </w:pPr>
      <w:r>
        <w:t xml:space="preserve">Noah </w:t>
      </w:r>
      <w:proofErr w:type="spellStart"/>
      <w:r>
        <w:t>Lieb</w:t>
      </w:r>
      <w:proofErr w:type="spellEnd"/>
      <w:r>
        <w:t xml:space="preserve"> and Scott </w:t>
      </w:r>
      <w:proofErr w:type="spellStart"/>
      <w:r>
        <w:t>Dimetrosky</w:t>
      </w:r>
      <w:proofErr w:type="spellEnd"/>
      <w:r>
        <w:t xml:space="preserve">, Apex Analytics, Dan </w:t>
      </w:r>
      <w:proofErr w:type="spellStart"/>
      <w:r>
        <w:t>Rubado</w:t>
      </w:r>
      <w:proofErr w:type="spellEnd"/>
      <w:r>
        <w:t xml:space="preserve">, Energy Trust of Oregon </w:t>
      </w:r>
    </w:p>
    <w:p w14:paraId="6F23B34D" w14:textId="77777777" w:rsidR="00576C8C" w:rsidRDefault="007173B2">
      <w:pPr>
        <w:pStyle w:val="Normal1"/>
        <w:numPr>
          <w:ilvl w:val="0"/>
          <w:numId w:val="14"/>
        </w:numPr>
        <w:ind w:left="360" w:hanging="360"/>
        <w:contextualSpacing/>
      </w:pPr>
      <w:r>
        <w:t xml:space="preserve">Completed: 2016 ACEEE Summer Study </w:t>
      </w:r>
    </w:p>
    <w:p w14:paraId="47A282B7" w14:textId="77777777" w:rsidR="00576C8C" w:rsidRDefault="007173B2">
      <w:pPr>
        <w:pStyle w:val="Normal1"/>
        <w:numPr>
          <w:ilvl w:val="0"/>
          <w:numId w:val="25"/>
        </w:numPr>
        <w:ind w:hanging="360"/>
        <w:contextualSpacing/>
      </w:pPr>
      <w:r>
        <w:t>Market Covered: Pacific Northwest</w:t>
      </w:r>
    </w:p>
    <w:p w14:paraId="407D7621" w14:textId="77777777" w:rsidR="00576C8C" w:rsidRDefault="007173B2">
      <w:pPr>
        <w:pStyle w:val="Normal1"/>
        <w:numPr>
          <w:ilvl w:val="0"/>
          <w:numId w:val="25"/>
        </w:numPr>
        <w:ind w:hanging="360"/>
        <w:contextualSpacing/>
      </w:pPr>
      <w:r>
        <w:t>Techniques used: Billing analysis</w:t>
      </w:r>
    </w:p>
    <w:p w14:paraId="2829AD0D" w14:textId="77777777" w:rsidR="00576C8C" w:rsidRDefault="007173B2">
      <w:pPr>
        <w:pStyle w:val="Normal1"/>
        <w:numPr>
          <w:ilvl w:val="0"/>
          <w:numId w:val="25"/>
        </w:numPr>
        <w:ind w:hanging="360"/>
        <w:contextualSpacing/>
      </w:pPr>
      <w:r>
        <w:rPr>
          <w:b/>
        </w:rPr>
        <w:t xml:space="preserve">Relevance to and impacts on this work paper: </w:t>
      </w:r>
      <w:r>
        <w:t xml:space="preserve">This paper, based on a pre/post billing analysis, provides a useful comparison point for the percent savings that should be expected for smart thermostats during heating season. </w:t>
      </w:r>
    </w:p>
    <w:p w14:paraId="61E09620" w14:textId="77777777" w:rsidR="00576C8C" w:rsidRDefault="00576C8C">
      <w:pPr>
        <w:pStyle w:val="Normal1"/>
      </w:pPr>
    </w:p>
    <w:p w14:paraId="7FEC319F" w14:textId="008137F0" w:rsidR="00576C8C" w:rsidRDefault="007173B2">
      <w:pPr>
        <w:pStyle w:val="Normal1"/>
      </w:pPr>
      <w:r>
        <w:rPr>
          <w:b/>
          <w:sz w:val="26"/>
          <w:szCs w:val="26"/>
        </w:rPr>
        <w:t>1.5.1</w:t>
      </w:r>
      <w:r w:rsidR="000C7392">
        <w:rPr>
          <w:b/>
          <w:sz w:val="26"/>
          <w:szCs w:val="26"/>
        </w:rPr>
        <w:t>6</w:t>
      </w:r>
      <w:r>
        <w:rPr>
          <w:b/>
          <w:sz w:val="26"/>
          <w:szCs w:val="26"/>
        </w:rPr>
        <w:t xml:space="preserve"> Do Connected Thermostats </w:t>
      </w:r>
      <w:proofErr w:type="gramStart"/>
      <w:r>
        <w:rPr>
          <w:b/>
          <w:sz w:val="26"/>
          <w:szCs w:val="26"/>
        </w:rPr>
        <w:t>Save</w:t>
      </w:r>
      <w:proofErr w:type="gramEnd"/>
      <w:r>
        <w:rPr>
          <w:b/>
          <w:sz w:val="26"/>
          <w:szCs w:val="26"/>
        </w:rPr>
        <w:t xml:space="preserve"> Energy?</w:t>
      </w:r>
      <w:r w:rsidR="00295AEE">
        <w:rPr>
          <w:b/>
          <w:sz w:val="26"/>
          <w:szCs w:val="26"/>
        </w:rPr>
        <w:t xml:space="preserve"> </w:t>
      </w:r>
      <w:r>
        <w:rPr>
          <w:sz w:val="26"/>
          <w:szCs w:val="26"/>
          <w:vertAlign w:val="superscript"/>
        </w:rPr>
        <w:t>(17)</w:t>
      </w:r>
    </w:p>
    <w:p w14:paraId="2338A576" w14:textId="77777777" w:rsidR="00576C8C" w:rsidRDefault="007173B2">
      <w:pPr>
        <w:pStyle w:val="Normal1"/>
        <w:numPr>
          <w:ilvl w:val="0"/>
          <w:numId w:val="25"/>
        </w:numPr>
        <w:ind w:hanging="360"/>
        <w:contextualSpacing/>
      </w:pPr>
      <w:r>
        <w:lastRenderedPageBreak/>
        <w:t xml:space="preserve">Abigail A. </w:t>
      </w:r>
      <w:proofErr w:type="spellStart"/>
      <w:r>
        <w:t>Daken</w:t>
      </w:r>
      <w:proofErr w:type="spellEnd"/>
      <w:r>
        <w:t xml:space="preserve">, United States Environmental Protection Agency, Alan K. Meier, Lawrence Berkeley National Lab, Douglas G. Frazee, ICF International </w:t>
      </w:r>
    </w:p>
    <w:p w14:paraId="4F306DB8" w14:textId="77777777" w:rsidR="00576C8C" w:rsidRDefault="007173B2">
      <w:pPr>
        <w:pStyle w:val="Normal1"/>
        <w:numPr>
          <w:ilvl w:val="0"/>
          <w:numId w:val="25"/>
        </w:numPr>
        <w:ind w:hanging="360"/>
        <w:contextualSpacing/>
      </w:pPr>
      <w:r>
        <w:t xml:space="preserve">Completed: 2016 ACEEE Summer Study </w:t>
      </w:r>
    </w:p>
    <w:p w14:paraId="0FEDFB1F" w14:textId="77777777" w:rsidR="00576C8C" w:rsidRDefault="007173B2">
      <w:pPr>
        <w:pStyle w:val="Normal1"/>
        <w:numPr>
          <w:ilvl w:val="0"/>
          <w:numId w:val="25"/>
        </w:numPr>
        <w:ind w:hanging="360"/>
        <w:contextualSpacing/>
      </w:pPr>
      <w:r>
        <w:t>Market Covered: -</w:t>
      </w:r>
    </w:p>
    <w:p w14:paraId="37C78E7B" w14:textId="77777777" w:rsidR="00576C8C" w:rsidRDefault="007173B2">
      <w:pPr>
        <w:pStyle w:val="Normal1"/>
        <w:numPr>
          <w:ilvl w:val="0"/>
          <w:numId w:val="25"/>
        </w:numPr>
        <w:ind w:hanging="360"/>
        <w:contextualSpacing/>
      </w:pPr>
      <w:r>
        <w:t>Techniques used: -</w:t>
      </w:r>
    </w:p>
    <w:p w14:paraId="7DB1E3B0" w14:textId="77777777" w:rsidR="00576C8C" w:rsidRDefault="007173B2">
      <w:pPr>
        <w:pStyle w:val="Normal1"/>
        <w:numPr>
          <w:ilvl w:val="0"/>
          <w:numId w:val="25"/>
        </w:numPr>
        <w:ind w:hanging="360"/>
        <w:contextualSpacing/>
      </w:pPr>
      <w:r>
        <w:rPr>
          <w:b/>
        </w:rPr>
        <w:t>Relevance to and impacts on this work paper:</w:t>
      </w:r>
      <w:r>
        <w:t xml:space="preserve"> This report describes the EPA approach to calculating savings from smart thermostats, which was leveraged in this </w:t>
      </w:r>
      <w:proofErr w:type="spellStart"/>
      <w:r>
        <w:t>workpaper</w:t>
      </w:r>
      <w:proofErr w:type="spellEnd"/>
      <w:r>
        <w:t>.</w:t>
      </w:r>
    </w:p>
    <w:p w14:paraId="2C78E36E" w14:textId="77777777" w:rsidR="00576C8C" w:rsidRDefault="00576C8C">
      <w:pPr>
        <w:pStyle w:val="Normal1"/>
      </w:pPr>
    </w:p>
    <w:p w14:paraId="34B9BC9E" w14:textId="17D154A4" w:rsidR="00576C8C" w:rsidRDefault="007173B2">
      <w:pPr>
        <w:pStyle w:val="Normal1"/>
      </w:pPr>
      <w:r>
        <w:rPr>
          <w:b/>
          <w:sz w:val="26"/>
          <w:szCs w:val="26"/>
        </w:rPr>
        <w:t>1.5.1</w:t>
      </w:r>
      <w:r w:rsidR="000C7392">
        <w:rPr>
          <w:b/>
          <w:sz w:val="26"/>
          <w:szCs w:val="26"/>
        </w:rPr>
        <w:t>7</w:t>
      </w:r>
      <w:r>
        <w:rPr>
          <w:b/>
          <w:sz w:val="26"/>
          <w:szCs w:val="26"/>
        </w:rPr>
        <w:t xml:space="preserve"> National Study of Potential of Smart Thermostats for Energy Efficiency</w:t>
      </w:r>
    </w:p>
    <w:p w14:paraId="2A735A73" w14:textId="178D2669" w:rsidR="00576C8C" w:rsidRDefault="007173B2">
      <w:pPr>
        <w:pStyle w:val="Normal1"/>
      </w:pPr>
      <w:proofErr w:type="gramStart"/>
      <w:r>
        <w:rPr>
          <w:b/>
          <w:sz w:val="26"/>
          <w:szCs w:val="26"/>
        </w:rPr>
        <w:t>and</w:t>
      </w:r>
      <w:proofErr w:type="gramEnd"/>
      <w:r>
        <w:rPr>
          <w:b/>
          <w:sz w:val="26"/>
          <w:szCs w:val="26"/>
        </w:rPr>
        <w:t xml:space="preserve"> Demand Response</w:t>
      </w:r>
      <w:r>
        <w:rPr>
          <w:sz w:val="26"/>
          <w:szCs w:val="26"/>
          <w:vertAlign w:val="superscript"/>
        </w:rPr>
        <w:t>(31)</w:t>
      </w:r>
    </w:p>
    <w:p w14:paraId="2661B7CF" w14:textId="77777777" w:rsidR="00576C8C" w:rsidRDefault="007173B2">
      <w:pPr>
        <w:pStyle w:val="Normal1"/>
        <w:numPr>
          <w:ilvl w:val="0"/>
          <w:numId w:val="25"/>
        </w:numPr>
        <w:ind w:hanging="360"/>
        <w:contextualSpacing/>
      </w:pPr>
      <w:r>
        <w:t xml:space="preserve">Jen Robinson, Electric Power Research Institute, Ram </w:t>
      </w:r>
      <w:proofErr w:type="spellStart"/>
      <w:r>
        <w:t>Narayanamurthy</w:t>
      </w:r>
      <w:proofErr w:type="spellEnd"/>
      <w:r>
        <w:t xml:space="preserve">, Electric Power Research Institute, </w:t>
      </w:r>
      <w:proofErr w:type="spellStart"/>
      <w:r>
        <w:t>Bienvenido</w:t>
      </w:r>
      <w:proofErr w:type="spellEnd"/>
      <w:r>
        <w:t xml:space="preserve"> </w:t>
      </w:r>
      <w:proofErr w:type="spellStart"/>
      <w:r>
        <w:t>Clarin</w:t>
      </w:r>
      <w:proofErr w:type="spellEnd"/>
      <w:r>
        <w:t xml:space="preserve">, Electric Power Research Institute, Christine Lee, Electric Power Research Institute, </w:t>
      </w:r>
      <w:proofErr w:type="spellStart"/>
      <w:r>
        <w:t>Pranshu</w:t>
      </w:r>
      <w:proofErr w:type="spellEnd"/>
      <w:r>
        <w:t xml:space="preserve"> Bansal, University of California, Los Angeles </w:t>
      </w:r>
    </w:p>
    <w:p w14:paraId="0DD5455D" w14:textId="77777777" w:rsidR="00576C8C" w:rsidRDefault="007173B2">
      <w:pPr>
        <w:pStyle w:val="Normal1"/>
        <w:numPr>
          <w:ilvl w:val="0"/>
          <w:numId w:val="25"/>
        </w:numPr>
        <w:ind w:hanging="360"/>
        <w:contextualSpacing/>
      </w:pPr>
      <w:r>
        <w:t xml:space="preserve">Completed: 2016 ACEEE Summer Study </w:t>
      </w:r>
    </w:p>
    <w:p w14:paraId="49D2A700" w14:textId="77777777" w:rsidR="00576C8C" w:rsidRDefault="007173B2">
      <w:pPr>
        <w:pStyle w:val="Normal1"/>
        <w:numPr>
          <w:ilvl w:val="0"/>
          <w:numId w:val="25"/>
        </w:numPr>
        <w:ind w:hanging="360"/>
        <w:contextualSpacing/>
      </w:pPr>
      <w:r>
        <w:t>Market Covered: National</w:t>
      </w:r>
    </w:p>
    <w:p w14:paraId="315D76E7" w14:textId="77777777" w:rsidR="00576C8C" w:rsidRDefault="007173B2">
      <w:pPr>
        <w:pStyle w:val="Normal1"/>
        <w:numPr>
          <w:ilvl w:val="0"/>
          <w:numId w:val="25"/>
        </w:numPr>
        <w:ind w:hanging="360"/>
        <w:contextualSpacing/>
      </w:pPr>
      <w:r>
        <w:t>Techniques used: RCTs and quasi-experimental</w:t>
      </w:r>
    </w:p>
    <w:p w14:paraId="69A755D4" w14:textId="77777777" w:rsidR="00576C8C" w:rsidRDefault="007173B2">
      <w:pPr>
        <w:pStyle w:val="Normal1"/>
        <w:numPr>
          <w:ilvl w:val="0"/>
          <w:numId w:val="25"/>
        </w:numPr>
        <w:ind w:hanging="360"/>
        <w:contextualSpacing/>
      </w:pPr>
      <w:r>
        <w:rPr>
          <w:b/>
        </w:rPr>
        <w:t xml:space="preserve">Relevance to and impacts on this work paper: </w:t>
      </w:r>
      <w:r>
        <w:t>A summary of smart thermostat potential for customer engagement and savings for those interested in additional industry detail.</w:t>
      </w:r>
    </w:p>
    <w:p w14:paraId="31F69BBF" w14:textId="58B3DBD3" w:rsidR="00576C8C" w:rsidRDefault="007173B2">
      <w:pPr>
        <w:pStyle w:val="Heading2"/>
        <w:rPr>
          <w:rFonts w:ascii="Calibri" w:eastAsia="Calibri" w:hAnsi="Calibri" w:cs="Calibri"/>
        </w:rPr>
      </w:pPr>
      <w:r>
        <w:rPr>
          <w:rFonts w:ascii="Calibri" w:eastAsia="Calibri" w:hAnsi="Calibri" w:cs="Calibri"/>
        </w:rPr>
        <w:t>1.6 Data Quality and Future Data Needs</w:t>
      </w:r>
    </w:p>
    <w:p w14:paraId="245A6F25" w14:textId="77777777" w:rsidR="00F72283" w:rsidRDefault="00F72283" w:rsidP="0021651F">
      <w:pPr>
        <w:pStyle w:val="Normal1"/>
      </w:pPr>
    </w:p>
    <w:p w14:paraId="52991906" w14:textId="07AAC79F" w:rsidR="00F72283" w:rsidRDefault="00F72283" w:rsidP="00F72283">
      <w:pPr>
        <w:pStyle w:val="Normal1"/>
        <w:spacing w:line="276" w:lineRule="auto"/>
      </w:pPr>
      <w:r>
        <w:rPr>
          <w:b/>
          <w:sz w:val="28"/>
          <w:szCs w:val="28"/>
        </w:rPr>
        <w:t>1.6.1</w:t>
      </w:r>
      <w:r>
        <w:rPr>
          <w:b/>
          <w:color w:val="FF0000"/>
          <w:sz w:val="28"/>
          <w:szCs w:val="28"/>
        </w:rPr>
        <w:t xml:space="preserve"> </w:t>
      </w:r>
      <w:r>
        <w:rPr>
          <w:b/>
          <w:sz w:val="28"/>
          <w:szCs w:val="28"/>
        </w:rPr>
        <w:t xml:space="preserve">Data </w:t>
      </w:r>
      <w:r w:rsidR="00DE7F9A">
        <w:rPr>
          <w:b/>
          <w:sz w:val="28"/>
          <w:szCs w:val="28"/>
        </w:rPr>
        <w:t xml:space="preserve">utilized for this </w:t>
      </w:r>
      <w:r>
        <w:rPr>
          <w:b/>
          <w:sz w:val="28"/>
          <w:szCs w:val="28"/>
        </w:rPr>
        <w:t>California work paper</w:t>
      </w:r>
    </w:p>
    <w:p w14:paraId="5661EB6C" w14:textId="1FB2CB1E" w:rsidR="00F72283" w:rsidRDefault="00F72283" w:rsidP="00F72283">
      <w:pPr>
        <w:rPr>
          <w:rFonts w:ascii="Arial" w:eastAsia="Times New Roman" w:hAnsi="Arial" w:cs="Arial"/>
          <w:color w:val="263238"/>
          <w:sz w:val="20"/>
          <w:szCs w:val="20"/>
        </w:rPr>
      </w:pPr>
      <w:r>
        <w:t xml:space="preserve">The purpose of this paper is to provide an energy savings analysis in support of a deemed measure work paper for smart thermostats in California. The analysis herein is based on more than 13 million days of data from more than 100,000 Nest Learning Thermostats across California and includes savings estimates by climate zone for both cooling and heating HVAC consumption (as well as electric savings from reduced furnace fan usage during the heating season). </w:t>
      </w:r>
      <w:r w:rsidR="00693BCD">
        <w:t xml:space="preserve">No thermostats from the 100k devices were excluded from the analysis ensuring that the savings estimates generated are average savings seen (i.e. incorporates customers that may have seen an increase in energy usage and decrease). </w:t>
      </w:r>
    </w:p>
    <w:p w14:paraId="7C5EC3FC" w14:textId="77777777" w:rsidR="00F72283" w:rsidRPr="00734762" w:rsidRDefault="00F72283" w:rsidP="00F72283">
      <w:pPr>
        <w:rPr>
          <w:rFonts w:ascii="Times" w:eastAsia="Times New Roman" w:hAnsi="Times" w:cs="Times New Roman"/>
          <w:color w:val="auto"/>
          <w:sz w:val="20"/>
          <w:szCs w:val="20"/>
        </w:rPr>
      </w:pPr>
    </w:p>
    <w:p w14:paraId="05916BD3" w14:textId="3534B21F" w:rsidR="00F72283" w:rsidRDefault="00F72283" w:rsidP="00F72283">
      <w:pPr>
        <w:pStyle w:val="Normal1"/>
        <w:spacing w:line="276" w:lineRule="auto"/>
      </w:pPr>
      <w:r>
        <w:t>The distribution of thermostats used for this study</w:t>
      </w:r>
      <w:r w:rsidR="007B37CB">
        <w:t xml:space="preserve"> is outlined in the table below and was included to show that the data from the 100,000 thermostats was not overly concentrated in just a few climate zones. </w:t>
      </w:r>
    </w:p>
    <w:p w14:paraId="36E22C1C" w14:textId="77777777" w:rsidR="00F72283" w:rsidRDefault="00F72283" w:rsidP="00F72283">
      <w:pPr>
        <w:pStyle w:val="Normal1"/>
        <w:spacing w:line="276" w:lineRule="auto"/>
      </w:pPr>
    </w:p>
    <w:tbl>
      <w:tblPr>
        <w:tblStyle w:val="af1"/>
        <w:tblW w:w="4500"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shd w:val="clear" w:color="auto" w:fill="FFFFFF" w:themeFill="background1"/>
        <w:tblLayout w:type="fixed"/>
        <w:tblLook w:val="0600" w:firstRow="0" w:lastRow="0" w:firstColumn="0" w:lastColumn="0" w:noHBand="1" w:noVBand="1"/>
      </w:tblPr>
      <w:tblGrid>
        <w:gridCol w:w="1500"/>
        <w:gridCol w:w="1500"/>
        <w:gridCol w:w="1500"/>
      </w:tblGrid>
      <w:tr w:rsidR="000A054D" w:rsidRPr="00206AE1" w14:paraId="57D2CFDF" w14:textId="77777777" w:rsidTr="00206AE1">
        <w:trPr>
          <w:jc w:val="center"/>
        </w:trPr>
        <w:tc>
          <w:tcPr>
            <w:tcW w:w="1500" w:type="dxa"/>
            <w:shd w:val="clear" w:color="auto" w:fill="D9D9D9" w:themeFill="background1" w:themeFillShade="D9"/>
            <w:tcMar>
              <w:top w:w="40" w:type="dxa"/>
              <w:left w:w="40" w:type="dxa"/>
              <w:bottom w:w="40" w:type="dxa"/>
              <w:right w:w="40" w:type="dxa"/>
            </w:tcMar>
            <w:vAlign w:val="bottom"/>
          </w:tcPr>
          <w:p w14:paraId="1218776F" w14:textId="4D7D9320" w:rsidR="000A054D" w:rsidRPr="00206AE1" w:rsidRDefault="000A054D" w:rsidP="00206AE1">
            <w:pPr>
              <w:pStyle w:val="Normal1"/>
              <w:jc w:val="center"/>
              <w:rPr>
                <w:rFonts w:asciiTheme="majorHAnsi" w:hAnsiTheme="majorHAnsi"/>
                <w:b/>
              </w:rPr>
            </w:pPr>
            <w:r w:rsidRPr="00206AE1">
              <w:rPr>
                <w:rFonts w:asciiTheme="majorHAnsi" w:hAnsiTheme="majorHAnsi"/>
                <w:b/>
              </w:rPr>
              <w:t>California Climate Zone</w:t>
            </w:r>
          </w:p>
        </w:tc>
        <w:tc>
          <w:tcPr>
            <w:tcW w:w="1500" w:type="dxa"/>
            <w:shd w:val="clear" w:color="auto" w:fill="D9D9D9" w:themeFill="background1" w:themeFillShade="D9"/>
            <w:tcMar>
              <w:top w:w="40" w:type="dxa"/>
              <w:left w:w="40" w:type="dxa"/>
              <w:bottom w:w="40" w:type="dxa"/>
              <w:right w:w="40" w:type="dxa"/>
            </w:tcMar>
            <w:vAlign w:val="bottom"/>
          </w:tcPr>
          <w:p w14:paraId="4FAA893B" w14:textId="658208CA" w:rsidR="000A054D" w:rsidRPr="00206AE1" w:rsidRDefault="000A054D" w:rsidP="00206AE1">
            <w:pPr>
              <w:pStyle w:val="Normal1"/>
              <w:jc w:val="center"/>
              <w:rPr>
                <w:rFonts w:asciiTheme="majorHAnsi" w:hAnsiTheme="majorHAnsi"/>
                <w:b/>
              </w:rPr>
            </w:pPr>
            <w:r w:rsidRPr="00206AE1">
              <w:rPr>
                <w:rFonts w:asciiTheme="majorHAnsi" w:hAnsiTheme="majorHAnsi"/>
                <w:b/>
              </w:rPr>
              <w:t>Distribution of Thermostats in Sample (heating)</w:t>
            </w:r>
          </w:p>
        </w:tc>
        <w:tc>
          <w:tcPr>
            <w:tcW w:w="1500" w:type="dxa"/>
            <w:shd w:val="clear" w:color="auto" w:fill="D9D9D9" w:themeFill="background1" w:themeFillShade="D9"/>
            <w:tcMar>
              <w:top w:w="40" w:type="dxa"/>
              <w:left w:w="40" w:type="dxa"/>
              <w:bottom w:w="40" w:type="dxa"/>
              <w:right w:w="40" w:type="dxa"/>
            </w:tcMar>
            <w:vAlign w:val="bottom"/>
          </w:tcPr>
          <w:p w14:paraId="5C5F8734" w14:textId="4898293D" w:rsidR="000A054D" w:rsidRPr="00206AE1" w:rsidRDefault="000A054D" w:rsidP="00206AE1">
            <w:pPr>
              <w:pStyle w:val="Normal1"/>
              <w:jc w:val="center"/>
              <w:rPr>
                <w:rFonts w:asciiTheme="majorHAnsi" w:hAnsiTheme="majorHAnsi"/>
                <w:b/>
              </w:rPr>
            </w:pPr>
            <w:r w:rsidRPr="00206AE1">
              <w:rPr>
                <w:rFonts w:asciiTheme="majorHAnsi" w:hAnsiTheme="majorHAnsi"/>
                <w:b/>
              </w:rPr>
              <w:t>Distribution of Thermostats in Sample (cooling)</w:t>
            </w:r>
          </w:p>
        </w:tc>
      </w:tr>
      <w:tr w:rsidR="00F72283" w:rsidRPr="00206AE1" w14:paraId="00A199FD" w14:textId="77777777" w:rsidTr="00206AE1">
        <w:trPr>
          <w:jc w:val="center"/>
        </w:trPr>
        <w:tc>
          <w:tcPr>
            <w:tcW w:w="1500" w:type="dxa"/>
            <w:shd w:val="clear" w:color="auto" w:fill="FFFFFF" w:themeFill="background1"/>
            <w:tcMar>
              <w:top w:w="40" w:type="dxa"/>
              <w:left w:w="40" w:type="dxa"/>
              <w:bottom w:w="40" w:type="dxa"/>
              <w:right w:w="40" w:type="dxa"/>
            </w:tcMar>
            <w:vAlign w:val="bottom"/>
          </w:tcPr>
          <w:p w14:paraId="1B8229D4" w14:textId="77777777" w:rsidR="00F72283" w:rsidRPr="00206AE1" w:rsidRDefault="00F72283" w:rsidP="00267A00">
            <w:pPr>
              <w:pStyle w:val="Normal1"/>
              <w:contextualSpacing w:val="0"/>
              <w:rPr>
                <w:rFonts w:asciiTheme="majorHAnsi" w:hAnsiTheme="majorHAnsi"/>
              </w:rPr>
            </w:pPr>
            <w:r w:rsidRPr="00206AE1">
              <w:rPr>
                <w:rFonts w:asciiTheme="majorHAnsi" w:hAnsiTheme="majorHAnsi"/>
              </w:rPr>
              <w:t>CZ01</w:t>
            </w:r>
          </w:p>
        </w:tc>
        <w:tc>
          <w:tcPr>
            <w:tcW w:w="1500" w:type="dxa"/>
            <w:shd w:val="clear" w:color="auto" w:fill="FFFFFF" w:themeFill="background1"/>
            <w:tcMar>
              <w:top w:w="40" w:type="dxa"/>
              <w:left w:w="40" w:type="dxa"/>
              <w:bottom w:w="40" w:type="dxa"/>
              <w:right w:w="40" w:type="dxa"/>
            </w:tcMar>
            <w:vAlign w:val="bottom"/>
          </w:tcPr>
          <w:p w14:paraId="6B8B5A1E" w14:textId="77777777" w:rsidR="00F72283" w:rsidRPr="00206AE1" w:rsidRDefault="00F72283" w:rsidP="00267A00">
            <w:pPr>
              <w:pStyle w:val="Normal1"/>
              <w:contextualSpacing w:val="0"/>
              <w:rPr>
                <w:rFonts w:asciiTheme="majorHAnsi" w:hAnsiTheme="majorHAnsi"/>
              </w:rPr>
            </w:pPr>
            <w:r w:rsidRPr="00206AE1">
              <w:rPr>
                <w:rFonts w:asciiTheme="majorHAnsi" w:hAnsiTheme="majorHAnsi"/>
              </w:rPr>
              <w:t>Under 1%</w:t>
            </w:r>
          </w:p>
        </w:tc>
        <w:tc>
          <w:tcPr>
            <w:tcW w:w="1500" w:type="dxa"/>
            <w:shd w:val="clear" w:color="auto" w:fill="FFFFFF" w:themeFill="background1"/>
            <w:tcMar>
              <w:top w:w="40" w:type="dxa"/>
              <w:left w:w="40" w:type="dxa"/>
              <w:bottom w:w="40" w:type="dxa"/>
              <w:right w:w="40" w:type="dxa"/>
            </w:tcMar>
            <w:vAlign w:val="bottom"/>
          </w:tcPr>
          <w:p w14:paraId="5C0D2DC4" w14:textId="77777777" w:rsidR="00F72283" w:rsidRPr="00206AE1" w:rsidRDefault="00F72283" w:rsidP="00267A00">
            <w:pPr>
              <w:pStyle w:val="Normal1"/>
              <w:contextualSpacing w:val="0"/>
              <w:rPr>
                <w:rFonts w:asciiTheme="majorHAnsi" w:hAnsiTheme="majorHAnsi"/>
              </w:rPr>
            </w:pPr>
            <w:r w:rsidRPr="00206AE1">
              <w:rPr>
                <w:rFonts w:asciiTheme="majorHAnsi" w:hAnsiTheme="majorHAnsi"/>
              </w:rPr>
              <w:t>Under 1%</w:t>
            </w:r>
          </w:p>
        </w:tc>
      </w:tr>
      <w:tr w:rsidR="00F72283" w:rsidRPr="00206AE1" w14:paraId="352FF015" w14:textId="77777777" w:rsidTr="00206AE1">
        <w:trPr>
          <w:jc w:val="center"/>
        </w:trPr>
        <w:tc>
          <w:tcPr>
            <w:tcW w:w="1500" w:type="dxa"/>
            <w:shd w:val="clear" w:color="auto" w:fill="FFFFFF" w:themeFill="background1"/>
            <w:tcMar>
              <w:top w:w="40" w:type="dxa"/>
              <w:left w:w="40" w:type="dxa"/>
              <w:bottom w:w="40" w:type="dxa"/>
              <w:right w:w="40" w:type="dxa"/>
            </w:tcMar>
            <w:vAlign w:val="bottom"/>
          </w:tcPr>
          <w:p w14:paraId="529D33F5" w14:textId="77777777" w:rsidR="00F72283" w:rsidRPr="00206AE1" w:rsidRDefault="00F72283" w:rsidP="00267A00">
            <w:pPr>
              <w:pStyle w:val="Normal1"/>
              <w:contextualSpacing w:val="0"/>
              <w:rPr>
                <w:rFonts w:asciiTheme="majorHAnsi" w:hAnsiTheme="majorHAnsi"/>
              </w:rPr>
            </w:pPr>
            <w:r w:rsidRPr="00206AE1">
              <w:rPr>
                <w:rFonts w:asciiTheme="majorHAnsi" w:hAnsiTheme="majorHAnsi"/>
              </w:rPr>
              <w:t>CZ02</w:t>
            </w:r>
          </w:p>
        </w:tc>
        <w:tc>
          <w:tcPr>
            <w:tcW w:w="1500" w:type="dxa"/>
            <w:shd w:val="clear" w:color="auto" w:fill="FFFFFF" w:themeFill="background1"/>
            <w:tcMar>
              <w:top w:w="40" w:type="dxa"/>
              <w:left w:w="40" w:type="dxa"/>
              <w:bottom w:w="40" w:type="dxa"/>
              <w:right w:w="40" w:type="dxa"/>
            </w:tcMar>
            <w:vAlign w:val="bottom"/>
          </w:tcPr>
          <w:p w14:paraId="73DF2EEB" w14:textId="77777777" w:rsidR="00F72283" w:rsidRPr="00206AE1" w:rsidRDefault="00F72283" w:rsidP="00267A00">
            <w:pPr>
              <w:pStyle w:val="Normal1"/>
              <w:contextualSpacing w:val="0"/>
              <w:rPr>
                <w:rFonts w:asciiTheme="majorHAnsi" w:hAnsiTheme="majorHAnsi"/>
              </w:rPr>
            </w:pPr>
            <w:r w:rsidRPr="00206AE1">
              <w:rPr>
                <w:rFonts w:asciiTheme="majorHAnsi" w:hAnsiTheme="majorHAnsi"/>
              </w:rPr>
              <w:t>1% - 10%</w:t>
            </w:r>
          </w:p>
        </w:tc>
        <w:tc>
          <w:tcPr>
            <w:tcW w:w="1500" w:type="dxa"/>
            <w:shd w:val="clear" w:color="auto" w:fill="FFFFFF" w:themeFill="background1"/>
            <w:tcMar>
              <w:top w:w="40" w:type="dxa"/>
              <w:left w:w="40" w:type="dxa"/>
              <w:bottom w:w="40" w:type="dxa"/>
              <w:right w:w="40" w:type="dxa"/>
            </w:tcMar>
            <w:vAlign w:val="bottom"/>
          </w:tcPr>
          <w:p w14:paraId="5417EEC5" w14:textId="77777777" w:rsidR="00F72283" w:rsidRPr="00206AE1" w:rsidRDefault="00F72283" w:rsidP="00267A00">
            <w:pPr>
              <w:pStyle w:val="Normal1"/>
              <w:contextualSpacing w:val="0"/>
              <w:rPr>
                <w:rFonts w:asciiTheme="majorHAnsi" w:hAnsiTheme="majorHAnsi"/>
              </w:rPr>
            </w:pPr>
            <w:r w:rsidRPr="00206AE1">
              <w:rPr>
                <w:rFonts w:asciiTheme="majorHAnsi" w:hAnsiTheme="majorHAnsi"/>
              </w:rPr>
              <w:t>1% - 10%</w:t>
            </w:r>
          </w:p>
        </w:tc>
      </w:tr>
      <w:tr w:rsidR="00F72283" w:rsidRPr="00206AE1" w14:paraId="23E9DFF8" w14:textId="77777777" w:rsidTr="00206AE1">
        <w:trPr>
          <w:jc w:val="center"/>
        </w:trPr>
        <w:tc>
          <w:tcPr>
            <w:tcW w:w="1500" w:type="dxa"/>
            <w:shd w:val="clear" w:color="auto" w:fill="FFFFFF" w:themeFill="background1"/>
            <w:tcMar>
              <w:top w:w="40" w:type="dxa"/>
              <w:left w:w="40" w:type="dxa"/>
              <w:bottom w:w="40" w:type="dxa"/>
              <w:right w:w="40" w:type="dxa"/>
            </w:tcMar>
            <w:vAlign w:val="bottom"/>
          </w:tcPr>
          <w:p w14:paraId="0B1A1A6B" w14:textId="77777777" w:rsidR="00F72283" w:rsidRPr="00206AE1" w:rsidRDefault="00F72283" w:rsidP="00267A00">
            <w:pPr>
              <w:pStyle w:val="Normal1"/>
              <w:contextualSpacing w:val="0"/>
              <w:rPr>
                <w:rFonts w:asciiTheme="majorHAnsi" w:hAnsiTheme="majorHAnsi"/>
              </w:rPr>
            </w:pPr>
            <w:r w:rsidRPr="00206AE1">
              <w:rPr>
                <w:rFonts w:asciiTheme="majorHAnsi" w:hAnsiTheme="majorHAnsi"/>
              </w:rPr>
              <w:t>CZ03</w:t>
            </w:r>
          </w:p>
        </w:tc>
        <w:tc>
          <w:tcPr>
            <w:tcW w:w="1500" w:type="dxa"/>
            <w:shd w:val="clear" w:color="auto" w:fill="FFFFFF" w:themeFill="background1"/>
            <w:tcMar>
              <w:top w:w="40" w:type="dxa"/>
              <w:left w:w="40" w:type="dxa"/>
              <w:bottom w:w="40" w:type="dxa"/>
              <w:right w:w="40" w:type="dxa"/>
            </w:tcMar>
            <w:vAlign w:val="bottom"/>
          </w:tcPr>
          <w:p w14:paraId="0374249C" w14:textId="77777777" w:rsidR="00F72283" w:rsidRPr="00206AE1" w:rsidRDefault="00F72283" w:rsidP="00267A00">
            <w:pPr>
              <w:pStyle w:val="Normal1"/>
              <w:contextualSpacing w:val="0"/>
              <w:rPr>
                <w:rFonts w:asciiTheme="majorHAnsi" w:hAnsiTheme="majorHAnsi"/>
              </w:rPr>
            </w:pPr>
            <w:r w:rsidRPr="00206AE1">
              <w:rPr>
                <w:rFonts w:asciiTheme="majorHAnsi" w:hAnsiTheme="majorHAnsi"/>
              </w:rPr>
              <w:t>10% - 20%</w:t>
            </w:r>
          </w:p>
        </w:tc>
        <w:tc>
          <w:tcPr>
            <w:tcW w:w="1500" w:type="dxa"/>
            <w:shd w:val="clear" w:color="auto" w:fill="FFFFFF" w:themeFill="background1"/>
            <w:tcMar>
              <w:top w:w="40" w:type="dxa"/>
              <w:left w:w="40" w:type="dxa"/>
              <w:bottom w:w="40" w:type="dxa"/>
              <w:right w:w="40" w:type="dxa"/>
            </w:tcMar>
            <w:vAlign w:val="bottom"/>
          </w:tcPr>
          <w:p w14:paraId="19AD2ED2" w14:textId="77777777" w:rsidR="00F72283" w:rsidRPr="00206AE1" w:rsidRDefault="00F72283" w:rsidP="00267A00">
            <w:pPr>
              <w:pStyle w:val="Normal1"/>
              <w:contextualSpacing w:val="0"/>
              <w:rPr>
                <w:rFonts w:asciiTheme="majorHAnsi" w:hAnsiTheme="majorHAnsi"/>
              </w:rPr>
            </w:pPr>
            <w:r w:rsidRPr="00206AE1">
              <w:rPr>
                <w:rFonts w:asciiTheme="majorHAnsi" w:hAnsiTheme="majorHAnsi"/>
              </w:rPr>
              <w:t>1% - 10%</w:t>
            </w:r>
          </w:p>
        </w:tc>
      </w:tr>
      <w:tr w:rsidR="00F72283" w:rsidRPr="00206AE1" w14:paraId="67874ADB" w14:textId="77777777" w:rsidTr="00206AE1">
        <w:trPr>
          <w:jc w:val="center"/>
        </w:trPr>
        <w:tc>
          <w:tcPr>
            <w:tcW w:w="1500" w:type="dxa"/>
            <w:shd w:val="clear" w:color="auto" w:fill="FFFFFF" w:themeFill="background1"/>
            <w:tcMar>
              <w:top w:w="40" w:type="dxa"/>
              <w:left w:w="40" w:type="dxa"/>
              <w:bottom w:w="40" w:type="dxa"/>
              <w:right w:w="40" w:type="dxa"/>
            </w:tcMar>
            <w:vAlign w:val="bottom"/>
          </w:tcPr>
          <w:p w14:paraId="5E41F0FA" w14:textId="77777777" w:rsidR="00F72283" w:rsidRPr="00206AE1" w:rsidRDefault="00F72283" w:rsidP="00267A00">
            <w:pPr>
              <w:pStyle w:val="Normal1"/>
              <w:contextualSpacing w:val="0"/>
              <w:rPr>
                <w:rFonts w:asciiTheme="majorHAnsi" w:hAnsiTheme="majorHAnsi"/>
              </w:rPr>
            </w:pPr>
            <w:r w:rsidRPr="00206AE1">
              <w:rPr>
                <w:rFonts w:asciiTheme="majorHAnsi" w:hAnsiTheme="majorHAnsi"/>
              </w:rPr>
              <w:t>CZ04</w:t>
            </w:r>
          </w:p>
        </w:tc>
        <w:tc>
          <w:tcPr>
            <w:tcW w:w="1500" w:type="dxa"/>
            <w:shd w:val="clear" w:color="auto" w:fill="FFFFFF" w:themeFill="background1"/>
            <w:tcMar>
              <w:top w:w="40" w:type="dxa"/>
              <w:left w:w="40" w:type="dxa"/>
              <w:bottom w:w="40" w:type="dxa"/>
              <w:right w:w="40" w:type="dxa"/>
            </w:tcMar>
            <w:vAlign w:val="bottom"/>
          </w:tcPr>
          <w:p w14:paraId="22C69664" w14:textId="77777777" w:rsidR="00F72283" w:rsidRPr="00206AE1" w:rsidRDefault="00F72283" w:rsidP="00267A00">
            <w:pPr>
              <w:pStyle w:val="Normal1"/>
              <w:contextualSpacing w:val="0"/>
              <w:rPr>
                <w:rFonts w:asciiTheme="majorHAnsi" w:hAnsiTheme="majorHAnsi"/>
              </w:rPr>
            </w:pPr>
            <w:r w:rsidRPr="00206AE1">
              <w:rPr>
                <w:rFonts w:asciiTheme="majorHAnsi" w:hAnsiTheme="majorHAnsi"/>
              </w:rPr>
              <w:t>10% - 20%</w:t>
            </w:r>
          </w:p>
        </w:tc>
        <w:tc>
          <w:tcPr>
            <w:tcW w:w="1500" w:type="dxa"/>
            <w:shd w:val="clear" w:color="auto" w:fill="FFFFFF" w:themeFill="background1"/>
            <w:tcMar>
              <w:top w:w="40" w:type="dxa"/>
              <w:left w:w="40" w:type="dxa"/>
              <w:bottom w:w="40" w:type="dxa"/>
              <w:right w:w="40" w:type="dxa"/>
            </w:tcMar>
            <w:vAlign w:val="bottom"/>
          </w:tcPr>
          <w:p w14:paraId="37843F90" w14:textId="77777777" w:rsidR="00F72283" w:rsidRPr="00206AE1" w:rsidRDefault="00F72283" w:rsidP="00267A00">
            <w:pPr>
              <w:pStyle w:val="Normal1"/>
              <w:contextualSpacing w:val="0"/>
              <w:rPr>
                <w:rFonts w:asciiTheme="majorHAnsi" w:hAnsiTheme="majorHAnsi"/>
              </w:rPr>
            </w:pPr>
            <w:r w:rsidRPr="00206AE1">
              <w:rPr>
                <w:rFonts w:asciiTheme="majorHAnsi" w:hAnsiTheme="majorHAnsi"/>
              </w:rPr>
              <w:t>10% - 20%</w:t>
            </w:r>
          </w:p>
        </w:tc>
      </w:tr>
      <w:tr w:rsidR="00F72283" w:rsidRPr="00206AE1" w14:paraId="4B0D958B" w14:textId="77777777" w:rsidTr="00206AE1">
        <w:trPr>
          <w:jc w:val="center"/>
        </w:trPr>
        <w:tc>
          <w:tcPr>
            <w:tcW w:w="1500" w:type="dxa"/>
            <w:shd w:val="clear" w:color="auto" w:fill="FFFFFF" w:themeFill="background1"/>
            <w:tcMar>
              <w:top w:w="40" w:type="dxa"/>
              <w:left w:w="40" w:type="dxa"/>
              <w:bottom w:w="40" w:type="dxa"/>
              <w:right w:w="40" w:type="dxa"/>
            </w:tcMar>
            <w:vAlign w:val="bottom"/>
          </w:tcPr>
          <w:p w14:paraId="4C4FA1B4" w14:textId="77777777" w:rsidR="00F72283" w:rsidRPr="00206AE1" w:rsidRDefault="00F72283" w:rsidP="00267A00">
            <w:pPr>
              <w:pStyle w:val="Normal1"/>
              <w:contextualSpacing w:val="0"/>
              <w:rPr>
                <w:rFonts w:asciiTheme="majorHAnsi" w:hAnsiTheme="majorHAnsi"/>
              </w:rPr>
            </w:pPr>
            <w:r w:rsidRPr="00206AE1">
              <w:rPr>
                <w:rFonts w:asciiTheme="majorHAnsi" w:hAnsiTheme="majorHAnsi"/>
              </w:rPr>
              <w:t>CZ05</w:t>
            </w:r>
          </w:p>
        </w:tc>
        <w:tc>
          <w:tcPr>
            <w:tcW w:w="1500" w:type="dxa"/>
            <w:shd w:val="clear" w:color="auto" w:fill="FFFFFF" w:themeFill="background1"/>
            <w:tcMar>
              <w:top w:w="40" w:type="dxa"/>
              <w:left w:w="40" w:type="dxa"/>
              <w:bottom w:w="40" w:type="dxa"/>
              <w:right w:w="40" w:type="dxa"/>
            </w:tcMar>
            <w:vAlign w:val="bottom"/>
          </w:tcPr>
          <w:p w14:paraId="25FB50AE" w14:textId="77777777" w:rsidR="00F72283" w:rsidRPr="00206AE1" w:rsidRDefault="00F72283" w:rsidP="00267A00">
            <w:pPr>
              <w:pStyle w:val="Normal1"/>
              <w:contextualSpacing w:val="0"/>
              <w:rPr>
                <w:rFonts w:asciiTheme="majorHAnsi" w:hAnsiTheme="majorHAnsi"/>
              </w:rPr>
            </w:pPr>
            <w:r w:rsidRPr="00206AE1">
              <w:rPr>
                <w:rFonts w:asciiTheme="majorHAnsi" w:hAnsiTheme="majorHAnsi"/>
              </w:rPr>
              <w:t>Under 1%</w:t>
            </w:r>
          </w:p>
        </w:tc>
        <w:tc>
          <w:tcPr>
            <w:tcW w:w="1500" w:type="dxa"/>
            <w:shd w:val="clear" w:color="auto" w:fill="FFFFFF" w:themeFill="background1"/>
            <w:tcMar>
              <w:top w:w="40" w:type="dxa"/>
              <w:left w:w="40" w:type="dxa"/>
              <w:bottom w:w="40" w:type="dxa"/>
              <w:right w:w="40" w:type="dxa"/>
            </w:tcMar>
            <w:vAlign w:val="bottom"/>
          </w:tcPr>
          <w:p w14:paraId="3552F855" w14:textId="77777777" w:rsidR="00F72283" w:rsidRPr="00206AE1" w:rsidRDefault="00F72283" w:rsidP="00267A00">
            <w:pPr>
              <w:pStyle w:val="Normal1"/>
              <w:contextualSpacing w:val="0"/>
              <w:rPr>
                <w:rFonts w:asciiTheme="majorHAnsi" w:hAnsiTheme="majorHAnsi"/>
              </w:rPr>
            </w:pPr>
            <w:r w:rsidRPr="00206AE1">
              <w:rPr>
                <w:rFonts w:asciiTheme="majorHAnsi" w:hAnsiTheme="majorHAnsi"/>
              </w:rPr>
              <w:t>Under 1%</w:t>
            </w:r>
          </w:p>
        </w:tc>
      </w:tr>
      <w:tr w:rsidR="00F72283" w:rsidRPr="00206AE1" w14:paraId="27B14EF0" w14:textId="77777777" w:rsidTr="00206AE1">
        <w:trPr>
          <w:jc w:val="center"/>
        </w:trPr>
        <w:tc>
          <w:tcPr>
            <w:tcW w:w="1500" w:type="dxa"/>
            <w:shd w:val="clear" w:color="auto" w:fill="FFFFFF" w:themeFill="background1"/>
            <w:tcMar>
              <w:top w:w="40" w:type="dxa"/>
              <w:left w:w="40" w:type="dxa"/>
              <w:bottom w:w="40" w:type="dxa"/>
              <w:right w:w="40" w:type="dxa"/>
            </w:tcMar>
            <w:vAlign w:val="bottom"/>
          </w:tcPr>
          <w:p w14:paraId="632EC5F8" w14:textId="77777777" w:rsidR="00F72283" w:rsidRPr="00206AE1" w:rsidRDefault="00F72283" w:rsidP="00267A00">
            <w:pPr>
              <w:pStyle w:val="Normal1"/>
              <w:contextualSpacing w:val="0"/>
              <w:rPr>
                <w:rFonts w:asciiTheme="majorHAnsi" w:hAnsiTheme="majorHAnsi"/>
              </w:rPr>
            </w:pPr>
            <w:r w:rsidRPr="00206AE1">
              <w:rPr>
                <w:rFonts w:asciiTheme="majorHAnsi" w:hAnsiTheme="majorHAnsi"/>
              </w:rPr>
              <w:t>CZ06</w:t>
            </w:r>
          </w:p>
        </w:tc>
        <w:tc>
          <w:tcPr>
            <w:tcW w:w="1500" w:type="dxa"/>
            <w:shd w:val="clear" w:color="auto" w:fill="FFFFFF" w:themeFill="background1"/>
            <w:tcMar>
              <w:top w:w="40" w:type="dxa"/>
              <w:left w:w="40" w:type="dxa"/>
              <w:bottom w:w="40" w:type="dxa"/>
              <w:right w:w="40" w:type="dxa"/>
            </w:tcMar>
            <w:vAlign w:val="bottom"/>
          </w:tcPr>
          <w:p w14:paraId="146D9815" w14:textId="77777777" w:rsidR="00F72283" w:rsidRPr="00206AE1" w:rsidRDefault="00F72283" w:rsidP="00267A00">
            <w:pPr>
              <w:pStyle w:val="Normal1"/>
              <w:contextualSpacing w:val="0"/>
              <w:rPr>
                <w:rFonts w:asciiTheme="majorHAnsi" w:hAnsiTheme="majorHAnsi"/>
              </w:rPr>
            </w:pPr>
            <w:r w:rsidRPr="00206AE1">
              <w:rPr>
                <w:rFonts w:asciiTheme="majorHAnsi" w:hAnsiTheme="majorHAnsi"/>
              </w:rPr>
              <w:t>1% - 10%</w:t>
            </w:r>
          </w:p>
        </w:tc>
        <w:tc>
          <w:tcPr>
            <w:tcW w:w="1500" w:type="dxa"/>
            <w:shd w:val="clear" w:color="auto" w:fill="FFFFFF" w:themeFill="background1"/>
            <w:tcMar>
              <w:top w:w="40" w:type="dxa"/>
              <w:left w:w="40" w:type="dxa"/>
              <w:bottom w:w="40" w:type="dxa"/>
              <w:right w:w="40" w:type="dxa"/>
            </w:tcMar>
            <w:vAlign w:val="bottom"/>
          </w:tcPr>
          <w:p w14:paraId="4B702110" w14:textId="77777777" w:rsidR="00F72283" w:rsidRPr="00206AE1" w:rsidRDefault="00F72283" w:rsidP="00267A00">
            <w:pPr>
              <w:pStyle w:val="Normal1"/>
              <w:contextualSpacing w:val="0"/>
              <w:rPr>
                <w:rFonts w:asciiTheme="majorHAnsi" w:hAnsiTheme="majorHAnsi"/>
              </w:rPr>
            </w:pPr>
            <w:r w:rsidRPr="00206AE1">
              <w:rPr>
                <w:rFonts w:asciiTheme="majorHAnsi" w:hAnsiTheme="majorHAnsi"/>
              </w:rPr>
              <w:t>1% - 10%</w:t>
            </w:r>
          </w:p>
        </w:tc>
      </w:tr>
      <w:tr w:rsidR="00F72283" w:rsidRPr="00206AE1" w14:paraId="391B4A13" w14:textId="77777777" w:rsidTr="00206AE1">
        <w:trPr>
          <w:jc w:val="center"/>
        </w:trPr>
        <w:tc>
          <w:tcPr>
            <w:tcW w:w="1500" w:type="dxa"/>
            <w:shd w:val="clear" w:color="auto" w:fill="FFFFFF" w:themeFill="background1"/>
            <w:tcMar>
              <w:top w:w="40" w:type="dxa"/>
              <w:left w:w="40" w:type="dxa"/>
              <w:bottom w:w="40" w:type="dxa"/>
              <w:right w:w="40" w:type="dxa"/>
            </w:tcMar>
            <w:vAlign w:val="bottom"/>
          </w:tcPr>
          <w:p w14:paraId="582E04C8" w14:textId="77777777" w:rsidR="00F72283" w:rsidRPr="00206AE1" w:rsidRDefault="00F72283" w:rsidP="00267A00">
            <w:pPr>
              <w:pStyle w:val="Normal1"/>
              <w:contextualSpacing w:val="0"/>
              <w:rPr>
                <w:rFonts w:asciiTheme="majorHAnsi" w:hAnsiTheme="majorHAnsi"/>
              </w:rPr>
            </w:pPr>
            <w:r w:rsidRPr="00206AE1">
              <w:rPr>
                <w:rFonts w:asciiTheme="majorHAnsi" w:hAnsiTheme="majorHAnsi"/>
              </w:rPr>
              <w:lastRenderedPageBreak/>
              <w:t>CZ07</w:t>
            </w:r>
          </w:p>
        </w:tc>
        <w:tc>
          <w:tcPr>
            <w:tcW w:w="1500" w:type="dxa"/>
            <w:shd w:val="clear" w:color="auto" w:fill="FFFFFF" w:themeFill="background1"/>
            <w:tcMar>
              <w:top w:w="40" w:type="dxa"/>
              <w:left w:w="40" w:type="dxa"/>
              <w:bottom w:w="40" w:type="dxa"/>
              <w:right w:w="40" w:type="dxa"/>
            </w:tcMar>
            <w:vAlign w:val="bottom"/>
          </w:tcPr>
          <w:p w14:paraId="787A6450" w14:textId="77777777" w:rsidR="00F72283" w:rsidRPr="00206AE1" w:rsidRDefault="00F72283" w:rsidP="00267A00">
            <w:pPr>
              <w:pStyle w:val="Normal1"/>
              <w:contextualSpacing w:val="0"/>
              <w:rPr>
                <w:rFonts w:asciiTheme="majorHAnsi" w:hAnsiTheme="majorHAnsi"/>
              </w:rPr>
            </w:pPr>
            <w:r w:rsidRPr="00206AE1">
              <w:rPr>
                <w:rFonts w:asciiTheme="majorHAnsi" w:hAnsiTheme="majorHAnsi"/>
              </w:rPr>
              <w:t>1% - 10%</w:t>
            </w:r>
          </w:p>
        </w:tc>
        <w:tc>
          <w:tcPr>
            <w:tcW w:w="1500" w:type="dxa"/>
            <w:shd w:val="clear" w:color="auto" w:fill="FFFFFF" w:themeFill="background1"/>
            <w:tcMar>
              <w:top w:w="40" w:type="dxa"/>
              <w:left w:w="40" w:type="dxa"/>
              <w:bottom w:w="40" w:type="dxa"/>
              <w:right w:w="40" w:type="dxa"/>
            </w:tcMar>
            <w:vAlign w:val="bottom"/>
          </w:tcPr>
          <w:p w14:paraId="0A675457" w14:textId="77777777" w:rsidR="00F72283" w:rsidRPr="00206AE1" w:rsidRDefault="00F72283" w:rsidP="00267A00">
            <w:pPr>
              <w:pStyle w:val="Normal1"/>
              <w:contextualSpacing w:val="0"/>
              <w:rPr>
                <w:rFonts w:asciiTheme="majorHAnsi" w:hAnsiTheme="majorHAnsi"/>
              </w:rPr>
            </w:pPr>
            <w:r w:rsidRPr="00206AE1">
              <w:rPr>
                <w:rFonts w:asciiTheme="majorHAnsi" w:hAnsiTheme="majorHAnsi"/>
              </w:rPr>
              <w:t>1% - 10%</w:t>
            </w:r>
          </w:p>
        </w:tc>
      </w:tr>
      <w:tr w:rsidR="00F72283" w:rsidRPr="00206AE1" w14:paraId="7748D81E" w14:textId="77777777" w:rsidTr="00206AE1">
        <w:trPr>
          <w:jc w:val="center"/>
        </w:trPr>
        <w:tc>
          <w:tcPr>
            <w:tcW w:w="1500" w:type="dxa"/>
            <w:shd w:val="clear" w:color="auto" w:fill="FFFFFF" w:themeFill="background1"/>
            <w:tcMar>
              <w:top w:w="40" w:type="dxa"/>
              <w:left w:w="40" w:type="dxa"/>
              <w:bottom w:w="40" w:type="dxa"/>
              <w:right w:w="40" w:type="dxa"/>
            </w:tcMar>
            <w:vAlign w:val="bottom"/>
          </w:tcPr>
          <w:p w14:paraId="66F584C8" w14:textId="77777777" w:rsidR="00F72283" w:rsidRPr="00206AE1" w:rsidRDefault="00F72283" w:rsidP="00267A00">
            <w:pPr>
              <w:pStyle w:val="Normal1"/>
              <w:contextualSpacing w:val="0"/>
              <w:rPr>
                <w:rFonts w:asciiTheme="majorHAnsi" w:hAnsiTheme="majorHAnsi"/>
              </w:rPr>
            </w:pPr>
            <w:r w:rsidRPr="00206AE1">
              <w:rPr>
                <w:rFonts w:asciiTheme="majorHAnsi" w:hAnsiTheme="majorHAnsi"/>
              </w:rPr>
              <w:t>CZ08</w:t>
            </w:r>
          </w:p>
        </w:tc>
        <w:tc>
          <w:tcPr>
            <w:tcW w:w="1500" w:type="dxa"/>
            <w:shd w:val="clear" w:color="auto" w:fill="FFFFFF" w:themeFill="background1"/>
            <w:tcMar>
              <w:top w:w="40" w:type="dxa"/>
              <w:left w:w="40" w:type="dxa"/>
              <w:bottom w:w="40" w:type="dxa"/>
              <w:right w:w="40" w:type="dxa"/>
            </w:tcMar>
            <w:vAlign w:val="bottom"/>
          </w:tcPr>
          <w:p w14:paraId="73F3CA3D" w14:textId="77777777" w:rsidR="00F72283" w:rsidRPr="00206AE1" w:rsidRDefault="00F72283" w:rsidP="00267A00">
            <w:pPr>
              <w:pStyle w:val="Normal1"/>
              <w:contextualSpacing w:val="0"/>
              <w:rPr>
                <w:rFonts w:asciiTheme="majorHAnsi" w:hAnsiTheme="majorHAnsi"/>
              </w:rPr>
            </w:pPr>
            <w:r w:rsidRPr="00206AE1">
              <w:rPr>
                <w:rFonts w:asciiTheme="majorHAnsi" w:hAnsiTheme="majorHAnsi"/>
              </w:rPr>
              <w:t>1% - 10%</w:t>
            </w:r>
          </w:p>
        </w:tc>
        <w:tc>
          <w:tcPr>
            <w:tcW w:w="1500" w:type="dxa"/>
            <w:shd w:val="clear" w:color="auto" w:fill="FFFFFF" w:themeFill="background1"/>
            <w:tcMar>
              <w:top w:w="40" w:type="dxa"/>
              <w:left w:w="40" w:type="dxa"/>
              <w:bottom w:w="40" w:type="dxa"/>
              <w:right w:w="40" w:type="dxa"/>
            </w:tcMar>
            <w:vAlign w:val="bottom"/>
          </w:tcPr>
          <w:p w14:paraId="6AA28157" w14:textId="77777777" w:rsidR="00F72283" w:rsidRPr="00206AE1" w:rsidRDefault="00F72283" w:rsidP="00267A00">
            <w:pPr>
              <w:pStyle w:val="Normal1"/>
              <w:contextualSpacing w:val="0"/>
              <w:rPr>
                <w:rFonts w:asciiTheme="majorHAnsi" w:hAnsiTheme="majorHAnsi"/>
              </w:rPr>
            </w:pPr>
            <w:r w:rsidRPr="00206AE1">
              <w:rPr>
                <w:rFonts w:asciiTheme="majorHAnsi" w:hAnsiTheme="majorHAnsi"/>
              </w:rPr>
              <w:t>1% - 10%</w:t>
            </w:r>
          </w:p>
        </w:tc>
      </w:tr>
      <w:tr w:rsidR="00F72283" w:rsidRPr="00206AE1" w14:paraId="4A7DF627" w14:textId="77777777" w:rsidTr="00206AE1">
        <w:trPr>
          <w:jc w:val="center"/>
        </w:trPr>
        <w:tc>
          <w:tcPr>
            <w:tcW w:w="1500" w:type="dxa"/>
            <w:shd w:val="clear" w:color="auto" w:fill="FFFFFF" w:themeFill="background1"/>
            <w:tcMar>
              <w:top w:w="40" w:type="dxa"/>
              <w:left w:w="40" w:type="dxa"/>
              <w:bottom w:w="40" w:type="dxa"/>
              <w:right w:w="40" w:type="dxa"/>
            </w:tcMar>
            <w:vAlign w:val="bottom"/>
          </w:tcPr>
          <w:p w14:paraId="4097FE38" w14:textId="77777777" w:rsidR="00F72283" w:rsidRPr="00206AE1" w:rsidRDefault="00F72283" w:rsidP="00267A00">
            <w:pPr>
              <w:pStyle w:val="Normal1"/>
              <w:contextualSpacing w:val="0"/>
              <w:rPr>
                <w:rFonts w:asciiTheme="majorHAnsi" w:hAnsiTheme="majorHAnsi"/>
              </w:rPr>
            </w:pPr>
            <w:r w:rsidRPr="00206AE1">
              <w:rPr>
                <w:rFonts w:asciiTheme="majorHAnsi" w:hAnsiTheme="majorHAnsi"/>
              </w:rPr>
              <w:t>CZ09</w:t>
            </w:r>
          </w:p>
        </w:tc>
        <w:tc>
          <w:tcPr>
            <w:tcW w:w="1500" w:type="dxa"/>
            <w:shd w:val="clear" w:color="auto" w:fill="FFFFFF" w:themeFill="background1"/>
            <w:tcMar>
              <w:top w:w="40" w:type="dxa"/>
              <w:left w:w="40" w:type="dxa"/>
              <w:bottom w:w="40" w:type="dxa"/>
              <w:right w:w="40" w:type="dxa"/>
            </w:tcMar>
            <w:vAlign w:val="bottom"/>
          </w:tcPr>
          <w:p w14:paraId="220085FC" w14:textId="77777777" w:rsidR="00F72283" w:rsidRPr="00206AE1" w:rsidRDefault="00F72283" w:rsidP="00267A00">
            <w:pPr>
              <w:pStyle w:val="Normal1"/>
              <w:contextualSpacing w:val="0"/>
              <w:rPr>
                <w:rFonts w:asciiTheme="majorHAnsi" w:hAnsiTheme="majorHAnsi"/>
              </w:rPr>
            </w:pPr>
            <w:r w:rsidRPr="00206AE1">
              <w:rPr>
                <w:rFonts w:asciiTheme="majorHAnsi" w:hAnsiTheme="majorHAnsi"/>
              </w:rPr>
              <w:t>10% - 20%</w:t>
            </w:r>
          </w:p>
        </w:tc>
        <w:tc>
          <w:tcPr>
            <w:tcW w:w="1500" w:type="dxa"/>
            <w:shd w:val="clear" w:color="auto" w:fill="FFFFFF" w:themeFill="background1"/>
            <w:tcMar>
              <w:top w:w="40" w:type="dxa"/>
              <w:left w:w="40" w:type="dxa"/>
              <w:bottom w:w="40" w:type="dxa"/>
              <w:right w:w="40" w:type="dxa"/>
            </w:tcMar>
            <w:vAlign w:val="bottom"/>
          </w:tcPr>
          <w:p w14:paraId="0920CDA5" w14:textId="77777777" w:rsidR="00F72283" w:rsidRPr="00206AE1" w:rsidRDefault="00F72283" w:rsidP="00267A00">
            <w:pPr>
              <w:pStyle w:val="Normal1"/>
              <w:contextualSpacing w:val="0"/>
              <w:rPr>
                <w:rFonts w:asciiTheme="majorHAnsi" w:hAnsiTheme="majorHAnsi"/>
              </w:rPr>
            </w:pPr>
            <w:r w:rsidRPr="00206AE1">
              <w:rPr>
                <w:rFonts w:asciiTheme="majorHAnsi" w:hAnsiTheme="majorHAnsi"/>
              </w:rPr>
              <w:t>Over 20%</w:t>
            </w:r>
          </w:p>
        </w:tc>
      </w:tr>
      <w:tr w:rsidR="00F72283" w:rsidRPr="00206AE1" w14:paraId="13A3248C" w14:textId="77777777" w:rsidTr="00206AE1">
        <w:trPr>
          <w:jc w:val="center"/>
        </w:trPr>
        <w:tc>
          <w:tcPr>
            <w:tcW w:w="1500" w:type="dxa"/>
            <w:shd w:val="clear" w:color="auto" w:fill="FFFFFF" w:themeFill="background1"/>
            <w:tcMar>
              <w:top w:w="40" w:type="dxa"/>
              <w:left w:w="40" w:type="dxa"/>
              <w:bottom w:w="40" w:type="dxa"/>
              <w:right w:w="40" w:type="dxa"/>
            </w:tcMar>
            <w:vAlign w:val="bottom"/>
          </w:tcPr>
          <w:p w14:paraId="5D590D62" w14:textId="77777777" w:rsidR="00F72283" w:rsidRPr="00206AE1" w:rsidRDefault="00F72283" w:rsidP="00267A00">
            <w:pPr>
              <w:pStyle w:val="Normal1"/>
              <w:contextualSpacing w:val="0"/>
              <w:rPr>
                <w:rFonts w:asciiTheme="majorHAnsi" w:hAnsiTheme="majorHAnsi"/>
              </w:rPr>
            </w:pPr>
            <w:r w:rsidRPr="00206AE1">
              <w:rPr>
                <w:rFonts w:asciiTheme="majorHAnsi" w:hAnsiTheme="majorHAnsi"/>
              </w:rPr>
              <w:t>CZ10</w:t>
            </w:r>
          </w:p>
        </w:tc>
        <w:tc>
          <w:tcPr>
            <w:tcW w:w="1500" w:type="dxa"/>
            <w:shd w:val="clear" w:color="auto" w:fill="FFFFFF" w:themeFill="background1"/>
            <w:tcMar>
              <w:top w:w="40" w:type="dxa"/>
              <w:left w:w="40" w:type="dxa"/>
              <w:bottom w:w="40" w:type="dxa"/>
              <w:right w:w="40" w:type="dxa"/>
            </w:tcMar>
            <w:vAlign w:val="bottom"/>
          </w:tcPr>
          <w:p w14:paraId="3C6352ED" w14:textId="77777777" w:rsidR="00F72283" w:rsidRPr="00206AE1" w:rsidRDefault="00F72283" w:rsidP="00267A00">
            <w:pPr>
              <w:pStyle w:val="Normal1"/>
              <w:contextualSpacing w:val="0"/>
              <w:rPr>
                <w:rFonts w:asciiTheme="majorHAnsi" w:hAnsiTheme="majorHAnsi"/>
              </w:rPr>
            </w:pPr>
            <w:r w:rsidRPr="00206AE1">
              <w:rPr>
                <w:rFonts w:asciiTheme="majorHAnsi" w:hAnsiTheme="majorHAnsi"/>
              </w:rPr>
              <w:t>1% - 10%</w:t>
            </w:r>
          </w:p>
        </w:tc>
        <w:tc>
          <w:tcPr>
            <w:tcW w:w="1500" w:type="dxa"/>
            <w:shd w:val="clear" w:color="auto" w:fill="FFFFFF" w:themeFill="background1"/>
            <w:tcMar>
              <w:top w:w="40" w:type="dxa"/>
              <w:left w:w="40" w:type="dxa"/>
              <w:bottom w:w="40" w:type="dxa"/>
              <w:right w:w="40" w:type="dxa"/>
            </w:tcMar>
            <w:vAlign w:val="bottom"/>
          </w:tcPr>
          <w:p w14:paraId="49711E45" w14:textId="77777777" w:rsidR="00F72283" w:rsidRPr="00206AE1" w:rsidRDefault="00F72283" w:rsidP="00267A00">
            <w:pPr>
              <w:pStyle w:val="Normal1"/>
              <w:contextualSpacing w:val="0"/>
              <w:rPr>
                <w:rFonts w:asciiTheme="majorHAnsi" w:hAnsiTheme="majorHAnsi"/>
              </w:rPr>
            </w:pPr>
            <w:r w:rsidRPr="00206AE1">
              <w:rPr>
                <w:rFonts w:asciiTheme="majorHAnsi" w:hAnsiTheme="majorHAnsi"/>
              </w:rPr>
              <w:t>1% - 10%</w:t>
            </w:r>
          </w:p>
        </w:tc>
      </w:tr>
      <w:tr w:rsidR="00F72283" w:rsidRPr="00206AE1" w14:paraId="0E0D5723" w14:textId="77777777" w:rsidTr="00206AE1">
        <w:trPr>
          <w:jc w:val="center"/>
        </w:trPr>
        <w:tc>
          <w:tcPr>
            <w:tcW w:w="1500" w:type="dxa"/>
            <w:shd w:val="clear" w:color="auto" w:fill="FFFFFF" w:themeFill="background1"/>
            <w:tcMar>
              <w:top w:w="40" w:type="dxa"/>
              <w:left w:w="40" w:type="dxa"/>
              <w:bottom w:w="40" w:type="dxa"/>
              <w:right w:w="40" w:type="dxa"/>
            </w:tcMar>
            <w:vAlign w:val="bottom"/>
          </w:tcPr>
          <w:p w14:paraId="74BDBC6A" w14:textId="77777777" w:rsidR="00F72283" w:rsidRPr="00206AE1" w:rsidRDefault="00F72283" w:rsidP="00267A00">
            <w:pPr>
              <w:pStyle w:val="Normal1"/>
              <w:contextualSpacing w:val="0"/>
              <w:rPr>
                <w:rFonts w:asciiTheme="majorHAnsi" w:hAnsiTheme="majorHAnsi"/>
              </w:rPr>
            </w:pPr>
            <w:r w:rsidRPr="00206AE1">
              <w:rPr>
                <w:rFonts w:asciiTheme="majorHAnsi" w:hAnsiTheme="majorHAnsi"/>
              </w:rPr>
              <w:t>CZ11</w:t>
            </w:r>
          </w:p>
        </w:tc>
        <w:tc>
          <w:tcPr>
            <w:tcW w:w="1500" w:type="dxa"/>
            <w:shd w:val="clear" w:color="auto" w:fill="FFFFFF" w:themeFill="background1"/>
            <w:tcMar>
              <w:top w:w="40" w:type="dxa"/>
              <w:left w:w="40" w:type="dxa"/>
              <w:bottom w:w="40" w:type="dxa"/>
              <w:right w:w="40" w:type="dxa"/>
            </w:tcMar>
            <w:vAlign w:val="bottom"/>
          </w:tcPr>
          <w:p w14:paraId="2DF21922" w14:textId="77777777" w:rsidR="00F72283" w:rsidRPr="00206AE1" w:rsidRDefault="00F72283" w:rsidP="00267A00">
            <w:pPr>
              <w:pStyle w:val="Normal1"/>
              <w:contextualSpacing w:val="0"/>
              <w:rPr>
                <w:rFonts w:asciiTheme="majorHAnsi" w:hAnsiTheme="majorHAnsi"/>
              </w:rPr>
            </w:pPr>
            <w:r w:rsidRPr="00206AE1">
              <w:rPr>
                <w:rFonts w:asciiTheme="majorHAnsi" w:hAnsiTheme="majorHAnsi"/>
              </w:rPr>
              <w:t>1% - 10%</w:t>
            </w:r>
          </w:p>
        </w:tc>
        <w:tc>
          <w:tcPr>
            <w:tcW w:w="1500" w:type="dxa"/>
            <w:shd w:val="clear" w:color="auto" w:fill="FFFFFF" w:themeFill="background1"/>
            <w:tcMar>
              <w:top w:w="40" w:type="dxa"/>
              <w:left w:w="40" w:type="dxa"/>
              <w:bottom w:w="40" w:type="dxa"/>
              <w:right w:w="40" w:type="dxa"/>
            </w:tcMar>
            <w:vAlign w:val="bottom"/>
          </w:tcPr>
          <w:p w14:paraId="3BBAF31C" w14:textId="77777777" w:rsidR="00F72283" w:rsidRPr="00206AE1" w:rsidRDefault="00F72283" w:rsidP="00267A00">
            <w:pPr>
              <w:pStyle w:val="Normal1"/>
              <w:contextualSpacing w:val="0"/>
              <w:rPr>
                <w:rFonts w:asciiTheme="majorHAnsi" w:hAnsiTheme="majorHAnsi"/>
              </w:rPr>
            </w:pPr>
            <w:r w:rsidRPr="00206AE1">
              <w:rPr>
                <w:rFonts w:asciiTheme="majorHAnsi" w:hAnsiTheme="majorHAnsi"/>
              </w:rPr>
              <w:t>1% - 10%</w:t>
            </w:r>
          </w:p>
        </w:tc>
      </w:tr>
      <w:tr w:rsidR="00F72283" w:rsidRPr="00206AE1" w14:paraId="0C098E72" w14:textId="77777777" w:rsidTr="00206AE1">
        <w:trPr>
          <w:jc w:val="center"/>
        </w:trPr>
        <w:tc>
          <w:tcPr>
            <w:tcW w:w="1500" w:type="dxa"/>
            <w:shd w:val="clear" w:color="auto" w:fill="FFFFFF" w:themeFill="background1"/>
            <w:tcMar>
              <w:top w:w="40" w:type="dxa"/>
              <w:left w:w="40" w:type="dxa"/>
              <w:bottom w:w="40" w:type="dxa"/>
              <w:right w:w="40" w:type="dxa"/>
            </w:tcMar>
            <w:vAlign w:val="bottom"/>
          </w:tcPr>
          <w:p w14:paraId="30D484A6" w14:textId="77777777" w:rsidR="00F72283" w:rsidRPr="00206AE1" w:rsidRDefault="00F72283" w:rsidP="00267A00">
            <w:pPr>
              <w:pStyle w:val="Normal1"/>
              <w:contextualSpacing w:val="0"/>
              <w:rPr>
                <w:rFonts w:asciiTheme="majorHAnsi" w:hAnsiTheme="majorHAnsi"/>
              </w:rPr>
            </w:pPr>
            <w:r w:rsidRPr="00206AE1">
              <w:rPr>
                <w:rFonts w:asciiTheme="majorHAnsi" w:hAnsiTheme="majorHAnsi"/>
              </w:rPr>
              <w:t>CZ12</w:t>
            </w:r>
          </w:p>
        </w:tc>
        <w:tc>
          <w:tcPr>
            <w:tcW w:w="1500" w:type="dxa"/>
            <w:shd w:val="clear" w:color="auto" w:fill="FFFFFF" w:themeFill="background1"/>
            <w:tcMar>
              <w:top w:w="40" w:type="dxa"/>
              <w:left w:w="40" w:type="dxa"/>
              <w:bottom w:w="40" w:type="dxa"/>
              <w:right w:w="40" w:type="dxa"/>
            </w:tcMar>
            <w:vAlign w:val="bottom"/>
          </w:tcPr>
          <w:p w14:paraId="63F1B137" w14:textId="77777777" w:rsidR="00F72283" w:rsidRPr="00206AE1" w:rsidRDefault="00F72283" w:rsidP="00267A00">
            <w:pPr>
              <w:pStyle w:val="Normal1"/>
              <w:contextualSpacing w:val="0"/>
              <w:rPr>
                <w:rFonts w:asciiTheme="majorHAnsi" w:hAnsiTheme="majorHAnsi"/>
              </w:rPr>
            </w:pPr>
            <w:r w:rsidRPr="00206AE1">
              <w:rPr>
                <w:rFonts w:asciiTheme="majorHAnsi" w:hAnsiTheme="majorHAnsi"/>
              </w:rPr>
              <w:t>10% - 20%</w:t>
            </w:r>
          </w:p>
        </w:tc>
        <w:tc>
          <w:tcPr>
            <w:tcW w:w="1500" w:type="dxa"/>
            <w:shd w:val="clear" w:color="auto" w:fill="FFFFFF" w:themeFill="background1"/>
            <w:tcMar>
              <w:top w:w="40" w:type="dxa"/>
              <w:left w:w="40" w:type="dxa"/>
              <w:bottom w:w="40" w:type="dxa"/>
              <w:right w:w="40" w:type="dxa"/>
            </w:tcMar>
            <w:vAlign w:val="bottom"/>
          </w:tcPr>
          <w:p w14:paraId="4A286DD0" w14:textId="77777777" w:rsidR="00F72283" w:rsidRPr="00206AE1" w:rsidRDefault="00F72283" w:rsidP="00267A00">
            <w:pPr>
              <w:pStyle w:val="Normal1"/>
              <w:contextualSpacing w:val="0"/>
              <w:rPr>
                <w:rFonts w:asciiTheme="majorHAnsi" w:hAnsiTheme="majorHAnsi"/>
              </w:rPr>
            </w:pPr>
            <w:r w:rsidRPr="00206AE1">
              <w:rPr>
                <w:rFonts w:asciiTheme="majorHAnsi" w:hAnsiTheme="majorHAnsi"/>
              </w:rPr>
              <w:t>10% - 20%</w:t>
            </w:r>
          </w:p>
        </w:tc>
      </w:tr>
      <w:tr w:rsidR="00F72283" w:rsidRPr="00206AE1" w14:paraId="7776E030" w14:textId="77777777" w:rsidTr="00206AE1">
        <w:trPr>
          <w:jc w:val="center"/>
        </w:trPr>
        <w:tc>
          <w:tcPr>
            <w:tcW w:w="1500" w:type="dxa"/>
            <w:shd w:val="clear" w:color="auto" w:fill="FFFFFF" w:themeFill="background1"/>
            <w:tcMar>
              <w:top w:w="40" w:type="dxa"/>
              <w:left w:w="40" w:type="dxa"/>
              <w:bottom w:w="40" w:type="dxa"/>
              <w:right w:w="40" w:type="dxa"/>
            </w:tcMar>
            <w:vAlign w:val="bottom"/>
          </w:tcPr>
          <w:p w14:paraId="65AA62A2" w14:textId="77777777" w:rsidR="00F72283" w:rsidRPr="00206AE1" w:rsidRDefault="00F72283" w:rsidP="00267A00">
            <w:pPr>
              <w:pStyle w:val="Normal1"/>
              <w:contextualSpacing w:val="0"/>
              <w:rPr>
                <w:rFonts w:asciiTheme="majorHAnsi" w:hAnsiTheme="majorHAnsi"/>
              </w:rPr>
            </w:pPr>
            <w:r w:rsidRPr="00206AE1">
              <w:rPr>
                <w:rFonts w:asciiTheme="majorHAnsi" w:hAnsiTheme="majorHAnsi"/>
              </w:rPr>
              <w:t>CZ13</w:t>
            </w:r>
          </w:p>
        </w:tc>
        <w:tc>
          <w:tcPr>
            <w:tcW w:w="1500" w:type="dxa"/>
            <w:shd w:val="clear" w:color="auto" w:fill="FFFFFF" w:themeFill="background1"/>
            <w:tcMar>
              <w:top w:w="40" w:type="dxa"/>
              <w:left w:w="40" w:type="dxa"/>
              <w:bottom w:w="40" w:type="dxa"/>
              <w:right w:w="40" w:type="dxa"/>
            </w:tcMar>
            <w:vAlign w:val="bottom"/>
          </w:tcPr>
          <w:p w14:paraId="5496DC08" w14:textId="77777777" w:rsidR="00F72283" w:rsidRPr="00206AE1" w:rsidRDefault="00F72283" w:rsidP="00267A00">
            <w:pPr>
              <w:pStyle w:val="Normal1"/>
              <w:contextualSpacing w:val="0"/>
              <w:rPr>
                <w:rFonts w:asciiTheme="majorHAnsi" w:hAnsiTheme="majorHAnsi"/>
              </w:rPr>
            </w:pPr>
            <w:r w:rsidRPr="00206AE1">
              <w:rPr>
                <w:rFonts w:asciiTheme="majorHAnsi" w:hAnsiTheme="majorHAnsi"/>
              </w:rPr>
              <w:t>1% - 10%</w:t>
            </w:r>
          </w:p>
        </w:tc>
        <w:tc>
          <w:tcPr>
            <w:tcW w:w="1500" w:type="dxa"/>
            <w:shd w:val="clear" w:color="auto" w:fill="FFFFFF" w:themeFill="background1"/>
            <w:tcMar>
              <w:top w:w="40" w:type="dxa"/>
              <w:left w:w="40" w:type="dxa"/>
              <w:bottom w:w="40" w:type="dxa"/>
              <w:right w:w="40" w:type="dxa"/>
            </w:tcMar>
            <w:vAlign w:val="bottom"/>
          </w:tcPr>
          <w:p w14:paraId="3A84106C" w14:textId="77777777" w:rsidR="00F72283" w:rsidRPr="00206AE1" w:rsidRDefault="00F72283" w:rsidP="00267A00">
            <w:pPr>
              <w:pStyle w:val="Normal1"/>
              <w:contextualSpacing w:val="0"/>
              <w:rPr>
                <w:rFonts w:asciiTheme="majorHAnsi" w:hAnsiTheme="majorHAnsi"/>
              </w:rPr>
            </w:pPr>
            <w:r w:rsidRPr="00206AE1">
              <w:rPr>
                <w:rFonts w:asciiTheme="majorHAnsi" w:hAnsiTheme="majorHAnsi"/>
              </w:rPr>
              <w:t>1% - 10%</w:t>
            </w:r>
          </w:p>
        </w:tc>
      </w:tr>
      <w:tr w:rsidR="00F72283" w:rsidRPr="00206AE1" w14:paraId="51888227" w14:textId="77777777" w:rsidTr="00206AE1">
        <w:trPr>
          <w:jc w:val="center"/>
        </w:trPr>
        <w:tc>
          <w:tcPr>
            <w:tcW w:w="1500" w:type="dxa"/>
            <w:shd w:val="clear" w:color="auto" w:fill="FFFFFF" w:themeFill="background1"/>
            <w:tcMar>
              <w:top w:w="40" w:type="dxa"/>
              <w:left w:w="40" w:type="dxa"/>
              <w:bottom w:w="40" w:type="dxa"/>
              <w:right w:w="40" w:type="dxa"/>
            </w:tcMar>
            <w:vAlign w:val="bottom"/>
          </w:tcPr>
          <w:p w14:paraId="2683934A" w14:textId="77777777" w:rsidR="00F72283" w:rsidRPr="00206AE1" w:rsidRDefault="00F72283" w:rsidP="00267A00">
            <w:pPr>
              <w:pStyle w:val="Normal1"/>
              <w:contextualSpacing w:val="0"/>
              <w:rPr>
                <w:rFonts w:asciiTheme="majorHAnsi" w:hAnsiTheme="majorHAnsi"/>
              </w:rPr>
            </w:pPr>
            <w:r w:rsidRPr="00206AE1">
              <w:rPr>
                <w:rFonts w:asciiTheme="majorHAnsi" w:hAnsiTheme="majorHAnsi"/>
              </w:rPr>
              <w:t>CZ14</w:t>
            </w:r>
          </w:p>
        </w:tc>
        <w:tc>
          <w:tcPr>
            <w:tcW w:w="1500" w:type="dxa"/>
            <w:shd w:val="clear" w:color="auto" w:fill="FFFFFF" w:themeFill="background1"/>
            <w:tcMar>
              <w:top w:w="40" w:type="dxa"/>
              <w:left w:w="40" w:type="dxa"/>
              <w:bottom w:w="40" w:type="dxa"/>
              <w:right w:w="40" w:type="dxa"/>
            </w:tcMar>
            <w:vAlign w:val="bottom"/>
          </w:tcPr>
          <w:p w14:paraId="20B64F7B" w14:textId="77777777" w:rsidR="00F72283" w:rsidRPr="00206AE1" w:rsidRDefault="00F72283" w:rsidP="00267A00">
            <w:pPr>
              <w:pStyle w:val="Normal1"/>
              <w:contextualSpacing w:val="0"/>
              <w:rPr>
                <w:rFonts w:asciiTheme="majorHAnsi" w:hAnsiTheme="majorHAnsi"/>
              </w:rPr>
            </w:pPr>
            <w:r w:rsidRPr="00206AE1">
              <w:rPr>
                <w:rFonts w:asciiTheme="majorHAnsi" w:hAnsiTheme="majorHAnsi"/>
              </w:rPr>
              <w:t>Under 1%</w:t>
            </w:r>
          </w:p>
        </w:tc>
        <w:tc>
          <w:tcPr>
            <w:tcW w:w="1500" w:type="dxa"/>
            <w:shd w:val="clear" w:color="auto" w:fill="FFFFFF" w:themeFill="background1"/>
            <w:tcMar>
              <w:top w:w="40" w:type="dxa"/>
              <w:left w:w="40" w:type="dxa"/>
              <w:bottom w:w="40" w:type="dxa"/>
              <w:right w:w="40" w:type="dxa"/>
            </w:tcMar>
            <w:vAlign w:val="bottom"/>
          </w:tcPr>
          <w:p w14:paraId="0D13F41C" w14:textId="77777777" w:rsidR="00F72283" w:rsidRPr="00206AE1" w:rsidRDefault="00F72283" w:rsidP="00267A00">
            <w:pPr>
              <w:pStyle w:val="Normal1"/>
              <w:contextualSpacing w:val="0"/>
              <w:rPr>
                <w:rFonts w:asciiTheme="majorHAnsi" w:hAnsiTheme="majorHAnsi"/>
              </w:rPr>
            </w:pPr>
            <w:r w:rsidRPr="00206AE1">
              <w:rPr>
                <w:rFonts w:asciiTheme="majorHAnsi" w:hAnsiTheme="majorHAnsi"/>
              </w:rPr>
              <w:t>Under 1%</w:t>
            </w:r>
          </w:p>
        </w:tc>
      </w:tr>
      <w:tr w:rsidR="00F72283" w:rsidRPr="00206AE1" w14:paraId="211D3832" w14:textId="77777777" w:rsidTr="00206AE1">
        <w:trPr>
          <w:jc w:val="center"/>
        </w:trPr>
        <w:tc>
          <w:tcPr>
            <w:tcW w:w="1500" w:type="dxa"/>
            <w:shd w:val="clear" w:color="auto" w:fill="FFFFFF" w:themeFill="background1"/>
            <w:tcMar>
              <w:top w:w="40" w:type="dxa"/>
              <w:left w:w="40" w:type="dxa"/>
              <w:bottom w:w="40" w:type="dxa"/>
              <w:right w:w="40" w:type="dxa"/>
            </w:tcMar>
            <w:vAlign w:val="bottom"/>
          </w:tcPr>
          <w:p w14:paraId="7CF603E8" w14:textId="77777777" w:rsidR="00F72283" w:rsidRPr="00206AE1" w:rsidRDefault="00F72283" w:rsidP="00267A00">
            <w:pPr>
              <w:pStyle w:val="Normal1"/>
              <w:contextualSpacing w:val="0"/>
              <w:rPr>
                <w:rFonts w:asciiTheme="majorHAnsi" w:hAnsiTheme="majorHAnsi"/>
              </w:rPr>
            </w:pPr>
            <w:r w:rsidRPr="00206AE1">
              <w:rPr>
                <w:rFonts w:asciiTheme="majorHAnsi" w:hAnsiTheme="majorHAnsi"/>
              </w:rPr>
              <w:t>CZ15</w:t>
            </w:r>
          </w:p>
        </w:tc>
        <w:tc>
          <w:tcPr>
            <w:tcW w:w="1500" w:type="dxa"/>
            <w:shd w:val="clear" w:color="auto" w:fill="FFFFFF" w:themeFill="background1"/>
            <w:tcMar>
              <w:top w:w="40" w:type="dxa"/>
              <w:left w:w="40" w:type="dxa"/>
              <w:bottom w:w="40" w:type="dxa"/>
              <w:right w:w="40" w:type="dxa"/>
            </w:tcMar>
            <w:vAlign w:val="bottom"/>
          </w:tcPr>
          <w:p w14:paraId="0500D126" w14:textId="77777777" w:rsidR="00F72283" w:rsidRPr="00206AE1" w:rsidRDefault="00F72283" w:rsidP="00267A00">
            <w:pPr>
              <w:pStyle w:val="Normal1"/>
              <w:contextualSpacing w:val="0"/>
              <w:rPr>
                <w:rFonts w:asciiTheme="majorHAnsi" w:hAnsiTheme="majorHAnsi"/>
              </w:rPr>
            </w:pPr>
            <w:r w:rsidRPr="00206AE1">
              <w:rPr>
                <w:rFonts w:asciiTheme="majorHAnsi" w:hAnsiTheme="majorHAnsi"/>
              </w:rPr>
              <w:t>1% - 10%</w:t>
            </w:r>
          </w:p>
        </w:tc>
        <w:tc>
          <w:tcPr>
            <w:tcW w:w="1500" w:type="dxa"/>
            <w:shd w:val="clear" w:color="auto" w:fill="FFFFFF" w:themeFill="background1"/>
            <w:tcMar>
              <w:top w:w="40" w:type="dxa"/>
              <w:left w:w="40" w:type="dxa"/>
              <w:bottom w:w="40" w:type="dxa"/>
              <w:right w:w="40" w:type="dxa"/>
            </w:tcMar>
            <w:vAlign w:val="bottom"/>
          </w:tcPr>
          <w:p w14:paraId="0B6447A5" w14:textId="77777777" w:rsidR="00F72283" w:rsidRPr="00206AE1" w:rsidRDefault="00F72283" w:rsidP="00267A00">
            <w:pPr>
              <w:pStyle w:val="Normal1"/>
              <w:contextualSpacing w:val="0"/>
              <w:rPr>
                <w:rFonts w:asciiTheme="majorHAnsi" w:hAnsiTheme="majorHAnsi"/>
              </w:rPr>
            </w:pPr>
            <w:r w:rsidRPr="00206AE1">
              <w:rPr>
                <w:rFonts w:asciiTheme="majorHAnsi" w:hAnsiTheme="majorHAnsi"/>
              </w:rPr>
              <w:t>1% - 10%</w:t>
            </w:r>
          </w:p>
        </w:tc>
      </w:tr>
      <w:tr w:rsidR="00F72283" w:rsidRPr="00206AE1" w14:paraId="21E5A4B1" w14:textId="77777777" w:rsidTr="00206AE1">
        <w:trPr>
          <w:jc w:val="center"/>
        </w:trPr>
        <w:tc>
          <w:tcPr>
            <w:tcW w:w="1500" w:type="dxa"/>
            <w:shd w:val="clear" w:color="auto" w:fill="FFFFFF" w:themeFill="background1"/>
            <w:tcMar>
              <w:top w:w="40" w:type="dxa"/>
              <w:left w:w="40" w:type="dxa"/>
              <w:bottom w:w="40" w:type="dxa"/>
              <w:right w:w="40" w:type="dxa"/>
            </w:tcMar>
            <w:vAlign w:val="bottom"/>
          </w:tcPr>
          <w:p w14:paraId="790192EE" w14:textId="77777777" w:rsidR="00F72283" w:rsidRPr="00206AE1" w:rsidRDefault="00F72283" w:rsidP="00267A00">
            <w:pPr>
              <w:pStyle w:val="Normal1"/>
              <w:contextualSpacing w:val="0"/>
              <w:rPr>
                <w:rFonts w:asciiTheme="majorHAnsi" w:hAnsiTheme="majorHAnsi"/>
              </w:rPr>
            </w:pPr>
            <w:r w:rsidRPr="00206AE1">
              <w:rPr>
                <w:rFonts w:asciiTheme="majorHAnsi" w:hAnsiTheme="majorHAnsi"/>
              </w:rPr>
              <w:t>CZ16</w:t>
            </w:r>
          </w:p>
        </w:tc>
        <w:tc>
          <w:tcPr>
            <w:tcW w:w="1500" w:type="dxa"/>
            <w:shd w:val="clear" w:color="auto" w:fill="FFFFFF" w:themeFill="background1"/>
            <w:tcMar>
              <w:top w:w="40" w:type="dxa"/>
              <w:left w:w="40" w:type="dxa"/>
              <w:bottom w:w="40" w:type="dxa"/>
              <w:right w:w="40" w:type="dxa"/>
            </w:tcMar>
            <w:vAlign w:val="bottom"/>
          </w:tcPr>
          <w:p w14:paraId="4C6E9A37" w14:textId="77777777" w:rsidR="00F72283" w:rsidRPr="00206AE1" w:rsidRDefault="00F72283" w:rsidP="00267A00">
            <w:pPr>
              <w:pStyle w:val="Normal1"/>
              <w:contextualSpacing w:val="0"/>
              <w:rPr>
                <w:rFonts w:asciiTheme="majorHAnsi" w:hAnsiTheme="majorHAnsi"/>
              </w:rPr>
            </w:pPr>
            <w:r w:rsidRPr="00206AE1">
              <w:rPr>
                <w:rFonts w:asciiTheme="majorHAnsi" w:hAnsiTheme="majorHAnsi"/>
              </w:rPr>
              <w:t>1% - 10%</w:t>
            </w:r>
          </w:p>
        </w:tc>
        <w:tc>
          <w:tcPr>
            <w:tcW w:w="1500" w:type="dxa"/>
            <w:shd w:val="clear" w:color="auto" w:fill="FFFFFF" w:themeFill="background1"/>
            <w:tcMar>
              <w:top w:w="40" w:type="dxa"/>
              <w:left w:w="40" w:type="dxa"/>
              <w:bottom w:w="40" w:type="dxa"/>
              <w:right w:w="40" w:type="dxa"/>
            </w:tcMar>
            <w:vAlign w:val="bottom"/>
          </w:tcPr>
          <w:p w14:paraId="4A1EFD3B" w14:textId="77777777" w:rsidR="00F72283" w:rsidRPr="00206AE1" w:rsidRDefault="00F72283" w:rsidP="00267A00">
            <w:pPr>
              <w:pStyle w:val="Normal1"/>
              <w:contextualSpacing w:val="0"/>
              <w:rPr>
                <w:rFonts w:asciiTheme="majorHAnsi" w:hAnsiTheme="majorHAnsi"/>
              </w:rPr>
            </w:pPr>
            <w:r w:rsidRPr="00206AE1">
              <w:rPr>
                <w:rFonts w:asciiTheme="majorHAnsi" w:hAnsiTheme="majorHAnsi"/>
              </w:rPr>
              <w:t>Under 1%</w:t>
            </w:r>
          </w:p>
        </w:tc>
      </w:tr>
    </w:tbl>
    <w:p w14:paraId="01EBCF21" w14:textId="77777777" w:rsidR="00F72283" w:rsidRDefault="00F72283" w:rsidP="00F72283">
      <w:pPr>
        <w:pStyle w:val="Normal1"/>
        <w:spacing w:line="276" w:lineRule="auto"/>
      </w:pPr>
    </w:p>
    <w:p w14:paraId="1A517B28" w14:textId="6121CD98" w:rsidR="00F72283" w:rsidRDefault="00F72283" w:rsidP="00F72283">
      <w:pPr>
        <w:pStyle w:val="Normal1"/>
        <w:spacing w:line="276" w:lineRule="auto"/>
      </w:pPr>
      <w:r w:rsidRPr="00CE666B">
        <w:rPr>
          <w:color w:val="auto"/>
        </w:rPr>
        <w:t xml:space="preserve">On average, the homes within California that were utilized to support this study have 1.29 thermostats and the breakout is broken down in the table below. </w:t>
      </w:r>
    </w:p>
    <w:p w14:paraId="42EE7324" w14:textId="77777777" w:rsidR="00F72283" w:rsidRDefault="00F72283" w:rsidP="00F72283">
      <w:pPr>
        <w:pStyle w:val="Normal1"/>
        <w:spacing w:line="276" w:lineRule="auto"/>
      </w:pPr>
    </w:p>
    <w:tbl>
      <w:tblPr>
        <w:tblW w:w="0" w:type="auto"/>
        <w:jc w:val="center"/>
        <w:tblBorders>
          <w:top w:val="single" w:sz="6" w:space="0" w:color="CCCCCC"/>
          <w:left w:val="single" w:sz="6" w:space="0" w:color="CCCCCC"/>
          <w:bottom w:val="single" w:sz="6" w:space="0" w:color="CCCCCC"/>
          <w:right w:val="single" w:sz="6" w:space="0" w:color="CCCCCC"/>
        </w:tblBorders>
        <w:shd w:val="clear" w:color="auto" w:fill="D9D9D9" w:themeFill="background1" w:themeFillShade="D9"/>
        <w:tblCellMar>
          <w:left w:w="0" w:type="dxa"/>
          <w:right w:w="0" w:type="dxa"/>
        </w:tblCellMar>
        <w:tblLook w:val="04A0" w:firstRow="1" w:lastRow="0" w:firstColumn="1" w:lastColumn="0" w:noHBand="0" w:noVBand="1"/>
      </w:tblPr>
      <w:tblGrid>
        <w:gridCol w:w="755"/>
        <w:gridCol w:w="986"/>
        <w:gridCol w:w="836"/>
      </w:tblGrid>
      <w:tr w:rsidR="00F72283" w:rsidRPr="00206AE1" w14:paraId="4344E6A1" w14:textId="77777777" w:rsidTr="00206AE1">
        <w:trPr>
          <w:trHeight w:val="315"/>
          <w:jc w:val="center"/>
        </w:trPr>
        <w:tc>
          <w:tcPr>
            <w:tcW w:w="0" w:type="auto"/>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30" w:type="dxa"/>
              <w:left w:w="45" w:type="dxa"/>
              <w:bottom w:w="30" w:type="dxa"/>
              <w:right w:w="45" w:type="dxa"/>
            </w:tcMar>
            <w:vAlign w:val="bottom"/>
            <w:hideMark/>
          </w:tcPr>
          <w:p w14:paraId="50C3FC1A" w14:textId="77777777" w:rsidR="00F72283" w:rsidRPr="00206AE1" w:rsidRDefault="00F72283" w:rsidP="00206AE1">
            <w:pPr>
              <w:pStyle w:val="Normal1"/>
              <w:contextualSpacing/>
              <w:jc w:val="center"/>
              <w:rPr>
                <w:rFonts w:asciiTheme="majorHAnsi" w:hAnsiTheme="majorHAnsi"/>
                <w:b/>
                <w:sz w:val="20"/>
                <w:szCs w:val="20"/>
              </w:rPr>
            </w:pPr>
            <w:r w:rsidRPr="00206AE1">
              <w:rPr>
                <w:rFonts w:asciiTheme="majorHAnsi" w:hAnsiTheme="majorHAnsi"/>
                <w:b/>
                <w:sz w:val="20"/>
                <w:szCs w:val="20"/>
              </w:rPr>
              <w:t xml:space="preserve">CZ </w:t>
            </w:r>
          </w:p>
        </w:tc>
        <w:tc>
          <w:tcPr>
            <w:tcW w:w="0" w:type="auto"/>
            <w:tcBorders>
              <w:top w:val="single" w:sz="6" w:space="0" w:color="000000"/>
              <w:left w:val="single" w:sz="6" w:space="0" w:color="CCCCCC"/>
              <w:bottom w:val="single" w:sz="6" w:space="0" w:color="000000"/>
              <w:right w:val="single" w:sz="6" w:space="0" w:color="000000"/>
            </w:tcBorders>
            <w:shd w:val="clear" w:color="auto" w:fill="D9D9D9" w:themeFill="background1" w:themeFillShade="D9"/>
            <w:tcMar>
              <w:top w:w="30" w:type="dxa"/>
              <w:left w:w="45" w:type="dxa"/>
              <w:bottom w:w="30" w:type="dxa"/>
              <w:right w:w="45" w:type="dxa"/>
            </w:tcMar>
            <w:vAlign w:val="bottom"/>
            <w:hideMark/>
          </w:tcPr>
          <w:p w14:paraId="09AB4AFD" w14:textId="77777777" w:rsidR="00F72283" w:rsidRPr="00206AE1" w:rsidRDefault="00F72283" w:rsidP="00206AE1">
            <w:pPr>
              <w:pStyle w:val="Normal1"/>
              <w:contextualSpacing/>
              <w:jc w:val="center"/>
              <w:rPr>
                <w:rFonts w:asciiTheme="majorHAnsi" w:hAnsiTheme="majorHAnsi"/>
                <w:b/>
                <w:sz w:val="20"/>
                <w:szCs w:val="20"/>
              </w:rPr>
            </w:pPr>
            <w:r w:rsidRPr="00206AE1">
              <w:rPr>
                <w:rFonts w:asciiTheme="majorHAnsi" w:hAnsiTheme="majorHAnsi"/>
                <w:b/>
                <w:sz w:val="20"/>
                <w:szCs w:val="20"/>
              </w:rPr>
              <w:t>Area (</w:t>
            </w:r>
            <w:proofErr w:type="spellStart"/>
            <w:r w:rsidRPr="00206AE1">
              <w:rPr>
                <w:rFonts w:asciiTheme="majorHAnsi" w:hAnsiTheme="majorHAnsi"/>
                <w:b/>
                <w:sz w:val="20"/>
                <w:szCs w:val="20"/>
              </w:rPr>
              <w:t>Sqft</w:t>
            </w:r>
            <w:proofErr w:type="spellEnd"/>
            <w:r w:rsidRPr="00206AE1">
              <w:rPr>
                <w:rFonts w:asciiTheme="majorHAnsi" w:hAnsiTheme="majorHAnsi"/>
                <w:b/>
                <w:sz w:val="20"/>
                <w:szCs w:val="20"/>
              </w:rPr>
              <w:t>)</w:t>
            </w:r>
          </w:p>
        </w:tc>
        <w:tc>
          <w:tcPr>
            <w:tcW w:w="836" w:type="dxa"/>
            <w:tcBorders>
              <w:top w:val="single" w:sz="6" w:space="0" w:color="000000"/>
              <w:left w:val="single" w:sz="6" w:space="0" w:color="CCCCCC"/>
              <w:bottom w:val="single" w:sz="6" w:space="0" w:color="000000"/>
              <w:right w:val="single" w:sz="6" w:space="0" w:color="000000"/>
            </w:tcBorders>
            <w:shd w:val="clear" w:color="auto" w:fill="D9D9D9" w:themeFill="background1" w:themeFillShade="D9"/>
            <w:tcMar>
              <w:top w:w="30" w:type="dxa"/>
              <w:left w:w="45" w:type="dxa"/>
              <w:bottom w:w="30" w:type="dxa"/>
              <w:right w:w="45" w:type="dxa"/>
            </w:tcMar>
            <w:vAlign w:val="bottom"/>
            <w:hideMark/>
          </w:tcPr>
          <w:p w14:paraId="0B6881B6" w14:textId="77777777" w:rsidR="00F72283" w:rsidRPr="00206AE1" w:rsidRDefault="00F72283" w:rsidP="00206AE1">
            <w:pPr>
              <w:pStyle w:val="Normal1"/>
              <w:contextualSpacing/>
              <w:jc w:val="center"/>
              <w:rPr>
                <w:rFonts w:asciiTheme="majorHAnsi" w:hAnsiTheme="majorHAnsi"/>
                <w:b/>
                <w:sz w:val="20"/>
                <w:szCs w:val="20"/>
              </w:rPr>
            </w:pPr>
            <w:proofErr w:type="spellStart"/>
            <w:r w:rsidRPr="00206AE1">
              <w:rPr>
                <w:rFonts w:asciiTheme="majorHAnsi" w:hAnsiTheme="majorHAnsi"/>
                <w:b/>
                <w:sz w:val="20"/>
                <w:szCs w:val="20"/>
              </w:rPr>
              <w:t>Tstats</w:t>
            </w:r>
            <w:proofErr w:type="spellEnd"/>
          </w:p>
        </w:tc>
      </w:tr>
      <w:tr w:rsidR="00F72283" w:rsidRPr="00206AE1" w14:paraId="2752B1C2" w14:textId="77777777" w:rsidTr="00206AE1">
        <w:trPr>
          <w:trHeight w:val="315"/>
          <w:jc w:val="center"/>
        </w:trPr>
        <w:tc>
          <w:tcPr>
            <w:tcW w:w="0" w:type="auto"/>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vAlign w:val="bottom"/>
            <w:hideMark/>
          </w:tcPr>
          <w:p w14:paraId="45507B37" w14:textId="77777777" w:rsidR="00F72283" w:rsidRPr="00206AE1" w:rsidRDefault="00F72283" w:rsidP="00267A00">
            <w:pPr>
              <w:jc w:val="right"/>
              <w:rPr>
                <w:rFonts w:asciiTheme="majorHAnsi" w:eastAsia="Times New Roman" w:hAnsiTheme="majorHAnsi" w:cs="Arial"/>
                <w:color w:val="auto"/>
                <w:sz w:val="20"/>
                <w:szCs w:val="20"/>
              </w:rPr>
            </w:pPr>
            <w:r w:rsidRPr="00206AE1">
              <w:rPr>
                <w:rFonts w:asciiTheme="majorHAnsi" w:eastAsia="Times New Roman" w:hAnsiTheme="majorHAnsi" w:cs="Arial"/>
                <w:color w:val="auto"/>
                <w:sz w:val="20"/>
                <w:szCs w:val="20"/>
              </w:rPr>
              <w:t>1</w:t>
            </w:r>
          </w:p>
        </w:tc>
        <w:tc>
          <w:tcPr>
            <w:tcW w:w="0" w:type="auto"/>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vAlign w:val="bottom"/>
            <w:hideMark/>
          </w:tcPr>
          <w:p w14:paraId="3B93C6D2" w14:textId="77777777" w:rsidR="00F72283" w:rsidRPr="00206AE1" w:rsidRDefault="00F72283" w:rsidP="00267A00">
            <w:pPr>
              <w:jc w:val="right"/>
              <w:rPr>
                <w:rFonts w:asciiTheme="majorHAnsi" w:eastAsia="Times New Roman" w:hAnsiTheme="majorHAnsi" w:cs="Arial"/>
                <w:sz w:val="20"/>
                <w:szCs w:val="20"/>
              </w:rPr>
            </w:pPr>
            <w:r w:rsidRPr="00206AE1">
              <w:rPr>
                <w:rFonts w:asciiTheme="majorHAnsi" w:eastAsia="Times New Roman" w:hAnsiTheme="majorHAnsi" w:cs="Arial"/>
                <w:sz w:val="20"/>
                <w:szCs w:val="20"/>
              </w:rPr>
              <w:t>2059</w:t>
            </w:r>
          </w:p>
        </w:tc>
        <w:tc>
          <w:tcPr>
            <w:tcW w:w="836"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vAlign w:val="bottom"/>
            <w:hideMark/>
          </w:tcPr>
          <w:p w14:paraId="2F3F37F6" w14:textId="77777777" w:rsidR="00F72283" w:rsidRPr="00206AE1" w:rsidRDefault="00F72283" w:rsidP="00267A00">
            <w:pPr>
              <w:jc w:val="right"/>
              <w:rPr>
                <w:rFonts w:asciiTheme="majorHAnsi" w:eastAsia="Times New Roman" w:hAnsiTheme="majorHAnsi" w:cs="Arial"/>
                <w:sz w:val="20"/>
                <w:szCs w:val="20"/>
              </w:rPr>
            </w:pPr>
            <w:r w:rsidRPr="00206AE1">
              <w:rPr>
                <w:rFonts w:asciiTheme="majorHAnsi" w:eastAsia="Times New Roman" w:hAnsiTheme="majorHAnsi" w:cs="Arial"/>
                <w:sz w:val="20"/>
                <w:szCs w:val="20"/>
              </w:rPr>
              <w:t>1.39</w:t>
            </w:r>
          </w:p>
        </w:tc>
      </w:tr>
      <w:tr w:rsidR="00F72283" w:rsidRPr="00206AE1" w14:paraId="31E612C1" w14:textId="77777777" w:rsidTr="00206AE1">
        <w:trPr>
          <w:trHeight w:val="315"/>
          <w:jc w:val="center"/>
        </w:trPr>
        <w:tc>
          <w:tcPr>
            <w:tcW w:w="0" w:type="auto"/>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vAlign w:val="bottom"/>
            <w:hideMark/>
          </w:tcPr>
          <w:p w14:paraId="2A7A2DB4" w14:textId="77777777" w:rsidR="00F72283" w:rsidRPr="00206AE1" w:rsidRDefault="00F72283" w:rsidP="00267A00">
            <w:pPr>
              <w:jc w:val="right"/>
              <w:rPr>
                <w:rFonts w:asciiTheme="majorHAnsi" w:eastAsia="Times New Roman" w:hAnsiTheme="majorHAnsi" w:cs="Arial"/>
                <w:color w:val="auto"/>
                <w:sz w:val="20"/>
                <w:szCs w:val="20"/>
              </w:rPr>
            </w:pPr>
            <w:r w:rsidRPr="00206AE1">
              <w:rPr>
                <w:rFonts w:asciiTheme="majorHAnsi" w:eastAsia="Times New Roman" w:hAnsiTheme="majorHAnsi" w:cs="Arial"/>
                <w:color w:val="auto"/>
                <w:sz w:val="20"/>
                <w:szCs w:val="20"/>
              </w:rPr>
              <w:t>2</w:t>
            </w:r>
          </w:p>
        </w:tc>
        <w:tc>
          <w:tcPr>
            <w:tcW w:w="0" w:type="auto"/>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vAlign w:val="bottom"/>
            <w:hideMark/>
          </w:tcPr>
          <w:p w14:paraId="2C381E25" w14:textId="77777777" w:rsidR="00F72283" w:rsidRPr="00206AE1" w:rsidRDefault="00F72283" w:rsidP="00267A00">
            <w:pPr>
              <w:jc w:val="right"/>
              <w:rPr>
                <w:rFonts w:asciiTheme="majorHAnsi" w:eastAsia="Times New Roman" w:hAnsiTheme="majorHAnsi" w:cs="Arial"/>
                <w:sz w:val="20"/>
                <w:szCs w:val="20"/>
              </w:rPr>
            </w:pPr>
            <w:r w:rsidRPr="00206AE1">
              <w:rPr>
                <w:rFonts w:asciiTheme="majorHAnsi" w:eastAsia="Times New Roman" w:hAnsiTheme="majorHAnsi" w:cs="Arial"/>
                <w:sz w:val="20"/>
                <w:szCs w:val="20"/>
              </w:rPr>
              <w:t>2177</w:t>
            </w:r>
          </w:p>
        </w:tc>
        <w:tc>
          <w:tcPr>
            <w:tcW w:w="836"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vAlign w:val="bottom"/>
            <w:hideMark/>
          </w:tcPr>
          <w:p w14:paraId="7FE93D6A" w14:textId="77777777" w:rsidR="00F72283" w:rsidRPr="00206AE1" w:rsidRDefault="00F72283" w:rsidP="00267A00">
            <w:pPr>
              <w:jc w:val="right"/>
              <w:rPr>
                <w:rFonts w:asciiTheme="majorHAnsi" w:eastAsia="Times New Roman" w:hAnsiTheme="majorHAnsi" w:cs="Arial"/>
                <w:sz w:val="20"/>
                <w:szCs w:val="20"/>
              </w:rPr>
            </w:pPr>
            <w:r w:rsidRPr="00206AE1">
              <w:rPr>
                <w:rFonts w:asciiTheme="majorHAnsi" w:eastAsia="Times New Roman" w:hAnsiTheme="majorHAnsi" w:cs="Arial"/>
                <w:sz w:val="20"/>
                <w:szCs w:val="20"/>
              </w:rPr>
              <w:t>1.28</w:t>
            </w:r>
          </w:p>
        </w:tc>
      </w:tr>
      <w:tr w:rsidR="00F72283" w:rsidRPr="00206AE1" w14:paraId="3FF57D2C" w14:textId="77777777" w:rsidTr="00206AE1">
        <w:trPr>
          <w:trHeight w:val="315"/>
          <w:jc w:val="center"/>
        </w:trPr>
        <w:tc>
          <w:tcPr>
            <w:tcW w:w="0" w:type="auto"/>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vAlign w:val="bottom"/>
            <w:hideMark/>
          </w:tcPr>
          <w:p w14:paraId="626A4AB5" w14:textId="77777777" w:rsidR="00F72283" w:rsidRPr="00206AE1" w:rsidRDefault="00F72283" w:rsidP="00267A00">
            <w:pPr>
              <w:jc w:val="right"/>
              <w:rPr>
                <w:rFonts w:asciiTheme="majorHAnsi" w:eastAsia="Times New Roman" w:hAnsiTheme="majorHAnsi" w:cs="Arial"/>
                <w:color w:val="auto"/>
                <w:sz w:val="20"/>
                <w:szCs w:val="20"/>
              </w:rPr>
            </w:pPr>
            <w:r w:rsidRPr="00206AE1">
              <w:rPr>
                <w:rFonts w:asciiTheme="majorHAnsi" w:eastAsia="Times New Roman" w:hAnsiTheme="majorHAnsi" w:cs="Arial"/>
                <w:color w:val="auto"/>
                <w:sz w:val="20"/>
                <w:szCs w:val="20"/>
              </w:rPr>
              <w:t>3</w:t>
            </w:r>
          </w:p>
        </w:tc>
        <w:tc>
          <w:tcPr>
            <w:tcW w:w="0" w:type="auto"/>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vAlign w:val="bottom"/>
            <w:hideMark/>
          </w:tcPr>
          <w:p w14:paraId="22C0DE5E" w14:textId="77777777" w:rsidR="00F72283" w:rsidRPr="00206AE1" w:rsidRDefault="00F72283" w:rsidP="00267A00">
            <w:pPr>
              <w:jc w:val="right"/>
              <w:rPr>
                <w:rFonts w:asciiTheme="majorHAnsi" w:eastAsia="Times New Roman" w:hAnsiTheme="majorHAnsi" w:cs="Arial"/>
                <w:sz w:val="20"/>
                <w:szCs w:val="20"/>
              </w:rPr>
            </w:pPr>
            <w:r w:rsidRPr="00206AE1">
              <w:rPr>
                <w:rFonts w:asciiTheme="majorHAnsi" w:eastAsia="Times New Roman" w:hAnsiTheme="majorHAnsi" w:cs="Arial"/>
                <w:sz w:val="20"/>
                <w:szCs w:val="20"/>
              </w:rPr>
              <w:t>2106</w:t>
            </w:r>
          </w:p>
        </w:tc>
        <w:tc>
          <w:tcPr>
            <w:tcW w:w="836"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vAlign w:val="bottom"/>
            <w:hideMark/>
          </w:tcPr>
          <w:p w14:paraId="5C1F831B" w14:textId="77777777" w:rsidR="00F72283" w:rsidRPr="00206AE1" w:rsidRDefault="00F72283" w:rsidP="00267A00">
            <w:pPr>
              <w:jc w:val="right"/>
              <w:rPr>
                <w:rFonts w:asciiTheme="majorHAnsi" w:eastAsia="Times New Roman" w:hAnsiTheme="majorHAnsi" w:cs="Arial"/>
                <w:sz w:val="20"/>
                <w:szCs w:val="20"/>
              </w:rPr>
            </w:pPr>
            <w:r w:rsidRPr="00206AE1">
              <w:rPr>
                <w:rFonts w:asciiTheme="majorHAnsi" w:eastAsia="Times New Roman" w:hAnsiTheme="majorHAnsi" w:cs="Arial"/>
                <w:sz w:val="20"/>
                <w:szCs w:val="20"/>
              </w:rPr>
              <w:t>1.3</w:t>
            </w:r>
          </w:p>
        </w:tc>
      </w:tr>
      <w:tr w:rsidR="00F72283" w:rsidRPr="00206AE1" w14:paraId="430BBFCE" w14:textId="77777777" w:rsidTr="00206AE1">
        <w:trPr>
          <w:trHeight w:val="315"/>
          <w:jc w:val="center"/>
        </w:trPr>
        <w:tc>
          <w:tcPr>
            <w:tcW w:w="0" w:type="auto"/>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vAlign w:val="bottom"/>
            <w:hideMark/>
          </w:tcPr>
          <w:p w14:paraId="47CFDD12" w14:textId="77777777" w:rsidR="00F72283" w:rsidRPr="00206AE1" w:rsidRDefault="00F72283" w:rsidP="00267A00">
            <w:pPr>
              <w:jc w:val="right"/>
              <w:rPr>
                <w:rFonts w:asciiTheme="majorHAnsi" w:eastAsia="Times New Roman" w:hAnsiTheme="majorHAnsi" w:cs="Arial"/>
                <w:color w:val="auto"/>
                <w:sz w:val="20"/>
                <w:szCs w:val="20"/>
              </w:rPr>
            </w:pPr>
            <w:r w:rsidRPr="00206AE1">
              <w:rPr>
                <w:rFonts w:asciiTheme="majorHAnsi" w:eastAsia="Times New Roman" w:hAnsiTheme="majorHAnsi" w:cs="Arial"/>
                <w:color w:val="auto"/>
                <w:sz w:val="20"/>
                <w:szCs w:val="20"/>
              </w:rPr>
              <w:t>4</w:t>
            </w:r>
          </w:p>
        </w:tc>
        <w:tc>
          <w:tcPr>
            <w:tcW w:w="0" w:type="auto"/>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vAlign w:val="bottom"/>
            <w:hideMark/>
          </w:tcPr>
          <w:p w14:paraId="0C60DE73" w14:textId="77777777" w:rsidR="00F72283" w:rsidRPr="00206AE1" w:rsidRDefault="00F72283" w:rsidP="00267A00">
            <w:pPr>
              <w:jc w:val="right"/>
              <w:rPr>
                <w:rFonts w:asciiTheme="majorHAnsi" w:eastAsia="Times New Roman" w:hAnsiTheme="majorHAnsi" w:cs="Arial"/>
                <w:sz w:val="20"/>
                <w:szCs w:val="20"/>
              </w:rPr>
            </w:pPr>
            <w:r w:rsidRPr="00206AE1">
              <w:rPr>
                <w:rFonts w:asciiTheme="majorHAnsi" w:eastAsia="Times New Roman" w:hAnsiTheme="majorHAnsi" w:cs="Arial"/>
                <w:sz w:val="20"/>
                <w:szCs w:val="20"/>
              </w:rPr>
              <w:t>2090</w:t>
            </w:r>
          </w:p>
        </w:tc>
        <w:tc>
          <w:tcPr>
            <w:tcW w:w="836"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vAlign w:val="bottom"/>
            <w:hideMark/>
          </w:tcPr>
          <w:p w14:paraId="7B428C42" w14:textId="77777777" w:rsidR="00F72283" w:rsidRPr="00206AE1" w:rsidRDefault="00F72283" w:rsidP="00267A00">
            <w:pPr>
              <w:jc w:val="right"/>
              <w:rPr>
                <w:rFonts w:asciiTheme="majorHAnsi" w:eastAsia="Times New Roman" w:hAnsiTheme="majorHAnsi" w:cs="Arial"/>
                <w:sz w:val="20"/>
                <w:szCs w:val="20"/>
              </w:rPr>
            </w:pPr>
            <w:r w:rsidRPr="00206AE1">
              <w:rPr>
                <w:rFonts w:asciiTheme="majorHAnsi" w:eastAsia="Times New Roman" w:hAnsiTheme="majorHAnsi" w:cs="Arial"/>
                <w:sz w:val="20"/>
                <w:szCs w:val="20"/>
              </w:rPr>
              <w:t>1.23</w:t>
            </w:r>
          </w:p>
        </w:tc>
      </w:tr>
      <w:tr w:rsidR="00F72283" w:rsidRPr="00206AE1" w14:paraId="697321D0" w14:textId="77777777" w:rsidTr="00206AE1">
        <w:trPr>
          <w:trHeight w:val="315"/>
          <w:jc w:val="center"/>
        </w:trPr>
        <w:tc>
          <w:tcPr>
            <w:tcW w:w="0" w:type="auto"/>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vAlign w:val="bottom"/>
            <w:hideMark/>
          </w:tcPr>
          <w:p w14:paraId="34CA172E" w14:textId="77777777" w:rsidR="00F72283" w:rsidRPr="00206AE1" w:rsidRDefault="00F72283" w:rsidP="00267A00">
            <w:pPr>
              <w:jc w:val="right"/>
              <w:rPr>
                <w:rFonts w:asciiTheme="majorHAnsi" w:eastAsia="Times New Roman" w:hAnsiTheme="majorHAnsi" w:cs="Arial"/>
                <w:color w:val="auto"/>
                <w:sz w:val="20"/>
                <w:szCs w:val="20"/>
              </w:rPr>
            </w:pPr>
            <w:r w:rsidRPr="00206AE1">
              <w:rPr>
                <w:rFonts w:asciiTheme="majorHAnsi" w:eastAsia="Times New Roman" w:hAnsiTheme="majorHAnsi" w:cs="Arial"/>
                <w:color w:val="auto"/>
                <w:sz w:val="20"/>
                <w:szCs w:val="20"/>
              </w:rPr>
              <w:t>5</w:t>
            </w:r>
          </w:p>
        </w:tc>
        <w:tc>
          <w:tcPr>
            <w:tcW w:w="0" w:type="auto"/>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vAlign w:val="bottom"/>
            <w:hideMark/>
          </w:tcPr>
          <w:p w14:paraId="47E81547" w14:textId="77777777" w:rsidR="00F72283" w:rsidRPr="00206AE1" w:rsidRDefault="00F72283" w:rsidP="00267A00">
            <w:pPr>
              <w:jc w:val="right"/>
              <w:rPr>
                <w:rFonts w:asciiTheme="majorHAnsi" w:eastAsia="Times New Roman" w:hAnsiTheme="majorHAnsi" w:cs="Arial"/>
                <w:sz w:val="20"/>
                <w:szCs w:val="20"/>
              </w:rPr>
            </w:pPr>
            <w:r w:rsidRPr="00206AE1">
              <w:rPr>
                <w:rFonts w:asciiTheme="majorHAnsi" w:eastAsia="Times New Roman" w:hAnsiTheme="majorHAnsi" w:cs="Arial"/>
                <w:sz w:val="20"/>
                <w:szCs w:val="20"/>
              </w:rPr>
              <w:t>2116</w:t>
            </w:r>
          </w:p>
        </w:tc>
        <w:tc>
          <w:tcPr>
            <w:tcW w:w="836"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vAlign w:val="bottom"/>
            <w:hideMark/>
          </w:tcPr>
          <w:p w14:paraId="2D852F44" w14:textId="77777777" w:rsidR="00F72283" w:rsidRPr="00206AE1" w:rsidRDefault="00F72283" w:rsidP="00267A00">
            <w:pPr>
              <w:jc w:val="right"/>
              <w:rPr>
                <w:rFonts w:asciiTheme="majorHAnsi" w:eastAsia="Times New Roman" w:hAnsiTheme="majorHAnsi" w:cs="Arial"/>
                <w:sz w:val="20"/>
                <w:szCs w:val="20"/>
              </w:rPr>
            </w:pPr>
            <w:r w:rsidRPr="00206AE1">
              <w:rPr>
                <w:rFonts w:asciiTheme="majorHAnsi" w:eastAsia="Times New Roman" w:hAnsiTheme="majorHAnsi" w:cs="Arial"/>
                <w:sz w:val="20"/>
                <w:szCs w:val="20"/>
              </w:rPr>
              <w:t>1.22</w:t>
            </w:r>
          </w:p>
        </w:tc>
      </w:tr>
      <w:tr w:rsidR="00F72283" w:rsidRPr="00206AE1" w14:paraId="00E259D4" w14:textId="77777777" w:rsidTr="00206AE1">
        <w:trPr>
          <w:trHeight w:val="315"/>
          <w:jc w:val="center"/>
        </w:trPr>
        <w:tc>
          <w:tcPr>
            <w:tcW w:w="0" w:type="auto"/>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vAlign w:val="bottom"/>
            <w:hideMark/>
          </w:tcPr>
          <w:p w14:paraId="00E507CD" w14:textId="77777777" w:rsidR="00F72283" w:rsidRPr="00206AE1" w:rsidRDefault="00F72283" w:rsidP="00267A00">
            <w:pPr>
              <w:jc w:val="right"/>
              <w:rPr>
                <w:rFonts w:asciiTheme="majorHAnsi" w:eastAsia="Times New Roman" w:hAnsiTheme="majorHAnsi" w:cs="Arial"/>
                <w:color w:val="auto"/>
                <w:sz w:val="20"/>
                <w:szCs w:val="20"/>
              </w:rPr>
            </w:pPr>
            <w:r w:rsidRPr="00206AE1">
              <w:rPr>
                <w:rFonts w:asciiTheme="majorHAnsi" w:eastAsia="Times New Roman" w:hAnsiTheme="majorHAnsi" w:cs="Arial"/>
                <w:color w:val="auto"/>
                <w:sz w:val="20"/>
                <w:szCs w:val="20"/>
              </w:rPr>
              <w:t>6</w:t>
            </w:r>
          </w:p>
        </w:tc>
        <w:tc>
          <w:tcPr>
            <w:tcW w:w="0" w:type="auto"/>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vAlign w:val="bottom"/>
            <w:hideMark/>
          </w:tcPr>
          <w:p w14:paraId="6D68F1C7" w14:textId="77777777" w:rsidR="00F72283" w:rsidRPr="00206AE1" w:rsidRDefault="00F72283" w:rsidP="00267A00">
            <w:pPr>
              <w:jc w:val="right"/>
              <w:rPr>
                <w:rFonts w:asciiTheme="majorHAnsi" w:eastAsia="Times New Roman" w:hAnsiTheme="majorHAnsi" w:cs="Arial"/>
                <w:sz w:val="20"/>
                <w:szCs w:val="20"/>
              </w:rPr>
            </w:pPr>
            <w:r w:rsidRPr="00206AE1">
              <w:rPr>
                <w:rFonts w:asciiTheme="majorHAnsi" w:eastAsia="Times New Roman" w:hAnsiTheme="majorHAnsi" w:cs="Arial"/>
                <w:sz w:val="20"/>
                <w:szCs w:val="20"/>
              </w:rPr>
              <w:t>2320</w:t>
            </w:r>
          </w:p>
        </w:tc>
        <w:tc>
          <w:tcPr>
            <w:tcW w:w="836"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vAlign w:val="bottom"/>
            <w:hideMark/>
          </w:tcPr>
          <w:p w14:paraId="6E1042DF" w14:textId="77777777" w:rsidR="00F72283" w:rsidRPr="00206AE1" w:rsidRDefault="00F72283" w:rsidP="00267A00">
            <w:pPr>
              <w:jc w:val="right"/>
              <w:rPr>
                <w:rFonts w:asciiTheme="majorHAnsi" w:eastAsia="Times New Roman" w:hAnsiTheme="majorHAnsi" w:cs="Arial"/>
                <w:sz w:val="20"/>
                <w:szCs w:val="20"/>
              </w:rPr>
            </w:pPr>
            <w:r w:rsidRPr="00206AE1">
              <w:rPr>
                <w:rFonts w:asciiTheme="majorHAnsi" w:eastAsia="Times New Roman" w:hAnsiTheme="majorHAnsi" w:cs="Arial"/>
                <w:sz w:val="20"/>
                <w:szCs w:val="20"/>
              </w:rPr>
              <w:t>1.34</w:t>
            </w:r>
          </w:p>
        </w:tc>
      </w:tr>
      <w:tr w:rsidR="00F72283" w:rsidRPr="00206AE1" w14:paraId="6FC78FE5" w14:textId="77777777" w:rsidTr="00206AE1">
        <w:trPr>
          <w:trHeight w:val="315"/>
          <w:jc w:val="center"/>
        </w:trPr>
        <w:tc>
          <w:tcPr>
            <w:tcW w:w="0" w:type="auto"/>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vAlign w:val="bottom"/>
            <w:hideMark/>
          </w:tcPr>
          <w:p w14:paraId="069CD463" w14:textId="77777777" w:rsidR="00F72283" w:rsidRPr="00206AE1" w:rsidRDefault="00F72283" w:rsidP="00267A00">
            <w:pPr>
              <w:jc w:val="right"/>
              <w:rPr>
                <w:rFonts w:asciiTheme="majorHAnsi" w:eastAsia="Times New Roman" w:hAnsiTheme="majorHAnsi" w:cs="Arial"/>
                <w:color w:val="auto"/>
                <w:sz w:val="20"/>
                <w:szCs w:val="20"/>
              </w:rPr>
            </w:pPr>
            <w:r w:rsidRPr="00206AE1">
              <w:rPr>
                <w:rFonts w:asciiTheme="majorHAnsi" w:eastAsia="Times New Roman" w:hAnsiTheme="majorHAnsi" w:cs="Arial"/>
                <w:color w:val="auto"/>
                <w:sz w:val="20"/>
                <w:szCs w:val="20"/>
              </w:rPr>
              <w:t>7</w:t>
            </w:r>
          </w:p>
        </w:tc>
        <w:tc>
          <w:tcPr>
            <w:tcW w:w="0" w:type="auto"/>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vAlign w:val="bottom"/>
            <w:hideMark/>
          </w:tcPr>
          <w:p w14:paraId="498CA08C" w14:textId="77777777" w:rsidR="00F72283" w:rsidRPr="00206AE1" w:rsidRDefault="00F72283" w:rsidP="00267A00">
            <w:pPr>
              <w:jc w:val="right"/>
              <w:rPr>
                <w:rFonts w:asciiTheme="majorHAnsi" w:eastAsia="Times New Roman" w:hAnsiTheme="majorHAnsi" w:cs="Arial"/>
                <w:sz w:val="20"/>
                <w:szCs w:val="20"/>
              </w:rPr>
            </w:pPr>
            <w:r w:rsidRPr="00206AE1">
              <w:rPr>
                <w:rFonts w:asciiTheme="majorHAnsi" w:eastAsia="Times New Roman" w:hAnsiTheme="majorHAnsi" w:cs="Arial"/>
                <w:sz w:val="20"/>
                <w:szCs w:val="20"/>
              </w:rPr>
              <w:t>2153</w:t>
            </w:r>
          </w:p>
        </w:tc>
        <w:tc>
          <w:tcPr>
            <w:tcW w:w="836"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vAlign w:val="bottom"/>
            <w:hideMark/>
          </w:tcPr>
          <w:p w14:paraId="32F8043E" w14:textId="77777777" w:rsidR="00F72283" w:rsidRPr="00206AE1" w:rsidRDefault="00F72283" w:rsidP="00267A00">
            <w:pPr>
              <w:jc w:val="right"/>
              <w:rPr>
                <w:rFonts w:asciiTheme="majorHAnsi" w:eastAsia="Times New Roman" w:hAnsiTheme="majorHAnsi" w:cs="Arial"/>
                <w:sz w:val="20"/>
                <w:szCs w:val="20"/>
              </w:rPr>
            </w:pPr>
            <w:r w:rsidRPr="00206AE1">
              <w:rPr>
                <w:rFonts w:asciiTheme="majorHAnsi" w:eastAsia="Times New Roman" w:hAnsiTheme="majorHAnsi" w:cs="Arial"/>
                <w:sz w:val="20"/>
                <w:szCs w:val="20"/>
              </w:rPr>
              <w:t>1.23</w:t>
            </w:r>
          </w:p>
        </w:tc>
      </w:tr>
      <w:tr w:rsidR="00F72283" w:rsidRPr="00206AE1" w14:paraId="23FC76D2" w14:textId="77777777" w:rsidTr="00206AE1">
        <w:trPr>
          <w:trHeight w:val="315"/>
          <w:jc w:val="center"/>
        </w:trPr>
        <w:tc>
          <w:tcPr>
            <w:tcW w:w="0" w:type="auto"/>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vAlign w:val="bottom"/>
            <w:hideMark/>
          </w:tcPr>
          <w:p w14:paraId="55E82812" w14:textId="77777777" w:rsidR="00F72283" w:rsidRPr="00206AE1" w:rsidRDefault="00F72283" w:rsidP="00267A00">
            <w:pPr>
              <w:jc w:val="right"/>
              <w:rPr>
                <w:rFonts w:asciiTheme="majorHAnsi" w:eastAsia="Times New Roman" w:hAnsiTheme="majorHAnsi" w:cs="Arial"/>
                <w:color w:val="auto"/>
                <w:sz w:val="20"/>
                <w:szCs w:val="20"/>
              </w:rPr>
            </w:pPr>
            <w:r w:rsidRPr="00206AE1">
              <w:rPr>
                <w:rFonts w:asciiTheme="majorHAnsi" w:eastAsia="Times New Roman" w:hAnsiTheme="majorHAnsi" w:cs="Arial"/>
                <w:color w:val="auto"/>
                <w:sz w:val="20"/>
                <w:szCs w:val="20"/>
              </w:rPr>
              <w:t>8</w:t>
            </w:r>
          </w:p>
        </w:tc>
        <w:tc>
          <w:tcPr>
            <w:tcW w:w="0" w:type="auto"/>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vAlign w:val="bottom"/>
            <w:hideMark/>
          </w:tcPr>
          <w:p w14:paraId="46561953" w14:textId="77777777" w:rsidR="00F72283" w:rsidRPr="00206AE1" w:rsidRDefault="00F72283" w:rsidP="00267A00">
            <w:pPr>
              <w:jc w:val="right"/>
              <w:rPr>
                <w:rFonts w:asciiTheme="majorHAnsi" w:eastAsia="Times New Roman" w:hAnsiTheme="majorHAnsi" w:cs="Arial"/>
                <w:sz w:val="20"/>
                <w:szCs w:val="20"/>
              </w:rPr>
            </w:pPr>
            <w:r w:rsidRPr="00206AE1">
              <w:rPr>
                <w:rFonts w:asciiTheme="majorHAnsi" w:eastAsia="Times New Roman" w:hAnsiTheme="majorHAnsi" w:cs="Arial"/>
                <w:sz w:val="20"/>
                <w:szCs w:val="20"/>
              </w:rPr>
              <w:t>2138</w:t>
            </w:r>
          </w:p>
        </w:tc>
        <w:tc>
          <w:tcPr>
            <w:tcW w:w="836"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vAlign w:val="bottom"/>
            <w:hideMark/>
          </w:tcPr>
          <w:p w14:paraId="7016565F" w14:textId="77777777" w:rsidR="00F72283" w:rsidRPr="00206AE1" w:rsidRDefault="00F72283" w:rsidP="00267A00">
            <w:pPr>
              <w:jc w:val="right"/>
              <w:rPr>
                <w:rFonts w:asciiTheme="majorHAnsi" w:eastAsia="Times New Roman" w:hAnsiTheme="majorHAnsi" w:cs="Arial"/>
                <w:sz w:val="20"/>
                <w:szCs w:val="20"/>
              </w:rPr>
            </w:pPr>
            <w:r w:rsidRPr="00206AE1">
              <w:rPr>
                <w:rFonts w:asciiTheme="majorHAnsi" w:eastAsia="Times New Roman" w:hAnsiTheme="majorHAnsi" w:cs="Arial"/>
                <w:sz w:val="20"/>
                <w:szCs w:val="20"/>
              </w:rPr>
              <w:t>1.21</w:t>
            </w:r>
          </w:p>
        </w:tc>
      </w:tr>
      <w:tr w:rsidR="00F72283" w:rsidRPr="00206AE1" w14:paraId="1BD4B01E" w14:textId="77777777" w:rsidTr="00206AE1">
        <w:trPr>
          <w:trHeight w:val="315"/>
          <w:jc w:val="center"/>
        </w:trPr>
        <w:tc>
          <w:tcPr>
            <w:tcW w:w="0" w:type="auto"/>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vAlign w:val="bottom"/>
            <w:hideMark/>
          </w:tcPr>
          <w:p w14:paraId="276716F4" w14:textId="77777777" w:rsidR="00F72283" w:rsidRPr="00206AE1" w:rsidRDefault="00F72283" w:rsidP="00267A00">
            <w:pPr>
              <w:jc w:val="right"/>
              <w:rPr>
                <w:rFonts w:asciiTheme="majorHAnsi" w:eastAsia="Times New Roman" w:hAnsiTheme="majorHAnsi" w:cs="Arial"/>
                <w:color w:val="auto"/>
                <w:sz w:val="20"/>
                <w:szCs w:val="20"/>
              </w:rPr>
            </w:pPr>
            <w:r w:rsidRPr="00206AE1">
              <w:rPr>
                <w:rFonts w:asciiTheme="majorHAnsi" w:eastAsia="Times New Roman" w:hAnsiTheme="majorHAnsi" w:cs="Arial"/>
                <w:color w:val="auto"/>
                <w:sz w:val="20"/>
                <w:szCs w:val="20"/>
              </w:rPr>
              <w:t>9</w:t>
            </w:r>
          </w:p>
        </w:tc>
        <w:tc>
          <w:tcPr>
            <w:tcW w:w="0" w:type="auto"/>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vAlign w:val="bottom"/>
            <w:hideMark/>
          </w:tcPr>
          <w:p w14:paraId="38E85F1D" w14:textId="77777777" w:rsidR="00F72283" w:rsidRPr="00206AE1" w:rsidRDefault="00F72283" w:rsidP="00267A00">
            <w:pPr>
              <w:jc w:val="right"/>
              <w:rPr>
                <w:rFonts w:asciiTheme="majorHAnsi" w:eastAsia="Times New Roman" w:hAnsiTheme="majorHAnsi" w:cs="Arial"/>
                <w:sz w:val="20"/>
                <w:szCs w:val="20"/>
              </w:rPr>
            </w:pPr>
            <w:r w:rsidRPr="00206AE1">
              <w:rPr>
                <w:rFonts w:asciiTheme="majorHAnsi" w:eastAsia="Times New Roman" w:hAnsiTheme="majorHAnsi" w:cs="Arial"/>
                <w:sz w:val="20"/>
                <w:szCs w:val="20"/>
              </w:rPr>
              <w:t>2155</w:t>
            </w:r>
          </w:p>
        </w:tc>
        <w:tc>
          <w:tcPr>
            <w:tcW w:w="836"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vAlign w:val="bottom"/>
            <w:hideMark/>
          </w:tcPr>
          <w:p w14:paraId="4595B885" w14:textId="77777777" w:rsidR="00F72283" w:rsidRPr="00206AE1" w:rsidRDefault="00F72283" w:rsidP="00267A00">
            <w:pPr>
              <w:jc w:val="right"/>
              <w:rPr>
                <w:rFonts w:asciiTheme="majorHAnsi" w:eastAsia="Times New Roman" w:hAnsiTheme="majorHAnsi" w:cs="Arial"/>
                <w:sz w:val="20"/>
                <w:szCs w:val="20"/>
              </w:rPr>
            </w:pPr>
            <w:r w:rsidRPr="00206AE1">
              <w:rPr>
                <w:rFonts w:asciiTheme="majorHAnsi" w:eastAsia="Times New Roman" w:hAnsiTheme="majorHAnsi" w:cs="Arial"/>
                <w:sz w:val="20"/>
                <w:szCs w:val="20"/>
              </w:rPr>
              <w:t>1.3</w:t>
            </w:r>
          </w:p>
        </w:tc>
      </w:tr>
      <w:tr w:rsidR="00F72283" w:rsidRPr="00206AE1" w14:paraId="422E58F3" w14:textId="77777777" w:rsidTr="00206AE1">
        <w:trPr>
          <w:trHeight w:val="315"/>
          <w:jc w:val="center"/>
        </w:trPr>
        <w:tc>
          <w:tcPr>
            <w:tcW w:w="0" w:type="auto"/>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vAlign w:val="bottom"/>
            <w:hideMark/>
          </w:tcPr>
          <w:p w14:paraId="497534A8" w14:textId="77777777" w:rsidR="00F72283" w:rsidRPr="00206AE1" w:rsidRDefault="00F72283" w:rsidP="00267A00">
            <w:pPr>
              <w:jc w:val="right"/>
              <w:rPr>
                <w:rFonts w:asciiTheme="majorHAnsi" w:eastAsia="Times New Roman" w:hAnsiTheme="majorHAnsi" w:cs="Arial"/>
                <w:color w:val="auto"/>
                <w:sz w:val="20"/>
                <w:szCs w:val="20"/>
              </w:rPr>
            </w:pPr>
            <w:r w:rsidRPr="00206AE1">
              <w:rPr>
                <w:rFonts w:asciiTheme="majorHAnsi" w:eastAsia="Times New Roman" w:hAnsiTheme="majorHAnsi" w:cs="Arial"/>
                <w:color w:val="auto"/>
                <w:sz w:val="20"/>
                <w:szCs w:val="20"/>
              </w:rPr>
              <w:t>10</w:t>
            </w:r>
          </w:p>
        </w:tc>
        <w:tc>
          <w:tcPr>
            <w:tcW w:w="0" w:type="auto"/>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vAlign w:val="bottom"/>
            <w:hideMark/>
          </w:tcPr>
          <w:p w14:paraId="3071EEFE" w14:textId="77777777" w:rsidR="00F72283" w:rsidRPr="00206AE1" w:rsidRDefault="00F72283" w:rsidP="00267A00">
            <w:pPr>
              <w:jc w:val="right"/>
              <w:rPr>
                <w:rFonts w:asciiTheme="majorHAnsi" w:eastAsia="Times New Roman" w:hAnsiTheme="majorHAnsi" w:cs="Arial"/>
                <w:sz w:val="20"/>
                <w:szCs w:val="20"/>
              </w:rPr>
            </w:pPr>
            <w:r w:rsidRPr="00206AE1">
              <w:rPr>
                <w:rFonts w:asciiTheme="majorHAnsi" w:eastAsia="Times New Roman" w:hAnsiTheme="majorHAnsi" w:cs="Arial"/>
                <w:sz w:val="20"/>
                <w:szCs w:val="20"/>
              </w:rPr>
              <w:t>2355</w:t>
            </w:r>
          </w:p>
        </w:tc>
        <w:tc>
          <w:tcPr>
            <w:tcW w:w="836"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vAlign w:val="bottom"/>
            <w:hideMark/>
          </w:tcPr>
          <w:p w14:paraId="1DEA5793" w14:textId="77777777" w:rsidR="00F72283" w:rsidRPr="00206AE1" w:rsidRDefault="00F72283" w:rsidP="00267A00">
            <w:pPr>
              <w:jc w:val="right"/>
              <w:rPr>
                <w:rFonts w:asciiTheme="majorHAnsi" w:eastAsia="Times New Roman" w:hAnsiTheme="majorHAnsi" w:cs="Arial"/>
                <w:sz w:val="20"/>
                <w:szCs w:val="20"/>
              </w:rPr>
            </w:pPr>
            <w:r w:rsidRPr="00206AE1">
              <w:rPr>
                <w:rFonts w:asciiTheme="majorHAnsi" w:eastAsia="Times New Roman" w:hAnsiTheme="majorHAnsi" w:cs="Arial"/>
                <w:sz w:val="20"/>
                <w:szCs w:val="20"/>
              </w:rPr>
              <w:t>1.24</w:t>
            </w:r>
          </w:p>
        </w:tc>
      </w:tr>
      <w:tr w:rsidR="00F72283" w:rsidRPr="00206AE1" w14:paraId="21187085" w14:textId="77777777" w:rsidTr="00206AE1">
        <w:trPr>
          <w:trHeight w:val="315"/>
          <w:jc w:val="center"/>
        </w:trPr>
        <w:tc>
          <w:tcPr>
            <w:tcW w:w="0" w:type="auto"/>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vAlign w:val="bottom"/>
            <w:hideMark/>
          </w:tcPr>
          <w:p w14:paraId="0717451D" w14:textId="77777777" w:rsidR="00F72283" w:rsidRPr="00206AE1" w:rsidRDefault="00F72283" w:rsidP="00267A00">
            <w:pPr>
              <w:jc w:val="right"/>
              <w:rPr>
                <w:rFonts w:asciiTheme="majorHAnsi" w:eastAsia="Times New Roman" w:hAnsiTheme="majorHAnsi" w:cs="Arial"/>
                <w:color w:val="auto"/>
                <w:sz w:val="20"/>
                <w:szCs w:val="20"/>
              </w:rPr>
            </w:pPr>
            <w:r w:rsidRPr="00206AE1">
              <w:rPr>
                <w:rFonts w:asciiTheme="majorHAnsi" w:eastAsia="Times New Roman" w:hAnsiTheme="majorHAnsi" w:cs="Arial"/>
                <w:color w:val="auto"/>
                <w:sz w:val="20"/>
                <w:szCs w:val="20"/>
              </w:rPr>
              <w:t>11</w:t>
            </w:r>
          </w:p>
        </w:tc>
        <w:tc>
          <w:tcPr>
            <w:tcW w:w="0" w:type="auto"/>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vAlign w:val="bottom"/>
            <w:hideMark/>
          </w:tcPr>
          <w:p w14:paraId="22C30D0E" w14:textId="77777777" w:rsidR="00F72283" w:rsidRPr="00206AE1" w:rsidRDefault="00F72283" w:rsidP="00267A00">
            <w:pPr>
              <w:jc w:val="right"/>
              <w:rPr>
                <w:rFonts w:asciiTheme="majorHAnsi" w:eastAsia="Times New Roman" w:hAnsiTheme="majorHAnsi" w:cs="Arial"/>
                <w:sz w:val="20"/>
                <w:szCs w:val="20"/>
              </w:rPr>
            </w:pPr>
            <w:r w:rsidRPr="00206AE1">
              <w:rPr>
                <w:rFonts w:asciiTheme="majorHAnsi" w:eastAsia="Times New Roman" w:hAnsiTheme="majorHAnsi" w:cs="Arial"/>
                <w:sz w:val="20"/>
                <w:szCs w:val="20"/>
              </w:rPr>
              <w:t>2301</w:t>
            </w:r>
          </w:p>
        </w:tc>
        <w:tc>
          <w:tcPr>
            <w:tcW w:w="836"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vAlign w:val="bottom"/>
            <w:hideMark/>
          </w:tcPr>
          <w:p w14:paraId="2FD8894F" w14:textId="77777777" w:rsidR="00F72283" w:rsidRPr="00206AE1" w:rsidRDefault="00F72283" w:rsidP="00267A00">
            <w:pPr>
              <w:jc w:val="right"/>
              <w:rPr>
                <w:rFonts w:asciiTheme="majorHAnsi" w:eastAsia="Times New Roman" w:hAnsiTheme="majorHAnsi" w:cs="Arial"/>
                <w:color w:val="auto"/>
                <w:sz w:val="20"/>
                <w:szCs w:val="20"/>
              </w:rPr>
            </w:pPr>
            <w:r w:rsidRPr="00206AE1">
              <w:rPr>
                <w:rFonts w:asciiTheme="majorHAnsi" w:eastAsia="Times New Roman" w:hAnsiTheme="majorHAnsi" w:cs="Arial"/>
                <w:color w:val="auto"/>
                <w:sz w:val="20"/>
                <w:szCs w:val="20"/>
              </w:rPr>
              <w:t>1.27</w:t>
            </w:r>
          </w:p>
        </w:tc>
      </w:tr>
      <w:tr w:rsidR="00F72283" w:rsidRPr="00206AE1" w14:paraId="26BE6CA4" w14:textId="77777777" w:rsidTr="00206AE1">
        <w:trPr>
          <w:trHeight w:val="315"/>
          <w:jc w:val="center"/>
        </w:trPr>
        <w:tc>
          <w:tcPr>
            <w:tcW w:w="0" w:type="auto"/>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vAlign w:val="bottom"/>
            <w:hideMark/>
          </w:tcPr>
          <w:p w14:paraId="41A16978" w14:textId="77777777" w:rsidR="00F72283" w:rsidRPr="00206AE1" w:rsidRDefault="00F72283" w:rsidP="00267A00">
            <w:pPr>
              <w:jc w:val="right"/>
              <w:rPr>
                <w:rFonts w:asciiTheme="majorHAnsi" w:eastAsia="Times New Roman" w:hAnsiTheme="majorHAnsi" w:cs="Arial"/>
                <w:color w:val="auto"/>
                <w:sz w:val="20"/>
                <w:szCs w:val="20"/>
              </w:rPr>
            </w:pPr>
            <w:r w:rsidRPr="00206AE1">
              <w:rPr>
                <w:rFonts w:asciiTheme="majorHAnsi" w:eastAsia="Times New Roman" w:hAnsiTheme="majorHAnsi" w:cs="Arial"/>
                <w:color w:val="auto"/>
                <w:sz w:val="20"/>
                <w:szCs w:val="20"/>
              </w:rPr>
              <w:t>12</w:t>
            </w:r>
          </w:p>
        </w:tc>
        <w:tc>
          <w:tcPr>
            <w:tcW w:w="0" w:type="auto"/>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vAlign w:val="bottom"/>
            <w:hideMark/>
          </w:tcPr>
          <w:p w14:paraId="6858018C" w14:textId="77777777" w:rsidR="00F72283" w:rsidRPr="00206AE1" w:rsidRDefault="00F72283" w:rsidP="00267A00">
            <w:pPr>
              <w:jc w:val="right"/>
              <w:rPr>
                <w:rFonts w:asciiTheme="majorHAnsi" w:eastAsia="Times New Roman" w:hAnsiTheme="majorHAnsi" w:cs="Arial"/>
                <w:sz w:val="20"/>
                <w:szCs w:val="20"/>
              </w:rPr>
            </w:pPr>
            <w:r w:rsidRPr="00206AE1">
              <w:rPr>
                <w:rFonts w:asciiTheme="majorHAnsi" w:eastAsia="Times New Roman" w:hAnsiTheme="majorHAnsi" w:cs="Arial"/>
                <w:sz w:val="20"/>
                <w:szCs w:val="20"/>
              </w:rPr>
              <w:t>2259</w:t>
            </w:r>
          </w:p>
        </w:tc>
        <w:tc>
          <w:tcPr>
            <w:tcW w:w="836"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vAlign w:val="bottom"/>
            <w:hideMark/>
          </w:tcPr>
          <w:p w14:paraId="134059B7" w14:textId="77777777" w:rsidR="00F72283" w:rsidRPr="00206AE1" w:rsidRDefault="00F72283" w:rsidP="00267A00">
            <w:pPr>
              <w:jc w:val="right"/>
              <w:rPr>
                <w:rFonts w:asciiTheme="majorHAnsi" w:eastAsia="Times New Roman" w:hAnsiTheme="majorHAnsi" w:cs="Arial"/>
                <w:sz w:val="20"/>
                <w:szCs w:val="20"/>
              </w:rPr>
            </w:pPr>
            <w:r w:rsidRPr="00206AE1">
              <w:rPr>
                <w:rFonts w:asciiTheme="majorHAnsi" w:eastAsia="Times New Roman" w:hAnsiTheme="majorHAnsi" w:cs="Arial"/>
                <w:sz w:val="20"/>
                <w:szCs w:val="20"/>
              </w:rPr>
              <w:t>1.24</w:t>
            </w:r>
          </w:p>
        </w:tc>
      </w:tr>
      <w:tr w:rsidR="00F72283" w:rsidRPr="00206AE1" w14:paraId="1448BB81" w14:textId="77777777" w:rsidTr="00206AE1">
        <w:trPr>
          <w:trHeight w:val="315"/>
          <w:jc w:val="center"/>
        </w:trPr>
        <w:tc>
          <w:tcPr>
            <w:tcW w:w="0" w:type="auto"/>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vAlign w:val="bottom"/>
            <w:hideMark/>
          </w:tcPr>
          <w:p w14:paraId="725A9B07" w14:textId="77777777" w:rsidR="00F72283" w:rsidRPr="00206AE1" w:rsidRDefault="00F72283" w:rsidP="00267A00">
            <w:pPr>
              <w:jc w:val="right"/>
              <w:rPr>
                <w:rFonts w:asciiTheme="majorHAnsi" w:eastAsia="Times New Roman" w:hAnsiTheme="majorHAnsi" w:cs="Arial"/>
                <w:color w:val="auto"/>
                <w:sz w:val="20"/>
                <w:szCs w:val="20"/>
              </w:rPr>
            </w:pPr>
            <w:r w:rsidRPr="00206AE1">
              <w:rPr>
                <w:rFonts w:asciiTheme="majorHAnsi" w:eastAsia="Times New Roman" w:hAnsiTheme="majorHAnsi" w:cs="Arial"/>
                <w:color w:val="auto"/>
                <w:sz w:val="20"/>
                <w:szCs w:val="20"/>
              </w:rPr>
              <w:t>13</w:t>
            </w:r>
          </w:p>
        </w:tc>
        <w:tc>
          <w:tcPr>
            <w:tcW w:w="0" w:type="auto"/>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vAlign w:val="bottom"/>
            <w:hideMark/>
          </w:tcPr>
          <w:p w14:paraId="18FA5860" w14:textId="77777777" w:rsidR="00F72283" w:rsidRPr="00206AE1" w:rsidRDefault="00F72283" w:rsidP="00267A00">
            <w:pPr>
              <w:jc w:val="right"/>
              <w:rPr>
                <w:rFonts w:asciiTheme="majorHAnsi" w:eastAsia="Times New Roman" w:hAnsiTheme="majorHAnsi" w:cs="Arial"/>
                <w:sz w:val="20"/>
                <w:szCs w:val="20"/>
              </w:rPr>
            </w:pPr>
            <w:r w:rsidRPr="00206AE1">
              <w:rPr>
                <w:rFonts w:asciiTheme="majorHAnsi" w:eastAsia="Times New Roman" w:hAnsiTheme="majorHAnsi" w:cs="Arial"/>
                <w:sz w:val="20"/>
                <w:szCs w:val="20"/>
              </w:rPr>
              <w:t>2255</w:t>
            </w:r>
          </w:p>
        </w:tc>
        <w:tc>
          <w:tcPr>
            <w:tcW w:w="836"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vAlign w:val="bottom"/>
            <w:hideMark/>
          </w:tcPr>
          <w:p w14:paraId="571D2607" w14:textId="77777777" w:rsidR="00F72283" w:rsidRPr="00206AE1" w:rsidRDefault="00F72283" w:rsidP="00267A00">
            <w:pPr>
              <w:jc w:val="right"/>
              <w:rPr>
                <w:rFonts w:asciiTheme="majorHAnsi" w:eastAsia="Times New Roman" w:hAnsiTheme="majorHAnsi" w:cs="Arial"/>
                <w:sz w:val="20"/>
                <w:szCs w:val="20"/>
              </w:rPr>
            </w:pPr>
            <w:r w:rsidRPr="00206AE1">
              <w:rPr>
                <w:rFonts w:asciiTheme="majorHAnsi" w:eastAsia="Times New Roman" w:hAnsiTheme="majorHAnsi" w:cs="Arial"/>
                <w:sz w:val="20"/>
                <w:szCs w:val="20"/>
              </w:rPr>
              <w:t>1.29</w:t>
            </w:r>
          </w:p>
        </w:tc>
      </w:tr>
      <w:tr w:rsidR="00F72283" w:rsidRPr="00206AE1" w14:paraId="5332ECC2" w14:textId="77777777" w:rsidTr="00206AE1">
        <w:trPr>
          <w:trHeight w:val="315"/>
          <w:jc w:val="center"/>
        </w:trPr>
        <w:tc>
          <w:tcPr>
            <w:tcW w:w="0" w:type="auto"/>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vAlign w:val="bottom"/>
            <w:hideMark/>
          </w:tcPr>
          <w:p w14:paraId="454DF8FD" w14:textId="77777777" w:rsidR="00F72283" w:rsidRPr="00206AE1" w:rsidRDefault="00F72283" w:rsidP="00267A00">
            <w:pPr>
              <w:jc w:val="right"/>
              <w:rPr>
                <w:rFonts w:asciiTheme="majorHAnsi" w:eastAsia="Times New Roman" w:hAnsiTheme="majorHAnsi" w:cs="Arial"/>
                <w:color w:val="auto"/>
                <w:sz w:val="20"/>
                <w:szCs w:val="20"/>
              </w:rPr>
            </w:pPr>
            <w:r w:rsidRPr="00206AE1">
              <w:rPr>
                <w:rFonts w:asciiTheme="majorHAnsi" w:eastAsia="Times New Roman" w:hAnsiTheme="majorHAnsi" w:cs="Arial"/>
                <w:color w:val="auto"/>
                <w:sz w:val="20"/>
                <w:szCs w:val="20"/>
              </w:rPr>
              <w:t>14</w:t>
            </w:r>
          </w:p>
        </w:tc>
        <w:tc>
          <w:tcPr>
            <w:tcW w:w="0" w:type="auto"/>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vAlign w:val="bottom"/>
            <w:hideMark/>
          </w:tcPr>
          <w:p w14:paraId="5B55D36E" w14:textId="77777777" w:rsidR="00F72283" w:rsidRPr="00206AE1" w:rsidRDefault="00F72283" w:rsidP="00267A00">
            <w:pPr>
              <w:jc w:val="right"/>
              <w:rPr>
                <w:rFonts w:asciiTheme="majorHAnsi" w:eastAsia="Times New Roman" w:hAnsiTheme="majorHAnsi" w:cs="Arial"/>
                <w:sz w:val="20"/>
                <w:szCs w:val="20"/>
              </w:rPr>
            </w:pPr>
            <w:r w:rsidRPr="00206AE1">
              <w:rPr>
                <w:rFonts w:asciiTheme="majorHAnsi" w:eastAsia="Times New Roman" w:hAnsiTheme="majorHAnsi" w:cs="Arial"/>
                <w:sz w:val="20"/>
                <w:szCs w:val="20"/>
              </w:rPr>
              <w:t>2260</w:t>
            </w:r>
          </w:p>
        </w:tc>
        <w:tc>
          <w:tcPr>
            <w:tcW w:w="836"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vAlign w:val="bottom"/>
            <w:hideMark/>
          </w:tcPr>
          <w:p w14:paraId="069D14C8" w14:textId="77777777" w:rsidR="00F72283" w:rsidRPr="00206AE1" w:rsidRDefault="00F72283" w:rsidP="00267A00">
            <w:pPr>
              <w:jc w:val="right"/>
              <w:rPr>
                <w:rFonts w:asciiTheme="majorHAnsi" w:eastAsia="Times New Roman" w:hAnsiTheme="majorHAnsi" w:cs="Arial"/>
                <w:color w:val="auto"/>
                <w:sz w:val="20"/>
                <w:szCs w:val="20"/>
              </w:rPr>
            </w:pPr>
            <w:r w:rsidRPr="00206AE1">
              <w:rPr>
                <w:rFonts w:asciiTheme="majorHAnsi" w:eastAsia="Times New Roman" w:hAnsiTheme="majorHAnsi" w:cs="Arial"/>
                <w:color w:val="auto"/>
                <w:sz w:val="20"/>
                <w:szCs w:val="20"/>
              </w:rPr>
              <w:t>1.2</w:t>
            </w:r>
          </w:p>
        </w:tc>
      </w:tr>
      <w:tr w:rsidR="00F72283" w:rsidRPr="00206AE1" w14:paraId="26822CDA" w14:textId="77777777" w:rsidTr="00206AE1">
        <w:trPr>
          <w:trHeight w:val="315"/>
          <w:jc w:val="center"/>
        </w:trPr>
        <w:tc>
          <w:tcPr>
            <w:tcW w:w="0" w:type="auto"/>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vAlign w:val="bottom"/>
            <w:hideMark/>
          </w:tcPr>
          <w:p w14:paraId="63B1BFD7" w14:textId="77777777" w:rsidR="00F72283" w:rsidRPr="00206AE1" w:rsidRDefault="00F72283" w:rsidP="00267A00">
            <w:pPr>
              <w:jc w:val="right"/>
              <w:rPr>
                <w:rFonts w:asciiTheme="majorHAnsi" w:eastAsia="Times New Roman" w:hAnsiTheme="majorHAnsi" w:cs="Arial"/>
                <w:color w:val="auto"/>
                <w:sz w:val="20"/>
                <w:szCs w:val="20"/>
              </w:rPr>
            </w:pPr>
            <w:r w:rsidRPr="00206AE1">
              <w:rPr>
                <w:rFonts w:asciiTheme="majorHAnsi" w:eastAsia="Times New Roman" w:hAnsiTheme="majorHAnsi" w:cs="Arial"/>
                <w:color w:val="auto"/>
                <w:sz w:val="20"/>
                <w:szCs w:val="20"/>
              </w:rPr>
              <w:t>15</w:t>
            </w:r>
          </w:p>
        </w:tc>
        <w:tc>
          <w:tcPr>
            <w:tcW w:w="0" w:type="auto"/>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vAlign w:val="bottom"/>
            <w:hideMark/>
          </w:tcPr>
          <w:p w14:paraId="3519947E" w14:textId="77777777" w:rsidR="00F72283" w:rsidRPr="00206AE1" w:rsidRDefault="00F72283" w:rsidP="00267A00">
            <w:pPr>
              <w:jc w:val="right"/>
              <w:rPr>
                <w:rFonts w:asciiTheme="majorHAnsi" w:eastAsia="Times New Roman" w:hAnsiTheme="majorHAnsi" w:cs="Arial"/>
                <w:sz w:val="20"/>
                <w:szCs w:val="20"/>
              </w:rPr>
            </w:pPr>
            <w:r w:rsidRPr="00206AE1">
              <w:rPr>
                <w:rFonts w:asciiTheme="majorHAnsi" w:eastAsia="Times New Roman" w:hAnsiTheme="majorHAnsi" w:cs="Arial"/>
                <w:sz w:val="20"/>
                <w:szCs w:val="20"/>
              </w:rPr>
              <w:t>2181</w:t>
            </w:r>
          </w:p>
        </w:tc>
        <w:tc>
          <w:tcPr>
            <w:tcW w:w="836"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vAlign w:val="bottom"/>
            <w:hideMark/>
          </w:tcPr>
          <w:p w14:paraId="31626324" w14:textId="77777777" w:rsidR="00F72283" w:rsidRPr="00206AE1" w:rsidRDefault="00F72283" w:rsidP="00267A00">
            <w:pPr>
              <w:jc w:val="right"/>
              <w:rPr>
                <w:rFonts w:asciiTheme="majorHAnsi" w:eastAsia="Times New Roman" w:hAnsiTheme="majorHAnsi" w:cs="Arial"/>
                <w:sz w:val="20"/>
                <w:szCs w:val="20"/>
              </w:rPr>
            </w:pPr>
            <w:r w:rsidRPr="00206AE1">
              <w:rPr>
                <w:rFonts w:asciiTheme="majorHAnsi" w:eastAsia="Times New Roman" w:hAnsiTheme="majorHAnsi" w:cs="Arial"/>
                <w:sz w:val="20"/>
                <w:szCs w:val="20"/>
              </w:rPr>
              <w:t>1.51</w:t>
            </w:r>
          </w:p>
        </w:tc>
      </w:tr>
      <w:tr w:rsidR="00F72283" w:rsidRPr="00206AE1" w14:paraId="0D2E14E9" w14:textId="77777777" w:rsidTr="00206AE1">
        <w:trPr>
          <w:trHeight w:val="315"/>
          <w:jc w:val="center"/>
        </w:trPr>
        <w:tc>
          <w:tcPr>
            <w:tcW w:w="0" w:type="auto"/>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vAlign w:val="bottom"/>
            <w:hideMark/>
          </w:tcPr>
          <w:p w14:paraId="6AFF79B0" w14:textId="77777777" w:rsidR="00F72283" w:rsidRPr="00206AE1" w:rsidRDefault="00F72283" w:rsidP="00267A00">
            <w:pPr>
              <w:jc w:val="right"/>
              <w:rPr>
                <w:rFonts w:asciiTheme="majorHAnsi" w:eastAsia="Times New Roman" w:hAnsiTheme="majorHAnsi" w:cs="Arial"/>
                <w:color w:val="auto"/>
                <w:sz w:val="20"/>
                <w:szCs w:val="20"/>
              </w:rPr>
            </w:pPr>
            <w:r w:rsidRPr="00206AE1">
              <w:rPr>
                <w:rFonts w:asciiTheme="majorHAnsi" w:eastAsia="Times New Roman" w:hAnsiTheme="majorHAnsi" w:cs="Arial"/>
                <w:color w:val="auto"/>
                <w:sz w:val="20"/>
                <w:szCs w:val="20"/>
              </w:rPr>
              <w:t>16</w:t>
            </w:r>
          </w:p>
        </w:tc>
        <w:tc>
          <w:tcPr>
            <w:tcW w:w="0" w:type="auto"/>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vAlign w:val="bottom"/>
            <w:hideMark/>
          </w:tcPr>
          <w:p w14:paraId="65EC549D" w14:textId="77777777" w:rsidR="00F72283" w:rsidRPr="00206AE1" w:rsidRDefault="00F72283" w:rsidP="00267A00">
            <w:pPr>
              <w:jc w:val="right"/>
              <w:rPr>
                <w:rFonts w:asciiTheme="majorHAnsi" w:eastAsia="Times New Roman" w:hAnsiTheme="majorHAnsi" w:cs="Arial"/>
                <w:sz w:val="20"/>
                <w:szCs w:val="20"/>
              </w:rPr>
            </w:pPr>
            <w:r w:rsidRPr="00206AE1">
              <w:rPr>
                <w:rFonts w:asciiTheme="majorHAnsi" w:eastAsia="Times New Roman" w:hAnsiTheme="majorHAnsi" w:cs="Arial"/>
                <w:sz w:val="20"/>
                <w:szCs w:val="20"/>
              </w:rPr>
              <w:t>2187</w:t>
            </w:r>
          </w:p>
        </w:tc>
        <w:tc>
          <w:tcPr>
            <w:tcW w:w="836"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vAlign w:val="bottom"/>
            <w:hideMark/>
          </w:tcPr>
          <w:p w14:paraId="3676F8A8" w14:textId="77777777" w:rsidR="00F72283" w:rsidRPr="00206AE1" w:rsidRDefault="00F72283" w:rsidP="00267A00">
            <w:pPr>
              <w:jc w:val="right"/>
              <w:rPr>
                <w:rFonts w:asciiTheme="majorHAnsi" w:eastAsia="Times New Roman" w:hAnsiTheme="majorHAnsi" w:cs="Arial"/>
                <w:sz w:val="20"/>
                <w:szCs w:val="20"/>
              </w:rPr>
            </w:pPr>
            <w:r w:rsidRPr="00206AE1">
              <w:rPr>
                <w:rFonts w:asciiTheme="majorHAnsi" w:eastAsia="Times New Roman" w:hAnsiTheme="majorHAnsi" w:cs="Arial"/>
                <w:sz w:val="20"/>
                <w:szCs w:val="20"/>
              </w:rPr>
              <w:t>1.36</w:t>
            </w:r>
          </w:p>
        </w:tc>
      </w:tr>
      <w:tr w:rsidR="00F72283" w:rsidRPr="00206AE1" w14:paraId="333757AE" w14:textId="77777777" w:rsidTr="00206AE1">
        <w:trPr>
          <w:trHeight w:val="315"/>
          <w:jc w:val="center"/>
        </w:trPr>
        <w:tc>
          <w:tcPr>
            <w:tcW w:w="0" w:type="auto"/>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vAlign w:val="bottom"/>
            <w:hideMark/>
          </w:tcPr>
          <w:p w14:paraId="3BE4D3E2" w14:textId="77777777" w:rsidR="00F72283" w:rsidRPr="00206AE1" w:rsidRDefault="00F72283" w:rsidP="00267A00">
            <w:pPr>
              <w:jc w:val="right"/>
              <w:rPr>
                <w:rFonts w:asciiTheme="majorHAnsi" w:eastAsia="Times New Roman" w:hAnsiTheme="majorHAnsi" w:cs="Arial"/>
                <w:color w:val="auto"/>
                <w:sz w:val="20"/>
                <w:szCs w:val="20"/>
              </w:rPr>
            </w:pPr>
            <w:r w:rsidRPr="00206AE1">
              <w:rPr>
                <w:rFonts w:asciiTheme="majorHAnsi" w:eastAsia="Times New Roman" w:hAnsiTheme="majorHAnsi" w:cs="Arial"/>
                <w:color w:val="auto"/>
                <w:sz w:val="20"/>
                <w:szCs w:val="20"/>
              </w:rPr>
              <w:t>Average</w:t>
            </w:r>
          </w:p>
        </w:tc>
        <w:tc>
          <w:tcPr>
            <w:tcW w:w="0" w:type="auto"/>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vAlign w:val="bottom"/>
            <w:hideMark/>
          </w:tcPr>
          <w:p w14:paraId="54A16981" w14:textId="77777777" w:rsidR="00F72283" w:rsidRPr="00206AE1" w:rsidRDefault="00F72283" w:rsidP="00267A00">
            <w:pPr>
              <w:jc w:val="right"/>
              <w:rPr>
                <w:rFonts w:asciiTheme="majorHAnsi" w:eastAsia="Times New Roman" w:hAnsiTheme="majorHAnsi" w:cs="Arial"/>
                <w:color w:val="auto"/>
                <w:sz w:val="20"/>
                <w:szCs w:val="20"/>
              </w:rPr>
            </w:pPr>
            <w:r w:rsidRPr="00206AE1">
              <w:rPr>
                <w:rFonts w:asciiTheme="majorHAnsi" w:eastAsia="Times New Roman" w:hAnsiTheme="majorHAnsi" w:cs="Arial"/>
                <w:color w:val="auto"/>
                <w:sz w:val="20"/>
                <w:szCs w:val="20"/>
              </w:rPr>
              <w:t>2195</w:t>
            </w:r>
          </w:p>
        </w:tc>
        <w:tc>
          <w:tcPr>
            <w:tcW w:w="836"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vAlign w:val="bottom"/>
            <w:hideMark/>
          </w:tcPr>
          <w:p w14:paraId="4F5962FD" w14:textId="77777777" w:rsidR="00F72283" w:rsidRPr="00206AE1" w:rsidRDefault="00F72283" w:rsidP="00267A00">
            <w:pPr>
              <w:jc w:val="right"/>
              <w:rPr>
                <w:rFonts w:asciiTheme="majorHAnsi" w:eastAsia="Times New Roman" w:hAnsiTheme="majorHAnsi" w:cs="Arial"/>
                <w:color w:val="auto"/>
                <w:sz w:val="20"/>
                <w:szCs w:val="20"/>
              </w:rPr>
            </w:pPr>
            <w:r w:rsidRPr="00206AE1">
              <w:rPr>
                <w:rFonts w:asciiTheme="majorHAnsi" w:eastAsia="Times New Roman" w:hAnsiTheme="majorHAnsi" w:cs="Arial"/>
                <w:color w:val="auto"/>
                <w:sz w:val="20"/>
                <w:szCs w:val="20"/>
              </w:rPr>
              <w:t>1.29</w:t>
            </w:r>
          </w:p>
        </w:tc>
      </w:tr>
    </w:tbl>
    <w:p w14:paraId="6D2B8AE5" w14:textId="77777777" w:rsidR="00F72283" w:rsidRDefault="00F72283" w:rsidP="00F72283">
      <w:pPr>
        <w:pStyle w:val="Normal1"/>
        <w:spacing w:line="276" w:lineRule="auto"/>
      </w:pPr>
    </w:p>
    <w:p w14:paraId="4D11E7BE" w14:textId="77777777" w:rsidR="006727AD" w:rsidRDefault="006727AD" w:rsidP="00DE7F9A">
      <w:pPr>
        <w:pStyle w:val="Normal1"/>
        <w:spacing w:line="276" w:lineRule="auto"/>
        <w:rPr>
          <w:b/>
          <w:sz w:val="28"/>
          <w:szCs w:val="28"/>
        </w:rPr>
      </w:pPr>
    </w:p>
    <w:p w14:paraId="42F43253" w14:textId="77777777" w:rsidR="006727AD" w:rsidRDefault="006727AD" w:rsidP="00DE7F9A">
      <w:pPr>
        <w:pStyle w:val="Normal1"/>
        <w:spacing w:line="276" w:lineRule="auto"/>
        <w:rPr>
          <w:b/>
          <w:sz w:val="28"/>
          <w:szCs w:val="28"/>
        </w:rPr>
      </w:pPr>
    </w:p>
    <w:p w14:paraId="0424A1BC" w14:textId="52DA66AE" w:rsidR="00DE7F9A" w:rsidRDefault="00DE7F9A" w:rsidP="00DE7F9A">
      <w:pPr>
        <w:pStyle w:val="Normal1"/>
        <w:spacing w:line="276" w:lineRule="auto"/>
      </w:pPr>
      <w:r>
        <w:rPr>
          <w:b/>
          <w:sz w:val="28"/>
          <w:szCs w:val="28"/>
        </w:rPr>
        <w:lastRenderedPageBreak/>
        <w:t>Model input data</w:t>
      </w:r>
    </w:p>
    <w:p w14:paraId="0C5D5ECD" w14:textId="77777777" w:rsidR="00DE7F9A" w:rsidRDefault="00DE7F9A" w:rsidP="00DE7F9A">
      <w:pPr>
        <w:pStyle w:val="Normal1"/>
        <w:spacing w:line="276" w:lineRule="auto"/>
      </w:pPr>
      <w:r>
        <w:t>This analysis was conducted with actual data from some Nest Thermostats currently in use throughout the state of California. Most notably, the model is built on the following data:</w:t>
      </w:r>
    </w:p>
    <w:p w14:paraId="750A861B" w14:textId="77777777" w:rsidR="00DE7F9A" w:rsidRDefault="00DE7F9A" w:rsidP="00DE7F9A">
      <w:pPr>
        <w:pStyle w:val="Normal1"/>
        <w:spacing w:line="276" w:lineRule="auto"/>
      </w:pPr>
    </w:p>
    <w:p w14:paraId="2FC7BD62" w14:textId="77777777" w:rsidR="00DE7F9A" w:rsidRDefault="00DE7F9A" w:rsidP="00DE7F9A">
      <w:pPr>
        <w:pStyle w:val="Normal1"/>
        <w:numPr>
          <w:ilvl w:val="0"/>
          <w:numId w:val="1"/>
        </w:numPr>
        <w:spacing w:line="276" w:lineRule="auto"/>
        <w:ind w:hanging="360"/>
        <w:contextualSpacing/>
      </w:pPr>
      <w:r>
        <w:t>The average set points and comfort temperature calculations were based on heating and cooling runtime weighted averages for more than 150,000 Nest thermostats in California with data covering the full year of May 2015 through April 2016.</w:t>
      </w:r>
    </w:p>
    <w:p w14:paraId="1CB930F2" w14:textId="77777777" w:rsidR="00DE7F9A" w:rsidRDefault="00DE7F9A" w:rsidP="00DE7F9A">
      <w:pPr>
        <w:pStyle w:val="Normal1"/>
        <w:numPr>
          <w:ilvl w:val="1"/>
          <w:numId w:val="1"/>
        </w:numPr>
        <w:spacing w:line="276" w:lineRule="auto"/>
        <w:ind w:hanging="540"/>
        <w:contextualSpacing/>
      </w:pPr>
      <w:r>
        <w:t xml:space="preserve">The average set points are a time-weighted average set point across a day.  </w:t>
      </w:r>
    </w:p>
    <w:p w14:paraId="07976D50" w14:textId="42CC5F1E" w:rsidR="00DE7F9A" w:rsidRDefault="00DE7F9A" w:rsidP="00DE7F9A">
      <w:pPr>
        <w:pStyle w:val="Normal1"/>
        <w:numPr>
          <w:ilvl w:val="1"/>
          <w:numId w:val="1"/>
        </w:numPr>
        <w:spacing w:line="276" w:lineRule="auto"/>
        <w:ind w:hanging="540"/>
        <w:contextualSpacing/>
      </w:pPr>
      <w:r>
        <w:t>The comfort tempe</w:t>
      </w:r>
      <w:r w:rsidR="00663406">
        <w:t>rature is defined in Section 2.3</w:t>
      </w:r>
      <w:r>
        <w:t>.1. It is a value that is calculated and recorded automatically onboard every thermostat.</w:t>
      </w:r>
    </w:p>
    <w:p w14:paraId="57494EC8" w14:textId="77777777" w:rsidR="00DE7F9A" w:rsidRDefault="00DE7F9A" w:rsidP="00DE7F9A">
      <w:pPr>
        <w:pStyle w:val="Normal1"/>
        <w:numPr>
          <w:ilvl w:val="0"/>
          <w:numId w:val="1"/>
        </w:numPr>
        <w:spacing w:line="276" w:lineRule="auto"/>
        <w:ind w:hanging="360"/>
        <w:contextualSpacing/>
        <w:rPr>
          <w:sz w:val="20"/>
          <w:szCs w:val="20"/>
        </w:rPr>
      </w:pPr>
      <w:r>
        <w:t>The pooled fixed effects regression modeling, which assessed the energy savings per degree set point change, was based on data from more than 100,000 thermostats and included more than 6M device-days of heating data (from January, 2016 - February, 2016) and more than 7M device-days of cooling data (from July, 2015 - September, 2015).  The regression model sample was restricted to single stage HVAC systems to avoid the uncertainty introduced by the unknown relative capacities of the stages</w:t>
      </w:r>
      <w:r>
        <w:rPr>
          <w:sz w:val="20"/>
          <w:szCs w:val="20"/>
        </w:rPr>
        <w:t xml:space="preserve">.    </w:t>
      </w:r>
    </w:p>
    <w:p w14:paraId="74ECB39E" w14:textId="77777777" w:rsidR="00DE7F9A" w:rsidRDefault="00DE7F9A" w:rsidP="00F72283">
      <w:pPr>
        <w:pStyle w:val="Normal1"/>
        <w:spacing w:line="276" w:lineRule="auto"/>
        <w:rPr>
          <w:b/>
          <w:color w:val="000000" w:themeColor="text1"/>
          <w:sz w:val="28"/>
          <w:szCs w:val="28"/>
        </w:rPr>
      </w:pPr>
    </w:p>
    <w:p w14:paraId="3A7C677B" w14:textId="510B86E8" w:rsidR="00F72283" w:rsidRPr="000876C7" w:rsidRDefault="00DE7F9A" w:rsidP="00F72283">
      <w:pPr>
        <w:pStyle w:val="Normal1"/>
        <w:spacing w:line="276" w:lineRule="auto"/>
        <w:rPr>
          <w:color w:val="000000" w:themeColor="text1"/>
        </w:rPr>
      </w:pPr>
      <w:r>
        <w:rPr>
          <w:b/>
          <w:color w:val="000000" w:themeColor="text1"/>
          <w:sz w:val="28"/>
          <w:szCs w:val="28"/>
        </w:rPr>
        <w:t>1.6.2</w:t>
      </w:r>
      <w:r w:rsidR="00F72283" w:rsidRPr="000876C7">
        <w:rPr>
          <w:b/>
          <w:color w:val="000000" w:themeColor="text1"/>
          <w:sz w:val="28"/>
          <w:szCs w:val="28"/>
        </w:rPr>
        <w:t xml:space="preserve"> Underlying Data for Calculations</w:t>
      </w:r>
    </w:p>
    <w:p w14:paraId="519AAFED" w14:textId="07051774" w:rsidR="00F72283" w:rsidRDefault="00F72283" w:rsidP="00F72283">
      <w:pPr>
        <w:rPr>
          <w:rFonts w:eastAsia="Times New Roman" w:cs="Times New Roman"/>
          <w:color w:val="212121"/>
          <w:shd w:val="clear" w:color="auto" w:fill="FFFFFF"/>
        </w:rPr>
      </w:pPr>
      <w:r w:rsidRPr="00FC49E4">
        <w:rPr>
          <w:rFonts w:eastAsia="Times New Roman" w:cs="Times New Roman"/>
          <w:color w:val="212121"/>
          <w:shd w:val="clear" w:color="auto" w:fill="FFFFFF"/>
        </w:rPr>
        <w:t xml:space="preserve">The underlying data used to calculate energy savings </w:t>
      </w:r>
      <w:r w:rsidR="005203FB">
        <w:rPr>
          <w:rFonts w:eastAsia="Times New Roman" w:cs="Times New Roman"/>
          <w:color w:val="212121"/>
          <w:shd w:val="clear" w:color="auto" w:fill="FFFFFF"/>
        </w:rPr>
        <w:t xml:space="preserve">and metrics </w:t>
      </w:r>
      <w:r w:rsidRPr="00FC49E4">
        <w:rPr>
          <w:rFonts w:eastAsia="Times New Roman" w:cs="Times New Roman"/>
          <w:color w:val="212121"/>
          <w:shd w:val="clear" w:color="auto" w:fill="FFFFFF"/>
        </w:rPr>
        <w:t xml:space="preserve">for this </w:t>
      </w:r>
      <w:proofErr w:type="spellStart"/>
      <w:r w:rsidRPr="00FC49E4">
        <w:rPr>
          <w:rFonts w:eastAsia="Times New Roman" w:cs="Times New Roman"/>
          <w:color w:val="212121"/>
          <w:shd w:val="clear" w:color="auto" w:fill="FFFFFF"/>
        </w:rPr>
        <w:t>workpaper</w:t>
      </w:r>
      <w:proofErr w:type="spellEnd"/>
      <w:r w:rsidRPr="00FC49E4">
        <w:rPr>
          <w:rFonts w:eastAsia="Times New Roman" w:cs="Times New Roman"/>
          <w:color w:val="212121"/>
          <w:shd w:val="clear" w:color="auto" w:fill="FFFFFF"/>
        </w:rPr>
        <w:t xml:space="preserve"> can be provided, in an anonymized format, to an independent EM&amp;V contractor for analysis</w:t>
      </w:r>
      <w:r>
        <w:rPr>
          <w:rFonts w:eastAsia="Times New Roman" w:cs="Times New Roman"/>
          <w:color w:val="212121"/>
          <w:shd w:val="clear" w:color="auto" w:fill="FFFFFF"/>
        </w:rPr>
        <w:t xml:space="preserve"> subject to such EM&amp;V contractor entering into a written agreement with nest governing the use and protection of such data. </w:t>
      </w:r>
    </w:p>
    <w:p w14:paraId="5B7FB6FC" w14:textId="77777777" w:rsidR="00B73CCD" w:rsidRPr="00B73CCD" w:rsidRDefault="00B73CCD" w:rsidP="00925658">
      <w:pPr>
        <w:pStyle w:val="Normal1"/>
      </w:pPr>
    </w:p>
    <w:p w14:paraId="5CC1C215" w14:textId="296E594E" w:rsidR="00576C8C" w:rsidRDefault="007173B2">
      <w:pPr>
        <w:pStyle w:val="Normal1"/>
      </w:pPr>
      <w:r>
        <w:rPr>
          <w:b/>
        </w:rPr>
        <w:t>1.6.</w:t>
      </w:r>
      <w:r w:rsidR="00DE7F9A">
        <w:rPr>
          <w:b/>
        </w:rPr>
        <w:t>3</w:t>
      </w:r>
      <w:r>
        <w:rPr>
          <w:b/>
        </w:rPr>
        <w:t xml:space="preserve"> Data Quality</w:t>
      </w:r>
    </w:p>
    <w:p w14:paraId="103F755A" w14:textId="77777777" w:rsidR="00576C8C" w:rsidRDefault="007173B2">
      <w:pPr>
        <w:pStyle w:val="Normal1"/>
      </w:pPr>
      <w:r>
        <w:t>The data underlying the analysis for this work paper were obtained from two sources that provide the best-available data on the subject of thermostat usage by real customers in California. It is likely that this study is the largest smart thermostat energy savings study ever conducted. The two sources are:</w:t>
      </w:r>
    </w:p>
    <w:p w14:paraId="1DD4025D" w14:textId="77777777" w:rsidR="00945D39" w:rsidRDefault="00945D39">
      <w:pPr>
        <w:pStyle w:val="Normal1"/>
      </w:pPr>
    </w:p>
    <w:p w14:paraId="6D85A960" w14:textId="77777777" w:rsidR="00576C8C" w:rsidRDefault="007173B2">
      <w:pPr>
        <w:pStyle w:val="Normal1"/>
        <w:numPr>
          <w:ilvl w:val="0"/>
          <w:numId w:val="3"/>
        </w:numPr>
        <w:ind w:hanging="360"/>
      </w:pPr>
      <w:r>
        <w:t>RASS survey data:</w:t>
      </w:r>
    </w:p>
    <w:p w14:paraId="3BBFC41B" w14:textId="77777777" w:rsidR="00576C8C" w:rsidRDefault="007173B2">
      <w:pPr>
        <w:pStyle w:val="Normal1"/>
        <w:numPr>
          <w:ilvl w:val="1"/>
          <w:numId w:val="3"/>
        </w:numPr>
        <w:ind w:hanging="360"/>
      </w:pPr>
      <w:r>
        <w:t>CA customer set points and setback behavior for heating and cooling</w:t>
      </w:r>
    </w:p>
    <w:p w14:paraId="46D31FF1" w14:textId="77777777" w:rsidR="00576C8C" w:rsidRDefault="007173B2">
      <w:pPr>
        <w:pStyle w:val="Normal1"/>
        <w:numPr>
          <w:ilvl w:val="1"/>
          <w:numId w:val="3"/>
        </w:numPr>
        <w:ind w:hanging="360"/>
      </w:pPr>
      <w:r>
        <w:t>Average HVAC system sizes for CA customers</w:t>
      </w:r>
    </w:p>
    <w:p w14:paraId="2C7D3C1D" w14:textId="3215B5DA" w:rsidR="00576C8C" w:rsidRDefault="007173B2">
      <w:pPr>
        <w:pStyle w:val="Normal1"/>
        <w:numPr>
          <w:ilvl w:val="0"/>
          <w:numId w:val="3"/>
        </w:numPr>
        <w:ind w:hanging="360"/>
      </w:pPr>
      <w:r>
        <w:t>Data from more than 1</w:t>
      </w:r>
      <w:r w:rsidR="00C866B9">
        <w:t>0</w:t>
      </w:r>
      <w:r>
        <w:t>0,000 Nest Thermostats currently installed in CA:</w:t>
      </w:r>
    </w:p>
    <w:p w14:paraId="5B77FD06" w14:textId="77777777" w:rsidR="00576C8C" w:rsidRDefault="007173B2">
      <w:pPr>
        <w:pStyle w:val="Normal1"/>
        <w:numPr>
          <w:ilvl w:val="1"/>
          <w:numId w:val="3"/>
        </w:numPr>
        <w:ind w:hanging="360"/>
      </w:pPr>
      <w:r>
        <w:t>Heating and cooling comfort temperatures calculated automatically by each thermostat</w:t>
      </w:r>
    </w:p>
    <w:p w14:paraId="2532BCE0" w14:textId="77777777" w:rsidR="00576C8C" w:rsidRDefault="007173B2">
      <w:pPr>
        <w:pStyle w:val="Normal1"/>
        <w:numPr>
          <w:ilvl w:val="1"/>
          <w:numId w:val="3"/>
        </w:numPr>
        <w:ind w:hanging="360"/>
      </w:pPr>
      <w:r>
        <w:t>Actual average set points</w:t>
      </w:r>
    </w:p>
    <w:p w14:paraId="2684B438" w14:textId="77777777" w:rsidR="00576C8C" w:rsidRDefault="007173B2">
      <w:pPr>
        <w:pStyle w:val="Normal1"/>
        <w:numPr>
          <w:ilvl w:val="1"/>
          <w:numId w:val="3"/>
        </w:numPr>
        <w:ind w:hanging="360"/>
      </w:pPr>
      <w:r>
        <w:t>Actual runtime</w:t>
      </w:r>
    </w:p>
    <w:p w14:paraId="4C028FD3" w14:textId="77777777" w:rsidR="00576C8C" w:rsidRDefault="007173B2">
      <w:pPr>
        <w:pStyle w:val="Normal1"/>
        <w:numPr>
          <w:ilvl w:val="1"/>
          <w:numId w:val="3"/>
        </w:numPr>
        <w:ind w:hanging="360"/>
      </w:pPr>
      <w:r>
        <w:t>Furnace fan usage</w:t>
      </w:r>
    </w:p>
    <w:p w14:paraId="1954766F" w14:textId="77777777" w:rsidR="00576C8C" w:rsidRDefault="007173B2">
      <w:pPr>
        <w:pStyle w:val="Normal1"/>
        <w:numPr>
          <w:ilvl w:val="1"/>
          <w:numId w:val="3"/>
        </w:numPr>
        <w:ind w:hanging="360"/>
      </w:pPr>
      <w:r>
        <w:t>Divided by climate zone</w:t>
      </w:r>
    </w:p>
    <w:p w14:paraId="58503F90" w14:textId="77777777" w:rsidR="00576C8C" w:rsidRDefault="007173B2">
      <w:pPr>
        <w:pStyle w:val="Normal1"/>
        <w:numPr>
          <w:ilvl w:val="1"/>
          <w:numId w:val="3"/>
        </w:numPr>
        <w:ind w:hanging="360"/>
      </w:pPr>
      <w:r>
        <w:t>Heating and cooling data combined provides 13 million days of data</w:t>
      </w:r>
    </w:p>
    <w:p w14:paraId="4941DBB6" w14:textId="78E8BB8B" w:rsidR="004B75F7" w:rsidRDefault="004B75F7">
      <w:pPr>
        <w:pStyle w:val="Normal1"/>
        <w:numPr>
          <w:ilvl w:val="1"/>
          <w:numId w:val="3"/>
        </w:numPr>
        <w:ind w:hanging="360"/>
      </w:pPr>
      <w:r>
        <w:t xml:space="preserve">No thermostats were excluded from the analysis ensuring the average savings estimates incorporate energy increases and decreases </w:t>
      </w:r>
    </w:p>
    <w:p w14:paraId="5423AA12" w14:textId="77777777" w:rsidR="005D3D49" w:rsidRDefault="005D3D49">
      <w:pPr>
        <w:pStyle w:val="Normal1"/>
      </w:pPr>
    </w:p>
    <w:p w14:paraId="2D3B6CE0" w14:textId="77777777" w:rsidR="006727AD" w:rsidRDefault="006727AD">
      <w:pPr>
        <w:pStyle w:val="Normal1"/>
        <w:rPr>
          <w:b/>
        </w:rPr>
      </w:pPr>
    </w:p>
    <w:p w14:paraId="2B2D82AB" w14:textId="711E1AA1" w:rsidR="00576C8C" w:rsidRDefault="007173B2">
      <w:pPr>
        <w:pStyle w:val="Normal1"/>
      </w:pPr>
      <w:r>
        <w:rPr>
          <w:b/>
        </w:rPr>
        <w:lastRenderedPageBreak/>
        <w:t>1.6.</w:t>
      </w:r>
      <w:r w:rsidR="00DE7F9A">
        <w:rPr>
          <w:b/>
        </w:rPr>
        <w:t>4</w:t>
      </w:r>
      <w:r>
        <w:rPr>
          <w:b/>
        </w:rPr>
        <w:t xml:space="preserve"> Future Data Needs</w:t>
      </w:r>
    </w:p>
    <w:p w14:paraId="0BFA9671" w14:textId="77777777" w:rsidR="00576C8C" w:rsidRDefault="007173B2">
      <w:pPr>
        <w:pStyle w:val="Normal1"/>
        <w:spacing w:line="276" w:lineRule="auto"/>
      </w:pPr>
      <w:r>
        <w:rPr>
          <w:u w:val="single"/>
        </w:rPr>
        <w:t>Firmware Updates</w:t>
      </w:r>
    </w:p>
    <w:p w14:paraId="276A28FF" w14:textId="77777777" w:rsidR="00576C8C" w:rsidRDefault="007173B2">
      <w:pPr>
        <w:pStyle w:val="Normal1"/>
        <w:spacing w:line="276" w:lineRule="auto"/>
      </w:pPr>
      <w:r>
        <w:t xml:space="preserve">One of the benefits of connected products within the home is that they can be easily updated with the latest software to help ensure they stay up to date. Many of the thermostats that will meet the requirements of this </w:t>
      </w:r>
      <w:proofErr w:type="spellStart"/>
      <w:r>
        <w:t>workpaper</w:t>
      </w:r>
      <w:proofErr w:type="spellEnd"/>
      <w:r>
        <w:t xml:space="preserve"> will have the capability to do “over-the-air” firmware updates. In general, these updates will benefit customers through increased functionality, security, and likely increased energy savings. It is worth noting, that to remain eligible, devices need to continue to maintain the ability to meet the technical requirements outlined in Section 1.2 Technical Description.</w:t>
      </w:r>
    </w:p>
    <w:p w14:paraId="2EB37E1A" w14:textId="77777777" w:rsidR="00576C8C" w:rsidRDefault="00576C8C">
      <w:pPr>
        <w:pStyle w:val="Normal1"/>
        <w:spacing w:line="276" w:lineRule="auto"/>
      </w:pPr>
    </w:p>
    <w:p w14:paraId="36F97F84" w14:textId="77777777" w:rsidR="00576C8C" w:rsidRDefault="007173B2">
      <w:pPr>
        <w:pStyle w:val="Normal1"/>
        <w:spacing w:line="276" w:lineRule="auto"/>
      </w:pPr>
      <w:r>
        <w:rPr>
          <w:u w:val="single"/>
        </w:rPr>
        <w:t>Coincident Peak Demand</w:t>
      </w:r>
    </w:p>
    <w:p w14:paraId="1C9DBD27" w14:textId="77777777" w:rsidR="00576C8C" w:rsidRDefault="007173B2">
      <w:pPr>
        <w:pStyle w:val="Normal1"/>
        <w:spacing w:line="276" w:lineRule="auto"/>
      </w:pPr>
      <w:r>
        <w:t xml:space="preserve">A future iteration of this work paper would benefit from a study of the coincident peak demand reduction delivered by smart thermostats. </w:t>
      </w:r>
    </w:p>
    <w:p w14:paraId="6A6E3E9B" w14:textId="77777777" w:rsidR="00576C8C" w:rsidRDefault="00576C8C">
      <w:pPr>
        <w:pStyle w:val="Normal1"/>
        <w:spacing w:line="276" w:lineRule="auto"/>
      </w:pPr>
    </w:p>
    <w:p w14:paraId="2264BE6A" w14:textId="77777777" w:rsidR="00576C8C" w:rsidRDefault="007173B2">
      <w:pPr>
        <w:pStyle w:val="Normal1"/>
        <w:spacing w:line="276" w:lineRule="auto"/>
      </w:pPr>
      <w:r>
        <w:rPr>
          <w:u w:val="single"/>
        </w:rPr>
        <w:t>Baseline Adjustment Factors</w:t>
      </w:r>
    </w:p>
    <w:p w14:paraId="0DE9B6E3" w14:textId="62E93761" w:rsidR="00576C8C" w:rsidRDefault="007173B2">
      <w:pPr>
        <w:pStyle w:val="Normal1"/>
        <w:spacing w:line="276" w:lineRule="auto"/>
      </w:pPr>
      <w:proofErr w:type="spellStart"/>
      <w:r>
        <w:t>CalTF</w:t>
      </w:r>
      <w:proofErr w:type="spellEnd"/>
      <w:r>
        <w:t xml:space="preserve"> members discussed the fact that the RASS Base Case Calibration factor as outlined in Section 2.</w:t>
      </w:r>
      <w:r w:rsidR="00442407">
        <w:t>3.5</w:t>
      </w:r>
      <w:r>
        <w:t xml:space="preserve"> results in savings estimates that are likely too conservative, as they remove all energy savings benefits from customers who have a setback schedule, ignoring the impacts of features like Auto-Away that reduce HVAC usage when a customer is not home. Future analysis could be completed to refine the approach - potentially through updated surveys as well as a potential billing data study, if it is possible to capture a large enough sample size to be relevant. </w:t>
      </w:r>
    </w:p>
    <w:p w14:paraId="5A19D5CA" w14:textId="77777777" w:rsidR="00576C8C" w:rsidRDefault="00576C8C">
      <w:pPr>
        <w:pStyle w:val="Normal1"/>
        <w:spacing w:line="276" w:lineRule="auto"/>
      </w:pPr>
    </w:p>
    <w:p w14:paraId="2C2B907C" w14:textId="77777777" w:rsidR="00576C8C" w:rsidRDefault="007173B2">
      <w:pPr>
        <w:pStyle w:val="Normal1"/>
        <w:spacing w:line="276" w:lineRule="auto"/>
      </w:pPr>
      <w:r>
        <w:rPr>
          <w:u w:val="single"/>
        </w:rPr>
        <w:t>Installation</w:t>
      </w:r>
    </w:p>
    <w:p w14:paraId="1E52A051" w14:textId="77777777" w:rsidR="00576C8C" w:rsidRDefault="007173B2">
      <w:pPr>
        <w:pStyle w:val="Normal1"/>
        <w:spacing w:line="276" w:lineRule="auto"/>
      </w:pPr>
      <w:r>
        <w:t xml:space="preserve">To help address concerns about rebated devices getting installed in California (versus a customer purchasing and not installing, or purchasing in CA and getting a rebate, but installing outside of CA), the IOU’s could collect the device serial number for the eligible thermostats during the rebate application process and then get semi-regular reports from device manufacturers that includes data on the percent of devices that were installed in CA. </w:t>
      </w:r>
    </w:p>
    <w:p w14:paraId="62DD10E6" w14:textId="77777777" w:rsidR="00576C8C" w:rsidRDefault="00576C8C">
      <w:pPr>
        <w:pStyle w:val="Normal1"/>
        <w:spacing w:line="276" w:lineRule="auto"/>
      </w:pPr>
    </w:p>
    <w:p w14:paraId="55DE40B6" w14:textId="77777777" w:rsidR="00576C8C" w:rsidRDefault="007173B2">
      <w:pPr>
        <w:pStyle w:val="Normal1"/>
        <w:spacing w:line="276" w:lineRule="auto"/>
      </w:pPr>
      <w:r>
        <w:rPr>
          <w:u w:val="single"/>
        </w:rPr>
        <w:t>Behavior Savings</w:t>
      </w:r>
    </w:p>
    <w:p w14:paraId="01DB8A97" w14:textId="03C167F4" w:rsidR="00B139D1" w:rsidRDefault="007173B2">
      <w:pPr>
        <w:pStyle w:val="Normal1"/>
        <w:spacing w:after="160" w:line="248" w:lineRule="auto"/>
        <w:rPr>
          <w:color w:val="FF0000"/>
        </w:rPr>
      </w:pPr>
      <w:r>
        <w:rPr>
          <w:highlight w:val="white"/>
        </w:rPr>
        <w:t>Smart Thermostats have may features built into them to automate energy savings for customers. In addition, many of them include features that engage customers further with their energy usage - such as monthly reports and phone and web applications. The calculation methodology outlined in Section 2 of this document</w:t>
      </w:r>
      <w:r w:rsidR="00867E3D">
        <w:rPr>
          <w:highlight w:val="white"/>
        </w:rPr>
        <w:t xml:space="preserve"> does</w:t>
      </w:r>
      <w:r w:rsidR="00D53BB2">
        <w:rPr>
          <w:highlight w:val="white"/>
        </w:rPr>
        <w:t xml:space="preserve"> not</w:t>
      </w:r>
      <w:r>
        <w:rPr>
          <w:highlight w:val="white"/>
        </w:rPr>
        <w:t xml:space="preserve"> include any incremental savings driven through behavior change (</w:t>
      </w:r>
      <w:r w:rsidR="00B93157">
        <w:rPr>
          <w:highlight w:val="white"/>
        </w:rPr>
        <w:t xml:space="preserve">non-smart thermostat driven </w:t>
      </w:r>
      <w:r>
        <w:rPr>
          <w:highlight w:val="white"/>
        </w:rPr>
        <w:t xml:space="preserve">behavioral savings) as the savings estimates are calculated through HVAC system run time reduction, not whole house billing analysis. A future study could include aspects to determine if incremental behavior savings are present. Not including those savings further supports the conservative savings estimates </w:t>
      </w:r>
      <w:r w:rsidR="006825A2">
        <w:rPr>
          <w:highlight w:val="white"/>
        </w:rPr>
        <w:t xml:space="preserve">outlined </w:t>
      </w:r>
      <w:r>
        <w:rPr>
          <w:highlight w:val="white"/>
        </w:rPr>
        <w:t xml:space="preserve">in this </w:t>
      </w:r>
      <w:proofErr w:type="spellStart"/>
      <w:r>
        <w:rPr>
          <w:highlight w:val="white"/>
        </w:rPr>
        <w:t>workpaper</w:t>
      </w:r>
      <w:proofErr w:type="spellEnd"/>
      <w:r>
        <w:rPr>
          <w:highlight w:val="white"/>
        </w:rPr>
        <w:t>. This is fu</w:t>
      </w:r>
      <w:r w:rsidR="00E33D77">
        <w:rPr>
          <w:highlight w:val="white"/>
        </w:rPr>
        <w:t>rther discussed in Section 2.</w:t>
      </w:r>
      <w:r w:rsidR="00307F28">
        <w:rPr>
          <w:highlight w:val="white"/>
        </w:rPr>
        <w:t>3.1</w:t>
      </w:r>
      <w:r w:rsidR="00B46473">
        <w:rPr>
          <w:highlight w:val="white"/>
        </w:rPr>
        <w:t xml:space="preserve">1 </w:t>
      </w:r>
      <w:r>
        <w:rPr>
          <w:highlight w:val="white"/>
        </w:rPr>
        <w:t>Conservative Assumptions.</w:t>
      </w:r>
      <w:r>
        <w:rPr>
          <w:color w:val="FF0000"/>
          <w:highlight w:val="white"/>
        </w:rPr>
        <w:t xml:space="preserve"> </w:t>
      </w:r>
    </w:p>
    <w:p w14:paraId="01D70FDD" w14:textId="32885133" w:rsidR="00B139D1" w:rsidRPr="00FA4EBE" w:rsidRDefault="00B139D1">
      <w:pPr>
        <w:pStyle w:val="Normal1"/>
        <w:spacing w:after="160" w:line="248" w:lineRule="auto"/>
        <w:rPr>
          <w:color w:val="auto"/>
          <w:u w:val="single"/>
        </w:rPr>
      </w:pPr>
      <w:r w:rsidRPr="00FA4EBE">
        <w:rPr>
          <w:color w:val="auto"/>
          <w:u w:val="single"/>
        </w:rPr>
        <w:t xml:space="preserve">Net-To-Gross Evaluation Study </w:t>
      </w:r>
    </w:p>
    <w:p w14:paraId="5E606240" w14:textId="01E532F3" w:rsidR="00B139D1" w:rsidRPr="005F2C83" w:rsidRDefault="005F2C83" w:rsidP="005F2C83">
      <w:pPr>
        <w:pStyle w:val="Normal1"/>
        <w:spacing w:before="40" w:after="40"/>
      </w:pPr>
      <w:r>
        <w:t xml:space="preserve">It is recommended that an EM&amp;V study be designed and completed to capture appropriate customer survey data and information needed to update the default NTG value. </w:t>
      </w:r>
    </w:p>
    <w:p w14:paraId="32383C79" w14:textId="77777777" w:rsidR="00576C8C" w:rsidRDefault="007173B2">
      <w:pPr>
        <w:pStyle w:val="Heading1"/>
        <w:keepNext w:val="0"/>
      </w:pPr>
      <w:r>
        <w:lastRenderedPageBreak/>
        <w:t>Section 2. Calculation Methodology</w:t>
      </w:r>
    </w:p>
    <w:p w14:paraId="3274BF55" w14:textId="77777777" w:rsidR="00576C8C" w:rsidRDefault="007173B2">
      <w:pPr>
        <w:pStyle w:val="Normal1"/>
        <w:spacing w:before="40" w:after="40"/>
      </w:pPr>
      <w:r>
        <w:rPr>
          <w:highlight w:val="white"/>
        </w:rPr>
        <w:t xml:space="preserve">The calculation methodology outlined in this section is a large scale analysis of the efficiency of Nest customer thermostat set point schedules with projected heating and cooling savings as compared to baseline behavior using pooled Fixed Regression Model and Comfort Temperature Analysis. </w:t>
      </w:r>
    </w:p>
    <w:p w14:paraId="43DCDD65" w14:textId="77777777" w:rsidR="00576C8C" w:rsidRDefault="00576C8C">
      <w:pPr>
        <w:pStyle w:val="Normal1"/>
        <w:spacing w:before="40" w:after="40"/>
      </w:pPr>
    </w:p>
    <w:p w14:paraId="696B7A7B" w14:textId="7B6B4BC6" w:rsidR="00945D39" w:rsidRDefault="007173B2">
      <w:pPr>
        <w:pStyle w:val="Normal1"/>
        <w:spacing w:before="40" w:after="40"/>
      </w:pPr>
      <w:r>
        <w:rPr>
          <w:highlight w:val="white"/>
        </w:rPr>
        <w:t xml:space="preserve">The table below outlines the differences between this </w:t>
      </w:r>
      <w:proofErr w:type="spellStart"/>
      <w:r>
        <w:rPr>
          <w:highlight w:val="white"/>
        </w:rPr>
        <w:t>workpaper</w:t>
      </w:r>
      <w:proofErr w:type="spellEnd"/>
      <w:r>
        <w:rPr>
          <w:highlight w:val="white"/>
        </w:rPr>
        <w:t xml:space="preserve"> and the initial interim gas savings </w:t>
      </w:r>
      <w:proofErr w:type="spellStart"/>
      <w:r>
        <w:rPr>
          <w:highlight w:val="white"/>
        </w:rPr>
        <w:t>workpaper</w:t>
      </w:r>
      <w:proofErr w:type="spellEnd"/>
      <w:r>
        <w:rPr>
          <w:highlight w:val="white"/>
        </w:rPr>
        <w:t xml:space="preserve"> submitted by Southern California Gas Company.</w:t>
      </w:r>
    </w:p>
    <w:tbl>
      <w:tblPr>
        <w:tblStyle w:val="af0"/>
        <w:tblW w:w="936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3120"/>
        <w:gridCol w:w="3120"/>
        <w:gridCol w:w="3120"/>
      </w:tblGrid>
      <w:tr w:rsidR="00576C8C" w:rsidRPr="00206AE1" w14:paraId="774130D4" w14:textId="77777777" w:rsidTr="00206AE1">
        <w:tc>
          <w:tcPr>
            <w:tcW w:w="3120" w:type="dxa"/>
            <w:shd w:val="clear" w:color="auto" w:fill="D9D9D9" w:themeFill="background1" w:themeFillShade="D9"/>
            <w:tcMar>
              <w:top w:w="100" w:type="dxa"/>
              <w:left w:w="100" w:type="dxa"/>
              <w:bottom w:w="100" w:type="dxa"/>
              <w:right w:w="100" w:type="dxa"/>
            </w:tcMar>
          </w:tcPr>
          <w:p w14:paraId="608F6F8C" w14:textId="77777777" w:rsidR="00576C8C" w:rsidRPr="00206AE1" w:rsidRDefault="007173B2">
            <w:pPr>
              <w:pStyle w:val="Normal1"/>
              <w:widowControl w:val="0"/>
              <w:contextualSpacing w:val="0"/>
              <w:rPr>
                <w:sz w:val="20"/>
                <w:szCs w:val="20"/>
              </w:rPr>
            </w:pPr>
            <w:r w:rsidRPr="00206AE1">
              <w:rPr>
                <w:b/>
                <w:sz w:val="20"/>
                <w:szCs w:val="20"/>
              </w:rPr>
              <w:t>Work Paper Input</w:t>
            </w:r>
          </w:p>
        </w:tc>
        <w:tc>
          <w:tcPr>
            <w:tcW w:w="3120" w:type="dxa"/>
            <w:shd w:val="clear" w:color="auto" w:fill="D9D9D9" w:themeFill="background1" w:themeFillShade="D9"/>
            <w:tcMar>
              <w:top w:w="100" w:type="dxa"/>
              <w:left w:w="100" w:type="dxa"/>
              <w:bottom w:w="100" w:type="dxa"/>
              <w:right w:w="100" w:type="dxa"/>
            </w:tcMar>
          </w:tcPr>
          <w:p w14:paraId="79B7346F" w14:textId="77777777" w:rsidR="00576C8C" w:rsidRPr="00206AE1" w:rsidRDefault="007173B2">
            <w:pPr>
              <w:pStyle w:val="Normal1"/>
              <w:widowControl w:val="0"/>
              <w:contextualSpacing w:val="0"/>
              <w:rPr>
                <w:sz w:val="20"/>
                <w:szCs w:val="20"/>
              </w:rPr>
            </w:pPr>
            <w:r w:rsidRPr="00206AE1">
              <w:rPr>
                <w:b/>
                <w:sz w:val="20"/>
                <w:szCs w:val="20"/>
              </w:rPr>
              <w:t>SCG Work Paper (previously submitted)</w:t>
            </w:r>
          </w:p>
        </w:tc>
        <w:tc>
          <w:tcPr>
            <w:tcW w:w="3120" w:type="dxa"/>
            <w:shd w:val="clear" w:color="auto" w:fill="D9D9D9" w:themeFill="background1" w:themeFillShade="D9"/>
            <w:tcMar>
              <w:top w:w="100" w:type="dxa"/>
              <w:left w:w="100" w:type="dxa"/>
              <w:bottom w:w="100" w:type="dxa"/>
              <w:right w:w="100" w:type="dxa"/>
            </w:tcMar>
          </w:tcPr>
          <w:p w14:paraId="046379B8" w14:textId="77777777" w:rsidR="00576C8C" w:rsidRPr="00206AE1" w:rsidRDefault="007173B2">
            <w:pPr>
              <w:pStyle w:val="Normal1"/>
              <w:widowControl w:val="0"/>
              <w:contextualSpacing w:val="0"/>
              <w:rPr>
                <w:sz w:val="20"/>
                <w:szCs w:val="20"/>
              </w:rPr>
            </w:pPr>
            <w:r w:rsidRPr="00206AE1">
              <w:rPr>
                <w:b/>
                <w:sz w:val="20"/>
                <w:szCs w:val="20"/>
              </w:rPr>
              <w:t>Nest-SCE Work Paper (this document)</w:t>
            </w:r>
          </w:p>
        </w:tc>
      </w:tr>
      <w:tr w:rsidR="00576C8C" w:rsidRPr="00206AE1" w14:paraId="3B4AC6C4" w14:textId="77777777">
        <w:tc>
          <w:tcPr>
            <w:tcW w:w="3120" w:type="dxa"/>
            <w:tcMar>
              <w:top w:w="100" w:type="dxa"/>
              <w:left w:w="100" w:type="dxa"/>
              <w:bottom w:w="100" w:type="dxa"/>
              <w:right w:w="100" w:type="dxa"/>
            </w:tcMar>
          </w:tcPr>
          <w:p w14:paraId="1AFB1C92" w14:textId="77777777" w:rsidR="00576C8C" w:rsidRPr="00206AE1" w:rsidRDefault="007173B2">
            <w:pPr>
              <w:pStyle w:val="Normal1"/>
              <w:widowControl w:val="0"/>
              <w:contextualSpacing w:val="0"/>
              <w:rPr>
                <w:sz w:val="20"/>
                <w:szCs w:val="20"/>
              </w:rPr>
            </w:pPr>
            <w:r w:rsidRPr="00206AE1">
              <w:rPr>
                <w:b/>
                <w:sz w:val="20"/>
                <w:szCs w:val="20"/>
              </w:rPr>
              <w:t>Study design</w:t>
            </w:r>
          </w:p>
        </w:tc>
        <w:tc>
          <w:tcPr>
            <w:tcW w:w="3120" w:type="dxa"/>
            <w:tcMar>
              <w:top w:w="100" w:type="dxa"/>
              <w:left w:w="100" w:type="dxa"/>
              <w:bottom w:w="100" w:type="dxa"/>
              <w:right w:w="100" w:type="dxa"/>
            </w:tcMar>
          </w:tcPr>
          <w:p w14:paraId="2E83C1B7" w14:textId="77777777" w:rsidR="00576C8C" w:rsidRPr="00206AE1" w:rsidRDefault="007173B2">
            <w:pPr>
              <w:pStyle w:val="Normal1"/>
              <w:widowControl w:val="0"/>
              <w:contextualSpacing w:val="0"/>
              <w:rPr>
                <w:sz w:val="20"/>
                <w:szCs w:val="20"/>
              </w:rPr>
            </w:pPr>
            <w:r w:rsidRPr="00206AE1">
              <w:rPr>
                <w:sz w:val="20"/>
                <w:szCs w:val="20"/>
              </w:rPr>
              <w:t>RCT with matched control group</w:t>
            </w:r>
          </w:p>
        </w:tc>
        <w:tc>
          <w:tcPr>
            <w:tcW w:w="3120" w:type="dxa"/>
            <w:tcMar>
              <w:top w:w="100" w:type="dxa"/>
              <w:left w:w="100" w:type="dxa"/>
              <w:bottom w:w="100" w:type="dxa"/>
              <w:right w:w="100" w:type="dxa"/>
            </w:tcMar>
          </w:tcPr>
          <w:p w14:paraId="0FAB578F" w14:textId="77777777" w:rsidR="00576C8C" w:rsidRPr="00206AE1" w:rsidRDefault="007173B2">
            <w:pPr>
              <w:pStyle w:val="Normal1"/>
              <w:widowControl w:val="0"/>
              <w:contextualSpacing w:val="0"/>
              <w:rPr>
                <w:sz w:val="20"/>
                <w:szCs w:val="20"/>
              </w:rPr>
            </w:pPr>
            <w:r w:rsidRPr="00206AE1">
              <w:rPr>
                <w:sz w:val="20"/>
                <w:szCs w:val="20"/>
              </w:rPr>
              <w:t>Pooled fixed effects regression model and comfort temperature set point analysis</w:t>
            </w:r>
          </w:p>
        </w:tc>
      </w:tr>
      <w:tr w:rsidR="00576C8C" w:rsidRPr="00206AE1" w14:paraId="28FC179C" w14:textId="77777777">
        <w:tc>
          <w:tcPr>
            <w:tcW w:w="3120" w:type="dxa"/>
            <w:tcMar>
              <w:top w:w="100" w:type="dxa"/>
              <w:left w:w="100" w:type="dxa"/>
              <w:bottom w:w="100" w:type="dxa"/>
              <w:right w:w="100" w:type="dxa"/>
            </w:tcMar>
          </w:tcPr>
          <w:p w14:paraId="3EB8216C" w14:textId="77777777" w:rsidR="00576C8C" w:rsidRPr="00206AE1" w:rsidRDefault="007173B2">
            <w:pPr>
              <w:pStyle w:val="Normal1"/>
              <w:widowControl w:val="0"/>
              <w:contextualSpacing w:val="0"/>
              <w:rPr>
                <w:sz w:val="20"/>
                <w:szCs w:val="20"/>
              </w:rPr>
            </w:pPr>
            <w:r w:rsidRPr="00206AE1">
              <w:rPr>
                <w:b/>
                <w:sz w:val="20"/>
                <w:szCs w:val="20"/>
              </w:rPr>
              <w:t>Sample size</w:t>
            </w:r>
          </w:p>
        </w:tc>
        <w:tc>
          <w:tcPr>
            <w:tcW w:w="3120" w:type="dxa"/>
            <w:tcMar>
              <w:top w:w="100" w:type="dxa"/>
              <w:left w:w="100" w:type="dxa"/>
              <w:bottom w:w="100" w:type="dxa"/>
              <w:right w:w="100" w:type="dxa"/>
            </w:tcMar>
          </w:tcPr>
          <w:p w14:paraId="38E70C5E" w14:textId="77777777" w:rsidR="00576C8C" w:rsidRPr="00206AE1" w:rsidRDefault="007173B2">
            <w:pPr>
              <w:pStyle w:val="Normal1"/>
              <w:widowControl w:val="0"/>
              <w:contextualSpacing w:val="0"/>
              <w:rPr>
                <w:sz w:val="20"/>
                <w:szCs w:val="20"/>
              </w:rPr>
            </w:pPr>
            <w:r w:rsidRPr="00206AE1">
              <w:rPr>
                <w:sz w:val="20"/>
                <w:szCs w:val="20"/>
              </w:rPr>
              <w:t>~500 thermostats</w:t>
            </w:r>
          </w:p>
        </w:tc>
        <w:tc>
          <w:tcPr>
            <w:tcW w:w="3120" w:type="dxa"/>
            <w:tcMar>
              <w:top w:w="100" w:type="dxa"/>
              <w:left w:w="100" w:type="dxa"/>
              <w:bottom w:w="100" w:type="dxa"/>
              <w:right w:w="100" w:type="dxa"/>
            </w:tcMar>
          </w:tcPr>
          <w:p w14:paraId="12D24DB7" w14:textId="547DCF2D" w:rsidR="00576C8C" w:rsidRPr="00206AE1" w:rsidRDefault="007173B2">
            <w:pPr>
              <w:pStyle w:val="Normal1"/>
              <w:widowControl w:val="0"/>
              <w:contextualSpacing w:val="0"/>
              <w:rPr>
                <w:sz w:val="20"/>
                <w:szCs w:val="20"/>
              </w:rPr>
            </w:pPr>
            <w:r w:rsidRPr="00206AE1">
              <w:rPr>
                <w:sz w:val="20"/>
                <w:szCs w:val="20"/>
              </w:rPr>
              <w:t>Over 1</w:t>
            </w:r>
            <w:r w:rsidR="00DE7F9A" w:rsidRPr="00206AE1">
              <w:rPr>
                <w:sz w:val="20"/>
                <w:szCs w:val="20"/>
              </w:rPr>
              <w:t>5</w:t>
            </w:r>
            <w:r w:rsidRPr="00206AE1">
              <w:rPr>
                <w:sz w:val="20"/>
                <w:szCs w:val="20"/>
              </w:rPr>
              <w:t xml:space="preserve">0,000 thermostats </w:t>
            </w:r>
            <w:r w:rsidR="00946080" w:rsidRPr="00206AE1">
              <w:rPr>
                <w:sz w:val="20"/>
                <w:szCs w:val="20"/>
              </w:rPr>
              <w:t>(CA Specific)</w:t>
            </w:r>
          </w:p>
        </w:tc>
      </w:tr>
      <w:tr w:rsidR="00576C8C" w:rsidRPr="00206AE1" w14:paraId="1E001D14" w14:textId="77777777">
        <w:tc>
          <w:tcPr>
            <w:tcW w:w="3120" w:type="dxa"/>
            <w:tcMar>
              <w:top w:w="100" w:type="dxa"/>
              <w:left w:w="100" w:type="dxa"/>
              <w:bottom w:w="100" w:type="dxa"/>
              <w:right w:w="100" w:type="dxa"/>
            </w:tcMar>
          </w:tcPr>
          <w:p w14:paraId="6A228300" w14:textId="77777777" w:rsidR="00576C8C" w:rsidRPr="00206AE1" w:rsidRDefault="007173B2">
            <w:pPr>
              <w:pStyle w:val="Normal1"/>
              <w:widowControl w:val="0"/>
              <w:contextualSpacing w:val="0"/>
              <w:rPr>
                <w:sz w:val="20"/>
                <w:szCs w:val="20"/>
              </w:rPr>
            </w:pPr>
            <w:r w:rsidRPr="00206AE1">
              <w:rPr>
                <w:b/>
                <w:sz w:val="20"/>
                <w:szCs w:val="20"/>
              </w:rPr>
              <w:t>Data Collection Period</w:t>
            </w:r>
          </w:p>
        </w:tc>
        <w:tc>
          <w:tcPr>
            <w:tcW w:w="3120" w:type="dxa"/>
            <w:tcMar>
              <w:top w:w="100" w:type="dxa"/>
              <w:left w:w="100" w:type="dxa"/>
              <w:bottom w:w="100" w:type="dxa"/>
              <w:right w:w="100" w:type="dxa"/>
            </w:tcMar>
          </w:tcPr>
          <w:p w14:paraId="49089434" w14:textId="77777777" w:rsidR="00576C8C" w:rsidRPr="00206AE1" w:rsidRDefault="007173B2">
            <w:pPr>
              <w:pStyle w:val="Normal1"/>
              <w:widowControl w:val="0"/>
              <w:contextualSpacing w:val="0"/>
              <w:rPr>
                <w:sz w:val="20"/>
                <w:szCs w:val="20"/>
              </w:rPr>
            </w:pPr>
            <w:r w:rsidRPr="00206AE1">
              <w:rPr>
                <w:sz w:val="20"/>
                <w:szCs w:val="20"/>
              </w:rPr>
              <w:t>Winter 2014 - 2015</w:t>
            </w:r>
          </w:p>
        </w:tc>
        <w:tc>
          <w:tcPr>
            <w:tcW w:w="3120" w:type="dxa"/>
            <w:tcMar>
              <w:top w:w="100" w:type="dxa"/>
              <w:left w:w="100" w:type="dxa"/>
              <w:bottom w:w="100" w:type="dxa"/>
              <w:right w:w="100" w:type="dxa"/>
            </w:tcMar>
          </w:tcPr>
          <w:p w14:paraId="692A7CBC" w14:textId="77777777" w:rsidR="00576C8C" w:rsidRPr="00206AE1" w:rsidRDefault="007173B2">
            <w:pPr>
              <w:pStyle w:val="Normal1"/>
              <w:widowControl w:val="0"/>
              <w:contextualSpacing w:val="0"/>
              <w:rPr>
                <w:sz w:val="20"/>
                <w:szCs w:val="20"/>
              </w:rPr>
            </w:pPr>
            <w:r w:rsidRPr="00206AE1">
              <w:rPr>
                <w:sz w:val="20"/>
                <w:szCs w:val="20"/>
              </w:rPr>
              <w:t>May 2015 – April 2016</w:t>
            </w:r>
          </w:p>
        </w:tc>
      </w:tr>
      <w:tr w:rsidR="00576C8C" w:rsidRPr="00206AE1" w14:paraId="0B4A0626" w14:textId="77777777">
        <w:tc>
          <w:tcPr>
            <w:tcW w:w="3120" w:type="dxa"/>
            <w:tcMar>
              <w:top w:w="100" w:type="dxa"/>
              <w:left w:w="100" w:type="dxa"/>
              <w:bottom w:w="100" w:type="dxa"/>
              <w:right w:w="100" w:type="dxa"/>
            </w:tcMar>
          </w:tcPr>
          <w:p w14:paraId="05684782" w14:textId="77777777" w:rsidR="00576C8C" w:rsidRPr="00206AE1" w:rsidRDefault="007173B2">
            <w:pPr>
              <w:pStyle w:val="Normal1"/>
              <w:widowControl w:val="0"/>
              <w:contextualSpacing w:val="0"/>
              <w:rPr>
                <w:sz w:val="20"/>
                <w:szCs w:val="20"/>
              </w:rPr>
            </w:pPr>
            <w:r w:rsidRPr="00206AE1">
              <w:rPr>
                <w:b/>
                <w:sz w:val="20"/>
                <w:szCs w:val="20"/>
              </w:rPr>
              <w:t>Climate zones captured in input data set</w:t>
            </w:r>
          </w:p>
        </w:tc>
        <w:tc>
          <w:tcPr>
            <w:tcW w:w="3120" w:type="dxa"/>
            <w:tcMar>
              <w:top w:w="100" w:type="dxa"/>
              <w:left w:w="100" w:type="dxa"/>
              <w:bottom w:w="100" w:type="dxa"/>
              <w:right w:w="100" w:type="dxa"/>
            </w:tcMar>
          </w:tcPr>
          <w:p w14:paraId="0C8C0565" w14:textId="77777777" w:rsidR="00576C8C" w:rsidRPr="00206AE1" w:rsidRDefault="007173B2">
            <w:pPr>
              <w:pStyle w:val="Normal1"/>
              <w:widowControl w:val="0"/>
              <w:contextualSpacing w:val="0"/>
              <w:rPr>
                <w:sz w:val="20"/>
                <w:szCs w:val="20"/>
              </w:rPr>
            </w:pPr>
            <w:r w:rsidRPr="00206AE1">
              <w:rPr>
                <w:sz w:val="20"/>
                <w:szCs w:val="20"/>
              </w:rPr>
              <w:t>8, 9, 10, 15, 16</w:t>
            </w:r>
          </w:p>
        </w:tc>
        <w:tc>
          <w:tcPr>
            <w:tcW w:w="3120" w:type="dxa"/>
            <w:tcMar>
              <w:top w:w="100" w:type="dxa"/>
              <w:left w:w="100" w:type="dxa"/>
              <w:bottom w:w="100" w:type="dxa"/>
              <w:right w:w="100" w:type="dxa"/>
            </w:tcMar>
          </w:tcPr>
          <w:p w14:paraId="72B7ABE3" w14:textId="77777777" w:rsidR="00576C8C" w:rsidRPr="00206AE1" w:rsidRDefault="007173B2">
            <w:pPr>
              <w:pStyle w:val="Normal1"/>
              <w:widowControl w:val="0"/>
              <w:contextualSpacing w:val="0"/>
              <w:rPr>
                <w:sz w:val="20"/>
                <w:szCs w:val="20"/>
              </w:rPr>
            </w:pPr>
            <w:r w:rsidRPr="00206AE1">
              <w:rPr>
                <w:sz w:val="20"/>
                <w:szCs w:val="20"/>
              </w:rPr>
              <w:t>1 (heating only), 2, 3, 4, 5, 6, 7, 8, 9, 10, 11, 12, 13, 14, 15, 16</w:t>
            </w:r>
          </w:p>
        </w:tc>
      </w:tr>
      <w:tr w:rsidR="00576C8C" w:rsidRPr="00206AE1" w14:paraId="4ED6131F" w14:textId="77777777">
        <w:tc>
          <w:tcPr>
            <w:tcW w:w="3120" w:type="dxa"/>
            <w:tcMar>
              <w:top w:w="100" w:type="dxa"/>
              <w:left w:w="100" w:type="dxa"/>
              <w:bottom w:w="100" w:type="dxa"/>
              <w:right w:w="100" w:type="dxa"/>
            </w:tcMar>
          </w:tcPr>
          <w:p w14:paraId="31DA9BD3" w14:textId="77777777" w:rsidR="00576C8C" w:rsidRPr="00206AE1" w:rsidRDefault="007173B2">
            <w:pPr>
              <w:pStyle w:val="Normal1"/>
              <w:widowControl w:val="0"/>
              <w:contextualSpacing w:val="0"/>
              <w:rPr>
                <w:sz w:val="20"/>
                <w:szCs w:val="20"/>
              </w:rPr>
            </w:pPr>
            <w:r w:rsidRPr="00206AE1">
              <w:rPr>
                <w:b/>
                <w:sz w:val="20"/>
                <w:szCs w:val="20"/>
              </w:rPr>
              <w:t>End-uses analyzed</w:t>
            </w:r>
          </w:p>
        </w:tc>
        <w:tc>
          <w:tcPr>
            <w:tcW w:w="3120" w:type="dxa"/>
            <w:tcMar>
              <w:top w:w="100" w:type="dxa"/>
              <w:left w:w="100" w:type="dxa"/>
              <w:bottom w:w="100" w:type="dxa"/>
              <w:right w:w="100" w:type="dxa"/>
            </w:tcMar>
          </w:tcPr>
          <w:p w14:paraId="2A98B416" w14:textId="77777777" w:rsidR="00576C8C" w:rsidRPr="00206AE1" w:rsidRDefault="007173B2">
            <w:pPr>
              <w:pStyle w:val="Normal1"/>
              <w:widowControl w:val="0"/>
              <w:contextualSpacing w:val="0"/>
              <w:rPr>
                <w:sz w:val="20"/>
                <w:szCs w:val="20"/>
              </w:rPr>
            </w:pPr>
            <w:r w:rsidRPr="00206AE1">
              <w:rPr>
                <w:sz w:val="20"/>
                <w:szCs w:val="20"/>
              </w:rPr>
              <w:t xml:space="preserve">Heating </w:t>
            </w:r>
          </w:p>
        </w:tc>
        <w:tc>
          <w:tcPr>
            <w:tcW w:w="3120" w:type="dxa"/>
            <w:tcMar>
              <w:top w:w="100" w:type="dxa"/>
              <w:left w:w="100" w:type="dxa"/>
              <w:bottom w:w="100" w:type="dxa"/>
              <w:right w:w="100" w:type="dxa"/>
            </w:tcMar>
          </w:tcPr>
          <w:p w14:paraId="3F417FF1" w14:textId="77777777" w:rsidR="00576C8C" w:rsidRPr="00206AE1" w:rsidRDefault="007173B2">
            <w:pPr>
              <w:pStyle w:val="Normal1"/>
              <w:widowControl w:val="0"/>
              <w:contextualSpacing w:val="0"/>
              <w:rPr>
                <w:sz w:val="20"/>
                <w:szCs w:val="20"/>
              </w:rPr>
            </w:pPr>
            <w:r w:rsidRPr="00206AE1">
              <w:rPr>
                <w:sz w:val="20"/>
                <w:szCs w:val="20"/>
              </w:rPr>
              <w:t>Heating and cooling</w:t>
            </w:r>
          </w:p>
        </w:tc>
      </w:tr>
      <w:tr w:rsidR="00576C8C" w:rsidRPr="00206AE1" w14:paraId="7D4C7B8B" w14:textId="77777777">
        <w:tc>
          <w:tcPr>
            <w:tcW w:w="3120" w:type="dxa"/>
            <w:tcMar>
              <w:top w:w="100" w:type="dxa"/>
              <w:left w:w="100" w:type="dxa"/>
              <w:bottom w:w="100" w:type="dxa"/>
              <w:right w:w="100" w:type="dxa"/>
            </w:tcMar>
          </w:tcPr>
          <w:p w14:paraId="05A86C8C" w14:textId="77777777" w:rsidR="00576C8C" w:rsidRPr="00206AE1" w:rsidRDefault="007173B2">
            <w:pPr>
              <w:pStyle w:val="Normal1"/>
              <w:widowControl w:val="0"/>
              <w:contextualSpacing w:val="0"/>
              <w:rPr>
                <w:sz w:val="20"/>
                <w:szCs w:val="20"/>
              </w:rPr>
            </w:pPr>
            <w:r w:rsidRPr="00206AE1">
              <w:rPr>
                <w:b/>
                <w:sz w:val="20"/>
                <w:szCs w:val="20"/>
              </w:rPr>
              <w:t>Demographics</w:t>
            </w:r>
          </w:p>
        </w:tc>
        <w:tc>
          <w:tcPr>
            <w:tcW w:w="3120" w:type="dxa"/>
            <w:tcMar>
              <w:top w:w="100" w:type="dxa"/>
              <w:left w:w="100" w:type="dxa"/>
              <w:bottom w:w="100" w:type="dxa"/>
              <w:right w:w="100" w:type="dxa"/>
            </w:tcMar>
          </w:tcPr>
          <w:p w14:paraId="2958F9FF" w14:textId="77777777" w:rsidR="00576C8C" w:rsidRPr="00206AE1" w:rsidRDefault="007173B2">
            <w:pPr>
              <w:pStyle w:val="Normal1"/>
              <w:widowControl w:val="0"/>
              <w:contextualSpacing w:val="0"/>
              <w:rPr>
                <w:sz w:val="20"/>
                <w:szCs w:val="20"/>
              </w:rPr>
            </w:pPr>
            <w:r w:rsidRPr="00206AE1">
              <w:rPr>
                <w:sz w:val="20"/>
                <w:szCs w:val="20"/>
              </w:rPr>
              <w:t>Single Family Home</w:t>
            </w:r>
          </w:p>
        </w:tc>
        <w:tc>
          <w:tcPr>
            <w:tcW w:w="3120" w:type="dxa"/>
            <w:tcMar>
              <w:top w:w="100" w:type="dxa"/>
              <w:left w:w="100" w:type="dxa"/>
              <w:bottom w:w="100" w:type="dxa"/>
              <w:right w:w="100" w:type="dxa"/>
            </w:tcMar>
          </w:tcPr>
          <w:p w14:paraId="557B7BE2" w14:textId="77777777" w:rsidR="00576C8C" w:rsidRPr="00206AE1" w:rsidRDefault="007173B2">
            <w:pPr>
              <w:pStyle w:val="Normal1"/>
              <w:widowControl w:val="0"/>
              <w:contextualSpacing w:val="0"/>
              <w:rPr>
                <w:sz w:val="20"/>
                <w:szCs w:val="20"/>
              </w:rPr>
            </w:pPr>
            <w:r w:rsidRPr="00206AE1">
              <w:rPr>
                <w:sz w:val="20"/>
                <w:szCs w:val="20"/>
              </w:rPr>
              <w:t>Single Family Home</w:t>
            </w:r>
          </w:p>
        </w:tc>
      </w:tr>
    </w:tbl>
    <w:p w14:paraId="18821514" w14:textId="77777777" w:rsidR="00430BE4" w:rsidRDefault="00430BE4">
      <w:pPr>
        <w:pStyle w:val="Normal1"/>
        <w:spacing w:before="40" w:after="40"/>
      </w:pPr>
    </w:p>
    <w:p w14:paraId="17440D1B" w14:textId="77777777" w:rsidR="00576C8C" w:rsidRDefault="007173B2">
      <w:pPr>
        <w:pStyle w:val="Normal1"/>
        <w:spacing w:line="276" w:lineRule="auto"/>
      </w:pPr>
      <w:r>
        <w:rPr>
          <w:b/>
          <w:sz w:val="28"/>
          <w:szCs w:val="28"/>
        </w:rPr>
        <w:t>2.1 Overview</w:t>
      </w:r>
    </w:p>
    <w:p w14:paraId="434F6EAD" w14:textId="2F43DFBF" w:rsidR="00FC49E4" w:rsidRDefault="007173B2" w:rsidP="000920EA">
      <w:pPr>
        <w:pStyle w:val="Normal1"/>
        <w:spacing w:line="276" w:lineRule="auto"/>
      </w:pPr>
      <w:r>
        <w:t>The analysis of actual thermostat settings, combined with pooled fixed regression modeling, described in this paper provides estimates of energy savings from Nest Learning Thermostats installed in California’s unique climate zones, which are widely understood to be generally milder than most regions in the United States. For a broader assessment of Nest’s energy savings based on pre/post billing data analysis across the United States, please see the white paper “Energy Savings from the Nest Learning Thermostat: Energy Bill Analysis Results,” released by Nest in February, 2015.</w:t>
      </w:r>
      <w:r>
        <w:rPr>
          <w:vertAlign w:val="superscript"/>
        </w:rPr>
        <w:footnoteReference w:id="7"/>
      </w:r>
    </w:p>
    <w:p w14:paraId="1B4745AD" w14:textId="77777777" w:rsidR="002874F1" w:rsidRPr="00FC49E4" w:rsidRDefault="002874F1">
      <w:pPr>
        <w:pStyle w:val="Normal1"/>
        <w:spacing w:line="276" w:lineRule="auto"/>
        <w:rPr>
          <w:rFonts w:asciiTheme="majorHAnsi" w:hAnsiTheme="majorHAnsi"/>
          <w:b/>
        </w:rPr>
      </w:pPr>
    </w:p>
    <w:p w14:paraId="59D14630" w14:textId="3903FA83" w:rsidR="00576C8C" w:rsidRDefault="007173B2">
      <w:pPr>
        <w:pStyle w:val="Normal1"/>
        <w:spacing w:line="276" w:lineRule="auto"/>
      </w:pPr>
      <w:r>
        <w:rPr>
          <w:b/>
          <w:sz w:val="28"/>
          <w:szCs w:val="28"/>
        </w:rPr>
        <w:t>2.</w:t>
      </w:r>
      <w:r w:rsidR="000920EA">
        <w:rPr>
          <w:b/>
          <w:sz w:val="28"/>
          <w:szCs w:val="28"/>
        </w:rPr>
        <w:t>2</w:t>
      </w:r>
      <w:r>
        <w:rPr>
          <w:b/>
          <w:sz w:val="28"/>
          <w:szCs w:val="28"/>
        </w:rPr>
        <w:t xml:space="preserve"> Methodology Overview -- Leveraging the emerging </w:t>
      </w:r>
      <w:proofErr w:type="spellStart"/>
      <w:r>
        <w:rPr>
          <w:b/>
          <w:sz w:val="28"/>
          <w:szCs w:val="28"/>
        </w:rPr>
        <w:t>EnergySTAR</w:t>
      </w:r>
      <w:proofErr w:type="spellEnd"/>
      <w:r>
        <w:rPr>
          <w:b/>
          <w:sz w:val="28"/>
          <w:szCs w:val="28"/>
          <w:vertAlign w:val="superscript"/>
        </w:rPr>
        <w:t>Ⓡ</w:t>
      </w:r>
      <w:r>
        <w:rPr>
          <w:b/>
          <w:sz w:val="28"/>
          <w:szCs w:val="28"/>
        </w:rPr>
        <w:t xml:space="preserve"> metric</w:t>
      </w:r>
    </w:p>
    <w:p w14:paraId="4C7E9214" w14:textId="77777777" w:rsidR="00576C8C" w:rsidRDefault="007173B2">
      <w:pPr>
        <w:pStyle w:val="Normal1"/>
        <w:spacing w:line="276" w:lineRule="auto"/>
      </w:pPr>
      <w:r>
        <w:t>The overall energy savings estimation is based on four steps:</w:t>
      </w:r>
    </w:p>
    <w:p w14:paraId="2EB6DFA9" w14:textId="77777777" w:rsidR="00576C8C" w:rsidRDefault="00576C8C">
      <w:pPr>
        <w:pStyle w:val="Normal1"/>
        <w:spacing w:line="276" w:lineRule="auto"/>
      </w:pPr>
    </w:p>
    <w:p w14:paraId="38AF1A6E" w14:textId="77777777" w:rsidR="00576C8C" w:rsidRDefault="007173B2">
      <w:pPr>
        <w:pStyle w:val="Normal1"/>
        <w:numPr>
          <w:ilvl w:val="0"/>
          <w:numId w:val="9"/>
        </w:numPr>
        <w:spacing w:line="276" w:lineRule="auto"/>
        <w:ind w:hanging="360"/>
        <w:contextualSpacing/>
      </w:pPr>
      <w:r>
        <w:rPr>
          <w:b/>
        </w:rPr>
        <w:t xml:space="preserve">Analyze Nest customer temperature set points to assess the efficiency of their schedules. </w:t>
      </w:r>
      <w:r>
        <w:t xml:space="preserve"> This analysis calculates average (i.e., mean) set points and “comfort temperatures” for the heating and cooling seasons for each customer. The “comfort” </w:t>
      </w:r>
      <w:r>
        <w:lastRenderedPageBreak/>
        <w:t xml:space="preserve">temperatures -- defined as the 90th percentile of the customer’s heating set points and the 10th percentile of their cooling set points -- are meant to represent typical settings when people are home and want to be comfortable.  This definition is based on a similar approach to the current working definition being used by the EPA in their development of a smart thermostat metric for </w:t>
      </w:r>
      <w:proofErr w:type="spellStart"/>
      <w:r>
        <w:t>EnergySTAR</w:t>
      </w:r>
      <w:proofErr w:type="spellEnd"/>
      <w:r>
        <w:rPr>
          <w:vertAlign w:val="superscript"/>
        </w:rPr>
        <w:t>Ⓡ</w:t>
      </w:r>
      <w:r>
        <w:t xml:space="preserve">. </w:t>
      </w:r>
      <w:proofErr w:type="gramStart"/>
      <w:r>
        <w:t>the</w:t>
      </w:r>
      <w:proofErr w:type="gramEnd"/>
      <w:r>
        <w:t xml:space="preserve"> output of this analysis creates one comfort temperature </w:t>
      </w:r>
      <w:proofErr w:type="spellStart"/>
      <w:r>
        <w:t>setpoint</w:t>
      </w:r>
      <w:proofErr w:type="spellEnd"/>
      <w:r>
        <w:t xml:space="preserve"> for the heating season (specific to each thermostat/customer) and one comfort temperature </w:t>
      </w:r>
      <w:proofErr w:type="spellStart"/>
      <w:r>
        <w:t>setpoint</w:t>
      </w:r>
      <w:proofErr w:type="spellEnd"/>
      <w:r>
        <w:t xml:space="preserve"> for cooling season.  These set points define the customer's flat schedule to estimate savings per Step 3. As described below, the savings estimates are then adjusted by the RASS Baseline Calibration Factor to account for the fact that some people do not live exclusively with a flat temperature baseline.</w:t>
      </w:r>
    </w:p>
    <w:p w14:paraId="3095C51B" w14:textId="77777777" w:rsidR="00576C8C" w:rsidRDefault="007173B2">
      <w:pPr>
        <w:pStyle w:val="Normal1"/>
        <w:numPr>
          <w:ilvl w:val="0"/>
          <w:numId w:val="9"/>
        </w:numPr>
        <w:spacing w:line="276" w:lineRule="auto"/>
        <w:ind w:hanging="360"/>
        <w:contextualSpacing/>
      </w:pPr>
      <w:r>
        <w:rPr>
          <w:b/>
        </w:rPr>
        <w:t xml:space="preserve">Estimate the percent change in heating and cooling runtime per degree change in temperature set point using a regression model fit separately for each climate zone.  </w:t>
      </w:r>
      <w:r>
        <w:t>This step is also similar to the current EPA metric except it employs a pooled model rather than aggregating across individual device-specific models.</w:t>
      </w:r>
    </w:p>
    <w:p w14:paraId="7CB759CC" w14:textId="77777777" w:rsidR="00576C8C" w:rsidRDefault="007173B2">
      <w:pPr>
        <w:pStyle w:val="Normal1"/>
        <w:numPr>
          <w:ilvl w:val="0"/>
          <w:numId w:val="9"/>
        </w:numPr>
        <w:spacing w:line="276" w:lineRule="auto"/>
        <w:ind w:hanging="360"/>
        <w:contextualSpacing/>
      </w:pPr>
      <w:r>
        <w:rPr>
          <w:b/>
        </w:rPr>
        <w:t>Estimate the heating and cooling energy savings compared to a constant set point at the comfort temperature.</w:t>
      </w:r>
      <w:r>
        <w:t xml:space="preserve"> The savings are calculated based on the savings per degree set point change found in step 2 and the difference between the average and comfort temperatures calculated in step 1.  Again, this basic approach is being used in the EPA metric.</w:t>
      </w:r>
    </w:p>
    <w:p w14:paraId="20FCE1C5" w14:textId="5F82D8C5" w:rsidR="00576C8C" w:rsidRDefault="007173B2">
      <w:pPr>
        <w:pStyle w:val="Normal1"/>
        <w:numPr>
          <w:ilvl w:val="0"/>
          <w:numId w:val="9"/>
        </w:numPr>
        <w:spacing w:line="276" w:lineRule="auto"/>
        <w:ind w:hanging="360"/>
        <w:contextualSpacing/>
      </w:pPr>
      <w:r>
        <w:rPr>
          <w:b/>
        </w:rPr>
        <w:t xml:space="preserve">Adjust the overall savings calculated in step 3 to account for customer’s maintaining more efficient average baseline set points than a constant comfort temperature. </w:t>
      </w:r>
      <w:r>
        <w:t xml:space="preserve"> This step is not being used in the EPA metric because the EPA goal is to develop a metric of set point efficiency.   Energy savings could then be calculated as the difference between a thermostat’s efficiency metric and the efficiency of any specified baseline condition. The method for this calibration is outlined in Section 2.</w:t>
      </w:r>
      <w:r w:rsidR="008C68C0">
        <w:t>3</w:t>
      </w:r>
      <w:r w:rsidR="005A4122">
        <w:t>.5</w:t>
      </w:r>
      <w:r>
        <w:t xml:space="preserve"> using RASS base case data. </w:t>
      </w:r>
    </w:p>
    <w:p w14:paraId="206E0362" w14:textId="77777777" w:rsidR="00576C8C" w:rsidRDefault="00576C8C">
      <w:pPr>
        <w:pStyle w:val="Normal1"/>
        <w:spacing w:line="276" w:lineRule="auto"/>
      </w:pPr>
    </w:p>
    <w:p w14:paraId="37847EA6" w14:textId="5BCC953B" w:rsidR="00576C8C" w:rsidRDefault="007173B2">
      <w:pPr>
        <w:pStyle w:val="Normal1"/>
        <w:spacing w:line="276" w:lineRule="auto"/>
      </w:pPr>
      <w:r>
        <w:t>This methodology is based on actual smart thermostat temperature settings compared to an occupant’s preferred comfort temperature (i.e. the temperature most likely “set” on manual thermostats or older programmable thermostats that are used in ‘hold’ mode or without an effective schedule). Temperature setbacks on smart thermostats</w:t>
      </w:r>
      <w:r w:rsidR="00380D15">
        <w:t xml:space="preserve"> </w:t>
      </w:r>
      <w:r>
        <w:t>are driven by features to automatically generate more efficient schedules for customers. As previously mentioned, the structure is quite similar to the current metric under development by EPA. The methodology is outlined in more detail below. For additional details outlining the specific calculations underlying the EPA approach, those can be reviewed in a recent ACEEE paper, Do Connected Thermostats Save Energy?</w:t>
      </w:r>
      <w:r w:rsidR="006727AD">
        <w:t xml:space="preserve"> </w:t>
      </w:r>
      <w:r>
        <w:rPr>
          <w:vertAlign w:val="superscript"/>
        </w:rPr>
        <w:t>(17)</w:t>
      </w:r>
      <w:r>
        <w:t>.</w:t>
      </w:r>
    </w:p>
    <w:p w14:paraId="662A95ED" w14:textId="77777777" w:rsidR="00576C8C" w:rsidRDefault="00576C8C">
      <w:pPr>
        <w:pStyle w:val="Normal1"/>
        <w:spacing w:line="276" w:lineRule="auto"/>
      </w:pPr>
    </w:p>
    <w:p w14:paraId="284B21B3" w14:textId="2E4FD826" w:rsidR="000B2493" w:rsidRPr="00C84BF4" w:rsidRDefault="000B2493">
      <w:pPr>
        <w:pStyle w:val="Normal1"/>
        <w:spacing w:line="276" w:lineRule="auto"/>
        <w:rPr>
          <w:b/>
        </w:rPr>
      </w:pPr>
      <w:r w:rsidRPr="00C84BF4">
        <w:rPr>
          <w:b/>
        </w:rPr>
        <w:t>Measure Impacts Scaling</w:t>
      </w:r>
      <w:r>
        <w:rPr>
          <w:b/>
        </w:rPr>
        <w:t xml:space="preserve"> for MF and </w:t>
      </w:r>
      <w:proofErr w:type="spellStart"/>
      <w:r>
        <w:rPr>
          <w:b/>
        </w:rPr>
        <w:t>DMo</w:t>
      </w:r>
      <w:proofErr w:type="spellEnd"/>
    </w:p>
    <w:p w14:paraId="305ED9FD" w14:textId="0C99C7BB" w:rsidR="000B2493" w:rsidRDefault="000B2493">
      <w:pPr>
        <w:pStyle w:val="Normal1"/>
        <w:spacing w:line="276" w:lineRule="auto"/>
      </w:pPr>
      <w:r>
        <w:t>M</w:t>
      </w:r>
      <w:r w:rsidRPr="000B2493">
        <w:t xml:space="preserve">easure impacts for MF and </w:t>
      </w:r>
      <w:proofErr w:type="spellStart"/>
      <w:r w:rsidRPr="000B2493">
        <w:t>DMo</w:t>
      </w:r>
      <w:proofErr w:type="spellEnd"/>
      <w:r w:rsidRPr="000B2493">
        <w:t xml:space="preserve"> Res</w:t>
      </w:r>
      <w:r w:rsidR="00324871">
        <w:t xml:space="preserve">idential building types (for </w:t>
      </w:r>
      <w:r w:rsidRPr="000B2493">
        <w:t xml:space="preserve">both electric cooling - kWh and gas heating - </w:t>
      </w:r>
      <w:proofErr w:type="spellStart"/>
      <w:r w:rsidRPr="000B2493">
        <w:t>Therms</w:t>
      </w:r>
      <w:proofErr w:type="spellEnd"/>
      <w:r w:rsidRPr="000B2493">
        <w:t>) were estimated by sca</w:t>
      </w:r>
      <w:r w:rsidR="00324871">
        <w:t xml:space="preserve">ling measure impacts on SFM </w:t>
      </w:r>
      <w:r w:rsidRPr="000B2493">
        <w:t xml:space="preserve">with scaling factors determined using DEER2017 residential system upgrade measure – “RE-HV-ResAC-lt45kBtuh-15S.” </w:t>
      </w:r>
      <w:r w:rsidR="00295AEE">
        <w:lastRenderedPageBreak/>
        <w:t>The</w:t>
      </w:r>
      <w:r w:rsidR="00324871">
        <w:t xml:space="preserve"> </w:t>
      </w:r>
      <w:r w:rsidRPr="000B2493">
        <w:t xml:space="preserve">DEER2017 measure and scaling factors are included in </w:t>
      </w:r>
      <w:r w:rsidR="00295AEE">
        <w:t xml:space="preserve">the </w:t>
      </w:r>
      <w:r w:rsidRPr="000B2493">
        <w:t>calculation workbook under the “</w:t>
      </w:r>
      <w:proofErr w:type="spellStart"/>
      <w:r w:rsidRPr="000B2493">
        <w:t>DEER_Scaling</w:t>
      </w:r>
      <w:proofErr w:type="spellEnd"/>
      <w:r w:rsidRPr="000B2493">
        <w:t>” workbook tab – See Attachment 1.</w:t>
      </w:r>
    </w:p>
    <w:p w14:paraId="4A6AF8B2" w14:textId="77777777" w:rsidR="000B2493" w:rsidRDefault="000B2493">
      <w:pPr>
        <w:pStyle w:val="Normal1"/>
        <w:spacing w:line="276" w:lineRule="auto"/>
      </w:pPr>
    </w:p>
    <w:p w14:paraId="0AC69771" w14:textId="6FD639B4" w:rsidR="00576C8C" w:rsidRDefault="007173B2">
      <w:pPr>
        <w:pStyle w:val="Normal1"/>
        <w:spacing w:line="276" w:lineRule="auto"/>
      </w:pPr>
      <w:r>
        <w:rPr>
          <w:b/>
          <w:sz w:val="28"/>
          <w:szCs w:val="28"/>
        </w:rPr>
        <w:t>2.</w:t>
      </w:r>
      <w:r w:rsidR="00DE7F9A">
        <w:rPr>
          <w:b/>
          <w:sz w:val="28"/>
          <w:szCs w:val="28"/>
        </w:rPr>
        <w:t>3</w:t>
      </w:r>
      <w:r>
        <w:rPr>
          <w:b/>
          <w:sz w:val="28"/>
          <w:szCs w:val="28"/>
        </w:rPr>
        <w:t xml:space="preserve"> Methodology Details</w:t>
      </w:r>
    </w:p>
    <w:p w14:paraId="7FAC8491" w14:textId="77777777" w:rsidR="00576C8C" w:rsidRDefault="00576C8C">
      <w:pPr>
        <w:pStyle w:val="Normal1"/>
        <w:spacing w:line="276" w:lineRule="auto"/>
      </w:pPr>
    </w:p>
    <w:p w14:paraId="1866A990" w14:textId="08709173" w:rsidR="00576C8C" w:rsidRDefault="007173B2">
      <w:pPr>
        <w:pStyle w:val="Normal1"/>
        <w:spacing w:line="276" w:lineRule="auto"/>
      </w:pPr>
      <w:r>
        <w:rPr>
          <w:b/>
          <w:sz w:val="28"/>
          <w:szCs w:val="28"/>
        </w:rPr>
        <w:t>2.</w:t>
      </w:r>
      <w:r w:rsidR="00DE7F9A">
        <w:rPr>
          <w:b/>
          <w:sz w:val="28"/>
          <w:szCs w:val="28"/>
        </w:rPr>
        <w:t>3</w:t>
      </w:r>
      <w:r>
        <w:rPr>
          <w:b/>
          <w:sz w:val="28"/>
          <w:szCs w:val="28"/>
        </w:rPr>
        <w:t>.1 Determining individual customer comfort temperature</w:t>
      </w:r>
      <w:r w:rsidR="00B73CCD">
        <w:rPr>
          <w:b/>
          <w:sz w:val="28"/>
          <w:szCs w:val="28"/>
        </w:rPr>
        <w:t xml:space="preserve"> (Step 1) </w:t>
      </w:r>
    </w:p>
    <w:p w14:paraId="3583A898" w14:textId="77777777" w:rsidR="00576C8C" w:rsidRDefault="007173B2">
      <w:pPr>
        <w:pStyle w:val="Normal1"/>
        <w:spacing w:line="276" w:lineRule="auto"/>
      </w:pPr>
      <w:r>
        <w:t>The methodology leverages the concept of a comfort temperature, which can be thought of as the temperature at which a given individual prefers to keep their home during a particular season.</w:t>
      </w:r>
    </w:p>
    <w:p w14:paraId="16E79A4D" w14:textId="77777777" w:rsidR="00576C8C" w:rsidRDefault="00576C8C">
      <w:pPr>
        <w:pStyle w:val="Normal1"/>
        <w:spacing w:line="276" w:lineRule="auto"/>
      </w:pPr>
    </w:p>
    <w:p w14:paraId="32A063AC" w14:textId="77777777" w:rsidR="008F5AFC" w:rsidRDefault="007173B2" w:rsidP="008F5AFC">
      <w:pPr>
        <w:pStyle w:val="Normal1"/>
        <w:numPr>
          <w:ilvl w:val="1"/>
          <w:numId w:val="7"/>
        </w:numPr>
        <w:spacing w:line="276" w:lineRule="auto"/>
        <w:ind w:left="720" w:hanging="360"/>
        <w:contextualSpacing/>
      </w:pPr>
      <w:r>
        <w:rPr>
          <w:b/>
        </w:rPr>
        <w:t xml:space="preserve">Heating season comfort temperature: </w:t>
      </w:r>
      <w:r>
        <w:t xml:space="preserve">a customer’s preferred temperature during the </w:t>
      </w:r>
      <w:proofErr w:type="gramStart"/>
      <w:r>
        <w:t>Winter</w:t>
      </w:r>
      <w:proofErr w:type="gramEnd"/>
      <w:r>
        <w:t>.</w:t>
      </w:r>
    </w:p>
    <w:p w14:paraId="75F3031B" w14:textId="77777777" w:rsidR="008F5AFC" w:rsidRDefault="007173B2" w:rsidP="008F5AFC">
      <w:pPr>
        <w:pStyle w:val="Normal1"/>
        <w:numPr>
          <w:ilvl w:val="1"/>
          <w:numId w:val="7"/>
        </w:numPr>
        <w:spacing w:line="276" w:lineRule="auto"/>
        <w:ind w:left="720" w:firstLine="360"/>
        <w:contextualSpacing/>
      </w:pPr>
      <w:r>
        <w:t>Defined as the 90th percentile of target temperature set points for a particular customer throughout a heating season (i.e. only 10% of the time during the heating season does this customer have a warmer temperature set point).</w:t>
      </w:r>
    </w:p>
    <w:p w14:paraId="466A88F3" w14:textId="06CB0A67" w:rsidR="00576C8C" w:rsidRDefault="007173B2" w:rsidP="008F5AFC">
      <w:pPr>
        <w:pStyle w:val="Normal1"/>
        <w:numPr>
          <w:ilvl w:val="1"/>
          <w:numId w:val="7"/>
        </w:numPr>
        <w:spacing w:line="276" w:lineRule="auto"/>
        <w:ind w:left="720" w:firstLine="360"/>
        <w:contextualSpacing/>
      </w:pPr>
      <w:r>
        <w:t>This comfort temperature is automatically calculated by each Nest Thermostat for each month. The seasonal average comfort temperature for each customer was calculated as the heating run-time weighted average across the season.</w:t>
      </w:r>
    </w:p>
    <w:p w14:paraId="0014A142" w14:textId="77777777" w:rsidR="00576C8C" w:rsidRDefault="007173B2">
      <w:pPr>
        <w:pStyle w:val="Normal1"/>
        <w:numPr>
          <w:ilvl w:val="1"/>
          <w:numId w:val="7"/>
        </w:numPr>
        <w:spacing w:line="276" w:lineRule="auto"/>
        <w:ind w:hanging="360"/>
        <w:contextualSpacing/>
      </w:pPr>
      <w:r>
        <w:t>Heating data from January, 2016 - February, 2016.</w:t>
      </w:r>
    </w:p>
    <w:p w14:paraId="327AFF53" w14:textId="77777777" w:rsidR="00576C8C" w:rsidRDefault="00576C8C">
      <w:pPr>
        <w:pStyle w:val="Normal1"/>
        <w:spacing w:line="276" w:lineRule="auto"/>
      </w:pPr>
    </w:p>
    <w:p w14:paraId="33A1DC49" w14:textId="77777777" w:rsidR="00576C8C" w:rsidRDefault="007173B2">
      <w:pPr>
        <w:pStyle w:val="Normal1"/>
        <w:numPr>
          <w:ilvl w:val="0"/>
          <w:numId w:val="7"/>
        </w:numPr>
        <w:spacing w:line="276" w:lineRule="auto"/>
        <w:ind w:hanging="360"/>
        <w:contextualSpacing/>
      </w:pPr>
      <w:r>
        <w:rPr>
          <w:b/>
        </w:rPr>
        <w:t xml:space="preserve">Cooling season comfort temperature: </w:t>
      </w:r>
      <w:r>
        <w:t xml:space="preserve">a customer’s preferred temperature during the </w:t>
      </w:r>
      <w:proofErr w:type="gramStart"/>
      <w:r>
        <w:t>Summer</w:t>
      </w:r>
      <w:proofErr w:type="gramEnd"/>
      <w:r>
        <w:t>.</w:t>
      </w:r>
    </w:p>
    <w:p w14:paraId="638CA86C" w14:textId="77777777" w:rsidR="00576C8C" w:rsidRDefault="007173B2">
      <w:pPr>
        <w:pStyle w:val="Normal1"/>
        <w:numPr>
          <w:ilvl w:val="1"/>
          <w:numId w:val="7"/>
        </w:numPr>
        <w:spacing w:line="276" w:lineRule="auto"/>
        <w:ind w:hanging="360"/>
        <w:contextualSpacing/>
      </w:pPr>
      <w:r>
        <w:t>Defined as the 10th percentile of target temperature set points (i.e. only 10% of the time during the cooling season does this customer have a cooler set point).</w:t>
      </w:r>
    </w:p>
    <w:p w14:paraId="26261126" w14:textId="77777777" w:rsidR="00576C8C" w:rsidRDefault="007173B2">
      <w:pPr>
        <w:pStyle w:val="Normal1"/>
        <w:numPr>
          <w:ilvl w:val="1"/>
          <w:numId w:val="7"/>
        </w:numPr>
        <w:spacing w:line="276" w:lineRule="auto"/>
        <w:ind w:hanging="360"/>
        <w:contextualSpacing/>
      </w:pPr>
      <w:r>
        <w:t>Same calculation approach as for heating season.</w:t>
      </w:r>
    </w:p>
    <w:p w14:paraId="1D6CB773" w14:textId="77777777" w:rsidR="00576C8C" w:rsidRDefault="007173B2">
      <w:pPr>
        <w:pStyle w:val="Normal1"/>
        <w:numPr>
          <w:ilvl w:val="1"/>
          <w:numId w:val="7"/>
        </w:numPr>
        <w:spacing w:line="276" w:lineRule="auto"/>
        <w:ind w:hanging="360"/>
        <w:contextualSpacing/>
      </w:pPr>
      <w:r>
        <w:t>Cooling data from July, 2015 – September, 2015.</w:t>
      </w:r>
    </w:p>
    <w:p w14:paraId="6EC665AE" w14:textId="77777777" w:rsidR="00576C8C" w:rsidRDefault="00576C8C">
      <w:pPr>
        <w:pStyle w:val="Normal1"/>
        <w:spacing w:line="276" w:lineRule="auto"/>
      </w:pPr>
    </w:p>
    <w:p w14:paraId="7BC22F26" w14:textId="3A58A35C" w:rsidR="00136BE4" w:rsidRDefault="000F1B1A">
      <w:pPr>
        <w:pStyle w:val="Normal1"/>
        <w:spacing w:line="276" w:lineRule="auto"/>
      </w:pPr>
      <w:r>
        <w:t>Chart</w:t>
      </w:r>
      <w:r w:rsidR="000A24A8">
        <w:t xml:space="preserve"> indicating</w:t>
      </w:r>
      <w:r w:rsidR="007173B2">
        <w:t xml:space="preserve"> </w:t>
      </w:r>
      <w:r w:rsidR="007173B2" w:rsidRPr="00206AE1">
        <w:t>heating comfort temperatures for a few customers compared with time series plots of hourly temperatures</w:t>
      </w:r>
      <w:r w:rsidR="000A24A8" w:rsidRPr="00206AE1">
        <w:t xml:space="preserve"> is shown below.</w:t>
      </w:r>
      <w:r w:rsidR="000A24A8">
        <w:rPr>
          <w:sz w:val="20"/>
          <w:szCs w:val="20"/>
        </w:rPr>
        <w:t xml:space="preserve"> </w:t>
      </w:r>
    </w:p>
    <w:p w14:paraId="10C7BBA8" w14:textId="77777777" w:rsidR="00576C8C" w:rsidRDefault="007173B2">
      <w:pPr>
        <w:pStyle w:val="Normal1"/>
        <w:spacing w:line="276" w:lineRule="auto"/>
        <w:jc w:val="center"/>
      </w:pPr>
      <w:r>
        <w:rPr>
          <w:noProof/>
        </w:rPr>
        <w:lastRenderedPageBreak/>
        <w:drawing>
          <wp:inline distT="114300" distB="114300" distL="114300" distR="114300" wp14:anchorId="05B264DE" wp14:editId="27D43A4B">
            <wp:extent cx="4280627" cy="2786063"/>
            <wp:effectExtent l="0" t="0" r="0" b="0"/>
            <wp:docPr id="2" name="image14.png"/>
            <wp:cNvGraphicFramePr/>
            <a:graphic xmlns:a="http://schemas.openxmlformats.org/drawingml/2006/main">
              <a:graphicData uri="http://schemas.openxmlformats.org/drawingml/2006/picture">
                <pic:pic xmlns:pic="http://schemas.openxmlformats.org/drawingml/2006/picture">
                  <pic:nvPicPr>
                    <pic:cNvPr id="0" name="image14.png"/>
                    <pic:cNvPicPr preferRelativeResize="0"/>
                  </pic:nvPicPr>
                  <pic:blipFill>
                    <a:blip r:embed="rId11"/>
                    <a:srcRect t="8533"/>
                    <a:stretch>
                      <a:fillRect/>
                    </a:stretch>
                  </pic:blipFill>
                  <pic:spPr>
                    <a:xfrm>
                      <a:off x="0" y="0"/>
                      <a:ext cx="4280627" cy="2786063"/>
                    </a:xfrm>
                    <a:prstGeom prst="rect">
                      <a:avLst/>
                    </a:prstGeom>
                    <a:ln/>
                  </pic:spPr>
                </pic:pic>
              </a:graphicData>
            </a:graphic>
          </wp:inline>
        </w:drawing>
      </w:r>
    </w:p>
    <w:p w14:paraId="56AC696D" w14:textId="77777777" w:rsidR="000F1B1A" w:rsidRDefault="000F1B1A">
      <w:pPr>
        <w:pStyle w:val="Normal1"/>
        <w:spacing w:line="276" w:lineRule="auto"/>
        <w:jc w:val="center"/>
      </w:pPr>
    </w:p>
    <w:p w14:paraId="5976DA5F" w14:textId="757FD4DD" w:rsidR="00576C8C" w:rsidRPr="00206AE1" w:rsidRDefault="007173B2" w:rsidP="00206AE1">
      <w:pPr>
        <w:pStyle w:val="Normal1"/>
        <w:spacing w:line="276" w:lineRule="auto"/>
      </w:pPr>
      <w:r w:rsidRPr="00206AE1">
        <w:rPr>
          <w:b/>
        </w:rPr>
        <w:t xml:space="preserve">“Comfort” temperature = 90th percentile of heating set points. </w:t>
      </w:r>
      <w:r w:rsidRPr="00206AE1">
        <w:t xml:space="preserve">This chart shows that comfort temperature, in this case at the 90th percentile, can be reliably calculated and subsequently compared to average set points. As you can see, the 90th percentile is a good characterization of the common temperature people prefer when they are at home and want to be comfortable. </w:t>
      </w:r>
    </w:p>
    <w:p w14:paraId="3FA44D26" w14:textId="77777777" w:rsidR="00576C8C" w:rsidRDefault="00576C8C">
      <w:pPr>
        <w:pStyle w:val="Normal1"/>
        <w:spacing w:line="276" w:lineRule="auto"/>
        <w:jc w:val="center"/>
      </w:pPr>
    </w:p>
    <w:p w14:paraId="1D306E18" w14:textId="173D7F25" w:rsidR="00576C8C" w:rsidRDefault="007173B2">
      <w:pPr>
        <w:pStyle w:val="Normal1"/>
        <w:spacing w:line="276" w:lineRule="auto"/>
      </w:pPr>
      <w:r>
        <w:t xml:space="preserve">As discussed, the output of this analysis creates one comfort temperature </w:t>
      </w:r>
      <w:proofErr w:type="spellStart"/>
      <w:r>
        <w:t>setpoint</w:t>
      </w:r>
      <w:proofErr w:type="spellEnd"/>
      <w:r>
        <w:t xml:space="preserve"> for the heating season (specific to each thermostat/customer) and one comfort temperature </w:t>
      </w:r>
      <w:proofErr w:type="spellStart"/>
      <w:r>
        <w:t>setpoint</w:t>
      </w:r>
      <w:proofErr w:type="spellEnd"/>
      <w:r>
        <w:t xml:space="preserve"> for cooling season.  These set points define the customer's flat schedule to estimate savings as outlined in Section 2.</w:t>
      </w:r>
      <w:r w:rsidR="004F6F57">
        <w:t>3</w:t>
      </w:r>
      <w:r>
        <w:t>.2. As described below, the savings estimates are then adjusted by the RASS Baseline Calibration Factor to account for the fact that some people do not live exclusively with a flat temperature baseline.</w:t>
      </w:r>
    </w:p>
    <w:p w14:paraId="65FC468A" w14:textId="77777777" w:rsidR="00576C8C" w:rsidRDefault="00576C8C">
      <w:pPr>
        <w:pStyle w:val="Normal1"/>
        <w:spacing w:line="276" w:lineRule="auto"/>
      </w:pPr>
    </w:p>
    <w:p w14:paraId="1A2B0256" w14:textId="073A689F" w:rsidR="00576C8C" w:rsidRDefault="007173B2">
      <w:pPr>
        <w:pStyle w:val="Normal1"/>
        <w:spacing w:line="276" w:lineRule="auto"/>
      </w:pPr>
      <w:r>
        <w:rPr>
          <w:b/>
          <w:sz w:val="28"/>
          <w:szCs w:val="28"/>
        </w:rPr>
        <w:t>2.</w:t>
      </w:r>
      <w:r w:rsidR="00BF426C">
        <w:rPr>
          <w:b/>
          <w:sz w:val="28"/>
          <w:szCs w:val="28"/>
        </w:rPr>
        <w:t>3</w:t>
      </w:r>
      <w:r>
        <w:rPr>
          <w:b/>
          <w:sz w:val="28"/>
          <w:szCs w:val="28"/>
        </w:rPr>
        <w:t>.2 Average set points vs. comfort temperature</w:t>
      </w:r>
      <w:r w:rsidR="001255B4">
        <w:rPr>
          <w:b/>
          <w:sz w:val="28"/>
          <w:szCs w:val="28"/>
        </w:rPr>
        <w:t xml:space="preserve"> (Step 2</w:t>
      </w:r>
      <w:r w:rsidR="00A7004C">
        <w:rPr>
          <w:b/>
          <w:sz w:val="28"/>
          <w:szCs w:val="28"/>
        </w:rPr>
        <w:t>a</w:t>
      </w:r>
      <w:r w:rsidR="001255B4">
        <w:rPr>
          <w:b/>
          <w:sz w:val="28"/>
          <w:szCs w:val="28"/>
        </w:rPr>
        <w:t xml:space="preserve">) </w:t>
      </w:r>
    </w:p>
    <w:p w14:paraId="7F056DC9" w14:textId="77777777" w:rsidR="00576C8C" w:rsidRDefault="007173B2">
      <w:pPr>
        <w:pStyle w:val="Normal1"/>
        <w:spacing w:line="276" w:lineRule="auto"/>
      </w:pPr>
      <w:r>
        <w:t xml:space="preserve">The comfort temperature described above defines a baseline condition of a flat schedule (i.e. one without heating set-backs or cooling set-ups). The difference between the actual average set points and the comfort temperatures for each device is a measure of the efficiency of each customer’s schedule resulting from Nest’s feature set and customer preferences.  We recognize that the flat comfort temperature baseline may understate the efficiency of prior thermostat setting behaviors and so we added a final step to adjust the calculation results to reflect a more efficient baseline. </w:t>
      </w:r>
    </w:p>
    <w:p w14:paraId="0E51C257" w14:textId="77777777" w:rsidR="00576C8C" w:rsidRDefault="00576C8C">
      <w:pPr>
        <w:pStyle w:val="Normal1"/>
        <w:spacing w:line="276" w:lineRule="auto"/>
      </w:pPr>
    </w:p>
    <w:p w14:paraId="71994311" w14:textId="77777777" w:rsidR="00576C8C" w:rsidRDefault="007173B2">
      <w:pPr>
        <w:pStyle w:val="Normal1"/>
        <w:spacing w:line="276" w:lineRule="auto"/>
      </w:pPr>
      <w:r>
        <w:t xml:space="preserve">Figures 2 and 3 below show the average comfort temperatures and average set points aggregated by climate zone (thermostats aggregated by climate zone based on </w:t>
      </w:r>
      <w:proofErr w:type="spellStart"/>
      <w:r>
        <w:t>zipcode</w:t>
      </w:r>
      <w:proofErr w:type="spellEnd"/>
      <w:r>
        <w:t>). The connecting lines in each chart illustrate the impact of setbacks on the set point.</w:t>
      </w:r>
    </w:p>
    <w:p w14:paraId="1FAEDD9C" w14:textId="77777777" w:rsidR="00576C8C" w:rsidRDefault="007173B2">
      <w:pPr>
        <w:pStyle w:val="Normal1"/>
        <w:spacing w:line="276" w:lineRule="auto"/>
        <w:jc w:val="center"/>
      </w:pPr>
      <w:r>
        <w:rPr>
          <w:noProof/>
        </w:rPr>
        <w:lastRenderedPageBreak/>
        <w:drawing>
          <wp:inline distT="114300" distB="114300" distL="114300" distR="114300" wp14:anchorId="13CD1814" wp14:editId="3E218005">
            <wp:extent cx="4321899" cy="3062266"/>
            <wp:effectExtent l="0" t="0" r="0" b="0"/>
            <wp:docPr id="4" name="image16.png"/>
            <wp:cNvGraphicFramePr/>
            <a:graphic xmlns:a="http://schemas.openxmlformats.org/drawingml/2006/main">
              <a:graphicData uri="http://schemas.openxmlformats.org/drawingml/2006/picture">
                <pic:pic xmlns:pic="http://schemas.openxmlformats.org/drawingml/2006/picture">
                  <pic:nvPicPr>
                    <pic:cNvPr id="0" name="image16.png"/>
                    <pic:cNvPicPr preferRelativeResize="0"/>
                  </pic:nvPicPr>
                  <pic:blipFill>
                    <a:blip r:embed="rId12"/>
                    <a:srcRect/>
                    <a:stretch>
                      <a:fillRect/>
                    </a:stretch>
                  </pic:blipFill>
                  <pic:spPr>
                    <a:xfrm>
                      <a:off x="0" y="0"/>
                      <a:ext cx="4321899" cy="3062266"/>
                    </a:xfrm>
                    <a:prstGeom prst="rect">
                      <a:avLst/>
                    </a:prstGeom>
                    <a:ln/>
                  </pic:spPr>
                </pic:pic>
              </a:graphicData>
            </a:graphic>
          </wp:inline>
        </w:drawing>
      </w:r>
    </w:p>
    <w:p w14:paraId="12787C05" w14:textId="44161753" w:rsidR="00576C8C" w:rsidRPr="00206AE1" w:rsidRDefault="007173B2" w:rsidP="00206AE1">
      <w:pPr>
        <w:pStyle w:val="Normal1"/>
        <w:spacing w:line="276" w:lineRule="auto"/>
      </w:pPr>
      <w:r w:rsidRPr="00206AE1">
        <w:rPr>
          <w:b/>
        </w:rPr>
        <w:t xml:space="preserve">Heating set points by climate zone (runtime-weighted average May 2015 - April 2016). </w:t>
      </w:r>
      <w:r w:rsidRPr="00206AE1">
        <w:t xml:space="preserve">The data show a clear difference between comfort temperature and average set points. This difference drives a decrease in HVAC runtime and therefore energy savings. </w:t>
      </w:r>
    </w:p>
    <w:p w14:paraId="333A9732" w14:textId="77777777" w:rsidR="00576C8C" w:rsidRDefault="00576C8C">
      <w:pPr>
        <w:pStyle w:val="Normal1"/>
        <w:spacing w:line="276" w:lineRule="auto"/>
        <w:jc w:val="center"/>
      </w:pPr>
    </w:p>
    <w:p w14:paraId="69C728A9" w14:textId="77777777" w:rsidR="00576C8C" w:rsidRDefault="007173B2">
      <w:pPr>
        <w:pStyle w:val="Normal1"/>
        <w:spacing w:line="276" w:lineRule="auto"/>
        <w:jc w:val="center"/>
      </w:pPr>
      <w:r>
        <w:rPr>
          <w:noProof/>
        </w:rPr>
        <w:drawing>
          <wp:inline distT="114300" distB="114300" distL="114300" distR="114300" wp14:anchorId="263927F8" wp14:editId="79BF1B00">
            <wp:extent cx="4416743" cy="3127377"/>
            <wp:effectExtent l="0" t="0" r="0" b="0"/>
            <wp:docPr id="3" name="image15.png"/>
            <wp:cNvGraphicFramePr/>
            <a:graphic xmlns:a="http://schemas.openxmlformats.org/drawingml/2006/main">
              <a:graphicData uri="http://schemas.openxmlformats.org/drawingml/2006/picture">
                <pic:pic xmlns:pic="http://schemas.openxmlformats.org/drawingml/2006/picture">
                  <pic:nvPicPr>
                    <pic:cNvPr id="0" name="image15.png"/>
                    <pic:cNvPicPr preferRelativeResize="0"/>
                  </pic:nvPicPr>
                  <pic:blipFill>
                    <a:blip r:embed="rId13"/>
                    <a:srcRect/>
                    <a:stretch>
                      <a:fillRect/>
                    </a:stretch>
                  </pic:blipFill>
                  <pic:spPr>
                    <a:xfrm>
                      <a:off x="0" y="0"/>
                      <a:ext cx="4416743" cy="3127377"/>
                    </a:xfrm>
                    <a:prstGeom prst="rect">
                      <a:avLst/>
                    </a:prstGeom>
                    <a:ln/>
                  </pic:spPr>
                </pic:pic>
              </a:graphicData>
            </a:graphic>
          </wp:inline>
        </w:drawing>
      </w:r>
    </w:p>
    <w:p w14:paraId="186FD0E3" w14:textId="2FB6B59D" w:rsidR="00576C8C" w:rsidRPr="00206AE1" w:rsidRDefault="007173B2" w:rsidP="00206AE1">
      <w:pPr>
        <w:pStyle w:val="Normal1"/>
        <w:spacing w:line="276" w:lineRule="auto"/>
      </w:pPr>
      <w:r w:rsidRPr="00206AE1">
        <w:rPr>
          <w:b/>
        </w:rPr>
        <w:t xml:space="preserve">Cooling set points by climate zone (runtime-weighted average May 2015 - Apr 2016). </w:t>
      </w:r>
      <w:r w:rsidRPr="00206AE1">
        <w:t>The data show a clear difference between comfort temperature and average set points.</w:t>
      </w:r>
    </w:p>
    <w:p w14:paraId="14AD40C0" w14:textId="77777777" w:rsidR="00576C8C" w:rsidRDefault="00576C8C">
      <w:pPr>
        <w:pStyle w:val="Normal1"/>
        <w:spacing w:line="276" w:lineRule="auto"/>
      </w:pPr>
    </w:p>
    <w:p w14:paraId="5599C6A3" w14:textId="43C0DF1E" w:rsidR="00576C8C" w:rsidRDefault="007173B2">
      <w:pPr>
        <w:pStyle w:val="Normal1"/>
        <w:spacing w:line="276" w:lineRule="auto"/>
      </w:pPr>
      <w:r>
        <w:rPr>
          <w:b/>
          <w:sz w:val="28"/>
          <w:szCs w:val="28"/>
        </w:rPr>
        <w:t>2.</w:t>
      </w:r>
      <w:r w:rsidR="00A7004C">
        <w:rPr>
          <w:b/>
          <w:sz w:val="28"/>
          <w:szCs w:val="28"/>
        </w:rPr>
        <w:t>3</w:t>
      </w:r>
      <w:r>
        <w:rPr>
          <w:b/>
          <w:sz w:val="28"/>
          <w:szCs w:val="28"/>
        </w:rPr>
        <w:t>.3 Pooled Fixed Effects Regression Model</w:t>
      </w:r>
      <w:r w:rsidR="00A7004C">
        <w:rPr>
          <w:b/>
          <w:sz w:val="28"/>
          <w:szCs w:val="28"/>
        </w:rPr>
        <w:t xml:space="preserve"> (Step 2b</w:t>
      </w:r>
      <w:r w:rsidR="00672C92">
        <w:rPr>
          <w:b/>
          <w:sz w:val="28"/>
          <w:szCs w:val="28"/>
        </w:rPr>
        <w:t xml:space="preserve">) </w:t>
      </w:r>
    </w:p>
    <w:p w14:paraId="78C8D7D7" w14:textId="044C45F4" w:rsidR="00576C8C" w:rsidRDefault="007173B2">
      <w:pPr>
        <w:pStyle w:val="Normal1"/>
        <w:spacing w:line="276" w:lineRule="auto"/>
      </w:pPr>
      <w:r>
        <w:lastRenderedPageBreak/>
        <w:t xml:space="preserve">The analysis of set points provides an estimate of the difference between the baseline comfort temperature and the average actual set points for each thermostat.  The impact of these changes on HVAC run time, and on energy use, need to be estimated.  The next step in the analysis was to fit a pooled fixed effects regression model to estimate the impact of thermostat set points on HVAC run time, accounting for weather. This analysis estimates the HVAC runtime savings expected from each °F reduced from an occupant’s comfort temperature. </w:t>
      </w:r>
    </w:p>
    <w:p w14:paraId="584F31B4" w14:textId="77777777" w:rsidR="00AB2B4E" w:rsidRPr="00AB2B4E" w:rsidRDefault="00AB2B4E" w:rsidP="00AB2B4E">
      <w:pPr>
        <w:pStyle w:val="m-4164623072496684233gmail-normal1"/>
        <w:shd w:val="clear" w:color="auto" w:fill="FFFFFF"/>
        <w:spacing w:line="224" w:lineRule="atLeast"/>
        <w:rPr>
          <w:rFonts w:ascii="Calibri" w:hAnsi="Calibri" w:cs="Times New Roman"/>
          <w:color w:val="212121"/>
          <w:sz w:val="22"/>
          <w:szCs w:val="22"/>
        </w:rPr>
      </w:pPr>
      <w:r w:rsidRPr="00AB2B4E">
        <w:rPr>
          <w:rFonts w:ascii="Calibri" w:hAnsi="Calibri" w:cs="Times New Roman"/>
          <w:color w:val="212121"/>
          <w:sz w:val="22"/>
          <w:szCs w:val="22"/>
        </w:rPr>
        <w:t>The regression modeled average daily HVAC runtime as a function of degree days (HDD60 for heating and CDD65 for cooling) and average set point and included thermostat level fixed effects.  In Stata, the code for the heating model was.  </w:t>
      </w:r>
    </w:p>
    <w:p w14:paraId="71329CEE" w14:textId="77777777" w:rsidR="00AB2B4E" w:rsidRPr="00AB2B4E" w:rsidRDefault="00AB2B4E" w:rsidP="00AB2B4E">
      <w:pPr>
        <w:pStyle w:val="m-4164623072496684233gmail-normal1"/>
        <w:shd w:val="clear" w:color="auto" w:fill="FFFFFF"/>
        <w:spacing w:line="224" w:lineRule="atLeast"/>
        <w:rPr>
          <w:rFonts w:ascii="Calibri" w:hAnsi="Calibri" w:cs="Times New Roman"/>
          <w:color w:val="212121"/>
          <w:sz w:val="22"/>
          <w:szCs w:val="22"/>
        </w:rPr>
      </w:pPr>
      <w:proofErr w:type="spellStart"/>
      <w:proofErr w:type="gramStart"/>
      <w:r w:rsidRPr="00AB2B4E">
        <w:rPr>
          <w:rFonts w:ascii="Calibri" w:hAnsi="Calibri" w:cs="Times New Roman"/>
          <w:color w:val="212121"/>
          <w:sz w:val="22"/>
          <w:szCs w:val="22"/>
        </w:rPr>
        <w:t>xtreg</w:t>
      </w:r>
      <w:proofErr w:type="spellEnd"/>
      <w:proofErr w:type="gramEnd"/>
      <w:r w:rsidRPr="00AB2B4E">
        <w:rPr>
          <w:rFonts w:ascii="Calibri" w:hAnsi="Calibri" w:cs="Times New Roman"/>
          <w:color w:val="212121"/>
          <w:sz w:val="22"/>
          <w:szCs w:val="22"/>
        </w:rPr>
        <w:t xml:space="preserve"> </w:t>
      </w:r>
      <w:proofErr w:type="spellStart"/>
      <w:r w:rsidRPr="00AB2B4E">
        <w:rPr>
          <w:rFonts w:ascii="Calibri" w:hAnsi="Calibri" w:cs="Times New Roman"/>
          <w:color w:val="212121"/>
          <w:sz w:val="22"/>
          <w:szCs w:val="22"/>
        </w:rPr>
        <w:t>heating_hours</w:t>
      </w:r>
      <w:proofErr w:type="spellEnd"/>
      <w:r w:rsidRPr="00AB2B4E">
        <w:rPr>
          <w:rFonts w:ascii="Calibri" w:hAnsi="Calibri" w:cs="Times New Roman"/>
          <w:color w:val="212121"/>
          <w:sz w:val="22"/>
          <w:szCs w:val="22"/>
        </w:rPr>
        <w:t xml:space="preserve"> HDD60 </w:t>
      </w:r>
      <w:proofErr w:type="spellStart"/>
      <w:r w:rsidRPr="00AB2B4E">
        <w:rPr>
          <w:rFonts w:ascii="Calibri" w:hAnsi="Calibri" w:cs="Times New Roman"/>
          <w:color w:val="212121"/>
          <w:sz w:val="22"/>
          <w:szCs w:val="22"/>
        </w:rPr>
        <w:t>heating_setpoint</w:t>
      </w:r>
      <w:proofErr w:type="spellEnd"/>
      <w:r w:rsidRPr="00AB2B4E">
        <w:rPr>
          <w:rFonts w:ascii="Calibri" w:hAnsi="Calibri" w:cs="Times New Roman"/>
          <w:color w:val="212121"/>
          <w:sz w:val="22"/>
          <w:szCs w:val="22"/>
        </w:rPr>
        <w:t xml:space="preserve"> , i(</w:t>
      </w:r>
      <w:proofErr w:type="spellStart"/>
      <w:r w:rsidRPr="00AB2B4E">
        <w:rPr>
          <w:rFonts w:ascii="Calibri" w:hAnsi="Calibri" w:cs="Times New Roman"/>
          <w:color w:val="212121"/>
          <w:sz w:val="22"/>
          <w:szCs w:val="22"/>
        </w:rPr>
        <w:t>thermostat_id</w:t>
      </w:r>
      <w:proofErr w:type="spellEnd"/>
      <w:r w:rsidRPr="00AB2B4E">
        <w:rPr>
          <w:rFonts w:ascii="Calibri" w:hAnsi="Calibri" w:cs="Times New Roman"/>
          <w:color w:val="212121"/>
          <w:sz w:val="22"/>
          <w:szCs w:val="22"/>
        </w:rPr>
        <w:t xml:space="preserve">) </w:t>
      </w:r>
      <w:proofErr w:type="spellStart"/>
      <w:r w:rsidRPr="00AB2B4E">
        <w:rPr>
          <w:rFonts w:ascii="Calibri" w:hAnsi="Calibri" w:cs="Times New Roman"/>
          <w:color w:val="212121"/>
          <w:sz w:val="22"/>
          <w:szCs w:val="22"/>
        </w:rPr>
        <w:t>fe</w:t>
      </w:r>
      <w:proofErr w:type="spellEnd"/>
      <w:r w:rsidRPr="00AB2B4E">
        <w:rPr>
          <w:rStyle w:val="apple-converted-space"/>
          <w:rFonts w:ascii="Calibri" w:hAnsi="Calibri" w:cs="Times New Roman"/>
          <w:color w:val="212121"/>
          <w:sz w:val="22"/>
          <w:szCs w:val="22"/>
        </w:rPr>
        <w:t> </w:t>
      </w:r>
      <w:r w:rsidRPr="00AB2B4E">
        <w:rPr>
          <w:rStyle w:val="gmailmsg"/>
          <w:rFonts w:ascii="Calibri" w:hAnsi="Calibri" w:cs="Times New Roman"/>
          <w:color w:val="212121"/>
          <w:sz w:val="22"/>
          <w:szCs w:val="22"/>
        </w:rPr>
        <w:t> </w:t>
      </w:r>
    </w:p>
    <w:p w14:paraId="3DBB4ECC" w14:textId="77777777" w:rsidR="00AB2B4E" w:rsidRPr="00AB2B4E" w:rsidRDefault="00AB2B4E" w:rsidP="00206AE1">
      <w:pPr>
        <w:pStyle w:val="m-4164623072496684233gmail-normal1"/>
        <w:shd w:val="clear" w:color="auto" w:fill="FFFFFF"/>
        <w:spacing w:line="20" w:lineRule="atLeast"/>
        <w:rPr>
          <w:rFonts w:ascii="Calibri" w:hAnsi="Calibri" w:cs="Times New Roman"/>
          <w:color w:val="212121"/>
          <w:sz w:val="22"/>
          <w:szCs w:val="22"/>
        </w:rPr>
      </w:pPr>
      <w:r w:rsidRPr="00AB2B4E">
        <w:rPr>
          <w:rFonts w:ascii="Calibri" w:hAnsi="Calibri" w:cs="Times New Roman"/>
          <w:color w:val="212121"/>
          <w:sz w:val="22"/>
          <w:szCs w:val="22"/>
        </w:rPr>
        <w:t xml:space="preserve">The percent energy savings per degree </w:t>
      </w:r>
      <w:proofErr w:type="spellStart"/>
      <w:r w:rsidRPr="00AB2B4E">
        <w:rPr>
          <w:rFonts w:ascii="Calibri" w:hAnsi="Calibri" w:cs="Times New Roman"/>
          <w:color w:val="212121"/>
          <w:sz w:val="22"/>
          <w:szCs w:val="22"/>
        </w:rPr>
        <w:t>F</w:t>
      </w:r>
      <w:proofErr w:type="spellEnd"/>
      <w:r w:rsidRPr="00AB2B4E">
        <w:rPr>
          <w:rFonts w:ascii="Calibri" w:hAnsi="Calibri" w:cs="Times New Roman"/>
          <w:color w:val="212121"/>
          <w:sz w:val="22"/>
          <w:szCs w:val="22"/>
        </w:rPr>
        <w:t xml:space="preserve"> change in set point was calculated as the coefficient on the temperature set point term divided by the average daily hours of runtime in the dataset.   The Stata code to calculate the estimate and its standard error was:</w:t>
      </w:r>
    </w:p>
    <w:p w14:paraId="55CAB728" w14:textId="77777777" w:rsidR="00AB2B4E" w:rsidRPr="00206AE1" w:rsidRDefault="00AB2B4E" w:rsidP="00206AE1">
      <w:pPr>
        <w:pStyle w:val="Normal1"/>
        <w:spacing w:line="276" w:lineRule="auto"/>
      </w:pPr>
      <w:r w:rsidRPr="00AB2B4E">
        <w:rPr>
          <w:rFonts w:cs="Times New Roman"/>
          <w:color w:val="212121"/>
        </w:rPr>
        <w:t xml:space="preserve">    </w:t>
      </w:r>
      <w:proofErr w:type="gramStart"/>
      <w:r w:rsidRPr="00206AE1">
        <w:t>sum</w:t>
      </w:r>
      <w:proofErr w:type="gramEnd"/>
      <w:r w:rsidRPr="00206AE1">
        <w:t xml:space="preserve"> </w:t>
      </w:r>
      <w:proofErr w:type="spellStart"/>
      <w:r w:rsidRPr="00206AE1">
        <w:t>heat_hrs</w:t>
      </w:r>
      <w:proofErr w:type="spellEnd"/>
      <w:r w:rsidRPr="00206AE1">
        <w:t xml:space="preserve"> if e(sample), </w:t>
      </w:r>
      <w:proofErr w:type="spellStart"/>
      <w:r w:rsidRPr="00206AE1">
        <w:t>meanonly</w:t>
      </w:r>
      <w:proofErr w:type="spellEnd"/>
    </w:p>
    <w:p w14:paraId="5CE16B92" w14:textId="77777777" w:rsidR="00AB2B4E" w:rsidRPr="00206AE1" w:rsidRDefault="00AB2B4E" w:rsidP="00206AE1">
      <w:pPr>
        <w:pStyle w:val="Normal1"/>
        <w:spacing w:line="276" w:lineRule="auto"/>
      </w:pPr>
      <w:r w:rsidRPr="00206AE1">
        <w:t xml:space="preserve">    </w:t>
      </w:r>
      <w:proofErr w:type="spellStart"/>
      <w:proofErr w:type="gramStart"/>
      <w:r w:rsidRPr="00206AE1">
        <w:t>lincom</w:t>
      </w:r>
      <w:proofErr w:type="spellEnd"/>
      <w:proofErr w:type="gramEnd"/>
      <w:r w:rsidRPr="00206AE1">
        <w:t xml:space="preserve"> _b[</w:t>
      </w:r>
      <w:proofErr w:type="spellStart"/>
      <w:r w:rsidRPr="00206AE1">
        <w:t>tset_ht</w:t>
      </w:r>
      <w:proofErr w:type="spellEnd"/>
      <w:r w:rsidRPr="00206AE1">
        <w:t>]/`r(mean)'</w:t>
      </w:r>
    </w:p>
    <w:p w14:paraId="4EE8AB69" w14:textId="77777777" w:rsidR="00AB2B4E" w:rsidRPr="00206AE1" w:rsidRDefault="00AB2B4E" w:rsidP="00206AE1">
      <w:pPr>
        <w:pStyle w:val="Normal1"/>
        <w:spacing w:line="276" w:lineRule="auto"/>
      </w:pPr>
      <w:r w:rsidRPr="00206AE1">
        <w:t xml:space="preserve">    </w:t>
      </w:r>
      <w:proofErr w:type="gramStart"/>
      <w:r w:rsidRPr="00206AE1">
        <w:t>display</w:t>
      </w:r>
      <w:proofErr w:type="gramEnd"/>
      <w:r w:rsidRPr="00206AE1">
        <w:t xml:space="preserve"> “Percent Savings per F = ”  r(estimate)</w:t>
      </w:r>
    </w:p>
    <w:p w14:paraId="5F400472" w14:textId="75C852BB" w:rsidR="00576C8C" w:rsidRDefault="00AB2B4E" w:rsidP="00206AE1">
      <w:pPr>
        <w:pStyle w:val="Normal1"/>
        <w:spacing w:line="276" w:lineRule="auto"/>
      </w:pPr>
      <w:r w:rsidRPr="00AB2B4E">
        <w:rPr>
          <w:rFonts w:cs="Times New Roman"/>
          <w:color w:val="212121"/>
        </w:rPr>
        <w:t xml:space="preserve">    </w:t>
      </w:r>
      <w:proofErr w:type="gramStart"/>
      <w:r w:rsidRPr="00206AE1">
        <w:t>display</w:t>
      </w:r>
      <w:proofErr w:type="gramEnd"/>
      <w:r w:rsidRPr="00206AE1">
        <w:t xml:space="preserve"> “standard error = ” r(se)</w:t>
      </w:r>
    </w:p>
    <w:p w14:paraId="1BEDE92E" w14:textId="77777777" w:rsidR="007A0847" w:rsidRPr="00206AE1" w:rsidRDefault="007A0847" w:rsidP="00206AE1">
      <w:pPr>
        <w:pStyle w:val="Normal1"/>
        <w:spacing w:line="276" w:lineRule="auto"/>
      </w:pPr>
    </w:p>
    <w:p w14:paraId="35F77E9A" w14:textId="77777777" w:rsidR="00576C8C" w:rsidRDefault="007173B2" w:rsidP="00206AE1">
      <w:pPr>
        <w:pStyle w:val="Normal1"/>
        <w:spacing w:line="20" w:lineRule="atLeast"/>
      </w:pPr>
      <w:r>
        <w:t xml:space="preserve">The percent energy savings per degree </w:t>
      </w:r>
      <w:proofErr w:type="spellStart"/>
      <w:r>
        <w:t>F</w:t>
      </w:r>
      <w:proofErr w:type="spellEnd"/>
      <w:r>
        <w:t xml:space="preserve"> change in set point was calculated as the coefficient on the temperature set point term (e.g., </w:t>
      </w:r>
      <w:proofErr w:type="spellStart"/>
      <w:r>
        <w:t>tset_ht</w:t>
      </w:r>
      <w:proofErr w:type="spellEnd"/>
      <w:r>
        <w:t xml:space="preserve"> above) divided by the average daily hours of runtime in the dataset.   The Stata code to calculate the estimate and its standard error was, immediately following the </w:t>
      </w:r>
      <w:proofErr w:type="spellStart"/>
      <w:r>
        <w:t>xtreg</w:t>
      </w:r>
      <w:proofErr w:type="spellEnd"/>
      <w:r>
        <w:t xml:space="preserve"> command</w:t>
      </w:r>
      <w:proofErr w:type="gramStart"/>
      <w:r>
        <w:t>::</w:t>
      </w:r>
      <w:proofErr w:type="gramEnd"/>
    </w:p>
    <w:p w14:paraId="72C0B714" w14:textId="77777777" w:rsidR="00576C8C" w:rsidRDefault="007173B2">
      <w:pPr>
        <w:pStyle w:val="Normal1"/>
        <w:spacing w:line="276" w:lineRule="auto"/>
      </w:pPr>
      <w:r>
        <w:t xml:space="preserve"> </w:t>
      </w:r>
    </w:p>
    <w:p w14:paraId="663C7200" w14:textId="77777777" w:rsidR="00576C8C" w:rsidRDefault="007173B2">
      <w:pPr>
        <w:pStyle w:val="Normal1"/>
        <w:spacing w:line="276" w:lineRule="auto"/>
      </w:pPr>
      <w:r>
        <w:t xml:space="preserve">    </w:t>
      </w:r>
      <w:proofErr w:type="gramStart"/>
      <w:r>
        <w:t>sum</w:t>
      </w:r>
      <w:proofErr w:type="gramEnd"/>
      <w:r>
        <w:t xml:space="preserve"> </w:t>
      </w:r>
      <w:proofErr w:type="spellStart"/>
      <w:r>
        <w:t>heat_hrs</w:t>
      </w:r>
      <w:proofErr w:type="spellEnd"/>
      <w:r>
        <w:t xml:space="preserve"> if e(sample), </w:t>
      </w:r>
      <w:proofErr w:type="spellStart"/>
      <w:r>
        <w:t>meanonly</w:t>
      </w:r>
      <w:proofErr w:type="spellEnd"/>
    </w:p>
    <w:p w14:paraId="37EE4E08" w14:textId="77777777" w:rsidR="00576C8C" w:rsidRDefault="007173B2">
      <w:pPr>
        <w:pStyle w:val="Normal1"/>
        <w:spacing w:line="276" w:lineRule="auto"/>
      </w:pPr>
      <w:r>
        <w:t xml:space="preserve">    </w:t>
      </w:r>
      <w:proofErr w:type="spellStart"/>
      <w:proofErr w:type="gramStart"/>
      <w:r>
        <w:t>lincom</w:t>
      </w:r>
      <w:proofErr w:type="spellEnd"/>
      <w:proofErr w:type="gramEnd"/>
      <w:r>
        <w:t xml:space="preserve"> _b[</w:t>
      </w:r>
      <w:proofErr w:type="spellStart"/>
      <w:r>
        <w:t>tset_ht</w:t>
      </w:r>
      <w:proofErr w:type="spellEnd"/>
      <w:r>
        <w:t>]/`r(mean)'</w:t>
      </w:r>
    </w:p>
    <w:p w14:paraId="4C344F30" w14:textId="77777777" w:rsidR="00576C8C" w:rsidRDefault="007173B2">
      <w:pPr>
        <w:pStyle w:val="Normal1"/>
        <w:spacing w:line="276" w:lineRule="auto"/>
      </w:pPr>
      <w:r>
        <w:t xml:space="preserve">    </w:t>
      </w:r>
      <w:proofErr w:type="gramStart"/>
      <w:r>
        <w:t>local</w:t>
      </w:r>
      <w:proofErr w:type="gramEnd"/>
      <w:r>
        <w:t xml:space="preserve"> </w:t>
      </w:r>
      <w:proofErr w:type="spellStart"/>
      <w:r>
        <w:t>pctsave_perF</w:t>
      </w:r>
      <w:proofErr w:type="spellEnd"/>
      <w:r>
        <w:t xml:space="preserve"> = r(estimate)</w:t>
      </w:r>
    </w:p>
    <w:p w14:paraId="0DCECCD1" w14:textId="77777777" w:rsidR="00576C8C" w:rsidRDefault="007173B2">
      <w:pPr>
        <w:pStyle w:val="Normal1"/>
        <w:spacing w:line="276" w:lineRule="auto"/>
      </w:pPr>
      <w:r>
        <w:t xml:space="preserve">    </w:t>
      </w:r>
      <w:proofErr w:type="gramStart"/>
      <w:r>
        <w:t>local</w:t>
      </w:r>
      <w:proofErr w:type="gramEnd"/>
      <w:r>
        <w:t xml:space="preserve"> </w:t>
      </w:r>
      <w:proofErr w:type="spellStart"/>
      <w:r>
        <w:t>pctsave_perF_se</w:t>
      </w:r>
      <w:proofErr w:type="spellEnd"/>
      <w:r>
        <w:t xml:space="preserve"> = r(se)</w:t>
      </w:r>
    </w:p>
    <w:p w14:paraId="51942260" w14:textId="77777777" w:rsidR="00576C8C" w:rsidRDefault="00576C8C">
      <w:pPr>
        <w:pStyle w:val="Normal1"/>
        <w:spacing w:line="276" w:lineRule="auto"/>
      </w:pPr>
    </w:p>
    <w:p w14:paraId="3AF79C69" w14:textId="77777777" w:rsidR="00576C8C" w:rsidRDefault="007173B2">
      <w:pPr>
        <w:pStyle w:val="Normal1"/>
        <w:spacing w:line="276" w:lineRule="auto"/>
      </w:pPr>
      <w:r>
        <w:t xml:space="preserve">The output of the regression models -- expressed as percent HVAC runtime reduction per degree F -- are shown in Section 3. </w:t>
      </w:r>
    </w:p>
    <w:p w14:paraId="48383253" w14:textId="77777777" w:rsidR="00576C8C" w:rsidRDefault="00576C8C">
      <w:pPr>
        <w:pStyle w:val="Normal1"/>
      </w:pPr>
    </w:p>
    <w:p w14:paraId="2EEF6D40" w14:textId="77777777" w:rsidR="00576C8C" w:rsidRDefault="007173B2">
      <w:pPr>
        <w:pStyle w:val="Normal1"/>
      </w:pPr>
      <w:r>
        <w:rPr>
          <w:b/>
        </w:rPr>
        <w:t xml:space="preserve">Shoulder Periods: </w:t>
      </w:r>
      <w:r>
        <w:t xml:space="preserve">The analysis of set points and comfort temperatures was based on a full year of data.  The regression modeling of how set points affect runtime, however, was restricted to the main portions of the heating and cooling seasons to provide the most robust indication of how set points affect runtime.  Mild weather periods, where set points are more likely to be non-binding, can make the modeling results less reliable while trying to estimate impacts during periods of lower runtime.   </w:t>
      </w:r>
    </w:p>
    <w:p w14:paraId="323EF496" w14:textId="77777777" w:rsidR="00576C8C" w:rsidRDefault="00576C8C">
      <w:pPr>
        <w:pStyle w:val="Normal1"/>
        <w:spacing w:line="276" w:lineRule="auto"/>
      </w:pPr>
    </w:p>
    <w:p w14:paraId="5285D9B1" w14:textId="77777777" w:rsidR="006727AD" w:rsidRDefault="006727AD">
      <w:pPr>
        <w:pStyle w:val="Normal1"/>
        <w:spacing w:line="276" w:lineRule="auto"/>
        <w:rPr>
          <w:b/>
          <w:sz w:val="28"/>
          <w:szCs w:val="28"/>
        </w:rPr>
      </w:pPr>
    </w:p>
    <w:p w14:paraId="73FD2C4C" w14:textId="77777777" w:rsidR="006727AD" w:rsidRDefault="006727AD">
      <w:pPr>
        <w:pStyle w:val="Normal1"/>
        <w:spacing w:line="276" w:lineRule="auto"/>
        <w:rPr>
          <w:b/>
          <w:sz w:val="28"/>
          <w:szCs w:val="28"/>
        </w:rPr>
      </w:pPr>
    </w:p>
    <w:p w14:paraId="3439EB25" w14:textId="05C58BB5" w:rsidR="00576C8C" w:rsidRDefault="007173B2">
      <w:pPr>
        <w:pStyle w:val="Normal1"/>
        <w:spacing w:line="276" w:lineRule="auto"/>
      </w:pPr>
      <w:r>
        <w:rPr>
          <w:b/>
          <w:sz w:val="28"/>
          <w:szCs w:val="28"/>
        </w:rPr>
        <w:lastRenderedPageBreak/>
        <w:t>2.</w:t>
      </w:r>
      <w:r w:rsidR="00A7004C">
        <w:rPr>
          <w:b/>
          <w:sz w:val="28"/>
          <w:szCs w:val="28"/>
        </w:rPr>
        <w:t>3</w:t>
      </w:r>
      <w:r>
        <w:rPr>
          <w:b/>
          <w:sz w:val="28"/>
          <w:szCs w:val="28"/>
        </w:rPr>
        <w:t xml:space="preserve">.4 Calculating energy savings </w:t>
      </w:r>
      <w:r>
        <w:rPr>
          <w:b/>
          <w:color w:val="141313"/>
          <w:sz w:val="28"/>
          <w:szCs w:val="28"/>
        </w:rPr>
        <w:t>estimated by regression model</w:t>
      </w:r>
      <w:r w:rsidR="00BF426C">
        <w:rPr>
          <w:b/>
          <w:color w:val="141313"/>
          <w:sz w:val="28"/>
          <w:szCs w:val="28"/>
        </w:rPr>
        <w:t xml:space="preserve"> (Step 3)</w:t>
      </w:r>
    </w:p>
    <w:p w14:paraId="2CFEBD50" w14:textId="2C6305E0" w:rsidR="00576C8C" w:rsidRDefault="007173B2">
      <w:pPr>
        <w:pStyle w:val="Normal1"/>
        <w:spacing w:line="276" w:lineRule="auto"/>
      </w:pPr>
      <w:r>
        <w:t xml:space="preserve">After fitting the regression models, the raw percent energy savings for each climate zone were calculated as the difference between comfort and actual set points multiplied by the percent savings per degree F for that climate zone.  To estimate energy savings these percent savings need to be applied to the estimated energy use of the heating and cooling systems.  This energy use was estimated from the actual HVAC run time multiplied by the estimated energy input rate -- which is an estimate of post-retrofit energy use.  Given that we have an estimate of post-retrofit energy use instead of pre-retrofit, the raw percent savings values need to be adjusted as shown below. </w:t>
      </w:r>
      <w:r w:rsidR="00BC2481">
        <w:t>Note that this approach ensures that increases and decreases in HVAC run times are incorporated in the average savings values that are created.</w:t>
      </w:r>
      <w:r w:rsidR="00A66F77">
        <w:t xml:space="preserve"> </w:t>
      </w:r>
    </w:p>
    <w:p w14:paraId="43B17BDB" w14:textId="77777777" w:rsidR="00576C8C" w:rsidRDefault="00576C8C">
      <w:pPr>
        <w:pStyle w:val="Normal1"/>
        <w:spacing w:line="276" w:lineRule="auto"/>
      </w:pPr>
    </w:p>
    <w:p w14:paraId="0AE95994" w14:textId="77777777" w:rsidR="00576C8C" w:rsidRDefault="007173B2">
      <w:pPr>
        <w:pStyle w:val="Normal1"/>
        <w:spacing w:line="276" w:lineRule="auto"/>
      </w:pPr>
      <w:r>
        <w:rPr>
          <w:i/>
        </w:rPr>
        <w:t xml:space="preserve">Adjusted % Energy Savings = </w:t>
      </w:r>
      <w:proofErr w:type="gramStart"/>
      <w:r>
        <w:rPr>
          <w:i/>
        </w:rPr>
        <w:t>100%</w:t>
      </w:r>
      <w:proofErr w:type="gramEnd"/>
      <w:r>
        <w:rPr>
          <w:i/>
        </w:rPr>
        <w:t>/(100% - raw % savings) -100%</w:t>
      </w:r>
    </w:p>
    <w:p w14:paraId="351E2E26" w14:textId="77777777" w:rsidR="00576C8C" w:rsidRDefault="00576C8C">
      <w:pPr>
        <w:pStyle w:val="Normal1"/>
        <w:spacing w:line="276" w:lineRule="auto"/>
      </w:pPr>
    </w:p>
    <w:p w14:paraId="61DD4829" w14:textId="77777777" w:rsidR="00576C8C" w:rsidRDefault="007173B2">
      <w:pPr>
        <w:pStyle w:val="Normal1"/>
        <w:spacing w:line="276" w:lineRule="auto"/>
      </w:pPr>
      <w:r>
        <w:t xml:space="preserve">So, for example, if the raw percent savings were 50% of heating and the heating use was 100 </w:t>
      </w:r>
      <w:proofErr w:type="spellStart"/>
      <w:r>
        <w:t>therms</w:t>
      </w:r>
      <w:proofErr w:type="spellEnd"/>
      <w:r>
        <w:t xml:space="preserve">, then the true savings should be 100 </w:t>
      </w:r>
      <w:proofErr w:type="spellStart"/>
      <w:r>
        <w:t>therms</w:t>
      </w:r>
      <w:proofErr w:type="spellEnd"/>
      <w:r>
        <w:t xml:space="preserve"> -- the system would have used 200 </w:t>
      </w:r>
      <w:proofErr w:type="spellStart"/>
      <w:r>
        <w:t>therms</w:t>
      </w:r>
      <w:proofErr w:type="spellEnd"/>
      <w:r>
        <w:t xml:space="preserve"> but only used 100 </w:t>
      </w:r>
      <w:proofErr w:type="spellStart"/>
      <w:r>
        <w:t>therms</w:t>
      </w:r>
      <w:proofErr w:type="spellEnd"/>
      <w:r>
        <w:t xml:space="preserve">.  So the percent savings adjusted to be applied to post-retrofit usage is </w:t>
      </w:r>
      <w:proofErr w:type="gramStart"/>
      <w:r>
        <w:t>100%</w:t>
      </w:r>
      <w:proofErr w:type="gramEnd"/>
      <w:r>
        <w:t xml:space="preserve">/(100%-50%) -100% = 100% of post use.  </w:t>
      </w:r>
    </w:p>
    <w:p w14:paraId="01263D5E" w14:textId="77777777" w:rsidR="00576C8C" w:rsidRDefault="00576C8C">
      <w:pPr>
        <w:pStyle w:val="Normal1"/>
        <w:spacing w:line="276" w:lineRule="auto"/>
      </w:pPr>
    </w:p>
    <w:p w14:paraId="330CE4EA" w14:textId="77777777" w:rsidR="00576C8C" w:rsidRDefault="007173B2">
      <w:pPr>
        <w:pStyle w:val="Normal1"/>
        <w:spacing w:line="276" w:lineRule="auto"/>
      </w:pPr>
      <w:r>
        <w:t xml:space="preserve">These adjusted percent savings were used to estimate kWh and </w:t>
      </w:r>
      <w:proofErr w:type="spellStart"/>
      <w:r>
        <w:t>therm</w:t>
      </w:r>
      <w:proofErr w:type="spellEnd"/>
      <w:r>
        <w:t xml:space="preserve"> savings by multiplying them by the product of the average run times in each climate zone and the estimated system input capacities</w:t>
      </w:r>
      <w:r>
        <w:rPr>
          <w:color w:val="FF0000"/>
        </w:rPr>
        <w:t xml:space="preserve"> </w:t>
      </w:r>
      <w:r>
        <w:t xml:space="preserve">(as defined by </w:t>
      </w:r>
      <w:r>
        <w:rPr>
          <w:highlight w:val="white"/>
        </w:rPr>
        <w:t>DEER 2005 prototype home</w:t>
      </w:r>
      <w:r>
        <w:t xml:space="preserve">, discussed in Section 3.1). </w:t>
      </w:r>
    </w:p>
    <w:p w14:paraId="4B298602" w14:textId="77777777" w:rsidR="00576C8C" w:rsidRDefault="00576C8C">
      <w:pPr>
        <w:pStyle w:val="Normal1"/>
        <w:spacing w:line="276" w:lineRule="auto"/>
      </w:pPr>
    </w:p>
    <w:p w14:paraId="1306DFC5" w14:textId="77777777" w:rsidR="00576C8C" w:rsidRDefault="007173B2">
      <w:pPr>
        <w:pStyle w:val="Normal1"/>
        <w:spacing w:line="276" w:lineRule="auto"/>
        <w:jc w:val="center"/>
      </w:pPr>
      <w:r>
        <w:rPr>
          <w:i/>
          <w:color w:val="141313"/>
          <w:u w:val="single"/>
        </w:rPr>
        <w:t>Energy Savings estimated by regression model - Heating</w:t>
      </w:r>
    </w:p>
    <w:p w14:paraId="09C34D0E" w14:textId="77777777" w:rsidR="00576C8C" w:rsidRDefault="007173B2">
      <w:pPr>
        <w:pStyle w:val="Normal1"/>
        <w:spacing w:line="276" w:lineRule="auto"/>
        <w:jc w:val="center"/>
      </w:pPr>
      <w:r>
        <w:t xml:space="preserve">Adjusted % energy savings x Average heating run time (by climate zone) </w:t>
      </w:r>
      <w:r>
        <w:rPr>
          <w:i/>
          <w:color w:val="141313"/>
        </w:rPr>
        <w:t>x DEER system size (by climate zone, Section 3.1)</w:t>
      </w:r>
      <w:r>
        <w:rPr>
          <w:rFonts w:ascii="Georgia" w:eastAsia="Georgia" w:hAnsi="Georgia" w:cs="Georgia"/>
          <w:b/>
          <w:i/>
          <w:color w:val="141313"/>
          <w:sz w:val="36"/>
          <w:szCs w:val="36"/>
        </w:rPr>
        <w:t xml:space="preserve"> </w:t>
      </w:r>
      <w:r>
        <w:rPr>
          <w:i/>
          <w:color w:val="141313"/>
        </w:rPr>
        <w:t>= Energy Savings estimated by regression model</w:t>
      </w:r>
    </w:p>
    <w:p w14:paraId="246FC650" w14:textId="77777777" w:rsidR="00576C8C" w:rsidRDefault="00576C8C">
      <w:pPr>
        <w:pStyle w:val="Normal1"/>
        <w:spacing w:line="276" w:lineRule="auto"/>
        <w:jc w:val="center"/>
      </w:pPr>
    </w:p>
    <w:p w14:paraId="6F17B5B0" w14:textId="77777777" w:rsidR="00576C8C" w:rsidRDefault="007173B2">
      <w:pPr>
        <w:pStyle w:val="Normal1"/>
        <w:spacing w:line="276" w:lineRule="auto"/>
        <w:jc w:val="center"/>
      </w:pPr>
      <w:r>
        <w:rPr>
          <w:i/>
          <w:color w:val="141313"/>
          <w:u w:val="single"/>
        </w:rPr>
        <w:t>Energy Savings estimated by regression model - Cooling</w:t>
      </w:r>
    </w:p>
    <w:p w14:paraId="7BA21DD7" w14:textId="77777777" w:rsidR="00576C8C" w:rsidRDefault="007173B2">
      <w:pPr>
        <w:pStyle w:val="Normal1"/>
        <w:spacing w:line="276" w:lineRule="auto"/>
        <w:jc w:val="center"/>
      </w:pPr>
      <w:r>
        <w:t xml:space="preserve">Adjusted % energy savings x Average cooling run time (by climate zone) </w:t>
      </w:r>
      <w:r>
        <w:rPr>
          <w:i/>
          <w:color w:val="141313"/>
        </w:rPr>
        <w:t>x DEER system size (by climate zone, Section 3.1)</w:t>
      </w:r>
      <w:r>
        <w:rPr>
          <w:rFonts w:ascii="Georgia" w:eastAsia="Georgia" w:hAnsi="Georgia" w:cs="Georgia"/>
          <w:b/>
          <w:i/>
          <w:color w:val="141313"/>
          <w:sz w:val="36"/>
          <w:szCs w:val="36"/>
        </w:rPr>
        <w:t xml:space="preserve"> </w:t>
      </w:r>
      <w:r>
        <w:rPr>
          <w:i/>
          <w:color w:val="141313"/>
        </w:rPr>
        <w:t>= Energy Savings estimated by regression model</w:t>
      </w:r>
    </w:p>
    <w:p w14:paraId="155FB985" w14:textId="77777777" w:rsidR="00576C8C" w:rsidRDefault="00576C8C">
      <w:pPr>
        <w:pStyle w:val="Normal1"/>
        <w:spacing w:line="276" w:lineRule="auto"/>
      </w:pPr>
    </w:p>
    <w:p w14:paraId="145CD2E6" w14:textId="7323B528" w:rsidR="00576C8C" w:rsidRDefault="007173B2">
      <w:pPr>
        <w:pStyle w:val="Normal1"/>
        <w:spacing w:line="276" w:lineRule="auto"/>
      </w:pPr>
      <w:r>
        <w:t xml:space="preserve">It should be noted that </w:t>
      </w:r>
      <w:r>
        <w:rPr>
          <w:highlight w:val="white"/>
        </w:rPr>
        <w:t>some individual cases may trend in negative direction (increase energy usage).  In other words, they will use more energy once a smart thermostat is installed.  These outliers were not removed from analysis and therefore the approach truly captures the average energy savings per thermostat.</w:t>
      </w:r>
    </w:p>
    <w:p w14:paraId="48138225" w14:textId="77777777" w:rsidR="00576C8C" w:rsidRDefault="00576C8C">
      <w:pPr>
        <w:pStyle w:val="Normal1"/>
        <w:spacing w:line="276" w:lineRule="auto"/>
      </w:pPr>
    </w:p>
    <w:p w14:paraId="2F748EF3" w14:textId="775EE12C" w:rsidR="00576C8C" w:rsidRDefault="007173B2">
      <w:pPr>
        <w:pStyle w:val="Normal1"/>
        <w:spacing w:line="276" w:lineRule="auto"/>
      </w:pPr>
      <w:r>
        <w:rPr>
          <w:b/>
          <w:sz w:val="28"/>
          <w:szCs w:val="28"/>
        </w:rPr>
        <w:t>2.</w:t>
      </w:r>
      <w:r w:rsidR="00A7004C">
        <w:rPr>
          <w:b/>
          <w:sz w:val="28"/>
          <w:szCs w:val="28"/>
        </w:rPr>
        <w:t>3</w:t>
      </w:r>
      <w:r>
        <w:rPr>
          <w:b/>
          <w:sz w:val="28"/>
          <w:szCs w:val="28"/>
        </w:rPr>
        <w:t xml:space="preserve">.5 RASS Base Case </w:t>
      </w:r>
      <w:r w:rsidRPr="00663406">
        <w:rPr>
          <w:b/>
          <w:sz w:val="28"/>
          <w:szCs w:val="28"/>
        </w:rPr>
        <w:t>Calibration</w:t>
      </w:r>
      <w:r w:rsidRPr="00663406">
        <w:rPr>
          <w:sz w:val="28"/>
          <w:szCs w:val="28"/>
        </w:rPr>
        <w:t xml:space="preserve"> </w:t>
      </w:r>
      <w:r w:rsidR="00663406" w:rsidRPr="00663406">
        <w:rPr>
          <w:b/>
          <w:sz w:val="28"/>
          <w:szCs w:val="28"/>
        </w:rPr>
        <w:t>(Step 4)</w:t>
      </w:r>
    </w:p>
    <w:p w14:paraId="259CBB06" w14:textId="77777777" w:rsidR="00576C8C" w:rsidRDefault="00576C8C">
      <w:pPr>
        <w:pStyle w:val="Normal1"/>
        <w:spacing w:line="276" w:lineRule="auto"/>
      </w:pPr>
    </w:p>
    <w:p w14:paraId="39404BCE" w14:textId="0F62082D" w:rsidR="00576C8C" w:rsidRDefault="007173B2">
      <w:pPr>
        <w:pStyle w:val="Normal1"/>
        <w:spacing w:line="276" w:lineRule="auto"/>
      </w:pPr>
      <w:r>
        <w:rPr>
          <w:b/>
        </w:rPr>
        <w:t>Why it's needed</w:t>
      </w:r>
    </w:p>
    <w:p w14:paraId="72A8EA09" w14:textId="0CD9D517" w:rsidR="00576C8C" w:rsidRDefault="007173B2">
      <w:pPr>
        <w:pStyle w:val="Normal1"/>
        <w:spacing w:line="276" w:lineRule="auto"/>
      </w:pPr>
      <w:r>
        <w:t xml:space="preserve">To ensure the baseline approach outlined in this </w:t>
      </w:r>
      <w:proofErr w:type="spellStart"/>
      <w:r>
        <w:t>workpaper</w:t>
      </w:r>
      <w:proofErr w:type="spellEnd"/>
      <w:r>
        <w:t xml:space="preserve"> follows an approach similar to the 2004-2005 DEER </w:t>
      </w:r>
      <w:proofErr w:type="gramStart"/>
      <w:r>
        <w:t>update</w:t>
      </w:r>
      <w:r>
        <w:rPr>
          <w:vertAlign w:val="superscript"/>
        </w:rPr>
        <w:t>(</w:t>
      </w:r>
      <w:proofErr w:type="gramEnd"/>
      <w:r>
        <w:rPr>
          <w:vertAlign w:val="superscript"/>
        </w:rPr>
        <w:t>9)</w:t>
      </w:r>
      <w:r>
        <w:t xml:space="preserve"> (which updated the savings estimate from a base case of a flat-schedule to a blended average schedule based on RASS data), the analysis outlined in Section (</w:t>
      </w:r>
      <w:r w:rsidRPr="007350C8">
        <w:rPr>
          <w:color w:val="auto"/>
        </w:rPr>
        <w:t>2.</w:t>
      </w:r>
      <w:r w:rsidR="005F3BFE">
        <w:rPr>
          <w:color w:val="auto"/>
        </w:rPr>
        <w:t>3</w:t>
      </w:r>
      <w:r w:rsidR="007350C8" w:rsidRPr="007350C8">
        <w:rPr>
          <w:color w:val="auto"/>
        </w:rPr>
        <w:t>.1-4</w:t>
      </w:r>
      <w:r>
        <w:t xml:space="preserve">) </w:t>
      </w:r>
      <w:r>
        <w:lastRenderedPageBreak/>
        <w:t xml:space="preserve">needs to be adjusted as well to account for the fact that by definition the EPA savings methodology leveraging the comfort temperature utilizes a flat-schedule base case. The RASS database confirms the fact that a portion of California customers do in fact have a setback schedule.  Also, utilizing a flat-schedule baseline is inappropriate for a </w:t>
      </w:r>
      <w:proofErr w:type="spellStart"/>
      <w:r>
        <w:t>workpaper</w:t>
      </w:r>
      <w:proofErr w:type="spellEnd"/>
      <w:r>
        <w:t xml:space="preserve"> as it would </w:t>
      </w:r>
      <w:proofErr w:type="spellStart"/>
      <w:r>
        <w:t>asses</w:t>
      </w:r>
      <w:proofErr w:type="spellEnd"/>
      <w:r>
        <w:t xml:space="preserve"> the maximum savings versus the average savings appropriate for a deemed measure.</w:t>
      </w:r>
    </w:p>
    <w:p w14:paraId="5527510E" w14:textId="77777777" w:rsidR="00576C8C" w:rsidRDefault="00576C8C">
      <w:pPr>
        <w:pStyle w:val="Normal1"/>
        <w:spacing w:line="276" w:lineRule="auto"/>
      </w:pPr>
    </w:p>
    <w:p w14:paraId="7C4F3512" w14:textId="3EE06C68" w:rsidR="00576C8C" w:rsidRDefault="007173B2">
      <w:pPr>
        <w:pStyle w:val="Normal1"/>
        <w:spacing w:line="276" w:lineRule="auto"/>
      </w:pPr>
      <w:r>
        <w:rPr>
          <w:b/>
        </w:rPr>
        <w:t>Approach</w:t>
      </w:r>
    </w:p>
    <w:p w14:paraId="05B400C8" w14:textId="77777777" w:rsidR="00576C8C" w:rsidRDefault="007173B2">
      <w:pPr>
        <w:pStyle w:val="Normal1"/>
        <w:spacing w:line="276" w:lineRule="auto"/>
      </w:pPr>
      <w:r>
        <w:rPr>
          <w:color w:val="404040"/>
        </w:rPr>
        <w:t>The 2009 Residential Appliance Saturation Study (RASS</w:t>
      </w:r>
      <w:proofErr w:type="gramStart"/>
      <w:r>
        <w:rPr>
          <w:color w:val="404040"/>
        </w:rPr>
        <w:t>)</w:t>
      </w:r>
      <w:r>
        <w:rPr>
          <w:vertAlign w:val="superscript"/>
        </w:rPr>
        <w:t>(</w:t>
      </w:r>
      <w:proofErr w:type="gramEnd"/>
      <w:r>
        <w:rPr>
          <w:vertAlign w:val="superscript"/>
        </w:rPr>
        <w:t>10)</w:t>
      </w:r>
      <w:r>
        <w:rPr>
          <w:color w:val="404040"/>
        </w:rPr>
        <w:t xml:space="preserve"> resulted in end-use saturations for 24,464 individually metered and 1,257 master-metered households and administered as a mail-in study. The sections of particular relevance to this </w:t>
      </w:r>
      <w:proofErr w:type="spellStart"/>
      <w:r>
        <w:rPr>
          <w:color w:val="404040"/>
        </w:rPr>
        <w:t>workpaper</w:t>
      </w:r>
      <w:proofErr w:type="spellEnd"/>
      <w:r>
        <w:rPr>
          <w:color w:val="404040"/>
        </w:rPr>
        <w:t xml:space="preserve"> are the Space Heating and Spacing Cooling Questions. One specific question in each section had a purpose of determining average thermostat temperature set points and are shown below as question B6 and C6. The average heating customer that had a flat schedule would select all of the bubbles in the 66-70</w:t>
      </w:r>
      <w:r>
        <w:t>°</w:t>
      </w:r>
      <w:r>
        <w:rPr>
          <w:color w:val="404040"/>
        </w:rPr>
        <w:t xml:space="preserve"> column. Those that utilize a setback schedule would move their answer up or down a column - signifying thermostat setting movement during that time period. There were roughly 10,200 heating customers and 5,800 for cooling across California who answered this question - making it one of the more robust datasets on self-reported thermostat behavior. </w:t>
      </w:r>
    </w:p>
    <w:p w14:paraId="658EBB44" w14:textId="77777777" w:rsidR="00576C8C" w:rsidRDefault="00576C8C">
      <w:pPr>
        <w:pStyle w:val="Normal1"/>
        <w:spacing w:line="276" w:lineRule="auto"/>
      </w:pPr>
    </w:p>
    <w:p w14:paraId="2FB30BE7" w14:textId="77777777" w:rsidR="00576C8C" w:rsidRDefault="007173B2">
      <w:pPr>
        <w:pStyle w:val="Normal1"/>
        <w:spacing w:line="276" w:lineRule="auto"/>
      </w:pPr>
      <w:r>
        <w:rPr>
          <w:noProof/>
        </w:rPr>
        <w:drawing>
          <wp:inline distT="114300" distB="114300" distL="114300" distR="114300" wp14:anchorId="337BBAE6" wp14:editId="2CBDD29C">
            <wp:extent cx="5943600" cy="1524000"/>
            <wp:effectExtent l="0" t="0" r="0" b="0"/>
            <wp:docPr id="6" name="image18.png" descr="Screen Shot 2016-08-27 at 5.14.05 PM.png"/>
            <wp:cNvGraphicFramePr/>
            <a:graphic xmlns:a="http://schemas.openxmlformats.org/drawingml/2006/main">
              <a:graphicData uri="http://schemas.openxmlformats.org/drawingml/2006/picture">
                <pic:pic xmlns:pic="http://schemas.openxmlformats.org/drawingml/2006/picture">
                  <pic:nvPicPr>
                    <pic:cNvPr id="0" name="image18.png" descr="Screen Shot 2016-08-27 at 5.14.05 PM.png"/>
                    <pic:cNvPicPr preferRelativeResize="0"/>
                  </pic:nvPicPr>
                  <pic:blipFill>
                    <a:blip r:embed="rId14"/>
                    <a:srcRect/>
                    <a:stretch>
                      <a:fillRect/>
                    </a:stretch>
                  </pic:blipFill>
                  <pic:spPr>
                    <a:xfrm>
                      <a:off x="0" y="0"/>
                      <a:ext cx="5943600" cy="1524000"/>
                    </a:xfrm>
                    <a:prstGeom prst="rect">
                      <a:avLst/>
                    </a:prstGeom>
                    <a:ln/>
                  </pic:spPr>
                </pic:pic>
              </a:graphicData>
            </a:graphic>
          </wp:inline>
        </w:drawing>
      </w:r>
    </w:p>
    <w:p w14:paraId="02DC5B7D" w14:textId="77777777" w:rsidR="00576C8C" w:rsidRDefault="007173B2">
      <w:pPr>
        <w:pStyle w:val="Normal1"/>
        <w:spacing w:line="276" w:lineRule="auto"/>
      </w:pPr>
      <w:r>
        <w:rPr>
          <w:noProof/>
        </w:rPr>
        <w:drawing>
          <wp:inline distT="114300" distB="114300" distL="114300" distR="114300" wp14:anchorId="09458856" wp14:editId="4B8C00AA">
            <wp:extent cx="5943600" cy="1181100"/>
            <wp:effectExtent l="0" t="0" r="0" b="0"/>
            <wp:docPr id="5" name="image17.png" descr="Screen Shot 2016-08-27 at 5.14.14 PM.png"/>
            <wp:cNvGraphicFramePr/>
            <a:graphic xmlns:a="http://schemas.openxmlformats.org/drawingml/2006/main">
              <a:graphicData uri="http://schemas.openxmlformats.org/drawingml/2006/picture">
                <pic:pic xmlns:pic="http://schemas.openxmlformats.org/drawingml/2006/picture">
                  <pic:nvPicPr>
                    <pic:cNvPr id="0" name="image17.png" descr="Screen Shot 2016-08-27 at 5.14.14 PM.png"/>
                    <pic:cNvPicPr preferRelativeResize="0"/>
                  </pic:nvPicPr>
                  <pic:blipFill>
                    <a:blip r:embed="rId15"/>
                    <a:srcRect/>
                    <a:stretch>
                      <a:fillRect/>
                    </a:stretch>
                  </pic:blipFill>
                  <pic:spPr>
                    <a:xfrm>
                      <a:off x="0" y="0"/>
                      <a:ext cx="5943600" cy="1181100"/>
                    </a:xfrm>
                    <a:prstGeom prst="rect">
                      <a:avLst/>
                    </a:prstGeom>
                    <a:ln/>
                  </pic:spPr>
                </pic:pic>
              </a:graphicData>
            </a:graphic>
          </wp:inline>
        </w:drawing>
      </w:r>
    </w:p>
    <w:p w14:paraId="5AAE7139" w14:textId="77777777" w:rsidR="00576C8C" w:rsidRDefault="00576C8C">
      <w:pPr>
        <w:pStyle w:val="Normal1"/>
        <w:spacing w:line="276" w:lineRule="auto"/>
      </w:pPr>
    </w:p>
    <w:p w14:paraId="713A74FE" w14:textId="77777777" w:rsidR="00576C8C" w:rsidRDefault="007173B2">
      <w:pPr>
        <w:pStyle w:val="Normal1"/>
        <w:spacing w:line="276" w:lineRule="auto"/>
      </w:pPr>
      <w:r>
        <w:t xml:space="preserve">A key question for our analysis is what percentage of customers utilized a thermostat schedule that included setbacks. To create a baseline percentage, we analyzed the compiled </w:t>
      </w:r>
      <w:proofErr w:type="gramStart"/>
      <w:r>
        <w:t>answers</w:t>
      </w:r>
      <w:r>
        <w:rPr>
          <w:vertAlign w:val="superscript"/>
        </w:rPr>
        <w:t>(</w:t>
      </w:r>
      <w:proofErr w:type="gramEnd"/>
      <w:r>
        <w:rPr>
          <w:vertAlign w:val="superscript"/>
        </w:rPr>
        <w:t xml:space="preserve">11) </w:t>
      </w:r>
      <w:r>
        <w:t xml:space="preserve">for Single Family Home responses and analyzed how schedule patterns changed throughout the day. To begin, we examined the average heating and cooling set points as found in the RASS study and compiled in DEER 2004-2005 supporting </w:t>
      </w:r>
      <w:proofErr w:type="gramStart"/>
      <w:r>
        <w:t>analysis</w:t>
      </w:r>
      <w:r>
        <w:rPr>
          <w:vertAlign w:val="superscript"/>
        </w:rPr>
        <w:t>(</w:t>
      </w:r>
      <w:proofErr w:type="gramEnd"/>
      <w:r>
        <w:rPr>
          <w:vertAlign w:val="superscript"/>
        </w:rPr>
        <w:t>12)</w:t>
      </w:r>
      <w:r>
        <w:t xml:space="preserve">.  The average heating set point is 66.8 and the average cooling set point is 75.4. If all RASS respondents had a flat schedule set at the average temperature set point, they would have filled in the circle in the 66-70° F column and 74-76° f column for cooling. </w:t>
      </w:r>
    </w:p>
    <w:p w14:paraId="6AA72A95" w14:textId="77777777" w:rsidR="00576C8C" w:rsidRDefault="00576C8C">
      <w:pPr>
        <w:pStyle w:val="Normal1"/>
        <w:spacing w:line="276" w:lineRule="auto"/>
      </w:pPr>
    </w:p>
    <w:p w14:paraId="2A198F24" w14:textId="67C1F3A8" w:rsidR="00576C8C" w:rsidRDefault="007173B2">
      <w:pPr>
        <w:pStyle w:val="Normal1"/>
        <w:spacing w:line="276" w:lineRule="auto"/>
      </w:pPr>
      <w:r>
        <w:t xml:space="preserve">As described, temperature set point movement out of the average column was used to estimate the percentage of customers who have day or nighttime setbacks in their thermostat schedule. Selecting to review movement out of the average temperature bins was selected as it produced the most conservative estimates. If we had included customer answers from the other temperature bins using the same method, savings would be increased. This approach also assumes that any movement out of those temperature bins is in the more efficient direction - which we know is not the case as some customers like it cooler in the evening vs warmer due to their sleeping temperature preferences. Finally, since this approach is built using customer surveys, it inherently includes a </w:t>
      </w:r>
      <w:r w:rsidR="00B5122F">
        <w:t>customer’s</w:t>
      </w:r>
      <w:r>
        <w:t xml:space="preserve"> bias towards providing answers on how they feel they should be setting their schedul</w:t>
      </w:r>
      <w:r w:rsidR="00B5122F">
        <w:t>e</w:t>
      </w:r>
      <w:r>
        <w:t xml:space="preserve"> vs reality. This selection bias and conservative assumptions are documented in Section </w:t>
      </w:r>
      <w:r w:rsidRPr="00746DFC">
        <w:rPr>
          <w:color w:val="auto"/>
        </w:rPr>
        <w:t>2.5.</w:t>
      </w:r>
      <w:r w:rsidR="005D304C">
        <w:rPr>
          <w:color w:val="auto"/>
        </w:rPr>
        <w:t>1</w:t>
      </w:r>
      <w:r w:rsidR="003E5099">
        <w:rPr>
          <w:color w:val="auto"/>
        </w:rPr>
        <w:t>1</w:t>
      </w:r>
      <w:r>
        <w:t>.</w:t>
      </w:r>
    </w:p>
    <w:p w14:paraId="319518F8" w14:textId="77777777" w:rsidR="00576C8C" w:rsidRDefault="007173B2">
      <w:pPr>
        <w:pStyle w:val="Normal1"/>
        <w:spacing w:line="276" w:lineRule="auto"/>
        <w:jc w:val="center"/>
      </w:pPr>
      <w:r>
        <w:rPr>
          <w:noProof/>
        </w:rPr>
        <w:drawing>
          <wp:inline distT="114300" distB="114300" distL="114300" distR="114300" wp14:anchorId="55026727" wp14:editId="583C2480">
            <wp:extent cx="5836828" cy="3614738"/>
            <wp:effectExtent l="0" t="0" r="0" b="0"/>
            <wp:docPr id="8" name="image20.png" title="Chart"/>
            <wp:cNvGraphicFramePr/>
            <a:graphic xmlns:a="http://schemas.openxmlformats.org/drawingml/2006/main">
              <a:graphicData uri="http://schemas.openxmlformats.org/drawingml/2006/picture">
                <pic:pic xmlns:pic="http://schemas.openxmlformats.org/drawingml/2006/picture">
                  <pic:nvPicPr>
                    <pic:cNvPr id="0" name="image20.png" title="Chart"/>
                    <pic:cNvPicPr preferRelativeResize="0"/>
                  </pic:nvPicPr>
                  <pic:blipFill>
                    <a:blip r:embed="rId16"/>
                    <a:srcRect/>
                    <a:stretch>
                      <a:fillRect/>
                    </a:stretch>
                  </pic:blipFill>
                  <pic:spPr>
                    <a:xfrm>
                      <a:off x="0" y="0"/>
                      <a:ext cx="5836828" cy="3614738"/>
                    </a:xfrm>
                    <a:prstGeom prst="rect">
                      <a:avLst/>
                    </a:prstGeom>
                    <a:ln/>
                  </pic:spPr>
                </pic:pic>
              </a:graphicData>
            </a:graphic>
          </wp:inline>
        </w:drawing>
      </w:r>
    </w:p>
    <w:p w14:paraId="3FEBA11C" w14:textId="77777777" w:rsidR="00576C8C" w:rsidRDefault="007173B2">
      <w:pPr>
        <w:pStyle w:val="Normal1"/>
        <w:spacing w:line="276" w:lineRule="auto"/>
        <w:jc w:val="center"/>
      </w:pPr>
      <w:r>
        <w:rPr>
          <w:noProof/>
        </w:rPr>
        <w:lastRenderedPageBreak/>
        <w:drawing>
          <wp:inline distT="114300" distB="114300" distL="114300" distR="114300" wp14:anchorId="16511A78" wp14:editId="40712A83">
            <wp:extent cx="5541591" cy="3424238"/>
            <wp:effectExtent l="0" t="0" r="0" b="0"/>
            <wp:docPr id="7" name="image19.png" title="Chart"/>
            <wp:cNvGraphicFramePr/>
            <a:graphic xmlns:a="http://schemas.openxmlformats.org/drawingml/2006/main">
              <a:graphicData uri="http://schemas.openxmlformats.org/drawingml/2006/picture">
                <pic:pic xmlns:pic="http://schemas.openxmlformats.org/drawingml/2006/picture">
                  <pic:nvPicPr>
                    <pic:cNvPr id="0" name="image19.png" title="Chart"/>
                    <pic:cNvPicPr preferRelativeResize="0"/>
                  </pic:nvPicPr>
                  <pic:blipFill>
                    <a:blip r:embed="rId17"/>
                    <a:srcRect/>
                    <a:stretch>
                      <a:fillRect/>
                    </a:stretch>
                  </pic:blipFill>
                  <pic:spPr>
                    <a:xfrm>
                      <a:off x="0" y="0"/>
                      <a:ext cx="5541591" cy="3424238"/>
                    </a:xfrm>
                    <a:prstGeom prst="rect">
                      <a:avLst/>
                    </a:prstGeom>
                    <a:ln/>
                  </pic:spPr>
                </pic:pic>
              </a:graphicData>
            </a:graphic>
          </wp:inline>
        </w:drawing>
      </w:r>
    </w:p>
    <w:p w14:paraId="4D907FCB" w14:textId="1880E238" w:rsidR="00576C8C" w:rsidRDefault="007173B2">
      <w:pPr>
        <w:pStyle w:val="Normal1"/>
        <w:spacing w:line="276" w:lineRule="auto"/>
      </w:pPr>
      <w:r>
        <w:t>As can be seen in the charts, had everyone reported they had a flat schedule, these charts would be flat across. In the heating set point chart for example, you can see a clear reduction in the number of people in the average temp range during the day and night. To calculate the percent of customers with a setback schedule, we used the difference in the fraction of customer responses from evening to night as it is the most conservative approach (i.e. results in a higher % of customers with setback schedules for their baseline). The calculations used are outlined below and the baseline correction factors are listed in Tabl</w:t>
      </w:r>
      <w:r w:rsidR="000A24A8">
        <w:t>e below</w:t>
      </w:r>
      <w:r>
        <w:t>. The night setback percentage was calculated for both heating and cooling (nighttime setback was used instead of daytime setback because the percentage of customers exhibiting nighttime setback behavior was higher than that of customers exhibiting daytime setback behavior, resulting in a larger, and therefore more conservative, reduction in the savings estimates).</w:t>
      </w:r>
    </w:p>
    <w:p w14:paraId="3B8379AB" w14:textId="77777777" w:rsidR="00576C8C" w:rsidRDefault="00576C8C">
      <w:pPr>
        <w:pStyle w:val="Normal1"/>
        <w:spacing w:line="276" w:lineRule="auto"/>
      </w:pPr>
    </w:p>
    <w:p w14:paraId="3DDF76AE" w14:textId="77777777" w:rsidR="00576C8C" w:rsidRDefault="007173B2">
      <w:pPr>
        <w:pStyle w:val="Normal1"/>
        <w:spacing w:line="276" w:lineRule="auto"/>
        <w:jc w:val="center"/>
      </w:pPr>
      <w:r>
        <w:rPr>
          <w:u w:val="single"/>
        </w:rPr>
        <w:t>Night Setback Customers</w:t>
      </w:r>
    </w:p>
    <w:p w14:paraId="40D8B7B8" w14:textId="04949B0B" w:rsidR="00576C8C" w:rsidRDefault="007173B2">
      <w:pPr>
        <w:pStyle w:val="Normal1"/>
        <w:spacing w:line="276" w:lineRule="auto"/>
        <w:jc w:val="center"/>
      </w:pPr>
      <w:r>
        <w:rPr>
          <w:i/>
        </w:rPr>
        <w:t xml:space="preserve"> % of customers with night setback schedules = </w:t>
      </w:r>
      <w:r w:rsidR="00183713">
        <w:rPr>
          <w:i/>
        </w:rPr>
        <w:t xml:space="preserve">1- </w:t>
      </w:r>
      <w:r>
        <w:rPr>
          <w:i/>
        </w:rPr>
        <w:t>(# evening respondents - # of night respondents) / (# evening respondents)</w:t>
      </w:r>
    </w:p>
    <w:p w14:paraId="550CE4C2" w14:textId="77777777" w:rsidR="00576C8C" w:rsidRDefault="00576C8C">
      <w:pPr>
        <w:pStyle w:val="Normal1"/>
        <w:spacing w:line="276" w:lineRule="auto"/>
      </w:pPr>
    </w:p>
    <w:p w14:paraId="6AB0DB4A" w14:textId="23734407" w:rsidR="00576C8C" w:rsidRPr="00206AE1" w:rsidRDefault="007173B2">
      <w:pPr>
        <w:pStyle w:val="Normal1"/>
        <w:spacing w:line="276" w:lineRule="auto"/>
        <w:jc w:val="center"/>
        <w:rPr>
          <w:b/>
        </w:rPr>
      </w:pPr>
      <w:r w:rsidRPr="00206AE1">
        <w:rPr>
          <w:b/>
        </w:rPr>
        <w:t>RASS Baseline Correction Factors</w:t>
      </w:r>
    </w:p>
    <w:tbl>
      <w:tblPr>
        <w:tblStyle w:val="af2"/>
        <w:tblW w:w="4095" w:type="dxa"/>
        <w:tblInd w:w="254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2040"/>
        <w:gridCol w:w="2055"/>
      </w:tblGrid>
      <w:tr w:rsidR="00576C8C" w:rsidRPr="00206AE1" w14:paraId="73F40E2D" w14:textId="77777777" w:rsidTr="00206AE1">
        <w:tc>
          <w:tcPr>
            <w:tcW w:w="2040" w:type="dxa"/>
            <w:shd w:val="clear" w:color="auto" w:fill="D9D9D9" w:themeFill="background1" w:themeFillShade="D9"/>
            <w:tcMar>
              <w:top w:w="100" w:type="dxa"/>
              <w:left w:w="100" w:type="dxa"/>
              <w:bottom w:w="100" w:type="dxa"/>
              <w:right w:w="100" w:type="dxa"/>
            </w:tcMar>
          </w:tcPr>
          <w:p w14:paraId="1DD9868B" w14:textId="5A56920A" w:rsidR="00576C8C" w:rsidRPr="00206AE1" w:rsidRDefault="00A70674">
            <w:pPr>
              <w:pStyle w:val="Normal1"/>
              <w:widowControl w:val="0"/>
              <w:contextualSpacing w:val="0"/>
              <w:rPr>
                <w:b/>
                <w:sz w:val="20"/>
                <w:szCs w:val="20"/>
              </w:rPr>
            </w:pPr>
            <w:r w:rsidRPr="00206AE1">
              <w:rPr>
                <w:b/>
                <w:sz w:val="20"/>
                <w:szCs w:val="20"/>
              </w:rPr>
              <w:t>Operating Mode</w:t>
            </w:r>
          </w:p>
        </w:tc>
        <w:tc>
          <w:tcPr>
            <w:tcW w:w="2055" w:type="dxa"/>
            <w:shd w:val="clear" w:color="auto" w:fill="D9D9D9" w:themeFill="background1" w:themeFillShade="D9"/>
            <w:tcMar>
              <w:top w:w="100" w:type="dxa"/>
              <w:left w:w="100" w:type="dxa"/>
              <w:bottom w:w="100" w:type="dxa"/>
              <w:right w:w="100" w:type="dxa"/>
            </w:tcMar>
          </w:tcPr>
          <w:p w14:paraId="3D0B421C" w14:textId="77777777" w:rsidR="00576C8C" w:rsidRPr="00206AE1" w:rsidRDefault="007173B2">
            <w:pPr>
              <w:pStyle w:val="Normal1"/>
              <w:widowControl w:val="0"/>
              <w:contextualSpacing w:val="0"/>
              <w:rPr>
                <w:b/>
                <w:sz w:val="20"/>
                <w:szCs w:val="20"/>
              </w:rPr>
            </w:pPr>
            <w:r w:rsidRPr="00206AE1">
              <w:rPr>
                <w:b/>
                <w:sz w:val="20"/>
                <w:szCs w:val="20"/>
              </w:rPr>
              <w:t>Correction Factor</w:t>
            </w:r>
          </w:p>
        </w:tc>
      </w:tr>
      <w:tr w:rsidR="00576C8C" w:rsidRPr="00206AE1" w14:paraId="3E9DB7B5" w14:textId="77777777" w:rsidTr="00206AE1">
        <w:tc>
          <w:tcPr>
            <w:tcW w:w="2040" w:type="dxa"/>
            <w:tcMar>
              <w:top w:w="100" w:type="dxa"/>
              <w:left w:w="100" w:type="dxa"/>
              <w:bottom w:w="100" w:type="dxa"/>
              <w:right w:w="100" w:type="dxa"/>
            </w:tcMar>
          </w:tcPr>
          <w:p w14:paraId="74D0C4AA" w14:textId="77777777" w:rsidR="00576C8C" w:rsidRPr="00206AE1" w:rsidRDefault="007173B2">
            <w:pPr>
              <w:pStyle w:val="Normal1"/>
              <w:widowControl w:val="0"/>
              <w:contextualSpacing w:val="0"/>
              <w:rPr>
                <w:sz w:val="20"/>
                <w:szCs w:val="20"/>
              </w:rPr>
            </w:pPr>
            <w:r w:rsidRPr="00206AE1">
              <w:rPr>
                <w:sz w:val="20"/>
                <w:szCs w:val="20"/>
              </w:rPr>
              <w:t>Heating</w:t>
            </w:r>
          </w:p>
        </w:tc>
        <w:tc>
          <w:tcPr>
            <w:tcW w:w="2055" w:type="dxa"/>
            <w:tcMar>
              <w:top w:w="100" w:type="dxa"/>
              <w:left w:w="100" w:type="dxa"/>
              <w:bottom w:w="100" w:type="dxa"/>
              <w:right w:w="100" w:type="dxa"/>
            </w:tcMar>
          </w:tcPr>
          <w:p w14:paraId="08159264" w14:textId="77777777" w:rsidR="00576C8C" w:rsidRPr="00206AE1" w:rsidRDefault="007173B2">
            <w:pPr>
              <w:pStyle w:val="Normal1"/>
              <w:widowControl w:val="0"/>
              <w:contextualSpacing w:val="0"/>
              <w:jc w:val="center"/>
              <w:rPr>
                <w:sz w:val="20"/>
                <w:szCs w:val="20"/>
              </w:rPr>
            </w:pPr>
            <w:r w:rsidRPr="00206AE1">
              <w:rPr>
                <w:sz w:val="20"/>
                <w:szCs w:val="20"/>
              </w:rPr>
              <w:t>49%</w:t>
            </w:r>
          </w:p>
        </w:tc>
      </w:tr>
      <w:tr w:rsidR="00576C8C" w:rsidRPr="00206AE1" w14:paraId="38DC06F2" w14:textId="77777777" w:rsidTr="00206AE1">
        <w:tc>
          <w:tcPr>
            <w:tcW w:w="2040" w:type="dxa"/>
            <w:tcMar>
              <w:top w:w="100" w:type="dxa"/>
              <w:left w:w="100" w:type="dxa"/>
              <w:bottom w:w="100" w:type="dxa"/>
              <w:right w:w="100" w:type="dxa"/>
            </w:tcMar>
          </w:tcPr>
          <w:p w14:paraId="439D6921" w14:textId="77777777" w:rsidR="00576C8C" w:rsidRPr="00206AE1" w:rsidRDefault="007173B2">
            <w:pPr>
              <w:pStyle w:val="Normal1"/>
              <w:widowControl w:val="0"/>
              <w:contextualSpacing w:val="0"/>
              <w:rPr>
                <w:sz w:val="20"/>
                <w:szCs w:val="20"/>
              </w:rPr>
            </w:pPr>
            <w:r w:rsidRPr="00206AE1">
              <w:rPr>
                <w:sz w:val="20"/>
                <w:szCs w:val="20"/>
              </w:rPr>
              <w:t>Cooling</w:t>
            </w:r>
          </w:p>
        </w:tc>
        <w:tc>
          <w:tcPr>
            <w:tcW w:w="2055" w:type="dxa"/>
            <w:tcMar>
              <w:top w:w="100" w:type="dxa"/>
              <w:left w:w="100" w:type="dxa"/>
              <w:bottom w:w="100" w:type="dxa"/>
              <w:right w:w="100" w:type="dxa"/>
            </w:tcMar>
          </w:tcPr>
          <w:p w14:paraId="08D6F0AE" w14:textId="77777777" w:rsidR="00576C8C" w:rsidRPr="00206AE1" w:rsidRDefault="007173B2">
            <w:pPr>
              <w:pStyle w:val="Normal1"/>
              <w:widowControl w:val="0"/>
              <w:contextualSpacing w:val="0"/>
              <w:jc w:val="center"/>
              <w:rPr>
                <w:sz w:val="20"/>
                <w:szCs w:val="20"/>
              </w:rPr>
            </w:pPr>
            <w:r w:rsidRPr="00206AE1">
              <w:rPr>
                <w:sz w:val="20"/>
                <w:szCs w:val="20"/>
              </w:rPr>
              <w:t>62%</w:t>
            </w:r>
          </w:p>
        </w:tc>
      </w:tr>
    </w:tbl>
    <w:p w14:paraId="6C03538B" w14:textId="77777777" w:rsidR="00576C8C" w:rsidRDefault="00576C8C">
      <w:pPr>
        <w:pStyle w:val="Normal1"/>
        <w:spacing w:line="276" w:lineRule="auto"/>
      </w:pPr>
    </w:p>
    <w:p w14:paraId="56A8EF56" w14:textId="7EACBE05" w:rsidR="00576C8C" w:rsidRDefault="007173B2">
      <w:pPr>
        <w:pStyle w:val="Normal1"/>
        <w:spacing w:line="276" w:lineRule="auto"/>
      </w:pPr>
      <w:r>
        <w:t xml:space="preserve">These calibration factors are then applied (multiplied) to the heating and cooling savings estimates generated through the comfort set point analysis (which generates a flat-schedule savings </w:t>
      </w:r>
      <w:r>
        <w:lastRenderedPageBreak/>
        <w:t>estimate) to develop the RASS baseline adjusted savings result</w:t>
      </w:r>
      <w:r w:rsidR="00746DFC">
        <w:t xml:space="preserve"> tables as outlined in Section 3</w:t>
      </w:r>
      <w:r>
        <w:t>. This approach is likely overly conservative because it essentially eliminates any additional potential savings from customers that have a night setback but also use features like auto-away as captured through occupancy sensors and mobile phone presence. This calculation method ensures that the work paper savings are based on the best available data as well as being a conservative estimate. If more data or analysis becomes available to quantify those savings in the future they should be reviewed for potential inclusion.</w:t>
      </w:r>
    </w:p>
    <w:p w14:paraId="29F28931" w14:textId="77777777" w:rsidR="00576C8C" w:rsidRDefault="00576C8C">
      <w:pPr>
        <w:pStyle w:val="Normal1"/>
        <w:spacing w:line="276" w:lineRule="auto"/>
      </w:pPr>
    </w:p>
    <w:p w14:paraId="5885D333" w14:textId="36DD8F37" w:rsidR="00576C8C" w:rsidRDefault="007173B2">
      <w:pPr>
        <w:pStyle w:val="Normal1"/>
        <w:spacing w:line="276" w:lineRule="auto"/>
      </w:pPr>
      <w:r>
        <w:rPr>
          <w:b/>
        </w:rPr>
        <w:t>Average temperature set points vs. indoor air temperature:</w:t>
      </w:r>
      <w:r>
        <w:t xml:space="preserve"> During the work paper feedback process, members of the C</w:t>
      </w:r>
      <w:r w:rsidR="00B5122F">
        <w:t>AL</w:t>
      </w:r>
      <w:r>
        <w:t xml:space="preserve">TF asked for clarification as to why the average temperature set point was used in the regression model instead of indoor air temperature. The primary driver of this question was a concern that using average set point could potentially overstate savings because HVAC systems do not instantly achieve the target set point. The second concern was that using a runtime analysis, instead of sub-metered HVAC data, could potentially overestimate savings if runtime were shifted to a cooler part of the day later in the evening. </w:t>
      </w:r>
    </w:p>
    <w:p w14:paraId="2104206C" w14:textId="77777777" w:rsidR="00576C8C" w:rsidRDefault="00576C8C">
      <w:pPr>
        <w:pStyle w:val="Normal1"/>
        <w:spacing w:line="276" w:lineRule="auto"/>
      </w:pPr>
    </w:p>
    <w:p w14:paraId="365CA15B" w14:textId="77777777" w:rsidR="00576C8C" w:rsidRDefault="007173B2" w:rsidP="00A94B59">
      <w:pPr>
        <w:pStyle w:val="Normal1"/>
        <w:spacing w:line="276" w:lineRule="auto"/>
      </w:pPr>
      <w:r>
        <w:t>This analysis focused on set point data instead of indoor temperature data because set points, unlike ambient temperatures, are something that customers can recall for the purposes of a survey. Indeed, the RASS thermostat survey data used as a baseline calibration factor for this study asked customers to indicate thermostat set points.</w:t>
      </w:r>
    </w:p>
    <w:p w14:paraId="1AA6FCE6" w14:textId="77777777" w:rsidR="00576C8C" w:rsidRDefault="00576C8C" w:rsidP="00A94B59">
      <w:pPr>
        <w:pStyle w:val="Normal1"/>
        <w:spacing w:line="276" w:lineRule="auto"/>
      </w:pPr>
    </w:p>
    <w:p w14:paraId="1340B90E" w14:textId="77777777" w:rsidR="00576C8C" w:rsidRDefault="007173B2" w:rsidP="00A94B59">
      <w:pPr>
        <w:pStyle w:val="Normal1"/>
        <w:spacing w:line="276" w:lineRule="auto"/>
      </w:pPr>
      <w:r>
        <w:t xml:space="preserve">However, it is important to validate that the set point approach is reasonable given best-available data from a recent analysis that used sub-metered HVAC data. This section describes how that comparison was made for the purpose of leveraging sub-metered study data to validate the analysis herein. </w:t>
      </w:r>
    </w:p>
    <w:p w14:paraId="35081C16" w14:textId="77777777" w:rsidR="00576C8C" w:rsidRDefault="00576C8C" w:rsidP="00A94B59">
      <w:pPr>
        <w:pStyle w:val="Normal1"/>
        <w:spacing w:line="276" w:lineRule="auto"/>
      </w:pPr>
    </w:p>
    <w:p w14:paraId="132A5535" w14:textId="12B9485E" w:rsidR="00576C8C" w:rsidRDefault="007173B2" w:rsidP="00A94B59">
      <w:pPr>
        <w:pStyle w:val="Normal1"/>
        <w:spacing w:line="276" w:lineRule="auto"/>
      </w:pPr>
      <w:r>
        <w:t>The Florida Solar Energy Center recently publ</w:t>
      </w:r>
      <w:r w:rsidR="0000281E">
        <w:t>ished a study (see Section 1.5.</w:t>
      </w:r>
      <w:r w:rsidR="003E5099">
        <w:t>8</w:t>
      </w:r>
      <w:r>
        <w:t xml:space="preserve">), based on a detailed sub-metering analysis of HVAC systems 28 homes that were equipped with smart thermostats. This study includes a full year of sub-metered, hourly temperature data, along with corresponding pre and post heating and cooling system operational data. This detailed data collection included the time periods prior to and after installation of the smart thermostat, which enabled a detailed evaluation of temperature-related changes. </w:t>
      </w:r>
    </w:p>
    <w:p w14:paraId="5A13843B" w14:textId="77777777" w:rsidR="00576C8C" w:rsidRDefault="00576C8C" w:rsidP="00A94B59">
      <w:pPr>
        <w:pStyle w:val="Normal1"/>
        <w:spacing w:line="276" w:lineRule="auto"/>
      </w:pPr>
    </w:p>
    <w:p w14:paraId="39C4AB31" w14:textId="77777777" w:rsidR="00576C8C" w:rsidRDefault="007173B2" w:rsidP="00A94B59">
      <w:pPr>
        <w:pStyle w:val="Normal1"/>
        <w:spacing w:line="276" w:lineRule="auto"/>
      </w:pPr>
      <w:r>
        <w:t xml:space="preserve">The Florida study found an average of 9.5% savings for both heating and cooling. To ensure that the regression modeling approach outlined in this work paper will deliver savings results that are consistent with a sub-metering approach, which is indifferent to timing of runtime throughout a day and indoor temperatures vs. set points, we ran the same regression model described in this paper for Nest Thermostats currently installed in Florida. Using the same RASS baseline calibration factors to account for existing customer setback behavior in </w:t>
      </w:r>
      <w:proofErr w:type="gramStart"/>
      <w:r>
        <w:t>Summer</w:t>
      </w:r>
      <w:proofErr w:type="gramEnd"/>
      <w:r>
        <w:t xml:space="preserve"> and Winter, our analysis estimated 11% cooling savings and 8% heating savings for customers in Florida. Comparing these results to the 9.5% heating and cooling savings found in the Florida Solar Energy Center study provides a level of comfort that the regression approach using set point and comfort temperature </w:t>
      </w:r>
      <w:r>
        <w:lastRenderedPageBreak/>
        <w:t xml:space="preserve">data, along with the RASS calibration factor, produces results in-line with a sub-metering approach. </w:t>
      </w:r>
    </w:p>
    <w:p w14:paraId="1433AC33" w14:textId="77777777" w:rsidR="00576C8C" w:rsidRDefault="00576C8C">
      <w:pPr>
        <w:pStyle w:val="Normal1"/>
      </w:pPr>
    </w:p>
    <w:tbl>
      <w:tblPr>
        <w:tblStyle w:val="af3"/>
        <w:tblW w:w="8658"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hemeFill="background1"/>
        <w:tblLayout w:type="fixed"/>
        <w:tblLook w:val="0400" w:firstRow="0" w:lastRow="0" w:firstColumn="0" w:lastColumn="0" w:noHBand="0" w:noVBand="1"/>
      </w:tblPr>
      <w:tblGrid>
        <w:gridCol w:w="1368"/>
        <w:gridCol w:w="2070"/>
        <w:gridCol w:w="3960"/>
        <w:gridCol w:w="1260"/>
      </w:tblGrid>
      <w:tr w:rsidR="00576C8C" w:rsidRPr="00206AE1" w14:paraId="48E8B313" w14:textId="77777777" w:rsidTr="00206AE1">
        <w:tc>
          <w:tcPr>
            <w:tcW w:w="1368" w:type="dxa"/>
            <w:shd w:val="clear" w:color="auto" w:fill="D9D9D9" w:themeFill="background1" w:themeFillShade="D9"/>
          </w:tcPr>
          <w:p w14:paraId="1D61E5FD" w14:textId="77777777" w:rsidR="00576C8C" w:rsidRPr="00206AE1" w:rsidRDefault="007173B2" w:rsidP="00206AE1">
            <w:pPr>
              <w:pStyle w:val="Normal1"/>
              <w:contextualSpacing w:val="0"/>
              <w:rPr>
                <w:sz w:val="20"/>
                <w:szCs w:val="20"/>
              </w:rPr>
            </w:pPr>
            <w:r w:rsidRPr="00206AE1">
              <w:rPr>
                <w:b/>
                <w:sz w:val="20"/>
                <w:szCs w:val="20"/>
              </w:rPr>
              <w:t>End-Use Category</w:t>
            </w:r>
          </w:p>
        </w:tc>
        <w:tc>
          <w:tcPr>
            <w:tcW w:w="2070" w:type="dxa"/>
            <w:shd w:val="clear" w:color="auto" w:fill="D9D9D9" w:themeFill="background1" w:themeFillShade="D9"/>
          </w:tcPr>
          <w:p w14:paraId="4FC0DCFF" w14:textId="77777777" w:rsidR="00576C8C" w:rsidRPr="00206AE1" w:rsidRDefault="007173B2" w:rsidP="00206AE1">
            <w:pPr>
              <w:pStyle w:val="Normal1"/>
              <w:contextualSpacing w:val="0"/>
              <w:rPr>
                <w:sz w:val="20"/>
                <w:szCs w:val="20"/>
              </w:rPr>
            </w:pPr>
            <w:r w:rsidRPr="00206AE1">
              <w:rPr>
                <w:b/>
                <w:sz w:val="20"/>
                <w:szCs w:val="20"/>
              </w:rPr>
              <w:t>Savings Estimates: Florida Solar Energy Center Study based on sub-metered HVAC data</w:t>
            </w:r>
          </w:p>
        </w:tc>
        <w:tc>
          <w:tcPr>
            <w:tcW w:w="3960" w:type="dxa"/>
            <w:shd w:val="clear" w:color="auto" w:fill="D9D9D9" w:themeFill="background1" w:themeFillShade="D9"/>
          </w:tcPr>
          <w:p w14:paraId="34EB046B" w14:textId="77777777" w:rsidR="00576C8C" w:rsidRPr="00206AE1" w:rsidRDefault="007173B2" w:rsidP="00206AE1">
            <w:pPr>
              <w:pStyle w:val="Normal1"/>
              <w:contextualSpacing w:val="0"/>
              <w:rPr>
                <w:sz w:val="20"/>
                <w:szCs w:val="20"/>
              </w:rPr>
            </w:pPr>
            <w:r w:rsidRPr="00206AE1">
              <w:rPr>
                <w:b/>
                <w:sz w:val="20"/>
                <w:szCs w:val="20"/>
              </w:rPr>
              <w:t>Savings Estimates: set point regression model used in this work paper, but based on data from thermostats installed in Florida</w:t>
            </w:r>
          </w:p>
        </w:tc>
        <w:tc>
          <w:tcPr>
            <w:tcW w:w="1260" w:type="dxa"/>
            <w:shd w:val="clear" w:color="auto" w:fill="D9D9D9" w:themeFill="background1" w:themeFillShade="D9"/>
          </w:tcPr>
          <w:p w14:paraId="37155849" w14:textId="77777777" w:rsidR="00576C8C" w:rsidRPr="00206AE1" w:rsidRDefault="007173B2">
            <w:pPr>
              <w:pStyle w:val="Normal1"/>
              <w:contextualSpacing w:val="0"/>
              <w:jc w:val="center"/>
              <w:rPr>
                <w:sz w:val="20"/>
                <w:szCs w:val="20"/>
              </w:rPr>
            </w:pPr>
            <w:r w:rsidRPr="00206AE1">
              <w:rPr>
                <w:b/>
                <w:sz w:val="20"/>
                <w:szCs w:val="20"/>
              </w:rPr>
              <w:t>Delta</w:t>
            </w:r>
          </w:p>
        </w:tc>
      </w:tr>
      <w:tr w:rsidR="00576C8C" w:rsidRPr="00206AE1" w14:paraId="109E2357" w14:textId="77777777" w:rsidTr="00206AE1">
        <w:tc>
          <w:tcPr>
            <w:tcW w:w="1368" w:type="dxa"/>
            <w:shd w:val="clear" w:color="auto" w:fill="FFFFFF" w:themeFill="background1"/>
          </w:tcPr>
          <w:p w14:paraId="222AAF7A" w14:textId="77777777" w:rsidR="00576C8C" w:rsidRPr="00206AE1" w:rsidRDefault="007173B2">
            <w:pPr>
              <w:pStyle w:val="Normal1"/>
              <w:contextualSpacing w:val="0"/>
              <w:rPr>
                <w:sz w:val="20"/>
                <w:szCs w:val="20"/>
              </w:rPr>
            </w:pPr>
            <w:r w:rsidRPr="00206AE1">
              <w:rPr>
                <w:sz w:val="20"/>
                <w:szCs w:val="20"/>
              </w:rPr>
              <w:t>Heating Savings</w:t>
            </w:r>
          </w:p>
        </w:tc>
        <w:tc>
          <w:tcPr>
            <w:tcW w:w="2070" w:type="dxa"/>
            <w:shd w:val="clear" w:color="auto" w:fill="FFFFFF" w:themeFill="background1"/>
            <w:vAlign w:val="center"/>
          </w:tcPr>
          <w:p w14:paraId="5A9AB169" w14:textId="77777777" w:rsidR="00576C8C" w:rsidRPr="00206AE1" w:rsidRDefault="007173B2">
            <w:pPr>
              <w:pStyle w:val="Normal1"/>
              <w:contextualSpacing w:val="0"/>
              <w:jc w:val="center"/>
              <w:rPr>
                <w:sz w:val="20"/>
                <w:szCs w:val="20"/>
              </w:rPr>
            </w:pPr>
            <w:r w:rsidRPr="00206AE1">
              <w:rPr>
                <w:sz w:val="20"/>
                <w:szCs w:val="20"/>
              </w:rPr>
              <w:t>9.5%</w:t>
            </w:r>
          </w:p>
        </w:tc>
        <w:tc>
          <w:tcPr>
            <w:tcW w:w="3960" w:type="dxa"/>
            <w:shd w:val="clear" w:color="auto" w:fill="FFFFFF" w:themeFill="background1"/>
            <w:vAlign w:val="center"/>
          </w:tcPr>
          <w:p w14:paraId="7B94FE08" w14:textId="11096BBB" w:rsidR="00576C8C" w:rsidRPr="00206AE1" w:rsidRDefault="007173B2">
            <w:pPr>
              <w:pStyle w:val="Normal1"/>
              <w:contextualSpacing w:val="0"/>
              <w:jc w:val="center"/>
              <w:rPr>
                <w:sz w:val="20"/>
                <w:szCs w:val="20"/>
              </w:rPr>
            </w:pPr>
            <w:r w:rsidRPr="00206AE1">
              <w:rPr>
                <w:sz w:val="20"/>
                <w:szCs w:val="20"/>
              </w:rPr>
              <w:t>8%</w:t>
            </w:r>
            <w:r w:rsidR="00A6285F" w:rsidRPr="00206AE1">
              <w:rPr>
                <w:sz w:val="20"/>
                <w:szCs w:val="20"/>
              </w:rPr>
              <w:t>*</w:t>
            </w:r>
          </w:p>
        </w:tc>
        <w:tc>
          <w:tcPr>
            <w:tcW w:w="1260" w:type="dxa"/>
            <w:shd w:val="clear" w:color="auto" w:fill="FFFFFF" w:themeFill="background1"/>
            <w:vAlign w:val="center"/>
          </w:tcPr>
          <w:p w14:paraId="1DE26089" w14:textId="77777777" w:rsidR="00576C8C" w:rsidRPr="00206AE1" w:rsidRDefault="007173B2">
            <w:pPr>
              <w:pStyle w:val="Normal1"/>
              <w:contextualSpacing w:val="0"/>
              <w:jc w:val="center"/>
              <w:rPr>
                <w:sz w:val="20"/>
                <w:szCs w:val="20"/>
              </w:rPr>
            </w:pPr>
            <w:r w:rsidRPr="00206AE1">
              <w:rPr>
                <w:sz w:val="20"/>
                <w:szCs w:val="20"/>
              </w:rPr>
              <w:t>-1.5%</w:t>
            </w:r>
          </w:p>
        </w:tc>
      </w:tr>
      <w:tr w:rsidR="00576C8C" w:rsidRPr="00206AE1" w14:paraId="6AB3AC4C" w14:textId="77777777" w:rsidTr="00206AE1">
        <w:tc>
          <w:tcPr>
            <w:tcW w:w="1368" w:type="dxa"/>
            <w:shd w:val="clear" w:color="auto" w:fill="FFFFFF" w:themeFill="background1"/>
          </w:tcPr>
          <w:p w14:paraId="1DBE8398" w14:textId="77777777" w:rsidR="00576C8C" w:rsidRPr="00206AE1" w:rsidRDefault="007173B2">
            <w:pPr>
              <w:pStyle w:val="Normal1"/>
              <w:contextualSpacing w:val="0"/>
              <w:rPr>
                <w:sz w:val="20"/>
                <w:szCs w:val="20"/>
              </w:rPr>
            </w:pPr>
            <w:r w:rsidRPr="00206AE1">
              <w:rPr>
                <w:sz w:val="20"/>
                <w:szCs w:val="20"/>
              </w:rPr>
              <w:t>Cooling Savings</w:t>
            </w:r>
          </w:p>
        </w:tc>
        <w:tc>
          <w:tcPr>
            <w:tcW w:w="2070" w:type="dxa"/>
            <w:shd w:val="clear" w:color="auto" w:fill="FFFFFF" w:themeFill="background1"/>
            <w:vAlign w:val="center"/>
          </w:tcPr>
          <w:p w14:paraId="30CB2088" w14:textId="77777777" w:rsidR="00576C8C" w:rsidRPr="00206AE1" w:rsidRDefault="007173B2">
            <w:pPr>
              <w:pStyle w:val="Normal1"/>
              <w:contextualSpacing w:val="0"/>
              <w:jc w:val="center"/>
              <w:rPr>
                <w:sz w:val="20"/>
                <w:szCs w:val="20"/>
              </w:rPr>
            </w:pPr>
            <w:r w:rsidRPr="00206AE1">
              <w:rPr>
                <w:sz w:val="20"/>
                <w:szCs w:val="20"/>
              </w:rPr>
              <w:t>9.5%</w:t>
            </w:r>
          </w:p>
        </w:tc>
        <w:tc>
          <w:tcPr>
            <w:tcW w:w="3960" w:type="dxa"/>
            <w:shd w:val="clear" w:color="auto" w:fill="FFFFFF" w:themeFill="background1"/>
            <w:vAlign w:val="center"/>
          </w:tcPr>
          <w:p w14:paraId="7BABD1BA" w14:textId="55A0B33F" w:rsidR="00576C8C" w:rsidRPr="00206AE1" w:rsidRDefault="007173B2">
            <w:pPr>
              <w:pStyle w:val="Normal1"/>
              <w:contextualSpacing w:val="0"/>
              <w:jc w:val="center"/>
              <w:rPr>
                <w:color w:val="FF0000"/>
                <w:sz w:val="20"/>
                <w:szCs w:val="20"/>
              </w:rPr>
            </w:pPr>
            <w:r w:rsidRPr="00206AE1">
              <w:rPr>
                <w:sz w:val="20"/>
                <w:szCs w:val="20"/>
              </w:rPr>
              <w:t>11%</w:t>
            </w:r>
            <w:r w:rsidR="00A6285F" w:rsidRPr="00206AE1">
              <w:rPr>
                <w:color w:val="000000" w:themeColor="text1"/>
                <w:sz w:val="20"/>
                <w:szCs w:val="20"/>
              </w:rPr>
              <w:t>*</w:t>
            </w:r>
          </w:p>
        </w:tc>
        <w:tc>
          <w:tcPr>
            <w:tcW w:w="1260" w:type="dxa"/>
            <w:shd w:val="clear" w:color="auto" w:fill="FFFFFF" w:themeFill="background1"/>
            <w:vAlign w:val="center"/>
          </w:tcPr>
          <w:p w14:paraId="0999C1FD" w14:textId="77777777" w:rsidR="00576C8C" w:rsidRPr="00206AE1" w:rsidRDefault="007173B2">
            <w:pPr>
              <w:pStyle w:val="Normal1"/>
              <w:contextualSpacing w:val="0"/>
              <w:jc w:val="center"/>
              <w:rPr>
                <w:sz w:val="20"/>
                <w:szCs w:val="20"/>
              </w:rPr>
            </w:pPr>
            <w:r w:rsidRPr="00206AE1">
              <w:rPr>
                <w:sz w:val="20"/>
                <w:szCs w:val="20"/>
              </w:rPr>
              <w:t>+1.5%</w:t>
            </w:r>
          </w:p>
        </w:tc>
      </w:tr>
    </w:tbl>
    <w:p w14:paraId="2CB391F9" w14:textId="77777777" w:rsidR="00A6285F" w:rsidRDefault="00A6285F" w:rsidP="002B6AEF">
      <w:pPr>
        <w:pStyle w:val="NormalWeb"/>
        <w:spacing w:before="0" w:beforeAutospacing="0" w:after="0" w:afterAutospacing="0"/>
        <w:rPr>
          <w:rFonts w:asciiTheme="majorHAnsi" w:hAnsiTheme="majorHAnsi"/>
          <w:color w:val="FF0000"/>
          <w:sz w:val="22"/>
          <w:szCs w:val="22"/>
        </w:rPr>
      </w:pPr>
    </w:p>
    <w:p w14:paraId="3C1C3FE9" w14:textId="6919EEB3" w:rsidR="00F825E6" w:rsidRDefault="00A6285F" w:rsidP="00A7004C">
      <w:pPr>
        <w:pStyle w:val="NormalWeb"/>
        <w:spacing w:before="0" w:beforeAutospacing="0" w:after="0" w:afterAutospacing="0" w:line="276" w:lineRule="auto"/>
      </w:pPr>
      <w:r w:rsidRPr="00867673">
        <w:rPr>
          <w:rFonts w:asciiTheme="majorHAnsi" w:hAnsiTheme="majorHAnsi"/>
          <w:color w:val="000000" w:themeColor="text1"/>
          <w:sz w:val="22"/>
          <w:szCs w:val="22"/>
        </w:rPr>
        <w:t xml:space="preserve">Further supporting this argument </w:t>
      </w:r>
      <w:r w:rsidR="009A7D6C" w:rsidRPr="00867673">
        <w:rPr>
          <w:rFonts w:asciiTheme="majorHAnsi" w:hAnsiTheme="majorHAnsi"/>
          <w:color w:val="000000" w:themeColor="text1"/>
          <w:sz w:val="22"/>
          <w:szCs w:val="22"/>
        </w:rPr>
        <w:t xml:space="preserve">are the results from the recent </w:t>
      </w:r>
      <w:r w:rsidRPr="00867673">
        <w:rPr>
          <w:rFonts w:asciiTheme="majorHAnsi" w:hAnsiTheme="majorHAnsi"/>
          <w:color w:val="000000" w:themeColor="text1"/>
          <w:sz w:val="22"/>
          <w:szCs w:val="22"/>
        </w:rPr>
        <w:t xml:space="preserve">PG&amp;E </w:t>
      </w:r>
      <w:r w:rsidR="009A7D6C" w:rsidRPr="00867673">
        <w:rPr>
          <w:rFonts w:asciiTheme="majorHAnsi" w:hAnsiTheme="majorHAnsi"/>
          <w:color w:val="000000" w:themeColor="text1"/>
          <w:sz w:val="22"/>
          <w:szCs w:val="22"/>
        </w:rPr>
        <w:t xml:space="preserve">smart thermostat study as outlined by the table in Section </w:t>
      </w:r>
      <w:r w:rsidR="003E5099">
        <w:rPr>
          <w:rFonts w:asciiTheme="majorHAnsi" w:hAnsiTheme="majorHAnsi"/>
          <w:color w:val="000000" w:themeColor="text1"/>
          <w:sz w:val="22"/>
          <w:szCs w:val="22"/>
        </w:rPr>
        <w:t>2.</w:t>
      </w:r>
      <w:r w:rsidR="009A7D6C" w:rsidRPr="00867673">
        <w:rPr>
          <w:rFonts w:asciiTheme="majorHAnsi" w:hAnsiTheme="majorHAnsi"/>
          <w:color w:val="000000" w:themeColor="text1"/>
          <w:sz w:val="22"/>
          <w:szCs w:val="22"/>
        </w:rPr>
        <w:t>3.</w:t>
      </w:r>
      <w:r w:rsidR="00085F4F">
        <w:rPr>
          <w:rFonts w:asciiTheme="majorHAnsi" w:hAnsiTheme="majorHAnsi"/>
          <w:color w:val="000000" w:themeColor="text1"/>
          <w:sz w:val="22"/>
          <w:szCs w:val="22"/>
        </w:rPr>
        <w:t>9</w:t>
      </w:r>
      <w:r w:rsidR="009A7D6C" w:rsidRPr="00867673">
        <w:rPr>
          <w:rFonts w:asciiTheme="majorHAnsi" w:hAnsiTheme="majorHAnsi"/>
          <w:color w:val="000000" w:themeColor="text1"/>
          <w:sz w:val="22"/>
          <w:szCs w:val="22"/>
        </w:rPr>
        <w:t xml:space="preserve">. The savings estimates from this study </w:t>
      </w:r>
      <w:r w:rsidR="00867673" w:rsidRPr="00867673">
        <w:rPr>
          <w:rFonts w:asciiTheme="majorHAnsi" w:hAnsiTheme="majorHAnsi"/>
          <w:color w:val="000000" w:themeColor="text1"/>
          <w:sz w:val="22"/>
          <w:szCs w:val="22"/>
        </w:rPr>
        <w:t xml:space="preserve">also show that the output of the analysis method outlined in this </w:t>
      </w:r>
      <w:proofErr w:type="spellStart"/>
      <w:r w:rsidR="00867673" w:rsidRPr="00867673">
        <w:rPr>
          <w:rFonts w:asciiTheme="majorHAnsi" w:hAnsiTheme="majorHAnsi"/>
          <w:color w:val="000000" w:themeColor="text1"/>
          <w:sz w:val="22"/>
          <w:szCs w:val="22"/>
        </w:rPr>
        <w:t>workpaper</w:t>
      </w:r>
      <w:proofErr w:type="spellEnd"/>
      <w:r w:rsidR="00867673" w:rsidRPr="00867673">
        <w:rPr>
          <w:rFonts w:asciiTheme="majorHAnsi" w:hAnsiTheme="majorHAnsi"/>
          <w:color w:val="000000" w:themeColor="text1"/>
          <w:sz w:val="22"/>
          <w:szCs w:val="22"/>
        </w:rPr>
        <w:t xml:space="preserve"> are creating reasonable savings estimates. </w:t>
      </w:r>
    </w:p>
    <w:p w14:paraId="088BF1D8" w14:textId="77777777" w:rsidR="00317E6F" w:rsidRDefault="00317E6F">
      <w:pPr>
        <w:pStyle w:val="Normal1"/>
        <w:spacing w:line="276" w:lineRule="auto"/>
        <w:rPr>
          <w:b/>
          <w:sz w:val="28"/>
          <w:szCs w:val="28"/>
        </w:rPr>
      </w:pPr>
    </w:p>
    <w:p w14:paraId="50B43829" w14:textId="14BA6B39" w:rsidR="00576C8C" w:rsidRDefault="000F1483">
      <w:pPr>
        <w:pStyle w:val="Normal1"/>
        <w:spacing w:line="276" w:lineRule="auto"/>
      </w:pPr>
      <w:r>
        <w:rPr>
          <w:b/>
          <w:sz w:val="28"/>
          <w:szCs w:val="28"/>
        </w:rPr>
        <w:t>2.</w:t>
      </w:r>
      <w:r w:rsidR="00A7004C">
        <w:rPr>
          <w:b/>
          <w:sz w:val="28"/>
          <w:szCs w:val="28"/>
        </w:rPr>
        <w:t>3</w:t>
      </w:r>
      <w:r>
        <w:rPr>
          <w:b/>
          <w:sz w:val="28"/>
          <w:szCs w:val="28"/>
        </w:rPr>
        <w:t>.7</w:t>
      </w:r>
      <w:r w:rsidR="007173B2">
        <w:rPr>
          <w:b/>
          <w:sz w:val="28"/>
          <w:szCs w:val="28"/>
        </w:rPr>
        <w:t xml:space="preserve"> Second Baseline Savings Adjustment</w:t>
      </w:r>
      <w:r w:rsidR="007173B2">
        <w:t xml:space="preserve"> </w:t>
      </w:r>
      <w:r w:rsidR="007173B2">
        <w:rPr>
          <w:b/>
          <w:sz w:val="20"/>
          <w:szCs w:val="20"/>
        </w:rPr>
        <w:t xml:space="preserve"> </w:t>
      </w:r>
    </w:p>
    <w:p w14:paraId="3C041D24" w14:textId="0857E7D0" w:rsidR="00A32483" w:rsidRDefault="00CB1DA4">
      <w:pPr>
        <w:pStyle w:val="Normal1"/>
        <w:spacing w:line="276" w:lineRule="auto"/>
      </w:pPr>
      <w:r>
        <w:t>B</w:t>
      </w:r>
      <w:r w:rsidR="006026C8">
        <w:t xml:space="preserve">ased on feedback from </w:t>
      </w:r>
      <w:proofErr w:type="spellStart"/>
      <w:r w:rsidR="006026C8">
        <w:t>CalTF</w:t>
      </w:r>
      <w:proofErr w:type="spellEnd"/>
      <w:r w:rsidR="006026C8">
        <w:t xml:space="preserve"> and Ex-ante team</w:t>
      </w:r>
      <w:r w:rsidR="00A32483">
        <w:t xml:space="preserve"> during the development of the </w:t>
      </w:r>
      <w:proofErr w:type="spellStart"/>
      <w:r w:rsidR="00A32483">
        <w:t>workpaper</w:t>
      </w:r>
      <w:proofErr w:type="spellEnd"/>
      <w:r w:rsidR="006026C8">
        <w:t>, the second baseline assumes a portion of the market is utilizing smart thermostats</w:t>
      </w:r>
      <w:r>
        <w:t xml:space="preserve"> </w:t>
      </w:r>
      <w:r w:rsidR="003D51EF">
        <w:t xml:space="preserve">(vs just programmable thermostats) </w:t>
      </w:r>
      <w:r w:rsidR="00C32FFC">
        <w:t xml:space="preserve">- </w:t>
      </w:r>
      <w:r>
        <w:t xml:space="preserve">as market share is </w:t>
      </w:r>
      <w:r w:rsidR="00C32FFC">
        <w:t xml:space="preserve">currently </w:t>
      </w:r>
      <w:r>
        <w:t>very low but continues to grow</w:t>
      </w:r>
      <w:r w:rsidR="00C32FFC">
        <w:t xml:space="preserve">. To account for this, the savings values during the second baseline period are </w:t>
      </w:r>
      <w:r w:rsidR="003D51EF">
        <w:t>reduced</w:t>
      </w:r>
      <w:r w:rsidR="00C32FFC">
        <w:t xml:space="preserve">. </w:t>
      </w:r>
      <w:r w:rsidR="007173B2">
        <w:t>To</w:t>
      </w:r>
      <w:r w:rsidR="00822064">
        <w:t xml:space="preserve"> adjust</w:t>
      </w:r>
      <w:r w:rsidR="007173B2">
        <w:t xml:space="preserve"> for the fact that the install base of smart th</w:t>
      </w:r>
      <w:r w:rsidR="00D67168">
        <w:t>ermostats will have grown from</w:t>
      </w:r>
      <w:r w:rsidR="007173B2">
        <w:t xml:space="preserve"> </w:t>
      </w:r>
      <w:r w:rsidR="00C77EE0">
        <w:t xml:space="preserve">measure </w:t>
      </w:r>
      <w:r w:rsidR="007173B2">
        <w:t xml:space="preserve">installation to the start of the 2nd baseline period (3.6 </w:t>
      </w:r>
      <w:proofErr w:type="spellStart"/>
      <w:r w:rsidR="007173B2">
        <w:t>yrs</w:t>
      </w:r>
      <w:proofErr w:type="spellEnd"/>
      <w:r w:rsidR="007173B2">
        <w:t xml:space="preserve">) </w:t>
      </w:r>
      <w:r w:rsidR="00A32483">
        <w:t xml:space="preserve">a reduction factor is applied based on the </w:t>
      </w:r>
      <w:r w:rsidR="00C77EE0">
        <w:t xml:space="preserve">forecasted </w:t>
      </w:r>
      <w:r w:rsidR="00A32483">
        <w:t xml:space="preserve">market adoption of smart </w:t>
      </w:r>
      <w:r w:rsidR="00C77EE0">
        <w:t>thermostats</w:t>
      </w:r>
      <w:r w:rsidR="00A32483">
        <w:t xml:space="preserve"> – at the point of transition to 2</w:t>
      </w:r>
      <w:r w:rsidR="00A32483" w:rsidRPr="00A32483">
        <w:rPr>
          <w:vertAlign w:val="superscript"/>
        </w:rPr>
        <w:t>nd</w:t>
      </w:r>
      <w:r w:rsidR="00A32483">
        <w:t xml:space="preserve"> baseline. The methodology and calculation of that reduction factor is included in the Attachment section</w:t>
      </w:r>
      <w:r w:rsidR="003D51EF">
        <w:t xml:space="preserve"> and utilizes best available third party market data to support the analysis</w:t>
      </w:r>
      <w:r w:rsidR="00C77EE0">
        <w:t xml:space="preserve">. To calculate the second baseline savings values, the savings numbers in Section </w:t>
      </w:r>
      <w:r w:rsidR="00115EB2">
        <w:t>3.2 table</w:t>
      </w:r>
      <w:r w:rsidR="000A24A8">
        <w:t xml:space="preserve"> below </w:t>
      </w:r>
      <w:r w:rsidR="00115EB2">
        <w:t xml:space="preserve">are reduced by 5.79%. </w:t>
      </w:r>
    </w:p>
    <w:p w14:paraId="39488966" w14:textId="77777777" w:rsidR="00115EB2" w:rsidRDefault="00115EB2">
      <w:pPr>
        <w:pStyle w:val="Normal1"/>
        <w:spacing w:line="276" w:lineRule="auto"/>
      </w:pPr>
    </w:p>
    <w:tbl>
      <w:tblPr>
        <w:tblStyle w:val="TableGrid"/>
        <w:tblW w:w="3690" w:type="dxa"/>
        <w:tblInd w:w="2448" w:type="dxa"/>
        <w:shd w:val="clear" w:color="auto" w:fill="FFFFFF" w:themeFill="background1"/>
        <w:tblLook w:val="04A0" w:firstRow="1" w:lastRow="0" w:firstColumn="1" w:lastColumn="0" w:noHBand="0" w:noVBand="1"/>
      </w:tblPr>
      <w:tblGrid>
        <w:gridCol w:w="2160"/>
        <w:gridCol w:w="1530"/>
      </w:tblGrid>
      <w:tr w:rsidR="00404EA3" w:rsidRPr="00206AE1" w14:paraId="3AFFC456" w14:textId="77777777" w:rsidTr="00206AE1">
        <w:tc>
          <w:tcPr>
            <w:tcW w:w="2160" w:type="dxa"/>
            <w:shd w:val="clear" w:color="auto" w:fill="FFFFFF" w:themeFill="background1"/>
          </w:tcPr>
          <w:p w14:paraId="3C899148" w14:textId="3C18F248" w:rsidR="00A32483" w:rsidRPr="00206AE1" w:rsidRDefault="00A32483" w:rsidP="00A32483">
            <w:pPr>
              <w:pStyle w:val="Normal1"/>
              <w:spacing w:line="276" w:lineRule="auto"/>
              <w:rPr>
                <w:b/>
                <w:sz w:val="20"/>
                <w:szCs w:val="20"/>
              </w:rPr>
            </w:pPr>
            <w:r w:rsidRPr="00206AE1">
              <w:rPr>
                <w:b/>
                <w:sz w:val="20"/>
                <w:szCs w:val="20"/>
              </w:rPr>
              <w:t>2</w:t>
            </w:r>
            <w:r w:rsidRPr="00206AE1">
              <w:rPr>
                <w:b/>
                <w:sz w:val="20"/>
                <w:szCs w:val="20"/>
                <w:vertAlign w:val="superscript"/>
              </w:rPr>
              <w:t>nd</w:t>
            </w:r>
            <w:r w:rsidRPr="00206AE1">
              <w:rPr>
                <w:b/>
                <w:sz w:val="20"/>
                <w:szCs w:val="20"/>
              </w:rPr>
              <w:t xml:space="preserve"> Baseline Savings Reduction Factor</w:t>
            </w:r>
          </w:p>
        </w:tc>
        <w:tc>
          <w:tcPr>
            <w:tcW w:w="1530" w:type="dxa"/>
            <w:shd w:val="clear" w:color="auto" w:fill="FFFFFF" w:themeFill="background1"/>
            <w:vAlign w:val="center"/>
          </w:tcPr>
          <w:p w14:paraId="04974A08" w14:textId="24138EF9" w:rsidR="00A32483" w:rsidRPr="00206AE1" w:rsidRDefault="00A32483" w:rsidP="00404EA3">
            <w:pPr>
              <w:pStyle w:val="Normal1"/>
              <w:spacing w:line="276" w:lineRule="auto"/>
              <w:jc w:val="center"/>
              <w:rPr>
                <w:sz w:val="20"/>
                <w:szCs w:val="20"/>
              </w:rPr>
            </w:pPr>
            <w:r w:rsidRPr="00206AE1">
              <w:rPr>
                <w:sz w:val="20"/>
                <w:szCs w:val="20"/>
              </w:rPr>
              <w:t>5.79%</w:t>
            </w:r>
          </w:p>
        </w:tc>
      </w:tr>
    </w:tbl>
    <w:p w14:paraId="55D2F702" w14:textId="77777777" w:rsidR="007B7A79" w:rsidRDefault="007B7A79">
      <w:pPr>
        <w:pStyle w:val="Normal1"/>
        <w:spacing w:line="276" w:lineRule="auto"/>
      </w:pPr>
    </w:p>
    <w:p w14:paraId="195AFABF" w14:textId="39F96E8D" w:rsidR="007B7A79" w:rsidRPr="006A747B" w:rsidRDefault="000F1483">
      <w:pPr>
        <w:pStyle w:val="Normal1"/>
        <w:spacing w:line="276" w:lineRule="auto"/>
        <w:rPr>
          <w:b/>
          <w:color w:val="auto"/>
          <w:sz w:val="28"/>
          <w:szCs w:val="28"/>
        </w:rPr>
      </w:pPr>
      <w:r>
        <w:rPr>
          <w:b/>
          <w:color w:val="auto"/>
          <w:sz w:val="28"/>
          <w:szCs w:val="28"/>
        </w:rPr>
        <w:t>2.</w:t>
      </w:r>
      <w:r w:rsidR="00A7004C">
        <w:rPr>
          <w:b/>
          <w:color w:val="auto"/>
          <w:sz w:val="28"/>
          <w:szCs w:val="28"/>
        </w:rPr>
        <w:t>3</w:t>
      </w:r>
      <w:r>
        <w:rPr>
          <w:b/>
          <w:color w:val="auto"/>
          <w:sz w:val="28"/>
          <w:szCs w:val="28"/>
        </w:rPr>
        <w:t>.8</w:t>
      </w:r>
      <w:r w:rsidR="007B7A79" w:rsidRPr="006A747B">
        <w:rPr>
          <w:b/>
          <w:color w:val="auto"/>
          <w:sz w:val="28"/>
          <w:szCs w:val="28"/>
        </w:rPr>
        <w:t xml:space="preserve"> Method incorporates increases and decreases in energy usage  </w:t>
      </w:r>
    </w:p>
    <w:p w14:paraId="02DB94B1" w14:textId="51251ABE" w:rsidR="007B7A79" w:rsidRPr="006A747B" w:rsidRDefault="007B7A79" w:rsidP="003E6FFA">
      <w:pPr>
        <w:spacing w:after="160" w:line="276" w:lineRule="auto"/>
        <w:contextualSpacing/>
        <w:rPr>
          <w:color w:val="auto"/>
          <w:highlight w:val="white"/>
        </w:rPr>
      </w:pPr>
      <w:r w:rsidRPr="006A747B">
        <w:rPr>
          <w:color w:val="auto"/>
          <w:highlight w:val="white"/>
        </w:rPr>
        <w:t>The analysis is based on average impacts and average baselines -- these values in no way preclude having negative savers in the mix</w:t>
      </w:r>
      <w:r w:rsidR="003E6FFA" w:rsidRPr="006A747B">
        <w:rPr>
          <w:color w:val="auto"/>
          <w:highlight w:val="white"/>
        </w:rPr>
        <w:t xml:space="preserve"> and their increased usage is included in the output of the analysis</w:t>
      </w:r>
      <w:r w:rsidRPr="006A747B">
        <w:rPr>
          <w:color w:val="auto"/>
          <w:highlight w:val="white"/>
        </w:rPr>
        <w:t>. In other words -- customers with usage increases are accounted for in the analysis.</w:t>
      </w:r>
    </w:p>
    <w:p w14:paraId="6744D933" w14:textId="77777777" w:rsidR="006A747B" w:rsidRPr="006A747B" w:rsidRDefault="006A747B" w:rsidP="003E6FFA">
      <w:pPr>
        <w:spacing w:after="160" w:line="276" w:lineRule="auto"/>
        <w:contextualSpacing/>
        <w:rPr>
          <w:color w:val="auto"/>
          <w:highlight w:val="white"/>
        </w:rPr>
      </w:pPr>
    </w:p>
    <w:p w14:paraId="0F835208" w14:textId="5DD7798F" w:rsidR="007B7A79" w:rsidRDefault="007B7A79" w:rsidP="006A747B">
      <w:pPr>
        <w:spacing w:after="160" w:line="276" w:lineRule="auto"/>
        <w:contextualSpacing/>
        <w:rPr>
          <w:color w:val="0000FF"/>
          <w:highlight w:val="white"/>
        </w:rPr>
      </w:pPr>
      <w:r w:rsidRPr="006A747B">
        <w:rPr>
          <w:color w:val="auto"/>
          <w:highlight w:val="white"/>
        </w:rPr>
        <w:t xml:space="preserve">This approach accounts for the feedback received from some comments that some customers may increase usage once they have remote control capability - </w:t>
      </w:r>
      <w:proofErr w:type="spellStart"/>
      <w:r w:rsidRPr="006A747B">
        <w:rPr>
          <w:color w:val="auto"/>
          <w:highlight w:val="white"/>
        </w:rPr>
        <w:t>ie</w:t>
      </w:r>
      <w:proofErr w:type="spellEnd"/>
      <w:r w:rsidRPr="006A747B">
        <w:rPr>
          <w:color w:val="auto"/>
          <w:highlight w:val="white"/>
        </w:rPr>
        <w:t xml:space="preserve"> turning the ac/heat on before they get home. All of these </w:t>
      </w:r>
      <w:proofErr w:type="spellStart"/>
      <w:r w:rsidRPr="006A747B">
        <w:rPr>
          <w:color w:val="auto"/>
          <w:highlight w:val="white"/>
        </w:rPr>
        <w:t>setpoint</w:t>
      </w:r>
      <w:proofErr w:type="spellEnd"/>
      <w:r w:rsidRPr="006A747B">
        <w:rPr>
          <w:color w:val="auto"/>
          <w:highlight w:val="white"/>
        </w:rPr>
        <w:t xml:space="preserve"> changes are captured and studied in the analysis and therefore included in creating the average savings.</w:t>
      </w:r>
      <w:r w:rsidRPr="006A747B">
        <w:rPr>
          <w:color w:val="0000FF"/>
          <w:highlight w:val="white"/>
        </w:rPr>
        <w:t xml:space="preserve"> </w:t>
      </w:r>
    </w:p>
    <w:p w14:paraId="08E421FF" w14:textId="77777777" w:rsidR="003550A1" w:rsidRDefault="003550A1" w:rsidP="006A747B">
      <w:pPr>
        <w:spacing w:after="160" w:line="276" w:lineRule="auto"/>
        <w:contextualSpacing/>
        <w:rPr>
          <w:color w:val="0000FF"/>
          <w:highlight w:val="white"/>
        </w:rPr>
      </w:pPr>
    </w:p>
    <w:p w14:paraId="514E9499" w14:textId="28B3FF46" w:rsidR="0015275A" w:rsidRDefault="00A7004C" w:rsidP="00602F26">
      <w:pPr>
        <w:spacing w:after="160" w:line="276" w:lineRule="auto"/>
        <w:contextualSpacing/>
      </w:pPr>
      <w:r>
        <w:rPr>
          <w:b/>
          <w:color w:val="auto"/>
          <w:sz w:val="28"/>
          <w:szCs w:val="28"/>
        </w:rPr>
        <w:lastRenderedPageBreak/>
        <w:t xml:space="preserve">2.3.9 </w:t>
      </w:r>
      <w:r w:rsidR="003550A1">
        <w:rPr>
          <w:b/>
          <w:color w:val="auto"/>
          <w:sz w:val="28"/>
          <w:szCs w:val="28"/>
        </w:rPr>
        <w:t>Comparison to PG&amp;E Smart Thermostat Study</w:t>
      </w:r>
    </w:p>
    <w:p w14:paraId="626936A0" w14:textId="77777777" w:rsidR="0015275A" w:rsidRPr="00602F26" w:rsidRDefault="0015275A" w:rsidP="0015275A">
      <w:pPr>
        <w:rPr>
          <w:rFonts w:eastAsia="Times New Roman" w:cs="Times New Roman"/>
          <w:color w:val="auto"/>
        </w:rPr>
      </w:pPr>
      <w:r w:rsidRPr="00602F26">
        <w:rPr>
          <w:rFonts w:eastAsia="Times New Roman" w:cs="Times New Roman"/>
          <w:color w:val="auto"/>
          <w:shd w:val="clear" w:color="auto" w:fill="FFFFFF"/>
        </w:rPr>
        <w:t>PG&amp;E’s study consisted of homes in climate zone 11, 12, and 13. The average electric savings from those climate zones was compared to the output of the methodology outlined above and compiled in the table below. The climate zones selected for PG&amp;E’s study were intentionally selected to provide a reliable estimate of electric savings. Because of the relatively low proportion of heating degree days in these climate zones compared to the wider PG&amp;E territory, and CA as a whole, the gas savings identified in this study should be considered preliminary because they are likely not a reliable estimate of gas savings outside these three specific hot climate zones. While the second year of PG&amp;E’s study will provide additional data, the findings relating to gas savings will continue to have limited relevance beyond the study’s three climate zones. Further research is needed in climate zones with a higher proportion of heating degree days.</w:t>
      </w:r>
    </w:p>
    <w:p w14:paraId="38D3022A" w14:textId="77777777" w:rsidR="00582B93" w:rsidRDefault="00582B93" w:rsidP="00582B93">
      <w:pPr>
        <w:rPr>
          <w:color w:val="404040"/>
        </w:rPr>
      </w:pPr>
    </w:p>
    <w:tbl>
      <w:tblPr>
        <w:tblStyle w:val="TableGrid"/>
        <w:tblW w:w="0" w:type="auto"/>
        <w:tblInd w:w="378" w:type="dxa"/>
        <w:shd w:val="clear" w:color="auto" w:fill="FFFFFF" w:themeFill="background1"/>
        <w:tblLook w:val="04A0" w:firstRow="1" w:lastRow="0" w:firstColumn="1" w:lastColumn="0" w:noHBand="0" w:noVBand="1"/>
      </w:tblPr>
      <w:tblGrid>
        <w:gridCol w:w="2000"/>
        <w:gridCol w:w="2105"/>
        <w:gridCol w:w="2177"/>
        <w:gridCol w:w="1836"/>
      </w:tblGrid>
      <w:tr w:rsidR="00CC657E" w:rsidRPr="00206AE1" w14:paraId="3F11E8D7" w14:textId="77777777" w:rsidTr="00206AE1">
        <w:tc>
          <w:tcPr>
            <w:tcW w:w="2000" w:type="dxa"/>
            <w:shd w:val="clear" w:color="auto" w:fill="D9D9D9" w:themeFill="background1" w:themeFillShade="D9"/>
          </w:tcPr>
          <w:p w14:paraId="1206E89E" w14:textId="7DB299B9" w:rsidR="00CC657E" w:rsidRPr="00206AE1" w:rsidRDefault="00CC657E" w:rsidP="005F53C3">
            <w:pPr>
              <w:jc w:val="center"/>
              <w:rPr>
                <w:b/>
                <w:color w:val="404040"/>
                <w:sz w:val="20"/>
                <w:szCs w:val="20"/>
              </w:rPr>
            </w:pPr>
            <w:r w:rsidRPr="00206AE1">
              <w:rPr>
                <w:b/>
                <w:color w:val="404040"/>
                <w:sz w:val="20"/>
                <w:szCs w:val="20"/>
              </w:rPr>
              <w:t>Climate Zones</w:t>
            </w:r>
          </w:p>
        </w:tc>
        <w:tc>
          <w:tcPr>
            <w:tcW w:w="2105" w:type="dxa"/>
            <w:shd w:val="clear" w:color="auto" w:fill="D9D9D9" w:themeFill="background1" w:themeFillShade="D9"/>
          </w:tcPr>
          <w:p w14:paraId="26F77369" w14:textId="4DE0219C" w:rsidR="00CC657E" w:rsidRPr="00206AE1" w:rsidRDefault="00223B6C" w:rsidP="005F53C3">
            <w:pPr>
              <w:jc w:val="center"/>
              <w:rPr>
                <w:b/>
                <w:color w:val="404040"/>
                <w:sz w:val="20"/>
                <w:szCs w:val="20"/>
              </w:rPr>
            </w:pPr>
            <w:r w:rsidRPr="00206AE1">
              <w:rPr>
                <w:b/>
                <w:color w:val="404040"/>
                <w:sz w:val="20"/>
                <w:szCs w:val="20"/>
              </w:rPr>
              <w:t>Fuel</w:t>
            </w:r>
          </w:p>
        </w:tc>
        <w:tc>
          <w:tcPr>
            <w:tcW w:w="2177" w:type="dxa"/>
            <w:shd w:val="clear" w:color="auto" w:fill="D9D9D9" w:themeFill="background1" w:themeFillShade="D9"/>
          </w:tcPr>
          <w:p w14:paraId="2E16A355" w14:textId="7C997A58" w:rsidR="00CC657E" w:rsidRPr="00206AE1" w:rsidRDefault="00CC657E" w:rsidP="005F53C3">
            <w:pPr>
              <w:jc w:val="center"/>
              <w:rPr>
                <w:b/>
                <w:color w:val="404040"/>
                <w:sz w:val="20"/>
                <w:szCs w:val="20"/>
              </w:rPr>
            </w:pPr>
            <w:r w:rsidRPr="00206AE1">
              <w:rPr>
                <w:b/>
                <w:color w:val="404040"/>
                <w:sz w:val="20"/>
                <w:szCs w:val="20"/>
              </w:rPr>
              <w:t>PG&amp;E Study Average</w:t>
            </w:r>
          </w:p>
        </w:tc>
        <w:tc>
          <w:tcPr>
            <w:tcW w:w="1836" w:type="dxa"/>
            <w:shd w:val="clear" w:color="auto" w:fill="D9D9D9" w:themeFill="background1" w:themeFillShade="D9"/>
          </w:tcPr>
          <w:p w14:paraId="3584B49E" w14:textId="5DA793C9" w:rsidR="00CC657E" w:rsidRPr="00206AE1" w:rsidRDefault="00CC657E" w:rsidP="005F53C3">
            <w:pPr>
              <w:jc w:val="center"/>
              <w:rPr>
                <w:b/>
                <w:color w:val="404040"/>
                <w:sz w:val="20"/>
                <w:szCs w:val="20"/>
              </w:rPr>
            </w:pPr>
            <w:proofErr w:type="spellStart"/>
            <w:r w:rsidRPr="00206AE1">
              <w:rPr>
                <w:b/>
                <w:color w:val="404040"/>
                <w:sz w:val="20"/>
                <w:szCs w:val="20"/>
              </w:rPr>
              <w:t>Workpaper</w:t>
            </w:r>
            <w:proofErr w:type="spellEnd"/>
            <w:r w:rsidRPr="00206AE1">
              <w:rPr>
                <w:b/>
                <w:color w:val="404040"/>
                <w:sz w:val="20"/>
                <w:szCs w:val="20"/>
              </w:rPr>
              <w:t xml:space="preserve"> Analysis </w:t>
            </w:r>
            <w:proofErr w:type="spellStart"/>
            <w:r w:rsidRPr="00206AE1">
              <w:rPr>
                <w:b/>
                <w:color w:val="404040"/>
                <w:sz w:val="20"/>
                <w:szCs w:val="20"/>
              </w:rPr>
              <w:t>Avg</w:t>
            </w:r>
            <w:proofErr w:type="spellEnd"/>
          </w:p>
        </w:tc>
      </w:tr>
      <w:tr w:rsidR="00223B6C" w:rsidRPr="00206AE1" w14:paraId="3D9FFAB1" w14:textId="77777777" w:rsidTr="00206AE1">
        <w:tc>
          <w:tcPr>
            <w:tcW w:w="2000" w:type="dxa"/>
            <w:vMerge w:val="restart"/>
            <w:shd w:val="clear" w:color="auto" w:fill="FFFFFF" w:themeFill="background1"/>
          </w:tcPr>
          <w:p w14:paraId="2D1E58F9" w14:textId="48891783" w:rsidR="00223B6C" w:rsidRPr="00206AE1" w:rsidRDefault="00223B6C" w:rsidP="005F53C3">
            <w:pPr>
              <w:jc w:val="center"/>
              <w:rPr>
                <w:color w:val="404040"/>
                <w:sz w:val="20"/>
                <w:szCs w:val="20"/>
              </w:rPr>
            </w:pPr>
            <w:r w:rsidRPr="00206AE1">
              <w:rPr>
                <w:color w:val="404040"/>
                <w:sz w:val="20"/>
                <w:szCs w:val="20"/>
              </w:rPr>
              <w:t>11, 12, 13</w:t>
            </w:r>
          </w:p>
        </w:tc>
        <w:tc>
          <w:tcPr>
            <w:tcW w:w="2105" w:type="dxa"/>
            <w:shd w:val="clear" w:color="auto" w:fill="FFFFFF" w:themeFill="background1"/>
          </w:tcPr>
          <w:p w14:paraId="47EE80B4" w14:textId="77DF5581" w:rsidR="00223B6C" w:rsidRPr="00206AE1" w:rsidRDefault="00223B6C" w:rsidP="005F53C3">
            <w:pPr>
              <w:jc w:val="center"/>
              <w:rPr>
                <w:color w:val="404040"/>
                <w:sz w:val="20"/>
                <w:szCs w:val="20"/>
              </w:rPr>
            </w:pPr>
            <w:r w:rsidRPr="00206AE1">
              <w:rPr>
                <w:color w:val="404040"/>
                <w:sz w:val="20"/>
                <w:szCs w:val="20"/>
              </w:rPr>
              <w:t>Electric</w:t>
            </w:r>
          </w:p>
        </w:tc>
        <w:tc>
          <w:tcPr>
            <w:tcW w:w="2177" w:type="dxa"/>
            <w:shd w:val="clear" w:color="auto" w:fill="FFFFFF" w:themeFill="background1"/>
          </w:tcPr>
          <w:p w14:paraId="00480C45" w14:textId="7E135D48" w:rsidR="00223B6C" w:rsidRPr="00206AE1" w:rsidRDefault="00223B6C" w:rsidP="005F53C3">
            <w:pPr>
              <w:jc w:val="center"/>
              <w:rPr>
                <w:color w:val="404040"/>
                <w:sz w:val="20"/>
                <w:szCs w:val="20"/>
              </w:rPr>
            </w:pPr>
            <w:r w:rsidRPr="00206AE1">
              <w:rPr>
                <w:color w:val="404040"/>
                <w:sz w:val="20"/>
                <w:szCs w:val="20"/>
              </w:rPr>
              <w:t>278 kWh</w:t>
            </w:r>
          </w:p>
        </w:tc>
        <w:tc>
          <w:tcPr>
            <w:tcW w:w="1836" w:type="dxa"/>
            <w:shd w:val="clear" w:color="auto" w:fill="FFFFFF" w:themeFill="background1"/>
          </w:tcPr>
          <w:p w14:paraId="670B754D" w14:textId="58C94496" w:rsidR="00223B6C" w:rsidRPr="00206AE1" w:rsidRDefault="00223B6C" w:rsidP="005F53C3">
            <w:pPr>
              <w:jc w:val="center"/>
              <w:rPr>
                <w:color w:val="404040"/>
                <w:sz w:val="20"/>
                <w:szCs w:val="20"/>
              </w:rPr>
            </w:pPr>
            <w:r w:rsidRPr="00206AE1">
              <w:rPr>
                <w:color w:val="404040"/>
                <w:sz w:val="20"/>
                <w:szCs w:val="20"/>
              </w:rPr>
              <w:t>253 kWh</w:t>
            </w:r>
          </w:p>
        </w:tc>
      </w:tr>
      <w:tr w:rsidR="00223B6C" w:rsidRPr="00206AE1" w14:paraId="2D7715EF" w14:textId="77777777" w:rsidTr="00206AE1">
        <w:tc>
          <w:tcPr>
            <w:tcW w:w="2000" w:type="dxa"/>
            <w:vMerge/>
            <w:shd w:val="clear" w:color="auto" w:fill="FFFFFF" w:themeFill="background1"/>
          </w:tcPr>
          <w:p w14:paraId="225E89E8" w14:textId="3BC6E398" w:rsidR="00223B6C" w:rsidRPr="00206AE1" w:rsidRDefault="00223B6C" w:rsidP="005F53C3">
            <w:pPr>
              <w:jc w:val="center"/>
              <w:rPr>
                <w:color w:val="404040"/>
                <w:sz w:val="20"/>
                <w:szCs w:val="20"/>
              </w:rPr>
            </w:pPr>
          </w:p>
        </w:tc>
        <w:tc>
          <w:tcPr>
            <w:tcW w:w="2105" w:type="dxa"/>
            <w:shd w:val="clear" w:color="auto" w:fill="FFFFFF" w:themeFill="background1"/>
          </w:tcPr>
          <w:p w14:paraId="6E1DED12" w14:textId="0664D407" w:rsidR="00223B6C" w:rsidRPr="00206AE1" w:rsidRDefault="00223B6C" w:rsidP="005F53C3">
            <w:pPr>
              <w:jc w:val="center"/>
              <w:rPr>
                <w:color w:val="404040"/>
                <w:sz w:val="20"/>
                <w:szCs w:val="20"/>
              </w:rPr>
            </w:pPr>
            <w:r w:rsidRPr="00206AE1">
              <w:rPr>
                <w:color w:val="404040"/>
                <w:sz w:val="20"/>
                <w:szCs w:val="20"/>
              </w:rPr>
              <w:t>Gas</w:t>
            </w:r>
          </w:p>
        </w:tc>
        <w:tc>
          <w:tcPr>
            <w:tcW w:w="2177" w:type="dxa"/>
            <w:shd w:val="clear" w:color="auto" w:fill="FFFFFF" w:themeFill="background1"/>
          </w:tcPr>
          <w:p w14:paraId="1FDD447A" w14:textId="6364F92D" w:rsidR="00223B6C" w:rsidRPr="00206AE1" w:rsidRDefault="00223B6C" w:rsidP="005F53C3">
            <w:pPr>
              <w:jc w:val="center"/>
              <w:rPr>
                <w:color w:val="404040"/>
                <w:sz w:val="20"/>
                <w:szCs w:val="20"/>
              </w:rPr>
            </w:pPr>
            <w:r w:rsidRPr="00206AE1">
              <w:rPr>
                <w:color w:val="404040"/>
                <w:sz w:val="20"/>
                <w:szCs w:val="20"/>
              </w:rPr>
              <w:t xml:space="preserve">5.3 </w:t>
            </w:r>
            <w:proofErr w:type="spellStart"/>
            <w:r w:rsidRPr="00206AE1">
              <w:rPr>
                <w:color w:val="404040"/>
                <w:sz w:val="20"/>
                <w:szCs w:val="20"/>
              </w:rPr>
              <w:t>therms</w:t>
            </w:r>
            <w:proofErr w:type="spellEnd"/>
          </w:p>
        </w:tc>
        <w:tc>
          <w:tcPr>
            <w:tcW w:w="1836" w:type="dxa"/>
            <w:shd w:val="clear" w:color="auto" w:fill="FFFFFF" w:themeFill="background1"/>
          </w:tcPr>
          <w:p w14:paraId="0698C2D5" w14:textId="472474D2" w:rsidR="00223B6C" w:rsidRPr="00206AE1" w:rsidRDefault="00F80575" w:rsidP="005F53C3">
            <w:pPr>
              <w:jc w:val="center"/>
              <w:rPr>
                <w:color w:val="404040"/>
                <w:sz w:val="20"/>
                <w:szCs w:val="20"/>
              </w:rPr>
            </w:pPr>
            <w:r w:rsidRPr="00206AE1">
              <w:rPr>
                <w:color w:val="404040"/>
                <w:sz w:val="20"/>
                <w:szCs w:val="20"/>
              </w:rPr>
              <w:t xml:space="preserve">21 </w:t>
            </w:r>
            <w:proofErr w:type="spellStart"/>
            <w:r w:rsidRPr="00206AE1">
              <w:rPr>
                <w:color w:val="404040"/>
                <w:sz w:val="20"/>
                <w:szCs w:val="20"/>
              </w:rPr>
              <w:t>therms</w:t>
            </w:r>
            <w:proofErr w:type="spellEnd"/>
          </w:p>
        </w:tc>
      </w:tr>
    </w:tbl>
    <w:p w14:paraId="014B4CC0" w14:textId="77777777" w:rsidR="009604BF" w:rsidRDefault="009604BF" w:rsidP="009604BF">
      <w:pPr>
        <w:pStyle w:val="Normal1"/>
        <w:spacing w:line="276" w:lineRule="auto"/>
      </w:pPr>
    </w:p>
    <w:p w14:paraId="413DC398" w14:textId="109C527B" w:rsidR="009604BF" w:rsidRDefault="00BA2ED7">
      <w:pPr>
        <w:pStyle w:val="Normal1"/>
        <w:spacing w:line="276" w:lineRule="auto"/>
        <w:rPr>
          <w:b/>
          <w:color w:val="auto"/>
          <w:sz w:val="28"/>
          <w:szCs w:val="28"/>
        </w:rPr>
      </w:pPr>
      <w:r>
        <w:rPr>
          <w:b/>
          <w:color w:val="auto"/>
          <w:sz w:val="28"/>
          <w:szCs w:val="28"/>
        </w:rPr>
        <w:t xml:space="preserve">2.3.10 </w:t>
      </w:r>
      <w:r w:rsidR="00C63089">
        <w:rPr>
          <w:b/>
          <w:color w:val="auto"/>
          <w:sz w:val="28"/>
          <w:szCs w:val="28"/>
        </w:rPr>
        <w:t xml:space="preserve">Comparison to </w:t>
      </w:r>
      <w:r w:rsidR="00714ECC">
        <w:rPr>
          <w:b/>
          <w:color w:val="auto"/>
          <w:sz w:val="28"/>
          <w:szCs w:val="28"/>
        </w:rPr>
        <w:t>SCG</w:t>
      </w:r>
      <w:r w:rsidR="00C63089">
        <w:rPr>
          <w:b/>
          <w:color w:val="auto"/>
          <w:sz w:val="28"/>
          <w:szCs w:val="28"/>
        </w:rPr>
        <w:t xml:space="preserve"> Smart Thermostat Study</w:t>
      </w:r>
    </w:p>
    <w:p w14:paraId="2069AB7D" w14:textId="63226D60" w:rsidR="007662B7" w:rsidRDefault="002407DA">
      <w:pPr>
        <w:pStyle w:val="Normal1"/>
        <w:spacing w:line="276" w:lineRule="auto"/>
      </w:pPr>
      <w:r>
        <w:t>SCG’s study consisted of homes in climate zone 6</w:t>
      </w:r>
      <w:proofErr w:type="gramStart"/>
      <w:r>
        <w:t>,8,9</w:t>
      </w:r>
      <w:proofErr w:type="gramEnd"/>
      <w:r>
        <w:t xml:space="preserve">. The average gas savings from those climate zones was compared to the output of the methodology outlined above and compiled in the paper below. </w:t>
      </w:r>
    </w:p>
    <w:p w14:paraId="1022CFC7" w14:textId="77777777" w:rsidR="00034B1A" w:rsidRDefault="00034B1A">
      <w:pPr>
        <w:pStyle w:val="Normal1"/>
        <w:spacing w:line="276" w:lineRule="auto"/>
      </w:pPr>
    </w:p>
    <w:p w14:paraId="2289B879" w14:textId="77777777" w:rsidR="00034B1A" w:rsidRDefault="00034B1A">
      <w:pPr>
        <w:pStyle w:val="Normal1"/>
        <w:spacing w:line="276" w:lineRule="auto"/>
      </w:pPr>
    </w:p>
    <w:tbl>
      <w:tblPr>
        <w:tblStyle w:val="TableGrid"/>
        <w:tblW w:w="0" w:type="auto"/>
        <w:tblInd w:w="378" w:type="dxa"/>
        <w:shd w:val="clear" w:color="auto" w:fill="FFFFFF" w:themeFill="background1"/>
        <w:tblLook w:val="04A0" w:firstRow="1" w:lastRow="0" w:firstColumn="1" w:lastColumn="0" w:noHBand="0" w:noVBand="1"/>
      </w:tblPr>
      <w:tblGrid>
        <w:gridCol w:w="2000"/>
        <w:gridCol w:w="2105"/>
        <w:gridCol w:w="2177"/>
        <w:gridCol w:w="1836"/>
      </w:tblGrid>
      <w:tr w:rsidR="007662B7" w:rsidRPr="00206AE1" w14:paraId="346226CD" w14:textId="77777777" w:rsidTr="00206AE1">
        <w:tc>
          <w:tcPr>
            <w:tcW w:w="2000" w:type="dxa"/>
            <w:shd w:val="clear" w:color="auto" w:fill="D9D9D9" w:themeFill="background1" w:themeFillShade="D9"/>
          </w:tcPr>
          <w:p w14:paraId="2C438235" w14:textId="77777777" w:rsidR="007662B7" w:rsidRPr="00206AE1" w:rsidRDefault="007662B7" w:rsidP="00822F61">
            <w:pPr>
              <w:jc w:val="center"/>
              <w:rPr>
                <w:b/>
                <w:color w:val="404040"/>
                <w:sz w:val="20"/>
                <w:szCs w:val="20"/>
              </w:rPr>
            </w:pPr>
            <w:r w:rsidRPr="00206AE1">
              <w:rPr>
                <w:b/>
                <w:color w:val="404040"/>
                <w:sz w:val="20"/>
                <w:szCs w:val="20"/>
              </w:rPr>
              <w:t>Climate Zones</w:t>
            </w:r>
          </w:p>
        </w:tc>
        <w:tc>
          <w:tcPr>
            <w:tcW w:w="2105" w:type="dxa"/>
            <w:shd w:val="clear" w:color="auto" w:fill="D9D9D9" w:themeFill="background1" w:themeFillShade="D9"/>
          </w:tcPr>
          <w:p w14:paraId="34E6E82C" w14:textId="78DAB91E" w:rsidR="007662B7" w:rsidRPr="00206AE1" w:rsidRDefault="00F80575" w:rsidP="00822F61">
            <w:pPr>
              <w:jc w:val="center"/>
              <w:rPr>
                <w:b/>
                <w:color w:val="404040"/>
                <w:sz w:val="20"/>
                <w:szCs w:val="20"/>
              </w:rPr>
            </w:pPr>
            <w:r w:rsidRPr="00206AE1">
              <w:rPr>
                <w:b/>
                <w:color w:val="404040"/>
                <w:sz w:val="20"/>
                <w:szCs w:val="20"/>
              </w:rPr>
              <w:t>Fuel</w:t>
            </w:r>
          </w:p>
        </w:tc>
        <w:tc>
          <w:tcPr>
            <w:tcW w:w="2177" w:type="dxa"/>
            <w:shd w:val="clear" w:color="auto" w:fill="D9D9D9" w:themeFill="background1" w:themeFillShade="D9"/>
          </w:tcPr>
          <w:p w14:paraId="1965AD50" w14:textId="5EB4AC01" w:rsidR="007662B7" w:rsidRPr="00206AE1" w:rsidRDefault="00F80575" w:rsidP="00822F61">
            <w:pPr>
              <w:jc w:val="center"/>
              <w:rPr>
                <w:b/>
                <w:color w:val="404040"/>
                <w:sz w:val="20"/>
                <w:szCs w:val="20"/>
              </w:rPr>
            </w:pPr>
            <w:r w:rsidRPr="00206AE1">
              <w:rPr>
                <w:b/>
                <w:color w:val="404040"/>
                <w:sz w:val="20"/>
                <w:szCs w:val="20"/>
              </w:rPr>
              <w:t>SCG</w:t>
            </w:r>
            <w:r w:rsidR="007662B7" w:rsidRPr="00206AE1">
              <w:rPr>
                <w:b/>
                <w:color w:val="404040"/>
                <w:sz w:val="20"/>
                <w:szCs w:val="20"/>
              </w:rPr>
              <w:t xml:space="preserve"> Study Average</w:t>
            </w:r>
          </w:p>
        </w:tc>
        <w:tc>
          <w:tcPr>
            <w:tcW w:w="1836" w:type="dxa"/>
            <w:shd w:val="clear" w:color="auto" w:fill="D9D9D9" w:themeFill="background1" w:themeFillShade="D9"/>
          </w:tcPr>
          <w:p w14:paraId="6CB69AEB" w14:textId="77777777" w:rsidR="007662B7" w:rsidRPr="00206AE1" w:rsidRDefault="007662B7" w:rsidP="00822F61">
            <w:pPr>
              <w:jc w:val="center"/>
              <w:rPr>
                <w:b/>
                <w:color w:val="404040"/>
                <w:sz w:val="20"/>
                <w:szCs w:val="20"/>
              </w:rPr>
            </w:pPr>
            <w:proofErr w:type="spellStart"/>
            <w:r w:rsidRPr="00206AE1">
              <w:rPr>
                <w:b/>
                <w:color w:val="404040"/>
                <w:sz w:val="20"/>
                <w:szCs w:val="20"/>
              </w:rPr>
              <w:t>Workpaper</w:t>
            </w:r>
            <w:proofErr w:type="spellEnd"/>
            <w:r w:rsidRPr="00206AE1">
              <w:rPr>
                <w:b/>
                <w:color w:val="404040"/>
                <w:sz w:val="20"/>
                <w:szCs w:val="20"/>
              </w:rPr>
              <w:t xml:space="preserve"> Analysis </w:t>
            </w:r>
            <w:proofErr w:type="spellStart"/>
            <w:r w:rsidRPr="00206AE1">
              <w:rPr>
                <w:b/>
                <w:color w:val="404040"/>
                <w:sz w:val="20"/>
                <w:szCs w:val="20"/>
              </w:rPr>
              <w:t>Avg</w:t>
            </w:r>
            <w:proofErr w:type="spellEnd"/>
          </w:p>
        </w:tc>
      </w:tr>
      <w:tr w:rsidR="007662B7" w:rsidRPr="00206AE1" w14:paraId="1E28694C" w14:textId="77777777" w:rsidTr="00206AE1">
        <w:tc>
          <w:tcPr>
            <w:tcW w:w="2000" w:type="dxa"/>
            <w:shd w:val="clear" w:color="auto" w:fill="FFFFFF" w:themeFill="background1"/>
          </w:tcPr>
          <w:p w14:paraId="34776303" w14:textId="7F8D17C9" w:rsidR="007662B7" w:rsidRPr="00206AE1" w:rsidRDefault="00836D8D" w:rsidP="00822F61">
            <w:pPr>
              <w:jc w:val="center"/>
              <w:rPr>
                <w:color w:val="404040"/>
                <w:sz w:val="20"/>
                <w:szCs w:val="20"/>
              </w:rPr>
            </w:pPr>
            <w:r w:rsidRPr="00206AE1">
              <w:rPr>
                <w:color w:val="404040"/>
                <w:sz w:val="20"/>
                <w:szCs w:val="20"/>
              </w:rPr>
              <w:t>6,8,9</w:t>
            </w:r>
          </w:p>
        </w:tc>
        <w:tc>
          <w:tcPr>
            <w:tcW w:w="2105" w:type="dxa"/>
            <w:shd w:val="clear" w:color="auto" w:fill="FFFFFF" w:themeFill="background1"/>
          </w:tcPr>
          <w:p w14:paraId="631E2A14" w14:textId="62D66CCF" w:rsidR="007662B7" w:rsidRPr="00206AE1" w:rsidRDefault="00836D8D" w:rsidP="00822F61">
            <w:pPr>
              <w:jc w:val="center"/>
              <w:rPr>
                <w:color w:val="404040"/>
                <w:sz w:val="20"/>
                <w:szCs w:val="20"/>
              </w:rPr>
            </w:pPr>
            <w:r w:rsidRPr="00206AE1">
              <w:rPr>
                <w:color w:val="404040"/>
                <w:sz w:val="20"/>
                <w:szCs w:val="20"/>
              </w:rPr>
              <w:t>Gas</w:t>
            </w:r>
          </w:p>
        </w:tc>
        <w:tc>
          <w:tcPr>
            <w:tcW w:w="2177" w:type="dxa"/>
            <w:shd w:val="clear" w:color="auto" w:fill="FFFFFF" w:themeFill="background1"/>
          </w:tcPr>
          <w:p w14:paraId="17411FC1" w14:textId="4BA45AD9" w:rsidR="007662B7" w:rsidRPr="00206AE1" w:rsidRDefault="00302D94" w:rsidP="00822F61">
            <w:pPr>
              <w:jc w:val="center"/>
              <w:rPr>
                <w:color w:val="404040"/>
                <w:sz w:val="20"/>
                <w:szCs w:val="20"/>
              </w:rPr>
            </w:pPr>
            <w:r w:rsidRPr="00206AE1">
              <w:rPr>
                <w:color w:val="404040"/>
                <w:sz w:val="20"/>
                <w:szCs w:val="20"/>
              </w:rPr>
              <w:t>16.3*</w:t>
            </w:r>
            <w:r w:rsidR="00B36038" w:rsidRPr="00206AE1">
              <w:rPr>
                <w:color w:val="404040"/>
                <w:sz w:val="20"/>
                <w:szCs w:val="20"/>
              </w:rPr>
              <w:t xml:space="preserve"> </w:t>
            </w:r>
            <w:proofErr w:type="spellStart"/>
            <w:r w:rsidR="00B36038" w:rsidRPr="00206AE1">
              <w:rPr>
                <w:color w:val="404040"/>
                <w:sz w:val="20"/>
                <w:szCs w:val="20"/>
              </w:rPr>
              <w:t>therms</w:t>
            </w:r>
            <w:proofErr w:type="spellEnd"/>
          </w:p>
        </w:tc>
        <w:tc>
          <w:tcPr>
            <w:tcW w:w="1836" w:type="dxa"/>
            <w:shd w:val="clear" w:color="auto" w:fill="FFFFFF" w:themeFill="background1"/>
          </w:tcPr>
          <w:p w14:paraId="386BE477" w14:textId="7B3E0787" w:rsidR="007662B7" w:rsidRPr="00206AE1" w:rsidRDefault="00302D94" w:rsidP="00822F61">
            <w:pPr>
              <w:jc w:val="center"/>
              <w:rPr>
                <w:color w:val="404040"/>
                <w:sz w:val="20"/>
                <w:szCs w:val="20"/>
              </w:rPr>
            </w:pPr>
            <w:r w:rsidRPr="00206AE1">
              <w:rPr>
                <w:color w:val="404040"/>
                <w:sz w:val="20"/>
                <w:szCs w:val="20"/>
              </w:rPr>
              <w:t>10</w:t>
            </w:r>
            <w:r w:rsidR="00B36038" w:rsidRPr="00206AE1">
              <w:rPr>
                <w:color w:val="404040"/>
                <w:sz w:val="20"/>
                <w:szCs w:val="20"/>
              </w:rPr>
              <w:t xml:space="preserve"> </w:t>
            </w:r>
            <w:proofErr w:type="spellStart"/>
            <w:r w:rsidR="00B36038" w:rsidRPr="00206AE1">
              <w:rPr>
                <w:color w:val="404040"/>
                <w:sz w:val="20"/>
                <w:szCs w:val="20"/>
              </w:rPr>
              <w:t>therms</w:t>
            </w:r>
            <w:proofErr w:type="spellEnd"/>
          </w:p>
        </w:tc>
      </w:tr>
    </w:tbl>
    <w:p w14:paraId="48804A9C" w14:textId="3ACAE78C" w:rsidR="00C63089" w:rsidRPr="00206AE1" w:rsidRDefault="00302D94" w:rsidP="00302D94">
      <w:pPr>
        <w:pStyle w:val="Normal1"/>
        <w:spacing w:line="276" w:lineRule="auto"/>
        <w:ind w:left="360"/>
        <w:rPr>
          <w:sz w:val="18"/>
          <w:szCs w:val="18"/>
        </w:rPr>
      </w:pPr>
      <w:r w:rsidRPr="00206AE1">
        <w:rPr>
          <w:sz w:val="18"/>
          <w:szCs w:val="18"/>
        </w:rPr>
        <w:t>*</w:t>
      </w:r>
      <w:r w:rsidRPr="00206AE1">
        <w:rPr>
          <w:rFonts w:asciiTheme="minorHAnsi" w:eastAsiaTheme="minorEastAsia" w:hAnsi="Arial" w:cstheme="minorBidi"/>
          <w:color w:val="000000" w:themeColor="text1"/>
          <w:kern w:val="24"/>
          <w:sz w:val="18"/>
          <w:szCs w:val="18"/>
        </w:rPr>
        <w:t xml:space="preserve"> </w:t>
      </w:r>
      <w:r w:rsidRPr="00206AE1">
        <w:rPr>
          <w:sz w:val="18"/>
          <w:szCs w:val="18"/>
        </w:rPr>
        <w:t>Due to the unusually mild winter in 2014-2015, Navigant also estimated savings under a typical meteorological</w:t>
      </w:r>
      <w:r w:rsidR="00985D45">
        <w:rPr>
          <w:sz w:val="18"/>
          <w:szCs w:val="18"/>
        </w:rPr>
        <w:t xml:space="preserve"> year</w:t>
      </w:r>
    </w:p>
    <w:p w14:paraId="51D3FACB" w14:textId="77777777" w:rsidR="00302D94" w:rsidRDefault="00302D94">
      <w:pPr>
        <w:pStyle w:val="Normal1"/>
        <w:spacing w:line="276" w:lineRule="auto"/>
        <w:rPr>
          <w:b/>
          <w:sz w:val="28"/>
          <w:szCs w:val="28"/>
        </w:rPr>
      </w:pPr>
    </w:p>
    <w:p w14:paraId="49D1143F" w14:textId="18F9AD9A" w:rsidR="00576C8C" w:rsidRDefault="000F1483">
      <w:pPr>
        <w:pStyle w:val="Normal1"/>
        <w:spacing w:line="276" w:lineRule="auto"/>
      </w:pPr>
      <w:r>
        <w:rPr>
          <w:b/>
          <w:sz w:val="28"/>
          <w:szCs w:val="28"/>
        </w:rPr>
        <w:t>2.</w:t>
      </w:r>
      <w:r w:rsidR="00442407">
        <w:rPr>
          <w:b/>
          <w:sz w:val="28"/>
          <w:szCs w:val="28"/>
        </w:rPr>
        <w:t>3</w:t>
      </w:r>
      <w:r>
        <w:rPr>
          <w:b/>
          <w:sz w:val="28"/>
          <w:szCs w:val="28"/>
        </w:rPr>
        <w:t>.</w:t>
      </w:r>
      <w:r w:rsidR="00A7004C">
        <w:rPr>
          <w:b/>
          <w:sz w:val="28"/>
          <w:szCs w:val="28"/>
        </w:rPr>
        <w:t>1</w:t>
      </w:r>
      <w:r w:rsidR="00BA2ED7">
        <w:rPr>
          <w:b/>
          <w:sz w:val="28"/>
          <w:szCs w:val="28"/>
        </w:rPr>
        <w:t>1</w:t>
      </w:r>
      <w:r w:rsidR="007173B2">
        <w:rPr>
          <w:b/>
          <w:sz w:val="28"/>
          <w:szCs w:val="28"/>
        </w:rPr>
        <w:t xml:space="preserve"> Compilation of Conservative Assumptions</w:t>
      </w:r>
    </w:p>
    <w:p w14:paraId="75028F06" w14:textId="77777777" w:rsidR="00576C8C" w:rsidRDefault="007173B2">
      <w:pPr>
        <w:pStyle w:val="Normal1"/>
        <w:spacing w:line="276" w:lineRule="auto"/>
      </w:pPr>
      <w:r>
        <w:t xml:space="preserve">Below is a list of list of all conservative assumptions that were made through the methodology and calculation methods outlined in this </w:t>
      </w:r>
      <w:proofErr w:type="spellStart"/>
      <w:r>
        <w:t>workpaper</w:t>
      </w:r>
      <w:proofErr w:type="spellEnd"/>
      <w:r>
        <w:t xml:space="preserve">. </w:t>
      </w:r>
    </w:p>
    <w:p w14:paraId="7E35C6B9" w14:textId="77777777" w:rsidR="00576C8C" w:rsidRDefault="00576C8C">
      <w:pPr>
        <w:pStyle w:val="Normal1"/>
        <w:spacing w:line="276" w:lineRule="auto"/>
      </w:pPr>
    </w:p>
    <w:p w14:paraId="7015969F" w14:textId="0256C1F5" w:rsidR="00576C8C" w:rsidRDefault="007173B2">
      <w:pPr>
        <w:pStyle w:val="Normal1"/>
        <w:numPr>
          <w:ilvl w:val="0"/>
          <w:numId w:val="10"/>
        </w:numPr>
        <w:spacing w:line="276" w:lineRule="auto"/>
        <w:ind w:hanging="360"/>
        <w:contextualSpacing/>
      </w:pPr>
      <w:r>
        <w:t xml:space="preserve">Assumed </w:t>
      </w:r>
      <w:r>
        <w:rPr>
          <w:i/>
        </w:rPr>
        <w:t xml:space="preserve">none of the </w:t>
      </w:r>
      <w:r>
        <w:t xml:space="preserve">customers showing setback behavior will save </w:t>
      </w:r>
      <w:r w:rsidR="0070713B">
        <w:t xml:space="preserve">energy </w:t>
      </w:r>
      <w:r>
        <w:t xml:space="preserve">from features that are driven from occupancy sensors or geo-fencing - like Auto-Away and Auto-Schedule, as the way we are applying the RASS Baseline Correction factor essentially removes all savings from this population </w:t>
      </w:r>
    </w:p>
    <w:p w14:paraId="074055DD" w14:textId="33E9B612" w:rsidR="00576C8C" w:rsidRDefault="007173B2">
      <w:pPr>
        <w:pStyle w:val="Normal1"/>
        <w:numPr>
          <w:ilvl w:val="0"/>
          <w:numId w:val="10"/>
        </w:numPr>
        <w:spacing w:line="276" w:lineRule="auto"/>
        <w:ind w:hanging="360"/>
        <w:contextualSpacing/>
      </w:pPr>
      <w:r>
        <w:t xml:space="preserve">This analysis does not include any behavioral driven savings as discussed in Section </w:t>
      </w:r>
      <w:r w:rsidRPr="00417A60">
        <w:rPr>
          <w:color w:val="auto"/>
        </w:rPr>
        <w:t>1.6.</w:t>
      </w:r>
      <w:r w:rsidR="00CE198E">
        <w:rPr>
          <w:color w:val="auto"/>
        </w:rPr>
        <w:t>4</w:t>
      </w:r>
      <w:r>
        <w:t xml:space="preserve">, likely understating the overall impact of smart thermostats and the savings they can enable. </w:t>
      </w:r>
    </w:p>
    <w:p w14:paraId="4A2ABBC1" w14:textId="6290C27F" w:rsidR="00576C8C" w:rsidRDefault="007173B2">
      <w:pPr>
        <w:pStyle w:val="Normal1"/>
        <w:numPr>
          <w:ilvl w:val="0"/>
          <w:numId w:val="10"/>
        </w:numPr>
        <w:spacing w:line="276" w:lineRule="auto"/>
        <w:ind w:hanging="360"/>
        <w:contextualSpacing/>
      </w:pPr>
      <w:r>
        <w:t xml:space="preserve">The method of creating the RASS Baseline Correction Factor likely overestimates setback behavior given customer bias in survey responses over-estimating efficient behavior as this </w:t>
      </w:r>
      <w:r w:rsidR="00B5122F">
        <w:t>California</w:t>
      </w:r>
      <w:r>
        <w:t xml:space="preserve"> specific study suggests. In the study, Comparison Of </w:t>
      </w:r>
      <w:proofErr w:type="spellStart"/>
      <w:r>
        <w:t>Self Reported</w:t>
      </w:r>
      <w:proofErr w:type="spellEnd"/>
      <w:r>
        <w:t xml:space="preserve"> And Measured Thermostat Behavior In New California Houses</w:t>
      </w:r>
      <w:r>
        <w:rPr>
          <w:vertAlign w:val="superscript"/>
        </w:rPr>
        <w:t>(13)</w:t>
      </w:r>
      <w:r>
        <w:t xml:space="preserve"> they state “</w:t>
      </w:r>
      <w:r>
        <w:rPr>
          <w:highlight w:val="white"/>
        </w:rPr>
        <w:t xml:space="preserve">Respondents </w:t>
      </w:r>
      <w:r>
        <w:rPr>
          <w:highlight w:val="white"/>
        </w:rPr>
        <w:lastRenderedPageBreak/>
        <w:t xml:space="preserve">under reported their heating </w:t>
      </w:r>
      <w:r w:rsidR="00430BE4">
        <w:rPr>
          <w:highlight w:val="white"/>
        </w:rPr>
        <w:t>set points</w:t>
      </w:r>
      <w:r>
        <w:rPr>
          <w:highlight w:val="white"/>
        </w:rPr>
        <w:t xml:space="preserve"> and over reported their cooling </w:t>
      </w:r>
      <w:r w:rsidR="00430BE4">
        <w:rPr>
          <w:highlight w:val="white"/>
        </w:rPr>
        <w:t>set points</w:t>
      </w:r>
      <w:r>
        <w:rPr>
          <w:highlight w:val="white"/>
        </w:rPr>
        <w:t xml:space="preserve">” </w:t>
      </w:r>
      <w:r w:rsidR="00B5122F">
        <w:rPr>
          <w:highlight w:val="white"/>
        </w:rPr>
        <w:t>(</w:t>
      </w:r>
      <w:proofErr w:type="spellStart"/>
      <w:r>
        <w:rPr>
          <w:highlight w:val="white"/>
        </w:rPr>
        <w:t>ie</w:t>
      </w:r>
      <w:proofErr w:type="spellEnd"/>
      <w:r>
        <w:rPr>
          <w:highlight w:val="white"/>
        </w:rPr>
        <w:t xml:space="preserve"> they responded a more efficient </w:t>
      </w:r>
      <w:r w:rsidR="00430BE4">
        <w:rPr>
          <w:highlight w:val="white"/>
        </w:rPr>
        <w:t>set point</w:t>
      </w:r>
      <w:r>
        <w:rPr>
          <w:highlight w:val="white"/>
        </w:rPr>
        <w:t xml:space="preserve"> versus their actual set point</w:t>
      </w:r>
      <w:r w:rsidR="00B5122F">
        <w:rPr>
          <w:highlight w:val="white"/>
        </w:rPr>
        <w:t>)</w:t>
      </w:r>
      <w:r>
        <w:rPr>
          <w:highlight w:val="white"/>
        </w:rPr>
        <w:t xml:space="preserve">. This behavior was corroborated in a Pacific Northwest </w:t>
      </w:r>
      <w:proofErr w:type="gramStart"/>
      <w:r>
        <w:rPr>
          <w:highlight w:val="white"/>
        </w:rPr>
        <w:t>study</w:t>
      </w:r>
      <w:r>
        <w:rPr>
          <w:highlight w:val="white"/>
          <w:vertAlign w:val="superscript"/>
        </w:rPr>
        <w:t>(</w:t>
      </w:r>
      <w:proofErr w:type="gramEnd"/>
      <w:r>
        <w:rPr>
          <w:highlight w:val="white"/>
          <w:vertAlign w:val="superscript"/>
        </w:rPr>
        <w:t>14)</w:t>
      </w:r>
      <w:r>
        <w:rPr>
          <w:highlight w:val="white"/>
        </w:rPr>
        <w:t>, a Michigan State University study</w:t>
      </w:r>
      <w:r>
        <w:rPr>
          <w:highlight w:val="white"/>
          <w:vertAlign w:val="superscript"/>
        </w:rPr>
        <w:t>(15)</w:t>
      </w:r>
      <w:r>
        <w:rPr>
          <w:highlight w:val="white"/>
        </w:rPr>
        <w:t>, and this New England study</w:t>
      </w:r>
      <w:r>
        <w:rPr>
          <w:highlight w:val="white"/>
          <w:vertAlign w:val="superscript"/>
        </w:rPr>
        <w:t>(16)</w:t>
      </w:r>
      <w:r>
        <w:rPr>
          <w:highlight w:val="white"/>
        </w:rPr>
        <w:t xml:space="preserve">. </w:t>
      </w:r>
    </w:p>
    <w:p w14:paraId="6471A4FE" w14:textId="77777777" w:rsidR="00576C8C" w:rsidRDefault="007173B2">
      <w:pPr>
        <w:pStyle w:val="Normal1"/>
        <w:numPr>
          <w:ilvl w:val="0"/>
          <w:numId w:val="10"/>
        </w:numPr>
        <w:spacing w:line="276" w:lineRule="auto"/>
        <w:ind w:hanging="360"/>
        <w:contextualSpacing/>
      </w:pPr>
      <w:r>
        <w:t>The RASS Baseline Correction factor was set using the percentage of customers who had a nighttime setback schedule only - versus including the percentage of customers who had a daytime setback. This choice was made as including the daytime setback percentages increased energy savings (reducing the correction factor) produced the most conservative estimate</w:t>
      </w:r>
    </w:p>
    <w:p w14:paraId="76D381DB" w14:textId="77777777" w:rsidR="00576C8C" w:rsidRDefault="007173B2">
      <w:pPr>
        <w:pStyle w:val="Normal1"/>
        <w:numPr>
          <w:ilvl w:val="0"/>
          <w:numId w:val="10"/>
        </w:numPr>
        <w:spacing w:line="276" w:lineRule="auto"/>
        <w:ind w:hanging="360"/>
        <w:contextualSpacing/>
      </w:pPr>
      <w:r>
        <w:t>The RASS Baseline Correction factor was set through looking at movement out of the average heating and cooling set points - signifying that they had a setback schedule. We did not include movement out of the other temperature bins in the RASS study as the percent of customers moving out of other temperature bands was lower, so we are applying the biggest savings reduction possible based on RASS data</w:t>
      </w:r>
    </w:p>
    <w:p w14:paraId="2B29A9BE" w14:textId="77777777" w:rsidR="00576C8C" w:rsidRDefault="007173B2">
      <w:pPr>
        <w:pStyle w:val="Normal1"/>
        <w:numPr>
          <w:ilvl w:val="0"/>
          <w:numId w:val="10"/>
        </w:numPr>
        <w:spacing w:line="276" w:lineRule="auto"/>
        <w:ind w:hanging="360"/>
        <w:contextualSpacing/>
      </w:pPr>
      <w:r>
        <w:t>The RASS Baseline Correction factor methodology assumes everyone who moves out of the average temperature band does so in an efficient direction, although we know some customers move to inefficient temperatures at night (i.e. some make their homes cooler at night in the Summer)</w:t>
      </w:r>
    </w:p>
    <w:p w14:paraId="7861A92C" w14:textId="58509429" w:rsidR="00576C8C" w:rsidRDefault="00CC7A80">
      <w:pPr>
        <w:pStyle w:val="Normal1"/>
        <w:numPr>
          <w:ilvl w:val="0"/>
          <w:numId w:val="10"/>
        </w:numPr>
        <w:spacing w:line="276" w:lineRule="auto"/>
        <w:ind w:hanging="360"/>
        <w:contextualSpacing/>
      </w:pPr>
      <w:r>
        <w:t>For the ROB method, t</w:t>
      </w:r>
      <w:r w:rsidR="007173B2">
        <w:t>he baseline for this measure should technically be state code, which would be programmable thermostats, but it was determined to instead adjust our savings estimates by a calibration factor built off of RASS customer survey data indicating setback behavior (description below). A baseline strictly made up of programmable thermostats would have increased energy savings estimates, as it is documented</w:t>
      </w:r>
      <w:r w:rsidR="007173B2">
        <w:rPr>
          <w:vertAlign w:val="superscript"/>
        </w:rPr>
        <w:t xml:space="preserve"> (12)</w:t>
      </w:r>
      <w:r w:rsidR="007173B2">
        <w:t xml:space="preserve"> that programmable thermostats actually increase energy usage over manual thermostats, and therefore would have increased our savings estimates. This approach aligns with the guidance to provide reasonable and conservative estimates.</w:t>
      </w:r>
    </w:p>
    <w:p w14:paraId="55A4044E" w14:textId="77777777" w:rsidR="00576C8C" w:rsidRDefault="00576C8C">
      <w:pPr>
        <w:pStyle w:val="Normal1"/>
        <w:spacing w:line="276" w:lineRule="auto"/>
      </w:pPr>
    </w:p>
    <w:p w14:paraId="1045FFFA" w14:textId="4DD1F997" w:rsidR="00576C8C" w:rsidRDefault="000F1483">
      <w:pPr>
        <w:pStyle w:val="Normal1"/>
        <w:spacing w:line="276" w:lineRule="auto"/>
      </w:pPr>
      <w:r>
        <w:rPr>
          <w:b/>
          <w:sz w:val="28"/>
          <w:szCs w:val="28"/>
        </w:rPr>
        <w:t>2.</w:t>
      </w:r>
      <w:r w:rsidR="007F5E67">
        <w:rPr>
          <w:b/>
          <w:sz w:val="28"/>
          <w:szCs w:val="28"/>
        </w:rPr>
        <w:t>3</w:t>
      </w:r>
      <w:r>
        <w:rPr>
          <w:b/>
          <w:sz w:val="28"/>
          <w:szCs w:val="28"/>
        </w:rPr>
        <w:t>.1</w:t>
      </w:r>
      <w:r w:rsidR="00BA2ED7">
        <w:rPr>
          <w:b/>
          <w:sz w:val="28"/>
          <w:szCs w:val="28"/>
        </w:rPr>
        <w:t>2</w:t>
      </w:r>
      <w:r w:rsidR="007173B2">
        <w:rPr>
          <w:b/>
          <w:sz w:val="28"/>
          <w:szCs w:val="28"/>
        </w:rPr>
        <w:t xml:space="preserve"> Calculation of Energy Savings Results Tables</w:t>
      </w:r>
    </w:p>
    <w:p w14:paraId="6879D2EA" w14:textId="77777777" w:rsidR="00576C8C" w:rsidRDefault="00576C8C">
      <w:pPr>
        <w:pStyle w:val="Normal1"/>
        <w:spacing w:line="276" w:lineRule="auto"/>
      </w:pPr>
    </w:p>
    <w:p w14:paraId="249D4495" w14:textId="13771327" w:rsidR="00576C8C" w:rsidRDefault="007173B2">
      <w:pPr>
        <w:pStyle w:val="Normal1"/>
        <w:spacing w:line="276" w:lineRule="auto"/>
        <w:jc w:val="center"/>
      </w:pPr>
      <w:r>
        <w:rPr>
          <w:u w:val="single"/>
        </w:rPr>
        <w:t>First Baseline</w:t>
      </w:r>
      <w:r w:rsidR="00894BB3">
        <w:rPr>
          <w:u w:val="single"/>
        </w:rPr>
        <w:t xml:space="preserve"> - Calculation for C</w:t>
      </w:r>
      <w:r>
        <w:rPr>
          <w:u w:val="single"/>
        </w:rPr>
        <w:t>ooling</w:t>
      </w:r>
    </w:p>
    <w:p w14:paraId="405CDF59" w14:textId="71A7E8C3" w:rsidR="00576C8C" w:rsidRDefault="007173B2">
      <w:pPr>
        <w:pStyle w:val="Normal1"/>
        <w:spacing w:before="80" w:line="276" w:lineRule="auto"/>
        <w:jc w:val="center"/>
        <w:rPr>
          <w:i/>
          <w:color w:val="141313"/>
        </w:rPr>
      </w:pPr>
      <w:r>
        <w:rPr>
          <w:i/>
          <w:color w:val="141313"/>
        </w:rPr>
        <w:t>Savings estimated by regression model (Section 2.</w:t>
      </w:r>
      <w:r w:rsidR="004C4EA1">
        <w:rPr>
          <w:i/>
          <w:color w:val="141313"/>
        </w:rPr>
        <w:t>3</w:t>
      </w:r>
      <w:r>
        <w:rPr>
          <w:i/>
          <w:color w:val="141313"/>
        </w:rPr>
        <w:t>.4) x RASS baseline calibration factor (Section 2.</w:t>
      </w:r>
      <w:r w:rsidR="004C4EA1">
        <w:rPr>
          <w:i/>
          <w:color w:val="141313"/>
        </w:rPr>
        <w:t>3</w:t>
      </w:r>
      <w:r>
        <w:rPr>
          <w:i/>
          <w:color w:val="141313"/>
        </w:rPr>
        <w:t>.5</w:t>
      </w:r>
      <w:r w:rsidRPr="00C52B25">
        <w:rPr>
          <w:i/>
          <w:color w:val="000000" w:themeColor="text1"/>
        </w:rPr>
        <w:t>)</w:t>
      </w:r>
      <w:r w:rsidR="00D30183" w:rsidRPr="00C52B25">
        <w:rPr>
          <w:i/>
          <w:color w:val="000000" w:themeColor="text1"/>
        </w:rPr>
        <w:t xml:space="preserve"> x</w:t>
      </w:r>
      <w:r w:rsidR="00D30183">
        <w:rPr>
          <w:i/>
          <w:color w:val="FF0000"/>
        </w:rPr>
        <w:t xml:space="preserve"> </w:t>
      </w:r>
      <w:r w:rsidR="00D30183" w:rsidRPr="00C52B25">
        <w:rPr>
          <w:i/>
          <w:color w:val="000000" w:themeColor="text1"/>
        </w:rPr>
        <w:t xml:space="preserve">PG&amp;E </w:t>
      </w:r>
      <w:r w:rsidR="005E4B37" w:rsidRPr="00C52B25">
        <w:rPr>
          <w:i/>
          <w:color w:val="000000" w:themeColor="text1"/>
        </w:rPr>
        <w:t>Study Adjustment F</w:t>
      </w:r>
      <w:r w:rsidR="00D30183" w:rsidRPr="00C52B25">
        <w:rPr>
          <w:i/>
          <w:color w:val="000000" w:themeColor="text1"/>
        </w:rPr>
        <w:t>actor</w:t>
      </w:r>
      <w:r>
        <w:rPr>
          <w:rFonts w:ascii="Georgia" w:eastAsia="Georgia" w:hAnsi="Georgia" w:cs="Georgia"/>
          <w:b/>
          <w:i/>
          <w:color w:val="141313"/>
          <w:sz w:val="36"/>
          <w:szCs w:val="36"/>
        </w:rPr>
        <w:t xml:space="preserve"> </w:t>
      </w:r>
      <w:r>
        <w:rPr>
          <w:i/>
          <w:color w:val="141313"/>
        </w:rPr>
        <w:t xml:space="preserve">= Energy Savings (Section 3.2)  </w:t>
      </w:r>
    </w:p>
    <w:p w14:paraId="6B60C241" w14:textId="77777777" w:rsidR="00C52B25" w:rsidRDefault="00C52B25">
      <w:pPr>
        <w:pStyle w:val="Normal1"/>
        <w:spacing w:before="80" w:line="276" w:lineRule="auto"/>
        <w:jc w:val="center"/>
        <w:rPr>
          <w:i/>
          <w:color w:val="141313"/>
        </w:rPr>
      </w:pPr>
    </w:p>
    <w:p w14:paraId="39057E7A" w14:textId="3ACA79D9" w:rsidR="00894BB3" w:rsidRDefault="00894BB3" w:rsidP="00894BB3">
      <w:pPr>
        <w:pStyle w:val="Normal1"/>
        <w:spacing w:line="276" w:lineRule="auto"/>
        <w:jc w:val="center"/>
      </w:pPr>
      <w:r>
        <w:rPr>
          <w:u w:val="single"/>
        </w:rPr>
        <w:t>First Baseline - Calculation for Heating</w:t>
      </w:r>
    </w:p>
    <w:p w14:paraId="22D1D43B" w14:textId="30043C3D" w:rsidR="00894BB3" w:rsidRDefault="00894BB3" w:rsidP="00894BB3">
      <w:pPr>
        <w:pStyle w:val="Normal1"/>
        <w:spacing w:before="80" w:line="276" w:lineRule="auto"/>
        <w:jc w:val="center"/>
      </w:pPr>
      <w:r>
        <w:rPr>
          <w:i/>
          <w:color w:val="141313"/>
        </w:rPr>
        <w:t>Savings estimated by regression model (Section 2.</w:t>
      </w:r>
      <w:r w:rsidR="004C4EA1">
        <w:rPr>
          <w:i/>
          <w:color w:val="141313"/>
        </w:rPr>
        <w:t>3</w:t>
      </w:r>
      <w:r>
        <w:rPr>
          <w:i/>
          <w:color w:val="141313"/>
        </w:rPr>
        <w:t>.4) x RASS baseline calibration factor (Section 2.</w:t>
      </w:r>
      <w:r w:rsidR="004C4EA1">
        <w:rPr>
          <w:i/>
          <w:color w:val="141313"/>
        </w:rPr>
        <w:t>3</w:t>
      </w:r>
      <w:r>
        <w:rPr>
          <w:i/>
          <w:color w:val="141313"/>
        </w:rPr>
        <w:t>.5</w:t>
      </w:r>
      <w:proofErr w:type="gramStart"/>
      <w:r>
        <w:rPr>
          <w:i/>
          <w:color w:val="141313"/>
        </w:rPr>
        <w:t xml:space="preserve">) </w:t>
      </w:r>
      <w:r>
        <w:rPr>
          <w:rFonts w:ascii="Georgia" w:eastAsia="Georgia" w:hAnsi="Georgia" w:cs="Georgia"/>
          <w:b/>
          <w:i/>
          <w:color w:val="141313"/>
          <w:sz w:val="36"/>
          <w:szCs w:val="36"/>
        </w:rPr>
        <w:t xml:space="preserve"> </w:t>
      </w:r>
      <w:r>
        <w:rPr>
          <w:i/>
          <w:color w:val="141313"/>
        </w:rPr>
        <w:t>=</w:t>
      </w:r>
      <w:proofErr w:type="gramEnd"/>
      <w:r>
        <w:rPr>
          <w:i/>
          <w:color w:val="141313"/>
        </w:rPr>
        <w:t xml:space="preserve"> Energy Savings (Section 3.2)  </w:t>
      </w:r>
    </w:p>
    <w:p w14:paraId="45F11D4B" w14:textId="77777777" w:rsidR="00576C8C" w:rsidRDefault="00576C8C">
      <w:pPr>
        <w:pStyle w:val="Normal1"/>
        <w:spacing w:line="276" w:lineRule="auto"/>
      </w:pPr>
    </w:p>
    <w:p w14:paraId="4DFD966B" w14:textId="77777777" w:rsidR="00576C8C" w:rsidRDefault="007173B2">
      <w:pPr>
        <w:pStyle w:val="Normal1"/>
        <w:spacing w:line="276" w:lineRule="auto"/>
        <w:jc w:val="center"/>
      </w:pPr>
      <w:r>
        <w:rPr>
          <w:u w:val="single"/>
        </w:rPr>
        <w:t>Second Baseline - Calculation for Heating and cooling</w:t>
      </w:r>
    </w:p>
    <w:p w14:paraId="4C5E49C9" w14:textId="71A60F25" w:rsidR="007173B2" w:rsidRPr="004F01A7" w:rsidRDefault="007173B2" w:rsidP="004F01A7">
      <w:pPr>
        <w:pStyle w:val="Normal1"/>
        <w:spacing w:before="80" w:line="276" w:lineRule="auto"/>
        <w:jc w:val="center"/>
      </w:pPr>
      <w:r>
        <w:rPr>
          <w:i/>
          <w:color w:val="141313"/>
        </w:rPr>
        <w:t>First Baseline Energy Savings x (1 - 2nd Baseline Adjustment (Section 2.5.</w:t>
      </w:r>
      <w:r w:rsidR="004C4EA1">
        <w:rPr>
          <w:i/>
          <w:color w:val="141313"/>
        </w:rPr>
        <w:t>7</w:t>
      </w:r>
      <w:r>
        <w:rPr>
          <w:i/>
          <w:color w:val="141313"/>
        </w:rPr>
        <w:t xml:space="preserve">)) = Energy Savings (Section 3.2)  </w:t>
      </w:r>
    </w:p>
    <w:p w14:paraId="51E021DF" w14:textId="77777777" w:rsidR="00576C8C" w:rsidRDefault="007173B2">
      <w:pPr>
        <w:pStyle w:val="Normal1"/>
        <w:spacing w:line="276" w:lineRule="auto"/>
      </w:pPr>
      <w:r>
        <w:rPr>
          <w:b/>
          <w:sz w:val="28"/>
          <w:szCs w:val="28"/>
        </w:rPr>
        <w:lastRenderedPageBreak/>
        <w:t>3.0 Results</w:t>
      </w:r>
    </w:p>
    <w:p w14:paraId="1E805410" w14:textId="77777777" w:rsidR="00576C8C" w:rsidRDefault="00576C8C">
      <w:pPr>
        <w:pStyle w:val="Normal1"/>
        <w:spacing w:line="276" w:lineRule="auto"/>
      </w:pPr>
    </w:p>
    <w:p w14:paraId="3C259A71" w14:textId="36599CCD" w:rsidR="00576C8C" w:rsidRDefault="007173B2">
      <w:pPr>
        <w:pStyle w:val="Normal1"/>
        <w:spacing w:line="276" w:lineRule="auto"/>
      </w:pPr>
      <w:r>
        <w:rPr>
          <w:b/>
          <w:sz w:val="28"/>
          <w:szCs w:val="28"/>
        </w:rPr>
        <w:t>3.1 System sizing assumpti</w:t>
      </w:r>
      <w:r w:rsidR="000A24A8">
        <w:rPr>
          <w:b/>
          <w:sz w:val="28"/>
          <w:szCs w:val="28"/>
        </w:rPr>
        <w:t>ons</w:t>
      </w:r>
    </w:p>
    <w:p w14:paraId="09A2B679" w14:textId="77777777" w:rsidR="00576C8C" w:rsidRDefault="00576C8C">
      <w:pPr>
        <w:pStyle w:val="Normal1"/>
        <w:spacing w:line="276" w:lineRule="auto"/>
      </w:pPr>
    </w:p>
    <w:p w14:paraId="423EF621" w14:textId="60754F23" w:rsidR="00576C8C" w:rsidRDefault="007173B2">
      <w:pPr>
        <w:pStyle w:val="Normal1"/>
        <w:spacing w:line="276" w:lineRule="auto"/>
      </w:pPr>
      <w:r>
        <w:rPr>
          <w:highlight w:val="white"/>
        </w:rPr>
        <w:t xml:space="preserve">The system capacity sizing assumptions are based on </w:t>
      </w:r>
      <w:r w:rsidR="00A33340">
        <w:rPr>
          <w:highlight w:val="white"/>
        </w:rPr>
        <w:t xml:space="preserve">2005 </w:t>
      </w:r>
      <w:r>
        <w:rPr>
          <w:highlight w:val="white"/>
        </w:rPr>
        <w:t xml:space="preserve">DEER default house characteristics (Air Conditioner kW and Furnace </w:t>
      </w:r>
      <w:proofErr w:type="spellStart"/>
      <w:r>
        <w:rPr>
          <w:highlight w:val="white"/>
        </w:rPr>
        <w:t>kBtu</w:t>
      </w:r>
      <w:proofErr w:type="spellEnd"/>
      <w:r>
        <w:rPr>
          <w:highlight w:val="white"/>
        </w:rPr>
        <w:t>/</w:t>
      </w:r>
      <w:proofErr w:type="spellStart"/>
      <w:r>
        <w:rPr>
          <w:highlight w:val="white"/>
        </w:rPr>
        <w:t>hr</w:t>
      </w:r>
      <w:proofErr w:type="spellEnd"/>
      <w:r>
        <w:rPr>
          <w:highlight w:val="white"/>
        </w:rPr>
        <w:t>).</w:t>
      </w:r>
      <w:r>
        <w:rPr>
          <w:b/>
          <w:highlight w:val="white"/>
        </w:rPr>
        <w:t xml:space="preserve"> </w:t>
      </w:r>
      <w:r>
        <w:rPr>
          <w:b/>
        </w:rPr>
        <w:t xml:space="preserve"> </w:t>
      </w:r>
      <w:r>
        <w:t>For Furnace Fan kW,</w:t>
      </w:r>
      <w:r>
        <w:rPr>
          <w:b/>
        </w:rPr>
        <w:t xml:space="preserve"> </w:t>
      </w:r>
      <w:r>
        <w:t xml:space="preserve">these values are averages across thermostats and were generated based on an automated </w:t>
      </w:r>
      <w:r w:rsidR="00BD46FD">
        <w:t>system-sizing</w:t>
      </w:r>
      <w:r>
        <w:t xml:space="preserve"> algorithm developed by Nest and primarily driven by local design temperatures. </w:t>
      </w:r>
    </w:p>
    <w:p w14:paraId="17730C8C" w14:textId="77777777" w:rsidR="00417A60" w:rsidRDefault="00417A60">
      <w:pPr>
        <w:pStyle w:val="Normal1"/>
        <w:spacing w:line="276" w:lineRule="auto"/>
      </w:pPr>
    </w:p>
    <w:p w14:paraId="1FB28618" w14:textId="43771E71" w:rsidR="00576C8C" w:rsidRPr="00361227" w:rsidRDefault="007173B2" w:rsidP="00206AE1">
      <w:pPr>
        <w:pStyle w:val="Normal1"/>
        <w:spacing w:line="276" w:lineRule="auto"/>
        <w:ind w:firstLine="720"/>
      </w:pPr>
      <w:r w:rsidRPr="00361227">
        <w:rPr>
          <w:b/>
        </w:rPr>
        <w:t>System Sizing Assumptions</w:t>
      </w:r>
    </w:p>
    <w:tbl>
      <w:tblPr>
        <w:tblStyle w:val="af4"/>
        <w:tblW w:w="7320" w:type="dxa"/>
        <w:jc w:val="center"/>
        <w:tblBorders>
          <w:top w:val="single" w:sz="6" w:space="0" w:color="CCCCCC"/>
          <w:left w:val="single" w:sz="6" w:space="0" w:color="CCCCCC"/>
          <w:bottom w:val="single" w:sz="6" w:space="0" w:color="CCCCCC"/>
          <w:right w:val="single" w:sz="6" w:space="0" w:color="CCCCCC"/>
          <w:insideH w:val="single" w:sz="6" w:space="0" w:color="CCCCCC"/>
          <w:insideV w:val="single" w:sz="6" w:space="0" w:color="CCCCCC"/>
        </w:tblBorders>
        <w:shd w:val="clear" w:color="auto" w:fill="FFFFFF" w:themeFill="background1"/>
        <w:tblLayout w:type="fixed"/>
        <w:tblLook w:val="0600" w:firstRow="0" w:lastRow="0" w:firstColumn="0" w:lastColumn="0" w:noHBand="1" w:noVBand="1"/>
      </w:tblPr>
      <w:tblGrid>
        <w:gridCol w:w="1500"/>
        <w:gridCol w:w="2070"/>
        <w:gridCol w:w="1785"/>
        <w:gridCol w:w="1965"/>
      </w:tblGrid>
      <w:tr w:rsidR="00CA33A7" w:rsidRPr="00206AE1" w14:paraId="7A37B2C5" w14:textId="77777777" w:rsidTr="00206AE1">
        <w:trPr>
          <w:jc w:val="center"/>
        </w:trPr>
        <w:tc>
          <w:tcPr>
            <w:tcW w:w="150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40" w:type="dxa"/>
              <w:left w:w="40" w:type="dxa"/>
              <w:bottom w:w="40" w:type="dxa"/>
              <w:right w:w="40" w:type="dxa"/>
            </w:tcMar>
            <w:vAlign w:val="center"/>
          </w:tcPr>
          <w:p w14:paraId="58653BCF" w14:textId="45D21A44" w:rsidR="00CA33A7" w:rsidRPr="00206AE1" w:rsidRDefault="00CA33A7" w:rsidP="00206AE1">
            <w:pPr>
              <w:pStyle w:val="Normal1"/>
              <w:spacing w:line="276" w:lineRule="auto"/>
              <w:jc w:val="center"/>
              <w:rPr>
                <w:rFonts w:asciiTheme="majorHAnsi" w:hAnsiTheme="majorHAnsi"/>
                <w:b/>
                <w:sz w:val="20"/>
                <w:szCs w:val="20"/>
              </w:rPr>
            </w:pPr>
            <w:r w:rsidRPr="00206AE1">
              <w:rPr>
                <w:rFonts w:asciiTheme="majorHAnsi" w:hAnsiTheme="majorHAnsi"/>
                <w:b/>
                <w:sz w:val="20"/>
                <w:szCs w:val="20"/>
              </w:rPr>
              <w:t>California Climate Zone</w:t>
            </w:r>
          </w:p>
        </w:tc>
        <w:tc>
          <w:tcPr>
            <w:tcW w:w="207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40" w:type="dxa"/>
              <w:left w:w="40" w:type="dxa"/>
              <w:bottom w:w="40" w:type="dxa"/>
              <w:right w:w="40" w:type="dxa"/>
            </w:tcMar>
            <w:vAlign w:val="center"/>
          </w:tcPr>
          <w:p w14:paraId="3EB466AE" w14:textId="28466F5B" w:rsidR="00CA33A7" w:rsidRPr="00206AE1" w:rsidRDefault="00CA33A7" w:rsidP="00206AE1">
            <w:pPr>
              <w:pStyle w:val="Normal1"/>
              <w:spacing w:line="276" w:lineRule="auto"/>
              <w:jc w:val="center"/>
              <w:rPr>
                <w:rFonts w:asciiTheme="majorHAnsi" w:hAnsiTheme="majorHAnsi"/>
                <w:b/>
                <w:sz w:val="20"/>
                <w:szCs w:val="20"/>
              </w:rPr>
            </w:pPr>
            <w:r w:rsidRPr="00206AE1">
              <w:rPr>
                <w:rFonts w:asciiTheme="majorHAnsi" w:hAnsiTheme="majorHAnsi"/>
                <w:b/>
                <w:sz w:val="20"/>
                <w:szCs w:val="20"/>
              </w:rPr>
              <w:t>Air Conditioner kW</w:t>
            </w:r>
          </w:p>
        </w:tc>
        <w:tc>
          <w:tcPr>
            <w:tcW w:w="1785"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40" w:type="dxa"/>
              <w:left w:w="40" w:type="dxa"/>
              <w:bottom w:w="40" w:type="dxa"/>
              <w:right w:w="40" w:type="dxa"/>
            </w:tcMar>
            <w:vAlign w:val="center"/>
          </w:tcPr>
          <w:p w14:paraId="29D400BF" w14:textId="312AC8EE" w:rsidR="00CA33A7" w:rsidRPr="00206AE1" w:rsidRDefault="00CA33A7" w:rsidP="00206AE1">
            <w:pPr>
              <w:pStyle w:val="Normal1"/>
              <w:spacing w:line="276" w:lineRule="auto"/>
              <w:jc w:val="center"/>
              <w:rPr>
                <w:rFonts w:asciiTheme="majorHAnsi" w:hAnsiTheme="majorHAnsi"/>
                <w:b/>
                <w:sz w:val="20"/>
                <w:szCs w:val="20"/>
              </w:rPr>
            </w:pPr>
            <w:r w:rsidRPr="00206AE1">
              <w:rPr>
                <w:rFonts w:asciiTheme="majorHAnsi" w:hAnsiTheme="majorHAnsi"/>
                <w:b/>
                <w:sz w:val="20"/>
                <w:szCs w:val="20"/>
              </w:rPr>
              <w:t xml:space="preserve">Furnace </w:t>
            </w:r>
            <w:proofErr w:type="spellStart"/>
            <w:r w:rsidRPr="00206AE1">
              <w:rPr>
                <w:rFonts w:asciiTheme="majorHAnsi" w:hAnsiTheme="majorHAnsi"/>
                <w:b/>
                <w:sz w:val="20"/>
                <w:szCs w:val="20"/>
              </w:rPr>
              <w:t>kBtu</w:t>
            </w:r>
            <w:proofErr w:type="spellEnd"/>
            <w:r w:rsidRPr="00206AE1">
              <w:rPr>
                <w:rFonts w:asciiTheme="majorHAnsi" w:hAnsiTheme="majorHAnsi"/>
                <w:b/>
                <w:sz w:val="20"/>
                <w:szCs w:val="20"/>
              </w:rPr>
              <w:t>/</w:t>
            </w:r>
            <w:proofErr w:type="spellStart"/>
            <w:r w:rsidRPr="00206AE1">
              <w:rPr>
                <w:rFonts w:asciiTheme="majorHAnsi" w:hAnsiTheme="majorHAnsi"/>
                <w:b/>
                <w:sz w:val="20"/>
                <w:szCs w:val="20"/>
              </w:rPr>
              <w:t>hr</w:t>
            </w:r>
            <w:proofErr w:type="spellEnd"/>
          </w:p>
        </w:tc>
        <w:tc>
          <w:tcPr>
            <w:tcW w:w="1965"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40" w:type="dxa"/>
              <w:left w:w="40" w:type="dxa"/>
              <w:bottom w:w="40" w:type="dxa"/>
              <w:right w:w="40" w:type="dxa"/>
            </w:tcMar>
            <w:vAlign w:val="center"/>
          </w:tcPr>
          <w:p w14:paraId="452D6991" w14:textId="516B2841" w:rsidR="00CA33A7" w:rsidRPr="00206AE1" w:rsidRDefault="00CA33A7" w:rsidP="00206AE1">
            <w:pPr>
              <w:pStyle w:val="Normal1"/>
              <w:spacing w:line="276" w:lineRule="auto"/>
              <w:jc w:val="center"/>
              <w:rPr>
                <w:rFonts w:asciiTheme="majorHAnsi" w:hAnsiTheme="majorHAnsi"/>
                <w:b/>
                <w:sz w:val="20"/>
                <w:szCs w:val="20"/>
              </w:rPr>
            </w:pPr>
            <w:r w:rsidRPr="00206AE1">
              <w:rPr>
                <w:rFonts w:asciiTheme="majorHAnsi" w:hAnsiTheme="majorHAnsi"/>
                <w:b/>
                <w:sz w:val="20"/>
                <w:szCs w:val="20"/>
              </w:rPr>
              <w:t>Furnace Fan kW</w:t>
            </w:r>
          </w:p>
        </w:tc>
      </w:tr>
      <w:tr w:rsidR="00CA33A7" w:rsidRPr="00206AE1" w14:paraId="42D66226" w14:textId="77777777" w:rsidTr="00206AE1">
        <w:trPr>
          <w:jc w:val="center"/>
        </w:trPr>
        <w:tc>
          <w:tcPr>
            <w:tcW w:w="1500" w:type="dxa"/>
            <w:tcBorders>
              <w:top w:val="single" w:sz="4" w:space="0" w:color="000000"/>
              <w:left w:val="single" w:sz="6" w:space="0" w:color="000000"/>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7351BADE" w14:textId="1088C717" w:rsidR="00CA33A7" w:rsidRPr="00206AE1" w:rsidRDefault="00CA33A7" w:rsidP="00CA33A7">
            <w:pPr>
              <w:pStyle w:val="Normal1"/>
              <w:spacing w:line="276" w:lineRule="auto"/>
              <w:jc w:val="center"/>
              <w:rPr>
                <w:rFonts w:asciiTheme="majorHAnsi" w:hAnsiTheme="majorHAnsi"/>
                <w:sz w:val="20"/>
                <w:szCs w:val="20"/>
              </w:rPr>
            </w:pPr>
            <w:r w:rsidRPr="00206AE1">
              <w:rPr>
                <w:rFonts w:asciiTheme="majorHAnsi" w:hAnsiTheme="majorHAnsi"/>
                <w:sz w:val="20"/>
                <w:szCs w:val="20"/>
              </w:rPr>
              <w:t>CZ01</w:t>
            </w:r>
          </w:p>
        </w:tc>
        <w:tc>
          <w:tcPr>
            <w:tcW w:w="2070" w:type="dxa"/>
            <w:tcBorders>
              <w:top w:val="single" w:sz="4" w:space="0" w:color="000000"/>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217ABD14" w14:textId="6A4A7A58" w:rsidR="00CA33A7" w:rsidRPr="00206AE1" w:rsidRDefault="00CA33A7" w:rsidP="00206AE1">
            <w:pPr>
              <w:pStyle w:val="Normal1"/>
              <w:spacing w:line="276" w:lineRule="auto"/>
              <w:jc w:val="center"/>
              <w:rPr>
                <w:rFonts w:asciiTheme="majorHAnsi" w:hAnsiTheme="majorHAnsi"/>
                <w:sz w:val="20"/>
                <w:szCs w:val="20"/>
              </w:rPr>
            </w:pPr>
            <w:r w:rsidRPr="00206AE1">
              <w:rPr>
                <w:rFonts w:asciiTheme="majorHAnsi" w:hAnsiTheme="majorHAnsi"/>
                <w:sz w:val="20"/>
                <w:szCs w:val="20"/>
              </w:rPr>
              <w:t>Not used</w:t>
            </w:r>
          </w:p>
        </w:tc>
        <w:tc>
          <w:tcPr>
            <w:tcW w:w="1785" w:type="dxa"/>
            <w:tcBorders>
              <w:top w:val="single" w:sz="4" w:space="0" w:color="000000"/>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7CB4676D" w14:textId="1FA40751" w:rsidR="00CA33A7" w:rsidRPr="00206AE1" w:rsidRDefault="00CA33A7" w:rsidP="00206AE1">
            <w:pPr>
              <w:pStyle w:val="Normal1"/>
              <w:spacing w:line="276" w:lineRule="auto"/>
              <w:jc w:val="center"/>
              <w:rPr>
                <w:rFonts w:asciiTheme="majorHAnsi" w:hAnsiTheme="majorHAnsi"/>
                <w:sz w:val="20"/>
                <w:szCs w:val="20"/>
              </w:rPr>
            </w:pPr>
            <w:r w:rsidRPr="00206AE1">
              <w:rPr>
                <w:rFonts w:asciiTheme="majorHAnsi" w:hAnsiTheme="majorHAnsi"/>
                <w:sz w:val="20"/>
                <w:szCs w:val="20"/>
              </w:rPr>
              <w:t>Not used</w:t>
            </w:r>
          </w:p>
        </w:tc>
        <w:tc>
          <w:tcPr>
            <w:tcW w:w="1965" w:type="dxa"/>
            <w:tcBorders>
              <w:top w:val="single" w:sz="4" w:space="0" w:color="000000"/>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2FF0C586" w14:textId="4C6DED3A" w:rsidR="00CA33A7" w:rsidRPr="00206AE1" w:rsidRDefault="00CA33A7" w:rsidP="00206AE1">
            <w:pPr>
              <w:pStyle w:val="Normal1"/>
              <w:spacing w:line="276" w:lineRule="auto"/>
              <w:jc w:val="center"/>
              <w:rPr>
                <w:rFonts w:asciiTheme="majorHAnsi" w:hAnsiTheme="majorHAnsi"/>
                <w:sz w:val="20"/>
                <w:szCs w:val="20"/>
              </w:rPr>
            </w:pPr>
            <w:r w:rsidRPr="00206AE1">
              <w:rPr>
                <w:rFonts w:asciiTheme="majorHAnsi" w:hAnsiTheme="majorHAnsi"/>
                <w:sz w:val="20"/>
                <w:szCs w:val="20"/>
              </w:rPr>
              <w:t>Not used</w:t>
            </w:r>
          </w:p>
        </w:tc>
      </w:tr>
      <w:tr w:rsidR="007F5E67" w:rsidRPr="00206AE1" w14:paraId="25A00E25" w14:textId="77777777" w:rsidTr="00206AE1">
        <w:trPr>
          <w:jc w:val="center"/>
        </w:trPr>
        <w:tc>
          <w:tcPr>
            <w:tcW w:w="1500" w:type="dxa"/>
            <w:tcBorders>
              <w:left w:val="single" w:sz="6" w:space="0" w:color="000000"/>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54BAC382" w14:textId="7B8C6C0D" w:rsidR="007F5E67" w:rsidRPr="00206AE1" w:rsidRDefault="007F5E67">
            <w:pPr>
              <w:pStyle w:val="Normal1"/>
              <w:spacing w:line="276" w:lineRule="auto"/>
              <w:contextualSpacing w:val="0"/>
              <w:jc w:val="center"/>
              <w:rPr>
                <w:rFonts w:asciiTheme="majorHAnsi" w:hAnsiTheme="majorHAnsi"/>
                <w:sz w:val="20"/>
                <w:szCs w:val="20"/>
              </w:rPr>
            </w:pPr>
            <w:r w:rsidRPr="00206AE1">
              <w:rPr>
                <w:rFonts w:asciiTheme="majorHAnsi" w:hAnsiTheme="majorHAnsi"/>
                <w:sz w:val="20"/>
                <w:szCs w:val="20"/>
              </w:rPr>
              <w:t>CZ02</w:t>
            </w:r>
          </w:p>
        </w:tc>
        <w:tc>
          <w:tcPr>
            <w:tcW w:w="2070" w:type="dxa"/>
            <w:tcBorders>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1BEB373C" w14:textId="27CA6D5B" w:rsidR="007F5E67" w:rsidRPr="00206AE1" w:rsidRDefault="007F5E67" w:rsidP="00206AE1">
            <w:pPr>
              <w:pStyle w:val="Normal1"/>
              <w:spacing w:line="276" w:lineRule="auto"/>
              <w:contextualSpacing w:val="0"/>
              <w:jc w:val="center"/>
              <w:rPr>
                <w:rFonts w:asciiTheme="majorHAnsi" w:hAnsiTheme="majorHAnsi"/>
                <w:sz w:val="20"/>
                <w:szCs w:val="20"/>
              </w:rPr>
            </w:pPr>
            <w:r w:rsidRPr="00206AE1">
              <w:rPr>
                <w:rFonts w:asciiTheme="majorHAnsi" w:hAnsiTheme="majorHAnsi"/>
                <w:sz w:val="20"/>
                <w:szCs w:val="20"/>
              </w:rPr>
              <w:t>3.58</w:t>
            </w:r>
          </w:p>
        </w:tc>
        <w:tc>
          <w:tcPr>
            <w:tcW w:w="1785" w:type="dxa"/>
            <w:tcBorders>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29B2A694" w14:textId="77777777" w:rsidR="007F5E67" w:rsidRPr="00206AE1" w:rsidRDefault="007F5E67" w:rsidP="00206AE1">
            <w:pPr>
              <w:pStyle w:val="Normal1"/>
              <w:spacing w:line="276" w:lineRule="auto"/>
              <w:contextualSpacing w:val="0"/>
              <w:jc w:val="center"/>
              <w:rPr>
                <w:rFonts w:asciiTheme="majorHAnsi" w:hAnsiTheme="majorHAnsi"/>
                <w:sz w:val="20"/>
                <w:szCs w:val="20"/>
              </w:rPr>
            </w:pPr>
            <w:r w:rsidRPr="00206AE1">
              <w:rPr>
                <w:rFonts w:asciiTheme="majorHAnsi" w:hAnsiTheme="majorHAnsi"/>
                <w:sz w:val="20"/>
                <w:szCs w:val="20"/>
              </w:rPr>
              <w:t>49</w:t>
            </w:r>
          </w:p>
        </w:tc>
        <w:tc>
          <w:tcPr>
            <w:tcW w:w="1965" w:type="dxa"/>
            <w:tcBorders>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45AD54EE" w14:textId="77777777" w:rsidR="007F5E67" w:rsidRPr="00206AE1" w:rsidRDefault="007F5E67" w:rsidP="00206AE1">
            <w:pPr>
              <w:pStyle w:val="Normal1"/>
              <w:spacing w:line="276" w:lineRule="auto"/>
              <w:contextualSpacing w:val="0"/>
              <w:jc w:val="center"/>
              <w:rPr>
                <w:rFonts w:asciiTheme="majorHAnsi" w:hAnsiTheme="majorHAnsi"/>
                <w:sz w:val="20"/>
                <w:szCs w:val="20"/>
              </w:rPr>
            </w:pPr>
            <w:r w:rsidRPr="00206AE1">
              <w:rPr>
                <w:rFonts w:asciiTheme="majorHAnsi" w:hAnsiTheme="majorHAnsi"/>
                <w:sz w:val="20"/>
                <w:szCs w:val="20"/>
              </w:rPr>
              <w:t>0.49</w:t>
            </w:r>
          </w:p>
        </w:tc>
      </w:tr>
      <w:tr w:rsidR="007F5E67" w:rsidRPr="00206AE1" w14:paraId="791A92FD" w14:textId="77777777" w:rsidTr="00206AE1">
        <w:trPr>
          <w:jc w:val="center"/>
        </w:trPr>
        <w:tc>
          <w:tcPr>
            <w:tcW w:w="1500" w:type="dxa"/>
            <w:tcBorders>
              <w:left w:val="single" w:sz="6" w:space="0" w:color="000000"/>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084B7990" w14:textId="6622C777" w:rsidR="007F5E67" w:rsidRPr="00206AE1" w:rsidRDefault="007F5E67">
            <w:pPr>
              <w:pStyle w:val="Normal1"/>
              <w:spacing w:line="276" w:lineRule="auto"/>
              <w:contextualSpacing w:val="0"/>
              <w:jc w:val="center"/>
              <w:rPr>
                <w:rFonts w:asciiTheme="majorHAnsi" w:hAnsiTheme="majorHAnsi"/>
                <w:sz w:val="20"/>
                <w:szCs w:val="20"/>
              </w:rPr>
            </w:pPr>
            <w:r w:rsidRPr="00206AE1">
              <w:rPr>
                <w:rFonts w:asciiTheme="majorHAnsi" w:hAnsiTheme="majorHAnsi"/>
                <w:sz w:val="20"/>
                <w:szCs w:val="20"/>
              </w:rPr>
              <w:t>CZ03</w:t>
            </w:r>
          </w:p>
        </w:tc>
        <w:tc>
          <w:tcPr>
            <w:tcW w:w="2070" w:type="dxa"/>
            <w:tcBorders>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52832DCD" w14:textId="641DBB8E" w:rsidR="007F5E67" w:rsidRPr="00206AE1" w:rsidRDefault="007F5E67" w:rsidP="00206AE1">
            <w:pPr>
              <w:pStyle w:val="Normal1"/>
              <w:spacing w:line="276" w:lineRule="auto"/>
              <w:contextualSpacing w:val="0"/>
              <w:jc w:val="center"/>
              <w:rPr>
                <w:rFonts w:asciiTheme="majorHAnsi" w:hAnsiTheme="majorHAnsi"/>
                <w:sz w:val="20"/>
                <w:szCs w:val="20"/>
              </w:rPr>
            </w:pPr>
            <w:r w:rsidRPr="00206AE1">
              <w:rPr>
                <w:rFonts w:asciiTheme="majorHAnsi" w:hAnsiTheme="majorHAnsi"/>
                <w:sz w:val="20"/>
                <w:szCs w:val="20"/>
              </w:rPr>
              <w:t>3.08</w:t>
            </w:r>
          </w:p>
        </w:tc>
        <w:tc>
          <w:tcPr>
            <w:tcW w:w="1785" w:type="dxa"/>
            <w:tcBorders>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0D80FCEC" w14:textId="77777777" w:rsidR="007F5E67" w:rsidRPr="00206AE1" w:rsidRDefault="007F5E67" w:rsidP="00206AE1">
            <w:pPr>
              <w:pStyle w:val="Normal1"/>
              <w:spacing w:line="276" w:lineRule="auto"/>
              <w:contextualSpacing w:val="0"/>
              <w:jc w:val="center"/>
              <w:rPr>
                <w:rFonts w:asciiTheme="majorHAnsi" w:hAnsiTheme="majorHAnsi"/>
                <w:sz w:val="20"/>
                <w:szCs w:val="20"/>
              </w:rPr>
            </w:pPr>
            <w:r w:rsidRPr="00206AE1">
              <w:rPr>
                <w:rFonts w:asciiTheme="majorHAnsi" w:hAnsiTheme="majorHAnsi"/>
                <w:sz w:val="20"/>
                <w:szCs w:val="20"/>
              </w:rPr>
              <w:t>42</w:t>
            </w:r>
          </w:p>
        </w:tc>
        <w:tc>
          <w:tcPr>
            <w:tcW w:w="1965" w:type="dxa"/>
            <w:tcBorders>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2873AF58" w14:textId="77777777" w:rsidR="007F5E67" w:rsidRPr="00206AE1" w:rsidRDefault="007F5E67" w:rsidP="00206AE1">
            <w:pPr>
              <w:pStyle w:val="Normal1"/>
              <w:spacing w:line="276" w:lineRule="auto"/>
              <w:contextualSpacing w:val="0"/>
              <w:jc w:val="center"/>
              <w:rPr>
                <w:rFonts w:asciiTheme="majorHAnsi" w:hAnsiTheme="majorHAnsi"/>
                <w:sz w:val="20"/>
                <w:szCs w:val="20"/>
              </w:rPr>
            </w:pPr>
            <w:r w:rsidRPr="00206AE1">
              <w:rPr>
                <w:rFonts w:asciiTheme="majorHAnsi" w:hAnsiTheme="majorHAnsi"/>
                <w:sz w:val="20"/>
                <w:szCs w:val="20"/>
              </w:rPr>
              <w:t>0.33</w:t>
            </w:r>
          </w:p>
        </w:tc>
      </w:tr>
      <w:tr w:rsidR="007F5E67" w:rsidRPr="00206AE1" w14:paraId="20D1381A" w14:textId="77777777" w:rsidTr="00206AE1">
        <w:trPr>
          <w:jc w:val="center"/>
        </w:trPr>
        <w:tc>
          <w:tcPr>
            <w:tcW w:w="1500" w:type="dxa"/>
            <w:tcBorders>
              <w:left w:val="single" w:sz="6" w:space="0" w:color="000000"/>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0B85F3D1" w14:textId="5F4B02FC" w:rsidR="007F5E67" w:rsidRPr="00206AE1" w:rsidRDefault="007F5E67">
            <w:pPr>
              <w:pStyle w:val="Normal1"/>
              <w:spacing w:line="276" w:lineRule="auto"/>
              <w:contextualSpacing w:val="0"/>
              <w:jc w:val="center"/>
              <w:rPr>
                <w:rFonts w:asciiTheme="majorHAnsi" w:hAnsiTheme="majorHAnsi"/>
                <w:sz w:val="20"/>
                <w:szCs w:val="20"/>
              </w:rPr>
            </w:pPr>
            <w:r w:rsidRPr="00206AE1">
              <w:rPr>
                <w:rFonts w:asciiTheme="majorHAnsi" w:hAnsiTheme="majorHAnsi"/>
                <w:sz w:val="20"/>
                <w:szCs w:val="20"/>
              </w:rPr>
              <w:t>CZ04</w:t>
            </w:r>
          </w:p>
        </w:tc>
        <w:tc>
          <w:tcPr>
            <w:tcW w:w="2070" w:type="dxa"/>
            <w:tcBorders>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2CE74ECD" w14:textId="1D035DED" w:rsidR="007F5E67" w:rsidRPr="00206AE1" w:rsidRDefault="007F5E67" w:rsidP="00206AE1">
            <w:pPr>
              <w:pStyle w:val="Normal1"/>
              <w:spacing w:line="276" w:lineRule="auto"/>
              <w:contextualSpacing w:val="0"/>
              <w:jc w:val="center"/>
              <w:rPr>
                <w:rFonts w:asciiTheme="majorHAnsi" w:hAnsiTheme="majorHAnsi"/>
                <w:sz w:val="20"/>
                <w:szCs w:val="20"/>
              </w:rPr>
            </w:pPr>
            <w:r w:rsidRPr="00206AE1">
              <w:rPr>
                <w:rFonts w:asciiTheme="majorHAnsi" w:hAnsiTheme="majorHAnsi"/>
                <w:sz w:val="20"/>
                <w:szCs w:val="20"/>
              </w:rPr>
              <w:t>3.10</w:t>
            </w:r>
          </w:p>
        </w:tc>
        <w:tc>
          <w:tcPr>
            <w:tcW w:w="1785" w:type="dxa"/>
            <w:tcBorders>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40C6D8F4" w14:textId="77777777" w:rsidR="007F5E67" w:rsidRPr="00206AE1" w:rsidRDefault="007F5E67" w:rsidP="00206AE1">
            <w:pPr>
              <w:pStyle w:val="Normal1"/>
              <w:spacing w:line="276" w:lineRule="auto"/>
              <w:contextualSpacing w:val="0"/>
              <w:jc w:val="center"/>
              <w:rPr>
                <w:rFonts w:asciiTheme="majorHAnsi" w:hAnsiTheme="majorHAnsi"/>
                <w:sz w:val="20"/>
                <w:szCs w:val="20"/>
              </w:rPr>
            </w:pPr>
            <w:r w:rsidRPr="00206AE1">
              <w:rPr>
                <w:rFonts w:asciiTheme="majorHAnsi" w:hAnsiTheme="majorHAnsi"/>
                <w:sz w:val="20"/>
                <w:szCs w:val="20"/>
              </w:rPr>
              <w:t>43</w:t>
            </w:r>
          </w:p>
        </w:tc>
        <w:tc>
          <w:tcPr>
            <w:tcW w:w="1965" w:type="dxa"/>
            <w:tcBorders>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277DD13F" w14:textId="77777777" w:rsidR="007F5E67" w:rsidRPr="00206AE1" w:rsidRDefault="007F5E67" w:rsidP="00206AE1">
            <w:pPr>
              <w:pStyle w:val="Normal1"/>
              <w:spacing w:line="276" w:lineRule="auto"/>
              <w:contextualSpacing w:val="0"/>
              <w:jc w:val="center"/>
              <w:rPr>
                <w:rFonts w:asciiTheme="majorHAnsi" w:hAnsiTheme="majorHAnsi"/>
                <w:sz w:val="20"/>
                <w:szCs w:val="20"/>
              </w:rPr>
            </w:pPr>
            <w:r w:rsidRPr="00206AE1">
              <w:rPr>
                <w:rFonts w:asciiTheme="majorHAnsi" w:hAnsiTheme="majorHAnsi"/>
                <w:sz w:val="20"/>
                <w:szCs w:val="20"/>
              </w:rPr>
              <w:t>0.44</w:t>
            </w:r>
          </w:p>
        </w:tc>
      </w:tr>
      <w:tr w:rsidR="007F5E67" w:rsidRPr="00206AE1" w14:paraId="6867529A" w14:textId="77777777" w:rsidTr="00206AE1">
        <w:trPr>
          <w:jc w:val="center"/>
        </w:trPr>
        <w:tc>
          <w:tcPr>
            <w:tcW w:w="1500" w:type="dxa"/>
            <w:tcBorders>
              <w:left w:val="single" w:sz="6" w:space="0" w:color="000000"/>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15620B99" w14:textId="5BBE66D2" w:rsidR="007F5E67" w:rsidRPr="00206AE1" w:rsidRDefault="007F5E67">
            <w:pPr>
              <w:pStyle w:val="Normal1"/>
              <w:spacing w:line="276" w:lineRule="auto"/>
              <w:contextualSpacing w:val="0"/>
              <w:jc w:val="center"/>
              <w:rPr>
                <w:rFonts w:asciiTheme="majorHAnsi" w:hAnsiTheme="majorHAnsi"/>
                <w:sz w:val="20"/>
                <w:szCs w:val="20"/>
              </w:rPr>
            </w:pPr>
            <w:r w:rsidRPr="00206AE1">
              <w:rPr>
                <w:rFonts w:asciiTheme="majorHAnsi" w:hAnsiTheme="majorHAnsi"/>
                <w:sz w:val="20"/>
                <w:szCs w:val="20"/>
              </w:rPr>
              <w:t>CZ05</w:t>
            </w:r>
          </w:p>
        </w:tc>
        <w:tc>
          <w:tcPr>
            <w:tcW w:w="2070" w:type="dxa"/>
            <w:tcBorders>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6D63B15D" w14:textId="49BC1D79" w:rsidR="007F5E67" w:rsidRPr="00206AE1" w:rsidRDefault="007F5E67" w:rsidP="00206AE1">
            <w:pPr>
              <w:pStyle w:val="Normal1"/>
              <w:spacing w:line="276" w:lineRule="auto"/>
              <w:contextualSpacing w:val="0"/>
              <w:jc w:val="center"/>
              <w:rPr>
                <w:rFonts w:asciiTheme="majorHAnsi" w:hAnsiTheme="majorHAnsi"/>
                <w:sz w:val="20"/>
                <w:szCs w:val="20"/>
              </w:rPr>
            </w:pPr>
            <w:r w:rsidRPr="00206AE1">
              <w:rPr>
                <w:rFonts w:asciiTheme="majorHAnsi" w:hAnsiTheme="majorHAnsi"/>
                <w:sz w:val="20"/>
                <w:szCs w:val="20"/>
              </w:rPr>
              <w:t>3.52</w:t>
            </w:r>
          </w:p>
        </w:tc>
        <w:tc>
          <w:tcPr>
            <w:tcW w:w="1785" w:type="dxa"/>
            <w:tcBorders>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24983340" w14:textId="77777777" w:rsidR="007F5E67" w:rsidRPr="00206AE1" w:rsidRDefault="007F5E67" w:rsidP="00206AE1">
            <w:pPr>
              <w:pStyle w:val="Normal1"/>
              <w:spacing w:line="276" w:lineRule="auto"/>
              <w:contextualSpacing w:val="0"/>
              <w:jc w:val="center"/>
              <w:rPr>
                <w:rFonts w:asciiTheme="majorHAnsi" w:hAnsiTheme="majorHAnsi"/>
                <w:sz w:val="20"/>
                <w:szCs w:val="20"/>
              </w:rPr>
            </w:pPr>
            <w:r w:rsidRPr="00206AE1">
              <w:rPr>
                <w:rFonts w:asciiTheme="majorHAnsi" w:hAnsiTheme="majorHAnsi"/>
                <w:sz w:val="20"/>
                <w:szCs w:val="20"/>
              </w:rPr>
              <w:t>49</w:t>
            </w:r>
          </w:p>
        </w:tc>
        <w:tc>
          <w:tcPr>
            <w:tcW w:w="1965" w:type="dxa"/>
            <w:tcBorders>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7DF2D877" w14:textId="77777777" w:rsidR="007F5E67" w:rsidRPr="00206AE1" w:rsidRDefault="007F5E67" w:rsidP="00206AE1">
            <w:pPr>
              <w:pStyle w:val="Normal1"/>
              <w:spacing w:line="276" w:lineRule="auto"/>
              <w:contextualSpacing w:val="0"/>
              <w:jc w:val="center"/>
              <w:rPr>
                <w:rFonts w:asciiTheme="majorHAnsi" w:hAnsiTheme="majorHAnsi"/>
                <w:sz w:val="20"/>
                <w:szCs w:val="20"/>
              </w:rPr>
            </w:pPr>
            <w:r w:rsidRPr="00206AE1">
              <w:rPr>
                <w:rFonts w:asciiTheme="majorHAnsi" w:hAnsiTheme="majorHAnsi"/>
                <w:sz w:val="20"/>
                <w:szCs w:val="20"/>
              </w:rPr>
              <w:t>0.41</w:t>
            </w:r>
          </w:p>
        </w:tc>
      </w:tr>
      <w:tr w:rsidR="007F5E67" w:rsidRPr="00206AE1" w14:paraId="35DE3150" w14:textId="77777777" w:rsidTr="00206AE1">
        <w:trPr>
          <w:jc w:val="center"/>
        </w:trPr>
        <w:tc>
          <w:tcPr>
            <w:tcW w:w="1500" w:type="dxa"/>
            <w:tcBorders>
              <w:left w:val="single" w:sz="6" w:space="0" w:color="000000"/>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5ED8C412" w14:textId="327B67FF" w:rsidR="007F5E67" w:rsidRPr="00206AE1" w:rsidRDefault="007F5E67">
            <w:pPr>
              <w:pStyle w:val="Normal1"/>
              <w:spacing w:line="276" w:lineRule="auto"/>
              <w:contextualSpacing w:val="0"/>
              <w:jc w:val="center"/>
              <w:rPr>
                <w:rFonts w:asciiTheme="majorHAnsi" w:hAnsiTheme="majorHAnsi"/>
                <w:sz w:val="20"/>
                <w:szCs w:val="20"/>
              </w:rPr>
            </w:pPr>
            <w:r w:rsidRPr="00206AE1">
              <w:rPr>
                <w:rFonts w:asciiTheme="majorHAnsi" w:hAnsiTheme="majorHAnsi"/>
                <w:sz w:val="20"/>
                <w:szCs w:val="20"/>
              </w:rPr>
              <w:t>CZ06</w:t>
            </w:r>
          </w:p>
        </w:tc>
        <w:tc>
          <w:tcPr>
            <w:tcW w:w="2070" w:type="dxa"/>
            <w:tcBorders>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3CE6D67C" w14:textId="75B96F93" w:rsidR="007F5E67" w:rsidRPr="00206AE1" w:rsidRDefault="007F5E67" w:rsidP="00206AE1">
            <w:pPr>
              <w:pStyle w:val="Normal1"/>
              <w:spacing w:line="276" w:lineRule="auto"/>
              <w:contextualSpacing w:val="0"/>
              <w:jc w:val="center"/>
              <w:rPr>
                <w:rFonts w:asciiTheme="majorHAnsi" w:hAnsiTheme="majorHAnsi"/>
                <w:sz w:val="20"/>
                <w:szCs w:val="20"/>
              </w:rPr>
            </w:pPr>
            <w:r w:rsidRPr="00206AE1">
              <w:rPr>
                <w:rFonts w:asciiTheme="majorHAnsi" w:hAnsiTheme="majorHAnsi"/>
                <w:sz w:val="20"/>
                <w:szCs w:val="20"/>
              </w:rPr>
              <w:t>3.37</w:t>
            </w:r>
          </w:p>
        </w:tc>
        <w:tc>
          <w:tcPr>
            <w:tcW w:w="1785" w:type="dxa"/>
            <w:tcBorders>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7EBF14C1" w14:textId="77777777" w:rsidR="007F5E67" w:rsidRPr="00206AE1" w:rsidRDefault="007F5E67" w:rsidP="00206AE1">
            <w:pPr>
              <w:pStyle w:val="Normal1"/>
              <w:spacing w:line="276" w:lineRule="auto"/>
              <w:contextualSpacing w:val="0"/>
              <w:jc w:val="center"/>
              <w:rPr>
                <w:rFonts w:asciiTheme="majorHAnsi" w:hAnsiTheme="majorHAnsi"/>
                <w:sz w:val="20"/>
                <w:szCs w:val="20"/>
              </w:rPr>
            </w:pPr>
            <w:r w:rsidRPr="00206AE1">
              <w:rPr>
                <w:rFonts w:asciiTheme="majorHAnsi" w:hAnsiTheme="majorHAnsi"/>
                <w:sz w:val="20"/>
                <w:szCs w:val="20"/>
              </w:rPr>
              <w:t>48</w:t>
            </w:r>
          </w:p>
        </w:tc>
        <w:tc>
          <w:tcPr>
            <w:tcW w:w="1965" w:type="dxa"/>
            <w:tcBorders>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038C3BC9" w14:textId="77777777" w:rsidR="007F5E67" w:rsidRPr="00206AE1" w:rsidRDefault="007F5E67" w:rsidP="00206AE1">
            <w:pPr>
              <w:pStyle w:val="Normal1"/>
              <w:spacing w:line="276" w:lineRule="auto"/>
              <w:contextualSpacing w:val="0"/>
              <w:jc w:val="center"/>
              <w:rPr>
                <w:rFonts w:asciiTheme="majorHAnsi" w:hAnsiTheme="majorHAnsi"/>
                <w:sz w:val="20"/>
                <w:szCs w:val="20"/>
              </w:rPr>
            </w:pPr>
            <w:r w:rsidRPr="00206AE1">
              <w:rPr>
                <w:rFonts w:asciiTheme="majorHAnsi" w:hAnsiTheme="majorHAnsi"/>
                <w:sz w:val="20"/>
                <w:szCs w:val="20"/>
              </w:rPr>
              <w:t>0.37</w:t>
            </w:r>
          </w:p>
        </w:tc>
      </w:tr>
      <w:tr w:rsidR="007F5E67" w:rsidRPr="00206AE1" w14:paraId="214167CA" w14:textId="77777777" w:rsidTr="00206AE1">
        <w:trPr>
          <w:jc w:val="center"/>
        </w:trPr>
        <w:tc>
          <w:tcPr>
            <w:tcW w:w="1500" w:type="dxa"/>
            <w:tcBorders>
              <w:left w:val="single" w:sz="6" w:space="0" w:color="000000"/>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281692BF" w14:textId="43517615" w:rsidR="007F5E67" w:rsidRPr="00206AE1" w:rsidRDefault="007F5E67">
            <w:pPr>
              <w:pStyle w:val="Normal1"/>
              <w:spacing w:line="276" w:lineRule="auto"/>
              <w:contextualSpacing w:val="0"/>
              <w:jc w:val="center"/>
              <w:rPr>
                <w:rFonts w:asciiTheme="majorHAnsi" w:hAnsiTheme="majorHAnsi"/>
                <w:sz w:val="20"/>
                <w:szCs w:val="20"/>
              </w:rPr>
            </w:pPr>
            <w:r w:rsidRPr="00206AE1">
              <w:rPr>
                <w:rFonts w:asciiTheme="majorHAnsi" w:hAnsiTheme="majorHAnsi"/>
                <w:sz w:val="20"/>
                <w:szCs w:val="20"/>
              </w:rPr>
              <w:t>CZ07</w:t>
            </w:r>
          </w:p>
        </w:tc>
        <w:tc>
          <w:tcPr>
            <w:tcW w:w="2070" w:type="dxa"/>
            <w:tcBorders>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05086436" w14:textId="4F088E5A" w:rsidR="007F5E67" w:rsidRPr="00206AE1" w:rsidRDefault="007F5E67" w:rsidP="00206AE1">
            <w:pPr>
              <w:pStyle w:val="Normal1"/>
              <w:spacing w:line="276" w:lineRule="auto"/>
              <w:contextualSpacing w:val="0"/>
              <w:jc w:val="center"/>
              <w:rPr>
                <w:rFonts w:asciiTheme="majorHAnsi" w:hAnsiTheme="majorHAnsi"/>
                <w:sz w:val="20"/>
                <w:szCs w:val="20"/>
              </w:rPr>
            </w:pPr>
            <w:r w:rsidRPr="00206AE1">
              <w:rPr>
                <w:rFonts w:asciiTheme="majorHAnsi" w:hAnsiTheme="majorHAnsi"/>
                <w:sz w:val="20"/>
                <w:szCs w:val="20"/>
              </w:rPr>
              <w:t>2.79</w:t>
            </w:r>
          </w:p>
        </w:tc>
        <w:tc>
          <w:tcPr>
            <w:tcW w:w="1785" w:type="dxa"/>
            <w:tcBorders>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2DF90F49" w14:textId="77777777" w:rsidR="007F5E67" w:rsidRPr="00206AE1" w:rsidRDefault="007F5E67" w:rsidP="00206AE1">
            <w:pPr>
              <w:pStyle w:val="Normal1"/>
              <w:spacing w:line="276" w:lineRule="auto"/>
              <w:contextualSpacing w:val="0"/>
              <w:jc w:val="center"/>
              <w:rPr>
                <w:rFonts w:asciiTheme="majorHAnsi" w:hAnsiTheme="majorHAnsi"/>
                <w:sz w:val="20"/>
                <w:szCs w:val="20"/>
              </w:rPr>
            </w:pPr>
            <w:r w:rsidRPr="00206AE1">
              <w:rPr>
                <w:rFonts w:asciiTheme="majorHAnsi" w:hAnsiTheme="majorHAnsi"/>
                <w:sz w:val="20"/>
                <w:szCs w:val="20"/>
              </w:rPr>
              <w:t>41</w:t>
            </w:r>
          </w:p>
        </w:tc>
        <w:tc>
          <w:tcPr>
            <w:tcW w:w="1965" w:type="dxa"/>
            <w:tcBorders>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46CC28AE" w14:textId="77777777" w:rsidR="007F5E67" w:rsidRPr="00206AE1" w:rsidRDefault="007F5E67" w:rsidP="00206AE1">
            <w:pPr>
              <w:pStyle w:val="Normal1"/>
              <w:spacing w:line="276" w:lineRule="auto"/>
              <w:contextualSpacing w:val="0"/>
              <w:jc w:val="center"/>
              <w:rPr>
                <w:rFonts w:asciiTheme="majorHAnsi" w:hAnsiTheme="majorHAnsi"/>
                <w:sz w:val="20"/>
                <w:szCs w:val="20"/>
              </w:rPr>
            </w:pPr>
            <w:r w:rsidRPr="00206AE1">
              <w:rPr>
                <w:rFonts w:asciiTheme="majorHAnsi" w:hAnsiTheme="majorHAnsi"/>
                <w:sz w:val="20"/>
                <w:szCs w:val="20"/>
              </w:rPr>
              <w:t>0.41</w:t>
            </w:r>
          </w:p>
        </w:tc>
      </w:tr>
      <w:tr w:rsidR="007F5E67" w:rsidRPr="00206AE1" w14:paraId="060C9BC1" w14:textId="77777777" w:rsidTr="00206AE1">
        <w:trPr>
          <w:jc w:val="center"/>
        </w:trPr>
        <w:tc>
          <w:tcPr>
            <w:tcW w:w="1500" w:type="dxa"/>
            <w:tcBorders>
              <w:left w:val="single" w:sz="6" w:space="0" w:color="000000"/>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65377C49" w14:textId="272BD24E" w:rsidR="007F5E67" w:rsidRPr="00206AE1" w:rsidRDefault="007F5E67">
            <w:pPr>
              <w:pStyle w:val="Normal1"/>
              <w:spacing w:line="276" w:lineRule="auto"/>
              <w:contextualSpacing w:val="0"/>
              <w:jc w:val="center"/>
              <w:rPr>
                <w:rFonts w:asciiTheme="majorHAnsi" w:hAnsiTheme="majorHAnsi"/>
                <w:sz w:val="20"/>
                <w:szCs w:val="20"/>
              </w:rPr>
            </w:pPr>
            <w:r w:rsidRPr="00206AE1">
              <w:rPr>
                <w:rFonts w:asciiTheme="majorHAnsi" w:hAnsiTheme="majorHAnsi"/>
                <w:sz w:val="20"/>
                <w:szCs w:val="20"/>
              </w:rPr>
              <w:t>CZ08</w:t>
            </w:r>
          </w:p>
        </w:tc>
        <w:tc>
          <w:tcPr>
            <w:tcW w:w="2070" w:type="dxa"/>
            <w:tcBorders>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1CA7D670" w14:textId="2B5208F9" w:rsidR="007F5E67" w:rsidRPr="00206AE1" w:rsidRDefault="007F5E67" w:rsidP="00206AE1">
            <w:pPr>
              <w:pStyle w:val="Normal1"/>
              <w:spacing w:line="276" w:lineRule="auto"/>
              <w:contextualSpacing w:val="0"/>
              <w:jc w:val="center"/>
              <w:rPr>
                <w:rFonts w:asciiTheme="majorHAnsi" w:hAnsiTheme="majorHAnsi"/>
                <w:sz w:val="20"/>
                <w:szCs w:val="20"/>
              </w:rPr>
            </w:pPr>
            <w:r w:rsidRPr="00206AE1">
              <w:rPr>
                <w:rFonts w:asciiTheme="majorHAnsi" w:hAnsiTheme="majorHAnsi"/>
                <w:sz w:val="20"/>
                <w:szCs w:val="20"/>
              </w:rPr>
              <w:t>3.49</w:t>
            </w:r>
          </w:p>
        </w:tc>
        <w:tc>
          <w:tcPr>
            <w:tcW w:w="1785" w:type="dxa"/>
            <w:tcBorders>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6DDA38F6" w14:textId="77777777" w:rsidR="007F5E67" w:rsidRPr="00206AE1" w:rsidRDefault="007F5E67" w:rsidP="00206AE1">
            <w:pPr>
              <w:pStyle w:val="Normal1"/>
              <w:spacing w:line="276" w:lineRule="auto"/>
              <w:contextualSpacing w:val="0"/>
              <w:jc w:val="center"/>
              <w:rPr>
                <w:rFonts w:asciiTheme="majorHAnsi" w:hAnsiTheme="majorHAnsi"/>
                <w:sz w:val="20"/>
                <w:szCs w:val="20"/>
              </w:rPr>
            </w:pPr>
            <w:r w:rsidRPr="00206AE1">
              <w:rPr>
                <w:rFonts w:asciiTheme="majorHAnsi" w:hAnsiTheme="majorHAnsi"/>
                <w:sz w:val="20"/>
                <w:szCs w:val="20"/>
              </w:rPr>
              <w:t>48</w:t>
            </w:r>
          </w:p>
        </w:tc>
        <w:tc>
          <w:tcPr>
            <w:tcW w:w="1965" w:type="dxa"/>
            <w:tcBorders>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67C830FF" w14:textId="77777777" w:rsidR="007F5E67" w:rsidRPr="00206AE1" w:rsidRDefault="007F5E67" w:rsidP="00206AE1">
            <w:pPr>
              <w:pStyle w:val="Normal1"/>
              <w:spacing w:line="276" w:lineRule="auto"/>
              <w:contextualSpacing w:val="0"/>
              <w:jc w:val="center"/>
              <w:rPr>
                <w:rFonts w:asciiTheme="majorHAnsi" w:hAnsiTheme="majorHAnsi"/>
                <w:sz w:val="20"/>
                <w:szCs w:val="20"/>
              </w:rPr>
            </w:pPr>
            <w:r w:rsidRPr="00206AE1">
              <w:rPr>
                <w:rFonts w:asciiTheme="majorHAnsi" w:hAnsiTheme="majorHAnsi"/>
                <w:sz w:val="20"/>
                <w:szCs w:val="20"/>
              </w:rPr>
              <w:t>0.48</w:t>
            </w:r>
          </w:p>
        </w:tc>
      </w:tr>
      <w:tr w:rsidR="007F5E67" w:rsidRPr="00206AE1" w14:paraId="639B9FE4" w14:textId="77777777" w:rsidTr="00206AE1">
        <w:trPr>
          <w:jc w:val="center"/>
        </w:trPr>
        <w:tc>
          <w:tcPr>
            <w:tcW w:w="1500" w:type="dxa"/>
            <w:tcBorders>
              <w:left w:val="single" w:sz="6" w:space="0" w:color="000000"/>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2CBFEAEB" w14:textId="572FC989" w:rsidR="007F5E67" w:rsidRPr="00206AE1" w:rsidRDefault="007F5E67">
            <w:pPr>
              <w:pStyle w:val="Normal1"/>
              <w:spacing w:line="276" w:lineRule="auto"/>
              <w:contextualSpacing w:val="0"/>
              <w:jc w:val="center"/>
              <w:rPr>
                <w:rFonts w:asciiTheme="majorHAnsi" w:hAnsiTheme="majorHAnsi"/>
                <w:sz w:val="20"/>
                <w:szCs w:val="20"/>
              </w:rPr>
            </w:pPr>
            <w:r w:rsidRPr="00206AE1">
              <w:rPr>
                <w:rFonts w:asciiTheme="majorHAnsi" w:hAnsiTheme="majorHAnsi"/>
                <w:sz w:val="20"/>
                <w:szCs w:val="20"/>
              </w:rPr>
              <w:t>CZ09</w:t>
            </w:r>
          </w:p>
        </w:tc>
        <w:tc>
          <w:tcPr>
            <w:tcW w:w="2070" w:type="dxa"/>
            <w:tcBorders>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59A40EDD" w14:textId="755193A8" w:rsidR="007F5E67" w:rsidRPr="00206AE1" w:rsidRDefault="007F5E67" w:rsidP="00206AE1">
            <w:pPr>
              <w:pStyle w:val="Normal1"/>
              <w:spacing w:line="276" w:lineRule="auto"/>
              <w:contextualSpacing w:val="0"/>
              <w:jc w:val="center"/>
              <w:rPr>
                <w:rFonts w:asciiTheme="majorHAnsi" w:hAnsiTheme="majorHAnsi"/>
                <w:sz w:val="20"/>
                <w:szCs w:val="20"/>
              </w:rPr>
            </w:pPr>
            <w:r w:rsidRPr="00206AE1">
              <w:rPr>
                <w:rFonts w:asciiTheme="majorHAnsi" w:hAnsiTheme="majorHAnsi"/>
                <w:sz w:val="20"/>
                <w:szCs w:val="20"/>
              </w:rPr>
              <w:t>3.68</w:t>
            </w:r>
          </w:p>
        </w:tc>
        <w:tc>
          <w:tcPr>
            <w:tcW w:w="1785" w:type="dxa"/>
            <w:tcBorders>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05DB17CB" w14:textId="77777777" w:rsidR="007F5E67" w:rsidRPr="00206AE1" w:rsidRDefault="007F5E67" w:rsidP="00206AE1">
            <w:pPr>
              <w:pStyle w:val="Normal1"/>
              <w:spacing w:line="276" w:lineRule="auto"/>
              <w:contextualSpacing w:val="0"/>
              <w:jc w:val="center"/>
              <w:rPr>
                <w:rFonts w:asciiTheme="majorHAnsi" w:hAnsiTheme="majorHAnsi"/>
                <w:sz w:val="20"/>
                <w:szCs w:val="20"/>
              </w:rPr>
            </w:pPr>
            <w:r w:rsidRPr="00206AE1">
              <w:rPr>
                <w:rFonts w:asciiTheme="majorHAnsi" w:hAnsiTheme="majorHAnsi"/>
                <w:sz w:val="20"/>
                <w:szCs w:val="20"/>
              </w:rPr>
              <w:t>50</w:t>
            </w:r>
          </w:p>
        </w:tc>
        <w:tc>
          <w:tcPr>
            <w:tcW w:w="1965" w:type="dxa"/>
            <w:tcBorders>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412C829D" w14:textId="77777777" w:rsidR="007F5E67" w:rsidRPr="00206AE1" w:rsidRDefault="007F5E67" w:rsidP="00206AE1">
            <w:pPr>
              <w:pStyle w:val="Normal1"/>
              <w:spacing w:line="276" w:lineRule="auto"/>
              <w:contextualSpacing w:val="0"/>
              <w:jc w:val="center"/>
              <w:rPr>
                <w:rFonts w:asciiTheme="majorHAnsi" w:hAnsiTheme="majorHAnsi"/>
                <w:sz w:val="20"/>
                <w:szCs w:val="20"/>
              </w:rPr>
            </w:pPr>
            <w:r w:rsidRPr="00206AE1">
              <w:rPr>
                <w:rFonts w:asciiTheme="majorHAnsi" w:hAnsiTheme="majorHAnsi"/>
                <w:sz w:val="20"/>
                <w:szCs w:val="20"/>
              </w:rPr>
              <w:t>0.66</w:t>
            </w:r>
          </w:p>
        </w:tc>
      </w:tr>
      <w:tr w:rsidR="007F5E67" w:rsidRPr="00206AE1" w14:paraId="712A591C" w14:textId="77777777" w:rsidTr="00206AE1">
        <w:trPr>
          <w:jc w:val="center"/>
        </w:trPr>
        <w:tc>
          <w:tcPr>
            <w:tcW w:w="1500" w:type="dxa"/>
            <w:tcBorders>
              <w:left w:val="single" w:sz="6" w:space="0" w:color="000000"/>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6451EC61" w14:textId="4E16FD58" w:rsidR="007F5E67" w:rsidRPr="00206AE1" w:rsidRDefault="007F5E67">
            <w:pPr>
              <w:pStyle w:val="Normal1"/>
              <w:spacing w:line="276" w:lineRule="auto"/>
              <w:contextualSpacing w:val="0"/>
              <w:jc w:val="center"/>
              <w:rPr>
                <w:rFonts w:asciiTheme="majorHAnsi" w:hAnsiTheme="majorHAnsi"/>
                <w:sz w:val="20"/>
                <w:szCs w:val="20"/>
              </w:rPr>
            </w:pPr>
            <w:r w:rsidRPr="00206AE1">
              <w:rPr>
                <w:rFonts w:asciiTheme="majorHAnsi" w:hAnsiTheme="majorHAnsi"/>
                <w:sz w:val="20"/>
                <w:szCs w:val="20"/>
              </w:rPr>
              <w:t>CZ10</w:t>
            </w:r>
          </w:p>
        </w:tc>
        <w:tc>
          <w:tcPr>
            <w:tcW w:w="2070" w:type="dxa"/>
            <w:tcBorders>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35E63D6D" w14:textId="234D14F7" w:rsidR="007F5E67" w:rsidRPr="00206AE1" w:rsidRDefault="007F5E67" w:rsidP="00206AE1">
            <w:pPr>
              <w:pStyle w:val="Normal1"/>
              <w:spacing w:line="276" w:lineRule="auto"/>
              <w:contextualSpacing w:val="0"/>
              <w:jc w:val="center"/>
              <w:rPr>
                <w:rFonts w:asciiTheme="majorHAnsi" w:hAnsiTheme="majorHAnsi"/>
                <w:sz w:val="20"/>
                <w:szCs w:val="20"/>
              </w:rPr>
            </w:pPr>
            <w:r w:rsidRPr="00206AE1">
              <w:rPr>
                <w:rFonts w:asciiTheme="majorHAnsi" w:hAnsiTheme="majorHAnsi"/>
                <w:sz w:val="20"/>
                <w:szCs w:val="20"/>
              </w:rPr>
              <w:t>3.74</w:t>
            </w:r>
          </w:p>
        </w:tc>
        <w:tc>
          <w:tcPr>
            <w:tcW w:w="1785" w:type="dxa"/>
            <w:tcBorders>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5CCF3F8F" w14:textId="77777777" w:rsidR="007F5E67" w:rsidRPr="00206AE1" w:rsidRDefault="007F5E67" w:rsidP="00206AE1">
            <w:pPr>
              <w:pStyle w:val="Normal1"/>
              <w:spacing w:line="276" w:lineRule="auto"/>
              <w:contextualSpacing w:val="0"/>
              <w:jc w:val="center"/>
              <w:rPr>
                <w:rFonts w:asciiTheme="majorHAnsi" w:hAnsiTheme="majorHAnsi"/>
                <w:sz w:val="20"/>
                <w:szCs w:val="20"/>
              </w:rPr>
            </w:pPr>
            <w:r w:rsidRPr="00206AE1">
              <w:rPr>
                <w:rFonts w:asciiTheme="majorHAnsi" w:hAnsiTheme="majorHAnsi"/>
                <w:sz w:val="20"/>
                <w:szCs w:val="20"/>
              </w:rPr>
              <w:t>54</w:t>
            </w:r>
          </w:p>
        </w:tc>
        <w:tc>
          <w:tcPr>
            <w:tcW w:w="1965" w:type="dxa"/>
            <w:tcBorders>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15C63D4C" w14:textId="77777777" w:rsidR="007F5E67" w:rsidRPr="00206AE1" w:rsidRDefault="007F5E67" w:rsidP="00206AE1">
            <w:pPr>
              <w:pStyle w:val="Normal1"/>
              <w:spacing w:line="276" w:lineRule="auto"/>
              <w:contextualSpacing w:val="0"/>
              <w:jc w:val="center"/>
              <w:rPr>
                <w:rFonts w:asciiTheme="majorHAnsi" w:hAnsiTheme="majorHAnsi"/>
                <w:sz w:val="20"/>
                <w:szCs w:val="20"/>
              </w:rPr>
            </w:pPr>
            <w:r w:rsidRPr="00206AE1">
              <w:rPr>
                <w:rFonts w:asciiTheme="majorHAnsi" w:hAnsiTheme="majorHAnsi"/>
                <w:sz w:val="20"/>
                <w:szCs w:val="20"/>
              </w:rPr>
              <w:t>0.64</w:t>
            </w:r>
          </w:p>
        </w:tc>
      </w:tr>
      <w:tr w:rsidR="007F5E67" w:rsidRPr="00206AE1" w14:paraId="44A36835" w14:textId="77777777" w:rsidTr="00206AE1">
        <w:trPr>
          <w:jc w:val="center"/>
        </w:trPr>
        <w:tc>
          <w:tcPr>
            <w:tcW w:w="1500" w:type="dxa"/>
            <w:tcBorders>
              <w:left w:val="single" w:sz="6" w:space="0" w:color="000000"/>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00A97279" w14:textId="630204F0" w:rsidR="007F5E67" w:rsidRPr="00206AE1" w:rsidRDefault="007F5E67">
            <w:pPr>
              <w:pStyle w:val="Normal1"/>
              <w:spacing w:line="276" w:lineRule="auto"/>
              <w:contextualSpacing w:val="0"/>
              <w:jc w:val="center"/>
              <w:rPr>
                <w:rFonts w:asciiTheme="majorHAnsi" w:hAnsiTheme="majorHAnsi"/>
                <w:sz w:val="20"/>
                <w:szCs w:val="20"/>
              </w:rPr>
            </w:pPr>
            <w:r w:rsidRPr="00206AE1">
              <w:rPr>
                <w:rFonts w:asciiTheme="majorHAnsi" w:hAnsiTheme="majorHAnsi"/>
                <w:sz w:val="20"/>
                <w:szCs w:val="20"/>
              </w:rPr>
              <w:t>CZ11</w:t>
            </w:r>
          </w:p>
        </w:tc>
        <w:tc>
          <w:tcPr>
            <w:tcW w:w="2070" w:type="dxa"/>
            <w:tcBorders>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7F9943A0" w14:textId="6D3FDC41" w:rsidR="007F5E67" w:rsidRPr="00206AE1" w:rsidRDefault="007F5E67" w:rsidP="00206AE1">
            <w:pPr>
              <w:pStyle w:val="Normal1"/>
              <w:spacing w:line="276" w:lineRule="auto"/>
              <w:contextualSpacing w:val="0"/>
              <w:jc w:val="center"/>
              <w:rPr>
                <w:rFonts w:asciiTheme="majorHAnsi" w:hAnsiTheme="majorHAnsi"/>
                <w:sz w:val="20"/>
                <w:szCs w:val="20"/>
              </w:rPr>
            </w:pPr>
            <w:r w:rsidRPr="00206AE1">
              <w:rPr>
                <w:rFonts w:asciiTheme="majorHAnsi" w:hAnsiTheme="majorHAnsi"/>
                <w:sz w:val="20"/>
                <w:szCs w:val="20"/>
              </w:rPr>
              <w:t>3.53</w:t>
            </w:r>
          </w:p>
        </w:tc>
        <w:tc>
          <w:tcPr>
            <w:tcW w:w="1785" w:type="dxa"/>
            <w:tcBorders>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35C44FC2" w14:textId="77777777" w:rsidR="007F5E67" w:rsidRPr="00206AE1" w:rsidRDefault="007F5E67" w:rsidP="00206AE1">
            <w:pPr>
              <w:pStyle w:val="Normal1"/>
              <w:spacing w:line="276" w:lineRule="auto"/>
              <w:contextualSpacing w:val="0"/>
              <w:jc w:val="center"/>
              <w:rPr>
                <w:rFonts w:asciiTheme="majorHAnsi" w:hAnsiTheme="majorHAnsi"/>
                <w:sz w:val="20"/>
                <w:szCs w:val="20"/>
              </w:rPr>
            </w:pPr>
            <w:r w:rsidRPr="00206AE1">
              <w:rPr>
                <w:rFonts w:asciiTheme="majorHAnsi" w:hAnsiTheme="majorHAnsi"/>
                <w:sz w:val="20"/>
                <w:szCs w:val="20"/>
              </w:rPr>
              <w:t>51</w:t>
            </w:r>
          </w:p>
        </w:tc>
        <w:tc>
          <w:tcPr>
            <w:tcW w:w="1965" w:type="dxa"/>
            <w:tcBorders>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47348371" w14:textId="77777777" w:rsidR="007F5E67" w:rsidRPr="00206AE1" w:rsidRDefault="007F5E67" w:rsidP="00206AE1">
            <w:pPr>
              <w:pStyle w:val="Normal1"/>
              <w:spacing w:line="276" w:lineRule="auto"/>
              <w:contextualSpacing w:val="0"/>
              <w:jc w:val="center"/>
              <w:rPr>
                <w:rFonts w:asciiTheme="majorHAnsi" w:hAnsiTheme="majorHAnsi"/>
                <w:sz w:val="20"/>
                <w:szCs w:val="20"/>
              </w:rPr>
            </w:pPr>
            <w:r w:rsidRPr="00206AE1">
              <w:rPr>
                <w:rFonts w:asciiTheme="majorHAnsi" w:hAnsiTheme="majorHAnsi"/>
                <w:sz w:val="20"/>
                <w:szCs w:val="20"/>
              </w:rPr>
              <w:t>0.72</w:t>
            </w:r>
          </w:p>
        </w:tc>
      </w:tr>
      <w:tr w:rsidR="007F5E67" w:rsidRPr="00206AE1" w14:paraId="58562DD9" w14:textId="77777777" w:rsidTr="00206AE1">
        <w:trPr>
          <w:jc w:val="center"/>
        </w:trPr>
        <w:tc>
          <w:tcPr>
            <w:tcW w:w="1500" w:type="dxa"/>
            <w:tcBorders>
              <w:left w:val="single" w:sz="6" w:space="0" w:color="000000"/>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4BE19125" w14:textId="5F846193" w:rsidR="007F5E67" w:rsidRPr="00206AE1" w:rsidRDefault="007F5E67">
            <w:pPr>
              <w:pStyle w:val="Normal1"/>
              <w:spacing w:line="276" w:lineRule="auto"/>
              <w:contextualSpacing w:val="0"/>
              <w:jc w:val="center"/>
              <w:rPr>
                <w:rFonts w:asciiTheme="majorHAnsi" w:hAnsiTheme="majorHAnsi"/>
                <w:sz w:val="20"/>
                <w:szCs w:val="20"/>
              </w:rPr>
            </w:pPr>
            <w:r w:rsidRPr="00206AE1">
              <w:rPr>
                <w:rFonts w:asciiTheme="majorHAnsi" w:hAnsiTheme="majorHAnsi"/>
                <w:sz w:val="20"/>
                <w:szCs w:val="20"/>
              </w:rPr>
              <w:t>CZ12</w:t>
            </w:r>
          </w:p>
        </w:tc>
        <w:tc>
          <w:tcPr>
            <w:tcW w:w="2070" w:type="dxa"/>
            <w:tcBorders>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278A14C1" w14:textId="5FA58FC8" w:rsidR="007F5E67" w:rsidRPr="00206AE1" w:rsidRDefault="007F5E67" w:rsidP="00206AE1">
            <w:pPr>
              <w:pStyle w:val="Normal1"/>
              <w:spacing w:line="276" w:lineRule="auto"/>
              <w:contextualSpacing w:val="0"/>
              <w:jc w:val="center"/>
              <w:rPr>
                <w:rFonts w:asciiTheme="majorHAnsi" w:hAnsiTheme="majorHAnsi"/>
                <w:sz w:val="20"/>
                <w:szCs w:val="20"/>
              </w:rPr>
            </w:pPr>
            <w:r w:rsidRPr="00206AE1">
              <w:rPr>
                <w:rFonts w:asciiTheme="majorHAnsi" w:hAnsiTheme="majorHAnsi"/>
                <w:sz w:val="20"/>
                <w:szCs w:val="20"/>
              </w:rPr>
              <w:t>3.51</w:t>
            </w:r>
          </w:p>
        </w:tc>
        <w:tc>
          <w:tcPr>
            <w:tcW w:w="1785" w:type="dxa"/>
            <w:tcBorders>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774B018F" w14:textId="77777777" w:rsidR="007F5E67" w:rsidRPr="00206AE1" w:rsidRDefault="007F5E67" w:rsidP="00206AE1">
            <w:pPr>
              <w:pStyle w:val="Normal1"/>
              <w:spacing w:line="276" w:lineRule="auto"/>
              <w:contextualSpacing w:val="0"/>
              <w:jc w:val="center"/>
              <w:rPr>
                <w:rFonts w:asciiTheme="majorHAnsi" w:hAnsiTheme="majorHAnsi"/>
                <w:sz w:val="20"/>
                <w:szCs w:val="20"/>
              </w:rPr>
            </w:pPr>
            <w:r w:rsidRPr="00206AE1">
              <w:rPr>
                <w:rFonts w:asciiTheme="majorHAnsi" w:hAnsiTheme="majorHAnsi"/>
                <w:sz w:val="20"/>
                <w:szCs w:val="20"/>
              </w:rPr>
              <w:t>50</w:t>
            </w:r>
          </w:p>
        </w:tc>
        <w:tc>
          <w:tcPr>
            <w:tcW w:w="1965" w:type="dxa"/>
            <w:tcBorders>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1387B5CD" w14:textId="77777777" w:rsidR="007F5E67" w:rsidRPr="00206AE1" w:rsidRDefault="007F5E67" w:rsidP="00206AE1">
            <w:pPr>
              <w:pStyle w:val="Normal1"/>
              <w:spacing w:line="276" w:lineRule="auto"/>
              <w:contextualSpacing w:val="0"/>
              <w:jc w:val="center"/>
              <w:rPr>
                <w:rFonts w:asciiTheme="majorHAnsi" w:hAnsiTheme="majorHAnsi"/>
                <w:sz w:val="20"/>
                <w:szCs w:val="20"/>
              </w:rPr>
            </w:pPr>
            <w:r w:rsidRPr="00206AE1">
              <w:rPr>
                <w:rFonts w:asciiTheme="majorHAnsi" w:hAnsiTheme="majorHAnsi"/>
                <w:sz w:val="20"/>
                <w:szCs w:val="20"/>
              </w:rPr>
              <w:t>0.66</w:t>
            </w:r>
          </w:p>
        </w:tc>
      </w:tr>
      <w:tr w:rsidR="007F5E67" w:rsidRPr="00206AE1" w14:paraId="016192BE" w14:textId="77777777" w:rsidTr="00206AE1">
        <w:trPr>
          <w:jc w:val="center"/>
        </w:trPr>
        <w:tc>
          <w:tcPr>
            <w:tcW w:w="1500" w:type="dxa"/>
            <w:tcBorders>
              <w:left w:val="single" w:sz="6" w:space="0" w:color="000000"/>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7D29B665" w14:textId="74A01DF0" w:rsidR="007F5E67" w:rsidRPr="00206AE1" w:rsidRDefault="007F5E67">
            <w:pPr>
              <w:pStyle w:val="Normal1"/>
              <w:spacing w:line="276" w:lineRule="auto"/>
              <w:contextualSpacing w:val="0"/>
              <w:jc w:val="center"/>
              <w:rPr>
                <w:rFonts w:asciiTheme="majorHAnsi" w:hAnsiTheme="majorHAnsi"/>
                <w:sz w:val="20"/>
                <w:szCs w:val="20"/>
              </w:rPr>
            </w:pPr>
            <w:r w:rsidRPr="00206AE1">
              <w:rPr>
                <w:rFonts w:asciiTheme="majorHAnsi" w:hAnsiTheme="majorHAnsi"/>
                <w:sz w:val="20"/>
                <w:szCs w:val="20"/>
              </w:rPr>
              <w:t>CZ13</w:t>
            </w:r>
          </w:p>
        </w:tc>
        <w:tc>
          <w:tcPr>
            <w:tcW w:w="2070" w:type="dxa"/>
            <w:tcBorders>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4447355B" w14:textId="5C80E73E" w:rsidR="007F5E67" w:rsidRPr="00206AE1" w:rsidRDefault="007F5E67" w:rsidP="00206AE1">
            <w:pPr>
              <w:pStyle w:val="Normal1"/>
              <w:spacing w:line="276" w:lineRule="auto"/>
              <w:contextualSpacing w:val="0"/>
              <w:jc w:val="center"/>
              <w:rPr>
                <w:rFonts w:asciiTheme="majorHAnsi" w:hAnsiTheme="majorHAnsi"/>
                <w:sz w:val="20"/>
                <w:szCs w:val="20"/>
              </w:rPr>
            </w:pPr>
            <w:r w:rsidRPr="00206AE1">
              <w:rPr>
                <w:rFonts w:asciiTheme="majorHAnsi" w:hAnsiTheme="majorHAnsi"/>
                <w:sz w:val="20"/>
                <w:szCs w:val="20"/>
              </w:rPr>
              <w:t>3.38</w:t>
            </w:r>
          </w:p>
        </w:tc>
        <w:tc>
          <w:tcPr>
            <w:tcW w:w="1785" w:type="dxa"/>
            <w:tcBorders>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7AD6B6DA" w14:textId="77777777" w:rsidR="007F5E67" w:rsidRPr="00206AE1" w:rsidRDefault="007F5E67" w:rsidP="00206AE1">
            <w:pPr>
              <w:pStyle w:val="Normal1"/>
              <w:spacing w:line="276" w:lineRule="auto"/>
              <w:contextualSpacing w:val="0"/>
              <w:jc w:val="center"/>
              <w:rPr>
                <w:rFonts w:asciiTheme="majorHAnsi" w:hAnsiTheme="majorHAnsi"/>
                <w:sz w:val="20"/>
                <w:szCs w:val="20"/>
              </w:rPr>
            </w:pPr>
            <w:r w:rsidRPr="00206AE1">
              <w:rPr>
                <w:rFonts w:asciiTheme="majorHAnsi" w:hAnsiTheme="majorHAnsi"/>
                <w:sz w:val="20"/>
                <w:szCs w:val="20"/>
              </w:rPr>
              <w:t>49</w:t>
            </w:r>
          </w:p>
        </w:tc>
        <w:tc>
          <w:tcPr>
            <w:tcW w:w="1965" w:type="dxa"/>
            <w:tcBorders>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1A31BE63" w14:textId="77777777" w:rsidR="007F5E67" w:rsidRPr="00206AE1" w:rsidRDefault="007F5E67" w:rsidP="00206AE1">
            <w:pPr>
              <w:pStyle w:val="Normal1"/>
              <w:spacing w:line="276" w:lineRule="auto"/>
              <w:contextualSpacing w:val="0"/>
              <w:jc w:val="center"/>
              <w:rPr>
                <w:rFonts w:asciiTheme="majorHAnsi" w:hAnsiTheme="majorHAnsi"/>
                <w:sz w:val="20"/>
                <w:szCs w:val="20"/>
              </w:rPr>
            </w:pPr>
            <w:r w:rsidRPr="00206AE1">
              <w:rPr>
                <w:rFonts w:asciiTheme="majorHAnsi" w:hAnsiTheme="majorHAnsi"/>
                <w:sz w:val="20"/>
                <w:szCs w:val="20"/>
              </w:rPr>
              <w:t>0.73</w:t>
            </w:r>
          </w:p>
        </w:tc>
      </w:tr>
      <w:tr w:rsidR="007F5E67" w:rsidRPr="00206AE1" w14:paraId="0A9EBAB9" w14:textId="77777777" w:rsidTr="00206AE1">
        <w:trPr>
          <w:jc w:val="center"/>
        </w:trPr>
        <w:tc>
          <w:tcPr>
            <w:tcW w:w="1500" w:type="dxa"/>
            <w:tcBorders>
              <w:left w:val="single" w:sz="6" w:space="0" w:color="000000"/>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17472E09" w14:textId="3DA982B7" w:rsidR="007F5E67" w:rsidRPr="00206AE1" w:rsidRDefault="007F5E67">
            <w:pPr>
              <w:pStyle w:val="Normal1"/>
              <w:spacing w:line="276" w:lineRule="auto"/>
              <w:contextualSpacing w:val="0"/>
              <w:jc w:val="center"/>
              <w:rPr>
                <w:rFonts w:asciiTheme="majorHAnsi" w:hAnsiTheme="majorHAnsi"/>
                <w:sz w:val="20"/>
                <w:szCs w:val="20"/>
              </w:rPr>
            </w:pPr>
            <w:r w:rsidRPr="00206AE1">
              <w:rPr>
                <w:rFonts w:asciiTheme="majorHAnsi" w:hAnsiTheme="majorHAnsi"/>
                <w:sz w:val="20"/>
                <w:szCs w:val="20"/>
              </w:rPr>
              <w:t>CZ14</w:t>
            </w:r>
          </w:p>
        </w:tc>
        <w:tc>
          <w:tcPr>
            <w:tcW w:w="2070" w:type="dxa"/>
            <w:tcBorders>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20BDCCCA" w14:textId="62D356B6" w:rsidR="007F5E67" w:rsidRPr="00206AE1" w:rsidRDefault="007F5E67" w:rsidP="00206AE1">
            <w:pPr>
              <w:pStyle w:val="Normal1"/>
              <w:spacing w:line="276" w:lineRule="auto"/>
              <w:contextualSpacing w:val="0"/>
              <w:jc w:val="center"/>
              <w:rPr>
                <w:rFonts w:asciiTheme="majorHAnsi" w:hAnsiTheme="majorHAnsi"/>
                <w:sz w:val="20"/>
                <w:szCs w:val="20"/>
              </w:rPr>
            </w:pPr>
            <w:r w:rsidRPr="00206AE1">
              <w:rPr>
                <w:rFonts w:asciiTheme="majorHAnsi" w:hAnsiTheme="majorHAnsi"/>
                <w:sz w:val="20"/>
                <w:szCs w:val="20"/>
              </w:rPr>
              <w:t>4.43</w:t>
            </w:r>
          </w:p>
        </w:tc>
        <w:tc>
          <w:tcPr>
            <w:tcW w:w="1785" w:type="dxa"/>
            <w:tcBorders>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2C66253B" w14:textId="77777777" w:rsidR="007F5E67" w:rsidRPr="00206AE1" w:rsidRDefault="007F5E67" w:rsidP="00206AE1">
            <w:pPr>
              <w:pStyle w:val="Normal1"/>
              <w:spacing w:line="276" w:lineRule="auto"/>
              <w:contextualSpacing w:val="0"/>
              <w:jc w:val="center"/>
              <w:rPr>
                <w:rFonts w:asciiTheme="majorHAnsi" w:hAnsiTheme="majorHAnsi"/>
                <w:sz w:val="20"/>
                <w:szCs w:val="20"/>
              </w:rPr>
            </w:pPr>
            <w:r w:rsidRPr="00206AE1">
              <w:rPr>
                <w:rFonts w:asciiTheme="majorHAnsi" w:hAnsiTheme="majorHAnsi"/>
                <w:sz w:val="20"/>
                <w:szCs w:val="20"/>
              </w:rPr>
              <w:t>61</w:t>
            </w:r>
          </w:p>
        </w:tc>
        <w:tc>
          <w:tcPr>
            <w:tcW w:w="1965" w:type="dxa"/>
            <w:tcBorders>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65AF2156" w14:textId="77777777" w:rsidR="007F5E67" w:rsidRPr="00206AE1" w:rsidRDefault="007F5E67" w:rsidP="00206AE1">
            <w:pPr>
              <w:pStyle w:val="Normal1"/>
              <w:spacing w:line="276" w:lineRule="auto"/>
              <w:contextualSpacing w:val="0"/>
              <w:jc w:val="center"/>
              <w:rPr>
                <w:rFonts w:asciiTheme="majorHAnsi" w:hAnsiTheme="majorHAnsi"/>
                <w:sz w:val="20"/>
                <w:szCs w:val="20"/>
              </w:rPr>
            </w:pPr>
            <w:r w:rsidRPr="00206AE1">
              <w:rPr>
                <w:rFonts w:asciiTheme="majorHAnsi" w:hAnsiTheme="majorHAnsi"/>
                <w:sz w:val="20"/>
                <w:szCs w:val="20"/>
              </w:rPr>
              <w:t>0.75</w:t>
            </w:r>
          </w:p>
        </w:tc>
      </w:tr>
      <w:tr w:rsidR="007F5E67" w:rsidRPr="00206AE1" w14:paraId="76507377" w14:textId="77777777" w:rsidTr="00206AE1">
        <w:trPr>
          <w:jc w:val="center"/>
        </w:trPr>
        <w:tc>
          <w:tcPr>
            <w:tcW w:w="1500" w:type="dxa"/>
            <w:tcBorders>
              <w:left w:val="single" w:sz="6" w:space="0" w:color="000000"/>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066DF82B" w14:textId="2B086A24" w:rsidR="007F5E67" w:rsidRPr="00206AE1" w:rsidRDefault="007F5E67">
            <w:pPr>
              <w:pStyle w:val="Normal1"/>
              <w:spacing w:line="276" w:lineRule="auto"/>
              <w:contextualSpacing w:val="0"/>
              <w:jc w:val="center"/>
              <w:rPr>
                <w:rFonts w:asciiTheme="majorHAnsi" w:hAnsiTheme="majorHAnsi"/>
                <w:sz w:val="20"/>
                <w:szCs w:val="20"/>
              </w:rPr>
            </w:pPr>
            <w:r w:rsidRPr="00206AE1">
              <w:rPr>
                <w:rFonts w:asciiTheme="majorHAnsi" w:hAnsiTheme="majorHAnsi"/>
                <w:sz w:val="20"/>
                <w:szCs w:val="20"/>
              </w:rPr>
              <w:t>CZ15</w:t>
            </w:r>
          </w:p>
        </w:tc>
        <w:tc>
          <w:tcPr>
            <w:tcW w:w="2070" w:type="dxa"/>
            <w:tcBorders>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43D63C7F" w14:textId="37693F0E" w:rsidR="007F5E67" w:rsidRPr="00206AE1" w:rsidRDefault="007F5E67" w:rsidP="00206AE1">
            <w:pPr>
              <w:pStyle w:val="Normal1"/>
              <w:spacing w:line="276" w:lineRule="auto"/>
              <w:contextualSpacing w:val="0"/>
              <w:jc w:val="center"/>
              <w:rPr>
                <w:rFonts w:asciiTheme="majorHAnsi" w:hAnsiTheme="majorHAnsi"/>
                <w:sz w:val="20"/>
                <w:szCs w:val="20"/>
              </w:rPr>
            </w:pPr>
            <w:r w:rsidRPr="00206AE1">
              <w:rPr>
                <w:rFonts w:asciiTheme="majorHAnsi" w:hAnsiTheme="majorHAnsi"/>
                <w:sz w:val="20"/>
                <w:szCs w:val="20"/>
              </w:rPr>
              <w:t>4.21</w:t>
            </w:r>
          </w:p>
        </w:tc>
        <w:tc>
          <w:tcPr>
            <w:tcW w:w="1785" w:type="dxa"/>
            <w:tcBorders>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0CDBBACB" w14:textId="77777777" w:rsidR="007F5E67" w:rsidRPr="00206AE1" w:rsidRDefault="007F5E67" w:rsidP="00206AE1">
            <w:pPr>
              <w:pStyle w:val="Normal1"/>
              <w:spacing w:line="276" w:lineRule="auto"/>
              <w:contextualSpacing w:val="0"/>
              <w:jc w:val="center"/>
              <w:rPr>
                <w:rFonts w:asciiTheme="majorHAnsi" w:hAnsiTheme="majorHAnsi"/>
                <w:sz w:val="20"/>
                <w:szCs w:val="20"/>
              </w:rPr>
            </w:pPr>
            <w:r w:rsidRPr="00206AE1">
              <w:rPr>
                <w:rFonts w:asciiTheme="majorHAnsi" w:hAnsiTheme="majorHAnsi"/>
                <w:sz w:val="20"/>
                <w:szCs w:val="20"/>
              </w:rPr>
              <w:t>51</w:t>
            </w:r>
          </w:p>
        </w:tc>
        <w:tc>
          <w:tcPr>
            <w:tcW w:w="1965" w:type="dxa"/>
            <w:tcBorders>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6499AB60" w14:textId="77777777" w:rsidR="007F5E67" w:rsidRPr="00206AE1" w:rsidRDefault="007F5E67" w:rsidP="00206AE1">
            <w:pPr>
              <w:pStyle w:val="Normal1"/>
              <w:spacing w:line="276" w:lineRule="auto"/>
              <w:contextualSpacing w:val="0"/>
              <w:jc w:val="center"/>
              <w:rPr>
                <w:rFonts w:asciiTheme="majorHAnsi" w:hAnsiTheme="majorHAnsi"/>
                <w:sz w:val="20"/>
                <w:szCs w:val="20"/>
              </w:rPr>
            </w:pPr>
            <w:r w:rsidRPr="00206AE1">
              <w:rPr>
                <w:rFonts w:asciiTheme="majorHAnsi" w:hAnsiTheme="majorHAnsi"/>
                <w:sz w:val="20"/>
                <w:szCs w:val="20"/>
              </w:rPr>
              <w:t>0.77</w:t>
            </w:r>
          </w:p>
        </w:tc>
      </w:tr>
      <w:tr w:rsidR="007F5E67" w:rsidRPr="00206AE1" w14:paraId="606A6AF7" w14:textId="77777777" w:rsidTr="00206AE1">
        <w:trPr>
          <w:jc w:val="center"/>
        </w:trPr>
        <w:tc>
          <w:tcPr>
            <w:tcW w:w="1500" w:type="dxa"/>
            <w:tcBorders>
              <w:left w:val="single" w:sz="6" w:space="0" w:color="000000"/>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076A8429" w14:textId="7CDCC1BD" w:rsidR="007F5E67" w:rsidRPr="00206AE1" w:rsidRDefault="007F5E67">
            <w:pPr>
              <w:pStyle w:val="Normal1"/>
              <w:spacing w:line="276" w:lineRule="auto"/>
              <w:contextualSpacing w:val="0"/>
              <w:jc w:val="center"/>
              <w:rPr>
                <w:rFonts w:asciiTheme="majorHAnsi" w:hAnsiTheme="majorHAnsi"/>
                <w:sz w:val="20"/>
                <w:szCs w:val="20"/>
              </w:rPr>
            </w:pPr>
            <w:r w:rsidRPr="00206AE1">
              <w:rPr>
                <w:rFonts w:asciiTheme="majorHAnsi" w:hAnsiTheme="majorHAnsi"/>
                <w:sz w:val="20"/>
                <w:szCs w:val="20"/>
              </w:rPr>
              <w:t>CZ16</w:t>
            </w:r>
          </w:p>
        </w:tc>
        <w:tc>
          <w:tcPr>
            <w:tcW w:w="2070" w:type="dxa"/>
            <w:tcBorders>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1C5CC9FA" w14:textId="5AEC9695" w:rsidR="007F5E67" w:rsidRPr="00206AE1" w:rsidRDefault="007F5E67" w:rsidP="00206AE1">
            <w:pPr>
              <w:pStyle w:val="Normal1"/>
              <w:spacing w:line="276" w:lineRule="auto"/>
              <w:contextualSpacing w:val="0"/>
              <w:jc w:val="center"/>
              <w:rPr>
                <w:rFonts w:asciiTheme="majorHAnsi" w:hAnsiTheme="majorHAnsi"/>
                <w:sz w:val="20"/>
                <w:szCs w:val="20"/>
              </w:rPr>
            </w:pPr>
            <w:r w:rsidRPr="00206AE1">
              <w:rPr>
                <w:rFonts w:asciiTheme="majorHAnsi" w:hAnsiTheme="majorHAnsi"/>
                <w:sz w:val="20"/>
                <w:szCs w:val="20"/>
              </w:rPr>
              <w:t>3.28</w:t>
            </w:r>
          </w:p>
        </w:tc>
        <w:tc>
          <w:tcPr>
            <w:tcW w:w="1785" w:type="dxa"/>
            <w:tcBorders>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2EBD2E53" w14:textId="77777777" w:rsidR="007F5E67" w:rsidRPr="00206AE1" w:rsidRDefault="007F5E67" w:rsidP="00206AE1">
            <w:pPr>
              <w:pStyle w:val="Normal1"/>
              <w:spacing w:line="276" w:lineRule="auto"/>
              <w:contextualSpacing w:val="0"/>
              <w:jc w:val="center"/>
              <w:rPr>
                <w:rFonts w:asciiTheme="majorHAnsi" w:hAnsiTheme="majorHAnsi"/>
                <w:sz w:val="20"/>
                <w:szCs w:val="20"/>
              </w:rPr>
            </w:pPr>
            <w:r w:rsidRPr="00206AE1">
              <w:rPr>
                <w:rFonts w:asciiTheme="majorHAnsi" w:hAnsiTheme="majorHAnsi"/>
                <w:sz w:val="20"/>
                <w:szCs w:val="20"/>
              </w:rPr>
              <w:t>45</w:t>
            </w:r>
          </w:p>
        </w:tc>
        <w:tc>
          <w:tcPr>
            <w:tcW w:w="1965" w:type="dxa"/>
            <w:tcBorders>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2AA6E9F7" w14:textId="77777777" w:rsidR="007F5E67" w:rsidRPr="00206AE1" w:rsidRDefault="007F5E67" w:rsidP="00206AE1">
            <w:pPr>
              <w:pStyle w:val="Normal1"/>
              <w:spacing w:line="276" w:lineRule="auto"/>
              <w:contextualSpacing w:val="0"/>
              <w:jc w:val="center"/>
              <w:rPr>
                <w:rFonts w:asciiTheme="majorHAnsi" w:hAnsiTheme="majorHAnsi"/>
                <w:sz w:val="20"/>
                <w:szCs w:val="20"/>
              </w:rPr>
            </w:pPr>
            <w:r w:rsidRPr="00206AE1">
              <w:rPr>
                <w:rFonts w:asciiTheme="majorHAnsi" w:hAnsiTheme="majorHAnsi"/>
                <w:sz w:val="20"/>
                <w:szCs w:val="20"/>
              </w:rPr>
              <w:t>0.50</w:t>
            </w:r>
          </w:p>
        </w:tc>
      </w:tr>
    </w:tbl>
    <w:p w14:paraId="0EC0A907" w14:textId="77777777" w:rsidR="00BB35B1" w:rsidRDefault="00BB35B1">
      <w:pPr>
        <w:pStyle w:val="Normal1"/>
        <w:spacing w:line="276" w:lineRule="auto"/>
        <w:rPr>
          <w:b/>
          <w:sz w:val="28"/>
          <w:szCs w:val="28"/>
        </w:rPr>
      </w:pPr>
    </w:p>
    <w:p w14:paraId="221299E9" w14:textId="77777777" w:rsidR="008E7CBA" w:rsidRPr="002B6AEF" w:rsidRDefault="008E7CBA" w:rsidP="008E7CBA">
      <w:pPr>
        <w:pStyle w:val="NormalWeb"/>
        <w:spacing w:before="0" w:beforeAutospacing="0" w:after="0" w:afterAutospacing="0" w:line="276" w:lineRule="auto"/>
        <w:rPr>
          <w:rFonts w:ascii="Calibri" w:hAnsi="Calibri"/>
          <w:sz w:val="22"/>
          <w:szCs w:val="22"/>
        </w:rPr>
      </w:pPr>
      <w:r w:rsidRPr="002B6AEF">
        <w:rPr>
          <w:rFonts w:asciiTheme="majorHAnsi" w:hAnsiTheme="majorHAnsi"/>
          <w:b/>
          <w:sz w:val="22"/>
          <w:szCs w:val="22"/>
        </w:rPr>
        <w:t xml:space="preserve">System Efficiency impacts on savings estimates: </w:t>
      </w:r>
      <w:r w:rsidRPr="002B6AEF">
        <w:rPr>
          <w:rFonts w:ascii="Calibri" w:hAnsi="Calibri"/>
          <w:sz w:val="22"/>
          <w:szCs w:val="22"/>
        </w:rPr>
        <w:t>During the work paper feedback process</w:t>
      </w:r>
      <w:r w:rsidRPr="002B6AEF">
        <w:rPr>
          <w:rFonts w:ascii="Calibri" w:hAnsi="Calibri" w:cs="Arial"/>
          <w:color w:val="000000"/>
          <w:sz w:val="22"/>
          <w:szCs w:val="22"/>
        </w:rPr>
        <w:t xml:space="preserve">, There was also some questions raised about the impact of variations in air conditioner power draw and cycling losses and how these factors may affect the estimated savings from smart thermostats. </w:t>
      </w:r>
    </w:p>
    <w:p w14:paraId="3EA7355E" w14:textId="77777777" w:rsidR="008E7CBA" w:rsidRPr="002B6AEF" w:rsidRDefault="008E7CBA" w:rsidP="008E7CBA">
      <w:pPr>
        <w:spacing w:line="276" w:lineRule="auto"/>
        <w:rPr>
          <w:rFonts w:eastAsia="Times New Roman" w:cs="Times New Roman"/>
          <w:color w:val="auto"/>
        </w:rPr>
      </w:pPr>
    </w:p>
    <w:p w14:paraId="2FB73A0E" w14:textId="77777777" w:rsidR="008E7CBA" w:rsidRPr="002B6AEF" w:rsidRDefault="008E7CBA" w:rsidP="008E7CBA">
      <w:pPr>
        <w:spacing w:line="276" w:lineRule="auto"/>
        <w:rPr>
          <w:rFonts w:cs="Times New Roman"/>
          <w:color w:val="auto"/>
        </w:rPr>
      </w:pPr>
      <w:r w:rsidRPr="002B6AEF">
        <w:rPr>
          <w:rFonts w:cs="Arial"/>
        </w:rPr>
        <w:t xml:space="preserve">The </w:t>
      </w:r>
      <w:proofErr w:type="spellStart"/>
      <w:r w:rsidRPr="002B6AEF">
        <w:rPr>
          <w:rFonts w:cs="Arial"/>
        </w:rPr>
        <w:t>workpaper</w:t>
      </w:r>
      <w:proofErr w:type="spellEnd"/>
      <w:r w:rsidRPr="002B6AEF">
        <w:rPr>
          <w:rFonts w:cs="Arial"/>
        </w:rPr>
        <w:t xml:space="preserve"> does not assume that the air conditioners are operating at peak load all year.  The connected KW values used in the savings analysis were calculated from DEER prototype homes. The calculation was KW</w:t>
      </w:r>
      <w:proofErr w:type="gramStart"/>
      <w:r w:rsidRPr="002B6AEF">
        <w:rPr>
          <w:rFonts w:cs="Arial"/>
        </w:rPr>
        <w:t>=  </w:t>
      </w:r>
      <w:proofErr w:type="spellStart"/>
      <w:r w:rsidRPr="002B6AEF">
        <w:rPr>
          <w:rFonts w:cs="Arial"/>
        </w:rPr>
        <w:t>ACtons</w:t>
      </w:r>
      <w:proofErr w:type="spellEnd"/>
      <w:proofErr w:type="gramEnd"/>
      <w:r w:rsidRPr="002B6AEF">
        <w:rPr>
          <w:rFonts w:cs="Arial"/>
        </w:rPr>
        <w:t xml:space="preserve"> * 12,000 / (SEER * 1,000).  This calculation used SEER values and not EER values which would have estimated power draw during approximately peak conditions. By </w:t>
      </w:r>
      <w:r w:rsidRPr="002B6AEF">
        <w:rPr>
          <w:rFonts w:cs="Arial"/>
        </w:rPr>
        <w:lastRenderedPageBreak/>
        <w:t>using the SEER value, the power draw estimate is reduced to a level more consistent with average power draw.  This calculation has an added conservatism because it does not adjust for actual air handler power draws that are typically greater than the default value used in SEER.  </w:t>
      </w:r>
    </w:p>
    <w:p w14:paraId="233AFBF0" w14:textId="77777777" w:rsidR="008E7CBA" w:rsidRPr="002B6AEF" w:rsidRDefault="008E7CBA" w:rsidP="008E7CBA">
      <w:pPr>
        <w:spacing w:line="276" w:lineRule="auto"/>
        <w:rPr>
          <w:rFonts w:eastAsia="Times New Roman" w:cs="Times New Roman"/>
          <w:color w:val="auto"/>
        </w:rPr>
      </w:pPr>
    </w:p>
    <w:p w14:paraId="28DFD94A" w14:textId="77777777" w:rsidR="008E7CBA" w:rsidRDefault="008E7CBA" w:rsidP="008E7CBA">
      <w:pPr>
        <w:spacing w:line="276" w:lineRule="auto"/>
        <w:rPr>
          <w:rFonts w:cs="Arial"/>
        </w:rPr>
      </w:pPr>
      <w:r w:rsidRPr="002B6AEF">
        <w:rPr>
          <w:rFonts w:cs="Arial"/>
          <w:color w:val="auto"/>
        </w:rPr>
        <w:t>There was also questions raised</w:t>
      </w:r>
      <w:r w:rsidRPr="002B6AEF">
        <w:rPr>
          <w:rFonts w:cs="Arial"/>
        </w:rPr>
        <w:t xml:space="preserve"> that using a constant power draw estimate may not accurately reflect savings due to how air conditioner KW draw varies with outdoor temperature (and, to a lesser extent, indoor wet bulb). Power draw typically increases by about 1% per degree F increase in outdoor temperature. If the changes in cooling set points from a smart thermostat led to a significant shift in cooling runtime toward times with higher outdoor temperatures, then the analysis could over-state energy savings. But the impact of a smart thermostat on cooling schedules would likely include more efficient set point temperatures during the hottest hours of the day when homes are less likely to be occupied.  The net impact would be expected to shift runtime from hottest hours of the day to later in the afternoon and evening.  This change would actually result in greater savings than the current analysis approach, not less savings.  A significant overall shift of cooling to times of hotter outdoor temperatures seems an unlikely result.</w:t>
      </w:r>
    </w:p>
    <w:p w14:paraId="45DB85B4" w14:textId="77777777" w:rsidR="008E7CBA" w:rsidRDefault="008E7CBA">
      <w:pPr>
        <w:pStyle w:val="Normal1"/>
        <w:spacing w:line="276" w:lineRule="auto"/>
        <w:rPr>
          <w:b/>
          <w:sz w:val="28"/>
          <w:szCs w:val="28"/>
        </w:rPr>
      </w:pPr>
    </w:p>
    <w:p w14:paraId="55B328BB" w14:textId="77777777" w:rsidR="00576C8C" w:rsidRDefault="007173B2">
      <w:pPr>
        <w:pStyle w:val="Normal1"/>
        <w:spacing w:line="276" w:lineRule="auto"/>
      </w:pPr>
      <w:r>
        <w:rPr>
          <w:b/>
          <w:sz w:val="28"/>
          <w:szCs w:val="28"/>
        </w:rPr>
        <w:t>3.2 First and Second Baseline Heating and cooling savings by CA climate zone</w:t>
      </w:r>
    </w:p>
    <w:p w14:paraId="552E6466" w14:textId="77777777" w:rsidR="00576C8C" w:rsidRDefault="00576C8C">
      <w:pPr>
        <w:pStyle w:val="Normal1"/>
        <w:spacing w:line="276" w:lineRule="auto"/>
      </w:pPr>
    </w:p>
    <w:p w14:paraId="6FCE8E6B" w14:textId="6C7D9269" w:rsidR="00576C8C" w:rsidRDefault="000A24A8">
      <w:pPr>
        <w:pStyle w:val="Normal1"/>
        <w:spacing w:line="276" w:lineRule="auto"/>
      </w:pPr>
      <w:r>
        <w:t xml:space="preserve">Following </w:t>
      </w:r>
      <w:r w:rsidR="007173B2">
        <w:t>Table</w:t>
      </w:r>
      <w:r>
        <w:t xml:space="preserve">s </w:t>
      </w:r>
      <w:r w:rsidR="007173B2">
        <w:t>shows the key results from the analysis by climate zone.  The T-diff columns shows the average difference between the comfort temperature and actual average set point for each climate zone. The % Savings/°F columns show the estimated percent change in HVAC run time per degree change in set point.  The Savings columns show the overall results from calculating energy savings using the T-diff and % Savings/°F columns in a calculation with the average annual HVAC run time hours (for the period May 2015 through April 2016) and the estimated average HVAC system input capacities, and then reducing those savings the RASS Base Case calibration factor as outlined in Section 2.</w:t>
      </w:r>
      <w:r w:rsidR="008267DC">
        <w:t>3</w:t>
      </w:r>
      <w:r w:rsidR="00417A60">
        <w:t>.5</w:t>
      </w:r>
      <w:r w:rsidR="007173B2">
        <w:t xml:space="preserve">. </w:t>
      </w:r>
    </w:p>
    <w:p w14:paraId="026EECF9" w14:textId="77777777" w:rsidR="001A473C" w:rsidRDefault="001A473C">
      <w:pPr>
        <w:pStyle w:val="Normal1"/>
        <w:spacing w:line="276" w:lineRule="auto"/>
      </w:pPr>
    </w:p>
    <w:p w14:paraId="3935B201" w14:textId="77777777" w:rsidR="001F78E6" w:rsidRDefault="00DB1CD4" w:rsidP="00DB1CD4">
      <w:pPr>
        <w:pStyle w:val="Normal1"/>
        <w:tabs>
          <w:tab w:val="left" w:pos="9360"/>
        </w:tabs>
        <w:spacing w:line="276" w:lineRule="auto"/>
      </w:pPr>
      <w:r>
        <w:t>The</w:t>
      </w:r>
      <w:r w:rsidRPr="002E6980">
        <w:t xml:space="preserve"> table </w:t>
      </w:r>
      <w:r>
        <w:t xml:space="preserve">below </w:t>
      </w:r>
      <w:r w:rsidRPr="002E6980">
        <w:t>shows that the analysis found meaningf</w:t>
      </w:r>
      <w:r>
        <w:t xml:space="preserve">ul kWh and </w:t>
      </w:r>
      <w:proofErr w:type="spellStart"/>
      <w:r>
        <w:t>therm</w:t>
      </w:r>
      <w:proofErr w:type="spellEnd"/>
      <w:r>
        <w:t xml:space="preserve"> savings across </w:t>
      </w:r>
      <w:r w:rsidRPr="002E6980">
        <w:t>California’s climate zones (no results shown for Clim</w:t>
      </w:r>
      <w:r>
        <w:t xml:space="preserve">ate zone 1 because of a limited </w:t>
      </w:r>
      <w:r w:rsidRPr="002E6980">
        <w:t>sample size of data). Absolute savings values are higher inland, but still impactful in coastal zones.</w:t>
      </w:r>
    </w:p>
    <w:p w14:paraId="04DBC3CC" w14:textId="77777777" w:rsidR="001F78E6" w:rsidRDefault="001F78E6" w:rsidP="00DB1CD4">
      <w:pPr>
        <w:pStyle w:val="Normal1"/>
        <w:tabs>
          <w:tab w:val="left" w:pos="9360"/>
        </w:tabs>
        <w:spacing w:line="276" w:lineRule="auto"/>
      </w:pPr>
    </w:p>
    <w:p w14:paraId="6131EB98" w14:textId="5BFAA6FB" w:rsidR="00DB1CD4" w:rsidRDefault="001F78E6" w:rsidP="00DB1CD4">
      <w:pPr>
        <w:pStyle w:val="Normal1"/>
        <w:tabs>
          <w:tab w:val="left" w:pos="9360"/>
        </w:tabs>
        <w:spacing w:line="276" w:lineRule="auto"/>
      </w:pPr>
      <w:r>
        <w:t xml:space="preserve">For scaled measure impacts on MF and </w:t>
      </w:r>
      <w:proofErr w:type="spellStart"/>
      <w:r>
        <w:t>DMo</w:t>
      </w:r>
      <w:proofErr w:type="spellEnd"/>
      <w:r>
        <w:t xml:space="preserve"> Residential Building types refer to calculation sheet – Attachment 1. </w:t>
      </w:r>
    </w:p>
    <w:p w14:paraId="45B01668" w14:textId="77777777" w:rsidR="00DB1CD4" w:rsidRDefault="00DB1CD4">
      <w:pPr>
        <w:pStyle w:val="Normal1"/>
        <w:spacing w:line="276" w:lineRule="auto"/>
        <w:ind w:right="1350"/>
      </w:pPr>
    </w:p>
    <w:p w14:paraId="7F09406B" w14:textId="77777777" w:rsidR="003301AD" w:rsidRDefault="003301AD" w:rsidP="00206AE1">
      <w:pPr>
        <w:pStyle w:val="Normal1"/>
        <w:spacing w:line="276" w:lineRule="auto"/>
        <w:ind w:right="1350"/>
        <w:rPr>
          <w:b/>
        </w:rPr>
      </w:pPr>
    </w:p>
    <w:p w14:paraId="20F94B40" w14:textId="77777777" w:rsidR="003301AD" w:rsidRDefault="003301AD" w:rsidP="00206AE1">
      <w:pPr>
        <w:pStyle w:val="Normal1"/>
        <w:spacing w:line="276" w:lineRule="auto"/>
        <w:ind w:right="1350"/>
        <w:rPr>
          <w:b/>
        </w:rPr>
      </w:pPr>
    </w:p>
    <w:p w14:paraId="16C8A2E8" w14:textId="77777777" w:rsidR="003301AD" w:rsidRDefault="003301AD" w:rsidP="00206AE1">
      <w:pPr>
        <w:pStyle w:val="Normal1"/>
        <w:spacing w:line="276" w:lineRule="auto"/>
        <w:ind w:right="1350"/>
        <w:rPr>
          <w:b/>
        </w:rPr>
      </w:pPr>
    </w:p>
    <w:p w14:paraId="2A1E4ACA" w14:textId="77777777" w:rsidR="003301AD" w:rsidRDefault="003301AD" w:rsidP="00206AE1">
      <w:pPr>
        <w:pStyle w:val="Normal1"/>
        <w:spacing w:line="276" w:lineRule="auto"/>
        <w:ind w:right="1350"/>
        <w:rPr>
          <w:b/>
        </w:rPr>
      </w:pPr>
    </w:p>
    <w:p w14:paraId="6727FD2C" w14:textId="77777777" w:rsidR="003301AD" w:rsidRDefault="003301AD" w:rsidP="00206AE1">
      <w:pPr>
        <w:pStyle w:val="Normal1"/>
        <w:spacing w:line="276" w:lineRule="auto"/>
        <w:ind w:right="1350"/>
        <w:rPr>
          <w:b/>
        </w:rPr>
      </w:pPr>
    </w:p>
    <w:p w14:paraId="0428805E" w14:textId="77777777" w:rsidR="003301AD" w:rsidRDefault="003301AD" w:rsidP="00206AE1">
      <w:pPr>
        <w:pStyle w:val="Normal1"/>
        <w:spacing w:line="276" w:lineRule="auto"/>
        <w:ind w:right="1350"/>
        <w:rPr>
          <w:b/>
        </w:rPr>
      </w:pPr>
    </w:p>
    <w:p w14:paraId="1871D5BF" w14:textId="6696E619" w:rsidR="00576C8C" w:rsidRDefault="007173B2" w:rsidP="00206AE1">
      <w:pPr>
        <w:pStyle w:val="Normal1"/>
        <w:spacing w:line="276" w:lineRule="auto"/>
        <w:ind w:right="1350"/>
      </w:pPr>
      <w:r w:rsidRPr="002E6980">
        <w:rPr>
          <w:b/>
        </w:rPr>
        <w:lastRenderedPageBreak/>
        <w:t>First Baseline Savings by CA Climate Zone.</w:t>
      </w:r>
      <w:r w:rsidR="006B6850">
        <w:rPr>
          <w:b/>
          <w:color w:val="FF0000"/>
        </w:rPr>
        <w:t xml:space="preserve"> </w:t>
      </w:r>
    </w:p>
    <w:tbl>
      <w:tblPr>
        <w:tblW w:w="8711" w:type="dxa"/>
        <w:tblBorders>
          <w:top w:val="single" w:sz="6" w:space="0" w:color="CCCCCC"/>
          <w:left w:val="single" w:sz="6" w:space="0" w:color="CCCCCC"/>
          <w:bottom w:val="single" w:sz="6" w:space="0" w:color="CCCCCC"/>
          <w:right w:val="single" w:sz="6" w:space="0" w:color="CCCCCC"/>
        </w:tblBorders>
        <w:shd w:val="clear" w:color="auto" w:fill="FFFFFF" w:themeFill="background1"/>
        <w:tblCellMar>
          <w:left w:w="0" w:type="dxa"/>
          <w:right w:w="0" w:type="dxa"/>
        </w:tblCellMar>
        <w:tblLook w:val="04A0" w:firstRow="1" w:lastRow="0" w:firstColumn="1" w:lastColumn="0" w:noHBand="0" w:noVBand="1"/>
      </w:tblPr>
      <w:tblGrid>
        <w:gridCol w:w="890"/>
        <w:gridCol w:w="883"/>
        <w:gridCol w:w="1371"/>
        <w:gridCol w:w="799"/>
        <w:gridCol w:w="922"/>
        <w:gridCol w:w="1371"/>
        <w:gridCol w:w="804"/>
        <w:gridCol w:w="868"/>
        <w:gridCol w:w="803"/>
      </w:tblGrid>
      <w:tr w:rsidR="00CA33A7" w:rsidRPr="00206AE1" w14:paraId="38BDE12A" w14:textId="77777777" w:rsidTr="00206AE1">
        <w:trPr>
          <w:trHeight w:val="315"/>
        </w:trPr>
        <w:tc>
          <w:tcPr>
            <w:tcW w:w="810"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30" w:type="dxa"/>
              <w:left w:w="45" w:type="dxa"/>
              <w:bottom w:w="30" w:type="dxa"/>
              <w:right w:w="45" w:type="dxa"/>
            </w:tcMar>
            <w:vAlign w:val="center"/>
            <w:hideMark/>
          </w:tcPr>
          <w:p w14:paraId="39CD84ED" w14:textId="77777777" w:rsidR="00CA33A7" w:rsidRPr="00206AE1" w:rsidRDefault="00CA33A7" w:rsidP="00F458A0">
            <w:pPr>
              <w:jc w:val="center"/>
              <w:rPr>
                <w:rFonts w:asciiTheme="majorHAnsi" w:eastAsia="Times New Roman" w:hAnsiTheme="majorHAnsi" w:cs="Times New Roman"/>
                <w:b/>
                <w:bCs/>
                <w:color w:val="auto"/>
                <w:sz w:val="20"/>
                <w:szCs w:val="20"/>
              </w:rPr>
            </w:pPr>
            <w:r w:rsidRPr="00206AE1">
              <w:rPr>
                <w:rFonts w:asciiTheme="majorHAnsi" w:eastAsia="Times New Roman" w:hAnsiTheme="majorHAnsi" w:cs="Times New Roman"/>
                <w:b/>
                <w:bCs/>
                <w:color w:val="auto"/>
                <w:sz w:val="20"/>
                <w:szCs w:val="20"/>
              </w:rPr>
              <w:t>California Climate Zone</w:t>
            </w:r>
          </w:p>
        </w:tc>
        <w:tc>
          <w:tcPr>
            <w:tcW w:w="911" w:type="dxa"/>
            <w:tcBorders>
              <w:top w:val="single" w:sz="6" w:space="0" w:color="000000"/>
              <w:left w:val="single" w:sz="6" w:space="0" w:color="CCCCCC"/>
              <w:bottom w:val="single" w:sz="6" w:space="0" w:color="000000"/>
              <w:right w:val="single" w:sz="6" w:space="0" w:color="000000"/>
            </w:tcBorders>
            <w:shd w:val="clear" w:color="auto" w:fill="D9D9D9" w:themeFill="background1" w:themeFillShade="D9"/>
            <w:tcMar>
              <w:top w:w="30" w:type="dxa"/>
              <w:left w:w="45" w:type="dxa"/>
              <w:bottom w:w="30" w:type="dxa"/>
              <w:right w:w="45" w:type="dxa"/>
            </w:tcMar>
            <w:vAlign w:val="center"/>
            <w:hideMark/>
          </w:tcPr>
          <w:p w14:paraId="1C713D69" w14:textId="77777777" w:rsidR="00CA33A7" w:rsidRPr="00206AE1" w:rsidRDefault="00CA33A7" w:rsidP="004D422D">
            <w:pPr>
              <w:jc w:val="center"/>
              <w:rPr>
                <w:rFonts w:asciiTheme="majorHAnsi" w:eastAsia="Times New Roman" w:hAnsiTheme="majorHAnsi" w:cs="Times New Roman"/>
                <w:b/>
                <w:bCs/>
                <w:color w:val="auto"/>
                <w:sz w:val="20"/>
                <w:szCs w:val="20"/>
              </w:rPr>
            </w:pPr>
            <w:r w:rsidRPr="00206AE1">
              <w:rPr>
                <w:rFonts w:asciiTheme="majorHAnsi" w:eastAsia="Times New Roman" w:hAnsiTheme="majorHAnsi" w:cs="Times New Roman"/>
                <w:b/>
                <w:bCs/>
                <w:color w:val="auto"/>
                <w:sz w:val="20"/>
                <w:szCs w:val="20"/>
              </w:rPr>
              <w:t xml:space="preserve">Cooling T-diff (comfort temp - </w:t>
            </w:r>
            <w:proofErr w:type="spellStart"/>
            <w:r w:rsidRPr="00206AE1">
              <w:rPr>
                <w:rFonts w:asciiTheme="majorHAnsi" w:eastAsia="Times New Roman" w:hAnsiTheme="majorHAnsi" w:cs="Times New Roman"/>
                <w:b/>
                <w:bCs/>
                <w:color w:val="auto"/>
                <w:sz w:val="20"/>
                <w:szCs w:val="20"/>
              </w:rPr>
              <w:t>avg</w:t>
            </w:r>
            <w:proofErr w:type="spellEnd"/>
            <w:r w:rsidRPr="00206AE1">
              <w:rPr>
                <w:rFonts w:asciiTheme="majorHAnsi" w:eastAsia="Times New Roman" w:hAnsiTheme="majorHAnsi" w:cs="Times New Roman"/>
                <w:b/>
                <w:bCs/>
                <w:color w:val="auto"/>
                <w:sz w:val="20"/>
                <w:szCs w:val="20"/>
              </w:rPr>
              <w:t xml:space="preserve"> actual </w:t>
            </w:r>
            <w:proofErr w:type="spellStart"/>
            <w:r w:rsidRPr="00206AE1">
              <w:rPr>
                <w:rFonts w:asciiTheme="majorHAnsi" w:eastAsia="Times New Roman" w:hAnsiTheme="majorHAnsi" w:cs="Times New Roman"/>
                <w:b/>
                <w:bCs/>
                <w:color w:val="auto"/>
                <w:sz w:val="20"/>
                <w:szCs w:val="20"/>
              </w:rPr>
              <w:t>setpoint</w:t>
            </w:r>
            <w:proofErr w:type="spellEnd"/>
            <w:r w:rsidRPr="00206AE1">
              <w:rPr>
                <w:rFonts w:asciiTheme="majorHAnsi" w:eastAsia="Times New Roman" w:hAnsiTheme="majorHAnsi" w:cs="Times New Roman"/>
                <w:b/>
                <w:bCs/>
                <w:color w:val="auto"/>
                <w:sz w:val="20"/>
                <w:szCs w:val="20"/>
              </w:rPr>
              <w:t>)</w:t>
            </w:r>
          </w:p>
        </w:tc>
        <w:tc>
          <w:tcPr>
            <w:tcW w:w="1243" w:type="dxa"/>
            <w:tcBorders>
              <w:top w:val="single" w:sz="6" w:space="0" w:color="000000"/>
              <w:left w:val="single" w:sz="6" w:space="0" w:color="CCCCCC"/>
              <w:bottom w:val="single" w:sz="6" w:space="0" w:color="000000"/>
              <w:right w:val="single" w:sz="6" w:space="0" w:color="000000"/>
            </w:tcBorders>
            <w:shd w:val="clear" w:color="auto" w:fill="D9D9D9" w:themeFill="background1" w:themeFillShade="D9"/>
            <w:tcMar>
              <w:top w:w="30" w:type="dxa"/>
              <w:left w:w="45" w:type="dxa"/>
              <w:bottom w:w="30" w:type="dxa"/>
              <w:right w:w="45" w:type="dxa"/>
            </w:tcMar>
            <w:vAlign w:val="center"/>
            <w:hideMark/>
          </w:tcPr>
          <w:p w14:paraId="3F4D994C" w14:textId="77777777" w:rsidR="00CA33A7" w:rsidRPr="00206AE1" w:rsidRDefault="00CA33A7" w:rsidP="00F458A0">
            <w:pPr>
              <w:jc w:val="center"/>
              <w:rPr>
                <w:rFonts w:asciiTheme="majorHAnsi" w:eastAsia="Times New Roman" w:hAnsiTheme="majorHAnsi" w:cs="Times New Roman"/>
                <w:b/>
                <w:bCs/>
                <w:color w:val="auto"/>
                <w:sz w:val="20"/>
                <w:szCs w:val="20"/>
              </w:rPr>
            </w:pPr>
            <w:r w:rsidRPr="00206AE1">
              <w:rPr>
                <w:rFonts w:asciiTheme="majorHAnsi" w:eastAsia="Times New Roman" w:hAnsiTheme="majorHAnsi" w:cs="Times New Roman"/>
                <w:b/>
                <w:bCs/>
                <w:color w:val="auto"/>
                <w:sz w:val="20"/>
                <w:szCs w:val="20"/>
              </w:rPr>
              <w:t>% Cooling HVAC Savings/degree Fahrenheit difference (regression output)</w:t>
            </w:r>
          </w:p>
        </w:tc>
        <w:tc>
          <w:tcPr>
            <w:tcW w:w="857" w:type="dxa"/>
            <w:tcBorders>
              <w:top w:val="single" w:sz="6" w:space="0" w:color="000000"/>
              <w:left w:val="single" w:sz="6" w:space="0" w:color="CCCCCC"/>
              <w:bottom w:val="single" w:sz="6" w:space="0" w:color="000000"/>
              <w:right w:val="single" w:sz="6" w:space="0" w:color="000000"/>
            </w:tcBorders>
            <w:shd w:val="clear" w:color="auto" w:fill="D9D9D9" w:themeFill="background1" w:themeFillShade="D9"/>
            <w:tcMar>
              <w:top w:w="30" w:type="dxa"/>
              <w:left w:w="45" w:type="dxa"/>
              <w:bottom w:w="30" w:type="dxa"/>
              <w:right w:w="45" w:type="dxa"/>
            </w:tcMar>
            <w:vAlign w:val="center"/>
            <w:hideMark/>
          </w:tcPr>
          <w:p w14:paraId="1EFEBC46" w14:textId="77777777" w:rsidR="00CA33A7" w:rsidRPr="00206AE1" w:rsidRDefault="00CA33A7" w:rsidP="00F458A0">
            <w:pPr>
              <w:jc w:val="center"/>
              <w:rPr>
                <w:rFonts w:asciiTheme="majorHAnsi" w:eastAsia="Times New Roman" w:hAnsiTheme="majorHAnsi" w:cs="Times New Roman"/>
                <w:b/>
                <w:bCs/>
                <w:color w:val="auto"/>
                <w:sz w:val="20"/>
                <w:szCs w:val="20"/>
              </w:rPr>
            </w:pPr>
            <w:r w:rsidRPr="00206AE1">
              <w:rPr>
                <w:rFonts w:asciiTheme="majorHAnsi" w:eastAsia="Times New Roman" w:hAnsiTheme="majorHAnsi" w:cs="Times New Roman"/>
                <w:b/>
                <w:bCs/>
                <w:color w:val="auto"/>
                <w:sz w:val="20"/>
                <w:szCs w:val="20"/>
              </w:rPr>
              <w:t>Cooling Savings (kWh)</w:t>
            </w:r>
          </w:p>
        </w:tc>
        <w:tc>
          <w:tcPr>
            <w:tcW w:w="974" w:type="dxa"/>
            <w:tcBorders>
              <w:top w:val="single" w:sz="6" w:space="0" w:color="000000"/>
              <w:left w:val="single" w:sz="6" w:space="0" w:color="CCCCCC"/>
              <w:bottom w:val="single" w:sz="6" w:space="0" w:color="000000"/>
              <w:right w:val="single" w:sz="6" w:space="0" w:color="000000"/>
            </w:tcBorders>
            <w:shd w:val="clear" w:color="auto" w:fill="D9D9D9" w:themeFill="background1" w:themeFillShade="D9"/>
            <w:tcMar>
              <w:top w:w="30" w:type="dxa"/>
              <w:left w:w="45" w:type="dxa"/>
              <w:bottom w:w="30" w:type="dxa"/>
              <w:right w:w="45" w:type="dxa"/>
            </w:tcMar>
            <w:vAlign w:val="center"/>
            <w:hideMark/>
          </w:tcPr>
          <w:p w14:paraId="2D897DBB" w14:textId="77777777" w:rsidR="00CA33A7" w:rsidRPr="00206AE1" w:rsidRDefault="00CA33A7" w:rsidP="00F458A0">
            <w:pPr>
              <w:jc w:val="center"/>
              <w:rPr>
                <w:rFonts w:asciiTheme="majorHAnsi" w:eastAsia="Times New Roman" w:hAnsiTheme="majorHAnsi" w:cs="Times New Roman"/>
                <w:b/>
                <w:bCs/>
                <w:color w:val="auto"/>
                <w:sz w:val="20"/>
                <w:szCs w:val="20"/>
              </w:rPr>
            </w:pPr>
            <w:r w:rsidRPr="00206AE1">
              <w:rPr>
                <w:rFonts w:asciiTheme="majorHAnsi" w:eastAsia="Times New Roman" w:hAnsiTheme="majorHAnsi" w:cs="Times New Roman"/>
                <w:b/>
                <w:bCs/>
                <w:color w:val="auto"/>
                <w:sz w:val="20"/>
                <w:szCs w:val="20"/>
              </w:rPr>
              <w:t xml:space="preserve">Heating T-diff (comfort temp - average actual </w:t>
            </w:r>
            <w:proofErr w:type="spellStart"/>
            <w:r w:rsidRPr="00206AE1">
              <w:rPr>
                <w:rFonts w:asciiTheme="majorHAnsi" w:eastAsia="Times New Roman" w:hAnsiTheme="majorHAnsi" w:cs="Times New Roman"/>
                <w:b/>
                <w:bCs/>
                <w:color w:val="auto"/>
                <w:sz w:val="20"/>
                <w:szCs w:val="20"/>
              </w:rPr>
              <w:t>setpoint</w:t>
            </w:r>
            <w:proofErr w:type="spellEnd"/>
            <w:r w:rsidRPr="00206AE1">
              <w:rPr>
                <w:rFonts w:asciiTheme="majorHAnsi" w:eastAsia="Times New Roman" w:hAnsiTheme="majorHAnsi" w:cs="Times New Roman"/>
                <w:b/>
                <w:bCs/>
                <w:color w:val="auto"/>
                <w:sz w:val="20"/>
                <w:szCs w:val="20"/>
              </w:rPr>
              <w:t>)</w:t>
            </w:r>
          </w:p>
        </w:tc>
        <w:tc>
          <w:tcPr>
            <w:tcW w:w="1243" w:type="dxa"/>
            <w:tcBorders>
              <w:top w:val="single" w:sz="6" w:space="0" w:color="000000"/>
              <w:left w:val="single" w:sz="6" w:space="0" w:color="CCCCCC"/>
              <w:bottom w:val="single" w:sz="6" w:space="0" w:color="000000"/>
              <w:right w:val="single" w:sz="6" w:space="0" w:color="000000"/>
            </w:tcBorders>
            <w:shd w:val="clear" w:color="auto" w:fill="D9D9D9" w:themeFill="background1" w:themeFillShade="D9"/>
            <w:tcMar>
              <w:top w:w="30" w:type="dxa"/>
              <w:left w:w="45" w:type="dxa"/>
              <w:bottom w:w="30" w:type="dxa"/>
              <w:right w:w="45" w:type="dxa"/>
            </w:tcMar>
            <w:vAlign w:val="center"/>
            <w:hideMark/>
          </w:tcPr>
          <w:p w14:paraId="0EA94089" w14:textId="77777777" w:rsidR="00CA33A7" w:rsidRPr="00206AE1" w:rsidRDefault="00CA33A7" w:rsidP="00F458A0">
            <w:pPr>
              <w:jc w:val="center"/>
              <w:rPr>
                <w:rFonts w:asciiTheme="majorHAnsi" w:eastAsia="Times New Roman" w:hAnsiTheme="majorHAnsi" w:cs="Times New Roman"/>
                <w:b/>
                <w:bCs/>
                <w:color w:val="auto"/>
                <w:sz w:val="20"/>
                <w:szCs w:val="20"/>
              </w:rPr>
            </w:pPr>
            <w:r w:rsidRPr="00206AE1">
              <w:rPr>
                <w:rFonts w:asciiTheme="majorHAnsi" w:eastAsia="Times New Roman" w:hAnsiTheme="majorHAnsi" w:cs="Times New Roman"/>
                <w:b/>
                <w:bCs/>
                <w:color w:val="auto"/>
                <w:sz w:val="20"/>
                <w:szCs w:val="20"/>
              </w:rPr>
              <w:t>% Heating HVAC Savings/degree Fahrenheit difference (regression output)</w:t>
            </w:r>
          </w:p>
        </w:tc>
        <w:tc>
          <w:tcPr>
            <w:tcW w:w="899" w:type="dxa"/>
            <w:tcBorders>
              <w:top w:val="single" w:sz="6" w:space="0" w:color="000000"/>
              <w:left w:val="single" w:sz="6" w:space="0" w:color="CCCCCC"/>
              <w:bottom w:val="single" w:sz="6" w:space="0" w:color="000000"/>
              <w:right w:val="single" w:sz="6" w:space="0" w:color="000000"/>
            </w:tcBorders>
            <w:shd w:val="clear" w:color="auto" w:fill="D9D9D9" w:themeFill="background1" w:themeFillShade="D9"/>
            <w:vAlign w:val="center"/>
          </w:tcPr>
          <w:p w14:paraId="1712519D" w14:textId="4D75320A" w:rsidR="00CA33A7" w:rsidRPr="00206AE1" w:rsidRDefault="00CA33A7" w:rsidP="004D422D">
            <w:pPr>
              <w:jc w:val="center"/>
              <w:rPr>
                <w:rFonts w:asciiTheme="majorHAnsi" w:eastAsia="Times New Roman" w:hAnsiTheme="majorHAnsi" w:cs="Times New Roman"/>
                <w:b/>
                <w:bCs/>
                <w:color w:val="auto"/>
                <w:sz w:val="20"/>
                <w:szCs w:val="20"/>
              </w:rPr>
            </w:pPr>
            <w:r w:rsidRPr="00206AE1">
              <w:rPr>
                <w:rFonts w:asciiTheme="majorHAnsi" w:eastAsia="Times New Roman" w:hAnsiTheme="majorHAnsi" w:cs="Times New Roman"/>
                <w:b/>
                <w:bCs/>
                <w:color w:val="auto"/>
                <w:sz w:val="20"/>
                <w:szCs w:val="20"/>
              </w:rPr>
              <w:t>Heating Savings (kWh from furnace fan)</w:t>
            </w:r>
          </w:p>
        </w:tc>
        <w:tc>
          <w:tcPr>
            <w:tcW w:w="90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30" w:type="dxa"/>
              <w:left w:w="45" w:type="dxa"/>
              <w:bottom w:w="30" w:type="dxa"/>
              <w:right w:w="45" w:type="dxa"/>
            </w:tcMar>
            <w:vAlign w:val="center"/>
            <w:hideMark/>
          </w:tcPr>
          <w:p w14:paraId="2FE44D4D" w14:textId="678E86ED" w:rsidR="00CA33A7" w:rsidRPr="00206AE1" w:rsidRDefault="00CA33A7" w:rsidP="00F458A0">
            <w:pPr>
              <w:jc w:val="center"/>
              <w:rPr>
                <w:rFonts w:asciiTheme="majorHAnsi" w:eastAsia="Times New Roman" w:hAnsiTheme="majorHAnsi" w:cs="Times New Roman"/>
                <w:b/>
                <w:bCs/>
                <w:color w:val="auto"/>
                <w:sz w:val="20"/>
                <w:szCs w:val="20"/>
              </w:rPr>
            </w:pPr>
            <w:r w:rsidRPr="00206AE1">
              <w:rPr>
                <w:rFonts w:asciiTheme="majorHAnsi" w:eastAsia="Times New Roman" w:hAnsiTheme="majorHAnsi" w:cs="Times New Roman"/>
                <w:b/>
                <w:bCs/>
                <w:color w:val="auto"/>
                <w:sz w:val="20"/>
                <w:szCs w:val="20"/>
              </w:rPr>
              <w:t>Total Gas</w:t>
            </w:r>
          </w:p>
          <w:p w14:paraId="0E1D73D5" w14:textId="70EC2F6D" w:rsidR="00CA33A7" w:rsidRPr="00206AE1" w:rsidRDefault="00CA33A7" w:rsidP="00F458A0">
            <w:pPr>
              <w:jc w:val="center"/>
              <w:rPr>
                <w:rFonts w:asciiTheme="majorHAnsi" w:eastAsia="Times New Roman" w:hAnsiTheme="majorHAnsi" w:cs="Times New Roman"/>
                <w:b/>
                <w:bCs/>
                <w:color w:val="auto"/>
                <w:sz w:val="20"/>
                <w:szCs w:val="20"/>
              </w:rPr>
            </w:pPr>
            <w:r w:rsidRPr="00206AE1">
              <w:rPr>
                <w:rFonts w:asciiTheme="majorHAnsi" w:eastAsia="Times New Roman" w:hAnsiTheme="majorHAnsi" w:cs="Times New Roman"/>
                <w:b/>
                <w:bCs/>
                <w:color w:val="auto"/>
                <w:sz w:val="20"/>
                <w:szCs w:val="20"/>
              </w:rPr>
              <w:t>Savings (</w:t>
            </w:r>
            <w:proofErr w:type="spellStart"/>
            <w:r w:rsidRPr="00206AE1">
              <w:rPr>
                <w:rFonts w:asciiTheme="majorHAnsi" w:eastAsia="Times New Roman" w:hAnsiTheme="majorHAnsi" w:cs="Times New Roman"/>
                <w:b/>
                <w:bCs/>
                <w:color w:val="auto"/>
                <w:sz w:val="20"/>
                <w:szCs w:val="20"/>
              </w:rPr>
              <w:t>therms</w:t>
            </w:r>
            <w:proofErr w:type="spellEnd"/>
            <w:r w:rsidRPr="00206AE1">
              <w:rPr>
                <w:rFonts w:asciiTheme="majorHAnsi" w:eastAsia="Times New Roman" w:hAnsiTheme="majorHAnsi" w:cs="Times New Roman"/>
                <w:b/>
                <w:bCs/>
                <w:color w:val="auto"/>
                <w:sz w:val="20"/>
                <w:szCs w:val="20"/>
              </w:rPr>
              <w:t>)</w:t>
            </w:r>
          </w:p>
        </w:tc>
        <w:tc>
          <w:tcPr>
            <w:tcW w:w="865"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30" w:type="dxa"/>
              <w:left w:w="45" w:type="dxa"/>
              <w:bottom w:w="30" w:type="dxa"/>
              <w:right w:w="45" w:type="dxa"/>
            </w:tcMar>
            <w:vAlign w:val="center"/>
            <w:hideMark/>
          </w:tcPr>
          <w:p w14:paraId="1AF15E5D" w14:textId="578398A3" w:rsidR="00CA33A7" w:rsidRPr="00206AE1" w:rsidRDefault="00CA33A7" w:rsidP="00722068">
            <w:pPr>
              <w:jc w:val="center"/>
              <w:rPr>
                <w:rFonts w:asciiTheme="majorHAnsi" w:eastAsia="Times New Roman" w:hAnsiTheme="majorHAnsi" w:cs="Times New Roman"/>
                <w:b/>
                <w:bCs/>
                <w:color w:val="auto"/>
                <w:sz w:val="20"/>
                <w:szCs w:val="20"/>
              </w:rPr>
            </w:pPr>
            <w:r w:rsidRPr="00206AE1">
              <w:rPr>
                <w:rFonts w:asciiTheme="majorHAnsi" w:eastAsia="Times New Roman" w:hAnsiTheme="majorHAnsi" w:cs="Times New Roman"/>
                <w:b/>
                <w:bCs/>
                <w:color w:val="auto"/>
                <w:sz w:val="20"/>
                <w:szCs w:val="20"/>
              </w:rPr>
              <w:t>Total Electric Savings (kWh)</w:t>
            </w:r>
          </w:p>
        </w:tc>
      </w:tr>
      <w:tr w:rsidR="00CA33A7" w:rsidRPr="00206AE1" w14:paraId="77A5D75E" w14:textId="77777777" w:rsidTr="00206AE1">
        <w:trPr>
          <w:trHeight w:val="390"/>
        </w:trPr>
        <w:tc>
          <w:tcPr>
            <w:tcW w:w="810" w:type="dxa"/>
            <w:tcBorders>
              <w:top w:val="single" w:sz="6" w:space="0" w:color="CCCCCC"/>
              <w:left w:val="single" w:sz="6" w:space="0" w:color="000000"/>
              <w:bottom w:val="single" w:sz="6" w:space="0" w:color="000000"/>
              <w:right w:val="single" w:sz="6" w:space="0" w:color="000000"/>
            </w:tcBorders>
            <w:shd w:val="clear" w:color="auto" w:fill="FFFFFF" w:themeFill="background1"/>
            <w:tcMar>
              <w:top w:w="30" w:type="dxa"/>
              <w:left w:w="45" w:type="dxa"/>
              <w:bottom w:w="30" w:type="dxa"/>
              <w:right w:w="45" w:type="dxa"/>
            </w:tcMar>
            <w:vAlign w:val="bottom"/>
            <w:hideMark/>
          </w:tcPr>
          <w:p w14:paraId="6773D7C1" w14:textId="305AFC1E" w:rsidR="00CA33A7" w:rsidRPr="00206AE1" w:rsidRDefault="00CA33A7" w:rsidP="00206AE1">
            <w:pPr>
              <w:jc w:val="center"/>
              <w:rPr>
                <w:rFonts w:asciiTheme="majorHAnsi" w:eastAsia="Times New Roman" w:hAnsiTheme="majorHAnsi" w:cs="Times New Roman"/>
                <w:b/>
                <w:color w:val="auto"/>
                <w:sz w:val="20"/>
                <w:szCs w:val="20"/>
              </w:rPr>
            </w:pPr>
            <w:r w:rsidRPr="00206AE1">
              <w:rPr>
                <w:rFonts w:asciiTheme="majorHAnsi" w:eastAsia="Times New Roman" w:hAnsiTheme="majorHAnsi" w:cs="Times New Roman"/>
                <w:b/>
                <w:color w:val="auto"/>
                <w:sz w:val="20"/>
                <w:szCs w:val="20"/>
              </w:rPr>
              <w:t>CZ01</w:t>
            </w:r>
          </w:p>
        </w:tc>
        <w:tc>
          <w:tcPr>
            <w:tcW w:w="3011" w:type="dxa"/>
            <w:gridSpan w:val="3"/>
            <w:tcBorders>
              <w:top w:val="single" w:sz="6" w:space="0" w:color="CCCCCC"/>
              <w:left w:val="single" w:sz="6" w:space="0" w:color="CCCCCC"/>
              <w:bottom w:val="single" w:sz="6" w:space="0" w:color="000000"/>
              <w:right w:val="single" w:sz="6" w:space="0" w:color="000000"/>
            </w:tcBorders>
            <w:shd w:val="clear" w:color="auto" w:fill="FFFFFF" w:themeFill="background1"/>
            <w:tcMar>
              <w:top w:w="30" w:type="dxa"/>
              <w:left w:w="45" w:type="dxa"/>
              <w:bottom w:w="30" w:type="dxa"/>
              <w:right w:w="45" w:type="dxa"/>
            </w:tcMar>
            <w:vAlign w:val="center"/>
            <w:hideMark/>
          </w:tcPr>
          <w:p w14:paraId="6228FC99" w14:textId="77777777" w:rsidR="00CA33A7" w:rsidRPr="00206AE1" w:rsidRDefault="00CA33A7" w:rsidP="00206AE1">
            <w:pPr>
              <w:jc w:val="center"/>
              <w:rPr>
                <w:rFonts w:asciiTheme="majorHAnsi" w:eastAsia="Times New Roman" w:hAnsiTheme="majorHAnsi" w:cs="Times New Roman"/>
                <w:color w:val="auto"/>
                <w:sz w:val="20"/>
                <w:szCs w:val="20"/>
              </w:rPr>
            </w:pPr>
            <w:r w:rsidRPr="00206AE1">
              <w:rPr>
                <w:rFonts w:asciiTheme="majorHAnsi" w:eastAsia="Times New Roman" w:hAnsiTheme="majorHAnsi" w:cs="Times New Roman"/>
                <w:color w:val="auto"/>
                <w:sz w:val="20"/>
                <w:szCs w:val="20"/>
              </w:rPr>
              <w:t>Cooling sample too small - leverage kWh savings from furnace fan reduction</w:t>
            </w:r>
          </w:p>
        </w:tc>
        <w:tc>
          <w:tcPr>
            <w:tcW w:w="974"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30" w:type="dxa"/>
              <w:left w:w="45" w:type="dxa"/>
              <w:bottom w:w="30" w:type="dxa"/>
              <w:right w:w="45" w:type="dxa"/>
            </w:tcMar>
            <w:vAlign w:val="bottom"/>
            <w:hideMark/>
          </w:tcPr>
          <w:p w14:paraId="596F7297" w14:textId="77777777" w:rsidR="00CA33A7" w:rsidRPr="00206AE1" w:rsidRDefault="00CA33A7" w:rsidP="00206AE1">
            <w:pPr>
              <w:jc w:val="center"/>
              <w:rPr>
                <w:rFonts w:asciiTheme="majorHAnsi" w:eastAsia="Times New Roman" w:hAnsiTheme="majorHAnsi" w:cs="Times New Roman"/>
                <w:color w:val="auto"/>
                <w:sz w:val="20"/>
                <w:szCs w:val="20"/>
              </w:rPr>
            </w:pPr>
            <w:r w:rsidRPr="00206AE1">
              <w:rPr>
                <w:rFonts w:asciiTheme="majorHAnsi" w:eastAsia="Times New Roman" w:hAnsiTheme="majorHAnsi" w:cs="Times New Roman"/>
                <w:color w:val="auto"/>
                <w:sz w:val="20"/>
                <w:szCs w:val="20"/>
              </w:rPr>
              <w:t>4.27</w:t>
            </w:r>
          </w:p>
        </w:tc>
        <w:tc>
          <w:tcPr>
            <w:tcW w:w="1243"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30" w:type="dxa"/>
              <w:left w:w="45" w:type="dxa"/>
              <w:bottom w:w="30" w:type="dxa"/>
              <w:right w:w="45" w:type="dxa"/>
            </w:tcMar>
            <w:vAlign w:val="bottom"/>
            <w:hideMark/>
          </w:tcPr>
          <w:p w14:paraId="238BF21C" w14:textId="77777777" w:rsidR="00CA33A7" w:rsidRPr="00206AE1" w:rsidRDefault="00CA33A7" w:rsidP="00206AE1">
            <w:pPr>
              <w:jc w:val="center"/>
              <w:rPr>
                <w:rFonts w:asciiTheme="majorHAnsi" w:eastAsia="Times New Roman" w:hAnsiTheme="majorHAnsi" w:cs="Times New Roman"/>
                <w:color w:val="auto"/>
                <w:sz w:val="20"/>
                <w:szCs w:val="20"/>
              </w:rPr>
            </w:pPr>
            <w:r w:rsidRPr="00206AE1">
              <w:rPr>
                <w:rFonts w:asciiTheme="majorHAnsi" w:eastAsia="Times New Roman" w:hAnsiTheme="majorHAnsi" w:cs="Times New Roman"/>
                <w:color w:val="auto"/>
                <w:sz w:val="20"/>
                <w:szCs w:val="20"/>
              </w:rPr>
              <w:t>10.9%</w:t>
            </w:r>
          </w:p>
        </w:tc>
        <w:tc>
          <w:tcPr>
            <w:tcW w:w="899" w:type="dxa"/>
            <w:tcBorders>
              <w:top w:val="single" w:sz="6" w:space="0" w:color="000000"/>
              <w:left w:val="single" w:sz="6" w:space="0" w:color="CCCCCC"/>
              <w:bottom w:val="single" w:sz="6" w:space="0" w:color="000000"/>
              <w:right w:val="single" w:sz="6" w:space="0" w:color="000000"/>
            </w:tcBorders>
            <w:shd w:val="clear" w:color="auto" w:fill="FFFFFF" w:themeFill="background1"/>
            <w:vAlign w:val="bottom"/>
          </w:tcPr>
          <w:p w14:paraId="1300E0E3" w14:textId="00393E3C" w:rsidR="00CA33A7" w:rsidRPr="00206AE1" w:rsidRDefault="00CA33A7" w:rsidP="00206AE1">
            <w:pPr>
              <w:jc w:val="center"/>
              <w:rPr>
                <w:rFonts w:asciiTheme="majorHAnsi" w:eastAsia="Times New Roman" w:hAnsiTheme="majorHAnsi" w:cs="Times New Roman"/>
                <w:bCs/>
                <w:color w:val="auto"/>
                <w:sz w:val="20"/>
                <w:szCs w:val="20"/>
              </w:rPr>
            </w:pPr>
            <w:r w:rsidRPr="00206AE1">
              <w:rPr>
                <w:rFonts w:asciiTheme="majorHAnsi" w:eastAsia="Times New Roman" w:hAnsiTheme="majorHAnsi" w:cs="Times New Roman"/>
                <w:bCs/>
                <w:color w:val="auto"/>
                <w:sz w:val="20"/>
                <w:szCs w:val="20"/>
              </w:rPr>
              <w:t>26</w:t>
            </w:r>
          </w:p>
        </w:tc>
        <w:tc>
          <w:tcPr>
            <w:tcW w:w="909" w:type="dxa"/>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30" w:type="dxa"/>
              <w:left w:w="45" w:type="dxa"/>
              <w:bottom w:w="30" w:type="dxa"/>
              <w:right w:w="45" w:type="dxa"/>
            </w:tcMar>
            <w:vAlign w:val="bottom"/>
            <w:hideMark/>
          </w:tcPr>
          <w:p w14:paraId="4AD3DB30" w14:textId="60DCB77B" w:rsidR="00CA33A7" w:rsidRPr="00206AE1" w:rsidRDefault="00CA33A7" w:rsidP="00206AE1">
            <w:pPr>
              <w:jc w:val="center"/>
              <w:rPr>
                <w:rFonts w:asciiTheme="majorHAnsi" w:eastAsia="Times New Roman" w:hAnsiTheme="majorHAnsi" w:cs="Times New Roman"/>
                <w:b/>
                <w:bCs/>
                <w:color w:val="auto"/>
                <w:sz w:val="20"/>
                <w:szCs w:val="20"/>
              </w:rPr>
            </w:pPr>
            <w:r w:rsidRPr="00206AE1">
              <w:rPr>
                <w:rFonts w:asciiTheme="majorHAnsi" w:eastAsia="Times New Roman" w:hAnsiTheme="majorHAnsi" w:cs="Times New Roman"/>
                <w:b/>
                <w:bCs/>
                <w:color w:val="auto"/>
                <w:sz w:val="20"/>
                <w:szCs w:val="20"/>
              </w:rPr>
              <w:t>49</w:t>
            </w:r>
          </w:p>
        </w:tc>
        <w:tc>
          <w:tcPr>
            <w:tcW w:w="865" w:type="dxa"/>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30" w:type="dxa"/>
              <w:left w:w="45" w:type="dxa"/>
              <w:bottom w:w="30" w:type="dxa"/>
              <w:right w:w="45" w:type="dxa"/>
            </w:tcMar>
            <w:vAlign w:val="bottom"/>
            <w:hideMark/>
          </w:tcPr>
          <w:p w14:paraId="3C8C9110" w14:textId="7273B354" w:rsidR="00CA33A7" w:rsidRPr="00206AE1" w:rsidRDefault="00CA33A7" w:rsidP="00206AE1">
            <w:pPr>
              <w:jc w:val="center"/>
              <w:rPr>
                <w:rFonts w:asciiTheme="majorHAnsi" w:eastAsia="Times New Roman" w:hAnsiTheme="majorHAnsi" w:cs="Times New Roman"/>
                <w:b/>
                <w:bCs/>
                <w:color w:val="auto"/>
                <w:sz w:val="20"/>
                <w:szCs w:val="20"/>
              </w:rPr>
            </w:pPr>
            <w:r w:rsidRPr="00206AE1">
              <w:rPr>
                <w:rFonts w:asciiTheme="majorHAnsi" w:eastAsia="Times New Roman" w:hAnsiTheme="majorHAnsi" w:cs="Times New Roman"/>
                <w:b/>
                <w:bCs/>
                <w:color w:val="auto"/>
                <w:sz w:val="20"/>
                <w:szCs w:val="20"/>
              </w:rPr>
              <w:t>26</w:t>
            </w:r>
          </w:p>
        </w:tc>
      </w:tr>
      <w:tr w:rsidR="00CA33A7" w:rsidRPr="00206AE1" w14:paraId="32A1F6F1" w14:textId="77777777" w:rsidTr="00206AE1">
        <w:trPr>
          <w:trHeight w:val="315"/>
        </w:trPr>
        <w:tc>
          <w:tcPr>
            <w:tcW w:w="810" w:type="dxa"/>
            <w:tcBorders>
              <w:top w:val="single" w:sz="6" w:space="0" w:color="CCCCCC"/>
              <w:left w:val="single" w:sz="6" w:space="0" w:color="000000"/>
              <w:bottom w:val="single" w:sz="6" w:space="0" w:color="000000"/>
              <w:right w:val="single" w:sz="6" w:space="0" w:color="000000"/>
            </w:tcBorders>
            <w:shd w:val="clear" w:color="auto" w:fill="FFFFFF" w:themeFill="background1"/>
            <w:tcMar>
              <w:top w:w="30" w:type="dxa"/>
              <w:left w:w="45" w:type="dxa"/>
              <w:bottom w:w="30" w:type="dxa"/>
              <w:right w:w="45" w:type="dxa"/>
            </w:tcMar>
            <w:vAlign w:val="bottom"/>
            <w:hideMark/>
          </w:tcPr>
          <w:p w14:paraId="30443912" w14:textId="317FBA82" w:rsidR="00CA33A7" w:rsidRPr="00206AE1" w:rsidRDefault="00CA33A7" w:rsidP="00206AE1">
            <w:pPr>
              <w:jc w:val="center"/>
              <w:rPr>
                <w:rFonts w:asciiTheme="majorHAnsi" w:eastAsia="Times New Roman" w:hAnsiTheme="majorHAnsi" w:cs="Times New Roman"/>
                <w:b/>
                <w:color w:val="auto"/>
                <w:sz w:val="20"/>
                <w:szCs w:val="20"/>
              </w:rPr>
            </w:pPr>
            <w:r w:rsidRPr="00206AE1">
              <w:rPr>
                <w:rFonts w:asciiTheme="majorHAnsi" w:eastAsia="Times New Roman" w:hAnsiTheme="majorHAnsi" w:cs="Times New Roman"/>
                <w:b/>
                <w:color w:val="auto"/>
                <w:sz w:val="20"/>
                <w:szCs w:val="20"/>
              </w:rPr>
              <w:t>CZ02</w:t>
            </w:r>
          </w:p>
        </w:tc>
        <w:tc>
          <w:tcPr>
            <w:tcW w:w="911"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30" w:type="dxa"/>
              <w:left w:w="45" w:type="dxa"/>
              <w:bottom w:w="30" w:type="dxa"/>
              <w:right w:w="45" w:type="dxa"/>
            </w:tcMar>
            <w:vAlign w:val="bottom"/>
            <w:hideMark/>
          </w:tcPr>
          <w:p w14:paraId="444E2E32" w14:textId="77777777" w:rsidR="00CA33A7" w:rsidRPr="00206AE1" w:rsidRDefault="00CA33A7" w:rsidP="00206AE1">
            <w:pPr>
              <w:jc w:val="center"/>
              <w:rPr>
                <w:rFonts w:asciiTheme="majorHAnsi" w:eastAsia="Times New Roman" w:hAnsiTheme="majorHAnsi" w:cs="Times New Roman"/>
                <w:color w:val="auto"/>
                <w:sz w:val="20"/>
                <w:szCs w:val="20"/>
              </w:rPr>
            </w:pPr>
            <w:r w:rsidRPr="00206AE1">
              <w:rPr>
                <w:rFonts w:asciiTheme="majorHAnsi" w:eastAsia="Times New Roman" w:hAnsiTheme="majorHAnsi" w:cs="Times New Roman"/>
                <w:color w:val="auto"/>
                <w:sz w:val="20"/>
                <w:szCs w:val="20"/>
              </w:rPr>
              <w:t>-2.79</w:t>
            </w:r>
          </w:p>
        </w:tc>
        <w:tc>
          <w:tcPr>
            <w:tcW w:w="1243"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30" w:type="dxa"/>
              <w:left w:w="45" w:type="dxa"/>
              <w:bottom w:w="30" w:type="dxa"/>
              <w:right w:w="45" w:type="dxa"/>
            </w:tcMar>
            <w:vAlign w:val="bottom"/>
            <w:hideMark/>
          </w:tcPr>
          <w:p w14:paraId="064F1905" w14:textId="77777777" w:rsidR="00CA33A7" w:rsidRPr="00206AE1" w:rsidRDefault="00CA33A7" w:rsidP="00206AE1">
            <w:pPr>
              <w:jc w:val="center"/>
              <w:rPr>
                <w:rFonts w:asciiTheme="majorHAnsi" w:eastAsia="Times New Roman" w:hAnsiTheme="majorHAnsi" w:cs="Times New Roman"/>
                <w:color w:val="auto"/>
                <w:sz w:val="20"/>
                <w:szCs w:val="20"/>
              </w:rPr>
            </w:pPr>
            <w:r w:rsidRPr="00206AE1">
              <w:rPr>
                <w:rFonts w:asciiTheme="majorHAnsi" w:eastAsia="Times New Roman" w:hAnsiTheme="majorHAnsi" w:cs="Times New Roman"/>
                <w:color w:val="auto"/>
                <w:sz w:val="20"/>
                <w:szCs w:val="20"/>
              </w:rPr>
              <w:t>-8.1%</w:t>
            </w:r>
          </w:p>
        </w:tc>
        <w:tc>
          <w:tcPr>
            <w:tcW w:w="857"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30" w:type="dxa"/>
              <w:left w:w="45" w:type="dxa"/>
              <w:bottom w:w="30" w:type="dxa"/>
              <w:right w:w="45" w:type="dxa"/>
            </w:tcMar>
            <w:vAlign w:val="bottom"/>
            <w:hideMark/>
          </w:tcPr>
          <w:p w14:paraId="237F9B07" w14:textId="77777777" w:rsidR="00CA33A7" w:rsidRPr="00206AE1" w:rsidRDefault="00CA33A7" w:rsidP="00206AE1">
            <w:pPr>
              <w:jc w:val="center"/>
              <w:rPr>
                <w:rFonts w:asciiTheme="majorHAnsi" w:eastAsia="Times New Roman" w:hAnsiTheme="majorHAnsi" w:cs="Times New Roman"/>
                <w:bCs/>
                <w:color w:val="auto"/>
                <w:sz w:val="20"/>
                <w:szCs w:val="20"/>
              </w:rPr>
            </w:pPr>
            <w:r w:rsidRPr="00206AE1">
              <w:rPr>
                <w:rFonts w:asciiTheme="majorHAnsi" w:eastAsia="Times New Roman" w:hAnsiTheme="majorHAnsi" w:cs="Times New Roman"/>
                <w:bCs/>
                <w:color w:val="auto"/>
                <w:sz w:val="20"/>
                <w:szCs w:val="20"/>
              </w:rPr>
              <w:t>123</w:t>
            </w:r>
          </w:p>
        </w:tc>
        <w:tc>
          <w:tcPr>
            <w:tcW w:w="974"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30" w:type="dxa"/>
              <w:left w:w="45" w:type="dxa"/>
              <w:bottom w:w="30" w:type="dxa"/>
              <w:right w:w="45" w:type="dxa"/>
            </w:tcMar>
            <w:vAlign w:val="bottom"/>
            <w:hideMark/>
          </w:tcPr>
          <w:p w14:paraId="716B1695" w14:textId="77777777" w:rsidR="00CA33A7" w:rsidRPr="00206AE1" w:rsidRDefault="00CA33A7" w:rsidP="00206AE1">
            <w:pPr>
              <w:jc w:val="center"/>
              <w:rPr>
                <w:rFonts w:asciiTheme="majorHAnsi" w:eastAsia="Times New Roman" w:hAnsiTheme="majorHAnsi" w:cs="Times New Roman"/>
                <w:color w:val="auto"/>
                <w:sz w:val="20"/>
                <w:szCs w:val="20"/>
              </w:rPr>
            </w:pPr>
            <w:r w:rsidRPr="00206AE1">
              <w:rPr>
                <w:rFonts w:asciiTheme="majorHAnsi" w:eastAsia="Times New Roman" w:hAnsiTheme="majorHAnsi" w:cs="Times New Roman"/>
                <w:color w:val="auto"/>
                <w:sz w:val="20"/>
                <w:szCs w:val="20"/>
              </w:rPr>
              <w:t>3.96</w:t>
            </w:r>
          </w:p>
        </w:tc>
        <w:tc>
          <w:tcPr>
            <w:tcW w:w="1243"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30" w:type="dxa"/>
              <w:left w:w="45" w:type="dxa"/>
              <w:bottom w:w="30" w:type="dxa"/>
              <w:right w:w="45" w:type="dxa"/>
            </w:tcMar>
            <w:vAlign w:val="bottom"/>
            <w:hideMark/>
          </w:tcPr>
          <w:p w14:paraId="344E576D" w14:textId="77777777" w:rsidR="00CA33A7" w:rsidRPr="00206AE1" w:rsidRDefault="00CA33A7" w:rsidP="00206AE1">
            <w:pPr>
              <w:jc w:val="center"/>
              <w:rPr>
                <w:rFonts w:asciiTheme="majorHAnsi" w:eastAsia="Times New Roman" w:hAnsiTheme="majorHAnsi" w:cs="Times New Roman"/>
                <w:color w:val="auto"/>
                <w:sz w:val="20"/>
                <w:szCs w:val="20"/>
              </w:rPr>
            </w:pPr>
            <w:r w:rsidRPr="00206AE1">
              <w:rPr>
                <w:rFonts w:asciiTheme="majorHAnsi" w:eastAsia="Times New Roman" w:hAnsiTheme="majorHAnsi" w:cs="Times New Roman"/>
                <w:color w:val="auto"/>
                <w:sz w:val="20"/>
                <w:szCs w:val="20"/>
              </w:rPr>
              <w:t>9.5%</w:t>
            </w:r>
          </w:p>
        </w:tc>
        <w:tc>
          <w:tcPr>
            <w:tcW w:w="899" w:type="dxa"/>
            <w:tcBorders>
              <w:top w:val="single" w:sz="6" w:space="0" w:color="000000"/>
              <w:left w:val="single" w:sz="6" w:space="0" w:color="CCCCCC"/>
              <w:bottom w:val="single" w:sz="6" w:space="0" w:color="000000"/>
              <w:right w:val="single" w:sz="6" w:space="0" w:color="000000"/>
            </w:tcBorders>
            <w:shd w:val="clear" w:color="auto" w:fill="FFFFFF" w:themeFill="background1"/>
            <w:vAlign w:val="bottom"/>
          </w:tcPr>
          <w:p w14:paraId="3B8AD610" w14:textId="444200BE" w:rsidR="00CA33A7" w:rsidRPr="00206AE1" w:rsidRDefault="00CA33A7" w:rsidP="00206AE1">
            <w:pPr>
              <w:jc w:val="center"/>
              <w:rPr>
                <w:rFonts w:asciiTheme="majorHAnsi" w:eastAsia="Times New Roman" w:hAnsiTheme="majorHAnsi" w:cs="Times New Roman"/>
                <w:bCs/>
                <w:color w:val="auto"/>
                <w:sz w:val="20"/>
                <w:szCs w:val="20"/>
              </w:rPr>
            </w:pPr>
            <w:r w:rsidRPr="00206AE1">
              <w:rPr>
                <w:rFonts w:asciiTheme="majorHAnsi" w:eastAsia="Times New Roman" w:hAnsiTheme="majorHAnsi" w:cs="Times New Roman"/>
                <w:bCs/>
                <w:color w:val="auto"/>
                <w:sz w:val="20"/>
                <w:szCs w:val="20"/>
              </w:rPr>
              <w:t>26</w:t>
            </w:r>
          </w:p>
        </w:tc>
        <w:tc>
          <w:tcPr>
            <w:tcW w:w="909" w:type="dxa"/>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30" w:type="dxa"/>
              <w:left w:w="45" w:type="dxa"/>
              <w:bottom w:w="30" w:type="dxa"/>
              <w:right w:w="45" w:type="dxa"/>
            </w:tcMar>
            <w:vAlign w:val="bottom"/>
            <w:hideMark/>
          </w:tcPr>
          <w:p w14:paraId="3C7CCFD5" w14:textId="25FBE1AD" w:rsidR="00CA33A7" w:rsidRPr="00206AE1" w:rsidRDefault="00CA33A7" w:rsidP="00206AE1">
            <w:pPr>
              <w:jc w:val="center"/>
              <w:rPr>
                <w:rFonts w:asciiTheme="majorHAnsi" w:eastAsia="Times New Roman" w:hAnsiTheme="majorHAnsi" w:cs="Times New Roman"/>
                <w:b/>
                <w:bCs/>
                <w:color w:val="auto"/>
                <w:sz w:val="20"/>
                <w:szCs w:val="20"/>
              </w:rPr>
            </w:pPr>
            <w:r w:rsidRPr="00206AE1">
              <w:rPr>
                <w:rFonts w:asciiTheme="majorHAnsi" w:eastAsia="Times New Roman" w:hAnsiTheme="majorHAnsi" w:cs="Times New Roman"/>
                <w:b/>
                <w:bCs/>
                <w:color w:val="auto"/>
                <w:sz w:val="20"/>
                <w:szCs w:val="20"/>
              </w:rPr>
              <w:t>31</w:t>
            </w:r>
          </w:p>
        </w:tc>
        <w:tc>
          <w:tcPr>
            <w:tcW w:w="865" w:type="dxa"/>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30" w:type="dxa"/>
              <w:left w:w="45" w:type="dxa"/>
              <w:bottom w:w="30" w:type="dxa"/>
              <w:right w:w="45" w:type="dxa"/>
            </w:tcMar>
            <w:vAlign w:val="bottom"/>
            <w:hideMark/>
          </w:tcPr>
          <w:p w14:paraId="1B3DF30D" w14:textId="1302A2A3" w:rsidR="00CA33A7" w:rsidRPr="00206AE1" w:rsidRDefault="00CA33A7" w:rsidP="00206AE1">
            <w:pPr>
              <w:jc w:val="center"/>
              <w:rPr>
                <w:rFonts w:asciiTheme="majorHAnsi" w:eastAsia="Times New Roman" w:hAnsiTheme="majorHAnsi" w:cs="Times New Roman"/>
                <w:b/>
                <w:bCs/>
                <w:color w:val="auto"/>
                <w:sz w:val="20"/>
                <w:szCs w:val="20"/>
              </w:rPr>
            </w:pPr>
            <w:r w:rsidRPr="00206AE1">
              <w:rPr>
                <w:rFonts w:asciiTheme="majorHAnsi" w:eastAsia="Times New Roman" w:hAnsiTheme="majorHAnsi" w:cs="Times New Roman"/>
                <w:b/>
                <w:bCs/>
                <w:color w:val="auto"/>
                <w:sz w:val="20"/>
                <w:szCs w:val="20"/>
              </w:rPr>
              <w:t>149</w:t>
            </w:r>
          </w:p>
        </w:tc>
      </w:tr>
      <w:tr w:rsidR="00CA33A7" w:rsidRPr="00206AE1" w14:paraId="728540D0" w14:textId="77777777" w:rsidTr="00206AE1">
        <w:trPr>
          <w:trHeight w:val="315"/>
        </w:trPr>
        <w:tc>
          <w:tcPr>
            <w:tcW w:w="810" w:type="dxa"/>
            <w:tcBorders>
              <w:top w:val="single" w:sz="6" w:space="0" w:color="CCCCCC"/>
              <w:left w:val="single" w:sz="6" w:space="0" w:color="000000"/>
              <w:bottom w:val="single" w:sz="6" w:space="0" w:color="000000"/>
              <w:right w:val="single" w:sz="6" w:space="0" w:color="000000"/>
            </w:tcBorders>
            <w:shd w:val="clear" w:color="auto" w:fill="FFFFFF" w:themeFill="background1"/>
            <w:tcMar>
              <w:top w:w="30" w:type="dxa"/>
              <w:left w:w="45" w:type="dxa"/>
              <w:bottom w:w="30" w:type="dxa"/>
              <w:right w:w="45" w:type="dxa"/>
            </w:tcMar>
            <w:vAlign w:val="bottom"/>
            <w:hideMark/>
          </w:tcPr>
          <w:p w14:paraId="0A8B3E64" w14:textId="0C22DBE8" w:rsidR="00CA33A7" w:rsidRPr="00206AE1" w:rsidRDefault="00CA33A7" w:rsidP="00206AE1">
            <w:pPr>
              <w:jc w:val="center"/>
              <w:rPr>
                <w:rFonts w:asciiTheme="majorHAnsi" w:eastAsia="Times New Roman" w:hAnsiTheme="majorHAnsi" w:cs="Times New Roman"/>
                <w:b/>
                <w:color w:val="auto"/>
                <w:sz w:val="20"/>
                <w:szCs w:val="20"/>
              </w:rPr>
            </w:pPr>
            <w:r w:rsidRPr="00206AE1">
              <w:rPr>
                <w:rFonts w:asciiTheme="majorHAnsi" w:eastAsia="Times New Roman" w:hAnsiTheme="majorHAnsi" w:cs="Times New Roman"/>
                <w:b/>
                <w:color w:val="auto"/>
                <w:sz w:val="20"/>
                <w:szCs w:val="20"/>
              </w:rPr>
              <w:t>CZ03</w:t>
            </w:r>
          </w:p>
        </w:tc>
        <w:tc>
          <w:tcPr>
            <w:tcW w:w="911"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30" w:type="dxa"/>
              <w:left w:w="45" w:type="dxa"/>
              <w:bottom w:w="30" w:type="dxa"/>
              <w:right w:w="45" w:type="dxa"/>
            </w:tcMar>
            <w:vAlign w:val="bottom"/>
            <w:hideMark/>
          </w:tcPr>
          <w:p w14:paraId="1AE536B5" w14:textId="77777777" w:rsidR="00CA33A7" w:rsidRPr="00206AE1" w:rsidRDefault="00CA33A7" w:rsidP="00206AE1">
            <w:pPr>
              <w:jc w:val="center"/>
              <w:rPr>
                <w:rFonts w:asciiTheme="majorHAnsi" w:eastAsia="Times New Roman" w:hAnsiTheme="majorHAnsi" w:cs="Times New Roman"/>
                <w:color w:val="auto"/>
                <w:sz w:val="20"/>
                <w:szCs w:val="20"/>
              </w:rPr>
            </w:pPr>
            <w:r w:rsidRPr="00206AE1">
              <w:rPr>
                <w:rFonts w:asciiTheme="majorHAnsi" w:eastAsia="Times New Roman" w:hAnsiTheme="majorHAnsi" w:cs="Times New Roman"/>
                <w:color w:val="auto"/>
                <w:sz w:val="20"/>
                <w:szCs w:val="20"/>
              </w:rPr>
              <w:t>-2.77</w:t>
            </w:r>
          </w:p>
        </w:tc>
        <w:tc>
          <w:tcPr>
            <w:tcW w:w="1243"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30" w:type="dxa"/>
              <w:left w:w="45" w:type="dxa"/>
              <w:bottom w:w="30" w:type="dxa"/>
              <w:right w:w="45" w:type="dxa"/>
            </w:tcMar>
            <w:vAlign w:val="bottom"/>
            <w:hideMark/>
          </w:tcPr>
          <w:p w14:paraId="66706FF4" w14:textId="77777777" w:rsidR="00CA33A7" w:rsidRPr="00206AE1" w:rsidRDefault="00CA33A7" w:rsidP="00206AE1">
            <w:pPr>
              <w:jc w:val="center"/>
              <w:rPr>
                <w:rFonts w:asciiTheme="majorHAnsi" w:eastAsia="Times New Roman" w:hAnsiTheme="majorHAnsi" w:cs="Times New Roman"/>
                <w:color w:val="auto"/>
                <w:sz w:val="20"/>
                <w:szCs w:val="20"/>
              </w:rPr>
            </w:pPr>
            <w:r w:rsidRPr="00206AE1">
              <w:rPr>
                <w:rFonts w:asciiTheme="majorHAnsi" w:eastAsia="Times New Roman" w:hAnsiTheme="majorHAnsi" w:cs="Times New Roman"/>
                <w:color w:val="auto"/>
                <w:sz w:val="20"/>
                <w:szCs w:val="20"/>
              </w:rPr>
              <w:t>-7.6%</w:t>
            </w:r>
          </w:p>
        </w:tc>
        <w:tc>
          <w:tcPr>
            <w:tcW w:w="857"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30" w:type="dxa"/>
              <w:left w:w="45" w:type="dxa"/>
              <w:bottom w:w="30" w:type="dxa"/>
              <w:right w:w="45" w:type="dxa"/>
            </w:tcMar>
            <w:vAlign w:val="bottom"/>
            <w:hideMark/>
          </w:tcPr>
          <w:p w14:paraId="0283D84F" w14:textId="77777777" w:rsidR="00CA33A7" w:rsidRPr="00206AE1" w:rsidRDefault="00CA33A7" w:rsidP="00206AE1">
            <w:pPr>
              <w:jc w:val="center"/>
              <w:rPr>
                <w:rFonts w:asciiTheme="majorHAnsi" w:eastAsia="Times New Roman" w:hAnsiTheme="majorHAnsi" w:cs="Times New Roman"/>
                <w:bCs/>
                <w:color w:val="auto"/>
                <w:sz w:val="20"/>
                <w:szCs w:val="20"/>
              </w:rPr>
            </w:pPr>
            <w:r w:rsidRPr="00206AE1">
              <w:rPr>
                <w:rFonts w:asciiTheme="majorHAnsi" w:eastAsia="Times New Roman" w:hAnsiTheme="majorHAnsi" w:cs="Times New Roman"/>
                <w:bCs/>
                <w:color w:val="auto"/>
                <w:sz w:val="20"/>
                <w:szCs w:val="20"/>
              </w:rPr>
              <w:t>84</w:t>
            </w:r>
          </w:p>
        </w:tc>
        <w:tc>
          <w:tcPr>
            <w:tcW w:w="974"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30" w:type="dxa"/>
              <w:left w:w="45" w:type="dxa"/>
              <w:bottom w:w="30" w:type="dxa"/>
              <w:right w:w="45" w:type="dxa"/>
            </w:tcMar>
            <w:vAlign w:val="bottom"/>
            <w:hideMark/>
          </w:tcPr>
          <w:p w14:paraId="170DFB0F" w14:textId="77777777" w:rsidR="00CA33A7" w:rsidRPr="00206AE1" w:rsidRDefault="00CA33A7" w:rsidP="00206AE1">
            <w:pPr>
              <w:jc w:val="center"/>
              <w:rPr>
                <w:rFonts w:asciiTheme="majorHAnsi" w:eastAsia="Times New Roman" w:hAnsiTheme="majorHAnsi" w:cs="Times New Roman"/>
                <w:color w:val="auto"/>
                <w:sz w:val="20"/>
                <w:szCs w:val="20"/>
              </w:rPr>
            </w:pPr>
            <w:r w:rsidRPr="00206AE1">
              <w:rPr>
                <w:rFonts w:asciiTheme="majorHAnsi" w:eastAsia="Times New Roman" w:hAnsiTheme="majorHAnsi" w:cs="Times New Roman"/>
                <w:color w:val="auto"/>
                <w:sz w:val="20"/>
                <w:szCs w:val="20"/>
              </w:rPr>
              <w:t>3.91</w:t>
            </w:r>
          </w:p>
        </w:tc>
        <w:tc>
          <w:tcPr>
            <w:tcW w:w="1243"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30" w:type="dxa"/>
              <w:left w:w="45" w:type="dxa"/>
              <w:bottom w:w="30" w:type="dxa"/>
              <w:right w:w="45" w:type="dxa"/>
            </w:tcMar>
            <w:vAlign w:val="bottom"/>
            <w:hideMark/>
          </w:tcPr>
          <w:p w14:paraId="0E653650" w14:textId="77777777" w:rsidR="00CA33A7" w:rsidRPr="00206AE1" w:rsidRDefault="00CA33A7" w:rsidP="00206AE1">
            <w:pPr>
              <w:jc w:val="center"/>
              <w:rPr>
                <w:rFonts w:asciiTheme="majorHAnsi" w:eastAsia="Times New Roman" w:hAnsiTheme="majorHAnsi" w:cs="Times New Roman"/>
                <w:color w:val="auto"/>
                <w:sz w:val="20"/>
                <w:szCs w:val="20"/>
              </w:rPr>
            </w:pPr>
            <w:r w:rsidRPr="00206AE1">
              <w:rPr>
                <w:rFonts w:asciiTheme="majorHAnsi" w:eastAsia="Times New Roman" w:hAnsiTheme="majorHAnsi" w:cs="Times New Roman"/>
                <w:color w:val="auto"/>
                <w:sz w:val="20"/>
                <w:szCs w:val="20"/>
              </w:rPr>
              <w:t>9.5%</w:t>
            </w:r>
          </w:p>
        </w:tc>
        <w:tc>
          <w:tcPr>
            <w:tcW w:w="899" w:type="dxa"/>
            <w:tcBorders>
              <w:top w:val="single" w:sz="6" w:space="0" w:color="000000"/>
              <w:left w:val="single" w:sz="6" w:space="0" w:color="CCCCCC"/>
              <w:bottom w:val="single" w:sz="6" w:space="0" w:color="000000"/>
              <w:right w:val="single" w:sz="6" w:space="0" w:color="000000"/>
            </w:tcBorders>
            <w:shd w:val="clear" w:color="auto" w:fill="FFFFFF" w:themeFill="background1"/>
            <w:vAlign w:val="bottom"/>
          </w:tcPr>
          <w:p w14:paraId="1E9F0F1B" w14:textId="7D8D1EFF" w:rsidR="00CA33A7" w:rsidRPr="00206AE1" w:rsidRDefault="00CA33A7" w:rsidP="00206AE1">
            <w:pPr>
              <w:jc w:val="center"/>
              <w:rPr>
                <w:rFonts w:asciiTheme="majorHAnsi" w:eastAsia="Times New Roman" w:hAnsiTheme="majorHAnsi" w:cs="Times New Roman"/>
                <w:bCs/>
                <w:color w:val="auto"/>
                <w:sz w:val="20"/>
                <w:szCs w:val="20"/>
              </w:rPr>
            </w:pPr>
            <w:r w:rsidRPr="00206AE1">
              <w:rPr>
                <w:rFonts w:asciiTheme="majorHAnsi" w:eastAsia="Times New Roman" w:hAnsiTheme="majorHAnsi" w:cs="Times New Roman"/>
                <w:bCs/>
                <w:color w:val="auto"/>
                <w:sz w:val="20"/>
                <w:szCs w:val="20"/>
              </w:rPr>
              <w:t>18</w:t>
            </w:r>
          </w:p>
        </w:tc>
        <w:tc>
          <w:tcPr>
            <w:tcW w:w="909" w:type="dxa"/>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30" w:type="dxa"/>
              <w:left w:w="45" w:type="dxa"/>
              <w:bottom w:w="30" w:type="dxa"/>
              <w:right w:w="45" w:type="dxa"/>
            </w:tcMar>
            <w:vAlign w:val="bottom"/>
            <w:hideMark/>
          </w:tcPr>
          <w:p w14:paraId="5BE14698" w14:textId="6081C89C" w:rsidR="00CA33A7" w:rsidRPr="00206AE1" w:rsidRDefault="00CA33A7" w:rsidP="00206AE1">
            <w:pPr>
              <w:jc w:val="center"/>
              <w:rPr>
                <w:rFonts w:asciiTheme="majorHAnsi" w:eastAsia="Times New Roman" w:hAnsiTheme="majorHAnsi" w:cs="Times New Roman"/>
                <w:b/>
                <w:bCs/>
                <w:color w:val="auto"/>
                <w:sz w:val="20"/>
                <w:szCs w:val="20"/>
              </w:rPr>
            </w:pPr>
            <w:r w:rsidRPr="00206AE1">
              <w:rPr>
                <w:rFonts w:asciiTheme="majorHAnsi" w:eastAsia="Times New Roman" w:hAnsiTheme="majorHAnsi" w:cs="Times New Roman"/>
                <w:b/>
                <w:bCs/>
                <w:color w:val="auto"/>
                <w:sz w:val="20"/>
                <w:szCs w:val="20"/>
              </w:rPr>
              <w:t>29</w:t>
            </w:r>
          </w:p>
        </w:tc>
        <w:tc>
          <w:tcPr>
            <w:tcW w:w="865" w:type="dxa"/>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30" w:type="dxa"/>
              <w:left w:w="45" w:type="dxa"/>
              <w:bottom w:w="30" w:type="dxa"/>
              <w:right w:w="45" w:type="dxa"/>
            </w:tcMar>
            <w:vAlign w:val="bottom"/>
            <w:hideMark/>
          </w:tcPr>
          <w:p w14:paraId="6C5E2383" w14:textId="6725F4B2" w:rsidR="00CA33A7" w:rsidRPr="00206AE1" w:rsidRDefault="00CA33A7" w:rsidP="00206AE1">
            <w:pPr>
              <w:jc w:val="center"/>
              <w:rPr>
                <w:rFonts w:asciiTheme="majorHAnsi" w:eastAsia="Times New Roman" w:hAnsiTheme="majorHAnsi" w:cs="Times New Roman"/>
                <w:b/>
                <w:bCs/>
                <w:color w:val="auto"/>
                <w:sz w:val="20"/>
                <w:szCs w:val="20"/>
              </w:rPr>
            </w:pPr>
            <w:r w:rsidRPr="00206AE1">
              <w:rPr>
                <w:rFonts w:asciiTheme="majorHAnsi" w:eastAsia="Times New Roman" w:hAnsiTheme="majorHAnsi" w:cs="Times New Roman"/>
                <w:b/>
                <w:bCs/>
                <w:color w:val="auto"/>
                <w:sz w:val="20"/>
                <w:szCs w:val="20"/>
              </w:rPr>
              <w:t>102</w:t>
            </w:r>
          </w:p>
        </w:tc>
      </w:tr>
      <w:tr w:rsidR="00CA33A7" w:rsidRPr="00206AE1" w14:paraId="70FA42BE" w14:textId="77777777" w:rsidTr="00206AE1">
        <w:trPr>
          <w:trHeight w:val="315"/>
        </w:trPr>
        <w:tc>
          <w:tcPr>
            <w:tcW w:w="810" w:type="dxa"/>
            <w:tcBorders>
              <w:top w:val="single" w:sz="6" w:space="0" w:color="CCCCCC"/>
              <w:left w:val="single" w:sz="6" w:space="0" w:color="000000"/>
              <w:bottom w:val="single" w:sz="6" w:space="0" w:color="000000"/>
              <w:right w:val="single" w:sz="6" w:space="0" w:color="000000"/>
            </w:tcBorders>
            <w:shd w:val="clear" w:color="auto" w:fill="FFFFFF" w:themeFill="background1"/>
            <w:tcMar>
              <w:top w:w="30" w:type="dxa"/>
              <w:left w:w="45" w:type="dxa"/>
              <w:bottom w:w="30" w:type="dxa"/>
              <w:right w:w="45" w:type="dxa"/>
            </w:tcMar>
            <w:vAlign w:val="bottom"/>
            <w:hideMark/>
          </w:tcPr>
          <w:p w14:paraId="7D145EE0" w14:textId="2D86E484" w:rsidR="00CA33A7" w:rsidRPr="00206AE1" w:rsidRDefault="00CA33A7" w:rsidP="00206AE1">
            <w:pPr>
              <w:jc w:val="center"/>
              <w:rPr>
                <w:rFonts w:asciiTheme="majorHAnsi" w:eastAsia="Times New Roman" w:hAnsiTheme="majorHAnsi" w:cs="Times New Roman"/>
                <w:b/>
                <w:color w:val="auto"/>
                <w:sz w:val="20"/>
                <w:szCs w:val="20"/>
              </w:rPr>
            </w:pPr>
            <w:r w:rsidRPr="00206AE1">
              <w:rPr>
                <w:rFonts w:asciiTheme="majorHAnsi" w:eastAsia="Times New Roman" w:hAnsiTheme="majorHAnsi" w:cs="Times New Roman"/>
                <w:b/>
                <w:color w:val="auto"/>
                <w:sz w:val="20"/>
                <w:szCs w:val="20"/>
              </w:rPr>
              <w:t>CZ04</w:t>
            </w:r>
          </w:p>
        </w:tc>
        <w:tc>
          <w:tcPr>
            <w:tcW w:w="911"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30" w:type="dxa"/>
              <w:left w:w="45" w:type="dxa"/>
              <w:bottom w:w="30" w:type="dxa"/>
              <w:right w:w="45" w:type="dxa"/>
            </w:tcMar>
            <w:vAlign w:val="bottom"/>
            <w:hideMark/>
          </w:tcPr>
          <w:p w14:paraId="1188A632" w14:textId="77777777" w:rsidR="00CA33A7" w:rsidRPr="00206AE1" w:rsidRDefault="00CA33A7" w:rsidP="00206AE1">
            <w:pPr>
              <w:jc w:val="center"/>
              <w:rPr>
                <w:rFonts w:asciiTheme="majorHAnsi" w:eastAsia="Times New Roman" w:hAnsiTheme="majorHAnsi" w:cs="Times New Roman"/>
                <w:color w:val="auto"/>
                <w:sz w:val="20"/>
                <w:szCs w:val="20"/>
              </w:rPr>
            </w:pPr>
            <w:r w:rsidRPr="00206AE1">
              <w:rPr>
                <w:rFonts w:asciiTheme="majorHAnsi" w:eastAsia="Times New Roman" w:hAnsiTheme="majorHAnsi" w:cs="Times New Roman"/>
                <w:color w:val="auto"/>
                <w:sz w:val="20"/>
                <w:szCs w:val="20"/>
              </w:rPr>
              <w:t>-2.63</w:t>
            </w:r>
          </w:p>
        </w:tc>
        <w:tc>
          <w:tcPr>
            <w:tcW w:w="1243"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30" w:type="dxa"/>
              <w:left w:w="45" w:type="dxa"/>
              <w:bottom w:w="30" w:type="dxa"/>
              <w:right w:w="45" w:type="dxa"/>
            </w:tcMar>
            <w:vAlign w:val="bottom"/>
            <w:hideMark/>
          </w:tcPr>
          <w:p w14:paraId="425C9884" w14:textId="77777777" w:rsidR="00CA33A7" w:rsidRPr="00206AE1" w:rsidRDefault="00CA33A7" w:rsidP="00206AE1">
            <w:pPr>
              <w:jc w:val="center"/>
              <w:rPr>
                <w:rFonts w:asciiTheme="majorHAnsi" w:eastAsia="Times New Roman" w:hAnsiTheme="majorHAnsi" w:cs="Times New Roman"/>
                <w:color w:val="auto"/>
                <w:sz w:val="20"/>
                <w:szCs w:val="20"/>
              </w:rPr>
            </w:pPr>
            <w:r w:rsidRPr="00206AE1">
              <w:rPr>
                <w:rFonts w:asciiTheme="majorHAnsi" w:eastAsia="Times New Roman" w:hAnsiTheme="majorHAnsi" w:cs="Times New Roman"/>
                <w:color w:val="auto"/>
                <w:sz w:val="20"/>
                <w:szCs w:val="20"/>
              </w:rPr>
              <w:t>-7.8%</w:t>
            </w:r>
          </w:p>
        </w:tc>
        <w:tc>
          <w:tcPr>
            <w:tcW w:w="857"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30" w:type="dxa"/>
              <w:left w:w="45" w:type="dxa"/>
              <w:bottom w:w="30" w:type="dxa"/>
              <w:right w:w="45" w:type="dxa"/>
            </w:tcMar>
            <w:vAlign w:val="bottom"/>
            <w:hideMark/>
          </w:tcPr>
          <w:p w14:paraId="7553DD50" w14:textId="77777777" w:rsidR="00CA33A7" w:rsidRPr="00206AE1" w:rsidRDefault="00CA33A7" w:rsidP="00206AE1">
            <w:pPr>
              <w:jc w:val="center"/>
              <w:rPr>
                <w:rFonts w:asciiTheme="majorHAnsi" w:eastAsia="Times New Roman" w:hAnsiTheme="majorHAnsi" w:cs="Times New Roman"/>
                <w:bCs/>
                <w:color w:val="auto"/>
                <w:sz w:val="20"/>
                <w:szCs w:val="20"/>
              </w:rPr>
            </w:pPr>
            <w:r w:rsidRPr="00206AE1">
              <w:rPr>
                <w:rFonts w:asciiTheme="majorHAnsi" w:eastAsia="Times New Roman" w:hAnsiTheme="majorHAnsi" w:cs="Times New Roman"/>
                <w:bCs/>
                <w:color w:val="auto"/>
                <w:sz w:val="20"/>
                <w:szCs w:val="20"/>
              </w:rPr>
              <w:t>96</w:t>
            </w:r>
          </w:p>
        </w:tc>
        <w:tc>
          <w:tcPr>
            <w:tcW w:w="974"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30" w:type="dxa"/>
              <w:left w:w="45" w:type="dxa"/>
              <w:bottom w:w="30" w:type="dxa"/>
              <w:right w:w="45" w:type="dxa"/>
            </w:tcMar>
            <w:vAlign w:val="bottom"/>
            <w:hideMark/>
          </w:tcPr>
          <w:p w14:paraId="2D5E2C57" w14:textId="77777777" w:rsidR="00CA33A7" w:rsidRPr="00206AE1" w:rsidRDefault="00CA33A7" w:rsidP="00206AE1">
            <w:pPr>
              <w:jc w:val="center"/>
              <w:rPr>
                <w:rFonts w:asciiTheme="majorHAnsi" w:eastAsia="Times New Roman" w:hAnsiTheme="majorHAnsi" w:cs="Times New Roman"/>
                <w:color w:val="auto"/>
                <w:sz w:val="20"/>
                <w:szCs w:val="20"/>
              </w:rPr>
            </w:pPr>
            <w:r w:rsidRPr="00206AE1">
              <w:rPr>
                <w:rFonts w:asciiTheme="majorHAnsi" w:eastAsia="Times New Roman" w:hAnsiTheme="majorHAnsi" w:cs="Times New Roman"/>
                <w:color w:val="auto"/>
                <w:sz w:val="20"/>
                <w:szCs w:val="20"/>
              </w:rPr>
              <w:t>3.54</w:t>
            </w:r>
          </w:p>
        </w:tc>
        <w:tc>
          <w:tcPr>
            <w:tcW w:w="1243"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30" w:type="dxa"/>
              <w:left w:w="45" w:type="dxa"/>
              <w:bottom w:w="30" w:type="dxa"/>
              <w:right w:w="45" w:type="dxa"/>
            </w:tcMar>
            <w:vAlign w:val="bottom"/>
            <w:hideMark/>
          </w:tcPr>
          <w:p w14:paraId="10D7DD33" w14:textId="77777777" w:rsidR="00CA33A7" w:rsidRPr="00206AE1" w:rsidRDefault="00CA33A7" w:rsidP="00206AE1">
            <w:pPr>
              <w:jc w:val="center"/>
              <w:rPr>
                <w:rFonts w:asciiTheme="majorHAnsi" w:eastAsia="Times New Roman" w:hAnsiTheme="majorHAnsi" w:cs="Times New Roman"/>
                <w:color w:val="auto"/>
                <w:sz w:val="20"/>
                <w:szCs w:val="20"/>
              </w:rPr>
            </w:pPr>
            <w:r w:rsidRPr="00206AE1">
              <w:rPr>
                <w:rFonts w:asciiTheme="majorHAnsi" w:eastAsia="Times New Roman" w:hAnsiTheme="majorHAnsi" w:cs="Times New Roman"/>
                <w:color w:val="auto"/>
                <w:sz w:val="20"/>
                <w:szCs w:val="20"/>
              </w:rPr>
              <w:t>8.7%</w:t>
            </w:r>
          </w:p>
        </w:tc>
        <w:tc>
          <w:tcPr>
            <w:tcW w:w="899" w:type="dxa"/>
            <w:tcBorders>
              <w:top w:val="single" w:sz="6" w:space="0" w:color="000000"/>
              <w:left w:val="single" w:sz="6" w:space="0" w:color="CCCCCC"/>
              <w:bottom w:val="single" w:sz="6" w:space="0" w:color="000000"/>
              <w:right w:val="single" w:sz="6" w:space="0" w:color="000000"/>
            </w:tcBorders>
            <w:shd w:val="clear" w:color="auto" w:fill="FFFFFF" w:themeFill="background1"/>
            <w:vAlign w:val="bottom"/>
          </w:tcPr>
          <w:p w14:paraId="1B53D474" w14:textId="29EB2B3A" w:rsidR="00CA33A7" w:rsidRPr="00206AE1" w:rsidRDefault="00CA33A7" w:rsidP="00206AE1">
            <w:pPr>
              <w:jc w:val="center"/>
              <w:rPr>
                <w:rFonts w:asciiTheme="majorHAnsi" w:eastAsia="Times New Roman" w:hAnsiTheme="majorHAnsi" w:cs="Times New Roman"/>
                <w:bCs/>
                <w:color w:val="auto"/>
                <w:sz w:val="20"/>
                <w:szCs w:val="20"/>
              </w:rPr>
            </w:pPr>
            <w:r w:rsidRPr="00206AE1">
              <w:rPr>
                <w:rFonts w:asciiTheme="majorHAnsi" w:eastAsia="Times New Roman" w:hAnsiTheme="majorHAnsi" w:cs="Times New Roman"/>
                <w:bCs/>
                <w:color w:val="auto"/>
                <w:sz w:val="20"/>
                <w:szCs w:val="20"/>
              </w:rPr>
              <w:t>17</w:t>
            </w:r>
          </w:p>
        </w:tc>
        <w:tc>
          <w:tcPr>
            <w:tcW w:w="909" w:type="dxa"/>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30" w:type="dxa"/>
              <w:left w:w="45" w:type="dxa"/>
              <w:bottom w:w="30" w:type="dxa"/>
              <w:right w:w="45" w:type="dxa"/>
            </w:tcMar>
            <w:vAlign w:val="bottom"/>
            <w:hideMark/>
          </w:tcPr>
          <w:p w14:paraId="444DADF7" w14:textId="26624E0A" w:rsidR="00CA33A7" w:rsidRPr="00206AE1" w:rsidRDefault="00CA33A7" w:rsidP="00206AE1">
            <w:pPr>
              <w:jc w:val="center"/>
              <w:rPr>
                <w:rFonts w:asciiTheme="majorHAnsi" w:eastAsia="Times New Roman" w:hAnsiTheme="majorHAnsi" w:cs="Times New Roman"/>
                <w:b/>
                <w:bCs/>
                <w:color w:val="auto"/>
                <w:sz w:val="20"/>
                <w:szCs w:val="20"/>
              </w:rPr>
            </w:pPr>
            <w:r w:rsidRPr="00206AE1">
              <w:rPr>
                <w:rFonts w:asciiTheme="majorHAnsi" w:eastAsia="Times New Roman" w:hAnsiTheme="majorHAnsi" w:cs="Times New Roman"/>
                <w:b/>
                <w:bCs/>
                <w:color w:val="auto"/>
                <w:sz w:val="20"/>
                <w:szCs w:val="20"/>
              </w:rPr>
              <w:t>21</w:t>
            </w:r>
          </w:p>
        </w:tc>
        <w:tc>
          <w:tcPr>
            <w:tcW w:w="865" w:type="dxa"/>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30" w:type="dxa"/>
              <w:left w:w="45" w:type="dxa"/>
              <w:bottom w:w="30" w:type="dxa"/>
              <w:right w:w="45" w:type="dxa"/>
            </w:tcMar>
            <w:vAlign w:val="bottom"/>
            <w:hideMark/>
          </w:tcPr>
          <w:p w14:paraId="7317BEA9" w14:textId="36293452" w:rsidR="00CA33A7" w:rsidRPr="00206AE1" w:rsidRDefault="00CA33A7" w:rsidP="00206AE1">
            <w:pPr>
              <w:jc w:val="center"/>
              <w:rPr>
                <w:rFonts w:asciiTheme="majorHAnsi" w:eastAsia="Times New Roman" w:hAnsiTheme="majorHAnsi" w:cs="Times New Roman"/>
                <w:b/>
                <w:bCs/>
                <w:color w:val="auto"/>
                <w:sz w:val="20"/>
                <w:szCs w:val="20"/>
              </w:rPr>
            </w:pPr>
            <w:r w:rsidRPr="00206AE1">
              <w:rPr>
                <w:rFonts w:asciiTheme="majorHAnsi" w:eastAsia="Times New Roman" w:hAnsiTheme="majorHAnsi" w:cs="Times New Roman"/>
                <w:b/>
                <w:bCs/>
                <w:color w:val="auto"/>
                <w:sz w:val="20"/>
                <w:szCs w:val="20"/>
              </w:rPr>
              <w:t>113</w:t>
            </w:r>
          </w:p>
        </w:tc>
      </w:tr>
      <w:tr w:rsidR="00CA33A7" w:rsidRPr="00206AE1" w14:paraId="5DCCC7FA" w14:textId="77777777" w:rsidTr="00206AE1">
        <w:trPr>
          <w:trHeight w:val="315"/>
        </w:trPr>
        <w:tc>
          <w:tcPr>
            <w:tcW w:w="810" w:type="dxa"/>
            <w:tcBorders>
              <w:top w:val="single" w:sz="6" w:space="0" w:color="CCCCCC"/>
              <w:left w:val="single" w:sz="6" w:space="0" w:color="000000"/>
              <w:bottom w:val="single" w:sz="6" w:space="0" w:color="000000"/>
              <w:right w:val="single" w:sz="6" w:space="0" w:color="000000"/>
            </w:tcBorders>
            <w:shd w:val="clear" w:color="auto" w:fill="FFFFFF" w:themeFill="background1"/>
            <w:tcMar>
              <w:top w:w="30" w:type="dxa"/>
              <w:left w:w="45" w:type="dxa"/>
              <w:bottom w:w="30" w:type="dxa"/>
              <w:right w:w="45" w:type="dxa"/>
            </w:tcMar>
            <w:vAlign w:val="bottom"/>
            <w:hideMark/>
          </w:tcPr>
          <w:p w14:paraId="4BDF5BD9" w14:textId="2AF958B9" w:rsidR="00CA33A7" w:rsidRPr="00206AE1" w:rsidRDefault="00CA33A7" w:rsidP="00206AE1">
            <w:pPr>
              <w:jc w:val="center"/>
              <w:rPr>
                <w:rFonts w:asciiTheme="majorHAnsi" w:eastAsia="Times New Roman" w:hAnsiTheme="majorHAnsi" w:cs="Times New Roman"/>
                <w:b/>
                <w:color w:val="auto"/>
                <w:sz w:val="20"/>
                <w:szCs w:val="20"/>
              </w:rPr>
            </w:pPr>
            <w:r w:rsidRPr="00206AE1">
              <w:rPr>
                <w:rFonts w:asciiTheme="majorHAnsi" w:eastAsia="Times New Roman" w:hAnsiTheme="majorHAnsi" w:cs="Times New Roman"/>
                <w:b/>
                <w:color w:val="auto"/>
                <w:sz w:val="20"/>
                <w:szCs w:val="20"/>
              </w:rPr>
              <w:t>CZ05</w:t>
            </w:r>
          </w:p>
        </w:tc>
        <w:tc>
          <w:tcPr>
            <w:tcW w:w="911"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30" w:type="dxa"/>
              <w:left w:w="45" w:type="dxa"/>
              <w:bottom w:w="30" w:type="dxa"/>
              <w:right w:w="45" w:type="dxa"/>
            </w:tcMar>
            <w:vAlign w:val="bottom"/>
            <w:hideMark/>
          </w:tcPr>
          <w:p w14:paraId="52D3722A" w14:textId="77777777" w:rsidR="00CA33A7" w:rsidRPr="00206AE1" w:rsidRDefault="00CA33A7" w:rsidP="00206AE1">
            <w:pPr>
              <w:jc w:val="center"/>
              <w:rPr>
                <w:rFonts w:asciiTheme="majorHAnsi" w:eastAsia="Times New Roman" w:hAnsiTheme="majorHAnsi" w:cs="Times New Roman"/>
                <w:color w:val="auto"/>
                <w:sz w:val="20"/>
                <w:szCs w:val="20"/>
              </w:rPr>
            </w:pPr>
            <w:r w:rsidRPr="00206AE1">
              <w:rPr>
                <w:rFonts w:asciiTheme="majorHAnsi" w:eastAsia="Times New Roman" w:hAnsiTheme="majorHAnsi" w:cs="Times New Roman"/>
                <w:color w:val="auto"/>
                <w:sz w:val="20"/>
                <w:szCs w:val="20"/>
              </w:rPr>
              <w:t>-2.71</w:t>
            </w:r>
          </w:p>
        </w:tc>
        <w:tc>
          <w:tcPr>
            <w:tcW w:w="1243"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30" w:type="dxa"/>
              <w:left w:w="45" w:type="dxa"/>
              <w:bottom w:w="30" w:type="dxa"/>
              <w:right w:w="45" w:type="dxa"/>
            </w:tcMar>
            <w:vAlign w:val="bottom"/>
            <w:hideMark/>
          </w:tcPr>
          <w:p w14:paraId="14CFA966" w14:textId="77777777" w:rsidR="00CA33A7" w:rsidRPr="00206AE1" w:rsidRDefault="00CA33A7" w:rsidP="00206AE1">
            <w:pPr>
              <w:jc w:val="center"/>
              <w:rPr>
                <w:rFonts w:asciiTheme="majorHAnsi" w:eastAsia="Times New Roman" w:hAnsiTheme="majorHAnsi" w:cs="Times New Roman"/>
                <w:color w:val="auto"/>
                <w:sz w:val="20"/>
                <w:szCs w:val="20"/>
              </w:rPr>
            </w:pPr>
            <w:r w:rsidRPr="00206AE1">
              <w:rPr>
                <w:rFonts w:asciiTheme="majorHAnsi" w:eastAsia="Times New Roman" w:hAnsiTheme="majorHAnsi" w:cs="Times New Roman"/>
                <w:color w:val="auto"/>
                <w:sz w:val="20"/>
                <w:szCs w:val="20"/>
              </w:rPr>
              <w:t>-6.1%</w:t>
            </w:r>
          </w:p>
        </w:tc>
        <w:tc>
          <w:tcPr>
            <w:tcW w:w="857"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30" w:type="dxa"/>
              <w:left w:w="45" w:type="dxa"/>
              <w:bottom w:w="30" w:type="dxa"/>
              <w:right w:w="45" w:type="dxa"/>
            </w:tcMar>
            <w:vAlign w:val="bottom"/>
            <w:hideMark/>
          </w:tcPr>
          <w:p w14:paraId="7DA2765B" w14:textId="77777777" w:rsidR="00CA33A7" w:rsidRPr="00206AE1" w:rsidRDefault="00CA33A7" w:rsidP="00206AE1">
            <w:pPr>
              <w:jc w:val="center"/>
              <w:rPr>
                <w:rFonts w:asciiTheme="majorHAnsi" w:eastAsia="Times New Roman" w:hAnsiTheme="majorHAnsi" w:cs="Times New Roman"/>
                <w:bCs/>
                <w:color w:val="auto"/>
                <w:sz w:val="20"/>
                <w:szCs w:val="20"/>
              </w:rPr>
            </w:pPr>
            <w:r w:rsidRPr="00206AE1">
              <w:rPr>
                <w:rFonts w:asciiTheme="majorHAnsi" w:eastAsia="Times New Roman" w:hAnsiTheme="majorHAnsi" w:cs="Times New Roman"/>
                <w:bCs/>
                <w:color w:val="auto"/>
                <w:sz w:val="20"/>
                <w:szCs w:val="20"/>
              </w:rPr>
              <w:t>77</w:t>
            </w:r>
          </w:p>
        </w:tc>
        <w:tc>
          <w:tcPr>
            <w:tcW w:w="974"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30" w:type="dxa"/>
              <w:left w:w="45" w:type="dxa"/>
              <w:bottom w:w="30" w:type="dxa"/>
              <w:right w:w="45" w:type="dxa"/>
            </w:tcMar>
            <w:vAlign w:val="bottom"/>
            <w:hideMark/>
          </w:tcPr>
          <w:p w14:paraId="5CA38C20" w14:textId="77777777" w:rsidR="00CA33A7" w:rsidRPr="00206AE1" w:rsidRDefault="00CA33A7" w:rsidP="00206AE1">
            <w:pPr>
              <w:jc w:val="center"/>
              <w:rPr>
                <w:rFonts w:asciiTheme="majorHAnsi" w:eastAsia="Times New Roman" w:hAnsiTheme="majorHAnsi" w:cs="Times New Roman"/>
                <w:color w:val="auto"/>
                <w:sz w:val="20"/>
                <w:szCs w:val="20"/>
              </w:rPr>
            </w:pPr>
            <w:r w:rsidRPr="00206AE1">
              <w:rPr>
                <w:rFonts w:asciiTheme="majorHAnsi" w:eastAsia="Times New Roman" w:hAnsiTheme="majorHAnsi" w:cs="Times New Roman"/>
                <w:color w:val="auto"/>
                <w:sz w:val="20"/>
                <w:szCs w:val="20"/>
              </w:rPr>
              <w:t>4.27</w:t>
            </w:r>
          </w:p>
        </w:tc>
        <w:tc>
          <w:tcPr>
            <w:tcW w:w="1243"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30" w:type="dxa"/>
              <w:left w:w="45" w:type="dxa"/>
              <w:bottom w:w="30" w:type="dxa"/>
              <w:right w:w="45" w:type="dxa"/>
            </w:tcMar>
            <w:vAlign w:val="bottom"/>
            <w:hideMark/>
          </w:tcPr>
          <w:p w14:paraId="09438643" w14:textId="77777777" w:rsidR="00CA33A7" w:rsidRPr="00206AE1" w:rsidRDefault="00CA33A7" w:rsidP="00206AE1">
            <w:pPr>
              <w:jc w:val="center"/>
              <w:rPr>
                <w:rFonts w:asciiTheme="majorHAnsi" w:eastAsia="Times New Roman" w:hAnsiTheme="majorHAnsi" w:cs="Times New Roman"/>
                <w:color w:val="auto"/>
                <w:sz w:val="20"/>
                <w:szCs w:val="20"/>
              </w:rPr>
            </w:pPr>
            <w:r w:rsidRPr="00206AE1">
              <w:rPr>
                <w:rFonts w:asciiTheme="majorHAnsi" w:eastAsia="Times New Roman" w:hAnsiTheme="majorHAnsi" w:cs="Times New Roman"/>
                <w:color w:val="auto"/>
                <w:sz w:val="20"/>
                <w:szCs w:val="20"/>
              </w:rPr>
              <w:t>7.9%</w:t>
            </w:r>
          </w:p>
        </w:tc>
        <w:tc>
          <w:tcPr>
            <w:tcW w:w="899" w:type="dxa"/>
            <w:tcBorders>
              <w:top w:val="single" w:sz="6" w:space="0" w:color="000000"/>
              <w:left w:val="single" w:sz="6" w:space="0" w:color="CCCCCC"/>
              <w:bottom w:val="single" w:sz="6" w:space="0" w:color="000000"/>
              <w:right w:val="single" w:sz="6" w:space="0" w:color="000000"/>
            </w:tcBorders>
            <w:shd w:val="clear" w:color="auto" w:fill="FFFFFF" w:themeFill="background1"/>
            <w:vAlign w:val="bottom"/>
          </w:tcPr>
          <w:p w14:paraId="747C466A" w14:textId="3DE61D06" w:rsidR="00CA33A7" w:rsidRPr="00206AE1" w:rsidRDefault="00CA33A7" w:rsidP="00206AE1">
            <w:pPr>
              <w:jc w:val="center"/>
              <w:rPr>
                <w:rFonts w:asciiTheme="majorHAnsi" w:eastAsia="Times New Roman" w:hAnsiTheme="majorHAnsi" w:cs="Times New Roman"/>
                <w:bCs/>
                <w:color w:val="auto"/>
                <w:sz w:val="20"/>
                <w:szCs w:val="20"/>
              </w:rPr>
            </w:pPr>
            <w:r w:rsidRPr="00206AE1">
              <w:rPr>
                <w:rFonts w:asciiTheme="majorHAnsi" w:eastAsia="Times New Roman" w:hAnsiTheme="majorHAnsi" w:cs="Times New Roman"/>
                <w:bCs/>
                <w:color w:val="auto"/>
                <w:sz w:val="20"/>
                <w:szCs w:val="20"/>
              </w:rPr>
              <w:t>14</w:t>
            </w:r>
          </w:p>
        </w:tc>
        <w:tc>
          <w:tcPr>
            <w:tcW w:w="909" w:type="dxa"/>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30" w:type="dxa"/>
              <w:left w:w="45" w:type="dxa"/>
              <w:bottom w:w="30" w:type="dxa"/>
              <w:right w:w="45" w:type="dxa"/>
            </w:tcMar>
            <w:vAlign w:val="bottom"/>
            <w:hideMark/>
          </w:tcPr>
          <w:p w14:paraId="7E827B9F" w14:textId="77341EF0" w:rsidR="00CA33A7" w:rsidRPr="00206AE1" w:rsidRDefault="00CA33A7" w:rsidP="00206AE1">
            <w:pPr>
              <w:jc w:val="center"/>
              <w:rPr>
                <w:rFonts w:asciiTheme="majorHAnsi" w:eastAsia="Times New Roman" w:hAnsiTheme="majorHAnsi" w:cs="Times New Roman"/>
                <w:b/>
                <w:bCs/>
                <w:color w:val="auto"/>
                <w:sz w:val="20"/>
                <w:szCs w:val="20"/>
              </w:rPr>
            </w:pPr>
            <w:r w:rsidRPr="00206AE1">
              <w:rPr>
                <w:rFonts w:asciiTheme="majorHAnsi" w:eastAsia="Times New Roman" w:hAnsiTheme="majorHAnsi" w:cs="Times New Roman"/>
                <w:b/>
                <w:bCs/>
                <w:color w:val="auto"/>
                <w:sz w:val="20"/>
                <w:szCs w:val="20"/>
              </w:rPr>
              <w:t>20</w:t>
            </w:r>
          </w:p>
        </w:tc>
        <w:tc>
          <w:tcPr>
            <w:tcW w:w="865" w:type="dxa"/>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30" w:type="dxa"/>
              <w:left w:w="45" w:type="dxa"/>
              <w:bottom w:w="30" w:type="dxa"/>
              <w:right w:w="45" w:type="dxa"/>
            </w:tcMar>
            <w:vAlign w:val="bottom"/>
            <w:hideMark/>
          </w:tcPr>
          <w:p w14:paraId="6ECD874F" w14:textId="65C8F797" w:rsidR="00CA33A7" w:rsidRPr="00206AE1" w:rsidRDefault="00CA33A7" w:rsidP="00206AE1">
            <w:pPr>
              <w:jc w:val="center"/>
              <w:rPr>
                <w:rFonts w:asciiTheme="majorHAnsi" w:eastAsia="Times New Roman" w:hAnsiTheme="majorHAnsi" w:cs="Times New Roman"/>
                <w:b/>
                <w:bCs/>
                <w:color w:val="auto"/>
                <w:sz w:val="20"/>
                <w:szCs w:val="20"/>
              </w:rPr>
            </w:pPr>
            <w:r w:rsidRPr="00206AE1">
              <w:rPr>
                <w:rFonts w:asciiTheme="majorHAnsi" w:eastAsia="Times New Roman" w:hAnsiTheme="majorHAnsi" w:cs="Times New Roman"/>
                <w:b/>
                <w:bCs/>
                <w:color w:val="auto"/>
                <w:sz w:val="20"/>
                <w:szCs w:val="20"/>
              </w:rPr>
              <w:t>91</w:t>
            </w:r>
          </w:p>
        </w:tc>
      </w:tr>
      <w:tr w:rsidR="00CA33A7" w:rsidRPr="00206AE1" w14:paraId="53C153C6" w14:textId="77777777" w:rsidTr="00206AE1">
        <w:trPr>
          <w:trHeight w:val="315"/>
        </w:trPr>
        <w:tc>
          <w:tcPr>
            <w:tcW w:w="810" w:type="dxa"/>
            <w:tcBorders>
              <w:top w:val="single" w:sz="6" w:space="0" w:color="CCCCCC"/>
              <w:left w:val="single" w:sz="6" w:space="0" w:color="000000"/>
              <w:bottom w:val="single" w:sz="6" w:space="0" w:color="000000"/>
              <w:right w:val="single" w:sz="6" w:space="0" w:color="000000"/>
            </w:tcBorders>
            <w:shd w:val="clear" w:color="auto" w:fill="FFFFFF" w:themeFill="background1"/>
            <w:tcMar>
              <w:top w:w="30" w:type="dxa"/>
              <w:left w:w="45" w:type="dxa"/>
              <w:bottom w:w="30" w:type="dxa"/>
              <w:right w:w="45" w:type="dxa"/>
            </w:tcMar>
            <w:vAlign w:val="bottom"/>
            <w:hideMark/>
          </w:tcPr>
          <w:p w14:paraId="1420996A" w14:textId="3ACD7099" w:rsidR="00CA33A7" w:rsidRPr="00206AE1" w:rsidRDefault="00CA33A7" w:rsidP="00206AE1">
            <w:pPr>
              <w:jc w:val="center"/>
              <w:rPr>
                <w:rFonts w:asciiTheme="majorHAnsi" w:eastAsia="Times New Roman" w:hAnsiTheme="majorHAnsi" w:cs="Times New Roman"/>
                <w:b/>
                <w:color w:val="auto"/>
                <w:sz w:val="20"/>
                <w:szCs w:val="20"/>
              </w:rPr>
            </w:pPr>
            <w:r w:rsidRPr="00206AE1">
              <w:rPr>
                <w:rFonts w:asciiTheme="majorHAnsi" w:eastAsia="Times New Roman" w:hAnsiTheme="majorHAnsi" w:cs="Times New Roman"/>
                <w:b/>
                <w:color w:val="auto"/>
                <w:sz w:val="20"/>
                <w:szCs w:val="20"/>
              </w:rPr>
              <w:t>CZ06</w:t>
            </w:r>
          </w:p>
        </w:tc>
        <w:tc>
          <w:tcPr>
            <w:tcW w:w="911"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30" w:type="dxa"/>
              <w:left w:w="45" w:type="dxa"/>
              <w:bottom w:w="30" w:type="dxa"/>
              <w:right w:w="45" w:type="dxa"/>
            </w:tcMar>
            <w:vAlign w:val="bottom"/>
            <w:hideMark/>
          </w:tcPr>
          <w:p w14:paraId="41AA37F2" w14:textId="77777777" w:rsidR="00CA33A7" w:rsidRPr="00206AE1" w:rsidRDefault="00CA33A7" w:rsidP="00206AE1">
            <w:pPr>
              <w:jc w:val="center"/>
              <w:rPr>
                <w:rFonts w:asciiTheme="majorHAnsi" w:eastAsia="Times New Roman" w:hAnsiTheme="majorHAnsi" w:cs="Times New Roman"/>
                <w:color w:val="auto"/>
                <w:sz w:val="20"/>
                <w:szCs w:val="20"/>
              </w:rPr>
            </w:pPr>
            <w:r w:rsidRPr="00206AE1">
              <w:rPr>
                <w:rFonts w:asciiTheme="majorHAnsi" w:eastAsia="Times New Roman" w:hAnsiTheme="majorHAnsi" w:cs="Times New Roman"/>
                <w:color w:val="auto"/>
                <w:sz w:val="20"/>
                <w:szCs w:val="20"/>
              </w:rPr>
              <w:t>-2.64</w:t>
            </w:r>
          </w:p>
        </w:tc>
        <w:tc>
          <w:tcPr>
            <w:tcW w:w="1243"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30" w:type="dxa"/>
              <w:left w:w="45" w:type="dxa"/>
              <w:bottom w:w="30" w:type="dxa"/>
              <w:right w:w="45" w:type="dxa"/>
            </w:tcMar>
            <w:vAlign w:val="bottom"/>
            <w:hideMark/>
          </w:tcPr>
          <w:p w14:paraId="3A3120D9" w14:textId="77777777" w:rsidR="00CA33A7" w:rsidRPr="00206AE1" w:rsidRDefault="00CA33A7" w:rsidP="00206AE1">
            <w:pPr>
              <w:jc w:val="center"/>
              <w:rPr>
                <w:rFonts w:asciiTheme="majorHAnsi" w:eastAsia="Times New Roman" w:hAnsiTheme="majorHAnsi" w:cs="Times New Roman"/>
                <w:color w:val="auto"/>
                <w:sz w:val="20"/>
                <w:szCs w:val="20"/>
              </w:rPr>
            </w:pPr>
            <w:r w:rsidRPr="00206AE1">
              <w:rPr>
                <w:rFonts w:asciiTheme="majorHAnsi" w:eastAsia="Times New Roman" w:hAnsiTheme="majorHAnsi" w:cs="Times New Roman"/>
                <w:color w:val="auto"/>
                <w:sz w:val="20"/>
                <w:szCs w:val="20"/>
              </w:rPr>
              <w:t>-7.8%</w:t>
            </w:r>
          </w:p>
        </w:tc>
        <w:tc>
          <w:tcPr>
            <w:tcW w:w="857"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30" w:type="dxa"/>
              <w:left w:w="45" w:type="dxa"/>
              <w:bottom w:w="30" w:type="dxa"/>
              <w:right w:w="45" w:type="dxa"/>
            </w:tcMar>
            <w:vAlign w:val="bottom"/>
            <w:hideMark/>
          </w:tcPr>
          <w:p w14:paraId="09C5E7D2" w14:textId="77777777" w:rsidR="00CA33A7" w:rsidRPr="00206AE1" w:rsidRDefault="00CA33A7" w:rsidP="00206AE1">
            <w:pPr>
              <w:jc w:val="center"/>
              <w:rPr>
                <w:rFonts w:asciiTheme="majorHAnsi" w:eastAsia="Times New Roman" w:hAnsiTheme="majorHAnsi" w:cs="Times New Roman"/>
                <w:bCs/>
                <w:color w:val="auto"/>
                <w:sz w:val="20"/>
                <w:szCs w:val="20"/>
              </w:rPr>
            </w:pPr>
            <w:r w:rsidRPr="00206AE1">
              <w:rPr>
                <w:rFonts w:asciiTheme="majorHAnsi" w:eastAsia="Times New Roman" w:hAnsiTheme="majorHAnsi" w:cs="Times New Roman"/>
                <w:bCs/>
                <w:color w:val="auto"/>
                <w:sz w:val="20"/>
                <w:szCs w:val="20"/>
              </w:rPr>
              <w:t>106</w:t>
            </w:r>
          </w:p>
        </w:tc>
        <w:tc>
          <w:tcPr>
            <w:tcW w:w="974"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30" w:type="dxa"/>
              <w:left w:w="45" w:type="dxa"/>
              <w:bottom w:w="30" w:type="dxa"/>
              <w:right w:w="45" w:type="dxa"/>
            </w:tcMar>
            <w:vAlign w:val="bottom"/>
            <w:hideMark/>
          </w:tcPr>
          <w:p w14:paraId="085B259B" w14:textId="77777777" w:rsidR="00CA33A7" w:rsidRPr="00206AE1" w:rsidRDefault="00CA33A7" w:rsidP="00206AE1">
            <w:pPr>
              <w:jc w:val="center"/>
              <w:rPr>
                <w:rFonts w:asciiTheme="majorHAnsi" w:eastAsia="Times New Roman" w:hAnsiTheme="majorHAnsi" w:cs="Times New Roman"/>
                <w:color w:val="auto"/>
                <w:sz w:val="20"/>
                <w:szCs w:val="20"/>
              </w:rPr>
            </w:pPr>
            <w:r w:rsidRPr="00206AE1">
              <w:rPr>
                <w:rFonts w:asciiTheme="majorHAnsi" w:eastAsia="Times New Roman" w:hAnsiTheme="majorHAnsi" w:cs="Times New Roman"/>
                <w:color w:val="auto"/>
                <w:sz w:val="20"/>
                <w:szCs w:val="20"/>
              </w:rPr>
              <w:t>3.08</w:t>
            </w:r>
          </w:p>
        </w:tc>
        <w:tc>
          <w:tcPr>
            <w:tcW w:w="1243"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30" w:type="dxa"/>
              <w:left w:w="45" w:type="dxa"/>
              <w:bottom w:w="30" w:type="dxa"/>
              <w:right w:w="45" w:type="dxa"/>
            </w:tcMar>
            <w:vAlign w:val="bottom"/>
            <w:hideMark/>
          </w:tcPr>
          <w:p w14:paraId="2BBE5545" w14:textId="77777777" w:rsidR="00CA33A7" w:rsidRPr="00206AE1" w:rsidRDefault="00CA33A7" w:rsidP="00206AE1">
            <w:pPr>
              <w:jc w:val="center"/>
              <w:rPr>
                <w:rFonts w:asciiTheme="majorHAnsi" w:eastAsia="Times New Roman" w:hAnsiTheme="majorHAnsi" w:cs="Times New Roman"/>
                <w:color w:val="auto"/>
                <w:sz w:val="20"/>
                <w:szCs w:val="20"/>
              </w:rPr>
            </w:pPr>
            <w:r w:rsidRPr="00206AE1">
              <w:rPr>
                <w:rFonts w:asciiTheme="majorHAnsi" w:eastAsia="Times New Roman" w:hAnsiTheme="majorHAnsi" w:cs="Times New Roman"/>
                <w:color w:val="auto"/>
                <w:sz w:val="20"/>
                <w:szCs w:val="20"/>
              </w:rPr>
              <w:t>9.1%</w:t>
            </w:r>
          </w:p>
        </w:tc>
        <w:tc>
          <w:tcPr>
            <w:tcW w:w="899" w:type="dxa"/>
            <w:tcBorders>
              <w:top w:val="single" w:sz="6" w:space="0" w:color="000000"/>
              <w:left w:val="single" w:sz="6" w:space="0" w:color="CCCCCC"/>
              <w:bottom w:val="single" w:sz="6" w:space="0" w:color="000000"/>
              <w:right w:val="single" w:sz="6" w:space="0" w:color="000000"/>
            </w:tcBorders>
            <w:shd w:val="clear" w:color="auto" w:fill="FFFFFF" w:themeFill="background1"/>
            <w:vAlign w:val="bottom"/>
          </w:tcPr>
          <w:p w14:paraId="2DDAA336" w14:textId="3FF43790" w:rsidR="00CA33A7" w:rsidRPr="00206AE1" w:rsidRDefault="00CA33A7" w:rsidP="00206AE1">
            <w:pPr>
              <w:jc w:val="center"/>
              <w:rPr>
                <w:rFonts w:asciiTheme="majorHAnsi" w:eastAsia="Times New Roman" w:hAnsiTheme="majorHAnsi" w:cs="Times New Roman"/>
                <w:bCs/>
                <w:color w:val="auto"/>
                <w:sz w:val="20"/>
                <w:szCs w:val="20"/>
              </w:rPr>
            </w:pPr>
            <w:r w:rsidRPr="00206AE1">
              <w:rPr>
                <w:rFonts w:asciiTheme="majorHAnsi" w:eastAsia="Times New Roman" w:hAnsiTheme="majorHAnsi" w:cs="Times New Roman"/>
                <w:bCs/>
                <w:color w:val="auto"/>
                <w:sz w:val="20"/>
                <w:szCs w:val="20"/>
              </w:rPr>
              <w:t>8</w:t>
            </w:r>
          </w:p>
        </w:tc>
        <w:tc>
          <w:tcPr>
            <w:tcW w:w="909" w:type="dxa"/>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30" w:type="dxa"/>
              <w:left w:w="45" w:type="dxa"/>
              <w:bottom w:w="30" w:type="dxa"/>
              <w:right w:w="45" w:type="dxa"/>
            </w:tcMar>
            <w:vAlign w:val="bottom"/>
            <w:hideMark/>
          </w:tcPr>
          <w:p w14:paraId="3FDA071E" w14:textId="35AF4AEB" w:rsidR="00CA33A7" w:rsidRPr="00206AE1" w:rsidRDefault="00CA33A7" w:rsidP="00206AE1">
            <w:pPr>
              <w:jc w:val="center"/>
              <w:rPr>
                <w:rFonts w:asciiTheme="majorHAnsi" w:eastAsia="Times New Roman" w:hAnsiTheme="majorHAnsi" w:cs="Times New Roman"/>
                <w:b/>
                <w:bCs/>
                <w:color w:val="auto"/>
                <w:sz w:val="20"/>
                <w:szCs w:val="20"/>
              </w:rPr>
            </w:pPr>
            <w:r w:rsidRPr="00206AE1">
              <w:rPr>
                <w:rFonts w:asciiTheme="majorHAnsi" w:eastAsia="Times New Roman" w:hAnsiTheme="majorHAnsi" w:cs="Times New Roman"/>
                <w:b/>
                <w:bCs/>
                <w:color w:val="auto"/>
                <w:sz w:val="20"/>
                <w:szCs w:val="20"/>
              </w:rPr>
              <w:t>10</w:t>
            </w:r>
          </w:p>
        </w:tc>
        <w:tc>
          <w:tcPr>
            <w:tcW w:w="865" w:type="dxa"/>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30" w:type="dxa"/>
              <w:left w:w="45" w:type="dxa"/>
              <w:bottom w:w="30" w:type="dxa"/>
              <w:right w:w="45" w:type="dxa"/>
            </w:tcMar>
            <w:vAlign w:val="bottom"/>
            <w:hideMark/>
          </w:tcPr>
          <w:p w14:paraId="2A4FD594" w14:textId="69CF58D5" w:rsidR="00CA33A7" w:rsidRPr="00206AE1" w:rsidRDefault="00CA33A7" w:rsidP="00206AE1">
            <w:pPr>
              <w:jc w:val="center"/>
              <w:rPr>
                <w:rFonts w:asciiTheme="majorHAnsi" w:eastAsia="Times New Roman" w:hAnsiTheme="majorHAnsi" w:cs="Times New Roman"/>
                <w:b/>
                <w:bCs/>
                <w:color w:val="auto"/>
                <w:sz w:val="20"/>
                <w:szCs w:val="20"/>
              </w:rPr>
            </w:pPr>
            <w:r w:rsidRPr="00206AE1">
              <w:rPr>
                <w:rFonts w:asciiTheme="majorHAnsi" w:eastAsia="Times New Roman" w:hAnsiTheme="majorHAnsi" w:cs="Times New Roman"/>
                <w:b/>
                <w:bCs/>
                <w:color w:val="auto"/>
                <w:sz w:val="20"/>
                <w:szCs w:val="20"/>
              </w:rPr>
              <w:t>114</w:t>
            </w:r>
          </w:p>
        </w:tc>
      </w:tr>
      <w:tr w:rsidR="00CA33A7" w:rsidRPr="00206AE1" w14:paraId="75843BB6" w14:textId="77777777" w:rsidTr="00206AE1">
        <w:trPr>
          <w:trHeight w:val="315"/>
        </w:trPr>
        <w:tc>
          <w:tcPr>
            <w:tcW w:w="810" w:type="dxa"/>
            <w:tcBorders>
              <w:top w:val="single" w:sz="6" w:space="0" w:color="CCCCCC"/>
              <w:left w:val="single" w:sz="6" w:space="0" w:color="000000"/>
              <w:bottom w:val="single" w:sz="6" w:space="0" w:color="000000"/>
              <w:right w:val="single" w:sz="6" w:space="0" w:color="000000"/>
            </w:tcBorders>
            <w:shd w:val="clear" w:color="auto" w:fill="FFFFFF" w:themeFill="background1"/>
            <w:tcMar>
              <w:top w:w="30" w:type="dxa"/>
              <w:left w:w="45" w:type="dxa"/>
              <w:bottom w:w="30" w:type="dxa"/>
              <w:right w:w="45" w:type="dxa"/>
            </w:tcMar>
            <w:vAlign w:val="bottom"/>
            <w:hideMark/>
          </w:tcPr>
          <w:p w14:paraId="3AB7B7EF" w14:textId="76656AAE" w:rsidR="00CA33A7" w:rsidRPr="00206AE1" w:rsidRDefault="00CA33A7" w:rsidP="00206AE1">
            <w:pPr>
              <w:jc w:val="center"/>
              <w:rPr>
                <w:rFonts w:asciiTheme="majorHAnsi" w:eastAsia="Times New Roman" w:hAnsiTheme="majorHAnsi" w:cs="Times New Roman"/>
                <w:b/>
                <w:color w:val="auto"/>
                <w:sz w:val="20"/>
                <w:szCs w:val="20"/>
              </w:rPr>
            </w:pPr>
            <w:r w:rsidRPr="00206AE1">
              <w:rPr>
                <w:rFonts w:asciiTheme="majorHAnsi" w:eastAsia="Times New Roman" w:hAnsiTheme="majorHAnsi" w:cs="Times New Roman"/>
                <w:b/>
                <w:color w:val="auto"/>
                <w:sz w:val="20"/>
                <w:szCs w:val="20"/>
              </w:rPr>
              <w:t>CZ07</w:t>
            </w:r>
          </w:p>
        </w:tc>
        <w:tc>
          <w:tcPr>
            <w:tcW w:w="911"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30" w:type="dxa"/>
              <w:left w:w="45" w:type="dxa"/>
              <w:bottom w:w="30" w:type="dxa"/>
              <w:right w:w="45" w:type="dxa"/>
            </w:tcMar>
            <w:vAlign w:val="bottom"/>
            <w:hideMark/>
          </w:tcPr>
          <w:p w14:paraId="35181FF8" w14:textId="77777777" w:rsidR="00CA33A7" w:rsidRPr="00206AE1" w:rsidRDefault="00CA33A7" w:rsidP="00206AE1">
            <w:pPr>
              <w:jc w:val="center"/>
              <w:rPr>
                <w:rFonts w:asciiTheme="majorHAnsi" w:eastAsia="Times New Roman" w:hAnsiTheme="majorHAnsi" w:cs="Times New Roman"/>
                <w:color w:val="auto"/>
                <w:sz w:val="20"/>
                <w:szCs w:val="20"/>
              </w:rPr>
            </w:pPr>
            <w:r w:rsidRPr="00206AE1">
              <w:rPr>
                <w:rFonts w:asciiTheme="majorHAnsi" w:eastAsia="Times New Roman" w:hAnsiTheme="majorHAnsi" w:cs="Times New Roman"/>
                <w:color w:val="auto"/>
                <w:sz w:val="20"/>
                <w:szCs w:val="20"/>
              </w:rPr>
              <w:t>-2.68</w:t>
            </w:r>
          </w:p>
        </w:tc>
        <w:tc>
          <w:tcPr>
            <w:tcW w:w="1243"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30" w:type="dxa"/>
              <w:left w:w="45" w:type="dxa"/>
              <w:bottom w:w="30" w:type="dxa"/>
              <w:right w:w="45" w:type="dxa"/>
            </w:tcMar>
            <w:vAlign w:val="bottom"/>
            <w:hideMark/>
          </w:tcPr>
          <w:p w14:paraId="798F4641" w14:textId="77777777" w:rsidR="00CA33A7" w:rsidRPr="00206AE1" w:rsidRDefault="00CA33A7" w:rsidP="00206AE1">
            <w:pPr>
              <w:jc w:val="center"/>
              <w:rPr>
                <w:rFonts w:asciiTheme="majorHAnsi" w:eastAsia="Times New Roman" w:hAnsiTheme="majorHAnsi" w:cs="Times New Roman"/>
                <w:color w:val="auto"/>
                <w:sz w:val="20"/>
                <w:szCs w:val="20"/>
              </w:rPr>
            </w:pPr>
            <w:r w:rsidRPr="00206AE1">
              <w:rPr>
                <w:rFonts w:asciiTheme="majorHAnsi" w:eastAsia="Times New Roman" w:hAnsiTheme="majorHAnsi" w:cs="Times New Roman"/>
                <w:color w:val="auto"/>
                <w:sz w:val="20"/>
                <w:szCs w:val="20"/>
              </w:rPr>
              <w:t>-7.6%</w:t>
            </w:r>
          </w:p>
        </w:tc>
        <w:tc>
          <w:tcPr>
            <w:tcW w:w="857"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30" w:type="dxa"/>
              <w:left w:w="45" w:type="dxa"/>
              <w:bottom w:w="30" w:type="dxa"/>
              <w:right w:w="45" w:type="dxa"/>
            </w:tcMar>
            <w:vAlign w:val="bottom"/>
            <w:hideMark/>
          </w:tcPr>
          <w:p w14:paraId="088731AA" w14:textId="77777777" w:rsidR="00CA33A7" w:rsidRPr="00206AE1" w:rsidRDefault="00CA33A7" w:rsidP="00206AE1">
            <w:pPr>
              <w:jc w:val="center"/>
              <w:rPr>
                <w:rFonts w:asciiTheme="majorHAnsi" w:eastAsia="Times New Roman" w:hAnsiTheme="majorHAnsi" w:cs="Times New Roman"/>
                <w:bCs/>
                <w:color w:val="auto"/>
                <w:sz w:val="20"/>
                <w:szCs w:val="20"/>
              </w:rPr>
            </w:pPr>
            <w:r w:rsidRPr="00206AE1">
              <w:rPr>
                <w:rFonts w:asciiTheme="majorHAnsi" w:eastAsia="Times New Roman" w:hAnsiTheme="majorHAnsi" w:cs="Times New Roman"/>
                <w:bCs/>
                <w:color w:val="auto"/>
                <w:sz w:val="20"/>
                <w:szCs w:val="20"/>
              </w:rPr>
              <w:t>113</w:t>
            </w:r>
          </w:p>
        </w:tc>
        <w:tc>
          <w:tcPr>
            <w:tcW w:w="974"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30" w:type="dxa"/>
              <w:left w:w="45" w:type="dxa"/>
              <w:bottom w:w="30" w:type="dxa"/>
              <w:right w:w="45" w:type="dxa"/>
            </w:tcMar>
            <w:vAlign w:val="bottom"/>
            <w:hideMark/>
          </w:tcPr>
          <w:p w14:paraId="4588F896" w14:textId="77777777" w:rsidR="00CA33A7" w:rsidRPr="00206AE1" w:rsidRDefault="00CA33A7" w:rsidP="00206AE1">
            <w:pPr>
              <w:jc w:val="center"/>
              <w:rPr>
                <w:rFonts w:asciiTheme="majorHAnsi" w:eastAsia="Times New Roman" w:hAnsiTheme="majorHAnsi" w:cs="Times New Roman"/>
                <w:color w:val="auto"/>
                <w:sz w:val="20"/>
                <w:szCs w:val="20"/>
              </w:rPr>
            </w:pPr>
            <w:r w:rsidRPr="00206AE1">
              <w:rPr>
                <w:rFonts w:asciiTheme="majorHAnsi" w:eastAsia="Times New Roman" w:hAnsiTheme="majorHAnsi" w:cs="Times New Roman"/>
                <w:color w:val="auto"/>
                <w:sz w:val="20"/>
                <w:szCs w:val="20"/>
              </w:rPr>
              <w:t>3.14</w:t>
            </w:r>
          </w:p>
        </w:tc>
        <w:tc>
          <w:tcPr>
            <w:tcW w:w="1243"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30" w:type="dxa"/>
              <w:left w:w="45" w:type="dxa"/>
              <w:bottom w:w="30" w:type="dxa"/>
              <w:right w:w="45" w:type="dxa"/>
            </w:tcMar>
            <w:vAlign w:val="bottom"/>
            <w:hideMark/>
          </w:tcPr>
          <w:p w14:paraId="32B56451" w14:textId="77777777" w:rsidR="00CA33A7" w:rsidRPr="00206AE1" w:rsidRDefault="00CA33A7" w:rsidP="00206AE1">
            <w:pPr>
              <w:jc w:val="center"/>
              <w:rPr>
                <w:rFonts w:asciiTheme="majorHAnsi" w:eastAsia="Times New Roman" w:hAnsiTheme="majorHAnsi" w:cs="Times New Roman"/>
                <w:color w:val="auto"/>
                <w:sz w:val="20"/>
                <w:szCs w:val="20"/>
              </w:rPr>
            </w:pPr>
            <w:r w:rsidRPr="00206AE1">
              <w:rPr>
                <w:rFonts w:asciiTheme="majorHAnsi" w:eastAsia="Times New Roman" w:hAnsiTheme="majorHAnsi" w:cs="Times New Roman"/>
                <w:color w:val="auto"/>
                <w:sz w:val="20"/>
                <w:szCs w:val="20"/>
              </w:rPr>
              <w:t>9.6%</w:t>
            </w:r>
          </w:p>
        </w:tc>
        <w:tc>
          <w:tcPr>
            <w:tcW w:w="899" w:type="dxa"/>
            <w:tcBorders>
              <w:top w:val="single" w:sz="6" w:space="0" w:color="000000"/>
              <w:left w:val="single" w:sz="6" w:space="0" w:color="CCCCCC"/>
              <w:bottom w:val="single" w:sz="6" w:space="0" w:color="000000"/>
              <w:right w:val="single" w:sz="6" w:space="0" w:color="000000"/>
            </w:tcBorders>
            <w:shd w:val="clear" w:color="auto" w:fill="FFFFFF" w:themeFill="background1"/>
            <w:vAlign w:val="bottom"/>
          </w:tcPr>
          <w:p w14:paraId="117EB059" w14:textId="170454A0" w:rsidR="00CA33A7" w:rsidRPr="00206AE1" w:rsidRDefault="00CA33A7" w:rsidP="00206AE1">
            <w:pPr>
              <w:jc w:val="center"/>
              <w:rPr>
                <w:rFonts w:asciiTheme="majorHAnsi" w:eastAsia="Times New Roman" w:hAnsiTheme="majorHAnsi" w:cs="Times New Roman"/>
                <w:bCs/>
                <w:color w:val="auto"/>
                <w:sz w:val="20"/>
                <w:szCs w:val="20"/>
              </w:rPr>
            </w:pPr>
            <w:r w:rsidRPr="00206AE1">
              <w:rPr>
                <w:rFonts w:asciiTheme="majorHAnsi" w:eastAsia="Times New Roman" w:hAnsiTheme="majorHAnsi" w:cs="Times New Roman"/>
                <w:bCs/>
                <w:color w:val="auto"/>
                <w:sz w:val="20"/>
                <w:szCs w:val="20"/>
              </w:rPr>
              <w:t>8</w:t>
            </w:r>
          </w:p>
        </w:tc>
        <w:tc>
          <w:tcPr>
            <w:tcW w:w="909" w:type="dxa"/>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30" w:type="dxa"/>
              <w:left w:w="45" w:type="dxa"/>
              <w:bottom w:w="30" w:type="dxa"/>
              <w:right w:w="45" w:type="dxa"/>
            </w:tcMar>
            <w:vAlign w:val="bottom"/>
            <w:hideMark/>
          </w:tcPr>
          <w:p w14:paraId="73D63863" w14:textId="64BE8B81" w:rsidR="00CA33A7" w:rsidRPr="00206AE1" w:rsidRDefault="00CA33A7" w:rsidP="00206AE1">
            <w:pPr>
              <w:jc w:val="center"/>
              <w:rPr>
                <w:rFonts w:asciiTheme="majorHAnsi" w:eastAsia="Times New Roman" w:hAnsiTheme="majorHAnsi" w:cs="Times New Roman"/>
                <w:b/>
                <w:bCs/>
                <w:color w:val="auto"/>
                <w:sz w:val="20"/>
                <w:szCs w:val="20"/>
              </w:rPr>
            </w:pPr>
            <w:r w:rsidRPr="00206AE1">
              <w:rPr>
                <w:rFonts w:asciiTheme="majorHAnsi" w:eastAsia="Times New Roman" w:hAnsiTheme="majorHAnsi" w:cs="Times New Roman"/>
                <w:b/>
                <w:bCs/>
                <w:color w:val="auto"/>
                <w:sz w:val="20"/>
                <w:szCs w:val="20"/>
              </w:rPr>
              <w:t>10</w:t>
            </w:r>
          </w:p>
        </w:tc>
        <w:tc>
          <w:tcPr>
            <w:tcW w:w="865" w:type="dxa"/>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30" w:type="dxa"/>
              <w:left w:w="45" w:type="dxa"/>
              <w:bottom w:w="30" w:type="dxa"/>
              <w:right w:w="45" w:type="dxa"/>
            </w:tcMar>
            <w:vAlign w:val="bottom"/>
            <w:hideMark/>
          </w:tcPr>
          <w:p w14:paraId="7C3E1A4F" w14:textId="528FE2AE" w:rsidR="00CA33A7" w:rsidRPr="00206AE1" w:rsidRDefault="00CA33A7" w:rsidP="00206AE1">
            <w:pPr>
              <w:jc w:val="center"/>
              <w:rPr>
                <w:rFonts w:asciiTheme="majorHAnsi" w:eastAsia="Times New Roman" w:hAnsiTheme="majorHAnsi" w:cs="Times New Roman"/>
                <w:b/>
                <w:bCs/>
                <w:color w:val="auto"/>
                <w:sz w:val="20"/>
                <w:szCs w:val="20"/>
              </w:rPr>
            </w:pPr>
            <w:r w:rsidRPr="00206AE1">
              <w:rPr>
                <w:rFonts w:asciiTheme="majorHAnsi" w:eastAsia="Times New Roman" w:hAnsiTheme="majorHAnsi" w:cs="Times New Roman"/>
                <w:b/>
                <w:bCs/>
                <w:color w:val="auto"/>
                <w:sz w:val="20"/>
                <w:szCs w:val="20"/>
              </w:rPr>
              <w:t>121</w:t>
            </w:r>
          </w:p>
        </w:tc>
      </w:tr>
      <w:tr w:rsidR="00CA33A7" w:rsidRPr="00206AE1" w14:paraId="1090D4D3" w14:textId="77777777" w:rsidTr="00206AE1">
        <w:trPr>
          <w:trHeight w:val="315"/>
        </w:trPr>
        <w:tc>
          <w:tcPr>
            <w:tcW w:w="810" w:type="dxa"/>
            <w:tcBorders>
              <w:top w:val="single" w:sz="6" w:space="0" w:color="CCCCCC"/>
              <w:left w:val="single" w:sz="6" w:space="0" w:color="000000"/>
              <w:bottom w:val="single" w:sz="6" w:space="0" w:color="000000"/>
              <w:right w:val="single" w:sz="6" w:space="0" w:color="000000"/>
            </w:tcBorders>
            <w:shd w:val="clear" w:color="auto" w:fill="FFFFFF" w:themeFill="background1"/>
            <w:tcMar>
              <w:top w:w="30" w:type="dxa"/>
              <w:left w:w="45" w:type="dxa"/>
              <w:bottom w:w="30" w:type="dxa"/>
              <w:right w:w="45" w:type="dxa"/>
            </w:tcMar>
            <w:vAlign w:val="bottom"/>
            <w:hideMark/>
          </w:tcPr>
          <w:p w14:paraId="6CF3AE6C" w14:textId="2BBA91E5" w:rsidR="00CA33A7" w:rsidRPr="00206AE1" w:rsidRDefault="00CA33A7" w:rsidP="00206AE1">
            <w:pPr>
              <w:jc w:val="center"/>
              <w:rPr>
                <w:rFonts w:asciiTheme="majorHAnsi" w:eastAsia="Times New Roman" w:hAnsiTheme="majorHAnsi" w:cs="Times New Roman"/>
                <w:b/>
                <w:color w:val="auto"/>
                <w:sz w:val="20"/>
                <w:szCs w:val="20"/>
              </w:rPr>
            </w:pPr>
            <w:r w:rsidRPr="00206AE1">
              <w:rPr>
                <w:rFonts w:asciiTheme="majorHAnsi" w:eastAsia="Times New Roman" w:hAnsiTheme="majorHAnsi" w:cs="Times New Roman"/>
                <w:b/>
                <w:color w:val="auto"/>
                <w:sz w:val="20"/>
                <w:szCs w:val="20"/>
              </w:rPr>
              <w:t>CZ08</w:t>
            </w:r>
          </w:p>
        </w:tc>
        <w:tc>
          <w:tcPr>
            <w:tcW w:w="911"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30" w:type="dxa"/>
              <w:left w:w="45" w:type="dxa"/>
              <w:bottom w:w="30" w:type="dxa"/>
              <w:right w:w="45" w:type="dxa"/>
            </w:tcMar>
            <w:vAlign w:val="bottom"/>
            <w:hideMark/>
          </w:tcPr>
          <w:p w14:paraId="5B77686F" w14:textId="77777777" w:rsidR="00CA33A7" w:rsidRPr="00206AE1" w:rsidRDefault="00CA33A7" w:rsidP="00206AE1">
            <w:pPr>
              <w:jc w:val="center"/>
              <w:rPr>
                <w:rFonts w:asciiTheme="majorHAnsi" w:eastAsia="Times New Roman" w:hAnsiTheme="majorHAnsi" w:cs="Times New Roman"/>
                <w:color w:val="auto"/>
                <w:sz w:val="20"/>
                <w:szCs w:val="20"/>
              </w:rPr>
            </w:pPr>
            <w:r w:rsidRPr="00206AE1">
              <w:rPr>
                <w:rFonts w:asciiTheme="majorHAnsi" w:eastAsia="Times New Roman" w:hAnsiTheme="majorHAnsi" w:cs="Times New Roman"/>
                <w:color w:val="auto"/>
                <w:sz w:val="20"/>
                <w:szCs w:val="20"/>
              </w:rPr>
              <w:t>-2.60</w:t>
            </w:r>
          </w:p>
        </w:tc>
        <w:tc>
          <w:tcPr>
            <w:tcW w:w="1243"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30" w:type="dxa"/>
              <w:left w:w="45" w:type="dxa"/>
              <w:bottom w:w="30" w:type="dxa"/>
              <w:right w:w="45" w:type="dxa"/>
            </w:tcMar>
            <w:vAlign w:val="bottom"/>
            <w:hideMark/>
          </w:tcPr>
          <w:p w14:paraId="0EEE4644" w14:textId="77777777" w:rsidR="00CA33A7" w:rsidRPr="00206AE1" w:rsidRDefault="00CA33A7" w:rsidP="00206AE1">
            <w:pPr>
              <w:jc w:val="center"/>
              <w:rPr>
                <w:rFonts w:asciiTheme="majorHAnsi" w:eastAsia="Times New Roman" w:hAnsiTheme="majorHAnsi" w:cs="Times New Roman"/>
                <w:color w:val="auto"/>
                <w:sz w:val="20"/>
                <w:szCs w:val="20"/>
              </w:rPr>
            </w:pPr>
            <w:r w:rsidRPr="00206AE1">
              <w:rPr>
                <w:rFonts w:asciiTheme="majorHAnsi" w:eastAsia="Times New Roman" w:hAnsiTheme="majorHAnsi" w:cs="Times New Roman"/>
                <w:color w:val="auto"/>
                <w:sz w:val="20"/>
                <w:szCs w:val="20"/>
              </w:rPr>
              <w:t>-7.5%</w:t>
            </w:r>
          </w:p>
        </w:tc>
        <w:tc>
          <w:tcPr>
            <w:tcW w:w="857"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30" w:type="dxa"/>
              <w:left w:w="45" w:type="dxa"/>
              <w:bottom w:w="30" w:type="dxa"/>
              <w:right w:w="45" w:type="dxa"/>
            </w:tcMar>
            <w:vAlign w:val="bottom"/>
            <w:hideMark/>
          </w:tcPr>
          <w:p w14:paraId="660A4D4E" w14:textId="77777777" w:rsidR="00CA33A7" w:rsidRPr="00206AE1" w:rsidRDefault="00CA33A7" w:rsidP="00206AE1">
            <w:pPr>
              <w:jc w:val="center"/>
              <w:rPr>
                <w:rFonts w:asciiTheme="majorHAnsi" w:eastAsia="Times New Roman" w:hAnsiTheme="majorHAnsi" w:cs="Times New Roman"/>
                <w:bCs/>
                <w:color w:val="auto"/>
                <w:sz w:val="20"/>
                <w:szCs w:val="20"/>
              </w:rPr>
            </w:pPr>
            <w:r w:rsidRPr="00206AE1">
              <w:rPr>
                <w:rFonts w:asciiTheme="majorHAnsi" w:eastAsia="Times New Roman" w:hAnsiTheme="majorHAnsi" w:cs="Times New Roman"/>
                <w:bCs/>
                <w:color w:val="auto"/>
                <w:sz w:val="20"/>
                <w:szCs w:val="20"/>
              </w:rPr>
              <w:t>143</w:t>
            </w:r>
          </w:p>
        </w:tc>
        <w:tc>
          <w:tcPr>
            <w:tcW w:w="974"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30" w:type="dxa"/>
              <w:left w:w="45" w:type="dxa"/>
              <w:bottom w:w="30" w:type="dxa"/>
              <w:right w:w="45" w:type="dxa"/>
            </w:tcMar>
            <w:vAlign w:val="bottom"/>
            <w:hideMark/>
          </w:tcPr>
          <w:p w14:paraId="3444A8CA" w14:textId="77777777" w:rsidR="00CA33A7" w:rsidRPr="00206AE1" w:rsidRDefault="00CA33A7" w:rsidP="00206AE1">
            <w:pPr>
              <w:jc w:val="center"/>
              <w:rPr>
                <w:rFonts w:asciiTheme="majorHAnsi" w:eastAsia="Times New Roman" w:hAnsiTheme="majorHAnsi" w:cs="Times New Roman"/>
                <w:color w:val="auto"/>
                <w:sz w:val="20"/>
                <w:szCs w:val="20"/>
              </w:rPr>
            </w:pPr>
            <w:r w:rsidRPr="00206AE1">
              <w:rPr>
                <w:rFonts w:asciiTheme="majorHAnsi" w:eastAsia="Times New Roman" w:hAnsiTheme="majorHAnsi" w:cs="Times New Roman"/>
                <w:color w:val="auto"/>
                <w:sz w:val="20"/>
                <w:szCs w:val="20"/>
              </w:rPr>
              <w:t>2.79</w:t>
            </w:r>
          </w:p>
        </w:tc>
        <w:tc>
          <w:tcPr>
            <w:tcW w:w="1243"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30" w:type="dxa"/>
              <w:left w:w="45" w:type="dxa"/>
              <w:bottom w:w="30" w:type="dxa"/>
              <w:right w:w="45" w:type="dxa"/>
            </w:tcMar>
            <w:vAlign w:val="bottom"/>
            <w:hideMark/>
          </w:tcPr>
          <w:p w14:paraId="490C2619" w14:textId="77777777" w:rsidR="00CA33A7" w:rsidRPr="00206AE1" w:rsidRDefault="00CA33A7" w:rsidP="00206AE1">
            <w:pPr>
              <w:jc w:val="center"/>
              <w:rPr>
                <w:rFonts w:asciiTheme="majorHAnsi" w:eastAsia="Times New Roman" w:hAnsiTheme="majorHAnsi" w:cs="Times New Roman"/>
                <w:color w:val="auto"/>
                <w:sz w:val="20"/>
                <w:szCs w:val="20"/>
              </w:rPr>
            </w:pPr>
            <w:r w:rsidRPr="00206AE1">
              <w:rPr>
                <w:rFonts w:asciiTheme="majorHAnsi" w:eastAsia="Times New Roman" w:hAnsiTheme="majorHAnsi" w:cs="Times New Roman"/>
                <w:color w:val="auto"/>
                <w:sz w:val="20"/>
                <w:szCs w:val="20"/>
              </w:rPr>
              <w:t>8.0%</w:t>
            </w:r>
          </w:p>
        </w:tc>
        <w:tc>
          <w:tcPr>
            <w:tcW w:w="899" w:type="dxa"/>
            <w:tcBorders>
              <w:top w:val="single" w:sz="6" w:space="0" w:color="000000"/>
              <w:left w:val="single" w:sz="6" w:space="0" w:color="CCCCCC"/>
              <w:bottom w:val="single" w:sz="6" w:space="0" w:color="000000"/>
              <w:right w:val="single" w:sz="6" w:space="0" w:color="000000"/>
            </w:tcBorders>
            <w:shd w:val="clear" w:color="auto" w:fill="FFFFFF" w:themeFill="background1"/>
            <w:vAlign w:val="bottom"/>
          </w:tcPr>
          <w:p w14:paraId="6750957F" w14:textId="1C2F3247" w:rsidR="00CA33A7" w:rsidRPr="00206AE1" w:rsidRDefault="00CA33A7" w:rsidP="00206AE1">
            <w:pPr>
              <w:jc w:val="center"/>
              <w:rPr>
                <w:rFonts w:asciiTheme="majorHAnsi" w:eastAsia="Times New Roman" w:hAnsiTheme="majorHAnsi" w:cs="Times New Roman"/>
                <w:bCs/>
                <w:color w:val="auto"/>
                <w:sz w:val="20"/>
                <w:szCs w:val="20"/>
              </w:rPr>
            </w:pPr>
            <w:r w:rsidRPr="00206AE1">
              <w:rPr>
                <w:rFonts w:asciiTheme="majorHAnsi" w:eastAsia="Times New Roman" w:hAnsiTheme="majorHAnsi" w:cs="Times New Roman"/>
                <w:bCs/>
                <w:color w:val="auto"/>
                <w:sz w:val="20"/>
                <w:szCs w:val="20"/>
              </w:rPr>
              <w:t>7</w:t>
            </w:r>
          </w:p>
        </w:tc>
        <w:tc>
          <w:tcPr>
            <w:tcW w:w="909" w:type="dxa"/>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30" w:type="dxa"/>
              <w:left w:w="45" w:type="dxa"/>
              <w:bottom w:w="30" w:type="dxa"/>
              <w:right w:w="45" w:type="dxa"/>
            </w:tcMar>
            <w:vAlign w:val="bottom"/>
            <w:hideMark/>
          </w:tcPr>
          <w:p w14:paraId="721E6951" w14:textId="37FAC328" w:rsidR="00CA33A7" w:rsidRPr="00206AE1" w:rsidRDefault="00CA33A7" w:rsidP="00206AE1">
            <w:pPr>
              <w:jc w:val="center"/>
              <w:rPr>
                <w:rFonts w:asciiTheme="majorHAnsi" w:eastAsia="Times New Roman" w:hAnsiTheme="majorHAnsi" w:cs="Times New Roman"/>
                <w:b/>
                <w:bCs/>
                <w:color w:val="auto"/>
                <w:sz w:val="20"/>
                <w:szCs w:val="20"/>
              </w:rPr>
            </w:pPr>
            <w:r w:rsidRPr="00206AE1">
              <w:rPr>
                <w:rFonts w:asciiTheme="majorHAnsi" w:eastAsia="Times New Roman" w:hAnsiTheme="majorHAnsi" w:cs="Times New Roman"/>
                <w:b/>
                <w:bCs/>
                <w:color w:val="auto"/>
                <w:sz w:val="20"/>
                <w:szCs w:val="20"/>
              </w:rPr>
              <w:t>8</w:t>
            </w:r>
          </w:p>
        </w:tc>
        <w:tc>
          <w:tcPr>
            <w:tcW w:w="865" w:type="dxa"/>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30" w:type="dxa"/>
              <w:left w:w="45" w:type="dxa"/>
              <w:bottom w:w="30" w:type="dxa"/>
              <w:right w:w="45" w:type="dxa"/>
            </w:tcMar>
            <w:vAlign w:val="bottom"/>
            <w:hideMark/>
          </w:tcPr>
          <w:p w14:paraId="13BB3945" w14:textId="74F81E5A" w:rsidR="00CA33A7" w:rsidRPr="00206AE1" w:rsidRDefault="00CA33A7" w:rsidP="00206AE1">
            <w:pPr>
              <w:jc w:val="center"/>
              <w:rPr>
                <w:rFonts w:asciiTheme="majorHAnsi" w:eastAsia="Times New Roman" w:hAnsiTheme="majorHAnsi" w:cs="Times New Roman"/>
                <w:b/>
                <w:bCs/>
                <w:color w:val="auto"/>
                <w:sz w:val="20"/>
                <w:szCs w:val="20"/>
              </w:rPr>
            </w:pPr>
            <w:r w:rsidRPr="00206AE1">
              <w:rPr>
                <w:rFonts w:asciiTheme="majorHAnsi" w:eastAsia="Times New Roman" w:hAnsiTheme="majorHAnsi" w:cs="Times New Roman"/>
                <w:b/>
                <w:bCs/>
                <w:color w:val="auto"/>
                <w:sz w:val="20"/>
                <w:szCs w:val="20"/>
              </w:rPr>
              <w:t>151</w:t>
            </w:r>
          </w:p>
        </w:tc>
      </w:tr>
      <w:tr w:rsidR="00CA33A7" w:rsidRPr="00206AE1" w14:paraId="5B2EDAF8" w14:textId="77777777" w:rsidTr="00206AE1">
        <w:trPr>
          <w:trHeight w:val="315"/>
        </w:trPr>
        <w:tc>
          <w:tcPr>
            <w:tcW w:w="810" w:type="dxa"/>
            <w:tcBorders>
              <w:top w:val="single" w:sz="6" w:space="0" w:color="CCCCCC"/>
              <w:left w:val="single" w:sz="6" w:space="0" w:color="000000"/>
              <w:bottom w:val="single" w:sz="6" w:space="0" w:color="000000"/>
              <w:right w:val="single" w:sz="6" w:space="0" w:color="000000"/>
            </w:tcBorders>
            <w:shd w:val="clear" w:color="auto" w:fill="FFFFFF" w:themeFill="background1"/>
            <w:tcMar>
              <w:top w:w="30" w:type="dxa"/>
              <w:left w:w="45" w:type="dxa"/>
              <w:bottom w:w="30" w:type="dxa"/>
              <w:right w:w="45" w:type="dxa"/>
            </w:tcMar>
            <w:vAlign w:val="bottom"/>
            <w:hideMark/>
          </w:tcPr>
          <w:p w14:paraId="1F416471" w14:textId="2F7BBB42" w:rsidR="00CA33A7" w:rsidRPr="00206AE1" w:rsidRDefault="00CA33A7" w:rsidP="00206AE1">
            <w:pPr>
              <w:jc w:val="center"/>
              <w:rPr>
                <w:rFonts w:asciiTheme="majorHAnsi" w:eastAsia="Times New Roman" w:hAnsiTheme="majorHAnsi" w:cs="Times New Roman"/>
                <w:b/>
                <w:color w:val="auto"/>
                <w:sz w:val="20"/>
                <w:szCs w:val="20"/>
              </w:rPr>
            </w:pPr>
            <w:r w:rsidRPr="00206AE1">
              <w:rPr>
                <w:rFonts w:asciiTheme="majorHAnsi" w:eastAsia="Times New Roman" w:hAnsiTheme="majorHAnsi" w:cs="Times New Roman"/>
                <w:b/>
                <w:color w:val="auto"/>
                <w:sz w:val="20"/>
                <w:szCs w:val="20"/>
              </w:rPr>
              <w:t>CZ09</w:t>
            </w:r>
          </w:p>
        </w:tc>
        <w:tc>
          <w:tcPr>
            <w:tcW w:w="911"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30" w:type="dxa"/>
              <w:left w:w="45" w:type="dxa"/>
              <w:bottom w:w="30" w:type="dxa"/>
              <w:right w:w="45" w:type="dxa"/>
            </w:tcMar>
            <w:vAlign w:val="bottom"/>
            <w:hideMark/>
          </w:tcPr>
          <w:p w14:paraId="2AB708F6" w14:textId="77777777" w:rsidR="00CA33A7" w:rsidRPr="00206AE1" w:rsidRDefault="00CA33A7" w:rsidP="00206AE1">
            <w:pPr>
              <w:jc w:val="center"/>
              <w:rPr>
                <w:rFonts w:asciiTheme="majorHAnsi" w:eastAsia="Times New Roman" w:hAnsiTheme="majorHAnsi" w:cs="Times New Roman"/>
                <w:color w:val="auto"/>
                <w:sz w:val="20"/>
                <w:szCs w:val="20"/>
              </w:rPr>
            </w:pPr>
            <w:r w:rsidRPr="00206AE1">
              <w:rPr>
                <w:rFonts w:asciiTheme="majorHAnsi" w:eastAsia="Times New Roman" w:hAnsiTheme="majorHAnsi" w:cs="Times New Roman"/>
                <w:color w:val="auto"/>
                <w:sz w:val="20"/>
                <w:szCs w:val="20"/>
              </w:rPr>
              <w:t>-2.60</w:t>
            </w:r>
          </w:p>
        </w:tc>
        <w:tc>
          <w:tcPr>
            <w:tcW w:w="1243"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30" w:type="dxa"/>
              <w:left w:w="45" w:type="dxa"/>
              <w:bottom w:w="30" w:type="dxa"/>
              <w:right w:w="45" w:type="dxa"/>
            </w:tcMar>
            <w:vAlign w:val="bottom"/>
            <w:hideMark/>
          </w:tcPr>
          <w:p w14:paraId="4ADF8AE6" w14:textId="77777777" w:rsidR="00CA33A7" w:rsidRPr="00206AE1" w:rsidRDefault="00CA33A7" w:rsidP="00206AE1">
            <w:pPr>
              <w:jc w:val="center"/>
              <w:rPr>
                <w:rFonts w:asciiTheme="majorHAnsi" w:eastAsia="Times New Roman" w:hAnsiTheme="majorHAnsi" w:cs="Times New Roman"/>
                <w:color w:val="auto"/>
                <w:sz w:val="20"/>
                <w:szCs w:val="20"/>
              </w:rPr>
            </w:pPr>
            <w:r w:rsidRPr="00206AE1">
              <w:rPr>
                <w:rFonts w:asciiTheme="majorHAnsi" w:eastAsia="Times New Roman" w:hAnsiTheme="majorHAnsi" w:cs="Times New Roman"/>
                <w:color w:val="auto"/>
                <w:sz w:val="20"/>
                <w:szCs w:val="20"/>
              </w:rPr>
              <w:t>-7.0%</w:t>
            </w:r>
          </w:p>
        </w:tc>
        <w:tc>
          <w:tcPr>
            <w:tcW w:w="857"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30" w:type="dxa"/>
              <w:left w:w="45" w:type="dxa"/>
              <w:bottom w:w="30" w:type="dxa"/>
              <w:right w:w="45" w:type="dxa"/>
            </w:tcMar>
            <w:vAlign w:val="bottom"/>
            <w:hideMark/>
          </w:tcPr>
          <w:p w14:paraId="7CE088F8" w14:textId="77777777" w:rsidR="00CA33A7" w:rsidRPr="00206AE1" w:rsidRDefault="00CA33A7" w:rsidP="00206AE1">
            <w:pPr>
              <w:jc w:val="center"/>
              <w:rPr>
                <w:rFonts w:asciiTheme="majorHAnsi" w:eastAsia="Times New Roman" w:hAnsiTheme="majorHAnsi" w:cs="Times New Roman"/>
                <w:bCs/>
                <w:color w:val="auto"/>
                <w:sz w:val="20"/>
                <w:szCs w:val="20"/>
              </w:rPr>
            </w:pPr>
            <w:r w:rsidRPr="00206AE1">
              <w:rPr>
                <w:rFonts w:asciiTheme="majorHAnsi" w:eastAsia="Times New Roman" w:hAnsiTheme="majorHAnsi" w:cs="Times New Roman"/>
                <w:bCs/>
                <w:color w:val="auto"/>
                <w:sz w:val="20"/>
                <w:szCs w:val="20"/>
              </w:rPr>
              <w:t>207</w:t>
            </w:r>
          </w:p>
        </w:tc>
        <w:tc>
          <w:tcPr>
            <w:tcW w:w="974"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30" w:type="dxa"/>
              <w:left w:w="45" w:type="dxa"/>
              <w:bottom w:w="30" w:type="dxa"/>
              <w:right w:w="45" w:type="dxa"/>
            </w:tcMar>
            <w:vAlign w:val="bottom"/>
            <w:hideMark/>
          </w:tcPr>
          <w:p w14:paraId="4CF3961E" w14:textId="77777777" w:rsidR="00CA33A7" w:rsidRPr="00206AE1" w:rsidRDefault="00CA33A7" w:rsidP="00206AE1">
            <w:pPr>
              <w:jc w:val="center"/>
              <w:rPr>
                <w:rFonts w:asciiTheme="majorHAnsi" w:eastAsia="Times New Roman" w:hAnsiTheme="majorHAnsi" w:cs="Times New Roman"/>
                <w:color w:val="auto"/>
                <w:sz w:val="20"/>
                <w:szCs w:val="20"/>
              </w:rPr>
            </w:pPr>
            <w:r w:rsidRPr="00206AE1">
              <w:rPr>
                <w:rFonts w:asciiTheme="majorHAnsi" w:eastAsia="Times New Roman" w:hAnsiTheme="majorHAnsi" w:cs="Times New Roman"/>
                <w:color w:val="auto"/>
                <w:sz w:val="20"/>
                <w:szCs w:val="20"/>
              </w:rPr>
              <w:t>2.89</w:t>
            </w:r>
          </w:p>
        </w:tc>
        <w:tc>
          <w:tcPr>
            <w:tcW w:w="1243"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30" w:type="dxa"/>
              <w:left w:w="45" w:type="dxa"/>
              <w:bottom w:w="30" w:type="dxa"/>
              <w:right w:w="45" w:type="dxa"/>
            </w:tcMar>
            <w:vAlign w:val="bottom"/>
            <w:hideMark/>
          </w:tcPr>
          <w:p w14:paraId="37D2D8D6" w14:textId="77777777" w:rsidR="00CA33A7" w:rsidRPr="00206AE1" w:rsidRDefault="00CA33A7" w:rsidP="00206AE1">
            <w:pPr>
              <w:jc w:val="center"/>
              <w:rPr>
                <w:rFonts w:asciiTheme="majorHAnsi" w:eastAsia="Times New Roman" w:hAnsiTheme="majorHAnsi" w:cs="Times New Roman"/>
                <w:color w:val="auto"/>
                <w:sz w:val="20"/>
                <w:szCs w:val="20"/>
              </w:rPr>
            </w:pPr>
            <w:r w:rsidRPr="00206AE1">
              <w:rPr>
                <w:rFonts w:asciiTheme="majorHAnsi" w:eastAsia="Times New Roman" w:hAnsiTheme="majorHAnsi" w:cs="Times New Roman"/>
                <w:color w:val="auto"/>
                <w:sz w:val="20"/>
                <w:szCs w:val="20"/>
              </w:rPr>
              <w:t>7.5%</w:t>
            </w:r>
          </w:p>
        </w:tc>
        <w:tc>
          <w:tcPr>
            <w:tcW w:w="899" w:type="dxa"/>
            <w:tcBorders>
              <w:top w:val="single" w:sz="6" w:space="0" w:color="000000"/>
              <w:left w:val="single" w:sz="6" w:space="0" w:color="CCCCCC"/>
              <w:bottom w:val="single" w:sz="6" w:space="0" w:color="000000"/>
              <w:right w:val="single" w:sz="6" w:space="0" w:color="000000"/>
            </w:tcBorders>
            <w:shd w:val="clear" w:color="auto" w:fill="FFFFFF" w:themeFill="background1"/>
            <w:vAlign w:val="bottom"/>
          </w:tcPr>
          <w:p w14:paraId="7AC607B8" w14:textId="59A89174" w:rsidR="00CA33A7" w:rsidRPr="00206AE1" w:rsidRDefault="00CA33A7" w:rsidP="00206AE1">
            <w:pPr>
              <w:jc w:val="center"/>
              <w:rPr>
                <w:rFonts w:asciiTheme="majorHAnsi" w:eastAsia="Times New Roman" w:hAnsiTheme="majorHAnsi" w:cs="Times New Roman"/>
                <w:bCs/>
                <w:color w:val="auto"/>
                <w:sz w:val="20"/>
                <w:szCs w:val="20"/>
              </w:rPr>
            </w:pPr>
            <w:r w:rsidRPr="00206AE1">
              <w:rPr>
                <w:rFonts w:asciiTheme="majorHAnsi" w:eastAsia="Times New Roman" w:hAnsiTheme="majorHAnsi" w:cs="Times New Roman"/>
                <w:bCs/>
                <w:color w:val="auto"/>
                <w:sz w:val="20"/>
                <w:szCs w:val="20"/>
              </w:rPr>
              <w:t>14</w:t>
            </w:r>
          </w:p>
        </w:tc>
        <w:tc>
          <w:tcPr>
            <w:tcW w:w="909" w:type="dxa"/>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30" w:type="dxa"/>
              <w:left w:w="45" w:type="dxa"/>
              <w:bottom w:w="30" w:type="dxa"/>
              <w:right w:w="45" w:type="dxa"/>
            </w:tcMar>
            <w:vAlign w:val="bottom"/>
            <w:hideMark/>
          </w:tcPr>
          <w:p w14:paraId="2ED55EB6" w14:textId="513C5168" w:rsidR="00CA33A7" w:rsidRPr="00206AE1" w:rsidRDefault="00CA33A7" w:rsidP="00206AE1">
            <w:pPr>
              <w:jc w:val="center"/>
              <w:rPr>
                <w:rFonts w:asciiTheme="majorHAnsi" w:eastAsia="Times New Roman" w:hAnsiTheme="majorHAnsi" w:cs="Times New Roman"/>
                <w:b/>
                <w:bCs/>
                <w:color w:val="auto"/>
                <w:sz w:val="20"/>
                <w:szCs w:val="20"/>
              </w:rPr>
            </w:pPr>
            <w:r w:rsidRPr="00206AE1">
              <w:rPr>
                <w:rFonts w:asciiTheme="majorHAnsi" w:eastAsia="Times New Roman" w:hAnsiTheme="majorHAnsi" w:cs="Times New Roman"/>
                <w:b/>
                <w:bCs/>
                <w:color w:val="auto"/>
                <w:sz w:val="20"/>
                <w:szCs w:val="20"/>
              </w:rPr>
              <w:t>12</w:t>
            </w:r>
          </w:p>
        </w:tc>
        <w:tc>
          <w:tcPr>
            <w:tcW w:w="865" w:type="dxa"/>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30" w:type="dxa"/>
              <w:left w:w="45" w:type="dxa"/>
              <w:bottom w:w="30" w:type="dxa"/>
              <w:right w:w="45" w:type="dxa"/>
            </w:tcMar>
            <w:vAlign w:val="bottom"/>
            <w:hideMark/>
          </w:tcPr>
          <w:p w14:paraId="4A9F4535" w14:textId="6DB1472C" w:rsidR="00CA33A7" w:rsidRPr="00206AE1" w:rsidRDefault="00CA33A7" w:rsidP="00206AE1">
            <w:pPr>
              <w:jc w:val="center"/>
              <w:rPr>
                <w:rFonts w:asciiTheme="majorHAnsi" w:eastAsia="Times New Roman" w:hAnsiTheme="majorHAnsi" w:cs="Times New Roman"/>
                <w:b/>
                <w:bCs/>
                <w:color w:val="auto"/>
                <w:sz w:val="20"/>
                <w:szCs w:val="20"/>
              </w:rPr>
            </w:pPr>
            <w:r w:rsidRPr="00206AE1">
              <w:rPr>
                <w:rFonts w:asciiTheme="majorHAnsi" w:eastAsia="Times New Roman" w:hAnsiTheme="majorHAnsi" w:cs="Times New Roman"/>
                <w:b/>
                <w:bCs/>
                <w:color w:val="auto"/>
                <w:sz w:val="20"/>
                <w:szCs w:val="20"/>
              </w:rPr>
              <w:t>221</w:t>
            </w:r>
          </w:p>
        </w:tc>
      </w:tr>
      <w:tr w:rsidR="00CA33A7" w:rsidRPr="00206AE1" w14:paraId="4BD51143" w14:textId="77777777" w:rsidTr="00206AE1">
        <w:trPr>
          <w:trHeight w:val="315"/>
        </w:trPr>
        <w:tc>
          <w:tcPr>
            <w:tcW w:w="810" w:type="dxa"/>
            <w:tcBorders>
              <w:top w:val="single" w:sz="6" w:space="0" w:color="CCCCCC"/>
              <w:left w:val="single" w:sz="6" w:space="0" w:color="000000"/>
              <w:bottom w:val="single" w:sz="6" w:space="0" w:color="000000"/>
              <w:right w:val="single" w:sz="6" w:space="0" w:color="000000"/>
            </w:tcBorders>
            <w:shd w:val="clear" w:color="auto" w:fill="FFFFFF" w:themeFill="background1"/>
            <w:tcMar>
              <w:top w:w="30" w:type="dxa"/>
              <w:left w:w="45" w:type="dxa"/>
              <w:bottom w:w="30" w:type="dxa"/>
              <w:right w:w="45" w:type="dxa"/>
            </w:tcMar>
            <w:vAlign w:val="bottom"/>
            <w:hideMark/>
          </w:tcPr>
          <w:p w14:paraId="2F933855" w14:textId="38CBAE3D" w:rsidR="00CA33A7" w:rsidRPr="00206AE1" w:rsidRDefault="00CA33A7" w:rsidP="00206AE1">
            <w:pPr>
              <w:jc w:val="center"/>
              <w:rPr>
                <w:rFonts w:asciiTheme="majorHAnsi" w:eastAsia="Times New Roman" w:hAnsiTheme="majorHAnsi" w:cs="Times New Roman"/>
                <w:b/>
                <w:color w:val="auto"/>
                <w:sz w:val="20"/>
                <w:szCs w:val="20"/>
              </w:rPr>
            </w:pPr>
            <w:r w:rsidRPr="00206AE1">
              <w:rPr>
                <w:rFonts w:asciiTheme="majorHAnsi" w:eastAsia="Times New Roman" w:hAnsiTheme="majorHAnsi" w:cs="Times New Roman"/>
                <w:b/>
                <w:color w:val="auto"/>
                <w:sz w:val="20"/>
                <w:szCs w:val="20"/>
              </w:rPr>
              <w:t>CZ10</w:t>
            </w:r>
          </w:p>
        </w:tc>
        <w:tc>
          <w:tcPr>
            <w:tcW w:w="911"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30" w:type="dxa"/>
              <w:left w:w="45" w:type="dxa"/>
              <w:bottom w:w="30" w:type="dxa"/>
              <w:right w:w="45" w:type="dxa"/>
            </w:tcMar>
            <w:vAlign w:val="bottom"/>
            <w:hideMark/>
          </w:tcPr>
          <w:p w14:paraId="3DE4DF5C" w14:textId="77777777" w:rsidR="00CA33A7" w:rsidRPr="00206AE1" w:rsidRDefault="00CA33A7" w:rsidP="00206AE1">
            <w:pPr>
              <w:jc w:val="center"/>
              <w:rPr>
                <w:rFonts w:asciiTheme="majorHAnsi" w:eastAsia="Times New Roman" w:hAnsiTheme="majorHAnsi" w:cs="Times New Roman"/>
                <w:color w:val="auto"/>
                <w:sz w:val="20"/>
                <w:szCs w:val="20"/>
              </w:rPr>
            </w:pPr>
            <w:r w:rsidRPr="00206AE1">
              <w:rPr>
                <w:rFonts w:asciiTheme="majorHAnsi" w:eastAsia="Times New Roman" w:hAnsiTheme="majorHAnsi" w:cs="Times New Roman"/>
                <w:color w:val="auto"/>
                <w:sz w:val="20"/>
                <w:szCs w:val="20"/>
              </w:rPr>
              <w:t>-2.56</w:t>
            </w:r>
          </w:p>
        </w:tc>
        <w:tc>
          <w:tcPr>
            <w:tcW w:w="1243"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30" w:type="dxa"/>
              <w:left w:w="45" w:type="dxa"/>
              <w:bottom w:w="30" w:type="dxa"/>
              <w:right w:w="45" w:type="dxa"/>
            </w:tcMar>
            <w:vAlign w:val="bottom"/>
            <w:hideMark/>
          </w:tcPr>
          <w:p w14:paraId="10599508" w14:textId="77777777" w:rsidR="00CA33A7" w:rsidRPr="00206AE1" w:rsidRDefault="00CA33A7" w:rsidP="00206AE1">
            <w:pPr>
              <w:jc w:val="center"/>
              <w:rPr>
                <w:rFonts w:asciiTheme="majorHAnsi" w:eastAsia="Times New Roman" w:hAnsiTheme="majorHAnsi" w:cs="Times New Roman"/>
                <w:color w:val="auto"/>
                <w:sz w:val="20"/>
                <w:szCs w:val="20"/>
              </w:rPr>
            </w:pPr>
            <w:r w:rsidRPr="00206AE1">
              <w:rPr>
                <w:rFonts w:asciiTheme="majorHAnsi" w:eastAsia="Times New Roman" w:hAnsiTheme="majorHAnsi" w:cs="Times New Roman"/>
                <w:color w:val="auto"/>
                <w:sz w:val="20"/>
                <w:szCs w:val="20"/>
              </w:rPr>
              <w:t>-8.2%</w:t>
            </w:r>
          </w:p>
        </w:tc>
        <w:tc>
          <w:tcPr>
            <w:tcW w:w="857"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30" w:type="dxa"/>
              <w:left w:w="45" w:type="dxa"/>
              <w:bottom w:w="30" w:type="dxa"/>
              <w:right w:w="45" w:type="dxa"/>
            </w:tcMar>
            <w:vAlign w:val="bottom"/>
            <w:hideMark/>
          </w:tcPr>
          <w:p w14:paraId="57B707C1" w14:textId="77777777" w:rsidR="00CA33A7" w:rsidRPr="00206AE1" w:rsidRDefault="00CA33A7" w:rsidP="00206AE1">
            <w:pPr>
              <w:jc w:val="center"/>
              <w:rPr>
                <w:rFonts w:asciiTheme="majorHAnsi" w:eastAsia="Times New Roman" w:hAnsiTheme="majorHAnsi" w:cs="Times New Roman"/>
                <w:bCs/>
                <w:color w:val="auto"/>
                <w:sz w:val="20"/>
                <w:szCs w:val="20"/>
              </w:rPr>
            </w:pPr>
            <w:r w:rsidRPr="00206AE1">
              <w:rPr>
                <w:rFonts w:asciiTheme="majorHAnsi" w:eastAsia="Times New Roman" w:hAnsiTheme="majorHAnsi" w:cs="Times New Roman"/>
                <w:bCs/>
                <w:color w:val="auto"/>
                <w:sz w:val="20"/>
                <w:szCs w:val="20"/>
              </w:rPr>
              <w:t>196</w:t>
            </w:r>
          </w:p>
        </w:tc>
        <w:tc>
          <w:tcPr>
            <w:tcW w:w="974"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30" w:type="dxa"/>
              <w:left w:w="45" w:type="dxa"/>
              <w:bottom w:w="30" w:type="dxa"/>
              <w:right w:w="45" w:type="dxa"/>
            </w:tcMar>
            <w:vAlign w:val="bottom"/>
            <w:hideMark/>
          </w:tcPr>
          <w:p w14:paraId="23B16BA1" w14:textId="77777777" w:rsidR="00CA33A7" w:rsidRPr="00206AE1" w:rsidRDefault="00CA33A7" w:rsidP="00206AE1">
            <w:pPr>
              <w:jc w:val="center"/>
              <w:rPr>
                <w:rFonts w:asciiTheme="majorHAnsi" w:eastAsia="Times New Roman" w:hAnsiTheme="majorHAnsi" w:cs="Times New Roman"/>
                <w:color w:val="auto"/>
                <w:sz w:val="20"/>
                <w:szCs w:val="20"/>
              </w:rPr>
            </w:pPr>
            <w:r w:rsidRPr="00206AE1">
              <w:rPr>
                <w:rFonts w:asciiTheme="majorHAnsi" w:eastAsia="Times New Roman" w:hAnsiTheme="majorHAnsi" w:cs="Times New Roman"/>
                <w:color w:val="auto"/>
                <w:sz w:val="20"/>
                <w:szCs w:val="20"/>
              </w:rPr>
              <w:t>2.88</w:t>
            </w:r>
          </w:p>
        </w:tc>
        <w:tc>
          <w:tcPr>
            <w:tcW w:w="1243"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30" w:type="dxa"/>
              <w:left w:w="45" w:type="dxa"/>
              <w:bottom w:w="30" w:type="dxa"/>
              <w:right w:w="45" w:type="dxa"/>
            </w:tcMar>
            <w:vAlign w:val="bottom"/>
            <w:hideMark/>
          </w:tcPr>
          <w:p w14:paraId="687AC445" w14:textId="77777777" w:rsidR="00CA33A7" w:rsidRPr="00206AE1" w:rsidRDefault="00CA33A7" w:rsidP="00206AE1">
            <w:pPr>
              <w:jc w:val="center"/>
              <w:rPr>
                <w:rFonts w:asciiTheme="majorHAnsi" w:eastAsia="Times New Roman" w:hAnsiTheme="majorHAnsi" w:cs="Times New Roman"/>
                <w:color w:val="auto"/>
                <w:sz w:val="20"/>
                <w:szCs w:val="20"/>
              </w:rPr>
            </w:pPr>
            <w:r w:rsidRPr="00206AE1">
              <w:rPr>
                <w:rFonts w:asciiTheme="majorHAnsi" w:eastAsia="Times New Roman" w:hAnsiTheme="majorHAnsi" w:cs="Times New Roman"/>
                <w:color w:val="auto"/>
                <w:sz w:val="20"/>
                <w:szCs w:val="20"/>
              </w:rPr>
              <w:t>8.2%</w:t>
            </w:r>
          </w:p>
        </w:tc>
        <w:tc>
          <w:tcPr>
            <w:tcW w:w="899" w:type="dxa"/>
            <w:tcBorders>
              <w:top w:val="single" w:sz="6" w:space="0" w:color="000000"/>
              <w:left w:val="single" w:sz="6" w:space="0" w:color="CCCCCC"/>
              <w:bottom w:val="single" w:sz="6" w:space="0" w:color="000000"/>
              <w:right w:val="single" w:sz="6" w:space="0" w:color="000000"/>
            </w:tcBorders>
            <w:shd w:val="clear" w:color="auto" w:fill="FFFFFF" w:themeFill="background1"/>
            <w:vAlign w:val="bottom"/>
          </w:tcPr>
          <w:p w14:paraId="4ED77474" w14:textId="32E0E9CE" w:rsidR="00CA33A7" w:rsidRPr="00206AE1" w:rsidRDefault="00CA33A7" w:rsidP="00206AE1">
            <w:pPr>
              <w:jc w:val="center"/>
              <w:rPr>
                <w:rFonts w:asciiTheme="majorHAnsi" w:eastAsia="Times New Roman" w:hAnsiTheme="majorHAnsi" w:cs="Times New Roman"/>
                <w:bCs/>
                <w:color w:val="auto"/>
                <w:sz w:val="20"/>
                <w:szCs w:val="20"/>
              </w:rPr>
            </w:pPr>
            <w:r w:rsidRPr="00206AE1">
              <w:rPr>
                <w:rFonts w:asciiTheme="majorHAnsi" w:eastAsia="Times New Roman" w:hAnsiTheme="majorHAnsi" w:cs="Times New Roman"/>
                <w:bCs/>
                <w:color w:val="auto"/>
                <w:sz w:val="20"/>
                <w:szCs w:val="20"/>
              </w:rPr>
              <w:t>11</w:t>
            </w:r>
          </w:p>
        </w:tc>
        <w:tc>
          <w:tcPr>
            <w:tcW w:w="909" w:type="dxa"/>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30" w:type="dxa"/>
              <w:left w:w="45" w:type="dxa"/>
              <w:bottom w:w="30" w:type="dxa"/>
              <w:right w:w="45" w:type="dxa"/>
            </w:tcMar>
            <w:vAlign w:val="bottom"/>
            <w:hideMark/>
          </w:tcPr>
          <w:p w14:paraId="48C88187" w14:textId="6B6F1931" w:rsidR="00CA33A7" w:rsidRPr="00206AE1" w:rsidRDefault="00CA33A7" w:rsidP="00206AE1">
            <w:pPr>
              <w:jc w:val="center"/>
              <w:rPr>
                <w:rFonts w:asciiTheme="majorHAnsi" w:eastAsia="Times New Roman" w:hAnsiTheme="majorHAnsi" w:cs="Times New Roman"/>
                <w:b/>
                <w:bCs/>
                <w:color w:val="auto"/>
                <w:sz w:val="20"/>
                <w:szCs w:val="20"/>
              </w:rPr>
            </w:pPr>
            <w:r w:rsidRPr="00206AE1">
              <w:rPr>
                <w:rFonts w:asciiTheme="majorHAnsi" w:eastAsia="Times New Roman" w:hAnsiTheme="majorHAnsi" w:cs="Times New Roman"/>
                <w:b/>
                <w:bCs/>
                <w:color w:val="auto"/>
                <w:sz w:val="20"/>
                <w:szCs w:val="20"/>
              </w:rPr>
              <w:t>10</w:t>
            </w:r>
          </w:p>
        </w:tc>
        <w:tc>
          <w:tcPr>
            <w:tcW w:w="865" w:type="dxa"/>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30" w:type="dxa"/>
              <w:left w:w="45" w:type="dxa"/>
              <w:bottom w:w="30" w:type="dxa"/>
              <w:right w:w="45" w:type="dxa"/>
            </w:tcMar>
            <w:vAlign w:val="bottom"/>
            <w:hideMark/>
          </w:tcPr>
          <w:p w14:paraId="4F1DF88D" w14:textId="45045327" w:rsidR="00CA33A7" w:rsidRPr="00206AE1" w:rsidRDefault="00CA33A7" w:rsidP="00206AE1">
            <w:pPr>
              <w:jc w:val="center"/>
              <w:rPr>
                <w:rFonts w:asciiTheme="majorHAnsi" w:eastAsia="Times New Roman" w:hAnsiTheme="majorHAnsi" w:cs="Times New Roman"/>
                <w:b/>
                <w:bCs/>
                <w:color w:val="auto"/>
                <w:sz w:val="20"/>
                <w:szCs w:val="20"/>
              </w:rPr>
            </w:pPr>
            <w:r w:rsidRPr="00206AE1">
              <w:rPr>
                <w:rFonts w:asciiTheme="majorHAnsi" w:eastAsia="Times New Roman" w:hAnsiTheme="majorHAnsi" w:cs="Times New Roman"/>
                <w:b/>
                <w:bCs/>
                <w:color w:val="auto"/>
                <w:sz w:val="20"/>
                <w:szCs w:val="20"/>
              </w:rPr>
              <w:t>207</w:t>
            </w:r>
          </w:p>
        </w:tc>
      </w:tr>
      <w:tr w:rsidR="00CA33A7" w:rsidRPr="00206AE1" w14:paraId="102FCF73" w14:textId="77777777" w:rsidTr="00206AE1">
        <w:trPr>
          <w:trHeight w:val="315"/>
        </w:trPr>
        <w:tc>
          <w:tcPr>
            <w:tcW w:w="810" w:type="dxa"/>
            <w:tcBorders>
              <w:top w:val="single" w:sz="6" w:space="0" w:color="CCCCCC"/>
              <w:left w:val="single" w:sz="6" w:space="0" w:color="000000"/>
              <w:bottom w:val="single" w:sz="6" w:space="0" w:color="000000"/>
              <w:right w:val="single" w:sz="6" w:space="0" w:color="000000"/>
            </w:tcBorders>
            <w:shd w:val="clear" w:color="auto" w:fill="FFFFFF" w:themeFill="background1"/>
            <w:tcMar>
              <w:top w:w="30" w:type="dxa"/>
              <w:left w:w="45" w:type="dxa"/>
              <w:bottom w:w="30" w:type="dxa"/>
              <w:right w:w="45" w:type="dxa"/>
            </w:tcMar>
            <w:vAlign w:val="bottom"/>
            <w:hideMark/>
          </w:tcPr>
          <w:p w14:paraId="48042197" w14:textId="78E83D23" w:rsidR="00CA33A7" w:rsidRPr="00206AE1" w:rsidRDefault="00CA33A7" w:rsidP="00206AE1">
            <w:pPr>
              <w:jc w:val="center"/>
              <w:rPr>
                <w:rFonts w:asciiTheme="majorHAnsi" w:eastAsia="Times New Roman" w:hAnsiTheme="majorHAnsi" w:cs="Times New Roman"/>
                <w:b/>
                <w:color w:val="auto"/>
                <w:sz w:val="20"/>
                <w:szCs w:val="20"/>
              </w:rPr>
            </w:pPr>
            <w:r w:rsidRPr="00206AE1">
              <w:rPr>
                <w:rFonts w:asciiTheme="majorHAnsi" w:eastAsia="Times New Roman" w:hAnsiTheme="majorHAnsi" w:cs="Times New Roman"/>
                <w:b/>
                <w:color w:val="auto"/>
                <w:sz w:val="20"/>
                <w:szCs w:val="20"/>
              </w:rPr>
              <w:t>CZ11</w:t>
            </w:r>
          </w:p>
        </w:tc>
        <w:tc>
          <w:tcPr>
            <w:tcW w:w="911"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30" w:type="dxa"/>
              <w:left w:w="45" w:type="dxa"/>
              <w:bottom w:w="30" w:type="dxa"/>
              <w:right w:w="45" w:type="dxa"/>
            </w:tcMar>
            <w:vAlign w:val="bottom"/>
            <w:hideMark/>
          </w:tcPr>
          <w:p w14:paraId="6189670F" w14:textId="77777777" w:rsidR="00CA33A7" w:rsidRPr="00206AE1" w:rsidRDefault="00CA33A7" w:rsidP="00206AE1">
            <w:pPr>
              <w:jc w:val="center"/>
              <w:rPr>
                <w:rFonts w:asciiTheme="majorHAnsi" w:eastAsia="Times New Roman" w:hAnsiTheme="majorHAnsi" w:cs="Times New Roman"/>
                <w:color w:val="auto"/>
                <w:sz w:val="20"/>
                <w:szCs w:val="20"/>
              </w:rPr>
            </w:pPr>
            <w:r w:rsidRPr="00206AE1">
              <w:rPr>
                <w:rFonts w:asciiTheme="majorHAnsi" w:eastAsia="Times New Roman" w:hAnsiTheme="majorHAnsi" w:cs="Times New Roman"/>
                <w:color w:val="auto"/>
                <w:sz w:val="20"/>
                <w:szCs w:val="20"/>
              </w:rPr>
              <w:t>-2.56</w:t>
            </w:r>
          </w:p>
        </w:tc>
        <w:tc>
          <w:tcPr>
            <w:tcW w:w="1243"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30" w:type="dxa"/>
              <w:left w:w="45" w:type="dxa"/>
              <w:bottom w:w="30" w:type="dxa"/>
              <w:right w:w="45" w:type="dxa"/>
            </w:tcMar>
            <w:vAlign w:val="bottom"/>
            <w:hideMark/>
          </w:tcPr>
          <w:p w14:paraId="6F43960B" w14:textId="77777777" w:rsidR="00CA33A7" w:rsidRPr="00206AE1" w:rsidRDefault="00CA33A7" w:rsidP="00206AE1">
            <w:pPr>
              <w:jc w:val="center"/>
              <w:rPr>
                <w:rFonts w:asciiTheme="majorHAnsi" w:eastAsia="Times New Roman" w:hAnsiTheme="majorHAnsi" w:cs="Times New Roman"/>
                <w:color w:val="auto"/>
                <w:sz w:val="20"/>
                <w:szCs w:val="20"/>
              </w:rPr>
            </w:pPr>
            <w:r w:rsidRPr="00206AE1">
              <w:rPr>
                <w:rFonts w:asciiTheme="majorHAnsi" w:eastAsia="Times New Roman" w:hAnsiTheme="majorHAnsi" w:cs="Times New Roman"/>
                <w:color w:val="auto"/>
                <w:sz w:val="20"/>
                <w:szCs w:val="20"/>
              </w:rPr>
              <w:t>-10.1%</w:t>
            </w:r>
          </w:p>
        </w:tc>
        <w:tc>
          <w:tcPr>
            <w:tcW w:w="857"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30" w:type="dxa"/>
              <w:left w:w="45" w:type="dxa"/>
              <w:bottom w:w="30" w:type="dxa"/>
              <w:right w:w="45" w:type="dxa"/>
            </w:tcMar>
            <w:vAlign w:val="bottom"/>
            <w:hideMark/>
          </w:tcPr>
          <w:p w14:paraId="0EE01DE8" w14:textId="77777777" w:rsidR="00CA33A7" w:rsidRPr="00206AE1" w:rsidRDefault="00CA33A7" w:rsidP="00206AE1">
            <w:pPr>
              <w:jc w:val="center"/>
              <w:rPr>
                <w:rFonts w:asciiTheme="majorHAnsi" w:eastAsia="Times New Roman" w:hAnsiTheme="majorHAnsi" w:cs="Times New Roman"/>
                <w:bCs/>
                <w:color w:val="auto"/>
                <w:sz w:val="20"/>
                <w:szCs w:val="20"/>
              </w:rPr>
            </w:pPr>
            <w:r w:rsidRPr="00206AE1">
              <w:rPr>
                <w:rFonts w:asciiTheme="majorHAnsi" w:eastAsia="Times New Roman" w:hAnsiTheme="majorHAnsi" w:cs="Times New Roman"/>
                <w:bCs/>
                <w:color w:val="auto"/>
                <w:sz w:val="20"/>
                <w:szCs w:val="20"/>
              </w:rPr>
              <w:t>261</w:t>
            </w:r>
          </w:p>
        </w:tc>
        <w:tc>
          <w:tcPr>
            <w:tcW w:w="974"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30" w:type="dxa"/>
              <w:left w:w="45" w:type="dxa"/>
              <w:bottom w:w="30" w:type="dxa"/>
              <w:right w:w="45" w:type="dxa"/>
            </w:tcMar>
            <w:vAlign w:val="bottom"/>
            <w:hideMark/>
          </w:tcPr>
          <w:p w14:paraId="46E81523" w14:textId="77777777" w:rsidR="00CA33A7" w:rsidRPr="00206AE1" w:rsidRDefault="00CA33A7" w:rsidP="00206AE1">
            <w:pPr>
              <w:jc w:val="center"/>
              <w:rPr>
                <w:rFonts w:asciiTheme="majorHAnsi" w:eastAsia="Times New Roman" w:hAnsiTheme="majorHAnsi" w:cs="Times New Roman"/>
                <w:color w:val="auto"/>
                <w:sz w:val="20"/>
                <w:szCs w:val="20"/>
              </w:rPr>
            </w:pPr>
            <w:r w:rsidRPr="00206AE1">
              <w:rPr>
                <w:rFonts w:asciiTheme="majorHAnsi" w:eastAsia="Times New Roman" w:hAnsiTheme="majorHAnsi" w:cs="Times New Roman"/>
                <w:color w:val="auto"/>
                <w:sz w:val="20"/>
                <w:szCs w:val="20"/>
              </w:rPr>
              <w:t>3.29</w:t>
            </w:r>
          </w:p>
        </w:tc>
        <w:tc>
          <w:tcPr>
            <w:tcW w:w="1243"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30" w:type="dxa"/>
              <w:left w:w="45" w:type="dxa"/>
              <w:bottom w:w="30" w:type="dxa"/>
              <w:right w:w="45" w:type="dxa"/>
            </w:tcMar>
            <w:vAlign w:val="bottom"/>
            <w:hideMark/>
          </w:tcPr>
          <w:p w14:paraId="507FC0F9" w14:textId="77777777" w:rsidR="00CA33A7" w:rsidRPr="00206AE1" w:rsidRDefault="00CA33A7" w:rsidP="00206AE1">
            <w:pPr>
              <w:jc w:val="center"/>
              <w:rPr>
                <w:rFonts w:asciiTheme="majorHAnsi" w:eastAsia="Times New Roman" w:hAnsiTheme="majorHAnsi" w:cs="Times New Roman"/>
                <w:color w:val="auto"/>
                <w:sz w:val="20"/>
                <w:szCs w:val="20"/>
              </w:rPr>
            </w:pPr>
            <w:r w:rsidRPr="00206AE1">
              <w:rPr>
                <w:rFonts w:asciiTheme="majorHAnsi" w:eastAsia="Times New Roman" w:hAnsiTheme="majorHAnsi" w:cs="Times New Roman"/>
                <w:color w:val="auto"/>
                <w:sz w:val="20"/>
                <w:szCs w:val="20"/>
              </w:rPr>
              <w:t>9.7%</w:t>
            </w:r>
          </w:p>
        </w:tc>
        <w:tc>
          <w:tcPr>
            <w:tcW w:w="899" w:type="dxa"/>
            <w:tcBorders>
              <w:top w:val="single" w:sz="6" w:space="0" w:color="000000"/>
              <w:left w:val="single" w:sz="6" w:space="0" w:color="CCCCCC"/>
              <w:bottom w:val="single" w:sz="6" w:space="0" w:color="000000"/>
              <w:right w:val="single" w:sz="6" w:space="0" w:color="000000"/>
            </w:tcBorders>
            <w:shd w:val="clear" w:color="auto" w:fill="FFFFFF" w:themeFill="background1"/>
            <w:vAlign w:val="bottom"/>
          </w:tcPr>
          <w:p w14:paraId="795E6814" w14:textId="7976556E" w:rsidR="00CA33A7" w:rsidRPr="00206AE1" w:rsidRDefault="00CA33A7" w:rsidP="00206AE1">
            <w:pPr>
              <w:jc w:val="center"/>
              <w:rPr>
                <w:rFonts w:asciiTheme="majorHAnsi" w:eastAsia="Times New Roman" w:hAnsiTheme="majorHAnsi" w:cs="Times New Roman"/>
                <w:bCs/>
                <w:color w:val="auto"/>
                <w:sz w:val="20"/>
                <w:szCs w:val="20"/>
              </w:rPr>
            </w:pPr>
            <w:r w:rsidRPr="00206AE1">
              <w:rPr>
                <w:rFonts w:asciiTheme="majorHAnsi" w:eastAsia="Times New Roman" w:hAnsiTheme="majorHAnsi" w:cs="Times New Roman"/>
                <w:bCs/>
                <w:color w:val="auto"/>
                <w:sz w:val="20"/>
                <w:szCs w:val="20"/>
              </w:rPr>
              <w:t>28</w:t>
            </w:r>
          </w:p>
        </w:tc>
        <w:tc>
          <w:tcPr>
            <w:tcW w:w="909" w:type="dxa"/>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30" w:type="dxa"/>
              <w:left w:w="45" w:type="dxa"/>
              <w:bottom w:w="30" w:type="dxa"/>
              <w:right w:w="45" w:type="dxa"/>
            </w:tcMar>
            <w:vAlign w:val="bottom"/>
            <w:hideMark/>
          </w:tcPr>
          <w:p w14:paraId="501AE174" w14:textId="79EEF69D" w:rsidR="00CA33A7" w:rsidRPr="00206AE1" w:rsidRDefault="00CA33A7" w:rsidP="00206AE1">
            <w:pPr>
              <w:jc w:val="center"/>
              <w:rPr>
                <w:rFonts w:asciiTheme="majorHAnsi" w:eastAsia="Times New Roman" w:hAnsiTheme="majorHAnsi" w:cs="Times New Roman"/>
                <w:b/>
                <w:bCs/>
                <w:color w:val="auto"/>
                <w:sz w:val="20"/>
                <w:szCs w:val="20"/>
              </w:rPr>
            </w:pPr>
            <w:r w:rsidRPr="00206AE1">
              <w:rPr>
                <w:rFonts w:asciiTheme="majorHAnsi" w:eastAsia="Times New Roman" w:hAnsiTheme="majorHAnsi" w:cs="Times New Roman"/>
                <w:b/>
                <w:bCs/>
                <w:color w:val="auto"/>
                <w:sz w:val="20"/>
                <w:szCs w:val="20"/>
              </w:rPr>
              <w:t>23</w:t>
            </w:r>
          </w:p>
        </w:tc>
        <w:tc>
          <w:tcPr>
            <w:tcW w:w="865" w:type="dxa"/>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30" w:type="dxa"/>
              <w:left w:w="45" w:type="dxa"/>
              <w:bottom w:w="30" w:type="dxa"/>
              <w:right w:w="45" w:type="dxa"/>
            </w:tcMar>
            <w:vAlign w:val="bottom"/>
            <w:hideMark/>
          </w:tcPr>
          <w:p w14:paraId="3248068B" w14:textId="51F6D5DC" w:rsidR="00CA33A7" w:rsidRPr="00206AE1" w:rsidRDefault="00CA33A7" w:rsidP="00206AE1">
            <w:pPr>
              <w:jc w:val="center"/>
              <w:rPr>
                <w:rFonts w:asciiTheme="majorHAnsi" w:eastAsia="Times New Roman" w:hAnsiTheme="majorHAnsi" w:cs="Times New Roman"/>
                <w:b/>
                <w:bCs/>
                <w:color w:val="auto"/>
                <w:sz w:val="20"/>
                <w:szCs w:val="20"/>
              </w:rPr>
            </w:pPr>
            <w:r w:rsidRPr="00206AE1">
              <w:rPr>
                <w:rFonts w:asciiTheme="majorHAnsi" w:eastAsia="Times New Roman" w:hAnsiTheme="majorHAnsi" w:cs="Times New Roman"/>
                <w:b/>
                <w:bCs/>
                <w:color w:val="auto"/>
                <w:sz w:val="20"/>
                <w:szCs w:val="20"/>
              </w:rPr>
              <w:t>289</w:t>
            </w:r>
          </w:p>
        </w:tc>
      </w:tr>
      <w:tr w:rsidR="00CA33A7" w:rsidRPr="00206AE1" w14:paraId="2A0523EC" w14:textId="77777777" w:rsidTr="00206AE1">
        <w:trPr>
          <w:trHeight w:val="315"/>
        </w:trPr>
        <w:tc>
          <w:tcPr>
            <w:tcW w:w="810" w:type="dxa"/>
            <w:tcBorders>
              <w:top w:val="single" w:sz="6" w:space="0" w:color="CCCCCC"/>
              <w:left w:val="single" w:sz="6" w:space="0" w:color="000000"/>
              <w:bottom w:val="single" w:sz="6" w:space="0" w:color="000000"/>
              <w:right w:val="single" w:sz="6" w:space="0" w:color="000000"/>
            </w:tcBorders>
            <w:shd w:val="clear" w:color="auto" w:fill="FFFFFF" w:themeFill="background1"/>
            <w:tcMar>
              <w:top w:w="30" w:type="dxa"/>
              <w:left w:w="45" w:type="dxa"/>
              <w:bottom w:w="30" w:type="dxa"/>
              <w:right w:w="45" w:type="dxa"/>
            </w:tcMar>
            <w:vAlign w:val="bottom"/>
            <w:hideMark/>
          </w:tcPr>
          <w:p w14:paraId="15363729" w14:textId="007E65E6" w:rsidR="00CA33A7" w:rsidRPr="00206AE1" w:rsidRDefault="00CA33A7" w:rsidP="00206AE1">
            <w:pPr>
              <w:jc w:val="center"/>
              <w:rPr>
                <w:rFonts w:asciiTheme="majorHAnsi" w:eastAsia="Times New Roman" w:hAnsiTheme="majorHAnsi" w:cs="Times New Roman"/>
                <w:b/>
                <w:color w:val="auto"/>
                <w:sz w:val="20"/>
                <w:szCs w:val="20"/>
              </w:rPr>
            </w:pPr>
            <w:r w:rsidRPr="00206AE1">
              <w:rPr>
                <w:rFonts w:asciiTheme="majorHAnsi" w:eastAsia="Times New Roman" w:hAnsiTheme="majorHAnsi" w:cs="Times New Roman"/>
                <w:b/>
                <w:color w:val="auto"/>
                <w:sz w:val="20"/>
                <w:szCs w:val="20"/>
              </w:rPr>
              <w:t>CZ12</w:t>
            </w:r>
          </w:p>
        </w:tc>
        <w:tc>
          <w:tcPr>
            <w:tcW w:w="911"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30" w:type="dxa"/>
              <w:left w:w="45" w:type="dxa"/>
              <w:bottom w:w="30" w:type="dxa"/>
              <w:right w:w="45" w:type="dxa"/>
            </w:tcMar>
            <w:vAlign w:val="bottom"/>
            <w:hideMark/>
          </w:tcPr>
          <w:p w14:paraId="5BEEE534" w14:textId="77777777" w:rsidR="00CA33A7" w:rsidRPr="00206AE1" w:rsidRDefault="00CA33A7" w:rsidP="00206AE1">
            <w:pPr>
              <w:jc w:val="center"/>
              <w:rPr>
                <w:rFonts w:asciiTheme="majorHAnsi" w:eastAsia="Times New Roman" w:hAnsiTheme="majorHAnsi" w:cs="Times New Roman"/>
                <w:color w:val="auto"/>
                <w:sz w:val="20"/>
                <w:szCs w:val="20"/>
              </w:rPr>
            </w:pPr>
            <w:r w:rsidRPr="00206AE1">
              <w:rPr>
                <w:rFonts w:asciiTheme="majorHAnsi" w:eastAsia="Times New Roman" w:hAnsiTheme="majorHAnsi" w:cs="Times New Roman"/>
                <w:color w:val="auto"/>
                <w:sz w:val="20"/>
                <w:szCs w:val="20"/>
              </w:rPr>
              <w:t>-2.57</w:t>
            </w:r>
          </w:p>
        </w:tc>
        <w:tc>
          <w:tcPr>
            <w:tcW w:w="1243"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30" w:type="dxa"/>
              <w:left w:w="45" w:type="dxa"/>
              <w:bottom w:w="30" w:type="dxa"/>
              <w:right w:w="45" w:type="dxa"/>
            </w:tcMar>
            <w:vAlign w:val="bottom"/>
            <w:hideMark/>
          </w:tcPr>
          <w:p w14:paraId="76DBD667" w14:textId="77777777" w:rsidR="00CA33A7" w:rsidRPr="00206AE1" w:rsidRDefault="00CA33A7" w:rsidP="00206AE1">
            <w:pPr>
              <w:jc w:val="center"/>
              <w:rPr>
                <w:rFonts w:asciiTheme="majorHAnsi" w:eastAsia="Times New Roman" w:hAnsiTheme="majorHAnsi" w:cs="Times New Roman"/>
                <w:color w:val="auto"/>
                <w:sz w:val="20"/>
                <w:szCs w:val="20"/>
              </w:rPr>
            </w:pPr>
            <w:r w:rsidRPr="00206AE1">
              <w:rPr>
                <w:rFonts w:asciiTheme="majorHAnsi" w:eastAsia="Times New Roman" w:hAnsiTheme="majorHAnsi" w:cs="Times New Roman"/>
                <w:color w:val="auto"/>
                <w:sz w:val="20"/>
                <w:szCs w:val="20"/>
              </w:rPr>
              <w:t>-9.0%</w:t>
            </w:r>
          </w:p>
        </w:tc>
        <w:tc>
          <w:tcPr>
            <w:tcW w:w="857"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30" w:type="dxa"/>
              <w:left w:w="45" w:type="dxa"/>
              <w:bottom w:w="30" w:type="dxa"/>
              <w:right w:w="45" w:type="dxa"/>
            </w:tcMar>
            <w:vAlign w:val="bottom"/>
            <w:hideMark/>
          </w:tcPr>
          <w:p w14:paraId="6ABD1770" w14:textId="77777777" w:rsidR="00CA33A7" w:rsidRPr="00206AE1" w:rsidRDefault="00CA33A7" w:rsidP="00206AE1">
            <w:pPr>
              <w:jc w:val="center"/>
              <w:rPr>
                <w:rFonts w:asciiTheme="majorHAnsi" w:eastAsia="Times New Roman" w:hAnsiTheme="majorHAnsi" w:cs="Times New Roman"/>
                <w:bCs/>
                <w:color w:val="auto"/>
                <w:sz w:val="20"/>
                <w:szCs w:val="20"/>
              </w:rPr>
            </w:pPr>
            <w:r w:rsidRPr="00206AE1">
              <w:rPr>
                <w:rFonts w:asciiTheme="majorHAnsi" w:eastAsia="Times New Roman" w:hAnsiTheme="majorHAnsi" w:cs="Times New Roman"/>
                <w:bCs/>
                <w:color w:val="auto"/>
                <w:sz w:val="20"/>
                <w:szCs w:val="20"/>
              </w:rPr>
              <w:t>178</w:t>
            </w:r>
          </w:p>
        </w:tc>
        <w:tc>
          <w:tcPr>
            <w:tcW w:w="974"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30" w:type="dxa"/>
              <w:left w:w="45" w:type="dxa"/>
              <w:bottom w:w="30" w:type="dxa"/>
              <w:right w:w="45" w:type="dxa"/>
            </w:tcMar>
            <w:vAlign w:val="bottom"/>
            <w:hideMark/>
          </w:tcPr>
          <w:p w14:paraId="733924C9" w14:textId="77777777" w:rsidR="00CA33A7" w:rsidRPr="00206AE1" w:rsidRDefault="00CA33A7" w:rsidP="00206AE1">
            <w:pPr>
              <w:jc w:val="center"/>
              <w:rPr>
                <w:rFonts w:asciiTheme="majorHAnsi" w:eastAsia="Times New Roman" w:hAnsiTheme="majorHAnsi" w:cs="Times New Roman"/>
                <w:color w:val="auto"/>
                <w:sz w:val="20"/>
                <w:szCs w:val="20"/>
              </w:rPr>
            </w:pPr>
            <w:r w:rsidRPr="00206AE1">
              <w:rPr>
                <w:rFonts w:asciiTheme="majorHAnsi" w:eastAsia="Times New Roman" w:hAnsiTheme="majorHAnsi" w:cs="Times New Roman"/>
                <w:color w:val="auto"/>
                <w:sz w:val="20"/>
                <w:szCs w:val="20"/>
              </w:rPr>
              <w:t>3.26</w:t>
            </w:r>
          </w:p>
        </w:tc>
        <w:tc>
          <w:tcPr>
            <w:tcW w:w="1243"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30" w:type="dxa"/>
              <w:left w:w="45" w:type="dxa"/>
              <w:bottom w:w="30" w:type="dxa"/>
              <w:right w:w="45" w:type="dxa"/>
            </w:tcMar>
            <w:vAlign w:val="bottom"/>
            <w:hideMark/>
          </w:tcPr>
          <w:p w14:paraId="724531F2" w14:textId="77777777" w:rsidR="00CA33A7" w:rsidRPr="00206AE1" w:rsidRDefault="00CA33A7" w:rsidP="00206AE1">
            <w:pPr>
              <w:jc w:val="center"/>
              <w:rPr>
                <w:rFonts w:asciiTheme="majorHAnsi" w:eastAsia="Times New Roman" w:hAnsiTheme="majorHAnsi" w:cs="Times New Roman"/>
                <w:color w:val="auto"/>
                <w:sz w:val="20"/>
                <w:szCs w:val="20"/>
              </w:rPr>
            </w:pPr>
            <w:r w:rsidRPr="00206AE1">
              <w:rPr>
                <w:rFonts w:asciiTheme="majorHAnsi" w:eastAsia="Times New Roman" w:hAnsiTheme="majorHAnsi" w:cs="Times New Roman"/>
                <w:color w:val="auto"/>
                <w:sz w:val="20"/>
                <w:szCs w:val="20"/>
              </w:rPr>
              <w:t>9.4%</w:t>
            </w:r>
          </w:p>
        </w:tc>
        <w:tc>
          <w:tcPr>
            <w:tcW w:w="899" w:type="dxa"/>
            <w:tcBorders>
              <w:top w:val="single" w:sz="6" w:space="0" w:color="000000"/>
              <w:left w:val="single" w:sz="6" w:space="0" w:color="CCCCCC"/>
              <w:bottom w:val="single" w:sz="6" w:space="0" w:color="000000"/>
              <w:right w:val="single" w:sz="6" w:space="0" w:color="000000"/>
            </w:tcBorders>
            <w:shd w:val="clear" w:color="auto" w:fill="FFFFFF" w:themeFill="background1"/>
            <w:vAlign w:val="bottom"/>
          </w:tcPr>
          <w:p w14:paraId="675C64FE" w14:textId="4BB855BF" w:rsidR="00CA33A7" w:rsidRPr="00206AE1" w:rsidRDefault="00CA33A7" w:rsidP="00206AE1">
            <w:pPr>
              <w:jc w:val="center"/>
              <w:rPr>
                <w:rFonts w:asciiTheme="majorHAnsi" w:eastAsia="Times New Roman" w:hAnsiTheme="majorHAnsi" w:cs="Times New Roman"/>
                <w:bCs/>
                <w:color w:val="auto"/>
                <w:sz w:val="20"/>
                <w:szCs w:val="20"/>
              </w:rPr>
            </w:pPr>
            <w:r w:rsidRPr="00206AE1">
              <w:rPr>
                <w:rFonts w:asciiTheme="majorHAnsi" w:eastAsia="Times New Roman" w:hAnsiTheme="majorHAnsi" w:cs="Times New Roman"/>
                <w:bCs/>
                <w:color w:val="auto"/>
                <w:sz w:val="20"/>
                <w:szCs w:val="20"/>
              </w:rPr>
              <w:t>25</w:t>
            </w:r>
          </w:p>
        </w:tc>
        <w:tc>
          <w:tcPr>
            <w:tcW w:w="909" w:type="dxa"/>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30" w:type="dxa"/>
              <w:left w:w="45" w:type="dxa"/>
              <w:bottom w:w="30" w:type="dxa"/>
              <w:right w:w="45" w:type="dxa"/>
            </w:tcMar>
            <w:vAlign w:val="bottom"/>
            <w:hideMark/>
          </w:tcPr>
          <w:p w14:paraId="639A05BA" w14:textId="11BCB3B6" w:rsidR="00CA33A7" w:rsidRPr="00206AE1" w:rsidRDefault="00CA33A7" w:rsidP="00206AE1">
            <w:pPr>
              <w:jc w:val="center"/>
              <w:rPr>
                <w:rFonts w:asciiTheme="majorHAnsi" w:eastAsia="Times New Roman" w:hAnsiTheme="majorHAnsi" w:cs="Times New Roman"/>
                <w:b/>
                <w:bCs/>
                <w:color w:val="auto"/>
                <w:sz w:val="20"/>
                <w:szCs w:val="20"/>
              </w:rPr>
            </w:pPr>
            <w:r w:rsidRPr="00206AE1">
              <w:rPr>
                <w:rFonts w:asciiTheme="majorHAnsi" w:eastAsia="Times New Roman" w:hAnsiTheme="majorHAnsi" w:cs="Times New Roman"/>
                <w:b/>
                <w:bCs/>
                <w:color w:val="auto"/>
                <w:sz w:val="20"/>
                <w:szCs w:val="20"/>
              </w:rPr>
              <w:t>23</w:t>
            </w:r>
          </w:p>
        </w:tc>
        <w:tc>
          <w:tcPr>
            <w:tcW w:w="865" w:type="dxa"/>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30" w:type="dxa"/>
              <w:left w:w="45" w:type="dxa"/>
              <w:bottom w:w="30" w:type="dxa"/>
              <w:right w:w="45" w:type="dxa"/>
            </w:tcMar>
            <w:vAlign w:val="bottom"/>
            <w:hideMark/>
          </w:tcPr>
          <w:p w14:paraId="26DA914E" w14:textId="057738D6" w:rsidR="00CA33A7" w:rsidRPr="00206AE1" w:rsidRDefault="00CA33A7" w:rsidP="00206AE1">
            <w:pPr>
              <w:jc w:val="center"/>
              <w:rPr>
                <w:rFonts w:asciiTheme="majorHAnsi" w:eastAsia="Times New Roman" w:hAnsiTheme="majorHAnsi" w:cs="Times New Roman"/>
                <w:b/>
                <w:bCs/>
                <w:color w:val="auto"/>
                <w:sz w:val="20"/>
                <w:szCs w:val="20"/>
              </w:rPr>
            </w:pPr>
            <w:r w:rsidRPr="00206AE1">
              <w:rPr>
                <w:rFonts w:asciiTheme="majorHAnsi" w:eastAsia="Times New Roman" w:hAnsiTheme="majorHAnsi" w:cs="Times New Roman"/>
                <w:b/>
                <w:bCs/>
                <w:color w:val="auto"/>
                <w:sz w:val="20"/>
                <w:szCs w:val="20"/>
              </w:rPr>
              <w:t>203</w:t>
            </w:r>
          </w:p>
        </w:tc>
      </w:tr>
      <w:tr w:rsidR="00CA33A7" w:rsidRPr="00206AE1" w14:paraId="05FDA576" w14:textId="77777777" w:rsidTr="00206AE1">
        <w:trPr>
          <w:trHeight w:val="315"/>
        </w:trPr>
        <w:tc>
          <w:tcPr>
            <w:tcW w:w="810" w:type="dxa"/>
            <w:tcBorders>
              <w:top w:val="single" w:sz="6" w:space="0" w:color="CCCCCC"/>
              <w:left w:val="single" w:sz="6" w:space="0" w:color="000000"/>
              <w:bottom w:val="single" w:sz="6" w:space="0" w:color="000000"/>
              <w:right w:val="single" w:sz="6" w:space="0" w:color="000000"/>
            </w:tcBorders>
            <w:shd w:val="clear" w:color="auto" w:fill="FFFFFF" w:themeFill="background1"/>
            <w:tcMar>
              <w:top w:w="30" w:type="dxa"/>
              <w:left w:w="45" w:type="dxa"/>
              <w:bottom w:w="30" w:type="dxa"/>
              <w:right w:w="45" w:type="dxa"/>
            </w:tcMar>
            <w:vAlign w:val="bottom"/>
            <w:hideMark/>
          </w:tcPr>
          <w:p w14:paraId="223FCC42" w14:textId="0C17D78A" w:rsidR="00CA33A7" w:rsidRPr="00206AE1" w:rsidRDefault="00CA33A7" w:rsidP="00206AE1">
            <w:pPr>
              <w:jc w:val="center"/>
              <w:rPr>
                <w:rFonts w:asciiTheme="majorHAnsi" w:eastAsia="Times New Roman" w:hAnsiTheme="majorHAnsi" w:cs="Times New Roman"/>
                <w:b/>
                <w:color w:val="auto"/>
                <w:sz w:val="20"/>
                <w:szCs w:val="20"/>
              </w:rPr>
            </w:pPr>
            <w:r w:rsidRPr="00206AE1">
              <w:rPr>
                <w:rFonts w:asciiTheme="majorHAnsi" w:eastAsia="Times New Roman" w:hAnsiTheme="majorHAnsi" w:cs="Times New Roman"/>
                <w:b/>
                <w:color w:val="auto"/>
                <w:sz w:val="20"/>
                <w:szCs w:val="20"/>
              </w:rPr>
              <w:t>CZ13</w:t>
            </w:r>
          </w:p>
        </w:tc>
        <w:tc>
          <w:tcPr>
            <w:tcW w:w="911"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30" w:type="dxa"/>
              <w:left w:w="45" w:type="dxa"/>
              <w:bottom w:w="30" w:type="dxa"/>
              <w:right w:w="45" w:type="dxa"/>
            </w:tcMar>
            <w:vAlign w:val="bottom"/>
            <w:hideMark/>
          </w:tcPr>
          <w:p w14:paraId="048BCA4F" w14:textId="77777777" w:rsidR="00CA33A7" w:rsidRPr="00206AE1" w:rsidRDefault="00CA33A7" w:rsidP="00206AE1">
            <w:pPr>
              <w:jc w:val="center"/>
              <w:rPr>
                <w:rFonts w:asciiTheme="majorHAnsi" w:eastAsia="Times New Roman" w:hAnsiTheme="majorHAnsi" w:cs="Times New Roman"/>
                <w:color w:val="auto"/>
                <w:sz w:val="20"/>
                <w:szCs w:val="20"/>
              </w:rPr>
            </w:pPr>
            <w:r w:rsidRPr="00206AE1">
              <w:rPr>
                <w:rFonts w:asciiTheme="majorHAnsi" w:eastAsia="Times New Roman" w:hAnsiTheme="majorHAnsi" w:cs="Times New Roman"/>
                <w:color w:val="auto"/>
                <w:sz w:val="20"/>
                <w:szCs w:val="20"/>
              </w:rPr>
              <w:t>-2.50</w:t>
            </w:r>
          </w:p>
        </w:tc>
        <w:tc>
          <w:tcPr>
            <w:tcW w:w="1243"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30" w:type="dxa"/>
              <w:left w:w="45" w:type="dxa"/>
              <w:bottom w:w="30" w:type="dxa"/>
              <w:right w:w="45" w:type="dxa"/>
            </w:tcMar>
            <w:vAlign w:val="bottom"/>
            <w:hideMark/>
          </w:tcPr>
          <w:p w14:paraId="01DCF35F" w14:textId="77777777" w:rsidR="00CA33A7" w:rsidRPr="00206AE1" w:rsidRDefault="00CA33A7" w:rsidP="00206AE1">
            <w:pPr>
              <w:jc w:val="center"/>
              <w:rPr>
                <w:rFonts w:asciiTheme="majorHAnsi" w:eastAsia="Times New Roman" w:hAnsiTheme="majorHAnsi" w:cs="Times New Roman"/>
                <w:color w:val="auto"/>
                <w:sz w:val="20"/>
                <w:szCs w:val="20"/>
              </w:rPr>
            </w:pPr>
            <w:r w:rsidRPr="00206AE1">
              <w:rPr>
                <w:rFonts w:asciiTheme="majorHAnsi" w:eastAsia="Times New Roman" w:hAnsiTheme="majorHAnsi" w:cs="Times New Roman"/>
                <w:color w:val="auto"/>
                <w:sz w:val="20"/>
                <w:szCs w:val="20"/>
              </w:rPr>
              <w:t>-9.6%</w:t>
            </w:r>
          </w:p>
        </w:tc>
        <w:tc>
          <w:tcPr>
            <w:tcW w:w="857"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30" w:type="dxa"/>
              <w:left w:w="45" w:type="dxa"/>
              <w:bottom w:w="30" w:type="dxa"/>
              <w:right w:w="45" w:type="dxa"/>
            </w:tcMar>
            <w:vAlign w:val="bottom"/>
            <w:hideMark/>
          </w:tcPr>
          <w:p w14:paraId="14713F9B" w14:textId="77777777" w:rsidR="00CA33A7" w:rsidRPr="00206AE1" w:rsidRDefault="00CA33A7" w:rsidP="00206AE1">
            <w:pPr>
              <w:jc w:val="center"/>
              <w:rPr>
                <w:rFonts w:asciiTheme="majorHAnsi" w:eastAsia="Times New Roman" w:hAnsiTheme="majorHAnsi" w:cs="Times New Roman"/>
                <w:bCs/>
                <w:color w:val="auto"/>
                <w:sz w:val="20"/>
                <w:szCs w:val="20"/>
              </w:rPr>
            </w:pPr>
            <w:r w:rsidRPr="00206AE1">
              <w:rPr>
                <w:rFonts w:asciiTheme="majorHAnsi" w:eastAsia="Times New Roman" w:hAnsiTheme="majorHAnsi" w:cs="Times New Roman"/>
                <w:bCs/>
                <w:color w:val="auto"/>
                <w:sz w:val="20"/>
                <w:szCs w:val="20"/>
              </w:rPr>
              <w:t>319</w:t>
            </w:r>
          </w:p>
        </w:tc>
        <w:tc>
          <w:tcPr>
            <w:tcW w:w="974"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30" w:type="dxa"/>
              <w:left w:w="45" w:type="dxa"/>
              <w:bottom w:w="30" w:type="dxa"/>
              <w:right w:w="45" w:type="dxa"/>
            </w:tcMar>
            <w:vAlign w:val="bottom"/>
            <w:hideMark/>
          </w:tcPr>
          <w:p w14:paraId="57A1EAB6" w14:textId="77777777" w:rsidR="00CA33A7" w:rsidRPr="00206AE1" w:rsidRDefault="00CA33A7" w:rsidP="00206AE1">
            <w:pPr>
              <w:jc w:val="center"/>
              <w:rPr>
                <w:rFonts w:asciiTheme="majorHAnsi" w:eastAsia="Times New Roman" w:hAnsiTheme="majorHAnsi" w:cs="Times New Roman"/>
                <w:color w:val="auto"/>
                <w:sz w:val="20"/>
                <w:szCs w:val="20"/>
              </w:rPr>
            </w:pPr>
            <w:r w:rsidRPr="00206AE1">
              <w:rPr>
                <w:rFonts w:asciiTheme="majorHAnsi" w:eastAsia="Times New Roman" w:hAnsiTheme="majorHAnsi" w:cs="Times New Roman"/>
                <w:color w:val="auto"/>
                <w:sz w:val="20"/>
                <w:szCs w:val="20"/>
              </w:rPr>
              <w:t>3.11</w:t>
            </w:r>
          </w:p>
        </w:tc>
        <w:tc>
          <w:tcPr>
            <w:tcW w:w="1243"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30" w:type="dxa"/>
              <w:left w:w="45" w:type="dxa"/>
              <w:bottom w:w="30" w:type="dxa"/>
              <w:right w:w="45" w:type="dxa"/>
            </w:tcMar>
            <w:vAlign w:val="bottom"/>
            <w:hideMark/>
          </w:tcPr>
          <w:p w14:paraId="79B62AF2" w14:textId="77777777" w:rsidR="00CA33A7" w:rsidRPr="00206AE1" w:rsidRDefault="00CA33A7" w:rsidP="00206AE1">
            <w:pPr>
              <w:jc w:val="center"/>
              <w:rPr>
                <w:rFonts w:asciiTheme="majorHAnsi" w:eastAsia="Times New Roman" w:hAnsiTheme="majorHAnsi" w:cs="Times New Roman"/>
                <w:color w:val="auto"/>
                <w:sz w:val="20"/>
                <w:szCs w:val="20"/>
              </w:rPr>
            </w:pPr>
            <w:r w:rsidRPr="00206AE1">
              <w:rPr>
                <w:rFonts w:asciiTheme="majorHAnsi" w:eastAsia="Times New Roman" w:hAnsiTheme="majorHAnsi" w:cs="Times New Roman"/>
                <w:color w:val="auto"/>
                <w:sz w:val="20"/>
                <w:szCs w:val="20"/>
              </w:rPr>
              <w:t>9.8%</w:t>
            </w:r>
          </w:p>
        </w:tc>
        <w:tc>
          <w:tcPr>
            <w:tcW w:w="899" w:type="dxa"/>
            <w:tcBorders>
              <w:top w:val="single" w:sz="6" w:space="0" w:color="000000"/>
              <w:left w:val="single" w:sz="6" w:space="0" w:color="CCCCCC"/>
              <w:bottom w:val="single" w:sz="6" w:space="0" w:color="000000"/>
              <w:right w:val="single" w:sz="6" w:space="0" w:color="000000"/>
            </w:tcBorders>
            <w:shd w:val="clear" w:color="auto" w:fill="FFFFFF" w:themeFill="background1"/>
            <w:vAlign w:val="bottom"/>
          </w:tcPr>
          <w:p w14:paraId="0A508F29" w14:textId="79BE52BB" w:rsidR="00CA33A7" w:rsidRPr="00206AE1" w:rsidRDefault="00CA33A7" w:rsidP="00206AE1">
            <w:pPr>
              <w:jc w:val="center"/>
              <w:rPr>
                <w:rFonts w:asciiTheme="majorHAnsi" w:eastAsia="Times New Roman" w:hAnsiTheme="majorHAnsi" w:cs="Times New Roman"/>
                <w:bCs/>
                <w:color w:val="auto"/>
                <w:sz w:val="20"/>
                <w:szCs w:val="20"/>
              </w:rPr>
            </w:pPr>
            <w:r w:rsidRPr="00206AE1">
              <w:rPr>
                <w:rFonts w:asciiTheme="majorHAnsi" w:eastAsia="Times New Roman" w:hAnsiTheme="majorHAnsi" w:cs="Times New Roman"/>
                <w:bCs/>
                <w:color w:val="auto"/>
                <w:sz w:val="20"/>
                <w:szCs w:val="20"/>
              </w:rPr>
              <w:t>23</w:t>
            </w:r>
          </w:p>
        </w:tc>
        <w:tc>
          <w:tcPr>
            <w:tcW w:w="909" w:type="dxa"/>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30" w:type="dxa"/>
              <w:left w:w="45" w:type="dxa"/>
              <w:bottom w:w="30" w:type="dxa"/>
              <w:right w:w="45" w:type="dxa"/>
            </w:tcMar>
            <w:vAlign w:val="bottom"/>
            <w:hideMark/>
          </w:tcPr>
          <w:p w14:paraId="5C9A7628" w14:textId="3372A76F" w:rsidR="00CA33A7" w:rsidRPr="00206AE1" w:rsidRDefault="00CA33A7" w:rsidP="00206AE1">
            <w:pPr>
              <w:jc w:val="center"/>
              <w:rPr>
                <w:rFonts w:asciiTheme="majorHAnsi" w:eastAsia="Times New Roman" w:hAnsiTheme="majorHAnsi" w:cs="Times New Roman"/>
                <w:b/>
                <w:bCs/>
                <w:color w:val="auto"/>
                <w:sz w:val="20"/>
                <w:szCs w:val="20"/>
              </w:rPr>
            </w:pPr>
            <w:r w:rsidRPr="00206AE1">
              <w:rPr>
                <w:rFonts w:asciiTheme="majorHAnsi" w:eastAsia="Times New Roman" w:hAnsiTheme="majorHAnsi" w:cs="Times New Roman"/>
                <w:b/>
                <w:bCs/>
                <w:color w:val="auto"/>
                <w:sz w:val="20"/>
                <w:szCs w:val="20"/>
              </w:rPr>
              <w:t>19</w:t>
            </w:r>
          </w:p>
        </w:tc>
        <w:tc>
          <w:tcPr>
            <w:tcW w:w="865" w:type="dxa"/>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30" w:type="dxa"/>
              <w:left w:w="45" w:type="dxa"/>
              <w:bottom w:w="30" w:type="dxa"/>
              <w:right w:w="45" w:type="dxa"/>
            </w:tcMar>
            <w:vAlign w:val="bottom"/>
            <w:hideMark/>
          </w:tcPr>
          <w:p w14:paraId="2CB3BA45" w14:textId="49CC0A09" w:rsidR="00CA33A7" w:rsidRPr="00206AE1" w:rsidRDefault="00CA33A7" w:rsidP="00206AE1">
            <w:pPr>
              <w:jc w:val="center"/>
              <w:rPr>
                <w:rFonts w:asciiTheme="majorHAnsi" w:eastAsia="Times New Roman" w:hAnsiTheme="majorHAnsi" w:cs="Times New Roman"/>
                <w:b/>
                <w:bCs/>
                <w:color w:val="auto"/>
                <w:sz w:val="20"/>
                <w:szCs w:val="20"/>
              </w:rPr>
            </w:pPr>
            <w:r w:rsidRPr="00206AE1">
              <w:rPr>
                <w:rFonts w:asciiTheme="majorHAnsi" w:eastAsia="Times New Roman" w:hAnsiTheme="majorHAnsi" w:cs="Times New Roman"/>
                <w:b/>
                <w:bCs/>
                <w:color w:val="auto"/>
                <w:sz w:val="20"/>
                <w:szCs w:val="20"/>
              </w:rPr>
              <w:t>341</w:t>
            </w:r>
          </w:p>
        </w:tc>
      </w:tr>
      <w:tr w:rsidR="00CA33A7" w:rsidRPr="00206AE1" w14:paraId="261E28D0" w14:textId="77777777" w:rsidTr="00206AE1">
        <w:trPr>
          <w:trHeight w:val="315"/>
        </w:trPr>
        <w:tc>
          <w:tcPr>
            <w:tcW w:w="810" w:type="dxa"/>
            <w:tcBorders>
              <w:top w:val="single" w:sz="6" w:space="0" w:color="CCCCCC"/>
              <w:left w:val="single" w:sz="6" w:space="0" w:color="000000"/>
              <w:bottom w:val="single" w:sz="6" w:space="0" w:color="000000"/>
              <w:right w:val="single" w:sz="6" w:space="0" w:color="000000"/>
            </w:tcBorders>
            <w:shd w:val="clear" w:color="auto" w:fill="FFFFFF" w:themeFill="background1"/>
            <w:tcMar>
              <w:top w:w="30" w:type="dxa"/>
              <w:left w:w="45" w:type="dxa"/>
              <w:bottom w:w="30" w:type="dxa"/>
              <w:right w:w="45" w:type="dxa"/>
            </w:tcMar>
            <w:vAlign w:val="bottom"/>
            <w:hideMark/>
          </w:tcPr>
          <w:p w14:paraId="6EC162C7" w14:textId="09B47858" w:rsidR="00CA33A7" w:rsidRPr="00206AE1" w:rsidRDefault="00CA33A7" w:rsidP="00206AE1">
            <w:pPr>
              <w:jc w:val="center"/>
              <w:rPr>
                <w:rFonts w:asciiTheme="majorHAnsi" w:eastAsia="Times New Roman" w:hAnsiTheme="majorHAnsi" w:cs="Times New Roman"/>
                <w:b/>
                <w:color w:val="auto"/>
                <w:sz w:val="20"/>
                <w:szCs w:val="20"/>
              </w:rPr>
            </w:pPr>
            <w:r w:rsidRPr="00206AE1">
              <w:rPr>
                <w:rFonts w:asciiTheme="majorHAnsi" w:eastAsia="Times New Roman" w:hAnsiTheme="majorHAnsi" w:cs="Times New Roman"/>
                <w:b/>
                <w:color w:val="auto"/>
                <w:sz w:val="20"/>
                <w:szCs w:val="20"/>
              </w:rPr>
              <w:t>CZ14</w:t>
            </w:r>
          </w:p>
        </w:tc>
        <w:tc>
          <w:tcPr>
            <w:tcW w:w="911"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30" w:type="dxa"/>
              <w:left w:w="45" w:type="dxa"/>
              <w:bottom w:w="30" w:type="dxa"/>
              <w:right w:w="45" w:type="dxa"/>
            </w:tcMar>
            <w:vAlign w:val="bottom"/>
            <w:hideMark/>
          </w:tcPr>
          <w:p w14:paraId="0BF74E01" w14:textId="77777777" w:rsidR="00CA33A7" w:rsidRPr="00206AE1" w:rsidRDefault="00CA33A7" w:rsidP="00206AE1">
            <w:pPr>
              <w:jc w:val="center"/>
              <w:rPr>
                <w:rFonts w:asciiTheme="majorHAnsi" w:eastAsia="Times New Roman" w:hAnsiTheme="majorHAnsi" w:cs="Times New Roman"/>
                <w:color w:val="auto"/>
                <w:sz w:val="20"/>
                <w:szCs w:val="20"/>
              </w:rPr>
            </w:pPr>
            <w:r w:rsidRPr="00206AE1">
              <w:rPr>
                <w:rFonts w:asciiTheme="majorHAnsi" w:eastAsia="Times New Roman" w:hAnsiTheme="majorHAnsi" w:cs="Times New Roman"/>
                <w:color w:val="auto"/>
                <w:sz w:val="20"/>
                <w:szCs w:val="20"/>
              </w:rPr>
              <w:t>-2.70</w:t>
            </w:r>
          </w:p>
        </w:tc>
        <w:tc>
          <w:tcPr>
            <w:tcW w:w="1243"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30" w:type="dxa"/>
              <w:left w:w="45" w:type="dxa"/>
              <w:bottom w:w="30" w:type="dxa"/>
              <w:right w:w="45" w:type="dxa"/>
            </w:tcMar>
            <w:vAlign w:val="bottom"/>
            <w:hideMark/>
          </w:tcPr>
          <w:p w14:paraId="29782A72" w14:textId="77777777" w:rsidR="00CA33A7" w:rsidRPr="00206AE1" w:rsidRDefault="00CA33A7" w:rsidP="00206AE1">
            <w:pPr>
              <w:jc w:val="center"/>
              <w:rPr>
                <w:rFonts w:asciiTheme="majorHAnsi" w:eastAsia="Times New Roman" w:hAnsiTheme="majorHAnsi" w:cs="Times New Roman"/>
                <w:color w:val="auto"/>
                <w:sz w:val="20"/>
                <w:szCs w:val="20"/>
              </w:rPr>
            </w:pPr>
            <w:r w:rsidRPr="00206AE1">
              <w:rPr>
                <w:rFonts w:asciiTheme="majorHAnsi" w:eastAsia="Times New Roman" w:hAnsiTheme="majorHAnsi" w:cs="Times New Roman"/>
                <w:color w:val="auto"/>
                <w:sz w:val="20"/>
                <w:szCs w:val="20"/>
              </w:rPr>
              <w:t>-8.9%</w:t>
            </w:r>
          </w:p>
        </w:tc>
        <w:tc>
          <w:tcPr>
            <w:tcW w:w="857"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30" w:type="dxa"/>
              <w:left w:w="45" w:type="dxa"/>
              <w:bottom w:w="30" w:type="dxa"/>
              <w:right w:w="45" w:type="dxa"/>
            </w:tcMar>
            <w:vAlign w:val="bottom"/>
            <w:hideMark/>
          </w:tcPr>
          <w:p w14:paraId="02012618" w14:textId="77777777" w:rsidR="00CA33A7" w:rsidRPr="00206AE1" w:rsidRDefault="00CA33A7" w:rsidP="00206AE1">
            <w:pPr>
              <w:jc w:val="center"/>
              <w:rPr>
                <w:rFonts w:asciiTheme="majorHAnsi" w:eastAsia="Times New Roman" w:hAnsiTheme="majorHAnsi" w:cs="Times New Roman"/>
                <w:bCs/>
                <w:color w:val="auto"/>
                <w:sz w:val="20"/>
                <w:szCs w:val="20"/>
              </w:rPr>
            </w:pPr>
            <w:r w:rsidRPr="00206AE1">
              <w:rPr>
                <w:rFonts w:asciiTheme="majorHAnsi" w:eastAsia="Times New Roman" w:hAnsiTheme="majorHAnsi" w:cs="Times New Roman"/>
                <w:bCs/>
                <w:color w:val="auto"/>
                <w:sz w:val="20"/>
                <w:szCs w:val="20"/>
              </w:rPr>
              <w:t>275</w:t>
            </w:r>
          </w:p>
        </w:tc>
        <w:tc>
          <w:tcPr>
            <w:tcW w:w="974"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30" w:type="dxa"/>
              <w:left w:w="45" w:type="dxa"/>
              <w:bottom w:w="30" w:type="dxa"/>
              <w:right w:w="45" w:type="dxa"/>
            </w:tcMar>
            <w:vAlign w:val="bottom"/>
            <w:hideMark/>
          </w:tcPr>
          <w:p w14:paraId="011F0F8F" w14:textId="77777777" w:rsidR="00CA33A7" w:rsidRPr="00206AE1" w:rsidRDefault="00CA33A7" w:rsidP="00206AE1">
            <w:pPr>
              <w:jc w:val="center"/>
              <w:rPr>
                <w:rFonts w:asciiTheme="majorHAnsi" w:eastAsia="Times New Roman" w:hAnsiTheme="majorHAnsi" w:cs="Times New Roman"/>
                <w:color w:val="auto"/>
                <w:sz w:val="20"/>
                <w:szCs w:val="20"/>
              </w:rPr>
            </w:pPr>
            <w:r w:rsidRPr="00206AE1">
              <w:rPr>
                <w:rFonts w:asciiTheme="majorHAnsi" w:eastAsia="Times New Roman" w:hAnsiTheme="majorHAnsi" w:cs="Times New Roman"/>
                <w:color w:val="auto"/>
                <w:sz w:val="20"/>
                <w:szCs w:val="20"/>
              </w:rPr>
              <w:t>3.22</w:t>
            </w:r>
          </w:p>
        </w:tc>
        <w:tc>
          <w:tcPr>
            <w:tcW w:w="1243"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30" w:type="dxa"/>
              <w:left w:w="45" w:type="dxa"/>
              <w:bottom w:w="30" w:type="dxa"/>
              <w:right w:w="45" w:type="dxa"/>
            </w:tcMar>
            <w:vAlign w:val="bottom"/>
            <w:hideMark/>
          </w:tcPr>
          <w:p w14:paraId="1FA49434" w14:textId="77777777" w:rsidR="00CA33A7" w:rsidRPr="00206AE1" w:rsidRDefault="00CA33A7" w:rsidP="00206AE1">
            <w:pPr>
              <w:jc w:val="center"/>
              <w:rPr>
                <w:rFonts w:asciiTheme="majorHAnsi" w:eastAsia="Times New Roman" w:hAnsiTheme="majorHAnsi" w:cs="Times New Roman"/>
                <w:color w:val="auto"/>
                <w:sz w:val="20"/>
                <w:szCs w:val="20"/>
              </w:rPr>
            </w:pPr>
            <w:r w:rsidRPr="00206AE1">
              <w:rPr>
                <w:rFonts w:asciiTheme="majorHAnsi" w:eastAsia="Times New Roman" w:hAnsiTheme="majorHAnsi" w:cs="Times New Roman"/>
                <w:color w:val="auto"/>
                <w:sz w:val="20"/>
                <w:szCs w:val="20"/>
              </w:rPr>
              <w:t>9.0%</w:t>
            </w:r>
          </w:p>
        </w:tc>
        <w:tc>
          <w:tcPr>
            <w:tcW w:w="899" w:type="dxa"/>
            <w:tcBorders>
              <w:top w:val="single" w:sz="6" w:space="0" w:color="000000"/>
              <w:left w:val="single" w:sz="6" w:space="0" w:color="CCCCCC"/>
              <w:bottom w:val="single" w:sz="6" w:space="0" w:color="000000"/>
              <w:right w:val="single" w:sz="6" w:space="0" w:color="000000"/>
            </w:tcBorders>
            <w:shd w:val="clear" w:color="auto" w:fill="FFFFFF" w:themeFill="background1"/>
            <w:vAlign w:val="bottom"/>
          </w:tcPr>
          <w:p w14:paraId="0094B02A" w14:textId="1578C1AD" w:rsidR="00CA33A7" w:rsidRPr="00206AE1" w:rsidRDefault="00CA33A7" w:rsidP="00206AE1">
            <w:pPr>
              <w:jc w:val="center"/>
              <w:rPr>
                <w:rFonts w:asciiTheme="majorHAnsi" w:eastAsia="Times New Roman" w:hAnsiTheme="majorHAnsi" w:cs="Times New Roman"/>
                <w:bCs/>
                <w:color w:val="auto"/>
                <w:sz w:val="20"/>
                <w:szCs w:val="20"/>
              </w:rPr>
            </w:pPr>
            <w:r w:rsidRPr="00206AE1">
              <w:rPr>
                <w:rFonts w:asciiTheme="majorHAnsi" w:eastAsia="Times New Roman" w:hAnsiTheme="majorHAnsi" w:cs="Times New Roman"/>
                <w:bCs/>
                <w:color w:val="auto"/>
                <w:sz w:val="20"/>
                <w:szCs w:val="20"/>
              </w:rPr>
              <w:t>27</w:t>
            </w:r>
          </w:p>
        </w:tc>
        <w:tc>
          <w:tcPr>
            <w:tcW w:w="909" w:type="dxa"/>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30" w:type="dxa"/>
              <w:left w:w="45" w:type="dxa"/>
              <w:bottom w:w="30" w:type="dxa"/>
              <w:right w:w="45" w:type="dxa"/>
            </w:tcMar>
            <w:vAlign w:val="bottom"/>
            <w:hideMark/>
          </w:tcPr>
          <w:p w14:paraId="07D662A9" w14:textId="758D49F0" w:rsidR="00CA33A7" w:rsidRPr="00206AE1" w:rsidRDefault="00CA33A7" w:rsidP="00206AE1">
            <w:pPr>
              <w:jc w:val="center"/>
              <w:rPr>
                <w:rFonts w:asciiTheme="majorHAnsi" w:eastAsia="Times New Roman" w:hAnsiTheme="majorHAnsi" w:cs="Times New Roman"/>
                <w:b/>
                <w:bCs/>
                <w:color w:val="auto"/>
                <w:sz w:val="20"/>
                <w:szCs w:val="20"/>
              </w:rPr>
            </w:pPr>
            <w:r w:rsidRPr="00206AE1">
              <w:rPr>
                <w:rFonts w:asciiTheme="majorHAnsi" w:eastAsia="Times New Roman" w:hAnsiTheme="majorHAnsi" w:cs="Times New Roman"/>
                <w:b/>
                <w:bCs/>
                <w:color w:val="auto"/>
                <w:sz w:val="20"/>
                <w:szCs w:val="20"/>
              </w:rPr>
              <w:t>25</w:t>
            </w:r>
          </w:p>
        </w:tc>
        <w:tc>
          <w:tcPr>
            <w:tcW w:w="865" w:type="dxa"/>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30" w:type="dxa"/>
              <w:left w:w="45" w:type="dxa"/>
              <w:bottom w:w="30" w:type="dxa"/>
              <w:right w:w="45" w:type="dxa"/>
            </w:tcMar>
            <w:vAlign w:val="bottom"/>
            <w:hideMark/>
          </w:tcPr>
          <w:p w14:paraId="46939093" w14:textId="33A9E020" w:rsidR="00CA33A7" w:rsidRPr="00206AE1" w:rsidRDefault="00CA33A7" w:rsidP="00206AE1">
            <w:pPr>
              <w:jc w:val="center"/>
              <w:rPr>
                <w:rFonts w:asciiTheme="majorHAnsi" w:eastAsia="Times New Roman" w:hAnsiTheme="majorHAnsi" w:cs="Times New Roman"/>
                <w:b/>
                <w:bCs/>
                <w:color w:val="auto"/>
                <w:sz w:val="20"/>
                <w:szCs w:val="20"/>
              </w:rPr>
            </w:pPr>
            <w:r w:rsidRPr="00206AE1">
              <w:rPr>
                <w:rFonts w:asciiTheme="majorHAnsi" w:eastAsia="Times New Roman" w:hAnsiTheme="majorHAnsi" w:cs="Times New Roman"/>
                <w:b/>
                <w:bCs/>
                <w:color w:val="auto"/>
                <w:sz w:val="20"/>
                <w:szCs w:val="20"/>
              </w:rPr>
              <w:t>302</w:t>
            </w:r>
          </w:p>
        </w:tc>
      </w:tr>
      <w:tr w:rsidR="00CA33A7" w:rsidRPr="00206AE1" w14:paraId="1771E764" w14:textId="77777777" w:rsidTr="00206AE1">
        <w:trPr>
          <w:trHeight w:val="315"/>
        </w:trPr>
        <w:tc>
          <w:tcPr>
            <w:tcW w:w="810" w:type="dxa"/>
            <w:tcBorders>
              <w:top w:val="single" w:sz="6" w:space="0" w:color="CCCCCC"/>
              <w:left w:val="single" w:sz="6" w:space="0" w:color="000000"/>
              <w:bottom w:val="single" w:sz="6" w:space="0" w:color="000000"/>
              <w:right w:val="single" w:sz="6" w:space="0" w:color="000000"/>
            </w:tcBorders>
            <w:shd w:val="clear" w:color="auto" w:fill="FFFFFF" w:themeFill="background1"/>
            <w:tcMar>
              <w:top w:w="30" w:type="dxa"/>
              <w:left w:w="45" w:type="dxa"/>
              <w:bottom w:w="30" w:type="dxa"/>
              <w:right w:w="45" w:type="dxa"/>
            </w:tcMar>
            <w:vAlign w:val="bottom"/>
            <w:hideMark/>
          </w:tcPr>
          <w:p w14:paraId="6E1087C8" w14:textId="6B797137" w:rsidR="00CA33A7" w:rsidRPr="00206AE1" w:rsidRDefault="00CA33A7" w:rsidP="00206AE1">
            <w:pPr>
              <w:jc w:val="center"/>
              <w:rPr>
                <w:rFonts w:asciiTheme="majorHAnsi" w:eastAsia="Times New Roman" w:hAnsiTheme="majorHAnsi" w:cs="Times New Roman"/>
                <w:b/>
                <w:color w:val="auto"/>
                <w:sz w:val="20"/>
                <w:szCs w:val="20"/>
              </w:rPr>
            </w:pPr>
            <w:r w:rsidRPr="00206AE1">
              <w:rPr>
                <w:rFonts w:asciiTheme="majorHAnsi" w:eastAsia="Times New Roman" w:hAnsiTheme="majorHAnsi" w:cs="Times New Roman"/>
                <w:b/>
                <w:color w:val="auto"/>
                <w:sz w:val="20"/>
                <w:szCs w:val="20"/>
              </w:rPr>
              <w:t>CZ15</w:t>
            </w:r>
          </w:p>
        </w:tc>
        <w:tc>
          <w:tcPr>
            <w:tcW w:w="911"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30" w:type="dxa"/>
              <w:left w:w="45" w:type="dxa"/>
              <w:bottom w:w="30" w:type="dxa"/>
              <w:right w:w="45" w:type="dxa"/>
            </w:tcMar>
            <w:vAlign w:val="bottom"/>
            <w:hideMark/>
          </w:tcPr>
          <w:p w14:paraId="0B35E3CB" w14:textId="77777777" w:rsidR="00CA33A7" w:rsidRPr="00206AE1" w:rsidRDefault="00CA33A7" w:rsidP="00206AE1">
            <w:pPr>
              <w:jc w:val="center"/>
              <w:rPr>
                <w:rFonts w:asciiTheme="majorHAnsi" w:eastAsia="Times New Roman" w:hAnsiTheme="majorHAnsi" w:cs="Times New Roman"/>
                <w:color w:val="auto"/>
                <w:sz w:val="20"/>
                <w:szCs w:val="20"/>
              </w:rPr>
            </w:pPr>
            <w:r w:rsidRPr="00206AE1">
              <w:rPr>
                <w:rFonts w:asciiTheme="majorHAnsi" w:eastAsia="Times New Roman" w:hAnsiTheme="majorHAnsi" w:cs="Times New Roman"/>
                <w:color w:val="auto"/>
                <w:sz w:val="20"/>
                <w:szCs w:val="20"/>
              </w:rPr>
              <w:t>-2.86</w:t>
            </w:r>
          </w:p>
        </w:tc>
        <w:tc>
          <w:tcPr>
            <w:tcW w:w="1243"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30" w:type="dxa"/>
              <w:left w:w="45" w:type="dxa"/>
              <w:bottom w:w="30" w:type="dxa"/>
              <w:right w:w="45" w:type="dxa"/>
            </w:tcMar>
            <w:vAlign w:val="bottom"/>
            <w:hideMark/>
          </w:tcPr>
          <w:p w14:paraId="2D709806" w14:textId="77777777" w:rsidR="00CA33A7" w:rsidRPr="00206AE1" w:rsidRDefault="00CA33A7" w:rsidP="00206AE1">
            <w:pPr>
              <w:jc w:val="center"/>
              <w:rPr>
                <w:rFonts w:asciiTheme="majorHAnsi" w:eastAsia="Times New Roman" w:hAnsiTheme="majorHAnsi" w:cs="Times New Roman"/>
                <w:color w:val="auto"/>
                <w:sz w:val="20"/>
                <w:szCs w:val="20"/>
              </w:rPr>
            </w:pPr>
            <w:r w:rsidRPr="00206AE1">
              <w:rPr>
                <w:rFonts w:asciiTheme="majorHAnsi" w:eastAsia="Times New Roman" w:hAnsiTheme="majorHAnsi" w:cs="Times New Roman"/>
                <w:color w:val="auto"/>
                <w:sz w:val="20"/>
                <w:szCs w:val="20"/>
              </w:rPr>
              <w:t>-9.2%</w:t>
            </w:r>
          </w:p>
        </w:tc>
        <w:tc>
          <w:tcPr>
            <w:tcW w:w="857"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30" w:type="dxa"/>
              <w:left w:w="45" w:type="dxa"/>
              <w:bottom w:w="30" w:type="dxa"/>
              <w:right w:w="45" w:type="dxa"/>
            </w:tcMar>
            <w:vAlign w:val="bottom"/>
            <w:hideMark/>
          </w:tcPr>
          <w:p w14:paraId="5384D746" w14:textId="77777777" w:rsidR="00CA33A7" w:rsidRPr="00206AE1" w:rsidRDefault="00CA33A7" w:rsidP="00206AE1">
            <w:pPr>
              <w:jc w:val="center"/>
              <w:rPr>
                <w:rFonts w:asciiTheme="majorHAnsi" w:eastAsia="Times New Roman" w:hAnsiTheme="majorHAnsi" w:cs="Times New Roman"/>
                <w:bCs/>
                <w:color w:val="auto"/>
                <w:sz w:val="20"/>
                <w:szCs w:val="20"/>
              </w:rPr>
            </w:pPr>
            <w:r w:rsidRPr="00206AE1">
              <w:rPr>
                <w:rFonts w:asciiTheme="majorHAnsi" w:eastAsia="Times New Roman" w:hAnsiTheme="majorHAnsi" w:cs="Times New Roman"/>
                <w:bCs/>
                <w:color w:val="auto"/>
                <w:sz w:val="20"/>
                <w:szCs w:val="20"/>
              </w:rPr>
              <w:t>391</w:t>
            </w:r>
          </w:p>
        </w:tc>
        <w:tc>
          <w:tcPr>
            <w:tcW w:w="974"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30" w:type="dxa"/>
              <w:left w:w="45" w:type="dxa"/>
              <w:bottom w:w="30" w:type="dxa"/>
              <w:right w:w="45" w:type="dxa"/>
            </w:tcMar>
            <w:vAlign w:val="bottom"/>
            <w:hideMark/>
          </w:tcPr>
          <w:p w14:paraId="2A438201" w14:textId="77777777" w:rsidR="00CA33A7" w:rsidRPr="00206AE1" w:rsidRDefault="00CA33A7" w:rsidP="00206AE1">
            <w:pPr>
              <w:jc w:val="center"/>
              <w:rPr>
                <w:rFonts w:asciiTheme="majorHAnsi" w:eastAsia="Times New Roman" w:hAnsiTheme="majorHAnsi" w:cs="Times New Roman"/>
                <w:color w:val="auto"/>
                <w:sz w:val="20"/>
                <w:szCs w:val="20"/>
              </w:rPr>
            </w:pPr>
            <w:r w:rsidRPr="00206AE1">
              <w:rPr>
                <w:rFonts w:asciiTheme="majorHAnsi" w:eastAsia="Times New Roman" w:hAnsiTheme="majorHAnsi" w:cs="Times New Roman"/>
                <w:color w:val="auto"/>
                <w:sz w:val="20"/>
                <w:szCs w:val="20"/>
              </w:rPr>
              <w:t>2.99</w:t>
            </w:r>
          </w:p>
        </w:tc>
        <w:tc>
          <w:tcPr>
            <w:tcW w:w="1243"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30" w:type="dxa"/>
              <w:left w:w="45" w:type="dxa"/>
              <w:bottom w:w="30" w:type="dxa"/>
              <w:right w:w="45" w:type="dxa"/>
            </w:tcMar>
            <w:vAlign w:val="bottom"/>
            <w:hideMark/>
          </w:tcPr>
          <w:p w14:paraId="7ADF3794" w14:textId="77777777" w:rsidR="00CA33A7" w:rsidRPr="00206AE1" w:rsidRDefault="00CA33A7" w:rsidP="00206AE1">
            <w:pPr>
              <w:jc w:val="center"/>
              <w:rPr>
                <w:rFonts w:asciiTheme="majorHAnsi" w:eastAsia="Times New Roman" w:hAnsiTheme="majorHAnsi" w:cs="Times New Roman"/>
                <w:color w:val="auto"/>
                <w:sz w:val="20"/>
                <w:szCs w:val="20"/>
              </w:rPr>
            </w:pPr>
            <w:r w:rsidRPr="00206AE1">
              <w:rPr>
                <w:rFonts w:asciiTheme="majorHAnsi" w:eastAsia="Times New Roman" w:hAnsiTheme="majorHAnsi" w:cs="Times New Roman"/>
                <w:color w:val="auto"/>
                <w:sz w:val="20"/>
                <w:szCs w:val="20"/>
              </w:rPr>
              <w:t>10.8%</w:t>
            </w:r>
          </w:p>
        </w:tc>
        <w:tc>
          <w:tcPr>
            <w:tcW w:w="899" w:type="dxa"/>
            <w:tcBorders>
              <w:top w:val="single" w:sz="6" w:space="0" w:color="000000"/>
              <w:left w:val="single" w:sz="6" w:space="0" w:color="CCCCCC"/>
              <w:bottom w:val="single" w:sz="6" w:space="0" w:color="000000"/>
              <w:right w:val="single" w:sz="6" w:space="0" w:color="000000"/>
            </w:tcBorders>
            <w:shd w:val="clear" w:color="auto" w:fill="FFFFFF" w:themeFill="background1"/>
            <w:vAlign w:val="bottom"/>
          </w:tcPr>
          <w:p w14:paraId="4A5537CB" w14:textId="54AAD97F" w:rsidR="00CA33A7" w:rsidRPr="00206AE1" w:rsidRDefault="00CA33A7" w:rsidP="00206AE1">
            <w:pPr>
              <w:jc w:val="center"/>
              <w:rPr>
                <w:rFonts w:asciiTheme="majorHAnsi" w:eastAsia="Times New Roman" w:hAnsiTheme="majorHAnsi" w:cs="Times New Roman"/>
                <w:bCs/>
                <w:color w:val="auto"/>
                <w:sz w:val="20"/>
                <w:szCs w:val="20"/>
              </w:rPr>
            </w:pPr>
            <w:r w:rsidRPr="00206AE1">
              <w:rPr>
                <w:rFonts w:asciiTheme="majorHAnsi" w:eastAsia="Times New Roman" w:hAnsiTheme="majorHAnsi" w:cs="Times New Roman"/>
                <w:bCs/>
                <w:color w:val="auto"/>
                <w:sz w:val="20"/>
                <w:szCs w:val="20"/>
              </w:rPr>
              <w:t>11</w:t>
            </w:r>
          </w:p>
        </w:tc>
        <w:tc>
          <w:tcPr>
            <w:tcW w:w="909" w:type="dxa"/>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30" w:type="dxa"/>
              <w:left w:w="45" w:type="dxa"/>
              <w:bottom w:w="30" w:type="dxa"/>
              <w:right w:w="45" w:type="dxa"/>
            </w:tcMar>
            <w:vAlign w:val="bottom"/>
            <w:hideMark/>
          </w:tcPr>
          <w:p w14:paraId="60641316" w14:textId="53C46A3E" w:rsidR="00CA33A7" w:rsidRPr="00206AE1" w:rsidRDefault="00CA33A7" w:rsidP="00206AE1">
            <w:pPr>
              <w:jc w:val="center"/>
              <w:rPr>
                <w:rFonts w:asciiTheme="majorHAnsi" w:eastAsia="Times New Roman" w:hAnsiTheme="majorHAnsi" w:cs="Times New Roman"/>
                <w:b/>
                <w:bCs/>
                <w:color w:val="auto"/>
                <w:sz w:val="20"/>
                <w:szCs w:val="20"/>
              </w:rPr>
            </w:pPr>
            <w:r w:rsidRPr="00206AE1">
              <w:rPr>
                <w:rFonts w:asciiTheme="majorHAnsi" w:eastAsia="Times New Roman" w:hAnsiTheme="majorHAnsi" w:cs="Times New Roman"/>
                <w:b/>
                <w:bCs/>
                <w:color w:val="auto"/>
                <w:sz w:val="20"/>
                <w:szCs w:val="20"/>
              </w:rPr>
              <w:t>7</w:t>
            </w:r>
          </w:p>
        </w:tc>
        <w:tc>
          <w:tcPr>
            <w:tcW w:w="865" w:type="dxa"/>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30" w:type="dxa"/>
              <w:left w:w="45" w:type="dxa"/>
              <w:bottom w:w="30" w:type="dxa"/>
              <w:right w:w="45" w:type="dxa"/>
            </w:tcMar>
            <w:vAlign w:val="bottom"/>
            <w:hideMark/>
          </w:tcPr>
          <w:p w14:paraId="7A3D299A" w14:textId="1707F1D6" w:rsidR="00CA33A7" w:rsidRPr="00206AE1" w:rsidRDefault="00CA33A7" w:rsidP="00206AE1">
            <w:pPr>
              <w:jc w:val="center"/>
              <w:rPr>
                <w:rFonts w:asciiTheme="majorHAnsi" w:eastAsia="Times New Roman" w:hAnsiTheme="majorHAnsi" w:cs="Times New Roman"/>
                <w:b/>
                <w:bCs/>
                <w:color w:val="auto"/>
                <w:sz w:val="20"/>
                <w:szCs w:val="20"/>
              </w:rPr>
            </w:pPr>
            <w:r w:rsidRPr="00206AE1">
              <w:rPr>
                <w:rFonts w:asciiTheme="majorHAnsi" w:eastAsia="Times New Roman" w:hAnsiTheme="majorHAnsi" w:cs="Times New Roman"/>
                <w:b/>
                <w:bCs/>
                <w:color w:val="auto"/>
                <w:sz w:val="20"/>
                <w:szCs w:val="20"/>
              </w:rPr>
              <w:t>402</w:t>
            </w:r>
          </w:p>
        </w:tc>
      </w:tr>
      <w:tr w:rsidR="00CA33A7" w:rsidRPr="00206AE1" w14:paraId="1A794E10" w14:textId="77777777" w:rsidTr="00206AE1">
        <w:trPr>
          <w:trHeight w:val="315"/>
        </w:trPr>
        <w:tc>
          <w:tcPr>
            <w:tcW w:w="810" w:type="dxa"/>
            <w:tcBorders>
              <w:top w:val="single" w:sz="6" w:space="0" w:color="CCCCCC"/>
              <w:left w:val="single" w:sz="6" w:space="0" w:color="000000"/>
              <w:bottom w:val="single" w:sz="6" w:space="0" w:color="000000"/>
              <w:right w:val="single" w:sz="6" w:space="0" w:color="000000"/>
            </w:tcBorders>
            <w:shd w:val="clear" w:color="auto" w:fill="FFFFFF" w:themeFill="background1"/>
            <w:tcMar>
              <w:top w:w="30" w:type="dxa"/>
              <w:left w:w="45" w:type="dxa"/>
              <w:bottom w:w="30" w:type="dxa"/>
              <w:right w:w="45" w:type="dxa"/>
            </w:tcMar>
            <w:vAlign w:val="bottom"/>
            <w:hideMark/>
          </w:tcPr>
          <w:p w14:paraId="07C6B748" w14:textId="2CF937BE" w:rsidR="00CA33A7" w:rsidRPr="00206AE1" w:rsidRDefault="00CA33A7" w:rsidP="00206AE1">
            <w:pPr>
              <w:jc w:val="center"/>
              <w:rPr>
                <w:rFonts w:asciiTheme="majorHAnsi" w:eastAsia="Times New Roman" w:hAnsiTheme="majorHAnsi" w:cs="Times New Roman"/>
                <w:b/>
                <w:color w:val="auto"/>
                <w:sz w:val="20"/>
                <w:szCs w:val="20"/>
              </w:rPr>
            </w:pPr>
            <w:r w:rsidRPr="00206AE1">
              <w:rPr>
                <w:rFonts w:asciiTheme="majorHAnsi" w:eastAsia="Times New Roman" w:hAnsiTheme="majorHAnsi" w:cs="Times New Roman"/>
                <w:b/>
                <w:color w:val="auto"/>
                <w:sz w:val="20"/>
                <w:szCs w:val="20"/>
              </w:rPr>
              <w:t>CZ16</w:t>
            </w:r>
          </w:p>
        </w:tc>
        <w:tc>
          <w:tcPr>
            <w:tcW w:w="911"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30" w:type="dxa"/>
              <w:left w:w="45" w:type="dxa"/>
              <w:bottom w:w="30" w:type="dxa"/>
              <w:right w:w="45" w:type="dxa"/>
            </w:tcMar>
            <w:vAlign w:val="bottom"/>
            <w:hideMark/>
          </w:tcPr>
          <w:p w14:paraId="6D71F15D" w14:textId="77777777" w:rsidR="00CA33A7" w:rsidRPr="00206AE1" w:rsidRDefault="00CA33A7" w:rsidP="00206AE1">
            <w:pPr>
              <w:jc w:val="center"/>
              <w:rPr>
                <w:rFonts w:asciiTheme="majorHAnsi" w:eastAsia="Times New Roman" w:hAnsiTheme="majorHAnsi" w:cs="Times New Roman"/>
                <w:color w:val="auto"/>
                <w:sz w:val="20"/>
                <w:szCs w:val="20"/>
              </w:rPr>
            </w:pPr>
            <w:r w:rsidRPr="00206AE1">
              <w:rPr>
                <w:rFonts w:asciiTheme="majorHAnsi" w:eastAsia="Times New Roman" w:hAnsiTheme="majorHAnsi" w:cs="Times New Roman"/>
                <w:color w:val="auto"/>
                <w:sz w:val="20"/>
                <w:szCs w:val="20"/>
              </w:rPr>
              <w:t>-2.93</w:t>
            </w:r>
          </w:p>
        </w:tc>
        <w:tc>
          <w:tcPr>
            <w:tcW w:w="1243"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30" w:type="dxa"/>
              <w:left w:w="45" w:type="dxa"/>
              <w:bottom w:w="30" w:type="dxa"/>
              <w:right w:w="45" w:type="dxa"/>
            </w:tcMar>
            <w:vAlign w:val="bottom"/>
            <w:hideMark/>
          </w:tcPr>
          <w:p w14:paraId="47455D11" w14:textId="77777777" w:rsidR="00CA33A7" w:rsidRPr="00206AE1" w:rsidRDefault="00CA33A7" w:rsidP="00206AE1">
            <w:pPr>
              <w:jc w:val="center"/>
              <w:rPr>
                <w:rFonts w:asciiTheme="majorHAnsi" w:eastAsia="Times New Roman" w:hAnsiTheme="majorHAnsi" w:cs="Times New Roman"/>
                <w:color w:val="auto"/>
                <w:sz w:val="20"/>
                <w:szCs w:val="20"/>
              </w:rPr>
            </w:pPr>
            <w:r w:rsidRPr="00206AE1">
              <w:rPr>
                <w:rFonts w:asciiTheme="majorHAnsi" w:eastAsia="Times New Roman" w:hAnsiTheme="majorHAnsi" w:cs="Times New Roman"/>
                <w:color w:val="auto"/>
                <w:sz w:val="20"/>
                <w:szCs w:val="20"/>
              </w:rPr>
              <w:t>-8.4%</w:t>
            </w:r>
          </w:p>
        </w:tc>
        <w:tc>
          <w:tcPr>
            <w:tcW w:w="857"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30" w:type="dxa"/>
              <w:left w:w="45" w:type="dxa"/>
              <w:bottom w:w="30" w:type="dxa"/>
              <w:right w:w="45" w:type="dxa"/>
            </w:tcMar>
            <w:vAlign w:val="bottom"/>
            <w:hideMark/>
          </w:tcPr>
          <w:p w14:paraId="4B103EC0" w14:textId="77777777" w:rsidR="00CA33A7" w:rsidRPr="00206AE1" w:rsidRDefault="00CA33A7" w:rsidP="00206AE1">
            <w:pPr>
              <w:jc w:val="center"/>
              <w:rPr>
                <w:rFonts w:asciiTheme="majorHAnsi" w:eastAsia="Times New Roman" w:hAnsiTheme="majorHAnsi" w:cs="Times New Roman"/>
                <w:bCs/>
                <w:color w:val="auto"/>
                <w:sz w:val="20"/>
                <w:szCs w:val="20"/>
              </w:rPr>
            </w:pPr>
            <w:r w:rsidRPr="00206AE1">
              <w:rPr>
                <w:rFonts w:asciiTheme="majorHAnsi" w:eastAsia="Times New Roman" w:hAnsiTheme="majorHAnsi" w:cs="Times New Roman"/>
                <w:bCs/>
                <w:color w:val="auto"/>
                <w:sz w:val="20"/>
                <w:szCs w:val="20"/>
              </w:rPr>
              <w:t>167</w:t>
            </w:r>
          </w:p>
        </w:tc>
        <w:tc>
          <w:tcPr>
            <w:tcW w:w="974"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30" w:type="dxa"/>
              <w:left w:w="45" w:type="dxa"/>
              <w:bottom w:w="30" w:type="dxa"/>
              <w:right w:w="45" w:type="dxa"/>
            </w:tcMar>
            <w:vAlign w:val="bottom"/>
            <w:hideMark/>
          </w:tcPr>
          <w:p w14:paraId="494422F7" w14:textId="77777777" w:rsidR="00CA33A7" w:rsidRPr="00206AE1" w:rsidRDefault="00CA33A7" w:rsidP="00206AE1">
            <w:pPr>
              <w:jc w:val="center"/>
              <w:rPr>
                <w:rFonts w:asciiTheme="majorHAnsi" w:eastAsia="Times New Roman" w:hAnsiTheme="majorHAnsi" w:cs="Times New Roman"/>
                <w:color w:val="auto"/>
                <w:sz w:val="20"/>
                <w:szCs w:val="20"/>
              </w:rPr>
            </w:pPr>
            <w:r w:rsidRPr="00206AE1">
              <w:rPr>
                <w:rFonts w:asciiTheme="majorHAnsi" w:eastAsia="Times New Roman" w:hAnsiTheme="majorHAnsi" w:cs="Times New Roman"/>
                <w:color w:val="auto"/>
                <w:sz w:val="20"/>
                <w:szCs w:val="20"/>
              </w:rPr>
              <w:t>4.56</w:t>
            </w:r>
          </w:p>
        </w:tc>
        <w:tc>
          <w:tcPr>
            <w:tcW w:w="1243"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30" w:type="dxa"/>
              <w:left w:w="45" w:type="dxa"/>
              <w:bottom w:w="30" w:type="dxa"/>
              <w:right w:w="45" w:type="dxa"/>
            </w:tcMar>
            <w:vAlign w:val="bottom"/>
            <w:hideMark/>
          </w:tcPr>
          <w:p w14:paraId="55FE480D" w14:textId="77777777" w:rsidR="00CA33A7" w:rsidRPr="00206AE1" w:rsidRDefault="00CA33A7" w:rsidP="00206AE1">
            <w:pPr>
              <w:jc w:val="center"/>
              <w:rPr>
                <w:rFonts w:asciiTheme="majorHAnsi" w:eastAsia="Times New Roman" w:hAnsiTheme="majorHAnsi" w:cs="Times New Roman"/>
                <w:color w:val="auto"/>
                <w:sz w:val="20"/>
                <w:szCs w:val="20"/>
              </w:rPr>
            </w:pPr>
            <w:r w:rsidRPr="00206AE1">
              <w:rPr>
                <w:rFonts w:asciiTheme="majorHAnsi" w:eastAsia="Times New Roman" w:hAnsiTheme="majorHAnsi" w:cs="Times New Roman"/>
                <w:color w:val="auto"/>
                <w:sz w:val="20"/>
                <w:szCs w:val="20"/>
              </w:rPr>
              <w:t>7.8%</w:t>
            </w:r>
          </w:p>
        </w:tc>
        <w:tc>
          <w:tcPr>
            <w:tcW w:w="899" w:type="dxa"/>
            <w:tcBorders>
              <w:top w:val="single" w:sz="6" w:space="0" w:color="000000"/>
              <w:left w:val="single" w:sz="6" w:space="0" w:color="CCCCCC"/>
              <w:bottom w:val="single" w:sz="6" w:space="0" w:color="000000"/>
              <w:right w:val="single" w:sz="6" w:space="0" w:color="000000"/>
            </w:tcBorders>
            <w:shd w:val="clear" w:color="auto" w:fill="FFFFFF" w:themeFill="background1"/>
            <w:vAlign w:val="bottom"/>
          </w:tcPr>
          <w:p w14:paraId="35DBC952" w14:textId="3966BA33" w:rsidR="00CA33A7" w:rsidRPr="00206AE1" w:rsidRDefault="00CA33A7" w:rsidP="00206AE1">
            <w:pPr>
              <w:jc w:val="center"/>
              <w:rPr>
                <w:rFonts w:asciiTheme="majorHAnsi" w:eastAsia="Times New Roman" w:hAnsiTheme="majorHAnsi" w:cs="Times New Roman"/>
                <w:bCs/>
                <w:color w:val="auto"/>
                <w:sz w:val="20"/>
                <w:szCs w:val="20"/>
              </w:rPr>
            </w:pPr>
            <w:r w:rsidRPr="00206AE1">
              <w:rPr>
                <w:rFonts w:asciiTheme="majorHAnsi" w:eastAsia="Times New Roman" w:hAnsiTheme="majorHAnsi" w:cs="Times New Roman"/>
                <w:bCs/>
                <w:color w:val="auto"/>
                <w:sz w:val="20"/>
                <w:szCs w:val="20"/>
              </w:rPr>
              <w:t>35</w:t>
            </w:r>
          </w:p>
        </w:tc>
        <w:tc>
          <w:tcPr>
            <w:tcW w:w="909" w:type="dxa"/>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30" w:type="dxa"/>
              <w:left w:w="45" w:type="dxa"/>
              <w:bottom w:w="30" w:type="dxa"/>
              <w:right w:w="45" w:type="dxa"/>
            </w:tcMar>
            <w:vAlign w:val="bottom"/>
            <w:hideMark/>
          </w:tcPr>
          <w:p w14:paraId="171F1143" w14:textId="19C32647" w:rsidR="00CA33A7" w:rsidRPr="00206AE1" w:rsidRDefault="00CA33A7" w:rsidP="00206AE1">
            <w:pPr>
              <w:jc w:val="center"/>
              <w:rPr>
                <w:rFonts w:asciiTheme="majorHAnsi" w:eastAsia="Times New Roman" w:hAnsiTheme="majorHAnsi" w:cs="Times New Roman"/>
                <w:b/>
                <w:bCs/>
                <w:color w:val="auto"/>
                <w:sz w:val="20"/>
                <w:szCs w:val="20"/>
              </w:rPr>
            </w:pPr>
            <w:r w:rsidRPr="00206AE1">
              <w:rPr>
                <w:rFonts w:asciiTheme="majorHAnsi" w:eastAsia="Times New Roman" w:hAnsiTheme="majorHAnsi" w:cs="Times New Roman"/>
                <w:b/>
                <w:bCs/>
                <w:color w:val="auto"/>
                <w:sz w:val="20"/>
                <w:szCs w:val="20"/>
              </w:rPr>
              <w:t>56</w:t>
            </w:r>
          </w:p>
        </w:tc>
        <w:tc>
          <w:tcPr>
            <w:tcW w:w="865" w:type="dxa"/>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30" w:type="dxa"/>
              <w:left w:w="45" w:type="dxa"/>
              <w:bottom w:w="30" w:type="dxa"/>
              <w:right w:w="45" w:type="dxa"/>
            </w:tcMar>
            <w:vAlign w:val="bottom"/>
            <w:hideMark/>
          </w:tcPr>
          <w:p w14:paraId="1DE5F874" w14:textId="26D559CA" w:rsidR="00CA33A7" w:rsidRPr="00206AE1" w:rsidRDefault="00CA33A7" w:rsidP="00206AE1">
            <w:pPr>
              <w:jc w:val="center"/>
              <w:rPr>
                <w:rFonts w:asciiTheme="majorHAnsi" w:eastAsia="Times New Roman" w:hAnsiTheme="majorHAnsi" w:cs="Times New Roman"/>
                <w:b/>
                <w:bCs/>
                <w:color w:val="auto"/>
                <w:sz w:val="20"/>
                <w:szCs w:val="20"/>
              </w:rPr>
            </w:pPr>
            <w:r w:rsidRPr="00206AE1">
              <w:rPr>
                <w:rFonts w:asciiTheme="majorHAnsi" w:eastAsia="Times New Roman" w:hAnsiTheme="majorHAnsi" w:cs="Times New Roman"/>
                <w:b/>
                <w:bCs/>
                <w:color w:val="auto"/>
                <w:sz w:val="20"/>
                <w:szCs w:val="20"/>
              </w:rPr>
              <w:t>202</w:t>
            </w:r>
          </w:p>
        </w:tc>
      </w:tr>
    </w:tbl>
    <w:p w14:paraId="64179D7C" w14:textId="77777777" w:rsidR="008A2874" w:rsidRDefault="008A2874">
      <w:pPr>
        <w:pStyle w:val="Normal1"/>
        <w:spacing w:line="276" w:lineRule="auto"/>
        <w:ind w:right="1350"/>
        <w:rPr>
          <w:b/>
          <w:color w:val="FF0000"/>
          <w:sz w:val="16"/>
          <w:szCs w:val="16"/>
        </w:rPr>
      </w:pPr>
    </w:p>
    <w:p w14:paraId="0B99F2C8" w14:textId="77777777" w:rsidR="00AE41A3" w:rsidRDefault="00AE41A3">
      <w:pPr>
        <w:pStyle w:val="Normal1"/>
        <w:spacing w:line="276" w:lineRule="auto"/>
        <w:ind w:right="1350"/>
        <w:rPr>
          <w:b/>
        </w:rPr>
      </w:pPr>
    </w:p>
    <w:p w14:paraId="20D14189" w14:textId="77777777" w:rsidR="003301AD" w:rsidRDefault="003301AD">
      <w:pPr>
        <w:pStyle w:val="Normal1"/>
        <w:spacing w:line="276" w:lineRule="auto"/>
        <w:ind w:right="1350"/>
        <w:rPr>
          <w:b/>
        </w:rPr>
      </w:pPr>
    </w:p>
    <w:p w14:paraId="16CBDEC4" w14:textId="77777777" w:rsidR="003301AD" w:rsidRDefault="003301AD">
      <w:pPr>
        <w:pStyle w:val="Normal1"/>
        <w:spacing w:line="276" w:lineRule="auto"/>
        <w:ind w:right="1350"/>
        <w:rPr>
          <w:b/>
        </w:rPr>
      </w:pPr>
    </w:p>
    <w:p w14:paraId="262DCF4F" w14:textId="77777777" w:rsidR="003301AD" w:rsidRDefault="003301AD">
      <w:pPr>
        <w:pStyle w:val="Normal1"/>
        <w:spacing w:line="276" w:lineRule="auto"/>
        <w:ind w:right="1350"/>
        <w:rPr>
          <w:b/>
        </w:rPr>
      </w:pPr>
    </w:p>
    <w:p w14:paraId="4676D5D4" w14:textId="77777777" w:rsidR="003301AD" w:rsidRDefault="003301AD">
      <w:pPr>
        <w:pStyle w:val="Normal1"/>
        <w:spacing w:line="276" w:lineRule="auto"/>
        <w:ind w:right="1350"/>
        <w:rPr>
          <w:b/>
        </w:rPr>
      </w:pPr>
    </w:p>
    <w:p w14:paraId="57F5EE78" w14:textId="77777777" w:rsidR="003301AD" w:rsidRDefault="003301AD">
      <w:pPr>
        <w:pStyle w:val="Normal1"/>
        <w:spacing w:line="276" w:lineRule="auto"/>
        <w:ind w:right="1350"/>
        <w:rPr>
          <w:b/>
        </w:rPr>
      </w:pPr>
    </w:p>
    <w:p w14:paraId="10CA643D" w14:textId="77777777" w:rsidR="003301AD" w:rsidRDefault="003301AD">
      <w:pPr>
        <w:pStyle w:val="Normal1"/>
        <w:spacing w:line="276" w:lineRule="auto"/>
        <w:ind w:right="1350"/>
        <w:rPr>
          <w:b/>
        </w:rPr>
      </w:pPr>
    </w:p>
    <w:p w14:paraId="3F742831" w14:textId="77777777" w:rsidR="003301AD" w:rsidRDefault="003301AD">
      <w:pPr>
        <w:pStyle w:val="Normal1"/>
        <w:spacing w:line="276" w:lineRule="auto"/>
        <w:ind w:right="1350"/>
        <w:rPr>
          <w:b/>
        </w:rPr>
      </w:pPr>
    </w:p>
    <w:p w14:paraId="6636A3D5" w14:textId="77777777" w:rsidR="003301AD" w:rsidRDefault="003301AD">
      <w:pPr>
        <w:pStyle w:val="Normal1"/>
        <w:spacing w:line="276" w:lineRule="auto"/>
        <w:ind w:right="1350"/>
        <w:rPr>
          <w:b/>
        </w:rPr>
      </w:pPr>
    </w:p>
    <w:p w14:paraId="59381FE2" w14:textId="77777777" w:rsidR="003301AD" w:rsidRDefault="003301AD">
      <w:pPr>
        <w:pStyle w:val="Normal1"/>
        <w:spacing w:line="276" w:lineRule="auto"/>
        <w:ind w:right="1350"/>
        <w:rPr>
          <w:b/>
        </w:rPr>
      </w:pPr>
    </w:p>
    <w:p w14:paraId="592C0475" w14:textId="77777777" w:rsidR="003301AD" w:rsidRDefault="003301AD">
      <w:pPr>
        <w:pStyle w:val="Normal1"/>
        <w:spacing w:line="276" w:lineRule="auto"/>
        <w:ind w:right="1350"/>
        <w:rPr>
          <w:b/>
        </w:rPr>
      </w:pPr>
    </w:p>
    <w:p w14:paraId="08B3D0CD" w14:textId="77777777" w:rsidR="003301AD" w:rsidRDefault="003301AD">
      <w:pPr>
        <w:pStyle w:val="Normal1"/>
        <w:spacing w:line="276" w:lineRule="auto"/>
        <w:ind w:right="1350"/>
        <w:rPr>
          <w:b/>
        </w:rPr>
      </w:pPr>
    </w:p>
    <w:p w14:paraId="4D8338EB" w14:textId="63555CDB" w:rsidR="00576C8C" w:rsidRPr="001F2C2B" w:rsidRDefault="007173B2">
      <w:pPr>
        <w:pStyle w:val="Normal1"/>
        <w:spacing w:line="276" w:lineRule="auto"/>
        <w:ind w:right="1350"/>
      </w:pPr>
      <w:r w:rsidRPr="001F2C2B">
        <w:rPr>
          <w:b/>
        </w:rPr>
        <w:lastRenderedPageBreak/>
        <w:t xml:space="preserve">Second Baseline Savings by CA Climate Zone. </w:t>
      </w:r>
    </w:p>
    <w:p w14:paraId="3E2B68FC" w14:textId="77777777" w:rsidR="00576C8C" w:rsidRDefault="00576C8C">
      <w:pPr>
        <w:pStyle w:val="Normal1"/>
        <w:spacing w:line="276" w:lineRule="auto"/>
      </w:pPr>
    </w:p>
    <w:tbl>
      <w:tblPr>
        <w:tblStyle w:val="af6"/>
        <w:tblW w:w="4050" w:type="dxa"/>
        <w:tblInd w:w="2290" w:type="dxa"/>
        <w:tblBorders>
          <w:top w:val="single" w:sz="6" w:space="0" w:color="CCCCCC"/>
          <w:left w:val="single" w:sz="6" w:space="0" w:color="CCCCCC"/>
          <w:bottom w:val="single" w:sz="6" w:space="0" w:color="CCCCCC"/>
          <w:right w:val="single" w:sz="6" w:space="0" w:color="CCCCCC"/>
          <w:insideH w:val="single" w:sz="6" w:space="0" w:color="CCCCCC"/>
          <w:insideV w:val="single" w:sz="6" w:space="0" w:color="CCCCCC"/>
        </w:tblBorders>
        <w:shd w:val="clear" w:color="auto" w:fill="FFFFFF" w:themeFill="background1"/>
        <w:tblLayout w:type="fixed"/>
        <w:tblLook w:val="0600" w:firstRow="0" w:lastRow="0" w:firstColumn="0" w:lastColumn="0" w:noHBand="1" w:noVBand="1"/>
      </w:tblPr>
      <w:tblGrid>
        <w:gridCol w:w="1170"/>
        <w:gridCol w:w="1440"/>
        <w:gridCol w:w="1440"/>
      </w:tblGrid>
      <w:tr w:rsidR="00CA33A7" w:rsidRPr="00206AE1" w14:paraId="41EE6461" w14:textId="77777777" w:rsidTr="00206AE1">
        <w:tc>
          <w:tcPr>
            <w:tcW w:w="1170" w:type="dxa"/>
            <w:tcBorders>
              <w:left w:val="single" w:sz="6" w:space="0" w:color="000000"/>
              <w:bottom w:val="single" w:sz="6" w:space="0" w:color="000000"/>
              <w:right w:val="single" w:sz="6" w:space="0" w:color="000000"/>
            </w:tcBorders>
            <w:shd w:val="clear" w:color="auto" w:fill="D9D9D9" w:themeFill="background1" w:themeFillShade="D9"/>
            <w:tcMar>
              <w:top w:w="40" w:type="dxa"/>
              <w:left w:w="40" w:type="dxa"/>
              <w:bottom w:w="40" w:type="dxa"/>
              <w:right w:w="40" w:type="dxa"/>
            </w:tcMar>
            <w:vAlign w:val="bottom"/>
          </w:tcPr>
          <w:p w14:paraId="39D6C919" w14:textId="718DBD98" w:rsidR="00CA33A7" w:rsidRPr="00206AE1" w:rsidRDefault="00CA33A7" w:rsidP="00206AE1">
            <w:pPr>
              <w:pStyle w:val="Normal1"/>
              <w:spacing w:line="276" w:lineRule="auto"/>
              <w:jc w:val="center"/>
              <w:rPr>
                <w:rFonts w:asciiTheme="majorHAnsi" w:hAnsiTheme="majorHAnsi"/>
                <w:b/>
                <w:sz w:val="20"/>
                <w:szCs w:val="20"/>
              </w:rPr>
            </w:pPr>
            <w:r w:rsidRPr="00206AE1">
              <w:rPr>
                <w:rFonts w:asciiTheme="majorHAnsi" w:hAnsiTheme="majorHAnsi"/>
                <w:b/>
                <w:sz w:val="20"/>
                <w:szCs w:val="20"/>
              </w:rPr>
              <w:t>California Climate Zone</w:t>
            </w:r>
          </w:p>
        </w:tc>
        <w:tc>
          <w:tcPr>
            <w:tcW w:w="1440"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40" w:type="dxa"/>
              <w:left w:w="40" w:type="dxa"/>
              <w:bottom w:w="40" w:type="dxa"/>
              <w:right w:w="40" w:type="dxa"/>
            </w:tcMar>
            <w:vAlign w:val="center"/>
          </w:tcPr>
          <w:p w14:paraId="7FED90CE" w14:textId="5F3E633E" w:rsidR="00CA33A7" w:rsidRPr="00206AE1" w:rsidRDefault="00CA33A7" w:rsidP="00206AE1">
            <w:pPr>
              <w:pStyle w:val="Normal1"/>
              <w:spacing w:line="276" w:lineRule="auto"/>
              <w:jc w:val="center"/>
              <w:rPr>
                <w:rFonts w:asciiTheme="majorHAnsi" w:hAnsiTheme="majorHAnsi"/>
                <w:b/>
                <w:color w:val="auto"/>
                <w:sz w:val="20"/>
                <w:szCs w:val="20"/>
              </w:rPr>
            </w:pPr>
            <w:r w:rsidRPr="00206AE1">
              <w:rPr>
                <w:rFonts w:asciiTheme="majorHAnsi" w:eastAsia="Times New Roman" w:hAnsiTheme="majorHAnsi" w:cs="Times New Roman"/>
                <w:b/>
                <w:bCs/>
                <w:color w:val="auto"/>
                <w:sz w:val="20"/>
                <w:szCs w:val="20"/>
              </w:rPr>
              <w:t>Total Gas Savings (</w:t>
            </w:r>
            <w:proofErr w:type="spellStart"/>
            <w:r w:rsidRPr="00206AE1">
              <w:rPr>
                <w:rFonts w:asciiTheme="majorHAnsi" w:eastAsia="Times New Roman" w:hAnsiTheme="majorHAnsi" w:cs="Times New Roman"/>
                <w:b/>
                <w:bCs/>
                <w:color w:val="auto"/>
                <w:sz w:val="20"/>
                <w:szCs w:val="20"/>
              </w:rPr>
              <w:t>therms</w:t>
            </w:r>
            <w:proofErr w:type="spellEnd"/>
            <w:r w:rsidRPr="00206AE1">
              <w:rPr>
                <w:rFonts w:asciiTheme="majorHAnsi" w:eastAsia="Times New Roman" w:hAnsiTheme="majorHAnsi" w:cs="Times New Roman"/>
                <w:b/>
                <w:bCs/>
                <w:color w:val="auto"/>
                <w:sz w:val="20"/>
                <w:szCs w:val="20"/>
              </w:rPr>
              <w:t>)</w:t>
            </w:r>
          </w:p>
        </w:tc>
        <w:tc>
          <w:tcPr>
            <w:tcW w:w="1440"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40" w:type="dxa"/>
              <w:left w:w="40" w:type="dxa"/>
              <w:bottom w:w="40" w:type="dxa"/>
              <w:right w:w="40" w:type="dxa"/>
            </w:tcMar>
            <w:vAlign w:val="center"/>
          </w:tcPr>
          <w:p w14:paraId="57D92F0A" w14:textId="77721E35" w:rsidR="00CA33A7" w:rsidRPr="00206AE1" w:rsidRDefault="00CA33A7" w:rsidP="00206AE1">
            <w:pPr>
              <w:pStyle w:val="Normal1"/>
              <w:spacing w:line="276" w:lineRule="auto"/>
              <w:jc w:val="center"/>
              <w:rPr>
                <w:rFonts w:asciiTheme="majorHAnsi" w:hAnsiTheme="majorHAnsi"/>
                <w:b/>
                <w:color w:val="auto"/>
                <w:sz w:val="20"/>
                <w:szCs w:val="20"/>
              </w:rPr>
            </w:pPr>
            <w:r w:rsidRPr="00206AE1">
              <w:rPr>
                <w:rFonts w:asciiTheme="majorHAnsi" w:eastAsia="Times New Roman" w:hAnsiTheme="majorHAnsi" w:cs="Times New Roman"/>
                <w:b/>
                <w:bCs/>
                <w:color w:val="auto"/>
                <w:sz w:val="20"/>
                <w:szCs w:val="20"/>
              </w:rPr>
              <w:t>Total Electric Savings (kWh)</w:t>
            </w:r>
          </w:p>
        </w:tc>
      </w:tr>
      <w:tr w:rsidR="009A4101" w:rsidRPr="00206AE1" w14:paraId="28DA691F" w14:textId="77777777" w:rsidTr="00206AE1">
        <w:tc>
          <w:tcPr>
            <w:tcW w:w="1170" w:type="dxa"/>
            <w:tcBorders>
              <w:left w:val="single" w:sz="6" w:space="0" w:color="000000"/>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31A257F3" w14:textId="6FFC0D3A" w:rsidR="001F2C2B" w:rsidRPr="00206AE1" w:rsidRDefault="001F2C2B" w:rsidP="00206AE1">
            <w:pPr>
              <w:pStyle w:val="Normal1"/>
              <w:spacing w:line="276" w:lineRule="auto"/>
              <w:contextualSpacing w:val="0"/>
              <w:jc w:val="center"/>
              <w:rPr>
                <w:rFonts w:asciiTheme="majorHAnsi" w:hAnsiTheme="majorHAnsi"/>
                <w:sz w:val="20"/>
                <w:szCs w:val="20"/>
              </w:rPr>
            </w:pPr>
            <w:r w:rsidRPr="00206AE1">
              <w:rPr>
                <w:rFonts w:asciiTheme="majorHAnsi" w:hAnsiTheme="majorHAnsi"/>
                <w:b/>
                <w:sz w:val="20"/>
                <w:szCs w:val="20"/>
              </w:rPr>
              <w:t>C</w:t>
            </w:r>
            <w:r w:rsidR="00EF657B" w:rsidRPr="00206AE1">
              <w:rPr>
                <w:rFonts w:asciiTheme="majorHAnsi" w:hAnsiTheme="majorHAnsi"/>
                <w:b/>
                <w:sz w:val="20"/>
                <w:szCs w:val="20"/>
              </w:rPr>
              <w:t>Z0</w:t>
            </w:r>
            <w:r w:rsidRPr="00206AE1">
              <w:rPr>
                <w:rFonts w:asciiTheme="majorHAnsi" w:hAnsiTheme="majorHAnsi"/>
                <w:b/>
                <w:sz w:val="20"/>
                <w:szCs w:val="20"/>
              </w:rPr>
              <w:t>1</w:t>
            </w:r>
          </w:p>
        </w:tc>
        <w:tc>
          <w:tcPr>
            <w:tcW w:w="1440" w:type="dxa"/>
            <w:tcBorders>
              <w:top w:val="single" w:sz="6" w:space="0" w:color="000000"/>
              <w:left w:val="single" w:sz="6" w:space="0" w:color="000000"/>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036DA55D" w14:textId="7D6E03BE" w:rsidR="001F2C2B" w:rsidRPr="00206AE1" w:rsidRDefault="00BC0AA0" w:rsidP="00206AE1">
            <w:pPr>
              <w:pStyle w:val="Normal1"/>
              <w:spacing w:line="276" w:lineRule="auto"/>
              <w:contextualSpacing w:val="0"/>
              <w:jc w:val="center"/>
              <w:rPr>
                <w:rFonts w:asciiTheme="majorHAnsi" w:hAnsiTheme="majorHAnsi"/>
                <w:b/>
                <w:color w:val="auto"/>
                <w:sz w:val="20"/>
                <w:szCs w:val="20"/>
              </w:rPr>
            </w:pPr>
            <w:r w:rsidRPr="00206AE1">
              <w:rPr>
                <w:rFonts w:asciiTheme="majorHAnsi" w:hAnsiTheme="majorHAnsi"/>
                <w:b/>
                <w:color w:val="auto"/>
                <w:sz w:val="20"/>
                <w:szCs w:val="20"/>
              </w:rPr>
              <w:t>47</w:t>
            </w:r>
          </w:p>
        </w:tc>
        <w:tc>
          <w:tcPr>
            <w:tcW w:w="1440" w:type="dxa"/>
            <w:tcBorders>
              <w:top w:val="single" w:sz="6" w:space="0" w:color="000000"/>
              <w:left w:val="single" w:sz="6" w:space="0" w:color="000000"/>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206DA187" w14:textId="384CBE6E" w:rsidR="001F2C2B" w:rsidRPr="00206AE1" w:rsidRDefault="006944D4" w:rsidP="00206AE1">
            <w:pPr>
              <w:pStyle w:val="Normal1"/>
              <w:spacing w:line="276" w:lineRule="auto"/>
              <w:contextualSpacing w:val="0"/>
              <w:jc w:val="center"/>
              <w:rPr>
                <w:rFonts w:asciiTheme="majorHAnsi" w:hAnsiTheme="majorHAnsi"/>
                <w:b/>
                <w:color w:val="auto"/>
                <w:sz w:val="20"/>
                <w:szCs w:val="20"/>
              </w:rPr>
            </w:pPr>
            <w:r w:rsidRPr="00206AE1">
              <w:rPr>
                <w:rFonts w:asciiTheme="majorHAnsi" w:hAnsiTheme="majorHAnsi"/>
                <w:b/>
                <w:color w:val="auto"/>
                <w:sz w:val="20"/>
                <w:szCs w:val="20"/>
              </w:rPr>
              <w:t>24</w:t>
            </w:r>
          </w:p>
        </w:tc>
      </w:tr>
      <w:tr w:rsidR="009A4101" w:rsidRPr="00206AE1" w14:paraId="6324CE20" w14:textId="77777777" w:rsidTr="00206AE1">
        <w:tc>
          <w:tcPr>
            <w:tcW w:w="1170" w:type="dxa"/>
            <w:tcBorders>
              <w:left w:val="single" w:sz="6" w:space="0" w:color="000000"/>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5DFFA320" w14:textId="33945093" w:rsidR="001F2C2B" w:rsidRPr="00206AE1" w:rsidRDefault="001F2C2B" w:rsidP="00206AE1">
            <w:pPr>
              <w:pStyle w:val="Normal1"/>
              <w:spacing w:line="276" w:lineRule="auto"/>
              <w:contextualSpacing w:val="0"/>
              <w:jc w:val="center"/>
              <w:rPr>
                <w:rFonts w:asciiTheme="majorHAnsi" w:hAnsiTheme="majorHAnsi"/>
                <w:sz w:val="20"/>
                <w:szCs w:val="20"/>
              </w:rPr>
            </w:pPr>
            <w:r w:rsidRPr="00206AE1">
              <w:rPr>
                <w:rFonts w:asciiTheme="majorHAnsi" w:hAnsiTheme="majorHAnsi"/>
                <w:b/>
                <w:sz w:val="20"/>
                <w:szCs w:val="20"/>
              </w:rPr>
              <w:t>C</w:t>
            </w:r>
            <w:r w:rsidR="00EF657B" w:rsidRPr="00206AE1">
              <w:rPr>
                <w:rFonts w:asciiTheme="majorHAnsi" w:hAnsiTheme="majorHAnsi"/>
                <w:b/>
                <w:sz w:val="20"/>
                <w:szCs w:val="20"/>
              </w:rPr>
              <w:t>Z0</w:t>
            </w:r>
            <w:r w:rsidRPr="00206AE1">
              <w:rPr>
                <w:rFonts w:asciiTheme="majorHAnsi" w:hAnsiTheme="majorHAnsi"/>
                <w:b/>
                <w:sz w:val="20"/>
                <w:szCs w:val="20"/>
              </w:rPr>
              <w:t>2</w:t>
            </w:r>
          </w:p>
        </w:tc>
        <w:tc>
          <w:tcPr>
            <w:tcW w:w="1440" w:type="dxa"/>
            <w:tcBorders>
              <w:top w:val="single" w:sz="6" w:space="0" w:color="000000"/>
              <w:left w:val="single" w:sz="6" w:space="0" w:color="000000"/>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378636B6" w14:textId="00928AAF" w:rsidR="001F2C2B" w:rsidRPr="00206AE1" w:rsidRDefault="00BC0AA0" w:rsidP="00206AE1">
            <w:pPr>
              <w:pStyle w:val="Normal1"/>
              <w:spacing w:line="276" w:lineRule="auto"/>
              <w:contextualSpacing w:val="0"/>
              <w:jc w:val="center"/>
              <w:rPr>
                <w:rFonts w:asciiTheme="majorHAnsi" w:hAnsiTheme="majorHAnsi"/>
                <w:b/>
                <w:color w:val="auto"/>
                <w:sz w:val="20"/>
                <w:szCs w:val="20"/>
              </w:rPr>
            </w:pPr>
            <w:r w:rsidRPr="00206AE1">
              <w:rPr>
                <w:rFonts w:asciiTheme="majorHAnsi" w:hAnsiTheme="majorHAnsi"/>
                <w:b/>
                <w:color w:val="auto"/>
                <w:sz w:val="20"/>
                <w:szCs w:val="20"/>
              </w:rPr>
              <w:t>30</w:t>
            </w:r>
          </w:p>
        </w:tc>
        <w:tc>
          <w:tcPr>
            <w:tcW w:w="1440" w:type="dxa"/>
            <w:tcBorders>
              <w:top w:val="single" w:sz="6" w:space="0" w:color="000000"/>
              <w:left w:val="single" w:sz="6" w:space="0" w:color="000000"/>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32EDAD79" w14:textId="61E252F4" w:rsidR="001F2C2B" w:rsidRPr="00206AE1" w:rsidRDefault="006944D4" w:rsidP="00206AE1">
            <w:pPr>
              <w:pStyle w:val="Normal1"/>
              <w:spacing w:line="276" w:lineRule="auto"/>
              <w:contextualSpacing w:val="0"/>
              <w:jc w:val="center"/>
              <w:rPr>
                <w:rFonts w:asciiTheme="majorHAnsi" w:hAnsiTheme="majorHAnsi"/>
                <w:b/>
                <w:color w:val="auto"/>
                <w:sz w:val="20"/>
                <w:szCs w:val="20"/>
              </w:rPr>
            </w:pPr>
            <w:r w:rsidRPr="00206AE1">
              <w:rPr>
                <w:rFonts w:asciiTheme="majorHAnsi" w:hAnsiTheme="majorHAnsi"/>
                <w:b/>
                <w:color w:val="auto"/>
                <w:sz w:val="20"/>
                <w:szCs w:val="20"/>
              </w:rPr>
              <w:t>1</w:t>
            </w:r>
            <w:r w:rsidR="00FF65B2" w:rsidRPr="00206AE1">
              <w:rPr>
                <w:rFonts w:asciiTheme="majorHAnsi" w:hAnsiTheme="majorHAnsi"/>
                <w:b/>
                <w:color w:val="auto"/>
                <w:sz w:val="20"/>
                <w:szCs w:val="20"/>
              </w:rPr>
              <w:t>41</w:t>
            </w:r>
          </w:p>
        </w:tc>
      </w:tr>
      <w:tr w:rsidR="009A4101" w:rsidRPr="00206AE1" w14:paraId="75D58330" w14:textId="77777777" w:rsidTr="00206AE1">
        <w:tc>
          <w:tcPr>
            <w:tcW w:w="1170" w:type="dxa"/>
            <w:tcBorders>
              <w:left w:val="single" w:sz="6" w:space="0" w:color="000000"/>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1604934B" w14:textId="5BE3DD75" w:rsidR="001F2C2B" w:rsidRPr="00206AE1" w:rsidRDefault="001F2C2B" w:rsidP="00206AE1">
            <w:pPr>
              <w:pStyle w:val="Normal1"/>
              <w:spacing w:line="276" w:lineRule="auto"/>
              <w:contextualSpacing w:val="0"/>
              <w:jc w:val="center"/>
              <w:rPr>
                <w:rFonts w:asciiTheme="majorHAnsi" w:hAnsiTheme="majorHAnsi"/>
                <w:sz w:val="20"/>
                <w:szCs w:val="20"/>
              </w:rPr>
            </w:pPr>
            <w:r w:rsidRPr="00206AE1">
              <w:rPr>
                <w:rFonts w:asciiTheme="majorHAnsi" w:hAnsiTheme="majorHAnsi"/>
                <w:b/>
                <w:sz w:val="20"/>
                <w:szCs w:val="20"/>
              </w:rPr>
              <w:t>C</w:t>
            </w:r>
            <w:r w:rsidR="00EF657B" w:rsidRPr="00206AE1">
              <w:rPr>
                <w:rFonts w:asciiTheme="majorHAnsi" w:hAnsiTheme="majorHAnsi"/>
                <w:b/>
                <w:sz w:val="20"/>
                <w:szCs w:val="20"/>
              </w:rPr>
              <w:t>Z0</w:t>
            </w:r>
            <w:r w:rsidRPr="00206AE1">
              <w:rPr>
                <w:rFonts w:asciiTheme="majorHAnsi" w:hAnsiTheme="majorHAnsi"/>
                <w:b/>
                <w:sz w:val="20"/>
                <w:szCs w:val="20"/>
              </w:rPr>
              <w:t>3</w:t>
            </w:r>
          </w:p>
        </w:tc>
        <w:tc>
          <w:tcPr>
            <w:tcW w:w="1440" w:type="dxa"/>
            <w:tcBorders>
              <w:top w:val="single" w:sz="6" w:space="0" w:color="000000"/>
              <w:left w:val="single" w:sz="6" w:space="0" w:color="000000"/>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5AC0E189" w14:textId="10DF1C64" w:rsidR="001F2C2B" w:rsidRPr="00206AE1" w:rsidRDefault="00BC0AA0" w:rsidP="00206AE1">
            <w:pPr>
              <w:pStyle w:val="Normal1"/>
              <w:spacing w:line="276" w:lineRule="auto"/>
              <w:contextualSpacing w:val="0"/>
              <w:jc w:val="center"/>
              <w:rPr>
                <w:rFonts w:asciiTheme="majorHAnsi" w:hAnsiTheme="majorHAnsi"/>
                <w:b/>
                <w:color w:val="auto"/>
                <w:sz w:val="20"/>
                <w:szCs w:val="20"/>
              </w:rPr>
            </w:pPr>
            <w:r w:rsidRPr="00206AE1">
              <w:rPr>
                <w:rFonts w:asciiTheme="majorHAnsi" w:hAnsiTheme="majorHAnsi"/>
                <w:b/>
                <w:color w:val="auto"/>
                <w:sz w:val="20"/>
                <w:szCs w:val="20"/>
              </w:rPr>
              <w:t>28</w:t>
            </w:r>
          </w:p>
        </w:tc>
        <w:tc>
          <w:tcPr>
            <w:tcW w:w="1440" w:type="dxa"/>
            <w:tcBorders>
              <w:top w:val="single" w:sz="6" w:space="0" w:color="000000"/>
              <w:left w:val="single" w:sz="6" w:space="0" w:color="000000"/>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34993D68" w14:textId="429539CD" w:rsidR="001F2C2B" w:rsidRPr="00206AE1" w:rsidRDefault="00FF65B2" w:rsidP="00206AE1">
            <w:pPr>
              <w:pStyle w:val="Normal1"/>
              <w:spacing w:line="276" w:lineRule="auto"/>
              <w:contextualSpacing w:val="0"/>
              <w:jc w:val="center"/>
              <w:rPr>
                <w:rFonts w:asciiTheme="majorHAnsi" w:hAnsiTheme="majorHAnsi"/>
                <w:b/>
                <w:color w:val="auto"/>
                <w:sz w:val="20"/>
                <w:szCs w:val="20"/>
              </w:rPr>
            </w:pPr>
            <w:r w:rsidRPr="00206AE1">
              <w:rPr>
                <w:rFonts w:asciiTheme="majorHAnsi" w:hAnsiTheme="majorHAnsi"/>
                <w:b/>
                <w:color w:val="auto"/>
                <w:sz w:val="20"/>
                <w:szCs w:val="20"/>
              </w:rPr>
              <w:t>97</w:t>
            </w:r>
          </w:p>
        </w:tc>
      </w:tr>
      <w:tr w:rsidR="009A4101" w:rsidRPr="00206AE1" w14:paraId="090244F7" w14:textId="77777777" w:rsidTr="00206AE1">
        <w:tc>
          <w:tcPr>
            <w:tcW w:w="1170" w:type="dxa"/>
            <w:tcBorders>
              <w:left w:val="single" w:sz="6" w:space="0" w:color="000000"/>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1B16C26C" w14:textId="4FB3CB56" w:rsidR="001F2C2B" w:rsidRPr="00206AE1" w:rsidRDefault="001F2C2B" w:rsidP="00206AE1">
            <w:pPr>
              <w:pStyle w:val="Normal1"/>
              <w:spacing w:line="276" w:lineRule="auto"/>
              <w:contextualSpacing w:val="0"/>
              <w:jc w:val="center"/>
              <w:rPr>
                <w:rFonts w:asciiTheme="majorHAnsi" w:hAnsiTheme="majorHAnsi"/>
                <w:sz w:val="20"/>
                <w:szCs w:val="20"/>
              </w:rPr>
            </w:pPr>
            <w:r w:rsidRPr="00206AE1">
              <w:rPr>
                <w:rFonts w:asciiTheme="majorHAnsi" w:hAnsiTheme="majorHAnsi"/>
                <w:b/>
                <w:sz w:val="20"/>
                <w:szCs w:val="20"/>
              </w:rPr>
              <w:t>C</w:t>
            </w:r>
            <w:r w:rsidR="00EF657B" w:rsidRPr="00206AE1">
              <w:rPr>
                <w:rFonts w:asciiTheme="majorHAnsi" w:hAnsiTheme="majorHAnsi"/>
                <w:b/>
                <w:sz w:val="20"/>
                <w:szCs w:val="20"/>
              </w:rPr>
              <w:t>Z0</w:t>
            </w:r>
            <w:r w:rsidRPr="00206AE1">
              <w:rPr>
                <w:rFonts w:asciiTheme="majorHAnsi" w:hAnsiTheme="majorHAnsi"/>
                <w:b/>
                <w:sz w:val="20"/>
                <w:szCs w:val="20"/>
              </w:rPr>
              <w:t>4</w:t>
            </w:r>
          </w:p>
        </w:tc>
        <w:tc>
          <w:tcPr>
            <w:tcW w:w="1440" w:type="dxa"/>
            <w:tcBorders>
              <w:top w:val="single" w:sz="6" w:space="0" w:color="000000"/>
              <w:left w:val="single" w:sz="6" w:space="0" w:color="000000"/>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1260D4B8" w14:textId="5A50E060" w:rsidR="001F2C2B" w:rsidRPr="00206AE1" w:rsidRDefault="00BC0AA0" w:rsidP="00206AE1">
            <w:pPr>
              <w:pStyle w:val="Normal1"/>
              <w:spacing w:line="276" w:lineRule="auto"/>
              <w:contextualSpacing w:val="0"/>
              <w:jc w:val="center"/>
              <w:rPr>
                <w:rFonts w:asciiTheme="majorHAnsi" w:hAnsiTheme="majorHAnsi"/>
                <w:b/>
                <w:color w:val="auto"/>
                <w:sz w:val="20"/>
                <w:szCs w:val="20"/>
              </w:rPr>
            </w:pPr>
            <w:r w:rsidRPr="00206AE1">
              <w:rPr>
                <w:rFonts w:asciiTheme="majorHAnsi" w:hAnsiTheme="majorHAnsi"/>
                <w:b/>
                <w:color w:val="auto"/>
                <w:sz w:val="20"/>
                <w:szCs w:val="20"/>
              </w:rPr>
              <w:t>20</w:t>
            </w:r>
          </w:p>
        </w:tc>
        <w:tc>
          <w:tcPr>
            <w:tcW w:w="1440" w:type="dxa"/>
            <w:tcBorders>
              <w:top w:val="single" w:sz="6" w:space="0" w:color="000000"/>
              <w:left w:val="single" w:sz="6" w:space="0" w:color="000000"/>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27CD45FA" w14:textId="71D73B2C" w:rsidR="001F2C2B" w:rsidRPr="00206AE1" w:rsidRDefault="006944D4" w:rsidP="00206AE1">
            <w:pPr>
              <w:pStyle w:val="Normal1"/>
              <w:spacing w:line="276" w:lineRule="auto"/>
              <w:contextualSpacing w:val="0"/>
              <w:jc w:val="center"/>
              <w:rPr>
                <w:rFonts w:asciiTheme="majorHAnsi" w:hAnsiTheme="majorHAnsi"/>
                <w:b/>
                <w:color w:val="auto"/>
                <w:sz w:val="20"/>
                <w:szCs w:val="20"/>
              </w:rPr>
            </w:pPr>
            <w:r w:rsidRPr="00206AE1">
              <w:rPr>
                <w:rFonts w:asciiTheme="majorHAnsi" w:hAnsiTheme="majorHAnsi"/>
                <w:b/>
                <w:color w:val="auto"/>
                <w:sz w:val="20"/>
                <w:szCs w:val="20"/>
              </w:rPr>
              <w:t>1</w:t>
            </w:r>
            <w:r w:rsidR="00FF65B2" w:rsidRPr="00206AE1">
              <w:rPr>
                <w:rFonts w:asciiTheme="majorHAnsi" w:hAnsiTheme="majorHAnsi"/>
                <w:b/>
                <w:color w:val="auto"/>
                <w:sz w:val="20"/>
                <w:szCs w:val="20"/>
              </w:rPr>
              <w:t>06</w:t>
            </w:r>
          </w:p>
        </w:tc>
      </w:tr>
      <w:tr w:rsidR="009A4101" w:rsidRPr="00206AE1" w14:paraId="6D28614B" w14:textId="77777777" w:rsidTr="00206AE1">
        <w:tc>
          <w:tcPr>
            <w:tcW w:w="1170" w:type="dxa"/>
            <w:tcBorders>
              <w:left w:val="single" w:sz="6" w:space="0" w:color="000000"/>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371C7399" w14:textId="3F8C896B" w:rsidR="001F2C2B" w:rsidRPr="00206AE1" w:rsidRDefault="001F2C2B" w:rsidP="00206AE1">
            <w:pPr>
              <w:pStyle w:val="Normal1"/>
              <w:spacing w:line="276" w:lineRule="auto"/>
              <w:contextualSpacing w:val="0"/>
              <w:jc w:val="center"/>
              <w:rPr>
                <w:rFonts w:asciiTheme="majorHAnsi" w:hAnsiTheme="majorHAnsi"/>
                <w:sz w:val="20"/>
                <w:szCs w:val="20"/>
              </w:rPr>
            </w:pPr>
            <w:r w:rsidRPr="00206AE1">
              <w:rPr>
                <w:rFonts w:asciiTheme="majorHAnsi" w:hAnsiTheme="majorHAnsi"/>
                <w:b/>
                <w:sz w:val="20"/>
                <w:szCs w:val="20"/>
              </w:rPr>
              <w:t>C</w:t>
            </w:r>
            <w:r w:rsidR="00EF657B" w:rsidRPr="00206AE1">
              <w:rPr>
                <w:rFonts w:asciiTheme="majorHAnsi" w:hAnsiTheme="majorHAnsi"/>
                <w:b/>
                <w:sz w:val="20"/>
                <w:szCs w:val="20"/>
              </w:rPr>
              <w:t>Z0</w:t>
            </w:r>
            <w:r w:rsidRPr="00206AE1">
              <w:rPr>
                <w:rFonts w:asciiTheme="majorHAnsi" w:hAnsiTheme="majorHAnsi"/>
                <w:b/>
                <w:sz w:val="20"/>
                <w:szCs w:val="20"/>
              </w:rPr>
              <w:t>5</w:t>
            </w:r>
          </w:p>
        </w:tc>
        <w:tc>
          <w:tcPr>
            <w:tcW w:w="1440" w:type="dxa"/>
            <w:tcBorders>
              <w:top w:val="single" w:sz="6" w:space="0" w:color="000000"/>
              <w:left w:val="single" w:sz="6" w:space="0" w:color="000000"/>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5AA42E3D" w14:textId="6BBCA31E" w:rsidR="001F2C2B" w:rsidRPr="00206AE1" w:rsidRDefault="00BC0AA0" w:rsidP="00206AE1">
            <w:pPr>
              <w:pStyle w:val="Normal1"/>
              <w:spacing w:line="276" w:lineRule="auto"/>
              <w:contextualSpacing w:val="0"/>
              <w:jc w:val="center"/>
              <w:rPr>
                <w:rFonts w:asciiTheme="majorHAnsi" w:hAnsiTheme="majorHAnsi"/>
                <w:b/>
                <w:color w:val="auto"/>
                <w:sz w:val="20"/>
                <w:szCs w:val="20"/>
              </w:rPr>
            </w:pPr>
            <w:r w:rsidRPr="00206AE1">
              <w:rPr>
                <w:rFonts w:asciiTheme="majorHAnsi" w:hAnsiTheme="majorHAnsi"/>
                <w:b/>
                <w:color w:val="auto"/>
                <w:sz w:val="20"/>
                <w:szCs w:val="20"/>
              </w:rPr>
              <w:t>19</w:t>
            </w:r>
          </w:p>
        </w:tc>
        <w:tc>
          <w:tcPr>
            <w:tcW w:w="1440" w:type="dxa"/>
            <w:tcBorders>
              <w:top w:val="single" w:sz="6" w:space="0" w:color="000000"/>
              <w:left w:val="single" w:sz="6" w:space="0" w:color="000000"/>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678ED258" w14:textId="6905EEAF" w:rsidR="001F2C2B" w:rsidRPr="00206AE1" w:rsidRDefault="00FF65B2" w:rsidP="00206AE1">
            <w:pPr>
              <w:pStyle w:val="Normal1"/>
              <w:spacing w:line="276" w:lineRule="auto"/>
              <w:contextualSpacing w:val="0"/>
              <w:jc w:val="center"/>
              <w:rPr>
                <w:rFonts w:asciiTheme="majorHAnsi" w:hAnsiTheme="majorHAnsi"/>
                <w:b/>
                <w:color w:val="auto"/>
                <w:sz w:val="20"/>
                <w:szCs w:val="20"/>
              </w:rPr>
            </w:pPr>
            <w:r w:rsidRPr="00206AE1">
              <w:rPr>
                <w:rFonts w:asciiTheme="majorHAnsi" w:hAnsiTheme="majorHAnsi"/>
                <w:b/>
                <w:color w:val="auto"/>
                <w:sz w:val="20"/>
                <w:szCs w:val="20"/>
              </w:rPr>
              <w:t>86</w:t>
            </w:r>
          </w:p>
        </w:tc>
      </w:tr>
      <w:tr w:rsidR="009A4101" w:rsidRPr="00206AE1" w14:paraId="7D74FAF2" w14:textId="77777777" w:rsidTr="00206AE1">
        <w:tc>
          <w:tcPr>
            <w:tcW w:w="1170" w:type="dxa"/>
            <w:tcBorders>
              <w:left w:val="single" w:sz="6" w:space="0" w:color="000000"/>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41296698" w14:textId="0D80AC49" w:rsidR="001F2C2B" w:rsidRPr="00206AE1" w:rsidRDefault="001F2C2B" w:rsidP="00206AE1">
            <w:pPr>
              <w:pStyle w:val="Normal1"/>
              <w:spacing w:line="276" w:lineRule="auto"/>
              <w:contextualSpacing w:val="0"/>
              <w:jc w:val="center"/>
              <w:rPr>
                <w:rFonts w:asciiTheme="majorHAnsi" w:hAnsiTheme="majorHAnsi"/>
                <w:sz w:val="20"/>
                <w:szCs w:val="20"/>
              </w:rPr>
            </w:pPr>
            <w:r w:rsidRPr="00206AE1">
              <w:rPr>
                <w:rFonts w:asciiTheme="majorHAnsi" w:hAnsiTheme="majorHAnsi"/>
                <w:b/>
                <w:sz w:val="20"/>
                <w:szCs w:val="20"/>
              </w:rPr>
              <w:t>C</w:t>
            </w:r>
            <w:r w:rsidR="00EF657B" w:rsidRPr="00206AE1">
              <w:rPr>
                <w:rFonts w:asciiTheme="majorHAnsi" w:hAnsiTheme="majorHAnsi"/>
                <w:b/>
                <w:sz w:val="20"/>
                <w:szCs w:val="20"/>
              </w:rPr>
              <w:t>Z0</w:t>
            </w:r>
            <w:r w:rsidRPr="00206AE1">
              <w:rPr>
                <w:rFonts w:asciiTheme="majorHAnsi" w:hAnsiTheme="majorHAnsi"/>
                <w:b/>
                <w:sz w:val="20"/>
                <w:szCs w:val="20"/>
              </w:rPr>
              <w:t>6</w:t>
            </w:r>
          </w:p>
        </w:tc>
        <w:tc>
          <w:tcPr>
            <w:tcW w:w="1440" w:type="dxa"/>
            <w:tcBorders>
              <w:top w:val="single" w:sz="6" w:space="0" w:color="000000"/>
              <w:left w:val="single" w:sz="6" w:space="0" w:color="000000"/>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12BBBAE3" w14:textId="3ECAAF22" w:rsidR="001F2C2B" w:rsidRPr="00206AE1" w:rsidRDefault="00BC0AA0" w:rsidP="00206AE1">
            <w:pPr>
              <w:pStyle w:val="Normal1"/>
              <w:spacing w:line="276" w:lineRule="auto"/>
              <w:contextualSpacing w:val="0"/>
              <w:jc w:val="center"/>
              <w:rPr>
                <w:rFonts w:asciiTheme="majorHAnsi" w:hAnsiTheme="majorHAnsi"/>
                <w:b/>
                <w:color w:val="auto"/>
                <w:sz w:val="20"/>
                <w:szCs w:val="20"/>
              </w:rPr>
            </w:pPr>
            <w:r w:rsidRPr="00206AE1">
              <w:rPr>
                <w:rFonts w:asciiTheme="majorHAnsi" w:hAnsiTheme="majorHAnsi"/>
                <w:b/>
                <w:color w:val="auto"/>
                <w:sz w:val="20"/>
                <w:szCs w:val="20"/>
              </w:rPr>
              <w:t>10</w:t>
            </w:r>
          </w:p>
        </w:tc>
        <w:tc>
          <w:tcPr>
            <w:tcW w:w="1440" w:type="dxa"/>
            <w:tcBorders>
              <w:top w:val="single" w:sz="6" w:space="0" w:color="000000"/>
              <w:left w:val="single" w:sz="6" w:space="0" w:color="000000"/>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46FD460B" w14:textId="23A29867" w:rsidR="001F2C2B" w:rsidRPr="00206AE1" w:rsidRDefault="006944D4" w:rsidP="00206AE1">
            <w:pPr>
              <w:pStyle w:val="Normal1"/>
              <w:spacing w:line="276" w:lineRule="auto"/>
              <w:contextualSpacing w:val="0"/>
              <w:jc w:val="center"/>
              <w:rPr>
                <w:rFonts w:asciiTheme="majorHAnsi" w:hAnsiTheme="majorHAnsi"/>
                <w:b/>
                <w:color w:val="auto"/>
                <w:sz w:val="20"/>
                <w:szCs w:val="20"/>
              </w:rPr>
            </w:pPr>
            <w:r w:rsidRPr="00206AE1">
              <w:rPr>
                <w:rFonts w:asciiTheme="majorHAnsi" w:hAnsiTheme="majorHAnsi"/>
                <w:b/>
                <w:color w:val="auto"/>
                <w:sz w:val="20"/>
                <w:szCs w:val="20"/>
              </w:rPr>
              <w:t>1</w:t>
            </w:r>
            <w:r w:rsidR="00FF65B2" w:rsidRPr="00206AE1">
              <w:rPr>
                <w:rFonts w:asciiTheme="majorHAnsi" w:hAnsiTheme="majorHAnsi"/>
                <w:b/>
                <w:color w:val="auto"/>
                <w:sz w:val="20"/>
                <w:szCs w:val="20"/>
              </w:rPr>
              <w:t>08</w:t>
            </w:r>
          </w:p>
        </w:tc>
      </w:tr>
      <w:tr w:rsidR="009A4101" w:rsidRPr="00206AE1" w14:paraId="5FED5906" w14:textId="77777777" w:rsidTr="00206AE1">
        <w:tc>
          <w:tcPr>
            <w:tcW w:w="1170" w:type="dxa"/>
            <w:tcBorders>
              <w:left w:val="single" w:sz="6" w:space="0" w:color="000000"/>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0BCC05C9" w14:textId="1C5E1AE7" w:rsidR="001F2C2B" w:rsidRPr="00206AE1" w:rsidRDefault="001F2C2B" w:rsidP="00206AE1">
            <w:pPr>
              <w:pStyle w:val="Normal1"/>
              <w:spacing w:line="276" w:lineRule="auto"/>
              <w:contextualSpacing w:val="0"/>
              <w:jc w:val="center"/>
              <w:rPr>
                <w:rFonts w:asciiTheme="majorHAnsi" w:hAnsiTheme="majorHAnsi"/>
                <w:sz w:val="20"/>
                <w:szCs w:val="20"/>
              </w:rPr>
            </w:pPr>
            <w:r w:rsidRPr="00206AE1">
              <w:rPr>
                <w:rFonts w:asciiTheme="majorHAnsi" w:hAnsiTheme="majorHAnsi"/>
                <w:b/>
                <w:sz w:val="20"/>
                <w:szCs w:val="20"/>
              </w:rPr>
              <w:t>C</w:t>
            </w:r>
            <w:r w:rsidR="00EF657B" w:rsidRPr="00206AE1">
              <w:rPr>
                <w:rFonts w:asciiTheme="majorHAnsi" w:hAnsiTheme="majorHAnsi"/>
                <w:b/>
                <w:sz w:val="20"/>
                <w:szCs w:val="20"/>
              </w:rPr>
              <w:t>Z0</w:t>
            </w:r>
            <w:r w:rsidRPr="00206AE1">
              <w:rPr>
                <w:rFonts w:asciiTheme="majorHAnsi" w:hAnsiTheme="majorHAnsi"/>
                <w:b/>
                <w:sz w:val="20"/>
                <w:szCs w:val="20"/>
              </w:rPr>
              <w:t>7</w:t>
            </w:r>
          </w:p>
        </w:tc>
        <w:tc>
          <w:tcPr>
            <w:tcW w:w="1440" w:type="dxa"/>
            <w:tcBorders>
              <w:top w:val="single" w:sz="6" w:space="0" w:color="000000"/>
              <w:left w:val="single" w:sz="6" w:space="0" w:color="000000"/>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73D4C422" w14:textId="00AD814C" w:rsidR="001F2C2B" w:rsidRPr="00206AE1" w:rsidRDefault="00BC0AA0" w:rsidP="00206AE1">
            <w:pPr>
              <w:pStyle w:val="Normal1"/>
              <w:spacing w:line="276" w:lineRule="auto"/>
              <w:contextualSpacing w:val="0"/>
              <w:jc w:val="center"/>
              <w:rPr>
                <w:rFonts w:asciiTheme="majorHAnsi" w:hAnsiTheme="majorHAnsi"/>
                <w:b/>
                <w:color w:val="auto"/>
                <w:sz w:val="20"/>
                <w:szCs w:val="20"/>
              </w:rPr>
            </w:pPr>
            <w:r w:rsidRPr="00206AE1">
              <w:rPr>
                <w:rFonts w:asciiTheme="majorHAnsi" w:hAnsiTheme="majorHAnsi"/>
                <w:b/>
                <w:color w:val="auto"/>
                <w:sz w:val="20"/>
                <w:szCs w:val="20"/>
              </w:rPr>
              <w:t>9</w:t>
            </w:r>
          </w:p>
        </w:tc>
        <w:tc>
          <w:tcPr>
            <w:tcW w:w="1440" w:type="dxa"/>
            <w:tcBorders>
              <w:top w:val="single" w:sz="6" w:space="0" w:color="000000"/>
              <w:left w:val="single" w:sz="6" w:space="0" w:color="000000"/>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447537E0" w14:textId="2FBD5F51" w:rsidR="001F2C2B" w:rsidRPr="00206AE1" w:rsidRDefault="006944D4" w:rsidP="00206AE1">
            <w:pPr>
              <w:pStyle w:val="Normal1"/>
              <w:spacing w:line="276" w:lineRule="auto"/>
              <w:contextualSpacing w:val="0"/>
              <w:jc w:val="center"/>
              <w:rPr>
                <w:rFonts w:asciiTheme="majorHAnsi" w:hAnsiTheme="majorHAnsi"/>
                <w:b/>
                <w:color w:val="auto"/>
                <w:sz w:val="20"/>
                <w:szCs w:val="20"/>
              </w:rPr>
            </w:pPr>
            <w:r w:rsidRPr="00206AE1">
              <w:rPr>
                <w:rFonts w:asciiTheme="majorHAnsi" w:hAnsiTheme="majorHAnsi"/>
                <w:b/>
                <w:color w:val="auto"/>
                <w:sz w:val="20"/>
                <w:szCs w:val="20"/>
              </w:rPr>
              <w:t>1</w:t>
            </w:r>
            <w:r w:rsidR="00FF65B2" w:rsidRPr="00206AE1">
              <w:rPr>
                <w:rFonts w:asciiTheme="majorHAnsi" w:hAnsiTheme="majorHAnsi"/>
                <w:b/>
                <w:color w:val="auto"/>
                <w:sz w:val="20"/>
                <w:szCs w:val="20"/>
              </w:rPr>
              <w:t>14</w:t>
            </w:r>
          </w:p>
        </w:tc>
      </w:tr>
      <w:tr w:rsidR="009A4101" w:rsidRPr="00206AE1" w14:paraId="2D47FA64" w14:textId="77777777" w:rsidTr="00206AE1">
        <w:tc>
          <w:tcPr>
            <w:tcW w:w="1170" w:type="dxa"/>
            <w:tcBorders>
              <w:left w:val="single" w:sz="6" w:space="0" w:color="000000"/>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2F7D346A" w14:textId="613AD41A" w:rsidR="001F2C2B" w:rsidRPr="00206AE1" w:rsidRDefault="001F2C2B" w:rsidP="00206AE1">
            <w:pPr>
              <w:pStyle w:val="Normal1"/>
              <w:spacing w:line="276" w:lineRule="auto"/>
              <w:contextualSpacing w:val="0"/>
              <w:jc w:val="center"/>
              <w:rPr>
                <w:rFonts w:asciiTheme="majorHAnsi" w:hAnsiTheme="majorHAnsi"/>
                <w:sz w:val="20"/>
                <w:szCs w:val="20"/>
              </w:rPr>
            </w:pPr>
            <w:r w:rsidRPr="00206AE1">
              <w:rPr>
                <w:rFonts w:asciiTheme="majorHAnsi" w:hAnsiTheme="majorHAnsi"/>
                <w:b/>
                <w:sz w:val="20"/>
                <w:szCs w:val="20"/>
              </w:rPr>
              <w:t>C</w:t>
            </w:r>
            <w:r w:rsidR="00EF657B" w:rsidRPr="00206AE1">
              <w:rPr>
                <w:rFonts w:asciiTheme="majorHAnsi" w:hAnsiTheme="majorHAnsi"/>
                <w:b/>
                <w:sz w:val="20"/>
                <w:szCs w:val="20"/>
              </w:rPr>
              <w:t>Z0</w:t>
            </w:r>
            <w:r w:rsidRPr="00206AE1">
              <w:rPr>
                <w:rFonts w:asciiTheme="majorHAnsi" w:hAnsiTheme="majorHAnsi"/>
                <w:b/>
                <w:sz w:val="20"/>
                <w:szCs w:val="20"/>
              </w:rPr>
              <w:t>8</w:t>
            </w:r>
          </w:p>
        </w:tc>
        <w:tc>
          <w:tcPr>
            <w:tcW w:w="1440" w:type="dxa"/>
            <w:tcBorders>
              <w:top w:val="single" w:sz="6" w:space="0" w:color="000000"/>
              <w:left w:val="single" w:sz="6" w:space="0" w:color="000000"/>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3C890EFD" w14:textId="1B460133" w:rsidR="001F2C2B" w:rsidRPr="00206AE1" w:rsidRDefault="00BC0AA0" w:rsidP="00206AE1">
            <w:pPr>
              <w:pStyle w:val="Normal1"/>
              <w:spacing w:line="276" w:lineRule="auto"/>
              <w:contextualSpacing w:val="0"/>
              <w:jc w:val="center"/>
              <w:rPr>
                <w:rFonts w:asciiTheme="majorHAnsi" w:hAnsiTheme="majorHAnsi"/>
                <w:b/>
                <w:color w:val="auto"/>
                <w:sz w:val="20"/>
                <w:szCs w:val="20"/>
              </w:rPr>
            </w:pPr>
            <w:r w:rsidRPr="00206AE1">
              <w:rPr>
                <w:rFonts w:asciiTheme="majorHAnsi" w:hAnsiTheme="majorHAnsi"/>
                <w:b/>
                <w:color w:val="auto"/>
                <w:sz w:val="20"/>
                <w:szCs w:val="20"/>
              </w:rPr>
              <w:t>7</w:t>
            </w:r>
          </w:p>
        </w:tc>
        <w:tc>
          <w:tcPr>
            <w:tcW w:w="1440" w:type="dxa"/>
            <w:tcBorders>
              <w:top w:val="single" w:sz="6" w:space="0" w:color="000000"/>
              <w:left w:val="single" w:sz="6" w:space="0" w:color="000000"/>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7110D1A7" w14:textId="51B16339" w:rsidR="001F2C2B" w:rsidRPr="00206AE1" w:rsidRDefault="006944D4" w:rsidP="00206AE1">
            <w:pPr>
              <w:pStyle w:val="Normal1"/>
              <w:spacing w:line="276" w:lineRule="auto"/>
              <w:contextualSpacing w:val="0"/>
              <w:jc w:val="center"/>
              <w:rPr>
                <w:rFonts w:asciiTheme="majorHAnsi" w:hAnsiTheme="majorHAnsi"/>
                <w:b/>
                <w:color w:val="auto"/>
                <w:sz w:val="20"/>
                <w:szCs w:val="20"/>
              </w:rPr>
            </w:pPr>
            <w:r w:rsidRPr="00206AE1">
              <w:rPr>
                <w:rFonts w:asciiTheme="majorHAnsi" w:hAnsiTheme="majorHAnsi"/>
                <w:b/>
                <w:color w:val="auto"/>
                <w:sz w:val="20"/>
                <w:szCs w:val="20"/>
              </w:rPr>
              <w:t>1</w:t>
            </w:r>
            <w:r w:rsidR="00722053" w:rsidRPr="00206AE1">
              <w:rPr>
                <w:rFonts w:asciiTheme="majorHAnsi" w:hAnsiTheme="majorHAnsi"/>
                <w:b/>
                <w:color w:val="auto"/>
                <w:sz w:val="20"/>
                <w:szCs w:val="20"/>
              </w:rPr>
              <w:t>42</w:t>
            </w:r>
          </w:p>
        </w:tc>
      </w:tr>
      <w:tr w:rsidR="009A4101" w:rsidRPr="00206AE1" w14:paraId="28A4EA0E" w14:textId="77777777" w:rsidTr="00206AE1">
        <w:tc>
          <w:tcPr>
            <w:tcW w:w="1170" w:type="dxa"/>
            <w:tcBorders>
              <w:left w:val="single" w:sz="6" w:space="0" w:color="000000"/>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3D5D9895" w14:textId="4D353619" w:rsidR="001F2C2B" w:rsidRPr="00206AE1" w:rsidRDefault="001F2C2B" w:rsidP="00206AE1">
            <w:pPr>
              <w:pStyle w:val="Normal1"/>
              <w:spacing w:line="276" w:lineRule="auto"/>
              <w:contextualSpacing w:val="0"/>
              <w:jc w:val="center"/>
              <w:rPr>
                <w:rFonts w:asciiTheme="majorHAnsi" w:hAnsiTheme="majorHAnsi"/>
                <w:sz w:val="20"/>
                <w:szCs w:val="20"/>
              </w:rPr>
            </w:pPr>
            <w:r w:rsidRPr="00206AE1">
              <w:rPr>
                <w:rFonts w:asciiTheme="majorHAnsi" w:hAnsiTheme="majorHAnsi"/>
                <w:b/>
                <w:sz w:val="20"/>
                <w:szCs w:val="20"/>
              </w:rPr>
              <w:t>C</w:t>
            </w:r>
            <w:r w:rsidR="00EF657B" w:rsidRPr="00206AE1">
              <w:rPr>
                <w:rFonts w:asciiTheme="majorHAnsi" w:hAnsiTheme="majorHAnsi"/>
                <w:b/>
                <w:sz w:val="20"/>
                <w:szCs w:val="20"/>
              </w:rPr>
              <w:t>Z0</w:t>
            </w:r>
            <w:r w:rsidRPr="00206AE1">
              <w:rPr>
                <w:rFonts w:asciiTheme="majorHAnsi" w:hAnsiTheme="majorHAnsi"/>
                <w:b/>
                <w:sz w:val="20"/>
                <w:szCs w:val="20"/>
              </w:rPr>
              <w:t>9</w:t>
            </w:r>
          </w:p>
        </w:tc>
        <w:tc>
          <w:tcPr>
            <w:tcW w:w="1440" w:type="dxa"/>
            <w:tcBorders>
              <w:top w:val="single" w:sz="6" w:space="0" w:color="000000"/>
              <w:left w:val="single" w:sz="6" w:space="0" w:color="000000"/>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5F644C60" w14:textId="67A8CB08" w:rsidR="001F2C2B" w:rsidRPr="00206AE1" w:rsidRDefault="00BC0AA0" w:rsidP="00206AE1">
            <w:pPr>
              <w:pStyle w:val="Normal1"/>
              <w:spacing w:line="276" w:lineRule="auto"/>
              <w:contextualSpacing w:val="0"/>
              <w:jc w:val="center"/>
              <w:rPr>
                <w:rFonts w:asciiTheme="majorHAnsi" w:hAnsiTheme="majorHAnsi"/>
                <w:b/>
                <w:color w:val="auto"/>
                <w:sz w:val="20"/>
                <w:szCs w:val="20"/>
              </w:rPr>
            </w:pPr>
            <w:r w:rsidRPr="00206AE1">
              <w:rPr>
                <w:rFonts w:asciiTheme="majorHAnsi" w:hAnsiTheme="majorHAnsi"/>
                <w:b/>
                <w:color w:val="auto"/>
                <w:sz w:val="20"/>
                <w:szCs w:val="20"/>
              </w:rPr>
              <w:t>11</w:t>
            </w:r>
          </w:p>
        </w:tc>
        <w:tc>
          <w:tcPr>
            <w:tcW w:w="1440" w:type="dxa"/>
            <w:tcBorders>
              <w:top w:val="single" w:sz="6" w:space="0" w:color="000000"/>
              <w:left w:val="single" w:sz="6" w:space="0" w:color="000000"/>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25D2F244" w14:textId="17AF496E" w:rsidR="001F2C2B" w:rsidRPr="00206AE1" w:rsidRDefault="006944D4" w:rsidP="00206AE1">
            <w:pPr>
              <w:pStyle w:val="Normal1"/>
              <w:spacing w:line="276" w:lineRule="auto"/>
              <w:contextualSpacing w:val="0"/>
              <w:jc w:val="center"/>
              <w:rPr>
                <w:rFonts w:asciiTheme="majorHAnsi" w:hAnsiTheme="majorHAnsi"/>
                <w:b/>
                <w:color w:val="auto"/>
                <w:sz w:val="20"/>
                <w:szCs w:val="20"/>
              </w:rPr>
            </w:pPr>
            <w:r w:rsidRPr="00206AE1">
              <w:rPr>
                <w:rFonts w:asciiTheme="majorHAnsi" w:hAnsiTheme="majorHAnsi"/>
                <w:b/>
                <w:color w:val="auto"/>
                <w:sz w:val="20"/>
                <w:szCs w:val="20"/>
              </w:rPr>
              <w:t>2</w:t>
            </w:r>
            <w:r w:rsidR="00722053" w:rsidRPr="00206AE1">
              <w:rPr>
                <w:rFonts w:asciiTheme="majorHAnsi" w:hAnsiTheme="majorHAnsi"/>
                <w:b/>
                <w:color w:val="auto"/>
                <w:sz w:val="20"/>
                <w:szCs w:val="20"/>
              </w:rPr>
              <w:t>08</w:t>
            </w:r>
          </w:p>
        </w:tc>
      </w:tr>
      <w:tr w:rsidR="009A4101" w:rsidRPr="00206AE1" w14:paraId="0B35D6CA" w14:textId="77777777" w:rsidTr="00206AE1">
        <w:tc>
          <w:tcPr>
            <w:tcW w:w="1170" w:type="dxa"/>
            <w:tcBorders>
              <w:left w:val="single" w:sz="6" w:space="0" w:color="000000"/>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59B3DC46" w14:textId="0D69380C" w:rsidR="001F2C2B" w:rsidRPr="00206AE1" w:rsidRDefault="001F2C2B" w:rsidP="00206AE1">
            <w:pPr>
              <w:pStyle w:val="Normal1"/>
              <w:spacing w:line="276" w:lineRule="auto"/>
              <w:contextualSpacing w:val="0"/>
              <w:jc w:val="center"/>
              <w:rPr>
                <w:rFonts w:asciiTheme="majorHAnsi" w:hAnsiTheme="majorHAnsi"/>
                <w:sz w:val="20"/>
                <w:szCs w:val="20"/>
              </w:rPr>
            </w:pPr>
            <w:r w:rsidRPr="00206AE1">
              <w:rPr>
                <w:rFonts w:asciiTheme="majorHAnsi" w:hAnsiTheme="majorHAnsi"/>
                <w:b/>
                <w:sz w:val="20"/>
                <w:szCs w:val="20"/>
              </w:rPr>
              <w:t>C</w:t>
            </w:r>
            <w:r w:rsidR="00EF657B" w:rsidRPr="00206AE1">
              <w:rPr>
                <w:rFonts w:asciiTheme="majorHAnsi" w:hAnsiTheme="majorHAnsi"/>
                <w:b/>
                <w:sz w:val="20"/>
                <w:szCs w:val="20"/>
              </w:rPr>
              <w:t>Z</w:t>
            </w:r>
            <w:r w:rsidRPr="00206AE1">
              <w:rPr>
                <w:rFonts w:asciiTheme="majorHAnsi" w:hAnsiTheme="majorHAnsi"/>
                <w:b/>
                <w:sz w:val="20"/>
                <w:szCs w:val="20"/>
              </w:rPr>
              <w:t>10</w:t>
            </w:r>
          </w:p>
        </w:tc>
        <w:tc>
          <w:tcPr>
            <w:tcW w:w="1440" w:type="dxa"/>
            <w:tcBorders>
              <w:top w:val="single" w:sz="6" w:space="0" w:color="000000"/>
              <w:left w:val="single" w:sz="6" w:space="0" w:color="000000"/>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4547BDED" w14:textId="5181DE84" w:rsidR="001F2C2B" w:rsidRPr="00206AE1" w:rsidRDefault="00BC0AA0" w:rsidP="00206AE1">
            <w:pPr>
              <w:pStyle w:val="Normal1"/>
              <w:spacing w:line="276" w:lineRule="auto"/>
              <w:contextualSpacing w:val="0"/>
              <w:jc w:val="center"/>
              <w:rPr>
                <w:rFonts w:asciiTheme="majorHAnsi" w:hAnsiTheme="majorHAnsi"/>
                <w:b/>
                <w:sz w:val="20"/>
                <w:szCs w:val="20"/>
              </w:rPr>
            </w:pPr>
            <w:r w:rsidRPr="00206AE1">
              <w:rPr>
                <w:rFonts w:asciiTheme="majorHAnsi" w:hAnsiTheme="majorHAnsi"/>
                <w:b/>
                <w:sz w:val="20"/>
                <w:szCs w:val="20"/>
              </w:rPr>
              <w:t>9</w:t>
            </w:r>
          </w:p>
        </w:tc>
        <w:tc>
          <w:tcPr>
            <w:tcW w:w="1440" w:type="dxa"/>
            <w:tcBorders>
              <w:top w:val="single" w:sz="6" w:space="0" w:color="000000"/>
              <w:left w:val="single" w:sz="6" w:space="0" w:color="000000"/>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6C4E1984" w14:textId="1FA227A8" w:rsidR="001F2C2B" w:rsidRPr="00206AE1" w:rsidRDefault="00722053" w:rsidP="00206AE1">
            <w:pPr>
              <w:pStyle w:val="Normal1"/>
              <w:spacing w:line="276" w:lineRule="auto"/>
              <w:contextualSpacing w:val="0"/>
              <w:jc w:val="center"/>
              <w:rPr>
                <w:rFonts w:asciiTheme="majorHAnsi" w:hAnsiTheme="majorHAnsi"/>
                <w:b/>
                <w:sz w:val="20"/>
                <w:szCs w:val="20"/>
              </w:rPr>
            </w:pPr>
            <w:r w:rsidRPr="00206AE1">
              <w:rPr>
                <w:rFonts w:asciiTheme="majorHAnsi" w:hAnsiTheme="majorHAnsi"/>
                <w:b/>
                <w:sz w:val="20"/>
                <w:szCs w:val="20"/>
              </w:rPr>
              <w:t>195</w:t>
            </w:r>
          </w:p>
        </w:tc>
      </w:tr>
      <w:tr w:rsidR="009A4101" w:rsidRPr="00206AE1" w14:paraId="49208ABA" w14:textId="77777777" w:rsidTr="00206AE1">
        <w:tc>
          <w:tcPr>
            <w:tcW w:w="1170" w:type="dxa"/>
            <w:tcBorders>
              <w:left w:val="single" w:sz="6" w:space="0" w:color="000000"/>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2B7DC459" w14:textId="1897EB78" w:rsidR="001F2C2B" w:rsidRPr="00206AE1" w:rsidRDefault="001F2C2B" w:rsidP="00206AE1">
            <w:pPr>
              <w:pStyle w:val="Normal1"/>
              <w:spacing w:line="276" w:lineRule="auto"/>
              <w:contextualSpacing w:val="0"/>
              <w:jc w:val="center"/>
              <w:rPr>
                <w:rFonts w:asciiTheme="majorHAnsi" w:hAnsiTheme="majorHAnsi"/>
                <w:sz w:val="20"/>
                <w:szCs w:val="20"/>
              </w:rPr>
            </w:pPr>
            <w:r w:rsidRPr="00206AE1">
              <w:rPr>
                <w:rFonts w:asciiTheme="majorHAnsi" w:hAnsiTheme="majorHAnsi"/>
                <w:b/>
                <w:sz w:val="20"/>
                <w:szCs w:val="20"/>
              </w:rPr>
              <w:t>C</w:t>
            </w:r>
            <w:r w:rsidR="00EF657B" w:rsidRPr="00206AE1">
              <w:rPr>
                <w:rFonts w:asciiTheme="majorHAnsi" w:hAnsiTheme="majorHAnsi"/>
                <w:b/>
                <w:sz w:val="20"/>
                <w:szCs w:val="20"/>
              </w:rPr>
              <w:t>Z</w:t>
            </w:r>
            <w:r w:rsidRPr="00206AE1">
              <w:rPr>
                <w:rFonts w:asciiTheme="majorHAnsi" w:hAnsiTheme="majorHAnsi"/>
                <w:b/>
                <w:sz w:val="20"/>
                <w:szCs w:val="20"/>
              </w:rPr>
              <w:t>11</w:t>
            </w:r>
          </w:p>
        </w:tc>
        <w:tc>
          <w:tcPr>
            <w:tcW w:w="1440" w:type="dxa"/>
            <w:tcBorders>
              <w:top w:val="single" w:sz="6" w:space="0" w:color="000000"/>
              <w:left w:val="single" w:sz="6" w:space="0" w:color="000000"/>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0F2FFFEE" w14:textId="7E423F9F" w:rsidR="001F2C2B" w:rsidRPr="00206AE1" w:rsidRDefault="00BC0AA0" w:rsidP="00206AE1">
            <w:pPr>
              <w:pStyle w:val="Normal1"/>
              <w:spacing w:line="276" w:lineRule="auto"/>
              <w:contextualSpacing w:val="0"/>
              <w:jc w:val="center"/>
              <w:rPr>
                <w:rFonts w:asciiTheme="majorHAnsi" w:hAnsiTheme="majorHAnsi"/>
                <w:b/>
                <w:sz w:val="20"/>
                <w:szCs w:val="20"/>
              </w:rPr>
            </w:pPr>
            <w:r w:rsidRPr="00206AE1">
              <w:rPr>
                <w:rFonts w:asciiTheme="majorHAnsi" w:hAnsiTheme="majorHAnsi"/>
                <w:b/>
                <w:sz w:val="20"/>
                <w:szCs w:val="20"/>
              </w:rPr>
              <w:t>22</w:t>
            </w:r>
          </w:p>
        </w:tc>
        <w:tc>
          <w:tcPr>
            <w:tcW w:w="1440" w:type="dxa"/>
            <w:tcBorders>
              <w:top w:val="single" w:sz="6" w:space="0" w:color="000000"/>
              <w:left w:val="single" w:sz="6" w:space="0" w:color="000000"/>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3F7A1265" w14:textId="3FCACE8B" w:rsidR="001F2C2B" w:rsidRPr="00206AE1" w:rsidRDefault="006944D4" w:rsidP="00206AE1">
            <w:pPr>
              <w:pStyle w:val="Normal1"/>
              <w:spacing w:line="276" w:lineRule="auto"/>
              <w:contextualSpacing w:val="0"/>
              <w:jc w:val="center"/>
              <w:rPr>
                <w:rFonts w:asciiTheme="majorHAnsi" w:hAnsiTheme="majorHAnsi"/>
                <w:b/>
                <w:sz w:val="20"/>
                <w:szCs w:val="20"/>
              </w:rPr>
            </w:pPr>
            <w:r w:rsidRPr="00206AE1">
              <w:rPr>
                <w:rFonts w:asciiTheme="majorHAnsi" w:hAnsiTheme="majorHAnsi"/>
                <w:b/>
                <w:sz w:val="20"/>
                <w:szCs w:val="20"/>
              </w:rPr>
              <w:t>2</w:t>
            </w:r>
            <w:r w:rsidR="00722053" w:rsidRPr="00206AE1">
              <w:rPr>
                <w:rFonts w:asciiTheme="majorHAnsi" w:hAnsiTheme="majorHAnsi"/>
                <w:b/>
                <w:sz w:val="20"/>
                <w:szCs w:val="20"/>
              </w:rPr>
              <w:t>72</w:t>
            </w:r>
          </w:p>
        </w:tc>
      </w:tr>
      <w:tr w:rsidR="009A4101" w:rsidRPr="00206AE1" w14:paraId="43CACFE3" w14:textId="77777777" w:rsidTr="00206AE1">
        <w:tc>
          <w:tcPr>
            <w:tcW w:w="1170" w:type="dxa"/>
            <w:tcBorders>
              <w:left w:val="single" w:sz="6" w:space="0" w:color="000000"/>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0076D9D7" w14:textId="17311C89" w:rsidR="001F2C2B" w:rsidRPr="00206AE1" w:rsidRDefault="001F2C2B" w:rsidP="00206AE1">
            <w:pPr>
              <w:pStyle w:val="Normal1"/>
              <w:spacing w:line="276" w:lineRule="auto"/>
              <w:contextualSpacing w:val="0"/>
              <w:jc w:val="center"/>
              <w:rPr>
                <w:rFonts w:asciiTheme="majorHAnsi" w:hAnsiTheme="majorHAnsi"/>
                <w:sz w:val="20"/>
                <w:szCs w:val="20"/>
              </w:rPr>
            </w:pPr>
            <w:r w:rsidRPr="00206AE1">
              <w:rPr>
                <w:rFonts w:asciiTheme="majorHAnsi" w:hAnsiTheme="majorHAnsi"/>
                <w:b/>
                <w:sz w:val="20"/>
                <w:szCs w:val="20"/>
              </w:rPr>
              <w:t>C</w:t>
            </w:r>
            <w:r w:rsidR="00EF657B" w:rsidRPr="00206AE1">
              <w:rPr>
                <w:rFonts w:asciiTheme="majorHAnsi" w:hAnsiTheme="majorHAnsi"/>
                <w:b/>
                <w:sz w:val="20"/>
                <w:szCs w:val="20"/>
              </w:rPr>
              <w:t>Z</w:t>
            </w:r>
            <w:r w:rsidRPr="00206AE1">
              <w:rPr>
                <w:rFonts w:asciiTheme="majorHAnsi" w:hAnsiTheme="majorHAnsi"/>
                <w:b/>
                <w:sz w:val="20"/>
                <w:szCs w:val="20"/>
              </w:rPr>
              <w:t>12</w:t>
            </w:r>
          </w:p>
        </w:tc>
        <w:tc>
          <w:tcPr>
            <w:tcW w:w="1440" w:type="dxa"/>
            <w:tcBorders>
              <w:top w:val="single" w:sz="6" w:space="0" w:color="000000"/>
              <w:left w:val="single" w:sz="6" w:space="0" w:color="000000"/>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27B3A79D" w14:textId="4E8FB684" w:rsidR="001F2C2B" w:rsidRPr="00206AE1" w:rsidRDefault="00BC0AA0" w:rsidP="00206AE1">
            <w:pPr>
              <w:pStyle w:val="Normal1"/>
              <w:spacing w:line="276" w:lineRule="auto"/>
              <w:contextualSpacing w:val="0"/>
              <w:jc w:val="center"/>
              <w:rPr>
                <w:rFonts w:asciiTheme="majorHAnsi" w:hAnsiTheme="majorHAnsi"/>
                <w:b/>
                <w:sz w:val="20"/>
                <w:szCs w:val="20"/>
              </w:rPr>
            </w:pPr>
            <w:r w:rsidRPr="00206AE1">
              <w:rPr>
                <w:rFonts w:asciiTheme="majorHAnsi" w:hAnsiTheme="majorHAnsi"/>
                <w:b/>
                <w:sz w:val="20"/>
                <w:szCs w:val="20"/>
              </w:rPr>
              <w:t>21</w:t>
            </w:r>
          </w:p>
        </w:tc>
        <w:tc>
          <w:tcPr>
            <w:tcW w:w="1440" w:type="dxa"/>
            <w:tcBorders>
              <w:top w:val="single" w:sz="6" w:space="0" w:color="000000"/>
              <w:left w:val="single" w:sz="6" w:space="0" w:color="000000"/>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323203DC" w14:textId="4935FA98" w:rsidR="001F2C2B" w:rsidRPr="00206AE1" w:rsidRDefault="00722053" w:rsidP="00206AE1">
            <w:pPr>
              <w:pStyle w:val="Normal1"/>
              <w:spacing w:line="276" w:lineRule="auto"/>
              <w:contextualSpacing w:val="0"/>
              <w:jc w:val="center"/>
              <w:rPr>
                <w:rFonts w:asciiTheme="majorHAnsi" w:hAnsiTheme="majorHAnsi"/>
                <w:b/>
                <w:sz w:val="20"/>
                <w:szCs w:val="20"/>
              </w:rPr>
            </w:pPr>
            <w:r w:rsidRPr="00206AE1">
              <w:rPr>
                <w:rFonts w:asciiTheme="majorHAnsi" w:hAnsiTheme="majorHAnsi"/>
                <w:b/>
                <w:sz w:val="20"/>
                <w:szCs w:val="20"/>
              </w:rPr>
              <w:t>191</w:t>
            </w:r>
          </w:p>
        </w:tc>
      </w:tr>
      <w:tr w:rsidR="009A4101" w:rsidRPr="00206AE1" w14:paraId="760FE097" w14:textId="77777777" w:rsidTr="00206AE1">
        <w:tc>
          <w:tcPr>
            <w:tcW w:w="1170" w:type="dxa"/>
            <w:tcBorders>
              <w:left w:val="single" w:sz="6" w:space="0" w:color="000000"/>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5695FD72" w14:textId="52206140" w:rsidR="001F2C2B" w:rsidRPr="00206AE1" w:rsidRDefault="001F2C2B" w:rsidP="00206AE1">
            <w:pPr>
              <w:pStyle w:val="Normal1"/>
              <w:spacing w:line="276" w:lineRule="auto"/>
              <w:contextualSpacing w:val="0"/>
              <w:jc w:val="center"/>
              <w:rPr>
                <w:rFonts w:asciiTheme="majorHAnsi" w:hAnsiTheme="majorHAnsi"/>
                <w:sz w:val="20"/>
                <w:szCs w:val="20"/>
              </w:rPr>
            </w:pPr>
            <w:r w:rsidRPr="00206AE1">
              <w:rPr>
                <w:rFonts w:asciiTheme="majorHAnsi" w:hAnsiTheme="majorHAnsi"/>
                <w:b/>
                <w:sz w:val="20"/>
                <w:szCs w:val="20"/>
              </w:rPr>
              <w:t>C</w:t>
            </w:r>
            <w:r w:rsidR="00EF657B" w:rsidRPr="00206AE1">
              <w:rPr>
                <w:rFonts w:asciiTheme="majorHAnsi" w:hAnsiTheme="majorHAnsi"/>
                <w:b/>
                <w:sz w:val="20"/>
                <w:szCs w:val="20"/>
              </w:rPr>
              <w:t>Z</w:t>
            </w:r>
            <w:r w:rsidRPr="00206AE1">
              <w:rPr>
                <w:rFonts w:asciiTheme="majorHAnsi" w:hAnsiTheme="majorHAnsi"/>
                <w:b/>
                <w:sz w:val="20"/>
                <w:szCs w:val="20"/>
              </w:rPr>
              <w:t>13</w:t>
            </w:r>
          </w:p>
        </w:tc>
        <w:tc>
          <w:tcPr>
            <w:tcW w:w="1440" w:type="dxa"/>
            <w:tcBorders>
              <w:top w:val="single" w:sz="6" w:space="0" w:color="000000"/>
              <w:left w:val="single" w:sz="6" w:space="0" w:color="000000"/>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64BD1C17" w14:textId="7A59B440" w:rsidR="001F2C2B" w:rsidRPr="00206AE1" w:rsidRDefault="00BC0AA0" w:rsidP="00206AE1">
            <w:pPr>
              <w:pStyle w:val="Normal1"/>
              <w:spacing w:line="276" w:lineRule="auto"/>
              <w:contextualSpacing w:val="0"/>
              <w:jc w:val="center"/>
              <w:rPr>
                <w:rFonts w:asciiTheme="majorHAnsi" w:hAnsiTheme="majorHAnsi"/>
                <w:b/>
                <w:sz w:val="20"/>
                <w:szCs w:val="20"/>
              </w:rPr>
            </w:pPr>
            <w:r w:rsidRPr="00206AE1">
              <w:rPr>
                <w:rFonts w:asciiTheme="majorHAnsi" w:hAnsiTheme="majorHAnsi"/>
                <w:b/>
                <w:sz w:val="20"/>
                <w:szCs w:val="20"/>
              </w:rPr>
              <w:t>18</w:t>
            </w:r>
          </w:p>
        </w:tc>
        <w:tc>
          <w:tcPr>
            <w:tcW w:w="1440" w:type="dxa"/>
            <w:tcBorders>
              <w:top w:val="single" w:sz="6" w:space="0" w:color="000000"/>
              <w:left w:val="single" w:sz="6" w:space="0" w:color="000000"/>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45EB7C64" w14:textId="1A3BEABF" w:rsidR="001F2C2B" w:rsidRPr="00206AE1" w:rsidRDefault="006944D4" w:rsidP="00206AE1">
            <w:pPr>
              <w:pStyle w:val="Normal1"/>
              <w:spacing w:line="276" w:lineRule="auto"/>
              <w:contextualSpacing w:val="0"/>
              <w:jc w:val="center"/>
              <w:rPr>
                <w:rFonts w:asciiTheme="majorHAnsi" w:hAnsiTheme="majorHAnsi"/>
                <w:b/>
                <w:sz w:val="20"/>
                <w:szCs w:val="20"/>
              </w:rPr>
            </w:pPr>
            <w:r w:rsidRPr="00206AE1">
              <w:rPr>
                <w:rFonts w:asciiTheme="majorHAnsi" w:hAnsiTheme="majorHAnsi"/>
                <w:b/>
                <w:sz w:val="20"/>
                <w:szCs w:val="20"/>
              </w:rPr>
              <w:t>3</w:t>
            </w:r>
            <w:r w:rsidR="00722053" w:rsidRPr="00206AE1">
              <w:rPr>
                <w:rFonts w:asciiTheme="majorHAnsi" w:hAnsiTheme="majorHAnsi"/>
                <w:b/>
                <w:sz w:val="20"/>
                <w:szCs w:val="20"/>
              </w:rPr>
              <w:t>21</w:t>
            </w:r>
          </w:p>
        </w:tc>
      </w:tr>
      <w:tr w:rsidR="009A4101" w:rsidRPr="00206AE1" w14:paraId="0B4ABDFC" w14:textId="77777777" w:rsidTr="00206AE1">
        <w:tc>
          <w:tcPr>
            <w:tcW w:w="1170" w:type="dxa"/>
            <w:tcBorders>
              <w:left w:val="single" w:sz="6" w:space="0" w:color="000000"/>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5A280002" w14:textId="3F3FB7E8" w:rsidR="001F2C2B" w:rsidRPr="00206AE1" w:rsidRDefault="001F2C2B" w:rsidP="00206AE1">
            <w:pPr>
              <w:pStyle w:val="Normal1"/>
              <w:spacing w:line="276" w:lineRule="auto"/>
              <w:contextualSpacing w:val="0"/>
              <w:jc w:val="center"/>
              <w:rPr>
                <w:rFonts w:asciiTheme="majorHAnsi" w:hAnsiTheme="majorHAnsi"/>
                <w:sz w:val="20"/>
                <w:szCs w:val="20"/>
              </w:rPr>
            </w:pPr>
            <w:r w:rsidRPr="00206AE1">
              <w:rPr>
                <w:rFonts w:asciiTheme="majorHAnsi" w:hAnsiTheme="majorHAnsi"/>
                <w:b/>
                <w:sz w:val="20"/>
                <w:szCs w:val="20"/>
              </w:rPr>
              <w:t>C</w:t>
            </w:r>
            <w:r w:rsidR="00EF657B" w:rsidRPr="00206AE1">
              <w:rPr>
                <w:rFonts w:asciiTheme="majorHAnsi" w:hAnsiTheme="majorHAnsi"/>
                <w:b/>
                <w:sz w:val="20"/>
                <w:szCs w:val="20"/>
              </w:rPr>
              <w:t>Z</w:t>
            </w:r>
            <w:r w:rsidRPr="00206AE1">
              <w:rPr>
                <w:rFonts w:asciiTheme="majorHAnsi" w:hAnsiTheme="majorHAnsi"/>
                <w:b/>
                <w:sz w:val="20"/>
                <w:szCs w:val="20"/>
              </w:rPr>
              <w:t>14</w:t>
            </w:r>
          </w:p>
        </w:tc>
        <w:tc>
          <w:tcPr>
            <w:tcW w:w="1440" w:type="dxa"/>
            <w:tcBorders>
              <w:top w:val="single" w:sz="6" w:space="0" w:color="000000"/>
              <w:left w:val="single" w:sz="6" w:space="0" w:color="000000"/>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355F8A0E" w14:textId="5E64F455" w:rsidR="001F2C2B" w:rsidRPr="00206AE1" w:rsidRDefault="00BC0AA0" w:rsidP="00206AE1">
            <w:pPr>
              <w:pStyle w:val="Normal1"/>
              <w:spacing w:line="276" w:lineRule="auto"/>
              <w:contextualSpacing w:val="0"/>
              <w:jc w:val="center"/>
              <w:rPr>
                <w:rFonts w:asciiTheme="majorHAnsi" w:hAnsiTheme="majorHAnsi"/>
                <w:b/>
                <w:sz w:val="20"/>
                <w:szCs w:val="20"/>
              </w:rPr>
            </w:pPr>
            <w:r w:rsidRPr="00206AE1">
              <w:rPr>
                <w:rFonts w:asciiTheme="majorHAnsi" w:hAnsiTheme="majorHAnsi"/>
                <w:b/>
                <w:sz w:val="20"/>
                <w:szCs w:val="20"/>
              </w:rPr>
              <w:t>24</w:t>
            </w:r>
          </w:p>
        </w:tc>
        <w:tc>
          <w:tcPr>
            <w:tcW w:w="1440" w:type="dxa"/>
            <w:tcBorders>
              <w:top w:val="single" w:sz="6" w:space="0" w:color="000000"/>
              <w:left w:val="single" w:sz="6" w:space="0" w:color="000000"/>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2D3FFFF2" w14:textId="4BAF21CF" w:rsidR="001F2C2B" w:rsidRPr="00206AE1" w:rsidRDefault="00722053" w:rsidP="00206AE1">
            <w:pPr>
              <w:pStyle w:val="Normal1"/>
              <w:spacing w:line="276" w:lineRule="auto"/>
              <w:contextualSpacing w:val="0"/>
              <w:jc w:val="center"/>
              <w:rPr>
                <w:rFonts w:asciiTheme="majorHAnsi" w:hAnsiTheme="majorHAnsi"/>
                <w:b/>
                <w:sz w:val="20"/>
                <w:szCs w:val="20"/>
              </w:rPr>
            </w:pPr>
            <w:r w:rsidRPr="00206AE1">
              <w:rPr>
                <w:rFonts w:asciiTheme="majorHAnsi" w:hAnsiTheme="majorHAnsi"/>
                <w:b/>
                <w:sz w:val="20"/>
                <w:szCs w:val="20"/>
              </w:rPr>
              <w:t>284</w:t>
            </w:r>
          </w:p>
        </w:tc>
      </w:tr>
      <w:tr w:rsidR="009A4101" w:rsidRPr="00206AE1" w14:paraId="44847824" w14:textId="77777777" w:rsidTr="00206AE1">
        <w:tc>
          <w:tcPr>
            <w:tcW w:w="1170" w:type="dxa"/>
            <w:tcBorders>
              <w:left w:val="single" w:sz="6" w:space="0" w:color="000000"/>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4D672292" w14:textId="0A7F0917" w:rsidR="001F2C2B" w:rsidRPr="00206AE1" w:rsidRDefault="001F2C2B" w:rsidP="00206AE1">
            <w:pPr>
              <w:pStyle w:val="Normal1"/>
              <w:spacing w:line="276" w:lineRule="auto"/>
              <w:contextualSpacing w:val="0"/>
              <w:jc w:val="center"/>
              <w:rPr>
                <w:rFonts w:asciiTheme="majorHAnsi" w:hAnsiTheme="majorHAnsi"/>
                <w:sz w:val="20"/>
                <w:szCs w:val="20"/>
              </w:rPr>
            </w:pPr>
            <w:r w:rsidRPr="00206AE1">
              <w:rPr>
                <w:rFonts w:asciiTheme="majorHAnsi" w:hAnsiTheme="majorHAnsi"/>
                <w:b/>
                <w:sz w:val="20"/>
                <w:szCs w:val="20"/>
              </w:rPr>
              <w:t>C</w:t>
            </w:r>
            <w:r w:rsidR="00EF657B" w:rsidRPr="00206AE1">
              <w:rPr>
                <w:rFonts w:asciiTheme="majorHAnsi" w:hAnsiTheme="majorHAnsi"/>
                <w:b/>
                <w:sz w:val="20"/>
                <w:szCs w:val="20"/>
              </w:rPr>
              <w:t>Z</w:t>
            </w:r>
            <w:r w:rsidRPr="00206AE1">
              <w:rPr>
                <w:rFonts w:asciiTheme="majorHAnsi" w:hAnsiTheme="majorHAnsi"/>
                <w:b/>
                <w:sz w:val="20"/>
                <w:szCs w:val="20"/>
              </w:rPr>
              <w:t>15</w:t>
            </w:r>
          </w:p>
        </w:tc>
        <w:tc>
          <w:tcPr>
            <w:tcW w:w="1440" w:type="dxa"/>
            <w:tcBorders>
              <w:top w:val="single" w:sz="6" w:space="0" w:color="000000"/>
              <w:left w:val="single" w:sz="6" w:space="0" w:color="000000"/>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66452FDE" w14:textId="61FE4F19" w:rsidR="001F2C2B" w:rsidRPr="00206AE1" w:rsidRDefault="00BC0AA0" w:rsidP="00206AE1">
            <w:pPr>
              <w:pStyle w:val="Normal1"/>
              <w:spacing w:line="276" w:lineRule="auto"/>
              <w:contextualSpacing w:val="0"/>
              <w:jc w:val="center"/>
              <w:rPr>
                <w:rFonts w:asciiTheme="majorHAnsi" w:hAnsiTheme="majorHAnsi"/>
                <w:b/>
                <w:sz w:val="20"/>
                <w:szCs w:val="20"/>
              </w:rPr>
            </w:pPr>
            <w:r w:rsidRPr="00206AE1">
              <w:rPr>
                <w:rFonts w:asciiTheme="majorHAnsi" w:hAnsiTheme="majorHAnsi"/>
                <w:b/>
                <w:sz w:val="20"/>
                <w:szCs w:val="20"/>
              </w:rPr>
              <w:t>7</w:t>
            </w:r>
          </w:p>
        </w:tc>
        <w:tc>
          <w:tcPr>
            <w:tcW w:w="1440" w:type="dxa"/>
            <w:tcBorders>
              <w:top w:val="single" w:sz="6" w:space="0" w:color="000000"/>
              <w:left w:val="single" w:sz="6" w:space="0" w:color="000000"/>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074A329D" w14:textId="4820F9B6" w:rsidR="001F2C2B" w:rsidRPr="00206AE1" w:rsidRDefault="00722053" w:rsidP="00206AE1">
            <w:pPr>
              <w:pStyle w:val="Normal1"/>
              <w:spacing w:line="276" w:lineRule="auto"/>
              <w:contextualSpacing w:val="0"/>
              <w:jc w:val="center"/>
              <w:rPr>
                <w:rFonts w:asciiTheme="majorHAnsi" w:hAnsiTheme="majorHAnsi"/>
                <w:b/>
                <w:sz w:val="20"/>
                <w:szCs w:val="20"/>
              </w:rPr>
            </w:pPr>
            <w:r w:rsidRPr="00206AE1">
              <w:rPr>
                <w:rFonts w:asciiTheme="majorHAnsi" w:hAnsiTheme="majorHAnsi"/>
                <w:b/>
                <w:sz w:val="20"/>
                <w:szCs w:val="20"/>
              </w:rPr>
              <w:t>379</w:t>
            </w:r>
          </w:p>
        </w:tc>
      </w:tr>
      <w:tr w:rsidR="009A4101" w:rsidRPr="00206AE1" w14:paraId="326FAFD8" w14:textId="77777777" w:rsidTr="00206AE1">
        <w:tc>
          <w:tcPr>
            <w:tcW w:w="1170" w:type="dxa"/>
            <w:tcBorders>
              <w:left w:val="single" w:sz="6" w:space="0" w:color="000000"/>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2901E561" w14:textId="468C679C" w:rsidR="001F2C2B" w:rsidRPr="00206AE1" w:rsidRDefault="001F2C2B" w:rsidP="00206AE1">
            <w:pPr>
              <w:pStyle w:val="Normal1"/>
              <w:spacing w:line="276" w:lineRule="auto"/>
              <w:contextualSpacing w:val="0"/>
              <w:jc w:val="center"/>
              <w:rPr>
                <w:rFonts w:asciiTheme="majorHAnsi" w:hAnsiTheme="majorHAnsi"/>
                <w:sz w:val="20"/>
                <w:szCs w:val="20"/>
              </w:rPr>
            </w:pPr>
            <w:r w:rsidRPr="00206AE1">
              <w:rPr>
                <w:rFonts w:asciiTheme="majorHAnsi" w:hAnsiTheme="majorHAnsi"/>
                <w:b/>
                <w:sz w:val="20"/>
                <w:szCs w:val="20"/>
              </w:rPr>
              <w:t>C</w:t>
            </w:r>
            <w:r w:rsidR="00EF657B" w:rsidRPr="00206AE1">
              <w:rPr>
                <w:rFonts w:asciiTheme="majorHAnsi" w:hAnsiTheme="majorHAnsi"/>
                <w:b/>
                <w:sz w:val="20"/>
                <w:szCs w:val="20"/>
              </w:rPr>
              <w:t>Z</w:t>
            </w:r>
            <w:r w:rsidRPr="00206AE1">
              <w:rPr>
                <w:rFonts w:asciiTheme="majorHAnsi" w:hAnsiTheme="majorHAnsi"/>
                <w:b/>
                <w:sz w:val="20"/>
                <w:szCs w:val="20"/>
              </w:rPr>
              <w:t>16</w:t>
            </w:r>
          </w:p>
        </w:tc>
        <w:tc>
          <w:tcPr>
            <w:tcW w:w="1440" w:type="dxa"/>
            <w:tcBorders>
              <w:top w:val="single" w:sz="6" w:space="0" w:color="000000"/>
              <w:left w:val="single" w:sz="6" w:space="0" w:color="000000"/>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775C9F48" w14:textId="742D5356" w:rsidR="001F2C2B" w:rsidRPr="00206AE1" w:rsidRDefault="00BC0AA0" w:rsidP="00206AE1">
            <w:pPr>
              <w:pStyle w:val="Normal1"/>
              <w:spacing w:line="276" w:lineRule="auto"/>
              <w:contextualSpacing w:val="0"/>
              <w:jc w:val="center"/>
              <w:rPr>
                <w:rFonts w:asciiTheme="majorHAnsi" w:hAnsiTheme="majorHAnsi"/>
                <w:b/>
                <w:sz w:val="20"/>
                <w:szCs w:val="20"/>
              </w:rPr>
            </w:pPr>
            <w:r w:rsidRPr="00206AE1">
              <w:rPr>
                <w:rFonts w:asciiTheme="majorHAnsi" w:hAnsiTheme="majorHAnsi"/>
                <w:b/>
                <w:sz w:val="20"/>
                <w:szCs w:val="20"/>
              </w:rPr>
              <w:t>53</w:t>
            </w:r>
          </w:p>
        </w:tc>
        <w:tc>
          <w:tcPr>
            <w:tcW w:w="1440" w:type="dxa"/>
            <w:tcBorders>
              <w:top w:val="single" w:sz="6" w:space="0" w:color="000000"/>
              <w:left w:val="single" w:sz="6" w:space="0" w:color="000000"/>
              <w:bottom w:val="single" w:sz="6" w:space="0" w:color="000000"/>
              <w:right w:val="single" w:sz="6" w:space="0" w:color="000000"/>
            </w:tcBorders>
            <w:shd w:val="clear" w:color="auto" w:fill="FFFFFF" w:themeFill="background1"/>
            <w:tcMar>
              <w:top w:w="40" w:type="dxa"/>
              <w:left w:w="40" w:type="dxa"/>
              <w:bottom w:w="40" w:type="dxa"/>
              <w:right w:w="40" w:type="dxa"/>
            </w:tcMar>
            <w:vAlign w:val="bottom"/>
          </w:tcPr>
          <w:p w14:paraId="37577D53" w14:textId="27E2A81B" w:rsidR="001F2C2B" w:rsidRPr="00206AE1" w:rsidRDefault="00722053" w:rsidP="00206AE1">
            <w:pPr>
              <w:pStyle w:val="Normal1"/>
              <w:spacing w:line="276" w:lineRule="auto"/>
              <w:contextualSpacing w:val="0"/>
              <w:jc w:val="center"/>
              <w:rPr>
                <w:rFonts w:asciiTheme="majorHAnsi" w:hAnsiTheme="majorHAnsi"/>
                <w:b/>
                <w:sz w:val="20"/>
                <w:szCs w:val="20"/>
              </w:rPr>
            </w:pPr>
            <w:r w:rsidRPr="00206AE1">
              <w:rPr>
                <w:rFonts w:asciiTheme="majorHAnsi" w:hAnsiTheme="majorHAnsi"/>
                <w:b/>
                <w:sz w:val="20"/>
                <w:szCs w:val="20"/>
              </w:rPr>
              <w:t>190</w:t>
            </w:r>
          </w:p>
        </w:tc>
      </w:tr>
    </w:tbl>
    <w:p w14:paraId="7004EA6A" w14:textId="77777777" w:rsidR="0056623A" w:rsidRDefault="0056623A">
      <w:pPr>
        <w:pStyle w:val="Normal1"/>
        <w:spacing w:line="276" w:lineRule="auto"/>
      </w:pPr>
    </w:p>
    <w:p w14:paraId="7B07020B" w14:textId="77777777" w:rsidR="00576C8C" w:rsidRDefault="007173B2">
      <w:pPr>
        <w:pStyle w:val="Normal1"/>
        <w:spacing w:line="276" w:lineRule="auto"/>
      </w:pPr>
      <w:r>
        <w:rPr>
          <w:b/>
          <w:sz w:val="28"/>
          <w:szCs w:val="28"/>
        </w:rPr>
        <w:t>3.3 Comparison of Results to Prominent Independent Smart Thermostat Evaluations</w:t>
      </w:r>
    </w:p>
    <w:p w14:paraId="5E08A455" w14:textId="14657EA4" w:rsidR="00BB66ED" w:rsidRDefault="007173B2">
      <w:pPr>
        <w:pStyle w:val="Normal1"/>
        <w:spacing w:line="276" w:lineRule="auto"/>
      </w:pPr>
      <w:r>
        <w:t>The table below</w:t>
      </w:r>
      <w:r w:rsidR="00DD6364">
        <w:t xml:space="preserve"> was compiled</w:t>
      </w:r>
      <w:r w:rsidR="00B51345">
        <w:t xml:space="preserve"> by the IOU’s after extensive review of all smart thermostat studies that have been completed</w:t>
      </w:r>
      <w:r w:rsidR="008157E7">
        <w:t xml:space="preserve"> (Attachment 6)</w:t>
      </w:r>
      <w:r w:rsidR="00B51345">
        <w:t xml:space="preserve"> The studies below were selected as meaningful and relevant comparison studies and</w:t>
      </w:r>
      <w:r>
        <w:t xml:space="preserve"> show the estimated percentage of HVAC savings resulting from the analysis in this work paper compared against the savings percentages estimated in well-regarded third party studies of smart thermostats in other jurisdictions across the U.S. The estimates for this work paper are well within a reasonable range of savings estimates compared to these other studies.</w:t>
      </w:r>
    </w:p>
    <w:p w14:paraId="3394340F" w14:textId="77777777" w:rsidR="003301AD" w:rsidRDefault="003301AD">
      <w:pPr>
        <w:pStyle w:val="Normal1"/>
        <w:spacing w:line="276" w:lineRule="auto"/>
      </w:pPr>
    </w:p>
    <w:p w14:paraId="62FED63C" w14:textId="77777777" w:rsidR="003301AD" w:rsidRDefault="003301AD">
      <w:pPr>
        <w:pStyle w:val="Normal1"/>
        <w:spacing w:line="276" w:lineRule="auto"/>
      </w:pPr>
    </w:p>
    <w:p w14:paraId="656D9DBA" w14:textId="77777777" w:rsidR="003301AD" w:rsidRDefault="003301AD">
      <w:pPr>
        <w:pStyle w:val="Normal1"/>
        <w:spacing w:line="276" w:lineRule="auto"/>
      </w:pPr>
    </w:p>
    <w:p w14:paraId="3948D1EC" w14:textId="77777777" w:rsidR="003301AD" w:rsidRDefault="003301AD">
      <w:pPr>
        <w:pStyle w:val="Normal1"/>
        <w:spacing w:line="276" w:lineRule="auto"/>
      </w:pPr>
    </w:p>
    <w:p w14:paraId="02861AD5" w14:textId="77777777" w:rsidR="00662C95" w:rsidRDefault="00662C95">
      <w:pPr>
        <w:pStyle w:val="Normal1"/>
        <w:spacing w:line="276" w:lineRule="auto"/>
      </w:pPr>
    </w:p>
    <w:tbl>
      <w:tblPr>
        <w:tblW w:w="10530" w:type="dxa"/>
        <w:tblCellSpacing w:w="0" w:type="dxa"/>
        <w:tblInd w:w="-548" w:type="dxa"/>
        <w:shd w:val="clear" w:color="auto" w:fill="FFFFFF" w:themeFill="background1"/>
        <w:tblLayout w:type="fixed"/>
        <w:tblCellMar>
          <w:left w:w="0" w:type="dxa"/>
          <w:right w:w="0" w:type="dxa"/>
        </w:tblCellMar>
        <w:tblLook w:val="04A0" w:firstRow="1" w:lastRow="0" w:firstColumn="1" w:lastColumn="0" w:noHBand="0" w:noVBand="1"/>
      </w:tblPr>
      <w:tblGrid>
        <w:gridCol w:w="2160"/>
        <w:gridCol w:w="900"/>
        <w:gridCol w:w="986"/>
        <w:gridCol w:w="1317"/>
        <w:gridCol w:w="1071"/>
        <w:gridCol w:w="1418"/>
        <w:gridCol w:w="1598"/>
        <w:gridCol w:w="1080"/>
      </w:tblGrid>
      <w:tr w:rsidR="000501B1" w:rsidRPr="00206AE1" w14:paraId="6D93113B" w14:textId="77777777" w:rsidTr="00BA60A0">
        <w:trPr>
          <w:trHeight w:val="315"/>
          <w:tblHeader/>
          <w:tblCellSpacing w:w="0" w:type="dxa"/>
        </w:trPr>
        <w:tc>
          <w:tcPr>
            <w:tcW w:w="2160"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30" w:type="dxa"/>
              <w:left w:w="45" w:type="dxa"/>
              <w:bottom w:w="30" w:type="dxa"/>
              <w:right w:w="45" w:type="dxa"/>
            </w:tcMar>
            <w:hideMark/>
          </w:tcPr>
          <w:p w14:paraId="55BEF86E" w14:textId="77777777" w:rsidR="000501B1" w:rsidRPr="00206AE1" w:rsidRDefault="000501B1" w:rsidP="000501B1">
            <w:pPr>
              <w:rPr>
                <w:rFonts w:asciiTheme="majorHAnsi" w:eastAsia="Times New Roman" w:hAnsiTheme="majorHAnsi" w:cs="Arial"/>
                <w:b/>
                <w:bCs/>
                <w:color w:val="auto"/>
                <w:sz w:val="20"/>
                <w:szCs w:val="20"/>
              </w:rPr>
            </w:pPr>
            <w:r w:rsidRPr="00206AE1">
              <w:rPr>
                <w:rFonts w:asciiTheme="majorHAnsi" w:eastAsia="Times New Roman" w:hAnsiTheme="majorHAnsi" w:cs="Arial"/>
                <w:b/>
                <w:bCs/>
                <w:color w:val="auto"/>
                <w:sz w:val="20"/>
                <w:szCs w:val="20"/>
              </w:rPr>
              <w:lastRenderedPageBreak/>
              <w:t>Study Title</w:t>
            </w:r>
          </w:p>
        </w:tc>
        <w:tc>
          <w:tcPr>
            <w:tcW w:w="900" w:type="dxa"/>
            <w:tcBorders>
              <w:top w:val="single" w:sz="6" w:space="0" w:color="000000"/>
              <w:bottom w:val="single" w:sz="6" w:space="0" w:color="000000"/>
              <w:right w:val="single" w:sz="6" w:space="0" w:color="000000"/>
            </w:tcBorders>
            <w:shd w:val="clear" w:color="auto" w:fill="D9D9D9" w:themeFill="background1" w:themeFillShade="D9"/>
            <w:tcMar>
              <w:top w:w="30" w:type="dxa"/>
              <w:left w:w="45" w:type="dxa"/>
              <w:bottom w:w="30" w:type="dxa"/>
              <w:right w:w="45" w:type="dxa"/>
            </w:tcMar>
            <w:hideMark/>
          </w:tcPr>
          <w:p w14:paraId="1A4D8627" w14:textId="77777777" w:rsidR="000501B1" w:rsidRPr="00206AE1" w:rsidRDefault="000501B1" w:rsidP="000501B1">
            <w:pPr>
              <w:rPr>
                <w:rFonts w:asciiTheme="majorHAnsi" w:eastAsia="Times New Roman" w:hAnsiTheme="majorHAnsi" w:cs="Arial"/>
                <w:b/>
                <w:bCs/>
                <w:color w:val="auto"/>
                <w:sz w:val="20"/>
                <w:szCs w:val="20"/>
              </w:rPr>
            </w:pPr>
            <w:r w:rsidRPr="00206AE1">
              <w:rPr>
                <w:rFonts w:asciiTheme="majorHAnsi" w:eastAsia="Times New Roman" w:hAnsiTheme="majorHAnsi" w:cs="Arial"/>
                <w:b/>
                <w:bCs/>
                <w:color w:val="auto"/>
                <w:sz w:val="20"/>
                <w:szCs w:val="20"/>
              </w:rPr>
              <w:t>Study Location</w:t>
            </w:r>
          </w:p>
        </w:tc>
        <w:tc>
          <w:tcPr>
            <w:tcW w:w="986" w:type="dxa"/>
            <w:tcBorders>
              <w:top w:val="single" w:sz="6" w:space="0" w:color="000000"/>
              <w:bottom w:val="single" w:sz="6" w:space="0" w:color="000000"/>
              <w:right w:val="single" w:sz="6" w:space="0" w:color="000000"/>
            </w:tcBorders>
            <w:shd w:val="clear" w:color="auto" w:fill="D9D9D9" w:themeFill="background1" w:themeFillShade="D9"/>
            <w:tcMar>
              <w:top w:w="30" w:type="dxa"/>
              <w:left w:w="45" w:type="dxa"/>
              <w:bottom w:w="30" w:type="dxa"/>
              <w:right w:w="45" w:type="dxa"/>
            </w:tcMar>
            <w:hideMark/>
          </w:tcPr>
          <w:p w14:paraId="2B20591D" w14:textId="77777777" w:rsidR="000501B1" w:rsidRPr="00206AE1" w:rsidRDefault="000501B1" w:rsidP="000501B1">
            <w:pPr>
              <w:rPr>
                <w:rFonts w:asciiTheme="majorHAnsi" w:eastAsia="Times New Roman" w:hAnsiTheme="majorHAnsi" w:cs="Arial"/>
                <w:b/>
                <w:bCs/>
                <w:color w:val="auto"/>
                <w:sz w:val="20"/>
                <w:szCs w:val="20"/>
              </w:rPr>
            </w:pPr>
            <w:r w:rsidRPr="00206AE1">
              <w:rPr>
                <w:rFonts w:asciiTheme="majorHAnsi" w:eastAsia="Times New Roman" w:hAnsiTheme="majorHAnsi" w:cs="Arial"/>
                <w:b/>
                <w:bCs/>
                <w:color w:val="auto"/>
                <w:sz w:val="20"/>
                <w:szCs w:val="20"/>
              </w:rPr>
              <w:t>Study Sponsor</w:t>
            </w:r>
          </w:p>
        </w:tc>
        <w:tc>
          <w:tcPr>
            <w:tcW w:w="1317" w:type="dxa"/>
            <w:tcBorders>
              <w:top w:val="single" w:sz="6" w:space="0" w:color="000000"/>
              <w:bottom w:val="single" w:sz="6" w:space="0" w:color="000000"/>
              <w:right w:val="single" w:sz="6" w:space="0" w:color="000000"/>
            </w:tcBorders>
            <w:shd w:val="clear" w:color="auto" w:fill="D9D9D9" w:themeFill="background1" w:themeFillShade="D9"/>
            <w:tcMar>
              <w:top w:w="30" w:type="dxa"/>
              <w:left w:w="45" w:type="dxa"/>
              <w:bottom w:w="30" w:type="dxa"/>
              <w:right w:w="45" w:type="dxa"/>
            </w:tcMar>
            <w:hideMark/>
          </w:tcPr>
          <w:p w14:paraId="13078A4D" w14:textId="77777777" w:rsidR="000501B1" w:rsidRPr="00206AE1" w:rsidRDefault="000501B1" w:rsidP="000501B1">
            <w:pPr>
              <w:rPr>
                <w:rFonts w:asciiTheme="majorHAnsi" w:eastAsia="Times New Roman" w:hAnsiTheme="majorHAnsi" w:cs="Arial"/>
                <w:b/>
                <w:bCs/>
                <w:color w:val="auto"/>
                <w:sz w:val="20"/>
                <w:szCs w:val="20"/>
              </w:rPr>
            </w:pPr>
            <w:r w:rsidRPr="00206AE1">
              <w:rPr>
                <w:rFonts w:asciiTheme="majorHAnsi" w:eastAsia="Times New Roman" w:hAnsiTheme="majorHAnsi" w:cs="Arial"/>
                <w:b/>
                <w:bCs/>
                <w:color w:val="auto"/>
                <w:sz w:val="20"/>
                <w:szCs w:val="20"/>
              </w:rPr>
              <w:t>Author</w:t>
            </w:r>
          </w:p>
        </w:tc>
        <w:tc>
          <w:tcPr>
            <w:tcW w:w="1071" w:type="dxa"/>
            <w:tcBorders>
              <w:top w:val="single" w:sz="6" w:space="0" w:color="000000"/>
              <w:bottom w:val="single" w:sz="6" w:space="0" w:color="000000"/>
              <w:right w:val="single" w:sz="6" w:space="0" w:color="000000"/>
            </w:tcBorders>
            <w:shd w:val="clear" w:color="auto" w:fill="D9D9D9" w:themeFill="background1" w:themeFillShade="D9"/>
            <w:tcMar>
              <w:top w:w="30" w:type="dxa"/>
              <w:left w:w="45" w:type="dxa"/>
              <w:bottom w:w="30" w:type="dxa"/>
              <w:right w:w="45" w:type="dxa"/>
            </w:tcMar>
            <w:hideMark/>
          </w:tcPr>
          <w:p w14:paraId="23515A81" w14:textId="77777777" w:rsidR="000501B1" w:rsidRPr="00206AE1" w:rsidRDefault="000501B1" w:rsidP="000501B1">
            <w:pPr>
              <w:rPr>
                <w:rFonts w:asciiTheme="majorHAnsi" w:eastAsia="Times New Roman" w:hAnsiTheme="majorHAnsi" w:cs="Arial"/>
                <w:b/>
                <w:bCs/>
                <w:color w:val="auto"/>
                <w:sz w:val="20"/>
                <w:szCs w:val="20"/>
              </w:rPr>
            </w:pPr>
            <w:r w:rsidRPr="00206AE1">
              <w:rPr>
                <w:rFonts w:asciiTheme="majorHAnsi" w:eastAsia="Times New Roman" w:hAnsiTheme="majorHAnsi" w:cs="Arial"/>
                <w:b/>
                <w:bCs/>
                <w:color w:val="auto"/>
                <w:sz w:val="20"/>
                <w:szCs w:val="20"/>
              </w:rPr>
              <w:t>Publish Date</w:t>
            </w:r>
          </w:p>
        </w:tc>
        <w:tc>
          <w:tcPr>
            <w:tcW w:w="1418" w:type="dxa"/>
            <w:tcBorders>
              <w:top w:val="single" w:sz="6" w:space="0" w:color="000000"/>
              <w:bottom w:val="single" w:sz="6" w:space="0" w:color="000000"/>
              <w:right w:val="single" w:sz="6" w:space="0" w:color="000000"/>
            </w:tcBorders>
            <w:shd w:val="clear" w:color="auto" w:fill="D9D9D9" w:themeFill="background1" w:themeFillShade="D9"/>
            <w:tcMar>
              <w:top w:w="30" w:type="dxa"/>
              <w:left w:w="45" w:type="dxa"/>
              <w:bottom w:w="30" w:type="dxa"/>
              <w:right w:w="45" w:type="dxa"/>
            </w:tcMar>
            <w:hideMark/>
          </w:tcPr>
          <w:p w14:paraId="0309D8FD" w14:textId="77777777" w:rsidR="000501B1" w:rsidRPr="00206AE1" w:rsidRDefault="000501B1" w:rsidP="000501B1">
            <w:pPr>
              <w:rPr>
                <w:rFonts w:asciiTheme="majorHAnsi" w:eastAsia="Times New Roman" w:hAnsiTheme="majorHAnsi" w:cs="Arial"/>
                <w:b/>
                <w:bCs/>
                <w:color w:val="auto"/>
                <w:sz w:val="20"/>
                <w:szCs w:val="20"/>
              </w:rPr>
            </w:pPr>
            <w:r w:rsidRPr="00206AE1">
              <w:rPr>
                <w:rFonts w:asciiTheme="majorHAnsi" w:eastAsia="Times New Roman" w:hAnsiTheme="majorHAnsi" w:cs="Arial"/>
                <w:b/>
                <w:bCs/>
                <w:color w:val="auto"/>
                <w:sz w:val="20"/>
                <w:szCs w:val="20"/>
              </w:rPr>
              <w:t>Heating Savings</w:t>
            </w:r>
          </w:p>
        </w:tc>
        <w:tc>
          <w:tcPr>
            <w:tcW w:w="1598" w:type="dxa"/>
            <w:tcBorders>
              <w:top w:val="single" w:sz="6" w:space="0" w:color="000000"/>
              <w:bottom w:val="single" w:sz="6" w:space="0" w:color="000000"/>
              <w:right w:val="single" w:sz="6" w:space="0" w:color="000000"/>
            </w:tcBorders>
            <w:shd w:val="clear" w:color="auto" w:fill="D9D9D9" w:themeFill="background1" w:themeFillShade="D9"/>
            <w:tcMar>
              <w:top w:w="30" w:type="dxa"/>
              <w:left w:w="45" w:type="dxa"/>
              <w:bottom w:w="30" w:type="dxa"/>
              <w:right w:w="45" w:type="dxa"/>
            </w:tcMar>
            <w:hideMark/>
          </w:tcPr>
          <w:p w14:paraId="2BD61862" w14:textId="77777777" w:rsidR="000501B1" w:rsidRPr="00206AE1" w:rsidRDefault="000501B1" w:rsidP="000501B1">
            <w:pPr>
              <w:rPr>
                <w:rFonts w:asciiTheme="majorHAnsi" w:eastAsia="Times New Roman" w:hAnsiTheme="majorHAnsi" w:cs="Arial"/>
                <w:b/>
                <w:bCs/>
                <w:color w:val="auto"/>
                <w:sz w:val="20"/>
                <w:szCs w:val="20"/>
              </w:rPr>
            </w:pPr>
            <w:r w:rsidRPr="00206AE1">
              <w:rPr>
                <w:rFonts w:asciiTheme="majorHAnsi" w:eastAsia="Times New Roman" w:hAnsiTheme="majorHAnsi" w:cs="Arial"/>
                <w:b/>
                <w:bCs/>
                <w:color w:val="auto"/>
                <w:sz w:val="20"/>
                <w:szCs w:val="20"/>
              </w:rPr>
              <w:t>Cooling Savings</w:t>
            </w:r>
          </w:p>
        </w:tc>
        <w:tc>
          <w:tcPr>
            <w:tcW w:w="1080" w:type="dxa"/>
            <w:tcBorders>
              <w:top w:val="single" w:sz="6" w:space="0" w:color="000000"/>
              <w:bottom w:val="single" w:sz="6" w:space="0" w:color="000000"/>
              <w:right w:val="single" w:sz="6" w:space="0" w:color="000000"/>
            </w:tcBorders>
            <w:shd w:val="clear" w:color="auto" w:fill="D9D9D9" w:themeFill="background1" w:themeFillShade="D9"/>
            <w:tcMar>
              <w:top w:w="30" w:type="dxa"/>
              <w:left w:w="45" w:type="dxa"/>
              <w:bottom w:w="30" w:type="dxa"/>
              <w:right w:w="45" w:type="dxa"/>
            </w:tcMar>
            <w:hideMark/>
          </w:tcPr>
          <w:p w14:paraId="4F724377" w14:textId="77777777" w:rsidR="000501B1" w:rsidRPr="00206AE1" w:rsidRDefault="000501B1" w:rsidP="000501B1">
            <w:pPr>
              <w:rPr>
                <w:rFonts w:asciiTheme="majorHAnsi" w:eastAsia="Times New Roman" w:hAnsiTheme="majorHAnsi" w:cs="Arial"/>
                <w:b/>
                <w:bCs/>
                <w:color w:val="auto"/>
                <w:sz w:val="20"/>
                <w:szCs w:val="20"/>
              </w:rPr>
            </w:pPr>
            <w:r w:rsidRPr="00206AE1">
              <w:rPr>
                <w:rFonts w:asciiTheme="majorHAnsi" w:eastAsia="Times New Roman" w:hAnsiTheme="majorHAnsi" w:cs="Arial"/>
                <w:b/>
                <w:bCs/>
                <w:color w:val="auto"/>
                <w:sz w:val="20"/>
                <w:szCs w:val="20"/>
              </w:rPr>
              <w:t>Coincident Demand Savings</w:t>
            </w:r>
          </w:p>
        </w:tc>
      </w:tr>
      <w:tr w:rsidR="000501B1" w:rsidRPr="00206AE1" w14:paraId="4ECC32F9" w14:textId="77777777" w:rsidTr="00BA60A0">
        <w:trPr>
          <w:trHeight w:val="315"/>
          <w:tblCellSpacing w:w="0" w:type="dxa"/>
        </w:trPr>
        <w:tc>
          <w:tcPr>
            <w:tcW w:w="2160" w:type="dxa"/>
            <w:tcBorders>
              <w:left w:val="single" w:sz="6" w:space="0" w:color="000000"/>
              <w:bottom w:val="single" w:sz="6" w:space="0" w:color="000000"/>
              <w:right w:val="single" w:sz="6" w:space="0" w:color="000000"/>
            </w:tcBorders>
            <w:shd w:val="clear" w:color="auto" w:fill="FFFFFF" w:themeFill="background1"/>
            <w:tcMar>
              <w:top w:w="30" w:type="dxa"/>
              <w:left w:w="45" w:type="dxa"/>
              <w:bottom w:w="30" w:type="dxa"/>
              <w:right w:w="45" w:type="dxa"/>
            </w:tcMar>
          </w:tcPr>
          <w:p w14:paraId="7DA9FF55" w14:textId="0ADA7BDA" w:rsidR="000501B1" w:rsidRPr="00206AE1" w:rsidRDefault="00895012" w:rsidP="000501B1">
            <w:pPr>
              <w:rPr>
                <w:rFonts w:asciiTheme="majorHAnsi" w:eastAsia="Times New Roman" w:hAnsiTheme="majorHAnsi" w:cs="Times New Roman"/>
                <w:b/>
                <w:color w:val="auto"/>
                <w:sz w:val="20"/>
                <w:szCs w:val="20"/>
              </w:rPr>
            </w:pPr>
            <w:r w:rsidRPr="00206AE1">
              <w:rPr>
                <w:rFonts w:asciiTheme="majorHAnsi" w:eastAsia="Times New Roman" w:hAnsiTheme="majorHAnsi" w:cs="Times New Roman"/>
                <w:b/>
                <w:color w:val="auto"/>
                <w:sz w:val="20"/>
                <w:szCs w:val="20"/>
              </w:rPr>
              <w:t>PG&amp;E Smart Thermostat Study: First Year Findings</w:t>
            </w:r>
          </w:p>
        </w:tc>
        <w:tc>
          <w:tcPr>
            <w:tcW w:w="900" w:type="dxa"/>
            <w:tcBorders>
              <w:bottom w:val="single" w:sz="6" w:space="0" w:color="000000"/>
              <w:right w:val="single" w:sz="6" w:space="0" w:color="000000"/>
            </w:tcBorders>
            <w:shd w:val="clear" w:color="auto" w:fill="FFFFFF" w:themeFill="background1"/>
            <w:tcMar>
              <w:top w:w="30" w:type="dxa"/>
              <w:left w:w="45" w:type="dxa"/>
              <w:bottom w:w="30" w:type="dxa"/>
              <w:right w:w="45" w:type="dxa"/>
            </w:tcMar>
          </w:tcPr>
          <w:p w14:paraId="7DB54FF8" w14:textId="553FD551" w:rsidR="000501B1" w:rsidRPr="00206AE1" w:rsidRDefault="00895012" w:rsidP="000501B1">
            <w:pPr>
              <w:rPr>
                <w:rFonts w:asciiTheme="majorHAnsi" w:eastAsia="Times New Roman" w:hAnsiTheme="majorHAnsi" w:cs="Arial"/>
                <w:color w:val="auto"/>
                <w:sz w:val="20"/>
                <w:szCs w:val="20"/>
              </w:rPr>
            </w:pPr>
            <w:r w:rsidRPr="00206AE1">
              <w:rPr>
                <w:rFonts w:asciiTheme="majorHAnsi" w:eastAsia="Times New Roman" w:hAnsiTheme="majorHAnsi" w:cs="Arial"/>
                <w:color w:val="auto"/>
                <w:sz w:val="20"/>
                <w:szCs w:val="20"/>
              </w:rPr>
              <w:t>California</w:t>
            </w:r>
          </w:p>
        </w:tc>
        <w:tc>
          <w:tcPr>
            <w:tcW w:w="986" w:type="dxa"/>
            <w:tcBorders>
              <w:bottom w:val="single" w:sz="6" w:space="0" w:color="000000"/>
              <w:right w:val="single" w:sz="6" w:space="0" w:color="000000"/>
            </w:tcBorders>
            <w:shd w:val="clear" w:color="auto" w:fill="FFFFFF" w:themeFill="background1"/>
            <w:tcMar>
              <w:top w:w="30" w:type="dxa"/>
              <w:left w:w="45" w:type="dxa"/>
              <w:bottom w:w="30" w:type="dxa"/>
              <w:right w:w="45" w:type="dxa"/>
            </w:tcMar>
          </w:tcPr>
          <w:p w14:paraId="2FC9D31B" w14:textId="0A5E6B5D" w:rsidR="000501B1" w:rsidRPr="00206AE1" w:rsidRDefault="00CD4F89" w:rsidP="000501B1">
            <w:pPr>
              <w:rPr>
                <w:rFonts w:asciiTheme="majorHAnsi" w:eastAsia="Times New Roman" w:hAnsiTheme="majorHAnsi" w:cs="Arial"/>
                <w:color w:val="auto"/>
                <w:sz w:val="20"/>
                <w:szCs w:val="20"/>
              </w:rPr>
            </w:pPr>
            <w:r w:rsidRPr="00206AE1">
              <w:rPr>
                <w:rFonts w:asciiTheme="majorHAnsi" w:eastAsia="Times New Roman" w:hAnsiTheme="majorHAnsi" w:cs="Arial"/>
                <w:color w:val="auto"/>
                <w:sz w:val="20"/>
                <w:szCs w:val="20"/>
              </w:rPr>
              <w:t>Pacific Gas and Electric</w:t>
            </w:r>
          </w:p>
        </w:tc>
        <w:tc>
          <w:tcPr>
            <w:tcW w:w="1317" w:type="dxa"/>
            <w:tcBorders>
              <w:bottom w:val="single" w:sz="6" w:space="0" w:color="000000"/>
              <w:right w:val="single" w:sz="6" w:space="0" w:color="000000"/>
            </w:tcBorders>
            <w:shd w:val="clear" w:color="auto" w:fill="FFFFFF" w:themeFill="background1"/>
            <w:tcMar>
              <w:top w:w="30" w:type="dxa"/>
              <w:left w:w="45" w:type="dxa"/>
              <w:bottom w:w="30" w:type="dxa"/>
              <w:right w:w="45" w:type="dxa"/>
            </w:tcMar>
          </w:tcPr>
          <w:p w14:paraId="6CB48FF1" w14:textId="624CC80F" w:rsidR="000501B1" w:rsidRPr="00206AE1" w:rsidRDefault="003730EF" w:rsidP="000501B1">
            <w:pPr>
              <w:rPr>
                <w:rFonts w:asciiTheme="majorHAnsi" w:eastAsia="Times New Roman" w:hAnsiTheme="majorHAnsi" w:cs="Arial"/>
                <w:color w:val="auto"/>
                <w:sz w:val="20"/>
                <w:szCs w:val="20"/>
              </w:rPr>
            </w:pPr>
            <w:r w:rsidRPr="00206AE1">
              <w:rPr>
                <w:rFonts w:asciiTheme="majorHAnsi" w:eastAsia="Times New Roman" w:hAnsiTheme="majorHAnsi" w:cs="Arial"/>
                <w:color w:val="auto"/>
                <w:sz w:val="20"/>
                <w:szCs w:val="20"/>
              </w:rPr>
              <w:t>Applied Energy Group</w:t>
            </w:r>
          </w:p>
        </w:tc>
        <w:tc>
          <w:tcPr>
            <w:tcW w:w="1071" w:type="dxa"/>
            <w:tcBorders>
              <w:bottom w:val="single" w:sz="6" w:space="0" w:color="000000"/>
              <w:right w:val="single" w:sz="6" w:space="0" w:color="000000"/>
            </w:tcBorders>
            <w:shd w:val="clear" w:color="auto" w:fill="FFFFFF" w:themeFill="background1"/>
            <w:tcMar>
              <w:top w:w="30" w:type="dxa"/>
              <w:left w:w="45" w:type="dxa"/>
              <w:bottom w:w="30" w:type="dxa"/>
              <w:right w:w="45" w:type="dxa"/>
            </w:tcMar>
          </w:tcPr>
          <w:p w14:paraId="66030849" w14:textId="448E364B" w:rsidR="000501B1" w:rsidRPr="00206AE1" w:rsidRDefault="003730EF" w:rsidP="000501B1">
            <w:pPr>
              <w:rPr>
                <w:rFonts w:asciiTheme="majorHAnsi" w:eastAsia="Times New Roman" w:hAnsiTheme="majorHAnsi" w:cs="Arial"/>
                <w:color w:val="auto"/>
                <w:sz w:val="20"/>
                <w:szCs w:val="20"/>
              </w:rPr>
            </w:pPr>
            <w:r w:rsidRPr="00206AE1">
              <w:rPr>
                <w:rFonts w:asciiTheme="majorHAnsi" w:eastAsia="Times New Roman" w:hAnsiTheme="majorHAnsi" w:cs="Arial"/>
                <w:color w:val="auto"/>
                <w:sz w:val="20"/>
                <w:szCs w:val="20"/>
              </w:rPr>
              <w:t>12/21/2016</w:t>
            </w:r>
          </w:p>
        </w:tc>
        <w:tc>
          <w:tcPr>
            <w:tcW w:w="1418" w:type="dxa"/>
            <w:tcBorders>
              <w:bottom w:val="single" w:sz="6" w:space="0" w:color="000000"/>
              <w:right w:val="single" w:sz="6" w:space="0" w:color="000000"/>
            </w:tcBorders>
            <w:shd w:val="clear" w:color="auto" w:fill="FFFFFF" w:themeFill="background1"/>
            <w:tcMar>
              <w:top w:w="30" w:type="dxa"/>
              <w:left w:w="45" w:type="dxa"/>
              <w:bottom w:w="30" w:type="dxa"/>
              <w:right w:w="45" w:type="dxa"/>
            </w:tcMar>
          </w:tcPr>
          <w:p w14:paraId="1D61BC8D" w14:textId="011B8866" w:rsidR="000501B1" w:rsidRPr="00206AE1" w:rsidRDefault="000728FF" w:rsidP="000501B1">
            <w:pPr>
              <w:rPr>
                <w:rFonts w:asciiTheme="majorHAnsi" w:eastAsia="Times New Roman" w:hAnsiTheme="majorHAnsi" w:cs="Arial"/>
                <w:b/>
                <w:bCs/>
                <w:color w:val="auto"/>
                <w:sz w:val="20"/>
                <w:szCs w:val="20"/>
              </w:rPr>
            </w:pPr>
            <w:r w:rsidRPr="00206AE1">
              <w:rPr>
                <w:rFonts w:asciiTheme="majorHAnsi" w:eastAsia="Times New Roman" w:hAnsiTheme="majorHAnsi" w:cs="Arial"/>
                <w:b/>
                <w:bCs/>
                <w:color w:val="auto"/>
                <w:sz w:val="20"/>
                <w:szCs w:val="20"/>
              </w:rPr>
              <w:t xml:space="preserve">5.3 </w:t>
            </w:r>
            <w:proofErr w:type="spellStart"/>
            <w:r w:rsidRPr="00206AE1">
              <w:rPr>
                <w:rFonts w:asciiTheme="majorHAnsi" w:eastAsia="Times New Roman" w:hAnsiTheme="majorHAnsi" w:cs="Arial"/>
                <w:b/>
                <w:bCs/>
                <w:color w:val="auto"/>
                <w:sz w:val="20"/>
                <w:szCs w:val="20"/>
              </w:rPr>
              <w:t>therms</w:t>
            </w:r>
            <w:proofErr w:type="spellEnd"/>
            <w:r w:rsidRPr="00206AE1">
              <w:rPr>
                <w:rFonts w:asciiTheme="majorHAnsi" w:eastAsia="Times New Roman" w:hAnsiTheme="majorHAnsi" w:cs="Arial"/>
                <w:b/>
                <w:bCs/>
                <w:color w:val="auto"/>
                <w:sz w:val="20"/>
                <w:szCs w:val="20"/>
              </w:rPr>
              <w:t xml:space="preserve"> (</w:t>
            </w:r>
            <w:proofErr w:type="spellStart"/>
            <w:r w:rsidRPr="00206AE1">
              <w:rPr>
                <w:rFonts w:asciiTheme="majorHAnsi" w:eastAsia="Times New Roman" w:hAnsiTheme="majorHAnsi" w:cs="Arial"/>
                <w:b/>
                <w:bCs/>
                <w:color w:val="auto"/>
                <w:sz w:val="20"/>
                <w:szCs w:val="20"/>
              </w:rPr>
              <w:t>avg</w:t>
            </w:r>
            <w:proofErr w:type="spellEnd"/>
            <w:r w:rsidRPr="00206AE1">
              <w:rPr>
                <w:rFonts w:asciiTheme="majorHAnsi" w:eastAsia="Times New Roman" w:hAnsiTheme="majorHAnsi" w:cs="Arial"/>
                <w:b/>
                <w:bCs/>
                <w:color w:val="auto"/>
                <w:sz w:val="20"/>
                <w:szCs w:val="20"/>
              </w:rPr>
              <w:t>)</w:t>
            </w:r>
            <w:r w:rsidR="003730EF" w:rsidRPr="00206AE1">
              <w:rPr>
                <w:rFonts w:asciiTheme="majorHAnsi" w:eastAsia="Times New Roman" w:hAnsiTheme="majorHAnsi" w:cs="Arial"/>
                <w:b/>
                <w:bCs/>
                <w:color w:val="auto"/>
                <w:sz w:val="20"/>
                <w:szCs w:val="20"/>
              </w:rPr>
              <w:t>*</w:t>
            </w:r>
          </w:p>
        </w:tc>
        <w:tc>
          <w:tcPr>
            <w:tcW w:w="1598" w:type="dxa"/>
            <w:tcBorders>
              <w:bottom w:val="single" w:sz="6" w:space="0" w:color="000000"/>
              <w:right w:val="single" w:sz="6" w:space="0" w:color="000000"/>
            </w:tcBorders>
            <w:shd w:val="clear" w:color="auto" w:fill="FFFFFF" w:themeFill="background1"/>
            <w:tcMar>
              <w:top w:w="30" w:type="dxa"/>
              <w:left w:w="45" w:type="dxa"/>
              <w:bottom w:w="30" w:type="dxa"/>
              <w:right w:w="45" w:type="dxa"/>
            </w:tcMar>
          </w:tcPr>
          <w:p w14:paraId="498B3381" w14:textId="2E839706" w:rsidR="000501B1" w:rsidRPr="00206AE1" w:rsidRDefault="00E97FB8" w:rsidP="000501B1">
            <w:pPr>
              <w:rPr>
                <w:rFonts w:asciiTheme="majorHAnsi" w:eastAsia="Times New Roman" w:hAnsiTheme="majorHAnsi" w:cs="Arial"/>
                <w:b/>
                <w:bCs/>
                <w:color w:val="auto"/>
                <w:sz w:val="20"/>
                <w:szCs w:val="20"/>
              </w:rPr>
            </w:pPr>
            <w:r w:rsidRPr="00206AE1">
              <w:rPr>
                <w:rFonts w:asciiTheme="majorHAnsi" w:eastAsia="Times New Roman" w:hAnsiTheme="majorHAnsi" w:cs="Arial"/>
                <w:b/>
                <w:bCs/>
                <w:color w:val="auto"/>
                <w:sz w:val="20"/>
                <w:szCs w:val="20"/>
              </w:rPr>
              <w:t>4% savings at the meter (7-11%</w:t>
            </w:r>
            <w:r w:rsidR="0065445C" w:rsidRPr="00206AE1">
              <w:rPr>
                <w:rFonts w:asciiTheme="majorHAnsi" w:eastAsia="Times New Roman" w:hAnsiTheme="majorHAnsi" w:cs="Arial"/>
                <w:b/>
                <w:bCs/>
                <w:color w:val="auto"/>
                <w:sz w:val="20"/>
                <w:szCs w:val="20"/>
              </w:rPr>
              <w:t>**</w:t>
            </w:r>
            <w:r w:rsidRPr="00206AE1">
              <w:rPr>
                <w:rFonts w:asciiTheme="majorHAnsi" w:eastAsia="Times New Roman" w:hAnsiTheme="majorHAnsi" w:cs="Arial"/>
                <w:b/>
                <w:bCs/>
                <w:color w:val="auto"/>
                <w:sz w:val="20"/>
                <w:szCs w:val="20"/>
              </w:rPr>
              <w:t xml:space="preserve"> cooling savings)</w:t>
            </w:r>
          </w:p>
        </w:tc>
        <w:tc>
          <w:tcPr>
            <w:tcW w:w="1080" w:type="dxa"/>
            <w:tcBorders>
              <w:bottom w:val="single" w:sz="6" w:space="0" w:color="000000"/>
              <w:right w:val="single" w:sz="6" w:space="0" w:color="000000"/>
            </w:tcBorders>
            <w:shd w:val="clear" w:color="auto" w:fill="FFFFFF" w:themeFill="background1"/>
            <w:tcMar>
              <w:top w:w="30" w:type="dxa"/>
              <w:left w:w="45" w:type="dxa"/>
              <w:bottom w:w="30" w:type="dxa"/>
              <w:right w:w="45" w:type="dxa"/>
            </w:tcMar>
          </w:tcPr>
          <w:p w14:paraId="7C43C43C" w14:textId="17AC63C8" w:rsidR="000501B1" w:rsidRPr="00206AE1" w:rsidRDefault="00CD4F89" w:rsidP="000501B1">
            <w:pPr>
              <w:rPr>
                <w:rFonts w:asciiTheme="majorHAnsi" w:eastAsia="Times New Roman" w:hAnsiTheme="majorHAnsi" w:cs="Arial"/>
                <w:color w:val="auto"/>
                <w:sz w:val="20"/>
                <w:szCs w:val="20"/>
              </w:rPr>
            </w:pPr>
            <w:r w:rsidRPr="00206AE1">
              <w:rPr>
                <w:rFonts w:asciiTheme="majorHAnsi" w:eastAsia="Times New Roman" w:hAnsiTheme="majorHAnsi" w:cs="Arial"/>
                <w:color w:val="auto"/>
                <w:sz w:val="20"/>
                <w:szCs w:val="20"/>
              </w:rPr>
              <w:t>N/A</w:t>
            </w:r>
          </w:p>
        </w:tc>
      </w:tr>
      <w:tr w:rsidR="00BA60A0" w:rsidRPr="00206AE1" w14:paraId="4DD880F5" w14:textId="77777777" w:rsidTr="00BA60A0">
        <w:trPr>
          <w:trHeight w:val="951"/>
          <w:tblCellSpacing w:w="0" w:type="dxa"/>
        </w:trPr>
        <w:tc>
          <w:tcPr>
            <w:tcW w:w="2160" w:type="dxa"/>
            <w:tcBorders>
              <w:left w:val="single" w:sz="6" w:space="0" w:color="000000"/>
              <w:bottom w:val="single" w:sz="6" w:space="0" w:color="000000"/>
              <w:right w:val="single" w:sz="6" w:space="0" w:color="000000"/>
            </w:tcBorders>
            <w:shd w:val="clear" w:color="auto" w:fill="FFFFFF" w:themeFill="background1"/>
            <w:tcMar>
              <w:top w:w="30" w:type="dxa"/>
              <w:left w:w="45" w:type="dxa"/>
              <w:bottom w:w="30" w:type="dxa"/>
              <w:right w:w="45" w:type="dxa"/>
            </w:tcMar>
          </w:tcPr>
          <w:p w14:paraId="4055F979" w14:textId="171C501D" w:rsidR="00BA60A0" w:rsidRPr="00206AE1" w:rsidRDefault="00BA60A0" w:rsidP="00BA60A0">
            <w:pPr>
              <w:keepNext/>
              <w:keepLines/>
              <w:rPr>
                <w:rFonts w:asciiTheme="majorHAnsi" w:eastAsia="Times New Roman" w:hAnsiTheme="majorHAnsi" w:cs="Times New Roman"/>
                <w:b/>
                <w:color w:val="auto"/>
                <w:sz w:val="20"/>
                <w:szCs w:val="20"/>
              </w:rPr>
            </w:pPr>
            <w:r>
              <w:rPr>
                <w:rFonts w:asciiTheme="majorHAnsi" w:hAnsiTheme="majorHAnsi" w:cs="Lucida Grande"/>
                <w:b/>
                <w:sz w:val="20"/>
                <w:szCs w:val="20"/>
              </w:rPr>
              <w:t>Ene</w:t>
            </w:r>
            <w:r w:rsidRPr="00206AE1">
              <w:rPr>
                <w:rFonts w:asciiTheme="majorHAnsi" w:hAnsiTheme="majorHAnsi" w:cs="Lucida Grande"/>
                <w:b/>
                <w:sz w:val="20"/>
                <w:szCs w:val="20"/>
              </w:rPr>
              <w:t>rgy Savings from the Nest Learning Thermostat: Energy Bill Analysis Results</w:t>
            </w:r>
          </w:p>
        </w:tc>
        <w:tc>
          <w:tcPr>
            <w:tcW w:w="900" w:type="dxa"/>
            <w:tcBorders>
              <w:bottom w:val="single" w:sz="6" w:space="0" w:color="000000"/>
              <w:right w:val="single" w:sz="6" w:space="0" w:color="000000"/>
            </w:tcBorders>
            <w:shd w:val="clear" w:color="auto" w:fill="FFFFFF" w:themeFill="background1"/>
            <w:tcMar>
              <w:top w:w="30" w:type="dxa"/>
              <w:left w:w="45" w:type="dxa"/>
              <w:bottom w:w="30" w:type="dxa"/>
              <w:right w:w="45" w:type="dxa"/>
            </w:tcMar>
          </w:tcPr>
          <w:p w14:paraId="3D5079A3" w14:textId="6C17C9E3" w:rsidR="00BA60A0" w:rsidRPr="00206AE1" w:rsidRDefault="00BA60A0" w:rsidP="00BA60A0">
            <w:pPr>
              <w:rPr>
                <w:rFonts w:asciiTheme="majorHAnsi" w:eastAsia="Times New Roman" w:hAnsiTheme="majorHAnsi" w:cs="Arial"/>
                <w:color w:val="auto"/>
                <w:sz w:val="20"/>
                <w:szCs w:val="20"/>
              </w:rPr>
            </w:pPr>
            <w:r w:rsidRPr="00206AE1">
              <w:rPr>
                <w:rFonts w:asciiTheme="majorHAnsi" w:eastAsia="Times New Roman" w:hAnsiTheme="majorHAnsi" w:cs="Arial"/>
                <w:color w:val="auto"/>
                <w:sz w:val="20"/>
                <w:szCs w:val="20"/>
              </w:rPr>
              <w:t>National</w:t>
            </w:r>
          </w:p>
        </w:tc>
        <w:tc>
          <w:tcPr>
            <w:tcW w:w="986" w:type="dxa"/>
            <w:tcBorders>
              <w:bottom w:val="single" w:sz="6" w:space="0" w:color="000000"/>
              <w:right w:val="single" w:sz="6" w:space="0" w:color="000000"/>
            </w:tcBorders>
            <w:shd w:val="clear" w:color="auto" w:fill="FFFFFF" w:themeFill="background1"/>
            <w:tcMar>
              <w:top w:w="30" w:type="dxa"/>
              <w:left w:w="45" w:type="dxa"/>
              <w:bottom w:w="30" w:type="dxa"/>
              <w:right w:w="45" w:type="dxa"/>
            </w:tcMar>
          </w:tcPr>
          <w:p w14:paraId="53574485" w14:textId="31C4F5D5" w:rsidR="00BA60A0" w:rsidRPr="00206AE1" w:rsidRDefault="00BA60A0" w:rsidP="00BA60A0">
            <w:pPr>
              <w:rPr>
                <w:rFonts w:asciiTheme="majorHAnsi" w:eastAsia="Times New Roman" w:hAnsiTheme="majorHAnsi" w:cs="Arial"/>
                <w:color w:val="auto"/>
                <w:sz w:val="20"/>
                <w:szCs w:val="20"/>
              </w:rPr>
            </w:pPr>
            <w:r w:rsidRPr="00206AE1">
              <w:rPr>
                <w:rFonts w:asciiTheme="majorHAnsi" w:eastAsia="Times New Roman" w:hAnsiTheme="majorHAnsi" w:cs="Arial"/>
                <w:color w:val="auto"/>
                <w:sz w:val="20"/>
                <w:szCs w:val="20"/>
              </w:rPr>
              <w:t>Nest</w:t>
            </w:r>
          </w:p>
        </w:tc>
        <w:tc>
          <w:tcPr>
            <w:tcW w:w="1317" w:type="dxa"/>
            <w:tcBorders>
              <w:bottom w:val="single" w:sz="6" w:space="0" w:color="000000"/>
              <w:right w:val="single" w:sz="6" w:space="0" w:color="000000"/>
            </w:tcBorders>
            <w:shd w:val="clear" w:color="auto" w:fill="FFFFFF" w:themeFill="background1"/>
            <w:tcMar>
              <w:top w:w="30" w:type="dxa"/>
              <w:left w:w="45" w:type="dxa"/>
              <w:bottom w:w="30" w:type="dxa"/>
              <w:right w:w="45" w:type="dxa"/>
            </w:tcMar>
          </w:tcPr>
          <w:p w14:paraId="55EC8825" w14:textId="567DC394" w:rsidR="00BA60A0" w:rsidRPr="00206AE1" w:rsidRDefault="00BA60A0" w:rsidP="00BA60A0">
            <w:pPr>
              <w:rPr>
                <w:rFonts w:asciiTheme="majorHAnsi" w:eastAsia="Times New Roman" w:hAnsiTheme="majorHAnsi" w:cs="Arial"/>
                <w:color w:val="auto"/>
                <w:sz w:val="20"/>
                <w:szCs w:val="20"/>
              </w:rPr>
            </w:pPr>
            <w:r w:rsidRPr="00206AE1">
              <w:rPr>
                <w:rFonts w:asciiTheme="majorHAnsi" w:eastAsia="Times New Roman" w:hAnsiTheme="majorHAnsi" w:cs="Arial"/>
                <w:color w:val="auto"/>
                <w:sz w:val="20"/>
                <w:szCs w:val="20"/>
              </w:rPr>
              <w:t>Nest</w:t>
            </w:r>
          </w:p>
        </w:tc>
        <w:tc>
          <w:tcPr>
            <w:tcW w:w="1071" w:type="dxa"/>
            <w:tcBorders>
              <w:bottom w:val="single" w:sz="6" w:space="0" w:color="000000"/>
              <w:right w:val="single" w:sz="6" w:space="0" w:color="000000"/>
            </w:tcBorders>
            <w:shd w:val="clear" w:color="auto" w:fill="FFFFFF" w:themeFill="background1"/>
            <w:tcMar>
              <w:top w:w="30" w:type="dxa"/>
              <w:left w:w="45" w:type="dxa"/>
              <w:bottom w:w="30" w:type="dxa"/>
              <w:right w:w="45" w:type="dxa"/>
            </w:tcMar>
          </w:tcPr>
          <w:p w14:paraId="6E2FC782" w14:textId="24230875" w:rsidR="00BA60A0" w:rsidRPr="00206AE1" w:rsidRDefault="00BA60A0" w:rsidP="00BA60A0">
            <w:pPr>
              <w:rPr>
                <w:rFonts w:asciiTheme="majorHAnsi" w:eastAsia="Times New Roman" w:hAnsiTheme="majorHAnsi" w:cs="Arial"/>
                <w:color w:val="auto"/>
                <w:sz w:val="20"/>
                <w:szCs w:val="20"/>
              </w:rPr>
            </w:pPr>
            <w:r w:rsidRPr="00206AE1">
              <w:rPr>
                <w:rFonts w:asciiTheme="majorHAnsi" w:eastAsia="Times New Roman" w:hAnsiTheme="majorHAnsi" w:cs="Arial"/>
                <w:color w:val="auto"/>
                <w:sz w:val="20"/>
                <w:szCs w:val="20"/>
              </w:rPr>
              <w:t>2/1/2015</w:t>
            </w:r>
          </w:p>
        </w:tc>
        <w:tc>
          <w:tcPr>
            <w:tcW w:w="1418" w:type="dxa"/>
            <w:tcBorders>
              <w:bottom w:val="single" w:sz="6" w:space="0" w:color="000000"/>
              <w:right w:val="single" w:sz="6" w:space="0" w:color="000000"/>
            </w:tcBorders>
            <w:shd w:val="clear" w:color="auto" w:fill="FFFFFF" w:themeFill="background1"/>
            <w:tcMar>
              <w:top w:w="30" w:type="dxa"/>
              <w:left w:w="45" w:type="dxa"/>
              <w:bottom w:w="30" w:type="dxa"/>
              <w:right w:w="45" w:type="dxa"/>
            </w:tcMar>
          </w:tcPr>
          <w:p w14:paraId="3A05BEC9" w14:textId="5918CB8F" w:rsidR="00BA60A0" w:rsidRPr="00206AE1" w:rsidRDefault="00BA60A0" w:rsidP="00BA60A0">
            <w:pPr>
              <w:rPr>
                <w:rFonts w:asciiTheme="majorHAnsi" w:eastAsia="Times New Roman" w:hAnsiTheme="majorHAnsi" w:cs="Arial"/>
                <w:b/>
                <w:bCs/>
                <w:color w:val="auto"/>
                <w:sz w:val="20"/>
                <w:szCs w:val="20"/>
              </w:rPr>
            </w:pPr>
            <w:r w:rsidRPr="00206AE1">
              <w:rPr>
                <w:rFonts w:asciiTheme="majorHAnsi" w:eastAsia="Times New Roman" w:hAnsiTheme="majorHAnsi" w:cs="Arial"/>
                <w:b/>
                <w:bCs/>
                <w:color w:val="auto"/>
                <w:sz w:val="20"/>
                <w:szCs w:val="20"/>
              </w:rPr>
              <w:t>9.6%</w:t>
            </w:r>
          </w:p>
        </w:tc>
        <w:tc>
          <w:tcPr>
            <w:tcW w:w="1598" w:type="dxa"/>
            <w:tcBorders>
              <w:bottom w:val="single" w:sz="6" w:space="0" w:color="000000"/>
              <w:right w:val="single" w:sz="6" w:space="0" w:color="000000"/>
            </w:tcBorders>
            <w:shd w:val="clear" w:color="auto" w:fill="FFFFFF" w:themeFill="background1"/>
            <w:tcMar>
              <w:top w:w="30" w:type="dxa"/>
              <w:left w:w="45" w:type="dxa"/>
              <w:bottom w:w="30" w:type="dxa"/>
              <w:right w:w="45" w:type="dxa"/>
            </w:tcMar>
          </w:tcPr>
          <w:p w14:paraId="097508E7" w14:textId="67A8FDAD" w:rsidR="00BA60A0" w:rsidRPr="00206AE1" w:rsidRDefault="00BA60A0" w:rsidP="00BA60A0">
            <w:pPr>
              <w:rPr>
                <w:rFonts w:asciiTheme="majorHAnsi" w:eastAsia="Times New Roman" w:hAnsiTheme="majorHAnsi" w:cs="Arial"/>
                <w:b/>
                <w:bCs/>
                <w:color w:val="auto"/>
                <w:sz w:val="20"/>
                <w:szCs w:val="20"/>
              </w:rPr>
            </w:pPr>
            <w:r w:rsidRPr="00206AE1">
              <w:rPr>
                <w:rFonts w:asciiTheme="majorHAnsi" w:eastAsia="Times New Roman" w:hAnsiTheme="majorHAnsi" w:cs="Arial"/>
                <w:b/>
                <w:bCs/>
                <w:color w:val="auto"/>
                <w:sz w:val="20"/>
                <w:szCs w:val="20"/>
              </w:rPr>
              <w:t>17.5%</w:t>
            </w:r>
          </w:p>
        </w:tc>
        <w:tc>
          <w:tcPr>
            <w:tcW w:w="1080" w:type="dxa"/>
            <w:tcBorders>
              <w:bottom w:val="single" w:sz="6" w:space="0" w:color="000000"/>
              <w:right w:val="single" w:sz="6" w:space="0" w:color="000000"/>
            </w:tcBorders>
            <w:shd w:val="clear" w:color="auto" w:fill="FFFFFF" w:themeFill="background1"/>
            <w:tcMar>
              <w:top w:w="30" w:type="dxa"/>
              <w:left w:w="45" w:type="dxa"/>
              <w:bottom w:w="30" w:type="dxa"/>
              <w:right w:w="45" w:type="dxa"/>
            </w:tcMar>
          </w:tcPr>
          <w:p w14:paraId="69E33E43" w14:textId="35DEB578" w:rsidR="00BA60A0" w:rsidRPr="00206AE1" w:rsidRDefault="00BA60A0" w:rsidP="00BA60A0">
            <w:pPr>
              <w:rPr>
                <w:rFonts w:asciiTheme="majorHAnsi" w:eastAsia="Times New Roman" w:hAnsiTheme="majorHAnsi" w:cs="Arial"/>
                <w:color w:val="auto"/>
                <w:sz w:val="20"/>
                <w:szCs w:val="20"/>
              </w:rPr>
            </w:pPr>
            <w:r w:rsidRPr="00206AE1">
              <w:rPr>
                <w:rFonts w:asciiTheme="majorHAnsi" w:eastAsia="Times New Roman" w:hAnsiTheme="majorHAnsi" w:cs="Arial"/>
                <w:color w:val="auto"/>
                <w:sz w:val="20"/>
                <w:szCs w:val="20"/>
              </w:rPr>
              <w:t>N/A</w:t>
            </w:r>
          </w:p>
        </w:tc>
      </w:tr>
      <w:tr w:rsidR="00BA60A0" w:rsidRPr="00206AE1" w14:paraId="455CCE9E" w14:textId="77777777" w:rsidTr="00BA60A0">
        <w:trPr>
          <w:trHeight w:val="315"/>
          <w:tblCellSpacing w:w="0" w:type="dxa"/>
        </w:trPr>
        <w:tc>
          <w:tcPr>
            <w:tcW w:w="2160" w:type="dxa"/>
            <w:tcBorders>
              <w:left w:val="single" w:sz="6" w:space="0" w:color="000000"/>
              <w:bottom w:val="single" w:sz="6" w:space="0" w:color="000000"/>
              <w:right w:val="single" w:sz="6" w:space="0" w:color="000000"/>
            </w:tcBorders>
            <w:shd w:val="clear" w:color="auto" w:fill="FFFFFF" w:themeFill="background1"/>
            <w:tcMar>
              <w:top w:w="30" w:type="dxa"/>
              <w:left w:w="45" w:type="dxa"/>
              <w:bottom w:w="30" w:type="dxa"/>
              <w:right w:w="45" w:type="dxa"/>
            </w:tcMar>
          </w:tcPr>
          <w:p w14:paraId="1587ED8E" w14:textId="1FDAF686" w:rsidR="00BA60A0" w:rsidRPr="00206AE1" w:rsidRDefault="00BA60A0" w:rsidP="00BA60A0">
            <w:pPr>
              <w:keepNext/>
              <w:keepLines/>
              <w:rPr>
                <w:rFonts w:asciiTheme="majorHAnsi" w:hAnsiTheme="majorHAnsi" w:cs="Lucida Grande"/>
                <w:b/>
                <w:sz w:val="20"/>
                <w:szCs w:val="20"/>
              </w:rPr>
            </w:pPr>
            <w:r w:rsidRPr="00206AE1">
              <w:rPr>
                <w:rFonts w:asciiTheme="majorHAnsi" w:eastAsia="Times New Roman" w:hAnsiTheme="majorHAnsi" w:cs="Arial"/>
                <w:b/>
                <w:bCs/>
                <w:color w:val="auto"/>
                <w:sz w:val="20"/>
                <w:szCs w:val="20"/>
              </w:rPr>
              <w:t>Evaluation of the 2013–2014</w:t>
            </w:r>
            <w:r w:rsidRPr="00206AE1">
              <w:rPr>
                <w:rFonts w:asciiTheme="majorHAnsi" w:eastAsia="Times New Roman" w:hAnsiTheme="majorHAnsi" w:cs="Arial"/>
                <w:b/>
                <w:bCs/>
                <w:color w:val="auto"/>
                <w:sz w:val="20"/>
                <w:szCs w:val="20"/>
              </w:rPr>
              <w:br/>
              <w:t>Programmable and Smart</w:t>
            </w:r>
            <w:r w:rsidRPr="00206AE1">
              <w:rPr>
                <w:rFonts w:asciiTheme="majorHAnsi" w:eastAsia="Times New Roman" w:hAnsiTheme="majorHAnsi" w:cs="Arial"/>
                <w:b/>
                <w:bCs/>
                <w:color w:val="auto"/>
                <w:sz w:val="20"/>
                <w:szCs w:val="20"/>
              </w:rPr>
              <w:br/>
              <w:t>Thermostat Program</w:t>
            </w:r>
            <w:r w:rsidRPr="00206AE1">
              <w:rPr>
                <w:rFonts w:asciiTheme="majorHAnsi" w:hAnsiTheme="majorHAnsi" w:cs="Lucida Grande"/>
                <w:b/>
                <w:sz w:val="20"/>
                <w:szCs w:val="20"/>
              </w:rPr>
              <w:t xml:space="preserve"> </w:t>
            </w:r>
          </w:p>
        </w:tc>
        <w:tc>
          <w:tcPr>
            <w:tcW w:w="900" w:type="dxa"/>
            <w:tcBorders>
              <w:bottom w:val="single" w:sz="6" w:space="0" w:color="000000"/>
              <w:right w:val="single" w:sz="6" w:space="0" w:color="000000"/>
            </w:tcBorders>
            <w:shd w:val="clear" w:color="auto" w:fill="FFFFFF" w:themeFill="background1"/>
            <w:tcMar>
              <w:top w:w="30" w:type="dxa"/>
              <w:left w:w="45" w:type="dxa"/>
              <w:bottom w:w="30" w:type="dxa"/>
              <w:right w:w="45" w:type="dxa"/>
            </w:tcMar>
          </w:tcPr>
          <w:p w14:paraId="1AB11D21" w14:textId="74BE0DAE" w:rsidR="00BA60A0" w:rsidRPr="00206AE1" w:rsidRDefault="00BA60A0" w:rsidP="00BA60A0">
            <w:pPr>
              <w:rPr>
                <w:rFonts w:asciiTheme="majorHAnsi" w:eastAsia="Times New Roman" w:hAnsiTheme="majorHAnsi" w:cs="Arial"/>
                <w:color w:val="auto"/>
                <w:sz w:val="20"/>
                <w:szCs w:val="20"/>
              </w:rPr>
            </w:pPr>
            <w:r w:rsidRPr="00206AE1">
              <w:rPr>
                <w:rFonts w:asciiTheme="majorHAnsi" w:eastAsia="Times New Roman" w:hAnsiTheme="majorHAnsi" w:cs="Arial"/>
                <w:color w:val="auto"/>
                <w:sz w:val="20"/>
                <w:szCs w:val="20"/>
              </w:rPr>
              <w:t>Indiana</w:t>
            </w:r>
          </w:p>
        </w:tc>
        <w:tc>
          <w:tcPr>
            <w:tcW w:w="986" w:type="dxa"/>
            <w:tcBorders>
              <w:bottom w:val="single" w:sz="6" w:space="0" w:color="000000"/>
              <w:right w:val="single" w:sz="6" w:space="0" w:color="000000"/>
            </w:tcBorders>
            <w:shd w:val="clear" w:color="auto" w:fill="FFFFFF" w:themeFill="background1"/>
            <w:tcMar>
              <w:top w:w="30" w:type="dxa"/>
              <w:left w:w="45" w:type="dxa"/>
              <w:bottom w:w="30" w:type="dxa"/>
              <w:right w:w="45" w:type="dxa"/>
            </w:tcMar>
          </w:tcPr>
          <w:p w14:paraId="17B74BD7" w14:textId="6829C9E1" w:rsidR="00BA60A0" w:rsidRPr="00206AE1" w:rsidRDefault="00BA60A0" w:rsidP="00BA60A0">
            <w:pPr>
              <w:rPr>
                <w:rFonts w:asciiTheme="majorHAnsi" w:eastAsia="Times New Roman" w:hAnsiTheme="majorHAnsi" w:cs="Arial"/>
                <w:color w:val="auto"/>
                <w:sz w:val="20"/>
                <w:szCs w:val="20"/>
              </w:rPr>
            </w:pPr>
            <w:proofErr w:type="spellStart"/>
            <w:r w:rsidRPr="00206AE1">
              <w:rPr>
                <w:rFonts w:asciiTheme="majorHAnsi" w:eastAsia="Times New Roman" w:hAnsiTheme="majorHAnsi" w:cs="Arial"/>
                <w:color w:val="auto"/>
                <w:sz w:val="20"/>
                <w:szCs w:val="20"/>
              </w:rPr>
              <w:t>Vectren</w:t>
            </w:r>
            <w:proofErr w:type="spellEnd"/>
            <w:r w:rsidRPr="00206AE1">
              <w:rPr>
                <w:rFonts w:asciiTheme="majorHAnsi" w:eastAsia="Times New Roman" w:hAnsiTheme="majorHAnsi" w:cs="Arial"/>
                <w:color w:val="auto"/>
                <w:sz w:val="20"/>
                <w:szCs w:val="20"/>
              </w:rPr>
              <w:t xml:space="preserve"> (utility)</w:t>
            </w:r>
          </w:p>
        </w:tc>
        <w:tc>
          <w:tcPr>
            <w:tcW w:w="1317" w:type="dxa"/>
            <w:tcBorders>
              <w:bottom w:val="single" w:sz="6" w:space="0" w:color="000000"/>
              <w:right w:val="single" w:sz="6" w:space="0" w:color="000000"/>
            </w:tcBorders>
            <w:shd w:val="clear" w:color="auto" w:fill="FFFFFF" w:themeFill="background1"/>
            <w:tcMar>
              <w:top w:w="30" w:type="dxa"/>
              <w:left w:w="45" w:type="dxa"/>
              <w:bottom w:w="30" w:type="dxa"/>
              <w:right w:w="45" w:type="dxa"/>
            </w:tcMar>
          </w:tcPr>
          <w:p w14:paraId="6DE52A34" w14:textId="55263995" w:rsidR="00BA60A0" w:rsidRPr="00206AE1" w:rsidRDefault="00BA60A0" w:rsidP="00BA60A0">
            <w:pPr>
              <w:rPr>
                <w:rFonts w:asciiTheme="majorHAnsi" w:eastAsia="Times New Roman" w:hAnsiTheme="majorHAnsi" w:cs="Arial"/>
                <w:color w:val="auto"/>
                <w:sz w:val="20"/>
                <w:szCs w:val="20"/>
              </w:rPr>
            </w:pPr>
            <w:r w:rsidRPr="00206AE1">
              <w:rPr>
                <w:rFonts w:asciiTheme="majorHAnsi" w:eastAsia="Times New Roman" w:hAnsiTheme="majorHAnsi" w:cs="Arial"/>
                <w:color w:val="auto"/>
                <w:sz w:val="20"/>
                <w:szCs w:val="20"/>
              </w:rPr>
              <w:t>Cadmus</w:t>
            </w:r>
          </w:p>
        </w:tc>
        <w:tc>
          <w:tcPr>
            <w:tcW w:w="1071" w:type="dxa"/>
            <w:tcBorders>
              <w:bottom w:val="single" w:sz="6" w:space="0" w:color="000000"/>
              <w:right w:val="single" w:sz="6" w:space="0" w:color="000000"/>
            </w:tcBorders>
            <w:shd w:val="clear" w:color="auto" w:fill="FFFFFF" w:themeFill="background1"/>
            <w:tcMar>
              <w:top w:w="30" w:type="dxa"/>
              <w:left w:w="45" w:type="dxa"/>
              <w:bottom w:w="30" w:type="dxa"/>
              <w:right w:w="45" w:type="dxa"/>
            </w:tcMar>
          </w:tcPr>
          <w:p w14:paraId="0B910873" w14:textId="7B8E46F0" w:rsidR="00BA60A0" w:rsidRPr="00206AE1" w:rsidRDefault="00BA60A0" w:rsidP="00BA60A0">
            <w:pPr>
              <w:rPr>
                <w:rFonts w:asciiTheme="majorHAnsi" w:eastAsia="Times New Roman" w:hAnsiTheme="majorHAnsi" w:cs="Arial"/>
                <w:color w:val="auto"/>
                <w:sz w:val="20"/>
                <w:szCs w:val="20"/>
              </w:rPr>
            </w:pPr>
            <w:r w:rsidRPr="00206AE1">
              <w:rPr>
                <w:rFonts w:asciiTheme="majorHAnsi" w:eastAsia="Times New Roman" w:hAnsiTheme="majorHAnsi" w:cs="Arial"/>
                <w:color w:val="auto"/>
                <w:sz w:val="20"/>
                <w:szCs w:val="20"/>
              </w:rPr>
              <w:t>1/29/2015</w:t>
            </w:r>
          </w:p>
        </w:tc>
        <w:tc>
          <w:tcPr>
            <w:tcW w:w="1418" w:type="dxa"/>
            <w:tcBorders>
              <w:bottom w:val="single" w:sz="6" w:space="0" w:color="000000"/>
              <w:right w:val="single" w:sz="6" w:space="0" w:color="000000"/>
            </w:tcBorders>
            <w:shd w:val="clear" w:color="auto" w:fill="FFFFFF" w:themeFill="background1"/>
            <w:tcMar>
              <w:top w:w="30" w:type="dxa"/>
              <w:left w:w="45" w:type="dxa"/>
              <w:bottom w:w="30" w:type="dxa"/>
              <w:right w:w="45" w:type="dxa"/>
            </w:tcMar>
          </w:tcPr>
          <w:p w14:paraId="55FDEB7C" w14:textId="123EB35D" w:rsidR="00BA60A0" w:rsidRPr="00206AE1" w:rsidRDefault="00BA60A0" w:rsidP="00BA60A0">
            <w:pPr>
              <w:rPr>
                <w:rFonts w:asciiTheme="majorHAnsi" w:eastAsia="Times New Roman" w:hAnsiTheme="majorHAnsi" w:cs="Arial"/>
                <w:b/>
                <w:bCs/>
                <w:color w:val="auto"/>
                <w:sz w:val="20"/>
                <w:szCs w:val="20"/>
              </w:rPr>
            </w:pPr>
            <w:r w:rsidRPr="00206AE1">
              <w:rPr>
                <w:rFonts w:asciiTheme="majorHAnsi" w:eastAsia="Times New Roman" w:hAnsiTheme="majorHAnsi" w:cs="Arial"/>
                <w:b/>
                <w:bCs/>
                <w:color w:val="auto"/>
                <w:sz w:val="20"/>
                <w:szCs w:val="20"/>
              </w:rPr>
              <w:t>11-14%</w:t>
            </w:r>
          </w:p>
        </w:tc>
        <w:tc>
          <w:tcPr>
            <w:tcW w:w="1598" w:type="dxa"/>
            <w:tcBorders>
              <w:bottom w:val="single" w:sz="6" w:space="0" w:color="000000"/>
              <w:right w:val="single" w:sz="6" w:space="0" w:color="000000"/>
            </w:tcBorders>
            <w:shd w:val="clear" w:color="auto" w:fill="FFFFFF" w:themeFill="background1"/>
            <w:tcMar>
              <w:top w:w="30" w:type="dxa"/>
              <w:left w:w="45" w:type="dxa"/>
              <w:bottom w:w="30" w:type="dxa"/>
              <w:right w:w="45" w:type="dxa"/>
            </w:tcMar>
          </w:tcPr>
          <w:p w14:paraId="093FC75F" w14:textId="0A491807" w:rsidR="00BA60A0" w:rsidRPr="00206AE1" w:rsidRDefault="00BA60A0" w:rsidP="00BA60A0">
            <w:pPr>
              <w:rPr>
                <w:rFonts w:asciiTheme="majorHAnsi" w:eastAsia="Times New Roman" w:hAnsiTheme="majorHAnsi" w:cs="Arial"/>
                <w:b/>
                <w:bCs/>
                <w:color w:val="auto"/>
                <w:sz w:val="20"/>
                <w:szCs w:val="20"/>
              </w:rPr>
            </w:pPr>
            <w:r w:rsidRPr="00206AE1">
              <w:rPr>
                <w:rFonts w:asciiTheme="majorHAnsi" w:eastAsia="Times New Roman" w:hAnsiTheme="majorHAnsi" w:cs="Arial"/>
                <w:b/>
                <w:bCs/>
                <w:color w:val="auto"/>
                <w:sz w:val="20"/>
                <w:szCs w:val="20"/>
              </w:rPr>
              <w:t>9-19%</w:t>
            </w:r>
          </w:p>
        </w:tc>
        <w:tc>
          <w:tcPr>
            <w:tcW w:w="1080" w:type="dxa"/>
            <w:tcBorders>
              <w:bottom w:val="single" w:sz="6" w:space="0" w:color="000000"/>
              <w:right w:val="single" w:sz="6" w:space="0" w:color="000000"/>
            </w:tcBorders>
            <w:shd w:val="clear" w:color="auto" w:fill="FFFFFF" w:themeFill="background1"/>
            <w:tcMar>
              <w:top w:w="30" w:type="dxa"/>
              <w:left w:w="45" w:type="dxa"/>
              <w:bottom w:w="30" w:type="dxa"/>
              <w:right w:w="45" w:type="dxa"/>
            </w:tcMar>
          </w:tcPr>
          <w:p w14:paraId="6ED03A63" w14:textId="3EF83B4C" w:rsidR="00BA60A0" w:rsidRPr="00206AE1" w:rsidRDefault="00BA60A0" w:rsidP="00BA60A0">
            <w:pPr>
              <w:rPr>
                <w:rFonts w:asciiTheme="majorHAnsi" w:eastAsia="Times New Roman" w:hAnsiTheme="majorHAnsi" w:cs="Arial"/>
                <w:color w:val="auto"/>
                <w:sz w:val="20"/>
                <w:szCs w:val="20"/>
              </w:rPr>
            </w:pPr>
            <w:r w:rsidRPr="00206AE1">
              <w:rPr>
                <w:rFonts w:asciiTheme="majorHAnsi" w:eastAsia="Times New Roman" w:hAnsiTheme="majorHAnsi" w:cs="Arial"/>
                <w:color w:val="auto"/>
                <w:sz w:val="20"/>
                <w:szCs w:val="20"/>
              </w:rPr>
              <w:t>N/A</w:t>
            </w:r>
          </w:p>
        </w:tc>
      </w:tr>
      <w:tr w:rsidR="00BA60A0" w:rsidRPr="00206AE1" w14:paraId="04B16BD6" w14:textId="77777777" w:rsidTr="00BA60A0">
        <w:trPr>
          <w:trHeight w:val="315"/>
          <w:tblCellSpacing w:w="0" w:type="dxa"/>
        </w:trPr>
        <w:tc>
          <w:tcPr>
            <w:tcW w:w="2160" w:type="dxa"/>
            <w:tcBorders>
              <w:left w:val="single" w:sz="6" w:space="0" w:color="000000"/>
              <w:bottom w:val="single" w:sz="6" w:space="0" w:color="000000"/>
              <w:right w:val="single" w:sz="6" w:space="0" w:color="000000"/>
            </w:tcBorders>
            <w:shd w:val="clear" w:color="auto" w:fill="FFFFFF" w:themeFill="background1"/>
            <w:tcMar>
              <w:top w:w="30" w:type="dxa"/>
              <w:left w:w="45" w:type="dxa"/>
              <w:bottom w:w="30" w:type="dxa"/>
              <w:right w:w="45" w:type="dxa"/>
            </w:tcMar>
          </w:tcPr>
          <w:p w14:paraId="71312B4D" w14:textId="384B1AAB" w:rsidR="00BA60A0" w:rsidRPr="00206AE1" w:rsidRDefault="00BA60A0" w:rsidP="00BA60A0">
            <w:pPr>
              <w:keepNext/>
              <w:keepLines/>
              <w:rPr>
                <w:rFonts w:asciiTheme="majorHAnsi" w:hAnsiTheme="majorHAnsi" w:cs="Lucida Grande"/>
                <w:b/>
                <w:sz w:val="20"/>
                <w:szCs w:val="20"/>
              </w:rPr>
            </w:pPr>
            <w:r w:rsidRPr="00206AE1">
              <w:rPr>
                <w:rFonts w:asciiTheme="majorHAnsi" w:hAnsiTheme="majorHAnsi" w:cs="Lucida Grande"/>
                <w:b/>
                <w:sz w:val="20"/>
                <w:szCs w:val="20"/>
              </w:rPr>
              <w:t>A Look Inside the Eye on the Wall: Sub-metering Data Analysis and Savings Assessment of the Nest Learning Thermostat</w:t>
            </w:r>
          </w:p>
        </w:tc>
        <w:tc>
          <w:tcPr>
            <w:tcW w:w="900" w:type="dxa"/>
            <w:tcBorders>
              <w:bottom w:val="single" w:sz="6" w:space="0" w:color="000000"/>
              <w:right w:val="single" w:sz="6" w:space="0" w:color="000000"/>
            </w:tcBorders>
            <w:shd w:val="clear" w:color="auto" w:fill="FFFFFF" w:themeFill="background1"/>
            <w:tcMar>
              <w:top w:w="30" w:type="dxa"/>
              <w:left w:w="45" w:type="dxa"/>
              <w:bottom w:w="30" w:type="dxa"/>
              <w:right w:w="45" w:type="dxa"/>
            </w:tcMar>
          </w:tcPr>
          <w:p w14:paraId="0657182C" w14:textId="344AD81C" w:rsidR="00BA60A0" w:rsidRPr="00206AE1" w:rsidRDefault="00BA60A0" w:rsidP="00BA60A0">
            <w:pPr>
              <w:rPr>
                <w:rFonts w:asciiTheme="majorHAnsi" w:eastAsia="Times New Roman" w:hAnsiTheme="majorHAnsi" w:cs="Arial"/>
                <w:color w:val="auto"/>
                <w:sz w:val="20"/>
                <w:szCs w:val="20"/>
              </w:rPr>
            </w:pPr>
            <w:r w:rsidRPr="00206AE1">
              <w:rPr>
                <w:rFonts w:asciiTheme="majorHAnsi" w:eastAsia="Times New Roman" w:hAnsiTheme="majorHAnsi" w:cs="Arial"/>
                <w:color w:val="auto"/>
                <w:sz w:val="20"/>
                <w:szCs w:val="20"/>
              </w:rPr>
              <w:t>Washington</w:t>
            </w:r>
          </w:p>
        </w:tc>
        <w:tc>
          <w:tcPr>
            <w:tcW w:w="986" w:type="dxa"/>
            <w:tcBorders>
              <w:bottom w:val="single" w:sz="6" w:space="0" w:color="000000"/>
              <w:right w:val="single" w:sz="6" w:space="0" w:color="000000"/>
            </w:tcBorders>
            <w:shd w:val="clear" w:color="auto" w:fill="FFFFFF" w:themeFill="background1"/>
            <w:tcMar>
              <w:top w:w="30" w:type="dxa"/>
              <w:left w:w="45" w:type="dxa"/>
              <w:bottom w:w="30" w:type="dxa"/>
              <w:right w:w="45" w:type="dxa"/>
            </w:tcMar>
          </w:tcPr>
          <w:p w14:paraId="5646F260" w14:textId="5D724C72" w:rsidR="00BA60A0" w:rsidRPr="00206AE1" w:rsidRDefault="00BA60A0" w:rsidP="00BA60A0">
            <w:pPr>
              <w:rPr>
                <w:rFonts w:asciiTheme="majorHAnsi" w:eastAsia="Times New Roman" w:hAnsiTheme="majorHAnsi" w:cs="Arial"/>
                <w:color w:val="auto"/>
                <w:sz w:val="20"/>
                <w:szCs w:val="20"/>
              </w:rPr>
            </w:pPr>
            <w:r w:rsidRPr="00206AE1">
              <w:rPr>
                <w:rFonts w:asciiTheme="majorHAnsi" w:eastAsia="Times New Roman" w:hAnsiTheme="majorHAnsi" w:cs="Arial"/>
                <w:color w:val="auto"/>
                <w:sz w:val="20"/>
                <w:szCs w:val="20"/>
              </w:rPr>
              <w:t>Bonneville Power Administration</w:t>
            </w:r>
          </w:p>
        </w:tc>
        <w:tc>
          <w:tcPr>
            <w:tcW w:w="1317" w:type="dxa"/>
            <w:tcBorders>
              <w:bottom w:val="single" w:sz="6" w:space="0" w:color="000000"/>
              <w:right w:val="single" w:sz="6" w:space="0" w:color="000000"/>
            </w:tcBorders>
            <w:shd w:val="clear" w:color="auto" w:fill="FFFFFF" w:themeFill="background1"/>
            <w:tcMar>
              <w:top w:w="30" w:type="dxa"/>
              <w:left w:w="45" w:type="dxa"/>
              <w:bottom w:w="30" w:type="dxa"/>
              <w:right w:w="45" w:type="dxa"/>
            </w:tcMar>
          </w:tcPr>
          <w:p w14:paraId="7ACD3506" w14:textId="5202F9A3" w:rsidR="00BA60A0" w:rsidRPr="00206AE1" w:rsidRDefault="00BA60A0" w:rsidP="00BA60A0">
            <w:pPr>
              <w:rPr>
                <w:rFonts w:asciiTheme="majorHAnsi" w:eastAsia="Times New Roman" w:hAnsiTheme="majorHAnsi" w:cs="Arial"/>
                <w:color w:val="auto"/>
                <w:sz w:val="20"/>
                <w:szCs w:val="20"/>
              </w:rPr>
            </w:pPr>
            <w:r w:rsidRPr="00206AE1">
              <w:rPr>
                <w:rFonts w:asciiTheme="majorHAnsi" w:eastAsia="Times New Roman" w:hAnsiTheme="majorHAnsi" w:cs="Arial"/>
                <w:color w:val="auto"/>
                <w:sz w:val="20"/>
                <w:szCs w:val="20"/>
              </w:rPr>
              <w:t>Bonneville Power Administration</w:t>
            </w:r>
          </w:p>
        </w:tc>
        <w:tc>
          <w:tcPr>
            <w:tcW w:w="1071" w:type="dxa"/>
            <w:tcBorders>
              <w:bottom w:val="single" w:sz="6" w:space="0" w:color="000000"/>
              <w:right w:val="single" w:sz="6" w:space="0" w:color="000000"/>
            </w:tcBorders>
            <w:shd w:val="clear" w:color="auto" w:fill="FFFFFF" w:themeFill="background1"/>
            <w:tcMar>
              <w:top w:w="30" w:type="dxa"/>
              <w:left w:w="45" w:type="dxa"/>
              <w:bottom w:w="30" w:type="dxa"/>
              <w:right w:w="45" w:type="dxa"/>
            </w:tcMar>
          </w:tcPr>
          <w:p w14:paraId="2D781374" w14:textId="572FC485" w:rsidR="00BA60A0" w:rsidRPr="00206AE1" w:rsidRDefault="00BA60A0" w:rsidP="00BA60A0">
            <w:pPr>
              <w:rPr>
                <w:rFonts w:asciiTheme="majorHAnsi" w:eastAsia="Times New Roman" w:hAnsiTheme="majorHAnsi" w:cs="Arial"/>
                <w:color w:val="auto"/>
                <w:sz w:val="20"/>
                <w:szCs w:val="20"/>
              </w:rPr>
            </w:pPr>
            <w:r w:rsidRPr="00206AE1">
              <w:rPr>
                <w:rFonts w:asciiTheme="majorHAnsi" w:eastAsia="Times New Roman" w:hAnsiTheme="majorHAnsi" w:cs="Arial"/>
                <w:color w:val="auto"/>
                <w:sz w:val="20"/>
                <w:szCs w:val="20"/>
              </w:rPr>
              <w:t>Summer, 2016</w:t>
            </w:r>
          </w:p>
        </w:tc>
        <w:tc>
          <w:tcPr>
            <w:tcW w:w="1418" w:type="dxa"/>
            <w:tcBorders>
              <w:bottom w:val="single" w:sz="6" w:space="0" w:color="000000"/>
              <w:right w:val="single" w:sz="6" w:space="0" w:color="000000"/>
            </w:tcBorders>
            <w:shd w:val="clear" w:color="auto" w:fill="FFFFFF" w:themeFill="background1"/>
            <w:tcMar>
              <w:top w:w="30" w:type="dxa"/>
              <w:left w:w="45" w:type="dxa"/>
              <w:bottom w:w="30" w:type="dxa"/>
              <w:right w:w="45" w:type="dxa"/>
            </w:tcMar>
          </w:tcPr>
          <w:p w14:paraId="728F0EBF" w14:textId="2441D391" w:rsidR="00BA60A0" w:rsidRPr="00206AE1" w:rsidRDefault="00BA60A0" w:rsidP="00BA60A0">
            <w:pPr>
              <w:keepNext/>
              <w:keepLines/>
              <w:rPr>
                <w:rFonts w:asciiTheme="majorHAnsi" w:eastAsia="Times New Roman" w:hAnsiTheme="majorHAnsi" w:cs="Arial"/>
                <w:b/>
                <w:bCs/>
                <w:color w:val="auto"/>
                <w:sz w:val="20"/>
                <w:szCs w:val="20"/>
              </w:rPr>
            </w:pPr>
            <w:r w:rsidRPr="00206AE1">
              <w:rPr>
                <w:rFonts w:asciiTheme="majorHAnsi" w:hAnsiTheme="majorHAnsi" w:cs="Lucida Grande"/>
                <w:b/>
                <w:sz w:val="20"/>
                <w:szCs w:val="20"/>
              </w:rPr>
              <w:t>12.35% of heating/cooling (heat pump)</w:t>
            </w:r>
          </w:p>
        </w:tc>
        <w:tc>
          <w:tcPr>
            <w:tcW w:w="1598" w:type="dxa"/>
            <w:tcBorders>
              <w:bottom w:val="single" w:sz="6" w:space="0" w:color="000000"/>
              <w:right w:val="single" w:sz="6" w:space="0" w:color="000000"/>
            </w:tcBorders>
            <w:shd w:val="clear" w:color="auto" w:fill="FFFFFF" w:themeFill="background1"/>
            <w:tcMar>
              <w:top w:w="30" w:type="dxa"/>
              <w:left w:w="45" w:type="dxa"/>
              <w:bottom w:w="30" w:type="dxa"/>
              <w:right w:w="45" w:type="dxa"/>
            </w:tcMar>
          </w:tcPr>
          <w:p w14:paraId="7535ABC5" w14:textId="4401285E" w:rsidR="00BA60A0" w:rsidRPr="00206AE1" w:rsidRDefault="00BA60A0" w:rsidP="00BA60A0">
            <w:pPr>
              <w:rPr>
                <w:rFonts w:asciiTheme="majorHAnsi" w:eastAsia="Times New Roman" w:hAnsiTheme="majorHAnsi" w:cs="Arial"/>
                <w:b/>
                <w:bCs/>
                <w:color w:val="auto"/>
                <w:sz w:val="20"/>
                <w:szCs w:val="20"/>
              </w:rPr>
            </w:pPr>
            <w:r w:rsidRPr="00206AE1">
              <w:rPr>
                <w:rFonts w:asciiTheme="majorHAnsi" w:hAnsiTheme="majorHAnsi" w:cs="Lucida Grande"/>
                <w:b/>
                <w:sz w:val="20"/>
                <w:szCs w:val="20"/>
              </w:rPr>
              <w:t>12.35% of heating/cooling (heat pump)</w:t>
            </w:r>
          </w:p>
        </w:tc>
        <w:tc>
          <w:tcPr>
            <w:tcW w:w="1080" w:type="dxa"/>
            <w:tcBorders>
              <w:bottom w:val="single" w:sz="6" w:space="0" w:color="000000"/>
              <w:right w:val="single" w:sz="6" w:space="0" w:color="000000"/>
            </w:tcBorders>
            <w:shd w:val="clear" w:color="auto" w:fill="FFFFFF" w:themeFill="background1"/>
            <w:tcMar>
              <w:top w:w="30" w:type="dxa"/>
              <w:left w:w="45" w:type="dxa"/>
              <w:bottom w:w="30" w:type="dxa"/>
              <w:right w:w="45" w:type="dxa"/>
            </w:tcMar>
          </w:tcPr>
          <w:p w14:paraId="270BA479" w14:textId="5407AFAB" w:rsidR="00BA60A0" w:rsidRPr="00206AE1" w:rsidRDefault="00BA60A0" w:rsidP="00BA60A0">
            <w:pPr>
              <w:rPr>
                <w:rFonts w:asciiTheme="majorHAnsi" w:eastAsia="Times New Roman" w:hAnsiTheme="majorHAnsi" w:cs="Arial"/>
                <w:color w:val="auto"/>
                <w:sz w:val="20"/>
                <w:szCs w:val="20"/>
              </w:rPr>
            </w:pPr>
            <w:r w:rsidRPr="00206AE1">
              <w:rPr>
                <w:rFonts w:asciiTheme="majorHAnsi" w:eastAsia="Times New Roman" w:hAnsiTheme="majorHAnsi" w:cs="Arial"/>
                <w:color w:val="auto"/>
                <w:sz w:val="20"/>
                <w:szCs w:val="20"/>
              </w:rPr>
              <w:t>N/A</w:t>
            </w:r>
          </w:p>
        </w:tc>
      </w:tr>
      <w:tr w:rsidR="00BA60A0" w:rsidRPr="00206AE1" w14:paraId="5592C3B1" w14:textId="77777777" w:rsidTr="00BA60A0">
        <w:trPr>
          <w:trHeight w:val="315"/>
          <w:tblCellSpacing w:w="0" w:type="dxa"/>
        </w:trPr>
        <w:tc>
          <w:tcPr>
            <w:tcW w:w="2160" w:type="dxa"/>
            <w:tcBorders>
              <w:left w:val="single" w:sz="6" w:space="0" w:color="000000"/>
              <w:bottom w:val="single" w:sz="6" w:space="0" w:color="000000"/>
              <w:right w:val="single" w:sz="6" w:space="0" w:color="000000"/>
            </w:tcBorders>
            <w:shd w:val="clear" w:color="auto" w:fill="FFFFFF" w:themeFill="background1"/>
            <w:tcMar>
              <w:top w:w="30" w:type="dxa"/>
              <w:left w:w="45" w:type="dxa"/>
              <w:bottom w:w="30" w:type="dxa"/>
              <w:right w:w="45" w:type="dxa"/>
            </w:tcMar>
          </w:tcPr>
          <w:p w14:paraId="236FE77F" w14:textId="1C3B4B00" w:rsidR="00BA60A0" w:rsidRPr="00206AE1" w:rsidRDefault="00BA60A0" w:rsidP="00BA60A0">
            <w:pPr>
              <w:keepNext/>
              <w:keepLines/>
              <w:rPr>
                <w:rFonts w:asciiTheme="majorHAnsi" w:hAnsiTheme="majorHAnsi" w:cs="Lucida Grande"/>
                <w:b/>
                <w:sz w:val="20"/>
                <w:szCs w:val="20"/>
              </w:rPr>
            </w:pPr>
            <w:r w:rsidRPr="00206AE1">
              <w:rPr>
                <w:rFonts w:asciiTheme="majorHAnsi" w:eastAsia="Times New Roman" w:hAnsiTheme="majorHAnsi" w:cs="Arial"/>
                <w:b/>
                <w:bCs/>
                <w:color w:val="auto"/>
                <w:sz w:val="20"/>
                <w:szCs w:val="20"/>
              </w:rPr>
              <w:t>Energy Trust of Oregon Smart Thermostat Pilot Evaluation</w:t>
            </w:r>
          </w:p>
        </w:tc>
        <w:tc>
          <w:tcPr>
            <w:tcW w:w="900" w:type="dxa"/>
            <w:tcBorders>
              <w:bottom w:val="single" w:sz="6" w:space="0" w:color="000000"/>
              <w:right w:val="single" w:sz="6" w:space="0" w:color="000000"/>
            </w:tcBorders>
            <w:shd w:val="clear" w:color="auto" w:fill="FFFFFF" w:themeFill="background1"/>
            <w:tcMar>
              <w:top w:w="30" w:type="dxa"/>
              <w:left w:w="45" w:type="dxa"/>
              <w:bottom w:w="30" w:type="dxa"/>
              <w:right w:w="45" w:type="dxa"/>
            </w:tcMar>
          </w:tcPr>
          <w:p w14:paraId="1710B54D" w14:textId="29B90476" w:rsidR="00BA60A0" w:rsidRPr="00206AE1" w:rsidRDefault="00BA60A0" w:rsidP="00BA60A0">
            <w:pPr>
              <w:rPr>
                <w:rFonts w:asciiTheme="majorHAnsi" w:eastAsia="Times New Roman" w:hAnsiTheme="majorHAnsi" w:cs="Arial"/>
                <w:color w:val="auto"/>
                <w:sz w:val="20"/>
                <w:szCs w:val="20"/>
              </w:rPr>
            </w:pPr>
            <w:r w:rsidRPr="00206AE1">
              <w:rPr>
                <w:rFonts w:asciiTheme="majorHAnsi" w:eastAsia="Times New Roman" w:hAnsiTheme="majorHAnsi" w:cs="Arial"/>
                <w:color w:val="auto"/>
                <w:sz w:val="20"/>
                <w:szCs w:val="20"/>
              </w:rPr>
              <w:t>Oregon</w:t>
            </w:r>
          </w:p>
        </w:tc>
        <w:tc>
          <w:tcPr>
            <w:tcW w:w="986" w:type="dxa"/>
            <w:tcBorders>
              <w:bottom w:val="single" w:sz="6" w:space="0" w:color="000000"/>
              <w:right w:val="single" w:sz="6" w:space="0" w:color="000000"/>
            </w:tcBorders>
            <w:shd w:val="clear" w:color="auto" w:fill="FFFFFF" w:themeFill="background1"/>
            <w:tcMar>
              <w:top w:w="30" w:type="dxa"/>
              <w:left w:w="45" w:type="dxa"/>
              <w:bottom w:w="30" w:type="dxa"/>
              <w:right w:w="45" w:type="dxa"/>
            </w:tcMar>
          </w:tcPr>
          <w:p w14:paraId="77080D5B" w14:textId="39ECE4F4" w:rsidR="00BA60A0" w:rsidRPr="00206AE1" w:rsidRDefault="00BA60A0" w:rsidP="00BA60A0">
            <w:pPr>
              <w:rPr>
                <w:rFonts w:asciiTheme="majorHAnsi" w:eastAsia="Times New Roman" w:hAnsiTheme="majorHAnsi" w:cs="Arial"/>
                <w:color w:val="auto"/>
                <w:sz w:val="20"/>
                <w:szCs w:val="20"/>
              </w:rPr>
            </w:pPr>
            <w:r w:rsidRPr="00206AE1">
              <w:rPr>
                <w:rFonts w:asciiTheme="majorHAnsi" w:eastAsia="Times New Roman" w:hAnsiTheme="majorHAnsi" w:cs="Arial"/>
                <w:color w:val="auto"/>
                <w:sz w:val="20"/>
                <w:szCs w:val="20"/>
              </w:rPr>
              <w:t>Energy Trust of Oregon</w:t>
            </w:r>
          </w:p>
        </w:tc>
        <w:tc>
          <w:tcPr>
            <w:tcW w:w="1317" w:type="dxa"/>
            <w:tcBorders>
              <w:bottom w:val="single" w:sz="6" w:space="0" w:color="000000"/>
              <w:right w:val="single" w:sz="6" w:space="0" w:color="000000"/>
            </w:tcBorders>
            <w:shd w:val="clear" w:color="auto" w:fill="FFFFFF" w:themeFill="background1"/>
            <w:tcMar>
              <w:top w:w="30" w:type="dxa"/>
              <w:left w:w="45" w:type="dxa"/>
              <w:bottom w:w="30" w:type="dxa"/>
              <w:right w:w="45" w:type="dxa"/>
            </w:tcMar>
          </w:tcPr>
          <w:p w14:paraId="0AF559B8" w14:textId="5018466C" w:rsidR="00BA60A0" w:rsidRPr="00206AE1" w:rsidRDefault="00BA60A0" w:rsidP="00BA60A0">
            <w:pPr>
              <w:rPr>
                <w:rFonts w:asciiTheme="majorHAnsi" w:eastAsia="Times New Roman" w:hAnsiTheme="majorHAnsi" w:cs="Arial"/>
                <w:color w:val="auto"/>
                <w:sz w:val="20"/>
                <w:szCs w:val="20"/>
              </w:rPr>
            </w:pPr>
            <w:r w:rsidRPr="00206AE1">
              <w:rPr>
                <w:rFonts w:asciiTheme="majorHAnsi" w:eastAsia="Times New Roman" w:hAnsiTheme="majorHAnsi" w:cs="Arial"/>
                <w:color w:val="auto"/>
                <w:sz w:val="20"/>
                <w:szCs w:val="20"/>
              </w:rPr>
              <w:t>Apex Analytics</w:t>
            </w:r>
          </w:p>
        </w:tc>
        <w:tc>
          <w:tcPr>
            <w:tcW w:w="1071" w:type="dxa"/>
            <w:tcBorders>
              <w:bottom w:val="single" w:sz="6" w:space="0" w:color="000000"/>
              <w:right w:val="single" w:sz="6" w:space="0" w:color="000000"/>
            </w:tcBorders>
            <w:shd w:val="clear" w:color="auto" w:fill="FFFFFF" w:themeFill="background1"/>
            <w:tcMar>
              <w:top w:w="30" w:type="dxa"/>
              <w:left w:w="45" w:type="dxa"/>
              <w:bottom w:w="30" w:type="dxa"/>
              <w:right w:w="45" w:type="dxa"/>
            </w:tcMar>
          </w:tcPr>
          <w:p w14:paraId="017F8C7D" w14:textId="4E5278A5" w:rsidR="00BA60A0" w:rsidRPr="00206AE1" w:rsidRDefault="00BA60A0" w:rsidP="00BA60A0">
            <w:pPr>
              <w:rPr>
                <w:rFonts w:asciiTheme="majorHAnsi" w:eastAsia="Times New Roman" w:hAnsiTheme="majorHAnsi" w:cs="Arial"/>
                <w:color w:val="auto"/>
                <w:sz w:val="20"/>
                <w:szCs w:val="20"/>
              </w:rPr>
            </w:pPr>
            <w:r w:rsidRPr="00206AE1">
              <w:rPr>
                <w:rFonts w:asciiTheme="majorHAnsi" w:eastAsia="Times New Roman" w:hAnsiTheme="majorHAnsi" w:cs="Arial"/>
                <w:color w:val="auto"/>
                <w:sz w:val="20"/>
                <w:szCs w:val="20"/>
              </w:rPr>
              <w:t>3/1/0206</w:t>
            </w:r>
          </w:p>
        </w:tc>
        <w:tc>
          <w:tcPr>
            <w:tcW w:w="1418" w:type="dxa"/>
            <w:tcBorders>
              <w:bottom w:val="single" w:sz="6" w:space="0" w:color="000000"/>
              <w:right w:val="single" w:sz="6" w:space="0" w:color="000000"/>
            </w:tcBorders>
            <w:shd w:val="clear" w:color="auto" w:fill="FFFFFF" w:themeFill="background1"/>
            <w:tcMar>
              <w:top w:w="30" w:type="dxa"/>
              <w:left w:w="45" w:type="dxa"/>
              <w:bottom w:w="30" w:type="dxa"/>
              <w:right w:w="45" w:type="dxa"/>
            </w:tcMar>
          </w:tcPr>
          <w:p w14:paraId="153D4412" w14:textId="4CEB42DC" w:rsidR="00BA60A0" w:rsidRPr="00206AE1" w:rsidRDefault="00BA60A0" w:rsidP="00BA60A0">
            <w:pPr>
              <w:rPr>
                <w:rFonts w:asciiTheme="majorHAnsi" w:eastAsia="Times New Roman" w:hAnsiTheme="majorHAnsi" w:cs="Arial"/>
                <w:b/>
                <w:bCs/>
                <w:color w:val="auto"/>
                <w:sz w:val="20"/>
                <w:szCs w:val="20"/>
              </w:rPr>
            </w:pPr>
            <w:r w:rsidRPr="00206AE1">
              <w:rPr>
                <w:rFonts w:asciiTheme="majorHAnsi" w:eastAsia="Times New Roman" w:hAnsiTheme="majorHAnsi" w:cs="Arial"/>
                <w:b/>
                <w:bCs/>
                <w:color w:val="auto"/>
                <w:sz w:val="20"/>
                <w:szCs w:val="20"/>
              </w:rPr>
              <w:t>6% control group adjusted - 10% non-control group adjusted</w:t>
            </w:r>
          </w:p>
        </w:tc>
        <w:tc>
          <w:tcPr>
            <w:tcW w:w="1598" w:type="dxa"/>
            <w:tcBorders>
              <w:bottom w:val="single" w:sz="6" w:space="0" w:color="000000"/>
              <w:right w:val="single" w:sz="6" w:space="0" w:color="000000"/>
            </w:tcBorders>
            <w:shd w:val="clear" w:color="auto" w:fill="FFFFFF" w:themeFill="background1"/>
            <w:tcMar>
              <w:top w:w="30" w:type="dxa"/>
              <w:left w:w="45" w:type="dxa"/>
              <w:bottom w:w="30" w:type="dxa"/>
              <w:right w:w="45" w:type="dxa"/>
            </w:tcMar>
          </w:tcPr>
          <w:p w14:paraId="6A6923E7" w14:textId="7870C17E" w:rsidR="00BA60A0" w:rsidRPr="00206AE1" w:rsidRDefault="00BA60A0" w:rsidP="00BA60A0">
            <w:pPr>
              <w:rPr>
                <w:rFonts w:asciiTheme="majorHAnsi" w:eastAsia="Times New Roman" w:hAnsiTheme="majorHAnsi" w:cs="Arial"/>
                <w:b/>
                <w:bCs/>
                <w:color w:val="auto"/>
                <w:sz w:val="20"/>
                <w:szCs w:val="20"/>
              </w:rPr>
            </w:pPr>
            <w:r w:rsidRPr="00206AE1">
              <w:rPr>
                <w:rFonts w:asciiTheme="majorHAnsi" w:eastAsia="Times New Roman" w:hAnsiTheme="majorHAnsi" w:cs="Arial"/>
                <w:b/>
                <w:bCs/>
                <w:color w:val="auto"/>
                <w:sz w:val="20"/>
                <w:szCs w:val="20"/>
              </w:rPr>
              <w:t>N/A</w:t>
            </w:r>
          </w:p>
        </w:tc>
        <w:tc>
          <w:tcPr>
            <w:tcW w:w="1080" w:type="dxa"/>
            <w:tcBorders>
              <w:bottom w:val="single" w:sz="6" w:space="0" w:color="000000"/>
              <w:right w:val="single" w:sz="6" w:space="0" w:color="000000"/>
            </w:tcBorders>
            <w:shd w:val="clear" w:color="auto" w:fill="FFFFFF" w:themeFill="background1"/>
            <w:tcMar>
              <w:top w:w="30" w:type="dxa"/>
              <w:left w:w="45" w:type="dxa"/>
              <w:bottom w:w="30" w:type="dxa"/>
              <w:right w:w="45" w:type="dxa"/>
            </w:tcMar>
          </w:tcPr>
          <w:p w14:paraId="5E93578E" w14:textId="18BBFB3B" w:rsidR="00BA60A0" w:rsidRPr="00206AE1" w:rsidRDefault="00BA60A0" w:rsidP="00BA60A0">
            <w:pPr>
              <w:rPr>
                <w:rFonts w:asciiTheme="majorHAnsi" w:eastAsia="Times New Roman" w:hAnsiTheme="majorHAnsi" w:cs="Arial"/>
                <w:color w:val="auto"/>
                <w:sz w:val="20"/>
                <w:szCs w:val="20"/>
              </w:rPr>
            </w:pPr>
            <w:r w:rsidRPr="00206AE1">
              <w:rPr>
                <w:rFonts w:asciiTheme="majorHAnsi" w:eastAsia="Times New Roman" w:hAnsiTheme="majorHAnsi" w:cs="Arial"/>
                <w:color w:val="auto"/>
                <w:sz w:val="20"/>
                <w:szCs w:val="20"/>
              </w:rPr>
              <w:t>N/A</w:t>
            </w:r>
          </w:p>
        </w:tc>
      </w:tr>
      <w:tr w:rsidR="00BA60A0" w:rsidRPr="00206AE1" w14:paraId="51F091C1" w14:textId="77777777" w:rsidTr="00BA60A0">
        <w:trPr>
          <w:trHeight w:val="1392"/>
          <w:tblCellSpacing w:w="0" w:type="dxa"/>
        </w:trPr>
        <w:tc>
          <w:tcPr>
            <w:tcW w:w="2160" w:type="dxa"/>
            <w:tcBorders>
              <w:left w:val="single" w:sz="6" w:space="0" w:color="000000"/>
              <w:bottom w:val="single" w:sz="6" w:space="0" w:color="000000"/>
              <w:right w:val="single" w:sz="6" w:space="0" w:color="000000"/>
            </w:tcBorders>
            <w:shd w:val="clear" w:color="auto" w:fill="FFFFFF" w:themeFill="background1"/>
            <w:tcMar>
              <w:top w:w="30" w:type="dxa"/>
              <w:left w:w="45" w:type="dxa"/>
              <w:bottom w:w="30" w:type="dxa"/>
              <w:right w:w="45" w:type="dxa"/>
            </w:tcMar>
          </w:tcPr>
          <w:p w14:paraId="52860852" w14:textId="19C36943" w:rsidR="00BA60A0" w:rsidRPr="00206AE1" w:rsidRDefault="00BA60A0" w:rsidP="00BA60A0">
            <w:pPr>
              <w:keepNext/>
              <w:keepLines/>
              <w:rPr>
                <w:rFonts w:asciiTheme="majorHAnsi" w:hAnsiTheme="majorHAnsi" w:cs="Lucida Grande"/>
                <w:b/>
                <w:sz w:val="20"/>
                <w:szCs w:val="20"/>
              </w:rPr>
            </w:pPr>
            <w:r w:rsidRPr="00206AE1">
              <w:rPr>
                <w:rFonts w:asciiTheme="majorHAnsi" w:eastAsia="Times New Roman" w:hAnsiTheme="majorHAnsi" w:cs="Arial"/>
                <w:b/>
                <w:bCs/>
                <w:color w:val="auto"/>
                <w:sz w:val="20"/>
                <w:szCs w:val="20"/>
              </w:rPr>
              <w:t>Evaluation of the Space Heating and Cooling Energy Savings of Smart Thermostats in a Hot-Humid Climate using Long-term Data</w:t>
            </w:r>
          </w:p>
        </w:tc>
        <w:tc>
          <w:tcPr>
            <w:tcW w:w="900" w:type="dxa"/>
            <w:tcBorders>
              <w:bottom w:val="single" w:sz="6" w:space="0" w:color="000000"/>
              <w:right w:val="single" w:sz="6" w:space="0" w:color="000000"/>
            </w:tcBorders>
            <w:shd w:val="clear" w:color="auto" w:fill="FFFFFF" w:themeFill="background1"/>
            <w:tcMar>
              <w:top w:w="30" w:type="dxa"/>
              <w:left w:w="45" w:type="dxa"/>
              <w:bottom w:w="30" w:type="dxa"/>
              <w:right w:w="45" w:type="dxa"/>
            </w:tcMar>
          </w:tcPr>
          <w:p w14:paraId="7AFA1DFB" w14:textId="78A9E583" w:rsidR="00BA60A0" w:rsidRPr="00206AE1" w:rsidRDefault="00BA60A0" w:rsidP="00BA60A0">
            <w:pPr>
              <w:rPr>
                <w:rFonts w:asciiTheme="majorHAnsi" w:eastAsia="Times New Roman" w:hAnsiTheme="majorHAnsi" w:cs="Arial"/>
                <w:color w:val="auto"/>
                <w:sz w:val="20"/>
                <w:szCs w:val="20"/>
              </w:rPr>
            </w:pPr>
            <w:r w:rsidRPr="00206AE1">
              <w:rPr>
                <w:rFonts w:asciiTheme="majorHAnsi" w:eastAsia="Times New Roman" w:hAnsiTheme="majorHAnsi" w:cs="Arial"/>
                <w:color w:val="auto"/>
                <w:sz w:val="20"/>
                <w:szCs w:val="20"/>
              </w:rPr>
              <w:t>Florida</w:t>
            </w:r>
          </w:p>
        </w:tc>
        <w:tc>
          <w:tcPr>
            <w:tcW w:w="986" w:type="dxa"/>
            <w:tcBorders>
              <w:bottom w:val="single" w:sz="6" w:space="0" w:color="000000"/>
              <w:right w:val="single" w:sz="6" w:space="0" w:color="000000"/>
            </w:tcBorders>
            <w:shd w:val="clear" w:color="auto" w:fill="FFFFFF" w:themeFill="background1"/>
            <w:tcMar>
              <w:top w:w="30" w:type="dxa"/>
              <w:left w:w="45" w:type="dxa"/>
              <w:bottom w:w="30" w:type="dxa"/>
              <w:right w:w="45" w:type="dxa"/>
            </w:tcMar>
          </w:tcPr>
          <w:p w14:paraId="685D3179" w14:textId="28D6B8F2" w:rsidR="00BA60A0" w:rsidRPr="00206AE1" w:rsidRDefault="00BA60A0" w:rsidP="00BA60A0">
            <w:pPr>
              <w:rPr>
                <w:rFonts w:asciiTheme="majorHAnsi" w:eastAsia="Times New Roman" w:hAnsiTheme="majorHAnsi" w:cs="Arial"/>
                <w:color w:val="auto"/>
                <w:sz w:val="20"/>
                <w:szCs w:val="20"/>
              </w:rPr>
            </w:pPr>
            <w:r w:rsidRPr="00206AE1">
              <w:rPr>
                <w:rFonts w:asciiTheme="majorHAnsi" w:eastAsia="Times New Roman" w:hAnsiTheme="majorHAnsi" w:cs="Arial"/>
                <w:color w:val="auto"/>
                <w:sz w:val="20"/>
                <w:szCs w:val="20"/>
              </w:rPr>
              <w:t>Florida Solar Energy Center</w:t>
            </w:r>
          </w:p>
        </w:tc>
        <w:tc>
          <w:tcPr>
            <w:tcW w:w="1317" w:type="dxa"/>
            <w:tcBorders>
              <w:bottom w:val="single" w:sz="6" w:space="0" w:color="000000"/>
              <w:right w:val="single" w:sz="6" w:space="0" w:color="000000"/>
            </w:tcBorders>
            <w:shd w:val="clear" w:color="auto" w:fill="FFFFFF" w:themeFill="background1"/>
            <w:tcMar>
              <w:top w:w="30" w:type="dxa"/>
              <w:left w:w="45" w:type="dxa"/>
              <w:bottom w:w="30" w:type="dxa"/>
              <w:right w:w="45" w:type="dxa"/>
            </w:tcMar>
          </w:tcPr>
          <w:p w14:paraId="5A3FE292" w14:textId="5081D42F" w:rsidR="00BA60A0" w:rsidRPr="00206AE1" w:rsidRDefault="00BA60A0" w:rsidP="00BA60A0">
            <w:pPr>
              <w:rPr>
                <w:rFonts w:asciiTheme="majorHAnsi" w:eastAsia="Times New Roman" w:hAnsiTheme="majorHAnsi" w:cs="Arial"/>
                <w:color w:val="auto"/>
                <w:sz w:val="20"/>
                <w:szCs w:val="20"/>
              </w:rPr>
            </w:pPr>
            <w:r w:rsidRPr="00206AE1">
              <w:rPr>
                <w:rFonts w:asciiTheme="majorHAnsi" w:eastAsia="Times New Roman" w:hAnsiTheme="majorHAnsi" w:cs="Arial"/>
                <w:color w:val="auto"/>
                <w:sz w:val="20"/>
                <w:szCs w:val="20"/>
              </w:rPr>
              <w:t>Florida Solar Energy Center</w:t>
            </w:r>
          </w:p>
        </w:tc>
        <w:tc>
          <w:tcPr>
            <w:tcW w:w="1071" w:type="dxa"/>
            <w:tcBorders>
              <w:bottom w:val="single" w:sz="6" w:space="0" w:color="000000"/>
              <w:right w:val="single" w:sz="6" w:space="0" w:color="000000"/>
            </w:tcBorders>
            <w:shd w:val="clear" w:color="auto" w:fill="FFFFFF" w:themeFill="background1"/>
            <w:tcMar>
              <w:top w:w="30" w:type="dxa"/>
              <w:left w:w="45" w:type="dxa"/>
              <w:bottom w:w="30" w:type="dxa"/>
              <w:right w:w="45" w:type="dxa"/>
            </w:tcMar>
          </w:tcPr>
          <w:p w14:paraId="5FE3DF4B" w14:textId="1FB5F8BA" w:rsidR="00BA60A0" w:rsidRPr="00206AE1" w:rsidRDefault="00BA60A0" w:rsidP="00BA60A0">
            <w:pPr>
              <w:rPr>
                <w:rFonts w:asciiTheme="majorHAnsi" w:eastAsia="Times New Roman" w:hAnsiTheme="majorHAnsi" w:cs="Arial"/>
                <w:color w:val="auto"/>
                <w:sz w:val="20"/>
                <w:szCs w:val="20"/>
              </w:rPr>
            </w:pPr>
            <w:r w:rsidRPr="00206AE1">
              <w:rPr>
                <w:rFonts w:asciiTheme="majorHAnsi" w:eastAsia="Times New Roman" w:hAnsiTheme="majorHAnsi" w:cs="Arial"/>
                <w:color w:val="auto"/>
                <w:sz w:val="20"/>
                <w:szCs w:val="20"/>
              </w:rPr>
              <w:t>6/6/2016</w:t>
            </w:r>
          </w:p>
        </w:tc>
        <w:tc>
          <w:tcPr>
            <w:tcW w:w="1418" w:type="dxa"/>
            <w:tcBorders>
              <w:bottom w:val="single" w:sz="6" w:space="0" w:color="000000"/>
              <w:right w:val="single" w:sz="6" w:space="0" w:color="000000"/>
            </w:tcBorders>
            <w:shd w:val="clear" w:color="auto" w:fill="FFFFFF" w:themeFill="background1"/>
            <w:tcMar>
              <w:top w:w="30" w:type="dxa"/>
              <w:left w:w="45" w:type="dxa"/>
              <w:bottom w:w="30" w:type="dxa"/>
              <w:right w:w="45" w:type="dxa"/>
            </w:tcMar>
          </w:tcPr>
          <w:p w14:paraId="43FA1B6F" w14:textId="2313AF65" w:rsidR="00BA60A0" w:rsidRPr="00206AE1" w:rsidRDefault="00BA60A0" w:rsidP="00BA60A0">
            <w:pPr>
              <w:rPr>
                <w:rFonts w:asciiTheme="majorHAnsi" w:eastAsia="Times New Roman" w:hAnsiTheme="majorHAnsi" w:cs="Arial"/>
                <w:b/>
                <w:bCs/>
                <w:color w:val="auto"/>
                <w:sz w:val="20"/>
                <w:szCs w:val="20"/>
              </w:rPr>
            </w:pPr>
            <w:r w:rsidRPr="00206AE1">
              <w:rPr>
                <w:rFonts w:asciiTheme="majorHAnsi" w:eastAsia="Times New Roman" w:hAnsiTheme="majorHAnsi" w:cs="Arial"/>
                <w:b/>
                <w:bCs/>
                <w:color w:val="auto"/>
                <w:sz w:val="20"/>
                <w:szCs w:val="20"/>
              </w:rPr>
              <w:t>9.5%</w:t>
            </w:r>
          </w:p>
        </w:tc>
        <w:tc>
          <w:tcPr>
            <w:tcW w:w="1598" w:type="dxa"/>
            <w:tcBorders>
              <w:bottom w:val="single" w:sz="6" w:space="0" w:color="000000"/>
              <w:right w:val="single" w:sz="6" w:space="0" w:color="000000"/>
            </w:tcBorders>
            <w:shd w:val="clear" w:color="auto" w:fill="FFFFFF" w:themeFill="background1"/>
            <w:tcMar>
              <w:top w:w="30" w:type="dxa"/>
              <w:left w:w="45" w:type="dxa"/>
              <w:bottom w:w="30" w:type="dxa"/>
              <w:right w:w="45" w:type="dxa"/>
            </w:tcMar>
          </w:tcPr>
          <w:p w14:paraId="6CFB4D55" w14:textId="453C7588" w:rsidR="00BA60A0" w:rsidRPr="00206AE1" w:rsidRDefault="00BA60A0" w:rsidP="00BA60A0">
            <w:pPr>
              <w:rPr>
                <w:rFonts w:asciiTheme="majorHAnsi" w:eastAsia="Times New Roman" w:hAnsiTheme="majorHAnsi" w:cs="Arial"/>
                <w:b/>
                <w:bCs/>
                <w:color w:val="auto"/>
                <w:sz w:val="20"/>
                <w:szCs w:val="20"/>
              </w:rPr>
            </w:pPr>
            <w:r w:rsidRPr="00206AE1">
              <w:rPr>
                <w:rFonts w:asciiTheme="majorHAnsi" w:eastAsia="Times New Roman" w:hAnsiTheme="majorHAnsi" w:cs="Arial"/>
                <w:b/>
                <w:bCs/>
                <w:color w:val="auto"/>
                <w:sz w:val="20"/>
                <w:szCs w:val="20"/>
              </w:rPr>
              <w:t>9.5%</w:t>
            </w:r>
          </w:p>
        </w:tc>
        <w:tc>
          <w:tcPr>
            <w:tcW w:w="1080" w:type="dxa"/>
            <w:tcBorders>
              <w:bottom w:val="single" w:sz="6" w:space="0" w:color="000000"/>
              <w:right w:val="single" w:sz="6" w:space="0" w:color="000000"/>
            </w:tcBorders>
            <w:shd w:val="clear" w:color="auto" w:fill="FFFFFF" w:themeFill="background1"/>
            <w:tcMar>
              <w:top w:w="30" w:type="dxa"/>
              <w:left w:w="45" w:type="dxa"/>
              <w:bottom w:w="30" w:type="dxa"/>
              <w:right w:w="45" w:type="dxa"/>
            </w:tcMar>
          </w:tcPr>
          <w:p w14:paraId="7FD2B82D" w14:textId="3B75B2F4" w:rsidR="00BA60A0" w:rsidRPr="00206AE1" w:rsidRDefault="00BA60A0" w:rsidP="00BA60A0">
            <w:pPr>
              <w:rPr>
                <w:rFonts w:asciiTheme="majorHAnsi" w:eastAsia="Times New Roman" w:hAnsiTheme="majorHAnsi" w:cs="Arial"/>
                <w:color w:val="auto"/>
                <w:sz w:val="20"/>
                <w:szCs w:val="20"/>
              </w:rPr>
            </w:pPr>
            <w:r w:rsidRPr="00206AE1">
              <w:rPr>
                <w:rFonts w:asciiTheme="majorHAnsi" w:eastAsia="Times New Roman" w:hAnsiTheme="majorHAnsi" w:cs="Arial"/>
                <w:color w:val="auto"/>
                <w:sz w:val="20"/>
                <w:szCs w:val="20"/>
              </w:rPr>
              <w:t xml:space="preserve">0.39 kW </w:t>
            </w:r>
            <w:r w:rsidRPr="00206AE1">
              <w:rPr>
                <w:rFonts w:asciiTheme="majorHAnsi" w:eastAsia="Times New Roman" w:hAnsiTheme="majorHAnsi" w:cs="Arial"/>
                <w:color w:val="auto"/>
                <w:sz w:val="20"/>
                <w:szCs w:val="20"/>
              </w:rPr>
              <w:br/>
              <w:t>(4PM - 5PM)</w:t>
            </w:r>
          </w:p>
        </w:tc>
      </w:tr>
      <w:tr w:rsidR="00BA60A0" w:rsidRPr="00206AE1" w14:paraId="5CE3932C" w14:textId="77777777" w:rsidTr="00BA60A0">
        <w:trPr>
          <w:trHeight w:val="315"/>
          <w:tblCellSpacing w:w="0" w:type="dxa"/>
        </w:trPr>
        <w:tc>
          <w:tcPr>
            <w:tcW w:w="2160" w:type="dxa"/>
            <w:tcBorders>
              <w:left w:val="single" w:sz="6" w:space="0" w:color="000000"/>
              <w:bottom w:val="single" w:sz="6" w:space="0" w:color="000000"/>
              <w:right w:val="single" w:sz="6" w:space="0" w:color="000000"/>
            </w:tcBorders>
            <w:shd w:val="clear" w:color="auto" w:fill="FFFFFF" w:themeFill="background1"/>
            <w:tcMar>
              <w:top w:w="30" w:type="dxa"/>
              <w:left w:w="45" w:type="dxa"/>
              <w:bottom w:w="30" w:type="dxa"/>
              <w:right w:w="45" w:type="dxa"/>
            </w:tcMar>
          </w:tcPr>
          <w:p w14:paraId="63C710FD" w14:textId="2BCFEC91" w:rsidR="00BA60A0" w:rsidRPr="00206AE1" w:rsidRDefault="00BA60A0" w:rsidP="00BA60A0">
            <w:pPr>
              <w:keepNext/>
              <w:keepLines/>
              <w:rPr>
                <w:rFonts w:asciiTheme="majorHAnsi" w:hAnsiTheme="majorHAnsi" w:cs="Lucida Grande"/>
                <w:b/>
                <w:sz w:val="20"/>
                <w:szCs w:val="20"/>
              </w:rPr>
            </w:pPr>
            <w:r w:rsidRPr="00206AE1">
              <w:rPr>
                <w:rFonts w:asciiTheme="majorHAnsi" w:hAnsiTheme="majorHAnsi"/>
                <w:b/>
                <w:sz w:val="20"/>
                <w:szCs w:val="20"/>
              </w:rPr>
              <w:t>Nest Learning Thermostat Pilot Study (SCG)</w:t>
            </w:r>
          </w:p>
        </w:tc>
        <w:tc>
          <w:tcPr>
            <w:tcW w:w="900" w:type="dxa"/>
            <w:tcBorders>
              <w:bottom w:val="single" w:sz="6" w:space="0" w:color="000000"/>
              <w:right w:val="single" w:sz="6" w:space="0" w:color="000000"/>
            </w:tcBorders>
            <w:shd w:val="clear" w:color="auto" w:fill="FFFFFF" w:themeFill="background1"/>
            <w:tcMar>
              <w:top w:w="30" w:type="dxa"/>
              <w:left w:w="45" w:type="dxa"/>
              <w:bottom w:w="30" w:type="dxa"/>
              <w:right w:w="45" w:type="dxa"/>
            </w:tcMar>
          </w:tcPr>
          <w:p w14:paraId="66E39552" w14:textId="2E9096CF" w:rsidR="00BA60A0" w:rsidRPr="00206AE1" w:rsidRDefault="00BA60A0" w:rsidP="00BA60A0">
            <w:pPr>
              <w:rPr>
                <w:rFonts w:asciiTheme="majorHAnsi" w:eastAsia="Times New Roman" w:hAnsiTheme="majorHAnsi" w:cs="Arial"/>
                <w:color w:val="auto"/>
                <w:sz w:val="20"/>
                <w:szCs w:val="20"/>
              </w:rPr>
            </w:pPr>
            <w:r w:rsidRPr="00206AE1">
              <w:rPr>
                <w:rFonts w:asciiTheme="majorHAnsi" w:eastAsia="Times New Roman" w:hAnsiTheme="majorHAnsi" w:cs="Arial"/>
                <w:color w:val="auto"/>
                <w:sz w:val="20"/>
                <w:szCs w:val="20"/>
              </w:rPr>
              <w:t>California</w:t>
            </w:r>
          </w:p>
        </w:tc>
        <w:tc>
          <w:tcPr>
            <w:tcW w:w="986" w:type="dxa"/>
            <w:tcBorders>
              <w:bottom w:val="single" w:sz="6" w:space="0" w:color="000000"/>
              <w:right w:val="single" w:sz="6" w:space="0" w:color="000000"/>
            </w:tcBorders>
            <w:shd w:val="clear" w:color="auto" w:fill="FFFFFF" w:themeFill="background1"/>
            <w:tcMar>
              <w:top w:w="30" w:type="dxa"/>
              <w:left w:w="45" w:type="dxa"/>
              <w:bottom w:w="30" w:type="dxa"/>
              <w:right w:w="45" w:type="dxa"/>
            </w:tcMar>
          </w:tcPr>
          <w:p w14:paraId="43E4672C" w14:textId="7BF63FF6" w:rsidR="00BA60A0" w:rsidRPr="00206AE1" w:rsidRDefault="00BA60A0" w:rsidP="00BA60A0">
            <w:pPr>
              <w:rPr>
                <w:rFonts w:asciiTheme="majorHAnsi" w:eastAsia="Times New Roman" w:hAnsiTheme="majorHAnsi" w:cs="Arial"/>
                <w:color w:val="auto"/>
                <w:sz w:val="20"/>
                <w:szCs w:val="20"/>
              </w:rPr>
            </w:pPr>
            <w:r w:rsidRPr="00206AE1">
              <w:rPr>
                <w:rFonts w:asciiTheme="majorHAnsi" w:eastAsia="Times New Roman" w:hAnsiTheme="majorHAnsi" w:cs="Arial"/>
                <w:color w:val="auto"/>
                <w:sz w:val="20"/>
                <w:szCs w:val="20"/>
              </w:rPr>
              <w:t>Southern California Gas</w:t>
            </w:r>
          </w:p>
        </w:tc>
        <w:tc>
          <w:tcPr>
            <w:tcW w:w="1317" w:type="dxa"/>
            <w:tcBorders>
              <w:bottom w:val="single" w:sz="6" w:space="0" w:color="000000"/>
              <w:right w:val="single" w:sz="6" w:space="0" w:color="000000"/>
            </w:tcBorders>
            <w:shd w:val="clear" w:color="auto" w:fill="FFFFFF" w:themeFill="background1"/>
            <w:tcMar>
              <w:top w:w="30" w:type="dxa"/>
              <w:left w:w="45" w:type="dxa"/>
              <w:bottom w:w="30" w:type="dxa"/>
              <w:right w:w="45" w:type="dxa"/>
            </w:tcMar>
          </w:tcPr>
          <w:p w14:paraId="2C56CA8B" w14:textId="3100CC7C" w:rsidR="00BA60A0" w:rsidRPr="00206AE1" w:rsidRDefault="00BA60A0" w:rsidP="00BA60A0">
            <w:pPr>
              <w:rPr>
                <w:rFonts w:asciiTheme="majorHAnsi" w:eastAsia="Times New Roman" w:hAnsiTheme="majorHAnsi" w:cs="Arial"/>
                <w:color w:val="auto"/>
                <w:sz w:val="20"/>
                <w:szCs w:val="20"/>
              </w:rPr>
            </w:pPr>
            <w:r w:rsidRPr="00206AE1">
              <w:rPr>
                <w:rFonts w:asciiTheme="majorHAnsi" w:eastAsia="Times New Roman" w:hAnsiTheme="majorHAnsi" w:cs="Arial"/>
                <w:color w:val="auto"/>
                <w:sz w:val="20"/>
                <w:szCs w:val="20"/>
              </w:rPr>
              <w:t xml:space="preserve">Navigant </w:t>
            </w:r>
          </w:p>
        </w:tc>
        <w:tc>
          <w:tcPr>
            <w:tcW w:w="1071" w:type="dxa"/>
            <w:tcBorders>
              <w:bottom w:val="single" w:sz="6" w:space="0" w:color="000000"/>
              <w:right w:val="single" w:sz="6" w:space="0" w:color="000000"/>
            </w:tcBorders>
            <w:shd w:val="clear" w:color="auto" w:fill="FFFFFF" w:themeFill="background1"/>
            <w:tcMar>
              <w:top w:w="30" w:type="dxa"/>
              <w:left w:w="45" w:type="dxa"/>
              <w:bottom w:w="30" w:type="dxa"/>
              <w:right w:w="45" w:type="dxa"/>
            </w:tcMar>
          </w:tcPr>
          <w:p w14:paraId="18A4FBE2" w14:textId="24D40961" w:rsidR="00BA60A0" w:rsidRPr="00206AE1" w:rsidRDefault="00BA60A0" w:rsidP="00BA60A0">
            <w:pPr>
              <w:rPr>
                <w:rFonts w:asciiTheme="majorHAnsi" w:eastAsia="Times New Roman" w:hAnsiTheme="majorHAnsi" w:cs="Arial"/>
                <w:color w:val="auto"/>
                <w:sz w:val="20"/>
                <w:szCs w:val="20"/>
              </w:rPr>
            </w:pPr>
            <w:r w:rsidRPr="00206AE1">
              <w:rPr>
                <w:rFonts w:asciiTheme="majorHAnsi" w:eastAsia="Times New Roman" w:hAnsiTheme="majorHAnsi" w:cs="Arial"/>
                <w:color w:val="auto"/>
                <w:sz w:val="20"/>
                <w:szCs w:val="20"/>
              </w:rPr>
              <w:t>8/29/2016</w:t>
            </w:r>
          </w:p>
        </w:tc>
        <w:tc>
          <w:tcPr>
            <w:tcW w:w="1418" w:type="dxa"/>
            <w:tcBorders>
              <w:bottom w:val="single" w:sz="6" w:space="0" w:color="000000"/>
              <w:right w:val="single" w:sz="6" w:space="0" w:color="000000"/>
            </w:tcBorders>
            <w:shd w:val="clear" w:color="auto" w:fill="FFFFFF" w:themeFill="background1"/>
            <w:tcMar>
              <w:top w:w="30" w:type="dxa"/>
              <w:left w:w="45" w:type="dxa"/>
              <w:bottom w:w="30" w:type="dxa"/>
              <w:right w:w="45" w:type="dxa"/>
            </w:tcMar>
          </w:tcPr>
          <w:p w14:paraId="49809103" w14:textId="77777777" w:rsidR="00BA60A0" w:rsidRDefault="00BA60A0" w:rsidP="00BA60A0">
            <w:pPr>
              <w:keepNext/>
              <w:keepLines/>
              <w:spacing w:before="480" w:after="120"/>
              <w:rPr>
                <w:rFonts w:asciiTheme="majorHAnsi" w:hAnsiTheme="majorHAnsi" w:cs="Lucida Grande"/>
                <w:b/>
                <w:sz w:val="20"/>
                <w:szCs w:val="20"/>
              </w:rPr>
            </w:pPr>
            <w:r w:rsidRPr="00206AE1">
              <w:rPr>
                <w:rFonts w:asciiTheme="majorHAnsi" w:hAnsiTheme="majorHAnsi" w:cs="Lucida Grande"/>
                <w:b/>
                <w:sz w:val="20"/>
                <w:szCs w:val="20"/>
              </w:rPr>
              <w:t>2.3% and</w:t>
            </w:r>
          </w:p>
          <w:p w14:paraId="0C5FC839" w14:textId="6447EFBD" w:rsidR="00BA60A0" w:rsidRPr="00206AE1" w:rsidRDefault="00BA60A0" w:rsidP="00BA60A0">
            <w:pPr>
              <w:keepNext/>
              <w:keepLines/>
              <w:spacing w:before="480" w:after="120"/>
              <w:rPr>
                <w:rFonts w:asciiTheme="majorHAnsi" w:eastAsia="Times New Roman" w:hAnsiTheme="majorHAnsi" w:cs="Arial"/>
                <w:b/>
                <w:bCs/>
                <w:color w:val="auto"/>
                <w:sz w:val="20"/>
                <w:szCs w:val="20"/>
              </w:rPr>
            </w:pPr>
            <w:r w:rsidRPr="00206AE1">
              <w:rPr>
                <w:rFonts w:asciiTheme="majorHAnsi" w:hAnsiTheme="majorHAnsi" w:cs="Lucida Grande"/>
                <w:b/>
                <w:sz w:val="20"/>
                <w:szCs w:val="20"/>
              </w:rPr>
              <w:t>5.4% (TMY)</w:t>
            </w:r>
          </w:p>
        </w:tc>
        <w:tc>
          <w:tcPr>
            <w:tcW w:w="1598" w:type="dxa"/>
            <w:tcBorders>
              <w:bottom w:val="single" w:sz="6" w:space="0" w:color="000000"/>
              <w:right w:val="single" w:sz="6" w:space="0" w:color="000000"/>
            </w:tcBorders>
            <w:shd w:val="clear" w:color="auto" w:fill="FFFFFF" w:themeFill="background1"/>
            <w:tcMar>
              <w:top w:w="30" w:type="dxa"/>
              <w:left w:w="45" w:type="dxa"/>
              <w:bottom w:w="30" w:type="dxa"/>
              <w:right w:w="45" w:type="dxa"/>
            </w:tcMar>
          </w:tcPr>
          <w:p w14:paraId="5190F23F" w14:textId="77777777" w:rsidR="00BA60A0" w:rsidRPr="00206AE1" w:rsidRDefault="00BA60A0" w:rsidP="00BA60A0">
            <w:pPr>
              <w:rPr>
                <w:rFonts w:asciiTheme="majorHAnsi" w:eastAsia="Times New Roman" w:hAnsiTheme="majorHAnsi" w:cs="Arial"/>
                <w:b/>
                <w:bCs/>
                <w:color w:val="auto"/>
                <w:sz w:val="20"/>
                <w:szCs w:val="20"/>
              </w:rPr>
            </w:pPr>
          </w:p>
        </w:tc>
        <w:tc>
          <w:tcPr>
            <w:tcW w:w="1080" w:type="dxa"/>
            <w:tcBorders>
              <w:bottom w:val="single" w:sz="6" w:space="0" w:color="000000"/>
              <w:right w:val="single" w:sz="6" w:space="0" w:color="000000"/>
            </w:tcBorders>
            <w:shd w:val="clear" w:color="auto" w:fill="FFFFFF" w:themeFill="background1"/>
            <w:tcMar>
              <w:top w:w="30" w:type="dxa"/>
              <w:left w:w="45" w:type="dxa"/>
              <w:bottom w:w="30" w:type="dxa"/>
              <w:right w:w="45" w:type="dxa"/>
            </w:tcMar>
          </w:tcPr>
          <w:p w14:paraId="40AA35ED" w14:textId="77777777" w:rsidR="00BA60A0" w:rsidRPr="00206AE1" w:rsidRDefault="00BA60A0" w:rsidP="00BA60A0">
            <w:pPr>
              <w:rPr>
                <w:rFonts w:asciiTheme="majorHAnsi" w:eastAsia="Times New Roman" w:hAnsiTheme="majorHAnsi" w:cs="Arial"/>
                <w:color w:val="auto"/>
                <w:sz w:val="20"/>
                <w:szCs w:val="20"/>
              </w:rPr>
            </w:pPr>
          </w:p>
        </w:tc>
      </w:tr>
      <w:tr w:rsidR="00BA60A0" w:rsidRPr="00206AE1" w14:paraId="6C735A00" w14:textId="77777777" w:rsidTr="00BA60A0">
        <w:trPr>
          <w:trHeight w:val="315"/>
          <w:tblCellSpacing w:w="0" w:type="dxa"/>
        </w:trPr>
        <w:tc>
          <w:tcPr>
            <w:tcW w:w="2160" w:type="dxa"/>
            <w:tcBorders>
              <w:left w:val="single" w:sz="6" w:space="0" w:color="000000"/>
              <w:bottom w:val="single" w:sz="6" w:space="0" w:color="000000"/>
              <w:right w:val="single" w:sz="6" w:space="0" w:color="000000"/>
            </w:tcBorders>
            <w:shd w:val="clear" w:color="auto" w:fill="FFFFFF" w:themeFill="background1"/>
            <w:tcMar>
              <w:top w:w="30" w:type="dxa"/>
              <w:left w:w="45" w:type="dxa"/>
              <w:bottom w:w="30" w:type="dxa"/>
              <w:right w:w="45" w:type="dxa"/>
            </w:tcMar>
            <w:hideMark/>
          </w:tcPr>
          <w:p w14:paraId="2756FC3E" w14:textId="77777777" w:rsidR="00BA60A0" w:rsidRPr="00206AE1" w:rsidRDefault="00BA60A0" w:rsidP="00BA60A0">
            <w:pPr>
              <w:rPr>
                <w:rFonts w:asciiTheme="majorHAnsi" w:eastAsia="Times New Roman" w:hAnsiTheme="majorHAnsi" w:cs="Arial"/>
                <w:b/>
                <w:bCs/>
                <w:sz w:val="20"/>
                <w:szCs w:val="20"/>
              </w:rPr>
            </w:pPr>
            <w:r w:rsidRPr="00206AE1">
              <w:rPr>
                <w:rFonts w:asciiTheme="majorHAnsi" w:eastAsia="Times New Roman" w:hAnsiTheme="majorHAnsi" w:cs="Arial"/>
                <w:b/>
                <w:bCs/>
                <w:sz w:val="20"/>
                <w:szCs w:val="20"/>
              </w:rPr>
              <w:t>Regression Model for this Work Paper</w:t>
            </w:r>
          </w:p>
        </w:tc>
        <w:tc>
          <w:tcPr>
            <w:tcW w:w="900" w:type="dxa"/>
            <w:tcBorders>
              <w:bottom w:val="single" w:sz="6" w:space="0" w:color="000000"/>
              <w:right w:val="single" w:sz="6" w:space="0" w:color="000000"/>
            </w:tcBorders>
            <w:shd w:val="clear" w:color="auto" w:fill="FFFFFF" w:themeFill="background1"/>
            <w:tcMar>
              <w:top w:w="30" w:type="dxa"/>
              <w:left w:w="45" w:type="dxa"/>
              <w:bottom w:w="30" w:type="dxa"/>
              <w:right w:w="45" w:type="dxa"/>
            </w:tcMar>
            <w:hideMark/>
          </w:tcPr>
          <w:p w14:paraId="4F17A80B" w14:textId="77777777" w:rsidR="00BA60A0" w:rsidRPr="00206AE1" w:rsidRDefault="00BA60A0" w:rsidP="00BA60A0">
            <w:pPr>
              <w:rPr>
                <w:rFonts w:asciiTheme="majorHAnsi" w:eastAsia="Times New Roman" w:hAnsiTheme="majorHAnsi" w:cs="Arial"/>
                <w:color w:val="auto"/>
                <w:sz w:val="20"/>
                <w:szCs w:val="20"/>
              </w:rPr>
            </w:pPr>
            <w:r w:rsidRPr="00206AE1">
              <w:rPr>
                <w:rFonts w:asciiTheme="majorHAnsi" w:eastAsia="Times New Roman" w:hAnsiTheme="majorHAnsi" w:cs="Arial"/>
                <w:color w:val="auto"/>
                <w:sz w:val="20"/>
                <w:szCs w:val="20"/>
              </w:rPr>
              <w:t>California</w:t>
            </w:r>
          </w:p>
        </w:tc>
        <w:tc>
          <w:tcPr>
            <w:tcW w:w="986" w:type="dxa"/>
            <w:tcBorders>
              <w:bottom w:val="single" w:sz="6" w:space="0" w:color="000000"/>
              <w:right w:val="single" w:sz="6" w:space="0" w:color="000000"/>
            </w:tcBorders>
            <w:shd w:val="clear" w:color="auto" w:fill="FFFFFF" w:themeFill="background1"/>
            <w:tcMar>
              <w:top w:w="30" w:type="dxa"/>
              <w:left w:w="45" w:type="dxa"/>
              <w:bottom w:w="30" w:type="dxa"/>
              <w:right w:w="45" w:type="dxa"/>
            </w:tcMar>
            <w:hideMark/>
          </w:tcPr>
          <w:p w14:paraId="59969FD0" w14:textId="77777777" w:rsidR="00BA60A0" w:rsidRPr="00206AE1" w:rsidRDefault="00BA60A0" w:rsidP="00BA60A0">
            <w:pPr>
              <w:rPr>
                <w:rFonts w:asciiTheme="majorHAnsi" w:eastAsia="Times New Roman" w:hAnsiTheme="majorHAnsi" w:cs="Arial"/>
                <w:color w:val="auto"/>
                <w:sz w:val="20"/>
                <w:szCs w:val="20"/>
              </w:rPr>
            </w:pPr>
            <w:r w:rsidRPr="00206AE1">
              <w:rPr>
                <w:rFonts w:asciiTheme="majorHAnsi" w:eastAsia="Times New Roman" w:hAnsiTheme="majorHAnsi" w:cs="Arial"/>
                <w:color w:val="auto"/>
                <w:sz w:val="20"/>
                <w:szCs w:val="20"/>
              </w:rPr>
              <w:t>Southern California Edison</w:t>
            </w:r>
          </w:p>
        </w:tc>
        <w:tc>
          <w:tcPr>
            <w:tcW w:w="1317" w:type="dxa"/>
            <w:tcBorders>
              <w:bottom w:val="single" w:sz="6" w:space="0" w:color="000000"/>
              <w:right w:val="single" w:sz="6" w:space="0" w:color="000000"/>
            </w:tcBorders>
            <w:shd w:val="clear" w:color="auto" w:fill="FFFFFF" w:themeFill="background1"/>
            <w:tcMar>
              <w:top w:w="30" w:type="dxa"/>
              <w:left w:w="45" w:type="dxa"/>
              <w:bottom w:w="30" w:type="dxa"/>
              <w:right w:w="45" w:type="dxa"/>
            </w:tcMar>
            <w:hideMark/>
          </w:tcPr>
          <w:p w14:paraId="027DC509" w14:textId="77777777" w:rsidR="00BA60A0" w:rsidRPr="00206AE1" w:rsidRDefault="00BA60A0" w:rsidP="00BA60A0">
            <w:pPr>
              <w:rPr>
                <w:rFonts w:asciiTheme="majorHAnsi" w:eastAsia="Times New Roman" w:hAnsiTheme="majorHAnsi" w:cs="Arial"/>
                <w:color w:val="auto"/>
                <w:sz w:val="20"/>
                <w:szCs w:val="20"/>
              </w:rPr>
            </w:pPr>
            <w:r w:rsidRPr="00206AE1">
              <w:rPr>
                <w:rFonts w:asciiTheme="majorHAnsi" w:eastAsia="Times New Roman" w:hAnsiTheme="majorHAnsi" w:cs="Arial"/>
                <w:color w:val="auto"/>
                <w:sz w:val="20"/>
                <w:szCs w:val="20"/>
              </w:rPr>
              <w:t>SCE, Nest Labs</w:t>
            </w:r>
          </w:p>
        </w:tc>
        <w:tc>
          <w:tcPr>
            <w:tcW w:w="1071" w:type="dxa"/>
            <w:tcBorders>
              <w:bottom w:val="single" w:sz="6" w:space="0" w:color="000000"/>
              <w:right w:val="single" w:sz="6" w:space="0" w:color="000000"/>
            </w:tcBorders>
            <w:shd w:val="clear" w:color="auto" w:fill="FFFFFF" w:themeFill="background1"/>
            <w:tcMar>
              <w:top w:w="30" w:type="dxa"/>
              <w:left w:w="45" w:type="dxa"/>
              <w:bottom w:w="30" w:type="dxa"/>
              <w:right w:w="45" w:type="dxa"/>
            </w:tcMar>
            <w:hideMark/>
          </w:tcPr>
          <w:p w14:paraId="2DFC8EE9" w14:textId="77777777" w:rsidR="00BA60A0" w:rsidRPr="00206AE1" w:rsidRDefault="00BA60A0" w:rsidP="00BA60A0">
            <w:pPr>
              <w:rPr>
                <w:rFonts w:asciiTheme="majorHAnsi" w:eastAsia="Times New Roman" w:hAnsiTheme="majorHAnsi" w:cs="Arial"/>
                <w:color w:val="auto"/>
                <w:sz w:val="20"/>
                <w:szCs w:val="20"/>
              </w:rPr>
            </w:pPr>
            <w:r w:rsidRPr="00206AE1">
              <w:rPr>
                <w:rFonts w:asciiTheme="majorHAnsi" w:eastAsia="Times New Roman" w:hAnsiTheme="majorHAnsi" w:cs="Arial"/>
                <w:color w:val="auto"/>
                <w:sz w:val="20"/>
                <w:szCs w:val="20"/>
              </w:rPr>
              <w:t>Draft in September, 2016</w:t>
            </w:r>
          </w:p>
        </w:tc>
        <w:tc>
          <w:tcPr>
            <w:tcW w:w="1418" w:type="dxa"/>
            <w:tcBorders>
              <w:bottom w:val="single" w:sz="6" w:space="0" w:color="000000"/>
              <w:right w:val="single" w:sz="6" w:space="0" w:color="000000"/>
            </w:tcBorders>
            <w:shd w:val="clear" w:color="auto" w:fill="FFFFFF" w:themeFill="background1"/>
            <w:tcMar>
              <w:top w:w="30" w:type="dxa"/>
              <w:left w:w="45" w:type="dxa"/>
              <w:bottom w:w="30" w:type="dxa"/>
              <w:right w:w="45" w:type="dxa"/>
            </w:tcMar>
            <w:hideMark/>
          </w:tcPr>
          <w:p w14:paraId="4D0353AB" w14:textId="77777777" w:rsidR="00BA60A0" w:rsidRPr="00206AE1" w:rsidRDefault="00BA60A0" w:rsidP="00BA60A0">
            <w:pPr>
              <w:rPr>
                <w:rFonts w:asciiTheme="majorHAnsi" w:eastAsia="Times New Roman" w:hAnsiTheme="majorHAnsi" w:cs="Arial"/>
                <w:b/>
                <w:bCs/>
                <w:color w:val="auto"/>
                <w:sz w:val="20"/>
                <w:szCs w:val="20"/>
              </w:rPr>
            </w:pPr>
            <w:r w:rsidRPr="00206AE1">
              <w:rPr>
                <w:rFonts w:asciiTheme="majorHAnsi" w:eastAsia="Times New Roman" w:hAnsiTheme="majorHAnsi" w:cs="Arial"/>
                <w:b/>
                <w:bCs/>
                <w:color w:val="auto"/>
                <w:sz w:val="20"/>
                <w:szCs w:val="20"/>
              </w:rPr>
              <w:t>11%</w:t>
            </w:r>
          </w:p>
        </w:tc>
        <w:tc>
          <w:tcPr>
            <w:tcW w:w="1598" w:type="dxa"/>
            <w:tcBorders>
              <w:bottom w:val="single" w:sz="6" w:space="0" w:color="000000"/>
              <w:right w:val="single" w:sz="6" w:space="0" w:color="000000"/>
            </w:tcBorders>
            <w:shd w:val="clear" w:color="auto" w:fill="FFFFFF" w:themeFill="background1"/>
            <w:tcMar>
              <w:top w:w="30" w:type="dxa"/>
              <w:left w:w="45" w:type="dxa"/>
              <w:bottom w:w="30" w:type="dxa"/>
              <w:right w:w="45" w:type="dxa"/>
            </w:tcMar>
            <w:hideMark/>
          </w:tcPr>
          <w:p w14:paraId="13AD9B7E" w14:textId="77777777" w:rsidR="00BA60A0" w:rsidRPr="00206AE1" w:rsidRDefault="00BA60A0" w:rsidP="00BA60A0">
            <w:pPr>
              <w:rPr>
                <w:rFonts w:asciiTheme="majorHAnsi" w:eastAsia="Times New Roman" w:hAnsiTheme="majorHAnsi" w:cs="Arial"/>
                <w:b/>
                <w:bCs/>
                <w:color w:val="auto"/>
                <w:sz w:val="20"/>
                <w:szCs w:val="20"/>
              </w:rPr>
            </w:pPr>
            <w:r w:rsidRPr="00206AE1">
              <w:rPr>
                <w:rFonts w:asciiTheme="majorHAnsi" w:eastAsia="Times New Roman" w:hAnsiTheme="majorHAnsi" w:cs="Arial"/>
                <w:b/>
                <w:bCs/>
                <w:color w:val="auto"/>
                <w:sz w:val="20"/>
                <w:szCs w:val="20"/>
              </w:rPr>
              <w:t>12%</w:t>
            </w:r>
          </w:p>
        </w:tc>
        <w:tc>
          <w:tcPr>
            <w:tcW w:w="1080" w:type="dxa"/>
            <w:tcBorders>
              <w:bottom w:val="single" w:sz="6" w:space="0" w:color="000000"/>
              <w:right w:val="single" w:sz="6" w:space="0" w:color="000000"/>
            </w:tcBorders>
            <w:shd w:val="clear" w:color="auto" w:fill="FFFFFF" w:themeFill="background1"/>
            <w:tcMar>
              <w:top w:w="30" w:type="dxa"/>
              <w:left w:w="45" w:type="dxa"/>
              <w:bottom w:w="30" w:type="dxa"/>
              <w:right w:w="45" w:type="dxa"/>
            </w:tcMar>
            <w:hideMark/>
          </w:tcPr>
          <w:p w14:paraId="0632F87C" w14:textId="77777777" w:rsidR="00BA60A0" w:rsidRPr="00206AE1" w:rsidRDefault="00BA60A0" w:rsidP="00BA60A0">
            <w:pPr>
              <w:rPr>
                <w:rFonts w:asciiTheme="majorHAnsi" w:eastAsia="Times New Roman" w:hAnsiTheme="majorHAnsi" w:cs="Arial"/>
                <w:color w:val="auto"/>
                <w:sz w:val="20"/>
                <w:szCs w:val="20"/>
              </w:rPr>
            </w:pPr>
            <w:r w:rsidRPr="00206AE1">
              <w:rPr>
                <w:rFonts w:asciiTheme="majorHAnsi" w:eastAsia="Times New Roman" w:hAnsiTheme="majorHAnsi" w:cs="Arial"/>
                <w:color w:val="auto"/>
                <w:sz w:val="20"/>
                <w:szCs w:val="20"/>
              </w:rPr>
              <w:t>N/A</w:t>
            </w:r>
          </w:p>
        </w:tc>
      </w:tr>
    </w:tbl>
    <w:p w14:paraId="39000246" w14:textId="62F3E048" w:rsidR="009B5F0B" w:rsidRPr="00206AE1" w:rsidRDefault="003730EF">
      <w:pPr>
        <w:pStyle w:val="Normal1"/>
        <w:spacing w:line="276" w:lineRule="auto"/>
        <w:rPr>
          <w:color w:val="auto"/>
          <w:sz w:val="18"/>
          <w:szCs w:val="18"/>
        </w:rPr>
      </w:pPr>
      <w:r w:rsidRPr="00206AE1">
        <w:rPr>
          <w:sz w:val="18"/>
          <w:szCs w:val="18"/>
        </w:rPr>
        <w:t>*</w:t>
      </w:r>
      <w:r w:rsidR="0065445C" w:rsidRPr="00206AE1">
        <w:rPr>
          <w:sz w:val="18"/>
          <w:szCs w:val="18"/>
        </w:rPr>
        <w:t xml:space="preserve">PG&amp;E’s study was designed to capture and estimate electric savings, not gas savings. </w:t>
      </w:r>
      <w:r w:rsidR="0065445C" w:rsidRPr="00206AE1">
        <w:rPr>
          <w:color w:val="auto"/>
          <w:sz w:val="18"/>
          <w:szCs w:val="18"/>
        </w:rPr>
        <w:t xml:space="preserve">Preliminary </w:t>
      </w:r>
      <w:r w:rsidR="009B5F0B" w:rsidRPr="00206AE1">
        <w:rPr>
          <w:color w:val="auto"/>
          <w:sz w:val="18"/>
          <w:szCs w:val="18"/>
        </w:rPr>
        <w:t>gas savings values are unusually low and being further analyzed at this time</w:t>
      </w:r>
      <w:r w:rsidR="00446911" w:rsidRPr="00206AE1">
        <w:rPr>
          <w:color w:val="auto"/>
          <w:sz w:val="18"/>
          <w:szCs w:val="18"/>
        </w:rPr>
        <w:t xml:space="preserve">. </w:t>
      </w:r>
      <w:r w:rsidR="009B5F0B" w:rsidRPr="00206AE1">
        <w:rPr>
          <w:color w:val="auto"/>
          <w:sz w:val="18"/>
          <w:szCs w:val="18"/>
        </w:rPr>
        <w:t>Monitoring period for gas savings has been extended and can be updated when complete.</w:t>
      </w:r>
    </w:p>
    <w:p w14:paraId="09458777" w14:textId="09F665C8" w:rsidR="0065445C" w:rsidRPr="00206AE1" w:rsidRDefault="0065445C">
      <w:pPr>
        <w:pStyle w:val="Normal1"/>
        <w:spacing w:line="276" w:lineRule="auto"/>
        <w:rPr>
          <w:sz w:val="18"/>
          <w:szCs w:val="18"/>
        </w:rPr>
      </w:pPr>
      <w:r w:rsidRPr="00206AE1">
        <w:rPr>
          <w:color w:val="auto"/>
          <w:sz w:val="18"/>
          <w:szCs w:val="18"/>
        </w:rPr>
        <w:t>**Cooling savings were not calculated/estimated in the PG&amp;E study, range is rough approximation</w:t>
      </w:r>
    </w:p>
    <w:p w14:paraId="238CC9F9" w14:textId="77777777" w:rsidR="003730EF" w:rsidRDefault="003730EF">
      <w:pPr>
        <w:pStyle w:val="Normal1"/>
        <w:spacing w:line="276" w:lineRule="auto"/>
      </w:pPr>
    </w:p>
    <w:p w14:paraId="44B3AAAF" w14:textId="77777777" w:rsidR="00BA60A0" w:rsidRDefault="00BA60A0">
      <w:pPr>
        <w:pStyle w:val="Normal1"/>
        <w:spacing w:line="276" w:lineRule="auto"/>
        <w:rPr>
          <w:b/>
          <w:sz w:val="28"/>
          <w:szCs w:val="28"/>
        </w:rPr>
      </w:pPr>
    </w:p>
    <w:p w14:paraId="3BA7D7F6" w14:textId="77777777" w:rsidR="00BA60A0" w:rsidRDefault="00BA60A0">
      <w:pPr>
        <w:pStyle w:val="Normal1"/>
        <w:spacing w:line="276" w:lineRule="auto"/>
        <w:rPr>
          <w:b/>
          <w:sz w:val="28"/>
          <w:szCs w:val="28"/>
        </w:rPr>
      </w:pPr>
    </w:p>
    <w:p w14:paraId="0EEC3B03" w14:textId="77777777" w:rsidR="00576C8C" w:rsidRDefault="007173B2">
      <w:pPr>
        <w:pStyle w:val="Normal1"/>
        <w:spacing w:line="276" w:lineRule="auto"/>
      </w:pPr>
      <w:r>
        <w:rPr>
          <w:b/>
          <w:sz w:val="28"/>
          <w:szCs w:val="28"/>
        </w:rPr>
        <w:lastRenderedPageBreak/>
        <w:t>3.3.1 Comparison Report Summaries</w:t>
      </w:r>
    </w:p>
    <w:p w14:paraId="17A0A42E" w14:textId="77777777" w:rsidR="00576C8C" w:rsidRDefault="00576C8C">
      <w:pPr>
        <w:pStyle w:val="Normal1"/>
        <w:spacing w:line="276" w:lineRule="auto"/>
      </w:pPr>
    </w:p>
    <w:p w14:paraId="08C73422" w14:textId="3D1050E7" w:rsidR="00576C8C" w:rsidRPr="008157E7" w:rsidRDefault="007173B2">
      <w:pPr>
        <w:pStyle w:val="Normal1"/>
        <w:spacing w:line="276" w:lineRule="auto"/>
      </w:pPr>
      <w:r w:rsidRPr="00945D39">
        <w:rPr>
          <w:b/>
        </w:rPr>
        <w:t xml:space="preserve">Study: </w:t>
      </w:r>
      <w:r w:rsidR="00BB66ED" w:rsidRPr="00761C41">
        <w:rPr>
          <w:rFonts w:eastAsia="Times New Roman" w:cs="Times New Roman"/>
          <w:color w:val="auto"/>
        </w:rPr>
        <w:t>PG&amp;E Smart Thermosta</w:t>
      </w:r>
      <w:r w:rsidR="00761C41">
        <w:rPr>
          <w:rFonts w:eastAsia="Times New Roman" w:cs="Times New Roman"/>
          <w:color w:val="auto"/>
        </w:rPr>
        <w:t xml:space="preserve">t Study: First Year </w:t>
      </w:r>
      <w:proofErr w:type="gramStart"/>
      <w:r w:rsidR="00761C41">
        <w:rPr>
          <w:rFonts w:eastAsia="Times New Roman" w:cs="Times New Roman"/>
          <w:color w:val="auto"/>
        </w:rPr>
        <w:t>Findings</w:t>
      </w:r>
      <w:r w:rsidR="00761C41" w:rsidRPr="00761C41">
        <w:rPr>
          <w:rFonts w:eastAsia="Times New Roman" w:cs="Times New Roman"/>
          <w:color w:val="auto"/>
          <w:vertAlign w:val="superscript"/>
        </w:rPr>
        <w:t>(</w:t>
      </w:r>
      <w:proofErr w:type="gramEnd"/>
      <w:r w:rsidR="00761C41" w:rsidRPr="00761C41">
        <w:rPr>
          <w:rFonts w:eastAsia="Times New Roman" w:cs="Times New Roman"/>
          <w:color w:val="auto"/>
          <w:vertAlign w:val="superscript"/>
        </w:rPr>
        <w:t>35</w:t>
      </w:r>
      <w:r w:rsidR="00BB66ED" w:rsidRPr="00761C41">
        <w:rPr>
          <w:rFonts w:eastAsia="Times New Roman" w:cs="Times New Roman"/>
          <w:color w:val="auto"/>
          <w:vertAlign w:val="superscript"/>
        </w:rPr>
        <w:t>)</w:t>
      </w:r>
    </w:p>
    <w:p w14:paraId="5D27B166" w14:textId="11239CCE" w:rsidR="00576C8C" w:rsidRPr="00945D39" w:rsidRDefault="007173B2">
      <w:pPr>
        <w:pStyle w:val="Normal1"/>
      </w:pPr>
      <w:r w:rsidRPr="008157E7">
        <w:rPr>
          <w:b/>
        </w:rPr>
        <w:t xml:space="preserve">Techniques used: </w:t>
      </w:r>
      <w:r w:rsidR="008C3FFD" w:rsidRPr="00761C41">
        <w:rPr>
          <w:rFonts w:cs="Lucida Grande"/>
        </w:rPr>
        <w:t>Randomized Encouragement Design (RED) -Pooled Fixed Effects / Difference-In-Difference with adjustment for opt-in/out</w:t>
      </w:r>
    </w:p>
    <w:p w14:paraId="56CD86F8" w14:textId="16442305" w:rsidR="00576C8C" w:rsidRPr="003D4E9C" w:rsidRDefault="007173B2">
      <w:pPr>
        <w:pStyle w:val="Normal1"/>
      </w:pPr>
      <w:r w:rsidRPr="003D4E9C">
        <w:rPr>
          <w:b/>
        </w:rPr>
        <w:t>S</w:t>
      </w:r>
      <w:r w:rsidRPr="008157E7">
        <w:rPr>
          <w:b/>
        </w:rPr>
        <w:t xml:space="preserve">tudy Size: </w:t>
      </w:r>
      <w:r w:rsidR="008C3FFD" w:rsidRPr="00761C41">
        <w:rPr>
          <w:rFonts w:cs="Lucida Grande"/>
        </w:rPr>
        <w:t>~2200</w:t>
      </w:r>
    </w:p>
    <w:p w14:paraId="25BFCE08" w14:textId="77777777" w:rsidR="00576C8C" w:rsidRPr="008157E7" w:rsidRDefault="00576C8C">
      <w:pPr>
        <w:pStyle w:val="Normal1"/>
        <w:spacing w:line="276" w:lineRule="auto"/>
      </w:pPr>
    </w:p>
    <w:p w14:paraId="4A4FDF00" w14:textId="35BE0438" w:rsidR="00576C8C" w:rsidRPr="008157E7" w:rsidRDefault="007173B2">
      <w:pPr>
        <w:pStyle w:val="Normal1"/>
        <w:spacing w:line="276" w:lineRule="auto"/>
      </w:pPr>
      <w:r w:rsidRPr="008157E7">
        <w:rPr>
          <w:b/>
        </w:rPr>
        <w:t xml:space="preserve">Study: </w:t>
      </w:r>
      <w:r w:rsidR="00BB66ED" w:rsidRPr="00761C41">
        <w:rPr>
          <w:rFonts w:cs="Lucida Grande"/>
        </w:rPr>
        <w:t xml:space="preserve">Energy Savings from the Nest Learning Thermostat: Energy Bill Analysis </w:t>
      </w:r>
      <w:proofErr w:type="gramStart"/>
      <w:r w:rsidR="00BB66ED" w:rsidRPr="00761C41">
        <w:rPr>
          <w:rFonts w:cs="Lucida Grande"/>
        </w:rPr>
        <w:t>Results</w:t>
      </w:r>
      <w:r w:rsidR="00465CA0" w:rsidRPr="00465CA0">
        <w:rPr>
          <w:rFonts w:eastAsia="Times New Roman" w:cs="Times New Roman"/>
          <w:color w:val="auto"/>
          <w:vertAlign w:val="superscript"/>
        </w:rPr>
        <w:t>(</w:t>
      </w:r>
      <w:proofErr w:type="gramEnd"/>
      <w:r w:rsidR="00465CA0" w:rsidRPr="00465CA0">
        <w:rPr>
          <w:rFonts w:eastAsia="Times New Roman" w:cs="Times New Roman"/>
          <w:color w:val="auto"/>
          <w:vertAlign w:val="superscript"/>
        </w:rPr>
        <w:t>18</w:t>
      </w:r>
      <w:r w:rsidR="00663A97" w:rsidRPr="00465CA0">
        <w:rPr>
          <w:rFonts w:eastAsia="Times New Roman" w:cs="Times New Roman"/>
          <w:color w:val="auto"/>
          <w:vertAlign w:val="superscript"/>
        </w:rPr>
        <w:t>)</w:t>
      </w:r>
    </w:p>
    <w:p w14:paraId="752AD186" w14:textId="2C793340" w:rsidR="00576C8C" w:rsidRPr="00945D39" w:rsidRDefault="007173B2">
      <w:pPr>
        <w:pStyle w:val="Normal1"/>
      </w:pPr>
      <w:r w:rsidRPr="008157E7">
        <w:rPr>
          <w:b/>
        </w:rPr>
        <w:t xml:space="preserve">Techniques used:  </w:t>
      </w:r>
      <w:r w:rsidR="00724534" w:rsidRPr="00761C41">
        <w:rPr>
          <w:rFonts w:cs="Lucida Grande"/>
        </w:rPr>
        <w:t xml:space="preserve">2-stage normalized / Pooled Fixed Effects </w:t>
      </w:r>
    </w:p>
    <w:p w14:paraId="19D0248A" w14:textId="752424FE" w:rsidR="00BB66ED" w:rsidRPr="00945D39" w:rsidRDefault="00BB66ED" w:rsidP="00BB66ED">
      <w:pPr>
        <w:pStyle w:val="Normal1"/>
      </w:pPr>
      <w:r w:rsidRPr="003D4E9C">
        <w:rPr>
          <w:b/>
        </w:rPr>
        <w:t xml:space="preserve">Study Size: </w:t>
      </w:r>
      <w:r w:rsidR="00724534" w:rsidRPr="00761C41">
        <w:t>National Sample</w:t>
      </w:r>
    </w:p>
    <w:p w14:paraId="65673744" w14:textId="77777777" w:rsidR="00576C8C" w:rsidRPr="008157E7" w:rsidRDefault="00576C8C">
      <w:pPr>
        <w:pStyle w:val="Normal1"/>
        <w:spacing w:line="276" w:lineRule="auto"/>
      </w:pPr>
    </w:p>
    <w:p w14:paraId="43C0150D" w14:textId="66966229" w:rsidR="00576C8C" w:rsidRPr="008157E7" w:rsidRDefault="007173B2">
      <w:pPr>
        <w:pStyle w:val="Normal1"/>
        <w:spacing w:line="276" w:lineRule="auto"/>
      </w:pPr>
      <w:r w:rsidRPr="008157E7">
        <w:rPr>
          <w:b/>
        </w:rPr>
        <w:t xml:space="preserve">Study: </w:t>
      </w:r>
      <w:r w:rsidR="00BB66ED" w:rsidRPr="00761C41">
        <w:rPr>
          <w:rFonts w:eastAsia="Times New Roman" w:cs="Arial"/>
          <w:bCs/>
          <w:color w:val="auto"/>
        </w:rPr>
        <w:t>Evaluation of the 2013–2014</w:t>
      </w:r>
      <w:r w:rsidR="007264FA" w:rsidRPr="00945D39">
        <w:rPr>
          <w:rFonts w:eastAsia="Times New Roman" w:cs="Arial"/>
          <w:bCs/>
          <w:color w:val="auto"/>
        </w:rPr>
        <w:t xml:space="preserve"> </w:t>
      </w:r>
      <w:r w:rsidR="00BB66ED" w:rsidRPr="00761C41">
        <w:rPr>
          <w:rFonts w:eastAsia="Times New Roman" w:cs="Arial"/>
          <w:bCs/>
          <w:color w:val="auto"/>
        </w:rPr>
        <w:t xml:space="preserve">Programmable and Smart Thermostat </w:t>
      </w:r>
      <w:proofErr w:type="gramStart"/>
      <w:r w:rsidR="00BB66ED" w:rsidRPr="00761C41">
        <w:rPr>
          <w:rFonts w:eastAsia="Times New Roman" w:cs="Arial"/>
          <w:bCs/>
          <w:color w:val="auto"/>
        </w:rPr>
        <w:t>Program</w:t>
      </w:r>
      <w:r w:rsidR="00465CA0" w:rsidRPr="00465CA0">
        <w:rPr>
          <w:rFonts w:eastAsia="Times New Roman" w:cs="Times New Roman"/>
          <w:color w:val="auto"/>
          <w:vertAlign w:val="superscript"/>
        </w:rPr>
        <w:t>(</w:t>
      </w:r>
      <w:proofErr w:type="gramEnd"/>
      <w:r w:rsidR="00465CA0" w:rsidRPr="00465CA0">
        <w:rPr>
          <w:rFonts w:eastAsia="Times New Roman" w:cs="Times New Roman"/>
          <w:color w:val="auto"/>
          <w:vertAlign w:val="superscript"/>
        </w:rPr>
        <w:t>20</w:t>
      </w:r>
      <w:r w:rsidR="00663A97" w:rsidRPr="00465CA0">
        <w:rPr>
          <w:rFonts w:eastAsia="Times New Roman" w:cs="Times New Roman"/>
          <w:color w:val="auto"/>
          <w:vertAlign w:val="superscript"/>
        </w:rPr>
        <w:t>)</w:t>
      </w:r>
    </w:p>
    <w:p w14:paraId="3AF47C66" w14:textId="2173B84B" w:rsidR="00576C8C" w:rsidRPr="00945D39" w:rsidRDefault="007173B2">
      <w:pPr>
        <w:pStyle w:val="Normal1"/>
      </w:pPr>
      <w:r w:rsidRPr="008157E7">
        <w:rPr>
          <w:b/>
        </w:rPr>
        <w:t xml:space="preserve">Techniques used: </w:t>
      </w:r>
      <w:r w:rsidR="007264FA" w:rsidRPr="00761C41">
        <w:rPr>
          <w:rFonts w:cs="Lucida Grande"/>
        </w:rPr>
        <w:t>Combination of billing data, metered data, and customer survey data</w:t>
      </w:r>
    </w:p>
    <w:p w14:paraId="3F501629" w14:textId="755AC691" w:rsidR="00BB66ED" w:rsidRPr="00945D39" w:rsidRDefault="00BB66ED" w:rsidP="00BB66ED">
      <w:pPr>
        <w:pStyle w:val="Normal1"/>
      </w:pPr>
      <w:r w:rsidRPr="003D4E9C">
        <w:rPr>
          <w:b/>
        </w:rPr>
        <w:t xml:space="preserve">Study Size: </w:t>
      </w:r>
      <w:r w:rsidR="007C0A99" w:rsidRPr="00761C41">
        <w:t>~200</w:t>
      </w:r>
    </w:p>
    <w:p w14:paraId="6D87C949" w14:textId="77777777" w:rsidR="00576C8C" w:rsidRPr="008157E7" w:rsidRDefault="00576C8C">
      <w:pPr>
        <w:pStyle w:val="Normal1"/>
      </w:pPr>
    </w:p>
    <w:p w14:paraId="7739CFDE" w14:textId="0D1A469A" w:rsidR="00BB66ED" w:rsidRPr="00945D39" w:rsidRDefault="00BB66ED" w:rsidP="00BB66ED">
      <w:pPr>
        <w:pStyle w:val="Normal1"/>
        <w:spacing w:line="276" w:lineRule="auto"/>
      </w:pPr>
      <w:r w:rsidRPr="008157E7">
        <w:rPr>
          <w:b/>
        </w:rPr>
        <w:t xml:space="preserve">Study: </w:t>
      </w:r>
      <w:r w:rsidRPr="00761C41">
        <w:rPr>
          <w:rFonts w:cs="Lucida Grande"/>
        </w:rPr>
        <w:t xml:space="preserve">A Look Inside the Eye on the Wall: Sub-metering Data Analysis and Savings Assessment of the Nest Learning </w:t>
      </w:r>
      <w:proofErr w:type="gramStart"/>
      <w:r w:rsidRPr="00761C41">
        <w:rPr>
          <w:rFonts w:cs="Lucida Grande"/>
        </w:rPr>
        <w:t>Thermostat</w:t>
      </w:r>
      <w:r w:rsidR="00407404" w:rsidRPr="00407404">
        <w:rPr>
          <w:rFonts w:eastAsia="Times New Roman" w:cs="Times New Roman"/>
          <w:color w:val="auto"/>
          <w:vertAlign w:val="superscript"/>
        </w:rPr>
        <w:t>(</w:t>
      </w:r>
      <w:proofErr w:type="gramEnd"/>
      <w:r w:rsidR="00407404" w:rsidRPr="00407404">
        <w:rPr>
          <w:rFonts w:eastAsia="Times New Roman" w:cs="Times New Roman"/>
          <w:color w:val="auto"/>
          <w:vertAlign w:val="superscript"/>
        </w:rPr>
        <w:t>29</w:t>
      </w:r>
      <w:r w:rsidR="00663A97" w:rsidRPr="00407404">
        <w:rPr>
          <w:rFonts w:eastAsia="Times New Roman" w:cs="Times New Roman"/>
          <w:color w:val="auto"/>
          <w:vertAlign w:val="superscript"/>
        </w:rPr>
        <w:t>)</w:t>
      </w:r>
    </w:p>
    <w:p w14:paraId="7FE86D5B" w14:textId="442C9ADA" w:rsidR="00BB66ED" w:rsidRPr="00945D39" w:rsidRDefault="00BB66ED" w:rsidP="00BB66ED">
      <w:pPr>
        <w:pStyle w:val="Normal1"/>
      </w:pPr>
      <w:r w:rsidRPr="003D4E9C">
        <w:rPr>
          <w:b/>
        </w:rPr>
        <w:t xml:space="preserve">Techniques used: </w:t>
      </w:r>
      <w:r w:rsidR="007C0A99" w:rsidRPr="00761C41">
        <w:rPr>
          <w:rFonts w:cs="Lucida Grande"/>
        </w:rPr>
        <w:t>P</w:t>
      </w:r>
      <w:r w:rsidR="00B121B1">
        <w:rPr>
          <w:rFonts w:cs="Lucida Grande"/>
        </w:rPr>
        <w:t>ooled</w:t>
      </w:r>
      <w:r w:rsidR="007C0A99" w:rsidRPr="00761C41">
        <w:rPr>
          <w:rFonts w:cs="Lucida Grande"/>
        </w:rPr>
        <w:t xml:space="preserve"> F</w:t>
      </w:r>
      <w:r w:rsidR="00B121B1">
        <w:rPr>
          <w:rFonts w:cs="Lucida Grande"/>
        </w:rPr>
        <w:t>i</w:t>
      </w:r>
      <w:r w:rsidR="00B121B1" w:rsidRPr="00945D39">
        <w:rPr>
          <w:rFonts w:cs="Lucida Grande"/>
        </w:rPr>
        <w:t>xed</w:t>
      </w:r>
      <w:r w:rsidR="007C0A99" w:rsidRPr="00761C41">
        <w:rPr>
          <w:rFonts w:cs="Lucida Grande"/>
        </w:rPr>
        <w:t xml:space="preserve"> </w:t>
      </w:r>
      <w:r w:rsidR="00B121B1">
        <w:rPr>
          <w:rFonts w:cs="Lucida Grande"/>
        </w:rPr>
        <w:t>and</w:t>
      </w:r>
      <w:r w:rsidR="007C0A99" w:rsidRPr="00761C41">
        <w:rPr>
          <w:rFonts w:cs="Lucida Grande"/>
        </w:rPr>
        <w:t xml:space="preserve"> R</w:t>
      </w:r>
      <w:r w:rsidR="00B121B1">
        <w:rPr>
          <w:rFonts w:cs="Lucida Grande"/>
        </w:rPr>
        <w:t>andom</w:t>
      </w:r>
      <w:r w:rsidR="007C0A99" w:rsidRPr="00761C41">
        <w:rPr>
          <w:rFonts w:cs="Lucida Grande"/>
        </w:rPr>
        <w:t xml:space="preserve"> E</w:t>
      </w:r>
      <w:r w:rsidR="00B121B1">
        <w:rPr>
          <w:rFonts w:cs="Lucida Grande"/>
        </w:rPr>
        <w:t>ffects</w:t>
      </w:r>
      <w:r w:rsidR="007C0A99" w:rsidRPr="00761C41">
        <w:rPr>
          <w:rFonts w:cs="Lucida Grande"/>
        </w:rPr>
        <w:t xml:space="preserve"> M</w:t>
      </w:r>
      <w:r w:rsidR="00B121B1">
        <w:rPr>
          <w:rFonts w:cs="Lucida Grande"/>
        </w:rPr>
        <w:t>odel</w:t>
      </w:r>
      <w:r w:rsidR="007C0A99" w:rsidRPr="00761C41">
        <w:rPr>
          <w:rFonts w:cs="Lucida Grande"/>
        </w:rPr>
        <w:t xml:space="preserve"> including “OAT Method” and “delta-t”</w:t>
      </w:r>
    </w:p>
    <w:p w14:paraId="12B84A0D" w14:textId="07609AFF" w:rsidR="00BB66ED" w:rsidRPr="00945D39" w:rsidRDefault="00BB66ED" w:rsidP="00BB66ED">
      <w:pPr>
        <w:pStyle w:val="Normal1"/>
        <w:rPr>
          <w:b/>
        </w:rPr>
      </w:pPr>
      <w:r w:rsidRPr="00945D39">
        <w:rPr>
          <w:b/>
        </w:rPr>
        <w:t xml:space="preserve">Study Size: </w:t>
      </w:r>
      <w:r w:rsidR="007C0A99" w:rsidRPr="00761C41">
        <w:t>176 homes</w:t>
      </w:r>
    </w:p>
    <w:p w14:paraId="06D7E131" w14:textId="77777777" w:rsidR="00BB66ED" w:rsidRPr="003D4E9C" w:rsidRDefault="00BB66ED" w:rsidP="00BB66ED">
      <w:pPr>
        <w:pStyle w:val="Normal1"/>
        <w:rPr>
          <w:b/>
        </w:rPr>
      </w:pPr>
    </w:p>
    <w:p w14:paraId="1495503C" w14:textId="411ECE62" w:rsidR="00BB66ED" w:rsidRPr="00945D39" w:rsidRDefault="00BB66ED" w:rsidP="00BB66ED">
      <w:pPr>
        <w:pStyle w:val="Normal1"/>
        <w:spacing w:line="276" w:lineRule="auto"/>
      </w:pPr>
      <w:r w:rsidRPr="008157E7">
        <w:rPr>
          <w:b/>
        </w:rPr>
        <w:t xml:space="preserve">Study: </w:t>
      </w:r>
      <w:r w:rsidRPr="00761C41">
        <w:rPr>
          <w:rFonts w:eastAsia="Times New Roman" w:cs="Arial"/>
          <w:bCs/>
          <w:color w:val="auto"/>
        </w:rPr>
        <w:t xml:space="preserve">Energy Trust of Oregon Smart Thermostat Pilot </w:t>
      </w:r>
      <w:proofErr w:type="gramStart"/>
      <w:r w:rsidRPr="00761C41">
        <w:rPr>
          <w:rFonts w:eastAsia="Times New Roman" w:cs="Arial"/>
          <w:bCs/>
          <w:color w:val="auto"/>
        </w:rPr>
        <w:t>Evaluation</w:t>
      </w:r>
      <w:r w:rsidR="00663A97" w:rsidRPr="00407404">
        <w:rPr>
          <w:rFonts w:eastAsia="Times New Roman" w:cs="Times New Roman"/>
          <w:color w:val="auto"/>
          <w:vertAlign w:val="superscript"/>
        </w:rPr>
        <w:t>(</w:t>
      </w:r>
      <w:proofErr w:type="gramEnd"/>
      <w:r w:rsidR="00407404" w:rsidRPr="00407404">
        <w:rPr>
          <w:rFonts w:eastAsia="Times New Roman" w:cs="Times New Roman"/>
          <w:color w:val="auto"/>
          <w:vertAlign w:val="superscript"/>
        </w:rPr>
        <w:t>19</w:t>
      </w:r>
      <w:r w:rsidR="00663A97" w:rsidRPr="00407404">
        <w:rPr>
          <w:rFonts w:eastAsia="Times New Roman" w:cs="Times New Roman"/>
          <w:color w:val="auto"/>
          <w:vertAlign w:val="superscript"/>
        </w:rPr>
        <w:t>)</w:t>
      </w:r>
    </w:p>
    <w:p w14:paraId="3F33D01C" w14:textId="26FCBABF" w:rsidR="00BB66ED" w:rsidRPr="00945D39" w:rsidRDefault="00BB66ED" w:rsidP="00BB66ED">
      <w:pPr>
        <w:pStyle w:val="Normal1"/>
      </w:pPr>
      <w:r w:rsidRPr="003D4E9C">
        <w:rPr>
          <w:b/>
        </w:rPr>
        <w:t xml:space="preserve">Techniques used: </w:t>
      </w:r>
      <w:r w:rsidR="007C0A99" w:rsidRPr="00761C41">
        <w:rPr>
          <w:rFonts w:cs="Lucida Grande"/>
        </w:rPr>
        <w:t>Two-Stage Sample Randomization Design / Billing analysis</w:t>
      </w:r>
    </w:p>
    <w:p w14:paraId="41C3927F" w14:textId="06746519" w:rsidR="00BB66ED" w:rsidRPr="00945D39" w:rsidRDefault="00BB66ED" w:rsidP="00BB66ED">
      <w:pPr>
        <w:pStyle w:val="Normal1"/>
        <w:rPr>
          <w:b/>
        </w:rPr>
      </w:pPr>
      <w:r w:rsidRPr="00945D39">
        <w:rPr>
          <w:b/>
        </w:rPr>
        <w:t xml:space="preserve">Study Size: </w:t>
      </w:r>
      <w:r w:rsidR="00497543" w:rsidRPr="00761C41">
        <w:t>~380</w:t>
      </w:r>
    </w:p>
    <w:p w14:paraId="68F360EC" w14:textId="77777777" w:rsidR="00BB66ED" w:rsidRPr="003D4E9C" w:rsidRDefault="00BB66ED" w:rsidP="00BB66ED">
      <w:pPr>
        <w:pStyle w:val="Normal1"/>
        <w:rPr>
          <w:b/>
        </w:rPr>
      </w:pPr>
    </w:p>
    <w:p w14:paraId="087ED5E9" w14:textId="1E0A6915" w:rsidR="00BB66ED" w:rsidRPr="00945D39" w:rsidRDefault="00BB66ED" w:rsidP="00BB66ED">
      <w:pPr>
        <w:pStyle w:val="Normal1"/>
        <w:spacing w:line="276" w:lineRule="auto"/>
      </w:pPr>
      <w:r w:rsidRPr="008157E7">
        <w:rPr>
          <w:b/>
        </w:rPr>
        <w:t xml:space="preserve">Study: </w:t>
      </w:r>
      <w:r w:rsidRPr="00761C41">
        <w:rPr>
          <w:rFonts w:eastAsia="Times New Roman" w:cs="Arial"/>
          <w:bCs/>
          <w:color w:val="auto"/>
        </w:rPr>
        <w:t xml:space="preserve">Evaluation of the Space Heating and Cooling Energy Savings of Smart Thermostats in a Hot-Humid Climate using Long-term </w:t>
      </w:r>
      <w:proofErr w:type="gramStart"/>
      <w:r w:rsidRPr="00761C41">
        <w:rPr>
          <w:rFonts w:eastAsia="Times New Roman" w:cs="Arial"/>
          <w:bCs/>
          <w:color w:val="auto"/>
        </w:rPr>
        <w:t>Data</w:t>
      </w:r>
      <w:r w:rsidR="00663A97" w:rsidRPr="00407404">
        <w:rPr>
          <w:rFonts w:eastAsia="Times New Roman" w:cs="Times New Roman"/>
          <w:color w:val="auto"/>
          <w:vertAlign w:val="superscript"/>
        </w:rPr>
        <w:t>(</w:t>
      </w:r>
      <w:proofErr w:type="gramEnd"/>
      <w:r w:rsidR="00407404" w:rsidRPr="00407404">
        <w:rPr>
          <w:rFonts w:eastAsia="Times New Roman" w:cs="Times New Roman"/>
          <w:color w:val="auto"/>
          <w:vertAlign w:val="superscript"/>
        </w:rPr>
        <w:t>23</w:t>
      </w:r>
      <w:r w:rsidR="00663A97" w:rsidRPr="00407404">
        <w:rPr>
          <w:rFonts w:eastAsia="Times New Roman" w:cs="Times New Roman"/>
          <w:color w:val="auto"/>
          <w:vertAlign w:val="superscript"/>
        </w:rPr>
        <w:t>)</w:t>
      </w:r>
    </w:p>
    <w:p w14:paraId="04E10A4A" w14:textId="39CC3D30" w:rsidR="00BB66ED" w:rsidRPr="00945D39" w:rsidRDefault="00BB66ED" w:rsidP="00BB66ED">
      <w:pPr>
        <w:pStyle w:val="Normal1"/>
      </w:pPr>
      <w:r w:rsidRPr="003D4E9C">
        <w:rPr>
          <w:b/>
        </w:rPr>
        <w:t xml:space="preserve">Techniques used: </w:t>
      </w:r>
      <w:r w:rsidR="002C7FDB" w:rsidRPr="008157E7">
        <w:rPr>
          <w:rFonts w:cs="Lucida Grande"/>
        </w:rPr>
        <w:t>Sub metered</w:t>
      </w:r>
      <w:r w:rsidR="002C7FDB" w:rsidRPr="00761C41">
        <w:rPr>
          <w:rFonts w:cs="Lucida Grande"/>
        </w:rPr>
        <w:t xml:space="preserve"> data - method to analyze retrofit influences based on response to weather (and weather normalization)</w:t>
      </w:r>
    </w:p>
    <w:p w14:paraId="485466AA" w14:textId="6B541D0C" w:rsidR="00BB66ED" w:rsidRPr="00945D39" w:rsidRDefault="00BB66ED" w:rsidP="00BB66ED">
      <w:pPr>
        <w:pStyle w:val="Normal1"/>
        <w:rPr>
          <w:b/>
        </w:rPr>
      </w:pPr>
      <w:r w:rsidRPr="00945D39">
        <w:rPr>
          <w:b/>
        </w:rPr>
        <w:t>Study Size:</w:t>
      </w:r>
      <w:r w:rsidRPr="00761C41">
        <w:t xml:space="preserve"> </w:t>
      </w:r>
      <w:r w:rsidR="002C7FDB" w:rsidRPr="00761C41">
        <w:t>24</w:t>
      </w:r>
    </w:p>
    <w:p w14:paraId="5BDA1D6B" w14:textId="77777777" w:rsidR="00BB66ED" w:rsidRPr="003D4E9C" w:rsidRDefault="00BB66ED" w:rsidP="00BB66ED">
      <w:pPr>
        <w:pStyle w:val="Normal1"/>
        <w:rPr>
          <w:b/>
        </w:rPr>
      </w:pPr>
    </w:p>
    <w:p w14:paraId="0699D9C4" w14:textId="3C045D0C" w:rsidR="00BB66ED" w:rsidRPr="00945D39" w:rsidRDefault="00BB66ED" w:rsidP="00BB66ED">
      <w:pPr>
        <w:pStyle w:val="Normal1"/>
        <w:spacing w:line="276" w:lineRule="auto"/>
      </w:pPr>
      <w:r w:rsidRPr="008157E7">
        <w:rPr>
          <w:b/>
        </w:rPr>
        <w:t xml:space="preserve">Study: </w:t>
      </w:r>
      <w:r w:rsidRPr="00761C41">
        <w:t>Nest Learning Thermostat Pilot Study (SCG</w:t>
      </w:r>
      <w:proofErr w:type="gramStart"/>
      <w:r w:rsidRPr="00761C41">
        <w:t>)</w:t>
      </w:r>
      <w:r w:rsidR="00663A97" w:rsidRPr="00F57642">
        <w:rPr>
          <w:rFonts w:eastAsia="Times New Roman" w:cs="Times New Roman"/>
          <w:color w:val="auto"/>
          <w:vertAlign w:val="superscript"/>
        </w:rPr>
        <w:t>(</w:t>
      </w:r>
      <w:proofErr w:type="gramEnd"/>
      <w:r w:rsidR="00F57642" w:rsidRPr="00F57642">
        <w:rPr>
          <w:rFonts w:eastAsia="Times New Roman" w:cs="Times New Roman"/>
          <w:color w:val="auto"/>
          <w:vertAlign w:val="superscript"/>
        </w:rPr>
        <w:t>32</w:t>
      </w:r>
      <w:r w:rsidR="00663A97" w:rsidRPr="00F57642">
        <w:rPr>
          <w:rFonts w:eastAsia="Times New Roman" w:cs="Times New Roman"/>
          <w:color w:val="auto"/>
          <w:vertAlign w:val="superscript"/>
        </w:rPr>
        <w:t>)</w:t>
      </w:r>
    </w:p>
    <w:p w14:paraId="5743F949" w14:textId="417EFA25" w:rsidR="00BB66ED" w:rsidRPr="00945D39" w:rsidRDefault="00BB66ED" w:rsidP="00BB66ED">
      <w:pPr>
        <w:pStyle w:val="Normal1"/>
      </w:pPr>
      <w:r w:rsidRPr="003D4E9C">
        <w:rPr>
          <w:b/>
        </w:rPr>
        <w:t xml:space="preserve">Techniques used: </w:t>
      </w:r>
      <w:r w:rsidR="002C7FDB" w:rsidRPr="00761C41">
        <w:rPr>
          <w:rFonts w:cs="Lucida Grande"/>
        </w:rPr>
        <w:t>A post-program period regression model, a one-way linear fixed effects regression model, and a two-way linear fixed effects regression model.</w:t>
      </w:r>
    </w:p>
    <w:p w14:paraId="65BF517D" w14:textId="12EE945D" w:rsidR="00BB66ED" w:rsidRPr="00945D39" w:rsidRDefault="00BB66ED" w:rsidP="00BB66ED">
      <w:pPr>
        <w:pStyle w:val="Normal1"/>
      </w:pPr>
      <w:r w:rsidRPr="00945D39">
        <w:rPr>
          <w:b/>
        </w:rPr>
        <w:t xml:space="preserve">Study Size: </w:t>
      </w:r>
      <w:r w:rsidR="001234F3" w:rsidRPr="00761C41">
        <w:t>505</w:t>
      </w:r>
    </w:p>
    <w:p w14:paraId="42FD904A" w14:textId="77777777" w:rsidR="00BB66ED" w:rsidRPr="003D4E9C" w:rsidRDefault="00BB66ED" w:rsidP="00BB66ED">
      <w:pPr>
        <w:pStyle w:val="Normal1"/>
      </w:pPr>
    </w:p>
    <w:p w14:paraId="0A84F97A" w14:textId="77777777" w:rsidR="00576C8C" w:rsidRDefault="007173B2">
      <w:pPr>
        <w:pStyle w:val="Heading1"/>
        <w:keepNext w:val="0"/>
      </w:pPr>
      <w:bookmarkStart w:id="20" w:name="_1y810tw" w:colFirst="0" w:colLast="0"/>
      <w:bookmarkEnd w:id="20"/>
      <w:r>
        <w:t>Section 4. Load Shapes</w:t>
      </w:r>
    </w:p>
    <w:p w14:paraId="2A637691" w14:textId="77777777" w:rsidR="00576C8C" w:rsidRDefault="007173B2">
      <w:pPr>
        <w:pStyle w:val="Normal1"/>
      </w:pPr>
      <w:r>
        <w:t>The closest load shapes that are applicable to the measures in this work paper are listed in the table below.</w:t>
      </w:r>
    </w:p>
    <w:p w14:paraId="44C869D3" w14:textId="77777777" w:rsidR="00576C8C" w:rsidRDefault="007173B2">
      <w:pPr>
        <w:pStyle w:val="Normal1"/>
        <w:jc w:val="center"/>
      </w:pPr>
      <w:r>
        <w:rPr>
          <w:b/>
        </w:rPr>
        <w:t>Building Types and Load Shapes</w:t>
      </w:r>
    </w:p>
    <w:tbl>
      <w:tblPr>
        <w:tblStyle w:val="af7"/>
        <w:tblW w:w="9576" w:type="dxa"/>
        <w:tblInd w:w="-2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229"/>
        <w:gridCol w:w="3407"/>
        <w:gridCol w:w="2940"/>
      </w:tblGrid>
      <w:tr w:rsidR="00576C8C" w:rsidRPr="00206AE1" w14:paraId="5FAB51A9" w14:textId="77777777">
        <w:tc>
          <w:tcPr>
            <w:tcW w:w="3229" w:type="dxa"/>
            <w:shd w:val="clear" w:color="auto" w:fill="D9D9D9"/>
          </w:tcPr>
          <w:p w14:paraId="579092A0" w14:textId="77777777" w:rsidR="00576C8C" w:rsidRPr="00206AE1" w:rsidRDefault="007173B2">
            <w:pPr>
              <w:pStyle w:val="Normal1"/>
              <w:contextualSpacing w:val="0"/>
            </w:pPr>
            <w:r w:rsidRPr="00206AE1">
              <w:rPr>
                <w:b/>
              </w:rPr>
              <w:t>Building Type</w:t>
            </w:r>
          </w:p>
        </w:tc>
        <w:tc>
          <w:tcPr>
            <w:tcW w:w="3407" w:type="dxa"/>
            <w:shd w:val="clear" w:color="auto" w:fill="D9D9D9"/>
          </w:tcPr>
          <w:p w14:paraId="6055EF32" w14:textId="77777777" w:rsidR="00576C8C" w:rsidRPr="00206AE1" w:rsidRDefault="007173B2">
            <w:pPr>
              <w:pStyle w:val="Normal1"/>
              <w:contextualSpacing w:val="0"/>
            </w:pPr>
            <w:r w:rsidRPr="00206AE1">
              <w:rPr>
                <w:b/>
              </w:rPr>
              <w:t>Load Shape</w:t>
            </w:r>
          </w:p>
        </w:tc>
        <w:tc>
          <w:tcPr>
            <w:tcW w:w="2940" w:type="dxa"/>
            <w:shd w:val="clear" w:color="auto" w:fill="D9D9D9"/>
          </w:tcPr>
          <w:p w14:paraId="5BC640A8" w14:textId="77777777" w:rsidR="00576C8C" w:rsidRPr="00206AE1" w:rsidRDefault="007173B2">
            <w:pPr>
              <w:pStyle w:val="Normal1"/>
              <w:contextualSpacing w:val="0"/>
            </w:pPr>
            <w:r w:rsidRPr="00206AE1">
              <w:rPr>
                <w:b/>
              </w:rPr>
              <w:t>E3 Alternate Building Type</w:t>
            </w:r>
          </w:p>
        </w:tc>
      </w:tr>
      <w:tr w:rsidR="00576C8C" w:rsidRPr="00206AE1" w14:paraId="128608E5" w14:textId="77777777">
        <w:tc>
          <w:tcPr>
            <w:tcW w:w="3229" w:type="dxa"/>
          </w:tcPr>
          <w:p w14:paraId="4A68980F" w14:textId="77777777" w:rsidR="00576C8C" w:rsidRPr="00206AE1" w:rsidRDefault="007173B2">
            <w:pPr>
              <w:pStyle w:val="Normal1"/>
              <w:contextualSpacing w:val="0"/>
            </w:pPr>
            <w:r w:rsidRPr="00206AE1">
              <w:t>RES</w:t>
            </w:r>
          </w:p>
        </w:tc>
        <w:tc>
          <w:tcPr>
            <w:tcW w:w="3407" w:type="dxa"/>
          </w:tcPr>
          <w:p w14:paraId="299E6539" w14:textId="77777777" w:rsidR="00576C8C" w:rsidRPr="00206AE1" w:rsidRDefault="007173B2">
            <w:pPr>
              <w:pStyle w:val="Normal1"/>
              <w:contextualSpacing w:val="0"/>
            </w:pPr>
            <w:r w:rsidRPr="00206AE1">
              <w:t>DEER:HVAC_EFF_AC</w:t>
            </w:r>
          </w:p>
        </w:tc>
        <w:tc>
          <w:tcPr>
            <w:tcW w:w="2940" w:type="dxa"/>
          </w:tcPr>
          <w:p w14:paraId="3C9DF328" w14:textId="77777777" w:rsidR="00576C8C" w:rsidRPr="00206AE1" w:rsidRDefault="007173B2">
            <w:pPr>
              <w:pStyle w:val="Normal1"/>
              <w:contextualSpacing w:val="0"/>
            </w:pPr>
            <w:r w:rsidRPr="00206AE1">
              <w:t>-</w:t>
            </w:r>
          </w:p>
        </w:tc>
      </w:tr>
    </w:tbl>
    <w:p w14:paraId="3B0FF7FB" w14:textId="77777777" w:rsidR="00576C8C" w:rsidRDefault="007173B2">
      <w:pPr>
        <w:pStyle w:val="Heading1"/>
      </w:pPr>
      <w:r>
        <w:lastRenderedPageBreak/>
        <w:t>Section 5. Costs</w:t>
      </w:r>
    </w:p>
    <w:p w14:paraId="6EA93A43" w14:textId="77777777" w:rsidR="00576C8C" w:rsidRDefault="007173B2">
      <w:pPr>
        <w:pStyle w:val="Normal1"/>
      </w:pPr>
      <w:r>
        <w:t xml:space="preserve">This </w:t>
      </w:r>
      <w:proofErr w:type="spellStart"/>
      <w:proofErr w:type="gramStart"/>
      <w:r>
        <w:t>wp</w:t>
      </w:r>
      <w:proofErr w:type="spellEnd"/>
      <w:proofErr w:type="gramEnd"/>
      <w:r>
        <w:t xml:space="preserve"> consulted three readily available sources to document base case, measure case and incremental measure costs including:</w:t>
      </w:r>
    </w:p>
    <w:p w14:paraId="6D2D13A0" w14:textId="77777777" w:rsidR="00576C8C" w:rsidRDefault="007173B2">
      <w:pPr>
        <w:pStyle w:val="Normal1"/>
      </w:pPr>
      <w:r>
        <w:t xml:space="preserve"> </w:t>
      </w:r>
    </w:p>
    <w:p w14:paraId="7556C18E" w14:textId="77777777" w:rsidR="00576C8C" w:rsidRDefault="007173B2">
      <w:pPr>
        <w:pStyle w:val="Normal1"/>
      </w:pPr>
      <w:r>
        <w:t>1.</w:t>
      </w:r>
      <w:r>
        <w:rPr>
          <w:sz w:val="14"/>
          <w:szCs w:val="14"/>
        </w:rPr>
        <w:t xml:space="preserve">     </w:t>
      </w:r>
      <w:r>
        <w:t>2010-2012 Work Order 17 Ex-Ante Measure Cost Study Final Report</w:t>
      </w:r>
    </w:p>
    <w:p w14:paraId="1C4C5C19" w14:textId="77777777" w:rsidR="00576C8C" w:rsidRDefault="007173B2">
      <w:pPr>
        <w:pStyle w:val="Normal1"/>
      </w:pPr>
      <w:r>
        <w:t>2.</w:t>
      </w:r>
      <w:r>
        <w:rPr>
          <w:sz w:val="14"/>
          <w:szCs w:val="14"/>
        </w:rPr>
        <w:t xml:space="preserve">     </w:t>
      </w:r>
      <w:r>
        <w:t>2008 DEER Measure Cost Summary Spreadsheet</w:t>
      </w:r>
    </w:p>
    <w:p w14:paraId="3875FA22" w14:textId="77777777" w:rsidR="00576C8C" w:rsidRDefault="007173B2">
      <w:pPr>
        <w:pStyle w:val="Normal1"/>
      </w:pPr>
      <w:r>
        <w:t>3.</w:t>
      </w:r>
      <w:r>
        <w:rPr>
          <w:sz w:val="14"/>
          <w:szCs w:val="14"/>
        </w:rPr>
        <w:t xml:space="preserve">     </w:t>
      </w:r>
      <w:r>
        <w:t>Online Retailers Point of Sale Data</w:t>
      </w:r>
    </w:p>
    <w:p w14:paraId="2109B608" w14:textId="77777777" w:rsidR="00576C8C" w:rsidRDefault="00576C8C">
      <w:pPr>
        <w:pStyle w:val="Normal1"/>
      </w:pPr>
    </w:p>
    <w:p w14:paraId="0C9915EB" w14:textId="77777777" w:rsidR="00576C8C" w:rsidRDefault="007173B2">
      <w:pPr>
        <w:pStyle w:val="Heading2"/>
      </w:pPr>
      <w:bookmarkStart w:id="21" w:name="_4i7ojhp" w:colFirst="0" w:colLast="0"/>
      <w:bookmarkEnd w:id="21"/>
      <w:r>
        <w:rPr>
          <w:rFonts w:ascii="Calibri" w:eastAsia="Calibri" w:hAnsi="Calibri" w:cs="Calibri"/>
        </w:rPr>
        <w:t>5.1 Base Case Cost</w:t>
      </w:r>
    </w:p>
    <w:p w14:paraId="67EA9702" w14:textId="77777777" w:rsidR="00576C8C" w:rsidRDefault="007173B2">
      <w:pPr>
        <w:pStyle w:val="Normal1"/>
      </w:pPr>
      <w:r>
        <w:rPr>
          <w:b/>
        </w:rPr>
        <w:t>2010-2012 Work Order 17 Ex-Ante Measure Cost Study Final Report</w:t>
      </w:r>
    </w:p>
    <w:p w14:paraId="2DB0223C" w14:textId="77777777" w:rsidR="00576C8C" w:rsidRDefault="007173B2">
      <w:pPr>
        <w:pStyle w:val="Normal1"/>
      </w:pPr>
      <w:r>
        <w:rPr>
          <w:b/>
        </w:rPr>
        <w:t xml:space="preserve"> </w:t>
      </w:r>
    </w:p>
    <w:p w14:paraId="591E30F6" w14:textId="77777777" w:rsidR="00576C8C" w:rsidRDefault="007173B2">
      <w:pPr>
        <w:pStyle w:val="Normal1"/>
      </w:pPr>
      <w:r>
        <w:t>The 2010-2012 Work Order 17 (WO17) Ex-Ante Measure Cost Study Final Report was first consulted to see if updated base case costs were provided for setback programmable thermostats. WO17 does not provide base case costs for setback programmable thermostats. Given that WO17 does not provide base case costs for setback programmable thermostats, the 2008 DEER Measure Cost Summary Spreadsheet was consulted.</w:t>
      </w:r>
    </w:p>
    <w:p w14:paraId="76492D0C" w14:textId="77777777" w:rsidR="00576C8C" w:rsidRDefault="007173B2">
      <w:pPr>
        <w:pStyle w:val="Normal1"/>
      </w:pPr>
      <w:r>
        <w:t xml:space="preserve"> </w:t>
      </w:r>
    </w:p>
    <w:p w14:paraId="705223D6" w14:textId="77777777" w:rsidR="00576C8C" w:rsidRDefault="007173B2">
      <w:pPr>
        <w:pStyle w:val="Normal1"/>
      </w:pPr>
      <w:r>
        <w:rPr>
          <w:b/>
        </w:rPr>
        <w:t>2008 DEER Measure Cost Summary Spreadsheet</w:t>
      </w:r>
    </w:p>
    <w:p w14:paraId="1A35B9F6" w14:textId="77777777" w:rsidR="00576C8C" w:rsidRDefault="007173B2">
      <w:pPr>
        <w:pStyle w:val="Normal1"/>
      </w:pPr>
      <w:r>
        <w:t xml:space="preserve"> </w:t>
      </w:r>
    </w:p>
    <w:p w14:paraId="1A2BD787" w14:textId="3FA3B178" w:rsidR="00576C8C" w:rsidRDefault="007173B2">
      <w:pPr>
        <w:pStyle w:val="Normal1"/>
      </w:pPr>
      <w:r>
        <w:t xml:space="preserve">The base case material cost for setback programmable thermostats within the DEER Measure Cost Summary (05_30_2008) Revised (06_02_2008) amounted to $94.12 as shown in </w:t>
      </w:r>
      <w:r w:rsidR="000A24A8">
        <w:t xml:space="preserve">Table below. </w:t>
      </w:r>
    </w:p>
    <w:p w14:paraId="1EF8229F" w14:textId="77777777" w:rsidR="00576C8C" w:rsidRDefault="007173B2">
      <w:pPr>
        <w:pStyle w:val="Normal1"/>
      </w:pPr>
      <w:r>
        <w:t xml:space="preserve"> </w:t>
      </w:r>
    </w:p>
    <w:p w14:paraId="3054F9AA" w14:textId="77777777" w:rsidR="00576C8C" w:rsidRDefault="007173B2">
      <w:pPr>
        <w:pStyle w:val="Normal1"/>
      </w:pPr>
      <w:r>
        <w:rPr>
          <w:b/>
        </w:rPr>
        <w:t>Online Retailers Point of Sale Data</w:t>
      </w:r>
    </w:p>
    <w:p w14:paraId="46FAC8AC" w14:textId="77777777" w:rsidR="00576C8C" w:rsidRDefault="007173B2">
      <w:pPr>
        <w:pStyle w:val="Normal1"/>
      </w:pPr>
      <w:r>
        <w:t xml:space="preserve"> </w:t>
      </w:r>
    </w:p>
    <w:p w14:paraId="1DF14720" w14:textId="77777777" w:rsidR="00576C8C" w:rsidRDefault="007173B2">
      <w:pPr>
        <w:pStyle w:val="Normal1"/>
      </w:pPr>
      <w:r>
        <w:t>Research was done at common online retailers’ websites for point of sale data to assess the reasonableness of the 2008 DEER Measure Cost Summary Spreadsheet since the 2008 DEER cost data is approximately 8 years old. The prices found across these online retailer websites ranged from $19.45 to $145.40 with the average material equipment cost for all twenty-nine applicable setback programmable thermostats to be $57.13.</w:t>
      </w:r>
    </w:p>
    <w:p w14:paraId="4C426BE5" w14:textId="77777777" w:rsidR="00576C8C" w:rsidRDefault="007173B2">
      <w:pPr>
        <w:pStyle w:val="Normal1"/>
      </w:pPr>
      <w:r>
        <w:rPr>
          <w:b/>
        </w:rPr>
        <w:t xml:space="preserve"> </w:t>
      </w:r>
    </w:p>
    <w:p w14:paraId="2B31FECB" w14:textId="77777777" w:rsidR="00576C8C" w:rsidRDefault="007173B2">
      <w:pPr>
        <w:pStyle w:val="Normal1"/>
      </w:pPr>
      <w:r>
        <w:t xml:space="preserve">Therefore, this </w:t>
      </w:r>
      <w:proofErr w:type="spellStart"/>
      <w:proofErr w:type="gramStart"/>
      <w:r>
        <w:t>wp</w:t>
      </w:r>
      <w:proofErr w:type="spellEnd"/>
      <w:proofErr w:type="gramEnd"/>
      <w:r>
        <w:t xml:space="preserve"> uses the 2008 DEER Measure Cost Summary Spreadsheet setback programmable thermostat material equipment cost of $94.12 as the base case cost because the 2008 DEER Measure Cost Summary Spreadsheet takes into account sales volume in addition to retail pricing.</w:t>
      </w:r>
    </w:p>
    <w:p w14:paraId="380879FA" w14:textId="49F274FD" w:rsidR="00576C8C" w:rsidRDefault="00576C8C">
      <w:pPr>
        <w:pStyle w:val="Normal1"/>
      </w:pPr>
    </w:p>
    <w:p w14:paraId="7BDEAF57" w14:textId="6616D10B" w:rsidR="00576C8C" w:rsidRDefault="007173B2">
      <w:pPr>
        <w:pStyle w:val="Normal1"/>
      </w:pPr>
      <w:r w:rsidRPr="00206AE1">
        <w:rPr>
          <w:b/>
        </w:rPr>
        <w:t>DEER 2008 Base Case Costs for Setback Programmable Thermostats</w:t>
      </w:r>
      <w:r>
        <w:rPr>
          <w:color w:val="FF0000"/>
        </w:rPr>
        <w:t xml:space="preserve"> </w:t>
      </w:r>
    </w:p>
    <w:p w14:paraId="28F985E2" w14:textId="77777777" w:rsidR="00576C8C" w:rsidRDefault="007173B2">
      <w:pPr>
        <w:pStyle w:val="Normal1"/>
        <w:spacing w:line="276" w:lineRule="auto"/>
      </w:pPr>
      <w:r>
        <w:rPr>
          <w:noProof/>
        </w:rPr>
        <w:drawing>
          <wp:inline distT="114300" distB="114300" distL="114300" distR="114300" wp14:anchorId="339E6A80" wp14:editId="5F688CE3">
            <wp:extent cx="5657850" cy="704850"/>
            <wp:effectExtent l="0" t="0" r="0" b="0"/>
            <wp:docPr id="9" name="image21.png"/>
            <wp:cNvGraphicFramePr/>
            <a:graphic xmlns:a="http://schemas.openxmlformats.org/drawingml/2006/main">
              <a:graphicData uri="http://schemas.openxmlformats.org/drawingml/2006/picture">
                <pic:pic xmlns:pic="http://schemas.openxmlformats.org/drawingml/2006/picture">
                  <pic:nvPicPr>
                    <pic:cNvPr id="0" name="image21.png"/>
                    <pic:cNvPicPr preferRelativeResize="0"/>
                  </pic:nvPicPr>
                  <pic:blipFill>
                    <a:blip r:embed="rId18"/>
                    <a:srcRect/>
                    <a:stretch>
                      <a:fillRect/>
                    </a:stretch>
                  </pic:blipFill>
                  <pic:spPr>
                    <a:xfrm>
                      <a:off x="0" y="0"/>
                      <a:ext cx="5657850" cy="704850"/>
                    </a:xfrm>
                    <a:prstGeom prst="rect">
                      <a:avLst/>
                    </a:prstGeom>
                    <a:ln/>
                  </pic:spPr>
                </pic:pic>
              </a:graphicData>
            </a:graphic>
          </wp:inline>
        </w:drawing>
      </w:r>
    </w:p>
    <w:p w14:paraId="0791EA86" w14:textId="77777777" w:rsidR="00576C8C" w:rsidRDefault="00576C8C">
      <w:pPr>
        <w:pStyle w:val="Normal1"/>
        <w:spacing w:after="200" w:line="276" w:lineRule="auto"/>
      </w:pPr>
    </w:p>
    <w:p w14:paraId="03DECBBC" w14:textId="5739877B" w:rsidR="00576C8C" w:rsidRPr="00B07393" w:rsidRDefault="007173B2">
      <w:pPr>
        <w:pStyle w:val="Heading2"/>
        <w:rPr>
          <w:color w:val="FF0000"/>
        </w:rPr>
      </w:pPr>
      <w:bookmarkStart w:id="22" w:name="_2xcytpi" w:colFirst="0" w:colLast="0"/>
      <w:bookmarkEnd w:id="22"/>
      <w:r>
        <w:rPr>
          <w:rFonts w:ascii="Calibri" w:eastAsia="Calibri" w:hAnsi="Calibri" w:cs="Calibri"/>
        </w:rPr>
        <w:lastRenderedPageBreak/>
        <w:t>5.2 Measure Case Cost</w:t>
      </w:r>
      <w:r w:rsidR="00B07393">
        <w:rPr>
          <w:rFonts w:ascii="Calibri" w:eastAsia="Calibri" w:hAnsi="Calibri" w:cs="Calibri"/>
        </w:rPr>
        <w:t xml:space="preserve"> </w:t>
      </w:r>
    </w:p>
    <w:p w14:paraId="153A8F7D" w14:textId="16B3850C" w:rsidR="00576C8C" w:rsidRDefault="007173B2">
      <w:pPr>
        <w:pStyle w:val="Normal1"/>
      </w:pPr>
      <w:r>
        <w:t>Smart Thermostats are not contained within WO17 or the 2008 DEER Measure Cost Summary Spreadsheet. Research was done at common online retailers for Smart Thermostats to support the measure equipment cost. The prices found across these online r</w:t>
      </w:r>
      <w:r w:rsidR="005F332A">
        <w:t>etailer websites ranged from $11</w:t>
      </w:r>
      <w:r>
        <w:t>9 to $249 with the average material equipment cost for all six applicable Smart Thermostats to be $</w:t>
      </w:r>
      <w:r w:rsidR="005F332A" w:rsidRPr="005F332A">
        <w:t>186.50</w:t>
      </w:r>
      <w:r>
        <w:t>. Until more updated studies are done, the online retail point of sales pricing is the best available data to support the measure equipment cost.</w:t>
      </w:r>
      <w:r w:rsidR="00F14BA8" w:rsidRPr="00F14BA8">
        <w:t xml:space="preserve"> </w:t>
      </w:r>
      <w:r w:rsidR="00F14BA8">
        <w:t>The net present value of the second baseline period ($94.12) is $70.25. The E3 Calculator was used to compute the net present value.</w:t>
      </w:r>
    </w:p>
    <w:p w14:paraId="029F7DFD" w14:textId="77777777" w:rsidR="00576C8C" w:rsidRDefault="007173B2">
      <w:pPr>
        <w:pStyle w:val="Normal1"/>
      </w:pPr>
      <w:r>
        <w:rPr>
          <w:b/>
        </w:rPr>
        <w:t xml:space="preserve"> </w:t>
      </w:r>
    </w:p>
    <w:p w14:paraId="10BF1C1C" w14:textId="7CFB3190" w:rsidR="00576C8C" w:rsidRDefault="007173B2">
      <w:pPr>
        <w:pStyle w:val="Normal1"/>
      </w:pPr>
      <w:r>
        <w:t>The 2008 DEER Measure Cost Summary Spreadsheet provides labor costs associated with installing programmable thermostats at $56.48. Since there is no additional wiring involved with installing Smart Thermostats compared to setback programmable thermostats, labor costs are assumed to the same in both the base case and the measure case at $56.48.</w:t>
      </w:r>
    </w:p>
    <w:p w14:paraId="0EA61014" w14:textId="77777777" w:rsidR="00576C8C" w:rsidRDefault="007173B2">
      <w:pPr>
        <w:pStyle w:val="Heading2"/>
        <w:keepNext w:val="0"/>
      </w:pPr>
      <w:r>
        <w:rPr>
          <w:rFonts w:ascii="Calibri" w:eastAsia="Calibri" w:hAnsi="Calibri" w:cs="Calibri"/>
        </w:rPr>
        <w:t>5.3 Full and Incremental Measure Cost</w:t>
      </w:r>
    </w:p>
    <w:p w14:paraId="4E534681" w14:textId="2060D4A0" w:rsidR="00576C8C" w:rsidRDefault="00576C8C">
      <w:pPr>
        <w:pStyle w:val="Normal1"/>
      </w:pPr>
    </w:p>
    <w:p w14:paraId="6BC4AF95" w14:textId="27002B3B" w:rsidR="00576C8C" w:rsidRDefault="007173B2">
      <w:pPr>
        <w:pStyle w:val="Normal1"/>
      </w:pPr>
      <w:r>
        <w:t>The incremental measure cost are shown in Equation 5 and Table</w:t>
      </w:r>
      <w:r w:rsidR="000A24A8">
        <w:t xml:space="preserve"> below. </w:t>
      </w:r>
    </w:p>
    <w:p w14:paraId="7390D678" w14:textId="77777777" w:rsidR="00576C8C" w:rsidRDefault="007173B2">
      <w:pPr>
        <w:pStyle w:val="Normal1"/>
        <w:jc w:val="center"/>
      </w:pPr>
      <w:r>
        <w:t xml:space="preserve"> </w:t>
      </w:r>
    </w:p>
    <w:p w14:paraId="1680B6CD" w14:textId="40D23736" w:rsidR="00576C8C" w:rsidRDefault="007173B2">
      <w:pPr>
        <w:pStyle w:val="Normal1"/>
        <w:jc w:val="center"/>
      </w:pPr>
      <w:r>
        <w:rPr>
          <w:i/>
        </w:rPr>
        <w:t>Measure Case Equipment Cost ($</w:t>
      </w:r>
      <w:r w:rsidR="00876D57">
        <w:rPr>
          <w:i/>
        </w:rPr>
        <w:t>186.50</w:t>
      </w:r>
      <w:r>
        <w:rPr>
          <w:i/>
        </w:rPr>
        <w:t>) – Base Case Equipment Cost ($94.12) = $</w:t>
      </w:r>
      <w:r w:rsidR="00876D57">
        <w:rPr>
          <w:i/>
        </w:rPr>
        <w:t>92.38</w:t>
      </w:r>
    </w:p>
    <w:p w14:paraId="62F19E07" w14:textId="77777777" w:rsidR="00576C8C" w:rsidRDefault="007173B2">
      <w:pPr>
        <w:pStyle w:val="Normal1"/>
        <w:jc w:val="center"/>
      </w:pPr>
      <w:r>
        <w:rPr>
          <w:b/>
        </w:rPr>
        <w:t xml:space="preserve"> </w:t>
      </w:r>
    </w:p>
    <w:p w14:paraId="6A485E4A" w14:textId="77777777" w:rsidR="00576C8C" w:rsidRDefault="007173B2">
      <w:pPr>
        <w:pStyle w:val="Normal1"/>
        <w:jc w:val="center"/>
      </w:pPr>
      <w:r>
        <w:rPr>
          <w:b/>
        </w:rPr>
        <w:t>Equation 5.</w:t>
      </w:r>
      <w:r>
        <w:t xml:space="preserve"> Incremental Measure Cost Calculation</w:t>
      </w:r>
    </w:p>
    <w:p w14:paraId="5523CD88" w14:textId="4C87335A" w:rsidR="000A24A8" w:rsidRDefault="007173B2">
      <w:pPr>
        <w:pStyle w:val="Normal1"/>
      </w:pPr>
      <w:r>
        <w:rPr>
          <w:b/>
        </w:rPr>
        <w:t xml:space="preserve"> </w:t>
      </w:r>
    </w:p>
    <w:p w14:paraId="544AA972" w14:textId="16425E40" w:rsidR="00576C8C" w:rsidRDefault="007173B2">
      <w:pPr>
        <w:pStyle w:val="Normal1"/>
      </w:pPr>
      <w:r>
        <w:rPr>
          <w:b/>
        </w:rPr>
        <w:t>Full and Incremental Costs</w:t>
      </w:r>
    </w:p>
    <w:tbl>
      <w:tblPr>
        <w:tblStyle w:val="af9"/>
        <w:tblW w:w="8415" w:type="dxa"/>
        <w:tblInd w:w="-2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286"/>
        <w:gridCol w:w="2764"/>
        <w:gridCol w:w="2115"/>
        <w:gridCol w:w="2250"/>
      </w:tblGrid>
      <w:tr w:rsidR="00576C8C" w:rsidRPr="00206AE1" w14:paraId="33FA6B61" w14:textId="77777777" w:rsidTr="00206AE1">
        <w:tc>
          <w:tcPr>
            <w:tcW w:w="1286" w:type="dxa"/>
            <w:vMerge w:val="restart"/>
            <w:shd w:val="clear" w:color="auto" w:fill="D9D9D9" w:themeFill="background1" w:themeFillShade="D9"/>
          </w:tcPr>
          <w:p w14:paraId="4F536CD4" w14:textId="77777777" w:rsidR="00576C8C" w:rsidRPr="00206AE1" w:rsidRDefault="007173B2">
            <w:pPr>
              <w:pStyle w:val="Normal1"/>
              <w:contextualSpacing w:val="0"/>
            </w:pPr>
            <w:r w:rsidRPr="00206AE1">
              <w:rPr>
                <w:b/>
              </w:rPr>
              <w:t>Installation Type</w:t>
            </w:r>
          </w:p>
        </w:tc>
        <w:tc>
          <w:tcPr>
            <w:tcW w:w="2764" w:type="dxa"/>
            <w:shd w:val="clear" w:color="auto" w:fill="D9D9D9" w:themeFill="background1" w:themeFillShade="D9"/>
          </w:tcPr>
          <w:p w14:paraId="4E82E8DE" w14:textId="77777777" w:rsidR="00576C8C" w:rsidRPr="00206AE1" w:rsidRDefault="007173B2">
            <w:pPr>
              <w:pStyle w:val="Normal1"/>
              <w:contextualSpacing w:val="0"/>
            </w:pPr>
            <w:r w:rsidRPr="00206AE1">
              <w:rPr>
                <w:b/>
              </w:rPr>
              <w:t>Incremental Measure Cost</w:t>
            </w:r>
          </w:p>
        </w:tc>
        <w:tc>
          <w:tcPr>
            <w:tcW w:w="4365" w:type="dxa"/>
            <w:gridSpan w:val="2"/>
            <w:shd w:val="clear" w:color="auto" w:fill="D9D9D9" w:themeFill="background1" w:themeFillShade="D9"/>
          </w:tcPr>
          <w:p w14:paraId="0F2C5D0D" w14:textId="77777777" w:rsidR="00576C8C" w:rsidRPr="00206AE1" w:rsidRDefault="007173B2">
            <w:pPr>
              <w:pStyle w:val="Normal1"/>
              <w:contextualSpacing w:val="0"/>
            </w:pPr>
            <w:r w:rsidRPr="00206AE1">
              <w:rPr>
                <w:b/>
              </w:rPr>
              <w:t>Full Measure Cost</w:t>
            </w:r>
          </w:p>
        </w:tc>
      </w:tr>
      <w:tr w:rsidR="00576C8C" w:rsidRPr="00206AE1" w14:paraId="362C9683" w14:textId="77777777" w:rsidTr="00206AE1">
        <w:tc>
          <w:tcPr>
            <w:tcW w:w="1286" w:type="dxa"/>
            <w:vMerge/>
            <w:shd w:val="clear" w:color="auto" w:fill="D9D9D9" w:themeFill="background1" w:themeFillShade="D9"/>
          </w:tcPr>
          <w:p w14:paraId="28F62FCC" w14:textId="77777777" w:rsidR="00576C8C" w:rsidRPr="00206AE1" w:rsidRDefault="00576C8C">
            <w:pPr>
              <w:pStyle w:val="Normal1"/>
              <w:widowControl w:val="0"/>
              <w:spacing w:line="276" w:lineRule="auto"/>
              <w:contextualSpacing w:val="0"/>
            </w:pPr>
          </w:p>
        </w:tc>
        <w:tc>
          <w:tcPr>
            <w:tcW w:w="2764" w:type="dxa"/>
            <w:shd w:val="clear" w:color="auto" w:fill="D9D9D9" w:themeFill="background1" w:themeFillShade="D9"/>
          </w:tcPr>
          <w:p w14:paraId="485BB484" w14:textId="77777777" w:rsidR="00576C8C" w:rsidRPr="00206AE1" w:rsidRDefault="00576C8C">
            <w:pPr>
              <w:pStyle w:val="Normal1"/>
              <w:contextualSpacing w:val="0"/>
            </w:pPr>
          </w:p>
        </w:tc>
        <w:tc>
          <w:tcPr>
            <w:tcW w:w="2115" w:type="dxa"/>
            <w:shd w:val="clear" w:color="auto" w:fill="D9D9D9" w:themeFill="background1" w:themeFillShade="D9"/>
          </w:tcPr>
          <w:p w14:paraId="012906FF" w14:textId="77777777" w:rsidR="00576C8C" w:rsidRPr="00206AE1" w:rsidRDefault="007173B2">
            <w:pPr>
              <w:pStyle w:val="Normal1"/>
              <w:contextualSpacing w:val="0"/>
            </w:pPr>
            <w:r w:rsidRPr="00206AE1">
              <w:rPr>
                <w:b/>
              </w:rPr>
              <w:t>1</w:t>
            </w:r>
            <w:r w:rsidRPr="00206AE1">
              <w:rPr>
                <w:b/>
                <w:vertAlign w:val="superscript"/>
              </w:rPr>
              <w:t>st</w:t>
            </w:r>
            <w:r w:rsidRPr="00206AE1">
              <w:rPr>
                <w:b/>
              </w:rPr>
              <w:t xml:space="preserve"> Baseline</w:t>
            </w:r>
          </w:p>
        </w:tc>
        <w:tc>
          <w:tcPr>
            <w:tcW w:w="2250" w:type="dxa"/>
            <w:shd w:val="clear" w:color="auto" w:fill="D9D9D9" w:themeFill="background1" w:themeFillShade="D9"/>
          </w:tcPr>
          <w:p w14:paraId="1DFE0C5A" w14:textId="77777777" w:rsidR="00576C8C" w:rsidRPr="00206AE1" w:rsidRDefault="007173B2">
            <w:pPr>
              <w:pStyle w:val="Normal1"/>
              <w:contextualSpacing w:val="0"/>
            </w:pPr>
            <w:r w:rsidRPr="00206AE1">
              <w:rPr>
                <w:b/>
              </w:rPr>
              <w:t>2</w:t>
            </w:r>
            <w:r w:rsidRPr="00206AE1">
              <w:rPr>
                <w:b/>
                <w:vertAlign w:val="superscript"/>
              </w:rPr>
              <w:t>nd</w:t>
            </w:r>
            <w:r w:rsidRPr="00206AE1">
              <w:rPr>
                <w:b/>
              </w:rPr>
              <w:t xml:space="preserve"> Baseline</w:t>
            </w:r>
          </w:p>
        </w:tc>
      </w:tr>
      <w:tr w:rsidR="00576C8C" w:rsidRPr="00206AE1" w14:paraId="6C5D15DD" w14:textId="77777777" w:rsidTr="00206AE1">
        <w:tc>
          <w:tcPr>
            <w:tcW w:w="1286" w:type="dxa"/>
          </w:tcPr>
          <w:p w14:paraId="6796FF4F" w14:textId="6B72F768" w:rsidR="00576C8C" w:rsidRPr="00206AE1" w:rsidRDefault="00154112">
            <w:pPr>
              <w:pStyle w:val="Normal1"/>
              <w:contextualSpacing w:val="0"/>
              <w:rPr>
                <w:color w:val="auto"/>
              </w:rPr>
            </w:pPr>
            <w:r w:rsidRPr="00206AE1">
              <w:rPr>
                <w:color w:val="auto"/>
              </w:rPr>
              <w:t>ROB</w:t>
            </w:r>
          </w:p>
        </w:tc>
        <w:tc>
          <w:tcPr>
            <w:tcW w:w="2764" w:type="dxa"/>
          </w:tcPr>
          <w:p w14:paraId="26CD6872" w14:textId="426F632C" w:rsidR="00576C8C" w:rsidRPr="00206AE1" w:rsidRDefault="007C6366">
            <w:pPr>
              <w:pStyle w:val="Normal1"/>
              <w:contextualSpacing w:val="0"/>
            </w:pPr>
            <w:r w:rsidRPr="00206AE1">
              <w:t>$92.38</w:t>
            </w:r>
          </w:p>
        </w:tc>
        <w:tc>
          <w:tcPr>
            <w:tcW w:w="2115" w:type="dxa"/>
          </w:tcPr>
          <w:p w14:paraId="312CA2B9" w14:textId="5F184B6C" w:rsidR="00576C8C" w:rsidRPr="00206AE1" w:rsidRDefault="002408DD" w:rsidP="0022148B">
            <w:pPr>
              <w:pStyle w:val="Normal1"/>
              <w:contextualSpacing w:val="0"/>
              <w:rPr>
                <w:color w:val="auto"/>
              </w:rPr>
            </w:pPr>
            <w:r w:rsidRPr="00206AE1">
              <w:t>$92.38</w:t>
            </w:r>
          </w:p>
        </w:tc>
        <w:tc>
          <w:tcPr>
            <w:tcW w:w="2250" w:type="dxa"/>
          </w:tcPr>
          <w:p w14:paraId="186B6DB9" w14:textId="463C5425" w:rsidR="00576C8C" w:rsidRPr="00206AE1" w:rsidRDefault="007C6366">
            <w:pPr>
              <w:pStyle w:val="Normal1"/>
              <w:contextualSpacing w:val="0"/>
            </w:pPr>
            <w:bookmarkStart w:id="23" w:name="_1ci93xb" w:colFirst="0" w:colLast="0"/>
            <w:bookmarkEnd w:id="23"/>
            <w:r w:rsidRPr="00206AE1">
              <w:t>-</w:t>
            </w:r>
          </w:p>
        </w:tc>
      </w:tr>
      <w:tr w:rsidR="00154112" w:rsidRPr="00206AE1" w14:paraId="394176A9" w14:textId="77777777" w:rsidTr="00206AE1">
        <w:tc>
          <w:tcPr>
            <w:tcW w:w="1286" w:type="dxa"/>
          </w:tcPr>
          <w:p w14:paraId="0AAB8659" w14:textId="28EBABAA" w:rsidR="00154112" w:rsidRPr="00206AE1" w:rsidRDefault="00154112">
            <w:pPr>
              <w:pStyle w:val="Normal1"/>
            </w:pPr>
            <w:r w:rsidRPr="00206AE1">
              <w:t>RET/ER</w:t>
            </w:r>
          </w:p>
        </w:tc>
        <w:tc>
          <w:tcPr>
            <w:tcW w:w="2764" w:type="dxa"/>
          </w:tcPr>
          <w:p w14:paraId="714DB662" w14:textId="74256F4C" w:rsidR="00154112" w:rsidRPr="00206AE1" w:rsidRDefault="00154112">
            <w:pPr>
              <w:pStyle w:val="Normal1"/>
            </w:pPr>
            <w:r w:rsidRPr="00206AE1">
              <w:t>$92.38</w:t>
            </w:r>
          </w:p>
        </w:tc>
        <w:tc>
          <w:tcPr>
            <w:tcW w:w="2115" w:type="dxa"/>
          </w:tcPr>
          <w:p w14:paraId="4D5AB454" w14:textId="6F1C8681" w:rsidR="00154112" w:rsidRPr="00206AE1" w:rsidRDefault="00154112" w:rsidP="00FE0D5D">
            <w:pPr>
              <w:pStyle w:val="Normal1"/>
              <w:rPr>
                <w:color w:val="auto"/>
              </w:rPr>
            </w:pPr>
            <w:r w:rsidRPr="00206AE1">
              <w:rPr>
                <w:color w:val="auto"/>
              </w:rPr>
              <w:t>$</w:t>
            </w:r>
            <w:r w:rsidR="00FE0D5D" w:rsidRPr="00206AE1">
              <w:rPr>
                <w:color w:val="auto"/>
              </w:rPr>
              <w:t>186.5</w:t>
            </w:r>
          </w:p>
        </w:tc>
        <w:tc>
          <w:tcPr>
            <w:tcW w:w="2250" w:type="dxa"/>
          </w:tcPr>
          <w:p w14:paraId="2BC4D58E" w14:textId="3BBFD1A9" w:rsidR="00154112" w:rsidRPr="00206AE1" w:rsidRDefault="00154112" w:rsidP="00F14BA8">
            <w:pPr>
              <w:pStyle w:val="Normal1"/>
            </w:pPr>
            <w:r w:rsidRPr="00206AE1">
              <w:t>$</w:t>
            </w:r>
            <w:r w:rsidR="00F14BA8" w:rsidRPr="00206AE1">
              <w:t>92.38</w:t>
            </w:r>
            <w:r w:rsidR="004556BB" w:rsidRPr="00206AE1">
              <w:t xml:space="preserve"> </w:t>
            </w:r>
          </w:p>
        </w:tc>
      </w:tr>
    </w:tbl>
    <w:p w14:paraId="263F224B" w14:textId="77777777" w:rsidR="00635CB2" w:rsidRDefault="00635CB2">
      <w:pPr>
        <w:pStyle w:val="Heading1"/>
      </w:pPr>
      <w:bookmarkStart w:id="24" w:name="_3whwml4" w:colFirst="0" w:colLast="0"/>
      <w:bookmarkEnd w:id="24"/>
    </w:p>
    <w:p w14:paraId="031DA1C3" w14:textId="77777777" w:rsidR="00635CB2" w:rsidRDefault="00635CB2">
      <w:pPr>
        <w:rPr>
          <w:b/>
          <w:smallCaps/>
          <w:sz w:val="36"/>
          <w:szCs w:val="36"/>
        </w:rPr>
      </w:pPr>
      <w:r>
        <w:br w:type="page"/>
      </w:r>
    </w:p>
    <w:p w14:paraId="4C0A8ECF" w14:textId="5F13512A" w:rsidR="00576C8C" w:rsidRDefault="007173B2">
      <w:pPr>
        <w:pStyle w:val="Heading1"/>
      </w:pPr>
      <w:r>
        <w:lastRenderedPageBreak/>
        <w:t>Attachments</w:t>
      </w:r>
    </w:p>
    <w:p w14:paraId="4C157B8E" w14:textId="77777777" w:rsidR="00576C8C" w:rsidRDefault="00576C8C">
      <w:pPr>
        <w:pStyle w:val="Normal1"/>
      </w:pPr>
    </w:p>
    <w:p w14:paraId="5132A01A" w14:textId="1A7D6FE7" w:rsidR="006056B9" w:rsidRDefault="00BA117E" w:rsidP="00BA117E">
      <w:pPr>
        <w:pStyle w:val="Normal1"/>
        <w:numPr>
          <w:ilvl w:val="0"/>
          <w:numId w:val="47"/>
        </w:numPr>
      </w:pPr>
      <w:r w:rsidRPr="00BA117E">
        <w:t>SCE17HC054.0 A1 - Calculation Template_Final.xlsm</w:t>
      </w:r>
    </w:p>
    <w:p w14:paraId="1BD6722E" w14:textId="1CC1D064" w:rsidR="00BA117E" w:rsidRDefault="00BA117E" w:rsidP="00BA117E">
      <w:pPr>
        <w:pStyle w:val="Normal1"/>
        <w:numPr>
          <w:ilvl w:val="0"/>
          <w:numId w:val="47"/>
        </w:numPr>
      </w:pPr>
      <w:r w:rsidRPr="00BA117E">
        <w:t>SCE17HC054.0 A2 - Full measure cost analysis and IMC analysis .</w:t>
      </w:r>
      <w:proofErr w:type="spellStart"/>
      <w:r w:rsidRPr="00BA117E">
        <w:t>xlsx</w:t>
      </w:r>
      <w:proofErr w:type="spellEnd"/>
    </w:p>
    <w:p w14:paraId="52645874" w14:textId="3FD87D7C" w:rsidR="00BA117E" w:rsidRDefault="00BA117E" w:rsidP="00BA117E">
      <w:pPr>
        <w:pStyle w:val="Normal1"/>
        <w:numPr>
          <w:ilvl w:val="0"/>
          <w:numId w:val="47"/>
        </w:numPr>
      </w:pPr>
      <w:r w:rsidRPr="00BA117E">
        <w:t>SCE17HC054.0 A3 - Calculations of Baseline Adjustment Factor.xlsx</w:t>
      </w:r>
    </w:p>
    <w:p w14:paraId="6F52D004" w14:textId="2496FBDE" w:rsidR="00BA117E" w:rsidRDefault="00BA117E" w:rsidP="00BA117E">
      <w:pPr>
        <w:pStyle w:val="Normal1"/>
        <w:numPr>
          <w:ilvl w:val="0"/>
          <w:numId w:val="47"/>
        </w:numPr>
      </w:pPr>
      <w:r w:rsidRPr="00BA117E">
        <w:t>SCE17HC054.0 A4 - Responses to Questions on Nest Labs Supplemental Data Report - 07222016.docx</w:t>
      </w:r>
    </w:p>
    <w:p w14:paraId="4F493E80" w14:textId="1C990D86" w:rsidR="00BA117E" w:rsidRDefault="00BA117E" w:rsidP="00BA117E">
      <w:pPr>
        <w:pStyle w:val="Normal1"/>
        <w:numPr>
          <w:ilvl w:val="0"/>
          <w:numId w:val="47"/>
        </w:numPr>
      </w:pPr>
      <w:r w:rsidRPr="00BA117E">
        <w:t>SCE17HC054.0 A5 - Second baseline adjustment calculations.xlsx</w:t>
      </w:r>
    </w:p>
    <w:p w14:paraId="1D5ADB26" w14:textId="77777777" w:rsidR="000A4294" w:rsidRDefault="000A4294" w:rsidP="000A4294">
      <w:pPr>
        <w:pStyle w:val="Normal1"/>
        <w:numPr>
          <w:ilvl w:val="0"/>
          <w:numId w:val="47"/>
        </w:numPr>
      </w:pPr>
      <w:r w:rsidRPr="000A4294">
        <w:t>SCE17HC054.0 A6 - Consolidated SW Smart Thermostat WP Responses.docx</w:t>
      </w:r>
    </w:p>
    <w:p w14:paraId="2CB9B2A0" w14:textId="41960C7C" w:rsidR="00BA117E" w:rsidRDefault="00BA117E" w:rsidP="000A4294">
      <w:pPr>
        <w:pStyle w:val="Normal1"/>
        <w:numPr>
          <w:ilvl w:val="0"/>
          <w:numId w:val="47"/>
        </w:numPr>
      </w:pPr>
      <w:bookmarkStart w:id="25" w:name="_GoBack"/>
      <w:bookmarkEnd w:id="25"/>
      <w:r w:rsidRPr="00BA117E">
        <w:t>SCE17HC054.0 A7 - EMV Summary of Studies v02.21.2017.xlsx</w:t>
      </w:r>
    </w:p>
    <w:p w14:paraId="5FE2EB30" w14:textId="77777777" w:rsidR="00576C8C" w:rsidRDefault="007173B2">
      <w:pPr>
        <w:pStyle w:val="Heading1"/>
      </w:pPr>
      <w:r>
        <w:t>References</w:t>
      </w:r>
    </w:p>
    <w:p w14:paraId="1F658913" w14:textId="77777777" w:rsidR="00576C8C" w:rsidRDefault="007173B2">
      <w:pPr>
        <w:pStyle w:val="Normal1"/>
        <w:numPr>
          <w:ilvl w:val="0"/>
          <w:numId w:val="12"/>
        </w:numPr>
        <w:ind w:hanging="360"/>
        <w:contextualSpacing/>
      </w:pPr>
      <w:r>
        <w:t xml:space="preserve">Barbara </w:t>
      </w:r>
      <w:proofErr w:type="spellStart"/>
      <w:r>
        <w:t>Vergetis</w:t>
      </w:r>
      <w:proofErr w:type="spellEnd"/>
      <w:r>
        <w:t xml:space="preserve"> Lundin, (2016, June 1) Nest, energy companies find success with smart thermostats. SmartGridNews.com Retrieved from </w:t>
      </w:r>
      <w:hyperlink r:id="rId19">
        <w:r>
          <w:rPr>
            <w:u w:val="single"/>
          </w:rPr>
          <w:t>http://www.smartgridnews.com/story/nest-energy-companies-find-success-smart-thermostats/2016-06-01</w:t>
        </w:r>
      </w:hyperlink>
      <w:hyperlink r:id="rId20"/>
    </w:p>
    <w:p w14:paraId="15486251" w14:textId="77777777" w:rsidR="00576C8C" w:rsidRDefault="007173B2">
      <w:pPr>
        <w:pStyle w:val="Normal1"/>
        <w:numPr>
          <w:ilvl w:val="0"/>
          <w:numId w:val="12"/>
        </w:numPr>
        <w:ind w:hanging="360"/>
        <w:contextualSpacing/>
      </w:pPr>
      <w:r>
        <w:t>Park Associates, (July, 2014). Over 1.8 million households headed by consumers 25-34 own at least one smart energy product.</w:t>
      </w:r>
      <w:r>
        <w:rPr>
          <w:shd w:val="clear" w:color="auto" w:fill="F6FBFF"/>
        </w:rPr>
        <w:t xml:space="preserve"> </w:t>
      </w:r>
      <w:r>
        <w:t xml:space="preserve">Retrieved from </w:t>
      </w:r>
      <w:hyperlink r:id="rId21">
        <w:r>
          <w:rPr>
            <w:u w:val="single"/>
          </w:rPr>
          <w:t>http://www.parksassociates.com/blog/article/pr0716-hem</w:t>
        </w:r>
      </w:hyperlink>
      <w:r>
        <w:t xml:space="preserve"> </w:t>
      </w:r>
    </w:p>
    <w:p w14:paraId="14F06AAF" w14:textId="77777777" w:rsidR="00576C8C" w:rsidRDefault="007173B2">
      <w:pPr>
        <w:pStyle w:val="Normal1"/>
        <w:numPr>
          <w:ilvl w:val="0"/>
          <w:numId w:val="12"/>
        </w:numPr>
        <w:ind w:hanging="360"/>
        <w:contextualSpacing/>
      </w:pPr>
      <w:r>
        <w:t xml:space="preserve">John Greenough. (June, 2016) </w:t>
      </w:r>
      <w:r>
        <w:rPr>
          <w:highlight w:val="white"/>
        </w:rPr>
        <w:t xml:space="preserve">The US smart home market has been struggling — here's how and why the market will take off. Business Insider. Retrieved from </w:t>
      </w:r>
      <w:hyperlink r:id="rId22">
        <w:r>
          <w:rPr>
            <w:u w:val="single"/>
          </w:rPr>
          <w:t>http://www.businessinsider.com/the-us-smart-home-market-report-adoption-forecasts-top-products-and-the-cost-and-fragmentation-problems-that-could-hinder-growth-2015-9</w:t>
        </w:r>
      </w:hyperlink>
      <w:r>
        <w:t xml:space="preserve"> </w:t>
      </w:r>
    </w:p>
    <w:p w14:paraId="66398A52" w14:textId="77777777" w:rsidR="00576C8C" w:rsidRDefault="007173B2">
      <w:pPr>
        <w:pStyle w:val="Normal1"/>
        <w:numPr>
          <w:ilvl w:val="0"/>
          <w:numId w:val="12"/>
        </w:numPr>
        <w:ind w:hanging="360"/>
        <w:contextualSpacing/>
      </w:pPr>
      <w:r>
        <w:t xml:space="preserve">Park Associates and Consumer Electronics Association. (2Q, 2014). Smart Home Ecosystem: IOT and Consumers. Retrieved from. </w:t>
      </w:r>
      <w:hyperlink r:id="rId23">
        <w:r>
          <w:rPr>
            <w:u w:val="single"/>
          </w:rPr>
          <w:t>http://www.parksassociates.com/bento/shop/whitepapers/files/Parks%20Assoc%20CEA%20Smart%20Home%20Ecosystem%20WP.pdf</w:t>
        </w:r>
      </w:hyperlink>
      <w:r>
        <w:t xml:space="preserve"> </w:t>
      </w:r>
    </w:p>
    <w:p w14:paraId="487C6852" w14:textId="77777777" w:rsidR="00576C8C" w:rsidRDefault="007173B2">
      <w:pPr>
        <w:pStyle w:val="Normal1"/>
        <w:numPr>
          <w:ilvl w:val="0"/>
          <w:numId w:val="12"/>
        </w:numPr>
        <w:ind w:hanging="360"/>
        <w:contextualSpacing/>
      </w:pPr>
      <w:proofErr w:type="spellStart"/>
      <w:r>
        <w:t>CLEAResult</w:t>
      </w:r>
      <w:proofErr w:type="spellEnd"/>
      <w:proofErr w:type="gramStart"/>
      <w:r>
        <w:t>.(</w:t>
      </w:r>
      <w:proofErr w:type="gramEnd"/>
      <w:r>
        <w:t xml:space="preserve">June, 2015). Smart Thermostats. Retrieved from. </w:t>
      </w:r>
      <w:hyperlink r:id="rId24">
        <w:r>
          <w:rPr>
            <w:u w:val="single"/>
          </w:rPr>
          <w:t>http://ilsagfiles.org/SAG_files/Meeting_Materials/2015/6-23-15_Meeting/CLEAResult_Smart_Thermostat_WhitePaper_20150505.pdf</w:t>
        </w:r>
      </w:hyperlink>
      <w:r>
        <w:t xml:space="preserve"> </w:t>
      </w:r>
    </w:p>
    <w:p w14:paraId="67BAE748" w14:textId="77777777" w:rsidR="00576C8C" w:rsidRDefault="007173B2">
      <w:pPr>
        <w:pStyle w:val="Normal1"/>
        <w:numPr>
          <w:ilvl w:val="0"/>
          <w:numId w:val="12"/>
        </w:numPr>
        <w:ind w:hanging="360"/>
        <w:contextualSpacing/>
      </w:pPr>
      <w:r>
        <w:rPr>
          <w:highlight w:val="white"/>
        </w:rPr>
        <w:t xml:space="preserve">Illinois Statewide Technical Reference Manual for Energy Efficiency Version 5.0 Volume 3: Residential Measures. February, 2016. Retrieved from. </w:t>
      </w:r>
      <w:hyperlink r:id="rId25">
        <w:r>
          <w:rPr>
            <w:u w:val="single"/>
          </w:rPr>
          <w:t>http://ilsagfiles.org/SAG_files/Technical_Reference_Manual/Version_5/Final/IL-TRM_Effective_060116_v5.0_Vol_3_Res_021116_Final.pdf</w:t>
        </w:r>
      </w:hyperlink>
      <w:r>
        <w:t xml:space="preserve">  </w:t>
      </w:r>
      <w:r>
        <w:rPr>
          <w:highlight w:val="white"/>
        </w:rPr>
        <w:t>(on page 155 re: In-Service Rate)</w:t>
      </w:r>
    </w:p>
    <w:p w14:paraId="084798AA" w14:textId="77777777" w:rsidR="00576C8C" w:rsidRDefault="007173B2">
      <w:pPr>
        <w:pStyle w:val="Normal1"/>
        <w:numPr>
          <w:ilvl w:val="0"/>
          <w:numId w:val="12"/>
        </w:numPr>
        <w:ind w:hanging="360"/>
        <w:contextualSpacing/>
        <w:rPr>
          <w:color w:val="212121"/>
          <w:highlight w:val="white"/>
        </w:rPr>
      </w:pPr>
      <w:r>
        <w:t xml:space="preserve">See </w:t>
      </w:r>
      <w:r>
        <w:rPr>
          <w:highlight w:val="white"/>
        </w:rPr>
        <w:t>Union Gas Limited &amp; Enbridge Gas Distribution Inc.</w:t>
      </w:r>
      <w:r>
        <w:t xml:space="preserve"> </w:t>
      </w:r>
      <w:r>
        <w:rPr>
          <w:highlight w:val="white"/>
        </w:rPr>
        <w:t xml:space="preserve">(Joint Filing) in December, 2015: </w:t>
      </w:r>
      <w:hyperlink r:id="rId26">
        <w:r>
          <w:rPr>
            <w:highlight w:val="white"/>
            <w:u w:val="single"/>
          </w:rPr>
          <w:t>http://www.ontarioenergyboard.ca/OEB/Industry/Regulatory+Proceedings/Policy+Initiatives+and+Consultations/Conservation+and+Demand+Management+(CDM)/Natural+Gas+DSM</w:t>
        </w:r>
      </w:hyperlink>
      <w:hyperlink r:id="rId27"/>
    </w:p>
    <w:p w14:paraId="3DB86DA0" w14:textId="77777777" w:rsidR="00576C8C" w:rsidRDefault="007173B2">
      <w:pPr>
        <w:pStyle w:val="Normal1"/>
        <w:numPr>
          <w:ilvl w:val="0"/>
          <w:numId w:val="12"/>
        </w:numPr>
        <w:ind w:hanging="360"/>
        <w:contextualSpacing/>
        <w:rPr>
          <w:color w:val="212121"/>
          <w:highlight w:val="white"/>
        </w:rPr>
      </w:pPr>
      <w:proofErr w:type="spellStart"/>
      <w:r>
        <w:rPr>
          <w:color w:val="212121"/>
          <w:highlight w:val="white"/>
        </w:rPr>
        <w:t>Ve</w:t>
      </w:r>
      <w:r>
        <w:rPr>
          <w:highlight w:val="white"/>
        </w:rPr>
        <w:t>ctren</w:t>
      </w:r>
      <w:proofErr w:type="spellEnd"/>
      <w:r>
        <w:rPr>
          <w:highlight w:val="white"/>
        </w:rPr>
        <w:t xml:space="preserve"> Demand Side Management program filing. (June, 2015). Retrieved from. </w:t>
      </w:r>
      <w:hyperlink r:id="rId28">
        <w:r>
          <w:rPr>
            <w:highlight w:val="white"/>
            <w:u w:val="single"/>
          </w:rPr>
          <w:t>https://www.vectren.com/assets/cms/livesmart/pdfs/EEEP.pdf</w:t>
        </w:r>
      </w:hyperlink>
      <w:r>
        <w:rPr>
          <w:highlight w:val="white"/>
        </w:rPr>
        <w:t xml:space="preserve"> (page 345 of 500)</w:t>
      </w:r>
    </w:p>
    <w:p w14:paraId="675271FB" w14:textId="77777777" w:rsidR="00576C8C" w:rsidRDefault="007173B2">
      <w:pPr>
        <w:pStyle w:val="Normal1"/>
        <w:numPr>
          <w:ilvl w:val="0"/>
          <w:numId w:val="12"/>
        </w:numPr>
        <w:spacing w:line="276" w:lineRule="auto"/>
        <w:ind w:hanging="360"/>
        <w:contextualSpacing/>
      </w:pPr>
      <w:proofErr w:type="spellStart"/>
      <w:r>
        <w:t>Itron</w:t>
      </w:r>
      <w:proofErr w:type="spellEnd"/>
      <w:r>
        <w:t xml:space="preserve">, </w:t>
      </w:r>
      <w:proofErr w:type="spellStart"/>
      <w:r>
        <w:t>Inc</w:t>
      </w:r>
      <w:proofErr w:type="spellEnd"/>
      <w:r>
        <w:t xml:space="preserve">, JJ Hirsh &amp; Associates, Synergy Consulting, Quantum, Inc. (2005, December) 2004-2005 Database for Energy Efficiency Resources (DEER) Update Study, Final. Report Retrieved from </w:t>
      </w:r>
      <w:hyperlink r:id="rId29">
        <w:r>
          <w:rPr>
            <w:u w:val="single"/>
          </w:rPr>
          <w:t>http://www.deeresources.com/files/deer2005/downloads/DEER2005UpdateFinalReport_ItronVersion.pdf</w:t>
        </w:r>
      </w:hyperlink>
      <w:r>
        <w:t xml:space="preserve"> (page 7-46) </w:t>
      </w:r>
    </w:p>
    <w:p w14:paraId="60EBA8BC" w14:textId="77777777" w:rsidR="00576C8C" w:rsidRDefault="007173B2">
      <w:pPr>
        <w:pStyle w:val="Normal1"/>
        <w:numPr>
          <w:ilvl w:val="0"/>
          <w:numId w:val="12"/>
        </w:numPr>
        <w:spacing w:line="276" w:lineRule="auto"/>
        <w:ind w:hanging="360"/>
        <w:contextualSpacing/>
      </w:pPr>
      <w:r>
        <w:t xml:space="preserve">Claire </w:t>
      </w:r>
      <w:proofErr w:type="spellStart"/>
      <w:r>
        <w:t>Palmgren</w:t>
      </w:r>
      <w:proofErr w:type="spellEnd"/>
      <w:r>
        <w:t xml:space="preserve">, Noel Stevens, Miriam Goldberg, Rich Barnes, Karen </w:t>
      </w:r>
      <w:proofErr w:type="spellStart"/>
      <w:r>
        <w:t>Rothkin</w:t>
      </w:r>
      <w:proofErr w:type="spellEnd"/>
      <w:r>
        <w:t xml:space="preserve"> of KEMA Inc., (2010, October) 2009 Residential Appliance Saturation Study (RASS). Retrieved from http://www.energy.ca.gov/appliances/rass/</w:t>
      </w:r>
    </w:p>
    <w:p w14:paraId="4BB52C7B" w14:textId="77777777" w:rsidR="00576C8C" w:rsidRDefault="007173B2">
      <w:pPr>
        <w:pStyle w:val="Normal1"/>
        <w:numPr>
          <w:ilvl w:val="0"/>
          <w:numId w:val="12"/>
        </w:numPr>
        <w:spacing w:line="276" w:lineRule="auto"/>
        <w:ind w:hanging="360"/>
        <w:contextualSpacing/>
      </w:pPr>
      <w:r>
        <w:t xml:space="preserve">2009 Residential Appliance Saturation Study,  Banner Subset - RASS Total Results  </w:t>
      </w:r>
      <w:hyperlink r:id="rId30">
        <w:r>
          <w:rPr>
            <w:u w:val="single"/>
          </w:rPr>
          <w:t>http://www.energy.ca.gov/2010publications/CEC-200-2010-004/CEC-200-2010-004_RASS.PDF</w:t>
        </w:r>
      </w:hyperlink>
      <w:r>
        <w:t xml:space="preserve">  </w:t>
      </w:r>
    </w:p>
    <w:p w14:paraId="00785204" w14:textId="77777777" w:rsidR="00576C8C" w:rsidRDefault="007173B2">
      <w:pPr>
        <w:pStyle w:val="Normal1"/>
        <w:numPr>
          <w:ilvl w:val="0"/>
          <w:numId w:val="12"/>
        </w:numPr>
        <w:spacing w:line="276" w:lineRule="auto"/>
        <w:ind w:hanging="360"/>
        <w:contextualSpacing/>
      </w:pPr>
      <w:r>
        <w:t xml:space="preserve">Paul Reeves, Jeff Hirsch James J. Hirsch &amp; Associates (2004, December) Programmable Thermostats Installed into Residential Buildings: Predicting Energy Saving Using Occupant Behavior &amp; Simulation.  Retrieved from </w:t>
      </w:r>
      <w:hyperlink r:id="rId31">
        <w:r>
          <w:rPr>
            <w:u w:val="single"/>
          </w:rPr>
          <w:t>https://library.cee1.org/sites/default/files/library/1773/954.pdf</w:t>
        </w:r>
      </w:hyperlink>
      <w:r>
        <w:t xml:space="preserve"> </w:t>
      </w:r>
    </w:p>
    <w:p w14:paraId="22EF0313" w14:textId="77777777" w:rsidR="00576C8C" w:rsidRDefault="007173B2">
      <w:pPr>
        <w:pStyle w:val="Normal1"/>
        <w:numPr>
          <w:ilvl w:val="0"/>
          <w:numId w:val="12"/>
        </w:numPr>
        <w:spacing w:line="276" w:lineRule="auto"/>
        <w:ind w:hanging="360"/>
        <w:contextualSpacing/>
      </w:pPr>
      <w:r>
        <w:t xml:space="preserve">James Lutz and Bruce Wilcox, Comparison of </w:t>
      </w:r>
      <w:proofErr w:type="spellStart"/>
      <w:r>
        <w:t>Self Reported</w:t>
      </w:r>
      <w:proofErr w:type="spellEnd"/>
      <w:r>
        <w:t xml:space="preserve"> and Measured Thermostat Behavior </w:t>
      </w:r>
      <w:proofErr w:type="gramStart"/>
      <w:r>
        <w:t>In</w:t>
      </w:r>
      <w:proofErr w:type="gramEnd"/>
      <w:r>
        <w:t xml:space="preserve"> New California Houses. Retrieved From </w:t>
      </w:r>
      <w:hyperlink r:id="rId32">
        <w:r>
          <w:rPr>
            <w:u w:val="single"/>
          </w:rPr>
          <w:t>http://aceee.org/files/proceedings/1990/data/papers/SS90_Panel2_Paper14.pdf</w:t>
        </w:r>
      </w:hyperlink>
    </w:p>
    <w:p w14:paraId="4655BC68" w14:textId="77777777" w:rsidR="00576C8C" w:rsidRDefault="007173B2">
      <w:pPr>
        <w:pStyle w:val="Normal1"/>
        <w:numPr>
          <w:ilvl w:val="0"/>
          <w:numId w:val="12"/>
        </w:numPr>
        <w:spacing w:line="276" w:lineRule="auto"/>
        <w:ind w:hanging="360"/>
        <w:contextualSpacing/>
      </w:pPr>
      <w:r>
        <w:t xml:space="preserve"> Edward Vine (May, 1989) </w:t>
      </w:r>
      <w:r>
        <w:rPr>
          <w:highlight w:val="white"/>
        </w:rPr>
        <w:t xml:space="preserve">Monitored indoor temperatures and reported thermostat settings: How different are they? </w:t>
      </w:r>
      <w:proofErr w:type="spellStart"/>
      <w:r>
        <w:rPr>
          <w:highlight w:val="white"/>
        </w:rPr>
        <w:t>Retrrieved</w:t>
      </w:r>
      <w:proofErr w:type="spellEnd"/>
      <w:r>
        <w:rPr>
          <w:highlight w:val="white"/>
        </w:rPr>
        <w:t xml:space="preserve"> From </w:t>
      </w:r>
      <w:hyperlink r:id="rId33">
        <w:r>
          <w:rPr>
            <w:u w:val="single"/>
          </w:rPr>
          <w:t>https://www.researchgate.net/publication/256569757_Monitored_indoor_temperatures_and_reported_thermostat_settings_How_different_are_they</w:t>
        </w:r>
      </w:hyperlink>
      <w:r>
        <w:t xml:space="preserve"> </w:t>
      </w:r>
    </w:p>
    <w:p w14:paraId="6229B237" w14:textId="77777777" w:rsidR="00576C8C" w:rsidRDefault="007173B2">
      <w:pPr>
        <w:pStyle w:val="Normal1"/>
        <w:numPr>
          <w:ilvl w:val="0"/>
          <w:numId w:val="12"/>
        </w:numPr>
        <w:spacing w:line="276" w:lineRule="auto"/>
        <w:ind w:hanging="360"/>
        <w:contextualSpacing/>
      </w:pPr>
      <w:r>
        <w:rPr>
          <w:highlight w:val="white"/>
        </w:rPr>
        <w:t xml:space="preserve">Peter M. </w:t>
      </w:r>
      <w:proofErr w:type="spellStart"/>
      <w:r>
        <w:rPr>
          <w:highlight w:val="white"/>
        </w:rPr>
        <w:t>Gladhart</w:t>
      </w:r>
      <w:proofErr w:type="spellEnd"/>
      <w:r>
        <w:rPr>
          <w:highlight w:val="white"/>
        </w:rPr>
        <w:t xml:space="preserve">, Jeffrey S. </w:t>
      </w:r>
      <w:proofErr w:type="spellStart"/>
      <w:r>
        <w:rPr>
          <w:highlight w:val="white"/>
        </w:rPr>
        <w:t>Weihl</w:t>
      </w:r>
      <w:proofErr w:type="spellEnd"/>
      <w:r>
        <w:rPr>
          <w:highlight w:val="white"/>
        </w:rPr>
        <w:t xml:space="preserve"> and </w:t>
      </w:r>
      <w:proofErr w:type="spellStart"/>
      <w:r>
        <w:rPr>
          <w:highlight w:val="white"/>
        </w:rPr>
        <w:t>Shirlee</w:t>
      </w:r>
      <w:proofErr w:type="spellEnd"/>
      <w:r>
        <w:rPr>
          <w:highlight w:val="white"/>
        </w:rPr>
        <w:t xml:space="preserve"> </w:t>
      </w:r>
      <w:proofErr w:type="spellStart"/>
      <w:r>
        <w:rPr>
          <w:highlight w:val="white"/>
        </w:rPr>
        <w:t>Krabacher</w:t>
      </w:r>
      <w:proofErr w:type="spellEnd"/>
      <w:r>
        <w:rPr>
          <w:highlight w:val="white"/>
        </w:rPr>
        <w:t xml:space="preserve">, Michigan State University, Reported Versus Actual Thermostat </w:t>
      </w:r>
      <w:proofErr w:type="spellStart"/>
      <w:r>
        <w:rPr>
          <w:highlight w:val="white"/>
        </w:rPr>
        <w:t>Settings</w:t>
      </w:r>
      <w:proofErr w:type="gramStart"/>
      <w:r>
        <w:rPr>
          <w:highlight w:val="white"/>
        </w:rPr>
        <w:t>:A</w:t>
      </w:r>
      <w:proofErr w:type="spellEnd"/>
      <w:proofErr w:type="gramEnd"/>
      <w:r>
        <w:rPr>
          <w:highlight w:val="white"/>
        </w:rPr>
        <w:t xml:space="preserve"> Management Perspective. Retrieved From  </w:t>
      </w:r>
      <w:hyperlink r:id="rId34">
        <w:r>
          <w:rPr>
            <w:u w:val="single"/>
          </w:rPr>
          <w:t>http://aceee.org/files/proceedings/1988/data/papers/1988_V11_003.pdf</w:t>
        </w:r>
      </w:hyperlink>
      <w:r>
        <w:t xml:space="preserve"> </w:t>
      </w:r>
    </w:p>
    <w:p w14:paraId="74A6D4A0" w14:textId="77777777" w:rsidR="00576C8C" w:rsidRDefault="007173B2">
      <w:pPr>
        <w:pStyle w:val="Normal1"/>
        <w:numPr>
          <w:ilvl w:val="0"/>
          <w:numId w:val="12"/>
        </w:numPr>
        <w:spacing w:line="276" w:lineRule="auto"/>
        <w:ind w:hanging="360"/>
        <w:contextualSpacing/>
      </w:pPr>
      <w:r>
        <w:rPr>
          <w:highlight w:val="white"/>
        </w:rPr>
        <w:t xml:space="preserve">Michael </w:t>
      </w:r>
      <w:proofErr w:type="spellStart"/>
      <w:r>
        <w:rPr>
          <w:highlight w:val="white"/>
        </w:rPr>
        <w:t>Blasnik</w:t>
      </w:r>
      <w:proofErr w:type="spellEnd"/>
      <w:proofErr w:type="gramStart"/>
      <w:r>
        <w:rPr>
          <w:highlight w:val="white"/>
        </w:rPr>
        <w:t>,  Proctor</w:t>
      </w:r>
      <w:proofErr w:type="gramEnd"/>
      <w:r>
        <w:rPr>
          <w:highlight w:val="white"/>
        </w:rPr>
        <w:t xml:space="preserve"> Engineering, and Conservation Services Group (June, 2004) Measurement &amp; Verification of Residential Refrigerator Energy Use. Retrieved From </w:t>
      </w:r>
      <w:hyperlink r:id="rId35">
        <w:r>
          <w:rPr>
            <w:u w:val="single"/>
          </w:rPr>
          <w:t>http://www.waptac.org/data/files/website_docs/training/standardized_curricula/curricula_resources/blasnik_measurement%20and%20verification%20of%20residential%20refrigerator.pdf</w:t>
        </w:r>
      </w:hyperlink>
      <w:r>
        <w:t xml:space="preserve"> </w:t>
      </w:r>
    </w:p>
    <w:p w14:paraId="3F37E680" w14:textId="77777777" w:rsidR="00576C8C" w:rsidRDefault="007173B2">
      <w:pPr>
        <w:pStyle w:val="Normal1"/>
        <w:numPr>
          <w:ilvl w:val="0"/>
          <w:numId w:val="12"/>
        </w:numPr>
        <w:spacing w:line="276" w:lineRule="auto"/>
        <w:ind w:hanging="360"/>
        <w:contextualSpacing/>
      </w:pPr>
      <w:r>
        <w:t xml:space="preserve">Abigail A. </w:t>
      </w:r>
      <w:proofErr w:type="spellStart"/>
      <w:r>
        <w:t>Daken</w:t>
      </w:r>
      <w:proofErr w:type="spellEnd"/>
      <w:r>
        <w:t xml:space="preserve">, United States Environmental Protection Agency, Alan K. Meier, Lawrence Berkeley National Lab, Douglas G. Frazee, ICF International (2016 ACEEE Summer Study), Do Connected Thermostats Save Energy? Retrieved From </w:t>
      </w:r>
      <w:hyperlink r:id="rId36">
        <w:r>
          <w:rPr>
            <w:u w:val="single"/>
          </w:rPr>
          <w:t>http://aceee.org/files/proceedings/2016/data/index.htm</w:t>
        </w:r>
      </w:hyperlink>
      <w:r>
        <w:t xml:space="preserve"> </w:t>
      </w:r>
    </w:p>
    <w:p w14:paraId="5E929763" w14:textId="77777777" w:rsidR="00576C8C" w:rsidRDefault="007173B2">
      <w:pPr>
        <w:pStyle w:val="Normal1"/>
        <w:numPr>
          <w:ilvl w:val="0"/>
          <w:numId w:val="12"/>
        </w:numPr>
        <w:spacing w:line="276" w:lineRule="auto"/>
        <w:ind w:hanging="360"/>
        <w:contextualSpacing/>
      </w:pPr>
      <w:r>
        <w:t xml:space="preserve">Nest </w:t>
      </w:r>
      <w:proofErr w:type="gramStart"/>
      <w:r>
        <w:t>Labs(</w:t>
      </w:r>
      <w:proofErr w:type="gramEnd"/>
      <w:r>
        <w:t xml:space="preserve">February 2015), </w:t>
      </w:r>
      <w:r>
        <w:rPr>
          <w:highlight w:val="white"/>
        </w:rPr>
        <w:t xml:space="preserve">Energy Savings from the Nest Learning Thermostat: Energy Bill Analysis Results. Retrieved From </w:t>
      </w:r>
      <w:hyperlink r:id="rId37">
        <w:r>
          <w:rPr>
            <w:rFonts w:ascii="Arial" w:eastAsia="Arial" w:hAnsi="Arial" w:cs="Arial"/>
            <w:sz w:val="20"/>
            <w:szCs w:val="20"/>
            <w:highlight w:val="white"/>
            <w:u w:val="single"/>
          </w:rPr>
          <w:t>https://nest.com/downloads/press/documents/energy-savings-white-paper.pdf</w:t>
        </w:r>
      </w:hyperlink>
      <w:r>
        <w:rPr>
          <w:rFonts w:ascii="Arial" w:eastAsia="Arial" w:hAnsi="Arial" w:cs="Arial"/>
          <w:sz w:val="20"/>
          <w:szCs w:val="20"/>
          <w:highlight w:val="white"/>
        </w:rPr>
        <w:t xml:space="preserve"> </w:t>
      </w:r>
    </w:p>
    <w:p w14:paraId="38C69778" w14:textId="77777777" w:rsidR="00576C8C" w:rsidRDefault="007173B2">
      <w:pPr>
        <w:pStyle w:val="Normal1"/>
        <w:numPr>
          <w:ilvl w:val="0"/>
          <w:numId w:val="12"/>
        </w:numPr>
        <w:spacing w:line="276" w:lineRule="auto"/>
        <w:ind w:hanging="360"/>
        <w:contextualSpacing/>
        <w:rPr>
          <w:rFonts w:ascii="Arial" w:eastAsia="Arial" w:hAnsi="Arial" w:cs="Arial"/>
          <w:sz w:val="20"/>
          <w:szCs w:val="20"/>
          <w:highlight w:val="white"/>
        </w:rPr>
      </w:pPr>
      <w:r>
        <w:rPr>
          <w:rFonts w:ascii="Arial" w:eastAsia="Arial" w:hAnsi="Arial" w:cs="Arial"/>
          <w:sz w:val="20"/>
          <w:szCs w:val="20"/>
          <w:highlight w:val="white"/>
        </w:rPr>
        <w:t xml:space="preserve">Apex Analytics LLC (October 2014) Energy Trust of Oregon Heat Pump Control Pilot Evaluation. Retrieved From </w:t>
      </w:r>
      <w:hyperlink r:id="rId38">
        <w:r>
          <w:rPr>
            <w:rFonts w:ascii="Arial" w:eastAsia="Arial" w:hAnsi="Arial" w:cs="Arial"/>
            <w:sz w:val="20"/>
            <w:szCs w:val="20"/>
            <w:highlight w:val="white"/>
            <w:u w:val="single"/>
          </w:rPr>
          <w:t>http://energytrust.org/library/reports/Nest_Pilot_Study_Evaluation_wSR.pdf</w:t>
        </w:r>
      </w:hyperlink>
      <w:r>
        <w:rPr>
          <w:rFonts w:ascii="Arial" w:eastAsia="Arial" w:hAnsi="Arial" w:cs="Arial"/>
          <w:sz w:val="20"/>
          <w:szCs w:val="20"/>
          <w:highlight w:val="white"/>
        </w:rPr>
        <w:t xml:space="preserve"> </w:t>
      </w:r>
    </w:p>
    <w:p w14:paraId="35AD9CA7" w14:textId="77777777" w:rsidR="00576C8C" w:rsidRDefault="007173B2">
      <w:pPr>
        <w:pStyle w:val="Normal1"/>
        <w:numPr>
          <w:ilvl w:val="0"/>
          <w:numId w:val="12"/>
        </w:numPr>
        <w:spacing w:line="276" w:lineRule="auto"/>
        <w:ind w:hanging="360"/>
        <w:contextualSpacing/>
        <w:rPr>
          <w:rFonts w:ascii="Arial" w:eastAsia="Arial" w:hAnsi="Arial" w:cs="Arial"/>
          <w:sz w:val="20"/>
          <w:szCs w:val="20"/>
          <w:highlight w:val="white"/>
        </w:rPr>
      </w:pPr>
      <w:r>
        <w:rPr>
          <w:rFonts w:ascii="Arial" w:eastAsia="Arial" w:hAnsi="Arial" w:cs="Arial"/>
          <w:sz w:val="20"/>
          <w:szCs w:val="20"/>
          <w:highlight w:val="white"/>
        </w:rPr>
        <w:t>The Cadmus Group (January 2015) Evaluation of the 2013-2014 Programmable and Smart Thermostat Program (</w:t>
      </w:r>
      <w:proofErr w:type="spellStart"/>
      <w:r>
        <w:rPr>
          <w:rFonts w:ascii="Arial" w:eastAsia="Arial" w:hAnsi="Arial" w:cs="Arial"/>
          <w:sz w:val="20"/>
          <w:szCs w:val="20"/>
          <w:highlight w:val="white"/>
        </w:rPr>
        <w:t>Vectren</w:t>
      </w:r>
      <w:proofErr w:type="spellEnd"/>
      <w:r>
        <w:rPr>
          <w:rFonts w:ascii="Arial" w:eastAsia="Arial" w:hAnsi="Arial" w:cs="Arial"/>
          <w:sz w:val="20"/>
          <w:szCs w:val="20"/>
          <w:highlight w:val="white"/>
        </w:rPr>
        <w:t xml:space="preserve">). Retrieved From </w:t>
      </w:r>
      <w:hyperlink r:id="rId39">
        <w:r>
          <w:rPr>
            <w:rFonts w:ascii="Arial" w:eastAsia="Arial" w:hAnsi="Arial" w:cs="Arial"/>
            <w:sz w:val="20"/>
            <w:szCs w:val="20"/>
            <w:highlight w:val="white"/>
            <w:u w:val="single"/>
          </w:rPr>
          <w:t>http://www.cadmusgroup.com/presentations/nest-learning-thermostat-can-teach-old-thermostat-new-tricks/</w:t>
        </w:r>
      </w:hyperlink>
      <w:r>
        <w:rPr>
          <w:rFonts w:ascii="Arial" w:eastAsia="Arial" w:hAnsi="Arial" w:cs="Arial"/>
          <w:sz w:val="20"/>
          <w:szCs w:val="20"/>
          <w:highlight w:val="white"/>
        </w:rPr>
        <w:t xml:space="preserve"> </w:t>
      </w:r>
    </w:p>
    <w:p w14:paraId="605F8623" w14:textId="77777777" w:rsidR="00576C8C" w:rsidRDefault="007173B2">
      <w:pPr>
        <w:pStyle w:val="Normal1"/>
        <w:numPr>
          <w:ilvl w:val="0"/>
          <w:numId w:val="12"/>
        </w:numPr>
        <w:spacing w:line="276" w:lineRule="auto"/>
        <w:ind w:hanging="360"/>
        <w:contextualSpacing/>
        <w:rPr>
          <w:rFonts w:ascii="Arial" w:eastAsia="Arial" w:hAnsi="Arial" w:cs="Arial"/>
          <w:sz w:val="20"/>
          <w:szCs w:val="20"/>
          <w:highlight w:val="white"/>
        </w:rPr>
      </w:pPr>
      <w:r>
        <w:rPr>
          <w:rFonts w:ascii="Arial" w:eastAsia="Arial" w:hAnsi="Arial" w:cs="Arial"/>
          <w:sz w:val="20"/>
          <w:szCs w:val="20"/>
          <w:highlight w:val="white"/>
        </w:rPr>
        <w:t xml:space="preserve">The Cadmus Group (January 2015) Evaluation of the 2013-2014 Programmable and Smart Thermostat Program (Northern Indiana). Retrieved From </w:t>
      </w:r>
      <w:hyperlink r:id="rId40">
        <w:r>
          <w:rPr>
            <w:rFonts w:ascii="Arial" w:eastAsia="Arial" w:hAnsi="Arial" w:cs="Arial"/>
            <w:sz w:val="20"/>
            <w:szCs w:val="20"/>
            <w:highlight w:val="white"/>
            <w:u w:val="single"/>
          </w:rPr>
          <w:t>https://myweb.in.gov/IURC/eds/Modules/Ecms/Cases/Docketed_Cases/ViewDocument.aspx?DocID=0900b631801c5039</w:t>
        </w:r>
      </w:hyperlink>
      <w:r>
        <w:rPr>
          <w:rFonts w:ascii="Arial" w:eastAsia="Arial" w:hAnsi="Arial" w:cs="Arial"/>
          <w:sz w:val="20"/>
          <w:szCs w:val="20"/>
          <w:highlight w:val="white"/>
        </w:rPr>
        <w:t xml:space="preserve"> </w:t>
      </w:r>
    </w:p>
    <w:p w14:paraId="4BA9D3E4" w14:textId="77777777" w:rsidR="00576C8C" w:rsidRDefault="007173B2">
      <w:pPr>
        <w:pStyle w:val="Normal1"/>
        <w:numPr>
          <w:ilvl w:val="0"/>
          <w:numId w:val="12"/>
        </w:numPr>
        <w:spacing w:line="276" w:lineRule="auto"/>
        <w:ind w:hanging="360"/>
        <w:contextualSpacing/>
        <w:rPr>
          <w:rFonts w:ascii="Arial" w:eastAsia="Arial" w:hAnsi="Arial" w:cs="Arial"/>
          <w:sz w:val="20"/>
          <w:szCs w:val="20"/>
          <w:highlight w:val="white"/>
        </w:rPr>
      </w:pPr>
      <w:proofErr w:type="spellStart"/>
      <w:r>
        <w:rPr>
          <w:rFonts w:ascii="Arial" w:eastAsia="Arial" w:hAnsi="Arial" w:cs="Arial"/>
          <w:sz w:val="20"/>
          <w:szCs w:val="20"/>
          <w:highlight w:val="white"/>
        </w:rPr>
        <w:t>Nexant</w:t>
      </w:r>
      <w:proofErr w:type="spellEnd"/>
      <w:r>
        <w:rPr>
          <w:rFonts w:ascii="Arial" w:eastAsia="Arial" w:hAnsi="Arial" w:cs="Arial"/>
          <w:sz w:val="20"/>
          <w:szCs w:val="20"/>
          <w:highlight w:val="white"/>
        </w:rPr>
        <w:t xml:space="preserve"> (November 2014) CPS Energy Nest Pilot Evaluation FY2015 - Final</w:t>
      </w:r>
    </w:p>
    <w:p w14:paraId="4D32B03D" w14:textId="77777777" w:rsidR="00576C8C" w:rsidRDefault="007173B2">
      <w:pPr>
        <w:pStyle w:val="Normal1"/>
        <w:numPr>
          <w:ilvl w:val="0"/>
          <w:numId w:val="12"/>
        </w:numPr>
        <w:spacing w:line="276" w:lineRule="auto"/>
        <w:ind w:hanging="360"/>
        <w:contextualSpacing/>
        <w:rPr>
          <w:rFonts w:ascii="Arial" w:eastAsia="Arial" w:hAnsi="Arial" w:cs="Arial"/>
          <w:sz w:val="20"/>
          <w:szCs w:val="20"/>
          <w:highlight w:val="white"/>
        </w:rPr>
      </w:pPr>
      <w:r>
        <w:rPr>
          <w:rFonts w:ascii="Arial" w:eastAsia="Arial" w:hAnsi="Arial" w:cs="Arial"/>
          <w:sz w:val="20"/>
          <w:szCs w:val="20"/>
          <w:highlight w:val="white"/>
        </w:rPr>
        <w:t xml:space="preserve">D. </w:t>
      </w:r>
      <w:r>
        <w:t xml:space="preserve">Parker, K. Sutherland, D. </w:t>
      </w:r>
      <w:proofErr w:type="spellStart"/>
      <w:r>
        <w:t>Chasar</w:t>
      </w:r>
      <w:proofErr w:type="spellEnd"/>
      <w:r>
        <w:t xml:space="preserve"> Florida Solar Energy Center (June, 2016) Evaluation of the Space Heating and Cooling Energy Savings of Smart Thermostats in a Hot-Humid Climate using Long-term Data. Retrieved From </w:t>
      </w:r>
      <w:hyperlink r:id="rId41">
        <w:r>
          <w:rPr>
            <w:u w:val="single"/>
          </w:rPr>
          <w:t>http://aceee.org/files/proceedings/2016/data/papers/8_163.pdf</w:t>
        </w:r>
      </w:hyperlink>
      <w:r>
        <w:t xml:space="preserve"> </w:t>
      </w:r>
    </w:p>
    <w:p w14:paraId="2C9FE8E8" w14:textId="77777777" w:rsidR="00576C8C" w:rsidRDefault="007173B2">
      <w:pPr>
        <w:pStyle w:val="Normal1"/>
        <w:numPr>
          <w:ilvl w:val="0"/>
          <w:numId w:val="12"/>
        </w:numPr>
        <w:spacing w:line="276" w:lineRule="auto"/>
        <w:ind w:hanging="360"/>
        <w:contextualSpacing/>
      </w:pPr>
      <w:r>
        <w:t xml:space="preserve">Design &amp; Engineering Services, Southern California Edison (December 2012) </w:t>
      </w:r>
      <w:r>
        <w:rPr>
          <w:highlight w:val="white"/>
        </w:rPr>
        <w:t xml:space="preserve">Demand Response Technology Evaluation of </w:t>
      </w:r>
      <w:proofErr w:type="spellStart"/>
      <w:r>
        <w:rPr>
          <w:highlight w:val="white"/>
        </w:rPr>
        <w:t>AutoDR</w:t>
      </w:r>
      <w:proofErr w:type="spellEnd"/>
      <w:r>
        <w:rPr>
          <w:highlight w:val="white"/>
        </w:rPr>
        <w:t xml:space="preserve"> Programmable Communicating Thermostats Retrieved From </w:t>
      </w:r>
      <w:hyperlink r:id="rId42">
        <w:r>
          <w:rPr>
            <w:highlight w:val="white"/>
            <w:u w:val="single"/>
          </w:rPr>
          <w:t>http://www.etcc-ca.com/sites/default/files/reports/DR10SCE0501%20OpenADR%20PCT.pdf</w:t>
        </w:r>
      </w:hyperlink>
      <w:r>
        <w:rPr>
          <w:highlight w:val="white"/>
        </w:rPr>
        <w:t xml:space="preserve"> </w:t>
      </w:r>
    </w:p>
    <w:p w14:paraId="0DB6D078" w14:textId="77777777" w:rsidR="00576C8C" w:rsidRDefault="007173B2">
      <w:pPr>
        <w:pStyle w:val="Normal1"/>
        <w:numPr>
          <w:ilvl w:val="0"/>
          <w:numId w:val="12"/>
        </w:numPr>
        <w:spacing w:line="276" w:lineRule="auto"/>
        <w:ind w:hanging="360"/>
        <w:contextualSpacing/>
        <w:rPr>
          <w:highlight w:val="white"/>
        </w:rPr>
      </w:pPr>
      <w:r>
        <w:t xml:space="preserve">Design &amp; Engineering Services, Southern California Edison (March, 2006) </w:t>
      </w:r>
      <w:r>
        <w:rPr>
          <w:highlight w:val="white"/>
        </w:rPr>
        <w:t xml:space="preserve">Residential Programmable Communicating Thermostat Customer Satisfaction Survey. Retrieved From </w:t>
      </w:r>
      <w:hyperlink r:id="rId43">
        <w:r>
          <w:rPr>
            <w:highlight w:val="white"/>
            <w:u w:val="single"/>
          </w:rPr>
          <w:t>http://www.etcc-ca.com/reports/residential-programmable-communicating-thermostat-customer-satisfaction-survey</w:t>
        </w:r>
      </w:hyperlink>
      <w:r>
        <w:rPr>
          <w:highlight w:val="white"/>
        </w:rPr>
        <w:t xml:space="preserve"> </w:t>
      </w:r>
    </w:p>
    <w:p w14:paraId="39684A4F" w14:textId="77777777" w:rsidR="00576C8C" w:rsidRDefault="007173B2">
      <w:pPr>
        <w:pStyle w:val="Normal1"/>
        <w:numPr>
          <w:ilvl w:val="0"/>
          <w:numId w:val="12"/>
        </w:numPr>
        <w:spacing w:line="276" w:lineRule="auto"/>
        <w:ind w:hanging="360"/>
        <w:contextualSpacing/>
        <w:rPr>
          <w:highlight w:val="white"/>
        </w:rPr>
      </w:pPr>
      <w:r>
        <w:rPr>
          <w:highlight w:val="white"/>
        </w:rPr>
        <w:t>D</w:t>
      </w:r>
      <w:r>
        <w:t>esign &amp; Engineering Services, Southern California Edison (April 2007</w:t>
      </w:r>
      <w:proofErr w:type="gramStart"/>
      <w:r>
        <w:t xml:space="preserve">)  </w:t>
      </w:r>
      <w:r>
        <w:rPr>
          <w:highlight w:val="white"/>
        </w:rPr>
        <w:t>Impact</w:t>
      </w:r>
      <w:proofErr w:type="gramEnd"/>
      <w:r>
        <w:rPr>
          <w:highlight w:val="white"/>
        </w:rPr>
        <w:t xml:space="preserve"> Of PCTs On Demand Response – PHASE II. Retrieved From </w:t>
      </w:r>
      <w:hyperlink r:id="rId44">
        <w:r>
          <w:rPr>
            <w:highlight w:val="white"/>
            <w:u w:val="single"/>
          </w:rPr>
          <w:t>http://www.etcc-ca.com/sites/default/files/OLD/images/stories/dr_06.10_impact_of_pct_on__dr_phase2.pdf</w:t>
        </w:r>
      </w:hyperlink>
      <w:r>
        <w:rPr>
          <w:highlight w:val="white"/>
        </w:rPr>
        <w:t xml:space="preserve"> </w:t>
      </w:r>
    </w:p>
    <w:p w14:paraId="70F793CF" w14:textId="77777777" w:rsidR="00576C8C" w:rsidRDefault="007173B2">
      <w:pPr>
        <w:pStyle w:val="Normal1"/>
        <w:numPr>
          <w:ilvl w:val="0"/>
          <w:numId w:val="12"/>
        </w:numPr>
        <w:spacing w:line="276" w:lineRule="auto"/>
        <w:ind w:hanging="360"/>
        <w:contextualSpacing/>
        <w:rPr>
          <w:highlight w:val="white"/>
        </w:rPr>
      </w:pPr>
      <w:r>
        <w:rPr>
          <w:highlight w:val="white"/>
        </w:rPr>
        <w:t>D</w:t>
      </w:r>
      <w:r>
        <w:t xml:space="preserve">esign &amp; Engineering Services, Southern California Edison (September 2005) </w:t>
      </w:r>
      <w:r>
        <w:rPr>
          <w:highlight w:val="white"/>
        </w:rPr>
        <w:t>Assessment of Programmable Communicating Thermostats: Technology, Costs and Required Functionality</w:t>
      </w:r>
    </w:p>
    <w:p w14:paraId="64EE679B" w14:textId="77777777" w:rsidR="00576C8C" w:rsidRDefault="007173B2">
      <w:pPr>
        <w:pStyle w:val="Normal1"/>
        <w:numPr>
          <w:ilvl w:val="0"/>
          <w:numId w:val="12"/>
        </w:numPr>
        <w:spacing w:line="276" w:lineRule="auto"/>
        <w:ind w:hanging="360"/>
        <w:contextualSpacing/>
        <w:rPr>
          <w:highlight w:val="white"/>
        </w:rPr>
      </w:pPr>
      <w:r>
        <w:rPr>
          <w:highlight w:val="white"/>
        </w:rPr>
        <w:t>D</w:t>
      </w:r>
      <w:r>
        <w:t xml:space="preserve">esign &amp; Engineering Services, Southern California Edison (March 2007) </w:t>
      </w:r>
      <w:r>
        <w:rPr>
          <w:highlight w:val="white"/>
        </w:rPr>
        <w:t xml:space="preserve">Residential Programmable Communicating Thermostat Customer Satisfaction Survey. Retrieved From </w:t>
      </w:r>
      <w:hyperlink r:id="rId45">
        <w:r>
          <w:rPr>
            <w:highlight w:val="white"/>
            <w:u w:val="single"/>
          </w:rPr>
          <w:t>http://www.etcc-ca.com/sites/default/files/OLD/images/stories/pdf/ETCC_Report_397.pdf</w:t>
        </w:r>
      </w:hyperlink>
      <w:r>
        <w:rPr>
          <w:highlight w:val="white"/>
        </w:rPr>
        <w:t xml:space="preserve"> </w:t>
      </w:r>
    </w:p>
    <w:p w14:paraId="29098571" w14:textId="77777777" w:rsidR="00576C8C" w:rsidRDefault="007173B2">
      <w:pPr>
        <w:pStyle w:val="Normal1"/>
        <w:numPr>
          <w:ilvl w:val="0"/>
          <w:numId w:val="12"/>
        </w:numPr>
        <w:spacing w:line="276" w:lineRule="auto"/>
        <w:ind w:hanging="360"/>
        <w:contextualSpacing/>
        <w:rPr>
          <w:highlight w:val="white"/>
        </w:rPr>
      </w:pPr>
      <w:r>
        <w:rPr>
          <w:highlight w:val="white"/>
        </w:rPr>
        <w:t>P</w:t>
      </w:r>
      <w:r>
        <w:t xml:space="preserve">hillip </w:t>
      </w:r>
      <w:proofErr w:type="spellStart"/>
      <w:r>
        <w:t>Kelsven</w:t>
      </w:r>
      <w:proofErr w:type="spellEnd"/>
      <w:r>
        <w:t xml:space="preserve">, Robert Weber, Bonneville Power Administration (2016 ACEEE Summer Study) A Look Inside the Eye on the Wall: Sub-metering Data Analysis and Savings Assessment of the Nest Learning Thermostat (BPA report) Retrieved From </w:t>
      </w:r>
      <w:hyperlink r:id="rId46">
        <w:r>
          <w:rPr>
            <w:u w:val="single"/>
          </w:rPr>
          <w:t>http://aceee.org/files/proceedings/2016/data/papers/1_351.pdf</w:t>
        </w:r>
      </w:hyperlink>
      <w:r>
        <w:t xml:space="preserve"> </w:t>
      </w:r>
    </w:p>
    <w:p w14:paraId="6D511B9C" w14:textId="77777777" w:rsidR="00576C8C" w:rsidRDefault="007173B2">
      <w:pPr>
        <w:pStyle w:val="Normal1"/>
        <w:numPr>
          <w:ilvl w:val="0"/>
          <w:numId w:val="12"/>
        </w:numPr>
        <w:spacing w:line="276" w:lineRule="auto"/>
        <w:ind w:hanging="360"/>
        <w:contextualSpacing/>
      </w:pPr>
      <w:r>
        <w:t xml:space="preserve">Noah </w:t>
      </w:r>
      <w:proofErr w:type="spellStart"/>
      <w:r>
        <w:t>Lieb</w:t>
      </w:r>
      <w:proofErr w:type="spellEnd"/>
      <w:r>
        <w:t xml:space="preserve"> and Scott </w:t>
      </w:r>
      <w:proofErr w:type="spellStart"/>
      <w:r>
        <w:t>Dimetrosky</w:t>
      </w:r>
      <w:proofErr w:type="spellEnd"/>
      <w:r>
        <w:t xml:space="preserve">, Apex Analytics, Dan </w:t>
      </w:r>
      <w:proofErr w:type="spellStart"/>
      <w:r>
        <w:t>Rubado</w:t>
      </w:r>
      <w:proofErr w:type="spellEnd"/>
      <w:r>
        <w:t xml:space="preserve">, Energy Trust of Oregon (2016 ACEEE Summer Study) Thriller in Asilomar: Battle of the Smart Thermostats Retrieved From </w:t>
      </w:r>
      <w:hyperlink r:id="rId47">
        <w:r>
          <w:rPr>
            <w:u w:val="single"/>
          </w:rPr>
          <w:t>http://aceee.org/files/proceedings/2016/data/papers/2_420.pdf</w:t>
        </w:r>
      </w:hyperlink>
      <w:r>
        <w:t xml:space="preserve"> </w:t>
      </w:r>
    </w:p>
    <w:p w14:paraId="5B9D2E86" w14:textId="77777777" w:rsidR="00576C8C" w:rsidRDefault="007173B2">
      <w:pPr>
        <w:pStyle w:val="Normal1"/>
        <w:numPr>
          <w:ilvl w:val="0"/>
          <w:numId w:val="12"/>
        </w:numPr>
        <w:spacing w:line="276" w:lineRule="auto"/>
        <w:ind w:hanging="360"/>
        <w:contextualSpacing/>
      </w:pPr>
      <w:r>
        <w:t xml:space="preserve">Jen Robinson, Electric Power Research Institute, Ram </w:t>
      </w:r>
      <w:proofErr w:type="spellStart"/>
      <w:r>
        <w:t>Narayanamurthy</w:t>
      </w:r>
      <w:proofErr w:type="spellEnd"/>
      <w:r>
        <w:t xml:space="preserve">, Electric Power Research Institute, </w:t>
      </w:r>
      <w:proofErr w:type="spellStart"/>
      <w:r>
        <w:t>Bienvenido</w:t>
      </w:r>
      <w:proofErr w:type="spellEnd"/>
      <w:r>
        <w:t xml:space="preserve"> </w:t>
      </w:r>
      <w:proofErr w:type="spellStart"/>
      <w:r>
        <w:t>Clarin</w:t>
      </w:r>
      <w:proofErr w:type="spellEnd"/>
      <w:r>
        <w:t xml:space="preserve">, Electric Power Research Institute, Christine Lee, Electric Power Research Institute, </w:t>
      </w:r>
      <w:proofErr w:type="spellStart"/>
      <w:r>
        <w:t>Pranshu</w:t>
      </w:r>
      <w:proofErr w:type="spellEnd"/>
      <w:r>
        <w:t xml:space="preserve"> Bansal, University of California, Los Angeles (2016 ACEEE Summer Study) National Study of Potential of Smart Thermostats for Energy Efficiency and Demand Response. Retrieved From </w:t>
      </w:r>
      <w:hyperlink r:id="rId48">
        <w:r>
          <w:rPr>
            <w:u w:val="single"/>
          </w:rPr>
          <w:t>http://aceee.org/files/proceedings/2016/data/papers/2_1172.pdf</w:t>
        </w:r>
      </w:hyperlink>
      <w:r>
        <w:t xml:space="preserve"> </w:t>
      </w:r>
    </w:p>
    <w:p w14:paraId="380EB873" w14:textId="2B29DDD1" w:rsidR="00576C8C" w:rsidRDefault="007173B2">
      <w:pPr>
        <w:pStyle w:val="Normal1"/>
        <w:numPr>
          <w:ilvl w:val="0"/>
          <w:numId w:val="12"/>
        </w:numPr>
        <w:spacing w:line="276" w:lineRule="auto"/>
        <w:ind w:hanging="360"/>
        <w:contextualSpacing/>
      </w:pPr>
      <w:r>
        <w:t>Navigant Consulting (</w:t>
      </w:r>
      <w:r w:rsidR="004E17FF">
        <w:t xml:space="preserve">Aug </w:t>
      </w:r>
      <w:r>
        <w:t xml:space="preserve">2016) Nest Learning Thermostat Pilot Study (Draft) </w:t>
      </w:r>
    </w:p>
    <w:p w14:paraId="562C0BF5" w14:textId="41A40AA6" w:rsidR="00B82291" w:rsidRPr="00944D8E" w:rsidRDefault="00B82291">
      <w:pPr>
        <w:pStyle w:val="Normal1"/>
        <w:numPr>
          <w:ilvl w:val="0"/>
          <w:numId w:val="12"/>
        </w:numPr>
        <w:spacing w:line="276" w:lineRule="auto"/>
        <w:ind w:hanging="360"/>
        <w:contextualSpacing/>
        <w:rPr>
          <w:color w:val="auto"/>
        </w:rPr>
      </w:pPr>
      <w:r w:rsidRPr="00944D8E">
        <w:rPr>
          <w:color w:val="auto"/>
        </w:rPr>
        <w:t xml:space="preserve">See page 410 out of 451 Massachusetts Technical Reference Manual: </w:t>
      </w:r>
      <w:hyperlink r:id="rId49" w:history="1">
        <w:r w:rsidR="0020202D" w:rsidRPr="00944D8E">
          <w:rPr>
            <w:rStyle w:val="Hyperlink"/>
            <w:color w:val="auto"/>
          </w:rPr>
          <w:t>http://ma-eeac.org/wordpress/wp-content/uploads/TRM_PLAN_2013-15.pdf</w:t>
        </w:r>
      </w:hyperlink>
    </w:p>
    <w:p w14:paraId="0C85BADC" w14:textId="77777777" w:rsidR="00485F41" w:rsidRPr="00944D8E" w:rsidRDefault="0020202D" w:rsidP="00485F41">
      <w:pPr>
        <w:pStyle w:val="Normal1"/>
        <w:numPr>
          <w:ilvl w:val="0"/>
          <w:numId w:val="12"/>
        </w:numPr>
        <w:spacing w:line="276" w:lineRule="auto"/>
        <w:ind w:hanging="360"/>
        <w:contextualSpacing/>
        <w:rPr>
          <w:color w:val="auto"/>
        </w:rPr>
      </w:pPr>
      <w:proofErr w:type="spellStart"/>
      <w:r w:rsidRPr="00944D8E">
        <w:rPr>
          <w:color w:val="auto"/>
        </w:rPr>
        <w:lastRenderedPageBreak/>
        <w:t>CLEAResult</w:t>
      </w:r>
      <w:proofErr w:type="spellEnd"/>
      <w:r w:rsidRPr="00944D8E">
        <w:rPr>
          <w:color w:val="auto"/>
        </w:rPr>
        <w:t xml:space="preserve"> Smart Thermostat White Paper: </w:t>
      </w:r>
      <w:hyperlink r:id="rId50" w:history="1">
        <w:r w:rsidR="00485F41" w:rsidRPr="00944D8E">
          <w:rPr>
            <w:rStyle w:val="Hyperlink"/>
            <w:color w:val="auto"/>
          </w:rPr>
          <w:t>http://ilsagfiles.org/SAG_files/Meeting_Materials/2015/6-23-15_Meeting/CLEAResult_Smart_Thermostat_WhitePaper_20150505.pdf</w:t>
        </w:r>
      </w:hyperlink>
    </w:p>
    <w:p w14:paraId="1010DFE1" w14:textId="520187FA" w:rsidR="00485F41" w:rsidRPr="002D5970" w:rsidRDefault="00485F41" w:rsidP="00485F41">
      <w:pPr>
        <w:pStyle w:val="Normal1"/>
        <w:numPr>
          <w:ilvl w:val="0"/>
          <w:numId w:val="12"/>
        </w:numPr>
        <w:spacing w:line="276" w:lineRule="auto"/>
        <w:ind w:hanging="360"/>
        <w:contextualSpacing/>
      </w:pPr>
      <w:r w:rsidRPr="00944D8E">
        <w:rPr>
          <w:rFonts w:eastAsia="Times New Roman" w:cs="Times New Roman"/>
          <w:color w:val="auto"/>
        </w:rPr>
        <w:t>PG&amp;E Smart Thermosta</w:t>
      </w:r>
      <w:r w:rsidR="00944D8E">
        <w:rPr>
          <w:rFonts w:eastAsia="Times New Roman" w:cs="Times New Roman"/>
          <w:color w:val="auto"/>
        </w:rPr>
        <w:t>t Study: First Year Findings</w:t>
      </w:r>
      <w:r w:rsidR="00944D8E" w:rsidRPr="00944D8E">
        <w:rPr>
          <w:rFonts w:eastAsia="Times New Roman" w:cs="Times New Roman"/>
          <w:color w:val="auto"/>
        </w:rPr>
        <w:t xml:space="preserve"> </w:t>
      </w:r>
      <w:r w:rsidRPr="00944D8E">
        <w:rPr>
          <w:rFonts w:eastAsia="Times New Roman" w:cs="Times New Roman"/>
          <w:color w:val="auto"/>
        </w:rPr>
        <w:t>ET13PGE146</w:t>
      </w:r>
      <w:r w:rsidR="00944D8E" w:rsidRPr="00944D8E">
        <w:rPr>
          <w:rFonts w:eastAsia="Times New Roman" w:cs="Times New Roman"/>
          <w:color w:val="auto"/>
        </w:rPr>
        <w:t xml:space="preserve">, </w:t>
      </w:r>
      <w:hyperlink r:id="rId51" w:history="1">
        <w:r w:rsidR="00944D8E" w:rsidRPr="003D4E9C">
          <w:rPr>
            <w:rStyle w:val="Hyperlink"/>
            <w:rFonts w:eastAsia="Times New Roman" w:cs="Times New Roman"/>
            <w:color w:val="auto"/>
          </w:rPr>
          <w:t>http://www.etcc-ca.com/reports/smart-thermostat-study</w:t>
        </w:r>
      </w:hyperlink>
      <w:r w:rsidR="00944D8E" w:rsidRPr="003D4E9C">
        <w:rPr>
          <w:rFonts w:eastAsia="Times New Roman" w:cs="Times New Roman"/>
          <w:color w:val="auto"/>
        </w:rPr>
        <w:t xml:space="preserve"> </w:t>
      </w:r>
    </w:p>
    <w:p w14:paraId="67B2EC70" w14:textId="1912AE2C" w:rsidR="005351FF" w:rsidRPr="00944D8E" w:rsidRDefault="005351FF" w:rsidP="005351FF">
      <w:pPr>
        <w:pStyle w:val="Normal1"/>
        <w:numPr>
          <w:ilvl w:val="0"/>
          <w:numId w:val="12"/>
        </w:numPr>
        <w:spacing w:line="276" w:lineRule="auto"/>
        <w:ind w:hanging="360"/>
        <w:contextualSpacing/>
      </w:pPr>
      <w:r>
        <w:t xml:space="preserve"> </w:t>
      </w:r>
      <w:r w:rsidR="0059154B">
        <w:t xml:space="preserve">Evergreen Economics, </w:t>
      </w:r>
      <w:r>
        <w:t xml:space="preserve">PG&amp;E Codes and Standards: Home Energy Use Study (HEUS), </w:t>
      </w:r>
      <w:r w:rsidR="00651058">
        <w:t>January 2017</w:t>
      </w:r>
    </w:p>
    <w:p w14:paraId="2AA93B5A" w14:textId="520B217F" w:rsidR="00485F41" w:rsidRPr="00B82291" w:rsidRDefault="00485F41" w:rsidP="00485F41">
      <w:pPr>
        <w:pStyle w:val="Normal1"/>
        <w:spacing w:line="276" w:lineRule="auto"/>
        <w:contextualSpacing/>
      </w:pPr>
    </w:p>
    <w:p w14:paraId="27C6F197" w14:textId="77777777" w:rsidR="00576C8C" w:rsidRDefault="00576C8C">
      <w:pPr>
        <w:pStyle w:val="Normal1"/>
      </w:pPr>
    </w:p>
    <w:p w14:paraId="162EF138" w14:textId="77777777" w:rsidR="00576C8C" w:rsidRDefault="007173B2">
      <w:pPr>
        <w:pStyle w:val="Normal1"/>
      </w:pPr>
      <w:r>
        <w:rPr>
          <w:color w:val="FF0000"/>
        </w:rPr>
        <w:t xml:space="preserve"> </w:t>
      </w:r>
    </w:p>
    <w:p w14:paraId="21E8B023" w14:textId="77777777" w:rsidR="00576C8C" w:rsidRDefault="00576C8C">
      <w:pPr>
        <w:pStyle w:val="Normal1"/>
      </w:pPr>
    </w:p>
    <w:sectPr w:rsidR="00576C8C" w:rsidSect="00A0158C">
      <w:footerReference w:type="default" r:id="rId52"/>
      <w:pgSz w:w="12240" w:h="15840"/>
      <w:pgMar w:top="1440" w:right="1980" w:bottom="720" w:left="1440" w:header="720" w:footer="720" w:gutter="0"/>
      <w:pgNumType w:start="1"/>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BF2E575" w14:textId="77777777" w:rsidR="00635CB2" w:rsidRDefault="00635CB2">
      <w:r>
        <w:separator/>
      </w:r>
    </w:p>
  </w:endnote>
  <w:endnote w:type="continuationSeparator" w:id="0">
    <w:p w14:paraId="69F1AC0F" w14:textId="77777777" w:rsidR="00635CB2" w:rsidRDefault="00635CB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Georgia">
    <w:panose1 w:val="02040502050405020303"/>
    <w:charset w:val="00"/>
    <w:family w:val="roman"/>
    <w:pitch w:val="variable"/>
    <w:sig w:usb0="00000287" w:usb1="00000000" w:usb2="00000000" w:usb3="00000000" w:csb0="0000009F" w:csb1="00000000"/>
  </w:font>
  <w:font w:name="Lucida Grande">
    <w:altName w:val="Times New Roman"/>
    <w:charset w:val="00"/>
    <w:family w:val="auto"/>
    <w:pitch w:val="variable"/>
    <w:sig w:usb0="00000000" w:usb1="5000A1FF" w:usb2="00000000" w:usb3="00000000" w:csb0="000001BF" w:csb1="00000000"/>
  </w:font>
  <w:font w:name="Times">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 w:name="Helv">
    <w:panose1 w:val="020B0604020202030204"/>
    <w:charset w:val="00"/>
    <w:family w:val="swiss"/>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MS Gothic">
    <w:altName w:val="ＭＳ ゴシック"/>
    <w:panose1 w:val="020B06090702050802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4CD67C5" w14:textId="3574E1BB" w:rsidR="00635CB2" w:rsidRPr="00206AE1" w:rsidRDefault="00635CB2" w:rsidP="007755C8">
    <w:pPr>
      <w:pStyle w:val="Normal1"/>
      <w:tabs>
        <w:tab w:val="center" w:pos="4680"/>
        <w:tab w:val="right" w:pos="9360"/>
      </w:tabs>
      <w:rPr>
        <w:b/>
        <w:color w:val="auto"/>
        <w:sz w:val="20"/>
        <w:szCs w:val="20"/>
      </w:rPr>
    </w:pPr>
    <w:r w:rsidRPr="00206AE1">
      <w:rPr>
        <w:b/>
        <w:color w:val="auto"/>
        <w:sz w:val="20"/>
        <w:szCs w:val="20"/>
      </w:rPr>
      <w:t xml:space="preserve">SCE17HC054.0, Revision 0 </w:t>
    </w:r>
    <w:r w:rsidRPr="00206AE1">
      <w:rPr>
        <w:b/>
        <w:color w:val="auto"/>
        <w:sz w:val="20"/>
        <w:szCs w:val="20"/>
      </w:rPr>
      <w:tab/>
    </w:r>
    <w:r w:rsidRPr="00206AE1">
      <w:rPr>
        <w:b/>
        <w:color w:val="auto"/>
        <w:sz w:val="20"/>
        <w:szCs w:val="20"/>
      </w:rPr>
      <w:tab/>
      <w:t>March 08, 2017</w:t>
    </w:r>
  </w:p>
  <w:p w14:paraId="41D0F6BD" w14:textId="089692D2" w:rsidR="00635CB2" w:rsidRPr="00206AE1" w:rsidRDefault="00635CB2" w:rsidP="007755C8">
    <w:pPr>
      <w:pStyle w:val="Normal1"/>
      <w:tabs>
        <w:tab w:val="center" w:pos="4680"/>
        <w:tab w:val="right" w:pos="9360"/>
      </w:tabs>
      <w:rPr>
        <w:color w:val="auto"/>
        <w:sz w:val="20"/>
        <w:szCs w:val="20"/>
      </w:rPr>
    </w:pPr>
    <w:r w:rsidRPr="00206AE1">
      <w:rPr>
        <w:b/>
        <w:color w:val="auto"/>
        <w:sz w:val="20"/>
        <w:szCs w:val="20"/>
      </w:rPr>
      <w:t>Southern California Edison</w:t>
    </w:r>
  </w:p>
  <w:p w14:paraId="1712D666" w14:textId="6E4B2344" w:rsidR="00635CB2" w:rsidRPr="00206AE1" w:rsidRDefault="00635CB2" w:rsidP="00A0158C">
    <w:pPr>
      <w:pStyle w:val="Normal1"/>
      <w:tabs>
        <w:tab w:val="left" w:pos="1815"/>
        <w:tab w:val="center" w:pos="4410"/>
        <w:tab w:val="center" w:pos="4680"/>
        <w:tab w:val="right" w:pos="9360"/>
      </w:tabs>
      <w:rPr>
        <w:sz w:val="20"/>
        <w:szCs w:val="20"/>
      </w:rPr>
    </w:pPr>
    <w:r>
      <w:rPr>
        <w:sz w:val="20"/>
        <w:szCs w:val="20"/>
      </w:rPr>
      <w:tab/>
    </w:r>
    <w:r>
      <w:rPr>
        <w:sz w:val="20"/>
        <w:szCs w:val="20"/>
      </w:rPr>
      <w:tab/>
    </w:r>
    <w:r w:rsidRPr="00206AE1">
      <w:rPr>
        <w:sz w:val="20"/>
        <w:szCs w:val="20"/>
      </w:rPr>
      <w:fldChar w:fldCharType="begin"/>
    </w:r>
    <w:r w:rsidRPr="00206AE1">
      <w:rPr>
        <w:sz w:val="20"/>
        <w:szCs w:val="20"/>
      </w:rPr>
      <w:instrText>PAGE</w:instrText>
    </w:r>
    <w:r w:rsidRPr="00206AE1">
      <w:rPr>
        <w:sz w:val="20"/>
        <w:szCs w:val="20"/>
      </w:rPr>
      <w:fldChar w:fldCharType="separate"/>
    </w:r>
    <w:r w:rsidR="000A4294">
      <w:rPr>
        <w:noProof/>
        <w:sz w:val="20"/>
        <w:szCs w:val="20"/>
      </w:rPr>
      <w:t>48</w:t>
    </w:r>
    <w:r w:rsidRPr="00206AE1">
      <w:rPr>
        <w:sz w:val="20"/>
        <w:szCs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333BDA1" w14:textId="77777777" w:rsidR="00635CB2" w:rsidRDefault="00635CB2">
      <w:r>
        <w:separator/>
      </w:r>
    </w:p>
  </w:footnote>
  <w:footnote w:type="continuationSeparator" w:id="0">
    <w:p w14:paraId="6F310F26" w14:textId="77777777" w:rsidR="00635CB2" w:rsidRDefault="00635CB2">
      <w:r>
        <w:continuationSeparator/>
      </w:r>
    </w:p>
  </w:footnote>
  <w:footnote w:id="1">
    <w:p w14:paraId="5521742B" w14:textId="54A1BF3B" w:rsidR="00635CB2" w:rsidRDefault="00635CB2" w:rsidP="005351FF">
      <w:pPr>
        <w:pStyle w:val="FootnoteText"/>
      </w:pPr>
      <w:r>
        <w:rPr>
          <w:rStyle w:val="FootnoteReference"/>
        </w:rPr>
        <w:footnoteRef/>
      </w:r>
      <w:r>
        <w:t xml:space="preserve"> </w:t>
      </w:r>
      <w:r w:rsidRPr="00206AE1">
        <w:rPr>
          <w:sz w:val="18"/>
          <w:szCs w:val="18"/>
        </w:rPr>
        <w:t>This 15% value is further supported by a PG&amp;E Codes and Standards: Home Energy Use Study</w:t>
      </w:r>
      <w:r w:rsidRPr="00206AE1">
        <w:rPr>
          <w:sz w:val="18"/>
          <w:szCs w:val="18"/>
          <w:vertAlign w:val="superscript"/>
        </w:rPr>
        <w:t xml:space="preserve"> (36)</w:t>
      </w:r>
      <w:r w:rsidRPr="00206AE1">
        <w:rPr>
          <w:sz w:val="18"/>
          <w:szCs w:val="18"/>
        </w:rPr>
        <w:t xml:space="preserve"> that found 14% of households answered that they had a manual thermostat.</w:t>
      </w:r>
      <w:r>
        <w:t xml:space="preserve"> </w:t>
      </w:r>
    </w:p>
    <w:p w14:paraId="082274AA" w14:textId="4B2F3190" w:rsidR="00635CB2" w:rsidRDefault="00635CB2" w:rsidP="005351FF">
      <w:pPr>
        <w:pStyle w:val="FootnoteText"/>
      </w:pPr>
    </w:p>
  </w:footnote>
  <w:footnote w:id="2">
    <w:p w14:paraId="01C9BD9F" w14:textId="4BA4665A" w:rsidR="00635CB2" w:rsidRPr="00666E20" w:rsidRDefault="00635CB2">
      <w:pPr>
        <w:pStyle w:val="FootnoteText"/>
        <w:rPr>
          <w:sz w:val="16"/>
          <w:szCs w:val="16"/>
        </w:rPr>
      </w:pPr>
      <w:r w:rsidRPr="00666E20">
        <w:rPr>
          <w:rStyle w:val="FootnoteReference"/>
          <w:sz w:val="16"/>
          <w:szCs w:val="16"/>
        </w:rPr>
        <w:footnoteRef/>
      </w:r>
      <w:r w:rsidRPr="00666E20">
        <w:rPr>
          <w:sz w:val="16"/>
          <w:szCs w:val="16"/>
        </w:rPr>
        <w:t xml:space="preserve"> Items in Disposition for WPSCGREHC160624A (SCG Smart Thermostat) issued November 8, 2016 That Impact Future Smart Thermostat </w:t>
      </w:r>
      <w:proofErr w:type="spellStart"/>
      <w:r w:rsidRPr="00666E20">
        <w:rPr>
          <w:sz w:val="16"/>
          <w:szCs w:val="16"/>
        </w:rPr>
        <w:t>Workpapers</w:t>
      </w:r>
      <w:proofErr w:type="spellEnd"/>
      <w:r w:rsidRPr="00666E20">
        <w:rPr>
          <w:b/>
          <w:sz w:val="16"/>
          <w:szCs w:val="16"/>
          <w:u w:val="single"/>
        </w:rPr>
        <w:t xml:space="preserve">  </w:t>
      </w:r>
    </w:p>
  </w:footnote>
  <w:footnote w:id="3">
    <w:p w14:paraId="6D12E6DB" w14:textId="3FA8D923" w:rsidR="00635CB2" w:rsidRPr="00782E4D" w:rsidRDefault="00635CB2" w:rsidP="00E86B84">
      <w:pPr>
        <w:shd w:val="clear" w:color="auto" w:fill="FFFFFF"/>
        <w:rPr>
          <w:rFonts w:eastAsia="Times New Roman" w:cs="Times New Roman"/>
          <w:color w:val="212121"/>
          <w:sz w:val="16"/>
          <w:szCs w:val="16"/>
        </w:rPr>
      </w:pPr>
      <w:r>
        <w:rPr>
          <w:rStyle w:val="FootnoteReference"/>
        </w:rPr>
        <w:footnoteRef/>
      </w:r>
      <w:r>
        <w:t xml:space="preserve"> </w:t>
      </w:r>
      <w:r w:rsidRPr="00782E4D">
        <w:rPr>
          <w:rFonts w:eastAsia="Times New Roman" w:cs="Times New Roman"/>
          <w:color w:val="212121"/>
          <w:sz w:val="16"/>
          <w:szCs w:val="16"/>
        </w:rPr>
        <w:t>Referenced text from CA EM&amp;V Framework:</w:t>
      </w:r>
      <w:r>
        <w:rPr>
          <w:rFonts w:eastAsia="Times New Roman" w:cs="Times New Roman"/>
          <w:color w:val="212121"/>
          <w:sz w:val="16"/>
          <w:szCs w:val="16"/>
        </w:rPr>
        <w:t xml:space="preserve"> </w:t>
      </w:r>
      <w:r w:rsidRPr="00782E4D">
        <w:rPr>
          <w:rFonts w:eastAsia="Times New Roman" w:cs="Times New Roman"/>
          <w:color w:val="212121"/>
          <w:sz w:val="16"/>
          <w:szCs w:val="16"/>
        </w:rPr>
        <w:t>The NTGR can be expected to vary depending upon the maturity of</w:t>
      </w:r>
      <w:r>
        <w:rPr>
          <w:rFonts w:eastAsia="Times New Roman" w:cs="Times New Roman"/>
          <w:color w:val="212121"/>
          <w:sz w:val="16"/>
          <w:szCs w:val="16"/>
        </w:rPr>
        <w:t xml:space="preserve"> </w:t>
      </w:r>
      <w:r w:rsidRPr="00782E4D">
        <w:rPr>
          <w:rFonts w:eastAsia="Times New Roman" w:cs="Times New Roman"/>
          <w:color w:val="212121"/>
          <w:sz w:val="16"/>
          <w:szCs w:val="16"/>
        </w:rPr>
        <w:t xml:space="preserve">the equipment </w:t>
      </w:r>
      <w:r w:rsidRPr="007A34F9">
        <w:rPr>
          <w:rFonts w:eastAsia="Times New Roman" w:cs="Times New Roman"/>
          <w:color w:val="212121"/>
          <w:sz w:val="16"/>
          <w:szCs w:val="16"/>
        </w:rPr>
        <w:t xml:space="preserve">or </w:t>
      </w:r>
      <w:r w:rsidRPr="00782E4D">
        <w:rPr>
          <w:rFonts w:eastAsia="Times New Roman" w:cs="Times New Roman"/>
          <w:color w:val="212121"/>
          <w:sz w:val="16"/>
          <w:szCs w:val="16"/>
        </w:rPr>
        <w:t>service, the type of delivery in the program, the maturity of the</w:t>
      </w:r>
      <w:r>
        <w:rPr>
          <w:rFonts w:eastAsia="Times New Roman" w:cs="Times New Roman"/>
          <w:color w:val="212121"/>
          <w:sz w:val="16"/>
          <w:szCs w:val="16"/>
        </w:rPr>
        <w:t xml:space="preserve"> </w:t>
      </w:r>
      <w:r w:rsidRPr="00782E4D">
        <w:rPr>
          <w:rFonts w:eastAsia="Times New Roman" w:cs="Times New Roman"/>
          <w:color w:val="212121"/>
          <w:sz w:val="16"/>
          <w:szCs w:val="16"/>
        </w:rPr>
        <w:t>program, and the customer sector. This means that the best NTGR estimate for program</w:t>
      </w:r>
      <w:r>
        <w:rPr>
          <w:rFonts w:eastAsia="Times New Roman" w:cs="Times New Roman"/>
          <w:color w:val="212121"/>
          <w:sz w:val="16"/>
          <w:szCs w:val="16"/>
        </w:rPr>
        <w:t xml:space="preserve"> </w:t>
      </w:r>
      <w:r w:rsidRPr="00782E4D">
        <w:rPr>
          <w:rFonts w:eastAsia="Times New Roman" w:cs="Times New Roman"/>
          <w:color w:val="212121"/>
          <w:sz w:val="16"/>
          <w:szCs w:val="16"/>
        </w:rPr>
        <w:t>planning is the latest estimate for that program or a similar program. A deemed estimate</w:t>
      </w:r>
      <w:r>
        <w:rPr>
          <w:rFonts w:eastAsia="Times New Roman" w:cs="Times New Roman"/>
          <w:color w:val="212121"/>
          <w:sz w:val="16"/>
          <w:szCs w:val="16"/>
        </w:rPr>
        <w:t xml:space="preserve"> </w:t>
      </w:r>
      <w:r w:rsidRPr="00782E4D">
        <w:rPr>
          <w:rFonts w:eastAsia="Times New Roman" w:cs="Times New Roman"/>
          <w:color w:val="212121"/>
          <w:sz w:val="16"/>
          <w:szCs w:val="16"/>
        </w:rPr>
        <w:t>based on one or more of these dimensions can be the fallback position for program</w:t>
      </w:r>
      <w:r>
        <w:rPr>
          <w:rFonts w:eastAsia="Times New Roman" w:cs="Times New Roman"/>
          <w:color w:val="212121"/>
          <w:sz w:val="16"/>
          <w:szCs w:val="16"/>
        </w:rPr>
        <w:t xml:space="preserve"> </w:t>
      </w:r>
      <w:r w:rsidRPr="00782E4D">
        <w:rPr>
          <w:rFonts w:eastAsia="Times New Roman" w:cs="Times New Roman"/>
          <w:color w:val="212121"/>
          <w:sz w:val="16"/>
          <w:szCs w:val="16"/>
        </w:rPr>
        <w:t>planning. Pg134</w:t>
      </w:r>
    </w:p>
    <w:p w14:paraId="092F531A" w14:textId="77777777" w:rsidR="00635CB2" w:rsidRPr="00782E4D" w:rsidRDefault="00635CB2" w:rsidP="00E86B84">
      <w:pPr>
        <w:shd w:val="clear" w:color="auto" w:fill="FFFFFF"/>
        <w:rPr>
          <w:rFonts w:eastAsia="Times New Roman" w:cs="Times New Roman"/>
          <w:color w:val="212121"/>
          <w:sz w:val="16"/>
          <w:szCs w:val="16"/>
        </w:rPr>
      </w:pPr>
    </w:p>
    <w:p w14:paraId="77D924C1" w14:textId="23F64041" w:rsidR="00635CB2" w:rsidRPr="00E86B84" w:rsidRDefault="00635CB2" w:rsidP="00E86B84">
      <w:pPr>
        <w:shd w:val="clear" w:color="auto" w:fill="FFFFFF"/>
        <w:rPr>
          <w:rFonts w:eastAsia="Times New Roman" w:cs="Times New Roman"/>
          <w:color w:val="212121"/>
          <w:sz w:val="16"/>
          <w:szCs w:val="16"/>
        </w:rPr>
      </w:pPr>
      <w:r w:rsidRPr="00782E4D">
        <w:rPr>
          <w:rFonts w:eastAsia="Times New Roman" w:cs="Times New Roman"/>
          <w:color w:val="212121"/>
          <w:sz w:val="16"/>
          <w:szCs w:val="16"/>
        </w:rPr>
        <w:t>The impact evaluation roadmap categorizes NTGR methods very simply into those that</w:t>
      </w:r>
      <w:r>
        <w:rPr>
          <w:rFonts w:eastAsia="Times New Roman" w:cs="Times New Roman"/>
          <w:color w:val="212121"/>
          <w:sz w:val="16"/>
          <w:szCs w:val="16"/>
        </w:rPr>
        <w:t xml:space="preserve"> </w:t>
      </w:r>
      <w:r w:rsidRPr="00782E4D">
        <w:rPr>
          <w:rFonts w:eastAsia="Times New Roman" w:cs="Times New Roman"/>
          <w:color w:val="212121"/>
          <w:sz w:val="16"/>
          <w:szCs w:val="16"/>
        </w:rPr>
        <w:t>are econometric methods (comparing participant and non-participants and adjusting for</w:t>
      </w:r>
      <w:r>
        <w:rPr>
          <w:rFonts w:eastAsia="Times New Roman" w:cs="Times New Roman"/>
          <w:color w:val="212121"/>
          <w:sz w:val="16"/>
          <w:szCs w:val="16"/>
        </w:rPr>
        <w:t xml:space="preserve"> </w:t>
      </w:r>
      <w:r w:rsidRPr="00782E4D">
        <w:rPr>
          <w:rFonts w:eastAsia="Times New Roman" w:cs="Times New Roman"/>
          <w:color w:val="212121"/>
          <w:sz w:val="16"/>
          <w:szCs w:val="16"/>
        </w:rPr>
        <w:t>selectivity biases through econometric models) and those that are survey-based (asking</w:t>
      </w:r>
      <w:r>
        <w:rPr>
          <w:rFonts w:eastAsia="Times New Roman" w:cs="Times New Roman"/>
          <w:color w:val="212121"/>
          <w:sz w:val="16"/>
          <w:szCs w:val="16"/>
        </w:rPr>
        <w:t xml:space="preserve"> </w:t>
      </w:r>
      <w:r w:rsidRPr="00782E4D">
        <w:rPr>
          <w:rFonts w:eastAsia="Times New Roman" w:cs="Times New Roman"/>
          <w:color w:val="212121"/>
          <w:sz w:val="16"/>
          <w:szCs w:val="16"/>
        </w:rPr>
        <w:t xml:space="preserve">participants what they would have done) </w:t>
      </w:r>
      <w:proofErr w:type="spellStart"/>
      <w:r w:rsidRPr="00782E4D">
        <w:rPr>
          <w:rFonts w:eastAsia="Times New Roman" w:cs="Times New Roman"/>
          <w:color w:val="212121"/>
          <w:sz w:val="16"/>
          <w:szCs w:val="16"/>
        </w:rPr>
        <w:t>Pg</w:t>
      </w:r>
      <w:proofErr w:type="spellEnd"/>
      <w:r w:rsidRPr="00782E4D">
        <w:rPr>
          <w:rFonts w:eastAsia="Times New Roman" w:cs="Times New Roman"/>
          <w:color w:val="212121"/>
          <w:sz w:val="16"/>
          <w:szCs w:val="16"/>
        </w:rPr>
        <w:t xml:space="preserve"> 135.</w:t>
      </w:r>
    </w:p>
    <w:p w14:paraId="1BAD4164" w14:textId="36F3A193" w:rsidR="00635CB2" w:rsidRPr="00782E4D" w:rsidRDefault="00635CB2">
      <w:pPr>
        <w:pStyle w:val="FootnoteText"/>
        <w:rPr>
          <w:sz w:val="16"/>
          <w:szCs w:val="16"/>
        </w:rPr>
      </w:pPr>
    </w:p>
  </w:footnote>
  <w:footnote w:id="4">
    <w:p w14:paraId="6BA200A4" w14:textId="77777777" w:rsidR="00635CB2" w:rsidRDefault="00635CB2">
      <w:pPr>
        <w:pStyle w:val="Normal1"/>
      </w:pPr>
      <w:r w:rsidRPr="00782E4D">
        <w:rPr>
          <w:sz w:val="16"/>
          <w:szCs w:val="16"/>
          <w:vertAlign w:val="superscript"/>
        </w:rPr>
        <w:footnoteRef/>
      </w:r>
      <w:r w:rsidRPr="00782E4D">
        <w:rPr>
          <w:sz w:val="16"/>
          <w:szCs w:val="16"/>
        </w:rPr>
        <w:t xml:space="preserve"> </w:t>
      </w:r>
      <w:proofErr w:type="spellStart"/>
      <w:r w:rsidRPr="00782E4D">
        <w:rPr>
          <w:sz w:val="16"/>
          <w:szCs w:val="16"/>
        </w:rPr>
        <w:t>Vectren</w:t>
      </w:r>
      <w:proofErr w:type="spellEnd"/>
      <w:r w:rsidRPr="00782E4D">
        <w:rPr>
          <w:sz w:val="16"/>
          <w:szCs w:val="16"/>
        </w:rPr>
        <w:t xml:space="preserve"> qualifying product list: https://www.vectren.com/assets/cms/pdfs/rebates/list_res_program_thermostat_wifi.pdf</w:t>
      </w:r>
    </w:p>
  </w:footnote>
  <w:footnote w:id="5">
    <w:p w14:paraId="6B7CC30D" w14:textId="674DDDC3" w:rsidR="00635CB2" w:rsidRPr="00050B17" w:rsidRDefault="00635CB2" w:rsidP="00E71521">
      <w:pPr>
        <w:pStyle w:val="Normal2"/>
        <w:rPr>
          <w:sz w:val="16"/>
          <w:szCs w:val="16"/>
        </w:rPr>
      </w:pPr>
      <w:r w:rsidRPr="00050B17">
        <w:rPr>
          <w:sz w:val="16"/>
          <w:szCs w:val="16"/>
          <w:vertAlign w:val="superscript"/>
        </w:rPr>
        <w:footnoteRef/>
      </w:r>
      <w:r w:rsidRPr="00050B17">
        <w:rPr>
          <w:sz w:val="16"/>
          <w:szCs w:val="16"/>
        </w:rPr>
        <w:t xml:space="preserve"> </w:t>
      </w:r>
      <w:r>
        <w:rPr>
          <w:sz w:val="16"/>
          <w:szCs w:val="16"/>
        </w:rPr>
        <w:t xml:space="preserve">Residential smart thermostat manufacturers define respective warranty periods for their hardware offerings, which may vary from one manufacturer to another.  For example, </w:t>
      </w:r>
      <w:r w:rsidRPr="00050B17">
        <w:rPr>
          <w:color w:val="263238"/>
          <w:sz w:val="16"/>
          <w:szCs w:val="16"/>
        </w:rPr>
        <w:t xml:space="preserve">Nest provides consumers a two-year limited warranty on the Nest Learning Thermostat (NLT), </w:t>
      </w:r>
      <w:r>
        <w:rPr>
          <w:color w:val="263238"/>
          <w:sz w:val="16"/>
          <w:szCs w:val="16"/>
        </w:rPr>
        <w:t xml:space="preserve">or, </w:t>
      </w:r>
      <w:r w:rsidRPr="00050B17">
        <w:rPr>
          <w:color w:val="263238"/>
          <w:sz w:val="16"/>
          <w:szCs w:val="16"/>
        </w:rPr>
        <w:t xml:space="preserve">where the product is sold through authorized professional installers, a five-year limited warranty.  </w:t>
      </w:r>
      <w:r>
        <w:rPr>
          <w:color w:val="263238"/>
          <w:sz w:val="16"/>
          <w:szCs w:val="16"/>
        </w:rPr>
        <w:t xml:space="preserve">The aim of this working paper is not to analyze or modify such warranty periods, but rather to determine the expected persistence of energy savings associated with smart thermostat deployment based upon statistical analysis of available data. </w:t>
      </w:r>
      <w:r w:rsidRPr="00050B17">
        <w:rPr>
          <w:color w:val="263238"/>
          <w:sz w:val="16"/>
          <w:szCs w:val="16"/>
        </w:rPr>
        <w:t xml:space="preserve"> </w:t>
      </w:r>
    </w:p>
    <w:p w14:paraId="2C53BF36" w14:textId="77777777" w:rsidR="00635CB2" w:rsidRDefault="00635CB2" w:rsidP="00E71521">
      <w:pPr>
        <w:pStyle w:val="Normal2"/>
      </w:pPr>
    </w:p>
  </w:footnote>
  <w:footnote w:id="6">
    <w:p w14:paraId="335588CE" w14:textId="77777777" w:rsidR="00635CB2" w:rsidRPr="0026463D" w:rsidRDefault="00635CB2" w:rsidP="0026463D">
      <w:pPr>
        <w:shd w:val="clear" w:color="auto" w:fill="FFFFFF"/>
        <w:rPr>
          <w:rFonts w:eastAsia="Times New Roman" w:cs="Times New Roman"/>
          <w:sz w:val="16"/>
          <w:szCs w:val="16"/>
        </w:rPr>
      </w:pPr>
      <w:r>
        <w:rPr>
          <w:rStyle w:val="FootnoteReference"/>
        </w:rPr>
        <w:footnoteRef/>
      </w:r>
      <w:r>
        <w:t xml:space="preserve"> </w:t>
      </w:r>
      <w:r w:rsidRPr="0026463D">
        <w:rPr>
          <w:rFonts w:eastAsia="Times New Roman" w:cs="Times New Roman"/>
          <w:sz w:val="16"/>
          <w:szCs w:val="16"/>
        </w:rPr>
        <w:t>References: CA EM&amp;V Protocols definitions </w:t>
      </w:r>
    </w:p>
    <w:p w14:paraId="736E1FFF" w14:textId="77777777" w:rsidR="00635CB2" w:rsidRPr="0026463D" w:rsidRDefault="00635CB2" w:rsidP="0026463D">
      <w:pPr>
        <w:shd w:val="clear" w:color="auto" w:fill="FFFFFF"/>
        <w:rPr>
          <w:rFonts w:eastAsia="Times New Roman" w:cs="Times New Roman"/>
          <w:sz w:val="16"/>
          <w:szCs w:val="16"/>
        </w:rPr>
      </w:pPr>
      <w:r w:rsidRPr="0026463D">
        <w:rPr>
          <w:rFonts w:eastAsia="Times New Roman" w:cs="Times New Roman"/>
          <w:sz w:val="16"/>
          <w:szCs w:val="16"/>
        </w:rPr>
        <w:t>PRACTICE - Generally refers to a change in a customer’s behavior or procedures that reduces energy use (e.g., thermostat settings and maintenance procedures). </w:t>
      </w:r>
    </w:p>
    <w:p w14:paraId="62CE7FAE" w14:textId="77777777" w:rsidR="00635CB2" w:rsidRPr="0026463D" w:rsidRDefault="00635CB2" w:rsidP="0026463D">
      <w:pPr>
        <w:shd w:val="clear" w:color="auto" w:fill="FFFFFF"/>
        <w:rPr>
          <w:rFonts w:eastAsia="Times New Roman" w:cs="Times New Roman"/>
          <w:sz w:val="16"/>
          <w:szCs w:val="16"/>
        </w:rPr>
      </w:pPr>
    </w:p>
    <w:p w14:paraId="270534C4" w14:textId="77777777" w:rsidR="00635CB2" w:rsidRPr="0026463D" w:rsidRDefault="00635CB2" w:rsidP="0026463D">
      <w:pPr>
        <w:shd w:val="clear" w:color="auto" w:fill="FFFFFF"/>
        <w:rPr>
          <w:rFonts w:eastAsia="Times New Roman" w:cs="Times New Roman"/>
          <w:sz w:val="16"/>
          <w:szCs w:val="16"/>
        </w:rPr>
      </w:pPr>
      <w:r w:rsidRPr="0026463D">
        <w:rPr>
          <w:rFonts w:eastAsia="Times New Roman" w:cs="Times New Roman"/>
          <w:sz w:val="16"/>
          <w:szCs w:val="16"/>
        </w:rPr>
        <w:t>THERMOSTAT - An automatic control device designed to be responsive to temperature and typically used to maintain set temperatures by cycling the HVAC system.</w:t>
      </w:r>
    </w:p>
    <w:p w14:paraId="33B3137B" w14:textId="1513CABE" w:rsidR="00635CB2" w:rsidRDefault="00635CB2">
      <w:pPr>
        <w:pStyle w:val="FootnoteText"/>
      </w:pPr>
    </w:p>
  </w:footnote>
  <w:footnote w:id="7">
    <w:p w14:paraId="134D2BE4" w14:textId="77777777" w:rsidR="00635CB2" w:rsidRPr="00206AE1" w:rsidRDefault="00635CB2">
      <w:pPr>
        <w:pStyle w:val="Normal1"/>
        <w:rPr>
          <w:rFonts w:asciiTheme="majorHAnsi" w:hAnsiTheme="majorHAnsi"/>
          <w:sz w:val="18"/>
          <w:szCs w:val="18"/>
        </w:rPr>
      </w:pPr>
      <w:r>
        <w:rPr>
          <w:vertAlign w:val="superscript"/>
        </w:rPr>
        <w:footnoteRef/>
      </w:r>
      <w:r>
        <w:rPr>
          <w:rFonts w:ascii="Arial" w:eastAsia="Arial" w:hAnsi="Arial" w:cs="Arial"/>
          <w:sz w:val="20"/>
          <w:szCs w:val="20"/>
        </w:rPr>
        <w:t xml:space="preserve"> </w:t>
      </w:r>
      <w:r w:rsidRPr="00206AE1">
        <w:rPr>
          <w:rFonts w:asciiTheme="majorHAnsi" w:eastAsia="Arial" w:hAnsiTheme="majorHAnsi" w:cs="Arial"/>
          <w:sz w:val="16"/>
          <w:szCs w:val="16"/>
        </w:rPr>
        <w:t>Energy Savings from the Nest Learning Thermostat: Energy Bill Analysis Results, Feb. 2015. https://nest.com/downloads/press/documents/energy-savings-white-paper.pdf</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181F74"/>
    <w:multiLevelType w:val="hybridMultilevel"/>
    <w:tmpl w:val="A35C7CC6"/>
    <w:lvl w:ilvl="0" w:tplc="08C02FF2">
      <w:start w:val="253"/>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70A2CE3"/>
    <w:multiLevelType w:val="hybridMultilevel"/>
    <w:tmpl w:val="39946242"/>
    <w:lvl w:ilvl="0" w:tplc="BEFAEC84">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7114AE9"/>
    <w:multiLevelType w:val="hybridMultilevel"/>
    <w:tmpl w:val="39EC8470"/>
    <w:lvl w:ilvl="0" w:tplc="5B846214">
      <w:numFmt w:val="bullet"/>
      <w:lvlText w:val=""/>
      <w:lvlJc w:val="left"/>
      <w:pPr>
        <w:ind w:left="720" w:hanging="360"/>
      </w:pPr>
      <w:rPr>
        <w:rFonts w:ascii="Wingdings" w:eastAsia="Calibri" w:hAnsi="Wingdings"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A9C2E90"/>
    <w:multiLevelType w:val="hybridMultilevel"/>
    <w:tmpl w:val="720EE616"/>
    <w:lvl w:ilvl="0" w:tplc="0FC2E0EC">
      <w:start w:val="1"/>
      <w:numFmt w:val="lowerLetter"/>
      <w:lvlText w:val="%1."/>
      <w:lvlJc w:val="left"/>
      <w:pPr>
        <w:ind w:left="720" w:hanging="360"/>
      </w:pPr>
      <w:rPr>
        <w:rFonts w:cs="Times New Roman"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B7C499E"/>
    <w:multiLevelType w:val="multilevel"/>
    <w:tmpl w:val="BA283BF2"/>
    <w:lvl w:ilvl="0">
      <w:start w:val="1"/>
      <w:numFmt w:val="bullet"/>
      <w:lvlText w:val="●"/>
      <w:lvlJc w:val="left"/>
      <w:pPr>
        <w:ind w:left="720" w:firstLine="1080"/>
      </w:pPr>
      <w:rPr>
        <w:rFonts w:ascii="Arial" w:eastAsia="Arial" w:hAnsi="Arial" w:cs="Arial"/>
        <w:u w:val="none"/>
      </w:rPr>
    </w:lvl>
    <w:lvl w:ilvl="1">
      <w:start w:val="1"/>
      <w:numFmt w:val="bullet"/>
      <w:lvlText w:val="○"/>
      <w:lvlJc w:val="left"/>
      <w:pPr>
        <w:ind w:left="1440" w:firstLine="2520"/>
      </w:pPr>
      <w:rPr>
        <w:rFonts w:ascii="Arial" w:eastAsia="Arial" w:hAnsi="Arial" w:cs="Arial"/>
        <w:u w:val="none"/>
      </w:rPr>
    </w:lvl>
    <w:lvl w:ilvl="2">
      <w:start w:val="1"/>
      <w:numFmt w:val="bullet"/>
      <w:lvlText w:val="■"/>
      <w:lvlJc w:val="left"/>
      <w:pPr>
        <w:ind w:left="2160" w:firstLine="3960"/>
      </w:pPr>
      <w:rPr>
        <w:rFonts w:ascii="Arial" w:eastAsia="Arial" w:hAnsi="Arial" w:cs="Arial"/>
        <w:u w:val="none"/>
      </w:rPr>
    </w:lvl>
    <w:lvl w:ilvl="3">
      <w:start w:val="1"/>
      <w:numFmt w:val="bullet"/>
      <w:lvlText w:val="●"/>
      <w:lvlJc w:val="left"/>
      <w:pPr>
        <w:ind w:left="2880" w:firstLine="5400"/>
      </w:pPr>
      <w:rPr>
        <w:rFonts w:ascii="Arial" w:eastAsia="Arial" w:hAnsi="Arial" w:cs="Arial"/>
        <w:u w:val="none"/>
      </w:rPr>
    </w:lvl>
    <w:lvl w:ilvl="4">
      <w:start w:val="1"/>
      <w:numFmt w:val="bullet"/>
      <w:lvlText w:val="○"/>
      <w:lvlJc w:val="left"/>
      <w:pPr>
        <w:ind w:left="3600" w:firstLine="6840"/>
      </w:pPr>
      <w:rPr>
        <w:rFonts w:ascii="Arial" w:eastAsia="Arial" w:hAnsi="Arial" w:cs="Arial"/>
        <w:u w:val="none"/>
      </w:rPr>
    </w:lvl>
    <w:lvl w:ilvl="5">
      <w:start w:val="1"/>
      <w:numFmt w:val="bullet"/>
      <w:lvlText w:val="■"/>
      <w:lvlJc w:val="left"/>
      <w:pPr>
        <w:ind w:left="4320" w:firstLine="8280"/>
      </w:pPr>
      <w:rPr>
        <w:rFonts w:ascii="Arial" w:eastAsia="Arial" w:hAnsi="Arial" w:cs="Arial"/>
        <w:u w:val="none"/>
      </w:rPr>
    </w:lvl>
    <w:lvl w:ilvl="6">
      <w:start w:val="1"/>
      <w:numFmt w:val="bullet"/>
      <w:lvlText w:val="●"/>
      <w:lvlJc w:val="left"/>
      <w:pPr>
        <w:ind w:left="5040" w:firstLine="9720"/>
      </w:pPr>
      <w:rPr>
        <w:rFonts w:ascii="Arial" w:eastAsia="Arial" w:hAnsi="Arial" w:cs="Arial"/>
        <w:u w:val="none"/>
      </w:rPr>
    </w:lvl>
    <w:lvl w:ilvl="7">
      <w:start w:val="1"/>
      <w:numFmt w:val="bullet"/>
      <w:lvlText w:val="○"/>
      <w:lvlJc w:val="left"/>
      <w:pPr>
        <w:ind w:left="5760" w:firstLine="11160"/>
      </w:pPr>
      <w:rPr>
        <w:rFonts w:ascii="Arial" w:eastAsia="Arial" w:hAnsi="Arial" w:cs="Arial"/>
        <w:u w:val="none"/>
      </w:rPr>
    </w:lvl>
    <w:lvl w:ilvl="8">
      <w:start w:val="1"/>
      <w:numFmt w:val="bullet"/>
      <w:lvlText w:val="■"/>
      <w:lvlJc w:val="left"/>
      <w:pPr>
        <w:ind w:left="6480" w:firstLine="12600"/>
      </w:pPr>
      <w:rPr>
        <w:rFonts w:ascii="Arial" w:eastAsia="Arial" w:hAnsi="Arial" w:cs="Arial"/>
        <w:u w:val="none"/>
      </w:rPr>
    </w:lvl>
  </w:abstractNum>
  <w:abstractNum w:abstractNumId="5" w15:restartNumberingAfterBreak="0">
    <w:nsid w:val="112D206D"/>
    <w:multiLevelType w:val="multilevel"/>
    <w:tmpl w:val="50AA0242"/>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6" w15:restartNumberingAfterBreak="0">
    <w:nsid w:val="11C73FDA"/>
    <w:multiLevelType w:val="hybridMultilevel"/>
    <w:tmpl w:val="C4D6D1E2"/>
    <w:lvl w:ilvl="0" w:tplc="B41C13D8">
      <w:start w:val="45"/>
      <w:numFmt w:val="bullet"/>
      <w:lvlText w:val="-"/>
      <w:lvlJc w:val="left"/>
      <w:pPr>
        <w:ind w:left="720" w:hanging="360"/>
      </w:pPr>
      <w:rPr>
        <w:rFonts w:ascii="Calibri" w:eastAsia="Calibri" w:hAnsi="Calibri" w:cs="Calibri" w:hint="default"/>
        <w:color w:val="00000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62D6DFC"/>
    <w:multiLevelType w:val="multilevel"/>
    <w:tmpl w:val="5E847C8E"/>
    <w:lvl w:ilvl="0">
      <w:start w:val="1"/>
      <w:numFmt w:val="bullet"/>
      <w:lvlText w:val="●"/>
      <w:lvlJc w:val="left"/>
      <w:pPr>
        <w:ind w:left="360" w:firstLine="0"/>
      </w:pPr>
      <w:rPr>
        <w:rFonts w:ascii="Arial" w:eastAsia="Arial" w:hAnsi="Arial" w:cs="Arial"/>
      </w:rPr>
    </w:lvl>
    <w:lvl w:ilvl="1">
      <w:start w:val="1"/>
      <w:numFmt w:val="bullet"/>
      <w:lvlText w:val="o"/>
      <w:lvlJc w:val="left"/>
      <w:pPr>
        <w:ind w:left="1080" w:firstLine="720"/>
      </w:pPr>
      <w:rPr>
        <w:rFonts w:ascii="Arial" w:eastAsia="Arial" w:hAnsi="Arial" w:cs="Arial"/>
      </w:rPr>
    </w:lvl>
    <w:lvl w:ilvl="2">
      <w:start w:val="1"/>
      <w:numFmt w:val="bullet"/>
      <w:lvlText w:val="▪"/>
      <w:lvlJc w:val="left"/>
      <w:pPr>
        <w:ind w:left="1800" w:firstLine="1440"/>
      </w:pPr>
      <w:rPr>
        <w:rFonts w:ascii="Arial" w:eastAsia="Arial" w:hAnsi="Arial" w:cs="Arial"/>
      </w:rPr>
    </w:lvl>
    <w:lvl w:ilvl="3">
      <w:start w:val="1"/>
      <w:numFmt w:val="bullet"/>
      <w:lvlText w:val="●"/>
      <w:lvlJc w:val="left"/>
      <w:pPr>
        <w:ind w:left="2520" w:firstLine="2160"/>
      </w:pPr>
      <w:rPr>
        <w:rFonts w:ascii="Arial" w:eastAsia="Arial" w:hAnsi="Arial" w:cs="Arial"/>
      </w:rPr>
    </w:lvl>
    <w:lvl w:ilvl="4">
      <w:start w:val="1"/>
      <w:numFmt w:val="bullet"/>
      <w:lvlText w:val="o"/>
      <w:lvlJc w:val="left"/>
      <w:pPr>
        <w:ind w:left="3240" w:firstLine="2880"/>
      </w:pPr>
      <w:rPr>
        <w:rFonts w:ascii="Arial" w:eastAsia="Arial" w:hAnsi="Arial" w:cs="Arial"/>
      </w:rPr>
    </w:lvl>
    <w:lvl w:ilvl="5">
      <w:start w:val="1"/>
      <w:numFmt w:val="bullet"/>
      <w:lvlText w:val="▪"/>
      <w:lvlJc w:val="left"/>
      <w:pPr>
        <w:ind w:left="3960" w:firstLine="3600"/>
      </w:pPr>
      <w:rPr>
        <w:rFonts w:ascii="Arial" w:eastAsia="Arial" w:hAnsi="Arial" w:cs="Arial"/>
      </w:rPr>
    </w:lvl>
    <w:lvl w:ilvl="6">
      <w:start w:val="1"/>
      <w:numFmt w:val="bullet"/>
      <w:lvlText w:val="●"/>
      <w:lvlJc w:val="left"/>
      <w:pPr>
        <w:ind w:left="4680" w:firstLine="4320"/>
      </w:pPr>
      <w:rPr>
        <w:rFonts w:ascii="Arial" w:eastAsia="Arial" w:hAnsi="Arial" w:cs="Arial"/>
      </w:rPr>
    </w:lvl>
    <w:lvl w:ilvl="7">
      <w:start w:val="1"/>
      <w:numFmt w:val="bullet"/>
      <w:lvlText w:val="o"/>
      <w:lvlJc w:val="left"/>
      <w:pPr>
        <w:ind w:left="5400" w:firstLine="5040"/>
      </w:pPr>
      <w:rPr>
        <w:rFonts w:ascii="Arial" w:eastAsia="Arial" w:hAnsi="Arial" w:cs="Arial"/>
      </w:rPr>
    </w:lvl>
    <w:lvl w:ilvl="8">
      <w:start w:val="1"/>
      <w:numFmt w:val="bullet"/>
      <w:lvlText w:val="▪"/>
      <w:lvlJc w:val="left"/>
      <w:pPr>
        <w:ind w:left="6120" w:firstLine="5760"/>
      </w:pPr>
      <w:rPr>
        <w:rFonts w:ascii="Arial" w:eastAsia="Arial" w:hAnsi="Arial" w:cs="Arial"/>
      </w:rPr>
    </w:lvl>
  </w:abstractNum>
  <w:abstractNum w:abstractNumId="8" w15:restartNumberingAfterBreak="0">
    <w:nsid w:val="19200F07"/>
    <w:multiLevelType w:val="hybridMultilevel"/>
    <w:tmpl w:val="EE70D90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E5B3BFC"/>
    <w:multiLevelType w:val="multilevel"/>
    <w:tmpl w:val="ED6E32FA"/>
    <w:lvl w:ilvl="0">
      <w:start w:val="1"/>
      <w:numFmt w:val="bullet"/>
      <w:lvlText w:val="●"/>
      <w:lvlJc w:val="left"/>
      <w:pPr>
        <w:ind w:left="720" w:firstLine="1080"/>
      </w:pPr>
      <w:rPr>
        <w:rFonts w:ascii="Arial" w:eastAsia="Arial" w:hAnsi="Arial" w:cs="Arial"/>
        <w:u w:val="none"/>
      </w:rPr>
    </w:lvl>
    <w:lvl w:ilvl="1">
      <w:start w:val="1"/>
      <w:numFmt w:val="lowerLetter"/>
      <w:lvlText w:val="%2."/>
      <w:lvlJc w:val="left"/>
      <w:pPr>
        <w:ind w:left="1440" w:firstLine="2520"/>
      </w:pPr>
      <w:rPr>
        <w:u w:val="none"/>
      </w:rPr>
    </w:lvl>
    <w:lvl w:ilvl="2">
      <w:start w:val="1"/>
      <w:numFmt w:val="lowerRoman"/>
      <w:lvlText w:val="%3."/>
      <w:lvlJc w:val="right"/>
      <w:pPr>
        <w:ind w:left="2160" w:firstLine="3960"/>
      </w:pPr>
      <w:rPr>
        <w:u w:val="none"/>
      </w:rPr>
    </w:lvl>
    <w:lvl w:ilvl="3">
      <w:start w:val="1"/>
      <w:numFmt w:val="decimal"/>
      <w:lvlText w:val="%4."/>
      <w:lvlJc w:val="left"/>
      <w:pPr>
        <w:ind w:left="2880" w:firstLine="5400"/>
      </w:pPr>
      <w:rPr>
        <w:u w:val="none"/>
      </w:rPr>
    </w:lvl>
    <w:lvl w:ilvl="4">
      <w:start w:val="1"/>
      <w:numFmt w:val="lowerLetter"/>
      <w:lvlText w:val="%5."/>
      <w:lvlJc w:val="left"/>
      <w:pPr>
        <w:ind w:left="3600" w:firstLine="6840"/>
      </w:pPr>
      <w:rPr>
        <w:u w:val="none"/>
      </w:rPr>
    </w:lvl>
    <w:lvl w:ilvl="5">
      <w:start w:val="1"/>
      <w:numFmt w:val="lowerRoman"/>
      <w:lvlText w:val="%6."/>
      <w:lvlJc w:val="right"/>
      <w:pPr>
        <w:ind w:left="4320" w:firstLine="8280"/>
      </w:pPr>
      <w:rPr>
        <w:u w:val="none"/>
      </w:rPr>
    </w:lvl>
    <w:lvl w:ilvl="6">
      <w:start w:val="1"/>
      <w:numFmt w:val="decimal"/>
      <w:lvlText w:val="%7."/>
      <w:lvlJc w:val="left"/>
      <w:pPr>
        <w:ind w:left="5040" w:firstLine="9720"/>
      </w:pPr>
      <w:rPr>
        <w:u w:val="none"/>
      </w:rPr>
    </w:lvl>
    <w:lvl w:ilvl="7">
      <w:start w:val="1"/>
      <w:numFmt w:val="lowerLetter"/>
      <w:lvlText w:val="%8."/>
      <w:lvlJc w:val="left"/>
      <w:pPr>
        <w:ind w:left="5760" w:firstLine="11160"/>
      </w:pPr>
      <w:rPr>
        <w:u w:val="none"/>
      </w:rPr>
    </w:lvl>
    <w:lvl w:ilvl="8">
      <w:start w:val="1"/>
      <w:numFmt w:val="lowerRoman"/>
      <w:lvlText w:val="%9."/>
      <w:lvlJc w:val="right"/>
      <w:pPr>
        <w:ind w:left="6480" w:firstLine="12600"/>
      </w:pPr>
      <w:rPr>
        <w:u w:val="none"/>
      </w:rPr>
    </w:lvl>
  </w:abstractNum>
  <w:abstractNum w:abstractNumId="10" w15:restartNumberingAfterBreak="0">
    <w:nsid w:val="1E8D4E50"/>
    <w:multiLevelType w:val="multilevel"/>
    <w:tmpl w:val="21E491AC"/>
    <w:lvl w:ilvl="0">
      <w:start w:val="1"/>
      <w:numFmt w:val="bullet"/>
      <w:lvlText w:val="●"/>
      <w:lvlJc w:val="left"/>
      <w:pPr>
        <w:ind w:left="720" w:firstLine="360"/>
      </w:pPr>
      <w:rPr>
        <w:rFonts w:ascii="Arial" w:eastAsia="Arial" w:hAnsi="Arial" w:cs="Arial"/>
      </w:rPr>
    </w:lvl>
    <w:lvl w:ilvl="1">
      <w:start w:val="1"/>
      <w:numFmt w:val="bullet"/>
      <w:lvlText w:val="o"/>
      <w:lvlJc w:val="left"/>
      <w:pPr>
        <w:ind w:left="1440" w:firstLine="1080"/>
      </w:pPr>
      <w:rPr>
        <w:rFonts w:ascii="Arial" w:eastAsia="Arial" w:hAnsi="Arial" w:cs="Arial"/>
      </w:rPr>
    </w:lvl>
    <w:lvl w:ilvl="2">
      <w:start w:val="1"/>
      <w:numFmt w:val="bullet"/>
      <w:lvlText w:val="▪"/>
      <w:lvlJc w:val="left"/>
      <w:pPr>
        <w:ind w:left="2160" w:firstLine="1800"/>
      </w:pPr>
      <w:rPr>
        <w:rFonts w:ascii="Arial" w:eastAsia="Arial" w:hAnsi="Arial" w:cs="Arial"/>
      </w:rPr>
    </w:lvl>
    <w:lvl w:ilvl="3">
      <w:start w:val="1"/>
      <w:numFmt w:val="bullet"/>
      <w:lvlText w:val="●"/>
      <w:lvlJc w:val="left"/>
      <w:pPr>
        <w:ind w:left="2880" w:firstLine="2520"/>
      </w:pPr>
      <w:rPr>
        <w:rFonts w:ascii="Arial" w:eastAsia="Arial" w:hAnsi="Arial" w:cs="Arial"/>
      </w:rPr>
    </w:lvl>
    <w:lvl w:ilvl="4">
      <w:start w:val="1"/>
      <w:numFmt w:val="bullet"/>
      <w:lvlText w:val="o"/>
      <w:lvlJc w:val="left"/>
      <w:pPr>
        <w:ind w:left="3600" w:firstLine="3240"/>
      </w:pPr>
      <w:rPr>
        <w:rFonts w:ascii="Arial" w:eastAsia="Arial" w:hAnsi="Arial" w:cs="Arial"/>
      </w:rPr>
    </w:lvl>
    <w:lvl w:ilvl="5">
      <w:start w:val="1"/>
      <w:numFmt w:val="bullet"/>
      <w:lvlText w:val="▪"/>
      <w:lvlJc w:val="left"/>
      <w:pPr>
        <w:ind w:left="4320" w:firstLine="3960"/>
      </w:pPr>
      <w:rPr>
        <w:rFonts w:ascii="Arial" w:eastAsia="Arial" w:hAnsi="Arial" w:cs="Arial"/>
      </w:rPr>
    </w:lvl>
    <w:lvl w:ilvl="6">
      <w:start w:val="1"/>
      <w:numFmt w:val="bullet"/>
      <w:lvlText w:val="●"/>
      <w:lvlJc w:val="left"/>
      <w:pPr>
        <w:ind w:left="5040" w:firstLine="4680"/>
      </w:pPr>
      <w:rPr>
        <w:rFonts w:ascii="Arial" w:eastAsia="Arial" w:hAnsi="Arial" w:cs="Arial"/>
      </w:rPr>
    </w:lvl>
    <w:lvl w:ilvl="7">
      <w:start w:val="1"/>
      <w:numFmt w:val="bullet"/>
      <w:lvlText w:val="o"/>
      <w:lvlJc w:val="left"/>
      <w:pPr>
        <w:ind w:left="5760" w:firstLine="5400"/>
      </w:pPr>
      <w:rPr>
        <w:rFonts w:ascii="Arial" w:eastAsia="Arial" w:hAnsi="Arial" w:cs="Arial"/>
      </w:rPr>
    </w:lvl>
    <w:lvl w:ilvl="8">
      <w:start w:val="1"/>
      <w:numFmt w:val="bullet"/>
      <w:lvlText w:val="▪"/>
      <w:lvlJc w:val="left"/>
      <w:pPr>
        <w:ind w:left="6480" w:firstLine="6120"/>
      </w:pPr>
      <w:rPr>
        <w:rFonts w:ascii="Arial" w:eastAsia="Arial" w:hAnsi="Arial" w:cs="Arial"/>
      </w:rPr>
    </w:lvl>
  </w:abstractNum>
  <w:abstractNum w:abstractNumId="11" w15:restartNumberingAfterBreak="0">
    <w:nsid w:val="21822817"/>
    <w:multiLevelType w:val="multilevel"/>
    <w:tmpl w:val="448AF2D4"/>
    <w:lvl w:ilvl="0">
      <w:start w:val="1"/>
      <w:numFmt w:val="bullet"/>
      <w:lvlText w:val="●"/>
      <w:lvlJc w:val="left"/>
      <w:pPr>
        <w:ind w:left="360" w:firstLine="0"/>
      </w:pPr>
      <w:rPr>
        <w:rFonts w:ascii="Arial" w:eastAsia="Arial" w:hAnsi="Arial" w:cs="Arial"/>
      </w:rPr>
    </w:lvl>
    <w:lvl w:ilvl="1">
      <w:start w:val="1"/>
      <w:numFmt w:val="bullet"/>
      <w:lvlText w:val="o"/>
      <w:lvlJc w:val="left"/>
      <w:pPr>
        <w:ind w:left="1080" w:firstLine="720"/>
      </w:pPr>
      <w:rPr>
        <w:rFonts w:ascii="Arial" w:eastAsia="Arial" w:hAnsi="Arial" w:cs="Arial"/>
      </w:rPr>
    </w:lvl>
    <w:lvl w:ilvl="2">
      <w:start w:val="1"/>
      <w:numFmt w:val="bullet"/>
      <w:lvlText w:val="▪"/>
      <w:lvlJc w:val="left"/>
      <w:pPr>
        <w:ind w:left="1800" w:firstLine="1440"/>
      </w:pPr>
      <w:rPr>
        <w:rFonts w:ascii="Arial" w:eastAsia="Arial" w:hAnsi="Arial" w:cs="Arial"/>
      </w:rPr>
    </w:lvl>
    <w:lvl w:ilvl="3">
      <w:start w:val="1"/>
      <w:numFmt w:val="bullet"/>
      <w:lvlText w:val="●"/>
      <w:lvlJc w:val="left"/>
      <w:pPr>
        <w:ind w:left="2520" w:firstLine="2160"/>
      </w:pPr>
      <w:rPr>
        <w:rFonts w:ascii="Arial" w:eastAsia="Arial" w:hAnsi="Arial" w:cs="Arial"/>
      </w:rPr>
    </w:lvl>
    <w:lvl w:ilvl="4">
      <w:start w:val="1"/>
      <w:numFmt w:val="bullet"/>
      <w:lvlText w:val="o"/>
      <w:lvlJc w:val="left"/>
      <w:pPr>
        <w:ind w:left="3240" w:firstLine="2880"/>
      </w:pPr>
      <w:rPr>
        <w:rFonts w:ascii="Arial" w:eastAsia="Arial" w:hAnsi="Arial" w:cs="Arial"/>
      </w:rPr>
    </w:lvl>
    <w:lvl w:ilvl="5">
      <w:start w:val="1"/>
      <w:numFmt w:val="bullet"/>
      <w:lvlText w:val="▪"/>
      <w:lvlJc w:val="left"/>
      <w:pPr>
        <w:ind w:left="3960" w:firstLine="3600"/>
      </w:pPr>
      <w:rPr>
        <w:rFonts w:ascii="Arial" w:eastAsia="Arial" w:hAnsi="Arial" w:cs="Arial"/>
      </w:rPr>
    </w:lvl>
    <w:lvl w:ilvl="6">
      <w:start w:val="1"/>
      <w:numFmt w:val="bullet"/>
      <w:lvlText w:val="●"/>
      <w:lvlJc w:val="left"/>
      <w:pPr>
        <w:ind w:left="4680" w:firstLine="4320"/>
      </w:pPr>
      <w:rPr>
        <w:rFonts w:ascii="Arial" w:eastAsia="Arial" w:hAnsi="Arial" w:cs="Arial"/>
      </w:rPr>
    </w:lvl>
    <w:lvl w:ilvl="7">
      <w:start w:val="1"/>
      <w:numFmt w:val="bullet"/>
      <w:lvlText w:val="o"/>
      <w:lvlJc w:val="left"/>
      <w:pPr>
        <w:ind w:left="5400" w:firstLine="5040"/>
      </w:pPr>
      <w:rPr>
        <w:rFonts w:ascii="Arial" w:eastAsia="Arial" w:hAnsi="Arial" w:cs="Arial"/>
      </w:rPr>
    </w:lvl>
    <w:lvl w:ilvl="8">
      <w:start w:val="1"/>
      <w:numFmt w:val="bullet"/>
      <w:lvlText w:val="▪"/>
      <w:lvlJc w:val="left"/>
      <w:pPr>
        <w:ind w:left="6120" w:firstLine="5760"/>
      </w:pPr>
      <w:rPr>
        <w:rFonts w:ascii="Arial" w:eastAsia="Arial" w:hAnsi="Arial" w:cs="Arial"/>
      </w:rPr>
    </w:lvl>
  </w:abstractNum>
  <w:abstractNum w:abstractNumId="12" w15:restartNumberingAfterBreak="0">
    <w:nsid w:val="232B6170"/>
    <w:multiLevelType w:val="multilevel"/>
    <w:tmpl w:val="C04E009C"/>
    <w:lvl w:ilvl="0">
      <w:start w:val="1"/>
      <w:numFmt w:val="decimal"/>
      <w:lvlText w:val="%1."/>
      <w:lvlJc w:val="left"/>
      <w:pPr>
        <w:ind w:left="720" w:firstLine="360"/>
      </w:pPr>
    </w:lvl>
    <w:lvl w:ilvl="1">
      <w:start w:val="1"/>
      <w:numFmt w:val="bullet"/>
      <w:lvlText w:val="o"/>
      <w:lvlJc w:val="left"/>
      <w:pPr>
        <w:ind w:left="1440" w:firstLine="1080"/>
      </w:pPr>
      <w:rPr>
        <w:rFonts w:ascii="Arial" w:eastAsia="Arial" w:hAnsi="Arial" w:cs="Arial"/>
      </w:rPr>
    </w:lvl>
    <w:lvl w:ilvl="2">
      <w:start w:val="1"/>
      <w:numFmt w:val="bullet"/>
      <w:lvlText w:val="▪"/>
      <w:lvlJc w:val="left"/>
      <w:pPr>
        <w:ind w:left="2160" w:firstLine="1800"/>
      </w:pPr>
      <w:rPr>
        <w:rFonts w:ascii="Arial" w:eastAsia="Arial" w:hAnsi="Arial" w:cs="Arial"/>
      </w:rPr>
    </w:lvl>
    <w:lvl w:ilvl="3">
      <w:start w:val="1"/>
      <w:numFmt w:val="bullet"/>
      <w:lvlText w:val="●"/>
      <w:lvlJc w:val="left"/>
      <w:pPr>
        <w:ind w:left="2880" w:firstLine="2520"/>
      </w:pPr>
      <w:rPr>
        <w:rFonts w:ascii="Arial" w:eastAsia="Arial" w:hAnsi="Arial" w:cs="Arial"/>
      </w:rPr>
    </w:lvl>
    <w:lvl w:ilvl="4">
      <w:start w:val="1"/>
      <w:numFmt w:val="bullet"/>
      <w:lvlText w:val="o"/>
      <w:lvlJc w:val="left"/>
      <w:pPr>
        <w:ind w:left="3600" w:firstLine="3240"/>
      </w:pPr>
      <w:rPr>
        <w:rFonts w:ascii="Arial" w:eastAsia="Arial" w:hAnsi="Arial" w:cs="Arial"/>
      </w:rPr>
    </w:lvl>
    <w:lvl w:ilvl="5">
      <w:start w:val="1"/>
      <w:numFmt w:val="bullet"/>
      <w:lvlText w:val="▪"/>
      <w:lvlJc w:val="left"/>
      <w:pPr>
        <w:ind w:left="4320" w:firstLine="3960"/>
      </w:pPr>
      <w:rPr>
        <w:rFonts w:ascii="Arial" w:eastAsia="Arial" w:hAnsi="Arial" w:cs="Arial"/>
      </w:rPr>
    </w:lvl>
    <w:lvl w:ilvl="6">
      <w:start w:val="1"/>
      <w:numFmt w:val="bullet"/>
      <w:lvlText w:val="●"/>
      <w:lvlJc w:val="left"/>
      <w:pPr>
        <w:ind w:left="5040" w:firstLine="4680"/>
      </w:pPr>
      <w:rPr>
        <w:rFonts w:ascii="Arial" w:eastAsia="Arial" w:hAnsi="Arial" w:cs="Arial"/>
      </w:rPr>
    </w:lvl>
    <w:lvl w:ilvl="7">
      <w:start w:val="1"/>
      <w:numFmt w:val="bullet"/>
      <w:lvlText w:val="o"/>
      <w:lvlJc w:val="left"/>
      <w:pPr>
        <w:ind w:left="5760" w:firstLine="5400"/>
      </w:pPr>
      <w:rPr>
        <w:rFonts w:ascii="Arial" w:eastAsia="Arial" w:hAnsi="Arial" w:cs="Arial"/>
      </w:rPr>
    </w:lvl>
    <w:lvl w:ilvl="8">
      <w:start w:val="1"/>
      <w:numFmt w:val="bullet"/>
      <w:lvlText w:val="▪"/>
      <w:lvlJc w:val="left"/>
      <w:pPr>
        <w:ind w:left="6480" w:firstLine="6120"/>
      </w:pPr>
      <w:rPr>
        <w:rFonts w:ascii="Arial" w:eastAsia="Arial" w:hAnsi="Arial" w:cs="Arial"/>
      </w:rPr>
    </w:lvl>
  </w:abstractNum>
  <w:abstractNum w:abstractNumId="13" w15:restartNumberingAfterBreak="0">
    <w:nsid w:val="25113A4F"/>
    <w:multiLevelType w:val="multilevel"/>
    <w:tmpl w:val="6AB8B056"/>
    <w:lvl w:ilvl="0">
      <w:start w:val="1"/>
      <w:numFmt w:val="bullet"/>
      <w:lvlText w:val="●"/>
      <w:lvlJc w:val="left"/>
      <w:pPr>
        <w:ind w:left="360" w:firstLine="0"/>
      </w:pPr>
      <w:rPr>
        <w:rFonts w:ascii="Arial" w:eastAsia="Arial" w:hAnsi="Arial" w:cs="Arial"/>
      </w:rPr>
    </w:lvl>
    <w:lvl w:ilvl="1">
      <w:start w:val="1"/>
      <w:numFmt w:val="bullet"/>
      <w:lvlText w:val="o"/>
      <w:lvlJc w:val="left"/>
      <w:pPr>
        <w:ind w:left="1080" w:firstLine="720"/>
      </w:pPr>
      <w:rPr>
        <w:rFonts w:ascii="Arial" w:eastAsia="Arial" w:hAnsi="Arial" w:cs="Arial"/>
      </w:rPr>
    </w:lvl>
    <w:lvl w:ilvl="2">
      <w:start w:val="1"/>
      <w:numFmt w:val="bullet"/>
      <w:lvlText w:val="▪"/>
      <w:lvlJc w:val="left"/>
      <w:pPr>
        <w:ind w:left="1800" w:firstLine="1440"/>
      </w:pPr>
      <w:rPr>
        <w:rFonts w:ascii="Arial" w:eastAsia="Arial" w:hAnsi="Arial" w:cs="Arial"/>
      </w:rPr>
    </w:lvl>
    <w:lvl w:ilvl="3">
      <w:start w:val="1"/>
      <w:numFmt w:val="bullet"/>
      <w:lvlText w:val="●"/>
      <w:lvlJc w:val="left"/>
      <w:pPr>
        <w:ind w:left="2520" w:firstLine="2160"/>
      </w:pPr>
      <w:rPr>
        <w:rFonts w:ascii="Arial" w:eastAsia="Arial" w:hAnsi="Arial" w:cs="Arial"/>
      </w:rPr>
    </w:lvl>
    <w:lvl w:ilvl="4">
      <w:start w:val="1"/>
      <w:numFmt w:val="bullet"/>
      <w:lvlText w:val="o"/>
      <w:lvlJc w:val="left"/>
      <w:pPr>
        <w:ind w:left="3240" w:firstLine="2880"/>
      </w:pPr>
      <w:rPr>
        <w:rFonts w:ascii="Arial" w:eastAsia="Arial" w:hAnsi="Arial" w:cs="Arial"/>
      </w:rPr>
    </w:lvl>
    <w:lvl w:ilvl="5">
      <w:start w:val="1"/>
      <w:numFmt w:val="bullet"/>
      <w:lvlText w:val="▪"/>
      <w:lvlJc w:val="left"/>
      <w:pPr>
        <w:ind w:left="3960" w:firstLine="3600"/>
      </w:pPr>
      <w:rPr>
        <w:rFonts w:ascii="Arial" w:eastAsia="Arial" w:hAnsi="Arial" w:cs="Arial"/>
      </w:rPr>
    </w:lvl>
    <w:lvl w:ilvl="6">
      <w:start w:val="1"/>
      <w:numFmt w:val="bullet"/>
      <w:lvlText w:val="●"/>
      <w:lvlJc w:val="left"/>
      <w:pPr>
        <w:ind w:left="4680" w:firstLine="4320"/>
      </w:pPr>
      <w:rPr>
        <w:rFonts w:ascii="Arial" w:eastAsia="Arial" w:hAnsi="Arial" w:cs="Arial"/>
      </w:rPr>
    </w:lvl>
    <w:lvl w:ilvl="7">
      <w:start w:val="1"/>
      <w:numFmt w:val="bullet"/>
      <w:lvlText w:val="o"/>
      <w:lvlJc w:val="left"/>
      <w:pPr>
        <w:ind w:left="5400" w:firstLine="5040"/>
      </w:pPr>
      <w:rPr>
        <w:rFonts w:ascii="Arial" w:eastAsia="Arial" w:hAnsi="Arial" w:cs="Arial"/>
      </w:rPr>
    </w:lvl>
    <w:lvl w:ilvl="8">
      <w:start w:val="1"/>
      <w:numFmt w:val="bullet"/>
      <w:lvlText w:val="▪"/>
      <w:lvlJc w:val="left"/>
      <w:pPr>
        <w:ind w:left="6120" w:firstLine="5760"/>
      </w:pPr>
      <w:rPr>
        <w:rFonts w:ascii="Arial" w:eastAsia="Arial" w:hAnsi="Arial" w:cs="Arial"/>
      </w:rPr>
    </w:lvl>
  </w:abstractNum>
  <w:abstractNum w:abstractNumId="14" w15:restartNumberingAfterBreak="0">
    <w:nsid w:val="2B42389F"/>
    <w:multiLevelType w:val="multilevel"/>
    <w:tmpl w:val="D6BEF4AA"/>
    <w:lvl w:ilvl="0">
      <w:start w:val="1"/>
      <w:numFmt w:val="bullet"/>
      <w:lvlText w:val="●"/>
      <w:lvlJc w:val="left"/>
      <w:pPr>
        <w:ind w:left="360" w:firstLine="0"/>
      </w:pPr>
      <w:rPr>
        <w:rFonts w:ascii="Arial" w:eastAsia="Arial" w:hAnsi="Arial" w:cs="Arial"/>
      </w:rPr>
    </w:lvl>
    <w:lvl w:ilvl="1">
      <w:start w:val="1"/>
      <w:numFmt w:val="bullet"/>
      <w:lvlText w:val="o"/>
      <w:lvlJc w:val="left"/>
      <w:pPr>
        <w:ind w:left="1080" w:firstLine="720"/>
      </w:pPr>
      <w:rPr>
        <w:rFonts w:ascii="Arial" w:eastAsia="Arial" w:hAnsi="Arial" w:cs="Arial"/>
      </w:rPr>
    </w:lvl>
    <w:lvl w:ilvl="2">
      <w:start w:val="1"/>
      <w:numFmt w:val="bullet"/>
      <w:lvlText w:val="▪"/>
      <w:lvlJc w:val="left"/>
      <w:pPr>
        <w:ind w:left="1800" w:firstLine="1440"/>
      </w:pPr>
      <w:rPr>
        <w:rFonts w:ascii="Arial" w:eastAsia="Arial" w:hAnsi="Arial" w:cs="Arial"/>
      </w:rPr>
    </w:lvl>
    <w:lvl w:ilvl="3">
      <w:start w:val="1"/>
      <w:numFmt w:val="bullet"/>
      <w:lvlText w:val="●"/>
      <w:lvlJc w:val="left"/>
      <w:pPr>
        <w:ind w:left="2520" w:firstLine="2160"/>
      </w:pPr>
      <w:rPr>
        <w:rFonts w:ascii="Arial" w:eastAsia="Arial" w:hAnsi="Arial" w:cs="Arial"/>
      </w:rPr>
    </w:lvl>
    <w:lvl w:ilvl="4">
      <w:start w:val="1"/>
      <w:numFmt w:val="bullet"/>
      <w:lvlText w:val="o"/>
      <w:lvlJc w:val="left"/>
      <w:pPr>
        <w:ind w:left="3240" w:firstLine="2880"/>
      </w:pPr>
      <w:rPr>
        <w:rFonts w:ascii="Arial" w:eastAsia="Arial" w:hAnsi="Arial" w:cs="Arial"/>
      </w:rPr>
    </w:lvl>
    <w:lvl w:ilvl="5">
      <w:start w:val="1"/>
      <w:numFmt w:val="bullet"/>
      <w:lvlText w:val="▪"/>
      <w:lvlJc w:val="left"/>
      <w:pPr>
        <w:ind w:left="3960" w:firstLine="3600"/>
      </w:pPr>
      <w:rPr>
        <w:rFonts w:ascii="Arial" w:eastAsia="Arial" w:hAnsi="Arial" w:cs="Arial"/>
      </w:rPr>
    </w:lvl>
    <w:lvl w:ilvl="6">
      <w:start w:val="1"/>
      <w:numFmt w:val="bullet"/>
      <w:lvlText w:val="●"/>
      <w:lvlJc w:val="left"/>
      <w:pPr>
        <w:ind w:left="4680" w:firstLine="4320"/>
      </w:pPr>
      <w:rPr>
        <w:rFonts w:ascii="Arial" w:eastAsia="Arial" w:hAnsi="Arial" w:cs="Arial"/>
      </w:rPr>
    </w:lvl>
    <w:lvl w:ilvl="7">
      <w:start w:val="1"/>
      <w:numFmt w:val="bullet"/>
      <w:lvlText w:val="o"/>
      <w:lvlJc w:val="left"/>
      <w:pPr>
        <w:ind w:left="5400" w:firstLine="5040"/>
      </w:pPr>
      <w:rPr>
        <w:rFonts w:ascii="Arial" w:eastAsia="Arial" w:hAnsi="Arial" w:cs="Arial"/>
      </w:rPr>
    </w:lvl>
    <w:lvl w:ilvl="8">
      <w:start w:val="1"/>
      <w:numFmt w:val="bullet"/>
      <w:lvlText w:val="▪"/>
      <w:lvlJc w:val="left"/>
      <w:pPr>
        <w:ind w:left="6120" w:firstLine="5760"/>
      </w:pPr>
      <w:rPr>
        <w:rFonts w:ascii="Arial" w:eastAsia="Arial" w:hAnsi="Arial" w:cs="Arial"/>
      </w:rPr>
    </w:lvl>
  </w:abstractNum>
  <w:abstractNum w:abstractNumId="15" w15:restartNumberingAfterBreak="0">
    <w:nsid w:val="2D9440B3"/>
    <w:multiLevelType w:val="multilevel"/>
    <w:tmpl w:val="BA283BF2"/>
    <w:lvl w:ilvl="0">
      <w:start w:val="1"/>
      <w:numFmt w:val="bullet"/>
      <w:lvlText w:val="●"/>
      <w:lvlJc w:val="left"/>
      <w:pPr>
        <w:ind w:left="720" w:firstLine="1080"/>
      </w:pPr>
      <w:rPr>
        <w:rFonts w:ascii="Arial" w:eastAsia="Arial" w:hAnsi="Arial" w:cs="Arial"/>
        <w:u w:val="none"/>
      </w:rPr>
    </w:lvl>
    <w:lvl w:ilvl="1">
      <w:start w:val="1"/>
      <w:numFmt w:val="bullet"/>
      <w:lvlText w:val="○"/>
      <w:lvlJc w:val="left"/>
      <w:pPr>
        <w:ind w:left="1440" w:firstLine="2520"/>
      </w:pPr>
      <w:rPr>
        <w:rFonts w:ascii="Arial" w:eastAsia="Arial" w:hAnsi="Arial" w:cs="Arial"/>
        <w:u w:val="none"/>
      </w:rPr>
    </w:lvl>
    <w:lvl w:ilvl="2">
      <w:start w:val="1"/>
      <w:numFmt w:val="bullet"/>
      <w:lvlText w:val="■"/>
      <w:lvlJc w:val="left"/>
      <w:pPr>
        <w:ind w:left="2160" w:firstLine="3960"/>
      </w:pPr>
      <w:rPr>
        <w:rFonts w:ascii="Arial" w:eastAsia="Arial" w:hAnsi="Arial" w:cs="Arial"/>
        <w:u w:val="none"/>
      </w:rPr>
    </w:lvl>
    <w:lvl w:ilvl="3">
      <w:start w:val="1"/>
      <w:numFmt w:val="bullet"/>
      <w:lvlText w:val="●"/>
      <w:lvlJc w:val="left"/>
      <w:pPr>
        <w:ind w:left="2880" w:firstLine="5400"/>
      </w:pPr>
      <w:rPr>
        <w:rFonts w:ascii="Arial" w:eastAsia="Arial" w:hAnsi="Arial" w:cs="Arial"/>
        <w:u w:val="none"/>
      </w:rPr>
    </w:lvl>
    <w:lvl w:ilvl="4">
      <w:start w:val="1"/>
      <w:numFmt w:val="bullet"/>
      <w:lvlText w:val="○"/>
      <w:lvlJc w:val="left"/>
      <w:pPr>
        <w:ind w:left="3600" w:firstLine="6840"/>
      </w:pPr>
      <w:rPr>
        <w:rFonts w:ascii="Arial" w:eastAsia="Arial" w:hAnsi="Arial" w:cs="Arial"/>
        <w:u w:val="none"/>
      </w:rPr>
    </w:lvl>
    <w:lvl w:ilvl="5">
      <w:start w:val="1"/>
      <w:numFmt w:val="bullet"/>
      <w:lvlText w:val="■"/>
      <w:lvlJc w:val="left"/>
      <w:pPr>
        <w:ind w:left="4320" w:firstLine="8280"/>
      </w:pPr>
      <w:rPr>
        <w:rFonts w:ascii="Arial" w:eastAsia="Arial" w:hAnsi="Arial" w:cs="Arial"/>
        <w:u w:val="none"/>
      </w:rPr>
    </w:lvl>
    <w:lvl w:ilvl="6">
      <w:start w:val="1"/>
      <w:numFmt w:val="bullet"/>
      <w:lvlText w:val="●"/>
      <w:lvlJc w:val="left"/>
      <w:pPr>
        <w:ind w:left="5040" w:firstLine="9720"/>
      </w:pPr>
      <w:rPr>
        <w:rFonts w:ascii="Arial" w:eastAsia="Arial" w:hAnsi="Arial" w:cs="Arial"/>
        <w:u w:val="none"/>
      </w:rPr>
    </w:lvl>
    <w:lvl w:ilvl="7">
      <w:start w:val="1"/>
      <w:numFmt w:val="bullet"/>
      <w:lvlText w:val="○"/>
      <w:lvlJc w:val="left"/>
      <w:pPr>
        <w:ind w:left="5760" w:firstLine="11160"/>
      </w:pPr>
      <w:rPr>
        <w:rFonts w:ascii="Arial" w:eastAsia="Arial" w:hAnsi="Arial" w:cs="Arial"/>
        <w:u w:val="none"/>
      </w:rPr>
    </w:lvl>
    <w:lvl w:ilvl="8">
      <w:start w:val="1"/>
      <w:numFmt w:val="bullet"/>
      <w:lvlText w:val="■"/>
      <w:lvlJc w:val="left"/>
      <w:pPr>
        <w:ind w:left="6480" w:firstLine="12600"/>
      </w:pPr>
      <w:rPr>
        <w:rFonts w:ascii="Arial" w:eastAsia="Arial" w:hAnsi="Arial" w:cs="Arial"/>
        <w:u w:val="none"/>
      </w:rPr>
    </w:lvl>
  </w:abstractNum>
  <w:abstractNum w:abstractNumId="16" w15:restartNumberingAfterBreak="0">
    <w:nsid w:val="2E0D64C6"/>
    <w:multiLevelType w:val="multilevel"/>
    <w:tmpl w:val="753050A4"/>
    <w:lvl w:ilvl="0">
      <w:start w:val="1"/>
      <w:numFmt w:val="decimal"/>
      <w:lvlText w:val="%1."/>
      <w:lvlJc w:val="left"/>
      <w:pPr>
        <w:ind w:left="720" w:firstLine="360"/>
      </w:pPr>
    </w:lvl>
    <w:lvl w:ilvl="1">
      <w:start w:val="1"/>
      <w:numFmt w:val="lowerLetter"/>
      <w:lvlText w:val="%2."/>
      <w:lvlJc w:val="left"/>
      <w:pPr>
        <w:ind w:left="1440" w:firstLine="1080"/>
      </w:pPr>
    </w:lvl>
    <w:lvl w:ilvl="2">
      <w:start w:val="1"/>
      <w:numFmt w:val="lowerRoman"/>
      <w:lvlText w:val="%3."/>
      <w:lvlJc w:val="right"/>
      <w:pPr>
        <w:ind w:left="2160" w:firstLine="1980"/>
      </w:pPr>
    </w:lvl>
    <w:lvl w:ilvl="3">
      <w:start w:val="1"/>
      <w:numFmt w:val="decimal"/>
      <w:lvlText w:val="%4."/>
      <w:lvlJc w:val="left"/>
      <w:pPr>
        <w:ind w:left="2880" w:firstLine="2520"/>
      </w:pPr>
    </w:lvl>
    <w:lvl w:ilvl="4">
      <w:start w:val="1"/>
      <w:numFmt w:val="lowerLetter"/>
      <w:lvlText w:val="%5."/>
      <w:lvlJc w:val="left"/>
      <w:pPr>
        <w:ind w:left="3600" w:firstLine="3240"/>
      </w:pPr>
    </w:lvl>
    <w:lvl w:ilvl="5">
      <w:start w:val="1"/>
      <w:numFmt w:val="lowerRoman"/>
      <w:lvlText w:val="%6."/>
      <w:lvlJc w:val="right"/>
      <w:pPr>
        <w:ind w:left="4320" w:firstLine="4140"/>
      </w:pPr>
    </w:lvl>
    <w:lvl w:ilvl="6">
      <w:start w:val="1"/>
      <w:numFmt w:val="decimal"/>
      <w:lvlText w:val="%7."/>
      <w:lvlJc w:val="left"/>
      <w:pPr>
        <w:ind w:left="5040" w:firstLine="4680"/>
      </w:pPr>
    </w:lvl>
    <w:lvl w:ilvl="7">
      <w:start w:val="1"/>
      <w:numFmt w:val="lowerLetter"/>
      <w:lvlText w:val="%8."/>
      <w:lvlJc w:val="left"/>
      <w:pPr>
        <w:ind w:left="5760" w:firstLine="5400"/>
      </w:pPr>
    </w:lvl>
    <w:lvl w:ilvl="8">
      <w:start w:val="1"/>
      <w:numFmt w:val="lowerRoman"/>
      <w:lvlText w:val="%9."/>
      <w:lvlJc w:val="right"/>
      <w:pPr>
        <w:ind w:left="6480" w:firstLine="6300"/>
      </w:pPr>
    </w:lvl>
  </w:abstractNum>
  <w:abstractNum w:abstractNumId="17" w15:restartNumberingAfterBreak="0">
    <w:nsid w:val="331E4654"/>
    <w:multiLevelType w:val="multilevel"/>
    <w:tmpl w:val="7C625FD8"/>
    <w:lvl w:ilvl="0">
      <w:start w:val="1"/>
      <w:numFmt w:val="decimal"/>
      <w:lvlText w:val="(%1)"/>
      <w:lvlJc w:val="left"/>
      <w:pPr>
        <w:ind w:left="720" w:firstLine="1080"/>
      </w:pPr>
      <w:rPr>
        <w:u w:val="none"/>
      </w:rPr>
    </w:lvl>
    <w:lvl w:ilvl="1">
      <w:start w:val="1"/>
      <w:numFmt w:val="lowerLetter"/>
      <w:lvlText w:val="(%2)"/>
      <w:lvlJc w:val="left"/>
      <w:pPr>
        <w:ind w:left="1440" w:firstLine="2520"/>
      </w:pPr>
      <w:rPr>
        <w:u w:val="none"/>
      </w:rPr>
    </w:lvl>
    <w:lvl w:ilvl="2">
      <w:start w:val="1"/>
      <w:numFmt w:val="lowerRoman"/>
      <w:lvlText w:val="(%3)"/>
      <w:lvlJc w:val="right"/>
      <w:pPr>
        <w:ind w:left="2160" w:firstLine="3960"/>
      </w:pPr>
      <w:rPr>
        <w:u w:val="none"/>
      </w:rPr>
    </w:lvl>
    <w:lvl w:ilvl="3">
      <w:start w:val="1"/>
      <w:numFmt w:val="decimal"/>
      <w:lvlText w:val="%4)"/>
      <w:lvlJc w:val="left"/>
      <w:pPr>
        <w:ind w:left="2880" w:firstLine="5400"/>
      </w:pPr>
      <w:rPr>
        <w:u w:val="none"/>
      </w:rPr>
    </w:lvl>
    <w:lvl w:ilvl="4">
      <w:start w:val="1"/>
      <w:numFmt w:val="lowerLetter"/>
      <w:lvlText w:val="%5)"/>
      <w:lvlJc w:val="left"/>
      <w:pPr>
        <w:ind w:left="3600" w:firstLine="6840"/>
      </w:pPr>
      <w:rPr>
        <w:u w:val="none"/>
      </w:rPr>
    </w:lvl>
    <w:lvl w:ilvl="5">
      <w:start w:val="1"/>
      <w:numFmt w:val="lowerRoman"/>
      <w:lvlText w:val="%6)"/>
      <w:lvlJc w:val="right"/>
      <w:pPr>
        <w:ind w:left="4320" w:firstLine="8280"/>
      </w:pPr>
      <w:rPr>
        <w:u w:val="none"/>
      </w:rPr>
    </w:lvl>
    <w:lvl w:ilvl="6">
      <w:start w:val="1"/>
      <w:numFmt w:val="decimal"/>
      <w:lvlText w:val="%7."/>
      <w:lvlJc w:val="left"/>
      <w:pPr>
        <w:ind w:left="5040" w:firstLine="9720"/>
      </w:pPr>
      <w:rPr>
        <w:u w:val="none"/>
      </w:rPr>
    </w:lvl>
    <w:lvl w:ilvl="7">
      <w:start w:val="1"/>
      <w:numFmt w:val="lowerLetter"/>
      <w:lvlText w:val="%8."/>
      <w:lvlJc w:val="left"/>
      <w:pPr>
        <w:ind w:left="5760" w:firstLine="11160"/>
      </w:pPr>
      <w:rPr>
        <w:u w:val="none"/>
      </w:rPr>
    </w:lvl>
    <w:lvl w:ilvl="8">
      <w:start w:val="1"/>
      <w:numFmt w:val="lowerRoman"/>
      <w:lvlText w:val="%9."/>
      <w:lvlJc w:val="right"/>
      <w:pPr>
        <w:ind w:left="6480" w:firstLine="12600"/>
      </w:pPr>
      <w:rPr>
        <w:u w:val="none"/>
      </w:rPr>
    </w:lvl>
  </w:abstractNum>
  <w:abstractNum w:abstractNumId="18" w15:restartNumberingAfterBreak="0">
    <w:nsid w:val="3380715E"/>
    <w:multiLevelType w:val="multilevel"/>
    <w:tmpl w:val="D8DE6B44"/>
    <w:lvl w:ilvl="0">
      <w:start w:val="1"/>
      <w:numFmt w:val="bullet"/>
      <w:lvlText w:val="●"/>
      <w:lvlJc w:val="left"/>
      <w:pPr>
        <w:ind w:left="720" w:firstLine="1080"/>
      </w:pPr>
      <w:rPr>
        <w:rFonts w:ascii="Arial" w:eastAsia="Arial" w:hAnsi="Arial" w:cs="Arial"/>
        <w:u w:val="none"/>
      </w:rPr>
    </w:lvl>
    <w:lvl w:ilvl="1">
      <w:start w:val="1"/>
      <w:numFmt w:val="bullet"/>
      <w:lvlText w:val="○"/>
      <w:lvlJc w:val="left"/>
      <w:pPr>
        <w:ind w:left="1440" w:firstLine="2520"/>
      </w:pPr>
      <w:rPr>
        <w:rFonts w:ascii="Arial" w:eastAsia="Arial" w:hAnsi="Arial" w:cs="Arial"/>
        <w:u w:val="none"/>
      </w:rPr>
    </w:lvl>
    <w:lvl w:ilvl="2">
      <w:start w:val="1"/>
      <w:numFmt w:val="bullet"/>
      <w:lvlText w:val="■"/>
      <w:lvlJc w:val="left"/>
      <w:pPr>
        <w:ind w:left="2160" w:firstLine="3960"/>
      </w:pPr>
      <w:rPr>
        <w:rFonts w:ascii="Arial" w:eastAsia="Arial" w:hAnsi="Arial" w:cs="Arial"/>
        <w:u w:val="none"/>
      </w:rPr>
    </w:lvl>
    <w:lvl w:ilvl="3">
      <w:start w:val="1"/>
      <w:numFmt w:val="bullet"/>
      <w:lvlText w:val="●"/>
      <w:lvlJc w:val="left"/>
      <w:pPr>
        <w:ind w:left="2880" w:firstLine="5400"/>
      </w:pPr>
      <w:rPr>
        <w:rFonts w:ascii="Arial" w:eastAsia="Arial" w:hAnsi="Arial" w:cs="Arial"/>
        <w:u w:val="none"/>
      </w:rPr>
    </w:lvl>
    <w:lvl w:ilvl="4">
      <w:start w:val="1"/>
      <w:numFmt w:val="bullet"/>
      <w:lvlText w:val="○"/>
      <w:lvlJc w:val="left"/>
      <w:pPr>
        <w:ind w:left="3600" w:firstLine="6840"/>
      </w:pPr>
      <w:rPr>
        <w:rFonts w:ascii="Arial" w:eastAsia="Arial" w:hAnsi="Arial" w:cs="Arial"/>
        <w:u w:val="none"/>
      </w:rPr>
    </w:lvl>
    <w:lvl w:ilvl="5">
      <w:start w:val="1"/>
      <w:numFmt w:val="bullet"/>
      <w:lvlText w:val="■"/>
      <w:lvlJc w:val="left"/>
      <w:pPr>
        <w:ind w:left="4320" w:firstLine="8280"/>
      </w:pPr>
      <w:rPr>
        <w:rFonts w:ascii="Arial" w:eastAsia="Arial" w:hAnsi="Arial" w:cs="Arial"/>
        <w:u w:val="none"/>
      </w:rPr>
    </w:lvl>
    <w:lvl w:ilvl="6">
      <w:start w:val="1"/>
      <w:numFmt w:val="bullet"/>
      <w:lvlText w:val="●"/>
      <w:lvlJc w:val="left"/>
      <w:pPr>
        <w:ind w:left="5040" w:firstLine="9720"/>
      </w:pPr>
      <w:rPr>
        <w:rFonts w:ascii="Arial" w:eastAsia="Arial" w:hAnsi="Arial" w:cs="Arial"/>
        <w:u w:val="none"/>
      </w:rPr>
    </w:lvl>
    <w:lvl w:ilvl="7">
      <w:start w:val="1"/>
      <w:numFmt w:val="bullet"/>
      <w:lvlText w:val="○"/>
      <w:lvlJc w:val="left"/>
      <w:pPr>
        <w:ind w:left="5760" w:firstLine="11160"/>
      </w:pPr>
      <w:rPr>
        <w:rFonts w:ascii="Arial" w:eastAsia="Arial" w:hAnsi="Arial" w:cs="Arial"/>
        <w:u w:val="none"/>
      </w:rPr>
    </w:lvl>
    <w:lvl w:ilvl="8">
      <w:start w:val="1"/>
      <w:numFmt w:val="bullet"/>
      <w:lvlText w:val="■"/>
      <w:lvlJc w:val="left"/>
      <w:pPr>
        <w:ind w:left="6480" w:firstLine="12600"/>
      </w:pPr>
      <w:rPr>
        <w:rFonts w:ascii="Arial" w:eastAsia="Arial" w:hAnsi="Arial" w:cs="Arial"/>
        <w:u w:val="none"/>
      </w:rPr>
    </w:lvl>
  </w:abstractNum>
  <w:abstractNum w:abstractNumId="19" w15:restartNumberingAfterBreak="0">
    <w:nsid w:val="35942E7B"/>
    <w:multiLevelType w:val="multilevel"/>
    <w:tmpl w:val="B43003EA"/>
    <w:lvl w:ilvl="0">
      <w:start w:val="1"/>
      <w:numFmt w:val="decimal"/>
      <w:lvlText w:val="%1."/>
      <w:lvlJc w:val="left"/>
      <w:pPr>
        <w:ind w:left="720" w:firstLine="1080"/>
      </w:pPr>
      <w:rPr>
        <w:u w:val="none"/>
      </w:rPr>
    </w:lvl>
    <w:lvl w:ilvl="1">
      <w:start w:val="1"/>
      <w:numFmt w:val="lowerLetter"/>
      <w:lvlText w:val="%2."/>
      <w:lvlJc w:val="left"/>
      <w:pPr>
        <w:ind w:left="1440" w:firstLine="2520"/>
      </w:pPr>
      <w:rPr>
        <w:u w:val="none"/>
      </w:rPr>
    </w:lvl>
    <w:lvl w:ilvl="2">
      <w:start w:val="1"/>
      <w:numFmt w:val="lowerRoman"/>
      <w:lvlText w:val="%3."/>
      <w:lvlJc w:val="right"/>
      <w:pPr>
        <w:ind w:left="2160" w:firstLine="3960"/>
      </w:pPr>
      <w:rPr>
        <w:u w:val="none"/>
      </w:rPr>
    </w:lvl>
    <w:lvl w:ilvl="3">
      <w:start w:val="1"/>
      <w:numFmt w:val="decimal"/>
      <w:lvlText w:val="%4."/>
      <w:lvlJc w:val="left"/>
      <w:pPr>
        <w:ind w:left="2880" w:firstLine="5400"/>
      </w:pPr>
      <w:rPr>
        <w:u w:val="none"/>
      </w:rPr>
    </w:lvl>
    <w:lvl w:ilvl="4">
      <w:start w:val="1"/>
      <w:numFmt w:val="lowerLetter"/>
      <w:lvlText w:val="%5."/>
      <w:lvlJc w:val="left"/>
      <w:pPr>
        <w:ind w:left="3600" w:firstLine="6840"/>
      </w:pPr>
      <w:rPr>
        <w:u w:val="none"/>
      </w:rPr>
    </w:lvl>
    <w:lvl w:ilvl="5">
      <w:start w:val="1"/>
      <w:numFmt w:val="lowerRoman"/>
      <w:lvlText w:val="%6."/>
      <w:lvlJc w:val="right"/>
      <w:pPr>
        <w:ind w:left="4320" w:firstLine="8280"/>
      </w:pPr>
      <w:rPr>
        <w:u w:val="none"/>
      </w:rPr>
    </w:lvl>
    <w:lvl w:ilvl="6">
      <w:start w:val="1"/>
      <w:numFmt w:val="decimal"/>
      <w:lvlText w:val="%7."/>
      <w:lvlJc w:val="left"/>
      <w:pPr>
        <w:ind w:left="5040" w:firstLine="9720"/>
      </w:pPr>
      <w:rPr>
        <w:u w:val="none"/>
      </w:rPr>
    </w:lvl>
    <w:lvl w:ilvl="7">
      <w:start w:val="1"/>
      <w:numFmt w:val="lowerLetter"/>
      <w:lvlText w:val="%8."/>
      <w:lvlJc w:val="left"/>
      <w:pPr>
        <w:ind w:left="5760" w:firstLine="11160"/>
      </w:pPr>
      <w:rPr>
        <w:u w:val="none"/>
      </w:rPr>
    </w:lvl>
    <w:lvl w:ilvl="8">
      <w:start w:val="1"/>
      <w:numFmt w:val="lowerRoman"/>
      <w:lvlText w:val="%9."/>
      <w:lvlJc w:val="right"/>
      <w:pPr>
        <w:ind w:left="6480" w:firstLine="12600"/>
      </w:pPr>
      <w:rPr>
        <w:u w:val="none"/>
      </w:rPr>
    </w:lvl>
  </w:abstractNum>
  <w:abstractNum w:abstractNumId="20" w15:restartNumberingAfterBreak="0">
    <w:nsid w:val="3A133D81"/>
    <w:multiLevelType w:val="multilevel"/>
    <w:tmpl w:val="67128FEA"/>
    <w:lvl w:ilvl="0">
      <w:start w:val="1"/>
      <w:numFmt w:val="bullet"/>
      <w:lvlText w:val="●"/>
      <w:lvlJc w:val="left"/>
      <w:pPr>
        <w:ind w:left="720" w:firstLine="1080"/>
      </w:pPr>
      <w:rPr>
        <w:rFonts w:ascii="Arial" w:eastAsia="Arial" w:hAnsi="Arial" w:cs="Arial"/>
        <w:u w:val="none"/>
      </w:rPr>
    </w:lvl>
    <w:lvl w:ilvl="1">
      <w:start w:val="1"/>
      <w:numFmt w:val="bullet"/>
      <w:lvlText w:val="○"/>
      <w:lvlJc w:val="left"/>
      <w:pPr>
        <w:ind w:left="1440" w:firstLine="2520"/>
      </w:pPr>
      <w:rPr>
        <w:rFonts w:ascii="Arial" w:eastAsia="Arial" w:hAnsi="Arial" w:cs="Arial"/>
        <w:u w:val="none"/>
      </w:rPr>
    </w:lvl>
    <w:lvl w:ilvl="2">
      <w:start w:val="1"/>
      <w:numFmt w:val="bullet"/>
      <w:lvlText w:val="■"/>
      <w:lvlJc w:val="left"/>
      <w:pPr>
        <w:ind w:left="2160" w:firstLine="3960"/>
      </w:pPr>
      <w:rPr>
        <w:rFonts w:ascii="Arial" w:eastAsia="Arial" w:hAnsi="Arial" w:cs="Arial"/>
        <w:u w:val="none"/>
      </w:rPr>
    </w:lvl>
    <w:lvl w:ilvl="3">
      <w:start w:val="1"/>
      <w:numFmt w:val="bullet"/>
      <w:lvlText w:val="●"/>
      <w:lvlJc w:val="left"/>
      <w:pPr>
        <w:ind w:left="2880" w:firstLine="5400"/>
      </w:pPr>
      <w:rPr>
        <w:rFonts w:ascii="Arial" w:eastAsia="Arial" w:hAnsi="Arial" w:cs="Arial"/>
        <w:u w:val="none"/>
      </w:rPr>
    </w:lvl>
    <w:lvl w:ilvl="4">
      <w:start w:val="1"/>
      <w:numFmt w:val="bullet"/>
      <w:lvlText w:val="○"/>
      <w:lvlJc w:val="left"/>
      <w:pPr>
        <w:ind w:left="3600" w:firstLine="6840"/>
      </w:pPr>
      <w:rPr>
        <w:rFonts w:ascii="Arial" w:eastAsia="Arial" w:hAnsi="Arial" w:cs="Arial"/>
        <w:u w:val="none"/>
      </w:rPr>
    </w:lvl>
    <w:lvl w:ilvl="5">
      <w:start w:val="1"/>
      <w:numFmt w:val="bullet"/>
      <w:lvlText w:val="■"/>
      <w:lvlJc w:val="left"/>
      <w:pPr>
        <w:ind w:left="4320" w:firstLine="8280"/>
      </w:pPr>
      <w:rPr>
        <w:rFonts w:ascii="Arial" w:eastAsia="Arial" w:hAnsi="Arial" w:cs="Arial"/>
        <w:u w:val="none"/>
      </w:rPr>
    </w:lvl>
    <w:lvl w:ilvl="6">
      <w:start w:val="1"/>
      <w:numFmt w:val="bullet"/>
      <w:lvlText w:val="●"/>
      <w:lvlJc w:val="left"/>
      <w:pPr>
        <w:ind w:left="5040" w:firstLine="9720"/>
      </w:pPr>
      <w:rPr>
        <w:rFonts w:ascii="Arial" w:eastAsia="Arial" w:hAnsi="Arial" w:cs="Arial"/>
        <w:u w:val="none"/>
      </w:rPr>
    </w:lvl>
    <w:lvl w:ilvl="7">
      <w:start w:val="1"/>
      <w:numFmt w:val="bullet"/>
      <w:lvlText w:val="○"/>
      <w:lvlJc w:val="left"/>
      <w:pPr>
        <w:ind w:left="5760" w:firstLine="11160"/>
      </w:pPr>
      <w:rPr>
        <w:rFonts w:ascii="Arial" w:eastAsia="Arial" w:hAnsi="Arial" w:cs="Arial"/>
        <w:u w:val="none"/>
      </w:rPr>
    </w:lvl>
    <w:lvl w:ilvl="8">
      <w:start w:val="1"/>
      <w:numFmt w:val="bullet"/>
      <w:lvlText w:val="■"/>
      <w:lvlJc w:val="left"/>
      <w:pPr>
        <w:ind w:left="6480" w:firstLine="12600"/>
      </w:pPr>
      <w:rPr>
        <w:rFonts w:ascii="Arial" w:eastAsia="Arial" w:hAnsi="Arial" w:cs="Arial"/>
        <w:u w:val="none"/>
      </w:rPr>
    </w:lvl>
  </w:abstractNum>
  <w:abstractNum w:abstractNumId="21" w15:restartNumberingAfterBreak="0">
    <w:nsid w:val="4070558B"/>
    <w:multiLevelType w:val="multilevel"/>
    <w:tmpl w:val="1960D8AC"/>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2" w15:restartNumberingAfterBreak="0">
    <w:nsid w:val="42685FB4"/>
    <w:multiLevelType w:val="multilevel"/>
    <w:tmpl w:val="99A84D9E"/>
    <w:lvl w:ilvl="0">
      <w:start w:val="1"/>
      <w:numFmt w:val="bullet"/>
      <w:lvlText w:val="●"/>
      <w:lvlJc w:val="left"/>
      <w:pPr>
        <w:ind w:left="720" w:firstLine="360"/>
      </w:pPr>
      <w:rPr>
        <w:rFonts w:ascii="Arial" w:eastAsia="Arial" w:hAnsi="Arial" w:cs="Arial"/>
      </w:rPr>
    </w:lvl>
    <w:lvl w:ilvl="1">
      <w:start w:val="1"/>
      <w:numFmt w:val="bullet"/>
      <w:lvlText w:val="o"/>
      <w:lvlJc w:val="left"/>
      <w:pPr>
        <w:ind w:left="1440" w:firstLine="1080"/>
      </w:pPr>
      <w:rPr>
        <w:rFonts w:ascii="Arial" w:eastAsia="Arial" w:hAnsi="Arial" w:cs="Arial"/>
      </w:rPr>
    </w:lvl>
    <w:lvl w:ilvl="2">
      <w:start w:val="1"/>
      <w:numFmt w:val="bullet"/>
      <w:lvlText w:val="▪"/>
      <w:lvlJc w:val="left"/>
      <w:pPr>
        <w:ind w:left="2160" w:firstLine="1800"/>
      </w:pPr>
      <w:rPr>
        <w:rFonts w:ascii="Arial" w:eastAsia="Arial" w:hAnsi="Arial" w:cs="Arial"/>
      </w:rPr>
    </w:lvl>
    <w:lvl w:ilvl="3">
      <w:start w:val="1"/>
      <w:numFmt w:val="bullet"/>
      <w:lvlText w:val="●"/>
      <w:lvlJc w:val="left"/>
      <w:pPr>
        <w:ind w:left="2880" w:firstLine="2520"/>
      </w:pPr>
      <w:rPr>
        <w:rFonts w:ascii="Arial" w:eastAsia="Arial" w:hAnsi="Arial" w:cs="Arial"/>
      </w:rPr>
    </w:lvl>
    <w:lvl w:ilvl="4">
      <w:start w:val="1"/>
      <w:numFmt w:val="bullet"/>
      <w:lvlText w:val="o"/>
      <w:lvlJc w:val="left"/>
      <w:pPr>
        <w:ind w:left="3600" w:firstLine="3240"/>
      </w:pPr>
      <w:rPr>
        <w:rFonts w:ascii="Arial" w:eastAsia="Arial" w:hAnsi="Arial" w:cs="Arial"/>
      </w:rPr>
    </w:lvl>
    <w:lvl w:ilvl="5">
      <w:start w:val="1"/>
      <w:numFmt w:val="bullet"/>
      <w:lvlText w:val="▪"/>
      <w:lvlJc w:val="left"/>
      <w:pPr>
        <w:ind w:left="4320" w:firstLine="3960"/>
      </w:pPr>
      <w:rPr>
        <w:rFonts w:ascii="Arial" w:eastAsia="Arial" w:hAnsi="Arial" w:cs="Arial"/>
      </w:rPr>
    </w:lvl>
    <w:lvl w:ilvl="6">
      <w:start w:val="1"/>
      <w:numFmt w:val="bullet"/>
      <w:lvlText w:val="●"/>
      <w:lvlJc w:val="left"/>
      <w:pPr>
        <w:ind w:left="5040" w:firstLine="4680"/>
      </w:pPr>
      <w:rPr>
        <w:rFonts w:ascii="Arial" w:eastAsia="Arial" w:hAnsi="Arial" w:cs="Arial"/>
      </w:rPr>
    </w:lvl>
    <w:lvl w:ilvl="7">
      <w:start w:val="1"/>
      <w:numFmt w:val="bullet"/>
      <w:lvlText w:val="o"/>
      <w:lvlJc w:val="left"/>
      <w:pPr>
        <w:ind w:left="5760" w:firstLine="5400"/>
      </w:pPr>
      <w:rPr>
        <w:rFonts w:ascii="Arial" w:eastAsia="Arial" w:hAnsi="Arial" w:cs="Arial"/>
      </w:rPr>
    </w:lvl>
    <w:lvl w:ilvl="8">
      <w:start w:val="1"/>
      <w:numFmt w:val="bullet"/>
      <w:lvlText w:val="▪"/>
      <w:lvlJc w:val="left"/>
      <w:pPr>
        <w:ind w:left="6480" w:firstLine="6120"/>
      </w:pPr>
      <w:rPr>
        <w:rFonts w:ascii="Arial" w:eastAsia="Arial" w:hAnsi="Arial" w:cs="Arial"/>
      </w:rPr>
    </w:lvl>
  </w:abstractNum>
  <w:abstractNum w:abstractNumId="23" w15:restartNumberingAfterBreak="0">
    <w:nsid w:val="43F07F2B"/>
    <w:multiLevelType w:val="multilevel"/>
    <w:tmpl w:val="B8A2976C"/>
    <w:lvl w:ilvl="0">
      <w:start w:val="1"/>
      <w:numFmt w:val="bullet"/>
      <w:lvlText w:val="●"/>
      <w:lvlJc w:val="left"/>
      <w:pPr>
        <w:ind w:left="1080" w:firstLine="720"/>
      </w:pPr>
      <w:rPr>
        <w:rFonts w:ascii="Arial" w:eastAsia="Arial" w:hAnsi="Arial" w:cs="Arial"/>
      </w:rPr>
    </w:lvl>
    <w:lvl w:ilvl="1">
      <w:start w:val="1"/>
      <w:numFmt w:val="bullet"/>
      <w:lvlText w:val="o"/>
      <w:lvlJc w:val="left"/>
      <w:pPr>
        <w:ind w:left="1800" w:firstLine="1440"/>
      </w:pPr>
      <w:rPr>
        <w:rFonts w:ascii="Arial" w:eastAsia="Arial" w:hAnsi="Arial" w:cs="Arial"/>
      </w:rPr>
    </w:lvl>
    <w:lvl w:ilvl="2">
      <w:start w:val="1"/>
      <w:numFmt w:val="bullet"/>
      <w:lvlText w:val="▪"/>
      <w:lvlJc w:val="left"/>
      <w:pPr>
        <w:ind w:left="2520" w:firstLine="2160"/>
      </w:pPr>
      <w:rPr>
        <w:rFonts w:ascii="Arial" w:eastAsia="Arial" w:hAnsi="Arial" w:cs="Arial"/>
      </w:rPr>
    </w:lvl>
    <w:lvl w:ilvl="3">
      <w:start w:val="1"/>
      <w:numFmt w:val="bullet"/>
      <w:lvlText w:val="●"/>
      <w:lvlJc w:val="left"/>
      <w:pPr>
        <w:ind w:left="3240" w:firstLine="2880"/>
      </w:pPr>
      <w:rPr>
        <w:rFonts w:ascii="Arial" w:eastAsia="Arial" w:hAnsi="Arial" w:cs="Arial"/>
      </w:rPr>
    </w:lvl>
    <w:lvl w:ilvl="4">
      <w:start w:val="1"/>
      <w:numFmt w:val="bullet"/>
      <w:lvlText w:val="o"/>
      <w:lvlJc w:val="left"/>
      <w:pPr>
        <w:ind w:left="3960" w:firstLine="3600"/>
      </w:pPr>
      <w:rPr>
        <w:rFonts w:ascii="Arial" w:eastAsia="Arial" w:hAnsi="Arial" w:cs="Arial"/>
      </w:rPr>
    </w:lvl>
    <w:lvl w:ilvl="5">
      <w:start w:val="1"/>
      <w:numFmt w:val="bullet"/>
      <w:lvlText w:val="▪"/>
      <w:lvlJc w:val="left"/>
      <w:pPr>
        <w:ind w:left="4680" w:firstLine="4320"/>
      </w:pPr>
      <w:rPr>
        <w:rFonts w:ascii="Arial" w:eastAsia="Arial" w:hAnsi="Arial" w:cs="Arial"/>
      </w:rPr>
    </w:lvl>
    <w:lvl w:ilvl="6">
      <w:start w:val="1"/>
      <w:numFmt w:val="bullet"/>
      <w:lvlText w:val="●"/>
      <w:lvlJc w:val="left"/>
      <w:pPr>
        <w:ind w:left="5400" w:firstLine="5040"/>
      </w:pPr>
      <w:rPr>
        <w:rFonts w:ascii="Arial" w:eastAsia="Arial" w:hAnsi="Arial" w:cs="Arial"/>
      </w:rPr>
    </w:lvl>
    <w:lvl w:ilvl="7">
      <w:start w:val="1"/>
      <w:numFmt w:val="bullet"/>
      <w:lvlText w:val="o"/>
      <w:lvlJc w:val="left"/>
      <w:pPr>
        <w:ind w:left="6120" w:firstLine="5760"/>
      </w:pPr>
      <w:rPr>
        <w:rFonts w:ascii="Arial" w:eastAsia="Arial" w:hAnsi="Arial" w:cs="Arial"/>
      </w:rPr>
    </w:lvl>
    <w:lvl w:ilvl="8">
      <w:start w:val="1"/>
      <w:numFmt w:val="bullet"/>
      <w:lvlText w:val="▪"/>
      <w:lvlJc w:val="left"/>
      <w:pPr>
        <w:ind w:left="6840" w:firstLine="6480"/>
      </w:pPr>
      <w:rPr>
        <w:rFonts w:ascii="Arial" w:eastAsia="Arial" w:hAnsi="Arial" w:cs="Arial"/>
      </w:rPr>
    </w:lvl>
  </w:abstractNum>
  <w:abstractNum w:abstractNumId="24" w15:restartNumberingAfterBreak="0">
    <w:nsid w:val="4CAA6962"/>
    <w:multiLevelType w:val="multilevel"/>
    <w:tmpl w:val="376486E2"/>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5" w15:restartNumberingAfterBreak="0">
    <w:nsid w:val="53152368"/>
    <w:multiLevelType w:val="multilevel"/>
    <w:tmpl w:val="0C64C08C"/>
    <w:lvl w:ilvl="0">
      <w:start w:val="1"/>
      <w:numFmt w:val="bullet"/>
      <w:lvlText w:val="●"/>
      <w:lvlJc w:val="left"/>
      <w:pPr>
        <w:ind w:left="360" w:firstLine="0"/>
      </w:pPr>
      <w:rPr>
        <w:rFonts w:ascii="Arial" w:eastAsia="Arial" w:hAnsi="Arial" w:cs="Arial"/>
      </w:rPr>
    </w:lvl>
    <w:lvl w:ilvl="1">
      <w:start w:val="1"/>
      <w:numFmt w:val="bullet"/>
      <w:lvlText w:val="o"/>
      <w:lvlJc w:val="left"/>
      <w:pPr>
        <w:ind w:left="1080" w:firstLine="720"/>
      </w:pPr>
      <w:rPr>
        <w:rFonts w:ascii="Arial" w:eastAsia="Arial" w:hAnsi="Arial" w:cs="Arial"/>
      </w:rPr>
    </w:lvl>
    <w:lvl w:ilvl="2">
      <w:start w:val="1"/>
      <w:numFmt w:val="bullet"/>
      <w:lvlText w:val="▪"/>
      <w:lvlJc w:val="left"/>
      <w:pPr>
        <w:ind w:left="1800" w:firstLine="1440"/>
      </w:pPr>
      <w:rPr>
        <w:rFonts w:ascii="Arial" w:eastAsia="Arial" w:hAnsi="Arial" w:cs="Arial"/>
      </w:rPr>
    </w:lvl>
    <w:lvl w:ilvl="3">
      <w:start w:val="1"/>
      <w:numFmt w:val="bullet"/>
      <w:lvlText w:val="●"/>
      <w:lvlJc w:val="left"/>
      <w:pPr>
        <w:ind w:left="2520" w:firstLine="2160"/>
      </w:pPr>
      <w:rPr>
        <w:rFonts w:ascii="Arial" w:eastAsia="Arial" w:hAnsi="Arial" w:cs="Arial"/>
      </w:rPr>
    </w:lvl>
    <w:lvl w:ilvl="4">
      <w:start w:val="1"/>
      <w:numFmt w:val="bullet"/>
      <w:lvlText w:val="o"/>
      <w:lvlJc w:val="left"/>
      <w:pPr>
        <w:ind w:left="3240" w:firstLine="2880"/>
      </w:pPr>
      <w:rPr>
        <w:rFonts w:ascii="Arial" w:eastAsia="Arial" w:hAnsi="Arial" w:cs="Arial"/>
      </w:rPr>
    </w:lvl>
    <w:lvl w:ilvl="5">
      <w:start w:val="1"/>
      <w:numFmt w:val="bullet"/>
      <w:lvlText w:val="▪"/>
      <w:lvlJc w:val="left"/>
      <w:pPr>
        <w:ind w:left="3960" w:firstLine="3600"/>
      </w:pPr>
      <w:rPr>
        <w:rFonts w:ascii="Arial" w:eastAsia="Arial" w:hAnsi="Arial" w:cs="Arial"/>
      </w:rPr>
    </w:lvl>
    <w:lvl w:ilvl="6">
      <w:start w:val="1"/>
      <w:numFmt w:val="bullet"/>
      <w:lvlText w:val="●"/>
      <w:lvlJc w:val="left"/>
      <w:pPr>
        <w:ind w:left="4680" w:firstLine="4320"/>
      </w:pPr>
      <w:rPr>
        <w:rFonts w:ascii="Arial" w:eastAsia="Arial" w:hAnsi="Arial" w:cs="Arial"/>
      </w:rPr>
    </w:lvl>
    <w:lvl w:ilvl="7">
      <w:start w:val="1"/>
      <w:numFmt w:val="bullet"/>
      <w:lvlText w:val="o"/>
      <w:lvlJc w:val="left"/>
      <w:pPr>
        <w:ind w:left="5400" w:firstLine="5040"/>
      </w:pPr>
      <w:rPr>
        <w:rFonts w:ascii="Arial" w:eastAsia="Arial" w:hAnsi="Arial" w:cs="Arial"/>
      </w:rPr>
    </w:lvl>
    <w:lvl w:ilvl="8">
      <w:start w:val="1"/>
      <w:numFmt w:val="bullet"/>
      <w:lvlText w:val="▪"/>
      <w:lvlJc w:val="left"/>
      <w:pPr>
        <w:ind w:left="6120" w:firstLine="5760"/>
      </w:pPr>
      <w:rPr>
        <w:rFonts w:ascii="Arial" w:eastAsia="Arial" w:hAnsi="Arial" w:cs="Arial"/>
      </w:rPr>
    </w:lvl>
  </w:abstractNum>
  <w:abstractNum w:abstractNumId="26" w15:restartNumberingAfterBreak="0">
    <w:nsid w:val="53AB0997"/>
    <w:multiLevelType w:val="multilevel"/>
    <w:tmpl w:val="23BA1F9C"/>
    <w:lvl w:ilvl="0">
      <w:start w:val="1"/>
      <w:numFmt w:val="bullet"/>
      <w:lvlText w:val="●"/>
      <w:lvlJc w:val="left"/>
      <w:pPr>
        <w:ind w:left="360" w:firstLine="0"/>
      </w:pPr>
      <w:rPr>
        <w:rFonts w:ascii="Arial" w:eastAsia="Arial" w:hAnsi="Arial" w:cs="Arial"/>
      </w:rPr>
    </w:lvl>
    <w:lvl w:ilvl="1">
      <w:start w:val="1"/>
      <w:numFmt w:val="bullet"/>
      <w:lvlText w:val="o"/>
      <w:lvlJc w:val="left"/>
      <w:pPr>
        <w:ind w:left="1080" w:firstLine="720"/>
      </w:pPr>
      <w:rPr>
        <w:rFonts w:ascii="Arial" w:eastAsia="Arial" w:hAnsi="Arial" w:cs="Arial"/>
      </w:rPr>
    </w:lvl>
    <w:lvl w:ilvl="2">
      <w:start w:val="1"/>
      <w:numFmt w:val="bullet"/>
      <w:lvlText w:val="▪"/>
      <w:lvlJc w:val="left"/>
      <w:pPr>
        <w:ind w:left="1800" w:firstLine="1440"/>
      </w:pPr>
      <w:rPr>
        <w:rFonts w:ascii="Arial" w:eastAsia="Arial" w:hAnsi="Arial" w:cs="Arial"/>
      </w:rPr>
    </w:lvl>
    <w:lvl w:ilvl="3">
      <w:start w:val="1"/>
      <w:numFmt w:val="bullet"/>
      <w:lvlText w:val="●"/>
      <w:lvlJc w:val="left"/>
      <w:pPr>
        <w:ind w:left="2520" w:firstLine="2160"/>
      </w:pPr>
      <w:rPr>
        <w:rFonts w:ascii="Arial" w:eastAsia="Arial" w:hAnsi="Arial" w:cs="Arial"/>
      </w:rPr>
    </w:lvl>
    <w:lvl w:ilvl="4">
      <w:start w:val="1"/>
      <w:numFmt w:val="bullet"/>
      <w:lvlText w:val="o"/>
      <w:lvlJc w:val="left"/>
      <w:pPr>
        <w:ind w:left="3240" w:firstLine="2880"/>
      </w:pPr>
      <w:rPr>
        <w:rFonts w:ascii="Arial" w:eastAsia="Arial" w:hAnsi="Arial" w:cs="Arial"/>
      </w:rPr>
    </w:lvl>
    <w:lvl w:ilvl="5">
      <w:start w:val="1"/>
      <w:numFmt w:val="bullet"/>
      <w:lvlText w:val="▪"/>
      <w:lvlJc w:val="left"/>
      <w:pPr>
        <w:ind w:left="3960" w:firstLine="3600"/>
      </w:pPr>
      <w:rPr>
        <w:rFonts w:ascii="Arial" w:eastAsia="Arial" w:hAnsi="Arial" w:cs="Arial"/>
      </w:rPr>
    </w:lvl>
    <w:lvl w:ilvl="6">
      <w:start w:val="1"/>
      <w:numFmt w:val="bullet"/>
      <w:lvlText w:val="●"/>
      <w:lvlJc w:val="left"/>
      <w:pPr>
        <w:ind w:left="4680" w:firstLine="4320"/>
      </w:pPr>
      <w:rPr>
        <w:rFonts w:ascii="Arial" w:eastAsia="Arial" w:hAnsi="Arial" w:cs="Arial"/>
      </w:rPr>
    </w:lvl>
    <w:lvl w:ilvl="7">
      <w:start w:val="1"/>
      <w:numFmt w:val="bullet"/>
      <w:lvlText w:val="o"/>
      <w:lvlJc w:val="left"/>
      <w:pPr>
        <w:ind w:left="5400" w:firstLine="5040"/>
      </w:pPr>
      <w:rPr>
        <w:rFonts w:ascii="Arial" w:eastAsia="Arial" w:hAnsi="Arial" w:cs="Arial"/>
      </w:rPr>
    </w:lvl>
    <w:lvl w:ilvl="8">
      <w:start w:val="1"/>
      <w:numFmt w:val="bullet"/>
      <w:lvlText w:val="▪"/>
      <w:lvlJc w:val="left"/>
      <w:pPr>
        <w:ind w:left="6120" w:firstLine="5760"/>
      </w:pPr>
      <w:rPr>
        <w:rFonts w:ascii="Arial" w:eastAsia="Arial" w:hAnsi="Arial" w:cs="Arial"/>
      </w:rPr>
    </w:lvl>
  </w:abstractNum>
  <w:abstractNum w:abstractNumId="27" w15:restartNumberingAfterBreak="0">
    <w:nsid w:val="53AC2D8E"/>
    <w:multiLevelType w:val="multilevel"/>
    <w:tmpl w:val="CF2A147C"/>
    <w:lvl w:ilvl="0">
      <w:start w:val="1"/>
      <w:numFmt w:val="bullet"/>
      <w:lvlText w:val="●"/>
      <w:lvlJc w:val="left"/>
      <w:pPr>
        <w:ind w:left="720" w:firstLine="1080"/>
      </w:pPr>
      <w:rPr>
        <w:rFonts w:ascii="Arial" w:eastAsia="Arial" w:hAnsi="Arial" w:cs="Arial"/>
        <w:u w:val="none"/>
      </w:rPr>
    </w:lvl>
    <w:lvl w:ilvl="1">
      <w:start w:val="1"/>
      <w:numFmt w:val="bullet"/>
      <w:lvlText w:val="○"/>
      <w:lvlJc w:val="left"/>
      <w:pPr>
        <w:ind w:left="1440" w:firstLine="2520"/>
      </w:pPr>
      <w:rPr>
        <w:rFonts w:ascii="Arial" w:eastAsia="Arial" w:hAnsi="Arial" w:cs="Arial"/>
        <w:u w:val="none"/>
      </w:rPr>
    </w:lvl>
    <w:lvl w:ilvl="2">
      <w:start w:val="1"/>
      <w:numFmt w:val="bullet"/>
      <w:lvlText w:val="■"/>
      <w:lvlJc w:val="left"/>
      <w:pPr>
        <w:ind w:left="2160" w:firstLine="3960"/>
      </w:pPr>
      <w:rPr>
        <w:rFonts w:ascii="Arial" w:eastAsia="Arial" w:hAnsi="Arial" w:cs="Arial"/>
        <w:u w:val="none"/>
      </w:rPr>
    </w:lvl>
    <w:lvl w:ilvl="3">
      <w:start w:val="1"/>
      <w:numFmt w:val="bullet"/>
      <w:lvlText w:val="●"/>
      <w:lvlJc w:val="left"/>
      <w:pPr>
        <w:ind w:left="2880" w:firstLine="5400"/>
      </w:pPr>
      <w:rPr>
        <w:rFonts w:ascii="Arial" w:eastAsia="Arial" w:hAnsi="Arial" w:cs="Arial"/>
        <w:u w:val="none"/>
      </w:rPr>
    </w:lvl>
    <w:lvl w:ilvl="4">
      <w:start w:val="1"/>
      <w:numFmt w:val="bullet"/>
      <w:lvlText w:val="○"/>
      <w:lvlJc w:val="left"/>
      <w:pPr>
        <w:ind w:left="3600" w:firstLine="6840"/>
      </w:pPr>
      <w:rPr>
        <w:rFonts w:ascii="Arial" w:eastAsia="Arial" w:hAnsi="Arial" w:cs="Arial"/>
        <w:u w:val="none"/>
      </w:rPr>
    </w:lvl>
    <w:lvl w:ilvl="5">
      <w:start w:val="1"/>
      <w:numFmt w:val="bullet"/>
      <w:lvlText w:val="■"/>
      <w:lvlJc w:val="left"/>
      <w:pPr>
        <w:ind w:left="4320" w:firstLine="8280"/>
      </w:pPr>
      <w:rPr>
        <w:rFonts w:ascii="Arial" w:eastAsia="Arial" w:hAnsi="Arial" w:cs="Arial"/>
        <w:u w:val="none"/>
      </w:rPr>
    </w:lvl>
    <w:lvl w:ilvl="6">
      <w:start w:val="1"/>
      <w:numFmt w:val="bullet"/>
      <w:lvlText w:val="●"/>
      <w:lvlJc w:val="left"/>
      <w:pPr>
        <w:ind w:left="5040" w:firstLine="9720"/>
      </w:pPr>
      <w:rPr>
        <w:rFonts w:ascii="Arial" w:eastAsia="Arial" w:hAnsi="Arial" w:cs="Arial"/>
        <w:u w:val="none"/>
      </w:rPr>
    </w:lvl>
    <w:lvl w:ilvl="7">
      <w:start w:val="1"/>
      <w:numFmt w:val="bullet"/>
      <w:lvlText w:val="○"/>
      <w:lvlJc w:val="left"/>
      <w:pPr>
        <w:ind w:left="5760" w:firstLine="11160"/>
      </w:pPr>
      <w:rPr>
        <w:rFonts w:ascii="Arial" w:eastAsia="Arial" w:hAnsi="Arial" w:cs="Arial"/>
        <w:u w:val="none"/>
      </w:rPr>
    </w:lvl>
    <w:lvl w:ilvl="8">
      <w:start w:val="1"/>
      <w:numFmt w:val="bullet"/>
      <w:lvlText w:val="■"/>
      <w:lvlJc w:val="left"/>
      <w:pPr>
        <w:ind w:left="6480" w:firstLine="12600"/>
      </w:pPr>
      <w:rPr>
        <w:rFonts w:ascii="Arial" w:eastAsia="Arial" w:hAnsi="Arial" w:cs="Arial"/>
        <w:u w:val="none"/>
      </w:rPr>
    </w:lvl>
  </w:abstractNum>
  <w:abstractNum w:abstractNumId="28" w15:restartNumberingAfterBreak="0">
    <w:nsid w:val="575D649C"/>
    <w:multiLevelType w:val="multilevel"/>
    <w:tmpl w:val="17B60540"/>
    <w:lvl w:ilvl="0">
      <w:start w:val="1"/>
      <w:numFmt w:val="bullet"/>
      <w:lvlText w:val="●"/>
      <w:lvlJc w:val="left"/>
      <w:pPr>
        <w:ind w:left="720" w:firstLine="360"/>
      </w:pPr>
      <w:rPr>
        <w:rFonts w:ascii="Arial" w:eastAsia="Arial" w:hAnsi="Arial" w:cs="Arial"/>
      </w:rPr>
    </w:lvl>
    <w:lvl w:ilvl="1">
      <w:start w:val="1"/>
      <w:numFmt w:val="bullet"/>
      <w:lvlText w:val="o"/>
      <w:lvlJc w:val="left"/>
      <w:pPr>
        <w:ind w:left="1440" w:firstLine="1080"/>
      </w:pPr>
      <w:rPr>
        <w:rFonts w:ascii="Arial" w:eastAsia="Arial" w:hAnsi="Arial" w:cs="Arial"/>
      </w:rPr>
    </w:lvl>
    <w:lvl w:ilvl="2">
      <w:start w:val="1"/>
      <w:numFmt w:val="bullet"/>
      <w:lvlText w:val="▪"/>
      <w:lvlJc w:val="left"/>
      <w:pPr>
        <w:ind w:left="2160" w:firstLine="1800"/>
      </w:pPr>
      <w:rPr>
        <w:rFonts w:ascii="Arial" w:eastAsia="Arial" w:hAnsi="Arial" w:cs="Arial"/>
      </w:rPr>
    </w:lvl>
    <w:lvl w:ilvl="3">
      <w:start w:val="1"/>
      <w:numFmt w:val="bullet"/>
      <w:lvlText w:val="●"/>
      <w:lvlJc w:val="left"/>
      <w:pPr>
        <w:ind w:left="2880" w:firstLine="2520"/>
      </w:pPr>
      <w:rPr>
        <w:rFonts w:ascii="Arial" w:eastAsia="Arial" w:hAnsi="Arial" w:cs="Arial"/>
      </w:rPr>
    </w:lvl>
    <w:lvl w:ilvl="4">
      <w:start w:val="1"/>
      <w:numFmt w:val="bullet"/>
      <w:lvlText w:val="o"/>
      <w:lvlJc w:val="left"/>
      <w:pPr>
        <w:ind w:left="3600" w:firstLine="3240"/>
      </w:pPr>
      <w:rPr>
        <w:rFonts w:ascii="Arial" w:eastAsia="Arial" w:hAnsi="Arial" w:cs="Arial"/>
      </w:rPr>
    </w:lvl>
    <w:lvl w:ilvl="5">
      <w:start w:val="1"/>
      <w:numFmt w:val="bullet"/>
      <w:lvlText w:val="▪"/>
      <w:lvlJc w:val="left"/>
      <w:pPr>
        <w:ind w:left="4320" w:firstLine="3960"/>
      </w:pPr>
      <w:rPr>
        <w:rFonts w:ascii="Arial" w:eastAsia="Arial" w:hAnsi="Arial" w:cs="Arial"/>
      </w:rPr>
    </w:lvl>
    <w:lvl w:ilvl="6">
      <w:start w:val="1"/>
      <w:numFmt w:val="bullet"/>
      <w:lvlText w:val="●"/>
      <w:lvlJc w:val="left"/>
      <w:pPr>
        <w:ind w:left="5040" w:firstLine="4680"/>
      </w:pPr>
      <w:rPr>
        <w:rFonts w:ascii="Arial" w:eastAsia="Arial" w:hAnsi="Arial" w:cs="Arial"/>
      </w:rPr>
    </w:lvl>
    <w:lvl w:ilvl="7">
      <w:start w:val="1"/>
      <w:numFmt w:val="bullet"/>
      <w:lvlText w:val="o"/>
      <w:lvlJc w:val="left"/>
      <w:pPr>
        <w:ind w:left="5760" w:firstLine="5400"/>
      </w:pPr>
      <w:rPr>
        <w:rFonts w:ascii="Arial" w:eastAsia="Arial" w:hAnsi="Arial" w:cs="Arial"/>
      </w:rPr>
    </w:lvl>
    <w:lvl w:ilvl="8">
      <w:start w:val="1"/>
      <w:numFmt w:val="bullet"/>
      <w:lvlText w:val="▪"/>
      <w:lvlJc w:val="left"/>
      <w:pPr>
        <w:ind w:left="6480" w:firstLine="6120"/>
      </w:pPr>
      <w:rPr>
        <w:rFonts w:ascii="Arial" w:eastAsia="Arial" w:hAnsi="Arial" w:cs="Arial"/>
      </w:rPr>
    </w:lvl>
  </w:abstractNum>
  <w:abstractNum w:abstractNumId="29" w15:restartNumberingAfterBreak="0">
    <w:nsid w:val="593A3C47"/>
    <w:multiLevelType w:val="hybridMultilevel"/>
    <w:tmpl w:val="78F60C2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619A1AC5"/>
    <w:multiLevelType w:val="multilevel"/>
    <w:tmpl w:val="544C8370"/>
    <w:lvl w:ilvl="0">
      <w:start w:val="1"/>
      <w:numFmt w:val="bullet"/>
      <w:lvlText w:val="●"/>
      <w:lvlJc w:val="left"/>
      <w:pPr>
        <w:ind w:left="720" w:firstLine="360"/>
      </w:pPr>
      <w:rPr>
        <w:rFonts w:ascii="Arial" w:eastAsia="Arial" w:hAnsi="Arial" w:cs="Arial"/>
      </w:rPr>
    </w:lvl>
    <w:lvl w:ilvl="1">
      <w:start w:val="1"/>
      <w:numFmt w:val="bullet"/>
      <w:lvlText w:val="o"/>
      <w:lvlJc w:val="left"/>
      <w:pPr>
        <w:ind w:left="1440" w:firstLine="1080"/>
      </w:pPr>
      <w:rPr>
        <w:rFonts w:ascii="Arial" w:eastAsia="Arial" w:hAnsi="Arial" w:cs="Arial"/>
      </w:rPr>
    </w:lvl>
    <w:lvl w:ilvl="2">
      <w:start w:val="1"/>
      <w:numFmt w:val="bullet"/>
      <w:lvlText w:val="▪"/>
      <w:lvlJc w:val="left"/>
      <w:pPr>
        <w:ind w:left="2160" w:firstLine="1800"/>
      </w:pPr>
      <w:rPr>
        <w:rFonts w:ascii="Arial" w:eastAsia="Arial" w:hAnsi="Arial" w:cs="Arial"/>
      </w:rPr>
    </w:lvl>
    <w:lvl w:ilvl="3">
      <w:start w:val="1"/>
      <w:numFmt w:val="bullet"/>
      <w:lvlText w:val="●"/>
      <w:lvlJc w:val="left"/>
      <w:pPr>
        <w:ind w:left="2880" w:firstLine="2520"/>
      </w:pPr>
      <w:rPr>
        <w:rFonts w:ascii="Arial" w:eastAsia="Arial" w:hAnsi="Arial" w:cs="Arial"/>
      </w:rPr>
    </w:lvl>
    <w:lvl w:ilvl="4">
      <w:start w:val="1"/>
      <w:numFmt w:val="bullet"/>
      <w:lvlText w:val="o"/>
      <w:lvlJc w:val="left"/>
      <w:pPr>
        <w:ind w:left="3600" w:firstLine="3240"/>
      </w:pPr>
      <w:rPr>
        <w:rFonts w:ascii="Arial" w:eastAsia="Arial" w:hAnsi="Arial" w:cs="Arial"/>
      </w:rPr>
    </w:lvl>
    <w:lvl w:ilvl="5">
      <w:start w:val="1"/>
      <w:numFmt w:val="bullet"/>
      <w:lvlText w:val="▪"/>
      <w:lvlJc w:val="left"/>
      <w:pPr>
        <w:ind w:left="4320" w:firstLine="3960"/>
      </w:pPr>
      <w:rPr>
        <w:rFonts w:ascii="Arial" w:eastAsia="Arial" w:hAnsi="Arial" w:cs="Arial"/>
      </w:rPr>
    </w:lvl>
    <w:lvl w:ilvl="6">
      <w:start w:val="1"/>
      <w:numFmt w:val="bullet"/>
      <w:lvlText w:val="●"/>
      <w:lvlJc w:val="left"/>
      <w:pPr>
        <w:ind w:left="5040" w:firstLine="4680"/>
      </w:pPr>
      <w:rPr>
        <w:rFonts w:ascii="Arial" w:eastAsia="Arial" w:hAnsi="Arial" w:cs="Arial"/>
      </w:rPr>
    </w:lvl>
    <w:lvl w:ilvl="7">
      <w:start w:val="1"/>
      <w:numFmt w:val="bullet"/>
      <w:lvlText w:val="o"/>
      <w:lvlJc w:val="left"/>
      <w:pPr>
        <w:ind w:left="5760" w:firstLine="5400"/>
      </w:pPr>
      <w:rPr>
        <w:rFonts w:ascii="Arial" w:eastAsia="Arial" w:hAnsi="Arial" w:cs="Arial"/>
      </w:rPr>
    </w:lvl>
    <w:lvl w:ilvl="8">
      <w:start w:val="1"/>
      <w:numFmt w:val="bullet"/>
      <w:lvlText w:val="▪"/>
      <w:lvlJc w:val="left"/>
      <w:pPr>
        <w:ind w:left="6480" w:firstLine="6120"/>
      </w:pPr>
      <w:rPr>
        <w:rFonts w:ascii="Arial" w:eastAsia="Arial" w:hAnsi="Arial" w:cs="Arial"/>
      </w:rPr>
    </w:lvl>
  </w:abstractNum>
  <w:abstractNum w:abstractNumId="31" w15:restartNumberingAfterBreak="0">
    <w:nsid w:val="627439D0"/>
    <w:multiLevelType w:val="multilevel"/>
    <w:tmpl w:val="3C841B30"/>
    <w:lvl w:ilvl="0">
      <w:start w:val="1"/>
      <w:numFmt w:val="bullet"/>
      <w:lvlText w:val="●"/>
      <w:lvlJc w:val="left"/>
      <w:pPr>
        <w:ind w:left="360" w:firstLine="0"/>
      </w:pPr>
      <w:rPr>
        <w:rFonts w:ascii="Arial" w:eastAsia="Arial" w:hAnsi="Arial" w:cs="Arial"/>
      </w:rPr>
    </w:lvl>
    <w:lvl w:ilvl="1">
      <w:start w:val="1"/>
      <w:numFmt w:val="bullet"/>
      <w:lvlText w:val="o"/>
      <w:lvlJc w:val="left"/>
      <w:pPr>
        <w:ind w:left="1080" w:firstLine="720"/>
      </w:pPr>
      <w:rPr>
        <w:rFonts w:ascii="Arial" w:eastAsia="Arial" w:hAnsi="Arial" w:cs="Arial"/>
      </w:rPr>
    </w:lvl>
    <w:lvl w:ilvl="2">
      <w:start w:val="1"/>
      <w:numFmt w:val="bullet"/>
      <w:lvlText w:val="▪"/>
      <w:lvlJc w:val="left"/>
      <w:pPr>
        <w:ind w:left="1800" w:firstLine="1440"/>
      </w:pPr>
      <w:rPr>
        <w:rFonts w:ascii="Arial" w:eastAsia="Arial" w:hAnsi="Arial" w:cs="Arial"/>
      </w:rPr>
    </w:lvl>
    <w:lvl w:ilvl="3">
      <w:start w:val="1"/>
      <w:numFmt w:val="bullet"/>
      <w:lvlText w:val="●"/>
      <w:lvlJc w:val="left"/>
      <w:pPr>
        <w:ind w:left="2520" w:firstLine="2160"/>
      </w:pPr>
      <w:rPr>
        <w:rFonts w:ascii="Arial" w:eastAsia="Arial" w:hAnsi="Arial" w:cs="Arial"/>
      </w:rPr>
    </w:lvl>
    <w:lvl w:ilvl="4">
      <w:start w:val="1"/>
      <w:numFmt w:val="bullet"/>
      <w:lvlText w:val="o"/>
      <w:lvlJc w:val="left"/>
      <w:pPr>
        <w:ind w:left="3240" w:firstLine="2880"/>
      </w:pPr>
      <w:rPr>
        <w:rFonts w:ascii="Arial" w:eastAsia="Arial" w:hAnsi="Arial" w:cs="Arial"/>
      </w:rPr>
    </w:lvl>
    <w:lvl w:ilvl="5">
      <w:start w:val="1"/>
      <w:numFmt w:val="bullet"/>
      <w:lvlText w:val="▪"/>
      <w:lvlJc w:val="left"/>
      <w:pPr>
        <w:ind w:left="3960" w:firstLine="3600"/>
      </w:pPr>
      <w:rPr>
        <w:rFonts w:ascii="Arial" w:eastAsia="Arial" w:hAnsi="Arial" w:cs="Arial"/>
      </w:rPr>
    </w:lvl>
    <w:lvl w:ilvl="6">
      <w:start w:val="1"/>
      <w:numFmt w:val="bullet"/>
      <w:lvlText w:val="●"/>
      <w:lvlJc w:val="left"/>
      <w:pPr>
        <w:ind w:left="4680" w:firstLine="4320"/>
      </w:pPr>
      <w:rPr>
        <w:rFonts w:ascii="Arial" w:eastAsia="Arial" w:hAnsi="Arial" w:cs="Arial"/>
      </w:rPr>
    </w:lvl>
    <w:lvl w:ilvl="7">
      <w:start w:val="1"/>
      <w:numFmt w:val="bullet"/>
      <w:lvlText w:val="o"/>
      <w:lvlJc w:val="left"/>
      <w:pPr>
        <w:ind w:left="5400" w:firstLine="5040"/>
      </w:pPr>
      <w:rPr>
        <w:rFonts w:ascii="Arial" w:eastAsia="Arial" w:hAnsi="Arial" w:cs="Arial"/>
      </w:rPr>
    </w:lvl>
    <w:lvl w:ilvl="8">
      <w:start w:val="1"/>
      <w:numFmt w:val="bullet"/>
      <w:lvlText w:val="▪"/>
      <w:lvlJc w:val="left"/>
      <w:pPr>
        <w:ind w:left="6120" w:firstLine="5760"/>
      </w:pPr>
      <w:rPr>
        <w:rFonts w:ascii="Arial" w:eastAsia="Arial" w:hAnsi="Arial" w:cs="Arial"/>
      </w:rPr>
    </w:lvl>
  </w:abstractNum>
  <w:abstractNum w:abstractNumId="32" w15:restartNumberingAfterBreak="0">
    <w:nsid w:val="62A21C65"/>
    <w:multiLevelType w:val="hybridMultilevel"/>
    <w:tmpl w:val="28E8A7C0"/>
    <w:lvl w:ilvl="0" w:tplc="5B846214">
      <w:numFmt w:val="bullet"/>
      <w:lvlText w:val=""/>
      <w:lvlJc w:val="left"/>
      <w:pPr>
        <w:ind w:left="720" w:hanging="360"/>
      </w:pPr>
      <w:rPr>
        <w:rFonts w:ascii="Wingdings" w:eastAsia="Calibri" w:hAnsi="Wingdings"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66A055B2"/>
    <w:multiLevelType w:val="multilevel"/>
    <w:tmpl w:val="AE72DF54"/>
    <w:lvl w:ilvl="0">
      <w:start w:val="1"/>
      <w:numFmt w:val="bullet"/>
      <w:lvlText w:val="●"/>
      <w:lvlJc w:val="left"/>
      <w:pPr>
        <w:ind w:left="720" w:firstLine="360"/>
      </w:pPr>
      <w:rPr>
        <w:rFonts w:ascii="Arial" w:eastAsia="Arial" w:hAnsi="Arial" w:cs="Arial"/>
      </w:rPr>
    </w:lvl>
    <w:lvl w:ilvl="1">
      <w:start w:val="1"/>
      <w:numFmt w:val="bullet"/>
      <w:lvlText w:val="o"/>
      <w:lvlJc w:val="left"/>
      <w:pPr>
        <w:ind w:left="1440" w:firstLine="1080"/>
      </w:pPr>
      <w:rPr>
        <w:rFonts w:ascii="Arial" w:eastAsia="Arial" w:hAnsi="Arial" w:cs="Arial"/>
      </w:rPr>
    </w:lvl>
    <w:lvl w:ilvl="2">
      <w:start w:val="1"/>
      <w:numFmt w:val="bullet"/>
      <w:lvlText w:val="▪"/>
      <w:lvlJc w:val="left"/>
      <w:pPr>
        <w:ind w:left="2160" w:firstLine="1800"/>
      </w:pPr>
      <w:rPr>
        <w:rFonts w:ascii="Arial" w:eastAsia="Arial" w:hAnsi="Arial" w:cs="Arial"/>
      </w:rPr>
    </w:lvl>
    <w:lvl w:ilvl="3">
      <w:start w:val="1"/>
      <w:numFmt w:val="bullet"/>
      <w:lvlText w:val="●"/>
      <w:lvlJc w:val="left"/>
      <w:pPr>
        <w:ind w:left="2880" w:firstLine="2520"/>
      </w:pPr>
      <w:rPr>
        <w:rFonts w:ascii="Arial" w:eastAsia="Arial" w:hAnsi="Arial" w:cs="Arial"/>
      </w:rPr>
    </w:lvl>
    <w:lvl w:ilvl="4">
      <w:start w:val="1"/>
      <w:numFmt w:val="bullet"/>
      <w:lvlText w:val="o"/>
      <w:lvlJc w:val="left"/>
      <w:pPr>
        <w:ind w:left="3600" w:firstLine="3240"/>
      </w:pPr>
      <w:rPr>
        <w:rFonts w:ascii="Arial" w:eastAsia="Arial" w:hAnsi="Arial" w:cs="Arial"/>
      </w:rPr>
    </w:lvl>
    <w:lvl w:ilvl="5">
      <w:start w:val="1"/>
      <w:numFmt w:val="bullet"/>
      <w:lvlText w:val="▪"/>
      <w:lvlJc w:val="left"/>
      <w:pPr>
        <w:ind w:left="4320" w:firstLine="3960"/>
      </w:pPr>
      <w:rPr>
        <w:rFonts w:ascii="Arial" w:eastAsia="Arial" w:hAnsi="Arial" w:cs="Arial"/>
      </w:rPr>
    </w:lvl>
    <w:lvl w:ilvl="6">
      <w:start w:val="1"/>
      <w:numFmt w:val="bullet"/>
      <w:lvlText w:val="●"/>
      <w:lvlJc w:val="left"/>
      <w:pPr>
        <w:ind w:left="5040" w:firstLine="4680"/>
      </w:pPr>
      <w:rPr>
        <w:rFonts w:ascii="Arial" w:eastAsia="Arial" w:hAnsi="Arial" w:cs="Arial"/>
      </w:rPr>
    </w:lvl>
    <w:lvl w:ilvl="7">
      <w:start w:val="1"/>
      <w:numFmt w:val="bullet"/>
      <w:lvlText w:val="o"/>
      <w:lvlJc w:val="left"/>
      <w:pPr>
        <w:ind w:left="5760" w:firstLine="5400"/>
      </w:pPr>
      <w:rPr>
        <w:rFonts w:ascii="Arial" w:eastAsia="Arial" w:hAnsi="Arial" w:cs="Arial"/>
      </w:rPr>
    </w:lvl>
    <w:lvl w:ilvl="8">
      <w:start w:val="1"/>
      <w:numFmt w:val="bullet"/>
      <w:lvlText w:val="▪"/>
      <w:lvlJc w:val="left"/>
      <w:pPr>
        <w:ind w:left="6480" w:firstLine="6120"/>
      </w:pPr>
      <w:rPr>
        <w:rFonts w:ascii="Arial" w:eastAsia="Arial" w:hAnsi="Arial" w:cs="Arial"/>
      </w:rPr>
    </w:lvl>
  </w:abstractNum>
  <w:abstractNum w:abstractNumId="34" w15:restartNumberingAfterBreak="0">
    <w:nsid w:val="68C650D9"/>
    <w:multiLevelType w:val="multilevel"/>
    <w:tmpl w:val="9D2C06EA"/>
    <w:lvl w:ilvl="0">
      <w:start w:val="1"/>
      <w:numFmt w:val="bullet"/>
      <w:lvlText w:val="●"/>
      <w:lvlJc w:val="left"/>
      <w:pPr>
        <w:ind w:left="360" w:firstLine="0"/>
      </w:pPr>
      <w:rPr>
        <w:rFonts w:ascii="Arial" w:eastAsia="Arial" w:hAnsi="Arial" w:cs="Arial"/>
      </w:rPr>
    </w:lvl>
    <w:lvl w:ilvl="1">
      <w:start w:val="1"/>
      <w:numFmt w:val="bullet"/>
      <w:lvlText w:val="o"/>
      <w:lvlJc w:val="left"/>
      <w:pPr>
        <w:ind w:left="1080" w:firstLine="720"/>
      </w:pPr>
      <w:rPr>
        <w:rFonts w:ascii="Arial" w:eastAsia="Arial" w:hAnsi="Arial" w:cs="Arial"/>
      </w:rPr>
    </w:lvl>
    <w:lvl w:ilvl="2">
      <w:start w:val="1"/>
      <w:numFmt w:val="bullet"/>
      <w:lvlText w:val="▪"/>
      <w:lvlJc w:val="left"/>
      <w:pPr>
        <w:ind w:left="1800" w:firstLine="1440"/>
      </w:pPr>
      <w:rPr>
        <w:rFonts w:ascii="Arial" w:eastAsia="Arial" w:hAnsi="Arial" w:cs="Arial"/>
      </w:rPr>
    </w:lvl>
    <w:lvl w:ilvl="3">
      <w:start w:val="1"/>
      <w:numFmt w:val="bullet"/>
      <w:lvlText w:val="●"/>
      <w:lvlJc w:val="left"/>
      <w:pPr>
        <w:ind w:left="2520" w:firstLine="2160"/>
      </w:pPr>
      <w:rPr>
        <w:rFonts w:ascii="Arial" w:eastAsia="Arial" w:hAnsi="Arial" w:cs="Arial"/>
      </w:rPr>
    </w:lvl>
    <w:lvl w:ilvl="4">
      <w:start w:val="1"/>
      <w:numFmt w:val="bullet"/>
      <w:lvlText w:val="o"/>
      <w:lvlJc w:val="left"/>
      <w:pPr>
        <w:ind w:left="3240" w:firstLine="2880"/>
      </w:pPr>
      <w:rPr>
        <w:rFonts w:ascii="Arial" w:eastAsia="Arial" w:hAnsi="Arial" w:cs="Arial"/>
      </w:rPr>
    </w:lvl>
    <w:lvl w:ilvl="5">
      <w:start w:val="1"/>
      <w:numFmt w:val="bullet"/>
      <w:lvlText w:val="▪"/>
      <w:lvlJc w:val="left"/>
      <w:pPr>
        <w:ind w:left="3960" w:firstLine="3600"/>
      </w:pPr>
      <w:rPr>
        <w:rFonts w:ascii="Arial" w:eastAsia="Arial" w:hAnsi="Arial" w:cs="Arial"/>
      </w:rPr>
    </w:lvl>
    <w:lvl w:ilvl="6">
      <w:start w:val="1"/>
      <w:numFmt w:val="bullet"/>
      <w:lvlText w:val="●"/>
      <w:lvlJc w:val="left"/>
      <w:pPr>
        <w:ind w:left="4680" w:firstLine="4320"/>
      </w:pPr>
      <w:rPr>
        <w:rFonts w:ascii="Arial" w:eastAsia="Arial" w:hAnsi="Arial" w:cs="Arial"/>
      </w:rPr>
    </w:lvl>
    <w:lvl w:ilvl="7">
      <w:start w:val="1"/>
      <w:numFmt w:val="bullet"/>
      <w:lvlText w:val="o"/>
      <w:lvlJc w:val="left"/>
      <w:pPr>
        <w:ind w:left="5400" w:firstLine="5040"/>
      </w:pPr>
      <w:rPr>
        <w:rFonts w:ascii="Arial" w:eastAsia="Arial" w:hAnsi="Arial" w:cs="Arial"/>
      </w:rPr>
    </w:lvl>
    <w:lvl w:ilvl="8">
      <w:start w:val="1"/>
      <w:numFmt w:val="bullet"/>
      <w:lvlText w:val="▪"/>
      <w:lvlJc w:val="left"/>
      <w:pPr>
        <w:ind w:left="6120" w:firstLine="5760"/>
      </w:pPr>
      <w:rPr>
        <w:rFonts w:ascii="Arial" w:eastAsia="Arial" w:hAnsi="Arial" w:cs="Arial"/>
      </w:rPr>
    </w:lvl>
  </w:abstractNum>
  <w:abstractNum w:abstractNumId="35" w15:restartNumberingAfterBreak="0">
    <w:nsid w:val="6C6F3EA7"/>
    <w:multiLevelType w:val="hybridMultilevel"/>
    <w:tmpl w:val="F0C4352E"/>
    <w:lvl w:ilvl="0" w:tplc="1FBCF516">
      <w:start w:val="2"/>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6DF632C3"/>
    <w:multiLevelType w:val="multilevel"/>
    <w:tmpl w:val="58145380"/>
    <w:lvl w:ilvl="0">
      <w:start w:val="1"/>
      <w:numFmt w:val="bullet"/>
      <w:lvlText w:val="●"/>
      <w:lvlJc w:val="left"/>
      <w:pPr>
        <w:ind w:left="360" w:firstLine="0"/>
      </w:pPr>
      <w:rPr>
        <w:rFonts w:ascii="Arial" w:eastAsia="Arial" w:hAnsi="Arial" w:cs="Arial"/>
      </w:rPr>
    </w:lvl>
    <w:lvl w:ilvl="1">
      <w:start w:val="1"/>
      <w:numFmt w:val="bullet"/>
      <w:lvlText w:val="o"/>
      <w:lvlJc w:val="left"/>
      <w:pPr>
        <w:ind w:left="1080" w:firstLine="720"/>
      </w:pPr>
      <w:rPr>
        <w:rFonts w:ascii="Arial" w:eastAsia="Arial" w:hAnsi="Arial" w:cs="Arial"/>
      </w:rPr>
    </w:lvl>
    <w:lvl w:ilvl="2">
      <w:start w:val="1"/>
      <w:numFmt w:val="bullet"/>
      <w:lvlText w:val="▪"/>
      <w:lvlJc w:val="left"/>
      <w:pPr>
        <w:ind w:left="1800" w:firstLine="1440"/>
      </w:pPr>
      <w:rPr>
        <w:rFonts w:ascii="Arial" w:eastAsia="Arial" w:hAnsi="Arial" w:cs="Arial"/>
      </w:rPr>
    </w:lvl>
    <w:lvl w:ilvl="3">
      <w:start w:val="1"/>
      <w:numFmt w:val="bullet"/>
      <w:lvlText w:val="●"/>
      <w:lvlJc w:val="left"/>
      <w:pPr>
        <w:ind w:left="2520" w:firstLine="2160"/>
      </w:pPr>
      <w:rPr>
        <w:rFonts w:ascii="Arial" w:eastAsia="Arial" w:hAnsi="Arial" w:cs="Arial"/>
      </w:rPr>
    </w:lvl>
    <w:lvl w:ilvl="4">
      <w:start w:val="1"/>
      <w:numFmt w:val="bullet"/>
      <w:lvlText w:val="o"/>
      <w:lvlJc w:val="left"/>
      <w:pPr>
        <w:ind w:left="3240" w:firstLine="2880"/>
      </w:pPr>
      <w:rPr>
        <w:rFonts w:ascii="Arial" w:eastAsia="Arial" w:hAnsi="Arial" w:cs="Arial"/>
      </w:rPr>
    </w:lvl>
    <w:lvl w:ilvl="5">
      <w:start w:val="1"/>
      <w:numFmt w:val="bullet"/>
      <w:lvlText w:val="▪"/>
      <w:lvlJc w:val="left"/>
      <w:pPr>
        <w:ind w:left="3960" w:firstLine="3600"/>
      </w:pPr>
      <w:rPr>
        <w:rFonts w:ascii="Arial" w:eastAsia="Arial" w:hAnsi="Arial" w:cs="Arial"/>
      </w:rPr>
    </w:lvl>
    <w:lvl w:ilvl="6">
      <w:start w:val="1"/>
      <w:numFmt w:val="bullet"/>
      <w:lvlText w:val="●"/>
      <w:lvlJc w:val="left"/>
      <w:pPr>
        <w:ind w:left="4680" w:firstLine="4320"/>
      </w:pPr>
      <w:rPr>
        <w:rFonts w:ascii="Arial" w:eastAsia="Arial" w:hAnsi="Arial" w:cs="Arial"/>
      </w:rPr>
    </w:lvl>
    <w:lvl w:ilvl="7">
      <w:start w:val="1"/>
      <w:numFmt w:val="bullet"/>
      <w:lvlText w:val="o"/>
      <w:lvlJc w:val="left"/>
      <w:pPr>
        <w:ind w:left="5400" w:firstLine="5040"/>
      </w:pPr>
      <w:rPr>
        <w:rFonts w:ascii="Arial" w:eastAsia="Arial" w:hAnsi="Arial" w:cs="Arial"/>
      </w:rPr>
    </w:lvl>
    <w:lvl w:ilvl="8">
      <w:start w:val="1"/>
      <w:numFmt w:val="bullet"/>
      <w:lvlText w:val="▪"/>
      <w:lvlJc w:val="left"/>
      <w:pPr>
        <w:ind w:left="6120" w:firstLine="5760"/>
      </w:pPr>
      <w:rPr>
        <w:rFonts w:ascii="Arial" w:eastAsia="Arial" w:hAnsi="Arial" w:cs="Arial"/>
      </w:rPr>
    </w:lvl>
  </w:abstractNum>
  <w:abstractNum w:abstractNumId="37" w15:restartNumberingAfterBreak="0">
    <w:nsid w:val="6E6B43E6"/>
    <w:multiLevelType w:val="multilevel"/>
    <w:tmpl w:val="2C701298"/>
    <w:lvl w:ilvl="0">
      <w:start w:val="1"/>
      <w:numFmt w:val="decimal"/>
      <w:lvlText w:val="%1."/>
      <w:lvlJc w:val="left"/>
      <w:pPr>
        <w:ind w:left="720" w:firstLine="360"/>
      </w:pPr>
    </w:lvl>
    <w:lvl w:ilvl="1">
      <w:start w:val="1"/>
      <w:numFmt w:val="lowerLetter"/>
      <w:lvlText w:val="%2."/>
      <w:lvlJc w:val="left"/>
      <w:pPr>
        <w:ind w:left="1440" w:firstLine="1080"/>
      </w:pPr>
    </w:lvl>
    <w:lvl w:ilvl="2">
      <w:start w:val="1"/>
      <w:numFmt w:val="lowerRoman"/>
      <w:lvlText w:val="%3."/>
      <w:lvlJc w:val="right"/>
      <w:pPr>
        <w:ind w:left="2160" w:firstLine="1980"/>
      </w:pPr>
    </w:lvl>
    <w:lvl w:ilvl="3">
      <w:start w:val="1"/>
      <w:numFmt w:val="decimal"/>
      <w:lvlText w:val="%4."/>
      <w:lvlJc w:val="left"/>
      <w:pPr>
        <w:ind w:left="2880" w:firstLine="2520"/>
      </w:pPr>
    </w:lvl>
    <w:lvl w:ilvl="4">
      <w:start w:val="1"/>
      <w:numFmt w:val="lowerLetter"/>
      <w:lvlText w:val="%5."/>
      <w:lvlJc w:val="left"/>
      <w:pPr>
        <w:ind w:left="3600" w:firstLine="3240"/>
      </w:pPr>
    </w:lvl>
    <w:lvl w:ilvl="5">
      <w:start w:val="1"/>
      <w:numFmt w:val="lowerRoman"/>
      <w:lvlText w:val="%6."/>
      <w:lvlJc w:val="right"/>
      <w:pPr>
        <w:ind w:left="4320" w:firstLine="4140"/>
      </w:pPr>
    </w:lvl>
    <w:lvl w:ilvl="6">
      <w:start w:val="1"/>
      <w:numFmt w:val="decimal"/>
      <w:lvlText w:val="%7."/>
      <w:lvlJc w:val="left"/>
      <w:pPr>
        <w:ind w:left="5040" w:firstLine="4680"/>
      </w:pPr>
    </w:lvl>
    <w:lvl w:ilvl="7">
      <w:start w:val="1"/>
      <w:numFmt w:val="lowerLetter"/>
      <w:lvlText w:val="%8."/>
      <w:lvlJc w:val="left"/>
      <w:pPr>
        <w:ind w:left="5760" w:firstLine="5400"/>
      </w:pPr>
    </w:lvl>
    <w:lvl w:ilvl="8">
      <w:start w:val="1"/>
      <w:numFmt w:val="lowerRoman"/>
      <w:lvlText w:val="%9."/>
      <w:lvlJc w:val="right"/>
      <w:pPr>
        <w:ind w:left="6480" w:firstLine="6300"/>
      </w:pPr>
    </w:lvl>
  </w:abstractNum>
  <w:abstractNum w:abstractNumId="38" w15:restartNumberingAfterBreak="0">
    <w:nsid w:val="6E836A45"/>
    <w:multiLevelType w:val="multilevel"/>
    <w:tmpl w:val="46F47E36"/>
    <w:lvl w:ilvl="0">
      <w:start w:val="1"/>
      <w:numFmt w:val="bullet"/>
      <w:lvlText w:val="●"/>
      <w:lvlJc w:val="left"/>
      <w:pPr>
        <w:ind w:left="720" w:firstLine="360"/>
      </w:pPr>
      <w:rPr>
        <w:rFonts w:ascii="Arial" w:eastAsia="Arial" w:hAnsi="Arial" w:cs="Arial"/>
      </w:rPr>
    </w:lvl>
    <w:lvl w:ilvl="1">
      <w:start w:val="1"/>
      <w:numFmt w:val="bullet"/>
      <w:lvlText w:val="o"/>
      <w:lvlJc w:val="left"/>
      <w:pPr>
        <w:ind w:left="1440" w:firstLine="1080"/>
      </w:pPr>
      <w:rPr>
        <w:rFonts w:ascii="Arial" w:eastAsia="Arial" w:hAnsi="Arial" w:cs="Arial"/>
      </w:rPr>
    </w:lvl>
    <w:lvl w:ilvl="2">
      <w:start w:val="1"/>
      <w:numFmt w:val="bullet"/>
      <w:lvlText w:val="▪"/>
      <w:lvlJc w:val="left"/>
      <w:pPr>
        <w:ind w:left="2160" w:firstLine="1800"/>
      </w:pPr>
      <w:rPr>
        <w:rFonts w:ascii="Arial" w:eastAsia="Arial" w:hAnsi="Arial" w:cs="Arial"/>
      </w:rPr>
    </w:lvl>
    <w:lvl w:ilvl="3">
      <w:start w:val="1"/>
      <w:numFmt w:val="bullet"/>
      <w:lvlText w:val="●"/>
      <w:lvlJc w:val="left"/>
      <w:pPr>
        <w:ind w:left="2880" w:firstLine="2520"/>
      </w:pPr>
      <w:rPr>
        <w:rFonts w:ascii="Arial" w:eastAsia="Arial" w:hAnsi="Arial" w:cs="Arial"/>
      </w:rPr>
    </w:lvl>
    <w:lvl w:ilvl="4">
      <w:start w:val="1"/>
      <w:numFmt w:val="bullet"/>
      <w:lvlText w:val="o"/>
      <w:lvlJc w:val="left"/>
      <w:pPr>
        <w:ind w:left="3600" w:firstLine="3240"/>
      </w:pPr>
      <w:rPr>
        <w:rFonts w:ascii="Arial" w:eastAsia="Arial" w:hAnsi="Arial" w:cs="Arial"/>
      </w:rPr>
    </w:lvl>
    <w:lvl w:ilvl="5">
      <w:start w:val="1"/>
      <w:numFmt w:val="bullet"/>
      <w:lvlText w:val="▪"/>
      <w:lvlJc w:val="left"/>
      <w:pPr>
        <w:ind w:left="4320" w:firstLine="3960"/>
      </w:pPr>
      <w:rPr>
        <w:rFonts w:ascii="Arial" w:eastAsia="Arial" w:hAnsi="Arial" w:cs="Arial"/>
      </w:rPr>
    </w:lvl>
    <w:lvl w:ilvl="6">
      <w:start w:val="1"/>
      <w:numFmt w:val="bullet"/>
      <w:lvlText w:val="●"/>
      <w:lvlJc w:val="left"/>
      <w:pPr>
        <w:ind w:left="5040" w:firstLine="4680"/>
      </w:pPr>
      <w:rPr>
        <w:rFonts w:ascii="Arial" w:eastAsia="Arial" w:hAnsi="Arial" w:cs="Arial"/>
      </w:rPr>
    </w:lvl>
    <w:lvl w:ilvl="7">
      <w:start w:val="1"/>
      <w:numFmt w:val="bullet"/>
      <w:lvlText w:val="o"/>
      <w:lvlJc w:val="left"/>
      <w:pPr>
        <w:ind w:left="5760" w:firstLine="5400"/>
      </w:pPr>
      <w:rPr>
        <w:rFonts w:ascii="Arial" w:eastAsia="Arial" w:hAnsi="Arial" w:cs="Arial"/>
      </w:rPr>
    </w:lvl>
    <w:lvl w:ilvl="8">
      <w:start w:val="1"/>
      <w:numFmt w:val="bullet"/>
      <w:lvlText w:val="▪"/>
      <w:lvlJc w:val="left"/>
      <w:pPr>
        <w:ind w:left="6480" w:firstLine="6120"/>
      </w:pPr>
      <w:rPr>
        <w:rFonts w:ascii="Arial" w:eastAsia="Arial" w:hAnsi="Arial" w:cs="Arial"/>
      </w:rPr>
    </w:lvl>
  </w:abstractNum>
  <w:abstractNum w:abstractNumId="39" w15:restartNumberingAfterBreak="0">
    <w:nsid w:val="7028024A"/>
    <w:multiLevelType w:val="multilevel"/>
    <w:tmpl w:val="09F42910"/>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40" w15:restartNumberingAfterBreak="0">
    <w:nsid w:val="730016AE"/>
    <w:multiLevelType w:val="multilevel"/>
    <w:tmpl w:val="A308F48C"/>
    <w:lvl w:ilvl="0">
      <w:start w:val="1"/>
      <w:numFmt w:val="bullet"/>
      <w:lvlText w:val="●"/>
      <w:lvlJc w:val="left"/>
      <w:pPr>
        <w:ind w:left="720" w:firstLine="1080"/>
      </w:pPr>
      <w:rPr>
        <w:rFonts w:ascii="Arial" w:eastAsia="Arial" w:hAnsi="Arial" w:cs="Arial"/>
        <w:u w:val="none"/>
      </w:rPr>
    </w:lvl>
    <w:lvl w:ilvl="1">
      <w:start w:val="1"/>
      <w:numFmt w:val="bullet"/>
      <w:lvlText w:val="○"/>
      <w:lvlJc w:val="left"/>
      <w:pPr>
        <w:ind w:left="1440" w:firstLine="2520"/>
      </w:pPr>
      <w:rPr>
        <w:rFonts w:ascii="Arial" w:eastAsia="Arial" w:hAnsi="Arial" w:cs="Arial"/>
        <w:u w:val="none"/>
      </w:rPr>
    </w:lvl>
    <w:lvl w:ilvl="2">
      <w:start w:val="1"/>
      <w:numFmt w:val="bullet"/>
      <w:lvlText w:val="■"/>
      <w:lvlJc w:val="left"/>
      <w:pPr>
        <w:ind w:left="2160" w:firstLine="3960"/>
      </w:pPr>
      <w:rPr>
        <w:rFonts w:ascii="Arial" w:eastAsia="Arial" w:hAnsi="Arial" w:cs="Arial"/>
        <w:u w:val="none"/>
      </w:rPr>
    </w:lvl>
    <w:lvl w:ilvl="3">
      <w:start w:val="1"/>
      <w:numFmt w:val="bullet"/>
      <w:lvlText w:val="●"/>
      <w:lvlJc w:val="left"/>
      <w:pPr>
        <w:ind w:left="2880" w:firstLine="5400"/>
      </w:pPr>
      <w:rPr>
        <w:rFonts w:ascii="Arial" w:eastAsia="Arial" w:hAnsi="Arial" w:cs="Arial"/>
        <w:u w:val="none"/>
      </w:rPr>
    </w:lvl>
    <w:lvl w:ilvl="4">
      <w:start w:val="1"/>
      <w:numFmt w:val="bullet"/>
      <w:lvlText w:val="○"/>
      <w:lvlJc w:val="left"/>
      <w:pPr>
        <w:ind w:left="3600" w:firstLine="6840"/>
      </w:pPr>
      <w:rPr>
        <w:rFonts w:ascii="Arial" w:eastAsia="Arial" w:hAnsi="Arial" w:cs="Arial"/>
        <w:u w:val="none"/>
      </w:rPr>
    </w:lvl>
    <w:lvl w:ilvl="5">
      <w:start w:val="1"/>
      <w:numFmt w:val="bullet"/>
      <w:lvlText w:val="■"/>
      <w:lvlJc w:val="left"/>
      <w:pPr>
        <w:ind w:left="4320" w:firstLine="8280"/>
      </w:pPr>
      <w:rPr>
        <w:rFonts w:ascii="Arial" w:eastAsia="Arial" w:hAnsi="Arial" w:cs="Arial"/>
        <w:u w:val="none"/>
      </w:rPr>
    </w:lvl>
    <w:lvl w:ilvl="6">
      <w:start w:val="1"/>
      <w:numFmt w:val="bullet"/>
      <w:lvlText w:val="●"/>
      <w:lvlJc w:val="left"/>
      <w:pPr>
        <w:ind w:left="5040" w:firstLine="9720"/>
      </w:pPr>
      <w:rPr>
        <w:rFonts w:ascii="Arial" w:eastAsia="Arial" w:hAnsi="Arial" w:cs="Arial"/>
        <w:u w:val="none"/>
      </w:rPr>
    </w:lvl>
    <w:lvl w:ilvl="7">
      <w:start w:val="1"/>
      <w:numFmt w:val="bullet"/>
      <w:lvlText w:val="○"/>
      <w:lvlJc w:val="left"/>
      <w:pPr>
        <w:ind w:left="5760" w:firstLine="11160"/>
      </w:pPr>
      <w:rPr>
        <w:rFonts w:ascii="Arial" w:eastAsia="Arial" w:hAnsi="Arial" w:cs="Arial"/>
        <w:u w:val="none"/>
      </w:rPr>
    </w:lvl>
    <w:lvl w:ilvl="8">
      <w:start w:val="1"/>
      <w:numFmt w:val="bullet"/>
      <w:lvlText w:val="■"/>
      <w:lvlJc w:val="left"/>
      <w:pPr>
        <w:ind w:left="6480" w:firstLine="12600"/>
      </w:pPr>
      <w:rPr>
        <w:rFonts w:ascii="Arial" w:eastAsia="Arial" w:hAnsi="Arial" w:cs="Arial"/>
        <w:u w:val="none"/>
      </w:rPr>
    </w:lvl>
  </w:abstractNum>
  <w:abstractNum w:abstractNumId="41" w15:restartNumberingAfterBreak="0">
    <w:nsid w:val="736D7E9A"/>
    <w:multiLevelType w:val="multilevel"/>
    <w:tmpl w:val="61B4AB16"/>
    <w:lvl w:ilvl="0">
      <w:start w:val="1"/>
      <w:numFmt w:val="decimal"/>
      <w:lvlText w:val="%1."/>
      <w:lvlJc w:val="left"/>
      <w:pPr>
        <w:ind w:left="720" w:firstLine="360"/>
      </w:pPr>
    </w:lvl>
    <w:lvl w:ilvl="1">
      <w:start w:val="1"/>
      <w:numFmt w:val="lowerLetter"/>
      <w:lvlText w:val="%2."/>
      <w:lvlJc w:val="left"/>
      <w:pPr>
        <w:ind w:left="1440" w:firstLine="1080"/>
      </w:pPr>
    </w:lvl>
    <w:lvl w:ilvl="2">
      <w:start w:val="1"/>
      <w:numFmt w:val="lowerRoman"/>
      <w:lvlText w:val="%3."/>
      <w:lvlJc w:val="right"/>
      <w:pPr>
        <w:ind w:left="2160" w:firstLine="1980"/>
      </w:pPr>
    </w:lvl>
    <w:lvl w:ilvl="3">
      <w:start w:val="1"/>
      <w:numFmt w:val="decimal"/>
      <w:lvlText w:val="%4."/>
      <w:lvlJc w:val="left"/>
      <w:pPr>
        <w:ind w:left="2880" w:firstLine="2520"/>
      </w:pPr>
    </w:lvl>
    <w:lvl w:ilvl="4">
      <w:start w:val="1"/>
      <w:numFmt w:val="lowerLetter"/>
      <w:lvlText w:val="%5."/>
      <w:lvlJc w:val="left"/>
      <w:pPr>
        <w:ind w:left="3600" w:firstLine="3240"/>
      </w:pPr>
    </w:lvl>
    <w:lvl w:ilvl="5">
      <w:start w:val="1"/>
      <w:numFmt w:val="lowerRoman"/>
      <w:lvlText w:val="%6."/>
      <w:lvlJc w:val="right"/>
      <w:pPr>
        <w:ind w:left="4320" w:firstLine="4140"/>
      </w:pPr>
    </w:lvl>
    <w:lvl w:ilvl="6">
      <w:start w:val="1"/>
      <w:numFmt w:val="decimal"/>
      <w:lvlText w:val="%7."/>
      <w:lvlJc w:val="left"/>
      <w:pPr>
        <w:ind w:left="5040" w:firstLine="4680"/>
      </w:pPr>
    </w:lvl>
    <w:lvl w:ilvl="7">
      <w:start w:val="1"/>
      <w:numFmt w:val="lowerLetter"/>
      <w:lvlText w:val="%8."/>
      <w:lvlJc w:val="left"/>
      <w:pPr>
        <w:ind w:left="5760" w:firstLine="5400"/>
      </w:pPr>
    </w:lvl>
    <w:lvl w:ilvl="8">
      <w:start w:val="1"/>
      <w:numFmt w:val="lowerRoman"/>
      <w:lvlText w:val="%9."/>
      <w:lvlJc w:val="right"/>
      <w:pPr>
        <w:ind w:left="6480" w:firstLine="6300"/>
      </w:pPr>
    </w:lvl>
  </w:abstractNum>
  <w:abstractNum w:abstractNumId="42" w15:restartNumberingAfterBreak="0">
    <w:nsid w:val="764D2CC4"/>
    <w:multiLevelType w:val="multilevel"/>
    <w:tmpl w:val="3AE84EA0"/>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43" w15:restartNumberingAfterBreak="0">
    <w:nsid w:val="764F1545"/>
    <w:multiLevelType w:val="multilevel"/>
    <w:tmpl w:val="3FA87FDE"/>
    <w:lvl w:ilvl="0">
      <w:start w:val="1"/>
      <w:numFmt w:val="bullet"/>
      <w:lvlText w:val="●"/>
      <w:lvlJc w:val="left"/>
      <w:pPr>
        <w:ind w:left="360" w:firstLine="0"/>
      </w:pPr>
      <w:rPr>
        <w:rFonts w:ascii="Arial" w:eastAsia="Arial" w:hAnsi="Arial" w:cs="Arial"/>
      </w:rPr>
    </w:lvl>
    <w:lvl w:ilvl="1">
      <w:start w:val="1"/>
      <w:numFmt w:val="bullet"/>
      <w:lvlText w:val="o"/>
      <w:lvlJc w:val="left"/>
      <w:pPr>
        <w:ind w:left="1080" w:firstLine="720"/>
      </w:pPr>
      <w:rPr>
        <w:rFonts w:ascii="Arial" w:eastAsia="Arial" w:hAnsi="Arial" w:cs="Arial"/>
      </w:rPr>
    </w:lvl>
    <w:lvl w:ilvl="2">
      <w:start w:val="1"/>
      <w:numFmt w:val="bullet"/>
      <w:lvlText w:val="▪"/>
      <w:lvlJc w:val="left"/>
      <w:pPr>
        <w:ind w:left="1800" w:firstLine="1440"/>
      </w:pPr>
      <w:rPr>
        <w:rFonts w:ascii="Arial" w:eastAsia="Arial" w:hAnsi="Arial" w:cs="Arial"/>
      </w:rPr>
    </w:lvl>
    <w:lvl w:ilvl="3">
      <w:start w:val="1"/>
      <w:numFmt w:val="bullet"/>
      <w:lvlText w:val="●"/>
      <w:lvlJc w:val="left"/>
      <w:pPr>
        <w:ind w:left="2520" w:firstLine="2160"/>
      </w:pPr>
      <w:rPr>
        <w:rFonts w:ascii="Arial" w:eastAsia="Arial" w:hAnsi="Arial" w:cs="Arial"/>
      </w:rPr>
    </w:lvl>
    <w:lvl w:ilvl="4">
      <w:start w:val="1"/>
      <w:numFmt w:val="bullet"/>
      <w:lvlText w:val="o"/>
      <w:lvlJc w:val="left"/>
      <w:pPr>
        <w:ind w:left="3240" w:firstLine="2880"/>
      </w:pPr>
      <w:rPr>
        <w:rFonts w:ascii="Arial" w:eastAsia="Arial" w:hAnsi="Arial" w:cs="Arial"/>
      </w:rPr>
    </w:lvl>
    <w:lvl w:ilvl="5">
      <w:start w:val="1"/>
      <w:numFmt w:val="bullet"/>
      <w:lvlText w:val="▪"/>
      <w:lvlJc w:val="left"/>
      <w:pPr>
        <w:ind w:left="3960" w:firstLine="3600"/>
      </w:pPr>
      <w:rPr>
        <w:rFonts w:ascii="Arial" w:eastAsia="Arial" w:hAnsi="Arial" w:cs="Arial"/>
      </w:rPr>
    </w:lvl>
    <w:lvl w:ilvl="6">
      <w:start w:val="1"/>
      <w:numFmt w:val="bullet"/>
      <w:lvlText w:val="●"/>
      <w:lvlJc w:val="left"/>
      <w:pPr>
        <w:ind w:left="4680" w:firstLine="4320"/>
      </w:pPr>
      <w:rPr>
        <w:rFonts w:ascii="Arial" w:eastAsia="Arial" w:hAnsi="Arial" w:cs="Arial"/>
      </w:rPr>
    </w:lvl>
    <w:lvl w:ilvl="7">
      <w:start w:val="1"/>
      <w:numFmt w:val="bullet"/>
      <w:lvlText w:val="o"/>
      <w:lvlJc w:val="left"/>
      <w:pPr>
        <w:ind w:left="5400" w:firstLine="5040"/>
      </w:pPr>
      <w:rPr>
        <w:rFonts w:ascii="Arial" w:eastAsia="Arial" w:hAnsi="Arial" w:cs="Arial"/>
      </w:rPr>
    </w:lvl>
    <w:lvl w:ilvl="8">
      <w:start w:val="1"/>
      <w:numFmt w:val="bullet"/>
      <w:lvlText w:val="▪"/>
      <w:lvlJc w:val="left"/>
      <w:pPr>
        <w:ind w:left="6120" w:firstLine="5760"/>
      </w:pPr>
      <w:rPr>
        <w:rFonts w:ascii="Arial" w:eastAsia="Arial" w:hAnsi="Arial" w:cs="Arial"/>
      </w:rPr>
    </w:lvl>
  </w:abstractNum>
  <w:abstractNum w:abstractNumId="44" w15:restartNumberingAfterBreak="0">
    <w:nsid w:val="7CAA4731"/>
    <w:multiLevelType w:val="multilevel"/>
    <w:tmpl w:val="D048ECC0"/>
    <w:lvl w:ilvl="0">
      <w:start w:val="1"/>
      <w:numFmt w:val="bullet"/>
      <w:lvlText w:val="●"/>
      <w:lvlJc w:val="left"/>
      <w:pPr>
        <w:ind w:left="720" w:firstLine="1080"/>
      </w:pPr>
      <w:rPr>
        <w:rFonts w:ascii="Arial" w:eastAsia="Arial" w:hAnsi="Arial" w:cs="Arial"/>
        <w:u w:val="none"/>
      </w:rPr>
    </w:lvl>
    <w:lvl w:ilvl="1">
      <w:start w:val="1"/>
      <w:numFmt w:val="bullet"/>
      <w:lvlText w:val="○"/>
      <w:lvlJc w:val="left"/>
      <w:pPr>
        <w:ind w:left="1440" w:firstLine="2520"/>
      </w:pPr>
      <w:rPr>
        <w:rFonts w:ascii="Arial" w:eastAsia="Arial" w:hAnsi="Arial" w:cs="Arial"/>
        <w:u w:val="none"/>
      </w:rPr>
    </w:lvl>
    <w:lvl w:ilvl="2">
      <w:start w:val="1"/>
      <w:numFmt w:val="bullet"/>
      <w:lvlText w:val="■"/>
      <w:lvlJc w:val="left"/>
      <w:pPr>
        <w:ind w:left="2160" w:firstLine="3960"/>
      </w:pPr>
      <w:rPr>
        <w:rFonts w:ascii="Arial" w:eastAsia="Arial" w:hAnsi="Arial" w:cs="Arial"/>
        <w:u w:val="none"/>
      </w:rPr>
    </w:lvl>
    <w:lvl w:ilvl="3">
      <w:start w:val="1"/>
      <w:numFmt w:val="bullet"/>
      <w:lvlText w:val="●"/>
      <w:lvlJc w:val="left"/>
      <w:pPr>
        <w:ind w:left="2880" w:firstLine="5400"/>
      </w:pPr>
      <w:rPr>
        <w:rFonts w:ascii="Arial" w:eastAsia="Arial" w:hAnsi="Arial" w:cs="Arial"/>
        <w:u w:val="none"/>
      </w:rPr>
    </w:lvl>
    <w:lvl w:ilvl="4">
      <w:start w:val="1"/>
      <w:numFmt w:val="bullet"/>
      <w:lvlText w:val="○"/>
      <w:lvlJc w:val="left"/>
      <w:pPr>
        <w:ind w:left="3600" w:firstLine="6840"/>
      </w:pPr>
      <w:rPr>
        <w:rFonts w:ascii="Arial" w:eastAsia="Arial" w:hAnsi="Arial" w:cs="Arial"/>
        <w:u w:val="none"/>
      </w:rPr>
    </w:lvl>
    <w:lvl w:ilvl="5">
      <w:start w:val="1"/>
      <w:numFmt w:val="bullet"/>
      <w:lvlText w:val="■"/>
      <w:lvlJc w:val="left"/>
      <w:pPr>
        <w:ind w:left="4320" w:firstLine="8280"/>
      </w:pPr>
      <w:rPr>
        <w:rFonts w:ascii="Arial" w:eastAsia="Arial" w:hAnsi="Arial" w:cs="Arial"/>
        <w:u w:val="none"/>
      </w:rPr>
    </w:lvl>
    <w:lvl w:ilvl="6">
      <w:start w:val="1"/>
      <w:numFmt w:val="bullet"/>
      <w:lvlText w:val="●"/>
      <w:lvlJc w:val="left"/>
      <w:pPr>
        <w:ind w:left="5040" w:firstLine="9720"/>
      </w:pPr>
      <w:rPr>
        <w:rFonts w:ascii="Arial" w:eastAsia="Arial" w:hAnsi="Arial" w:cs="Arial"/>
        <w:u w:val="none"/>
      </w:rPr>
    </w:lvl>
    <w:lvl w:ilvl="7">
      <w:start w:val="1"/>
      <w:numFmt w:val="bullet"/>
      <w:lvlText w:val="○"/>
      <w:lvlJc w:val="left"/>
      <w:pPr>
        <w:ind w:left="5760" w:firstLine="11160"/>
      </w:pPr>
      <w:rPr>
        <w:rFonts w:ascii="Arial" w:eastAsia="Arial" w:hAnsi="Arial" w:cs="Arial"/>
        <w:u w:val="none"/>
      </w:rPr>
    </w:lvl>
    <w:lvl w:ilvl="8">
      <w:start w:val="1"/>
      <w:numFmt w:val="bullet"/>
      <w:lvlText w:val="■"/>
      <w:lvlJc w:val="left"/>
      <w:pPr>
        <w:ind w:left="6480" w:firstLine="12600"/>
      </w:pPr>
      <w:rPr>
        <w:rFonts w:ascii="Arial" w:eastAsia="Arial" w:hAnsi="Arial" w:cs="Arial"/>
        <w:u w:val="none"/>
      </w:rPr>
    </w:lvl>
  </w:abstractNum>
  <w:abstractNum w:abstractNumId="45" w15:restartNumberingAfterBreak="0">
    <w:nsid w:val="7D167A69"/>
    <w:multiLevelType w:val="multilevel"/>
    <w:tmpl w:val="9F368302"/>
    <w:lvl w:ilvl="0">
      <w:start w:val="1"/>
      <w:numFmt w:val="bullet"/>
      <w:lvlText w:val="●"/>
      <w:lvlJc w:val="left"/>
      <w:pPr>
        <w:ind w:left="720" w:firstLine="360"/>
      </w:pPr>
      <w:rPr>
        <w:rFonts w:ascii="Arial" w:eastAsia="Arial" w:hAnsi="Arial" w:cs="Arial"/>
      </w:rPr>
    </w:lvl>
    <w:lvl w:ilvl="1">
      <w:start w:val="1"/>
      <w:numFmt w:val="bullet"/>
      <w:lvlText w:val="o"/>
      <w:lvlJc w:val="left"/>
      <w:pPr>
        <w:ind w:left="1440" w:firstLine="1080"/>
      </w:pPr>
      <w:rPr>
        <w:rFonts w:ascii="Arial" w:eastAsia="Arial" w:hAnsi="Arial" w:cs="Arial"/>
      </w:rPr>
    </w:lvl>
    <w:lvl w:ilvl="2">
      <w:start w:val="1"/>
      <w:numFmt w:val="bullet"/>
      <w:lvlText w:val="▪"/>
      <w:lvlJc w:val="left"/>
      <w:pPr>
        <w:ind w:left="2160" w:firstLine="1800"/>
      </w:pPr>
      <w:rPr>
        <w:rFonts w:ascii="Arial" w:eastAsia="Arial" w:hAnsi="Arial" w:cs="Arial"/>
      </w:rPr>
    </w:lvl>
    <w:lvl w:ilvl="3">
      <w:start w:val="1"/>
      <w:numFmt w:val="bullet"/>
      <w:lvlText w:val="●"/>
      <w:lvlJc w:val="left"/>
      <w:pPr>
        <w:ind w:left="2880" w:firstLine="2520"/>
      </w:pPr>
      <w:rPr>
        <w:rFonts w:ascii="Arial" w:eastAsia="Arial" w:hAnsi="Arial" w:cs="Arial"/>
      </w:rPr>
    </w:lvl>
    <w:lvl w:ilvl="4">
      <w:start w:val="1"/>
      <w:numFmt w:val="bullet"/>
      <w:lvlText w:val="o"/>
      <w:lvlJc w:val="left"/>
      <w:pPr>
        <w:ind w:left="3600" w:firstLine="3240"/>
      </w:pPr>
      <w:rPr>
        <w:rFonts w:ascii="Arial" w:eastAsia="Arial" w:hAnsi="Arial" w:cs="Arial"/>
      </w:rPr>
    </w:lvl>
    <w:lvl w:ilvl="5">
      <w:start w:val="1"/>
      <w:numFmt w:val="bullet"/>
      <w:lvlText w:val="▪"/>
      <w:lvlJc w:val="left"/>
      <w:pPr>
        <w:ind w:left="4320" w:firstLine="3960"/>
      </w:pPr>
      <w:rPr>
        <w:rFonts w:ascii="Arial" w:eastAsia="Arial" w:hAnsi="Arial" w:cs="Arial"/>
      </w:rPr>
    </w:lvl>
    <w:lvl w:ilvl="6">
      <w:start w:val="1"/>
      <w:numFmt w:val="bullet"/>
      <w:lvlText w:val="●"/>
      <w:lvlJc w:val="left"/>
      <w:pPr>
        <w:ind w:left="5040" w:firstLine="4680"/>
      </w:pPr>
      <w:rPr>
        <w:rFonts w:ascii="Arial" w:eastAsia="Arial" w:hAnsi="Arial" w:cs="Arial"/>
      </w:rPr>
    </w:lvl>
    <w:lvl w:ilvl="7">
      <w:start w:val="1"/>
      <w:numFmt w:val="bullet"/>
      <w:lvlText w:val="o"/>
      <w:lvlJc w:val="left"/>
      <w:pPr>
        <w:ind w:left="5760" w:firstLine="5400"/>
      </w:pPr>
      <w:rPr>
        <w:rFonts w:ascii="Arial" w:eastAsia="Arial" w:hAnsi="Arial" w:cs="Arial"/>
      </w:rPr>
    </w:lvl>
    <w:lvl w:ilvl="8">
      <w:start w:val="1"/>
      <w:numFmt w:val="bullet"/>
      <w:lvlText w:val="▪"/>
      <w:lvlJc w:val="left"/>
      <w:pPr>
        <w:ind w:left="6480" w:firstLine="6120"/>
      </w:pPr>
      <w:rPr>
        <w:rFonts w:ascii="Arial" w:eastAsia="Arial" w:hAnsi="Arial" w:cs="Arial"/>
      </w:rPr>
    </w:lvl>
  </w:abstractNum>
  <w:abstractNum w:abstractNumId="46" w15:restartNumberingAfterBreak="0">
    <w:nsid w:val="7FDA3402"/>
    <w:multiLevelType w:val="hybridMultilevel"/>
    <w:tmpl w:val="66A8B524"/>
    <w:lvl w:ilvl="0" w:tplc="04090019">
      <w:start w:val="1"/>
      <w:numFmt w:val="lowerLetter"/>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8"/>
  </w:num>
  <w:num w:numId="2">
    <w:abstractNumId w:val="27"/>
  </w:num>
  <w:num w:numId="3">
    <w:abstractNumId w:val="16"/>
  </w:num>
  <w:num w:numId="4">
    <w:abstractNumId w:val="9"/>
  </w:num>
  <w:num w:numId="5">
    <w:abstractNumId w:val="44"/>
  </w:num>
  <w:num w:numId="6">
    <w:abstractNumId w:val="13"/>
  </w:num>
  <w:num w:numId="7">
    <w:abstractNumId w:val="15"/>
  </w:num>
  <w:num w:numId="8">
    <w:abstractNumId w:val="11"/>
  </w:num>
  <w:num w:numId="9">
    <w:abstractNumId w:val="19"/>
  </w:num>
  <w:num w:numId="10">
    <w:abstractNumId w:val="21"/>
  </w:num>
  <w:num w:numId="11">
    <w:abstractNumId w:val="40"/>
  </w:num>
  <w:num w:numId="12">
    <w:abstractNumId w:val="17"/>
  </w:num>
  <w:num w:numId="13">
    <w:abstractNumId w:val="20"/>
  </w:num>
  <w:num w:numId="14">
    <w:abstractNumId w:val="22"/>
  </w:num>
  <w:num w:numId="15">
    <w:abstractNumId w:val="45"/>
  </w:num>
  <w:num w:numId="16">
    <w:abstractNumId w:val="12"/>
  </w:num>
  <w:num w:numId="17">
    <w:abstractNumId w:val="36"/>
  </w:num>
  <w:num w:numId="18">
    <w:abstractNumId w:val="25"/>
  </w:num>
  <w:num w:numId="19">
    <w:abstractNumId w:val="14"/>
  </w:num>
  <w:num w:numId="20">
    <w:abstractNumId w:val="31"/>
  </w:num>
  <w:num w:numId="21">
    <w:abstractNumId w:val="23"/>
  </w:num>
  <w:num w:numId="22">
    <w:abstractNumId w:val="26"/>
  </w:num>
  <w:num w:numId="23">
    <w:abstractNumId w:val="7"/>
  </w:num>
  <w:num w:numId="24">
    <w:abstractNumId w:val="43"/>
  </w:num>
  <w:num w:numId="25">
    <w:abstractNumId w:val="34"/>
  </w:num>
  <w:num w:numId="26">
    <w:abstractNumId w:val="4"/>
  </w:num>
  <w:num w:numId="27">
    <w:abstractNumId w:val="42"/>
  </w:num>
  <w:num w:numId="28">
    <w:abstractNumId w:val="1"/>
  </w:num>
  <w:num w:numId="29">
    <w:abstractNumId w:val="33"/>
  </w:num>
  <w:num w:numId="30">
    <w:abstractNumId w:val="10"/>
  </w:num>
  <w:num w:numId="31">
    <w:abstractNumId w:val="41"/>
  </w:num>
  <w:num w:numId="32">
    <w:abstractNumId w:val="37"/>
  </w:num>
  <w:num w:numId="33">
    <w:abstractNumId w:val="24"/>
  </w:num>
  <w:num w:numId="34">
    <w:abstractNumId w:val="5"/>
  </w:num>
  <w:num w:numId="35">
    <w:abstractNumId w:val="39"/>
  </w:num>
  <w:num w:numId="36">
    <w:abstractNumId w:val="28"/>
  </w:num>
  <w:num w:numId="37">
    <w:abstractNumId w:val="30"/>
  </w:num>
  <w:num w:numId="38">
    <w:abstractNumId w:val="38"/>
  </w:num>
  <w:num w:numId="39">
    <w:abstractNumId w:val="46"/>
  </w:num>
  <w:num w:numId="40">
    <w:abstractNumId w:val="6"/>
  </w:num>
  <w:num w:numId="41">
    <w:abstractNumId w:val="2"/>
  </w:num>
  <w:num w:numId="42">
    <w:abstractNumId w:val="32"/>
  </w:num>
  <w:num w:numId="43">
    <w:abstractNumId w:val="35"/>
  </w:num>
  <w:num w:numId="44">
    <w:abstractNumId w:val="8"/>
  </w:num>
  <w:num w:numId="45">
    <w:abstractNumId w:val="0"/>
  </w:num>
  <w:num w:numId="46">
    <w:abstractNumId w:val="3"/>
  </w:num>
  <w:num w:numId="47">
    <w:abstractNumId w:val="2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proofState w:spelling="clean" w:grammar="clean"/>
  <w:defaultTabStop w:val="720"/>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76C8C"/>
    <w:rsid w:val="0000281E"/>
    <w:rsid w:val="00007A88"/>
    <w:rsid w:val="000158B5"/>
    <w:rsid w:val="00023DD2"/>
    <w:rsid w:val="00024EE4"/>
    <w:rsid w:val="000264E4"/>
    <w:rsid w:val="00034B1A"/>
    <w:rsid w:val="00036838"/>
    <w:rsid w:val="00036AB2"/>
    <w:rsid w:val="00037033"/>
    <w:rsid w:val="00040974"/>
    <w:rsid w:val="0004131B"/>
    <w:rsid w:val="00041755"/>
    <w:rsid w:val="00041D36"/>
    <w:rsid w:val="00043243"/>
    <w:rsid w:val="000454D7"/>
    <w:rsid w:val="000501B1"/>
    <w:rsid w:val="00050B17"/>
    <w:rsid w:val="000515D8"/>
    <w:rsid w:val="000645BC"/>
    <w:rsid w:val="000645E1"/>
    <w:rsid w:val="000728FF"/>
    <w:rsid w:val="00073509"/>
    <w:rsid w:val="00074F19"/>
    <w:rsid w:val="00075B3A"/>
    <w:rsid w:val="0008050C"/>
    <w:rsid w:val="00085F4F"/>
    <w:rsid w:val="000876C7"/>
    <w:rsid w:val="000920EA"/>
    <w:rsid w:val="000942B2"/>
    <w:rsid w:val="000A054D"/>
    <w:rsid w:val="000A1A3A"/>
    <w:rsid w:val="000A24A8"/>
    <w:rsid w:val="000A4294"/>
    <w:rsid w:val="000A4A35"/>
    <w:rsid w:val="000A7F83"/>
    <w:rsid w:val="000B2493"/>
    <w:rsid w:val="000B7D59"/>
    <w:rsid w:val="000C7392"/>
    <w:rsid w:val="000D3172"/>
    <w:rsid w:val="000D36DC"/>
    <w:rsid w:val="000D4A09"/>
    <w:rsid w:val="000D53BB"/>
    <w:rsid w:val="000D5CFC"/>
    <w:rsid w:val="000D68EB"/>
    <w:rsid w:val="000E0FC0"/>
    <w:rsid w:val="000F1483"/>
    <w:rsid w:val="000F1B1A"/>
    <w:rsid w:val="000F5E0F"/>
    <w:rsid w:val="000F6027"/>
    <w:rsid w:val="001045A1"/>
    <w:rsid w:val="001048A9"/>
    <w:rsid w:val="00107701"/>
    <w:rsid w:val="00113C7D"/>
    <w:rsid w:val="00115D93"/>
    <w:rsid w:val="00115EB2"/>
    <w:rsid w:val="001234F3"/>
    <w:rsid w:val="001255B4"/>
    <w:rsid w:val="00130298"/>
    <w:rsid w:val="001341A7"/>
    <w:rsid w:val="00136BE4"/>
    <w:rsid w:val="00144019"/>
    <w:rsid w:val="00145F61"/>
    <w:rsid w:val="00150A4C"/>
    <w:rsid w:val="00150E67"/>
    <w:rsid w:val="00151924"/>
    <w:rsid w:val="0015275A"/>
    <w:rsid w:val="00154112"/>
    <w:rsid w:val="00156B1E"/>
    <w:rsid w:val="001604F7"/>
    <w:rsid w:val="00164A10"/>
    <w:rsid w:val="00172759"/>
    <w:rsid w:val="00183713"/>
    <w:rsid w:val="00184B4D"/>
    <w:rsid w:val="00184D6B"/>
    <w:rsid w:val="00185372"/>
    <w:rsid w:val="001863C0"/>
    <w:rsid w:val="00190299"/>
    <w:rsid w:val="001909FF"/>
    <w:rsid w:val="0019163C"/>
    <w:rsid w:val="001A0F17"/>
    <w:rsid w:val="001A131A"/>
    <w:rsid w:val="001A473C"/>
    <w:rsid w:val="001B3569"/>
    <w:rsid w:val="001C24D5"/>
    <w:rsid w:val="001C2666"/>
    <w:rsid w:val="001C2FEC"/>
    <w:rsid w:val="001C5810"/>
    <w:rsid w:val="001C67B5"/>
    <w:rsid w:val="001C7B6E"/>
    <w:rsid w:val="001D49FE"/>
    <w:rsid w:val="001D60F2"/>
    <w:rsid w:val="001D743A"/>
    <w:rsid w:val="001F1B23"/>
    <w:rsid w:val="001F2C2B"/>
    <w:rsid w:val="001F37E0"/>
    <w:rsid w:val="001F57B1"/>
    <w:rsid w:val="001F753A"/>
    <w:rsid w:val="001F78E6"/>
    <w:rsid w:val="0020202D"/>
    <w:rsid w:val="00202446"/>
    <w:rsid w:val="00206AE1"/>
    <w:rsid w:val="002071F5"/>
    <w:rsid w:val="00211599"/>
    <w:rsid w:val="00211931"/>
    <w:rsid w:val="0021200D"/>
    <w:rsid w:val="0021651F"/>
    <w:rsid w:val="00217284"/>
    <w:rsid w:val="0022148B"/>
    <w:rsid w:val="00223B6C"/>
    <w:rsid w:val="0022659E"/>
    <w:rsid w:val="002321EF"/>
    <w:rsid w:val="002407DA"/>
    <w:rsid w:val="002408DD"/>
    <w:rsid w:val="0024339F"/>
    <w:rsid w:val="00244560"/>
    <w:rsid w:val="00247A2E"/>
    <w:rsid w:val="00247F5C"/>
    <w:rsid w:val="002534F8"/>
    <w:rsid w:val="00254379"/>
    <w:rsid w:val="002562A2"/>
    <w:rsid w:val="002568E8"/>
    <w:rsid w:val="002571F8"/>
    <w:rsid w:val="002615B6"/>
    <w:rsid w:val="00262939"/>
    <w:rsid w:val="0026456E"/>
    <w:rsid w:val="0026463D"/>
    <w:rsid w:val="00267474"/>
    <w:rsid w:val="00267A00"/>
    <w:rsid w:val="00280FC1"/>
    <w:rsid w:val="002874F1"/>
    <w:rsid w:val="00295AEE"/>
    <w:rsid w:val="002A1E60"/>
    <w:rsid w:val="002A324E"/>
    <w:rsid w:val="002A70B7"/>
    <w:rsid w:val="002B0E6C"/>
    <w:rsid w:val="002B1088"/>
    <w:rsid w:val="002B3605"/>
    <w:rsid w:val="002B6AEF"/>
    <w:rsid w:val="002B6FED"/>
    <w:rsid w:val="002C42E1"/>
    <w:rsid w:val="002C7FDB"/>
    <w:rsid w:val="002D0B17"/>
    <w:rsid w:val="002D5970"/>
    <w:rsid w:val="002D7183"/>
    <w:rsid w:val="002D71B0"/>
    <w:rsid w:val="002E113C"/>
    <w:rsid w:val="002E6980"/>
    <w:rsid w:val="002F2186"/>
    <w:rsid w:val="0030056F"/>
    <w:rsid w:val="00301097"/>
    <w:rsid w:val="00302D94"/>
    <w:rsid w:val="00307F28"/>
    <w:rsid w:val="00310392"/>
    <w:rsid w:val="00311E83"/>
    <w:rsid w:val="003127D8"/>
    <w:rsid w:val="00317E6F"/>
    <w:rsid w:val="00320892"/>
    <w:rsid w:val="00321015"/>
    <w:rsid w:val="0032334B"/>
    <w:rsid w:val="00324871"/>
    <w:rsid w:val="003301AD"/>
    <w:rsid w:val="00331506"/>
    <w:rsid w:val="003437E8"/>
    <w:rsid w:val="00344482"/>
    <w:rsid w:val="00345B64"/>
    <w:rsid w:val="00345E5C"/>
    <w:rsid w:val="00347550"/>
    <w:rsid w:val="00351B0D"/>
    <w:rsid w:val="003550A1"/>
    <w:rsid w:val="00357305"/>
    <w:rsid w:val="003578CD"/>
    <w:rsid w:val="00357A41"/>
    <w:rsid w:val="00361227"/>
    <w:rsid w:val="00361A5E"/>
    <w:rsid w:val="00363F6C"/>
    <w:rsid w:val="00367D5E"/>
    <w:rsid w:val="00371375"/>
    <w:rsid w:val="003730EF"/>
    <w:rsid w:val="003744E0"/>
    <w:rsid w:val="00374C62"/>
    <w:rsid w:val="00376FA8"/>
    <w:rsid w:val="00380D15"/>
    <w:rsid w:val="00381C4A"/>
    <w:rsid w:val="00381F3F"/>
    <w:rsid w:val="00392589"/>
    <w:rsid w:val="00394394"/>
    <w:rsid w:val="00397D47"/>
    <w:rsid w:val="003A4976"/>
    <w:rsid w:val="003B07C6"/>
    <w:rsid w:val="003B4E58"/>
    <w:rsid w:val="003B7DD1"/>
    <w:rsid w:val="003C205E"/>
    <w:rsid w:val="003C62C1"/>
    <w:rsid w:val="003C6BE1"/>
    <w:rsid w:val="003D2620"/>
    <w:rsid w:val="003D4B2B"/>
    <w:rsid w:val="003D4E9C"/>
    <w:rsid w:val="003D51EF"/>
    <w:rsid w:val="003D736C"/>
    <w:rsid w:val="003D791C"/>
    <w:rsid w:val="003E3A4F"/>
    <w:rsid w:val="003E4A3F"/>
    <w:rsid w:val="003E5099"/>
    <w:rsid w:val="003E65F8"/>
    <w:rsid w:val="003E6FFA"/>
    <w:rsid w:val="003F30E2"/>
    <w:rsid w:val="0040170B"/>
    <w:rsid w:val="00404EA3"/>
    <w:rsid w:val="00407404"/>
    <w:rsid w:val="00411BC3"/>
    <w:rsid w:val="0041463A"/>
    <w:rsid w:val="0041506D"/>
    <w:rsid w:val="004158B5"/>
    <w:rsid w:val="00416D3E"/>
    <w:rsid w:val="00417A60"/>
    <w:rsid w:val="0042493D"/>
    <w:rsid w:val="004261FF"/>
    <w:rsid w:val="00430BE4"/>
    <w:rsid w:val="0043418A"/>
    <w:rsid w:val="00442407"/>
    <w:rsid w:val="00446911"/>
    <w:rsid w:val="004556BB"/>
    <w:rsid w:val="004573AC"/>
    <w:rsid w:val="00457575"/>
    <w:rsid w:val="004575B7"/>
    <w:rsid w:val="00462343"/>
    <w:rsid w:val="00465CA0"/>
    <w:rsid w:val="004676F9"/>
    <w:rsid w:val="0047153C"/>
    <w:rsid w:val="00474976"/>
    <w:rsid w:val="00485F41"/>
    <w:rsid w:val="0048706D"/>
    <w:rsid w:val="0048724D"/>
    <w:rsid w:val="00491B45"/>
    <w:rsid w:val="00497543"/>
    <w:rsid w:val="004A6824"/>
    <w:rsid w:val="004A7EEB"/>
    <w:rsid w:val="004B115F"/>
    <w:rsid w:val="004B1CEF"/>
    <w:rsid w:val="004B496F"/>
    <w:rsid w:val="004B6B02"/>
    <w:rsid w:val="004B75F7"/>
    <w:rsid w:val="004B7A93"/>
    <w:rsid w:val="004C1AEE"/>
    <w:rsid w:val="004C4EA1"/>
    <w:rsid w:val="004C66D0"/>
    <w:rsid w:val="004D312A"/>
    <w:rsid w:val="004D422D"/>
    <w:rsid w:val="004D7465"/>
    <w:rsid w:val="004E17FF"/>
    <w:rsid w:val="004E27AC"/>
    <w:rsid w:val="004E2A4C"/>
    <w:rsid w:val="004E30D7"/>
    <w:rsid w:val="004E35AB"/>
    <w:rsid w:val="004E3D41"/>
    <w:rsid w:val="004E4F7E"/>
    <w:rsid w:val="004F01A7"/>
    <w:rsid w:val="004F1E7C"/>
    <w:rsid w:val="004F3B01"/>
    <w:rsid w:val="004F57E0"/>
    <w:rsid w:val="004F6F57"/>
    <w:rsid w:val="00501AD1"/>
    <w:rsid w:val="005026C1"/>
    <w:rsid w:val="00506F40"/>
    <w:rsid w:val="005072E2"/>
    <w:rsid w:val="00513B70"/>
    <w:rsid w:val="005203FB"/>
    <w:rsid w:val="00521009"/>
    <w:rsid w:val="0052305F"/>
    <w:rsid w:val="0052413F"/>
    <w:rsid w:val="005245C1"/>
    <w:rsid w:val="005279EC"/>
    <w:rsid w:val="005351FF"/>
    <w:rsid w:val="00544161"/>
    <w:rsid w:val="00552F26"/>
    <w:rsid w:val="00553E8A"/>
    <w:rsid w:val="0055532E"/>
    <w:rsid w:val="00556736"/>
    <w:rsid w:val="005614CA"/>
    <w:rsid w:val="0056300C"/>
    <w:rsid w:val="0056623A"/>
    <w:rsid w:val="00567204"/>
    <w:rsid w:val="0057111B"/>
    <w:rsid w:val="0057112A"/>
    <w:rsid w:val="005711AC"/>
    <w:rsid w:val="00573416"/>
    <w:rsid w:val="0057484D"/>
    <w:rsid w:val="00576C8C"/>
    <w:rsid w:val="00580399"/>
    <w:rsid w:val="00581574"/>
    <w:rsid w:val="00582B93"/>
    <w:rsid w:val="005831BA"/>
    <w:rsid w:val="005846D4"/>
    <w:rsid w:val="00585F3A"/>
    <w:rsid w:val="00587325"/>
    <w:rsid w:val="005902FC"/>
    <w:rsid w:val="0059098A"/>
    <w:rsid w:val="0059154B"/>
    <w:rsid w:val="005959CD"/>
    <w:rsid w:val="00597E7A"/>
    <w:rsid w:val="005A1738"/>
    <w:rsid w:val="005A3736"/>
    <w:rsid w:val="005A4122"/>
    <w:rsid w:val="005A7BDD"/>
    <w:rsid w:val="005B05F7"/>
    <w:rsid w:val="005B179F"/>
    <w:rsid w:val="005B538E"/>
    <w:rsid w:val="005B6B6D"/>
    <w:rsid w:val="005C1D12"/>
    <w:rsid w:val="005D20EE"/>
    <w:rsid w:val="005D2327"/>
    <w:rsid w:val="005D2D6B"/>
    <w:rsid w:val="005D304C"/>
    <w:rsid w:val="005D3D49"/>
    <w:rsid w:val="005D5D20"/>
    <w:rsid w:val="005D5F76"/>
    <w:rsid w:val="005E1CE8"/>
    <w:rsid w:val="005E4B37"/>
    <w:rsid w:val="005F2C83"/>
    <w:rsid w:val="005F332A"/>
    <w:rsid w:val="005F3BFE"/>
    <w:rsid w:val="005F53C3"/>
    <w:rsid w:val="005F5857"/>
    <w:rsid w:val="005F733E"/>
    <w:rsid w:val="00601A71"/>
    <w:rsid w:val="006026C8"/>
    <w:rsid w:val="00602F26"/>
    <w:rsid w:val="006033A7"/>
    <w:rsid w:val="006056B9"/>
    <w:rsid w:val="00611495"/>
    <w:rsid w:val="00615E6A"/>
    <w:rsid w:val="00621438"/>
    <w:rsid w:val="0062631A"/>
    <w:rsid w:val="00635CB2"/>
    <w:rsid w:val="00640FCF"/>
    <w:rsid w:val="00642866"/>
    <w:rsid w:val="00644BBE"/>
    <w:rsid w:val="00645517"/>
    <w:rsid w:val="00651058"/>
    <w:rsid w:val="0065126F"/>
    <w:rsid w:val="0065445C"/>
    <w:rsid w:val="00655446"/>
    <w:rsid w:val="00655865"/>
    <w:rsid w:val="00656CE4"/>
    <w:rsid w:val="00662C95"/>
    <w:rsid w:val="00663406"/>
    <w:rsid w:val="00663A97"/>
    <w:rsid w:val="00665735"/>
    <w:rsid w:val="00666E20"/>
    <w:rsid w:val="00666FD4"/>
    <w:rsid w:val="006727AD"/>
    <w:rsid w:val="00672C92"/>
    <w:rsid w:val="00676348"/>
    <w:rsid w:val="00677934"/>
    <w:rsid w:val="006825A2"/>
    <w:rsid w:val="00691E89"/>
    <w:rsid w:val="00693BCD"/>
    <w:rsid w:val="00694150"/>
    <w:rsid w:val="006944D4"/>
    <w:rsid w:val="006A18CF"/>
    <w:rsid w:val="006A5899"/>
    <w:rsid w:val="006A747B"/>
    <w:rsid w:val="006A7AA9"/>
    <w:rsid w:val="006B4DA0"/>
    <w:rsid w:val="006B6850"/>
    <w:rsid w:val="006B7346"/>
    <w:rsid w:val="006C0FCE"/>
    <w:rsid w:val="006C3771"/>
    <w:rsid w:val="006D1FE2"/>
    <w:rsid w:val="006E27E1"/>
    <w:rsid w:val="006E2C64"/>
    <w:rsid w:val="006E326C"/>
    <w:rsid w:val="006E5C80"/>
    <w:rsid w:val="006E6B37"/>
    <w:rsid w:val="006F5738"/>
    <w:rsid w:val="00706B00"/>
    <w:rsid w:val="0070713B"/>
    <w:rsid w:val="00711DEC"/>
    <w:rsid w:val="00712BFC"/>
    <w:rsid w:val="00712D3F"/>
    <w:rsid w:val="00714ECC"/>
    <w:rsid w:val="00717117"/>
    <w:rsid w:val="007173B2"/>
    <w:rsid w:val="0072066D"/>
    <w:rsid w:val="00721139"/>
    <w:rsid w:val="00721143"/>
    <w:rsid w:val="00722053"/>
    <w:rsid w:val="00722068"/>
    <w:rsid w:val="00724534"/>
    <w:rsid w:val="00725137"/>
    <w:rsid w:val="007264FA"/>
    <w:rsid w:val="00731A79"/>
    <w:rsid w:val="00733CC4"/>
    <w:rsid w:val="00734762"/>
    <w:rsid w:val="007350C8"/>
    <w:rsid w:val="0074266F"/>
    <w:rsid w:val="0074341B"/>
    <w:rsid w:val="007436C8"/>
    <w:rsid w:val="0074453C"/>
    <w:rsid w:val="007465BF"/>
    <w:rsid w:val="00746DFC"/>
    <w:rsid w:val="00746E4D"/>
    <w:rsid w:val="0075039D"/>
    <w:rsid w:val="0075063C"/>
    <w:rsid w:val="00752673"/>
    <w:rsid w:val="00754D98"/>
    <w:rsid w:val="00760512"/>
    <w:rsid w:val="00761C41"/>
    <w:rsid w:val="00763840"/>
    <w:rsid w:val="00764B80"/>
    <w:rsid w:val="007662B7"/>
    <w:rsid w:val="007701A1"/>
    <w:rsid w:val="00770742"/>
    <w:rsid w:val="007755C8"/>
    <w:rsid w:val="0078030F"/>
    <w:rsid w:val="00780FAE"/>
    <w:rsid w:val="0078234A"/>
    <w:rsid w:val="00782E4D"/>
    <w:rsid w:val="00783F08"/>
    <w:rsid w:val="00791985"/>
    <w:rsid w:val="00792DC5"/>
    <w:rsid w:val="007951E3"/>
    <w:rsid w:val="007958B4"/>
    <w:rsid w:val="00796405"/>
    <w:rsid w:val="007A0847"/>
    <w:rsid w:val="007A34F9"/>
    <w:rsid w:val="007A3BFA"/>
    <w:rsid w:val="007B37CB"/>
    <w:rsid w:val="007B43B2"/>
    <w:rsid w:val="007B5197"/>
    <w:rsid w:val="007B7A79"/>
    <w:rsid w:val="007B7D40"/>
    <w:rsid w:val="007C0A99"/>
    <w:rsid w:val="007C2563"/>
    <w:rsid w:val="007C3655"/>
    <w:rsid w:val="007C4904"/>
    <w:rsid w:val="007C6366"/>
    <w:rsid w:val="007C7263"/>
    <w:rsid w:val="007D03A6"/>
    <w:rsid w:val="007D1E8C"/>
    <w:rsid w:val="007D73C5"/>
    <w:rsid w:val="007E1FCB"/>
    <w:rsid w:val="007E4F8C"/>
    <w:rsid w:val="007F5E67"/>
    <w:rsid w:val="008157E7"/>
    <w:rsid w:val="0081609C"/>
    <w:rsid w:val="00816457"/>
    <w:rsid w:val="00821369"/>
    <w:rsid w:val="00822064"/>
    <w:rsid w:val="00822F61"/>
    <w:rsid w:val="008267DC"/>
    <w:rsid w:val="00836D8D"/>
    <w:rsid w:val="00843B51"/>
    <w:rsid w:val="00843CAF"/>
    <w:rsid w:val="00844659"/>
    <w:rsid w:val="00845576"/>
    <w:rsid w:val="00855983"/>
    <w:rsid w:val="008565A6"/>
    <w:rsid w:val="008637BB"/>
    <w:rsid w:val="00864B9B"/>
    <w:rsid w:val="00867673"/>
    <w:rsid w:val="00867E3D"/>
    <w:rsid w:val="00876D57"/>
    <w:rsid w:val="008820C4"/>
    <w:rsid w:val="0088542B"/>
    <w:rsid w:val="008937A3"/>
    <w:rsid w:val="00894BB3"/>
    <w:rsid w:val="00895012"/>
    <w:rsid w:val="00897697"/>
    <w:rsid w:val="008A1A76"/>
    <w:rsid w:val="008A27FB"/>
    <w:rsid w:val="008A2874"/>
    <w:rsid w:val="008A5FF5"/>
    <w:rsid w:val="008A6FF6"/>
    <w:rsid w:val="008B3ECC"/>
    <w:rsid w:val="008B3FF1"/>
    <w:rsid w:val="008B4451"/>
    <w:rsid w:val="008C3FFD"/>
    <w:rsid w:val="008C4F13"/>
    <w:rsid w:val="008C6641"/>
    <w:rsid w:val="008C68C0"/>
    <w:rsid w:val="008D0CA7"/>
    <w:rsid w:val="008D3B28"/>
    <w:rsid w:val="008D52C5"/>
    <w:rsid w:val="008E7CBA"/>
    <w:rsid w:val="008F1833"/>
    <w:rsid w:val="008F5AFC"/>
    <w:rsid w:val="00903478"/>
    <w:rsid w:val="00903B59"/>
    <w:rsid w:val="00910AE0"/>
    <w:rsid w:val="00912C87"/>
    <w:rsid w:val="00917446"/>
    <w:rsid w:val="00925658"/>
    <w:rsid w:val="009333A2"/>
    <w:rsid w:val="00941562"/>
    <w:rsid w:val="00941802"/>
    <w:rsid w:val="009426A2"/>
    <w:rsid w:val="00943DAD"/>
    <w:rsid w:val="00944D8E"/>
    <w:rsid w:val="00945D39"/>
    <w:rsid w:val="0094605E"/>
    <w:rsid w:val="00946080"/>
    <w:rsid w:val="00953F17"/>
    <w:rsid w:val="00957C37"/>
    <w:rsid w:val="009604BF"/>
    <w:rsid w:val="0096111E"/>
    <w:rsid w:val="00965F57"/>
    <w:rsid w:val="009746F8"/>
    <w:rsid w:val="00976698"/>
    <w:rsid w:val="00976EFB"/>
    <w:rsid w:val="0097799B"/>
    <w:rsid w:val="00983DBF"/>
    <w:rsid w:val="00985D45"/>
    <w:rsid w:val="0099024A"/>
    <w:rsid w:val="00992B87"/>
    <w:rsid w:val="009944E6"/>
    <w:rsid w:val="009A0209"/>
    <w:rsid w:val="009A2561"/>
    <w:rsid w:val="009A28E9"/>
    <w:rsid w:val="009A4101"/>
    <w:rsid w:val="009A7D6C"/>
    <w:rsid w:val="009B1197"/>
    <w:rsid w:val="009B2648"/>
    <w:rsid w:val="009B3493"/>
    <w:rsid w:val="009B5F0B"/>
    <w:rsid w:val="009C66AC"/>
    <w:rsid w:val="009C6894"/>
    <w:rsid w:val="009D05C0"/>
    <w:rsid w:val="009E10BF"/>
    <w:rsid w:val="009E44DE"/>
    <w:rsid w:val="009E53A1"/>
    <w:rsid w:val="009F2120"/>
    <w:rsid w:val="009F652E"/>
    <w:rsid w:val="00A0158C"/>
    <w:rsid w:val="00A02176"/>
    <w:rsid w:val="00A07B48"/>
    <w:rsid w:val="00A13F1D"/>
    <w:rsid w:val="00A16451"/>
    <w:rsid w:val="00A17323"/>
    <w:rsid w:val="00A21716"/>
    <w:rsid w:val="00A22E2D"/>
    <w:rsid w:val="00A26823"/>
    <w:rsid w:val="00A27081"/>
    <w:rsid w:val="00A279C2"/>
    <w:rsid w:val="00A31E0F"/>
    <w:rsid w:val="00A32483"/>
    <w:rsid w:val="00A33340"/>
    <w:rsid w:val="00A33A1D"/>
    <w:rsid w:val="00A34D81"/>
    <w:rsid w:val="00A40004"/>
    <w:rsid w:val="00A432F6"/>
    <w:rsid w:val="00A51D42"/>
    <w:rsid w:val="00A55686"/>
    <w:rsid w:val="00A6285F"/>
    <w:rsid w:val="00A66F77"/>
    <w:rsid w:val="00A7004C"/>
    <w:rsid w:val="00A70674"/>
    <w:rsid w:val="00A77AF7"/>
    <w:rsid w:val="00A849D9"/>
    <w:rsid w:val="00A93D2C"/>
    <w:rsid w:val="00A94B59"/>
    <w:rsid w:val="00A95C94"/>
    <w:rsid w:val="00AA6240"/>
    <w:rsid w:val="00AB25B4"/>
    <w:rsid w:val="00AB2B4E"/>
    <w:rsid w:val="00AC0EDB"/>
    <w:rsid w:val="00AC226D"/>
    <w:rsid w:val="00AC49F2"/>
    <w:rsid w:val="00AD1617"/>
    <w:rsid w:val="00AD1B81"/>
    <w:rsid w:val="00AD302A"/>
    <w:rsid w:val="00AD3A5F"/>
    <w:rsid w:val="00AD3FAF"/>
    <w:rsid w:val="00AD4333"/>
    <w:rsid w:val="00AD72D7"/>
    <w:rsid w:val="00AD74E7"/>
    <w:rsid w:val="00AE1C69"/>
    <w:rsid w:val="00AE41A3"/>
    <w:rsid w:val="00AE4E5A"/>
    <w:rsid w:val="00AF07CB"/>
    <w:rsid w:val="00AF51F6"/>
    <w:rsid w:val="00AF5674"/>
    <w:rsid w:val="00AF7C1E"/>
    <w:rsid w:val="00B07393"/>
    <w:rsid w:val="00B11918"/>
    <w:rsid w:val="00B121B1"/>
    <w:rsid w:val="00B12B08"/>
    <w:rsid w:val="00B139D1"/>
    <w:rsid w:val="00B16EF9"/>
    <w:rsid w:val="00B16F13"/>
    <w:rsid w:val="00B24866"/>
    <w:rsid w:val="00B24CB8"/>
    <w:rsid w:val="00B274BE"/>
    <w:rsid w:val="00B36038"/>
    <w:rsid w:val="00B43E7E"/>
    <w:rsid w:val="00B46473"/>
    <w:rsid w:val="00B5122F"/>
    <w:rsid w:val="00B51345"/>
    <w:rsid w:val="00B54EF0"/>
    <w:rsid w:val="00B64C49"/>
    <w:rsid w:val="00B677CF"/>
    <w:rsid w:val="00B712F0"/>
    <w:rsid w:val="00B737DB"/>
    <w:rsid w:val="00B73CCD"/>
    <w:rsid w:val="00B82291"/>
    <w:rsid w:val="00B84D6B"/>
    <w:rsid w:val="00B93157"/>
    <w:rsid w:val="00B9410C"/>
    <w:rsid w:val="00BA117E"/>
    <w:rsid w:val="00BA270E"/>
    <w:rsid w:val="00BA2ED7"/>
    <w:rsid w:val="00BA60A0"/>
    <w:rsid w:val="00BA6C5A"/>
    <w:rsid w:val="00BB35B1"/>
    <w:rsid w:val="00BB4DA2"/>
    <w:rsid w:val="00BB66ED"/>
    <w:rsid w:val="00BC0AA0"/>
    <w:rsid w:val="00BC2481"/>
    <w:rsid w:val="00BC2C21"/>
    <w:rsid w:val="00BD46FD"/>
    <w:rsid w:val="00BD7570"/>
    <w:rsid w:val="00BE417E"/>
    <w:rsid w:val="00BF09A0"/>
    <w:rsid w:val="00BF2147"/>
    <w:rsid w:val="00BF426C"/>
    <w:rsid w:val="00BF6898"/>
    <w:rsid w:val="00BF75A9"/>
    <w:rsid w:val="00C060BD"/>
    <w:rsid w:val="00C1166A"/>
    <w:rsid w:val="00C1306C"/>
    <w:rsid w:val="00C2018C"/>
    <w:rsid w:val="00C21995"/>
    <w:rsid w:val="00C23EBA"/>
    <w:rsid w:val="00C24A26"/>
    <w:rsid w:val="00C2779E"/>
    <w:rsid w:val="00C30950"/>
    <w:rsid w:val="00C32B0E"/>
    <w:rsid w:val="00C32FFC"/>
    <w:rsid w:val="00C33EEB"/>
    <w:rsid w:val="00C35EBC"/>
    <w:rsid w:val="00C514FB"/>
    <w:rsid w:val="00C52B25"/>
    <w:rsid w:val="00C53A77"/>
    <w:rsid w:val="00C61C8B"/>
    <w:rsid w:val="00C62762"/>
    <w:rsid w:val="00C62C2F"/>
    <w:rsid w:val="00C63089"/>
    <w:rsid w:val="00C66A3A"/>
    <w:rsid w:val="00C676A8"/>
    <w:rsid w:val="00C67A68"/>
    <w:rsid w:val="00C75DAF"/>
    <w:rsid w:val="00C77EE0"/>
    <w:rsid w:val="00C83382"/>
    <w:rsid w:val="00C84BF4"/>
    <w:rsid w:val="00C856D1"/>
    <w:rsid w:val="00C866B9"/>
    <w:rsid w:val="00C91FE7"/>
    <w:rsid w:val="00C92B78"/>
    <w:rsid w:val="00CA316C"/>
    <w:rsid w:val="00CA33A7"/>
    <w:rsid w:val="00CA6B12"/>
    <w:rsid w:val="00CB1DA4"/>
    <w:rsid w:val="00CB2EAD"/>
    <w:rsid w:val="00CB4116"/>
    <w:rsid w:val="00CB5DCF"/>
    <w:rsid w:val="00CB6BCA"/>
    <w:rsid w:val="00CB6F02"/>
    <w:rsid w:val="00CC2470"/>
    <w:rsid w:val="00CC657E"/>
    <w:rsid w:val="00CC7A80"/>
    <w:rsid w:val="00CD4F89"/>
    <w:rsid w:val="00CE198E"/>
    <w:rsid w:val="00CE666B"/>
    <w:rsid w:val="00CE7A9F"/>
    <w:rsid w:val="00CF014A"/>
    <w:rsid w:val="00CF0A91"/>
    <w:rsid w:val="00CF45F7"/>
    <w:rsid w:val="00D007D7"/>
    <w:rsid w:val="00D01187"/>
    <w:rsid w:val="00D01E83"/>
    <w:rsid w:val="00D02099"/>
    <w:rsid w:val="00D023A1"/>
    <w:rsid w:val="00D02658"/>
    <w:rsid w:val="00D03869"/>
    <w:rsid w:val="00D101E9"/>
    <w:rsid w:val="00D107C9"/>
    <w:rsid w:val="00D117A5"/>
    <w:rsid w:val="00D171B5"/>
    <w:rsid w:val="00D25C40"/>
    <w:rsid w:val="00D30183"/>
    <w:rsid w:val="00D368AE"/>
    <w:rsid w:val="00D42668"/>
    <w:rsid w:val="00D53BB2"/>
    <w:rsid w:val="00D543B3"/>
    <w:rsid w:val="00D54ED3"/>
    <w:rsid w:val="00D56C7F"/>
    <w:rsid w:val="00D60FC6"/>
    <w:rsid w:val="00D64572"/>
    <w:rsid w:val="00D67168"/>
    <w:rsid w:val="00D67D28"/>
    <w:rsid w:val="00D73C5E"/>
    <w:rsid w:val="00D84B15"/>
    <w:rsid w:val="00D90657"/>
    <w:rsid w:val="00D921FE"/>
    <w:rsid w:val="00D934CA"/>
    <w:rsid w:val="00D94CC5"/>
    <w:rsid w:val="00D962A5"/>
    <w:rsid w:val="00DA3E18"/>
    <w:rsid w:val="00DB0BF0"/>
    <w:rsid w:val="00DB1CD4"/>
    <w:rsid w:val="00DB38A9"/>
    <w:rsid w:val="00DB3F1B"/>
    <w:rsid w:val="00DB4993"/>
    <w:rsid w:val="00DB4FEC"/>
    <w:rsid w:val="00DC07C6"/>
    <w:rsid w:val="00DC1DCF"/>
    <w:rsid w:val="00DC6695"/>
    <w:rsid w:val="00DD4654"/>
    <w:rsid w:val="00DD6364"/>
    <w:rsid w:val="00DE7F9A"/>
    <w:rsid w:val="00DF0402"/>
    <w:rsid w:val="00DF1832"/>
    <w:rsid w:val="00DF30A7"/>
    <w:rsid w:val="00DF3D5A"/>
    <w:rsid w:val="00DF3E8B"/>
    <w:rsid w:val="00DF504F"/>
    <w:rsid w:val="00DF5F02"/>
    <w:rsid w:val="00E15025"/>
    <w:rsid w:val="00E202F9"/>
    <w:rsid w:val="00E3083D"/>
    <w:rsid w:val="00E33D77"/>
    <w:rsid w:val="00E44E69"/>
    <w:rsid w:val="00E517AF"/>
    <w:rsid w:val="00E53FE4"/>
    <w:rsid w:val="00E6007F"/>
    <w:rsid w:val="00E62F0B"/>
    <w:rsid w:val="00E671FE"/>
    <w:rsid w:val="00E67E66"/>
    <w:rsid w:val="00E67EBD"/>
    <w:rsid w:val="00E700FB"/>
    <w:rsid w:val="00E70D5A"/>
    <w:rsid w:val="00E71521"/>
    <w:rsid w:val="00E71D0D"/>
    <w:rsid w:val="00E72B97"/>
    <w:rsid w:val="00E86B84"/>
    <w:rsid w:val="00E87E76"/>
    <w:rsid w:val="00E92F7E"/>
    <w:rsid w:val="00E93D23"/>
    <w:rsid w:val="00E96562"/>
    <w:rsid w:val="00E97386"/>
    <w:rsid w:val="00E97FB8"/>
    <w:rsid w:val="00EA13FC"/>
    <w:rsid w:val="00EA5F65"/>
    <w:rsid w:val="00EA6072"/>
    <w:rsid w:val="00EA767C"/>
    <w:rsid w:val="00EB3B84"/>
    <w:rsid w:val="00EC1203"/>
    <w:rsid w:val="00EC2614"/>
    <w:rsid w:val="00EC478E"/>
    <w:rsid w:val="00EC6408"/>
    <w:rsid w:val="00ED0B6F"/>
    <w:rsid w:val="00ED17B1"/>
    <w:rsid w:val="00EE0598"/>
    <w:rsid w:val="00EE3CDF"/>
    <w:rsid w:val="00EE4E1F"/>
    <w:rsid w:val="00EE6B3E"/>
    <w:rsid w:val="00EE7C8C"/>
    <w:rsid w:val="00EF016F"/>
    <w:rsid w:val="00EF2A2B"/>
    <w:rsid w:val="00EF60D3"/>
    <w:rsid w:val="00EF657B"/>
    <w:rsid w:val="00F00A15"/>
    <w:rsid w:val="00F0227A"/>
    <w:rsid w:val="00F132AF"/>
    <w:rsid w:val="00F14BA8"/>
    <w:rsid w:val="00F20DCA"/>
    <w:rsid w:val="00F2226A"/>
    <w:rsid w:val="00F22F8F"/>
    <w:rsid w:val="00F25C6F"/>
    <w:rsid w:val="00F27488"/>
    <w:rsid w:val="00F27E13"/>
    <w:rsid w:val="00F3443E"/>
    <w:rsid w:val="00F35F4F"/>
    <w:rsid w:val="00F454AF"/>
    <w:rsid w:val="00F458A0"/>
    <w:rsid w:val="00F462DE"/>
    <w:rsid w:val="00F46626"/>
    <w:rsid w:val="00F53F9F"/>
    <w:rsid w:val="00F54A3A"/>
    <w:rsid w:val="00F54A6D"/>
    <w:rsid w:val="00F566DE"/>
    <w:rsid w:val="00F56C46"/>
    <w:rsid w:val="00F5715F"/>
    <w:rsid w:val="00F57642"/>
    <w:rsid w:val="00F60586"/>
    <w:rsid w:val="00F625AB"/>
    <w:rsid w:val="00F64025"/>
    <w:rsid w:val="00F72283"/>
    <w:rsid w:val="00F80575"/>
    <w:rsid w:val="00F825E6"/>
    <w:rsid w:val="00F84E27"/>
    <w:rsid w:val="00F84FC7"/>
    <w:rsid w:val="00F85592"/>
    <w:rsid w:val="00F85A4C"/>
    <w:rsid w:val="00F87339"/>
    <w:rsid w:val="00F97DF2"/>
    <w:rsid w:val="00FA4EBE"/>
    <w:rsid w:val="00FB5767"/>
    <w:rsid w:val="00FB6D0C"/>
    <w:rsid w:val="00FC49E4"/>
    <w:rsid w:val="00FD4DC7"/>
    <w:rsid w:val="00FD6DF6"/>
    <w:rsid w:val="00FE0D5D"/>
    <w:rsid w:val="00FE75E2"/>
    <w:rsid w:val="00FE7C04"/>
    <w:rsid w:val="00FF1179"/>
    <w:rsid w:val="00FF1E6F"/>
    <w:rsid w:val="00FF21E3"/>
    <w:rsid w:val="00FF65B2"/>
    <w:rsid w:val="00FF6AFE"/>
    <w:rsid w:val="00FF776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8193"/>
    <o:shapelayout v:ext="edit">
      <o:idmap v:ext="edit" data="1"/>
    </o:shapelayout>
  </w:shapeDefaults>
  <w:decimalSymbol w:val="."/>
  <w:listSeparator w:val=","/>
  <w14:docId w14:val="22315FBB"/>
  <w15:docId w15:val="{9C8974CD-9722-45A5-8FF6-6CEB119019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Calibri"/>
        <w:color w:val="000000"/>
        <w:sz w:val="22"/>
        <w:szCs w:val="22"/>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1"/>
    <w:next w:val="Normal1"/>
    <w:pPr>
      <w:keepNext/>
      <w:keepLines/>
      <w:spacing w:before="240" w:after="120"/>
      <w:outlineLvl w:val="0"/>
    </w:pPr>
    <w:rPr>
      <w:b/>
      <w:smallCaps/>
      <w:sz w:val="36"/>
      <w:szCs w:val="36"/>
    </w:rPr>
  </w:style>
  <w:style w:type="paragraph" w:styleId="Heading2">
    <w:name w:val="heading 2"/>
    <w:basedOn w:val="Normal1"/>
    <w:next w:val="Normal1"/>
    <w:pPr>
      <w:keepNext/>
      <w:keepLines/>
      <w:spacing w:before="240" w:after="60"/>
      <w:outlineLvl w:val="1"/>
    </w:pPr>
    <w:rPr>
      <w:rFonts w:ascii="Arial Narrow" w:eastAsia="Arial Narrow" w:hAnsi="Arial Narrow" w:cs="Arial Narrow"/>
      <w:b/>
      <w:smallCaps/>
      <w:sz w:val="28"/>
      <w:szCs w:val="28"/>
    </w:rPr>
  </w:style>
  <w:style w:type="paragraph" w:styleId="Heading3">
    <w:name w:val="heading 3"/>
    <w:basedOn w:val="Normal1"/>
    <w:next w:val="Normal1"/>
    <w:pPr>
      <w:keepNext/>
      <w:keepLines/>
      <w:spacing w:before="240" w:after="60"/>
      <w:outlineLvl w:val="2"/>
    </w:pPr>
    <w:rPr>
      <w:rFonts w:ascii="Arial" w:eastAsia="Arial" w:hAnsi="Arial" w:cs="Arial"/>
      <w:b/>
      <w:sz w:val="26"/>
      <w:szCs w:val="26"/>
    </w:rPr>
  </w:style>
  <w:style w:type="paragraph" w:styleId="Heading4">
    <w:name w:val="heading 4"/>
    <w:basedOn w:val="Normal1"/>
    <w:next w:val="Normal1"/>
    <w:pPr>
      <w:keepNext/>
      <w:keepLines/>
      <w:spacing w:before="240" w:after="40"/>
      <w:outlineLvl w:val="3"/>
    </w:pPr>
    <w:rPr>
      <w:b/>
      <w:sz w:val="24"/>
      <w:szCs w:val="24"/>
    </w:rPr>
  </w:style>
  <w:style w:type="paragraph" w:styleId="Heading5">
    <w:name w:val="heading 5"/>
    <w:basedOn w:val="Normal1"/>
    <w:next w:val="Normal1"/>
    <w:pPr>
      <w:keepNext/>
      <w:keepLines/>
      <w:spacing w:before="220" w:after="40"/>
      <w:outlineLvl w:val="4"/>
    </w:pPr>
    <w:rPr>
      <w:b/>
    </w:rPr>
  </w:style>
  <w:style w:type="paragraph" w:styleId="Heading6">
    <w:name w:val="heading 6"/>
    <w:basedOn w:val="Normal1"/>
    <w:next w:val="Normal1"/>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1">
    <w:name w:val="Normal1"/>
  </w:style>
  <w:style w:type="paragraph" w:styleId="Title">
    <w:name w:val="Title"/>
    <w:basedOn w:val="Normal1"/>
    <w:next w:val="Normal1"/>
    <w:pPr>
      <w:keepNext/>
      <w:keepLines/>
      <w:spacing w:before="480" w:after="120"/>
    </w:pPr>
    <w:rPr>
      <w:b/>
      <w:sz w:val="72"/>
      <w:szCs w:val="72"/>
    </w:rPr>
  </w:style>
  <w:style w:type="paragraph" w:styleId="Subtitle">
    <w:name w:val="Subtitle"/>
    <w:basedOn w:val="Normal1"/>
    <w:next w:val="Normal1"/>
    <w:pPr>
      <w:keepNext/>
      <w:keepLines/>
      <w:spacing w:before="360" w:after="80"/>
    </w:pPr>
    <w:rPr>
      <w:rFonts w:ascii="Georgia" w:eastAsia="Georgia" w:hAnsi="Georgia" w:cs="Georgia"/>
      <w:i/>
      <w:color w:val="666666"/>
      <w:sz w:val="48"/>
      <w:szCs w:val="48"/>
    </w:rPr>
  </w:style>
  <w:style w:type="table" w:customStyle="1" w:styleId="a">
    <w:basedOn w:val="TableNormal"/>
    <w:pPr>
      <w:contextualSpacing/>
    </w:pPr>
    <w:rPr>
      <w:sz w:val="20"/>
      <w:szCs w:val="20"/>
    </w:rPr>
    <w:tblPr>
      <w:tblStyleRowBandSize w:val="1"/>
      <w:tblStyleColBandSize w:val="1"/>
      <w:tblCellMar>
        <w:left w:w="115" w:type="dxa"/>
        <w:right w:w="115" w:type="dxa"/>
      </w:tblCellMar>
    </w:tblPr>
  </w:style>
  <w:style w:type="table" w:customStyle="1" w:styleId="a0">
    <w:basedOn w:val="TableNormal"/>
    <w:pPr>
      <w:contextualSpacing/>
    </w:pPr>
    <w:rPr>
      <w:sz w:val="20"/>
      <w:szCs w:val="20"/>
    </w:rPr>
    <w:tblPr>
      <w:tblStyleRowBandSize w:val="1"/>
      <w:tblStyleColBandSize w:val="1"/>
      <w:tblCellMar>
        <w:left w:w="115" w:type="dxa"/>
        <w:right w:w="115" w:type="dxa"/>
      </w:tblCellMar>
    </w:tblPr>
  </w:style>
  <w:style w:type="table" w:customStyle="1" w:styleId="a1">
    <w:basedOn w:val="TableNormal"/>
    <w:pPr>
      <w:contextualSpacing/>
    </w:pPr>
    <w:rPr>
      <w:sz w:val="20"/>
      <w:szCs w:val="20"/>
    </w:rPr>
    <w:tblPr>
      <w:tblStyleRowBandSize w:val="1"/>
      <w:tblStyleColBandSize w:val="1"/>
      <w:tblCellMar>
        <w:left w:w="115" w:type="dxa"/>
        <w:right w:w="115" w:type="dxa"/>
      </w:tblCellMar>
    </w:tblPr>
  </w:style>
  <w:style w:type="table" w:customStyle="1" w:styleId="a2">
    <w:basedOn w:val="TableNormal"/>
    <w:pPr>
      <w:contextualSpacing/>
    </w:pPr>
    <w:rPr>
      <w:sz w:val="20"/>
      <w:szCs w:val="20"/>
    </w:rPr>
    <w:tblPr>
      <w:tblStyleRowBandSize w:val="1"/>
      <w:tblStyleColBandSize w:val="1"/>
      <w:tblCellMar>
        <w:left w:w="115" w:type="dxa"/>
        <w:right w:w="115" w:type="dxa"/>
      </w:tblCellMar>
    </w:tblPr>
  </w:style>
  <w:style w:type="table" w:customStyle="1" w:styleId="a3">
    <w:basedOn w:val="TableNormal"/>
    <w:pPr>
      <w:contextualSpacing/>
    </w:pPr>
    <w:rPr>
      <w:sz w:val="20"/>
      <w:szCs w:val="20"/>
    </w:rPr>
    <w:tblPr>
      <w:tblStyleRowBandSize w:val="1"/>
      <w:tblStyleColBandSize w:val="1"/>
      <w:tblCellMar>
        <w:left w:w="115" w:type="dxa"/>
        <w:right w:w="115" w:type="dxa"/>
      </w:tblCellMar>
    </w:tblPr>
  </w:style>
  <w:style w:type="table" w:customStyle="1" w:styleId="a4">
    <w:basedOn w:val="TableNormal"/>
    <w:pPr>
      <w:contextualSpacing/>
    </w:pPr>
    <w:rPr>
      <w:sz w:val="20"/>
      <w:szCs w:val="20"/>
    </w:rPr>
    <w:tblPr>
      <w:tblStyleRowBandSize w:val="1"/>
      <w:tblStyleColBandSize w:val="1"/>
      <w:tblCellMar>
        <w:left w:w="115" w:type="dxa"/>
        <w:right w:w="115" w:type="dxa"/>
      </w:tblCellMar>
    </w:tblPr>
  </w:style>
  <w:style w:type="table" w:customStyle="1" w:styleId="a5">
    <w:basedOn w:val="TableNormal"/>
    <w:pPr>
      <w:contextualSpacing/>
    </w:pPr>
    <w:tblPr>
      <w:tblStyleRowBandSize w:val="1"/>
      <w:tblStyleColBandSize w:val="1"/>
      <w:tblCellMar>
        <w:left w:w="115" w:type="dxa"/>
        <w:right w:w="115" w:type="dxa"/>
      </w:tblCellMar>
    </w:tblPr>
  </w:style>
  <w:style w:type="table" w:customStyle="1" w:styleId="a6">
    <w:basedOn w:val="TableNormal"/>
    <w:pPr>
      <w:contextualSpacing/>
    </w:pPr>
    <w:rPr>
      <w:sz w:val="20"/>
      <w:szCs w:val="20"/>
    </w:rPr>
    <w:tblPr>
      <w:tblStyleRowBandSize w:val="1"/>
      <w:tblStyleColBandSize w:val="1"/>
      <w:tblCellMar>
        <w:left w:w="115" w:type="dxa"/>
        <w:right w:w="115" w:type="dxa"/>
      </w:tblCellMar>
    </w:tblPr>
  </w:style>
  <w:style w:type="table" w:customStyle="1" w:styleId="a7">
    <w:basedOn w:val="TableNormal"/>
    <w:pPr>
      <w:contextualSpacing/>
    </w:pPr>
    <w:rPr>
      <w:sz w:val="20"/>
      <w:szCs w:val="20"/>
    </w:rPr>
    <w:tblPr>
      <w:tblStyleRowBandSize w:val="1"/>
      <w:tblStyleColBandSize w:val="1"/>
      <w:tblCellMar>
        <w:left w:w="115" w:type="dxa"/>
        <w:right w:w="115" w:type="dxa"/>
      </w:tblCellMar>
    </w:tblPr>
  </w:style>
  <w:style w:type="table" w:customStyle="1" w:styleId="a8">
    <w:basedOn w:val="TableNormal"/>
    <w:pPr>
      <w:contextualSpacing/>
    </w:pPr>
    <w:rPr>
      <w:sz w:val="20"/>
      <w:szCs w:val="20"/>
    </w:rPr>
    <w:tblPr>
      <w:tblStyleRowBandSize w:val="1"/>
      <w:tblStyleColBandSize w:val="1"/>
      <w:tblCellMar>
        <w:left w:w="115" w:type="dxa"/>
        <w:right w:w="115" w:type="dxa"/>
      </w:tblCellMar>
    </w:tblPr>
  </w:style>
  <w:style w:type="table" w:customStyle="1" w:styleId="a9">
    <w:basedOn w:val="TableNormal"/>
    <w:pPr>
      <w:contextualSpacing/>
    </w:pPr>
    <w:rPr>
      <w:sz w:val="20"/>
      <w:szCs w:val="20"/>
    </w:rPr>
    <w:tblPr>
      <w:tblStyleRowBandSize w:val="1"/>
      <w:tblStyleColBandSize w:val="1"/>
      <w:tblCellMar>
        <w:left w:w="115" w:type="dxa"/>
        <w:right w:w="115" w:type="dxa"/>
      </w:tblCellMar>
    </w:tblPr>
  </w:style>
  <w:style w:type="table" w:customStyle="1" w:styleId="aa">
    <w:basedOn w:val="TableNormal"/>
    <w:pPr>
      <w:contextualSpacing/>
    </w:pPr>
    <w:tblPr>
      <w:tblStyleRowBandSize w:val="1"/>
      <w:tblStyleColBandSize w:val="1"/>
      <w:tblCellMar>
        <w:left w:w="115" w:type="dxa"/>
        <w:right w:w="115" w:type="dxa"/>
      </w:tblCellMar>
    </w:tblPr>
  </w:style>
  <w:style w:type="table" w:customStyle="1" w:styleId="ab">
    <w:basedOn w:val="TableNormal"/>
    <w:pPr>
      <w:contextualSpacing/>
    </w:pPr>
    <w:rPr>
      <w:sz w:val="20"/>
      <w:szCs w:val="20"/>
    </w:rPr>
    <w:tblPr>
      <w:tblStyleRowBandSize w:val="1"/>
      <w:tblStyleColBandSize w:val="1"/>
      <w:tblCellMar>
        <w:left w:w="115" w:type="dxa"/>
        <w:right w:w="115" w:type="dxa"/>
      </w:tblCellMar>
    </w:tblPr>
  </w:style>
  <w:style w:type="table" w:customStyle="1" w:styleId="ac">
    <w:basedOn w:val="TableNormal"/>
    <w:pPr>
      <w:contextualSpacing/>
    </w:pPr>
    <w:rPr>
      <w:sz w:val="20"/>
      <w:szCs w:val="20"/>
    </w:rPr>
    <w:tblPr>
      <w:tblStyleRowBandSize w:val="1"/>
      <w:tblStyleColBandSize w:val="1"/>
      <w:tblCellMar>
        <w:left w:w="115" w:type="dxa"/>
        <w:right w:w="115" w:type="dxa"/>
      </w:tblCellMar>
    </w:tblPr>
  </w:style>
  <w:style w:type="table" w:customStyle="1" w:styleId="ad">
    <w:basedOn w:val="TableNormal"/>
    <w:tblPr>
      <w:tblStyleRowBandSize w:val="1"/>
      <w:tblStyleColBandSize w:val="1"/>
    </w:tblPr>
  </w:style>
  <w:style w:type="table" w:customStyle="1" w:styleId="ae">
    <w:basedOn w:val="TableNormal"/>
    <w:pPr>
      <w:contextualSpacing/>
    </w:pPr>
    <w:rPr>
      <w:sz w:val="20"/>
      <w:szCs w:val="20"/>
    </w:rPr>
    <w:tblPr>
      <w:tblStyleRowBandSize w:val="1"/>
      <w:tblStyleColBandSize w:val="1"/>
      <w:tblCellMar>
        <w:left w:w="115" w:type="dxa"/>
        <w:right w:w="115" w:type="dxa"/>
      </w:tblCellMar>
    </w:tblPr>
  </w:style>
  <w:style w:type="table" w:customStyle="1" w:styleId="af">
    <w:basedOn w:val="TableNormal"/>
    <w:pPr>
      <w:contextualSpacing/>
    </w:pPr>
    <w:rPr>
      <w:sz w:val="20"/>
      <w:szCs w:val="20"/>
    </w:rPr>
    <w:tblPr>
      <w:tblStyleRowBandSize w:val="1"/>
      <w:tblStyleColBandSize w:val="1"/>
      <w:tblCellMar>
        <w:left w:w="115" w:type="dxa"/>
        <w:right w:w="115" w:type="dxa"/>
      </w:tblCellMar>
    </w:tblPr>
  </w:style>
  <w:style w:type="table" w:customStyle="1" w:styleId="af0">
    <w:basedOn w:val="TableNormal"/>
    <w:pPr>
      <w:contextualSpacing/>
    </w:pPr>
    <w:tblPr>
      <w:tblStyleRowBandSize w:val="1"/>
      <w:tblStyleColBandSize w:val="1"/>
      <w:tblCellMar>
        <w:left w:w="115" w:type="dxa"/>
        <w:right w:w="115" w:type="dxa"/>
      </w:tblCellMar>
    </w:tblPr>
  </w:style>
  <w:style w:type="table" w:customStyle="1" w:styleId="af1">
    <w:basedOn w:val="TableNormal"/>
    <w:pPr>
      <w:contextualSpacing/>
    </w:pPr>
    <w:rPr>
      <w:sz w:val="20"/>
      <w:szCs w:val="20"/>
    </w:rPr>
    <w:tblPr>
      <w:tblStyleRowBandSize w:val="1"/>
      <w:tblStyleColBandSize w:val="1"/>
      <w:tblCellMar>
        <w:left w:w="115" w:type="dxa"/>
        <w:right w:w="115" w:type="dxa"/>
      </w:tblCellMar>
    </w:tblPr>
  </w:style>
  <w:style w:type="table" w:customStyle="1" w:styleId="af2">
    <w:basedOn w:val="TableNormal"/>
    <w:pPr>
      <w:contextualSpacing/>
    </w:pPr>
    <w:tblPr>
      <w:tblStyleRowBandSize w:val="1"/>
      <w:tblStyleColBandSize w:val="1"/>
      <w:tblCellMar>
        <w:left w:w="115" w:type="dxa"/>
        <w:right w:w="115" w:type="dxa"/>
      </w:tblCellMar>
    </w:tblPr>
  </w:style>
  <w:style w:type="table" w:customStyle="1" w:styleId="af3">
    <w:basedOn w:val="TableNormal"/>
    <w:pPr>
      <w:contextualSpacing/>
    </w:pPr>
    <w:tblPr>
      <w:tblStyleRowBandSize w:val="1"/>
      <w:tblStyleColBandSize w:val="1"/>
      <w:tblCellMar>
        <w:left w:w="115" w:type="dxa"/>
        <w:right w:w="115" w:type="dxa"/>
      </w:tblCellMar>
    </w:tblPr>
  </w:style>
  <w:style w:type="table" w:customStyle="1" w:styleId="af4">
    <w:basedOn w:val="TableNormal"/>
    <w:pPr>
      <w:contextualSpacing/>
    </w:pPr>
    <w:tblPr>
      <w:tblStyleRowBandSize w:val="1"/>
      <w:tblStyleColBandSize w:val="1"/>
      <w:tblCellMar>
        <w:left w:w="115" w:type="dxa"/>
        <w:right w:w="115" w:type="dxa"/>
      </w:tblCellMar>
    </w:tblPr>
  </w:style>
  <w:style w:type="table" w:customStyle="1" w:styleId="af5">
    <w:basedOn w:val="TableNormal"/>
    <w:pPr>
      <w:contextualSpacing/>
    </w:pPr>
    <w:tblPr>
      <w:tblStyleRowBandSize w:val="1"/>
      <w:tblStyleColBandSize w:val="1"/>
      <w:tblCellMar>
        <w:left w:w="115" w:type="dxa"/>
        <w:right w:w="115" w:type="dxa"/>
      </w:tblCellMar>
    </w:tblPr>
  </w:style>
  <w:style w:type="table" w:customStyle="1" w:styleId="af6">
    <w:basedOn w:val="TableNormal"/>
    <w:pPr>
      <w:contextualSpacing/>
    </w:pPr>
    <w:tblPr>
      <w:tblStyleRowBandSize w:val="1"/>
      <w:tblStyleColBandSize w:val="1"/>
      <w:tblCellMar>
        <w:left w:w="115" w:type="dxa"/>
        <w:right w:w="115" w:type="dxa"/>
      </w:tblCellMar>
    </w:tblPr>
  </w:style>
  <w:style w:type="table" w:customStyle="1" w:styleId="af7">
    <w:basedOn w:val="TableNormal"/>
    <w:pPr>
      <w:contextualSpacing/>
    </w:pPr>
    <w:rPr>
      <w:sz w:val="20"/>
      <w:szCs w:val="20"/>
    </w:rPr>
    <w:tblPr>
      <w:tblStyleRowBandSize w:val="1"/>
      <w:tblStyleColBandSize w:val="1"/>
      <w:tblCellMar>
        <w:left w:w="115" w:type="dxa"/>
        <w:right w:w="115" w:type="dxa"/>
      </w:tblCellMar>
    </w:tblPr>
  </w:style>
  <w:style w:type="table" w:customStyle="1" w:styleId="af8">
    <w:basedOn w:val="TableNormal"/>
    <w:pPr>
      <w:contextualSpacing/>
    </w:pPr>
    <w:rPr>
      <w:sz w:val="20"/>
      <w:szCs w:val="20"/>
    </w:rPr>
    <w:tblPr>
      <w:tblStyleRowBandSize w:val="1"/>
      <w:tblStyleColBandSize w:val="1"/>
      <w:tblCellMar>
        <w:left w:w="115" w:type="dxa"/>
        <w:right w:w="115" w:type="dxa"/>
      </w:tblCellMar>
    </w:tblPr>
  </w:style>
  <w:style w:type="table" w:customStyle="1" w:styleId="af9">
    <w:basedOn w:val="TableNormal"/>
    <w:pPr>
      <w:contextualSpacing/>
    </w:pPr>
    <w:rPr>
      <w:sz w:val="20"/>
      <w:szCs w:val="20"/>
    </w:rPr>
    <w:tblPr>
      <w:tblStyleRowBandSize w:val="1"/>
      <w:tblStyleColBandSize w:val="1"/>
      <w:tblCellMar>
        <w:left w:w="115" w:type="dxa"/>
        <w:right w:w="115" w:type="dxa"/>
      </w:tblCellMar>
    </w:tblPr>
  </w:style>
  <w:style w:type="paragraph" w:styleId="BalloonText">
    <w:name w:val="Balloon Text"/>
    <w:basedOn w:val="Normal"/>
    <w:link w:val="BalloonTextChar"/>
    <w:uiPriority w:val="99"/>
    <w:semiHidden/>
    <w:unhideWhenUsed/>
    <w:rsid w:val="0075063C"/>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75063C"/>
    <w:rPr>
      <w:rFonts w:ascii="Lucida Grande" w:hAnsi="Lucida Grande" w:cs="Lucida Grande"/>
      <w:sz w:val="18"/>
      <w:szCs w:val="18"/>
    </w:rPr>
  </w:style>
  <w:style w:type="paragraph" w:styleId="Header">
    <w:name w:val="header"/>
    <w:basedOn w:val="Normal"/>
    <w:link w:val="HeaderChar"/>
    <w:uiPriority w:val="99"/>
    <w:unhideWhenUsed/>
    <w:rsid w:val="008637BB"/>
    <w:pPr>
      <w:tabs>
        <w:tab w:val="center" w:pos="4320"/>
        <w:tab w:val="right" w:pos="8640"/>
      </w:tabs>
    </w:pPr>
  </w:style>
  <w:style w:type="character" w:customStyle="1" w:styleId="HeaderChar">
    <w:name w:val="Header Char"/>
    <w:basedOn w:val="DefaultParagraphFont"/>
    <w:link w:val="Header"/>
    <w:uiPriority w:val="99"/>
    <w:rsid w:val="008637BB"/>
  </w:style>
  <w:style w:type="paragraph" w:styleId="Footer">
    <w:name w:val="footer"/>
    <w:basedOn w:val="Normal"/>
    <w:link w:val="FooterChar"/>
    <w:uiPriority w:val="99"/>
    <w:unhideWhenUsed/>
    <w:rsid w:val="008637BB"/>
    <w:pPr>
      <w:tabs>
        <w:tab w:val="center" w:pos="4320"/>
        <w:tab w:val="right" w:pos="8640"/>
      </w:tabs>
    </w:pPr>
  </w:style>
  <w:style w:type="character" w:customStyle="1" w:styleId="FooterChar">
    <w:name w:val="Footer Char"/>
    <w:basedOn w:val="DefaultParagraphFont"/>
    <w:link w:val="Footer"/>
    <w:uiPriority w:val="99"/>
    <w:rsid w:val="008637BB"/>
  </w:style>
  <w:style w:type="character" w:styleId="CommentReference">
    <w:name w:val="annotation reference"/>
    <w:basedOn w:val="DefaultParagraphFont"/>
    <w:uiPriority w:val="99"/>
    <w:semiHidden/>
    <w:unhideWhenUsed/>
    <w:rsid w:val="006825A2"/>
    <w:rPr>
      <w:sz w:val="16"/>
      <w:szCs w:val="16"/>
    </w:rPr>
  </w:style>
  <w:style w:type="paragraph" w:styleId="CommentText">
    <w:name w:val="annotation text"/>
    <w:basedOn w:val="Normal"/>
    <w:link w:val="CommentTextChar"/>
    <w:uiPriority w:val="99"/>
    <w:semiHidden/>
    <w:unhideWhenUsed/>
    <w:rsid w:val="006825A2"/>
    <w:rPr>
      <w:sz w:val="20"/>
      <w:szCs w:val="20"/>
    </w:rPr>
  </w:style>
  <w:style w:type="character" w:customStyle="1" w:styleId="CommentTextChar">
    <w:name w:val="Comment Text Char"/>
    <w:basedOn w:val="DefaultParagraphFont"/>
    <w:link w:val="CommentText"/>
    <w:uiPriority w:val="99"/>
    <w:semiHidden/>
    <w:rsid w:val="006825A2"/>
    <w:rPr>
      <w:sz w:val="20"/>
      <w:szCs w:val="20"/>
    </w:rPr>
  </w:style>
  <w:style w:type="paragraph" w:styleId="CommentSubject">
    <w:name w:val="annotation subject"/>
    <w:basedOn w:val="CommentText"/>
    <w:next w:val="CommentText"/>
    <w:link w:val="CommentSubjectChar"/>
    <w:uiPriority w:val="99"/>
    <w:semiHidden/>
    <w:unhideWhenUsed/>
    <w:rsid w:val="006825A2"/>
    <w:rPr>
      <w:b/>
      <w:bCs/>
    </w:rPr>
  </w:style>
  <w:style w:type="character" w:customStyle="1" w:styleId="CommentSubjectChar">
    <w:name w:val="Comment Subject Char"/>
    <w:basedOn w:val="CommentTextChar"/>
    <w:link w:val="CommentSubject"/>
    <w:uiPriority w:val="99"/>
    <w:semiHidden/>
    <w:rsid w:val="006825A2"/>
    <w:rPr>
      <w:b/>
      <w:bCs/>
      <w:sz w:val="20"/>
      <w:szCs w:val="20"/>
    </w:rPr>
  </w:style>
  <w:style w:type="paragraph" w:styleId="ListParagraph">
    <w:name w:val="List Paragraph"/>
    <w:basedOn w:val="Normal"/>
    <w:uiPriority w:val="34"/>
    <w:qFormat/>
    <w:rsid w:val="003C62C1"/>
    <w:pPr>
      <w:spacing w:after="200" w:line="276" w:lineRule="auto"/>
      <w:ind w:left="720"/>
      <w:contextualSpacing/>
    </w:pPr>
    <w:rPr>
      <w:rFonts w:eastAsia="Times New Roman" w:cs="Times New Roman"/>
      <w:color w:val="auto"/>
    </w:rPr>
  </w:style>
  <w:style w:type="character" w:styleId="Hyperlink">
    <w:name w:val="Hyperlink"/>
    <w:basedOn w:val="DefaultParagraphFont"/>
    <w:uiPriority w:val="99"/>
    <w:unhideWhenUsed/>
    <w:rsid w:val="0020202D"/>
    <w:rPr>
      <w:color w:val="0000FF" w:themeColor="hyperlink"/>
      <w:u w:val="single"/>
    </w:rPr>
  </w:style>
  <w:style w:type="character" w:customStyle="1" w:styleId="apple-converted-space">
    <w:name w:val="apple-converted-space"/>
    <w:basedOn w:val="DefaultParagraphFont"/>
    <w:rsid w:val="00FC49E4"/>
  </w:style>
  <w:style w:type="character" w:customStyle="1" w:styleId="gmailmsg">
    <w:name w:val="gmail_msg"/>
    <w:basedOn w:val="DefaultParagraphFont"/>
    <w:rsid w:val="00FC49E4"/>
  </w:style>
  <w:style w:type="paragraph" w:styleId="FootnoteText">
    <w:name w:val="footnote text"/>
    <w:basedOn w:val="Normal"/>
    <w:link w:val="FootnoteTextChar"/>
    <w:uiPriority w:val="99"/>
    <w:semiHidden/>
    <w:rsid w:val="00244560"/>
    <w:rPr>
      <w:rFonts w:eastAsia="Times New Roman" w:cs="Times New Roman"/>
      <w:color w:val="auto"/>
      <w:sz w:val="20"/>
      <w:szCs w:val="20"/>
    </w:rPr>
  </w:style>
  <w:style w:type="character" w:customStyle="1" w:styleId="FootnoteTextChar">
    <w:name w:val="Footnote Text Char"/>
    <w:basedOn w:val="DefaultParagraphFont"/>
    <w:link w:val="FootnoteText"/>
    <w:uiPriority w:val="99"/>
    <w:semiHidden/>
    <w:rsid w:val="00244560"/>
    <w:rPr>
      <w:rFonts w:eastAsia="Times New Roman" w:cs="Times New Roman"/>
      <w:color w:val="auto"/>
      <w:sz w:val="20"/>
      <w:szCs w:val="20"/>
    </w:rPr>
  </w:style>
  <w:style w:type="character" w:styleId="FootnoteReference">
    <w:name w:val="footnote reference"/>
    <w:basedOn w:val="DefaultParagraphFont"/>
    <w:uiPriority w:val="99"/>
    <w:semiHidden/>
    <w:rsid w:val="00244560"/>
    <w:rPr>
      <w:rFonts w:cs="Times New Roman"/>
      <w:vertAlign w:val="superscript"/>
    </w:rPr>
  </w:style>
  <w:style w:type="paragraph" w:styleId="NormalWeb">
    <w:name w:val="Normal (Web)"/>
    <w:basedOn w:val="Normal"/>
    <w:uiPriority w:val="99"/>
    <w:unhideWhenUsed/>
    <w:rsid w:val="002B6AEF"/>
    <w:pPr>
      <w:spacing w:before="100" w:beforeAutospacing="1" w:after="100" w:afterAutospacing="1"/>
    </w:pPr>
    <w:rPr>
      <w:rFonts w:ascii="Times" w:hAnsi="Times" w:cs="Times New Roman"/>
      <w:color w:val="auto"/>
      <w:sz w:val="20"/>
      <w:szCs w:val="20"/>
    </w:rPr>
  </w:style>
  <w:style w:type="table" w:styleId="TableGrid">
    <w:name w:val="Table Grid"/>
    <w:basedOn w:val="TableNormal"/>
    <w:uiPriority w:val="59"/>
    <w:rsid w:val="003D79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4164623072496684233gmail-normal1">
    <w:name w:val="m_-4164623072496684233gmail-normal1"/>
    <w:basedOn w:val="Normal"/>
    <w:rsid w:val="00AB2B4E"/>
    <w:pPr>
      <w:spacing w:before="100" w:beforeAutospacing="1" w:after="100" w:afterAutospacing="1"/>
    </w:pPr>
    <w:rPr>
      <w:rFonts w:ascii="Times" w:hAnsi="Times"/>
      <w:color w:val="auto"/>
      <w:sz w:val="20"/>
      <w:szCs w:val="20"/>
    </w:rPr>
  </w:style>
  <w:style w:type="paragraph" w:styleId="Caption">
    <w:name w:val="caption"/>
    <w:basedOn w:val="Normal"/>
    <w:next w:val="Normal"/>
    <w:link w:val="CaptionChar"/>
    <w:qFormat/>
    <w:rsid w:val="00D543B3"/>
    <w:rPr>
      <w:rFonts w:asciiTheme="minorHAnsi" w:eastAsia="Times New Roman" w:hAnsiTheme="minorHAnsi" w:cs="Times New Roman"/>
      <w:b/>
      <w:bCs/>
      <w:color w:val="auto"/>
      <w:szCs w:val="3276"/>
    </w:rPr>
  </w:style>
  <w:style w:type="character" w:customStyle="1" w:styleId="CaptionChar">
    <w:name w:val="Caption Char"/>
    <w:basedOn w:val="DefaultParagraphFont"/>
    <w:link w:val="Caption"/>
    <w:rsid w:val="00D543B3"/>
    <w:rPr>
      <w:rFonts w:asciiTheme="minorHAnsi" w:eastAsia="Times New Roman" w:hAnsiTheme="minorHAnsi" w:cs="Times New Roman"/>
      <w:b/>
      <w:bCs/>
      <w:color w:val="auto"/>
      <w:szCs w:val="3276"/>
    </w:rPr>
  </w:style>
  <w:style w:type="paragraph" w:styleId="Revision">
    <w:name w:val="Revision"/>
    <w:hidden/>
    <w:uiPriority w:val="99"/>
    <w:semiHidden/>
    <w:rsid w:val="00717117"/>
  </w:style>
  <w:style w:type="character" w:styleId="FollowedHyperlink">
    <w:name w:val="FollowedHyperlink"/>
    <w:basedOn w:val="DefaultParagraphFont"/>
    <w:uiPriority w:val="99"/>
    <w:semiHidden/>
    <w:unhideWhenUsed/>
    <w:rsid w:val="00A07B48"/>
    <w:rPr>
      <w:color w:val="800080" w:themeColor="followedHyperlink"/>
      <w:u w:val="single"/>
    </w:rPr>
  </w:style>
  <w:style w:type="paragraph" w:customStyle="1" w:styleId="Normal2">
    <w:name w:val="Normal2"/>
    <w:rsid w:val="00E71521"/>
    <w:pPr>
      <w:widowControl w:val="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216234">
      <w:bodyDiv w:val="1"/>
      <w:marLeft w:val="0"/>
      <w:marRight w:val="0"/>
      <w:marTop w:val="0"/>
      <w:marBottom w:val="0"/>
      <w:divBdr>
        <w:top w:val="none" w:sz="0" w:space="0" w:color="auto"/>
        <w:left w:val="none" w:sz="0" w:space="0" w:color="auto"/>
        <w:bottom w:val="none" w:sz="0" w:space="0" w:color="auto"/>
        <w:right w:val="none" w:sz="0" w:space="0" w:color="auto"/>
      </w:divBdr>
    </w:div>
    <w:div w:id="142817197">
      <w:bodyDiv w:val="1"/>
      <w:marLeft w:val="0"/>
      <w:marRight w:val="0"/>
      <w:marTop w:val="0"/>
      <w:marBottom w:val="0"/>
      <w:divBdr>
        <w:top w:val="none" w:sz="0" w:space="0" w:color="auto"/>
        <w:left w:val="none" w:sz="0" w:space="0" w:color="auto"/>
        <w:bottom w:val="none" w:sz="0" w:space="0" w:color="auto"/>
        <w:right w:val="none" w:sz="0" w:space="0" w:color="auto"/>
      </w:divBdr>
    </w:div>
    <w:div w:id="228077581">
      <w:bodyDiv w:val="1"/>
      <w:marLeft w:val="0"/>
      <w:marRight w:val="0"/>
      <w:marTop w:val="0"/>
      <w:marBottom w:val="0"/>
      <w:divBdr>
        <w:top w:val="none" w:sz="0" w:space="0" w:color="auto"/>
        <w:left w:val="none" w:sz="0" w:space="0" w:color="auto"/>
        <w:bottom w:val="none" w:sz="0" w:space="0" w:color="auto"/>
        <w:right w:val="none" w:sz="0" w:space="0" w:color="auto"/>
      </w:divBdr>
    </w:div>
    <w:div w:id="259216944">
      <w:bodyDiv w:val="1"/>
      <w:marLeft w:val="0"/>
      <w:marRight w:val="0"/>
      <w:marTop w:val="0"/>
      <w:marBottom w:val="0"/>
      <w:divBdr>
        <w:top w:val="none" w:sz="0" w:space="0" w:color="auto"/>
        <w:left w:val="none" w:sz="0" w:space="0" w:color="auto"/>
        <w:bottom w:val="none" w:sz="0" w:space="0" w:color="auto"/>
        <w:right w:val="none" w:sz="0" w:space="0" w:color="auto"/>
      </w:divBdr>
    </w:div>
    <w:div w:id="292715760">
      <w:bodyDiv w:val="1"/>
      <w:marLeft w:val="0"/>
      <w:marRight w:val="0"/>
      <w:marTop w:val="0"/>
      <w:marBottom w:val="0"/>
      <w:divBdr>
        <w:top w:val="none" w:sz="0" w:space="0" w:color="auto"/>
        <w:left w:val="none" w:sz="0" w:space="0" w:color="auto"/>
        <w:bottom w:val="none" w:sz="0" w:space="0" w:color="auto"/>
        <w:right w:val="none" w:sz="0" w:space="0" w:color="auto"/>
      </w:divBdr>
    </w:div>
    <w:div w:id="410544315">
      <w:bodyDiv w:val="1"/>
      <w:marLeft w:val="0"/>
      <w:marRight w:val="0"/>
      <w:marTop w:val="0"/>
      <w:marBottom w:val="0"/>
      <w:divBdr>
        <w:top w:val="none" w:sz="0" w:space="0" w:color="auto"/>
        <w:left w:val="none" w:sz="0" w:space="0" w:color="auto"/>
        <w:bottom w:val="none" w:sz="0" w:space="0" w:color="auto"/>
        <w:right w:val="none" w:sz="0" w:space="0" w:color="auto"/>
      </w:divBdr>
    </w:div>
    <w:div w:id="437217181">
      <w:bodyDiv w:val="1"/>
      <w:marLeft w:val="0"/>
      <w:marRight w:val="0"/>
      <w:marTop w:val="0"/>
      <w:marBottom w:val="0"/>
      <w:divBdr>
        <w:top w:val="none" w:sz="0" w:space="0" w:color="auto"/>
        <w:left w:val="none" w:sz="0" w:space="0" w:color="auto"/>
        <w:bottom w:val="none" w:sz="0" w:space="0" w:color="auto"/>
        <w:right w:val="none" w:sz="0" w:space="0" w:color="auto"/>
      </w:divBdr>
    </w:div>
    <w:div w:id="511728267">
      <w:bodyDiv w:val="1"/>
      <w:marLeft w:val="0"/>
      <w:marRight w:val="0"/>
      <w:marTop w:val="0"/>
      <w:marBottom w:val="0"/>
      <w:divBdr>
        <w:top w:val="none" w:sz="0" w:space="0" w:color="auto"/>
        <w:left w:val="none" w:sz="0" w:space="0" w:color="auto"/>
        <w:bottom w:val="none" w:sz="0" w:space="0" w:color="auto"/>
        <w:right w:val="none" w:sz="0" w:space="0" w:color="auto"/>
      </w:divBdr>
      <w:divsChild>
        <w:div w:id="1214855691">
          <w:marLeft w:val="0"/>
          <w:marRight w:val="0"/>
          <w:marTop w:val="0"/>
          <w:marBottom w:val="0"/>
          <w:divBdr>
            <w:top w:val="none" w:sz="0" w:space="0" w:color="auto"/>
            <w:left w:val="none" w:sz="0" w:space="0" w:color="auto"/>
            <w:bottom w:val="none" w:sz="0" w:space="0" w:color="auto"/>
            <w:right w:val="none" w:sz="0" w:space="0" w:color="auto"/>
          </w:divBdr>
        </w:div>
        <w:div w:id="1471897293">
          <w:marLeft w:val="0"/>
          <w:marRight w:val="0"/>
          <w:marTop w:val="0"/>
          <w:marBottom w:val="0"/>
          <w:divBdr>
            <w:top w:val="none" w:sz="0" w:space="0" w:color="auto"/>
            <w:left w:val="none" w:sz="0" w:space="0" w:color="auto"/>
            <w:bottom w:val="none" w:sz="0" w:space="0" w:color="auto"/>
            <w:right w:val="none" w:sz="0" w:space="0" w:color="auto"/>
          </w:divBdr>
        </w:div>
        <w:div w:id="102460634">
          <w:marLeft w:val="0"/>
          <w:marRight w:val="0"/>
          <w:marTop w:val="0"/>
          <w:marBottom w:val="0"/>
          <w:divBdr>
            <w:top w:val="none" w:sz="0" w:space="0" w:color="auto"/>
            <w:left w:val="none" w:sz="0" w:space="0" w:color="auto"/>
            <w:bottom w:val="none" w:sz="0" w:space="0" w:color="auto"/>
            <w:right w:val="none" w:sz="0" w:space="0" w:color="auto"/>
          </w:divBdr>
        </w:div>
        <w:div w:id="425421686">
          <w:marLeft w:val="0"/>
          <w:marRight w:val="0"/>
          <w:marTop w:val="0"/>
          <w:marBottom w:val="0"/>
          <w:divBdr>
            <w:top w:val="none" w:sz="0" w:space="0" w:color="auto"/>
            <w:left w:val="none" w:sz="0" w:space="0" w:color="auto"/>
            <w:bottom w:val="none" w:sz="0" w:space="0" w:color="auto"/>
            <w:right w:val="none" w:sz="0" w:space="0" w:color="auto"/>
          </w:divBdr>
        </w:div>
        <w:div w:id="1187910788">
          <w:marLeft w:val="0"/>
          <w:marRight w:val="0"/>
          <w:marTop w:val="0"/>
          <w:marBottom w:val="0"/>
          <w:divBdr>
            <w:top w:val="none" w:sz="0" w:space="0" w:color="auto"/>
            <w:left w:val="none" w:sz="0" w:space="0" w:color="auto"/>
            <w:bottom w:val="none" w:sz="0" w:space="0" w:color="auto"/>
            <w:right w:val="none" w:sz="0" w:space="0" w:color="auto"/>
          </w:divBdr>
        </w:div>
        <w:div w:id="261690704">
          <w:marLeft w:val="0"/>
          <w:marRight w:val="0"/>
          <w:marTop w:val="0"/>
          <w:marBottom w:val="0"/>
          <w:divBdr>
            <w:top w:val="none" w:sz="0" w:space="0" w:color="auto"/>
            <w:left w:val="none" w:sz="0" w:space="0" w:color="auto"/>
            <w:bottom w:val="none" w:sz="0" w:space="0" w:color="auto"/>
            <w:right w:val="none" w:sz="0" w:space="0" w:color="auto"/>
          </w:divBdr>
        </w:div>
        <w:div w:id="795024207">
          <w:marLeft w:val="0"/>
          <w:marRight w:val="0"/>
          <w:marTop w:val="0"/>
          <w:marBottom w:val="0"/>
          <w:divBdr>
            <w:top w:val="none" w:sz="0" w:space="0" w:color="auto"/>
            <w:left w:val="none" w:sz="0" w:space="0" w:color="auto"/>
            <w:bottom w:val="none" w:sz="0" w:space="0" w:color="auto"/>
            <w:right w:val="none" w:sz="0" w:space="0" w:color="auto"/>
          </w:divBdr>
        </w:div>
        <w:div w:id="1194539288">
          <w:marLeft w:val="0"/>
          <w:marRight w:val="0"/>
          <w:marTop w:val="0"/>
          <w:marBottom w:val="0"/>
          <w:divBdr>
            <w:top w:val="none" w:sz="0" w:space="0" w:color="auto"/>
            <w:left w:val="none" w:sz="0" w:space="0" w:color="auto"/>
            <w:bottom w:val="none" w:sz="0" w:space="0" w:color="auto"/>
            <w:right w:val="none" w:sz="0" w:space="0" w:color="auto"/>
          </w:divBdr>
        </w:div>
        <w:div w:id="1453207003">
          <w:marLeft w:val="0"/>
          <w:marRight w:val="0"/>
          <w:marTop w:val="0"/>
          <w:marBottom w:val="0"/>
          <w:divBdr>
            <w:top w:val="none" w:sz="0" w:space="0" w:color="auto"/>
            <w:left w:val="none" w:sz="0" w:space="0" w:color="auto"/>
            <w:bottom w:val="none" w:sz="0" w:space="0" w:color="auto"/>
            <w:right w:val="none" w:sz="0" w:space="0" w:color="auto"/>
          </w:divBdr>
        </w:div>
        <w:div w:id="1113212970">
          <w:marLeft w:val="0"/>
          <w:marRight w:val="0"/>
          <w:marTop w:val="0"/>
          <w:marBottom w:val="0"/>
          <w:divBdr>
            <w:top w:val="none" w:sz="0" w:space="0" w:color="auto"/>
            <w:left w:val="none" w:sz="0" w:space="0" w:color="auto"/>
            <w:bottom w:val="none" w:sz="0" w:space="0" w:color="auto"/>
            <w:right w:val="none" w:sz="0" w:space="0" w:color="auto"/>
          </w:divBdr>
        </w:div>
        <w:div w:id="91823643">
          <w:marLeft w:val="0"/>
          <w:marRight w:val="0"/>
          <w:marTop w:val="0"/>
          <w:marBottom w:val="0"/>
          <w:divBdr>
            <w:top w:val="none" w:sz="0" w:space="0" w:color="auto"/>
            <w:left w:val="none" w:sz="0" w:space="0" w:color="auto"/>
            <w:bottom w:val="none" w:sz="0" w:space="0" w:color="auto"/>
            <w:right w:val="none" w:sz="0" w:space="0" w:color="auto"/>
          </w:divBdr>
        </w:div>
        <w:div w:id="193200763">
          <w:marLeft w:val="0"/>
          <w:marRight w:val="0"/>
          <w:marTop w:val="0"/>
          <w:marBottom w:val="0"/>
          <w:divBdr>
            <w:top w:val="none" w:sz="0" w:space="0" w:color="auto"/>
            <w:left w:val="none" w:sz="0" w:space="0" w:color="auto"/>
            <w:bottom w:val="none" w:sz="0" w:space="0" w:color="auto"/>
            <w:right w:val="none" w:sz="0" w:space="0" w:color="auto"/>
          </w:divBdr>
        </w:div>
        <w:div w:id="826870068">
          <w:marLeft w:val="0"/>
          <w:marRight w:val="0"/>
          <w:marTop w:val="0"/>
          <w:marBottom w:val="0"/>
          <w:divBdr>
            <w:top w:val="none" w:sz="0" w:space="0" w:color="auto"/>
            <w:left w:val="none" w:sz="0" w:space="0" w:color="auto"/>
            <w:bottom w:val="none" w:sz="0" w:space="0" w:color="auto"/>
            <w:right w:val="none" w:sz="0" w:space="0" w:color="auto"/>
          </w:divBdr>
        </w:div>
      </w:divsChild>
    </w:div>
    <w:div w:id="596913514">
      <w:bodyDiv w:val="1"/>
      <w:marLeft w:val="0"/>
      <w:marRight w:val="0"/>
      <w:marTop w:val="0"/>
      <w:marBottom w:val="0"/>
      <w:divBdr>
        <w:top w:val="none" w:sz="0" w:space="0" w:color="auto"/>
        <w:left w:val="none" w:sz="0" w:space="0" w:color="auto"/>
        <w:bottom w:val="none" w:sz="0" w:space="0" w:color="auto"/>
        <w:right w:val="none" w:sz="0" w:space="0" w:color="auto"/>
      </w:divBdr>
    </w:div>
    <w:div w:id="621038782">
      <w:bodyDiv w:val="1"/>
      <w:marLeft w:val="0"/>
      <w:marRight w:val="0"/>
      <w:marTop w:val="0"/>
      <w:marBottom w:val="0"/>
      <w:divBdr>
        <w:top w:val="none" w:sz="0" w:space="0" w:color="auto"/>
        <w:left w:val="none" w:sz="0" w:space="0" w:color="auto"/>
        <w:bottom w:val="none" w:sz="0" w:space="0" w:color="auto"/>
        <w:right w:val="none" w:sz="0" w:space="0" w:color="auto"/>
      </w:divBdr>
    </w:div>
    <w:div w:id="635524657">
      <w:bodyDiv w:val="1"/>
      <w:marLeft w:val="0"/>
      <w:marRight w:val="0"/>
      <w:marTop w:val="0"/>
      <w:marBottom w:val="0"/>
      <w:divBdr>
        <w:top w:val="none" w:sz="0" w:space="0" w:color="auto"/>
        <w:left w:val="none" w:sz="0" w:space="0" w:color="auto"/>
        <w:bottom w:val="none" w:sz="0" w:space="0" w:color="auto"/>
        <w:right w:val="none" w:sz="0" w:space="0" w:color="auto"/>
      </w:divBdr>
    </w:div>
    <w:div w:id="638463426">
      <w:bodyDiv w:val="1"/>
      <w:marLeft w:val="0"/>
      <w:marRight w:val="0"/>
      <w:marTop w:val="0"/>
      <w:marBottom w:val="0"/>
      <w:divBdr>
        <w:top w:val="none" w:sz="0" w:space="0" w:color="auto"/>
        <w:left w:val="none" w:sz="0" w:space="0" w:color="auto"/>
        <w:bottom w:val="none" w:sz="0" w:space="0" w:color="auto"/>
        <w:right w:val="none" w:sz="0" w:space="0" w:color="auto"/>
      </w:divBdr>
    </w:div>
    <w:div w:id="679359801">
      <w:bodyDiv w:val="1"/>
      <w:marLeft w:val="0"/>
      <w:marRight w:val="0"/>
      <w:marTop w:val="0"/>
      <w:marBottom w:val="0"/>
      <w:divBdr>
        <w:top w:val="none" w:sz="0" w:space="0" w:color="auto"/>
        <w:left w:val="none" w:sz="0" w:space="0" w:color="auto"/>
        <w:bottom w:val="none" w:sz="0" w:space="0" w:color="auto"/>
        <w:right w:val="none" w:sz="0" w:space="0" w:color="auto"/>
      </w:divBdr>
      <w:divsChild>
        <w:div w:id="599876194">
          <w:marLeft w:val="0"/>
          <w:marRight w:val="0"/>
          <w:marTop w:val="0"/>
          <w:marBottom w:val="0"/>
          <w:divBdr>
            <w:top w:val="none" w:sz="0" w:space="0" w:color="auto"/>
            <w:left w:val="none" w:sz="0" w:space="0" w:color="auto"/>
            <w:bottom w:val="none" w:sz="0" w:space="0" w:color="auto"/>
            <w:right w:val="none" w:sz="0" w:space="0" w:color="auto"/>
          </w:divBdr>
        </w:div>
        <w:div w:id="2034528503">
          <w:marLeft w:val="0"/>
          <w:marRight w:val="0"/>
          <w:marTop w:val="0"/>
          <w:marBottom w:val="0"/>
          <w:divBdr>
            <w:top w:val="none" w:sz="0" w:space="0" w:color="auto"/>
            <w:left w:val="none" w:sz="0" w:space="0" w:color="auto"/>
            <w:bottom w:val="none" w:sz="0" w:space="0" w:color="auto"/>
            <w:right w:val="none" w:sz="0" w:space="0" w:color="auto"/>
          </w:divBdr>
        </w:div>
        <w:div w:id="1316257551">
          <w:marLeft w:val="0"/>
          <w:marRight w:val="0"/>
          <w:marTop w:val="0"/>
          <w:marBottom w:val="0"/>
          <w:divBdr>
            <w:top w:val="none" w:sz="0" w:space="0" w:color="auto"/>
            <w:left w:val="none" w:sz="0" w:space="0" w:color="auto"/>
            <w:bottom w:val="none" w:sz="0" w:space="0" w:color="auto"/>
            <w:right w:val="none" w:sz="0" w:space="0" w:color="auto"/>
          </w:divBdr>
        </w:div>
        <w:div w:id="519900823">
          <w:marLeft w:val="0"/>
          <w:marRight w:val="0"/>
          <w:marTop w:val="0"/>
          <w:marBottom w:val="0"/>
          <w:divBdr>
            <w:top w:val="none" w:sz="0" w:space="0" w:color="auto"/>
            <w:left w:val="none" w:sz="0" w:space="0" w:color="auto"/>
            <w:bottom w:val="none" w:sz="0" w:space="0" w:color="auto"/>
            <w:right w:val="none" w:sz="0" w:space="0" w:color="auto"/>
          </w:divBdr>
        </w:div>
        <w:div w:id="1005404149">
          <w:marLeft w:val="0"/>
          <w:marRight w:val="0"/>
          <w:marTop w:val="0"/>
          <w:marBottom w:val="0"/>
          <w:divBdr>
            <w:top w:val="none" w:sz="0" w:space="0" w:color="auto"/>
            <w:left w:val="none" w:sz="0" w:space="0" w:color="auto"/>
            <w:bottom w:val="none" w:sz="0" w:space="0" w:color="auto"/>
            <w:right w:val="none" w:sz="0" w:space="0" w:color="auto"/>
          </w:divBdr>
        </w:div>
      </w:divsChild>
    </w:div>
    <w:div w:id="696467831">
      <w:bodyDiv w:val="1"/>
      <w:marLeft w:val="0"/>
      <w:marRight w:val="0"/>
      <w:marTop w:val="0"/>
      <w:marBottom w:val="0"/>
      <w:divBdr>
        <w:top w:val="none" w:sz="0" w:space="0" w:color="auto"/>
        <w:left w:val="none" w:sz="0" w:space="0" w:color="auto"/>
        <w:bottom w:val="none" w:sz="0" w:space="0" w:color="auto"/>
        <w:right w:val="none" w:sz="0" w:space="0" w:color="auto"/>
      </w:divBdr>
    </w:div>
    <w:div w:id="1058093528">
      <w:bodyDiv w:val="1"/>
      <w:marLeft w:val="0"/>
      <w:marRight w:val="0"/>
      <w:marTop w:val="0"/>
      <w:marBottom w:val="0"/>
      <w:divBdr>
        <w:top w:val="none" w:sz="0" w:space="0" w:color="auto"/>
        <w:left w:val="none" w:sz="0" w:space="0" w:color="auto"/>
        <w:bottom w:val="none" w:sz="0" w:space="0" w:color="auto"/>
        <w:right w:val="none" w:sz="0" w:space="0" w:color="auto"/>
      </w:divBdr>
    </w:div>
    <w:div w:id="1094588256">
      <w:bodyDiv w:val="1"/>
      <w:marLeft w:val="0"/>
      <w:marRight w:val="0"/>
      <w:marTop w:val="0"/>
      <w:marBottom w:val="0"/>
      <w:divBdr>
        <w:top w:val="none" w:sz="0" w:space="0" w:color="auto"/>
        <w:left w:val="none" w:sz="0" w:space="0" w:color="auto"/>
        <w:bottom w:val="none" w:sz="0" w:space="0" w:color="auto"/>
        <w:right w:val="none" w:sz="0" w:space="0" w:color="auto"/>
      </w:divBdr>
    </w:div>
    <w:div w:id="1096900508">
      <w:bodyDiv w:val="1"/>
      <w:marLeft w:val="0"/>
      <w:marRight w:val="0"/>
      <w:marTop w:val="0"/>
      <w:marBottom w:val="0"/>
      <w:divBdr>
        <w:top w:val="none" w:sz="0" w:space="0" w:color="auto"/>
        <w:left w:val="none" w:sz="0" w:space="0" w:color="auto"/>
        <w:bottom w:val="none" w:sz="0" w:space="0" w:color="auto"/>
        <w:right w:val="none" w:sz="0" w:space="0" w:color="auto"/>
      </w:divBdr>
    </w:div>
    <w:div w:id="1111895905">
      <w:bodyDiv w:val="1"/>
      <w:marLeft w:val="0"/>
      <w:marRight w:val="0"/>
      <w:marTop w:val="0"/>
      <w:marBottom w:val="0"/>
      <w:divBdr>
        <w:top w:val="none" w:sz="0" w:space="0" w:color="auto"/>
        <w:left w:val="none" w:sz="0" w:space="0" w:color="auto"/>
        <w:bottom w:val="none" w:sz="0" w:space="0" w:color="auto"/>
        <w:right w:val="none" w:sz="0" w:space="0" w:color="auto"/>
      </w:divBdr>
    </w:div>
    <w:div w:id="1243950571">
      <w:bodyDiv w:val="1"/>
      <w:marLeft w:val="0"/>
      <w:marRight w:val="0"/>
      <w:marTop w:val="0"/>
      <w:marBottom w:val="0"/>
      <w:divBdr>
        <w:top w:val="none" w:sz="0" w:space="0" w:color="auto"/>
        <w:left w:val="none" w:sz="0" w:space="0" w:color="auto"/>
        <w:bottom w:val="none" w:sz="0" w:space="0" w:color="auto"/>
        <w:right w:val="none" w:sz="0" w:space="0" w:color="auto"/>
      </w:divBdr>
    </w:div>
    <w:div w:id="1523974731">
      <w:bodyDiv w:val="1"/>
      <w:marLeft w:val="0"/>
      <w:marRight w:val="0"/>
      <w:marTop w:val="0"/>
      <w:marBottom w:val="0"/>
      <w:divBdr>
        <w:top w:val="none" w:sz="0" w:space="0" w:color="auto"/>
        <w:left w:val="none" w:sz="0" w:space="0" w:color="auto"/>
        <w:bottom w:val="none" w:sz="0" w:space="0" w:color="auto"/>
        <w:right w:val="none" w:sz="0" w:space="0" w:color="auto"/>
      </w:divBdr>
    </w:div>
    <w:div w:id="1581717611">
      <w:bodyDiv w:val="1"/>
      <w:marLeft w:val="0"/>
      <w:marRight w:val="0"/>
      <w:marTop w:val="0"/>
      <w:marBottom w:val="0"/>
      <w:divBdr>
        <w:top w:val="none" w:sz="0" w:space="0" w:color="auto"/>
        <w:left w:val="none" w:sz="0" w:space="0" w:color="auto"/>
        <w:bottom w:val="none" w:sz="0" w:space="0" w:color="auto"/>
        <w:right w:val="none" w:sz="0" w:space="0" w:color="auto"/>
      </w:divBdr>
    </w:div>
    <w:div w:id="1639266351">
      <w:bodyDiv w:val="1"/>
      <w:marLeft w:val="0"/>
      <w:marRight w:val="0"/>
      <w:marTop w:val="0"/>
      <w:marBottom w:val="0"/>
      <w:divBdr>
        <w:top w:val="none" w:sz="0" w:space="0" w:color="auto"/>
        <w:left w:val="none" w:sz="0" w:space="0" w:color="auto"/>
        <w:bottom w:val="none" w:sz="0" w:space="0" w:color="auto"/>
        <w:right w:val="none" w:sz="0" w:space="0" w:color="auto"/>
      </w:divBdr>
    </w:div>
    <w:div w:id="1778791365">
      <w:bodyDiv w:val="1"/>
      <w:marLeft w:val="0"/>
      <w:marRight w:val="0"/>
      <w:marTop w:val="0"/>
      <w:marBottom w:val="0"/>
      <w:divBdr>
        <w:top w:val="none" w:sz="0" w:space="0" w:color="auto"/>
        <w:left w:val="none" w:sz="0" w:space="0" w:color="auto"/>
        <w:bottom w:val="none" w:sz="0" w:space="0" w:color="auto"/>
        <w:right w:val="none" w:sz="0" w:space="0" w:color="auto"/>
      </w:divBdr>
    </w:div>
    <w:div w:id="1824153670">
      <w:bodyDiv w:val="1"/>
      <w:marLeft w:val="0"/>
      <w:marRight w:val="0"/>
      <w:marTop w:val="0"/>
      <w:marBottom w:val="0"/>
      <w:divBdr>
        <w:top w:val="none" w:sz="0" w:space="0" w:color="auto"/>
        <w:left w:val="none" w:sz="0" w:space="0" w:color="auto"/>
        <w:bottom w:val="none" w:sz="0" w:space="0" w:color="auto"/>
        <w:right w:val="none" w:sz="0" w:space="0" w:color="auto"/>
      </w:divBdr>
    </w:div>
    <w:div w:id="1976134409">
      <w:bodyDiv w:val="1"/>
      <w:marLeft w:val="0"/>
      <w:marRight w:val="0"/>
      <w:marTop w:val="0"/>
      <w:marBottom w:val="0"/>
      <w:divBdr>
        <w:top w:val="none" w:sz="0" w:space="0" w:color="auto"/>
        <w:left w:val="none" w:sz="0" w:space="0" w:color="auto"/>
        <w:bottom w:val="none" w:sz="0" w:space="0" w:color="auto"/>
        <w:right w:val="none" w:sz="0" w:space="0" w:color="auto"/>
      </w:divBdr>
    </w:div>
    <w:div w:id="2047942557">
      <w:bodyDiv w:val="1"/>
      <w:marLeft w:val="0"/>
      <w:marRight w:val="0"/>
      <w:marTop w:val="0"/>
      <w:marBottom w:val="0"/>
      <w:divBdr>
        <w:top w:val="none" w:sz="0" w:space="0" w:color="auto"/>
        <w:left w:val="none" w:sz="0" w:space="0" w:color="auto"/>
        <w:bottom w:val="none" w:sz="0" w:space="0" w:color="auto"/>
        <w:right w:val="none" w:sz="0" w:space="0" w:color="auto"/>
      </w:divBdr>
    </w:div>
    <w:div w:id="2063478355">
      <w:bodyDiv w:val="1"/>
      <w:marLeft w:val="0"/>
      <w:marRight w:val="0"/>
      <w:marTop w:val="0"/>
      <w:marBottom w:val="0"/>
      <w:divBdr>
        <w:top w:val="none" w:sz="0" w:space="0" w:color="auto"/>
        <w:left w:val="none" w:sz="0" w:space="0" w:color="auto"/>
        <w:bottom w:val="none" w:sz="0" w:space="0" w:color="auto"/>
        <w:right w:val="none" w:sz="0" w:space="0" w:color="auto"/>
      </w:divBdr>
    </w:div>
    <w:div w:id="2095781494">
      <w:bodyDiv w:val="1"/>
      <w:marLeft w:val="0"/>
      <w:marRight w:val="0"/>
      <w:marTop w:val="0"/>
      <w:marBottom w:val="0"/>
      <w:divBdr>
        <w:top w:val="none" w:sz="0" w:space="0" w:color="auto"/>
        <w:left w:val="none" w:sz="0" w:space="0" w:color="auto"/>
        <w:bottom w:val="none" w:sz="0" w:space="0" w:color="auto"/>
        <w:right w:val="none" w:sz="0" w:space="0" w:color="auto"/>
      </w:divBdr>
    </w:div>
    <w:div w:id="2102409367">
      <w:bodyDiv w:val="1"/>
      <w:marLeft w:val="0"/>
      <w:marRight w:val="0"/>
      <w:marTop w:val="0"/>
      <w:marBottom w:val="0"/>
      <w:divBdr>
        <w:top w:val="none" w:sz="0" w:space="0" w:color="auto"/>
        <w:left w:val="none" w:sz="0" w:space="0" w:color="auto"/>
        <w:bottom w:val="none" w:sz="0" w:space="0" w:color="auto"/>
        <w:right w:val="none" w:sz="0" w:space="0" w:color="auto"/>
      </w:divBdr>
    </w:div>
    <w:div w:id="213254962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hyperlink" Target="http://www.ontarioenergyboard.ca/OEB/Industry/Regulatory+Proceedings/Policy+Initiatives+and+Consultations/Conservation+and+Demand+Management+(CDM)/Natural+Gas+DSM" TargetMode="External"/><Relationship Id="rId39" Type="http://schemas.openxmlformats.org/officeDocument/2006/relationships/hyperlink" Target="http://www.cadmusgroup.com/presentations/nest-learning-thermostat-can-teach-old-thermostat-new-tricks/" TargetMode="External"/><Relationship Id="rId3" Type="http://schemas.openxmlformats.org/officeDocument/2006/relationships/styles" Target="styles.xml"/><Relationship Id="rId21" Type="http://schemas.openxmlformats.org/officeDocument/2006/relationships/hyperlink" Target="http://www.parksassociates.com/blog/article/pr0716-hem" TargetMode="External"/><Relationship Id="rId34" Type="http://schemas.openxmlformats.org/officeDocument/2006/relationships/hyperlink" Target="http://aceee.org/files/proceedings/1988/data/papers/1988_V11_003.pdf" TargetMode="External"/><Relationship Id="rId42" Type="http://schemas.openxmlformats.org/officeDocument/2006/relationships/hyperlink" Target="http://www.etcc-ca.com/sites/default/files/reports/DR10SCE0501%20OpenADR%20PCT.pdf" TargetMode="External"/><Relationship Id="rId47" Type="http://schemas.openxmlformats.org/officeDocument/2006/relationships/hyperlink" Target="http://aceee.org/files/proceedings/2016/data/papers/2_420.pdf" TargetMode="External"/><Relationship Id="rId50" Type="http://schemas.openxmlformats.org/officeDocument/2006/relationships/hyperlink" Target="http://ilsagfiles.org/SAG_files/Meeting_Materials/2015/6-23-15_Meeting/CLEAResult_Smart_Thermostat_WhitePaper_20150505.pdf" TargetMode="Externa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hyperlink" Target="http://ilsagfiles.org/SAG_files/Technical_Reference_Manual/Version_5/Final/IL-TRM_Effective_060116_v5.0_Vol_3_Res_021116_Final.pdf" TargetMode="External"/><Relationship Id="rId33" Type="http://schemas.openxmlformats.org/officeDocument/2006/relationships/hyperlink" Target="https://www.researchgate.net/publication/256569757_Monitored_indoor_temperatures_and_reported_thermostat_settings_How_different_are_they" TargetMode="External"/><Relationship Id="rId38" Type="http://schemas.openxmlformats.org/officeDocument/2006/relationships/hyperlink" Target="http://energytrust.org/library/reports/Nest_Pilot_Study_Evaluation_wSR.pdf" TargetMode="External"/><Relationship Id="rId46" Type="http://schemas.openxmlformats.org/officeDocument/2006/relationships/hyperlink" Target="http://aceee.org/files/proceedings/2016/data/papers/1_351.pdf" TargetMode="Externa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hyperlink" Target="http://www.smartgridnews.com/story/nest-energy-companies-find-success-smart-thermostats/2016-06-01" TargetMode="External"/><Relationship Id="rId29" Type="http://schemas.openxmlformats.org/officeDocument/2006/relationships/hyperlink" Target="http://www.deeresources.com/files/deer2005/downloads/DEER2005UpdateFinalReport_ItronVersion.pdf" TargetMode="External"/><Relationship Id="rId41" Type="http://schemas.openxmlformats.org/officeDocument/2006/relationships/hyperlink" Target="http://aceee.org/files/proceedings/2016/data/papers/8_163.pdf" TargetMode="External"/><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hyperlink" Target="http://ilsagfiles.org/SAG_files/Meeting_Materials/2015/6-23-15_Meeting/CLEAResult_Smart_Thermostat_WhitePaper_20150505.pdf" TargetMode="External"/><Relationship Id="rId32" Type="http://schemas.openxmlformats.org/officeDocument/2006/relationships/hyperlink" Target="http://aceee.org/files/proceedings/1990/data/papers/SS90_Panel2_Paper14.pdf" TargetMode="External"/><Relationship Id="rId37" Type="http://schemas.openxmlformats.org/officeDocument/2006/relationships/hyperlink" Target="https://nest.com/downloads/press/documents/energy-savings-white-paper.pdf" TargetMode="External"/><Relationship Id="rId40" Type="http://schemas.openxmlformats.org/officeDocument/2006/relationships/hyperlink" Target="https://myweb.in.gov/IURC/eds/Modules/Ecms/Cases/Docketed_Cases/ViewDocument.aspx?DocID=0900b631801c5039" TargetMode="External"/><Relationship Id="rId45" Type="http://schemas.openxmlformats.org/officeDocument/2006/relationships/hyperlink" Target="http://www.etcc-ca.com/sites/default/files/OLD/images/stories/pdf/ETCC_Report_397.pdf" TargetMode="External"/><Relationship Id="rId53"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hyperlink" Target="http://www.parksassociates.com/bento/shop/whitepapers/files/Parks%20Assoc%20CEA%20Smart%20Home%20Ecosystem%20WP.pdf" TargetMode="External"/><Relationship Id="rId28" Type="http://schemas.openxmlformats.org/officeDocument/2006/relationships/hyperlink" Target="https://www.vectren.com/assets/cms/livesmart/pdfs/EEEP.pdf" TargetMode="External"/><Relationship Id="rId36" Type="http://schemas.openxmlformats.org/officeDocument/2006/relationships/hyperlink" Target="http://aceee.org/files/proceedings/2016/data/index.htm" TargetMode="External"/><Relationship Id="rId49" Type="http://schemas.openxmlformats.org/officeDocument/2006/relationships/hyperlink" Target="http://ma-eeac.org/wordpress/wp-content/uploads/TRM_PLAN_2013-15.pdf" TargetMode="External"/><Relationship Id="rId10" Type="http://schemas.openxmlformats.org/officeDocument/2006/relationships/image" Target="media/image2.png"/><Relationship Id="rId19" Type="http://schemas.openxmlformats.org/officeDocument/2006/relationships/hyperlink" Target="http://www.smartgridnews.com/story/nest-energy-companies-find-success-smart-thermostats/2016-06-01" TargetMode="External"/><Relationship Id="rId31" Type="http://schemas.openxmlformats.org/officeDocument/2006/relationships/hyperlink" Target="https://library.cee1.org/sites/default/files/library/1773/954.pdf" TargetMode="External"/><Relationship Id="rId44" Type="http://schemas.openxmlformats.org/officeDocument/2006/relationships/hyperlink" Target="http://www.etcc-ca.com/sites/default/files/OLD/images/stories/dr_06.10_impact_of_pct_on__dr_phase2.pdf" TargetMode="External"/><Relationship Id="rId52"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hyperlink" Target="http://www.businessinsider.com/the-us-smart-home-market-report-adoption-forecasts-top-products-and-the-cost-and-fragmentation-problems-that-could-hinder-growth-2015-9" TargetMode="External"/><Relationship Id="rId27" Type="http://schemas.openxmlformats.org/officeDocument/2006/relationships/hyperlink" Target="http://www.ontarioenergyboard.ca/OEB/Industry/Regulatory+Proceedings/Policy+Initiatives+and+Consultations/Conservation+and+Demand+Management+(CDM)/Natural+Gas+DSM" TargetMode="External"/><Relationship Id="rId30" Type="http://schemas.openxmlformats.org/officeDocument/2006/relationships/hyperlink" Target="http://www.energy.ca.gov/2010publications/CEC-200-2010-004/CEC-200-2010-004_RASS.PDF" TargetMode="External"/><Relationship Id="rId35" Type="http://schemas.openxmlformats.org/officeDocument/2006/relationships/hyperlink" Target="http://www.waptac.org/data/files/website_docs/training/standardized_curricula/curricula_resources/blasnik_measurement%20and%20verification%20of%20residential%20refrigerator.pdf" TargetMode="External"/><Relationship Id="rId43" Type="http://schemas.openxmlformats.org/officeDocument/2006/relationships/hyperlink" Target="http://www.etcc-ca.com/reports/residential-programmable-communicating-thermostat-customer-satisfaction-survey" TargetMode="External"/><Relationship Id="rId48" Type="http://schemas.openxmlformats.org/officeDocument/2006/relationships/hyperlink" Target="http://aceee.org/files/proceedings/2016/data/papers/2_1172.pdf" TargetMode="External"/><Relationship Id="rId8" Type="http://schemas.openxmlformats.org/officeDocument/2006/relationships/hyperlink" Target="http://www.caltf.org/" TargetMode="External"/><Relationship Id="rId51" Type="http://schemas.openxmlformats.org/officeDocument/2006/relationships/hyperlink" Target="http://www.etcc-ca.com/reports/smart-thermostat-study"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F0EED98-125A-4510-A7B1-0779B09A52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235</TotalTime>
  <Pages>51</Pages>
  <Words>15947</Words>
  <Characters>90901</Characters>
  <Application>Microsoft Office Word</Application>
  <DocSecurity>0</DocSecurity>
  <Lines>757</Lines>
  <Paragraphs>213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106635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Annette Beitel</dc:creator>
  <cp:lastModifiedBy>Scott Mitchell</cp:lastModifiedBy>
  <cp:revision>9</cp:revision>
  <cp:lastPrinted>2017-02-22T00:18:00Z</cp:lastPrinted>
  <dcterms:created xsi:type="dcterms:W3CDTF">2017-03-09T21:59:00Z</dcterms:created>
  <dcterms:modified xsi:type="dcterms:W3CDTF">2017-03-15T23:57:00Z</dcterms:modified>
</cp:coreProperties>
</file>