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B6A3E" w14:textId="7777777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175150">
            <w:t>SCE17</w:t>
          </w:r>
          <w:r w:rsidR="00922B6D">
            <w:t>HC052</w:t>
          </w:r>
        </w:sdtContent>
      </w:sdt>
    </w:p>
    <w:bookmarkEnd w:id="0"/>
    <w:p w14:paraId="7E377774" w14:textId="18C94EA9" w:rsidR="00DA690B" w:rsidRPr="00500C4E" w:rsidRDefault="0009076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497E74" w:rsidRPr="00500C4E">
            <w:rPr>
              <w:rStyle w:val="CaptionChar"/>
              <w:rFonts w:asciiTheme="minorHAnsi" w:hAnsiTheme="minorHAnsi" w:cstheme="minorHAnsi"/>
              <w:b/>
              <w:bCs w:val="0"/>
              <w:sz w:val="48"/>
              <w:szCs w:val="48"/>
            </w:rPr>
            <w:t>Revision</w:t>
          </w:r>
          <w:r w:rsidR="00E945CA">
            <w:rPr>
              <w:rStyle w:val="CaptionChar"/>
              <w:rFonts w:asciiTheme="minorHAnsi" w:hAnsiTheme="minorHAnsi" w:cstheme="minorHAnsi"/>
              <w:b/>
              <w:bCs w:val="0"/>
              <w:sz w:val="48"/>
              <w:szCs w:val="48"/>
            </w:rPr>
            <w:t xml:space="preserve"> 0</w:t>
          </w:r>
        </w:sdtContent>
      </w:sdt>
    </w:p>
    <w:p w14:paraId="30EEA06B" w14:textId="77777777" w:rsidR="00285A0D" w:rsidRPr="00500C4E" w:rsidRDefault="00285A0D" w:rsidP="00DE5758">
      <w:pPr>
        <w:jc w:val="right"/>
        <w:rPr>
          <w:rFonts w:cstheme="minorHAnsi"/>
          <w:b/>
          <w:sz w:val="48"/>
          <w:szCs w:val="48"/>
        </w:rPr>
      </w:pPr>
    </w:p>
    <w:bookmarkStart w:id="2" w:name="SCE"/>
    <w:p w14:paraId="4D8CE556" w14:textId="77777777" w:rsidR="00DA690B" w:rsidRPr="00500C4E" w:rsidRDefault="0009076B" w:rsidP="00DA690B">
      <w:pPr>
        <w:pBdr>
          <w:bottom w:val="single" w:sz="4" w:space="1" w:color="auto"/>
        </w:pBdr>
        <w:rPr>
          <w:rFonts w:cstheme="minorHAnsi"/>
          <w:b/>
          <w:sz w:val="36"/>
          <w:szCs w:val="36"/>
        </w:rPr>
      </w:pPr>
      <w:sdt>
        <w:sdtPr>
          <w:rPr>
            <w:rFonts w:ascii="Times New Roman" w:hAnsi="Times New Roman" w:cstheme="minorHAnsi"/>
            <w:b/>
            <w:bCs/>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2"/>
    </w:p>
    <w:p w14:paraId="3147047C" w14:textId="77777777" w:rsidR="00DA690B" w:rsidRPr="00500C4E" w:rsidRDefault="00DA690B" w:rsidP="00DA690B">
      <w:pPr>
        <w:rPr>
          <w:rFonts w:cstheme="minorHAnsi"/>
        </w:rPr>
      </w:pPr>
    </w:p>
    <w:p w14:paraId="0C83E6A3" w14:textId="77777777" w:rsidR="00DA690B" w:rsidRPr="00500C4E" w:rsidRDefault="00DA690B" w:rsidP="00DA690B">
      <w:pPr>
        <w:rPr>
          <w:rFonts w:cstheme="minorHAnsi"/>
        </w:rPr>
      </w:pPr>
    </w:p>
    <w:p w14:paraId="3B33A9AC" w14:textId="77777777" w:rsidR="00DA690B" w:rsidRPr="00500C4E" w:rsidRDefault="009D0753" w:rsidP="009D0753">
      <w:pPr>
        <w:tabs>
          <w:tab w:val="left" w:pos="8190"/>
        </w:tabs>
        <w:rPr>
          <w:rFonts w:cstheme="minorHAnsi"/>
        </w:rPr>
      </w:pPr>
      <w:r w:rsidRPr="00500C4E">
        <w:rPr>
          <w:rFonts w:cstheme="minorHAnsi"/>
        </w:rPr>
        <w:tab/>
      </w:r>
    </w:p>
    <w:p w14:paraId="4800F6A3" w14:textId="77777777" w:rsidR="00DA690B" w:rsidRPr="00500C4E" w:rsidRDefault="00DA690B" w:rsidP="00DA690B">
      <w:pPr>
        <w:rPr>
          <w:rFonts w:cstheme="minorHAnsi"/>
        </w:rPr>
      </w:pPr>
    </w:p>
    <w:p w14:paraId="6802AC2C" w14:textId="77777777" w:rsidR="00DA690B" w:rsidRPr="00500C4E" w:rsidRDefault="00DA690B" w:rsidP="00DA690B">
      <w:pPr>
        <w:rPr>
          <w:rFonts w:cstheme="minorHAnsi"/>
        </w:rPr>
      </w:pPr>
    </w:p>
    <w:p w14:paraId="4993EF79" w14:textId="77777777" w:rsidR="00DA690B" w:rsidRPr="00500C4E" w:rsidRDefault="00DA690B" w:rsidP="00DA690B">
      <w:pPr>
        <w:rPr>
          <w:rFonts w:cstheme="minorHAnsi"/>
        </w:rPr>
      </w:pPr>
    </w:p>
    <w:p w14:paraId="4B56C67B" w14:textId="77777777" w:rsidR="00DA690B" w:rsidRPr="00500C4E" w:rsidRDefault="00DA690B" w:rsidP="00DA690B">
      <w:pPr>
        <w:rPr>
          <w:rFonts w:cstheme="minorHAnsi"/>
        </w:rPr>
      </w:pPr>
    </w:p>
    <w:p w14:paraId="5B092823" w14:textId="77777777" w:rsidR="00DA690B" w:rsidRPr="00500C4E" w:rsidRDefault="00DA690B" w:rsidP="00DA690B">
      <w:pPr>
        <w:rPr>
          <w:rFonts w:cstheme="minorHAnsi"/>
        </w:rPr>
      </w:pPr>
    </w:p>
    <w:p w14:paraId="09559D30" w14:textId="37837793" w:rsidR="00E76B31" w:rsidRPr="00500C4E" w:rsidRDefault="006204E1" w:rsidP="00E76B31">
      <w:pPr>
        <w:pStyle w:val="Reminders"/>
        <w:rPr>
          <w:rFonts w:asciiTheme="minorHAnsi" w:hAnsiTheme="minorHAnsi" w:cstheme="minorHAnsi"/>
          <w:i w:val="0"/>
          <w:szCs w:val="22"/>
        </w:rPr>
      </w:pPr>
      <w:r w:rsidRPr="006204E1">
        <w:rPr>
          <w:rFonts w:asciiTheme="minorHAnsi" w:hAnsiTheme="minorHAnsi" w:cstheme="minorHAnsi"/>
          <w:b/>
          <w:i w:val="0"/>
          <w:color w:val="auto"/>
          <w:sz w:val="72"/>
          <w:szCs w:val="72"/>
        </w:rPr>
        <w:t>Fan Delay (Cycle Off) Controller for Residential Air Conditioners</w:t>
      </w:r>
    </w:p>
    <w:p w14:paraId="347BDF14" w14:textId="77777777" w:rsidR="00EF4E6B" w:rsidRPr="00500C4E" w:rsidRDefault="00EF4E6B" w:rsidP="00E76B31">
      <w:pPr>
        <w:pStyle w:val="Reminders"/>
        <w:rPr>
          <w:rFonts w:asciiTheme="minorHAnsi" w:hAnsiTheme="minorHAnsi" w:cstheme="minorHAnsi"/>
          <w:b/>
          <w:i w:val="0"/>
          <w:sz w:val="32"/>
          <w:szCs w:val="22"/>
        </w:rPr>
      </w:pPr>
    </w:p>
    <w:p w14:paraId="29A03376" w14:textId="77777777" w:rsidR="004341AA" w:rsidRDefault="004341AA">
      <w:pPr>
        <w:spacing w:after="200" w:line="276" w:lineRule="auto"/>
        <w:rPr>
          <w:rFonts w:cs="Arial"/>
          <w:b/>
          <w:bCs/>
          <w:smallCaps/>
          <w:kern w:val="32"/>
          <w:sz w:val="36"/>
          <w:szCs w:val="32"/>
        </w:rPr>
      </w:pPr>
      <w:bookmarkStart w:id="3" w:name="_Toc304800192"/>
      <w:bookmarkStart w:id="4" w:name="_Toc324318330"/>
      <w:bookmarkStart w:id="5" w:name="_Toc324340474"/>
      <w:bookmarkStart w:id="6" w:name="_Toc324433427"/>
      <w:r>
        <w:br w:type="page"/>
      </w:r>
    </w:p>
    <w:p w14:paraId="419C5A81" w14:textId="04401632" w:rsidR="00290ED8" w:rsidRPr="00500C4E" w:rsidRDefault="00290ED8" w:rsidP="00AC5309">
      <w:pPr>
        <w:pStyle w:val="Heading1"/>
      </w:pPr>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6204E1" w:rsidRPr="006204E1" w14:paraId="2094A8BA" w14:textId="77777777" w:rsidTr="00920905">
        <w:trPr>
          <w:trHeight w:val="465"/>
        </w:trPr>
        <w:tc>
          <w:tcPr>
            <w:tcW w:w="1875" w:type="pct"/>
          </w:tcPr>
          <w:p w14:paraId="2648D145" w14:textId="77777777" w:rsidR="00AC5309" w:rsidRPr="006204E1" w:rsidRDefault="00AC5309" w:rsidP="004341AA">
            <w:pPr>
              <w:jc w:val="both"/>
              <w:rPr>
                <w:rStyle w:val="Strong"/>
                <w:rFonts w:asciiTheme="minorHAnsi" w:hAnsiTheme="minorHAnsi" w:cs="Arial"/>
                <w:b w:val="0"/>
                <w:bCs w:val="0"/>
                <w:smallCaps/>
                <w:kern w:val="32"/>
                <w:sz w:val="20"/>
                <w:szCs w:val="20"/>
              </w:rPr>
            </w:pPr>
            <w:r w:rsidRPr="006204E1">
              <w:rPr>
                <w:rStyle w:val="Strong"/>
                <w:rFonts w:asciiTheme="minorHAnsi" w:hAnsiTheme="minorHAnsi"/>
                <w:sz w:val="20"/>
                <w:szCs w:val="20"/>
              </w:rPr>
              <w:t>Measure Codes</w:t>
            </w:r>
          </w:p>
        </w:tc>
        <w:tc>
          <w:tcPr>
            <w:tcW w:w="3125" w:type="pct"/>
          </w:tcPr>
          <w:p w14:paraId="529105B4" w14:textId="1DDA3966" w:rsidR="00AC5309" w:rsidRPr="006204E1" w:rsidRDefault="006204E1" w:rsidP="004341AA">
            <w:pPr>
              <w:jc w:val="both"/>
              <w:rPr>
                <w:rFonts w:cs="Arial"/>
                <w:bCs/>
                <w:szCs w:val="20"/>
              </w:rPr>
            </w:pPr>
            <w:r w:rsidRPr="006204E1">
              <w:rPr>
                <w:rFonts w:ascii="Calibri" w:hAnsi="Calibri" w:cs="Calibri"/>
                <w:szCs w:val="20"/>
              </w:rPr>
              <w:t>AC-</w:t>
            </w:r>
            <w:r w:rsidR="002517E4">
              <w:rPr>
                <w:rFonts w:ascii="Calibri" w:hAnsi="Calibri" w:cs="Calibri"/>
                <w:szCs w:val="20"/>
              </w:rPr>
              <w:t>20510</w:t>
            </w:r>
            <w:r w:rsidR="002517E4" w:rsidRPr="006204E1">
              <w:rPr>
                <w:rFonts w:ascii="Calibri" w:hAnsi="Calibri" w:cs="Calibri"/>
                <w:szCs w:val="20"/>
              </w:rPr>
              <w:t xml:space="preserve"> </w:t>
            </w:r>
            <w:r w:rsidRPr="006204E1">
              <w:rPr>
                <w:rFonts w:ascii="Calibri" w:hAnsi="Calibri" w:cs="Calibri"/>
                <w:szCs w:val="20"/>
              </w:rPr>
              <w:t xml:space="preserve">– </w:t>
            </w:r>
            <w:r w:rsidR="002517E4" w:rsidRPr="002517E4">
              <w:rPr>
                <w:rFonts w:ascii="Calibri" w:hAnsi="Calibri" w:cs="Calibri"/>
                <w:szCs w:val="20"/>
              </w:rPr>
              <w:t>Fan Delay (Cycle Off) Controller for Residential Air Conditioners</w:t>
            </w:r>
          </w:p>
        </w:tc>
      </w:tr>
      <w:tr w:rsidR="00AC5309" w:rsidRPr="00500C4E" w14:paraId="7FE654EB" w14:textId="77777777" w:rsidTr="000E4E91">
        <w:trPr>
          <w:trHeight w:val="836"/>
        </w:trPr>
        <w:tc>
          <w:tcPr>
            <w:tcW w:w="1875" w:type="pct"/>
          </w:tcPr>
          <w:p w14:paraId="0219B55A" w14:textId="77777777" w:rsidR="00290ED8" w:rsidRPr="00500C4E" w:rsidRDefault="00290ED8" w:rsidP="004341AA">
            <w:pPr>
              <w:jc w:val="both"/>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2F4EDFA4" w14:textId="46E203CA" w:rsidR="006F2ED7" w:rsidRPr="006204E1" w:rsidRDefault="003C70C7" w:rsidP="004341AA">
            <w:pPr>
              <w:jc w:val="both"/>
              <w:rPr>
                <w:rFonts w:cs="Arial"/>
                <w:szCs w:val="20"/>
              </w:rPr>
            </w:pPr>
            <w:r>
              <w:rPr>
                <w:rFonts w:cs="Arial"/>
                <w:szCs w:val="20"/>
              </w:rPr>
              <w:t xml:space="preserve">Residential central </w:t>
            </w:r>
            <w:r w:rsidR="00164001">
              <w:rPr>
                <w:rFonts w:cs="Arial"/>
                <w:szCs w:val="20"/>
              </w:rPr>
              <w:t>HVAC system with e</w:t>
            </w:r>
            <w:r w:rsidR="000E4E91">
              <w:rPr>
                <w:rFonts w:cs="Arial"/>
                <w:szCs w:val="20"/>
              </w:rPr>
              <w:t>vaporator f</w:t>
            </w:r>
            <w:r w:rsidR="006F2ED7">
              <w:rPr>
                <w:rFonts w:cs="Arial"/>
                <w:szCs w:val="20"/>
              </w:rPr>
              <w:t>an</w:t>
            </w:r>
            <w:r w:rsidR="000E4E91">
              <w:rPr>
                <w:rFonts w:cs="Arial"/>
                <w:szCs w:val="20"/>
              </w:rPr>
              <w:t xml:space="preserve"> </w:t>
            </w:r>
            <w:r w:rsidR="0026298D">
              <w:rPr>
                <w:rFonts w:cs="Arial"/>
                <w:szCs w:val="20"/>
              </w:rPr>
              <w:t>delay</w:t>
            </w:r>
            <w:r w:rsidR="004E2899">
              <w:rPr>
                <w:rFonts w:cs="Arial"/>
                <w:szCs w:val="20"/>
              </w:rPr>
              <w:t xml:space="preserve"> </w:t>
            </w:r>
            <w:r w:rsidR="000E4E91">
              <w:rPr>
                <w:rFonts w:cs="Arial"/>
                <w:szCs w:val="20"/>
              </w:rPr>
              <w:t>(cycle off)</w:t>
            </w:r>
            <w:r w:rsidR="006F2ED7">
              <w:rPr>
                <w:rFonts w:cs="Arial"/>
                <w:szCs w:val="20"/>
              </w:rPr>
              <w:t xml:space="preserve"> controller </w:t>
            </w:r>
            <w:r w:rsidR="001C5A3D">
              <w:rPr>
                <w:rFonts w:cs="Arial"/>
                <w:szCs w:val="20"/>
              </w:rPr>
              <w:t xml:space="preserve">based on a manual prescribed time or </w:t>
            </w:r>
            <w:r w:rsidR="006204E1" w:rsidRPr="006204E1">
              <w:rPr>
                <w:rFonts w:cs="Arial"/>
                <w:szCs w:val="20"/>
              </w:rPr>
              <w:t xml:space="preserve">using </w:t>
            </w:r>
            <w:r w:rsidR="001C5A3D">
              <w:rPr>
                <w:rFonts w:cs="Arial"/>
                <w:szCs w:val="20"/>
              </w:rPr>
              <w:t xml:space="preserve">a </w:t>
            </w:r>
            <w:r w:rsidR="006204E1" w:rsidRPr="006204E1">
              <w:rPr>
                <w:rFonts w:cs="Arial"/>
                <w:szCs w:val="20"/>
              </w:rPr>
              <w:t>built-in logic to delay the evaporator fan cycle off time</w:t>
            </w:r>
            <w:r w:rsidR="001C5A3D">
              <w:rPr>
                <w:rFonts w:cs="Arial"/>
                <w:szCs w:val="20"/>
              </w:rPr>
              <w:t>. The built-in control logic is</w:t>
            </w:r>
            <w:r w:rsidR="001C64E6">
              <w:rPr>
                <w:rFonts w:cs="Arial"/>
                <w:szCs w:val="20"/>
              </w:rPr>
              <w:t xml:space="preserve"> based on equipment (compressor and fan) operation and cycling to improve HVAC system efficiency. </w:t>
            </w:r>
          </w:p>
        </w:tc>
      </w:tr>
      <w:tr w:rsidR="00AC5309" w:rsidRPr="00500C4E" w14:paraId="0DC1C774" w14:textId="77777777" w:rsidTr="00920905">
        <w:trPr>
          <w:trHeight w:val="465"/>
        </w:trPr>
        <w:tc>
          <w:tcPr>
            <w:tcW w:w="1875" w:type="pct"/>
          </w:tcPr>
          <w:p w14:paraId="4254B102" w14:textId="668D80C5" w:rsidR="00290ED8" w:rsidRPr="00500C4E" w:rsidRDefault="00290ED8" w:rsidP="004341AA">
            <w:pPr>
              <w:jc w:val="both"/>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6177A75" w14:textId="79A4EB41" w:rsidR="00290ED8" w:rsidRPr="006204E1" w:rsidRDefault="003C70C7" w:rsidP="004341AA">
            <w:pPr>
              <w:jc w:val="both"/>
              <w:rPr>
                <w:rFonts w:cs="Arial"/>
                <w:szCs w:val="20"/>
              </w:rPr>
            </w:pPr>
            <w:r>
              <w:rPr>
                <w:rFonts w:cstheme="minorHAnsi"/>
                <w:szCs w:val="20"/>
              </w:rPr>
              <w:t xml:space="preserve">Residential central </w:t>
            </w:r>
            <w:r w:rsidR="000E4E91">
              <w:rPr>
                <w:rFonts w:cstheme="minorHAnsi"/>
                <w:szCs w:val="20"/>
              </w:rPr>
              <w:t>HVAC system with stand</w:t>
            </w:r>
            <w:r w:rsidR="001064F2">
              <w:rPr>
                <w:rFonts w:cstheme="minorHAnsi"/>
                <w:szCs w:val="20"/>
              </w:rPr>
              <w:t xml:space="preserve">ard fan controls and operation </w:t>
            </w:r>
            <w:r w:rsidR="000E4E91">
              <w:rPr>
                <w:rFonts w:cstheme="minorHAnsi"/>
                <w:szCs w:val="20"/>
              </w:rPr>
              <w:t xml:space="preserve">without </w:t>
            </w:r>
            <w:r w:rsidR="001C5A3D">
              <w:rPr>
                <w:rFonts w:cstheme="minorHAnsi"/>
                <w:szCs w:val="20"/>
              </w:rPr>
              <w:t>manual or</w:t>
            </w:r>
            <w:r w:rsidR="001064F2">
              <w:rPr>
                <w:rFonts w:cstheme="minorHAnsi"/>
                <w:szCs w:val="20"/>
              </w:rPr>
              <w:t xml:space="preserve"> logic-based </w:t>
            </w:r>
            <w:r w:rsidR="000E4E91">
              <w:rPr>
                <w:rFonts w:cstheme="minorHAnsi"/>
                <w:szCs w:val="20"/>
              </w:rPr>
              <w:t>e</w:t>
            </w:r>
            <w:r w:rsidR="000E4E91">
              <w:rPr>
                <w:rFonts w:cs="Arial"/>
                <w:szCs w:val="20"/>
              </w:rPr>
              <w:t xml:space="preserve">vaporator fan </w:t>
            </w:r>
            <w:r w:rsidR="0026298D">
              <w:rPr>
                <w:rFonts w:cs="Arial"/>
                <w:szCs w:val="20"/>
              </w:rPr>
              <w:t>delay</w:t>
            </w:r>
            <w:r w:rsidR="004E2899">
              <w:rPr>
                <w:rFonts w:cs="Arial"/>
                <w:szCs w:val="20"/>
              </w:rPr>
              <w:t xml:space="preserve"> </w:t>
            </w:r>
            <w:r w:rsidR="000E4E91">
              <w:rPr>
                <w:rFonts w:cs="Arial"/>
                <w:szCs w:val="20"/>
              </w:rPr>
              <w:t>(cycle off)</w:t>
            </w:r>
            <w:r w:rsidR="001064F2">
              <w:rPr>
                <w:rFonts w:cs="Arial"/>
                <w:szCs w:val="20"/>
              </w:rPr>
              <w:t xml:space="preserve"> controller</w:t>
            </w:r>
            <w:r w:rsidR="000E4E91">
              <w:rPr>
                <w:rFonts w:cs="Arial"/>
                <w:szCs w:val="20"/>
              </w:rPr>
              <w:t xml:space="preserve"> to improve HVAC system efficiency.</w:t>
            </w:r>
          </w:p>
        </w:tc>
      </w:tr>
      <w:tr w:rsidR="006204E1" w:rsidRPr="006204E1" w14:paraId="5C3E79A2" w14:textId="77777777" w:rsidTr="00920905">
        <w:trPr>
          <w:trHeight w:val="465"/>
        </w:trPr>
        <w:tc>
          <w:tcPr>
            <w:tcW w:w="1875" w:type="pct"/>
          </w:tcPr>
          <w:p w14:paraId="5E0D64A9" w14:textId="77777777" w:rsidR="00D36798" w:rsidRPr="00500C4E" w:rsidRDefault="00B4065F" w:rsidP="004341AA">
            <w:pPr>
              <w:jc w:val="both"/>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7D666505" w14:textId="30C1E661" w:rsidR="00D36798" w:rsidRPr="006204E1" w:rsidRDefault="001E613E" w:rsidP="004341AA">
            <w:pPr>
              <w:jc w:val="both"/>
              <w:rPr>
                <w:rFonts w:cs="Arial"/>
                <w:szCs w:val="20"/>
              </w:rPr>
            </w:pPr>
            <w:r>
              <w:rPr>
                <w:rFonts w:cs="Arial"/>
                <w:szCs w:val="20"/>
              </w:rPr>
              <w:t>Unit</w:t>
            </w:r>
          </w:p>
        </w:tc>
      </w:tr>
      <w:tr w:rsidR="00290ED8" w:rsidRPr="00500C4E" w14:paraId="26A533CD" w14:textId="77777777" w:rsidTr="00920905">
        <w:trPr>
          <w:trHeight w:val="465"/>
        </w:trPr>
        <w:tc>
          <w:tcPr>
            <w:tcW w:w="1875" w:type="pct"/>
          </w:tcPr>
          <w:p w14:paraId="63CD2FC4" w14:textId="77777777" w:rsidR="00290ED8" w:rsidRPr="00920905" w:rsidRDefault="001C1338" w:rsidP="004341AA">
            <w:pPr>
              <w:jc w:val="both"/>
              <w:rPr>
                <w:rStyle w:val="Strong1"/>
                <w:sz w:val="22"/>
                <w:szCs w:val="20"/>
              </w:rPr>
            </w:pPr>
            <w:r w:rsidRPr="00500C4E">
              <w:rPr>
                <w:rStyle w:val="Strong"/>
                <w:rFonts w:asciiTheme="minorHAnsi" w:hAnsiTheme="minorHAnsi"/>
                <w:sz w:val="20"/>
                <w:szCs w:val="20"/>
              </w:rPr>
              <w:t>Energy Savings</w:t>
            </w:r>
          </w:p>
        </w:tc>
        <w:tc>
          <w:tcPr>
            <w:tcW w:w="3125" w:type="pct"/>
          </w:tcPr>
          <w:p w14:paraId="51AE4BF7" w14:textId="77777777" w:rsidR="00290ED8" w:rsidRPr="00500C4E" w:rsidRDefault="00D36798" w:rsidP="004341AA">
            <w:pPr>
              <w:jc w:val="both"/>
              <w:rPr>
                <w:rFonts w:cs="Arial"/>
                <w:szCs w:val="20"/>
              </w:rPr>
            </w:pPr>
            <w:r w:rsidRPr="00500C4E">
              <w:rPr>
                <w:rFonts w:cs="Arial"/>
                <w:szCs w:val="20"/>
              </w:rPr>
              <w:t>Refer to Excel Calculation Attachment</w:t>
            </w:r>
          </w:p>
        </w:tc>
      </w:tr>
      <w:tr w:rsidR="00290ED8" w:rsidRPr="00500C4E" w14:paraId="7877F94E" w14:textId="77777777" w:rsidTr="00920905">
        <w:trPr>
          <w:trHeight w:val="465"/>
        </w:trPr>
        <w:tc>
          <w:tcPr>
            <w:tcW w:w="1875" w:type="pct"/>
          </w:tcPr>
          <w:p w14:paraId="2AC0F69F" w14:textId="77777777" w:rsidR="00290ED8" w:rsidRPr="00500C4E" w:rsidRDefault="002469DD" w:rsidP="004341AA">
            <w:pPr>
              <w:jc w:val="both"/>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47C1FF9D" w14:textId="77777777" w:rsidR="00290ED8" w:rsidRPr="00500C4E" w:rsidRDefault="00AC2F5B" w:rsidP="004341AA">
            <w:pPr>
              <w:jc w:val="both"/>
              <w:rPr>
                <w:rFonts w:cs="Arial"/>
                <w:szCs w:val="20"/>
              </w:rPr>
            </w:pPr>
            <w:r w:rsidRPr="00500C4E">
              <w:rPr>
                <w:rFonts w:cs="Arial"/>
                <w:szCs w:val="20"/>
              </w:rPr>
              <w:t>Refer to Excel Calculation Attachment</w:t>
            </w:r>
          </w:p>
        </w:tc>
      </w:tr>
      <w:tr w:rsidR="00AC5309" w:rsidRPr="00500C4E" w14:paraId="54270241" w14:textId="77777777" w:rsidTr="00920905">
        <w:trPr>
          <w:trHeight w:val="465"/>
        </w:trPr>
        <w:tc>
          <w:tcPr>
            <w:tcW w:w="1875" w:type="pct"/>
          </w:tcPr>
          <w:p w14:paraId="2DA42C49" w14:textId="77777777" w:rsidR="00290ED8" w:rsidRPr="00500C4E" w:rsidRDefault="00290ED8" w:rsidP="004341AA">
            <w:pPr>
              <w:jc w:val="both"/>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0E43A53E" w14:textId="77777777" w:rsidR="00290ED8" w:rsidRPr="00500C4E" w:rsidRDefault="00AC2F5B" w:rsidP="004341AA">
            <w:pPr>
              <w:jc w:val="both"/>
              <w:rPr>
                <w:rFonts w:cs="Arial"/>
                <w:szCs w:val="20"/>
              </w:rPr>
            </w:pPr>
            <w:r w:rsidRPr="00500C4E">
              <w:rPr>
                <w:rFonts w:cs="Arial"/>
                <w:szCs w:val="20"/>
              </w:rPr>
              <w:t>Refer to Excel Calculation Attachment</w:t>
            </w:r>
          </w:p>
        </w:tc>
      </w:tr>
      <w:tr w:rsidR="00E35EA3" w:rsidRPr="00E35EA3" w14:paraId="32446ADD" w14:textId="77777777" w:rsidTr="00920905">
        <w:trPr>
          <w:trHeight w:val="465"/>
        </w:trPr>
        <w:tc>
          <w:tcPr>
            <w:tcW w:w="1875" w:type="pct"/>
          </w:tcPr>
          <w:p w14:paraId="778E636F" w14:textId="77777777" w:rsidR="00290ED8" w:rsidRPr="00500C4E" w:rsidRDefault="00B4065F" w:rsidP="004341AA">
            <w:pPr>
              <w:jc w:val="both"/>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2C8981C7" w14:textId="073A380D" w:rsidR="00290ED8" w:rsidRPr="00E35EA3" w:rsidRDefault="00FB172C" w:rsidP="004341AA">
            <w:pPr>
              <w:jc w:val="both"/>
              <w:rPr>
                <w:rFonts w:cs="Arial"/>
                <w:szCs w:val="20"/>
              </w:rPr>
            </w:pPr>
            <w:r>
              <w:rPr>
                <w:rFonts w:cs="Arial"/>
                <w:szCs w:val="20"/>
              </w:rPr>
              <w:t>5</w:t>
            </w:r>
            <w:r w:rsidR="006C7131" w:rsidRPr="00E35EA3">
              <w:rPr>
                <w:rFonts w:cs="Arial"/>
                <w:szCs w:val="20"/>
              </w:rPr>
              <w:t xml:space="preserve"> </w:t>
            </w:r>
            <w:r w:rsidR="00E35EA3" w:rsidRPr="00E35EA3">
              <w:rPr>
                <w:rFonts w:cs="Arial"/>
                <w:szCs w:val="20"/>
              </w:rPr>
              <w:t>years (HV</w:t>
            </w:r>
            <w:r>
              <w:rPr>
                <w:rFonts w:cs="Arial"/>
                <w:szCs w:val="20"/>
              </w:rPr>
              <w:t>-</w:t>
            </w:r>
            <w:proofErr w:type="spellStart"/>
            <w:r>
              <w:rPr>
                <w:rFonts w:cs="Arial"/>
                <w:szCs w:val="20"/>
              </w:rPr>
              <w:t>ResAC</w:t>
            </w:r>
            <w:proofErr w:type="spellEnd"/>
            <w:r w:rsidR="00E35EA3" w:rsidRPr="00E35EA3">
              <w:rPr>
                <w:rFonts w:cs="Arial"/>
                <w:szCs w:val="20"/>
              </w:rPr>
              <w:t>)</w:t>
            </w:r>
          </w:p>
        </w:tc>
      </w:tr>
      <w:tr w:rsidR="004E0D2F" w:rsidRPr="004E0D2F" w14:paraId="473DE759" w14:textId="77777777" w:rsidTr="00920905">
        <w:trPr>
          <w:trHeight w:val="465"/>
        </w:trPr>
        <w:tc>
          <w:tcPr>
            <w:tcW w:w="1875" w:type="pct"/>
          </w:tcPr>
          <w:p w14:paraId="05C46346" w14:textId="77777777" w:rsidR="00290ED8" w:rsidRPr="00500C4E" w:rsidRDefault="00290ED8" w:rsidP="004341AA">
            <w:pPr>
              <w:jc w:val="both"/>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5A2136BD" w14:textId="5F850D42" w:rsidR="00290ED8" w:rsidRPr="004E0D2F" w:rsidRDefault="004E0D2F" w:rsidP="004341AA">
            <w:pPr>
              <w:jc w:val="both"/>
              <w:rPr>
                <w:rFonts w:cs="Arial"/>
                <w:szCs w:val="20"/>
              </w:rPr>
            </w:pPr>
            <w:r w:rsidRPr="004E0D2F">
              <w:rPr>
                <w:szCs w:val="20"/>
              </w:rPr>
              <w:t>R</w:t>
            </w:r>
            <w:r w:rsidR="00EC1875">
              <w:rPr>
                <w:szCs w:val="20"/>
              </w:rPr>
              <w:t>etrofit Add-On (REA)</w:t>
            </w:r>
          </w:p>
        </w:tc>
      </w:tr>
      <w:tr w:rsidR="00290ED8" w:rsidRPr="00500C4E" w14:paraId="5DDACE2A" w14:textId="77777777" w:rsidTr="00920905">
        <w:trPr>
          <w:trHeight w:val="465"/>
        </w:trPr>
        <w:tc>
          <w:tcPr>
            <w:tcW w:w="1875" w:type="pct"/>
          </w:tcPr>
          <w:p w14:paraId="2CE11062" w14:textId="77777777" w:rsidR="00290ED8" w:rsidRPr="00500C4E" w:rsidRDefault="001C1338" w:rsidP="004341AA">
            <w:pPr>
              <w:jc w:val="both"/>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513E4B47" w14:textId="7A577480" w:rsidR="00290ED8" w:rsidRPr="002D26C9" w:rsidRDefault="002D26C9" w:rsidP="004341AA">
            <w:pPr>
              <w:jc w:val="both"/>
              <w:rPr>
                <w:rFonts w:cs="Arial"/>
                <w:szCs w:val="20"/>
              </w:rPr>
            </w:pPr>
            <w:r w:rsidRPr="002D26C9">
              <w:rPr>
                <w:rFonts w:cs="Arial"/>
                <w:szCs w:val="20"/>
              </w:rPr>
              <w:t>0.</w:t>
            </w:r>
            <w:r w:rsidR="00263436">
              <w:rPr>
                <w:rFonts w:cs="Arial"/>
                <w:szCs w:val="20"/>
              </w:rPr>
              <w:t>55</w:t>
            </w:r>
            <w:r w:rsidR="00EC1875">
              <w:rPr>
                <w:rFonts w:cs="Arial"/>
                <w:szCs w:val="20"/>
              </w:rPr>
              <w:t xml:space="preserve"> (DEER NTGR ID: Res-Default&gt;2)</w:t>
            </w:r>
          </w:p>
        </w:tc>
      </w:tr>
      <w:tr w:rsidR="00290ED8" w:rsidRPr="00500C4E" w14:paraId="2418CA37" w14:textId="77777777" w:rsidTr="00920905">
        <w:trPr>
          <w:trHeight w:val="465"/>
        </w:trPr>
        <w:tc>
          <w:tcPr>
            <w:tcW w:w="1875" w:type="pct"/>
          </w:tcPr>
          <w:p w14:paraId="2E240643" w14:textId="77777777" w:rsidR="00290ED8" w:rsidRPr="00500C4E" w:rsidRDefault="00290ED8" w:rsidP="004341AA">
            <w:pPr>
              <w:jc w:val="both"/>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7110C7C" w14:textId="77777777" w:rsidR="00061A8E" w:rsidRPr="00920905" w:rsidRDefault="00BE0AEB" w:rsidP="004341AA">
            <w:pPr>
              <w:jc w:val="both"/>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6612594C" w14:textId="77777777" w:rsidR="00AC5309" w:rsidRPr="00500C4E" w:rsidRDefault="00AC5309">
      <w:pPr>
        <w:spacing w:after="200" w:line="276" w:lineRule="auto"/>
        <w:rPr>
          <w:rFonts w:cstheme="minorHAnsi"/>
          <w:b/>
          <w:bCs/>
          <w:smallCaps/>
          <w:kern w:val="32"/>
          <w:sz w:val="36"/>
          <w:szCs w:val="32"/>
        </w:rPr>
      </w:pPr>
    </w:p>
    <w:p w14:paraId="68F8B716"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894B836"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2045"/>
        <w:gridCol w:w="1861"/>
        <w:gridCol w:w="4920"/>
      </w:tblGrid>
      <w:tr w:rsidR="00422A0A" w14:paraId="25C21AC5" w14:textId="77777777" w:rsidTr="004341AA">
        <w:trPr>
          <w:trHeight w:val="20"/>
        </w:trPr>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6BB4B3" w14:textId="77777777" w:rsidR="00422A0A" w:rsidRDefault="00422A0A">
            <w:pPr>
              <w:rPr>
                <w:rFonts w:cstheme="minorHAnsi"/>
                <w:b/>
                <w:bCs/>
                <w:szCs w:val="20"/>
              </w:rPr>
            </w:pPr>
            <w:r>
              <w:rPr>
                <w:rFonts w:cstheme="minorHAnsi"/>
                <w:b/>
                <w:szCs w:val="20"/>
              </w:rPr>
              <w:t>Rev</w:t>
            </w:r>
          </w:p>
        </w:tc>
        <w:tc>
          <w:tcPr>
            <w:tcW w:w="109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0022FF" w14:textId="77777777" w:rsidR="00422A0A" w:rsidRDefault="00422A0A">
            <w:pPr>
              <w:rPr>
                <w:rFonts w:cstheme="minorHAnsi"/>
                <w:b/>
                <w:bCs/>
                <w:szCs w:val="20"/>
              </w:rPr>
            </w:pPr>
            <w:r>
              <w:rPr>
                <w:rFonts w:cstheme="minorHAnsi"/>
                <w:b/>
                <w:szCs w:val="20"/>
              </w:rPr>
              <w:t>Date</w:t>
            </w:r>
          </w:p>
        </w:tc>
        <w:tc>
          <w:tcPr>
            <w:tcW w:w="99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4B8719" w14:textId="77777777" w:rsidR="00422A0A" w:rsidRDefault="00422A0A">
            <w:pPr>
              <w:rPr>
                <w:rFonts w:cstheme="minorHAnsi"/>
                <w:b/>
                <w:bCs/>
                <w:szCs w:val="20"/>
              </w:rPr>
            </w:pPr>
            <w:r>
              <w:rPr>
                <w:rFonts w:cstheme="minorHAnsi"/>
                <w:b/>
                <w:szCs w:val="20"/>
              </w:rPr>
              <w:t>Author</w:t>
            </w:r>
          </w:p>
        </w:tc>
        <w:tc>
          <w:tcPr>
            <w:tcW w:w="26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8AAAAB" w14:textId="77777777" w:rsidR="00422A0A" w:rsidRDefault="00422A0A">
            <w:pPr>
              <w:rPr>
                <w:rFonts w:cstheme="minorHAnsi"/>
                <w:b/>
                <w:bCs/>
                <w:szCs w:val="20"/>
              </w:rPr>
            </w:pPr>
            <w:r>
              <w:rPr>
                <w:rFonts w:cstheme="minorHAnsi"/>
                <w:b/>
                <w:szCs w:val="20"/>
              </w:rPr>
              <w:t>Summary of Changes</w:t>
            </w:r>
          </w:p>
        </w:tc>
      </w:tr>
      <w:tr w:rsidR="00422A0A" w14:paraId="033FEAB1" w14:textId="77777777" w:rsidTr="004341AA">
        <w:trPr>
          <w:trHeight w:val="20"/>
        </w:trPr>
        <w:tc>
          <w:tcPr>
            <w:tcW w:w="280" w:type="pct"/>
            <w:tcBorders>
              <w:top w:val="single" w:sz="4" w:space="0" w:color="auto"/>
              <w:left w:val="single" w:sz="4" w:space="0" w:color="auto"/>
              <w:bottom w:val="single" w:sz="4" w:space="0" w:color="auto"/>
              <w:right w:val="single" w:sz="4" w:space="0" w:color="auto"/>
            </w:tcBorders>
          </w:tcPr>
          <w:p w14:paraId="2B2FD951" w14:textId="081D466B" w:rsidR="00422A0A" w:rsidRDefault="00FB172C" w:rsidP="004341AA">
            <w:pPr>
              <w:jc w:val="both"/>
              <w:rPr>
                <w:rFonts w:cstheme="minorHAnsi"/>
                <w:szCs w:val="20"/>
              </w:rPr>
            </w:pPr>
            <w:r>
              <w:rPr>
                <w:rFonts w:cstheme="minorHAnsi"/>
                <w:szCs w:val="20"/>
              </w:rPr>
              <w:t>0</w:t>
            </w:r>
          </w:p>
        </w:tc>
        <w:tc>
          <w:tcPr>
            <w:tcW w:w="1094" w:type="pct"/>
            <w:tcBorders>
              <w:top w:val="single" w:sz="4" w:space="0" w:color="auto"/>
              <w:left w:val="single" w:sz="4" w:space="0" w:color="auto"/>
              <w:bottom w:val="single" w:sz="4" w:space="0" w:color="auto"/>
              <w:right w:val="single" w:sz="4" w:space="0" w:color="auto"/>
            </w:tcBorders>
          </w:tcPr>
          <w:p w14:paraId="65B0B7BD" w14:textId="531B81C0" w:rsidR="00422A0A" w:rsidRDefault="00A5178D" w:rsidP="004341AA">
            <w:pPr>
              <w:jc w:val="both"/>
              <w:rPr>
                <w:rFonts w:cstheme="minorHAnsi"/>
                <w:szCs w:val="20"/>
              </w:rPr>
            </w:pPr>
            <w:r>
              <w:rPr>
                <w:rFonts w:cstheme="minorHAnsi"/>
                <w:szCs w:val="20"/>
              </w:rPr>
              <w:t>10</w:t>
            </w:r>
            <w:r w:rsidR="00A775FF">
              <w:rPr>
                <w:rFonts w:cstheme="minorHAnsi"/>
                <w:szCs w:val="20"/>
              </w:rPr>
              <w:t>/</w:t>
            </w:r>
            <w:r>
              <w:rPr>
                <w:rFonts w:cstheme="minorHAnsi"/>
                <w:szCs w:val="20"/>
              </w:rPr>
              <w:t>08</w:t>
            </w:r>
            <w:r w:rsidR="00A775FF">
              <w:rPr>
                <w:rFonts w:cstheme="minorHAnsi"/>
                <w:szCs w:val="20"/>
              </w:rPr>
              <w:t>/2018</w:t>
            </w:r>
          </w:p>
        </w:tc>
        <w:tc>
          <w:tcPr>
            <w:tcW w:w="995" w:type="pct"/>
            <w:tcBorders>
              <w:top w:val="single" w:sz="4" w:space="0" w:color="auto"/>
              <w:left w:val="single" w:sz="4" w:space="0" w:color="auto"/>
              <w:bottom w:val="single" w:sz="4" w:space="0" w:color="auto"/>
              <w:right w:val="single" w:sz="4" w:space="0" w:color="auto"/>
            </w:tcBorders>
          </w:tcPr>
          <w:p w14:paraId="432BC531" w14:textId="77777777" w:rsidR="00422A0A" w:rsidRDefault="00422A0A" w:rsidP="004341AA">
            <w:pPr>
              <w:jc w:val="both"/>
              <w:rPr>
                <w:rFonts w:cstheme="minorHAnsi"/>
                <w:szCs w:val="20"/>
              </w:rPr>
            </w:pPr>
            <w:r>
              <w:rPr>
                <w:rFonts w:cstheme="minorHAnsi"/>
                <w:szCs w:val="20"/>
              </w:rPr>
              <w:t>Steve Sidletsky/BASE Energy</w:t>
            </w:r>
          </w:p>
          <w:p w14:paraId="4785BA28" w14:textId="1D111B27" w:rsidR="00A775FF" w:rsidRDefault="00A775FF" w:rsidP="004341AA">
            <w:pPr>
              <w:jc w:val="both"/>
              <w:rPr>
                <w:rFonts w:cstheme="minorHAnsi"/>
                <w:szCs w:val="20"/>
              </w:rPr>
            </w:pPr>
            <w:r>
              <w:rPr>
                <w:rFonts w:cstheme="minorHAnsi"/>
                <w:szCs w:val="20"/>
              </w:rPr>
              <w:t>Ram Dharmarajan/Lincus</w:t>
            </w:r>
          </w:p>
        </w:tc>
        <w:tc>
          <w:tcPr>
            <w:tcW w:w="2631" w:type="pct"/>
            <w:tcBorders>
              <w:top w:val="single" w:sz="4" w:space="0" w:color="auto"/>
              <w:left w:val="single" w:sz="4" w:space="0" w:color="auto"/>
              <w:bottom w:val="single" w:sz="4" w:space="0" w:color="auto"/>
              <w:right w:val="single" w:sz="4" w:space="0" w:color="auto"/>
            </w:tcBorders>
          </w:tcPr>
          <w:p w14:paraId="3EBCCDFA" w14:textId="4947416E" w:rsidR="0064264A" w:rsidRDefault="004400D8">
            <w:pPr>
              <w:jc w:val="both"/>
            </w:pPr>
            <w:r>
              <w:t>- This workpaper is an update of SCE13HC052.2</w:t>
            </w:r>
          </w:p>
          <w:p w14:paraId="70436AF8" w14:textId="5B310701" w:rsidR="00422A0A" w:rsidRDefault="00422A0A" w:rsidP="004341AA">
            <w:pPr>
              <w:jc w:val="both"/>
            </w:pPr>
            <w:r>
              <w:t xml:space="preserve">-New template for </w:t>
            </w:r>
            <w:r w:rsidRPr="00B86DC0">
              <w:t>2019 progr</w:t>
            </w:r>
            <w:r>
              <w:t>am year</w:t>
            </w:r>
            <w:r w:rsidR="004400D8">
              <w:t>.</w:t>
            </w:r>
          </w:p>
          <w:p w14:paraId="656B8F26" w14:textId="2733CB37" w:rsidR="00B72B6F" w:rsidRDefault="00422A0A">
            <w:pPr>
              <w:jc w:val="both"/>
              <w:rPr>
                <w:rFonts w:eastAsiaTheme="minorHAnsi" w:cstheme="minorBidi"/>
                <w:szCs w:val="20"/>
              </w:rPr>
            </w:pPr>
            <w:r>
              <w:t>-</w:t>
            </w:r>
            <w:r w:rsidR="00A775FF">
              <w:t xml:space="preserve"> Calculation </w:t>
            </w:r>
            <w:r w:rsidR="00A775FF">
              <w:rPr>
                <w:rFonts w:eastAsiaTheme="minorHAnsi" w:cstheme="minorBidi"/>
                <w:szCs w:val="20"/>
              </w:rPr>
              <w:t xml:space="preserve">update using the latest </w:t>
            </w:r>
            <w:r w:rsidR="004A65F3">
              <w:rPr>
                <w:rFonts w:eastAsiaTheme="minorHAnsi" w:cstheme="minorBidi"/>
                <w:szCs w:val="20"/>
              </w:rPr>
              <w:t>Residential</w:t>
            </w:r>
            <w:r w:rsidR="002F5267">
              <w:rPr>
                <w:rFonts w:eastAsiaTheme="minorHAnsi" w:cstheme="minorBidi"/>
                <w:szCs w:val="20"/>
              </w:rPr>
              <w:t xml:space="preserve"> </w:t>
            </w:r>
            <w:r w:rsidR="00A775FF">
              <w:rPr>
                <w:rFonts w:eastAsiaTheme="minorHAnsi" w:cstheme="minorBidi"/>
                <w:szCs w:val="20"/>
              </w:rPr>
              <w:t>DEER prototypes (via MASControl2)</w:t>
            </w:r>
            <w:r w:rsidR="004400D8">
              <w:rPr>
                <w:rFonts w:eastAsiaTheme="minorHAnsi" w:cstheme="minorBidi"/>
                <w:szCs w:val="20"/>
              </w:rPr>
              <w:t>.</w:t>
            </w:r>
          </w:p>
          <w:p w14:paraId="6659B2C1" w14:textId="2EA377A5" w:rsidR="00920CCA" w:rsidRDefault="00920CCA" w:rsidP="004341AA">
            <w:pPr>
              <w:jc w:val="both"/>
              <w:rPr>
                <w:rFonts w:eastAsiaTheme="minorHAnsi" w:cstheme="minorBidi"/>
                <w:szCs w:val="20"/>
              </w:rPr>
            </w:pPr>
            <w:r>
              <w:rPr>
                <w:rFonts w:eastAsiaTheme="minorHAnsi" w:cstheme="minorBidi"/>
                <w:szCs w:val="20"/>
              </w:rPr>
              <w:t xml:space="preserve">- The energy savings are now calculated ‘per unit’ as opposed to the ‘per ton’ in the previous </w:t>
            </w:r>
            <w:r w:rsidR="004400D8">
              <w:rPr>
                <w:rFonts w:eastAsiaTheme="minorHAnsi" w:cstheme="minorBidi"/>
                <w:szCs w:val="20"/>
              </w:rPr>
              <w:t>workpaper</w:t>
            </w:r>
            <w:r>
              <w:rPr>
                <w:rFonts w:eastAsiaTheme="minorHAnsi" w:cstheme="minorBidi"/>
                <w:szCs w:val="20"/>
              </w:rPr>
              <w:t>.</w:t>
            </w:r>
          </w:p>
          <w:p w14:paraId="6A5F83BD" w14:textId="5262EA7D" w:rsidR="00B72B6F" w:rsidRDefault="00B72B6F" w:rsidP="004341AA">
            <w:pPr>
              <w:jc w:val="both"/>
              <w:rPr>
                <w:rFonts w:eastAsiaTheme="minorHAnsi" w:cstheme="minorBidi"/>
                <w:szCs w:val="20"/>
              </w:rPr>
            </w:pPr>
            <w:r>
              <w:rPr>
                <w:rFonts w:eastAsiaTheme="minorHAnsi" w:cstheme="minorBidi"/>
                <w:szCs w:val="20"/>
              </w:rPr>
              <w:t>-</w:t>
            </w:r>
            <w:r w:rsidRPr="00B72B6F">
              <w:rPr>
                <w:rFonts w:eastAsiaTheme="minorHAnsi" w:cstheme="minorBidi"/>
                <w:szCs w:val="20"/>
              </w:rPr>
              <w:t xml:space="preserve">Update all 16 CA </w:t>
            </w:r>
            <w:r w:rsidR="0070445C">
              <w:rPr>
                <w:rFonts w:eastAsiaTheme="minorHAnsi" w:cstheme="minorBidi"/>
                <w:szCs w:val="20"/>
              </w:rPr>
              <w:t>Climate Zones</w:t>
            </w:r>
            <w:r w:rsidR="004A65F3">
              <w:rPr>
                <w:rFonts w:eastAsiaTheme="minorHAnsi" w:cstheme="minorBidi"/>
                <w:szCs w:val="20"/>
              </w:rPr>
              <w:t xml:space="preserve"> with CTZ</w:t>
            </w:r>
            <w:r>
              <w:rPr>
                <w:rFonts w:eastAsiaTheme="minorHAnsi" w:cstheme="minorBidi"/>
                <w:szCs w:val="20"/>
              </w:rPr>
              <w:t>2010 weather</w:t>
            </w:r>
            <w:r w:rsidR="004400D8">
              <w:rPr>
                <w:rFonts w:eastAsiaTheme="minorHAnsi" w:cstheme="minorBidi"/>
                <w:szCs w:val="20"/>
              </w:rPr>
              <w:t>.</w:t>
            </w:r>
          </w:p>
          <w:p w14:paraId="2AC8D235" w14:textId="77777777" w:rsidR="00A368F0" w:rsidRDefault="00B72B6F" w:rsidP="004341AA">
            <w:pPr>
              <w:jc w:val="both"/>
              <w:rPr>
                <w:rFonts w:eastAsiaTheme="minorHAnsi" w:cstheme="minorBidi"/>
                <w:szCs w:val="20"/>
              </w:rPr>
            </w:pPr>
            <w:r>
              <w:rPr>
                <w:rFonts w:eastAsiaTheme="minorHAnsi" w:cstheme="minorBidi"/>
                <w:szCs w:val="20"/>
              </w:rPr>
              <w:t>-</w:t>
            </w:r>
            <w:r w:rsidR="00A775FF">
              <w:rPr>
                <w:rFonts w:eastAsiaTheme="minorHAnsi" w:cstheme="minorBidi"/>
                <w:szCs w:val="20"/>
              </w:rPr>
              <w:t xml:space="preserve"> </w:t>
            </w:r>
            <w:r w:rsidR="0070445C">
              <w:rPr>
                <w:rFonts w:eastAsiaTheme="minorHAnsi" w:cstheme="minorBidi"/>
                <w:szCs w:val="20"/>
              </w:rPr>
              <w:t>Measure c</w:t>
            </w:r>
            <w:r w:rsidR="00A775FF">
              <w:rPr>
                <w:rFonts w:eastAsiaTheme="minorHAnsi" w:cstheme="minorBidi"/>
                <w:szCs w:val="20"/>
              </w:rPr>
              <w:t xml:space="preserve">osts updated </w:t>
            </w:r>
            <w:r w:rsidR="0070445C">
              <w:rPr>
                <w:rFonts w:eastAsiaTheme="minorHAnsi" w:cstheme="minorBidi"/>
                <w:szCs w:val="20"/>
              </w:rPr>
              <w:t xml:space="preserve">per </w:t>
            </w:r>
            <w:r w:rsidR="00A775FF">
              <w:rPr>
                <w:rFonts w:eastAsiaTheme="minorHAnsi" w:cstheme="minorBidi"/>
                <w:szCs w:val="20"/>
              </w:rPr>
              <w:t>market assessment and 2018 RS Means Data</w:t>
            </w:r>
            <w:r w:rsidR="004400D8">
              <w:rPr>
                <w:rFonts w:eastAsiaTheme="minorHAnsi" w:cstheme="minorBidi"/>
                <w:szCs w:val="20"/>
              </w:rPr>
              <w:t>.</w:t>
            </w:r>
          </w:p>
          <w:p w14:paraId="5C1DEDFD" w14:textId="7534F5C5" w:rsidR="009D169C" w:rsidRPr="00422A0A" w:rsidRDefault="009D169C" w:rsidP="004341AA">
            <w:pPr>
              <w:jc w:val="both"/>
            </w:pPr>
            <w:r>
              <w:rPr>
                <w:rFonts w:eastAsiaTheme="minorHAnsi" w:cstheme="minorBidi"/>
                <w:szCs w:val="20"/>
              </w:rPr>
              <w:t>-Both authors contributed to key sections of this Workpaper and are listed as co-authors.</w:t>
            </w:r>
            <w:bookmarkStart w:id="7" w:name="_GoBack"/>
            <w:bookmarkEnd w:id="7"/>
          </w:p>
        </w:tc>
      </w:tr>
    </w:tbl>
    <w:p w14:paraId="3A9A56B1" w14:textId="02E693C0" w:rsidR="00DA2822" w:rsidRDefault="00DA2822" w:rsidP="00BA5FE4">
      <w:pPr>
        <w:spacing w:line="276" w:lineRule="auto"/>
        <w:rPr>
          <w:rFonts w:cs="Arial"/>
          <w:b/>
          <w:bCs/>
          <w:smallCaps/>
          <w:kern w:val="32"/>
          <w:sz w:val="36"/>
          <w:szCs w:val="20"/>
        </w:rPr>
      </w:pPr>
      <w:r>
        <w:rPr>
          <w:szCs w:val="20"/>
        </w:rPr>
        <w:br w:type="page"/>
      </w:r>
    </w:p>
    <w:p w14:paraId="4DFCA5A2" w14:textId="77777777"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706B0FD1" w14:textId="77777777"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0A91A87F" w14:textId="24354477" w:rsidR="0070445C" w:rsidRDefault="00034104" w:rsidP="00461820">
      <w:pPr>
        <w:pStyle w:val="Reminder"/>
        <w:jc w:val="both"/>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outlines the </w:t>
      </w:r>
      <w:r w:rsidR="009F7847">
        <w:rPr>
          <w:rFonts w:asciiTheme="minorHAnsi" w:hAnsiTheme="minorHAnsi" w:cstheme="minorHAnsi"/>
          <w:i w:val="0"/>
          <w:color w:val="auto"/>
          <w:szCs w:val="22"/>
        </w:rPr>
        <w:t xml:space="preserve">energy savings achieved from </w:t>
      </w:r>
      <w:r w:rsidR="003C70C7">
        <w:rPr>
          <w:rFonts w:asciiTheme="minorHAnsi" w:hAnsiTheme="minorHAnsi" w:cstheme="minorHAnsi"/>
          <w:i w:val="0"/>
          <w:color w:val="auto"/>
          <w:szCs w:val="22"/>
        </w:rPr>
        <w:t xml:space="preserve">the </w:t>
      </w:r>
      <w:r>
        <w:rPr>
          <w:rFonts w:asciiTheme="minorHAnsi" w:hAnsiTheme="minorHAnsi" w:cstheme="minorHAnsi"/>
          <w:i w:val="0"/>
          <w:color w:val="auto"/>
          <w:szCs w:val="22"/>
        </w:rPr>
        <w:t>retrofit add-on of a</w:t>
      </w:r>
      <w:r w:rsidR="00AE49AF">
        <w:rPr>
          <w:rFonts w:asciiTheme="minorHAnsi" w:hAnsiTheme="minorHAnsi" w:cstheme="minorHAnsi"/>
          <w:i w:val="0"/>
          <w:color w:val="auto"/>
          <w:szCs w:val="22"/>
        </w:rPr>
        <w:t>n evaporator</w:t>
      </w:r>
      <w:r>
        <w:rPr>
          <w:rFonts w:asciiTheme="minorHAnsi" w:hAnsiTheme="minorHAnsi" w:cstheme="minorHAnsi"/>
          <w:i w:val="0"/>
          <w:color w:val="auto"/>
          <w:szCs w:val="22"/>
        </w:rPr>
        <w:t xml:space="preserve"> fan </w:t>
      </w:r>
      <w:r w:rsidR="003C70C7">
        <w:rPr>
          <w:rFonts w:asciiTheme="minorHAnsi" w:hAnsiTheme="minorHAnsi" w:cstheme="minorHAnsi"/>
          <w:i w:val="0"/>
          <w:color w:val="auto"/>
          <w:szCs w:val="22"/>
        </w:rPr>
        <w:t xml:space="preserve">delay </w:t>
      </w:r>
      <w:r>
        <w:rPr>
          <w:rFonts w:asciiTheme="minorHAnsi" w:hAnsiTheme="minorHAnsi" w:cstheme="minorHAnsi"/>
          <w:i w:val="0"/>
          <w:color w:val="auto"/>
          <w:szCs w:val="22"/>
        </w:rPr>
        <w:t xml:space="preserve">controller </w:t>
      </w:r>
      <w:r w:rsidR="005356F3">
        <w:rPr>
          <w:rFonts w:asciiTheme="minorHAnsi" w:hAnsiTheme="minorHAnsi" w:cstheme="minorHAnsi"/>
          <w:i w:val="0"/>
          <w:color w:val="auto"/>
          <w:szCs w:val="22"/>
        </w:rPr>
        <w:t xml:space="preserve">(FDC) </w:t>
      </w:r>
      <w:r>
        <w:rPr>
          <w:rFonts w:asciiTheme="minorHAnsi" w:hAnsiTheme="minorHAnsi" w:cstheme="minorHAnsi"/>
          <w:i w:val="0"/>
          <w:color w:val="auto"/>
          <w:szCs w:val="22"/>
        </w:rPr>
        <w:t>device onto a residential single-family, multi-family or double-wide mobile home split-system air conditioner.</w:t>
      </w:r>
    </w:p>
    <w:p w14:paraId="47850623" w14:textId="675BE1FA" w:rsidR="0056444E" w:rsidRDefault="0056444E" w:rsidP="00461820">
      <w:pPr>
        <w:pStyle w:val="Reminder"/>
        <w:jc w:val="both"/>
        <w:rPr>
          <w:rFonts w:asciiTheme="minorHAnsi" w:hAnsiTheme="minorHAnsi" w:cstheme="minorHAnsi"/>
          <w:i w:val="0"/>
          <w:color w:val="auto"/>
          <w:szCs w:val="22"/>
        </w:rPr>
      </w:pPr>
    </w:p>
    <w:p w14:paraId="3BA55AC7" w14:textId="650BE234" w:rsidR="00FA1032" w:rsidRPr="00D01F94" w:rsidRDefault="0056444E" w:rsidP="00461820">
      <w:pPr>
        <w:pStyle w:val="Reminder"/>
        <w:jc w:val="both"/>
        <w:rPr>
          <w:rFonts w:asciiTheme="minorHAnsi" w:hAnsiTheme="minorHAnsi" w:cstheme="minorHAnsi"/>
          <w:i w:val="0"/>
          <w:color w:val="auto"/>
          <w:szCs w:val="22"/>
        </w:rPr>
      </w:pPr>
      <w:r>
        <w:rPr>
          <w:rFonts w:asciiTheme="minorHAnsi" w:hAnsiTheme="minorHAnsi" w:cstheme="minorHAnsi"/>
          <w:i w:val="0"/>
          <w:color w:val="auto"/>
          <w:szCs w:val="22"/>
        </w:rPr>
        <w:t>A</w:t>
      </w:r>
      <w:r w:rsidR="00AE49AF">
        <w:rPr>
          <w:rFonts w:asciiTheme="minorHAnsi" w:hAnsiTheme="minorHAnsi" w:cstheme="minorHAnsi"/>
          <w:i w:val="0"/>
          <w:color w:val="auto"/>
          <w:szCs w:val="22"/>
        </w:rPr>
        <w:t>lthough</w:t>
      </w:r>
      <w:r w:rsidR="000A58A3">
        <w:rPr>
          <w:rFonts w:asciiTheme="minorHAnsi" w:hAnsiTheme="minorHAnsi" w:cstheme="minorHAnsi"/>
          <w:i w:val="0"/>
          <w:color w:val="auto"/>
          <w:szCs w:val="22"/>
        </w:rPr>
        <w:t>,</w:t>
      </w:r>
      <w:r w:rsidR="00AE49AF">
        <w:rPr>
          <w:rFonts w:asciiTheme="minorHAnsi" w:hAnsiTheme="minorHAnsi" w:cstheme="minorHAnsi"/>
          <w:i w:val="0"/>
          <w:color w:val="auto"/>
          <w:szCs w:val="22"/>
        </w:rPr>
        <w:t xml:space="preserve"> </w:t>
      </w:r>
      <w:r w:rsidR="00461820">
        <w:rPr>
          <w:rFonts w:asciiTheme="minorHAnsi" w:hAnsiTheme="minorHAnsi" w:cstheme="minorHAnsi"/>
          <w:i w:val="0"/>
          <w:color w:val="auto"/>
          <w:szCs w:val="22"/>
        </w:rPr>
        <w:t>a fan delay controller</w:t>
      </w:r>
      <w:r>
        <w:rPr>
          <w:rFonts w:asciiTheme="minorHAnsi" w:hAnsiTheme="minorHAnsi" w:cstheme="minorHAnsi"/>
          <w:i w:val="0"/>
          <w:color w:val="auto"/>
          <w:szCs w:val="22"/>
        </w:rPr>
        <w:t xml:space="preserve"> </w:t>
      </w:r>
      <w:r w:rsidR="00627598">
        <w:rPr>
          <w:rFonts w:asciiTheme="minorHAnsi" w:hAnsiTheme="minorHAnsi" w:cstheme="minorHAnsi"/>
          <w:i w:val="0"/>
          <w:color w:val="auto"/>
          <w:szCs w:val="22"/>
        </w:rPr>
        <w:t>has</w:t>
      </w:r>
      <w:r>
        <w:rPr>
          <w:rFonts w:asciiTheme="minorHAnsi" w:hAnsiTheme="minorHAnsi" w:cstheme="minorHAnsi"/>
          <w:i w:val="0"/>
          <w:color w:val="auto"/>
          <w:szCs w:val="22"/>
        </w:rPr>
        <w:t xml:space="preserve"> </w:t>
      </w:r>
      <w:r w:rsidR="003B63C3">
        <w:rPr>
          <w:rFonts w:asciiTheme="minorHAnsi" w:hAnsiTheme="minorHAnsi" w:cstheme="minorHAnsi"/>
          <w:i w:val="0"/>
          <w:color w:val="auto"/>
          <w:szCs w:val="22"/>
        </w:rPr>
        <w:t xml:space="preserve">a </w:t>
      </w:r>
      <w:r w:rsidR="0070445C">
        <w:rPr>
          <w:rFonts w:asciiTheme="minorHAnsi" w:hAnsiTheme="minorHAnsi" w:cstheme="minorHAnsi"/>
          <w:i w:val="0"/>
          <w:color w:val="auto"/>
          <w:szCs w:val="22"/>
        </w:rPr>
        <w:t xml:space="preserve">small </w:t>
      </w:r>
      <w:r w:rsidR="003B63C3">
        <w:rPr>
          <w:rFonts w:asciiTheme="minorHAnsi" w:hAnsiTheme="minorHAnsi" w:cstheme="minorHAnsi"/>
          <w:i w:val="0"/>
          <w:color w:val="auto"/>
          <w:szCs w:val="22"/>
        </w:rPr>
        <w:t xml:space="preserve">penalty for running the evaporator fan during the fan delay periods, net </w:t>
      </w:r>
      <w:r>
        <w:rPr>
          <w:rFonts w:asciiTheme="minorHAnsi" w:hAnsiTheme="minorHAnsi" w:cstheme="minorHAnsi"/>
          <w:i w:val="0"/>
          <w:color w:val="auto"/>
          <w:szCs w:val="22"/>
        </w:rPr>
        <w:t xml:space="preserve">energy savings </w:t>
      </w:r>
      <w:r w:rsidR="003B63C3">
        <w:rPr>
          <w:rFonts w:asciiTheme="minorHAnsi" w:hAnsiTheme="minorHAnsi" w:cstheme="minorHAnsi"/>
          <w:i w:val="0"/>
          <w:color w:val="auto"/>
          <w:szCs w:val="22"/>
        </w:rPr>
        <w:t xml:space="preserve">are realized </w:t>
      </w:r>
      <w:r>
        <w:rPr>
          <w:rFonts w:asciiTheme="minorHAnsi" w:hAnsiTheme="minorHAnsi" w:cstheme="minorHAnsi"/>
          <w:i w:val="0"/>
          <w:color w:val="auto"/>
          <w:szCs w:val="22"/>
        </w:rPr>
        <w:t xml:space="preserve">by </w:t>
      </w:r>
      <w:r w:rsidR="000A034F">
        <w:rPr>
          <w:rFonts w:asciiTheme="minorHAnsi" w:hAnsiTheme="minorHAnsi" w:cstheme="minorHAnsi"/>
          <w:i w:val="0"/>
          <w:color w:val="auto"/>
          <w:szCs w:val="22"/>
        </w:rPr>
        <w:t xml:space="preserve">utilizing the residual </w:t>
      </w:r>
      <w:r w:rsidR="00C53654">
        <w:rPr>
          <w:rFonts w:asciiTheme="minorHAnsi" w:hAnsiTheme="minorHAnsi" w:cstheme="minorHAnsi"/>
          <w:i w:val="0"/>
          <w:color w:val="auto"/>
          <w:szCs w:val="22"/>
        </w:rPr>
        <w:t xml:space="preserve">liquid </w:t>
      </w:r>
      <w:r w:rsidR="000A034F">
        <w:rPr>
          <w:rFonts w:asciiTheme="minorHAnsi" w:hAnsiTheme="minorHAnsi" w:cstheme="minorHAnsi"/>
          <w:i w:val="0"/>
          <w:color w:val="auto"/>
          <w:szCs w:val="22"/>
        </w:rPr>
        <w:t xml:space="preserve">refrigerant in the evaporator and </w:t>
      </w:r>
      <w:r>
        <w:rPr>
          <w:rFonts w:asciiTheme="minorHAnsi" w:hAnsiTheme="minorHAnsi" w:cstheme="minorHAnsi"/>
          <w:i w:val="0"/>
          <w:color w:val="auto"/>
          <w:szCs w:val="22"/>
        </w:rPr>
        <w:t xml:space="preserve">delaying the start of the next cooling cycle. </w:t>
      </w:r>
      <w:r w:rsidR="0070445C">
        <w:rPr>
          <w:rFonts w:asciiTheme="minorHAnsi" w:hAnsiTheme="minorHAnsi" w:cstheme="minorHAnsi"/>
          <w:i w:val="0"/>
          <w:color w:val="auto"/>
          <w:szCs w:val="22"/>
        </w:rPr>
        <w:t xml:space="preserve"> </w:t>
      </w:r>
      <w:r w:rsidRPr="004D0FC8">
        <w:rPr>
          <w:rFonts w:asciiTheme="minorHAnsi" w:hAnsiTheme="minorHAnsi" w:cstheme="minorHAnsi"/>
          <w:i w:val="0"/>
          <w:color w:val="auto"/>
          <w:szCs w:val="22"/>
        </w:rPr>
        <w:t xml:space="preserve">Estimated demand and energy savings </w:t>
      </w:r>
      <w:r w:rsidR="0070445C">
        <w:rPr>
          <w:rFonts w:asciiTheme="minorHAnsi" w:hAnsiTheme="minorHAnsi" w:cstheme="minorHAnsi"/>
          <w:i w:val="0"/>
          <w:color w:val="auto"/>
          <w:szCs w:val="22"/>
        </w:rPr>
        <w:t xml:space="preserve">for this measure </w:t>
      </w:r>
      <w:r w:rsidRPr="004D0FC8">
        <w:rPr>
          <w:rFonts w:asciiTheme="minorHAnsi" w:hAnsiTheme="minorHAnsi" w:cstheme="minorHAnsi"/>
          <w:i w:val="0"/>
          <w:color w:val="auto"/>
          <w:szCs w:val="22"/>
        </w:rPr>
        <w:t xml:space="preserve">are </w:t>
      </w:r>
      <w:r w:rsidR="0070445C">
        <w:rPr>
          <w:rFonts w:asciiTheme="minorHAnsi" w:hAnsiTheme="minorHAnsi" w:cstheme="minorHAnsi"/>
          <w:i w:val="0"/>
          <w:color w:val="auto"/>
          <w:szCs w:val="22"/>
        </w:rPr>
        <w:t>estimated using</w:t>
      </w:r>
      <w:r w:rsidRPr="004D0FC8">
        <w:rPr>
          <w:rFonts w:asciiTheme="minorHAnsi" w:hAnsiTheme="minorHAnsi" w:cstheme="minorHAnsi"/>
          <w:i w:val="0"/>
          <w:color w:val="auto"/>
          <w:szCs w:val="22"/>
        </w:rPr>
        <w:t xml:space="preserve"> </w:t>
      </w:r>
      <w:r w:rsidR="0070445C">
        <w:rPr>
          <w:rFonts w:asciiTheme="minorHAnsi" w:hAnsiTheme="minorHAnsi" w:cstheme="minorHAnsi"/>
          <w:i w:val="0"/>
          <w:color w:val="auto"/>
          <w:szCs w:val="22"/>
        </w:rPr>
        <w:t xml:space="preserve">latest </w:t>
      </w:r>
      <w:r w:rsidRPr="004D0FC8">
        <w:rPr>
          <w:rFonts w:asciiTheme="minorHAnsi" w:hAnsiTheme="minorHAnsi" w:cstheme="minorHAnsi"/>
          <w:i w:val="0"/>
          <w:color w:val="auto"/>
          <w:szCs w:val="22"/>
        </w:rPr>
        <w:t>DOE-2</w:t>
      </w:r>
      <w:r>
        <w:rPr>
          <w:rFonts w:asciiTheme="minorHAnsi" w:hAnsiTheme="minorHAnsi" w:cstheme="minorHAnsi"/>
          <w:i w:val="0"/>
          <w:color w:val="auto"/>
          <w:szCs w:val="22"/>
        </w:rPr>
        <w:t>.3</w:t>
      </w:r>
      <w:r w:rsidRPr="004D0FC8">
        <w:rPr>
          <w:rFonts w:asciiTheme="minorHAnsi" w:hAnsiTheme="minorHAnsi" w:cstheme="minorHAnsi"/>
          <w:i w:val="0"/>
          <w:color w:val="auto"/>
          <w:szCs w:val="22"/>
        </w:rPr>
        <w:t>/</w:t>
      </w:r>
      <w:proofErr w:type="spellStart"/>
      <w:r w:rsidRPr="004D0FC8">
        <w:rPr>
          <w:rFonts w:asciiTheme="minorHAnsi" w:hAnsiTheme="minorHAnsi" w:cstheme="minorHAnsi"/>
          <w:i w:val="0"/>
          <w:color w:val="auto"/>
          <w:szCs w:val="22"/>
        </w:rPr>
        <w:t>eQUEST</w:t>
      </w:r>
      <w:proofErr w:type="spellEnd"/>
      <w:r w:rsidR="0070445C">
        <w:rPr>
          <w:rFonts w:asciiTheme="minorHAnsi" w:hAnsiTheme="minorHAnsi" w:cstheme="minorHAnsi"/>
          <w:i w:val="0"/>
          <w:color w:val="auto"/>
          <w:szCs w:val="22"/>
        </w:rPr>
        <w:t xml:space="preserve"> residential prototypes and evaluation findings</w:t>
      </w:r>
      <w:r w:rsidR="003B2DB8">
        <w:rPr>
          <w:rFonts w:asciiTheme="minorHAnsi" w:hAnsiTheme="minorHAnsi" w:cstheme="minorHAnsi"/>
          <w:i w:val="0"/>
          <w:color w:val="auto"/>
          <w:szCs w:val="22"/>
        </w:rPr>
        <w:t xml:space="preserve"> </w:t>
      </w:r>
      <w:r w:rsidR="0070445C">
        <w:rPr>
          <w:rFonts w:asciiTheme="minorHAnsi" w:hAnsiTheme="minorHAnsi" w:cstheme="minorHAnsi"/>
          <w:i w:val="0"/>
          <w:color w:val="auto"/>
          <w:szCs w:val="22"/>
        </w:rPr>
        <w:t>from</w:t>
      </w:r>
      <w:r w:rsidR="00AE49AF">
        <w:rPr>
          <w:rFonts w:asciiTheme="minorHAnsi" w:hAnsiTheme="minorHAnsi" w:cstheme="minorHAnsi"/>
          <w:i w:val="0"/>
          <w:color w:val="auto"/>
          <w:szCs w:val="22"/>
        </w:rPr>
        <w:t xml:space="preserve"> SCE</w:t>
      </w:r>
      <w:r w:rsidR="003B2DB8">
        <w:rPr>
          <w:rFonts w:asciiTheme="minorHAnsi" w:hAnsiTheme="minorHAnsi" w:cstheme="minorHAnsi"/>
          <w:i w:val="0"/>
          <w:color w:val="auto"/>
          <w:szCs w:val="22"/>
        </w:rPr>
        <w:t>’s</w:t>
      </w:r>
      <w:r w:rsidR="0070445C">
        <w:rPr>
          <w:rFonts w:asciiTheme="minorHAnsi" w:hAnsiTheme="minorHAnsi" w:cstheme="minorHAnsi"/>
          <w:i w:val="0"/>
          <w:color w:val="auto"/>
          <w:szCs w:val="22"/>
        </w:rPr>
        <w:t xml:space="preserve"> </w:t>
      </w:r>
      <w:r w:rsidR="00CB65C5" w:rsidRPr="00CB65C5">
        <w:rPr>
          <w:rFonts w:asciiTheme="minorHAnsi" w:hAnsiTheme="minorHAnsi" w:cstheme="minorHAnsi"/>
          <w:i w:val="0"/>
          <w:color w:val="auto"/>
          <w:szCs w:val="22"/>
        </w:rPr>
        <w:t>ET11SCE1130</w:t>
      </w:r>
      <w:r w:rsidR="0070445C">
        <w:rPr>
          <w:rFonts w:asciiTheme="minorHAnsi" w:hAnsiTheme="minorHAnsi" w:cstheme="minorHAnsi"/>
          <w:i w:val="0"/>
          <w:color w:val="auto"/>
          <w:szCs w:val="22"/>
        </w:rPr>
        <w:t xml:space="preserve"> study</w:t>
      </w:r>
      <w:r w:rsidR="00CB65C5" w:rsidRPr="00CB65C5">
        <w:rPr>
          <w:rFonts w:asciiTheme="minorHAnsi" w:hAnsiTheme="minorHAnsi" w:cstheme="minorHAnsi"/>
          <w:i w:val="0"/>
          <w:color w:val="auto"/>
          <w:szCs w:val="22"/>
        </w:rPr>
        <w:t xml:space="preserve"> </w:t>
      </w:r>
      <w:r w:rsidR="00AE49AF">
        <w:rPr>
          <w:rFonts w:asciiTheme="minorHAnsi" w:hAnsiTheme="minorHAnsi" w:cstheme="minorHAnsi"/>
          <w:i w:val="0"/>
          <w:color w:val="auto"/>
          <w:szCs w:val="22"/>
        </w:rPr>
        <w:t>[A</w:t>
      </w:r>
      <w:r w:rsidR="00FB04BE">
        <w:rPr>
          <w:rFonts w:asciiTheme="minorHAnsi" w:hAnsiTheme="minorHAnsi" w:cstheme="minorHAnsi"/>
          <w:i w:val="0"/>
          <w:color w:val="auto"/>
          <w:szCs w:val="22"/>
        </w:rPr>
        <w:t>ttachment 1</w:t>
      </w:r>
      <w:r w:rsidR="00AE49AF">
        <w:rPr>
          <w:rFonts w:asciiTheme="minorHAnsi" w:hAnsiTheme="minorHAnsi" w:cstheme="minorHAnsi"/>
          <w:i w:val="0"/>
          <w:color w:val="auto"/>
          <w:szCs w:val="22"/>
        </w:rPr>
        <w:t>].</w:t>
      </w:r>
    </w:p>
    <w:p w14:paraId="0923C6A9" w14:textId="77777777" w:rsidR="00034104" w:rsidRDefault="00034104" w:rsidP="00920905">
      <w:pPr>
        <w:rPr>
          <w:b/>
          <w:szCs w:val="22"/>
        </w:rPr>
      </w:pPr>
    </w:p>
    <w:p w14:paraId="3C88E6DC"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6336A630" w14:textId="77777777" w:rsidTr="00920905">
        <w:trPr>
          <w:trHeight w:val="20"/>
        </w:trPr>
        <w:tc>
          <w:tcPr>
            <w:tcW w:w="1502" w:type="pct"/>
            <w:shd w:val="clear" w:color="auto" w:fill="D9D9D9" w:themeFill="background1" w:themeFillShade="D9"/>
          </w:tcPr>
          <w:p w14:paraId="6B0D58DD"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7A171968"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4B9CF6F" w14:textId="77777777" w:rsidTr="00920905">
        <w:trPr>
          <w:trHeight w:val="20"/>
        </w:trPr>
        <w:tc>
          <w:tcPr>
            <w:tcW w:w="1502" w:type="pct"/>
          </w:tcPr>
          <w:p w14:paraId="42925F92" w14:textId="77777777" w:rsidR="00D85F09" w:rsidRPr="00920905" w:rsidRDefault="00D85F09" w:rsidP="00461820">
            <w:pPr>
              <w:pStyle w:val="Reminders"/>
              <w:tabs>
                <w:tab w:val="num" w:pos="360"/>
              </w:tabs>
              <w:spacing w:before="0" w:after="0"/>
              <w:jc w:val="both"/>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04693F9B" w14:textId="12F5AD0B" w:rsidR="00D85F09" w:rsidRPr="00920905" w:rsidRDefault="003C70C7" w:rsidP="00461820">
            <w:pPr>
              <w:jc w:val="both"/>
              <w:rPr>
                <w:szCs w:val="20"/>
              </w:rPr>
            </w:pPr>
            <w:r>
              <w:rPr>
                <w:rFonts w:cs="Arial"/>
                <w:szCs w:val="20"/>
              </w:rPr>
              <w:t xml:space="preserve">Residential central HVAC system with </w:t>
            </w:r>
            <w:r w:rsidR="00FB04BE">
              <w:rPr>
                <w:rFonts w:cs="Arial"/>
                <w:szCs w:val="20"/>
              </w:rPr>
              <w:t xml:space="preserve">an </w:t>
            </w:r>
            <w:r>
              <w:rPr>
                <w:rFonts w:cs="Arial"/>
                <w:szCs w:val="20"/>
              </w:rPr>
              <w:t xml:space="preserve">evaporator fan delay (cycle off) controller based on a manual prescribed time or </w:t>
            </w:r>
            <w:r w:rsidRPr="006204E1">
              <w:rPr>
                <w:rFonts w:cs="Arial"/>
                <w:szCs w:val="20"/>
              </w:rPr>
              <w:t xml:space="preserve">using </w:t>
            </w:r>
            <w:r>
              <w:rPr>
                <w:rFonts w:cs="Arial"/>
                <w:szCs w:val="20"/>
              </w:rPr>
              <w:t xml:space="preserve">a </w:t>
            </w:r>
            <w:r w:rsidRPr="006204E1">
              <w:rPr>
                <w:rFonts w:cs="Arial"/>
                <w:szCs w:val="20"/>
              </w:rPr>
              <w:t>built-in logic to delay the evaporator fan cycle off time</w:t>
            </w:r>
            <w:r>
              <w:rPr>
                <w:rFonts w:cs="Arial"/>
                <w:szCs w:val="20"/>
              </w:rPr>
              <w:t>. The built-in control logic is based on equipment (compressor and fan) operation and cycling to improve HVAC system efficiency.</w:t>
            </w:r>
          </w:p>
        </w:tc>
      </w:tr>
      <w:tr w:rsidR="00D85F09" w:rsidRPr="00800706" w14:paraId="6F38B3F3" w14:textId="77777777" w:rsidTr="00920905">
        <w:trPr>
          <w:trHeight w:val="20"/>
        </w:trPr>
        <w:tc>
          <w:tcPr>
            <w:tcW w:w="1502" w:type="pct"/>
          </w:tcPr>
          <w:p w14:paraId="7757C304" w14:textId="7FDE1D68" w:rsidR="00D85F09" w:rsidRPr="00920905" w:rsidRDefault="00786E92" w:rsidP="00461820">
            <w:pPr>
              <w:pStyle w:val="Reminders"/>
              <w:tabs>
                <w:tab w:val="num" w:pos="360"/>
              </w:tabs>
              <w:spacing w:before="0" w:after="0"/>
              <w:jc w:val="both"/>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CE16DA8" w14:textId="2F9B09CF" w:rsidR="00D85F09" w:rsidRPr="00920905" w:rsidRDefault="003C70C7" w:rsidP="00461820">
            <w:pPr>
              <w:jc w:val="both"/>
              <w:rPr>
                <w:i/>
                <w:szCs w:val="20"/>
              </w:rPr>
            </w:pPr>
            <w:r>
              <w:rPr>
                <w:rFonts w:cstheme="minorHAnsi"/>
                <w:szCs w:val="20"/>
              </w:rPr>
              <w:t>Residential central HVAC system with standard fan controls and operation without manual or logic-based e</w:t>
            </w:r>
            <w:r>
              <w:rPr>
                <w:rFonts w:cs="Arial"/>
                <w:szCs w:val="20"/>
              </w:rPr>
              <w:t>vaporator fan delay (cycle off) controller to improve HVAC system efficiency.</w:t>
            </w:r>
          </w:p>
        </w:tc>
      </w:tr>
      <w:tr w:rsidR="002344FB" w:rsidRPr="00800706" w14:paraId="5A28D322" w14:textId="77777777" w:rsidTr="006F21E8">
        <w:trPr>
          <w:trHeight w:val="20"/>
        </w:trPr>
        <w:tc>
          <w:tcPr>
            <w:tcW w:w="1502" w:type="pct"/>
          </w:tcPr>
          <w:p w14:paraId="6D5C5D19" w14:textId="77777777" w:rsidR="002344FB" w:rsidRPr="00800706" w:rsidRDefault="002344FB" w:rsidP="00461820">
            <w:pPr>
              <w:pStyle w:val="Reminders"/>
              <w:tabs>
                <w:tab w:val="num" w:pos="360"/>
              </w:tabs>
              <w:spacing w:before="0" w:after="0"/>
              <w:jc w:val="both"/>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0B6C709C" w14:textId="69D40BAF" w:rsidR="002344FB" w:rsidRPr="002D26C9" w:rsidRDefault="00FB04BE" w:rsidP="00461820">
            <w:pPr>
              <w:jc w:val="both"/>
              <w:rPr>
                <w:szCs w:val="20"/>
              </w:rPr>
            </w:pPr>
            <w:r>
              <w:rPr>
                <w:rFonts w:cs="Arial"/>
                <w:szCs w:val="20"/>
              </w:rPr>
              <w:t>N/A</w:t>
            </w:r>
            <w:r w:rsidR="008D3BA3">
              <w:rPr>
                <w:rFonts w:cs="Arial"/>
                <w:szCs w:val="20"/>
              </w:rPr>
              <w:t xml:space="preserve"> </w:t>
            </w:r>
          </w:p>
        </w:tc>
      </w:tr>
      <w:tr w:rsidR="00D85F09" w:rsidRPr="00800706" w14:paraId="792768F8" w14:textId="77777777" w:rsidTr="00920905">
        <w:trPr>
          <w:trHeight w:val="20"/>
        </w:trPr>
        <w:tc>
          <w:tcPr>
            <w:tcW w:w="1502" w:type="pct"/>
          </w:tcPr>
          <w:p w14:paraId="6B389D9C" w14:textId="77777777" w:rsidR="00D85F09" w:rsidRPr="00920905" w:rsidRDefault="005720F2" w:rsidP="00461820">
            <w:pPr>
              <w:pStyle w:val="Reminders"/>
              <w:tabs>
                <w:tab w:val="num" w:pos="360"/>
              </w:tabs>
              <w:spacing w:before="0" w:after="0"/>
              <w:jc w:val="both"/>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760356D7" w14:textId="1FD5EDE6" w:rsidR="00D85F09" w:rsidRPr="002D26C9" w:rsidRDefault="0026298D" w:rsidP="00461820">
            <w:pPr>
              <w:jc w:val="both"/>
              <w:rPr>
                <w:i/>
                <w:szCs w:val="20"/>
              </w:rPr>
            </w:pPr>
            <w:r>
              <w:rPr>
                <w:rFonts w:cstheme="minorHAnsi"/>
                <w:szCs w:val="20"/>
              </w:rPr>
              <w:t>R</w:t>
            </w:r>
            <w:r w:rsidR="004E2899">
              <w:rPr>
                <w:rFonts w:cstheme="minorHAnsi"/>
                <w:szCs w:val="20"/>
              </w:rPr>
              <w:t>esidential</w:t>
            </w:r>
            <w:r>
              <w:rPr>
                <w:rFonts w:cstheme="minorHAnsi"/>
                <w:szCs w:val="20"/>
              </w:rPr>
              <w:t xml:space="preserve"> central</w:t>
            </w:r>
            <w:r w:rsidR="004E2899">
              <w:rPr>
                <w:rFonts w:cstheme="minorHAnsi"/>
                <w:szCs w:val="20"/>
              </w:rPr>
              <w:t xml:space="preserve"> HVAC system with standard fan controls and operation without a </w:t>
            </w:r>
            <w:r w:rsidR="003C70C7">
              <w:rPr>
                <w:rFonts w:cstheme="minorHAnsi"/>
                <w:szCs w:val="20"/>
              </w:rPr>
              <w:t xml:space="preserve">manual or </w:t>
            </w:r>
            <w:r w:rsidR="004E2899">
              <w:rPr>
                <w:rFonts w:cstheme="minorHAnsi"/>
                <w:szCs w:val="20"/>
              </w:rPr>
              <w:t>logic-based e</w:t>
            </w:r>
            <w:r w:rsidR="004E2899">
              <w:rPr>
                <w:rFonts w:cs="Arial"/>
                <w:szCs w:val="20"/>
              </w:rPr>
              <w:t xml:space="preserve">vaporator fan </w:t>
            </w:r>
            <w:r>
              <w:rPr>
                <w:rFonts w:cs="Arial"/>
                <w:szCs w:val="20"/>
              </w:rPr>
              <w:t>delay</w:t>
            </w:r>
            <w:r w:rsidR="004E2899">
              <w:rPr>
                <w:rFonts w:cs="Arial"/>
                <w:szCs w:val="20"/>
              </w:rPr>
              <w:t xml:space="preserve"> (cycle off) controller</w:t>
            </w:r>
            <w:r w:rsidR="003C70C7">
              <w:rPr>
                <w:rFonts w:cs="Arial"/>
                <w:szCs w:val="20"/>
              </w:rPr>
              <w:t>.</w:t>
            </w:r>
          </w:p>
        </w:tc>
      </w:tr>
    </w:tbl>
    <w:p w14:paraId="77F2DD77" w14:textId="77777777" w:rsidR="00D85F09" w:rsidRPr="00800706" w:rsidRDefault="00D85F09" w:rsidP="00920905">
      <w:pPr>
        <w:pStyle w:val="NoSpacing"/>
      </w:pPr>
    </w:p>
    <w:p w14:paraId="3B27034F"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1B918C43" w14:textId="77777777" w:rsidTr="00920905">
        <w:tc>
          <w:tcPr>
            <w:tcW w:w="2356" w:type="pct"/>
            <w:gridSpan w:val="4"/>
            <w:shd w:val="clear" w:color="auto" w:fill="D9D9D9" w:themeFill="background1" w:themeFillShade="D9"/>
          </w:tcPr>
          <w:p w14:paraId="62B6C8E3"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1945887B"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6DCDA94" w14:textId="77777777" w:rsidTr="00920905">
        <w:tc>
          <w:tcPr>
            <w:tcW w:w="539" w:type="pct"/>
            <w:shd w:val="clear" w:color="auto" w:fill="F2F2F2" w:themeFill="background1" w:themeFillShade="F2"/>
          </w:tcPr>
          <w:p w14:paraId="39BE94F2"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5F64E101"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3C18BC14"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BF42781"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009C4A59" w14:textId="77777777" w:rsidR="003A3170" w:rsidRPr="00800706" w:rsidRDefault="003A3170" w:rsidP="005729C8">
            <w:pPr>
              <w:rPr>
                <w:rFonts w:cstheme="minorHAnsi"/>
                <w:szCs w:val="20"/>
              </w:rPr>
            </w:pPr>
          </w:p>
        </w:tc>
      </w:tr>
      <w:tr w:rsidR="002D26C9" w:rsidRPr="002D26C9" w14:paraId="73FBE72D" w14:textId="77777777" w:rsidTr="00920905">
        <w:trPr>
          <w:trHeight w:val="243"/>
        </w:trPr>
        <w:tc>
          <w:tcPr>
            <w:tcW w:w="539" w:type="pct"/>
          </w:tcPr>
          <w:p w14:paraId="61BA139E" w14:textId="77777777" w:rsidR="00572D2F" w:rsidRPr="002D26C9" w:rsidRDefault="00572D2F" w:rsidP="00397406">
            <w:pPr>
              <w:rPr>
                <w:rFonts w:cstheme="minorHAnsi"/>
                <w:szCs w:val="20"/>
              </w:rPr>
            </w:pPr>
          </w:p>
        </w:tc>
        <w:tc>
          <w:tcPr>
            <w:tcW w:w="539" w:type="pct"/>
          </w:tcPr>
          <w:p w14:paraId="3A8F6E0D" w14:textId="77777777" w:rsidR="00572D2F" w:rsidRPr="002D26C9" w:rsidRDefault="00572D2F" w:rsidP="00397406">
            <w:pPr>
              <w:rPr>
                <w:rFonts w:cstheme="minorHAnsi"/>
                <w:szCs w:val="20"/>
              </w:rPr>
            </w:pPr>
          </w:p>
        </w:tc>
        <w:tc>
          <w:tcPr>
            <w:tcW w:w="605" w:type="pct"/>
          </w:tcPr>
          <w:p w14:paraId="2B7DBC32" w14:textId="2820C52B" w:rsidR="00572D2F" w:rsidRPr="002D26C9" w:rsidRDefault="00263436" w:rsidP="00ED5F2E">
            <w:pPr>
              <w:jc w:val="both"/>
              <w:rPr>
                <w:rFonts w:cstheme="minorHAnsi"/>
                <w:szCs w:val="20"/>
              </w:rPr>
            </w:pPr>
            <w:r w:rsidRPr="006204E1">
              <w:rPr>
                <w:rFonts w:ascii="Calibri" w:hAnsi="Calibri" w:cs="Calibri"/>
                <w:szCs w:val="20"/>
              </w:rPr>
              <w:t>AC-</w:t>
            </w:r>
            <w:r>
              <w:rPr>
                <w:rFonts w:ascii="Calibri" w:hAnsi="Calibri" w:cs="Calibri"/>
                <w:szCs w:val="20"/>
              </w:rPr>
              <w:t>20510</w:t>
            </w:r>
          </w:p>
        </w:tc>
        <w:tc>
          <w:tcPr>
            <w:tcW w:w="673" w:type="pct"/>
          </w:tcPr>
          <w:p w14:paraId="11A98AFB" w14:textId="77777777" w:rsidR="00572D2F" w:rsidRPr="002D26C9" w:rsidRDefault="00572D2F" w:rsidP="00ED5F2E">
            <w:pPr>
              <w:jc w:val="both"/>
              <w:rPr>
                <w:rFonts w:cstheme="minorHAnsi"/>
                <w:szCs w:val="20"/>
              </w:rPr>
            </w:pPr>
          </w:p>
        </w:tc>
        <w:tc>
          <w:tcPr>
            <w:tcW w:w="2644" w:type="pct"/>
          </w:tcPr>
          <w:p w14:paraId="3045773B" w14:textId="0C38C370" w:rsidR="00572D2F" w:rsidRPr="002D26C9" w:rsidRDefault="00263436" w:rsidP="00ED5F2E">
            <w:pPr>
              <w:jc w:val="both"/>
            </w:pPr>
            <w:r w:rsidRPr="002517E4">
              <w:rPr>
                <w:rFonts w:ascii="Calibri" w:hAnsi="Calibri" w:cs="Calibri"/>
                <w:szCs w:val="20"/>
              </w:rPr>
              <w:t>Fan Delay (Cycle Off) Controller for Residential Air Conditioners</w:t>
            </w:r>
          </w:p>
        </w:tc>
      </w:tr>
    </w:tbl>
    <w:p w14:paraId="21E093E6" w14:textId="77777777" w:rsidR="00760CDC" w:rsidRPr="00963559" w:rsidRDefault="00760CDC" w:rsidP="00697868">
      <w:pPr>
        <w:pStyle w:val="Reminders"/>
        <w:rPr>
          <w:rFonts w:asciiTheme="minorHAnsi" w:hAnsiTheme="minorHAnsi" w:cstheme="minorHAnsi"/>
          <w:i w:val="0"/>
          <w:color w:val="auto"/>
          <w:szCs w:val="22"/>
        </w:rPr>
      </w:pPr>
    </w:p>
    <w:p w14:paraId="1E11837D" w14:textId="77777777" w:rsidR="0024601E" w:rsidRDefault="008E25B1" w:rsidP="00ED5F2E">
      <w:pPr>
        <w:pStyle w:val="NoSpacing"/>
      </w:pPr>
      <w:r w:rsidRPr="00963559">
        <w:rPr>
          <w:b/>
        </w:rPr>
        <w:t>Eligibility r</w:t>
      </w:r>
      <w:r w:rsidR="00697868" w:rsidRPr="00963559">
        <w:rPr>
          <w:b/>
        </w:rPr>
        <w:t>equirements</w:t>
      </w:r>
      <w:r w:rsidR="001D33EF" w:rsidRPr="00963559">
        <w:t>:</w:t>
      </w:r>
    </w:p>
    <w:p w14:paraId="10E337F5" w14:textId="5FDBA7EB" w:rsidR="0024601E" w:rsidRPr="00ED5F2E" w:rsidRDefault="002D26C9" w:rsidP="00ED5F2E">
      <w:pPr>
        <w:pStyle w:val="NoSpacing"/>
        <w:numPr>
          <w:ilvl w:val="0"/>
          <w:numId w:val="43"/>
        </w:numPr>
        <w:jc w:val="both"/>
      </w:pPr>
      <w:r w:rsidRPr="00330CB7">
        <w:t>This measure only applies to</w:t>
      </w:r>
      <w:r w:rsidR="00150CAA" w:rsidRPr="00330CB7">
        <w:t xml:space="preserve"> central </w:t>
      </w:r>
      <w:r w:rsidRPr="007E51FC">
        <w:t>residential split-system air conditioning units with an indoor evaporator coil. The baseline air conditioning system cannot have built-in delay</w:t>
      </w:r>
      <w:r w:rsidR="00150CAA" w:rsidRPr="007E51FC">
        <w:t xml:space="preserve"> controller and/or device capable of delaying fan operation</w:t>
      </w:r>
      <w:r w:rsidRPr="007E51FC">
        <w:t>.</w:t>
      </w:r>
      <w:r w:rsidR="007440F5">
        <w:t xml:space="preserve"> Please note that some of the smart thermostats, if not all, already have the fan delay controller. </w:t>
      </w:r>
    </w:p>
    <w:p w14:paraId="4BFED9D7" w14:textId="65A11D18" w:rsidR="0024601E" w:rsidRPr="00244981" w:rsidRDefault="002D26C9" w:rsidP="00ED5F2E">
      <w:pPr>
        <w:pStyle w:val="NoSpacing"/>
        <w:numPr>
          <w:ilvl w:val="0"/>
          <w:numId w:val="43"/>
        </w:numPr>
        <w:jc w:val="both"/>
      </w:pPr>
      <w:r w:rsidRPr="007E51FC">
        <w:t>This work paper only allows the installation of an automated</w:t>
      </w:r>
      <w:r w:rsidR="0024601E" w:rsidRPr="00244981">
        <w:t xml:space="preserve"> (logic-based)</w:t>
      </w:r>
      <w:r w:rsidRPr="00244981">
        <w:t xml:space="preserve"> fan </w:t>
      </w:r>
      <w:r w:rsidR="0024601E" w:rsidRPr="00244981">
        <w:t xml:space="preserve">delay </w:t>
      </w:r>
      <w:r w:rsidRPr="00244981">
        <w:t>controller</w:t>
      </w:r>
      <w:r w:rsidR="0024601E" w:rsidRPr="00244981">
        <w:t>s</w:t>
      </w:r>
      <w:r w:rsidRPr="00244981">
        <w:t>, unless the manually-set time-delay fan controller is set and commissioned by a trained</w:t>
      </w:r>
      <w:r w:rsidR="003B2DB8">
        <w:t xml:space="preserve"> (and SCE approved)</w:t>
      </w:r>
      <w:r w:rsidRPr="00244981">
        <w:t xml:space="preserve"> contractor.</w:t>
      </w:r>
    </w:p>
    <w:p w14:paraId="1021FAEC" w14:textId="16A9D7B1" w:rsidR="00697868" w:rsidRPr="00244981" w:rsidRDefault="002D26C9" w:rsidP="00ED5F2E">
      <w:pPr>
        <w:pStyle w:val="NoSpacing"/>
        <w:numPr>
          <w:ilvl w:val="0"/>
          <w:numId w:val="43"/>
        </w:numPr>
        <w:jc w:val="both"/>
      </w:pPr>
      <w:r w:rsidRPr="00244981">
        <w:t>This measure can be installed in single family, multi-family, and double-wide mobile homes in all climate zones.</w:t>
      </w:r>
    </w:p>
    <w:p w14:paraId="6C85F2F7" w14:textId="08216B61" w:rsidR="00B8252D" w:rsidRDefault="00B8252D" w:rsidP="00ED5F2E">
      <w:pPr>
        <w:pStyle w:val="NoSpacing"/>
        <w:numPr>
          <w:ilvl w:val="0"/>
          <w:numId w:val="43"/>
        </w:numPr>
        <w:jc w:val="both"/>
      </w:pPr>
      <w:r w:rsidRPr="00244981">
        <w:t>Installation</w:t>
      </w:r>
      <w:r>
        <w:t xml:space="preserve"> shall comply with all latest applicable regulations, code, and standards including but not limited to the California Energy Standards Title</w:t>
      </w:r>
      <w:r w:rsidR="00244981">
        <w:t>-</w:t>
      </w:r>
      <w:r>
        <w:t>24</w:t>
      </w:r>
      <w:r w:rsidR="00A87C94">
        <w:t>, Title</w:t>
      </w:r>
      <w:r w:rsidR="00244981">
        <w:t>-</w:t>
      </w:r>
      <w:r w:rsidR="00A87C94">
        <w:t>20,</w:t>
      </w:r>
      <w:r>
        <w:t xml:space="preserve"> and NEC. </w:t>
      </w:r>
    </w:p>
    <w:p w14:paraId="113B8857" w14:textId="05211859" w:rsidR="00A87C94" w:rsidRDefault="00A87C94" w:rsidP="00ED5F2E">
      <w:pPr>
        <w:pStyle w:val="NoSpacing"/>
        <w:numPr>
          <w:ilvl w:val="0"/>
          <w:numId w:val="43"/>
        </w:numPr>
        <w:jc w:val="both"/>
      </w:pPr>
      <w:r>
        <w:lastRenderedPageBreak/>
        <w:t xml:space="preserve">Fan delay controllers </w:t>
      </w:r>
      <w:r w:rsidR="00D9465D">
        <w:t xml:space="preserve">used </w:t>
      </w:r>
      <w:r>
        <w:t>for optimizing and improving heating efficiency including those for gas furnaces cannot be incentivized under this workpaper.</w:t>
      </w:r>
    </w:p>
    <w:p w14:paraId="772AD526" w14:textId="15380A89" w:rsidR="008D3BA3" w:rsidRPr="008D3BA3" w:rsidRDefault="008D3BA3" w:rsidP="00ED5F2E">
      <w:pPr>
        <w:pStyle w:val="ListParagraph"/>
        <w:numPr>
          <w:ilvl w:val="0"/>
          <w:numId w:val="43"/>
        </w:numPr>
        <w:jc w:val="both"/>
        <w:rPr>
          <w:rFonts w:eastAsiaTheme="minorHAnsi" w:cstheme="minorBidi"/>
          <w:szCs w:val="22"/>
        </w:rPr>
      </w:pPr>
      <w:r w:rsidRPr="008D3BA3">
        <w:rPr>
          <w:rFonts w:eastAsiaTheme="minorHAnsi" w:cstheme="minorBidi"/>
          <w:szCs w:val="22"/>
        </w:rPr>
        <w:t xml:space="preserve">Installations </w:t>
      </w:r>
      <w:r w:rsidR="00CB65C5">
        <w:rPr>
          <w:rFonts w:eastAsiaTheme="minorHAnsi" w:cstheme="minorBidi"/>
          <w:szCs w:val="22"/>
        </w:rPr>
        <w:t>of</w:t>
      </w:r>
      <w:r w:rsidRPr="008D3BA3">
        <w:rPr>
          <w:rFonts w:eastAsiaTheme="minorHAnsi" w:cstheme="minorBidi"/>
          <w:szCs w:val="22"/>
        </w:rPr>
        <w:t xml:space="preserve"> “manual fan delay controllers</w:t>
      </w:r>
      <w:r w:rsidR="00244981">
        <w:rPr>
          <w:rFonts w:eastAsiaTheme="minorHAnsi" w:cstheme="minorBidi"/>
          <w:szCs w:val="22"/>
        </w:rPr>
        <w:t>”</w:t>
      </w:r>
      <w:r w:rsidRPr="008D3BA3">
        <w:rPr>
          <w:rFonts w:eastAsiaTheme="minorHAnsi" w:cstheme="minorBidi"/>
          <w:szCs w:val="22"/>
        </w:rPr>
        <w:t xml:space="preserve"> shall be supported by proof and acknowledgment (e.g., Incentive application </w:t>
      </w:r>
      <w:r w:rsidR="00244981">
        <w:rPr>
          <w:rFonts w:eastAsiaTheme="minorHAnsi" w:cstheme="minorBidi"/>
          <w:szCs w:val="22"/>
        </w:rPr>
        <w:t>or</w:t>
      </w:r>
      <w:r w:rsidRPr="008D3BA3">
        <w:rPr>
          <w:rFonts w:eastAsiaTheme="minorHAnsi" w:cstheme="minorBidi"/>
          <w:szCs w:val="22"/>
        </w:rPr>
        <w:t xml:space="preserve"> similar) indicating that the installation was performed, completed, and commissioned by an approved contractor.   </w:t>
      </w:r>
    </w:p>
    <w:p w14:paraId="5D30BC04" w14:textId="77777777" w:rsidR="008D3BA3" w:rsidRDefault="008D3BA3" w:rsidP="00ED5F2E">
      <w:pPr>
        <w:pStyle w:val="NoSpacing"/>
      </w:pPr>
    </w:p>
    <w:p w14:paraId="02A3FC8A"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27C78E70" w14:textId="6756D457" w:rsidR="00EC4C35" w:rsidRDefault="006236DC" w:rsidP="00ED5F2E">
      <w:pPr>
        <w:pStyle w:val="Reminder"/>
        <w:jc w:val="both"/>
        <w:rPr>
          <w:rFonts w:asciiTheme="minorHAnsi" w:hAnsiTheme="minorHAnsi" w:cstheme="minorHAnsi"/>
          <w:i w:val="0"/>
          <w:color w:val="auto"/>
          <w:szCs w:val="22"/>
        </w:rPr>
      </w:pPr>
      <w:r>
        <w:rPr>
          <w:rFonts w:asciiTheme="minorHAnsi" w:hAnsiTheme="minorHAnsi" w:cstheme="minorHAnsi"/>
          <w:i w:val="0"/>
          <w:color w:val="auto"/>
          <w:szCs w:val="22"/>
        </w:rPr>
        <w:t>A typical residential AC unit cycles</w:t>
      </w:r>
      <w:r w:rsidR="007E51FC">
        <w:rPr>
          <w:rFonts w:asciiTheme="minorHAnsi" w:hAnsiTheme="minorHAnsi" w:cstheme="minorHAnsi"/>
          <w:i w:val="0"/>
          <w:color w:val="auto"/>
          <w:szCs w:val="22"/>
        </w:rPr>
        <w:t xml:space="preserve"> off</w:t>
      </w:r>
      <w:r>
        <w:rPr>
          <w:rFonts w:asciiTheme="minorHAnsi" w:hAnsiTheme="minorHAnsi" w:cstheme="minorHAnsi"/>
          <w:i w:val="0"/>
          <w:color w:val="auto"/>
          <w:szCs w:val="22"/>
        </w:rPr>
        <w:t xml:space="preserve"> </w:t>
      </w:r>
      <w:r w:rsidR="00496C92">
        <w:rPr>
          <w:rFonts w:asciiTheme="minorHAnsi" w:hAnsiTheme="minorHAnsi" w:cstheme="minorHAnsi"/>
          <w:i w:val="0"/>
          <w:color w:val="auto"/>
          <w:szCs w:val="22"/>
        </w:rPr>
        <w:t xml:space="preserve">both the compressor and the evaporator fan, if the thermostat </w:t>
      </w:r>
      <w:proofErr w:type="spellStart"/>
      <w:r w:rsidR="00496C92">
        <w:rPr>
          <w:rFonts w:asciiTheme="minorHAnsi" w:hAnsiTheme="minorHAnsi" w:cstheme="minorHAnsi"/>
          <w:i w:val="0"/>
          <w:color w:val="auto"/>
          <w:szCs w:val="22"/>
        </w:rPr>
        <w:t>setpoint</w:t>
      </w:r>
      <w:proofErr w:type="spellEnd"/>
      <w:r w:rsidR="00496C92">
        <w:rPr>
          <w:rFonts w:asciiTheme="minorHAnsi" w:hAnsiTheme="minorHAnsi" w:cstheme="minorHAnsi"/>
          <w:i w:val="0"/>
          <w:color w:val="auto"/>
          <w:szCs w:val="22"/>
        </w:rPr>
        <w:t xml:space="preserve"> temperature is met. </w:t>
      </w:r>
      <w:r w:rsidR="00496C92" w:rsidRPr="00496C92">
        <w:rPr>
          <w:rFonts w:asciiTheme="minorHAnsi" w:hAnsiTheme="minorHAnsi" w:cstheme="minorHAnsi"/>
          <w:i w:val="0"/>
          <w:color w:val="auto"/>
          <w:szCs w:val="22"/>
        </w:rPr>
        <w:t>When the compressor and evaporator fan are cut off in response to the thermostat control, the evaporator coil is still partially flooded with the liquid refrigerant.</w:t>
      </w:r>
      <w:r w:rsidR="00496C92">
        <w:rPr>
          <w:rFonts w:asciiTheme="minorHAnsi" w:hAnsiTheme="minorHAnsi" w:cstheme="minorHAnsi"/>
          <w:i w:val="0"/>
          <w:color w:val="auto"/>
          <w:szCs w:val="22"/>
        </w:rPr>
        <w:t xml:space="preserve"> </w:t>
      </w:r>
      <w:r w:rsidR="00496C92" w:rsidRPr="00496C92">
        <w:rPr>
          <w:rFonts w:asciiTheme="minorHAnsi" w:hAnsiTheme="minorHAnsi" w:cstheme="minorHAnsi"/>
          <w:i w:val="0"/>
          <w:color w:val="auto"/>
          <w:szCs w:val="22"/>
        </w:rPr>
        <w:t>This residual liquid refrigerant can be used to provide space cooling</w:t>
      </w:r>
      <w:r w:rsidR="00496C92">
        <w:rPr>
          <w:rFonts w:asciiTheme="minorHAnsi" w:hAnsiTheme="minorHAnsi" w:cstheme="minorHAnsi"/>
          <w:i w:val="0"/>
          <w:color w:val="auto"/>
          <w:szCs w:val="22"/>
        </w:rPr>
        <w:t xml:space="preserve"> optimizing and improving system efficiency</w:t>
      </w:r>
      <w:r w:rsidR="00496C92" w:rsidRPr="00496C92">
        <w:rPr>
          <w:rFonts w:asciiTheme="minorHAnsi" w:hAnsiTheme="minorHAnsi" w:cstheme="minorHAnsi"/>
          <w:i w:val="0"/>
          <w:color w:val="auto"/>
          <w:szCs w:val="22"/>
        </w:rPr>
        <w:t>. This can occur by running the evaporator fan for a short time after the compressor cycles off</w:t>
      </w:r>
      <w:r w:rsidR="00496C92">
        <w:rPr>
          <w:rFonts w:asciiTheme="minorHAnsi" w:hAnsiTheme="minorHAnsi" w:cstheme="minorHAnsi"/>
          <w:i w:val="0"/>
          <w:color w:val="auto"/>
          <w:szCs w:val="22"/>
        </w:rPr>
        <w:t xml:space="preserve">, </w:t>
      </w:r>
      <w:r w:rsidR="00496C92" w:rsidRPr="00496C92">
        <w:rPr>
          <w:rFonts w:asciiTheme="minorHAnsi" w:hAnsiTheme="minorHAnsi" w:cstheme="minorHAnsi"/>
          <w:i w:val="0"/>
          <w:color w:val="auto"/>
          <w:szCs w:val="22"/>
        </w:rPr>
        <w:t>referred to as “fan delay time”.</w:t>
      </w:r>
      <w:r w:rsidR="00EC4C35">
        <w:rPr>
          <w:rFonts w:asciiTheme="minorHAnsi" w:hAnsiTheme="minorHAnsi" w:cstheme="minorHAnsi"/>
          <w:i w:val="0"/>
          <w:color w:val="auto"/>
          <w:szCs w:val="22"/>
        </w:rPr>
        <w:t xml:space="preserve"> A</w:t>
      </w:r>
      <w:r w:rsidR="00EC4C35" w:rsidRPr="00EC4C35">
        <w:rPr>
          <w:rFonts w:asciiTheme="minorHAnsi" w:hAnsiTheme="minorHAnsi" w:cstheme="minorHAnsi"/>
          <w:i w:val="0"/>
          <w:color w:val="auto"/>
          <w:szCs w:val="22"/>
        </w:rPr>
        <w:t>fter the compressor stops running, the evaporator fan continues running to circulate the indoor air across the evaporator coil to provide additional sensible cooling.</w:t>
      </w:r>
      <w:r w:rsidR="00EC4C35">
        <w:rPr>
          <w:rFonts w:asciiTheme="minorHAnsi" w:hAnsiTheme="minorHAnsi" w:cstheme="minorHAnsi"/>
          <w:i w:val="0"/>
          <w:color w:val="auto"/>
          <w:szCs w:val="22"/>
        </w:rPr>
        <w:t xml:space="preserve"> A</w:t>
      </w:r>
      <w:r w:rsidR="00EC4C35" w:rsidRPr="00EC4C35">
        <w:rPr>
          <w:rFonts w:asciiTheme="minorHAnsi" w:hAnsiTheme="minorHAnsi" w:cstheme="minorHAnsi"/>
          <w:i w:val="0"/>
          <w:color w:val="auto"/>
          <w:szCs w:val="22"/>
        </w:rPr>
        <w:t>dditional sensible cooling provided during the fan delay period postpones the start of the next cooling cycle.</w:t>
      </w:r>
      <w:r w:rsidR="00EC4C35">
        <w:rPr>
          <w:rFonts w:asciiTheme="minorHAnsi" w:hAnsiTheme="minorHAnsi" w:cstheme="minorHAnsi"/>
          <w:i w:val="0"/>
          <w:color w:val="auto"/>
          <w:szCs w:val="22"/>
        </w:rPr>
        <w:t xml:space="preserve"> The reduction in cooling period results in energy savings, mitigating the penalty as a result of the increased run time of the fan.</w:t>
      </w:r>
    </w:p>
    <w:p w14:paraId="7D6E7F0D" w14:textId="77777777" w:rsidR="00EC4C35" w:rsidRDefault="00EC4C35" w:rsidP="00ED5F2E">
      <w:pPr>
        <w:pStyle w:val="Reminder"/>
        <w:jc w:val="both"/>
        <w:rPr>
          <w:rFonts w:asciiTheme="minorHAnsi" w:hAnsiTheme="minorHAnsi" w:cstheme="minorHAnsi"/>
          <w:i w:val="0"/>
          <w:color w:val="auto"/>
          <w:szCs w:val="22"/>
        </w:rPr>
      </w:pPr>
    </w:p>
    <w:p w14:paraId="21BCAC82" w14:textId="23DE759F" w:rsidR="009F4252" w:rsidRDefault="004F2149" w:rsidP="00C53654">
      <w:pPr>
        <w:pStyle w:val="Reminder"/>
        <w:jc w:val="both"/>
        <w:rPr>
          <w:rFonts w:asciiTheme="minorHAnsi" w:hAnsiTheme="minorHAnsi" w:cstheme="minorHAnsi"/>
          <w:i w:val="0"/>
          <w:color w:val="auto"/>
          <w:szCs w:val="22"/>
        </w:rPr>
      </w:pPr>
      <w:r>
        <w:rPr>
          <w:rFonts w:asciiTheme="minorHAnsi" w:hAnsiTheme="minorHAnsi" w:cstheme="minorHAnsi"/>
          <w:i w:val="0"/>
          <w:color w:val="auto"/>
          <w:szCs w:val="22"/>
        </w:rPr>
        <w:t xml:space="preserve">There are two types of commercially available add-on </w:t>
      </w:r>
      <w:r w:rsidR="00461820">
        <w:rPr>
          <w:rFonts w:asciiTheme="minorHAnsi" w:hAnsiTheme="minorHAnsi" w:cstheme="minorHAnsi"/>
          <w:i w:val="0"/>
          <w:color w:val="auto"/>
          <w:szCs w:val="22"/>
        </w:rPr>
        <w:t xml:space="preserve">fan delay controllers. One type </w:t>
      </w:r>
      <w:r w:rsidR="00B52341">
        <w:rPr>
          <w:rFonts w:asciiTheme="minorHAnsi" w:hAnsiTheme="minorHAnsi" w:cstheme="minorHAnsi"/>
          <w:i w:val="0"/>
          <w:color w:val="auto"/>
          <w:szCs w:val="22"/>
        </w:rPr>
        <w:t>has</w:t>
      </w:r>
      <w:r>
        <w:rPr>
          <w:rFonts w:asciiTheme="minorHAnsi" w:hAnsiTheme="minorHAnsi" w:cstheme="minorHAnsi"/>
          <w:i w:val="0"/>
          <w:color w:val="auto"/>
          <w:szCs w:val="22"/>
        </w:rPr>
        <w:t xml:space="preserve"> built-in logic </w:t>
      </w:r>
      <w:r w:rsidR="007E51FC">
        <w:rPr>
          <w:rFonts w:asciiTheme="minorHAnsi" w:hAnsiTheme="minorHAnsi" w:cstheme="minorHAnsi"/>
          <w:i w:val="0"/>
          <w:color w:val="auto"/>
          <w:szCs w:val="22"/>
        </w:rPr>
        <w:t xml:space="preserve">to </w:t>
      </w:r>
      <w:r w:rsidR="002D26C9">
        <w:rPr>
          <w:rFonts w:asciiTheme="minorHAnsi" w:hAnsiTheme="minorHAnsi" w:cstheme="minorHAnsi"/>
          <w:i w:val="0"/>
          <w:color w:val="auto"/>
          <w:szCs w:val="22"/>
        </w:rPr>
        <w:t>delay the evaporator fan cycle</w:t>
      </w:r>
      <w:r w:rsidR="00D9465D">
        <w:rPr>
          <w:rFonts w:asciiTheme="minorHAnsi" w:hAnsiTheme="minorHAnsi" w:cstheme="minorHAnsi"/>
          <w:i w:val="0"/>
          <w:color w:val="auto"/>
          <w:szCs w:val="22"/>
        </w:rPr>
        <w:t>-</w:t>
      </w:r>
      <w:r w:rsidR="002D26C9">
        <w:rPr>
          <w:rFonts w:asciiTheme="minorHAnsi" w:hAnsiTheme="minorHAnsi" w:cstheme="minorHAnsi"/>
          <w:i w:val="0"/>
          <w:color w:val="auto"/>
          <w:szCs w:val="22"/>
        </w:rPr>
        <w:t>off time</w:t>
      </w:r>
      <w:r w:rsidR="00A87C94">
        <w:rPr>
          <w:rFonts w:asciiTheme="minorHAnsi" w:hAnsiTheme="minorHAnsi" w:cstheme="minorHAnsi"/>
          <w:i w:val="0"/>
          <w:color w:val="auto"/>
          <w:szCs w:val="22"/>
        </w:rPr>
        <w:t xml:space="preserve"> based on compressor an</w:t>
      </w:r>
      <w:r w:rsidR="00D9465D">
        <w:rPr>
          <w:rFonts w:asciiTheme="minorHAnsi" w:hAnsiTheme="minorHAnsi" w:cstheme="minorHAnsi"/>
          <w:i w:val="0"/>
          <w:color w:val="auto"/>
          <w:szCs w:val="22"/>
        </w:rPr>
        <w:t>d/or evaporator fan cycling</w:t>
      </w:r>
      <w:r>
        <w:rPr>
          <w:rFonts w:asciiTheme="minorHAnsi" w:hAnsiTheme="minorHAnsi" w:cstheme="minorHAnsi"/>
          <w:i w:val="0"/>
          <w:color w:val="auto"/>
          <w:szCs w:val="22"/>
        </w:rPr>
        <w:t>. The control logic directly correlates fan delay periods with compressor run times.</w:t>
      </w:r>
    </w:p>
    <w:p w14:paraId="28531859" w14:textId="77777777" w:rsidR="00B52341" w:rsidRDefault="00B52341" w:rsidP="00C53654">
      <w:pPr>
        <w:pStyle w:val="Reminder"/>
        <w:jc w:val="both"/>
        <w:rPr>
          <w:rFonts w:asciiTheme="minorHAnsi" w:hAnsiTheme="minorHAnsi" w:cstheme="minorHAnsi"/>
          <w:i w:val="0"/>
          <w:color w:val="auto"/>
          <w:szCs w:val="22"/>
        </w:rPr>
      </w:pPr>
    </w:p>
    <w:p w14:paraId="681BF493" w14:textId="7A32A231" w:rsidR="002D26C9" w:rsidRPr="00D01F94" w:rsidRDefault="004F2149" w:rsidP="00B52341">
      <w:pPr>
        <w:pStyle w:val="Reminder"/>
        <w:jc w:val="both"/>
        <w:rPr>
          <w:rFonts w:asciiTheme="minorHAnsi" w:hAnsiTheme="minorHAnsi" w:cstheme="minorHAnsi"/>
          <w:i w:val="0"/>
          <w:color w:val="auto"/>
          <w:szCs w:val="22"/>
        </w:rPr>
      </w:pPr>
      <w:r>
        <w:rPr>
          <w:rFonts w:asciiTheme="minorHAnsi" w:hAnsiTheme="minorHAnsi" w:cstheme="minorHAnsi"/>
          <w:i w:val="0"/>
          <w:color w:val="auto"/>
          <w:szCs w:val="22"/>
        </w:rPr>
        <w:t xml:space="preserve">The other type of </w:t>
      </w:r>
      <w:r w:rsidR="00461820">
        <w:rPr>
          <w:rFonts w:asciiTheme="minorHAnsi" w:hAnsiTheme="minorHAnsi" w:cstheme="minorHAnsi"/>
          <w:i w:val="0"/>
          <w:color w:val="auto"/>
          <w:szCs w:val="22"/>
        </w:rPr>
        <w:t xml:space="preserve">fan delay controller </w:t>
      </w:r>
      <w:r w:rsidR="00B07645">
        <w:rPr>
          <w:rFonts w:asciiTheme="minorHAnsi" w:hAnsiTheme="minorHAnsi" w:cstheme="minorHAnsi"/>
          <w:i w:val="0"/>
          <w:color w:val="auto"/>
          <w:szCs w:val="22"/>
        </w:rPr>
        <w:t>is</w:t>
      </w:r>
      <w:r>
        <w:rPr>
          <w:rFonts w:asciiTheme="minorHAnsi" w:hAnsiTheme="minorHAnsi" w:cstheme="minorHAnsi"/>
          <w:i w:val="0"/>
          <w:color w:val="auto"/>
          <w:szCs w:val="22"/>
        </w:rPr>
        <w:t xml:space="preserve"> </w:t>
      </w:r>
      <w:r w:rsidR="00B07645">
        <w:rPr>
          <w:rFonts w:asciiTheme="minorHAnsi" w:hAnsiTheme="minorHAnsi" w:cstheme="minorHAnsi"/>
          <w:i w:val="0"/>
          <w:color w:val="auto"/>
          <w:szCs w:val="22"/>
        </w:rPr>
        <w:t xml:space="preserve">a </w:t>
      </w:r>
      <w:r>
        <w:rPr>
          <w:rFonts w:asciiTheme="minorHAnsi" w:hAnsiTheme="minorHAnsi" w:cstheme="minorHAnsi"/>
          <w:i w:val="0"/>
          <w:color w:val="auto"/>
          <w:szCs w:val="22"/>
        </w:rPr>
        <w:t>m</w:t>
      </w:r>
      <w:r w:rsidR="009F4252">
        <w:rPr>
          <w:rFonts w:asciiTheme="minorHAnsi" w:hAnsiTheme="minorHAnsi" w:cstheme="minorHAnsi"/>
          <w:i w:val="0"/>
          <w:color w:val="auto"/>
          <w:szCs w:val="22"/>
        </w:rPr>
        <w:t>anual evaporator fan delay (cycle-off) controller</w:t>
      </w:r>
      <w:r>
        <w:rPr>
          <w:rFonts w:asciiTheme="minorHAnsi" w:hAnsiTheme="minorHAnsi" w:cstheme="minorHAnsi"/>
          <w:i w:val="0"/>
          <w:color w:val="auto"/>
          <w:szCs w:val="22"/>
        </w:rPr>
        <w:t>, which</w:t>
      </w:r>
      <w:r w:rsidR="009F4252">
        <w:rPr>
          <w:rFonts w:asciiTheme="minorHAnsi" w:hAnsiTheme="minorHAnsi" w:cstheme="minorHAnsi"/>
          <w:i w:val="0"/>
          <w:color w:val="auto"/>
          <w:szCs w:val="22"/>
        </w:rPr>
        <w:t xml:space="preserve"> </w:t>
      </w:r>
      <w:r w:rsidR="00474076" w:rsidRPr="00474076">
        <w:rPr>
          <w:rFonts w:asciiTheme="minorHAnsi" w:hAnsiTheme="minorHAnsi" w:cstheme="minorHAnsi"/>
          <w:i w:val="0"/>
          <w:color w:val="auto"/>
          <w:szCs w:val="22"/>
        </w:rPr>
        <w:t xml:space="preserve">typically </w:t>
      </w:r>
      <w:r w:rsidR="009F4252">
        <w:rPr>
          <w:rFonts w:asciiTheme="minorHAnsi" w:hAnsiTheme="minorHAnsi" w:cstheme="minorHAnsi"/>
          <w:i w:val="0"/>
          <w:color w:val="auto"/>
          <w:szCs w:val="22"/>
        </w:rPr>
        <w:t>extend</w:t>
      </w:r>
      <w:r w:rsidR="00B07645">
        <w:rPr>
          <w:rFonts w:asciiTheme="minorHAnsi" w:hAnsiTheme="minorHAnsi" w:cstheme="minorHAnsi"/>
          <w:i w:val="0"/>
          <w:color w:val="auto"/>
          <w:szCs w:val="22"/>
        </w:rPr>
        <w:t>s</w:t>
      </w:r>
      <w:r w:rsidR="009F4252">
        <w:rPr>
          <w:rFonts w:asciiTheme="minorHAnsi" w:hAnsiTheme="minorHAnsi" w:cstheme="minorHAnsi"/>
          <w:i w:val="0"/>
          <w:color w:val="auto"/>
          <w:szCs w:val="22"/>
        </w:rPr>
        <w:t xml:space="preserve"> evaporator </w:t>
      </w:r>
      <w:r w:rsidR="00474076" w:rsidRPr="00474076">
        <w:rPr>
          <w:rFonts w:asciiTheme="minorHAnsi" w:hAnsiTheme="minorHAnsi" w:cstheme="minorHAnsi"/>
          <w:i w:val="0"/>
          <w:color w:val="auto"/>
          <w:szCs w:val="22"/>
        </w:rPr>
        <w:t>fan</w:t>
      </w:r>
      <w:r w:rsidR="009F4252">
        <w:rPr>
          <w:rFonts w:asciiTheme="minorHAnsi" w:hAnsiTheme="minorHAnsi" w:cstheme="minorHAnsi"/>
          <w:i w:val="0"/>
          <w:color w:val="auto"/>
          <w:szCs w:val="22"/>
        </w:rPr>
        <w:t xml:space="preserve"> operation for 0 to 90 seconds after the </w:t>
      </w:r>
      <w:r w:rsidR="00474076" w:rsidRPr="00474076">
        <w:rPr>
          <w:rFonts w:asciiTheme="minorHAnsi" w:hAnsiTheme="minorHAnsi" w:cstheme="minorHAnsi"/>
          <w:i w:val="0"/>
          <w:color w:val="auto"/>
          <w:szCs w:val="22"/>
        </w:rPr>
        <w:t>compressor</w:t>
      </w:r>
      <w:r w:rsidR="009F4252">
        <w:rPr>
          <w:rFonts w:asciiTheme="minorHAnsi" w:hAnsiTheme="minorHAnsi" w:cstheme="minorHAnsi"/>
          <w:i w:val="0"/>
          <w:color w:val="auto"/>
          <w:szCs w:val="22"/>
        </w:rPr>
        <w:t xml:space="preserve"> has </w:t>
      </w:r>
      <w:r w:rsidR="00474076" w:rsidRPr="00474076">
        <w:rPr>
          <w:rFonts w:asciiTheme="minorHAnsi" w:hAnsiTheme="minorHAnsi" w:cstheme="minorHAnsi"/>
          <w:i w:val="0"/>
          <w:color w:val="auto"/>
          <w:szCs w:val="22"/>
        </w:rPr>
        <w:t>turn</w:t>
      </w:r>
      <w:r w:rsidR="009F4252">
        <w:rPr>
          <w:rFonts w:asciiTheme="minorHAnsi" w:hAnsiTheme="minorHAnsi" w:cstheme="minorHAnsi"/>
          <w:i w:val="0"/>
          <w:color w:val="auto"/>
          <w:szCs w:val="22"/>
        </w:rPr>
        <w:t>ed</w:t>
      </w:r>
      <w:r w:rsidR="00474076" w:rsidRPr="00474076">
        <w:rPr>
          <w:rFonts w:asciiTheme="minorHAnsi" w:hAnsiTheme="minorHAnsi" w:cstheme="minorHAnsi"/>
          <w:i w:val="0"/>
          <w:color w:val="auto"/>
          <w:szCs w:val="22"/>
        </w:rPr>
        <w:t xml:space="preserve"> off</w:t>
      </w:r>
      <w:r w:rsidR="009F4252">
        <w:rPr>
          <w:rFonts w:asciiTheme="minorHAnsi" w:hAnsiTheme="minorHAnsi" w:cstheme="minorHAnsi"/>
          <w:i w:val="0"/>
          <w:color w:val="auto"/>
          <w:szCs w:val="22"/>
        </w:rPr>
        <w:t xml:space="preserve">.  </w:t>
      </w:r>
      <w:r w:rsidR="00474076" w:rsidRPr="00474076">
        <w:rPr>
          <w:rFonts w:asciiTheme="minorHAnsi" w:hAnsiTheme="minorHAnsi" w:cstheme="minorHAnsi"/>
          <w:i w:val="0"/>
          <w:color w:val="auto"/>
          <w:szCs w:val="22"/>
        </w:rPr>
        <w:t xml:space="preserve">This </w:t>
      </w:r>
      <w:r w:rsidR="00496C92">
        <w:rPr>
          <w:rFonts w:asciiTheme="minorHAnsi" w:hAnsiTheme="minorHAnsi" w:cstheme="minorHAnsi"/>
          <w:i w:val="0"/>
          <w:color w:val="auto"/>
          <w:szCs w:val="22"/>
        </w:rPr>
        <w:t>measure</w:t>
      </w:r>
      <w:r w:rsidR="00474076" w:rsidRPr="00474076">
        <w:rPr>
          <w:rFonts w:asciiTheme="minorHAnsi" w:hAnsiTheme="minorHAnsi" w:cstheme="minorHAnsi"/>
          <w:i w:val="0"/>
          <w:color w:val="auto"/>
          <w:szCs w:val="22"/>
        </w:rPr>
        <w:t xml:space="preserve"> </w:t>
      </w:r>
      <w:r w:rsidR="007E51FC">
        <w:rPr>
          <w:rFonts w:asciiTheme="minorHAnsi" w:hAnsiTheme="minorHAnsi" w:cstheme="minorHAnsi"/>
          <w:i w:val="0"/>
          <w:color w:val="auto"/>
          <w:szCs w:val="22"/>
        </w:rPr>
        <w:t xml:space="preserve">only </w:t>
      </w:r>
      <w:r w:rsidR="00474076" w:rsidRPr="00474076">
        <w:rPr>
          <w:rFonts w:asciiTheme="minorHAnsi" w:hAnsiTheme="minorHAnsi" w:cstheme="minorHAnsi"/>
          <w:i w:val="0"/>
          <w:color w:val="auto"/>
          <w:szCs w:val="22"/>
        </w:rPr>
        <w:t>allows the installation of a</w:t>
      </w:r>
      <w:r w:rsidR="007E51FC">
        <w:rPr>
          <w:rFonts w:asciiTheme="minorHAnsi" w:hAnsiTheme="minorHAnsi" w:cstheme="minorHAnsi"/>
          <w:i w:val="0"/>
          <w:color w:val="auto"/>
          <w:szCs w:val="22"/>
        </w:rPr>
        <w:t xml:space="preserve"> </w:t>
      </w:r>
      <w:r w:rsidR="00B52341">
        <w:rPr>
          <w:rFonts w:asciiTheme="minorHAnsi" w:hAnsiTheme="minorHAnsi" w:cstheme="minorHAnsi"/>
          <w:i w:val="0"/>
          <w:color w:val="auto"/>
          <w:szCs w:val="22"/>
        </w:rPr>
        <w:t>fan delay controller</w:t>
      </w:r>
      <w:r w:rsidR="007E51FC">
        <w:rPr>
          <w:rFonts w:asciiTheme="minorHAnsi" w:hAnsiTheme="minorHAnsi" w:cstheme="minorHAnsi"/>
          <w:i w:val="0"/>
          <w:color w:val="auto"/>
          <w:szCs w:val="22"/>
        </w:rPr>
        <w:t xml:space="preserve"> </w:t>
      </w:r>
      <w:r w:rsidR="00474076" w:rsidRPr="00474076">
        <w:rPr>
          <w:rFonts w:asciiTheme="minorHAnsi" w:hAnsiTheme="minorHAnsi" w:cstheme="minorHAnsi"/>
          <w:i w:val="0"/>
          <w:color w:val="auto"/>
          <w:szCs w:val="22"/>
        </w:rPr>
        <w:t xml:space="preserve">with </w:t>
      </w:r>
      <w:r w:rsidR="00B86CF2">
        <w:rPr>
          <w:rFonts w:asciiTheme="minorHAnsi" w:hAnsiTheme="minorHAnsi" w:cstheme="minorHAnsi"/>
          <w:i w:val="0"/>
          <w:color w:val="auto"/>
          <w:szCs w:val="22"/>
        </w:rPr>
        <w:t xml:space="preserve">a </w:t>
      </w:r>
      <w:r w:rsidR="00474076" w:rsidRPr="00474076">
        <w:rPr>
          <w:rFonts w:asciiTheme="minorHAnsi" w:hAnsiTheme="minorHAnsi" w:cstheme="minorHAnsi"/>
          <w:i w:val="0"/>
          <w:color w:val="auto"/>
          <w:szCs w:val="22"/>
        </w:rPr>
        <w:t>built-in logic</w:t>
      </w:r>
      <w:r w:rsidR="007E51FC">
        <w:rPr>
          <w:rFonts w:asciiTheme="minorHAnsi" w:hAnsiTheme="minorHAnsi" w:cstheme="minorHAnsi"/>
          <w:i w:val="0"/>
          <w:color w:val="auto"/>
          <w:szCs w:val="22"/>
        </w:rPr>
        <w:t xml:space="preserve">. </w:t>
      </w:r>
      <w:r w:rsidR="00B52341">
        <w:rPr>
          <w:rFonts w:asciiTheme="minorHAnsi" w:hAnsiTheme="minorHAnsi" w:cstheme="minorHAnsi"/>
          <w:i w:val="0"/>
          <w:color w:val="auto"/>
          <w:szCs w:val="22"/>
        </w:rPr>
        <w:t>Fan delay controller</w:t>
      </w:r>
      <w:r w:rsidR="00B86CF2">
        <w:rPr>
          <w:rFonts w:asciiTheme="minorHAnsi" w:hAnsiTheme="minorHAnsi" w:cstheme="minorHAnsi"/>
          <w:i w:val="0"/>
          <w:color w:val="auto"/>
          <w:szCs w:val="22"/>
        </w:rPr>
        <w:t>s with a manually prescribed delay time are allowed only when</w:t>
      </w:r>
      <w:r w:rsidR="009F4252">
        <w:rPr>
          <w:rFonts w:asciiTheme="minorHAnsi" w:hAnsiTheme="minorHAnsi" w:cstheme="minorHAnsi"/>
          <w:i w:val="0"/>
          <w:color w:val="auto"/>
          <w:szCs w:val="22"/>
        </w:rPr>
        <w:t xml:space="preserve"> installed and commissioned by an approved HVAC contractor. </w:t>
      </w:r>
    </w:p>
    <w:p w14:paraId="13829F52"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444A8AC1" w14:textId="52FACF43" w:rsidR="00AD2E29" w:rsidRDefault="00AD2E29" w:rsidP="00B52341">
      <w:pPr>
        <w:pStyle w:val="Reminders"/>
        <w:tabs>
          <w:tab w:val="num" w:pos="360"/>
        </w:tabs>
        <w:jc w:val="both"/>
        <w:rPr>
          <w:rFonts w:asciiTheme="minorHAnsi" w:hAnsiTheme="minorHAnsi" w:cstheme="minorHAnsi"/>
          <w:i w:val="0"/>
          <w:color w:val="auto"/>
          <w:szCs w:val="22"/>
        </w:rPr>
      </w:pPr>
      <w:r>
        <w:rPr>
          <w:rFonts w:asciiTheme="minorHAnsi" w:hAnsiTheme="minorHAnsi" w:cstheme="minorHAnsi"/>
          <w:i w:val="0"/>
          <w:color w:val="auto"/>
          <w:szCs w:val="22"/>
        </w:rPr>
        <w:t>The installation type is Retrofit Add-On (REA).</w:t>
      </w:r>
    </w:p>
    <w:p w14:paraId="20C3087C" w14:textId="05BA4064" w:rsidR="003E6CC4" w:rsidRDefault="00B37673">
      <w:pPr>
        <w:pStyle w:val="Reminders"/>
        <w:tabs>
          <w:tab w:val="num" w:pos="360"/>
        </w:tabs>
        <w:jc w:val="both"/>
        <w:rPr>
          <w:rFonts w:asciiTheme="minorHAnsi" w:hAnsiTheme="minorHAnsi" w:cstheme="minorHAnsi"/>
          <w:i w:val="0"/>
          <w:color w:val="auto"/>
          <w:szCs w:val="22"/>
        </w:rPr>
      </w:pPr>
      <w:r w:rsidRPr="00B37673">
        <w:rPr>
          <w:rFonts w:asciiTheme="minorHAnsi" w:hAnsiTheme="minorHAnsi" w:cstheme="minorHAnsi"/>
          <w:i w:val="0"/>
          <w:color w:val="auto"/>
          <w:szCs w:val="22"/>
        </w:rPr>
        <w:t xml:space="preserve">The delivery </w:t>
      </w:r>
      <w:r w:rsidR="00330CB7">
        <w:rPr>
          <w:rFonts w:asciiTheme="minorHAnsi" w:hAnsiTheme="minorHAnsi" w:cstheme="minorHAnsi"/>
          <w:i w:val="0"/>
          <w:color w:val="auto"/>
          <w:szCs w:val="22"/>
        </w:rPr>
        <w:t>method is</w:t>
      </w:r>
      <w:r w:rsidRPr="00B37673">
        <w:rPr>
          <w:rFonts w:asciiTheme="minorHAnsi" w:hAnsiTheme="minorHAnsi" w:cstheme="minorHAnsi"/>
          <w:i w:val="0"/>
          <w:color w:val="auto"/>
          <w:szCs w:val="22"/>
        </w:rPr>
        <w:t xml:space="preserve"> Financial Support</w:t>
      </w:r>
      <w:r w:rsidR="00330CB7">
        <w:rPr>
          <w:rFonts w:asciiTheme="minorHAnsi" w:hAnsiTheme="minorHAnsi" w:cstheme="minorHAnsi"/>
          <w:i w:val="0"/>
          <w:color w:val="auto"/>
          <w:szCs w:val="22"/>
        </w:rPr>
        <w:t xml:space="preserve"> – </w:t>
      </w:r>
      <w:r w:rsidRPr="00B37673">
        <w:rPr>
          <w:rFonts w:asciiTheme="minorHAnsi" w:hAnsiTheme="minorHAnsi" w:cstheme="minorHAnsi"/>
          <w:i w:val="0"/>
          <w:color w:val="auto"/>
          <w:szCs w:val="22"/>
        </w:rPr>
        <w:t>Down</w:t>
      </w:r>
      <w:r w:rsidR="00330CB7">
        <w:rPr>
          <w:rFonts w:asciiTheme="minorHAnsi" w:hAnsiTheme="minorHAnsi" w:cstheme="minorHAnsi"/>
          <w:i w:val="0"/>
          <w:color w:val="auto"/>
          <w:szCs w:val="22"/>
        </w:rPr>
        <w:t>-</w:t>
      </w:r>
      <w:r w:rsidRPr="00B37673">
        <w:rPr>
          <w:rFonts w:asciiTheme="minorHAnsi" w:hAnsiTheme="minorHAnsi" w:cstheme="minorHAnsi"/>
          <w:i w:val="0"/>
          <w:color w:val="auto"/>
          <w:szCs w:val="22"/>
        </w:rPr>
        <w:t xml:space="preserve">Stream </w:t>
      </w:r>
      <w:r w:rsidR="00330CB7">
        <w:rPr>
          <w:rFonts w:asciiTheme="minorHAnsi" w:hAnsiTheme="minorHAnsi" w:cstheme="minorHAnsi"/>
          <w:i w:val="0"/>
          <w:color w:val="auto"/>
          <w:szCs w:val="22"/>
        </w:rPr>
        <w:t xml:space="preserve">Incentive </w:t>
      </w:r>
      <w:r w:rsidR="00AD2E29">
        <w:rPr>
          <w:rFonts w:asciiTheme="minorHAnsi" w:hAnsiTheme="minorHAnsi" w:cstheme="minorHAnsi"/>
          <w:i w:val="0"/>
          <w:color w:val="auto"/>
          <w:szCs w:val="22"/>
        </w:rPr>
        <w:t xml:space="preserve">- </w:t>
      </w:r>
      <w:r w:rsidRPr="00B37673">
        <w:rPr>
          <w:rFonts w:asciiTheme="minorHAnsi" w:hAnsiTheme="minorHAnsi" w:cstheme="minorHAnsi"/>
          <w:i w:val="0"/>
          <w:color w:val="auto"/>
          <w:szCs w:val="22"/>
        </w:rPr>
        <w:t>Deemed; and Financial Support-Direct Install.</w:t>
      </w:r>
      <w:r w:rsidR="00330CB7">
        <w:rPr>
          <w:rFonts w:asciiTheme="minorHAnsi" w:hAnsiTheme="minorHAnsi" w:cstheme="minorHAnsi"/>
          <w:i w:val="0"/>
          <w:color w:val="auto"/>
          <w:szCs w:val="22"/>
        </w:rPr>
        <w:t xml:space="preserve"> The savings are reported on a per household basis.</w:t>
      </w:r>
    </w:p>
    <w:p w14:paraId="1526D732" w14:textId="2C5F7F63" w:rsidR="00B37673" w:rsidRDefault="00B37673">
      <w:pPr>
        <w:pStyle w:val="Reminders"/>
        <w:tabs>
          <w:tab w:val="num" w:pos="360"/>
        </w:tabs>
        <w:jc w:val="both"/>
        <w:rPr>
          <w:rFonts w:asciiTheme="minorHAnsi" w:hAnsiTheme="minorHAnsi" w:cstheme="minorHAnsi"/>
          <w:i w:val="0"/>
          <w:color w:val="auto"/>
          <w:szCs w:val="22"/>
        </w:rPr>
      </w:pPr>
    </w:p>
    <w:p w14:paraId="241A48CF"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6"/>
        <w:gridCol w:w="2070"/>
        <w:gridCol w:w="989"/>
        <w:gridCol w:w="1980"/>
        <w:gridCol w:w="985"/>
      </w:tblGrid>
      <w:tr w:rsidR="006F1B21" w:rsidRPr="00500C4E" w14:paraId="6AF4BE26" w14:textId="77777777" w:rsidTr="009401AF">
        <w:trPr>
          <w:trHeight w:val="20"/>
        </w:trPr>
        <w:tc>
          <w:tcPr>
            <w:tcW w:w="1778" w:type="pct"/>
            <w:vMerge w:val="restart"/>
            <w:shd w:val="clear" w:color="auto" w:fill="D9D9D9" w:themeFill="background1" w:themeFillShade="D9"/>
          </w:tcPr>
          <w:p w14:paraId="1F67FAFA" w14:textId="77777777" w:rsidR="006F1B21" w:rsidRPr="00920905" w:rsidRDefault="006F1B21" w:rsidP="001B2301">
            <w:pPr>
              <w:rPr>
                <w:b/>
                <w:sz w:val="18"/>
                <w:szCs w:val="18"/>
              </w:rPr>
            </w:pPr>
            <w:r w:rsidRPr="00920905">
              <w:rPr>
                <w:b/>
                <w:sz w:val="18"/>
                <w:szCs w:val="18"/>
              </w:rPr>
              <w:t>Installation Type</w:t>
            </w:r>
          </w:p>
        </w:tc>
        <w:tc>
          <w:tcPr>
            <w:tcW w:w="1636" w:type="pct"/>
            <w:gridSpan w:val="2"/>
            <w:shd w:val="clear" w:color="auto" w:fill="D9D9D9" w:themeFill="background1" w:themeFillShade="D9"/>
          </w:tcPr>
          <w:p w14:paraId="73141120" w14:textId="77777777" w:rsidR="006F1B21" w:rsidRPr="00920905" w:rsidRDefault="006F1B21" w:rsidP="001B2301">
            <w:pPr>
              <w:rPr>
                <w:b/>
                <w:sz w:val="18"/>
                <w:szCs w:val="18"/>
              </w:rPr>
            </w:pPr>
            <w:r w:rsidRPr="00920905">
              <w:rPr>
                <w:b/>
                <w:sz w:val="18"/>
                <w:szCs w:val="18"/>
              </w:rPr>
              <w:t>Savings</w:t>
            </w:r>
          </w:p>
        </w:tc>
        <w:tc>
          <w:tcPr>
            <w:tcW w:w="1586" w:type="pct"/>
            <w:gridSpan w:val="2"/>
            <w:shd w:val="clear" w:color="auto" w:fill="D9D9D9" w:themeFill="background1" w:themeFillShade="D9"/>
          </w:tcPr>
          <w:p w14:paraId="63E1DD54" w14:textId="77777777" w:rsidR="006F1B21" w:rsidRPr="00920905" w:rsidRDefault="006F1B21" w:rsidP="001B2301">
            <w:pPr>
              <w:rPr>
                <w:b/>
                <w:sz w:val="18"/>
                <w:szCs w:val="18"/>
              </w:rPr>
            </w:pPr>
            <w:r w:rsidRPr="00920905">
              <w:rPr>
                <w:b/>
                <w:sz w:val="18"/>
                <w:szCs w:val="18"/>
              </w:rPr>
              <w:t>Life</w:t>
            </w:r>
          </w:p>
        </w:tc>
      </w:tr>
      <w:tr w:rsidR="006F1B21" w:rsidRPr="00500C4E" w14:paraId="170EAAA1" w14:textId="77777777" w:rsidTr="009401AF">
        <w:trPr>
          <w:trHeight w:val="20"/>
        </w:trPr>
        <w:tc>
          <w:tcPr>
            <w:tcW w:w="1778" w:type="pct"/>
            <w:vMerge/>
            <w:shd w:val="clear" w:color="auto" w:fill="D9D9D9" w:themeFill="background1" w:themeFillShade="D9"/>
          </w:tcPr>
          <w:p w14:paraId="4A2FA174" w14:textId="77777777" w:rsidR="006F1B21" w:rsidRPr="00500C4E" w:rsidRDefault="006F1B21" w:rsidP="001B2301">
            <w:pPr>
              <w:rPr>
                <w:sz w:val="18"/>
                <w:szCs w:val="18"/>
              </w:rPr>
            </w:pPr>
          </w:p>
        </w:tc>
        <w:tc>
          <w:tcPr>
            <w:tcW w:w="1107" w:type="pct"/>
            <w:shd w:val="clear" w:color="auto" w:fill="F2F2F2" w:themeFill="background1" w:themeFillShade="F2"/>
          </w:tcPr>
          <w:p w14:paraId="2051BD7A"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529" w:type="pct"/>
            <w:shd w:val="clear" w:color="auto" w:fill="F2F2F2" w:themeFill="background1" w:themeFillShade="F2"/>
          </w:tcPr>
          <w:p w14:paraId="7ADEBF18"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1059" w:type="pct"/>
            <w:shd w:val="clear" w:color="auto" w:fill="F2F2F2" w:themeFill="background1" w:themeFillShade="F2"/>
          </w:tcPr>
          <w:p w14:paraId="4E55EA63"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0DBCB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6DDEF413" w14:textId="77777777" w:rsidTr="009401AF">
        <w:trPr>
          <w:trHeight w:val="20"/>
        </w:trPr>
        <w:tc>
          <w:tcPr>
            <w:tcW w:w="1778" w:type="pct"/>
          </w:tcPr>
          <w:p w14:paraId="28B4A1A8" w14:textId="77777777" w:rsidR="006F1B21" w:rsidRPr="00500C4E" w:rsidRDefault="006F1B21" w:rsidP="00B52341">
            <w:pPr>
              <w:jc w:val="both"/>
              <w:rPr>
                <w:sz w:val="18"/>
                <w:szCs w:val="18"/>
              </w:rPr>
            </w:pPr>
            <w:r w:rsidRPr="00500C4E">
              <w:rPr>
                <w:sz w:val="18"/>
                <w:szCs w:val="18"/>
              </w:rPr>
              <w:t>Retrofit Add-on (REA)</w:t>
            </w:r>
          </w:p>
        </w:tc>
        <w:tc>
          <w:tcPr>
            <w:tcW w:w="1107" w:type="pct"/>
          </w:tcPr>
          <w:p w14:paraId="34AA623A" w14:textId="24A7EBEA" w:rsidR="006F1B21" w:rsidRPr="00500C4E" w:rsidRDefault="006F1B21" w:rsidP="00B52341">
            <w:pPr>
              <w:jc w:val="both"/>
            </w:pPr>
            <w:r w:rsidRPr="00500C4E">
              <w:rPr>
                <w:sz w:val="18"/>
                <w:szCs w:val="18"/>
              </w:rPr>
              <w:t>Above Customer Existing</w:t>
            </w:r>
            <w:r w:rsidR="004E70EC">
              <w:rPr>
                <w:sz w:val="18"/>
                <w:szCs w:val="18"/>
              </w:rPr>
              <w:t xml:space="preserve"> Baseline</w:t>
            </w:r>
            <w:r w:rsidR="00AD2E29">
              <w:rPr>
                <w:sz w:val="18"/>
                <w:szCs w:val="18"/>
              </w:rPr>
              <w:t xml:space="preserve"> </w:t>
            </w:r>
          </w:p>
        </w:tc>
        <w:tc>
          <w:tcPr>
            <w:tcW w:w="529" w:type="pct"/>
          </w:tcPr>
          <w:p w14:paraId="07872DC1" w14:textId="77777777" w:rsidR="006F1B21" w:rsidRPr="00500C4E" w:rsidRDefault="006F1B21" w:rsidP="00B52341">
            <w:pPr>
              <w:jc w:val="both"/>
              <w:rPr>
                <w:sz w:val="18"/>
                <w:szCs w:val="18"/>
              </w:rPr>
            </w:pPr>
            <w:r w:rsidRPr="00500C4E">
              <w:rPr>
                <w:sz w:val="18"/>
                <w:szCs w:val="18"/>
              </w:rPr>
              <w:t>N/A</w:t>
            </w:r>
          </w:p>
        </w:tc>
        <w:tc>
          <w:tcPr>
            <w:tcW w:w="1059" w:type="pct"/>
          </w:tcPr>
          <w:p w14:paraId="67F3010E" w14:textId="6369F1BE" w:rsidR="006F1B21" w:rsidRPr="00500C4E" w:rsidRDefault="006F1B21" w:rsidP="00B52341">
            <w:pPr>
              <w:jc w:val="both"/>
              <w:rPr>
                <w:sz w:val="18"/>
                <w:szCs w:val="18"/>
              </w:rPr>
            </w:pPr>
            <w:r w:rsidRPr="00500C4E">
              <w:rPr>
                <w:sz w:val="18"/>
                <w:szCs w:val="18"/>
              </w:rPr>
              <w:t>EUL</w:t>
            </w:r>
            <w:r w:rsidR="00AD2E29">
              <w:rPr>
                <w:sz w:val="18"/>
                <w:szCs w:val="18"/>
              </w:rPr>
              <w:t>_HOST/3 capped at the EUL of the add-on equipment</w:t>
            </w:r>
          </w:p>
        </w:tc>
        <w:tc>
          <w:tcPr>
            <w:tcW w:w="526" w:type="pct"/>
          </w:tcPr>
          <w:p w14:paraId="707C5BE9" w14:textId="77777777" w:rsidR="006F1B21" w:rsidRPr="00500C4E" w:rsidRDefault="006F1B21" w:rsidP="00B52341">
            <w:pPr>
              <w:jc w:val="both"/>
              <w:rPr>
                <w:sz w:val="18"/>
                <w:szCs w:val="18"/>
              </w:rPr>
            </w:pPr>
            <w:r w:rsidRPr="00500C4E">
              <w:rPr>
                <w:sz w:val="18"/>
                <w:szCs w:val="18"/>
              </w:rPr>
              <w:t>N/A</w:t>
            </w:r>
          </w:p>
        </w:tc>
      </w:tr>
    </w:tbl>
    <w:p w14:paraId="1D46759D" w14:textId="77777777" w:rsidR="001B2301" w:rsidRPr="00C0268F" w:rsidRDefault="001B2301" w:rsidP="00697868">
      <w:pPr>
        <w:pStyle w:val="Reminders"/>
        <w:tabs>
          <w:tab w:val="num" w:pos="360"/>
        </w:tabs>
        <w:rPr>
          <w:rFonts w:asciiTheme="minorHAnsi" w:hAnsiTheme="minorHAnsi" w:cstheme="minorHAnsi"/>
          <w:i w:val="0"/>
          <w:color w:val="auto"/>
          <w:szCs w:val="22"/>
        </w:rPr>
      </w:pPr>
    </w:p>
    <w:p w14:paraId="331AD37D" w14:textId="77777777" w:rsidR="00C05AAF" w:rsidRDefault="00C05AAF" w:rsidP="009401AF">
      <w:pPr>
        <w:pStyle w:val="NoSpacing"/>
        <w:jc w:val="both"/>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273038E1" w14:textId="77777777" w:rsidR="00C05AAF" w:rsidRDefault="00C05AAF" w:rsidP="00920905">
      <w:pPr>
        <w:pStyle w:val="NoSpacing"/>
      </w:pPr>
    </w:p>
    <w:p w14:paraId="0002DABF"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04AD712E" w14:textId="77777777" w:rsidTr="00920905">
        <w:tc>
          <w:tcPr>
            <w:tcW w:w="1297" w:type="pct"/>
            <w:shd w:val="clear" w:color="auto" w:fill="D9D9D9" w:themeFill="background1" w:themeFillShade="D9"/>
          </w:tcPr>
          <w:p w14:paraId="088E7E0C"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5D864FBA" w14:textId="77777777" w:rsidR="00C05AAF" w:rsidRPr="00920905" w:rsidRDefault="00C05AAF" w:rsidP="008F6298">
            <w:pPr>
              <w:rPr>
                <w:b/>
                <w:sz w:val="18"/>
                <w:szCs w:val="18"/>
              </w:rPr>
            </w:pPr>
            <w:r w:rsidRPr="00920905">
              <w:rPr>
                <w:b/>
                <w:sz w:val="18"/>
                <w:szCs w:val="18"/>
              </w:rPr>
              <w:t>Description</w:t>
            </w:r>
          </w:p>
        </w:tc>
      </w:tr>
      <w:tr w:rsidR="00C05AAF" w:rsidRPr="00A3164A" w14:paraId="04DC0352" w14:textId="77777777" w:rsidTr="00920905">
        <w:tc>
          <w:tcPr>
            <w:tcW w:w="1297" w:type="pct"/>
          </w:tcPr>
          <w:p w14:paraId="0CDBAD95" w14:textId="77777777" w:rsidR="00C05AAF" w:rsidRPr="00920905" w:rsidRDefault="00C05AAF" w:rsidP="009401AF">
            <w:pPr>
              <w:pStyle w:val="NoSpacing"/>
              <w:jc w:val="both"/>
              <w:rPr>
                <w:sz w:val="18"/>
                <w:szCs w:val="18"/>
              </w:rPr>
            </w:pPr>
            <w:r w:rsidRPr="00920905">
              <w:rPr>
                <w:rFonts w:eastAsiaTheme="minorHAnsi" w:cs="BookAntiqua"/>
                <w:sz w:val="18"/>
                <w:szCs w:val="18"/>
              </w:rPr>
              <w:lastRenderedPageBreak/>
              <w:t>Financial Support</w:t>
            </w:r>
          </w:p>
        </w:tc>
        <w:tc>
          <w:tcPr>
            <w:tcW w:w="3703" w:type="pct"/>
          </w:tcPr>
          <w:p w14:paraId="629EE5A0" w14:textId="77777777" w:rsidR="00C05AAF" w:rsidRPr="00920905" w:rsidRDefault="00C05AAF" w:rsidP="009401AF">
            <w:pPr>
              <w:pStyle w:val="NoSpacing"/>
              <w:jc w:val="both"/>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07780C40" w14:textId="75294B58" w:rsidR="001B2301" w:rsidRDefault="001B2301" w:rsidP="00920905"/>
    <w:p w14:paraId="4C3C680D" w14:textId="4470A8F1" w:rsidR="003E6CC4" w:rsidRDefault="003E6CC4" w:rsidP="00920905"/>
    <w:p w14:paraId="310E06CF" w14:textId="02280433" w:rsidR="003E6CC4" w:rsidRDefault="003E6CC4" w:rsidP="00920905"/>
    <w:p w14:paraId="5435D990" w14:textId="77777777" w:rsidR="003E6CC4" w:rsidRPr="00500C4E" w:rsidRDefault="003E6CC4" w:rsidP="00920905"/>
    <w:p w14:paraId="237AB437"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4ECA31BB" w14:textId="77777777" w:rsidTr="00920905">
        <w:tc>
          <w:tcPr>
            <w:tcW w:w="1297" w:type="pct"/>
            <w:shd w:val="clear" w:color="auto" w:fill="D9D9D9" w:themeFill="background1" w:themeFillShade="D9"/>
          </w:tcPr>
          <w:p w14:paraId="356067F7"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4E813B3B" w14:textId="77777777" w:rsidR="001B2301" w:rsidRPr="00920905" w:rsidRDefault="001B2301" w:rsidP="001B2301">
            <w:pPr>
              <w:rPr>
                <w:b/>
                <w:sz w:val="18"/>
                <w:szCs w:val="18"/>
              </w:rPr>
            </w:pPr>
            <w:r w:rsidRPr="00920905">
              <w:rPr>
                <w:b/>
                <w:sz w:val="18"/>
                <w:szCs w:val="18"/>
              </w:rPr>
              <w:t>Description</w:t>
            </w:r>
          </w:p>
        </w:tc>
      </w:tr>
      <w:tr w:rsidR="001B2301" w:rsidRPr="00A3164A" w14:paraId="2B7D8C37" w14:textId="77777777" w:rsidTr="00920905">
        <w:tc>
          <w:tcPr>
            <w:tcW w:w="1297" w:type="pct"/>
          </w:tcPr>
          <w:p w14:paraId="3DE2B0F8" w14:textId="77777777" w:rsidR="001B2301" w:rsidRPr="00920905" w:rsidRDefault="00AA4CDC" w:rsidP="009401AF">
            <w:pPr>
              <w:autoSpaceDE w:val="0"/>
              <w:autoSpaceDN w:val="0"/>
              <w:adjustRightInd w:val="0"/>
              <w:spacing w:line="240" w:lineRule="atLeast"/>
              <w:jc w:val="both"/>
              <w:rPr>
                <w:sz w:val="18"/>
                <w:szCs w:val="18"/>
              </w:rPr>
            </w:pPr>
            <w:r w:rsidRPr="00920905">
              <w:rPr>
                <w:rFonts w:cs="Helv"/>
                <w:sz w:val="18"/>
                <w:szCs w:val="18"/>
              </w:rPr>
              <w:t>Direct Install</w:t>
            </w:r>
          </w:p>
        </w:tc>
        <w:tc>
          <w:tcPr>
            <w:tcW w:w="3703" w:type="pct"/>
          </w:tcPr>
          <w:p w14:paraId="3CABF25C" w14:textId="77777777" w:rsidR="001B2301" w:rsidRPr="00920905" w:rsidRDefault="00AA4CDC" w:rsidP="009401AF">
            <w:pPr>
              <w:autoSpaceDE w:val="0"/>
              <w:autoSpaceDN w:val="0"/>
              <w:adjustRightInd w:val="0"/>
              <w:jc w:val="both"/>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A09F312" w14:textId="77777777" w:rsidTr="00920905">
        <w:tc>
          <w:tcPr>
            <w:tcW w:w="1297" w:type="pct"/>
          </w:tcPr>
          <w:p w14:paraId="0A78D6D3" w14:textId="1EB6B54F" w:rsidR="001B2301" w:rsidRPr="00920905" w:rsidRDefault="00AA4CDC" w:rsidP="009401AF">
            <w:pPr>
              <w:autoSpaceDE w:val="0"/>
              <w:autoSpaceDN w:val="0"/>
              <w:adjustRightInd w:val="0"/>
              <w:spacing w:line="240" w:lineRule="atLeast"/>
              <w:jc w:val="both"/>
              <w:rPr>
                <w:sz w:val="18"/>
                <w:szCs w:val="18"/>
              </w:rPr>
            </w:pPr>
            <w:r w:rsidRPr="00920905">
              <w:rPr>
                <w:rFonts w:cs="Helv"/>
                <w:sz w:val="18"/>
                <w:szCs w:val="18"/>
              </w:rPr>
              <w:t>Down-Stream Incentive</w:t>
            </w:r>
          </w:p>
        </w:tc>
        <w:tc>
          <w:tcPr>
            <w:tcW w:w="3703" w:type="pct"/>
          </w:tcPr>
          <w:p w14:paraId="58D62302" w14:textId="77777777" w:rsidR="001B2301" w:rsidRPr="00920905" w:rsidRDefault="00AA4CDC" w:rsidP="009401AF">
            <w:pPr>
              <w:autoSpaceDE w:val="0"/>
              <w:autoSpaceDN w:val="0"/>
              <w:adjustRightInd w:val="0"/>
              <w:spacing w:line="240" w:lineRule="atLeast"/>
              <w:jc w:val="both"/>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ABED03B" w14:textId="77777777" w:rsidR="001B2301" w:rsidRPr="00500C4E" w:rsidRDefault="001B2301"/>
    <w:p w14:paraId="65474757" w14:textId="77777777"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7A88C19F"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B78FBFA" w14:textId="77777777"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5CC1A9E2" w14:textId="77777777" w:rsidTr="00920905">
        <w:trPr>
          <w:trHeight w:val="20"/>
        </w:trPr>
        <w:tc>
          <w:tcPr>
            <w:tcW w:w="1548" w:type="pct"/>
            <w:shd w:val="clear" w:color="auto" w:fill="D9D9D9" w:themeFill="background1" w:themeFillShade="D9"/>
          </w:tcPr>
          <w:p w14:paraId="1B67928B"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6F6DA78C"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DB63FF" w14:paraId="13A2C80A" w14:textId="77777777" w:rsidTr="00920905">
        <w:trPr>
          <w:trHeight w:val="20"/>
        </w:trPr>
        <w:tc>
          <w:tcPr>
            <w:tcW w:w="1548" w:type="pct"/>
          </w:tcPr>
          <w:p w14:paraId="0C9F1F0B"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4F76979A" w14:textId="4D8B867F" w:rsidR="00E326BA" w:rsidRPr="00DB63FF" w:rsidRDefault="00A85851" w:rsidP="00920905">
            <w:pPr>
              <w:rPr>
                <w:rFonts w:cs="Arial"/>
                <w:szCs w:val="20"/>
              </w:rPr>
            </w:pPr>
            <w:r>
              <w:rPr>
                <w:rFonts w:cs="Arial"/>
                <w:szCs w:val="20"/>
              </w:rPr>
              <w:t>No</w:t>
            </w:r>
          </w:p>
        </w:tc>
      </w:tr>
      <w:tr w:rsidR="00726AD5" w:rsidRPr="00500C4E" w14:paraId="2DE80D80" w14:textId="77777777" w:rsidTr="00920905">
        <w:trPr>
          <w:trHeight w:val="20"/>
        </w:trPr>
        <w:tc>
          <w:tcPr>
            <w:tcW w:w="1548" w:type="pct"/>
          </w:tcPr>
          <w:p w14:paraId="66E0D9FC"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5B1774C8" w14:textId="77777777" w:rsidR="00E326BA" w:rsidRPr="006A0C66" w:rsidRDefault="00E326BA" w:rsidP="00920905">
            <w:pPr>
              <w:rPr>
                <w:rFonts w:cs="Arial"/>
                <w:szCs w:val="20"/>
              </w:rPr>
            </w:pPr>
            <w:r w:rsidRPr="006A0C66">
              <w:rPr>
                <w:rFonts w:cs="Arial"/>
                <w:szCs w:val="20"/>
              </w:rPr>
              <w:t>No</w:t>
            </w:r>
          </w:p>
        </w:tc>
      </w:tr>
      <w:tr w:rsidR="00726AD5" w:rsidRPr="00500C4E" w14:paraId="07797255" w14:textId="77777777" w:rsidTr="00920905">
        <w:trPr>
          <w:trHeight w:val="20"/>
        </w:trPr>
        <w:tc>
          <w:tcPr>
            <w:tcW w:w="1548" w:type="pct"/>
          </w:tcPr>
          <w:p w14:paraId="3A5AB01B"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4422D606" w14:textId="77777777" w:rsidR="00E326BA" w:rsidRPr="006A0C66" w:rsidRDefault="00E326BA" w:rsidP="005D3218">
            <w:pPr>
              <w:rPr>
                <w:rFonts w:cs="Arial"/>
                <w:szCs w:val="20"/>
              </w:rPr>
            </w:pPr>
            <w:r w:rsidRPr="006A0C66">
              <w:rPr>
                <w:rFonts w:cs="Arial"/>
                <w:szCs w:val="20"/>
              </w:rPr>
              <w:t>Yes</w:t>
            </w:r>
          </w:p>
        </w:tc>
      </w:tr>
      <w:tr w:rsidR="00726AD5" w:rsidRPr="00500C4E" w14:paraId="7D9EBA10" w14:textId="77777777" w:rsidTr="00920905">
        <w:trPr>
          <w:trHeight w:val="20"/>
        </w:trPr>
        <w:tc>
          <w:tcPr>
            <w:tcW w:w="1548" w:type="pct"/>
          </w:tcPr>
          <w:p w14:paraId="5923EBA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5214A8DB" w14:textId="77777777" w:rsidR="00E326BA" w:rsidRPr="006A0C66" w:rsidRDefault="00E326BA" w:rsidP="00920905">
            <w:pPr>
              <w:rPr>
                <w:rFonts w:cs="Arial"/>
                <w:szCs w:val="20"/>
              </w:rPr>
            </w:pPr>
            <w:r w:rsidRPr="006A0C66">
              <w:rPr>
                <w:rFonts w:cs="Arial"/>
                <w:szCs w:val="20"/>
              </w:rPr>
              <w:t>No</w:t>
            </w:r>
          </w:p>
        </w:tc>
      </w:tr>
      <w:tr w:rsidR="00726AD5" w:rsidRPr="00500C4E" w14:paraId="110B2E83" w14:textId="77777777" w:rsidTr="00920905">
        <w:trPr>
          <w:trHeight w:val="20"/>
        </w:trPr>
        <w:tc>
          <w:tcPr>
            <w:tcW w:w="1548" w:type="pct"/>
          </w:tcPr>
          <w:p w14:paraId="4D54F637"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4F76864E" w14:textId="77777777" w:rsidR="00E326BA" w:rsidRPr="006A0C66" w:rsidRDefault="00E326BA" w:rsidP="005D3218">
            <w:pPr>
              <w:rPr>
                <w:rFonts w:cs="Arial"/>
                <w:szCs w:val="20"/>
              </w:rPr>
            </w:pPr>
            <w:r w:rsidRPr="006A0C66">
              <w:rPr>
                <w:rFonts w:cs="Arial"/>
                <w:szCs w:val="20"/>
              </w:rPr>
              <w:t>Yes</w:t>
            </w:r>
          </w:p>
        </w:tc>
      </w:tr>
      <w:tr w:rsidR="00726AD5" w:rsidRPr="00500C4E" w14:paraId="2EEB1253" w14:textId="77777777" w:rsidTr="00920905">
        <w:trPr>
          <w:trHeight w:val="20"/>
        </w:trPr>
        <w:tc>
          <w:tcPr>
            <w:tcW w:w="1548" w:type="pct"/>
          </w:tcPr>
          <w:p w14:paraId="750418B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39348550" w14:textId="77777777" w:rsidR="00E326BA" w:rsidRPr="006A0C66" w:rsidRDefault="00254671" w:rsidP="005D3218">
            <w:pPr>
              <w:rPr>
                <w:rFonts w:cs="Arial"/>
                <w:szCs w:val="20"/>
              </w:rPr>
            </w:pPr>
            <w:r w:rsidRPr="006A0C66">
              <w:rPr>
                <w:rFonts w:cs="Arial"/>
                <w:szCs w:val="20"/>
              </w:rPr>
              <w:t>Yes</w:t>
            </w:r>
          </w:p>
        </w:tc>
      </w:tr>
      <w:tr w:rsidR="00726AD5" w:rsidRPr="00500C4E" w14:paraId="797C40B6" w14:textId="77777777" w:rsidTr="00920905">
        <w:trPr>
          <w:trHeight w:val="20"/>
        </w:trPr>
        <w:tc>
          <w:tcPr>
            <w:tcW w:w="1548" w:type="pct"/>
          </w:tcPr>
          <w:p w14:paraId="0B2ABFD7" w14:textId="77777777"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020E4BBD" w14:textId="77777777" w:rsidR="00505CEC" w:rsidRPr="006A0C66" w:rsidDel="00505CEC" w:rsidRDefault="005D3218" w:rsidP="005D3218">
            <w:pPr>
              <w:rPr>
                <w:rFonts w:cs="Arial"/>
                <w:szCs w:val="20"/>
              </w:rPr>
            </w:pPr>
            <w:r w:rsidRPr="006A0C66">
              <w:rPr>
                <w:rFonts w:cs="Arial"/>
                <w:szCs w:val="20"/>
              </w:rPr>
              <w:t>Yes</w:t>
            </w:r>
          </w:p>
        </w:tc>
      </w:tr>
      <w:tr w:rsidR="00D86A9D" w:rsidRPr="00500C4E" w14:paraId="2C52E99E" w14:textId="77777777" w:rsidTr="00920905">
        <w:trPr>
          <w:trHeight w:val="20"/>
        </w:trPr>
        <w:tc>
          <w:tcPr>
            <w:tcW w:w="1548" w:type="pct"/>
          </w:tcPr>
          <w:p w14:paraId="2ECB8905" w14:textId="77777777" w:rsidR="00D86A9D" w:rsidRPr="00500C4E" w:rsidRDefault="00D86A9D" w:rsidP="00175D14">
            <w:pPr>
              <w:rPr>
                <w:rFonts w:cs="Arial"/>
                <w:szCs w:val="20"/>
              </w:rPr>
            </w:pPr>
            <w:r w:rsidRPr="00500C4E">
              <w:rPr>
                <w:rFonts w:cs="Arial"/>
                <w:szCs w:val="20"/>
              </w:rPr>
              <w:t>DEER Version</w:t>
            </w:r>
          </w:p>
        </w:tc>
        <w:tc>
          <w:tcPr>
            <w:tcW w:w="3452" w:type="pct"/>
          </w:tcPr>
          <w:p w14:paraId="51545BCF" w14:textId="76E20A4C" w:rsidR="00D86A9D" w:rsidRPr="0056494D" w:rsidRDefault="00297C89" w:rsidP="0017657A">
            <w:pPr>
              <w:rPr>
                <w:rFonts w:cs="Arial"/>
                <w:strike/>
                <w:szCs w:val="20"/>
              </w:rPr>
            </w:pPr>
            <w:r w:rsidRPr="0056494D">
              <w:rPr>
                <w:rFonts w:cstheme="minorHAnsi"/>
                <w:szCs w:val="20"/>
              </w:rPr>
              <w:t>DEER 201</w:t>
            </w:r>
            <w:r w:rsidR="00E97B4B">
              <w:rPr>
                <w:rFonts w:cstheme="minorHAnsi"/>
                <w:szCs w:val="20"/>
              </w:rPr>
              <w:t>7</w:t>
            </w:r>
          </w:p>
        </w:tc>
      </w:tr>
      <w:tr w:rsidR="005D3218" w:rsidRPr="005D3218" w14:paraId="656B35D5" w14:textId="77777777" w:rsidTr="00920905">
        <w:trPr>
          <w:trHeight w:val="20"/>
        </w:trPr>
        <w:tc>
          <w:tcPr>
            <w:tcW w:w="1548" w:type="pct"/>
          </w:tcPr>
          <w:p w14:paraId="03D92EF0"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392737C2" w14:textId="77777777" w:rsidR="00782714" w:rsidRDefault="00782714" w:rsidP="00920905">
            <w:pPr>
              <w:rPr>
                <w:rFonts w:cs="Arial"/>
                <w:szCs w:val="20"/>
              </w:rPr>
            </w:pPr>
            <w:r>
              <w:rPr>
                <w:rFonts w:cs="Arial"/>
                <w:szCs w:val="20"/>
              </w:rPr>
              <w:t xml:space="preserve">The measure does not exist in DEER. </w:t>
            </w:r>
          </w:p>
          <w:p w14:paraId="3DEA6D2D" w14:textId="37985603" w:rsidR="00E326BA" w:rsidRPr="005D3218" w:rsidRDefault="00782714" w:rsidP="009401AF">
            <w:pPr>
              <w:rPr>
                <w:rFonts w:cs="Arial"/>
                <w:szCs w:val="20"/>
              </w:rPr>
            </w:pPr>
            <w:r>
              <w:rPr>
                <w:rFonts w:cs="Arial"/>
                <w:szCs w:val="20"/>
              </w:rPr>
              <w:t>DEER Prototypes are used and modified to determine the baseline</w:t>
            </w:r>
            <w:r w:rsidR="00175816">
              <w:rPr>
                <w:rFonts w:cs="Arial"/>
                <w:szCs w:val="20"/>
              </w:rPr>
              <w:t>.</w:t>
            </w:r>
          </w:p>
        </w:tc>
      </w:tr>
      <w:tr w:rsidR="005D3218" w:rsidRPr="005D3218" w14:paraId="26BE1E1C" w14:textId="77777777" w:rsidTr="00920905">
        <w:trPr>
          <w:trHeight w:val="20"/>
        </w:trPr>
        <w:tc>
          <w:tcPr>
            <w:tcW w:w="1548" w:type="pct"/>
          </w:tcPr>
          <w:p w14:paraId="5CFD0817"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22C40C8" w14:textId="77777777" w:rsidR="00E326BA" w:rsidRPr="005D3218" w:rsidRDefault="005D3218" w:rsidP="00920905">
            <w:pPr>
              <w:rPr>
                <w:rFonts w:cs="Arial"/>
                <w:szCs w:val="20"/>
              </w:rPr>
            </w:pPr>
            <w:r w:rsidRPr="005D3218">
              <w:rPr>
                <w:rFonts w:cs="Arial"/>
                <w:szCs w:val="20"/>
              </w:rPr>
              <w:t>N/A</w:t>
            </w:r>
          </w:p>
        </w:tc>
      </w:tr>
    </w:tbl>
    <w:p w14:paraId="6695EFE9" w14:textId="77777777" w:rsidR="00472250" w:rsidRPr="00500C4E" w:rsidRDefault="00472250" w:rsidP="00920905">
      <w:pPr>
        <w:pStyle w:val="Caption"/>
        <w:keepNext/>
        <w:rPr>
          <w:rFonts w:cstheme="minorHAnsi"/>
          <w:b w:val="0"/>
          <w:i/>
          <w:szCs w:val="22"/>
        </w:rPr>
      </w:pPr>
    </w:p>
    <w:p w14:paraId="2121B263"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24C5334B" w14:textId="33CF038C" w:rsidR="000968C6" w:rsidRDefault="000968C6" w:rsidP="009401AF">
      <w:pPr>
        <w:pStyle w:val="NoSpacing"/>
        <w:jc w:val="both"/>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1D1070">
        <w:t xml:space="preserve"> v2.5.</w:t>
      </w:r>
      <w:r w:rsidR="00723771">
        <w:t>1</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3C4D87FB" w14:textId="77777777" w:rsidR="00DB63FF" w:rsidRPr="00920905" w:rsidRDefault="00DB63FF" w:rsidP="009401AF">
      <w:pPr>
        <w:pStyle w:val="NoSpacing"/>
        <w:jc w:val="both"/>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5206AAE5" w14:textId="77777777" w:rsidTr="00920905">
        <w:tc>
          <w:tcPr>
            <w:tcW w:w="673" w:type="pct"/>
            <w:shd w:val="clear" w:color="auto" w:fill="D9D9D9" w:themeFill="background1" w:themeFillShade="D9"/>
          </w:tcPr>
          <w:p w14:paraId="056689D2" w14:textId="77777777" w:rsidR="000968C6" w:rsidRPr="00920905" w:rsidRDefault="005729C8" w:rsidP="009401AF">
            <w:pPr>
              <w:jc w:val="both"/>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49C1E467" w14:textId="77777777" w:rsidR="000968C6" w:rsidRPr="00920905" w:rsidRDefault="005F69D5" w:rsidP="009401AF">
            <w:pPr>
              <w:jc w:val="both"/>
              <w:rPr>
                <w:rFonts w:cstheme="minorHAnsi"/>
                <w:b/>
                <w:szCs w:val="20"/>
              </w:rPr>
            </w:pPr>
            <w:r>
              <w:rPr>
                <w:rFonts w:cstheme="minorHAnsi"/>
                <w:b/>
                <w:szCs w:val="20"/>
              </w:rPr>
              <w:t>Description</w:t>
            </w:r>
          </w:p>
        </w:tc>
        <w:tc>
          <w:tcPr>
            <w:tcW w:w="434" w:type="pct"/>
            <w:shd w:val="clear" w:color="auto" w:fill="D9D9D9" w:themeFill="background1" w:themeFillShade="D9"/>
          </w:tcPr>
          <w:p w14:paraId="2E641637" w14:textId="77777777" w:rsidR="000968C6" w:rsidRPr="00920905" w:rsidRDefault="000968C6" w:rsidP="009401AF">
            <w:pPr>
              <w:jc w:val="both"/>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0B50ACE" w14:textId="77777777" w:rsidR="000968C6" w:rsidRPr="00920905" w:rsidRDefault="00FB2590" w:rsidP="009401AF">
            <w:pPr>
              <w:jc w:val="both"/>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4C6C5DF9" w14:textId="77777777" w:rsidR="000968C6" w:rsidRPr="00920905" w:rsidRDefault="00E06A37" w:rsidP="009401AF">
            <w:pPr>
              <w:jc w:val="both"/>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745DEAD4" w14:textId="77777777" w:rsidR="000968C6" w:rsidRPr="00920905" w:rsidRDefault="00FB2590" w:rsidP="009401AF">
            <w:pPr>
              <w:jc w:val="both"/>
              <w:rPr>
                <w:rFonts w:cstheme="minorHAnsi"/>
                <w:b/>
                <w:szCs w:val="20"/>
              </w:rPr>
            </w:pPr>
            <w:r w:rsidRPr="00920905">
              <w:rPr>
                <w:rFonts w:cstheme="minorHAnsi"/>
                <w:b/>
                <w:szCs w:val="20"/>
              </w:rPr>
              <w:t>NTG</w:t>
            </w:r>
            <w:r w:rsidR="00E06A37">
              <w:rPr>
                <w:rFonts w:cstheme="minorHAnsi"/>
                <w:b/>
                <w:szCs w:val="20"/>
              </w:rPr>
              <w:t>R</w:t>
            </w:r>
          </w:p>
        </w:tc>
      </w:tr>
      <w:tr w:rsidR="005F69D5" w:rsidRPr="00500C4E" w14:paraId="65E83838" w14:textId="77777777" w:rsidTr="00920905">
        <w:tc>
          <w:tcPr>
            <w:tcW w:w="673" w:type="pct"/>
          </w:tcPr>
          <w:p w14:paraId="64D6F1F9" w14:textId="6A287A25" w:rsidR="00907697" w:rsidRPr="003C0103" w:rsidRDefault="00B10FB1" w:rsidP="009401AF">
            <w:pPr>
              <w:jc w:val="both"/>
              <w:rPr>
                <w:szCs w:val="20"/>
              </w:rPr>
            </w:pPr>
            <w:r>
              <w:rPr>
                <w:rFonts w:cstheme="minorHAnsi"/>
                <w:szCs w:val="20"/>
              </w:rPr>
              <w:t>Res</w:t>
            </w:r>
            <w:r w:rsidR="003C0103" w:rsidRPr="003C0103">
              <w:rPr>
                <w:rFonts w:cstheme="minorHAnsi"/>
                <w:szCs w:val="20"/>
              </w:rPr>
              <w:t>-Default</w:t>
            </w:r>
            <w:r>
              <w:rPr>
                <w:rFonts w:cstheme="minorHAnsi"/>
                <w:szCs w:val="20"/>
              </w:rPr>
              <w:t>&gt;2</w:t>
            </w:r>
          </w:p>
        </w:tc>
        <w:tc>
          <w:tcPr>
            <w:tcW w:w="2019" w:type="pct"/>
          </w:tcPr>
          <w:p w14:paraId="250DD50B" w14:textId="2DE2BB1A" w:rsidR="00907697" w:rsidRPr="003C0103" w:rsidRDefault="008B492C" w:rsidP="009401AF">
            <w:pPr>
              <w:jc w:val="both"/>
              <w:rPr>
                <w:szCs w:val="20"/>
              </w:rPr>
            </w:pPr>
            <w:r>
              <w:rPr>
                <w:rFonts w:cs="Arial"/>
                <w:szCs w:val="20"/>
              </w:rPr>
              <w:t>All other EEM with no evaluated NTGR; existing EEM with same delivery mechanism for more than 2 years</w:t>
            </w:r>
          </w:p>
        </w:tc>
        <w:tc>
          <w:tcPr>
            <w:tcW w:w="434" w:type="pct"/>
          </w:tcPr>
          <w:p w14:paraId="1EB2DCF1" w14:textId="6E30B03B" w:rsidR="00907697" w:rsidRPr="003C0103" w:rsidRDefault="008B492C" w:rsidP="009401AF">
            <w:pPr>
              <w:jc w:val="both"/>
              <w:rPr>
                <w:szCs w:val="20"/>
              </w:rPr>
            </w:pPr>
            <w:r>
              <w:rPr>
                <w:szCs w:val="20"/>
              </w:rPr>
              <w:t>Res</w:t>
            </w:r>
          </w:p>
        </w:tc>
        <w:tc>
          <w:tcPr>
            <w:tcW w:w="529" w:type="pct"/>
          </w:tcPr>
          <w:p w14:paraId="4ED2CA23" w14:textId="77777777" w:rsidR="00907697" w:rsidRPr="003C0103" w:rsidRDefault="00907697" w:rsidP="009401AF">
            <w:pPr>
              <w:jc w:val="both"/>
              <w:rPr>
                <w:szCs w:val="20"/>
              </w:rPr>
            </w:pPr>
            <w:r w:rsidRPr="003C0103">
              <w:rPr>
                <w:szCs w:val="20"/>
              </w:rPr>
              <w:t>Any</w:t>
            </w:r>
          </w:p>
        </w:tc>
        <w:tc>
          <w:tcPr>
            <w:tcW w:w="915" w:type="pct"/>
          </w:tcPr>
          <w:p w14:paraId="07A19096" w14:textId="77777777" w:rsidR="00907697" w:rsidRPr="003C0103" w:rsidRDefault="00907697" w:rsidP="009401AF">
            <w:pPr>
              <w:jc w:val="both"/>
              <w:rPr>
                <w:szCs w:val="20"/>
              </w:rPr>
            </w:pPr>
            <w:r w:rsidRPr="003C0103">
              <w:rPr>
                <w:szCs w:val="20"/>
              </w:rPr>
              <w:t>Any</w:t>
            </w:r>
          </w:p>
        </w:tc>
        <w:tc>
          <w:tcPr>
            <w:tcW w:w="430" w:type="pct"/>
          </w:tcPr>
          <w:p w14:paraId="5C34853C" w14:textId="73570A58" w:rsidR="00907697" w:rsidRPr="00636030" w:rsidRDefault="003C0103" w:rsidP="009401AF">
            <w:pPr>
              <w:jc w:val="both"/>
              <w:rPr>
                <w:szCs w:val="20"/>
              </w:rPr>
            </w:pPr>
            <w:r w:rsidRPr="00636030">
              <w:rPr>
                <w:szCs w:val="20"/>
              </w:rPr>
              <w:t>0.</w:t>
            </w:r>
            <w:r w:rsidR="00B10FB1">
              <w:rPr>
                <w:szCs w:val="20"/>
              </w:rPr>
              <w:t>55</w:t>
            </w:r>
          </w:p>
        </w:tc>
      </w:tr>
    </w:tbl>
    <w:p w14:paraId="18C1ABFD" w14:textId="77777777" w:rsidR="00C018E0" w:rsidRPr="00DB63FF" w:rsidRDefault="00C018E0" w:rsidP="009401AF">
      <w:pPr>
        <w:pStyle w:val="Reminders"/>
        <w:jc w:val="both"/>
        <w:rPr>
          <w:rFonts w:asciiTheme="minorHAnsi" w:hAnsiTheme="minorHAnsi" w:cstheme="minorHAnsi"/>
          <w:i w:val="0"/>
          <w:color w:val="auto"/>
          <w:szCs w:val="22"/>
        </w:rPr>
      </w:pPr>
    </w:p>
    <w:p w14:paraId="58EFD51C" w14:textId="77777777" w:rsidR="003003EC" w:rsidRPr="00500C4E" w:rsidRDefault="003003EC" w:rsidP="009401AF">
      <w:pPr>
        <w:pStyle w:val="Reminders"/>
        <w:jc w:val="both"/>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03CF88F7" w14:textId="77777777" w:rsidR="003003EC" w:rsidRPr="00500C4E" w:rsidRDefault="003003EC" w:rsidP="009401AF">
      <w:pPr>
        <w:pStyle w:val="Reminders"/>
        <w:jc w:val="both"/>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4BC60D86" w14:textId="77777777" w:rsidR="003003EC" w:rsidRPr="00500C4E" w:rsidRDefault="003003EC" w:rsidP="009401AF">
      <w:pPr>
        <w:pStyle w:val="Reminders"/>
        <w:jc w:val="both"/>
        <w:rPr>
          <w:rFonts w:asciiTheme="minorHAnsi" w:hAnsiTheme="minorHAnsi" w:cstheme="minorHAnsi"/>
          <w:i w:val="0"/>
          <w:color w:val="auto"/>
          <w:szCs w:val="22"/>
        </w:rPr>
      </w:pPr>
    </w:p>
    <w:p w14:paraId="0801A473" w14:textId="77777777" w:rsidR="000968C6" w:rsidRPr="00500C4E" w:rsidRDefault="000968C6" w:rsidP="009401AF">
      <w:pPr>
        <w:pStyle w:val="Reminders"/>
        <w:jc w:val="both"/>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0E904A" w14:textId="5AEB7F95" w:rsidR="00240B74" w:rsidRDefault="000968C6" w:rsidP="009401AF">
      <w:pPr>
        <w:pStyle w:val="NoSpacing"/>
        <w:jc w:val="both"/>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5238F5">
        <w:t xml:space="preserve"> v2.5.</w:t>
      </w:r>
      <w:r w:rsidR="00723771">
        <w:t>1</w:t>
      </w:r>
      <w:r w:rsidR="00240B74" w:rsidRPr="00920905">
        <w:t>.</w:t>
      </w:r>
      <w:r w:rsidRPr="00920905">
        <w:t xml:space="preserve"> </w:t>
      </w:r>
      <w:r w:rsidR="00061A8E" w:rsidRPr="00920905">
        <w:t>The relevant IR values for the measures in this work paper are in the table below</w:t>
      </w:r>
      <w:r w:rsidR="008B1357" w:rsidRPr="00920905">
        <w:t>.</w:t>
      </w:r>
    </w:p>
    <w:p w14:paraId="43C24FC8" w14:textId="77777777" w:rsidR="002958ED" w:rsidRPr="00920905" w:rsidRDefault="002958ED"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4AF3A954" w14:textId="77777777" w:rsidTr="00920905">
        <w:tc>
          <w:tcPr>
            <w:tcW w:w="722" w:type="pct"/>
            <w:shd w:val="clear" w:color="auto" w:fill="D9D9D9" w:themeFill="background1" w:themeFillShade="D9"/>
          </w:tcPr>
          <w:p w14:paraId="107B90E3"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6F721726"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06EEFFF9"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19DEADFB"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0EC5245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3C0FF340"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2958ED" w14:paraId="1E957A76" w14:textId="77777777" w:rsidTr="00920905">
        <w:tc>
          <w:tcPr>
            <w:tcW w:w="722" w:type="pct"/>
          </w:tcPr>
          <w:p w14:paraId="00B3D582" w14:textId="77777777" w:rsidR="002F4E34" w:rsidRPr="002958ED" w:rsidRDefault="002F4E34" w:rsidP="005729C8">
            <w:pPr>
              <w:rPr>
                <w:szCs w:val="20"/>
              </w:rPr>
            </w:pPr>
            <w:r w:rsidRPr="002958ED">
              <w:rPr>
                <w:szCs w:val="20"/>
              </w:rPr>
              <w:t>Def-GSIA</w:t>
            </w:r>
          </w:p>
        </w:tc>
        <w:tc>
          <w:tcPr>
            <w:tcW w:w="1404" w:type="pct"/>
          </w:tcPr>
          <w:p w14:paraId="0E12957A" w14:textId="77777777" w:rsidR="002F4E34" w:rsidRPr="002958ED" w:rsidRDefault="002F4E34" w:rsidP="005729C8">
            <w:pPr>
              <w:rPr>
                <w:szCs w:val="20"/>
              </w:rPr>
            </w:pPr>
            <w:r w:rsidRPr="002958ED">
              <w:rPr>
                <w:szCs w:val="20"/>
              </w:rPr>
              <w:t>Default GSIA values</w:t>
            </w:r>
          </w:p>
        </w:tc>
        <w:tc>
          <w:tcPr>
            <w:tcW w:w="688" w:type="pct"/>
          </w:tcPr>
          <w:p w14:paraId="79FD141A" w14:textId="77777777" w:rsidR="002F4E34" w:rsidRPr="002958ED" w:rsidRDefault="002F4E34" w:rsidP="005729C8">
            <w:pPr>
              <w:rPr>
                <w:szCs w:val="20"/>
              </w:rPr>
            </w:pPr>
            <w:r w:rsidRPr="002958ED">
              <w:rPr>
                <w:szCs w:val="20"/>
              </w:rPr>
              <w:t>Any</w:t>
            </w:r>
          </w:p>
        </w:tc>
        <w:tc>
          <w:tcPr>
            <w:tcW w:w="858" w:type="pct"/>
          </w:tcPr>
          <w:p w14:paraId="7CF92A48" w14:textId="77777777" w:rsidR="002F4E34" w:rsidRPr="002958ED" w:rsidRDefault="002F4E34" w:rsidP="005729C8">
            <w:pPr>
              <w:rPr>
                <w:szCs w:val="20"/>
              </w:rPr>
            </w:pPr>
            <w:r w:rsidRPr="002958ED">
              <w:rPr>
                <w:szCs w:val="20"/>
              </w:rPr>
              <w:t>Any</w:t>
            </w:r>
          </w:p>
        </w:tc>
        <w:tc>
          <w:tcPr>
            <w:tcW w:w="693" w:type="pct"/>
          </w:tcPr>
          <w:p w14:paraId="7DD805E9" w14:textId="77777777" w:rsidR="002F4E34" w:rsidRPr="002958ED" w:rsidRDefault="002F4E34" w:rsidP="005729C8">
            <w:pPr>
              <w:rPr>
                <w:szCs w:val="20"/>
              </w:rPr>
            </w:pPr>
            <w:r w:rsidRPr="002958ED">
              <w:rPr>
                <w:szCs w:val="20"/>
              </w:rPr>
              <w:t>Any</w:t>
            </w:r>
          </w:p>
        </w:tc>
        <w:tc>
          <w:tcPr>
            <w:tcW w:w="634" w:type="pct"/>
          </w:tcPr>
          <w:p w14:paraId="6367C24A" w14:textId="77777777" w:rsidR="002F4E34" w:rsidRPr="002958ED" w:rsidRDefault="002F4E34" w:rsidP="005729C8">
            <w:pPr>
              <w:rPr>
                <w:szCs w:val="20"/>
              </w:rPr>
            </w:pPr>
            <w:r w:rsidRPr="002958ED">
              <w:rPr>
                <w:szCs w:val="20"/>
              </w:rPr>
              <w:t>1</w:t>
            </w:r>
          </w:p>
        </w:tc>
      </w:tr>
    </w:tbl>
    <w:p w14:paraId="6787B1B8" w14:textId="77777777" w:rsidR="006B4A48" w:rsidRPr="00B05647" w:rsidRDefault="006B4A48" w:rsidP="000968C6">
      <w:pPr>
        <w:pStyle w:val="Reminders"/>
        <w:rPr>
          <w:rFonts w:asciiTheme="minorHAnsi" w:hAnsiTheme="minorHAnsi" w:cstheme="minorHAnsi"/>
          <w:b/>
          <w:i w:val="0"/>
          <w:color w:val="auto"/>
          <w:szCs w:val="22"/>
        </w:rPr>
      </w:pPr>
    </w:p>
    <w:p w14:paraId="0BD52C9F" w14:textId="77777777" w:rsidR="003E6CC4" w:rsidRDefault="003E6CC4">
      <w:pPr>
        <w:jc w:val="both"/>
        <w:rPr>
          <w:rFonts w:cstheme="minorHAnsi"/>
          <w:b/>
          <w:szCs w:val="22"/>
        </w:rPr>
      </w:pPr>
      <w:r>
        <w:rPr>
          <w:rFonts w:cstheme="minorHAnsi"/>
          <w:b/>
          <w:szCs w:val="22"/>
        </w:rPr>
        <w:br w:type="page"/>
      </w:r>
    </w:p>
    <w:p w14:paraId="5BB9CA2A" w14:textId="5D366BDF" w:rsidR="0056494D" w:rsidRPr="00616C06" w:rsidRDefault="008B1357" w:rsidP="009401AF">
      <w:pPr>
        <w:jc w:val="both"/>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00616C06">
        <w:rPr>
          <w:rFonts w:cstheme="minorHAnsi"/>
          <w:b/>
          <w:szCs w:val="22"/>
        </w:rPr>
        <w:t xml:space="preserve"> Useful Life</w:t>
      </w:r>
    </w:p>
    <w:p w14:paraId="62189F78" w14:textId="461A0DC3" w:rsidR="001F4649" w:rsidRDefault="006A6D15">
      <w:pPr>
        <w:pStyle w:val="NoSpacing"/>
        <w:jc w:val="both"/>
        <w:rPr>
          <w:rFonts w:cstheme="minorHAnsi"/>
        </w:rPr>
      </w:pPr>
      <w:r w:rsidRPr="0087393E">
        <w:t xml:space="preserve">The EUL and RUL values were obtained </w:t>
      </w:r>
      <w:r w:rsidR="00BC6524" w:rsidRPr="0087393E">
        <w:t>using the DEER READI tool</w:t>
      </w:r>
      <w:r w:rsidR="005238F5">
        <w:t xml:space="preserve"> v2.5.</w:t>
      </w:r>
      <w:r w:rsidR="00723771">
        <w:t>1</w:t>
      </w:r>
      <w:r w:rsidRPr="0087393E">
        <w:t xml:space="preserve"> DEER defines the RUL as 1/3 of the EUL value. The RUL value is only applicable to the first baseline period for an RET measure with an applicable code baseline. The relevant EUL and RUL values for the measures in this work paper are in the table below.</w:t>
      </w:r>
      <w:r w:rsidR="002958ED" w:rsidRPr="0019156F">
        <w:t xml:space="preserve"> Note that this measure assumes </w:t>
      </w:r>
      <w:proofErr w:type="gramStart"/>
      <w:r w:rsidR="002958ED" w:rsidRPr="0019156F">
        <w:t>an</w:t>
      </w:r>
      <w:proofErr w:type="gramEnd"/>
      <w:r w:rsidR="002958ED" w:rsidRPr="0019156F">
        <w:t xml:space="preserve"> EUL based on the RUL of the HVAC system affected by the REA measure as described below. </w:t>
      </w:r>
      <w:r w:rsidR="002958ED" w:rsidRPr="00616C06">
        <w:rPr>
          <w:rFonts w:cstheme="minorHAnsi"/>
        </w:rPr>
        <w:t xml:space="preserve">The EUL of the measure is capped at the remaining useful life of </w:t>
      </w:r>
      <w:r w:rsidR="006018A7">
        <w:rPr>
          <w:rFonts w:cstheme="minorHAnsi"/>
        </w:rPr>
        <w:t>High Efficiency Air Conditioner</w:t>
      </w:r>
      <w:r w:rsidR="002958ED" w:rsidRPr="00616C06">
        <w:rPr>
          <w:rFonts w:cstheme="minorHAnsi"/>
        </w:rPr>
        <w:t xml:space="preserve">, </w:t>
      </w:r>
      <w:r w:rsidR="003E4B24">
        <w:rPr>
          <w:rFonts w:cstheme="minorHAnsi"/>
        </w:rPr>
        <w:t>which is</w:t>
      </w:r>
      <w:r w:rsidR="002958ED" w:rsidRPr="00616C06">
        <w:rPr>
          <w:rFonts w:cstheme="minorHAnsi"/>
        </w:rPr>
        <w:t xml:space="preserve"> third of </w:t>
      </w:r>
      <w:r w:rsidR="006018A7">
        <w:rPr>
          <w:rFonts w:cstheme="minorHAnsi"/>
        </w:rPr>
        <w:t>1</w:t>
      </w:r>
      <w:r w:rsidR="002958ED" w:rsidRPr="00616C06">
        <w:rPr>
          <w:rFonts w:cstheme="minorHAnsi"/>
        </w:rPr>
        <w:t>5 years</w:t>
      </w:r>
      <w:r w:rsidR="003E4B24">
        <w:rPr>
          <w:rFonts w:cstheme="minorHAnsi"/>
        </w:rPr>
        <w:t xml:space="preserve"> (EULHOST/3 where EULHOST is </w:t>
      </w:r>
      <w:r w:rsidR="006018A7">
        <w:rPr>
          <w:rFonts w:cstheme="minorHAnsi"/>
        </w:rPr>
        <w:t>1</w:t>
      </w:r>
      <w:r w:rsidR="003E4B24">
        <w:rPr>
          <w:rFonts w:cstheme="minorHAnsi"/>
        </w:rPr>
        <w:t>5 years)</w:t>
      </w:r>
      <w:r w:rsidR="002958ED" w:rsidRPr="00616C06">
        <w:rPr>
          <w:rFonts w:cstheme="minorHAnsi"/>
        </w:rPr>
        <w:t>.</w:t>
      </w:r>
      <w:r w:rsidR="006018A7">
        <w:rPr>
          <w:rFonts w:cstheme="minorHAnsi"/>
        </w:rPr>
        <w:t xml:space="preserve"> </w:t>
      </w:r>
    </w:p>
    <w:p w14:paraId="26EAD1E1" w14:textId="77777777" w:rsidR="003E6CC4" w:rsidRDefault="003E6CC4">
      <w:pPr>
        <w:pStyle w:val="NoSpacing"/>
        <w:jc w:val="both"/>
        <w:rPr>
          <w:rFonts w:cstheme="minorHAnsi"/>
        </w:rPr>
      </w:pPr>
    </w:p>
    <w:p w14:paraId="018DA3CC" w14:textId="2EC17F8F" w:rsidR="002958ED" w:rsidRPr="00616C06" w:rsidRDefault="006018A7" w:rsidP="009401AF">
      <w:pPr>
        <w:pStyle w:val="NoSpacing"/>
        <w:jc w:val="both"/>
      </w:pPr>
      <w:r>
        <w:rPr>
          <w:rFonts w:cstheme="minorHAnsi"/>
        </w:rPr>
        <w:t>The EUL ID HVAC-EMS (Energy Management System) was reviewed which has the same EUL and RUL values</w:t>
      </w:r>
      <w:r w:rsidR="003E6CC4">
        <w:rPr>
          <w:rFonts w:cstheme="minorHAnsi"/>
        </w:rPr>
        <w:t xml:space="preserve"> of 15 and 5 years respectively</w:t>
      </w:r>
      <w:r>
        <w:rPr>
          <w:rFonts w:cstheme="minorHAnsi"/>
        </w:rPr>
        <w:t>. But, HVAC-EMS applies only to the Commercial Sector and HV-</w:t>
      </w:r>
      <w:proofErr w:type="spellStart"/>
      <w:r>
        <w:rPr>
          <w:rFonts w:cstheme="minorHAnsi"/>
        </w:rPr>
        <w:t>ResAC</w:t>
      </w:r>
      <w:proofErr w:type="spellEnd"/>
      <w:r>
        <w:rPr>
          <w:rFonts w:cstheme="minorHAnsi"/>
        </w:rPr>
        <w:t xml:space="preserve"> was the closest EUL ID in the Residential Sector.</w:t>
      </w:r>
      <w:r w:rsidR="001F4649">
        <w:rPr>
          <w:rFonts w:cstheme="minorHAnsi"/>
        </w:rPr>
        <w:t xml:space="preserve"> </w:t>
      </w:r>
    </w:p>
    <w:p w14:paraId="31D18A39" w14:textId="77777777" w:rsidR="008B1357" w:rsidRPr="00920905" w:rsidRDefault="008B1357"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3058298B" w14:textId="77777777" w:rsidTr="00920905">
        <w:tc>
          <w:tcPr>
            <w:tcW w:w="824" w:type="pct"/>
            <w:shd w:val="clear" w:color="auto" w:fill="D9D9D9" w:themeFill="background1" w:themeFillShade="D9"/>
          </w:tcPr>
          <w:p w14:paraId="4EB080A1"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6443703F"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0A361B9F"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58CE6A78"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01D750EB"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3C47FA3F" w14:textId="77777777" w:rsidR="008B1357" w:rsidRPr="00920905" w:rsidRDefault="008B1357" w:rsidP="00BA2E7E">
            <w:pPr>
              <w:rPr>
                <w:rFonts w:cstheme="minorHAnsi"/>
                <w:b/>
                <w:szCs w:val="20"/>
              </w:rPr>
            </w:pPr>
            <w:r w:rsidRPr="00920905">
              <w:rPr>
                <w:rFonts w:cstheme="minorHAnsi"/>
                <w:b/>
                <w:szCs w:val="20"/>
              </w:rPr>
              <w:t>RUL (Years)</w:t>
            </w:r>
          </w:p>
        </w:tc>
      </w:tr>
      <w:tr w:rsidR="00461B92" w:rsidRPr="00461B92" w14:paraId="54A949D3" w14:textId="77777777" w:rsidTr="00920905">
        <w:trPr>
          <w:trHeight w:val="243"/>
        </w:trPr>
        <w:tc>
          <w:tcPr>
            <w:tcW w:w="824" w:type="pct"/>
          </w:tcPr>
          <w:p w14:paraId="413E7E21" w14:textId="4245D39B" w:rsidR="00461B92" w:rsidRPr="00461B92" w:rsidRDefault="006749DA" w:rsidP="00BA2E7E">
            <w:pPr>
              <w:rPr>
                <w:szCs w:val="20"/>
              </w:rPr>
            </w:pPr>
            <w:r>
              <w:rPr>
                <w:szCs w:val="20"/>
              </w:rPr>
              <w:t>HV-</w:t>
            </w:r>
            <w:proofErr w:type="spellStart"/>
            <w:r>
              <w:rPr>
                <w:szCs w:val="20"/>
              </w:rPr>
              <w:t>ResAC</w:t>
            </w:r>
            <w:proofErr w:type="spellEnd"/>
          </w:p>
        </w:tc>
        <w:tc>
          <w:tcPr>
            <w:tcW w:w="1436" w:type="pct"/>
          </w:tcPr>
          <w:p w14:paraId="1579A084" w14:textId="0BD3A99E" w:rsidR="00461B92" w:rsidRPr="00461B92" w:rsidRDefault="006749DA" w:rsidP="00BA2E7E">
            <w:pPr>
              <w:rPr>
                <w:szCs w:val="20"/>
              </w:rPr>
            </w:pPr>
            <w:r w:rsidRPr="006749DA">
              <w:rPr>
                <w:szCs w:val="20"/>
              </w:rPr>
              <w:t>High Efficiency Air Conditioner (package and split systems)</w:t>
            </w:r>
          </w:p>
        </w:tc>
        <w:tc>
          <w:tcPr>
            <w:tcW w:w="474" w:type="pct"/>
          </w:tcPr>
          <w:p w14:paraId="760FAA56" w14:textId="77777777" w:rsidR="00461B92" w:rsidRPr="00461B92" w:rsidRDefault="00461B92" w:rsidP="00BA2E7E">
            <w:pPr>
              <w:rPr>
                <w:szCs w:val="20"/>
              </w:rPr>
            </w:pPr>
            <w:r w:rsidRPr="00461B92">
              <w:rPr>
                <w:szCs w:val="20"/>
              </w:rPr>
              <w:t>Res</w:t>
            </w:r>
          </w:p>
        </w:tc>
        <w:tc>
          <w:tcPr>
            <w:tcW w:w="676" w:type="pct"/>
          </w:tcPr>
          <w:p w14:paraId="5206A2E5" w14:textId="77777777" w:rsidR="00461B92" w:rsidRPr="00461B92" w:rsidRDefault="00461B92" w:rsidP="00BA2E7E">
            <w:pPr>
              <w:rPr>
                <w:szCs w:val="20"/>
              </w:rPr>
            </w:pPr>
            <w:r w:rsidRPr="00461B92">
              <w:rPr>
                <w:szCs w:val="20"/>
              </w:rPr>
              <w:t>HVAC</w:t>
            </w:r>
          </w:p>
        </w:tc>
        <w:tc>
          <w:tcPr>
            <w:tcW w:w="813" w:type="pct"/>
          </w:tcPr>
          <w:p w14:paraId="63A41C8E" w14:textId="001643E6" w:rsidR="00461B92" w:rsidRPr="00461B92" w:rsidRDefault="00723771" w:rsidP="00BA2E7E">
            <w:pPr>
              <w:rPr>
                <w:szCs w:val="20"/>
              </w:rPr>
            </w:pPr>
            <w:r>
              <w:rPr>
                <w:szCs w:val="20"/>
              </w:rPr>
              <w:t>5</w:t>
            </w:r>
          </w:p>
        </w:tc>
        <w:tc>
          <w:tcPr>
            <w:tcW w:w="777" w:type="pct"/>
          </w:tcPr>
          <w:p w14:paraId="29E86CF9" w14:textId="71378660" w:rsidR="00461B92" w:rsidRPr="00461B92" w:rsidRDefault="005238F5" w:rsidP="00BA2E7E">
            <w:pPr>
              <w:rPr>
                <w:szCs w:val="20"/>
              </w:rPr>
            </w:pPr>
            <w:r>
              <w:rPr>
                <w:szCs w:val="20"/>
              </w:rPr>
              <w:t>N/A</w:t>
            </w:r>
          </w:p>
        </w:tc>
      </w:tr>
    </w:tbl>
    <w:p w14:paraId="7D81F46C"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7F866E94" w14:textId="65A34983" w:rsidR="00536B96" w:rsidRDefault="002958ED" w:rsidP="009401AF">
      <w:pPr>
        <w:pStyle w:val="Reminders"/>
        <w:jc w:val="both"/>
        <w:rPr>
          <w:rFonts w:asciiTheme="minorHAnsi" w:hAnsiTheme="minorHAnsi" w:cstheme="minorHAnsi"/>
          <w:i w:val="0"/>
          <w:color w:val="auto"/>
          <w:szCs w:val="22"/>
        </w:rPr>
      </w:pPr>
      <w:r w:rsidRPr="0019156F">
        <w:rPr>
          <w:rFonts w:asciiTheme="minorHAnsi" w:hAnsiTheme="minorHAnsi" w:cstheme="minorHAnsi"/>
          <w:i w:val="0"/>
          <w:color w:val="auto"/>
          <w:szCs w:val="22"/>
        </w:rPr>
        <w:t xml:space="preserve">There are currently no federal, state, or regional codes that impact </w:t>
      </w:r>
      <w:r w:rsidR="009401AF">
        <w:rPr>
          <w:rFonts w:asciiTheme="minorHAnsi" w:hAnsiTheme="minorHAnsi" w:cstheme="minorHAnsi"/>
          <w:i w:val="0"/>
          <w:color w:val="auto"/>
          <w:szCs w:val="22"/>
        </w:rPr>
        <w:t>fan delay controllers</w:t>
      </w:r>
      <w:r w:rsidRPr="0019156F">
        <w:rPr>
          <w:rFonts w:asciiTheme="minorHAnsi" w:hAnsiTheme="minorHAnsi" w:cstheme="minorHAnsi"/>
          <w:i w:val="0"/>
          <w:color w:val="auto"/>
          <w:szCs w:val="22"/>
        </w:rPr>
        <w:t xml:space="preserve"> for residential </w:t>
      </w:r>
      <w:r w:rsidR="00A457C2">
        <w:rPr>
          <w:rFonts w:asciiTheme="minorHAnsi" w:hAnsiTheme="minorHAnsi" w:cstheme="minorHAnsi"/>
          <w:i w:val="0"/>
          <w:color w:val="auto"/>
          <w:szCs w:val="22"/>
        </w:rPr>
        <w:t>air conditioners</w:t>
      </w:r>
      <w:r w:rsidRPr="0019156F">
        <w:rPr>
          <w:rFonts w:asciiTheme="minorHAnsi" w:hAnsiTheme="minorHAnsi" w:cstheme="minorHAnsi"/>
          <w:i w:val="0"/>
          <w:color w:val="auto"/>
          <w:szCs w:val="22"/>
        </w:rPr>
        <w:t xml:space="preserve">. However, </w:t>
      </w:r>
      <w:r w:rsidR="00536B96" w:rsidRPr="00536B96">
        <w:rPr>
          <w:rFonts w:asciiTheme="minorHAnsi" w:hAnsiTheme="minorHAnsi" w:cstheme="minorHAnsi"/>
          <w:i w:val="0"/>
          <w:color w:val="auto"/>
          <w:szCs w:val="22"/>
        </w:rPr>
        <w:t>Chapter 4</w:t>
      </w:r>
      <w:r w:rsidR="00A9006F">
        <w:rPr>
          <w:rFonts w:asciiTheme="minorHAnsi" w:hAnsiTheme="minorHAnsi" w:cstheme="minorHAnsi"/>
          <w:i w:val="0"/>
          <w:color w:val="auto"/>
          <w:szCs w:val="22"/>
        </w:rPr>
        <w:t>, Article 4, Section 1605.1</w:t>
      </w:r>
      <w:r w:rsidR="00E355FC">
        <w:rPr>
          <w:rFonts w:asciiTheme="minorHAnsi" w:hAnsiTheme="minorHAnsi" w:cstheme="minorHAnsi"/>
          <w:i w:val="0"/>
          <w:color w:val="auto"/>
          <w:szCs w:val="22"/>
        </w:rPr>
        <w:t>(c)</w:t>
      </w:r>
      <w:r w:rsidR="00A9006F">
        <w:rPr>
          <w:rFonts w:asciiTheme="minorHAnsi" w:hAnsiTheme="minorHAnsi" w:cstheme="minorHAnsi"/>
          <w:i w:val="0"/>
          <w:color w:val="auto"/>
          <w:szCs w:val="22"/>
        </w:rPr>
        <w:t>, Table C.3</w:t>
      </w:r>
      <w:r w:rsidR="00536B96" w:rsidRPr="00536B96">
        <w:rPr>
          <w:rFonts w:asciiTheme="minorHAnsi" w:hAnsiTheme="minorHAnsi" w:cstheme="minorHAnsi"/>
          <w:i w:val="0"/>
          <w:color w:val="auto"/>
          <w:szCs w:val="22"/>
        </w:rPr>
        <w:t xml:space="preserve"> of California’s Title 2</w:t>
      </w:r>
      <w:r w:rsidR="00A9006F">
        <w:rPr>
          <w:rFonts w:asciiTheme="minorHAnsi" w:hAnsiTheme="minorHAnsi" w:cstheme="minorHAnsi"/>
          <w:i w:val="0"/>
          <w:color w:val="auto"/>
          <w:szCs w:val="22"/>
        </w:rPr>
        <w:t>0</w:t>
      </w:r>
      <w:r w:rsidR="00536B96" w:rsidRPr="00536B96">
        <w:rPr>
          <w:rFonts w:asciiTheme="minorHAnsi" w:hAnsiTheme="minorHAnsi" w:cstheme="minorHAnsi"/>
          <w:i w:val="0"/>
          <w:color w:val="auto"/>
          <w:szCs w:val="22"/>
        </w:rPr>
        <w:t xml:space="preserve"> </w:t>
      </w:r>
      <w:r w:rsidR="00E355FC">
        <w:rPr>
          <w:rFonts w:asciiTheme="minorHAnsi" w:hAnsiTheme="minorHAnsi" w:cstheme="minorHAnsi"/>
          <w:i w:val="0"/>
          <w:color w:val="auto"/>
          <w:szCs w:val="22"/>
        </w:rPr>
        <w:t>(</w:t>
      </w:r>
      <w:r w:rsidR="00536B96" w:rsidRPr="00536B96">
        <w:rPr>
          <w:rFonts w:asciiTheme="minorHAnsi" w:hAnsiTheme="minorHAnsi" w:cstheme="minorHAnsi"/>
          <w:i w:val="0"/>
          <w:color w:val="auto"/>
          <w:szCs w:val="22"/>
        </w:rPr>
        <w:t>201</w:t>
      </w:r>
      <w:r w:rsidR="00A9006F">
        <w:rPr>
          <w:rFonts w:asciiTheme="minorHAnsi" w:hAnsiTheme="minorHAnsi" w:cstheme="minorHAnsi"/>
          <w:i w:val="0"/>
          <w:color w:val="auto"/>
          <w:szCs w:val="22"/>
        </w:rPr>
        <w:t>8</w:t>
      </w:r>
      <w:r w:rsidR="00E355FC">
        <w:rPr>
          <w:rFonts w:asciiTheme="minorHAnsi" w:hAnsiTheme="minorHAnsi" w:cstheme="minorHAnsi"/>
          <w:i w:val="0"/>
          <w:color w:val="auto"/>
          <w:szCs w:val="22"/>
        </w:rPr>
        <w:t>)</w:t>
      </w:r>
      <w:r w:rsidR="00A9006F">
        <w:rPr>
          <w:rFonts w:asciiTheme="minorHAnsi" w:hAnsiTheme="minorHAnsi" w:cstheme="minorHAnsi"/>
          <w:i w:val="0"/>
          <w:color w:val="auto"/>
          <w:szCs w:val="22"/>
        </w:rPr>
        <w:t xml:space="preserve"> </w:t>
      </w:r>
      <w:r w:rsidR="00F52279">
        <w:rPr>
          <w:rFonts w:asciiTheme="minorHAnsi" w:hAnsiTheme="minorHAnsi" w:cstheme="minorHAnsi"/>
          <w:i w:val="0"/>
          <w:color w:val="auto"/>
          <w:szCs w:val="22"/>
        </w:rPr>
        <w:t xml:space="preserve">[319] </w:t>
      </w:r>
      <w:r w:rsidR="00E355FC">
        <w:rPr>
          <w:rFonts w:asciiTheme="minorHAnsi" w:hAnsiTheme="minorHAnsi" w:cstheme="minorHAnsi"/>
          <w:i w:val="0"/>
          <w:color w:val="auto"/>
          <w:szCs w:val="22"/>
        </w:rPr>
        <w:t>code</w:t>
      </w:r>
      <w:r w:rsidR="00A9006F">
        <w:rPr>
          <w:rFonts w:asciiTheme="minorHAnsi" w:hAnsiTheme="minorHAnsi" w:cstheme="minorHAnsi"/>
          <w:i w:val="0"/>
          <w:color w:val="auto"/>
          <w:szCs w:val="22"/>
        </w:rPr>
        <w:t xml:space="preserve"> require</w:t>
      </w:r>
      <w:r w:rsidR="00E355FC">
        <w:rPr>
          <w:rFonts w:asciiTheme="minorHAnsi" w:hAnsiTheme="minorHAnsi" w:cstheme="minorHAnsi"/>
          <w:i w:val="0"/>
          <w:color w:val="auto"/>
          <w:szCs w:val="22"/>
        </w:rPr>
        <w:t xml:space="preserve">s split system air conditioners installed after January 1, 2015 to have a minimum SEER rating of 14.0. </w:t>
      </w:r>
    </w:p>
    <w:p w14:paraId="4C948DF2" w14:textId="77777777" w:rsidR="002B6953" w:rsidRDefault="002B6953" w:rsidP="009401AF">
      <w:pPr>
        <w:pStyle w:val="Reminders"/>
        <w:jc w:val="both"/>
        <w:rPr>
          <w:rFonts w:asciiTheme="minorHAnsi" w:hAnsiTheme="minorHAnsi" w:cstheme="minorHAnsi"/>
          <w:i w:val="0"/>
          <w:color w:val="auto"/>
          <w:szCs w:val="22"/>
        </w:rPr>
      </w:pPr>
    </w:p>
    <w:p w14:paraId="5CFA4CDE" w14:textId="2725F578" w:rsidR="00A9006F" w:rsidRDefault="00E355FC" w:rsidP="009401AF">
      <w:pPr>
        <w:pStyle w:val="Reminders"/>
        <w:jc w:val="both"/>
        <w:rPr>
          <w:rFonts w:asciiTheme="minorHAnsi" w:hAnsiTheme="minorHAnsi" w:cstheme="minorHAnsi"/>
          <w:i w:val="0"/>
          <w:color w:val="auto"/>
          <w:szCs w:val="22"/>
        </w:rPr>
      </w:pPr>
      <w:r>
        <w:rPr>
          <w:rFonts w:asciiTheme="minorHAnsi" w:hAnsiTheme="minorHAnsi" w:cstheme="minorHAnsi"/>
          <w:i w:val="0"/>
          <w:color w:val="auto"/>
          <w:szCs w:val="22"/>
        </w:rPr>
        <w:t>In order to be conservative in the energy savings, an efficiency rating of SEER 15.0 was used to establish the baseline energy usage for this measure.</w:t>
      </w:r>
    </w:p>
    <w:p w14:paraId="50C48E1C" w14:textId="77777777" w:rsidR="002958ED" w:rsidRPr="0017657A" w:rsidRDefault="002958ED" w:rsidP="00E16609">
      <w:pPr>
        <w:pStyle w:val="Reminders"/>
        <w:rPr>
          <w:rFonts w:asciiTheme="minorHAnsi" w:hAnsiTheme="minorHAnsi" w:cstheme="minorHAnsi"/>
          <w:i w:val="0"/>
          <w:color w:val="auto"/>
          <w:szCs w:val="22"/>
        </w:rPr>
      </w:pPr>
    </w:p>
    <w:p w14:paraId="1F8C9679"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A34AD4" w14:paraId="04751932" w14:textId="77777777" w:rsidTr="00A34AD4">
        <w:tc>
          <w:tcPr>
            <w:tcW w:w="115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7572AD" w14:textId="77777777" w:rsidR="00A34AD4" w:rsidRDefault="00A34AD4">
            <w:pPr>
              <w:rPr>
                <w:rFonts w:cstheme="minorHAnsi"/>
                <w:b/>
                <w:szCs w:val="20"/>
              </w:rPr>
            </w:pPr>
            <w:bookmarkStart w:id="12" w:name="_Toc304800207"/>
            <w:bookmarkStart w:id="13" w:name="_Toc324318343"/>
            <w:bookmarkStart w:id="14" w:name="_Toc324340487"/>
            <w:bookmarkStart w:id="15" w:name="_Toc383441992"/>
            <w:bookmarkStart w:id="16" w:name="_Toc214003090"/>
            <w:r>
              <w:rPr>
                <w:rFonts w:cstheme="minorHAnsi"/>
                <w:b/>
                <w:szCs w:val="20"/>
              </w:rPr>
              <w:t>Code</w:t>
            </w:r>
          </w:p>
        </w:tc>
        <w:tc>
          <w:tcPr>
            <w:tcW w:w="2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BD4512" w14:textId="77777777" w:rsidR="00A34AD4" w:rsidRDefault="00A34AD4">
            <w:pPr>
              <w:rPr>
                <w:rFonts w:cstheme="minorHAnsi"/>
                <w:b/>
                <w:szCs w:val="20"/>
              </w:rPr>
            </w:pPr>
            <w:r>
              <w:rPr>
                <w:rFonts w:cstheme="minorHAnsi"/>
                <w:b/>
                <w:szCs w:val="20"/>
              </w:rPr>
              <w:t>Reference</w:t>
            </w:r>
          </w:p>
        </w:tc>
        <w:tc>
          <w:tcPr>
            <w:tcW w:w="1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0F7E83" w14:textId="77777777" w:rsidR="00A34AD4" w:rsidRDefault="00A34AD4">
            <w:pPr>
              <w:rPr>
                <w:rFonts w:cstheme="minorHAnsi"/>
                <w:b/>
                <w:szCs w:val="20"/>
              </w:rPr>
            </w:pPr>
            <w:r>
              <w:rPr>
                <w:rFonts w:cstheme="minorHAnsi"/>
                <w:b/>
                <w:szCs w:val="20"/>
              </w:rPr>
              <w:t>Effective Dates</w:t>
            </w:r>
          </w:p>
        </w:tc>
      </w:tr>
      <w:tr w:rsidR="00A34AD4" w14:paraId="6F66C188" w14:textId="77777777" w:rsidTr="00A34AD4">
        <w:trPr>
          <w:trHeight w:val="243"/>
        </w:trPr>
        <w:tc>
          <w:tcPr>
            <w:tcW w:w="1155" w:type="pct"/>
            <w:tcBorders>
              <w:top w:val="single" w:sz="4" w:space="0" w:color="auto"/>
              <w:left w:val="single" w:sz="4" w:space="0" w:color="auto"/>
              <w:bottom w:val="single" w:sz="4" w:space="0" w:color="auto"/>
              <w:right w:val="single" w:sz="4" w:space="0" w:color="auto"/>
            </w:tcBorders>
            <w:hideMark/>
          </w:tcPr>
          <w:p w14:paraId="1B545016" w14:textId="42D85F95" w:rsidR="00A34AD4" w:rsidRDefault="00A34AD4">
            <w:pPr>
              <w:rPr>
                <w:rFonts w:cstheme="minorHAnsi"/>
                <w:szCs w:val="20"/>
              </w:rPr>
            </w:pPr>
            <w:r>
              <w:rPr>
                <w:rFonts w:cstheme="minorHAnsi"/>
                <w:szCs w:val="20"/>
              </w:rPr>
              <w:t>Title 24 (201</w:t>
            </w:r>
            <w:r w:rsidR="00EB2BB3">
              <w:rPr>
                <w:rFonts w:cstheme="minorHAnsi"/>
                <w:szCs w:val="20"/>
              </w:rPr>
              <w:t>6</w:t>
            </w:r>
            <w:r>
              <w:rPr>
                <w:rFonts w:cstheme="minorHAnsi"/>
                <w:szCs w:val="20"/>
              </w:rPr>
              <w:t>)</w:t>
            </w:r>
          </w:p>
        </w:tc>
        <w:tc>
          <w:tcPr>
            <w:tcW w:w="2711" w:type="pct"/>
            <w:tcBorders>
              <w:top w:val="single" w:sz="4" w:space="0" w:color="auto"/>
              <w:left w:val="single" w:sz="4" w:space="0" w:color="auto"/>
              <w:bottom w:val="single" w:sz="4" w:space="0" w:color="auto"/>
              <w:right w:val="single" w:sz="4" w:space="0" w:color="auto"/>
            </w:tcBorders>
            <w:hideMark/>
          </w:tcPr>
          <w:p w14:paraId="0C9119F4" w14:textId="01D7BA30" w:rsidR="00A34AD4" w:rsidRDefault="00A34AD4">
            <w:pPr>
              <w:rPr>
                <w:rFonts w:cstheme="minorHAnsi"/>
                <w:szCs w:val="20"/>
              </w:rPr>
            </w:pPr>
            <w:r>
              <w:rPr>
                <w:rFonts w:cstheme="minorHAnsi"/>
                <w:szCs w:val="20"/>
              </w:rPr>
              <w:t>N/A</w:t>
            </w:r>
          </w:p>
        </w:tc>
        <w:tc>
          <w:tcPr>
            <w:tcW w:w="1134" w:type="pct"/>
            <w:tcBorders>
              <w:top w:val="single" w:sz="4" w:space="0" w:color="auto"/>
              <w:left w:val="single" w:sz="4" w:space="0" w:color="auto"/>
              <w:bottom w:val="single" w:sz="4" w:space="0" w:color="auto"/>
              <w:right w:val="single" w:sz="4" w:space="0" w:color="auto"/>
            </w:tcBorders>
            <w:hideMark/>
          </w:tcPr>
          <w:p w14:paraId="359D5230" w14:textId="77777777" w:rsidR="00A34AD4" w:rsidRDefault="00A34AD4">
            <w:pPr>
              <w:rPr>
                <w:rFonts w:cstheme="minorHAnsi"/>
                <w:szCs w:val="20"/>
              </w:rPr>
            </w:pPr>
            <w:r>
              <w:rPr>
                <w:rFonts w:cstheme="minorHAnsi"/>
                <w:szCs w:val="20"/>
              </w:rPr>
              <w:t>N/A</w:t>
            </w:r>
          </w:p>
        </w:tc>
      </w:tr>
      <w:tr w:rsidR="00A34AD4" w14:paraId="534428D4" w14:textId="77777777" w:rsidTr="00A34AD4">
        <w:trPr>
          <w:trHeight w:val="243"/>
        </w:trPr>
        <w:tc>
          <w:tcPr>
            <w:tcW w:w="1155" w:type="pct"/>
            <w:tcBorders>
              <w:top w:val="single" w:sz="4" w:space="0" w:color="auto"/>
              <w:left w:val="single" w:sz="4" w:space="0" w:color="auto"/>
              <w:bottom w:val="single" w:sz="4" w:space="0" w:color="auto"/>
              <w:right w:val="single" w:sz="4" w:space="0" w:color="auto"/>
            </w:tcBorders>
            <w:hideMark/>
          </w:tcPr>
          <w:p w14:paraId="541B6881" w14:textId="4C0E7BDC" w:rsidR="00A34AD4" w:rsidRDefault="00A34AD4">
            <w:pPr>
              <w:rPr>
                <w:rFonts w:cstheme="minorHAnsi"/>
                <w:szCs w:val="20"/>
              </w:rPr>
            </w:pPr>
            <w:r>
              <w:rPr>
                <w:rFonts w:cstheme="minorHAnsi"/>
                <w:szCs w:val="20"/>
              </w:rPr>
              <w:t>Title 20 (201</w:t>
            </w:r>
            <w:r w:rsidR="00EB2BB3">
              <w:rPr>
                <w:rFonts w:cstheme="minorHAnsi"/>
                <w:szCs w:val="20"/>
              </w:rPr>
              <w:t>8</w:t>
            </w:r>
            <w:r>
              <w:rPr>
                <w:rFonts w:cstheme="minorHAnsi"/>
                <w:szCs w:val="20"/>
              </w:rPr>
              <w:t>)</w:t>
            </w:r>
          </w:p>
        </w:tc>
        <w:tc>
          <w:tcPr>
            <w:tcW w:w="2711" w:type="pct"/>
            <w:tcBorders>
              <w:top w:val="single" w:sz="4" w:space="0" w:color="auto"/>
              <w:left w:val="single" w:sz="4" w:space="0" w:color="auto"/>
              <w:bottom w:val="single" w:sz="4" w:space="0" w:color="auto"/>
              <w:right w:val="single" w:sz="4" w:space="0" w:color="auto"/>
            </w:tcBorders>
            <w:hideMark/>
          </w:tcPr>
          <w:p w14:paraId="3A84FE7F" w14:textId="62B27825" w:rsidR="00A34AD4" w:rsidRDefault="00E355FC">
            <w:pPr>
              <w:rPr>
                <w:rFonts w:cstheme="minorHAnsi"/>
                <w:szCs w:val="20"/>
              </w:rPr>
            </w:pPr>
            <w:r>
              <w:rPr>
                <w:rFonts w:cstheme="minorHAnsi"/>
                <w:szCs w:val="20"/>
              </w:rPr>
              <w:t>N/A</w:t>
            </w:r>
          </w:p>
        </w:tc>
        <w:tc>
          <w:tcPr>
            <w:tcW w:w="1134" w:type="pct"/>
            <w:tcBorders>
              <w:top w:val="single" w:sz="4" w:space="0" w:color="auto"/>
              <w:left w:val="single" w:sz="4" w:space="0" w:color="auto"/>
              <w:bottom w:val="single" w:sz="4" w:space="0" w:color="auto"/>
              <w:right w:val="single" w:sz="4" w:space="0" w:color="auto"/>
            </w:tcBorders>
            <w:hideMark/>
          </w:tcPr>
          <w:p w14:paraId="1B241B9D" w14:textId="73B81062" w:rsidR="00A34AD4" w:rsidRDefault="00E355FC">
            <w:pPr>
              <w:rPr>
                <w:rFonts w:cstheme="minorHAnsi"/>
                <w:szCs w:val="20"/>
              </w:rPr>
            </w:pPr>
            <w:r>
              <w:rPr>
                <w:rFonts w:cstheme="minorHAnsi"/>
                <w:szCs w:val="20"/>
              </w:rPr>
              <w:t>N/A</w:t>
            </w:r>
          </w:p>
        </w:tc>
      </w:tr>
    </w:tbl>
    <w:p w14:paraId="78DF4233" w14:textId="77777777"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27FBA207" w14:textId="77777777"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000C4935">
        <w:rPr>
          <w:rFonts w:asciiTheme="minorHAnsi" w:hAnsiTheme="minorHAnsi"/>
        </w:rPr>
        <w:t xml:space="preserve"> ET11SCE1130 Report: Effects of Delaying Evaporator Fan Cycle </w:t>
      </w:r>
      <w:proofErr w:type="gramStart"/>
      <w:r w:rsidR="000C4935">
        <w:rPr>
          <w:rFonts w:asciiTheme="minorHAnsi" w:hAnsiTheme="minorHAnsi"/>
        </w:rPr>
        <w:t>Off</w:t>
      </w:r>
      <w:proofErr w:type="gramEnd"/>
      <w:r w:rsidR="000C4935">
        <w:rPr>
          <w:rFonts w:asciiTheme="minorHAnsi" w:hAnsiTheme="minorHAnsi"/>
        </w:rPr>
        <w:t xml:space="preserve"> Time for Residential Air-Conditioning Units</w:t>
      </w:r>
    </w:p>
    <w:p w14:paraId="61E5EAE0" w14:textId="40240C99" w:rsidR="000C6F43" w:rsidRDefault="000C6F43" w:rsidP="009401AF">
      <w:pPr>
        <w:pStyle w:val="Reminder"/>
        <w:jc w:val="both"/>
        <w:rPr>
          <w:rFonts w:asciiTheme="minorHAnsi" w:hAnsiTheme="minorHAnsi" w:cstheme="minorHAnsi"/>
          <w:i w:val="0"/>
          <w:color w:val="auto"/>
          <w:szCs w:val="22"/>
        </w:rPr>
      </w:pPr>
      <w:r>
        <w:rPr>
          <w:rFonts w:asciiTheme="minorHAnsi" w:hAnsiTheme="minorHAnsi" w:cstheme="minorHAnsi"/>
          <w:i w:val="0"/>
          <w:color w:val="auto"/>
          <w:szCs w:val="22"/>
        </w:rPr>
        <w:t>Southern California Edison (SCE) conducted an Emerging Technology (ET) study (</w:t>
      </w:r>
      <w:r w:rsidR="000C4935" w:rsidRPr="00A52150">
        <w:rPr>
          <w:rFonts w:asciiTheme="minorHAnsi" w:hAnsiTheme="minorHAnsi" w:cstheme="minorHAnsi"/>
          <w:i w:val="0"/>
          <w:color w:val="auto"/>
          <w:szCs w:val="22"/>
        </w:rPr>
        <w:t>ET11SCE1130</w:t>
      </w:r>
      <w:r>
        <w:rPr>
          <w:rFonts w:asciiTheme="minorHAnsi" w:hAnsiTheme="minorHAnsi" w:cstheme="minorHAnsi"/>
          <w:i w:val="0"/>
          <w:color w:val="auto"/>
          <w:szCs w:val="22"/>
        </w:rPr>
        <w:t>)</w:t>
      </w:r>
      <w:r w:rsidR="000867A6">
        <w:rPr>
          <w:rFonts w:asciiTheme="minorHAnsi" w:hAnsiTheme="minorHAnsi" w:cstheme="minorHAnsi"/>
          <w:i w:val="0"/>
          <w:color w:val="auto"/>
          <w:szCs w:val="22"/>
        </w:rPr>
        <w:t xml:space="preserve"> [Attachment 1]</w:t>
      </w:r>
      <w:r w:rsidR="000C4935" w:rsidRPr="00A52150">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where </w:t>
      </w:r>
      <w:r w:rsidR="00966143">
        <w:rPr>
          <w:rFonts w:asciiTheme="minorHAnsi" w:hAnsiTheme="minorHAnsi" w:cstheme="minorHAnsi"/>
          <w:i w:val="0"/>
          <w:color w:val="auto"/>
          <w:szCs w:val="22"/>
        </w:rPr>
        <w:t>it</w:t>
      </w:r>
      <w:r>
        <w:rPr>
          <w:rFonts w:asciiTheme="minorHAnsi" w:hAnsiTheme="minorHAnsi" w:cstheme="minorHAnsi"/>
          <w:i w:val="0"/>
          <w:color w:val="auto"/>
          <w:szCs w:val="22"/>
        </w:rPr>
        <w:t xml:space="preserve"> </w:t>
      </w:r>
      <w:r w:rsidR="000C4935" w:rsidRPr="00A52150">
        <w:rPr>
          <w:rFonts w:asciiTheme="minorHAnsi" w:hAnsiTheme="minorHAnsi" w:cstheme="minorHAnsi"/>
          <w:i w:val="0"/>
          <w:color w:val="auto"/>
          <w:szCs w:val="22"/>
        </w:rPr>
        <w:t>tested a nominal 3-ton split air-conditioning unit in a laboratory setting</w:t>
      </w:r>
      <w:r>
        <w:rPr>
          <w:rFonts w:asciiTheme="minorHAnsi" w:hAnsiTheme="minorHAnsi" w:cstheme="minorHAnsi"/>
          <w:i w:val="0"/>
          <w:color w:val="auto"/>
          <w:szCs w:val="22"/>
        </w:rPr>
        <w:t>. T</w:t>
      </w:r>
      <w:r w:rsidR="000C4935" w:rsidRPr="00A52150">
        <w:rPr>
          <w:rFonts w:asciiTheme="minorHAnsi" w:hAnsiTheme="minorHAnsi" w:cstheme="minorHAnsi"/>
          <w:i w:val="0"/>
          <w:color w:val="auto"/>
          <w:szCs w:val="22"/>
        </w:rPr>
        <w:t xml:space="preserve">he </w:t>
      </w:r>
      <w:r>
        <w:rPr>
          <w:rFonts w:asciiTheme="minorHAnsi" w:hAnsiTheme="minorHAnsi" w:cstheme="minorHAnsi"/>
          <w:i w:val="0"/>
          <w:color w:val="auto"/>
          <w:szCs w:val="22"/>
        </w:rPr>
        <w:t xml:space="preserve">test </w:t>
      </w:r>
      <w:r w:rsidR="000C4935" w:rsidRPr="00A52150">
        <w:rPr>
          <w:rFonts w:asciiTheme="minorHAnsi" w:hAnsiTheme="minorHAnsi" w:cstheme="minorHAnsi"/>
          <w:i w:val="0"/>
          <w:color w:val="auto"/>
          <w:szCs w:val="22"/>
        </w:rPr>
        <w:t xml:space="preserve">unit was equipped with an air-cooled condenser and a single speed compressor. This combination of components is representative of one of the most common configurations of air-conditioning units found in residential applications. </w:t>
      </w:r>
    </w:p>
    <w:p w14:paraId="27174EAE" w14:textId="5ED585FA" w:rsidR="006236DC" w:rsidRDefault="000C4935" w:rsidP="009401AF">
      <w:pPr>
        <w:pStyle w:val="Reminder"/>
        <w:jc w:val="both"/>
        <w:rPr>
          <w:rFonts w:asciiTheme="minorHAnsi" w:hAnsiTheme="minorHAnsi" w:cstheme="minorHAnsi"/>
          <w:i w:val="0"/>
          <w:color w:val="auto"/>
          <w:szCs w:val="22"/>
        </w:rPr>
      </w:pPr>
      <w:r w:rsidRPr="00A52150">
        <w:rPr>
          <w:rFonts w:asciiTheme="minorHAnsi" w:hAnsiTheme="minorHAnsi" w:cstheme="minorHAnsi"/>
          <w:i w:val="0"/>
          <w:color w:val="auto"/>
          <w:szCs w:val="22"/>
        </w:rPr>
        <w:t xml:space="preserve">The measure evaluation portion of the testing included the installation of the two types of commercially available add-on </w:t>
      </w:r>
      <w:r w:rsidR="009401AF">
        <w:rPr>
          <w:rFonts w:asciiTheme="minorHAnsi" w:hAnsiTheme="minorHAnsi" w:cstheme="minorHAnsi"/>
          <w:i w:val="0"/>
          <w:color w:val="auto"/>
          <w:szCs w:val="22"/>
        </w:rPr>
        <w:t>fan delay controllers</w:t>
      </w:r>
      <w:r w:rsidRPr="00A52150">
        <w:rPr>
          <w:rFonts w:asciiTheme="minorHAnsi" w:hAnsiTheme="minorHAnsi" w:cstheme="minorHAnsi"/>
          <w:i w:val="0"/>
          <w:color w:val="auto"/>
          <w:szCs w:val="22"/>
        </w:rPr>
        <w:t xml:space="preserve">. The two fan </w:t>
      </w:r>
      <w:r w:rsidR="000C6F43">
        <w:rPr>
          <w:rFonts w:asciiTheme="minorHAnsi" w:hAnsiTheme="minorHAnsi" w:cstheme="minorHAnsi"/>
          <w:i w:val="0"/>
          <w:color w:val="auto"/>
          <w:szCs w:val="22"/>
        </w:rPr>
        <w:t xml:space="preserve">delay </w:t>
      </w:r>
      <w:r w:rsidRPr="00A52150">
        <w:rPr>
          <w:rFonts w:asciiTheme="minorHAnsi" w:hAnsiTheme="minorHAnsi" w:cstheme="minorHAnsi"/>
          <w:i w:val="0"/>
          <w:color w:val="auto"/>
          <w:szCs w:val="22"/>
        </w:rPr>
        <w:t xml:space="preserve">controllers allowed the fans to run after the compressor was shut off, but one ran for a prescribed period of time while the other had a built-in logic to delay for a period of time based off of the compressor’s run time. </w:t>
      </w:r>
    </w:p>
    <w:p w14:paraId="7B83B7FD" w14:textId="20D9074C" w:rsidR="000C4935" w:rsidRDefault="00966143" w:rsidP="009D3C14">
      <w:pPr>
        <w:pStyle w:val="Reminder"/>
        <w:jc w:val="both"/>
        <w:rPr>
          <w:rFonts w:asciiTheme="minorHAnsi" w:hAnsiTheme="minorHAnsi" w:cstheme="minorHAnsi"/>
          <w:i w:val="0"/>
          <w:color w:val="auto"/>
          <w:szCs w:val="22"/>
        </w:rPr>
      </w:pPr>
      <w:r w:rsidRPr="009401AF">
        <w:rPr>
          <w:rFonts w:asciiTheme="minorHAnsi" w:hAnsiTheme="minorHAnsi" w:cstheme="minorHAnsi"/>
          <w:i w:val="0"/>
          <w:color w:val="auto"/>
          <w:szCs w:val="22"/>
        </w:rPr>
        <w:lastRenderedPageBreak/>
        <w:t>The study was limited to cooling savings and excluded evaluation of gas and/or electric (heat pump) heating savings.  Findings from referenced study suggest that electrical energy savings potentials on technology varied as a function of P</w:t>
      </w:r>
      <w:r w:rsidR="00F95EEB" w:rsidRPr="009401AF">
        <w:rPr>
          <w:rFonts w:asciiTheme="minorHAnsi" w:hAnsiTheme="minorHAnsi" w:cstheme="minorHAnsi"/>
          <w:i w:val="0"/>
          <w:color w:val="auto"/>
          <w:szCs w:val="22"/>
        </w:rPr>
        <w:t xml:space="preserve">art </w:t>
      </w:r>
      <w:r w:rsidRPr="009401AF">
        <w:rPr>
          <w:rFonts w:asciiTheme="minorHAnsi" w:hAnsiTheme="minorHAnsi" w:cstheme="minorHAnsi"/>
          <w:i w:val="0"/>
          <w:color w:val="auto"/>
          <w:szCs w:val="22"/>
        </w:rPr>
        <w:t>L</w:t>
      </w:r>
      <w:r w:rsidR="00F95EEB" w:rsidRPr="009401AF">
        <w:rPr>
          <w:rFonts w:asciiTheme="minorHAnsi" w:hAnsiTheme="minorHAnsi" w:cstheme="minorHAnsi"/>
          <w:i w:val="0"/>
          <w:color w:val="auto"/>
          <w:szCs w:val="22"/>
        </w:rPr>
        <w:t xml:space="preserve">oad </w:t>
      </w:r>
      <w:r w:rsidRPr="009401AF">
        <w:rPr>
          <w:rFonts w:asciiTheme="minorHAnsi" w:hAnsiTheme="minorHAnsi" w:cstheme="minorHAnsi"/>
          <w:i w:val="0"/>
          <w:color w:val="auto"/>
          <w:szCs w:val="22"/>
        </w:rPr>
        <w:t>R</w:t>
      </w:r>
      <w:r w:rsidR="00F95EEB" w:rsidRPr="009401AF">
        <w:rPr>
          <w:rFonts w:asciiTheme="minorHAnsi" w:hAnsiTheme="minorHAnsi" w:cstheme="minorHAnsi"/>
          <w:i w:val="0"/>
          <w:color w:val="auto"/>
          <w:szCs w:val="22"/>
        </w:rPr>
        <w:t>atios (PLR) of the cooling systems.</w:t>
      </w:r>
      <w:r w:rsidR="00F95EEB">
        <w:rPr>
          <w:i w:val="0"/>
          <w:sz w:val="20"/>
          <w:szCs w:val="20"/>
        </w:rPr>
        <w:t xml:space="preserve"> </w:t>
      </w:r>
      <w:r w:rsidR="000C4935" w:rsidRPr="00A52150">
        <w:rPr>
          <w:rFonts w:asciiTheme="minorHAnsi" w:hAnsiTheme="minorHAnsi" w:cstheme="minorHAnsi"/>
          <w:i w:val="0"/>
          <w:color w:val="auto"/>
          <w:szCs w:val="22"/>
        </w:rPr>
        <w:t xml:space="preserve">The findings </w:t>
      </w:r>
      <w:r w:rsidR="006236DC">
        <w:rPr>
          <w:rFonts w:asciiTheme="minorHAnsi" w:hAnsiTheme="minorHAnsi" w:cstheme="minorHAnsi"/>
          <w:i w:val="0"/>
          <w:color w:val="auto"/>
          <w:szCs w:val="22"/>
        </w:rPr>
        <w:t xml:space="preserve">from this ET study were used in conjunction with </w:t>
      </w:r>
      <w:r>
        <w:rPr>
          <w:rFonts w:asciiTheme="minorHAnsi" w:hAnsiTheme="minorHAnsi" w:cstheme="minorHAnsi"/>
          <w:i w:val="0"/>
          <w:color w:val="auto"/>
          <w:szCs w:val="22"/>
        </w:rPr>
        <w:t>modified</w:t>
      </w:r>
      <w:r w:rsidR="006236DC">
        <w:rPr>
          <w:rFonts w:asciiTheme="minorHAnsi" w:hAnsiTheme="minorHAnsi" w:cstheme="minorHAnsi"/>
          <w:i w:val="0"/>
          <w:color w:val="auto"/>
          <w:szCs w:val="22"/>
        </w:rPr>
        <w:t xml:space="preserve"> DEER </w:t>
      </w:r>
      <w:r>
        <w:rPr>
          <w:rFonts w:asciiTheme="minorHAnsi" w:hAnsiTheme="minorHAnsi" w:cstheme="minorHAnsi"/>
          <w:i w:val="0"/>
          <w:color w:val="auto"/>
          <w:szCs w:val="22"/>
        </w:rPr>
        <w:t>prototypes</w:t>
      </w:r>
      <w:r w:rsidR="006236DC">
        <w:rPr>
          <w:rFonts w:asciiTheme="minorHAnsi" w:hAnsiTheme="minorHAnsi" w:cstheme="minorHAnsi"/>
          <w:i w:val="0"/>
          <w:color w:val="auto"/>
          <w:szCs w:val="22"/>
        </w:rPr>
        <w:t xml:space="preserve"> </w:t>
      </w:r>
      <w:r w:rsidR="000C6F43">
        <w:rPr>
          <w:rFonts w:asciiTheme="minorHAnsi" w:hAnsiTheme="minorHAnsi" w:cstheme="minorHAnsi"/>
          <w:i w:val="0"/>
          <w:color w:val="auto"/>
          <w:szCs w:val="22"/>
        </w:rPr>
        <w:t>to compute the energy savings for this measure.</w:t>
      </w:r>
    </w:p>
    <w:p w14:paraId="07364FC3" w14:textId="77777777"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99EA037" w14:textId="77777777" w:rsidR="00602F18" w:rsidRPr="00582C13" w:rsidRDefault="00582C13" w:rsidP="00582C13">
      <w:pPr>
        <w:rPr>
          <w:rFonts w:cs="Arial"/>
          <w:szCs w:val="22"/>
        </w:rPr>
      </w:pPr>
      <w:r w:rsidRPr="00582C13">
        <w:rPr>
          <w:rFonts w:cs="Arial"/>
          <w:szCs w:val="22"/>
        </w:rPr>
        <w:t>N/A</w:t>
      </w:r>
    </w:p>
    <w:p w14:paraId="6575368B" w14:textId="0F8EE16D" w:rsidR="00E16609" w:rsidRDefault="00E16609" w:rsidP="00560934">
      <w:pPr>
        <w:pStyle w:val="Heading1"/>
        <w:keepNext w:val="0"/>
        <w:rPr>
          <w:rFonts w:cstheme="minorHAnsi"/>
        </w:rPr>
      </w:pPr>
      <w:bookmarkStart w:id="17" w:name="_Hlk525530531"/>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776AC313" w14:textId="55CA9DBF" w:rsidR="00F93A3E" w:rsidRDefault="00F93A3E" w:rsidP="009401AF"/>
    <w:p w14:paraId="37C4299A" w14:textId="64931557" w:rsidR="00F93A3E" w:rsidRDefault="00F93A3E" w:rsidP="00F93A3E">
      <w:pPr>
        <w:jc w:val="both"/>
        <w:rPr>
          <w:rFonts w:cstheme="minorHAnsi"/>
        </w:rPr>
      </w:pPr>
      <w:r w:rsidRPr="00ED0C0C">
        <w:rPr>
          <w:rFonts w:cstheme="minorHAnsi"/>
        </w:rPr>
        <w:t xml:space="preserve">This </w:t>
      </w:r>
      <w:r>
        <w:rPr>
          <w:rFonts w:cstheme="minorHAnsi"/>
        </w:rPr>
        <w:t xml:space="preserve">section provides the step by step calculation methodology used for estimating the </w:t>
      </w:r>
      <w:r w:rsidRPr="00ED0C0C">
        <w:rPr>
          <w:rFonts w:cstheme="minorHAnsi"/>
        </w:rPr>
        <w:t xml:space="preserve">electrical energy savings and peak demand savings </w:t>
      </w:r>
      <w:r>
        <w:rPr>
          <w:rFonts w:cstheme="minorHAnsi"/>
        </w:rPr>
        <w:t xml:space="preserve">for a residential air conditioner with a </w:t>
      </w:r>
      <w:r w:rsidR="005356F3">
        <w:rPr>
          <w:rFonts w:cstheme="minorHAnsi"/>
        </w:rPr>
        <w:t>FDC</w:t>
      </w:r>
      <w:r w:rsidRPr="00ED0C0C">
        <w:rPr>
          <w:rFonts w:cstheme="minorHAnsi"/>
        </w:rPr>
        <w:t>.</w:t>
      </w:r>
    </w:p>
    <w:p w14:paraId="7B7CD63A" w14:textId="77777777" w:rsidR="00F93A3E" w:rsidRDefault="00F93A3E" w:rsidP="00F93A3E">
      <w:pPr>
        <w:pStyle w:val="ListParagraph"/>
        <w:numPr>
          <w:ilvl w:val="0"/>
          <w:numId w:val="44"/>
        </w:numPr>
        <w:jc w:val="both"/>
        <w:rPr>
          <w:rFonts w:cstheme="minorHAnsi"/>
          <w:szCs w:val="22"/>
        </w:rPr>
      </w:pPr>
      <w:r>
        <w:rPr>
          <w:rFonts w:cstheme="minorHAnsi"/>
          <w:szCs w:val="22"/>
        </w:rPr>
        <w:t xml:space="preserve">DEER Prototypes are downloaded from MASControl2 </w:t>
      </w:r>
      <w:r>
        <w:t>v1.1.21, the latest version of MAS Control with prototypes for the residential sector.</w:t>
      </w:r>
    </w:p>
    <w:p w14:paraId="7F3374BD" w14:textId="77777777" w:rsidR="00F93A3E" w:rsidRDefault="00F93A3E" w:rsidP="00F93A3E">
      <w:pPr>
        <w:pStyle w:val="ListParagraph"/>
        <w:numPr>
          <w:ilvl w:val="0"/>
          <w:numId w:val="44"/>
        </w:numPr>
        <w:jc w:val="both"/>
        <w:rPr>
          <w:rFonts w:cstheme="minorHAnsi"/>
          <w:szCs w:val="22"/>
        </w:rPr>
      </w:pPr>
      <w:r w:rsidRPr="008A412F">
        <w:rPr>
          <w:rFonts w:cstheme="minorHAnsi"/>
          <w:szCs w:val="22"/>
        </w:rPr>
        <w:t xml:space="preserve">The prototypes are downloaded for </w:t>
      </w:r>
      <w:r>
        <w:rPr>
          <w:rFonts w:cstheme="minorHAnsi"/>
          <w:szCs w:val="22"/>
        </w:rPr>
        <w:t xml:space="preserve">all </w:t>
      </w:r>
      <w:r w:rsidRPr="008A412F">
        <w:rPr>
          <w:rFonts w:cstheme="minorHAnsi"/>
          <w:szCs w:val="22"/>
        </w:rPr>
        <w:t xml:space="preserve">the </w:t>
      </w:r>
      <w:r>
        <w:rPr>
          <w:rFonts w:cstheme="minorHAnsi"/>
          <w:szCs w:val="22"/>
        </w:rPr>
        <w:t xml:space="preserve">following </w:t>
      </w:r>
      <w:r w:rsidRPr="008A412F">
        <w:rPr>
          <w:rFonts w:cstheme="minorHAnsi"/>
          <w:szCs w:val="22"/>
        </w:rPr>
        <w:t>building types where the measure is eligible</w:t>
      </w:r>
      <w:r>
        <w:rPr>
          <w:rFonts w:cstheme="minorHAnsi"/>
          <w:szCs w:val="22"/>
        </w:rPr>
        <w:t xml:space="preserve"> for all sixteen climate zones.</w:t>
      </w:r>
    </w:p>
    <w:p w14:paraId="741278A8" w14:textId="77777777" w:rsidR="00F93A3E" w:rsidRDefault="00F93A3E" w:rsidP="00F93A3E">
      <w:pPr>
        <w:pStyle w:val="ListParagraph"/>
        <w:jc w:val="both"/>
        <w:rPr>
          <w:rFonts w:cstheme="minorHAnsi"/>
          <w:szCs w:val="22"/>
        </w:rPr>
      </w:pPr>
    </w:p>
    <w:tbl>
      <w:tblPr>
        <w:tblStyle w:val="TableGrid"/>
        <w:tblW w:w="0" w:type="auto"/>
        <w:tblInd w:w="720" w:type="dxa"/>
        <w:tblLook w:val="04A0" w:firstRow="1" w:lastRow="0" w:firstColumn="1" w:lastColumn="0" w:noHBand="0" w:noVBand="1"/>
      </w:tblPr>
      <w:tblGrid>
        <w:gridCol w:w="4297"/>
        <w:gridCol w:w="4333"/>
      </w:tblGrid>
      <w:tr w:rsidR="00F93A3E" w14:paraId="18FE048C" w14:textId="77777777" w:rsidTr="009D3C14">
        <w:tc>
          <w:tcPr>
            <w:tcW w:w="4414" w:type="dxa"/>
            <w:shd w:val="clear" w:color="auto" w:fill="D9D9D9" w:themeFill="background1" w:themeFillShade="D9"/>
          </w:tcPr>
          <w:p w14:paraId="03ABCAEF" w14:textId="77777777" w:rsidR="00F93A3E" w:rsidRPr="00C67A49" w:rsidRDefault="00F93A3E" w:rsidP="009D3C14">
            <w:pPr>
              <w:rPr>
                <w:rFonts w:cstheme="minorHAnsi"/>
                <w:b/>
                <w:sz w:val="20"/>
                <w:szCs w:val="20"/>
              </w:rPr>
            </w:pPr>
            <w:r w:rsidRPr="00C67A49">
              <w:rPr>
                <w:rFonts w:cstheme="minorHAnsi"/>
                <w:b/>
                <w:sz w:val="20"/>
                <w:szCs w:val="20"/>
              </w:rPr>
              <w:t>Eligible building type DEER Anonym</w:t>
            </w:r>
          </w:p>
        </w:tc>
        <w:tc>
          <w:tcPr>
            <w:tcW w:w="4442" w:type="dxa"/>
            <w:shd w:val="clear" w:color="auto" w:fill="D9D9D9" w:themeFill="background1" w:themeFillShade="D9"/>
          </w:tcPr>
          <w:p w14:paraId="7094D6B6" w14:textId="77777777" w:rsidR="00F93A3E" w:rsidRPr="00C67A49" w:rsidRDefault="00F93A3E" w:rsidP="009D3C14">
            <w:pPr>
              <w:rPr>
                <w:rFonts w:cstheme="minorHAnsi"/>
                <w:b/>
                <w:sz w:val="20"/>
                <w:szCs w:val="20"/>
              </w:rPr>
            </w:pPr>
            <w:r w:rsidRPr="00C67A49">
              <w:rPr>
                <w:rFonts w:cstheme="minorHAnsi"/>
                <w:b/>
                <w:sz w:val="20"/>
                <w:szCs w:val="20"/>
              </w:rPr>
              <w:t xml:space="preserve">Building Description </w:t>
            </w:r>
          </w:p>
        </w:tc>
      </w:tr>
      <w:tr w:rsidR="00F93A3E" w14:paraId="148B2598" w14:textId="77777777" w:rsidTr="009D3C14">
        <w:tc>
          <w:tcPr>
            <w:tcW w:w="4414" w:type="dxa"/>
          </w:tcPr>
          <w:p w14:paraId="64012F39" w14:textId="77777777" w:rsidR="00F93A3E" w:rsidRDefault="00F93A3E" w:rsidP="009D3C14">
            <w:pPr>
              <w:pStyle w:val="ListParagraph"/>
              <w:ind w:left="0"/>
              <w:rPr>
                <w:rFonts w:cstheme="minorHAnsi"/>
                <w:szCs w:val="22"/>
              </w:rPr>
            </w:pPr>
            <w:proofErr w:type="spellStart"/>
            <w:r>
              <w:rPr>
                <w:rFonts w:cstheme="minorHAnsi"/>
                <w:szCs w:val="22"/>
              </w:rPr>
              <w:t>DMo</w:t>
            </w:r>
            <w:proofErr w:type="spellEnd"/>
          </w:p>
        </w:tc>
        <w:tc>
          <w:tcPr>
            <w:tcW w:w="4442" w:type="dxa"/>
          </w:tcPr>
          <w:p w14:paraId="1C7D78AC" w14:textId="77777777" w:rsidR="00F93A3E" w:rsidRDefault="00F93A3E" w:rsidP="009D3C14">
            <w:pPr>
              <w:pStyle w:val="ListParagraph"/>
              <w:ind w:left="0"/>
              <w:rPr>
                <w:rFonts w:cstheme="minorHAnsi"/>
                <w:szCs w:val="22"/>
              </w:rPr>
            </w:pPr>
            <w:r>
              <w:rPr>
                <w:rFonts w:cstheme="minorHAnsi"/>
                <w:szCs w:val="22"/>
              </w:rPr>
              <w:t xml:space="preserve">Residential Mobile Home </w:t>
            </w:r>
          </w:p>
        </w:tc>
      </w:tr>
      <w:tr w:rsidR="00F93A3E" w14:paraId="18C8DA88" w14:textId="77777777" w:rsidTr="009D3C14">
        <w:tc>
          <w:tcPr>
            <w:tcW w:w="4414" w:type="dxa"/>
          </w:tcPr>
          <w:p w14:paraId="392DFA28" w14:textId="77777777" w:rsidR="00F93A3E" w:rsidRDefault="00F93A3E" w:rsidP="009D3C14">
            <w:pPr>
              <w:pStyle w:val="ListParagraph"/>
              <w:ind w:left="0"/>
              <w:rPr>
                <w:rFonts w:cstheme="minorHAnsi"/>
                <w:szCs w:val="22"/>
              </w:rPr>
            </w:pPr>
            <w:proofErr w:type="spellStart"/>
            <w:r>
              <w:rPr>
                <w:rFonts w:cstheme="minorHAnsi"/>
                <w:szCs w:val="22"/>
              </w:rPr>
              <w:t>SFm</w:t>
            </w:r>
            <w:proofErr w:type="spellEnd"/>
          </w:p>
        </w:tc>
        <w:tc>
          <w:tcPr>
            <w:tcW w:w="4442" w:type="dxa"/>
          </w:tcPr>
          <w:p w14:paraId="33E2A461" w14:textId="77777777" w:rsidR="00F93A3E" w:rsidRDefault="00F93A3E" w:rsidP="009D3C14">
            <w:pPr>
              <w:pStyle w:val="ListParagraph"/>
              <w:ind w:left="0"/>
              <w:rPr>
                <w:rFonts w:cstheme="minorHAnsi"/>
                <w:szCs w:val="22"/>
              </w:rPr>
            </w:pPr>
            <w:r>
              <w:rPr>
                <w:rFonts w:cstheme="minorHAnsi"/>
                <w:szCs w:val="22"/>
              </w:rPr>
              <w:t>Residential Single Family</w:t>
            </w:r>
          </w:p>
        </w:tc>
      </w:tr>
      <w:tr w:rsidR="00F93A3E" w14:paraId="000A51BE" w14:textId="77777777" w:rsidTr="009D3C14">
        <w:tc>
          <w:tcPr>
            <w:tcW w:w="4414" w:type="dxa"/>
          </w:tcPr>
          <w:p w14:paraId="6C745D35" w14:textId="77777777" w:rsidR="00F93A3E" w:rsidRDefault="00F93A3E" w:rsidP="009D3C14">
            <w:pPr>
              <w:pStyle w:val="ListParagraph"/>
              <w:ind w:left="0"/>
              <w:rPr>
                <w:rFonts w:cstheme="minorHAnsi"/>
                <w:szCs w:val="22"/>
              </w:rPr>
            </w:pPr>
            <w:proofErr w:type="spellStart"/>
            <w:r>
              <w:rPr>
                <w:rFonts w:cstheme="minorHAnsi"/>
                <w:szCs w:val="22"/>
              </w:rPr>
              <w:t>MFm</w:t>
            </w:r>
            <w:proofErr w:type="spellEnd"/>
          </w:p>
        </w:tc>
        <w:tc>
          <w:tcPr>
            <w:tcW w:w="4442" w:type="dxa"/>
          </w:tcPr>
          <w:p w14:paraId="4728B73C" w14:textId="77777777" w:rsidR="00F93A3E" w:rsidRDefault="00F93A3E" w:rsidP="009D3C14">
            <w:pPr>
              <w:pStyle w:val="ListParagraph"/>
              <w:ind w:left="0"/>
              <w:rPr>
                <w:rFonts w:cstheme="minorHAnsi"/>
                <w:szCs w:val="22"/>
              </w:rPr>
            </w:pPr>
            <w:r>
              <w:rPr>
                <w:rFonts w:cstheme="minorHAnsi"/>
                <w:szCs w:val="22"/>
              </w:rPr>
              <w:t xml:space="preserve">Residential Multi-Family </w:t>
            </w:r>
          </w:p>
        </w:tc>
      </w:tr>
    </w:tbl>
    <w:p w14:paraId="26EE8A71" w14:textId="77777777" w:rsidR="00F93A3E" w:rsidRDefault="00F93A3E" w:rsidP="00F93A3E">
      <w:pPr>
        <w:rPr>
          <w:rFonts w:cstheme="minorHAnsi"/>
        </w:rPr>
      </w:pPr>
    </w:p>
    <w:p w14:paraId="2841CF2B" w14:textId="77777777" w:rsidR="00F93A3E" w:rsidRDefault="00F93A3E" w:rsidP="00F93A3E">
      <w:pPr>
        <w:pStyle w:val="ListParagraph"/>
        <w:numPr>
          <w:ilvl w:val="0"/>
          <w:numId w:val="44"/>
        </w:numPr>
        <w:jc w:val="both"/>
        <w:rPr>
          <w:rFonts w:cstheme="minorHAnsi"/>
          <w:szCs w:val="22"/>
        </w:rPr>
      </w:pPr>
      <w:r w:rsidRPr="004C02CD">
        <w:rPr>
          <w:rFonts w:cstheme="minorHAnsi"/>
          <w:szCs w:val="22"/>
        </w:rPr>
        <w:t xml:space="preserve">This measure is applicable to all the vintages. However, for the analysis </w:t>
      </w:r>
      <w:r>
        <w:rPr>
          <w:rFonts w:cstheme="minorHAnsi"/>
          <w:szCs w:val="22"/>
        </w:rPr>
        <w:t xml:space="preserve">done in this workpaper </w:t>
      </w:r>
      <w:r w:rsidRPr="004C02CD">
        <w:rPr>
          <w:rFonts w:cstheme="minorHAnsi"/>
          <w:szCs w:val="22"/>
        </w:rPr>
        <w:t>only vintage 200</w:t>
      </w:r>
      <w:r>
        <w:rPr>
          <w:rFonts w:cstheme="minorHAnsi"/>
          <w:szCs w:val="22"/>
        </w:rPr>
        <w:t>7</w:t>
      </w:r>
      <w:r w:rsidRPr="004C02CD">
        <w:rPr>
          <w:rFonts w:cstheme="minorHAnsi"/>
          <w:szCs w:val="22"/>
        </w:rPr>
        <w:t xml:space="preserve"> is considered. This is because, </w:t>
      </w:r>
      <w:r>
        <w:rPr>
          <w:rFonts w:cstheme="minorHAnsi"/>
          <w:szCs w:val="22"/>
        </w:rPr>
        <w:t xml:space="preserve">as </w:t>
      </w:r>
      <w:r w:rsidRPr="004C02CD">
        <w:rPr>
          <w:rFonts w:cstheme="minorHAnsi"/>
          <w:szCs w:val="22"/>
        </w:rPr>
        <w:t xml:space="preserve">per </w:t>
      </w:r>
      <w:r w:rsidRPr="00537B68">
        <w:rPr>
          <w:rFonts w:cstheme="minorHAnsi"/>
          <w:szCs w:val="22"/>
        </w:rPr>
        <w:t>DEER2014 Energy Impact Weights Tables</w:t>
      </w:r>
      <w:r>
        <w:rPr>
          <w:rFonts w:cstheme="minorHAnsi"/>
          <w:szCs w:val="22"/>
        </w:rPr>
        <w:t xml:space="preserve">; the median building vintage weight corresponds to vintage 2003 for all the three buildings types </w:t>
      </w:r>
      <w:proofErr w:type="spellStart"/>
      <w:r>
        <w:rPr>
          <w:rFonts w:cstheme="minorHAnsi"/>
          <w:szCs w:val="22"/>
        </w:rPr>
        <w:t>DMo</w:t>
      </w:r>
      <w:proofErr w:type="spellEnd"/>
      <w:r>
        <w:rPr>
          <w:rFonts w:cstheme="minorHAnsi"/>
          <w:szCs w:val="22"/>
        </w:rPr>
        <w:t xml:space="preserve">, </w:t>
      </w:r>
      <w:proofErr w:type="spellStart"/>
      <w:r>
        <w:rPr>
          <w:rFonts w:cstheme="minorHAnsi"/>
          <w:szCs w:val="22"/>
        </w:rPr>
        <w:t>SFm</w:t>
      </w:r>
      <w:proofErr w:type="spellEnd"/>
      <w:r>
        <w:rPr>
          <w:rFonts w:cstheme="minorHAnsi"/>
          <w:szCs w:val="22"/>
        </w:rPr>
        <w:t xml:space="preserve"> and </w:t>
      </w:r>
      <w:proofErr w:type="spellStart"/>
      <w:r>
        <w:rPr>
          <w:rFonts w:cstheme="minorHAnsi"/>
          <w:szCs w:val="22"/>
        </w:rPr>
        <w:t>MFm</w:t>
      </w:r>
      <w:proofErr w:type="spellEnd"/>
      <w:r>
        <w:rPr>
          <w:rFonts w:cstheme="minorHAnsi"/>
          <w:szCs w:val="22"/>
        </w:rPr>
        <w:t>. In order to be conservative, the vintage of 2007 (one above the median) is used exclusively for the purpose of energy savings analysis and ‘2006-2009’ is selected in the MASControl2 tool.</w:t>
      </w:r>
    </w:p>
    <w:p w14:paraId="7FB57BFC" w14:textId="77777777" w:rsidR="00F93A3E" w:rsidRDefault="00F93A3E" w:rsidP="00F93A3E">
      <w:pPr>
        <w:pStyle w:val="ListParagraph"/>
        <w:jc w:val="both"/>
        <w:rPr>
          <w:rFonts w:cstheme="minorHAnsi"/>
          <w:szCs w:val="22"/>
        </w:rPr>
      </w:pPr>
    </w:p>
    <w:p w14:paraId="70626ACE" w14:textId="77777777" w:rsidR="00F93A3E" w:rsidRDefault="00F93A3E" w:rsidP="00F93A3E">
      <w:pPr>
        <w:pStyle w:val="ListParagraph"/>
        <w:numPr>
          <w:ilvl w:val="0"/>
          <w:numId w:val="44"/>
        </w:numPr>
        <w:jc w:val="both"/>
        <w:rPr>
          <w:rFonts w:cstheme="minorHAnsi"/>
          <w:szCs w:val="22"/>
        </w:rPr>
      </w:pPr>
      <w:r>
        <w:rPr>
          <w:rFonts w:cstheme="minorHAnsi"/>
          <w:szCs w:val="22"/>
        </w:rPr>
        <w:t>The HVAC system selected in MASControl2 is ‘</w:t>
      </w:r>
      <w:proofErr w:type="spellStart"/>
      <w:r>
        <w:rPr>
          <w:rFonts w:cstheme="minorHAnsi"/>
          <w:szCs w:val="22"/>
        </w:rPr>
        <w:t>rDXGF</w:t>
      </w:r>
      <w:proofErr w:type="spellEnd"/>
      <w:r>
        <w:rPr>
          <w:rFonts w:cstheme="minorHAnsi"/>
          <w:szCs w:val="22"/>
        </w:rPr>
        <w:t xml:space="preserve">’. The case option selected in the tool is ‘Measure’ and the measure to be simulated is ‘RE-HV-ResAC-lt45k Btuh-15S’. </w:t>
      </w:r>
    </w:p>
    <w:p w14:paraId="0AA84F35" w14:textId="77777777" w:rsidR="00F93A3E" w:rsidRPr="00C84C4D" w:rsidRDefault="00F93A3E" w:rsidP="00F93A3E">
      <w:pPr>
        <w:pStyle w:val="ListParagraph"/>
        <w:jc w:val="both"/>
        <w:rPr>
          <w:rFonts w:cstheme="minorHAnsi"/>
          <w:szCs w:val="22"/>
        </w:rPr>
      </w:pPr>
    </w:p>
    <w:p w14:paraId="75F36D28" w14:textId="77777777" w:rsidR="00F93A3E" w:rsidRDefault="00F93A3E" w:rsidP="00F93A3E">
      <w:pPr>
        <w:pStyle w:val="ListParagraph"/>
        <w:numPr>
          <w:ilvl w:val="0"/>
          <w:numId w:val="44"/>
        </w:numPr>
        <w:jc w:val="both"/>
        <w:rPr>
          <w:rFonts w:cstheme="minorHAnsi"/>
          <w:szCs w:val="22"/>
        </w:rPr>
      </w:pPr>
      <w:r>
        <w:rPr>
          <w:rFonts w:cstheme="minorHAnsi"/>
          <w:szCs w:val="22"/>
        </w:rPr>
        <w:t>This section briefly describes the downloaded DEER prototype for each of the building type in more detail. This is necessary in order to understand how the energy savings are calculated later and normalized per household.</w:t>
      </w:r>
    </w:p>
    <w:p w14:paraId="16AF8D9F" w14:textId="77777777" w:rsidR="00F93A3E" w:rsidRPr="00C84C4D" w:rsidRDefault="00F93A3E" w:rsidP="00F93A3E">
      <w:pPr>
        <w:pStyle w:val="ListParagraph"/>
        <w:jc w:val="both"/>
        <w:rPr>
          <w:rFonts w:cstheme="minorHAnsi"/>
          <w:szCs w:val="22"/>
        </w:rPr>
      </w:pPr>
    </w:p>
    <w:p w14:paraId="67D8CA6D" w14:textId="77777777" w:rsidR="00F93A3E" w:rsidRDefault="00F93A3E" w:rsidP="00F93A3E">
      <w:pPr>
        <w:pStyle w:val="ListParagraph"/>
        <w:jc w:val="both"/>
        <w:rPr>
          <w:rFonts w:cstheme="minorHAnsi"/>
          <w:szCs w:val="22"/>
        </w:rPr>
      </w:pPr>
      <w:r>
        <w:rPr>
          <w:rFonts w:cstheme="minorHAnsi"/>
          <w:szCs w:val="22"/>
        </w:rPr>
        <w:t>Residential Mobile Home – Each model has two units, one in the North-South orientation while the other is in the East-West orientation. The tonnage of the HVAC system in each unit is constant across all 16 climate zones at 3.5 tons per unit. Other than the orientation, the units are exactly the same in all aspects.</w:t>
      </w:r>
    </w:p>
    <w:p w14:paraId="02DAA43F" w14:textId="77777777" w:rsidR="00F93A3E" w:rsidRDefault="00F93A3E" w:rsidP="00F93A3E">
      <w:pPr>
        <w:pStyle w:val="ListParagraph"/>
        <w:jc w:val="both"/>
        <w:rPr>
          <w:rFonts w:cstheme="minorHAnsi"/>
          <w:szCs w:val="22"/>
        </w:rPr>
      </w:pPr>
    </w:p>
    <w:p w14:paraId="18DBC6E7" w14:textId="77777777" w:rsidR="00F93A3E" w:rsidRDefault="00F93A3E" w:rsidP="00F93A3E">
      <w:pPr>
        <w:pStyle w:val="ListParagraph"/>
        <w:jc w:val="both"/>
        <w:rPr>
          <w:rFonts w:cstheme="minorHAnsi"/>
          <w:szCs w:val="22"/>
        </w:rPr>
      </w:pPr>
      <w:r>
        <w:rPr>
          <w:rFonts w:cstheme="minorHAnsi"/>
          <w:szCs w:val="22"/>
        </w:rPr>
        <w:t xml:space="preserve">Residential Single Family - Each model has four units, two in the North-South orientation while the other two are in the East-West orientation. Each type of orientation has a one-story unit and a two-story unit. The one-story units differ from the two-story units with respect to the cooling </w:t>
      </w:r>
      <w:r>
        <w:rPr>
          <w:rFonts w:cstheme="minorHAnsi"/>
          <w:szCs w:val="22"/>
        </w:rPr>
        <w:lastRenderedPageBreak/>
        <w:t>and heating capacities. The average tonnage across all units and climate zones for Single Family building type is 2.97 tons.</w:t>
      </w:r>
    </w:p>
    <w:p w14:paraId="426A405F" w14:textId="77777777" w:rsidR="00F93A3E" w:rsidRDefault="00F93A3E" w:rsidP="00F93A3E">
      <w:pPr>
        <w:pStyle w:val="ListParagraph"/>
        <w:jc w:val="both"/>
        <w:rPr>
          <w:rFonts w:cstheme="minorHAnsi"/>
          <w:szCs w:val="22"/>
        </w:rPr>
      </w:pPr>
    </w:p>
    <w:p w14:paraId="01344CB0" w14:textId="77777777" w:rsidR="00F93A3E" w:rsidRPr="00A775FF" w:rsidRDefault="00F93A3E" w:rsidP="00F93A3E">
      <w:pPr>
        <w:pStyle w:val="ListParagraph"/>
        <w:jc w:val="both"/>
        <w:rPr>
          <w:rFonts w:cstheme="minorHAnsi"/>
          <w:szCs w:val="22"/>
        </w:rPr>
      </w:pPr>
      <w:r>
        <w:rPr>
          <w:rFonts w:cstheme="minorHAnsi"/>
          <w:szCs w:val="22"/>
        </w:rPr>
        <w:t>Residential Multi Family - Each model has two systems, one in the North-South orientation while the other is in the East-West orientation. Each type of system has two stories and seven units on each story. Therefore, each multi-family DEER model prototype has a total of 28 units with 14 units in each orientation. The average tonnage across all units and climate zones for Multi Family building type is 1.02 tons.</w:t>
      </w:r>
    </w:p>
    <w:p w14:paraId="4E6EBD0D" w14:textId="77777777" w:rsidR="00F93A3E" w:rsidRDefault="00F93A3E" w:rsidP="00F93A3E">
      <w:pPr>
        <w:pStyle w:val="ListParagraph"/>
        <w:jc w:val="both"/>
        <w:rPr>
          <w:rFonts w:cstheme="minorHAnsi"/>
          <w:szCs w:val="22"/>
        </w:rPr>
      </w:pPr>
    </w:p>
    <w:p w14:paraId="09576FA6" w14:textId="77777777" w:rsidR="00F93A3E" w:rsidRDefault="00F93A3E" w:rsidP="00F93A3E">
      <w:pPr>
        <w:pStyle w:val="ListParagraph"/>
        <w:numPr>
          <w:ilvl w:val="0"/>
          <w:numId w:val="44"/>
        </w:numPr>
        <w:jc w:val="both"/>
        <w:rPr>
          <w:rFonts w:cstheme="minorHAnsi"/>
          <w:szCs w:val="22"/>
        </w:rPr>
      </w:pPr>
      <w:r>
        <w:rPr>
          <w:rFonts w:cstheme="minorHAnsi"/>
          <w:szCs w:val="22"/>
        </w:rPr>
        <w:t>The following table summarizes the modification made to the downloaded DEER prototypes to account for standard residential conditions.</w:t>
      </w:r>
    </w:p>
    <w:p w14:paraId="7A62DCA9" w14:textId="77777777" w:rsidR="00F93A3E" w:rsidRPr="004C02CD" w:rsidRDefault="00F93A3E" w:rsidP="00F93A3E">
      <w:pPr>
        <w:pStyle w:val="ListParagraph"/>
        <w:rPr>
          <w:rFonts w:cstheme="minorHAnsi"/>
          <w:szCs w:val="22"/>
        </w:rPr>
      </w:pPr>
      <w:r>
        <w:rPr>
          <w:rFonts w:cstheme="minorHAnsi"/>
          <w:szCs w:val="22"/>
        </w:rPr>
        <w:t xml:space="preserve"> </w:t>
      </w:r>
    </w:p>
    <w:tbl>
      <w:tblPr>
        <w:tblW w:w="47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80" w:firstRow="0" w:lastRow="0" w:firstColumn="1" w:lastColumn="0" w:noHBand="0" w:noVBand="1"/>
      </w:tblPr>
      <w:tblGrid>
        <w:gridCol w:w="2225"/>
        <w:gridCol w:w="2226"/>
        <w:gridCol w:w="2226"/>
        <w:gridCol w:w="2226"/>
      </w:tblGrid>
      <w:tr w:rsidR="00F93A3E" w:rsidRPr="00B32D94" w14:paraId="45B583FE" w14:textId="77777777" w:rsidTr="009D3C14">
        <w:trPr>
          <w:trHeight w:val="240"/>
          <w:jc w:val="center"/>
        </w:trPr>
        <w:tc>
          <w:tcPr>
            <w:tcW w:w="1250" w:type="pct"/>
            <w:shd w:val="clear" w:color="auto" w:fill="FFFFFF" w:themeFill="background1"/>
            <w:noWrap/>
            <w:hideMark/>
          </w:tcPr>
          <w:p w14:paraId="3DB849CA" w14:textId="77777777" w:rsidR="00F93A3E" w:rsidRPr="00B32D94" w:rsidRDefault="00F93A3E" w:rsidP="009D3C14">
            <w:pPr>
              <w:jc w:val="both"/>
              <w:rPr>
                <w:rFonts w:eastAsia="Arial"/>
                <w:b/>
                <w:bCs/>
                <w:sz w:val="18"/>
                <w:szCs w:val="18"/>
              </w:rPr>
            </w:pPr>
            <w:r w:rsidRPr="00B32D94">
              <w:rPr>
                <w:rFonts w:eastAsia="Arial"/>
                <w:b/>
                <w:bCs/>
                <w:sz w:val="18"/>
                <w:szCs w:val="18"/>
              </w:rPr>
              <w:t xml:space="preserve">Building Type </w:t>
            </w:r>
          </w:p>
        </w:tc>
        <w:tc>
          <w:tcPr>
            <w:tcW w:w="1250" w:type="pct"/>
            <w:shd w:val="clear" w:color="auto" w:fill="FFFFFF" w:themeFill="background1"/>
            <w:noWrap/>
            <w:hideMark/>
          </w:tcPr>
          <w:p w14:paraId="61F390BD" w14:textId="77777777" w:rsidR="00F93A3E" w:rsidRPr="00B32D94" w:rsidRDefault="00F93A3E" w:rsidP="009D3C14">
            <w:pPr>
              <w:jc w:val="both"/>
              <w:rPr>
                <w:rFonts w:eastAsia="Arial"/>
                <w:sz w:val="18"/>
                <w:szCs w:val="18"/>
              </w:rPr>
            </w:pPr>
            <w:proofErr w:type="spellStart"/>
            <w:r w:rsidRPr="00B32D94">
              <w:rPr>
                <w:rFonts w:eastAsia="Arial"/>
                <w:sz w:val="18"/>
                <w:szCs w:val="18"/>
              </w:rPr>
              <w:t>SF</w:t>
            </w:r>
            <w:r>
              <w:rPr>
                <w:rFonts w:eastAsia="Arial"/>
                <w:sz w:val="18"/>
                <w:szCs w:val="18"/>
              </w:rPr>
              <w:t>m</w:t>
            </w:r>
            <w:proofErr w:type="spellEnd"/>
          </w:p>
        </w:tc>
        <w:tc>
          <w:tcPr>
            <w:tcW w:w="1250" w:type="pct"/>
            <w:shd w:val="clear" w:color="auto" w:fill="FFFFFF" w:themeFill="background1"/>
          </w:tcPr>
          <w:p w14:paraId="58049201" w14:textId="77777777" w:rsidR="00F93A3E" w:rsidRPr="00B32D94" w:rsidRDefault="00F93A3E" w:rsidP="009D3C14">
            <w:pPr>
              <w:jc w:val="both"/>
              <w:rPr>
                <w:rFonts w:eastAsia="Arial"/>
                <w:sz w:val="18"/>
                <w:szCs w:val="18"/>
              </w:rPr>
            </w:pPr>
            <w:proofErr w:type="spellStart"/>
            <w:r w:rsidRPr="00B32D94">
              <w:rPr>
                <w:rFonts w:eastAsia="Arial"/>
                <w:sz w:val="18"/>
                <w:szCs w:val="18"/>
              </w:rPr>
              <w:t>MF</w:t>
            </w:r>
            <w:r>
              <w:rPr>
                <w:rFonts w:eastAsia="Arial"/>
                <w:sz w:val="18"/>
                <w:szCs w:val="18"/>
              </w:rPr>
              <w:t>m</w:t>
            </w:r>
            <w:proofErr w:type="spellEnd"/>
          </w:p>
        </w:tc>
        <w:tc>
          <w:tcPr>
            <w:tcW w:w="1250" w:type="pct"/>
            <w:shd w:val="clear" w:color="auto" w:fill="FFFFFF" w:themeFill="background1"/>
          </w:tcPr>
          <w:p w14:paraId="4262070E" w14:textId="77777777" w:rsidR="00F93A3E" w:rsidRPr="00B32D94" w:rsidRDefault="00F93A3E" w:rsidP="009D3C14">
            <w:pPr>
              <w:jc w:val="both"/>
              <w:rPr>
                <w:rFonts w:eastAsia="Arial"/>
                <w:sz w:val="18"/>
                <w:szCs w:val="18"/>
              </w:rPr>
            </w:pPr>
            <w:proofErr w:type="spellStart"/>
            <w:r w:rsidRPr="00B32D94">
              <w:rPr>
                <w:rFonts w:eastAsia="Arial"/>
                <w:sz w:val="18"/>
                <w:szCs w:val="18"/>
              </w:rPr>
              <w:t>DMo</w:t>
            </w:r>
            <w:proofErr w:type="spellEnd"/>
          </w:p>
        </w:tc>
      </w:tr>
      <w:tr w:rsidR="00F93A3E" w:rsidRPr="00B32D94" w14:paraId="5B4CC0D6" w14:textId="77777777" w:rsidTr="009D3C14">
        <w:trPr>
          <w:trHeight w:val="366"/>
          <w:jc w:val="center"/>
        </w:trPr>
        <w:tc>
          <w:tcPr>
            <w:tcW w:w="1250" w:type="pct"/>
            <w:shd w:val="clear" w:color="auto" w:fill="FFFFFF" w:themeFill="background1"/>
            <w:noWrap/>
            <w:hideMark/>
          </w:tcPr>
          <w:p w14:paraId="5F95944B" w14:textId="77777777" w:rsidR="00F93A3E" w:rsidRPr="00B32D94" w:rsidRDefault="00F93A3E" w:rsidP="009D3C14">
            <w:pPr>
              <w:jc w:val="both"/>
              <w:rPr>
                <w:rFonts w:eastAsia="Arial"/>
                <w:b/>
                <w:bCs/>
                <w:sz w:val="18"/>
                <w:szCs w:val="18"/>
              </w:rPr>
            </w:pPr>
            <w:r w:rsidRPr="00B32D94">
              <w:rPr>
                <w:rFonts w:eastAsia="Arial"/>
                <w:b/>
                <w:bCs/>
                <w:sz w:val="18"/>
                <w:szCs w:val="18"/>
              </w:rPr>
              <w:t>Climate Zones</w:t>
            </w:r>
          </w:p>
        </w:tc>
        <w:tc>
          <w:tcPr>
            <w:tcW w:w="1250" w:type="pct"/>
            <w:shd w:val="clear" w:color="auto" w:fill="FFFFFF" w:themeFill="background1"/>
            <w:noWrap/>
            <w:hideMark/>
          </w:tcPr>
          <w:p w14:paraId="0866E61A" w14:textId="77777777" w:rsidR="00F93A3E" w:rsidRPr="00B32D94" w:rsidRDefault="00F93A3E" w:rsidP="009D3C14">
            <w:pPr>
              <w:jc w:val="both"/>
              <w:rPr>
                <w:rFonts w:eastAsia="Arial"/>
                <w:sz w:val="18"/>
                <w:szCs w:val="18"/>
              </w:rPr>
            </w:pPr>
            <w:r w:rsidRPr="00B32D94">
              <w:rPr>
                <w:rFonts w:eastAsia="Arial"/>
                <w:sz w:val="18"/>
                <w:szCs w:val="18"/>
              </w:rPr>
              <w:t>All 16 Climate Zones</w:t>
            </w:r>
          </w:p>
        </w:tc>
        <w:tc>
          <w:tcPr>
            <w:tcW w:w="1250" w:type="pct"/>
            <w:shd w:val="clear" w:color="auto" w:fill="FFFFFF" w:themeFill="background1"/>
          </w:tcPr>
          <w:p w14:paraId="6E9639A7" w14:textId="77777777" w:rsidR="00F93A3E" w:rsidRPr="00B32D94" w:rsidRDefault="00F93A3E" w:rsidP="009D3C14">
            <w:pPr>
              <w:jc w:val="both"/>
              <w:rPr>
                <w:rFonts w:eastAsia="Arial"/>
                <w:sz w:val="18"/>
                <w:szCs w:val="18"/>
              </w:rPr>
            </w:pPr>
            <w:r w:rsidRPr="00B32D94">
              <w:rPr>
                <w:rFonts w:eastAsia="Arial"/>
                <w:sz w:val="18"/>
                <w:szCs w:val="18"/>
              </w:rPr>
              <w:t>All 16 Climate Zones</w:t>
            </w:r>
          </w:p>
        </w:tc>
        <w:tc>
          <w:tcPr>
            <w:tcW w:w="1250" w:type="pct"/>
            <w:shd w:val="clear" w:color="auto" w:fill="FFFFFF" w:themeFill="background1"/>
          </w:tcPr>
          <w:p w14:paraId="142E9D14" w14:textId="77777777" w:rsidR="00F93A3E" w:rsidRPr="00B32D94" w:rsidRDefault="00F93A3E" w:rsidP="009D3C14">
            <w:pPr>
              <w:jc w:val="both"/>
              <w:rPr>
                <w:rFonts w:eastAsia="Arial"/>
                <w:sz w:val="18"/>
                <w:szCs w:val="18"/>
              </w:rPr>
            </w:pPr>
            <w:r w:rsidRPr="00B32D94">
              <w:rPr>
                <w:rFonts w:eastAsia="Arial"/>
                <w:sz w:val="18"/>
                <w:szCs w:val="18"/>
              </w:rPr>
              <w:t>All 16 Climate Zones</w:t>
            </w:r>
          </w:p>
        </w:tc>
      </w:tr>
      <w:tr w:rsidR="00F93A3E" w:rsidRPr="00B32D94" w14:paraId="5193118A" w14:textId="77777777" w:rsidTr="009D3C14">
        <w:trPr>
          <w:trHeight w:val="144"/>
          <w:jc w:val="center"/>
        </w:trPr>
        <w:tc>
          <w:tcPr>
            <w:tcW w:w="1250" w:type="pct"/>
            <w:shd w:val="clear" w:color="auto" w:fill="FFFFFF" w:themeFill="background1"/>
            <w:noWrap/>
            <w:hideMark/>
          </w:tcPr>
          <w:p w14:paraId="2A8EB0E7" w14:textId="77777777" w:rsidR="00F93A3E" w:rsidRPr="00B32D94" w:rsidRDefault="00F93A3E" w:rsidP="009D3C14">
            <w:pPr>
              <w:jc w:val="both"/>
              <w:rPr>
                <w:rFonts w:eastAsia="Arial"/>
                <w:b/>
                <w:bCs/>
                <w:sz w:val="18"/>
                <w:szCs w:val="18"/>
              </w:rPr>
            </w:pPr>
            <w:r w:rsidRPr="00B32D94">
              <w:rPr>
                <w:rFonts w:eastAsia="Arial"/>
                <w:b/>
                <w:bCs/>
                <w:sz w:val="18"/>
                <w:szCs w:val="18"/>
              </w:rPr>
              <w:t>Vintage</w:t>
            </w:r>
          </w:p>
        </w:tc>
        <w:tc>
          <w:tcPr>
            <w:tcW w:w="1250" w:type="pct"/>
            <w:shd w:val="clear" w:color="auto" w:fill="FFFFFF" w:themeFill="background1"/>
            <w:noWrap/>
            <w:hideMark/>
          </w:tcPr>
          <w:p w14:paraId="3F255B9E" w14:textId="77777777" w:rsidR="00F93A3E" w:rsidRPr="00B32D94" w:rsidRDefault="00F93A3E" w:rsidP="009D3C14">
            <w:pPr>
              <w:jc w:val="both"/>
              <w:rPr>
                <w:rFonts w:eastAsia="Arial"/>
                <w:sz w:val="18"/>
                <w:szCs w:val="18"/>
              </w:rPr>
            </w:pPr>
            <w:r w:rsidRPr="00B32D94">
              <w:rPr>
                <w:rFonts w:eastAsia="Arial"/>
                <w:sz w:val="18"/>
                <w:szCs w:val="18"/>
              </w:rPr>
              <w:t>2007</w:t>
            </w:r>
          </w:p>
        </w:tc>
        <w:tc>
          <w:tcPr>
            <w:tcW w:w="1250" w:type="pct"/>
            <w:shd w:val="clear" w:color="auto" w:fill="FFFFFF" w:themeFill="background1"/>
          </w:tcPr>
          <w:p w14:paraId="1738A41A" w14:textId="77777777" w:rsidR="00F93A3E" w:rsidRPr="00B32D94" w:rsidRDefault="00F93A3E" w:rsidP="009D3C14">
            <w:pPr>
              <w:jc w:val="both"/>
              <w:rPr>
                <w:rFonts w:eastAsia="Arial"/>
                <w:sz w:val="18"/>
                <w:szCs w:val="18"/>
              </w:rPr>
            </w:pPr>
            <w:r w:rsidRPr="00B32D94">
              <w:rPr>
                <w:rFonts w:eastAsia="Arial"/>
                <w:sz w:val="18"/>
                <w:szCs w:val="18"/>
              </w:rPr>
              <w:t>2007</w:t>
            </w:r>
          </w:p>
        </w:tc>
        <w:tc>
          <w:tcPr>
            <w:tcW w:w="1250" w:type="pct"/>
            <w:shd w:val="clear" w:color="auto" w:fill="FFFFFF" w:themeFill="background1"/>
          </w:tcPr>
          <w:p w14:paraId="72FC3BE7" w14:textId="77777777" w:rsidR="00F93A3E" w:rsidRPr="00B32D94" w:rsidRDefault="00F93A3E" w:rsidP="009D3C14">
            <w:pPr>
              <w:jc w:val="both"/>
              <w:rPr>
                <w:rFonts w:eastAsia="Arial"/>
                <w:sz w:val="18"/>
                <w:szCs w:val="18"/>
              </w:rPr>
            </w:pPr>
            <w:r w:rsidRPr="00B32D94">
              <w:rPr>
                <w:rFonts w:eastAsia="Arial"/>
                <w:sz w:val="18"/>
                <w:szCs w:val="18"/>
              </w:rPr>
              <w:t>2007</w:t>
            </w:r>
          </w:p>
        </w:tc>
      </w:tr>
      <w:tr w:rsidR="00F93A3E" w:rsidRPr="00B32D94" w14:paraId="6706F8EB" w14:textId="77777777" w:rsidTr="009D3C14">
        <w:trPr>
          <w:trHeight w:val="144"/>
          <w:jc w:val="center"/>
        </w:trPr>
        <w:tc>
          <w:tcPr>
            <w:tcW w:w="1250" w:type="pct"/>
            <w:shd w:val="clear" w:color="auto" w:fill="FFFFFF" w:themeFill="background1"/>
            <w:noWrap/>
          </w:tcPr>
          <w:p w14:paraId="1214C875" w14:textId="77777777" w:rsidR="00F93A3E" w:rsidRPr="00B32D94" w:rsidRDefault="00F93A3E" w:rsidP="009D3C14">
            <w:pPr>
              <w:jc w:val="both"/>
              <w:rPr>
                <w:rFonts w:eastAsia="Arial"/>
                <w:b/>
                <w:bCs/>
                <w:sz w:val="18"/>
                <w:szCs w:val="18"/>
              </w:rPr>
            </w:pPr>
            <w:r w:rsidRPr="00B32D94">
              <w:rPr>
                <w:rFonts w:eastAsia="Arial"/>
                <w:b/>
                <w:bCs/>
                <w:sz w:val="18"/>
                <w:szCs w:val="18"/>
              </w:rPr>
              <w:t>Weather</w:t>
            </w:r>
          </w:p>
        </w:tc>
        <w:tc>
          <w:tcPr>
            <w:tcW w:w="1250" w:type="pct"/>
            <w:shd w:val="clear" w:color="auto" w:fill="FFFFFF" w:themeFill="background1"/>
            <w:noWrap/>
          </w:tcPr>
          <w:p w14:paraId="425AE481" w14:textId="77777777" w:rsidR="00F93A3E" w:rsidRPr="00B32D94" w:rsidRDefault="00F93A3E" w:rsidP="009D3C14">
            <w:pPr>
              <w:jc w:val="both"/>
              <w:rPr>
                <w:rFonts w:eastAsia="Arial"/>
                <w:bCs/>
                <w:sz w:val="18"/>
                <w:szCs w:val="18"/>
              </w:rPr>
            </w:pPr>
            <w:r w:rsidRPr="00B32D94">
              <w:rPr>
                <w:rFonts w:eastAsia="Arial"/>
                <w:bCs/>
                <w:sz w:val="18"/>
                <w:szCs w:val="18"/>
              </w:rPr>
              <w:t>CZ2010</w:t>
            </w:r>
          </w:p>
        </w:tc>
        <w:tc>
          <w:tcPr>
            <w:tcW w:w="1250" w:type="pct"/>
            <w:shd w:val="clear" w:color="auto" w:fill="FFFFFF" w:themeFill="background1"/>
          </w:tcPr>
          <w:p w14:paraId="33FD04F4" w14:textId="77777777" w:rsidR="00F93A3E" w:rsidRPr="00B32D94" w:rsidRDefault="00F93A3E" w:rsidP="009D3C14">
            <w:pPr>
              <w:jc w:val="both"/>
              <w:rPr>
                <w:rFonts w:eastAsia="Arial"/>
                <w:bCs/>
                <w:sz w:val="18"/>
                <w:szCs w:val="18"/>
              </w:rPr>
            </w:pPr>
            <w:r w:rsidRPr="00B32D94">
              <w:rPr>
                <w:rFonts w:eastAsia="Arial"/>
                <w:bCs/>
                <w:sz w:val="18"/>
                <w:szCs w:val="18"/>
              </w:rPr>
              <w:t>CZ2010</w:t>
            </w:r>
          </w:p>
        </w:tc>
        <w:tc>
          <w:tcPr>
            <w:tcW w:w="1250" w:type="pct"/>
            <w:shd w:val="clear" w:color="auto" w:fill="FFFFFF" w:themeFill="background1"/>
          </w:tcPr>
          <w:p w14:paraId="0CB3C130" w14:textId="77777777" w:rsidR="00F93A3E" w:rsidRPr="00B32D94" w:rsidRDefault="00F93A3E" w:rsidP="009D3C14">
            <w:pPr>
              <w:jc w:val="both"/>
              <w:rPr>
                <w:rFonts w:eastAsia="Arial"/>
                <w:bCs/>
                <w:sz w:val="18"/>
                <w:szCs w:val="18"/>
              </w:rPr>
            </w:pPr>
            <w:r w:rsidRPr="00B32D94">
              <w:rPr>
                <w:rFonts w:eastAsia="Arial"/>
                <w:bCs/>
                <w:sz w:val="18"/>
                <w:szCs w:val="18"/>
              </w:rPr>
              <w:t>CZ2010</w:t>
            </w:r>
          </w:p>
        </w:tc>
      </w:tr>
      <w:tr w:rsidR="00F93A3E" w:rsidRPr="00B32D94" w14:paraId="2B5D35DE" w14:textId="77777777" w:rsidTr="009D3C14">
        <w:trPr>
          <w:trHeight w:val="144"/>
          <w:jc w:val="center"/>
        </w:trPr>
        <w:tc>
          <w:tcPr>
            <w:tcW w:w="1250" w:type="pct"/>
            <w:shd w:val="clear" w:color="auto" w:fill="FFFFFF" w:themeFill="background1"/>
            <w:noWrap/>
            <w:hideMark/>
          </w:tcPr>
          <w:p w14:paraId="11884F34" w14:textId="77777777" w:rsidR="00F93A3E" w:rsidRPr="00B32D94" w:rsidRDefault="00F93A3E" w:rsidP="009D3C14">
            <w:pPr>
              <w:jc w:val="both"/>
              <w:rPr>
                <w:rFonts w:eastAsia="Arial"/>
                <w:b/>
                <w:bCs/>
                <w:sz w:val="18"/>
                <w:szCs w:val="18"/>
              </w:rPr>
            </w:pPr>
            <w:r w:rsidRPr="00B32D94">
              <w:rPr>
                <w:rFonts w:eastAsia="Arial"/>
                <w:b/>
                <w:bCs/>
                <w:sz w:val="18"/>
                <w:szCs w:val="18"/>
              </w:rPr>
              <w:t>HVAC System Type</w:t>
            </w:r>
          </w:p>
        </w:tc>
        <w:tc>
          <w:tcPr>
            <w:tcW w:w="1250" w:type="pct"/>
            <w:shd w:val="clear" w:color="auto" w:fill="FFFFFF" w:themeFill="background1"/>
            <w:noWrap/>
            <w:hideMark/>
          </w:tcPr>
          <w:p w14:paraId="35532CB9" w14:textId="77777777" w:rsidR="00F93A3E" w:rsidRPr="00B32D94" w:rsidRDefault="00F93A3E" w:rsidP="009D3C14">
            <w:pPr>
              <w:jc w:val="both"/>
              <w:rPr>
                <w:rFonts w:eastAsia="Arial"/>
                <w:sz w:val="18"/>
                <w:szCs w:val="18"/>
              </w:rPr>
            </w:pPr>
            <w:r w:rsidRPr="00B32D94">
              <w:rPr>
                <w:rFonts w:eastAsia="Arial"/>
                <w:sz w:val="18"/>
                <w:szCs w:val="18"/>
              </w:rPr>
              <w:t>RESYS2 - Residential with cycling furnace and cycling air-conditioner (and currently supported in DOE2.3)</w:t>
            </w:r>
          </w:p>
        </w:tc>
        <w:tc>
          <w:tcPr>
            <w:tcW w:w="1250" w:type="pct"/>
            <w:shd w:val="clear" w:color="auto" w:fill="FFFFFF" w:themeFill="background1"/>
          </w:tcPr>
          <w:p w14:paraId="52E77CD6" w14:textId="77777777" w:rsidR="00F93A3E" w:rsidRPr="00B32D94" w:rsidRDefault="00F93A3E" w:rsidP="009D3C14">
            <w:pPr>
              <w:jc w:val="both"/>
              <w:rPr>
                <w:rFonts w:eastAsia="Arial"/>
                <w:sz w:val="18"/>
                <w:szCs w:val="18"/>
              </w:rPr>
            </w:pPr>
            <w:r w:rsidRPr="00B32D94">
              <w:rPr>
                <w:rFonts w:eastAsia="Arial"/>
                <w:sz w:val="18"/>
                <w:szCs w:val="18"/>
              </w:rPr>
              <w:t>RESYS2 - Residential with cycling furnace and cycling air-conditioner (and currently supported in DOE2.3)</w:t>
            </w:r>
          </w:p>
        </w:tc>
        <w:tc>
          <w:tcPr>
            <w:tcW w:w="1250" w:type="pct"/>
            <w:shd w:val="clear" w:color="auto" w:fill="FFFFFF" w:themeFill="background1"/>
          </w:tcPr>
          <w:p w14:paraId="15AD1076" w14:textId="77777777" w:rsidR="00F93A3E" w:rsidRPr="00B32D94" w:rsidRDefault="00F93A3E" w:rsidP="009D3C14">
            <w:pPr>
              <w:jc w:val="both"/>
              <w:rPr>
                <w:rFonts w:eastAsia="Arial"/>
                <w:sz w:val="18"/>
                <w:szCs w:val="18"/>
              </w:rPr>
            </w:pPr>
            <w:r w:rsidRPr="00B32D94">
              <w:rPr>
                <w:rFonts w:eastAsia="Arial"/>
                <w:sz w:val="18"/>
                <w:szCs w:val="18"/>
              </w:rPr>
              <w:t>RESYS2 - Residential with cycling furnace and cycling air-conditioner (and currently supported in DOE2.3)</w:t>
            </w:r>
          </w:p>
        </w:tc>
      </w:tr>
      <w:tr w:rsidR="00F93A3E" w:rsidRPr="00B32D94" w14:paraId="4E327913" w14:textId="77777777" w:rsidTr="009D3C14">
        <w:trPr>
          <w:trHeight w:val="144"/>
          <w:jc w:val="center"/>
        </w:trPr>
        <w:tc>
          <w:tcPr>
            <w:tcW w:w="1250" w:type="pct"/>
            <w:shd w:val="clear" w:color="auto" w:fill="FFFFFF" w:themeFill="background1"/>
            <w:noWrap/>
          </w:tcPr>
          <w:p w14:paraId="31E84590" w14:textId="77777777" w:rsidR="00F93A3E" w:rsidRPr="00B32D94" w:rsidRDefault="00F93A3E" w:rsidP="009D3C14">
            <w:pPr>
              <w:jc w:val="both"/>
              <w:rPr>
                <w:rFonts w:eastAsia="Arial"/>
                <w:b/>
                <w:bCs/>
                <w:sz w:val="18"/>
                <w:szCs w:val="18"/>
              </w:rPr>
            </w:pPr>
            <w:r w:rsidRPr="00B32D94">
              <w:rPr>
                <w:rFonts w:eastAsia="Arial"/>
                <w:b/>
                <w:bCs/>
                <w:sz w:val="18"/>
                <w:szCs w:val="18"/>
              </w:rPr>
              <w:t>HVAC System Efficiency</w:t>
            </w:r>
          </w:p>
        </w:tc>
        <w:tc>
          <w:tcPr>
            <w:tcW w:w="1250" w:type="pct"/>
            <w:shd w:val="clear" w:color="auto" w:fill="FFFFFF" w:themeFill="background1"/>
            <w:noWrap/>
          </w:tcPr>
          <w:p w14:paraId="36C17CD4" w14:textId="77777777" w:rsidR="00F93A3E" w:rsidRPr="00B32D94" w:rsidRDefault="00F93A3E" w:rsidP="009D3C14">
            <w:pPr>
              <w:jc w:val="both"/>
              <w:rPr>
                <w:rFonts w:eastAsia="Arial"/>
                <w:sz w:val="18"/>
                <w:szCs w:val="18"/>
              </w:rPr>
            </w:pPr>
            <w:r w:rsidRPr="00B32D94">
              <w:rPr>
                <w:rFonts w:eastAsia="Arial"/>
                <w:sz w:val="18"/>
                <w:szCs w:val="18"/>
              </w:rPr>
              <w:t>SEER15</w:t>
            </w:r>
          </w:p>
        </w:tc>
        <w:tc>
          <w:tcPr>
            <w:tcW w:w="1250" w:type="pct"/>
            <w:shd w:val="clear" w:color="auto" w:fill="FFFFFF" w:themeFill="background1"/>
          </w:tcPr>
          <w:p w14:paraId="37DEB0DA" w14:textId="77777777" w:rsidR="00F93A3E" w:rsidRPr="00B32D94" w:rsidRDefault="00F93A3E" w:rsidP="009D3C14">
            <w:pPr>
              <w:jc w:val="both"/>
              <w:rPr>
                <w:rFonts w:eastAsia="Arial"/>
                <w:sz w:val="18"/>
                <w:szCs w:val="18"/>
              </w:rPr>
            </w:pPr>
            <w:r w:rsidRPr="00B32D94">
              <w:rPr>
                <w:rFonts w:eastAsia="Arial"/>
                <w:sz w:val="18"/>
                <w:szCs w:val="18"/>
              </w:rPr>
              <w:t>SEER15</w:t>
            </w:r>
          </w:p>
        </w:tc>
        <w:tc>
          <w:tcPr>
            <w:tcW w:w="1250" w:type="pct"/>
            <w:shd w:val="clear" w:color="auto" w:fill="FFFFFF" w:themeFill="background1"/>
          </w:tcPr>
          <w:p w14:paraId="75335AE2" w14:textId="77777777" w:rsidR="00F93A3E" w:rsidRPr="00B32D94" w:rsidRDefault="00F93A3E" w:rsidP="009D3C14">
            <w:pPr>
              <w:jc w:val="both"/>
              <w:rPr>
                <w:rFonts w:eastAsia="Arial"/>
                <w:sz w:val="18"/>
                <w:szCs w:val="18"/>
              </w:rPr>
            </w:pPr>
            <w:r w:rsidRPr="00B32D94">
              <w:rPr>
                <w:rFonts w:eastAsia="Arial"/>
                <w:sz w:val="18"/>
                <w:szCs w:val="18"/>
              </w:rPr>
              <w:t>SEER15</w:t>
            </w:r>
          </w:p>
        </w:tc>
      </w:tr>
      <w:tr w:rsidR="00F93A3E" w:rsidRPr="00B32D94" w14:paraId="23AC73CE" w14:textId="77777777" w:rsidTr="009D3C14">
        <w:trPr>
          <w:trHeight w:val="144"/>
          <w:jc w:val="center"/>
        </w:trPr>
        <w:tc>
          <w:tcPr>
            <w:tcW w:w="0" w:type="pct"/>
            <w:shd w:val="clear" w:color="auto" w:fill="FFFFFF" w:themeFill="background1"/>
            <w:noWrap/>
          </w:tcPr>
          <w:p w14:paraId="015BBA2E" w14:textId="77777777" w:rsidR="00F93A3E" w:rsidRPr="00B32D94" w:rsidRDefault="00F93A3E" w:rsidP="009D3C14">
            <w:pPr>
              <w:jc w:val="both"/>
              <w:rPr>
                <w:rFonts w:eastAsia="Arial"/>
                <w:b/>
                <w:bCs/>
                <w:sz w:val="18"/>
                <w:szCs w:val="18"/>
              </w:rPr>
            </w:pPr>
            <w:r>
              <w:rPr>
                <w:rFonts w:eastAsia="Arial"/>
                <w:b/>
                <w:bCs/>
                <w:sz w:val="18"/>
                <w:szCs w:val="18"/>
              </w:rPr>
              <w:t>Cooling Electric Input Ratio</w:t>
            </w:r>
          </w:p>
        </w:tc>
        <w:tc>
          <w:tcPr>
            <w:tcW w:w="0" w:type="pct"/>
            <w:shd w:val="clear" w:color="auto" w:fill="FFFFFF" w:themeFill="background1"/>
            <w:noWrap/>
          </w:tcPr>
          <w:p w14:paraId="370215E2" w14:textId="77777777" w:rsidR="00F93A3E" w:rsidRPr="00B32D94" w:rsidRDefault="00F93A3E" w:rsidP="009D3C14">
            <w:pPr>
              <w:jc w:val="both"/>
              <w:rPr>
                <w:rFonts w:eastAsia="Arial"/>
                <w:sz w:val="18"/>
                <w:szCs w:val="18"/>
              </w:rPr>
            </w:pPr>
            <w:r>
              <w:rPr>
                <w:rFonts w:eastAsia="Arial"/>
                <w:sz w:val="18"/>
                <w:szCs w:val="18"/>
              </w:rPr>
              <w:t>0.2322</w:t>
            </w:r>
          </w:p>
        </w:tc>
        <w:tc>
          <w:tcPr>
            <w:tcW w:w="0" w:type="pct"/>
            <w:shd w:val="clear" w:color="auto" w:fill="FFFFFF" w:themeFill="background1"/>
          </w:tcPr>
          <w:p w14:paraId="660E4828" w14:textId="77777777" w:rsidR="00F93A3E" w:rsidRPr="00B32D94" w:rsidRDefault="00F93A3E" w:rsidP="009D3C14">
            <w:pPr>
              <w:jc w:val="both"/>
              <w:rPr>
                <w:rFonts w:eastAsia="Arial"/>
                <w:sz w:val="18"/>
                <w:szCs w:val="18"/>
              </w:rPr>
            </w:pPr>
            <w:r>
              <w:rPr>
                <w:rFonts w:eastAsia="Arial"/>
                <w:sz w:val="18"/>
                <w:szCs w:val="18"/>
              </w:rPr>
              <w:t>0.2322</w:t>
            </w:r>
          </w:p>
        </w:tc>
        <w:tc>
          <w:tcPr>
            <w:tcW w:w="0" w:type="pct"/>
            <w:shd w:val="clear" w:color="auto" w:fill="FFFFFF" w:themeFill="background1"/>
          </w:tcPr>
          <w:p w14:paraId="4CF30FA8" w14:textId="77777777" w:rsidR="00F93A3E" w:rsidRPr="00B32D94" w:rsidRDefault="00F93A3E" w:rsidP="009D3C14">
            <w:pPr>
              <w:jc w:val="both"/>
              <w:rPr>
                <w:rFonts w:eastAsia="Arial"/>
                <w:sz w:val="18"/>
                <w:szCs w:val="18"/>
              </w:rPr>
            </w:pPr>
            <w:r>
              <w:rPr>
                <w:rFonts w:eastAsia="Arial"/>
                <w:sz w:val="18"/>
                <w:szCs w:val="18"/>
              </w:rPr>
              <w:t>0.2322</w:t>
            </w:r>
          </w:p>
        </w:tc>
      </w:tr>
      <w:tr w:rsidR="00F93A3E" w:rsidRPr="00B32D94" w14:paraId="19BF6109" w14:textId="77777777" w:rsidTr="009D3C14">
        <w:trPr>
          <w:trHeight w:val="144"/>
          <w:jc w:val="center"/>
        </w:trPr>
        <w:tc>
          <w:tcPr>
            <w:tcW w:w="1250" w:type="pct"/>
            <w:shd w:val="clear" w:color="auto" w:fill="FFFFFF" w:themeFill="background1"/>
            <w:noWrap/>
          </w:tcPr>
          <w:p w14:paraId="29E35C29" w14:textId="77777777" w:rsidR="00F93A3E" w:rsidRPr="00B32D94" w:rsidRDefault="00F93A3E" w:rsidP="009D3C14">
            <w:pPr>
              <w:spacing w:after="100"/>
              <w:jc w:val="both"/>
              <w:rPr>
                <w:rFonts w:eastAsia="Arial"/>
                <w:b/>
                <w:bCs/>
                <w:sz w:val="18"/>
                <w:szCs w:val="18"/>
              </w:rPr>
            </w:pPr>
            <w:r w:rsidRPr="00B32D94">
              <w:rPr>
                <w:rFonts w:eastAsia="Arial"/>
                <w:b/>
                <w:bCs/>
                <w:sz w:val="18"/>
                <w:szCs w:val="18"/>
              </w:rPr>
              <w:t>Fan Design kW/cfm</w:t>
            </w:r>
          </w:p>
        </w:tc>
        <w:tc>
          <w:tcPr>
            <w:tcW w:w="1250" w:type="pct"/>
            <w:shd w:val="clear" w:color="auto" w:fill="FFFFFF" w:themeFill="background1"/>
            <w:noWrap/>
          </w:tcPr>
          <w:p w14:paraId="12535ED3" w14:textId="77777777" w:rsidR="00F93A3E" w:rsidRPr="00B32D94" w:rsidRDefault="00F93A3E" w:rsidP="009D3C14">
            <w:pPr>
              <w:spacing w:after="100"/>
              <w:jc w:val="both"/>
              <w:rPr>
                <w:rFonts w:eastAsia="Arial"/>
                <w:sz w:val="18"/>
                <w:szCs w:val="18"/>
              </w:rPr>
            </w:pPr>
            <w:r w:rsidRPr="00B32D94">
              <w:rPr>
                <w:rFonts w:eastAsia="Arial"/>
                <w:sz w:val="18"/>
                <w:szCs w:val="18"/>
              </w:rPr>
              <w:t xml:space="preserve">0.000580 </w:t>
            </w:r>
          </w:p>
        </w:tc>
        <w:tc>
          <w:tcPr>
            <w:tcW w:w="1250" w:type="pct"/>
            <w:shd w:val="clear" w:color="auto" w:fill="FFFFFF" w:themeFill="background1"/>
          </w:tcPr>
          <w:p w14:paraId="23697489" w14:textId="77777777" w:rsidR="00F93A3E" w:rsidRPr="00B32D94" w:rsidRDefault="00F93A3E" w:rsidP="009D3C14">
            <w:pPr>
              <w:spacing w:after="100"/>
              <w:jc w:val="both"/>
              <w:rPr>
                <w:rFonts w:eastAsia="Arial"/>
                <w:sz w:val="18"/>
                <w:szCs w:val="18"/>
              </w:rPr>
            </w:pPr>
            <w:r w:rsidRPr="00B32D94">
              <w:rPr>
                <w:rFonts w:eastAsia="Arial"/>
                <w:sz w:val="18"/>
                <w:szCs w:val="18"/>
              </w:rPr>
              <w:t xml:space="preserve">0.000580 </w:t>
            </w:r>
          </w:p>
        </w:tc>
        <w:tc>
          <w:tcPr>
            <w:tcW w:w="1250" w:type="pct"/>
            <w:shd w:val="clear" w:color="auto" w:fill="FFFFFF" w:themeFill="background1"/>
          </w:tcPr>
          <w:p w14:paraId="1FA861DF" w14:textId="77777777" w:rsidR="00F93A3E" w:rsidRPr="00B32D94" w:rsidRDefault="00F93A3E" w:rsidP="009D3C14">
            <w:pPr>
              <w:spacing w:after="100"/>
              <w:jc w:val="both"/>
              <w:rPr>
                <w:rFonts w:eastAsia="Arial"/>
                <w:sz w:val="18"/>
                <w:szCs w:val="18"/>
              </w:rPr>
            </w:pPr>
            <w:r w:rsidRPr="00B32D94">
              <w:rPr>
                <w:rFonts w:eastAsia="Arial"/>
                <w:sz w:val="18"/>
                <w:szCs w:val="18"/>
              </w:rPr>
              <w:t xml:space="preserve">0.000580 </w:t>
            </w:r>
          </w:p>
        </w:tc>
      </w:tr>
      <w:tr w:rsidR="00F93A3E" w:rsidRPr="00B32D94" w14:paraId="1438CACF" w14:textId="77777777" w:rsidTr="009D3C14">
        <w:trPr>
          <w:trHeight w:val="144"/>
          <w:jc w:val="center"/>
        </w:trPr>
        <w:tc>
          <w:tcPr>
            <w:tcW w:w="1250" w:type="pct"/>
            <w:shd w:val="clear" w:color="auto" w:fill="FFFFFF" w:themeFill="background1"/>
            <w:noWrap/>
          </w:tcPr>
          <w:p w14:paraId="5DFA5283" w14:textId="77777777" w:rsidR="00F93A3E" w:rsidRPr="00B32D94" w:rsidRDefault="00F93A3E" w:rsidP="009D3C14">
            <w:pPr>
              <w:spacing w:after="100"/>
              <w:jc w:val="both"/>
              <w:rPr>
                <w:rFonts w:eastAsia="Arial"/>
                <w:b/>
                <w:bCs/>
                <w:sz w:val="18"/>
                <w:szCs w:val="18"/>
              </w:rPr>
            </w:pPr>
            <w:r w:rsidRPr="00B32D94">
              <w:rPr>
                <w:rFonts w:eastAsia="Arial"/>
                <w:b/>
                <w:bCs/>
                <w:sz w:val="18"/>
                <w:szCs w:val="18"/>
              </w:rPr>
              <w:t>Fan EIR=f(PLR)</w:t>
            </w:r>
          </w:p>
        </w:tc>
        <w:tc>
          <w:tcPr>
            <w:tcW w:w="1250" w:type="pct"/>
            <w:shd w:val="clear" w:color="auto" w:fill="FFFFFF" w:themeFill="background1"/>
            <w:noWrap/>
          </w:tcPr>
          <w:p w14:paraId="673C46ED" w14:textId="77777777" w:rsidR="00F93A3E" w:rsidRPr="00B32D94" w:rsidRDefault="00F93A3E" w:rsidP="009D3C14">
            <w:pPr>
              <w:spacing w:after="100"/>
              <w:jc w:val="both"/>
              <w:rPr>
                <w:rFonts w:eastAsia="Arial"/>
                <w:sz w:val="18"/>
                <w:szCs w:val="18"/>
              </w:rPr>
            </w:pPr>
            <w:proofErr w:type="spellStart"/>
            <w:r w:rsidRPr="00B32D94">
              <w:rPr>
                <w:rFonts w:eastAsia="Arial"/>
                <w:sz w:val="18"/>
                <w:szCs w:val="18"/>
              </w:rPr>
              <w:t>TwoSpeedFan</w:t>
            </w:r>
            <w:proofErr w:type="spellEnd"/>
          </w:p>
        </w:tc>
        <w:tc>
          <w:tcPr>
            <w:tcW w:w="1250" w:type="pct"/>
            <w:shd w:val="clear" w:color="auto" w:fill="FFFFFF" w:themeFill="background1"/>
          </w:tcPr>
          <w:p w14:paraId="0E79DC0D" w14:textId="77777777" w:rsidR="00F93A3E" w:rsidRPr="00B32D94" w:rsidRDefault="00F93A3E" w:rsidP="009D3C14">
            <w:pPr>
              <w:spacing w:after="100"/>
              <w:jc w:val="both"/>
              <w:rPr>
                <w:rFonts w:eastAsia="Arial"/>
                <w:sz w:val="18"/>
                <w:szCs w:val="18"/>
              </w:rPr>
            </w:pPr>
            <w:proofErr w:type="spellStart"/>
            <w:r w:rsidRPr="00B32D94">
              <w:rPr>
                <w:rFonts w:eastAsia="Arial"/>
                <w:sz w:val="18"/>
                <w:szCs w:val="18"/>
              </w:rPr>
              <w:t>TwoSpeedFan</w:t>
            </w:r>
            <w:proofErr w:type="spellEnd"/>
          </w:p>
        </w:tc>
        <w:tc>
          <w:tcPr>
            <w:tcW w:w="1250" w:type="pct"/>
            <w:shd w:val="clear" w:color="auto" w:fill="FFFFFF" w:themeFill="background1"/>
          </w:tcPr>
          <w:p w14:paraId="73FB8C0D" w14:textId="77777777" w:rsidR="00F93A3E" w:rsidRPr="00B32D94" w:rsidRDefault="00F93A3E" w:rsidP="009D3C14">
            <w:pPr>
              <w:spacing w:after="100"/>
              <w:jc w:val="both"/>
              <w:rPr>
                <w:rFonts w:eastAsia="Arial"/>
                <w:sz w:val="18"/>
                <w:szCs w:val="18"/>
              </w:rPr>
            </w:pPr>
            <w:proofErr w:type="spellStart"/>
            <w:r w:rsidRPr="00B32D94">
              <w:rPr>
                <w:rFonts w:eastAsia="Arial"/>
                <w:sz w:val="18"/>
                <w:szCs w:val="18"/>
              </w:rPr>
              <w:t>TwoSpeedFan</w:t>
            </w:r>
            <w:proofErr w:type="spellEnd"/>
          </w:p>
        </w:tc>
      </w:tr>
      <w:tr w:rsidR="00F93A3E" w:rsidRPr="00B32D94" w14:paraId="120A126F" w14:textId="77777777" w:rsidTr="009D3C14">
        <w:trPr>
          <w:trHeight w:val="144"/>
          <w:jc w:val="center"/>
        </w:trPr>
        <w:tc>
          <w:tcPr>
            <w:tcW w:w="1250" w:type="pct"/>
            <w:shd w:val="clear" w:color="auto" w:fill="FFFFFF" w:themeFill="background1"/>
            <w:noWrap/>
            <w:hideMark/>
          </w:tcPr>
          <w:p w14:paraId="61C912E1" w14:textId="77777777" w:rsidR="00F93A3E" w:rsidRPr="00B32D94" w:rsidRDefault="00F93A3E" w:rsidP="009D3C14">
            <w:pPr>
              <w:jc w:val="both"/>
              <w:rPr>
                <w:rFonts w:eastAsia="Arial"/>
                <w:b/>
                <w:bCs/>
                <w:sz w:val="18"/>
                <w:szCs w:val="18"/>
              </w:rPr>
            </w:pPr>
            <w:r w:rsidRPr="00B32D94">
              <w:rPr>
                <w:rFonts w:eastAsia="Arial"/>
                <w:b/>
                <w:bCs/>
                <w:sz w:val="18"/>
                <w:szCs w:val="18"/>
              </w:rPr>
              <w:t xml:space="preserve">Temperature </w:t>
            </w:r>
            <w:proofErr w:type="spellStart"/>
            <w:r w:rsidRPr="00B32D94">
              <w:rPr>
                <w:rFonts w:eastAsia="Arial"/>
                <w:b/>
                <w:bCs/>
                <w:sz w:val="18"/>
                <w:szCs w:val="18"/>
              </w:rPr>
              <w:t>Setpoints</w:t>
            </w:r>
            <w:proofErr w:type="spellEnd"/>
          </w:p>
        </w:tc>
        <w:tc>
          <w:tcPr>
            <w:tcW w:w="1250" w:type="pct"/>
            <w:shd w:val="clear" w:color="auto" w:fill="FFFFFF" w:themeFill="background1"/>
            <w:noWrap/>
            <w:hideMark/>
          </w:tcPr>
          <w:p w14:paraId="79E63DF7" w14:textId="77777777" w:rsidR="00F93A3E" w:rsidRPr="00B32D94" w:rsidRDefault="00F93A3E" w:rsidP="009D3C14">
            <w:pPr>
              <w:spacing w:after="100"/>
              <w:jc w:val="both"/>
              <w:rPr>
                <w:rFonts w:eastAsia="Arial"/>
                <w:sz w:val="18"/>
                <w:szCs w:val="18"/>
              </w:rPr>
            </w:pPr>
            <w:r w:rsidRPr="00B32D94">
              <w:rPr>
                <w:rFonts w:eastAsia="Arial"/>
                <w:sz w:val="18"/>
                <w:szCs w:val="18"/>
              </w:rPr>
              <w:t xml:space="preserve">77.0 deg. F (cooling); 70.0 deg. F (heating) </w:t>
            </w:r>
          </w:p>
        </w:tc>
        <w:tc>
          <w:tcPr>
            <w:tcW w:w="1250" w:type="pct"/>
            <w:shd w:val="clear" w:color="auto" w:fill="FFFFFF" w:themeFill="background1"/>
          </w:tcPr>
          <w:p w14:paraId="10E43315" w14:textId="77777777" w:rsidR="00F93A3E" w:rsidRPr="00B32D94" w:rsidRDefault="00F93A3E" w:rsidP="009D3C14">
            <w:pPr>
              <w:spacing w:after="100"/>
              <w:jc w:val="both"/>
              <w:rPr>
                <w:rFonts w:eastAsia="Arial"/>
                <w:sz w:val="18"/>
                <w:szCs w:val="18"/>
              </w:rPr>
            </w:pPr>
            <w:r w:rsidRPr="00B32D94">
              <w:rPr>
                <w:rFonts w:eastAsia="Arial"/>
                <w:sz w:val="18"/>
                <w:szCs w:val="18"/>
              </w:rPr>
              <w:t xml:space="preserve">77.0 deg. F (cooling); 70.0 deg. F (heating) </w:t>
            </w:r>
          </w:p>
        </w:tc>
        <w:tc>
          <w:tcPr>
            <w:tcW w:w="1250" w:type="pct"/>
            <w:shd w:val="clear" w:color="auto" w:fill="FFFFFF" w:themeFill="background1"/>
          </w:tcPr>
          <w:p w14:paraId="1D8853F8" w14:textId="77777777" w:rsidR="00F93A3E" w:rsidRPr="00B32D94" w:rsidRDefault="00F93A3E" w:rsidP="009D3C14">
            <w:pPr>
              <w:spacing w:after="100"/>
              <w:jc w:val="both"/>
              <w:rPr>
                <w:rFonts w:eastAsia="Arial"/>
                <w:sz w:val="18"/>
                <w:szCs w:val="18"/>
              </w:rPr>
            </w:pPr>
            <w:r w:rsidRPr="00B32D94">
              <w:rPr>
                <w:rFonts w:eastAsia="Arial"/>
                <w:sz w:val="18"/>
                <w:szCs w:val="18"/>
              </w:rPr>
              <w:t xml:space="preserve">77.0 deg. F (cooling); 70.0 deg. F (heating) </w:t>
            </w:r>
          </w:p>
        </w:tc>
      </w:tr>
      <w:tr w:rsidR="00F93A3E" w:rsidRPr="00B32D94" w14:paraId="6B1FC1DC" w14:textId="77777777" w:rsidTr="009D3C14">
        <w:trPr>
          <w:trHeight w:val="144"/>
          <w:jc w:val="center"/>
        </w:trPr>
        <w:tc>
          <w:tcPr>
            <w:tcW w:w="1250" w:type="pct"/>
            <w:shd w:val="clear" w:color="auto" w:fill="FFFFFF" w:themeFill="background1"/>
            <w:noWrap/>
            <w:hideMark/>
          </w:tcPr>
          <w:p w14:paraId="2771EECA" w14:textId="77777777" w:rsidR="00F93A3E" w:rsidRPr="00B32D94" w:rsidRDefault="00F93A3E" w:rsidP="009D3C14">
            <w:pPr>
              <w:jc w:val="both"/>
              <w:rPr>
                <w:rFonts w:eastAsia="Arial"/>
                <w:b/>
                <w:bCs/>
                <w:sz w:val="18"/>
                <w:szCs w:val="18"/>
              </w:rPr>
            </w:pPr>
            <w:r w:rsidRPr="00B32D94">
              <w:rPr>
                <w:rFonts w:eastAsia="Arial"/>
                <w:b/>
                <w:bCs/>
                <w:sz w:val="18"/>
                <w:szCs w:val="18"/>
              </w:rPr>
              <w:t xml:space="preserve">Average System (Cooling) Capacity </w:t>
            </w:r>
          </w:p>
        </w:tc>
        <w:tc>
          <w:tcPr>
            <w:tcW w:w="1250" w:type="pct"/>
            <w:shd w:val="clear" w:color="auto" w:fill="FFFFFF" w:themeFill="background1"/>
            <w:noWrap/>
            <w:hideMark/>
          </w:tcPr>
          <w:p w14:paraId="58E27347" w14:textId="77777777" w:rsidR="00F93A3E" w:rsidRPr="00B32D94" w:rsidRDefault="00F93A3E" w:rsidP="009D3C14">
            <w:pPr>
              <w:jc w:val="both"/>
              <w:rPr>
                <w:rFonts w:eastAsia="Arial"/>
                <w:sz w:val="18"/>
                <w:szCs w:val="18"/>
              </w:rPr>
            </w:pPr>
            <w:r w:rsidRPr="00B32D94">
              <w:rPr>
                <w:rFonts w:eastAsia="Arial"/>
                <w:sz w:val="18"/>
                <w:szCs w:val="18"/>
              </w:rPr>
              <w:t>3</w:t>
            </w:r>
            <w:r>
              <w:rPr>
                <w:rFonts w:eastAsia="Arial"/>
                <w:sz w:val="18"/>
                <w:szCs w:val="18"/>
              </w:rPr>
              <w:t>5.61</w:t>
            </w:r>
            <w:r w:rsidRPr="00B32D94">
              <w:rPr>
                <w:rFonts w:eastAsia="Arial"/>
                <w:sz w:val="18"/>
                <w:szCs w:val="18"/>
              </w:rPr>
              <w:t xml:space="preserve"> </w:t>
            </w:r>
            <w:proofErr w:type="spellStart"/>
            <w:r w:rsidRPr="00B32D94">
              <w:rPr>
                <w:rFonts w:eastAsia="Arial"/>
                <w:sz w:val="18"/>
                <w:szCs w:val="18"/>
              </w:rPr>
              <w:t>kBtu</w:t>
            </w:r>
            <w:proofErr w:type="spellEnd"/>
            <w:r w:rsidRPr="00B32D94">
              <w:rPr>
                <w:rFonts w:eastAsia="Arial"/>
                <w:sz w:val="18"/>
                <w:szCs w:val="18"/>
              </w:rPr>
              <w:t>/</w:t>
            </w:r>
            <w:proofErr w:type="spellStart"/>
            <w:r w:rsidRPr="00B32D94">
              <w:rPr>
                <w:rFonts w:eastAsia="Arial"/>
                <w:sz w:val="18"/>
                <w:szCs w:val="18"/>
              </w:rPr>
              <w:t>hr</w:t>
            </w:r>
            <w:proofErr w:type="spellEnd"/>
            <w:r w:rsidRPr="00B32D94">
              <w:rPr>
                <w:rFonts w:eastAsia="Arial"/>
                <w:sz w:val="18"/>
                <w:szCs w:val="18"/>
              </w:rPr>
              <w:t xml:space="preserve"> (</w:t>
            </w:r>
            <w:proofErr w:type="spellStart"/>
            <w:r w:rsidRPr="00B32D94">
              <w:rPr>
                <w:rFonts w:eastAsia="Arial"/>
                <w:sz w:val="18"/>
                <w:szCs w:val="18"/>
              </w:rPr>
              <w:t>SF</w:t>
            </w:r>
            <w:r>
              <w:rPr>
                <w:rFonts w:eastAsia="Arial"/>
                <w:sz w:val="18"/>
                <w:szCs w:val="18"/>
              </w:rPr>
              <w:t>m</w:t>
            </w:r>
            <w:proofErr w:type="spellEnd"/>
            <w:r w:rsidRPr="00B32D94">
              <w:rPr>
                <w:rFonts w:eastAsia="Arial"/>
                <w:sz w:val="18"/>
                <w:szCs w:val="18"/>
              </w:rPr>
              <w:t>)</w:t>
            </w:r>
          </w:p>
        </w:tc>
        <w:tc>
          <w:tcPr>
            <w:tcW w:w="1250" w:type="pct"/>
            <w:shd w:val="clear" w:color="auto" w:fill="FFFFFF" w:themeFill="background1"/>
          </w:tcPr>
          <w:p w14:paraId="026D57F8" w14:textId="77777777" w:rsidR="00F93A3E" w:rsidRPr="00B32D94" w:rsidRDefault="00F93A3E" w:rsidP="009D3C14">
            <w:pPr>
              <w:jc w:val="both"/>
              <w:rPr>
                <w:rFonts w:eastAsia="Arial"/>
                <w:sz w:val="18"/>
                <w:szCs w:val="18"/>
              </w:rPr>
            </w:pPr>
            <w:r>
              <w:rPr>
                <w:rFonts w:eastAsia="Arial"/>
                <w:sz w:val="18"/>
                <w:szCs w:val="18"/>
              </w:rPr>
              <w:t>12.22</w:t>
            </w:r>
            <w:r w:rsidRPr="00B32D94">
              <w:rPr>
                <w:rFonts w:eastAsia="Arial"/>
                <w:sz w:val="18"/>
                <w:szCs w:val="18"/>
              </w:rPr>
              <w:t xml:space="preserve"> </w:t>
            </w:r>
            <w:proofErr w:type="spellStart"/>
            <w:r w:rsidRPr="00B32D94">
              <w:rPr>
                <w:rFonts w:eastAsia="Arial"/>
                <w:sz w:val="18"/>
                <w:szCs w:val="18"/>
              </w:rPr>
              <w:t>kBtu</w:t>
            </w:r>
            <w:proofErr w:type="spellEnd"/>
            <w:r w:rsidRPr="00B32D94">
              <w:rPr>
                <w:rFonts w:eastAsia="Arial"/>
                <w:sz w:val="18"/>
                <w:szCs w:val="18"/>
              </w:rPr>
              <w:t>/</w:t>
            </w:r>
            <w:proofErr w:type="spellStart"/>
            <w:r w:rsidRPr="00B32D94">
              <w:rPr>
                <w:rFonts w:eastAsia="Arial"/>
                <w:sz w:val="18"/>
                <w:szCs w:val="18"/>
              </w:rPr>
              <w:t>hr</w:t>
            </w:r>
            <w:proofErr w:type="spellEnd"/>
            <w:r w:rsidRPr="00B32D94">
              <w:rPr>
                <w:rFonts w:eastAsia="Arial"/>
                <w:sz w:val="18"/>
                <w:szCs w:val="18"/>
              </w:rPr>
              <w:t xml:space="preserve"> (</w:t>
            </w:r>
            <w:proofErr w:type="spellStart"/>
            <w:r>
              <w:rPr>
                <w:rFonts w:eastAsia="Arial"/>
                <w:sz w:val="18"/>
                <w:szCs w:val="18"/>
              </w:rPr>
              <w:t>M</w:t>
            </w:r>
            <w:r w:rsidRPr="00B32D94">
              <w:rPr>
                <w:rFonts w:eastAsia="Arial"/>
                <w:sz w:val="18"/>
                <w:szCs w:val="18"/>
              </w:rPr>
              <w:t>F</w:t>
            </w:r>
            <w:r>
              <w:rPr>
                <w:rFonts w:eastAsia="Arial"/>
                <w:sz w:val="18"/>
                <w:szCs w:val="18"/>
              </w:rPr>
              <w:t>m</w:t>
            </w:r>
            <w:proofErr w:type="spellEnd"/>
            <w:r w:rsidRPr="00B32D94">
              <w:rPr>
                <w:rFonts w:eastAsia="Arial"/>
                <w:sz w:val="18"/>
                <w:szCs w:val="18"/>
              </w:rPr>
              <w:t>)</w:t>
            </w:r>
          </w:p>
        </w:tc>
        <w:tc>
          <w:tcPr>
            <w:tcW w:w="1250" w:type="pct"/>
            <w:shd w:val="clear" w:color="auto" w:fill="FFFFFF" w:themeFill="background1"/>
          </w:tcPr>
          <w:p w14:paraId="37D46B28" w14:textId="77777777" w:rsidR="00F93A3E" w:rsidRPr="00B32D94" w:rsidRDefault="00F93A3E" w:rsidP="009D3C14">
            <w:pPr>
              <w:jc w:val="both"/>
              <w:rPr>
                <w:rFonts w:eastAsia="Arial"/>
                <w:sz w:val="18"/>
                <w:szCs w:val="18"/>
              </w:rPr>
            </w:pPr>
            <w:r>
              <w:rPr>
                <w:rFonts w:eastAsia="Arial"/>
                <w:sz w:val="18"/>
                <w:szCs w:val="18"/>
              </w:rPr>
              <w:t>41.99</w:t>
            </w:r>
            <w:r w:rsidRPr="00B32D94">
              <w:rPr>
                <w:rFonts w:eastAsia="Arial"/>
                <w:sz w:val="18"/>
                <w:szCs w:val="18"/>
              </w:rPr>
              <w:t xml:space="preserve"> </w:t>
            </w:r>
            <w:proofErr w:type="spellStart"/>
            <w:r w:rsidRPr="00B32D94">
              <w:rPr>
                <w:rFonts w:eastAsia="Arial"/>
                <w:sz w:val="18"/>
                <w:szCs w:val="18"/>
              </w:rPr>
              <w:t>kBtu</w:t>
            </w:r>
            <w:proofErr w:type="spellEnd"/>
            <w:r w:rsidRPr="00B32D94">
              <w:rPr>
                <w:rFonts w:eastAsia="Arial"/>
                <w:sz w:val="18"/>
                <w:szCs w:val="18"/>
              </w:rPr>
              <w:t>/</w:t>
            </w:r>
            <w:proofErr w:type="spellStart"/>
            <w:r w:rsidRPr="00B32D94">
              <w:rPr>
                <w:rFonts w:eastAsia="Arial"/>
                <w:sz w:val="18"/>
                <w:szCs w:val="18"/>
              </w:rPr>
              <w:t>hr</w:t>
            </w:r>
            <w:proofErr w:type="spellEnd"/>
            <w:r w:rsidRPr="00B32D94">
              <w:rPr>
                <w:rFonts w:eastAsia="Arial"/>
                <w:sz w:val="18"/>
                <w:szCs w:val="18"/>
              </w:rPr>
              <w:t xml:space="preserve"> (</w:t>
            </w:r>
            <w:proofErr w:type="spellStart"/>
            <w:r>
              <w:rPr>
                <w:rFonts w:eastAsia="Arial"/>
                <w:sz w:val="18"/>
                <w:szCs w:val="18"/>
              </w:rPr>
              <w:t>DMo</w:t>
            </w:r>
            <w:proofErr w:type="spellEnd"/>
            <w:r w:rsidRPr="00B32D94">
              <w:rPr>
                <w:rFonts w:eastAsia="Arial"/>
                <w:sz w:val="18"/>
                <w:szCs w:val="18"/>
              </w:rPr>
              <w:t>)</w:t>
            </w:r>
          </w:p>
        </w:tc>
      </w:tr>
      <w:tr w:rsidR="00F93A3E" w:rsidRPr="00B41B61" w14:paraId="240FA958" w14:textId="77777777" w:rsidTr="009D3C14">
        <w:trPr>
          <w:trHeight w:val="144"/>
          <w:jc w:val="center"/>
        </w:trPr>
        <w:tc>
          <w:tcPr>
            <w:tcW w:w="1250" w:type="pct"/>
            <w:shd w:val="clear" w:color="auto" w:fill="FFFFFF" w:themeFill="background1"/>
            <w:noWrap/>
            <w:hideMark/>
          </w:tcPr>
          <w:p w14:paraId="3C5D0E15" w14:textId="77777777" w:rsidR="00F93A3E" w:rsidRPr="00B32D94" w:rsidRDefault="00F93A3E" w:rsidP="009D3C14">
            <w:pPr>
              <w:jc w:val="both"/>
              <w:rPr>
                <w:rFonts w:eastAsia="Arial"/>
                <w:b/>
                <w:bCs/>
                <w:sz w:val="18"/>
                <w:szCs w:val="18"/>
              </w:rPr>
            </w:pPr>
            <w:r w:rsidRPr="00B32D94">
              <w:rPr>
                <w:rFonts w:eastAsia="Arial"/>
                <w:b/>
                <w:bCs/>
                <w:sz w:val="18"/>
                <w:szCs w:val="18"/>
              </w:rPr>
              <w:t xml:space="preserve">MASControl2 Tech ID Sample </w:t>
            </w:r>
          </w:p>
        </w:tc>
        <w:tc>
          <w:tcPr>
            <w:tcW w:w="1250" w:type="pct"/>
            <w:shd w:val="clear" w:color="auto" w:fill="FFFFFF" w:themeFill="background1"/>
            <w:hideMark/>
          </w:tcPr>
          <w:p w14:paraId="58F20A87" w14:textId="77777777" w:rsidR="00F93A3E" w:rsidRPr="00B41B61" w:rsidRDefault="00F93A3E" w:rsidP="009D3C14">
            <w:pPr>
              <w:jc w:val="both"/>
              <w:rPr>
                <w:rFonts w:eastAsia="Arial"/>
                <w:sz w:val="18"/>
                <w:szCs w:val="18"/>
              </w:rPr>
            </w:pPr>
            <w:r w:rsidRPr="0084429A">
              <w:rPr>
                <w:rFonts w:eastAsia="Arial"/>
                <w:sz w:val="18"/>
                <w:szCs w:val="18"/>
              </w:rPr>
              <w:t>SFm-wCZ01-v2007-rDXGF-t</w:t>
            </w:r>
            <w:r>
              <w:rPr>
                <w:rFonts w:eastAsia="Arial"/>
                <w:sz w:val="18"/>
                <w:szCs w:val="18"/>
              </w:rPr>
              <w:t>n</w:t>
            </w:r>
            <w:r w:rsidRPr="0084429A">
              <w:rPr>
                <w:rFonts w:eastAsia="Arial"/>
                <w:sz w:val="18"/>
                <w:szCs w:val="18"/>
              </w:rPr>
              <w:t>-SplitAC1Sp-S15</w:t>
            </w:r>
          </w:p>
        </w:tc>
        <w:tc>
          <w:tcPr>
            <w:tcW w:w="1250" w:type="pct"/>
            <w:shd w:val="clear" w:color="auto" w:fill="FFFFFF" w:themeFill="background1"/>
          </w:tcPr>
          <w:p w14:paraId="588AC125" w14:textId="77777777" w:rsidR="00F93A3E" w:rsidRPr="00B41B61" w:rsidRDefault="00F93A3E" w:rsidP="009D3C14">
            <w:pPr>
              <w:jc w:val="both"/>
              <w:rPr>
                <w:rFonts w:eastAsia="Arial"/>
                <w:sz w:val="18"/>
                <w:szCs w:val="18"/>
              </w:rPr>
            </w:pPr>
            <w:r w:rsidRPr="0084429A">
              <w:rPr>
                <w:rFonts w:eastAsia="Arial"/>
                <w:sz w:val="18"/>
                <w:szCs w:val="18"/>
              </w:rPr>
              <w:t>MFm-wCZ01-v2007-rDXGF-t</w:t>
            </w:r>
            <w:r>
              <w:rPr>
                <w:rFonts w:eastAsia="Arial"/>
                <w:sz w:val="18"/>
                <w:szCs w:val="18"/>
              </w:rPr>
              <w:t>n</w:t>
            </w:r>
            <w:r w:rsidRPr="0084429A">
              <w:rPr>
                <w:rFonts w:eastAsia="Arial"/>
                <w:sz w:val="18"/>
                <w:szCs w:val="18"/>
              </w:rPr>
              <w:t>-SplitAC1Sp-S15</w:t>
            </w:r>
          </w:p>
        </w:tc>
        <w:tc>
          <w:tcPr>
            <w:tcW w:w="1250" w:type="pct"/>
            <w:shd w:val="clear" w:color="auto" w:fill="FFFFFF" w:themeFill="background1"/>
          </w:tcPr>
          <w:p w14:paraId="5E209C0E" w14:textId="77777777" w:rsidR="00F93A3E" w:rsidRPr="00B41B61" w:rsidRDefault="00F93A3E" w:rsidP="009D3C14">
            <w:pPr>
              <w:jc w:val="both"/>
              <w:rPr>
                <w:rFonts w:eastAsia="Arial"/>
                <w:sz w:val="18"/>
                <w:szCs w:val="18"/>
              </w:rPr>
            </w:pPr>
            <w:r>
              <w:rPr>
                <w:rFonts w:eastAsia="Arial"/>
                <w:sz w:val="18"/>
                <w:szCs w:val="18"/>
              </w:rPr>
              <w:t>DMo</w:t>
            </w:r>
            <w:r w:rsidRPr="0084429A">
              <w:rPr>
                <w:rFonts w:eastAsia="Arial"/>
                <w:sz w:val="18"/>
                <w:szCs w:val="18"/>
              </w:rPr>
              <w:t>-wCZ01-v2007-rDXGF-t</w:t>
            </w:r>
            <w:r>
              <w:rPr>
                <w:rFonts w:eastAsia="Arial"/>
                <w:sz w:val="18"/>
                <w:szCs w:val="18"/>
              </w:rPr>
              <w:t>n</w:t>
            </w:r>
            <w:r w:rsidRPr="0084429A">
              <w:rPr>
                <w:rFonts w:eastAsia="Arial"/>
                <w:sz w:val="18"/>
                <w:szCs w:val="18"/>
              </w:rPr>
              <w:t>-SplitAC1Sp-S15</w:t>
            </w:r>
          </w:p>
        </w:tc>
      </w:tr>
    </w:tbl>
    <w:p w14:paraId="07E049CC" w14:textId="77777777" w:rsidR="00F93A3E" w:rsidRDefault="00F93A3E" w:rsidP="00F93A3E">
      <w:pPr>
        <w:pStyle w:val="ListParagraph"/>
        <w:rPr>
          <w:rFonts w:cstheme="minorHAnsi"/>
          <w:szCs w:val="22"/>
        </w:rPr>
      </w:pPr>
    </w:p>
    <w:p w14:paraId="427BCCC2" w14:textId="77777777" w:rsidR="00F93A3E" w:rsidRDefault="00F93A3E" w:rsidP="00F93A3E">
      <w:pPr>
        <w:rPr>
          <w:rFonts w:cstheme="minorHAnsi"/>
        </w:rPr>
      </w:pPr>
    </w:p>
    <w:p w14:paraId="226B0A6A" w14:textId="77777777" w:rsidR="00F93A3E" w:rsidRDefault="00F93A3E" w:rsidP="00F93A3E">
      <w:pPr>
        <w:pStyle w:val="ListParagraph"/>
        <w:numPr>
          <w:ilvl w:val="0"/>
          <w:numId w:val="44"/>
        </w:numPr>
        <w:jc w:val="both"/>
        <w:rPr>
          <w:rFonts w:cstheme="minorHAnsi"/>
          <w:szCs w:val="22"/>
        </w:rPr>
      </w:pPr>
      <w:r>
        <w:rPr>
          <w:rFonts w:cstheme="minorHAnsi"/>
          <w:szCs w:val="22"/>
        </w:rPr>
        <w:t xml:space="preserve">Weather data files corresponding to CZ2010 was used to run the </w:t>
      </w:r>
      <w:proofErr w:type="spellStart"/>
      <w:r>
        <w:rPr>
          <w:rFonts w:cstheme="minorHAnsi"/>
          <w:szCs w:val="22"/>
        </w:rPr>
        <w:t>eQuest</w:t>
      </w:r>
      <w:proofErr w:type="spellEnd"/>
      <w:r>
        <w:rPr>
          <w:rFonts w:cstheme="minorHAnsi"/>
          <w:szCs w:val="22"/>
        </w:rPr>
        <w:t xml:space="preserve"> simulations. </w:t>
      </w:r>
      <w:r w:rsidRPr="004D5B40">
        <w:rPr>
          <w:rFonts w:cstheme="minorHAnsi"/>
          <w:szCs w:val="22"/>
        </w:rPr>
        <w:t xml:space="preserve">The baseline energy consumption was established using Building Energy Simulation software </w:t>
      </w:r>
      <w:proofErr w:type="spellStart"/>
      <w:r w:rsidRPr="004D5B40">
        <w:rPr>
          <w:rFonts w:cstheme="minorHAnsi"/>
          <w:szCs w:val="22"/>
        </w:rPr>
        <w:t>eQuest</w:t>
      </w:r>
      <w:proofErr w:type="spellEnd"/>
      <w:r w:rsidRPr="004D5B40">
        <w:rPr>
          <w:rFonts w:cstheme="minorHAnsi"/>
          <w:szCs w:val="22"/>
        </w:rPr>
        <w:t xml:space="preserve"> v3.65 (DOE2.3). </w:t>
      </w:r>
      <w:r>
        <w:rPr>
          <w:rFonts w:cstheme="minorHAnsi"/>
          <w:szCs w:val="22"/>
        </w:rPr>
        <w:t>Following each simulation, hourly report blocks were generated, and f</w:t>
      </w:r>
      <w:r w:rsidRPr="00A80576">
        <w:rPr>
          <w:rFonts w:cstheme="minorHAnsi"/>
          <w:szCs w:val="22"/>
        </w:rPr>
        <w:t xml:space="preserve">our hourly variables were captured from the </w:t>
      </w:r>
      <w:proofErr w:type="spellStart"/>
      <w:r w:rsidRPr="00A80576">
        <w:rPr>
          <w:rFonts w:cstheme="minorHAnsi"/>
          <w:szCs w:val="22"/>
        </w:rPr>
        <w:t>eQuest</w:t>
      </w:r>
      <w:proofErr w:type="spellEnd"/>
      <w:r w:rsidRPr="00A80576">
        <w:rPr>
          <w:rFonts w:cstheme="minorHAnsi"/>
          <w:szCs w:val="22"/>
        </w:rPr>
        <w:t xml:space="preserve"> simulations </w:t>
      </w:r>
      <w:r>
        <w:rPr>
          <w:rFonts w:cstheme="minorHAnsi"/>
          <w:szCs w:val="22"/>
        </w:rPr>
        <w:t>on an annual basis</w:t>
      </w:r>
      <w:r w:rsidRPr="00A80576">
        <w:rPr>
          <w:rFonts w:cstheme="minorHAnsi"/>
          <w:szCs w:val="22"/>
        </w:rPr>
        <w:t xml:space="preserve">: </w:t>
      </w:r>
      <w:r>
        <w:rPr>
          <w:rFonts w:cstheme="minorHAnsi"/>
          <w:szCs w:val="22"/>
        </w:rPr>
        <w:t>T</w:t>
      </w:r>
      <w:r w:rsidRPr="00A80576">
        <w:rPr>
          <w:rFonts w:cstheme="minorHAnsi"/>
          <w:szCs w:val="22"/>
        </w:rPr>
        <w:t xml:space="preserve">otal </w:t>
      </w:r>
      <w:r>
        <w:rPr>
          <w:rFonts w:cstheme="minorHAnsi"/>
          <w:szCs w:val="22"/>
        </w:rPr>
        <w:t>C</w:t>
      </w:r>
      <w:r w:rsidRPr="00A80576">
        <w:rPr>
          <w:rFonts w:cstheme="minorHAnsi"/>
          <w:szCs w:val="22"/>
        </w:rPr>
        <w:t xml:space="preserve">ooling </w:t>
      </w:r>
      <w:r>
        <w:rPr>
          <w:rFonts w:cstheme="minorHAnsi"/>
          <w:szCs w:val="22"/>
        </w:rPr>
        <w:t>L</w:t>
      </w:r>
      <w:r w:rsidRPr="00A80576">
        <w:rPr>
          <w:rFonts w:cstheme="minorHAnsi"/>
          <w:szCs w:val="22"/>
        </w:rPr>
        <w:t>oad (Btu/</w:t>
      </w:r>
      <w:proofErr w:type="spellStart"/>
      <w:r w:rsidRPr="00A80576">
        <w:rPr>
          <w:rFonts w:cstheme="minorHAnsi"/>
          <w:szCs w:val="22"/>
        </w:rPr>
        <w:t>hr</w:t>
      </w:r>
      <w:proofErr w:type="spellEnd"/>
      <w:r w:rsidRPr="00A80576">
        <w:rPr>
          <w:rFonts w:cstheme="minorHAnsi"/>
          <w:szCs w:val="22"/>
        </w:rPr>
        <w:t xml:space="preserve">), </w:t>
      </w:r>
      <w:r>
        <w:rPr>
          <w:rFonts w:cstheme="minorHAnsi"/>
          <w:szCs w:val="22"/>
        </w:rPr>
        <w:t>C</w:t>
      </w:r>
      <w:r w:rsidRPr="00A80576">
        <w:rPr>
          <w:rFonts w:cstheme="minorHAnsi"/>
          <w:szCs w:val="22"/>
        </w:rPr>
        <w:t xml:space="preserve">ondensing </w:t>
      </w:r>
      <w:r>
        <w:rPr>
          <w:rFonts w:cstheme="minorHAnsi"/>
          <w:szCs w:val="22"/>
        </w:rPr>
        <w:t>U</w:t>
      </w:r>
      <w:r w:rsidRPr="00A80576">
        <w:rPr>
          <w:rFonts w:cstheme="minorHAnsi"/>
          <w:szCs w:val="22"/>
        </w:rPr>
        <w:t xml:space="preserve">nit </w:t>
      </w:r>
      <w:r>
        <w:rPr>
          <w:rFonts w:cstheme="minorHAnsi"/>
          <w:szCs w:val="22"/>
        </w:rPr>
        <w:t>E</w:t>
      </w:r>
      <w:r w:rsidRPr="00A80576">
        <w:rPr>
          <w:rFonts w:cstheme="minorHAnsi"/>
          <w:szCs w:val="22"/>
        </w:rPr>
        <w:t xml:space="preserve">nergy (kWh), </w:t>
      </w:r>
      <w:r>
        <w:rPr>
          <w:rFonts w:cstheme="minorHAnsi"/>
          <w:szCs w:val="22"/>
        </w:rPr>
        <w:t>S</w:t>
      </w:r>
      <w:r w:rsidRPr="00A80576">
        <w:rPr>
          <w:rFonts w:cstheme="minorHAnsi"/>
          <w:szCs w:val="22"/>
        </w:rPr>
        <w:t xml:space="preserve">upply (indoor) </w:t>
      </w:r>
      <w:r>
        <w:rPr>
          <w:rFonts w:cstheme="minorHAnsi"/>
          <w:szCs w:val="22"/>
        </w:rPr>
        <w:t>F</w:t>
      </w:r>
      <w:r w:rsidRPr="00A80576">
        <w:rPr>
          <w:rFonts w:cstheme="minorHAnsi"/>
          <w:szCs w:val="22"/>
        </w:rPr>
        <w:t xml:space="preserve">an </w:t>
      </w:r>
      <w:r>
        <w:rPr>
          <w:rFonts w:cstheme="minorHAnsi"/>
          <w:szCs w:val="22"/>
        </w:rPr>
        <w:t>E</w:t>
      </w:r>
      <w:r w:rsidRPr="00A80576">
        <w:rPr>
          <w:rFonts w:cstheme="minorHAnsi"/>
          <w:szCs w:val="22"/>
        </w:rPr>
        <w:t xml:space="preserve">nergy (kWh), and AC </w:t>
      </w:r>
      <w:r>
        <w:rPr>
          <w:rFonts w:cstheme="minorHAnsi"/>
          <w:szCs w:val="22"/>
        </w:rPr>
        <w:t>T</w:t>
      </w:r>
      <w:r w:rsidRPr="00A80576">
        <w:rPr>
          <w:rFonts w:cstheme="minorHAnsi"/>
          <w:szCs w:val="22"/>
        </w:rPr>
        <w:t xml:space="preserve">otal </w:t>
      </w:r>
      <w:r>
        <w:rPr>
          <w:rFonts w:cstheme="minorHAnsi"/>
          <w:szCs w:val="22"/>
        </w:rPr>
        <w:t>C</w:t>
      </w:r>
      <w:r w:rsidRPr="00A80576">
        <w:rPr>
          <w:rFonts w:cstheme="minorHAnsi"/>
          <w:szCs w:val="22"/>
        </w:rPr>
        <w:t xml:space="preserve">ooling </w:t>
      </w:r>
      <w:r>
        <w:rPr>
          <w:rFonts w:cstheme="minorHAnsi"/>
          <w:szCs w:val="22"/>
        </w:rPr>
        <w:t>C</w:t>
      </w:r>
      <w:r w:rsidRPr="00A80576">
        <w:rPr>
          <w:rFonts w:cstheme="minorHAnsi"/>
          <w:szCs w:val="22"/>
        </w:rPr>
        <w:t>apacity (Btu/</w:t>
      </w:r>
      <w:proofErr w:type="spellStart"/>
      <w:r w:rsidRPr="00A80576">
        <w:rPr>
          <w:rFonts w:cstheme="minorHAnsi"/>
          <w:szCs w:val="22"/>
        </w:rPr>
        <w:t>hr</w:t>
      </w:r>
      <w:proofErr w:type="spellEnd"/>
      <w:r w:rsidRPr="00A80576">
        <w:rPr>
          <w:rFonts w:cstheme="minorHAnsi"/>
          <w:szCs w:val="22"/>
        </w:rPr>
        <w:t>).</w:t>
      </w:r>
      <w:r>
        <w:rPr>
          <w:rFonts w:cstheme="minorHAnsi"/>
          <w:szCs w:val="22"/>
        </w:rPr>
        <w:t xml:space="preserve"> An hourly report block is generated for each unit in a DEER prototypes. For example, a </w:t>
      </w:r>
      <w:proofErr w:type="spellStart"/>
      <w:r>
        <w:rPr>
          <w:rFonts w:cstheme="minorHAnsi"/>
          <w:szCs w:val="22"/>
        </w:rPr>
        <w:t>DMo</w:t>
      </w:r>
      <w:proofErr w:type="spellEnd"/>
      <w:r>
        <w:rPr>
          <w:rFonts w:cstheme="minorHAnsi"/>
          <w:szCs w:val="22"/>
        </w:rPr>
        <w:t xml:space="preserve"> simulation has 2 units and generates 2 hourly report blocks; </w:t>
      </w:r>
      <w:proofErr w:type="gramStart"/>
      <w:r>
        <w:rPr>
          <w:rFonts w:cstheme="minorHAnsi"/>
          <w:szCs w:val="22"/>
        </w:rPr>
        <w:t>a</w:t>
      </w:r>
      <w:proofErr w:type="gramEnd"/>
      <w:r>
        <w:rPr>
          <w:rFonts w:cstheme="minorHAnsi"/>
          <w:szCs w:val="22"/>
        </w:rPr>
        <w:t xml:space="preserve"> </w:t>
      </w:r>
      <w:proofErr w:type="spellStart"/>
      <w:r>
        <w:rPr>
          <w:rFonts w:cstheme="minorHAnsi"/>
          <w:szCs w:val="22"/>
        </w:rPr>
        <w:t>MFm</w:t>
      </w:r>
      <w:proofErr w:type="spellEnd"/>
      <w:r>
        <w:rPr>
          <w:rFonts w:cstheme="minorHAnsi"/>
          <w:szCs w:val="22"/>
        </w:rPr>
        <w:t xml:space="preserve"> simulation has a total of 28 units and generates 28 hourly report blocks. </w:t>
      </w:r>
    </w:p>
    <w:p w14:paraId="68E0CFE1" w14:textId="77777777" w:rsidR="00F82CB8" w:rsidRDefault="00F82CB8" w:rsidP="00F82CB8">
      <w:pPr>
        <w:pStyle w:val="ListParagraph"/>
        <w:jc w:val="both"/>
        <w:rPr>
          <w:rFonts w:cstheme="minorHAnsi"/>
          <w:szCs w:val="22"/>
        </w:rPr>
      </w:pPr>
    </w:p>
    <w:p w14:paraId="7F7B5979" w14:textId="77777777" w:rsidR="00F93A3E" w:rsidRDefault="00F93A3E" w:rsidP="00F93A3E">
      <w:pPr>
        <w:pStyle w:val="ListParagraph"/>
        <w:numPr>
          <w:ilvl w:val="0"/>
          <w:numId w:val="44"/>
        </w:numPr>
        <w:jc w:val="both"/>
        <w:rPr>
          <w:rFonts w:cstheme="minorHAnsi"/>
          <w:szCs w:val="22"/>
        </w:rPr>
      </w:pPr>
      <w:r>
        <w:rPr>
          <w:rFonts w:cstheme="minorHAnsi"/>
          <w:szCs w:val="22"/>
        </w:rPr>
        <w:t xml:space="preserve">This workpaper is limited to cooling savings and excludes the evaluation of gas/electric heating savings. Therefore, only the Supply Fan Energy specific to cooling purposes is incorporated in the Total Baseline AC Energy Usage. The following equation is used to compute the Total Baseline AC Energy Usage: </w:t>
      </w:r>
    </w:p>
    <w:p w14:paraId="3A247669" w14:textId="77777777" w:rsidR="00F93A3E" w:rsidRDefault="00F93A3E" w:rsidP="00F93A3E">
      <w:pPr>
        <w:pStyle w:val="ListParagraph"/>
        <w:rPr>
          <w:rFonts w:cstheme="minorHAnsi"/>
          <w:szCs w:val="22"/>
        </w:rPr>
      </w:pPr>
    </w:p>
    <w:p w14:paraId="1393DF08" w14:textId="77777777" w:rsidR="00F82CB8" w:rsidRDefault="00F82CB8" w:rsidP="00F93A3E">
      <w:pPr>
        <w:pStyle w:val="ListParagraph"/>
        <w:rPr>
          <w:rFonts w:cstheme="minorHAnsi"/>
          <w:szCs w:val="22"/>
        </w:rPr>
      </w:pPr>
    </w:p>
    <w:p w14:paraId="23DF72F0" w14:textId="77777777" w:rsidR="00F93A3E" w:rsidRPr="00F82CB8" w:rsidRDefault="00F93A3E" w:rsidP="00F93A3E">
      <w:pPr>
        <w:pStyle w:val="Reminder"/>
        <w:rPr>
          <w:rFonts w:asciiTheme="minorHAnsi" w:hAnsiTheme="minorHAnsi" w:cstheme="minorHAnsi"/>
          <w:b/>
          <w:i w:val="0"/>
          <w:szCs w:val="22"/>
        </w:rPr>
      </w:pPr>
      <w:r>
        <w:rPr>
          <w:rFonts w:cstheme="minorHAnsi"/>
          <w:b/>
        </w:rPr>
        <w:lastRenderedPageBreak/>
        <w:t xml:space="preserve">               </w:t>
      </w:r>
      <w:r w:rsidRPr="00F82CB8">
        <w:rPr>
          <w:rFonts w:asciiTheme="minorHAnsi" w:hAnsiTheme="minorHAnsi" w:cstheme="minorHAnsi"/>
          <w:b/>
          <w:i w:val="0"/>
          <w:color w:val="auto"/>
          <w:szCs w:val="22"/>
        </w:rPr>
        <w:t>Equation 1</w:t>
      </w:r>
    </w:p>
    <w:p w14:paraId="63CE5D1C" w14:textId="7ED6EFAF" w:rsidR="00692663" w:rsidRPr="00F82CB8" w:rsidRDefault="00692663" w:rsidP="00F93A3E">
      <w:pPr>
        <w:pStyle w:val="Reminder"/>
        <w:rPr>
          <w:rFonts w:cstheme="minorHAnsi"/>
          <w:color w:val="auto"/>
        </w:rPr>
      </w:pPr>
      <m:oMathPara>
        <m:oMath>
          <m:r>
            <w:rPr>
              <w:rFonts w:ascii="Cambria Math" w:hAnsi="Cambria Math" w:cstheme="minorHAnsi"/>
              <w:color w:val="auto"/>
            </w:rPr>
            <m:t xml:space="preserve">Total Baseline AC Energy Usage </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=Condensing Unit Energy</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+Supply Fan Energy (kWh)</m:t>
          </m:r>
        </m:oMath>
      </m:oMathPara>
    </w:p>
    <w:p w14:paraId="5DED4474" w14:textId="77777777" w:rsidR="00692663" w:rsidRDefault="00692663" w:rsidP="00F93A3E">
      <w:pPr>
        <w:pStyle w:val="ListParagraph"/>
        <w:jc w:val="both"/>
        <w:rPr>
          <w:rFonts w:cstheme="minorHAnsi"/>
          <w:szCs w:val="22"/>
        </w:rPr>
      </w:pPr>
    </w:p>
    <w:p w14:paraId="6611DF43" w14:textId="49374E19" w:rsidR="00F93A3E" w:rsidRDefault="00F93A3E" w:rsidP="00F93A3E">
      <w:pPr>
        <w:pStyle w:val="ListParagraph"/>
        <w:jc w:val="both"/>
        <w:rPr>
          <w:rFonts w:cstheme="minorHAnsi"/>
          <w:szCs w:val="22"/>
        </w:rPr>
      </w:pPr>
      <w:r w:rsidRPr="003575BC">
        <w:rPr>
          <w:rFonts w:cstheme="minorHAnsi"/>
          <w:szCs w:val="22"/>
        </w:rPr>
        <w:t xml:space="preserve">For a sample calculation, consider a </w:t>
      </w:r>
      <w:r w:rsidR="00AA043A">
        <w:rPr>
          <w:rFonts w:cstheme="minorHAnsi"/>
          <w:szCs w:val="22"/>
        </w:rPr>
        <w:t>single-family</w:t>
      </w:r>
      <w:r w:rsidRPr="003575BC">
        <w:rPr>
          <w:rFonts w:cstheme="minorHAnsi"/>
          <w:szCs w:val="22"/>
        </w:rPr>
        <w:t xml:space="preserve"> home in climate zone 6 with </w:t>
      </w:r>
      <w:r w:rsidR="009E45FE">
        <w:rPr>
          <w:rFonts w:cstheme="minorHAnsi"/>
          <w:szCs w:val="22"/>
        </w:rPr>
        <w:t>a single story,</w:t>
      </w:r>
      <w:r w:rsidRPr="003575BC">
        <w:rPr>
          <w:rFonts w:cstheme="minorHAnsi"/>
          <w:szCs w:val="22"/>
        </w:rPr>
        <w:t xml:space="preserve"> N-S orientation at 5:00 PM on </w:t>
      </w:r>
      <w:r w:rsidR="009E45FE">
        <w:rPr>
          <w:rFonts w:cstheme="minorHAnsi"/>
          <w:szCs w:val="22"/>
        </w:rPr>
        <w:t>September 17</w:t>
      </w:r>
      <w:r>
        <w:rPr>
          <w:rFonts w:cstheme="minorHAnsi"/>
          <w:szCs w:val="22"/>
        </w:rPr>
        <w:t xml:space="preserve">. The Total Baseline AC Energy Usage is: </w:t>
      </w:r>
    </w:p>
    <w:p w14:paraId="56AEFCAF" w14:textId="77777777" w:rsidR="00F93A3E" w:rsidRPr="003575BC" w:rsidRDefault="00F93A3E" w:rsidP="00F93A3E">
      <w:pPr>
        <w:pStyle w:val="ListParagraph"/>
        <w:jc w:val="both"/>
        <w:rPr>
          <w:rFonts w:cstheme="minorHAnsi"/>
          <w:szCs w:val="22"/>
        </w:rPr>
      </w:pPr>
    </w:p>
    <w:p w14:paraId="12209C45" w14:textId="12903D0D" w:rsidR="00F93A3E" w:rsidRPr="005677EB" w:rsidRDefault="00F93A3E" w:rsidP="00F93A3E">
      <w:pPr>
        <w:pStyle w:val="Reminder"/>
        <w:jc w:val="both"/>
        <w:rPr>
          <w:rFonts w:eastAsiaTheme="minorEastAsia" w:cstheme="minorHAnsi"/>
          <w:i w:val="0"/>
        </w:rPr>
      </w:pPr>
      <m:oMathPara>
        <m:oMath>
          <m:r>
            <w:rPr>
              <w:rFonts w:ascii="Cambria Math" w:hAnsi="Cambria Math" w:cstheme="minorHAnsi"/>
              <w:color w:val="auto"/>
            </w:rPr>
            <m:t xml:space="preserve">0.28 </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 xml:space="preserve">=0.2145 </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+0.0665 (kWh)</m:t>
          </m:r>
        </m:oMath>
      </m:oMathPara>
    </w:p>
    <w:p w14:paraId="0817BC9D" w14:textId="0986A63C" w:rsidR="00F93A3E" w:rsidRDefault="00F93A3E" w:rsidP="00F93A3E">
      <w:pPr>
        <w:pStyle w:val="Reminder"/>
        <w:jc w:val="both"/>
        <w:rPr>
          <w:rFonts w:asciiTheme="minorHAnsi" w:hAnsiTheme="minorHAnsi" w:cstheme="minorHAnsi"/>
          <w:i w:val="0"/>
          <w:color w:val="auto"/>
          <w:szCs w:val="22"/>
        </w:rPr>
      </w:pPr>
      <w:r>
        <w:rPr>
          <w:rFonts w:eastAsiaTheme="minorEastAsia" w:cstheme="minorHAnsi"/>
        </w:rPr>
        <w:tab/>
      </w:r>
      <w:r w:rsidRPr="00F82CB8">
        <w:rPr>
          <w:rFonts w:asciiTheme="minorHAnsi" w:hAnsiTheme="minorHAnsi" w:cstheme="minorHAnsi"/>
          <w:i w:val="0"/>
          <w:color w:val="auto"/>
          <w:szCs w:val="22"/>
        </w:rPr>
        <w:t>For details, please refer to Attachment 4</w:t>
      </w:r>
      <w:r w:rsidR="001F4649">
        <w:rPr>
          <w:rFonts w:asciiTheme="minorHAnsi" w:hAnsiTheme="minorHAnsi" w:cstheme="minorHAnsi"/>
          <w:i w:val="0"/>
          <w:color w:val="auto"/>
          <w:szCs w:val="22"/>
        </w:rPr>
        <w:t>.</w:t>
      </w:r>
    </w:p>
    <w:p w14:paraId="0A410C23" w14:textId="77777777" w:rsidR="00F82CB8" w:rsidRPr="00C53445" w:rsidRDefault="00F82CB8" w:rsidP="00F93A3E">
      <w:pPr>
        <w:pStyle w:val="Reminder"/>
        <w:jc w:val="both"/>
        <w:rPr>
          <w:rFonts w:cstheme="minorHAnsi"/>
          <w:i w:val="0"/>
        </w:rPr>
      </w:pPr>
    </w:p>
    <w:p w14:paraId="11AB99B2" w14:textId="77777777" w:rsidR="00F93A3E" w:rsidRPr="00C53445" w:rsidRDefault="00F93A3E" w:rsidP="00F93A3E">
      <w:pPr>
        <w:pStyle w:val="ListParagraph"/>
        <w:numPr>
          <w:ilvl w:val="0"/>
          <w:numId w:val="44"/>
        </w:numPr>
        <w:jc w:val="both"/>
      </w:pPr>
      <w:r w:rsidRPr="00C53445">
        <w:t>Approach for evaluating energy and demand saving potentials on the measure leverages SCE’s ET11SCE1130 study [Attachment 1] which evaluated the feasibility and the potential electrical demand and energy savings due to fan delayed (cycle-off) periods for a central residential A/C unit. Findings from referenced study suggest that electrical energy savings potentials on technology varied as a function of fan delayed periods and Part Load Ratios.</w:t>
      </w:r>
    </w:p>
    <w:p w14:paraId="7F340027" w14:textId="77777777" w:rsidR="00F93A3E" w:rsidRPr="00A775FF" w:rsidRDefault="00F93A3E" w:rsidP="00F93A3E">
      <w:pPr>
        <w:pStyle w:val="ListParagraph"/>
        <w:jc w:val="both"/>
        <w:rPr>
          <w:rFonts w:cstheme="minorHAnsi"/>
          <w:szCs w:val="22"/>
        </w:rPr>
      </w:pPr>
    </w:p>
    <w:p w14:paraId="08F6C4BE" w14:textId="77777777" w:rsidR="00F93A3E" w:rsidRPr="008E2922" w:rsidRDefault="00F93A3E" w:rsidP="00F93A3E">
      <w:pPr>
        <w:pStyle w:val="ListParagraph"/>
        <w:numPr>
          <w:ilvl w:val="0"/>
          <w:numId w:val="44"/>
        </w:numPr>
        <w:jc w:val="both"/>
        <w:rPr>
          <w:i/>
        </w:rPr>
      </w:pPr>
      <w:r w:rsidRPr="004C3390">
        <w:t xml:space="preserve">The part load ratio </w:t>
      </w:r>
      <w:r>
        <w:t xml:space="preserve">(PLR) for each hour </w:t>
      </w:r>
      <w:r w:rsidRPr="004C3390">
        <w:t>was determined by equation 2:</w:t>
      </w:r>
    </w:p>
    <w:p w14:paraId="7DE66823" w14:textId="77777777" w:rsidR="00F93A3E" w:rsidRDefault="00F93A3E" w:rsidP="00F93A3E">
      <w:pPr>
        <w:pStyle w:val="Reminder"/>
        <w:rPr>
          <w:rFonts w:cstheme="minorHAnsi"/>
          <w:b/>
          <w:i w:val="0"/>
        </w:rPr>
      </w:pPr>
    </w:p>
    <w:p w14:paraId="0B3612FC" w14:textId="77777777" w:rsidR="00F93A3E" w:rsidRPr="00F82CB8" w:rsidRDefault="00F93A3E" w:rsidP="00F93A3E">
      <w:pPr>
        <w:pStyle w:val="Reminder"/>
        <w:rPr>
          <w:rFonts w:ascii="Calibri" w:hAnsi="Calibri" w:cs="Calibri"/>
          <w:b/>
          <w:i w:val="0"/>
        </w:rPr>
      </w:pPr>
      <w:r>
        <w:rPr>
          <w:rFonts w:cstheme="minorHAnsi"/>
          <w:b/>
        </w:rPr>
        <w:t xml:space="preserve">              </w:t>
      </w:r>
      <w:r w:rsidRPr="00F82CB8">
        <w:rPr>
          <w:rFonts w:ascii="Calibri" w:hAnsi="Calibri" w:cs="Calibri"/>
          <w:b/>
          <w:i w:val="0"/>
          <w:color w:val="auto"/>
        </w:rPr>
        <w:t>Equation 2</w:t>
      </w:r>
    </w:p>
    <w:p w14:paraId="34830239" w14:textId="01FCB24E" w:rsidR="00F93A3E" w:rsidRPr="00F82CB8" w:rsidRDefault="00692663" w:rsidP="00F93A3E">
      <w:pPr>
        <w:pStyle w:val="Reminder"/>
        <w:rPr>
          <w:rFonts w:cstheme="minorHAnsi"/>
        </w:rPr>
      </w:pPr>
      <m:oMathPara>
        <m:oMath>
          <m:r>
            <w:rPr>
              <w:rFonts w:ascii="Cambria Math" w:hAnsi="Cambria Math" w:cstheme="minorHAnsi"/>
              <w:color w:val="auto"/>
            </w:rPr>
            <m:t>Part Load Ratio (%)=</m:t>
          </m:r>
          <m:f>
            <m:fPr>
              <m:ctrlPr>
                <w:rPr>
                  <w:rFonts w:ascii="Cambria Math" w:hAnsi="Cambria Math" w:cstheme="minorHAnsi"/>
                  <w:color w:val="auto"/>
                </w:rPr>
              </m:ctrlPr>
            </m:fPr>
            <m:num>
              <m:r>
                <w:rPr>
                  <w:rFonts w:ascii="Cambria Math" w:hAnsi="Cambria Math" w:cstheme="minorHAnsi"/>
                  <w:color w:val="auto"/>
                </w:rPr>
                <m:t>Cooling Load(</m:t>
              </m:r>
              <m:f>
                <m:fPr>
                  <m:ctrlPr>
                    <w:rPr>
                      <w:rFonts w:ascii="Cambria Math" w:hAnsi="Cambria Math" w:cstheme="minorHAnsi"/>
                      <w:color w:val="auto"/>
                    </w:rPr>
                  </m:ctrlPr>
                </m:fPr>
                <m:num>
                  <m:r>
                    <w:rPr>
                      <w:rFonts w:ascii="Cambria Math" w:hAnsi="Cambria Math" w:cstheme="minorHAnsi"/>
                      <w:color w:val="auto"/>
                    </w:rPr>
                    <m:t>Btu</m:t>
                  </m:r>
                </m:num>
                <m:den>
                  <m:r>
                    <w:rPr>
                      <w:rFonts w:ascii="Cambria Math" w:hAnsi="Cambria Math" w:cstheme="minorHAnsi"/>
                      <w:color w:val="auto"/>
                    </w:rPr>
                    <m:t>hr</m:t>
                  </m:r>
                </m:den>
              </m:f>
              <m:r>
                <w:rPr>
                  <w:rFonts w:ascii="Cambria Math" w:hAnsi="Cambria Math" w:cstheme="minorHAnsi"/>
                  <w:color w:val="auto"/>
                </w:rPr>
                <m:t>)</m:t>
              </m:r>
            </m:num>
            <m:den>
              <m:r>
                <w:rPr>
                  <w:rFonts w:ascii="Cambria Math" w:hAnsi="Cambria Math" w:cstheme="minorHAnsi"/>
                  <w:color w:val="auto"/>
                </w:rPr>
                <m:t>AC Cooling Capacity (</m:t>
              </m:r>
              <m:f>
                <m:fPr>
                  <m:ctrlPr>
                    <w:rPr>
                      <w:rFonts w:ascii="Cambria Math" w:hAnsi="Cambria Math" w:cstheme="minorHAnsi"/>
                      <w:color w:val="auto"/>
                    </w:rPr>
                  </m:ctrlPr>
                </m:fPr>
                <m:num>
                  <m:r>
                    <w:rPr>
                      <w:rFonts w:ascii="Cambria Math" w:hAnsi="Cambria Math" w:cstheme="minorHAnsi"/>
                      <w:color w:val="auto"/>
                    </w:rPr>
                    <m:t>Btu</m:t>
                  </m:r>
                </m:num>
                <m:den>
                  <m:r>
                    <w:rPr>
                      <w:rFonts w:ascii="Cambria Math" w:hAnsi="Cambria Math" w:cstheme="minorHAnsi"/>
                      <w:color w:val="auto"/>
                    </w:rPr>
                    <m:t>hr</m:t>
                  </m:r>
                </m:den>
              </m:f>
              <m:r>
                <w:rPr>
                  <w:rFonts w:ascii="Cambria Math" w:hAnsi="Cambria Math" w:cstheme="minorHAnsi"/>
                  <w:color w:val="auto"/>
                </w:rPr>
                <m:t>)</m:t>
              </m:r>
            </m:den>
          </m:f>
        </m:oMath>
      </m:oMathPara>
    </w:p>
    <w:p w14:paraId="206E38AC" w14:textId="77777777" w:rsidR="00692663" w:rsidRDefault="00692663" w:rsidP="00F93A3E">
      <w:pPr>
        <w:pStyle w:val="Reminder"/>
        <w:ind w:firstLine="720"/>
        <w:rPr>
          <w:rFonts w:ascii="Calibri" w:hAnsi="Calibri" w:cs="Calibri"/>
          <w:i w:val="0"/>
          <w:color w:val="auto"/>
        </w:rPr>
      </w:pPr>
    </w:p>
    <w:p w14:paraId="20F912C9" w14:textId="3F11942C" w:rsidR="00F93A3E" w:rsidRPr="00F82CB8" w:rsidRDefault="00F93A3E" w:rsidP="00F93A3E">
      <w:pPr>
        <w:pStyle w:val="Reminder"/>
        <w:ind w:firstLine="720"/>
        <w:rPr>
          <w:rFonts w:ascii="Calibri" w:hAnsi="Calibri" w:cs="Calibri"/>
          <w:i w:val="0"/>
          <w:color w:val="auto"/>
        </w:rPr>
      </w:pPr>
      <w:r w:rsidRPr="00F82CB8">
        <w:rPr>
          <w:rFonts w:ascii="Calibri" w:hAnsi="Calibri" w:cs="Calibri"/>
          <w:i w:val="0"/>
          <w:color w:val="auto"/>
        </w:rPr>
        <w:t>For a sample calculation considered in Step 8, PLR:</w:t>
      </w:r>
    </w:p>
    <w:p w14:paraId="0E5266D7" w14:textId="5B23DF79" w:rsidR="00F93A3E" w:rsidRPr="00F82CB8" w:rsidRDefault="00F93A3E" w:rsidP="00F93A3E">
      <w:pPr>
        <w:pStyle w:val="Reminder"/>
        <w:jc w:val="center"/>
        <w:rPr>
          <w:rFonts w:cstheme="minorHAnsi"/>
          <w:i w:val="0"/>
          <w:color w:val="auto"/>
        </w:rPr>
      </w:pPr>
      <m:oMathPara>
        <m:oMath>
          <m:r>
            <w:rPr>
              <w:rFonts w:ascii="Cambria Math" w:hAnsi="Cambria Math" w:cstheme="minorHAnsi"/>
              <w:color w:val="auto"/>
            </w:rPr>
            <m:t>13.4%=</m:t>
          </m:r>
          <m:f>
            <m:fPr>
              <m:ctrlPr>
                <w:rPr>
                  <w:rFonts w:ascii="Cambria Math" w:hAnsi="Cambria Math" w:cstheme="minorHAnsi"/>
                  <w:color w:val="auto"/>
                </w:rPr>
              </m:ctrlPr>
            </m:fPr>
            <m:num>
              <m:r>
                <w:rPr>
                  <w:rFonts w:ascii="Cambria Math" w:hAnsi="Cambria Math" w:cstheme="minorHAnsi"/>
                  <w:color w:val="auto"/>
                </w:rPr>
                <m:t>4,033.32 (</m:t>
              </m:r>
              <m:f>
                <m:fPr>
                  <m:ctrlPr>
                    <w:rPr>
                      <w:rFonts w:ascii="Cambria Math" w:hAnsi="Cambria Math" w:cstheme="minorHAnsi"/>
                      <w:color w:val="auto"/>
                    </w:rPr>
                  </m:ctrlPr>
                </m:fPr>
                <m:num>
                  <m:r>
                    <w:rPr>
                      <w:rFonts w:ascii="Cambria Math" w:hAnsi="Cambria Math" w:cstheme="minorHAnsi"/>
                      <w:color w:val="auto"/>
                    </w:rPr>
                    <m:t>Btu</m:t>
                  </m:r>
                </m:num>
                <m:den>
                  <m:r>
                    <w:rPr>
                      <w:rFonts w:ascii="Cambria Math" w:hAnsi="Cambria Math" w:cstheme="minorHAnsi"/>
                      <w:color w:val="auto"/>
                    </w:rPr>
                    <m:t>hr</m:t>
                  </m:r>
                </m:den>
              </m:f>
              <m:r>
                <w:rPr>
                  <w:rFonts w:ascii="Cambria Math" w:hAnsi="Cambria Math" w:cstheme="minorHAnsi"/>
                  <w:color w:val="auto"/>
                </w:rPr>
                <m:t>)</m:t>
              </m:r>
            </m:num>
            <m:den>
              <m:r>
                <w:rPr>
                  <w:rFonts w:ascii="Cambria Math" w:hAnsi="Cambria Math" w:cstheme="minorHAnsi"/>
                  <w:color w:val="auto"/>
                </w:rPr>
                <m:t>30,120.6 (</m:t>
              </m:r>
              <m:f>
                <m:fPr>
                  <m:ctrlPr>
                    <w:rPr>
                      <w:rFonts w:ascii="Cambria Math" w:hAnsi="Cambria Math" w:cstheme="minorHAnsi"/>
                      <w:color w:val="auto"/>
                    </w:rPr>
                  </m:ctrlPr>
                </m:fPr>
                <m:num>
                  <m:r>
                    <w:rPr>
                      <w:rFonts w:ascii="Cambria Math" w:hAnsi="Cambria Math" w:cstheme="minorHAnsi"/>
                      <w:color w:val="auto"/>
                    </w:rPr>
                    <m:t>Btu</m:t>
                  </m:r>
                </m:num>
                <m:den>
                  <m:r>
                    <w:rPr>
                      <w:rFonts w:ascii="Cambria Math" w:hAnsi="Cambria Math" w:cstheme="minorHAnsi"/>
                      <w:color w:val="auto"/>
                    </w:rPr>
                    <m:t>hr</m:t>
                  </m:r>
                </m:den>
              </m:f>
              <m:r>
                <w:rPr>
                  <w:rFonts w:ascii="Cambria Math" w:hAnsi="Cambria Math" w:cstheme="minorHAnsi"/>
                  <w:color w:val="auto"/>
                </w:rPr>
                <m:t>)</m:t>
              </m:r>
            </m:den>
          </m:f>
        </m:oMath>
      </m:oMathPara>
    </w:p>
    <w:p w14:paraId="7C7B52C2" w14:textId="77777777" w:rsidR="00F82CB8" w:rsidRDefault="00F82CB8" w:rsidP="00F82CB8">
      <w:pPr>
        <w:pStyle w:val="ListParagraph"/>
        <w:jc w:val="both"/>
      </w:pPr>
    </w:p>
    <w:p w14:paraId="0A3FF3F7" w14:textId="77777777" w:rsidR="00F93A3E" w:rsidRPr="00C53445" w:rsidRDefault="00F93A3E" w:rsidP="00F93A3E">
      <w:pPr>
        <w:pStyle w:val="ListParagraph"/>
        <w:numPr>
          <w:ilvl w:val="0"/>
          <w:numId w:val="44"/>
        </w:numPr>
        <w:jc w:val="both"/>
      </w:pPr>
      <w:r w:rsidRPr="00C53445">
        <w:t>The following figure (Figure 1) from the ET Study [Attachment 1] plots the Percentage of Energy Savings against the Part Load Ratio. The logarithmic curve fit relation is listed on the top right of the figure below.</w:t>
      </w:r>
    </w:p>
    <w:p w14:paraId="527F0480" w14:textId="77777777" w:rsidR="00F93A3E" w:rsidRPr="00B41B61" w:rsidRDefault="00F93A3E" w:rsidP="00F93A3E">
      <w:pPr>
        <w:pStyle w:val="Reminder"/>
        <w:jc w:val="center"/>
        <w:rPr>
          <w:rFonts w:eastAsia="Arial"/>
        </w:rPr>
      </w:pPr>
      <w:r>
        <w:rPr>
          <w:i w:val="0"/>
          <w:noProof/>
        </w:rPr>
        <w:lastRenderedPageBreak/>
        <w:drawing>
          <wp:inline distT="0" distB="0" distL="0" distR="0" wp14:anchorId="6252D1A8" wp14:editId="1E41F2D3">
            <wp:extent cx="3463611" cy="2448951"/>
            <wp:effectExtent l="0" t="0" r="381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77684" cy="2458902"/>
                    </a:xfrm>
                    <a:prstGeom prst="rect">
                      <a:avLst/>
                    </a:prstGeom>
                  </pic:spPr>
                </pic:pic>
              </a:graphicData>
            </a:graphic>
          </wp:inline>
        </w:drawing>
      </w:r>
    </w:p>
    <w:p w14:paraId="6DDC7E0F" w14:textId="77777777" w:rsidR="00F93A3E" w:rsidRPr="008E2922" w:rsidRDefault="00F93A3E" w:rsidP="00F93A3E">
      <w:pPr>
        <w:jc w:val="center"/>
        <w:rPr>
          <w:rFonts w:ascii="Arial" w:eastAsia="Arial" w:hAnsi="Arial"/>
          <w:b/>
          <w:i/>
          <w:color w:val="000000" w:themeColor="text1"/>
          <w:sz w:val="20"/>
          <w:szCs w:val="20"/>
        </w:rPr>
      </w:pPr>
      <w:r w:rsidRPr="008E2922">
        <w:rPr>
          <w:rFonts w:ascii="Arial" w:eastAsia="Arial" w:hAnsi="Arial"/>
          <w:b/>
          <w:color w:val="000000" w:themeColor="text1"/>
          <w:sz w:val="20"/>
          <w:szCs w:val="20"/>
        </w:rPr>
        <w:t>Figure 1</w:t>
      </w:r>
    </w:p>
    <w:p w14:paraId="5199B671" w14:textId="4D4AB9C0" w:rsidR="00692663" w:rsidRDefault="00F93A3E" w:rsidP="00692663">
      <w:pPr>
        <w:pStyle w:val="ListParagraph"/>
        <w:numPr>
          <w:ilvl w:val="0"/>
          <w:numId w:val="44"/>
        </w:numPr>
        <w:jc w:val="both"/>
      </w:pPr>
      <w:r w:rsidRPr="00C53445">
        <w:t>Once the Part Load Ratio (PLR) is obtained using equation 2, equation 3 applies the logarithmic curve fit of percentage of energy savings versus part load ratio determined from laboratory testing.</w:t>
      </w:r>
    </w:p>
    <w:p w14:paraId="46C4DE08" w14:textId="77777777" w:rsidR="001F4649" w:rsidRDefault="001F4649" w:rsidP="00F82CB8">
      <w:pPr>
        <w:pStyle w:val="ListParagraph"/>
        <w:jc w:val="both"/>
      </w:pPr>
    </w:p>
    <w:p w14:paraId="51C5821C" w14:textId="77777777" w:rsidR="00692663" w:rsidRPr="00C53445" w:rsidRDefault="00692663" w:rsidP="00F82CB8">
      <w:pPr>
        <w:ind w:left="360"/>
        <w:jc w:val="both"/>
      </w:pPr>
    </w:p>
    <w:p w14:paraId="3FFAEBBE" w14:textId="77777777" w:rsidR="00F93A3E" w:rsidRPr="00F82CB8" w:rsidRDefault="00F93A3E" w:rsidP="00F93A3E">
      <w:pPr>
        <w:pStyle w:val="Reminder"/>
        <w:rPr>
          <w:rFonts w:ascii="Calibri" w:hAnsi="Calibri" w:cs="Calibri"/>
          <w:b/>
          <w:i w:val="0"/>
        </w:rPr>
      </w:pPr>
      <w:r>
        <w:rPr>
          <w:rFonts w:cstheme="minorHAnsi"/>
          <w:b/>
        </w:rPr>
        <w:t xml:space="preserve">              </w:t>
      </w:r>
      <w:r w:rsidRPr="00F82CB8">
        <w:rPr>
          <w:rFonts w:ascii="Calibri" w:hAnsi="Calibri" w:cs="Calibri"/>
          <w:b/>
          <w:i w:val="0"/>
          <w:color w:val="auto"/>
        </w:rPr>
        <w:t>Equation 3</w:t>
      </w:r>
    </w:p>
    <w:p w14:paraId="1832B5D6" w14:textId="77777777" w:rsidR="00F93A3E" w:rsidRPr="00F82CB8" w:rsidRDefault="00F93A3E" w:rsidP="00F93A3E">
      <w:pPr>
        <w:pStyle w:val="Reminder"/>
        <w:rPr>
          <w:rFonts w:cstheme="minorHAnsi"/>
          <w:i w:val="0"/>
          <w:color w:val="auto"/>
        </w:rPr>
      </w:pPr>
      <m:oMathPara>
        <m:oMath>
          <m:r>
            <w:rPr>
              <w:rFonts w:ascii="Cambria Math" w:hAnsi="Cambria Math" w:cstheme="minorHAnsi"/>
              <w:color w:val="auto"/>
            </w:rPr>
            <m:t xml:space="preserve">AC Energy Savings </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 xml:space="preserve">=Total Baseline Energy Usage </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×(-0.2</m:t>
          </m:r>
          <m:func>
            <m:funcPr>
              <m:ctrlPr>
                <w:rPr>
                  <w:rFonts w:ascii="Cambria Math" w:hAnsi="Cambria Math" w:cstheme="minorHAnsi"/>
                  <w:color w:val="auto"/>
                </w:rPr>
              </m:ctrlPr>
            </m:funcPr>
            <m:fName>
              <m:r>
                <w:rPr>
                  <w:rFonts w:ascii="Cambria Math" w:hAnsi="Cambria Math" w:cstheme="minorHAnsi"/>
                  <w:color w:val="auto"/>
                </w:rPr>
                <m:t>ln</m:t>
              </m:r>
            </m:fName>
            <m:e>
              <m:d>
                <m:dPr>
                  <m:ctrlPr>
                    <w:rPr>
                      <w:rFonts w:ascii="Cambria Math" w:hAnsi="Cambria Math" w:cstheme="minorHAnsi"/>
                      <w:color w:val="auto"/>
                    </w:rPr>
                  </m:ctrlPr>
                </m:dPr>
                <m:e>
                  <m:r>
                    <w:rPr>
                      <w:rFonts w:ascii="Cambria Math" w:hAnsi="Cambria Math" w:cstheme="minorHAnsi"/>
                      <w:color w:val="auto"/>
                    </w:rPr>
                    <m:t>PLR</m:t>
                  </m:r>
                </m:e>
              </m:d>
            </m:e>
          </m:func>
          <m:r>
            <w:rPr>
              <w:rFonts w:ascii="Cambria Math" w:hAnsi="Cambria Math" w:cstheme="minorHAnsi"/>
              <w:color w:val="auto"/>
            </w:rPr>
            <m:t>+0.0006)</m:t>
          </m:r>
        </m:oMath>
      </m:oMathPara>
    </w:p>
    <w:p w14:paraId="27CA544A" w14:textId="77777777" w:rsidR="00692663" w:rsidRDefault="00692663" w:rsidP="00F93A3E">
      <w:pPr>
        <w:pStyle w:val="Reminder"/>
        <w:ind w:firstLine="720"/>
        <w:rPr>
          <w:rFonts w:asciiTheme="minorHAnsi" w:hAnsiTheme="minorHAnsi" w:cstheme="minorHAnsi"/>
          <w:i w:val="0"/>
          <w:color w:val="auto"/>
        </w:rPr>
      </w:pPr>
    </w:p>
    <w:p w14:paraId="4849C6AD" w14:textId="77777777" w:rsidR="00692663" w:rsidRDefault="00692663" w:rsidP="00F93A3E">
      <w:pPr>
        <w:pStyle w:val="Reminder"/>
        <w:ind w:firstLine="720"/>
        <w:rPr>
          <w:rFonts w:asciiTheme="minorHAnsi" w:hAnsiTheme="minorHAnsi" w:cstheme="minorHAnsi"/>
          <w:i w:val="0"/>
          <w:color w:val="auto"/>
        </w:rPr>
      </w:pPr>
    </w:p>
    <w:p w14:paraId="6C76961A" w14:textId="181066F0" w:rsidR="00F93A3E" w:rsidRPr="00F82CB8" w:rsidRDefault="00F93A3E" w:rsidP="00F93A3E">
      <w:pPr>
        <w:pStyle w:val="Reminder"/>
        <w:ind w:firstLine="720"/>
        <w:rPr>
          <w:rFonts w:asciiTheme="minorHAnsi" w:hAnsiTheme="minorHAnsi" w:cstheme="minorHAnsi"/>
          <w:i w:val="0"/>
          <w:color w:val="auto"/>
        </w:rPr>
      </w:pPr>
      <w:r w:rsidRPr="00F82CB8">
        <w:rPr>
          <w:rFonts w:asciiTheme="minorHAnsi" w:hAnsiTheme="minorHAnsi" w:cstheme="minorHAnsi"/>
          <w:i w:val="0"/>
          <w:color w:val="auto"/>
        </w:rPr>
        <w:t>For a sample calculation considered in Step 8, hourly energy saving is:</w:t>
      </w:r>
    </w:p>
    <w:p w14:paraId="1C69489A" w14:textId="4205D545" w:rsidR="00F93A3E" w:rsidRPr="00F82CB8" w:rsidRDefault="00F93A3E" w:rsidP="00F93A3E">
      <w:pPr>
        <w:pStyle w:val="Reminder"/>
        <w:rPr>
          <w:rFonts w:cstheme="minorHAnsi"/>
          <w:i w:val="0"/>
          <w:color w:val="auto"/>
        </w:rPr>
      </w:pPr>
      <m:oMathPara>
        <m:oMath>
          <m:r>
            <w:rPr>
              <w:rFonts w:ascii="Cambria Math" w:hAnsi="Cambria Math" w:cstheme="minorHAnsi"/>
              <w:color w:val="auto"/>
            </w:rPr>
            <m:t xml:space="preserve">0.11 </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 xml:space="preserve">=0.28 </m:t>
          </m:r>
          <m:d>
            <m:dPr>
              <m:ctrlPr>
                <w:rPr>
                  <w:rFonts w:ascii="Cambria Math" w:hAnsi="Cambria Math" w:cstheme="minorHAnsi"/>
                  <w:color w:val="auto"/>
                </w:rPr>
              </m:ctrlPr>
            </m:dPr>
            <m:e>
              <m:r>
                <w:rPr>
                  <w:rFonts w:ascii="Cambria Math" w:hAnsi="Cambria Math" w:cstheme="minorHAnsi"/>
                  <w:color w:val="auto"/>
                </w:rPr>
                <m:t>kWh</m:t>
              </m:r>
            </m:e>
          </m:d>
          <m:r>
            <w:rPr>
              <w:rFonts w:ascii="Cambria Math" w:hAnsi="Cambria Math" w:cstheme="minorHAnsi"/>
              <w:color w:val="auto"/>
            </w:rPr>
            <m:t>×(-0.2</m:t>
          </m:r>
          <m:func>
            <m:funcPr>
              <m:ctrlPr>
                <w:rPr>
                  <w:rFonts w:ascii="Cambria Math" w:hAnsi="Cambria Math" w:cstheme="minorHAnsi"/>
                  <w:color w:val="auto"/>
                </w:rPr>
              </m:ctrlPr>
            </m:funcPr>
            <m:fName>
              <m:r>
                <w:rPr>
                  <w:rFonts w:ascii="Cambria Math" w:hAnsi="Cambria Math" w:cstheme="minorHAnsi"/>
                  <w:color w:val="auto"/>
                </w:rPr>
                <m:t>ln</m:t>
              </m:r>
            </m:fName>
            <m:e>
              <m:d>
                <m:dPr>
                  <m:ctrlPr>
                    <w:rPr>
                      <w:rFonts w:ascii="Cambria Math" w:hAnsi="Cambria Math" w:cstheme="minorHAnsi"/>
                      <w:color w:val="auto"/>
                    </w:rPr>
                  </m:ctrlPr>
                </m:dPr>
                <m:e>
                  <m:r>
                    <w:rPr>
                      <w:rFonts w:ascii="Cambria Math" w:hAnsi="Cambria Math" w:cstheme="minorHAnsi"/>
                      <w:color w:val="auto"/>
                    </w:rPr>
                    <m:t>0.134</m:t>
                  </m:r>
                </m:e>
              </m:d>
            </m:e>
          </m:func>
          <m:r>
            <w:rPr>
              <w:rFonts w:ascii="Cambria Math" w:hAnsi="Cambria Math" w:cstheme="minorHAnsi"/>
              <w:color w:val="auto"/>
            </w:rPr>
            <m:t>+0.0006)</m:t>
          </m:r>
        </m:oMath>
      </m:oMathPara>
    </w:p>
    <w:p w14:paraId="2B5165E8" w14:textId="77777777" w:rsidR="00692663" w:rsidRDefault="00692663" w:rsidP="00F93A3E">
      <w:pPr>
        <w:pStyle w:val="Reminder"/>
        <w:ind w:left="720"/>
        <w:jc w:val="both"/>
        <w:rPr>
          <w:rFonts w:asciiTheme="minorHAnsi" w:hAnsiTheme="minorHAnsi"/>
          <w:i w:val="0"/>
          <w:color w:val="auto"/>
        </w:rPr>
      </w:pPr>
    </w:p>
    <w:p w14:paraId="0E12F7D1" w14:textId="5157AB3F" w:rsidR="00F93A3E" w:rsidRPr="00F82CB8" w:rsidRDefault="00F93A3E" w:rsidP="00F93A3E">
      <w:pPr>
        <w:pStyle w:val="Reminder"/>
        <w:ind w:left="720"/>
        <w:jc w:val="both"/>
        <w:rPr>
          <w:rFonts w:asciiTheme="minorHAnsi" w:hAnsiTheme="minorHAnsi"/>
          <w:i w:val="0"/>
          <w:color w:val="auto"/>
        </w:rPr>
      </w:pPr>
      <w:r w:rsidRPr="00F82CB8">
        <w:rPr>
          <w:rFonts w:asciiTheme="minorHAnsi" w:hAnsiTheme="minorHAnsi"/>
          <w:i w:val="0"/>
          <w:color w:val="auto"/>
        </w:rPr>
        <w:t xml:space="preserve">The result from equation 3 is AC energy savings for each hour. This number is summed for all hours of the year to obtain the total energy savings. Each zone has a separate split AC-system based on how the DEER prototypes are modeled and results are obtained for each zone. </w:t>
      </w:r>
    </w:p>
    <w:p w14:paraId="08B9C56D" w14:textId="77777777" w:rsidR="00F93A3E" w:rsidRPr="00F82CB8" w:rsidRDefault="00F93A3E" w:rsidP="00F93A3E">
      <w:pPr>
        <w:pStyle w:val="Reminder"/>
        <w:ind w:left="720"/>
        <w:jc w:val="both"/>
        <w:rPr>
          <w:rFonts w:asciiTheme="minorHAnsi" w:hAnsiTheme="minorHAnsi"/>
          <w:i w:val="0"/>
          <w:color w:val="auto"/>
        </w:rPr>
      </w:pPr>
      <w:r w:rsidRPr="00F82CB8">
        <w:rPr>
          <w:rFonts w:asciiTheme="minorHAnsi" w:hAnsiTheme="minorHAnsi"/>
          <w:i w:val="0"/>
          <w:color w:val="auto"/>
        </w:rPr>
        <w:t>Reiterating, there are 2 systems (N-S, E-W orientations) in double-wide mobile homes, 4 systems in single-family homes (single-story, two-story, two orientations), and 28 systems in multi-family homes (two-story buildings with 14 units, two orientations). The results obtained for each of the building prototypes are averaged to obtain one representative savings number per building type. This averaged savings number obtained is the kWh/year saved per unit for each respective building type and climate zone.</w:t>
      </w:r>
    </w:p>
    <w:p w14:paraId="59D7986C" w14:textId="29FE20FD" w:rsidR="00F93A3E" w:rsidRDefault="00F93A3E" w:rsidP="00F93A3E">
      <w:pPr>
        <w:pStyle w:val="ListParagraph"/>
        <w:numPr>
          <w:ilvl w:val="0"/>
          <w:numId w:val="44"/>
        </w:numPr>
        <w:jc w:val="both"/>
      </w:pPr>
      <w:r w:rsidRPr="00C53445">
        <w:t>Demand savings are evaluated using ex-ante DEER2014 peak demand definition and procedures. As per step 10, the hourly values of AC energy savings were available for 8,760 hours, demand reduction was calculated by summing the total AC energy savings consumed during the peak demand period for the specific summer weekday periods respective to each climate zone, 2:00 PM to 5:00 PM. The total energy consumption during this period was then divided by nine, the number of peak hours, as shown in equation 4. This is repeated for each zone and all the obtained peak demand reduction values are averaged resulting in one kW reduction value for each building type and climate zone.</w:t>
      </w:r>
    </w:p>
    <w:p w14:paraId="154460E8" w14:textId="77777777" w:rsidR="008C307F" w:rsidRPr="00C53445" w:rsidRDefault="008C307F" w:rsidP="00F82CB8">
      <w:pPr>
        <w:pStyle w:val="ListParagraph"/>
        <w:jc w:val="both"/>
      </w:pPr>
    </w:p>
    <w:p w14:paraId="3EFF5F6B" w14:textId="77777777" w:rsidR="00F93A3E" w:rsidRPr="00F82CB8" w:rsidRDefault="00F93A3E" w:rsidP="00F93A3E">
      <w:pPr>
        <w:pStyle w:val="Reminder"/>
        <w:ind w:left="720"/>
        <w:rPr>
          <w:rFonts w:asciiTheme="minorHAnsi" w:hAnsiTheme="minorHAnsi" w:cstheme="minorHAnsi"/>
          <w:b/>
          <w:i w:val="0"/>
          <w:color w:val="auto"/>
        </w:rPr>
      </w:pPr>
      <w:r w:rsidRPr="00F82CB8">
        <w:rPr>
          <w:rFonts w:asciiTheme="minorHAnsi" w:hAnsiTheme="minorHAnsi" w:cstheme="minorHAnsi"/>
          <w:b/>
          <w:i w:val="0"/>
          <w:color w:val="auto"/>
        </w:rPr>
        <w:lastRenderedPageBreak/>
        <w:t>Equation 4</w:t>
      </w:r>
    </w:p>
    <w:p w14:paraId="65FC7332" w14:textId="77777777" w:rsidR="00F93A3E" w:rsidRPr="00F82CB8" w:rsidRDefault="00F93A3E" w:rsidP="00F93A3E">
      <w:pPr>
        <w:pStyle w:val="Reminder"/>
        <w:ind w:left="360"/>
        <w:rPr>
          <w:rFonts w:cstheme="minorHAnsi"/>
          <w:i w:val="0"/>
          <w:color w:val="auto"/>
        </w:rPr>
      </w:pPr>
      <m:oMathPara>
        <m:oMath>
          <m:r>
            <w:rPr>
              <w:rFonts w:ascii="Cambria Math" w:hAnsi="Cambria Math" w:cstheme="minorHAnsi"/>
              <w:color w:val="auto"/>
            </w:rPr>
            <m:t xml:space="preserve">Demand Reduction </m:t>
          </m:r>
          <m:d>
            <m:dPr>
              <m:ctrlPr>
                <w:rPr>
                  <w:rFonts w:ascii="Cambria Math" w:hAnsi="Cambria Math" w:cstheme="minorHAnsi"/>
                  <w:color w:val="auto"/>
                </w:rPr>
              </m:ctrlPr>
            </m:dPr>
            <m:e>
              <m:r>
                <w:rPr>
                  <w:rFonts w:ascii="Cambria Math" w:hAnsi="Cambria Math" w:cstheme="minorHAnsi"/>
                  <w:color w:val="auto"/>
                </w:rPr>
                <m:t>kW</m:t>
              </m:r>
            </m:e>
          </m:d>
          <m:r>
            <w:rPr>
              <w:rFonts w:ascii="Cambria Math" w:hAnsi="Cambria Math" w:cstheme="minorHAnsi"/>
              <w:color w:val="auto"/>
            </w:rPr>
            <m:t>=</m:t>
          </m:r>
          <m:f>
            <m:fPr>
              <m:ctrlPr>
                <w:rPr>
                  <w:rFonts w:ascii="Cambria Math" w:hAnsi="Cambria Math" w:cstheme="minorHAnsi"/>
                  <w:color w:val="auto"/>
                </w:rPr>
              </m:ctrlPr>
            </m:fPr>
            <m:num>
              <m:nary>
                <m:naryPr>
                  <m:chr m:val="∑"/>
                  <m:limLoc m:val="undOvr"/>
                  <m:subHide m:val="1"/>
                  <m:supHide m:val="1"/>
                  <m:ctrlPr>
                    <w:rPr>
                      <w:rFonts w:ascii="Cambria Math" w:hAnsi="Cambria Math" w:cstheme="minorHAnsi"/>
                      <w:color w:val="auto"/>
                    </w:rPr>
                  </m:ctrlPr>
                </m:naryPr>
                <m:sub/>
                <m:sup/>
                <m:e>
                  <m:r>
                    <w:rPr>
                      <w:rFonts w:ascii="Cambria Math" w:hAnsi="Cambria Math" w:cstheme="minorHAnsi"/>
                      <w:color w:val="auto"/>
                    </w:rPr>
                    <m:t>AC Energy Savings During Peak Period(kWh)</m:t>
                  </m:r>
                </m:e>
              </m:nary>
            </m:num>
            <m:den>
              <m:r>
                <w:rPr>
                  <w:rFonts w:ascii="Cambria Math" w:hAnsi="Cambria Math" w:cstheme="minorHAnsi"/>
                  <w:color w:val="auto"/>
                </w:rPr>
                <m:t>Total Hours in Peak Period (hr)</m:t>
              </m:r>
            </m:den>
          </m:f>
        </m:oMath>
      </m:oMathPara>
    </w:p>
    <w:p w14:paraId="53F7E6C7" w14:textId="77777777" w:rsidR="008C307F" w:rsidRDefault="008C307F">
      <w:pPr>
        <w:pStyle w:val="Reminder"/>
        <w:ind w:left="720"/>
        <w:jc w:val="both"/>
        <w:rPr>
          <w:rFonts w:asciiTheme="minorHAnsi" w:hAnsiTheme="minorHAnsi"/>
          <w:i w:val="0"/>
          <w:color w:val="auto"/>
        </w:rPr>
      </w:pPr>
    </w:p>
    <w:p w14:paraId="20DC3183" w14:textId="7B465355" w:rsidR="00F93A3E" w:rsidRPr="00F82CB8" w:rsidRDefault="00F93A3E" w:rsidP="00F82CB8">
      <w:pPr>
        <w:pStyle w:val="Reminder"/>
        <w:ind w:left="720"/>
        <w:jc w:val="both"/>
        <w:rPr>
          <w:rFonts w:asciiTheme="minorHAnsi" w:hAnsiTheme="minorHAnsi"/>
          <w:i w:val="0"/>
          <w:color w:val="auto"/>
        </w:rPr>
      </w:pPr>
      <w:r w:rsidRPr="00F82CB8">
        <w:rPr>
          <w:rFonts w:asciiTheme="minorHAnsi" w:hAnsiTheme="minorHAnsi"/>
          <w:i w:val="0"/>
          <w:color w:val="auto"/>
        </w:rPr>
        <w:t xml:space="preserve">Refer to the following attachments for detailed energy savings and demand reduction calculations. </w:t>
      </w:r>
    </w:p>
    <w:p w14:paraId="3A643B18" w14:textId="79A6985F" w:rsidR="00F93A3E" w:rsidRDefault="00F93A3E" w:rsidP="00F93A3E">
      <w:pPr>
        <w:pStyle w:val="ListParagraph"/>
        <w:numPr>
          <w:ilvl w:val="0"/>
          <w:numId w:val="46"/>
        </w:numPr>
        <w:rPr>
          <w:rFonts w:cstheme="minorHAnsi"/>
          <w:szCs w:val="22"/>
        </w:rPr>
      </w:pPr>
      <w:r>
        <w:rPr>
          <w:rFonts w:cstheme="minorHAnsi"/>
        </w:rPr>
        <w:t>SCE17HC052.</w:t>
      </w:r>
      <w:r w:rsidR="008A635C">
        <w:rPr>
          <w:rFonts w:cstheme="minorHAnsi"/>
        </w:rPr>
        <w:t>0</w:t>
      </w:r>
      <w:r>
        <w:rPr>
          <w:rFonts w:cstheme="minorHAnsi"/>
        </w:rPr>
        <w:t xml:space="preserve"> A2 - Annual</w:t>
      </w:r>
      <w:r w:rsidRPr="007B2011">
        <w:rPr>
          <w:rFonts w:cstheme="minorHAnsi"/>
          <w:szCs w:val="22"/>
        </w:rPr>
        <w:t xml:space="preserve"> Energy </w:t>
      </w:r>
      <w:proofErr w:type="spellStart"/>
      <w:r w:rsidRPr="007B2011">
        <w:rPr>
          <w:rFonts w:cstheme="minorHAnsi"/>
          <w:szCs w:val="22"/>
        </w:rPr>
        <w:t>Savings_</w:t>
      </w:r>
      <w:r w:rsidR="005356F3">
        <w:rPr>
          <w:rFonts w:cstheme="minorHAnsi"/>
          <w:szCs w:val="22"/>
        </w:rPr>
        <w:t>FDC</w:t>
      </w:r>
      <w:proofErr w:type="spellEnd"/>
      <w:r w:rsidR="005356F3" w:rsidRPr="007B2011">
        <w:rPr>
          <w:rFonts w:cstheme="minorHAnsi"/>
          <w:szCs w:val="22"/>
        </w:rPr>
        <w:t xml:space="preserve"> </w:t>
      </w:r>
      <w:r w:rsidRPr="007B2011">
        <w:rPr>
          <w:rFonts w:cstheme="minorHAnsi"/>
          <w:szCs w:val="22"/>
        </w:rPr>
        <w:t>SFM _2018</w:t>
      </w:r>
      <w:r>
        <w:rPr>
          <w:rFonts w:cstheme="minorHAnsi"/>
          <w:szCs w:val="22"/>
        </w:rPr>
        <w:t>.xlsx</w:t>
      </w:r>
      <w:r w:rsidRPr="00995D55">
        <w:rPr>
          <w:rFonts w:cstheme="minorHAnsi"/>
          <w:szCs w:val="22"/>
        </w:rPr>
        <w:t xml:space="preserve"> (</w:t>
      </w:r>
      <w:r w:rsidRPr="00995D55">
        <w:rPr>
          <w:rFonts w:cstheme="minorHAnsi"/>
          <w:b/>
          <w:szCs w:val="22"/>
        </w:rPr>
        <w:t>available upon request due to size</w:t>
      </w:r>
      <w:r w:rsidRPr="00995D55">
        <w:rPr>
          <w:rFonts w:cstheme="minorHAnsi"/>
          <w:szCs w:val="22"/>
        </w:rPr>
        <w:t>)</w:t>
      </w:r>
    </w:p>
    <w:p w14:paraId="323BCCA7" w14:textId="073078B0" w:rsidR="00F93A3E" w:rsidRDefault="00F93A3E" w:rsidP="00F93A3E">
      <w:pPr>
        <w:pStyle w:val="ListParagraph"/>
        <w:numPr>
          <w:ilvl w:val="0"/>
          <w:numId w:val="46"/>
        </w:numPr>
        <w:rPr>
          <w:rFonts w:cstheme="minorHAnsi"/>
          <w:szCs w:val="22"/>
        </w:rPr>
      </w:pPr>
      <w:r>
        <w:rPr>
          <w:rFonts w:cstheme="minorHAnsi"/>
        </w:rPr>
        <w:t>SCE17HC052.</w:t>
      </w:r>
      <w:r w:rsidR="008A635C">
        <w:rPr>
          <w:rFonts w:cstheme="minorHAnsi"/>
        </w:rPr>
        <w:t>0</w:t>
      </w:r>
      <w:r>
        <w:rPr>
          <w:rFonts w:cstheme="minorHAnsi"/>
        </w:rPr>
        <w:t xml:space="preserve"> A3 - </w:t>
      </w:r>
      <w:r w:rsidRPr="007B2011">
        <w:rPr>
          <w:rFonts w:cstheme="minorHAnsi"/>
          <w:szCs w:val="22"/>
        </w:rPr>
        <w:t xml:space="preserve">Annual Energy </w:t>
      </w:r>
      <w:proofErr w:type="spellStart"/>
      <w:r w:rsidRPr="007B2011">
        <w:rPr>
          <w:rFonts w:cstheme="minorHAnsi"/>
          <w:szCs w:val="22"/>
        </w:rPr>
        <w:t>Savings_</w:t>
      </w:r>
      <w:r w:rsidR="005356F3">
        <w:rPr>
          <w:rFonts w:cstheme="minorHAnsi"/>
          <w:szCs w:val="22"/>
        </w:rPr>
        <w:t>FDC</w:t>
      </w:r>
      <w:proofErr w:type="spellEnd"/>
      <w:r w:rsidR="005356F3" w:rsidRPr="007B2011">
        <w:rPr>
          <w:rFonts w:cstheme="minorHAnsi"/>
          <w:szCs w:val="22"/>
        </w:rPr>
        <w:t xml:space="preserve"> </w:t>
      </w:r>
      <w:r w:rsidRPr="007B2011">
        <w:rPr>
          <w:rFonts w:cstheme="minorHAnsi"/>
          <w:szCs w:val="22"/>
        </w:rPr>
        <w:t>MFM_2018</w:t>
      </w:r>
      <w:r>
        <w:rPr>
          <w:rFonts w:cstheme="minorHAnsi"/>
          <w:szCs w:val="22"/>
        </w:rPr>
        <w:t>.xlsx</w:t>
      </w:r>
      <w:r w:rsidRPr="00995D55">
        <w:rPr>
          <w:rFonts w:cstheme="minorHAnsi"/>
          <w:szCs w:val="22"/>
        </w:rPr>
        <w:t xml:space="preserve"> (</w:t>
      </w:r>
      <w:r w:rsidRPr="00995D55">
        <w:rPr>
          <w:rFonts w:cstheme="minorHAnsi"/>
          <w:b/>
          <w:szCs w:val="22"/>
        </w:rPr>
        <w:t>available upon request due to size</w:t>
      </w:r>
      <w:r w:rsidRPr="00995D55">
        <w:rPr>
          <w:rFonts w:cstheme="minorHAnsi"/>
          <w:szCs w:val="22"/>
        </w:rPr>
        <w:t>)</w:t>
      </w:r>
    </w:p>
    <w:p w14:paraId="3B2700B4" w14:textId="6992BB4C" w:rsidR="00F93A3E" w:rsidRDefault="00F93A3E" w:rsidP="00F93A3E">
      <w:pPr>
        <w:pStyle w:val="ListParagraph"/>
        <w:numPr>
          <w:ilvl w:val="0"/>
          <w:numId w:val="46"/>
        </w:numPr>
        <w:rPr>
          <w:rFonts w:cstheme="minorHAnsi"/>
          <w:szCs w:val="22"/>
        </w:rPr>
      </w:pPr>
      <w:r>
        <w:rPr>
          <w:rFonts w:cstheme="minorHAnsi"/>
        </w:rPr>
        <w:t>SCE17HC052.</w:t>
      </w:r>
      <w:r w:rsidR="008A635C">
        <w:rPr>
          <w:rFonts w:cstheme="minorHAnsi"/>
        </w:rPr>
        <w:t>0</w:t>
      </w:r>
      <w:r>
        <w:rPr>
          <w:rFonts w:cstheme="minorHAnsi"/>
        </w:rPr>
        <w:t xml:space="preserve"> A4 - </w:t>
      </w:r>
      <w:r w:rsidRPr="007B2011">
        <w:rPr>
          <w:rFonts w:cstheme="minorHAnsi"/>
          <w:szCs w:val="22"/>
        </w:rPr>
        <w:t xml:space="preserve">Annual Energy </w:t>
      </w:r>
      <w:proofErr w:type="spellStart"/>
      <w:r w:rsidRPr="007B2011">
        <w:rPr>
          <w:rFonts w:cstheme="minorHAnsi"/>
          <w:szCs w:val="22"/>
        </w:rPr>
        <w:t>Savings_</w:t>
      </w:r>
      <w:r w:rsidR="005356F3">
        <w:rPr>
          <w:rFonts w:cstheme="minorHAnsi"/>
          <w:szCs w:val="22"/>
        </w:rPr>
        <w:t>FDC</w:t>
      </w:r>
      <w:proofErr w:type="spellEnd"/>
      <w:r w:rsidR="005356F3" w:rsidRPr="007B2011">
        <w:rPr>
          <w:rFonts w:cstheme="minorHAnsi"/>
          <w:szCs w:val="22"/>
        </w:rPr>
        <w:t xml:space="preserve"> </w:t>
      </w:r>
      <w:r w:rsidRPr="007B2011">
        <w:rPr>
          <w:rFonts w:cstheme="minorHAnsi"/>
          <w:szCs w:val="22"/>
        </w:rPr>
        <w:t>DMO_2018</w:t>
      </w:r>
      <w:r>
        <w:rPr>
          <w:rFonts w:cstheme="minorHAnsi"/>
          <w:szCs w:val="22"/>
        </w:rPr>
        <w:t>.xlsx</w:t>
      </w:r>
      <w:r w:rsidRPr="00995D55">
        <w:rPr>
          <w:rFonts w:cstheme="minorHAnsi"/>
          <w:szCs w:val="22"/>
        </w:rPr>
        <w:t xml:space="preserve"> (</w:t>
      </w:r>
      <w:r w:rsidRPr="00995D55">
        <w:rPr>
          <w:rFonts w:cstheme="minorHAnsi"/>
          <w:b/>
          <w:szCs w:val="22"/>
        </w:rPr>
        <w:t>available upon request due to size</w:t>
      </w:r>
      <w:r w:rsidRPr="00995D55">
        <w:rPr>
          <w:rFonts w:cstheme="minorHAnsi"/>
          <w:szCs w:val="22"/>
        </w:rPr>
        <w:t>)</w:t>
      </w:r>
    </w:p>
    <w:p w14:paraId="59128D50" w14:textId="77777777" w:rsidR="00F93A3E" w:rsidRPr="00F93A3E" w:rsidRDefault="00F93A3E" w:rsidP="00F82CB8"/>
    <w:p w14:paraId="540F9BF1" w14:textId="77777777" w:rsidR="00E16609" w:rsidRPr="00500C4E" w:rsidRDefault="00E16609" w:rsidP="00E16609">
      <w:pPr>
        <w:pStyle w:val="Heading1"/>
        <w:keepNext w:val="0"/>
        <w:rPr>
          <w:rFonts w:cstheme="minorHAnsi"/>
        </w:rPr>
      </w:pPr>
      <w:bookmarkStart w:id="18" w:name="_Toc214003093"/>
      <w:bookmarkEnd w:id="17"/>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8"/>
      <w:r w:rsidRPr="00500C4E">
        <w:rPr>
          <w:rFonts w:cstheme="minorHAnsi"/>
        </w:rPr>
        <w:t>s</w:t>
      </w:r>
    </w:p>
    <w:p w14:paraId="75DE5B11" w14:textId="27F5097D" w:rsidR="000173BF" w:rsidRDefault="008F2167">
      <w:pPr>
        <w:jc w:val="both"/>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7E79BAC7" w14:textId="1EFF513E" w:rsidR="001F4649" w:rsidRDefault="001F4649">
      <w:pPr>
        <w:jc w:val="both"/>
        <w:rPr>
          <w:rFonts w:cstheme="minorHAnsi"/>
          <w:szCs w:val="22"/>
        </w:rPr>
      </w:pPr>
    </w:p>
    <w:p w14:paraId="43DC6F32" w14:textId="77777777" w:rsidR="001F4649" w:rsidRPr="00500C4E" w:rsidRDefault="001F4649" w:rsidP="00F82CB8">
      <w:pPr>
        <w:jc w:val="both"/>
        <w:rPr>
          <w:rFonts w:cstheme="minorHAnsi"/>
          <w:szCs w:val="22"/>
        </w:rPr>
      </w:pPr>
    </w:p>
    <w:p w14:paraId="6E58984E" w14:textId="77777777" w:rsidR="00181172" w:rsidRPr="00500C4E" w:rsidRDefault="00181172" w:rsidP="00181172">
      <w:pPr>
        <w:pStyle w:val="Caption"/>
        <w:jc w:val="center"/>
        <w:rPr>
          <w:rFonts w:cstheme="minorHAnsi"/>
          <w:b w:val="0"/>
          <w:szCs w:val="22"/>
        </w:rPr>
      </w:pPr>
      <w:r w:rsidRPr="00500C4E">
        <w:rPr>
          <w:rFonts w:cstheme="minorHAnsi"/>
          <w:szCs w:val="22"/>
        </w:rPr>
        <w:t>Building Types and Load Shapes</w:t>
      </w:r>
    </w:p>
    <w:tbl>
      <w:tblPr>
        <w:tblStyle w:val="TableGrid1"/>
        <w:tblW w:w="5000" w:type="pct"/>
        <w:tblLook w:val="01E0" w:firstRow="1" w:lastRow="1" w:firstColumn="1" w:lastColumn="1" w:noHBand="0" w:noVBand="0"/>
      </w:tblPr>
      <w:tblGrid>
        <w:gridCol w:w="3685"/>
        <w:gridCol w:w="2796"/>
        <w:gridCol w:w="2869"/>
      </w:tblGrid>
      <w:tr w:rsidR="00181172" w:rsidRPr="00500C4E" w14:paraId="76EBBC0E" w14:textId="77777777" w:rsidTr="00422A0A">
        <w:tc>
          <w:tcPr>
            <w:tcW w:w="1971" w:type="pct"/>
            <w:shd w:val="clear" w:color="auto" w:fill="D9D9D9" w:themeFill="background1" w:themeFillShade="D9"/>
          </w:tcPr>
          <w:p w14:paraId="57D7CF5C" w14:textId="77777777" w:rsidR="00181172" w:rsidRPr="00920905" w:rsidRDefault="00181172" w:rsidP="00422A0A">
            <w:pPr>
              <w:rPr>
                <w:rFonts w:cstheme="minorHAnsi"/>
                <w:b/>
                <w:szCs w:val="20"/>
                <w:highlight w:val="yellow"/>
              </w:rPr>
            </w:pPr>
            <w:r w:rsidRPr="00920905">
              <w:rPr>
                <w:rFonts w:cstheme="minorHAnsi"/>
                <w:b/>
                <w:szCs w:val="20"/>
              </w:rPr>
              <w:t>Building Type</w:t>
            </w:r>
          </w:p>
        </w:tc>
        <w:tc>
          <w:tcPr>
            <w:tcW w:w="1495" w:type="pct"/>
            <w:shd w:val="clear" w:color="auto" w:fill="D9D9D9" w:themeFill="background1" w:themeFillShade="D9"/>
          </w:tcPr>
          <w:p w14:paraId="0D3AF356" w14:textId="77777777" w:rsidR="00181172" w:rsidRPr="00920905" w:rsidRDefault="00181172" w:rsidP="00422A0A">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995E7D6" w14:textId="77777777" w:rsidR="00181172" w:rsidRPr="00920905" w:rsidRDefault="00181172" w:rsidP="00422A0A">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181172" w:rsidRPr="00500C4E" w14:paraId="04EAA0B9" w14:textId="77777777" w:rsidTr="00422A0A">
        <w:tc>
          <w:tcPr>
            <w:tcW w:w="1971" w:type="pct"/>
          </w:tcPr>
          <w:p w14:paraId="4C9A5195" w14:textId="77777777" w:rsidR="00181172" w:rsidRPr="002A3D26" w:rsidRDefault="00181172" w:rsidP="00422A0A">
            <w:pPr>
              <w:rPr>
                <w:rFonts w:cstheme="minorHAnsi"/>
                <w:szCs w:val="20"/>
              </w:rPr>
            </w:pPr>
            <w:r>
              <w:rPr>
                <w:rFonts w:cstheme="minorHAnsi"/>
                <w:szCs w:val="20"/>
              </w:rPr>
              <w:t>Residential – Double-Wide Mobile Home</w:t>
            </w:r>
          </w:p>
        </w:tc>
        <w:tc>
          <w:tcPr>
            <w:tcW w:w="1495" w:type="pct"/>
          </w:tcPr>
          <w:p w14:paraId="57389B91" w14:textId="77777777" w:rsidR="00181172" w:rsidRPr="00107184" w:rsidRDefault="00181172" w:rsidP="00422A0A">
            <w:pPr>
              <w:rPr>
                <w:rFonts w:cstheme="minorHAnsi"/>
                <w:szCs w:val="20"/>
              </w:rPr>
            </w:pPr>
            <w:r w:rsidRPr="005E103B">
              <w:rPr>
                <w:rFonts w:cstheme="minorHAnsi"/>
                <w:szCs w:val="20"/>
              </w:rPr>
              <w:t>DEER:HVAC_EFF_AC</w:t>
            </w:r>
          </w:p>
        </w:tc>
        <w:tc>
          <w:tcPr>
            <w:tcW w:w="1535" w:type="pct"/>
          </w:tcPr>
          <w:p w14:paraId="31B4ECBB" w14:textId="77777777" w:rsidR="00181172" w:rsidRPr="00107184" w:rsidRDefault="00181172" w:rsidP="00422A0A">
            <w:pPr>
              <w:rPr>
                <w:rFonts w:cstheme="minorHAnsi"/>
                <w:szCs w:val="20"/>
              </w:rPr>
            </w:pPr>
            <w:r>
              <w:rPr>
                <w:rFonts w:cstheme="minorHAnsi"/>
                <w:szCs w:val="20"/>
              </w:rPr>
              <w:t>RES</w:t>
            </w:r>
          </w:p>
        </w:tc>
      </w:tr>
      <w:tr w:rsidR="00181172" w:rsidRPr="00500C4E" w14:paraId="29C1ABDA" w14:textId="77777777" w:rsidTr="00422A0A">
        <w:tc>
          <w:tcPr>
            <w:tcW w:w="1971" w:type="pct"/>
          </w:tcPr>
          <w:p w14:paraId="38248411" w14:textId="77777777" w:rsidR="00181172" w:rsidRPr="002A3D26" w:rsidRDefault="00181172" w:rsidP="00422A0A">
            <w:pPr>
              <w:rPr>
                <w:rFonts w:cstheme="minorHAnsi"/>
                <w:szCs w:val="20"/>
              </w:rPr>
            </w:pPr>
            <w:r>
              <w:rPr>
                <w:rFonts w:cstheme="minorHAnsi"/>
                <w:szCs w:val="20"/>
              </w:rPr>
              <w:t>Residential – Multi-Family</w:t>
            </w:r>
          </w:p>
        </w:tc>
        <w:tc>
          <w:tcPr>
            <w:tcW w:w="1495" w:type="pct"/>
          </w:tcPr>
          <w:p w14:paraId="6BEB561E" w14:textId="77777777" w:rsidR="00181172" w:rsidRPr="00107184" w:rsidRDefault="00181172" w:rsidP="00422A0A">
            <w:pPr>
              <w:rPr>
                <w:rFonts w:cstheme="minorHAnsi"/>
                <w:szCs w:val="20"/>
              </w:rPr>
            </w:pPr>
            <w:r w:rsidRPr="005E103B">
              <w:rPr>
                <w:rFonts w:cstheme="minorHAnsi"/>
                <w:szCs w:val="20"/>
              </w:rPr>
              <w:t>DEER:HVAC_EFF_AC</w:t>
            </w:r>
          </w:p>
        </w:tc>
        <w:tc>
          <w:tcPr>
            <w:tcW w:w="1535" w:type="pct"/>
          </w:tcPr>
          <w:p w14:paraId="3E53A3DA" w14:textId="77777777" w:rsidR="00181172" w:rsidRPr="00107184" w:rsidRDefault="00181172" w:rsidP="00422A0A">
            <w:pPr>
              <w:rPr>
                <w:rFonts w:cstheme="minorHAnsi"/>
                <w:szCs w:val="20"/>
              </w:rPr>
            </w:pPr>
            <w:r>
              <w:rPr>
                <w:rFonts w:cstheme="minorHAnsi"/>
                <w:szCs w:val="20"/>
              </w:rPr>
              <w:t>RES</w:t>
            </w:r>
          </w:p>
        </w:tc>
      </w:tr>
      <w:tr w:rsidR="00181172" w:rsidRPr="00500C4E" w14:paraId="7010B957" w14:textId="77777777" w:rsidTr="00422A0A">
        <w:tc>
          <w:tcPr>
            <w:tcW w:w="1971" w:type="pct"/>
          </w:tcPr>
          <w:p w14:paraId="05EA92E1" w14:textId="77777777" w:rsidR="00181172" w:rsidRPr="002A3D26" w:rsidRDefault="00181172" w:rsidP="00422A0A">
            <w:pPr>
              <w:rPr>
                <w:rFonts w:cstheme="minorHAnsi"/>
                <w:szCs w:val="20"/>
              </w:rPr>
            </w:pPr>
            <w:r>
              <w:rPr>
                <w:rFonts w:cstheme="minorHAnsi"/>
                <w:szCs w:val="20"/>
              </w:rPr>
              <w:t>Residential – Single Family</w:t>
            </w:r>
          </w:p>
        </w:tc>
        <w:tc>
          <w:tcPr>
            <w:tcW w:w="1495" w:type="pct"/>
          </w:tcPr>
          <w:p w14:paraId="13117C8F" w14:textId="77777777" w:rsidR="00181172" w:rsidRPr="00107184" w:rsidRDefault="00181172" w:rsidP="00422A0A">
            <w:pPr>
              <w:rPr>
                <w:rFonts w:cstheme="minorHAnsi"/>
                <w:szCs w:val="20"/>
              </w:rPr>
            </w:pPr>
            <w:r w:rsidRPr="005E103B">
              <w:rPr>
                <w:rFonts w:cstheme="minorHAnsi"/>
                <w:szCs w:val="20"/>
              </w:rPr>
              <w:t>DEER:HVAC_EFF_AC</w:t>
            </w:r>
          </w:p>
        </w:tc>
        <w:tc>
          <w:tcPr>
            <w:tcW w:w="1535" w:type="pct"/>
          </w:tcPr>
          <w:p w14:paraId="20E443FB" w14:textId="77777777" w:rsidR="00181172" w:rsidRPr="00107184" w:rsidRDefault="00181172" w:rsidP="00422A0A">
            <w:pPr>
              <w:rPr>
                <w:rFonts w:cstheme="minorHAnsi"/>
                <w:szCs w:val="20"/>
              </w:rPr>
            </w:pPr>
            <w:r>
              <w:rPr>
                <w:rFonts w:cstheme="minorHAnsi"/>
                <w:szCs w:val="20"/>
              </w:rPr>
              <w:t>RES</w:t>
            </w:r>
          </w:p>
        </w:tc>
      </w:tr>
    </w:tbl>
    <w:p w14:paraId="4CA3318C" w14:textId="77777777" w:rsidR="005552C3" w:rsidRDefault="00F95E2F" w:rsidP="00920905">
      <w:pPr>
        <w:pStyle w:val="Heading1"/>
      </w:pPr>
      <w:r>
        <w:t>Section 4. Costs</w:t>
      </w:r>
    </w:p>
    <w:p w14:paraId="2BB093EA"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3027397F" w14:textId="04287B77" w:rsidR="00181172" w:rsidRPr="008A60F7" w:rsidRDefault="00181172" w:rsidP="00F82CB8">
      <w:pPr>
        <w:jc w:val="both"/>
        <w:rPr>
          <w:rFonts w:cstheme="minorHAnsi"/>
          <w:szCs w:val="22"/>
        </w:rPr>
      </w:pPr>
      <w:bookmarkStart w:id="21" w:name="_Toc214003098"/>
      <w:r w:rsidRPr="008A60F7">
        <w:rPr>
          <w:rFonts w:cstheme="minorHAnsi"/>
          <w:szCs w:val="22"/>
        </w:rPr>
        <w:t xml:space="preserve">For REA measures, </w:t>
      </w:r>
      <w:r>
        <w:rPr>
          <w:rFonts w:cstheme="minorHAnsi"/>
          <w:szCs w:val="22"/>
        </w:rPr>
        <w:t xml:space="preserve">there is no </w:t>
      </w:r>
      <w:r w:rsidRPr="008A60F7">
        <w:rPr>
          <w:rFonts w:cstheme="minorHAnsi"/>
          <w:szCs w:val="22"/>
        </w:rPr>
        <w:t xml:space="preserve">base case cost </w:t>
      </w:r>
      <w:r>
        <w:rPr>
          <w:rFonts w:cstheme="minorHAnsi"/>
          <w:szCs w:val="22"/>
        </w:rPr>
        <w:t xml:space="preserve">as the measure is being added onto the existing </w:t>
      </w:r>
      <w:r w:rsidR="00687CAC">
        <w:rPr>
          <w:rFonts w:cstheme="minorHAnsi"/>
          <w:szCs w:val="22"/>
        </w:rPr>
        <w:t xml:space="preserve">host </w:t>
      </w:r>
      <w:r>
        <w:rPr>
          <w:rFonts w:cstheme="minorHAnsi"/>
          <w:szCs w:val="22"/>
        </w:rPr>
        <w:t>equipment</w:t>
      </w:r>
      <w:r w:rsidRPr="008A60F7">
        <w:rPr>
          <w:rFonts w:cstheme="minorHAnsi"/>
          <w:szCs w:val="22"/>
        </w:rPr>
        <w:t>.</w:t>
      </w:r>
    </w:p>
    <w:p w14:paraId="6BD58D88" w14:textId="77777777" w:rsidR="005A0E53" w:rsidRPr="00500C4E" w:rsidRDefault="005A0E53" w:rsidP="00F82CB8">
      <w:pPr>
        <w:pStyle w:val="Heading2"/>
        <w:jc w:val="both"/>
        <w:rPr>
          <w:rFonts w:asciiTheme="minorHAnsi" w:hAnsiTheme="minorHAnsi" w:cstheme="minorHAnsi"/>
        </w:rPr>
      </w:pPr>
      <w:r w:rsidRPr="00500C4E">
        <w:rPr>
          <w:rFonts w:asciiTheme="minorHAnsi" w:hAnsiTheme="minorHAnsi" w:cstheme="minorHAnsi"/>
        </w:rPr>
        <w:t>4.2 Measure Case Cost</w:t>
      </w:r>
    </w:p>
    <w:p w14:paraId="57CB0502" w14:textId="3D2837C3" w:rsidR="00F7017A" w:rsidRPr="002C4DD0" w:rsidRDefault="00AE266C" w:rsidP="00CB1C07">
      <w:pPr>
        <w:spacing w:before="40" w:after="40"/>
        <w:jc w:val="both"/>
        <w:rPr>
          <w:rFonts w:cstheme="minorHAnsi"/>
          <w:szCs w:val="22"/>
        </w:rPr>
      </w:pPr>
      <w:r w:rsidRPr="00A97630">
        <w:rPr>
          <w:rFonts w:cstheme="minorHAnsi"/>
          <w:szCs w:val="22"/>
        </w:rPr>
        <w:t>The measure equipment material cost</w:t>
      </w:r>
      <w:r w:rsidR="00A97630" w:rsidRPr="00A97630">
        <w:rPr>
          <w:rFonts w:cstheme="minorHAnsi"/>
          <w:szCs w:val="22"/>
        </w:rPr>
        <w:t xml:space="preserve"> was determined by </w:t>
      </w:r>
      <w:r w:rsidR="00F610A8">
        <w:rPr>
          <w:rFonts w:cstheme="minorHAnsi"/>
          <w:szCs w:val="22"/>
        </w:rPr>
        <w:t>contacting manufacturers of</w:t>
      </w:r>
      <w:r w:rsidR="00F610A8" w:rsidRPr="00A97630">
        <w:rPr>
          <w:rFonts w:cstheme="minorHAnsi"/>
          <w:szCs w:val="22"/>
        </w:rPr>
        <w:t xml:space="preserve"> </w:t>
      </w:r>
      <w:r w:rsidR="00A97630" w:rsidRPr="00A97630">
        <w:rPr>
          <w:rFonts w:cstheme="minorHAnsi"/>
          <w:szCs w:val="22"/>
        </w:rPr>
        <w:t xml:space="preserve">commercially available </w:t>
      </w:r>
      <w:r w:rsidR="00F93A3E">
        <w:rPr>
          <w:rFonts w:cstheme="minorHAnsi"/>
          <w:szCs w:val="22"/>
        </w:rPr>
        <w:t xml:space="preserve">logic based </w:t>
      </w:r>
      <w:r w:rsidR="005356F3">
        <w:rPr>
          <w:rFonts w:cstheme="minorHAnsi"/>
          <w:szCs w:val="22"/>
        </w:rPr>
        <w:t>FDCs</w:t>
      </w:r>
      <w:r w:rsidR="00A97630" w:rsidRPr="00A97630">
        <w:rPr>
          <w:rFonts w:cstheme="minorHAnsi"/>
          <w:szCs w:val="22"/>
        </w:rPr>
        <w:t xml:space="preserve">. </w:t>
      </w:r>
      <w:r w:rsidR="005108B5">
        <w:rPr>
          <w:rFonts w:cstheme="minorHAnsi"/>
          <w:szCs w:val="22"/>
        </w:rPr>
        <w:t xml:space="preserve"> </w:t>
      </w:r>
      <w:r w:rsidR="00F610A8">
        <w:rPr>
          <w:rFonts w:cstheme="minorHAnsi"/>
          <w:szCs w:val="22"/>
        </w:rPr>
        <w:t>As per the manufacturers, t</w:t>
      </w:r>
      <w:r w:rsidR="00F610A8" w:rsidRPr="00A97630">
        <w:rPr>
          <w:rFonts w:cstheme="minorHAnsi"/>
          <w:szCs w:val="22"/>
        </w:rPr>
        <w:t xml:space="preserve">he </w:t>
      </w:r>
      <w:r w:rsidR="00A97630" w:rsidRPr="00A97630">
        <w:rPr>
          <w:rFonts w:cstheme="minorHAnsi"/>
          <w:szCs w:val="22"/>
        </w:rPr>
        <w:t>average</w:t>
      </w:r>
      <w:r w:rsidRPr="00A97630">
        <w:rPr>
          <w:rFonts w:cstheme="minorHAnsi"/>
          <w:szCs w:val="22"/>
        </w:rPr>
        <w:t xml:space="preserve"> price </w:t>
      </w:r>
      <w:r w:rsidR="00A97630" w:rsidRPr="00A97630">
        <w:rPr>
          <w:rFonts w:cstheme="minorHAnsi"/>
          <w:szCs w:val="22"/>
        </w:rPr>
        <w:t>was $</w:t>
      </w:r>
      <w:r w:rsidR="00261947">
        <w:rPr>
          <w:rFonts w:cstheme="minorHAnsi"/>
          <w:szCs w:val="22"/>
        </w:rPr>
        <w:t>50</w:t>
      </w:r>
      <w:r w:rsidR="00A97630" w:rsidRPr="00A97630">
        <w:rPr>
          <w:rFonts w:cstheme="minorHAnsi"/>
          <w:szCs w:val="22"/>
        </w:rPr>
        <w:t xml:space="preserve"> per controller</w:t>
      </w:r>
      <w:r w:rsidRPr="00F7017A">
        <w:rPr>
          <w:rFonts w:cstheme="minorHAnsi"/>
          <w:szCs w:val="22"/>
        </w:rPr>
        <w:t>.</w:t>
      </w:r>
      <w:r w:rsidR="00F7017A" w:rsidRPr="00F7017A">
        <w:rPr>
          <w:rFonts w:cstheme="minorHAnsi"/>
          <w:szCs w:val="22"/>
        </w:rPr>
        <w:t xml:space="preserve"> </w:t>
      </w:r>
      <w:r w:rsidR="00F610A8">
        <w:rPr>
          <w:rFonts w:cstheme="minorHAnsi"/>
          <w:szCs w:val="22"/>
        </w:rPr>
        <w:t>The details of the m</w:t>
      </w:r>
      <w:r w:rsidR="00F610A8" w:rsidRPr="00F7017A">
        <w:rPr>
          <w:rFonts w:cstheme="minorHAnsi"/>
          <w:szCs w:val="22"/>
        </w:rPr>
        <w:t>ake</w:t>
      </w:r>
      <w:r w:rsidR="00F7017A" w:rsidRPr="00F7017A">
        <w:rPr>
          <w:rFonts w:cstheme="minorHAnsi"/>
          <w:szCs w:val="22"/>
        </w:rPr>
        <w:t>, model, and cost of the controllers can be found in</w:t>
      </w:r>
      <w:r w:rsidR="002C4DD0">
        <w:rPr>
          <w:rFonts w:cstheme="minorHAnsi"/>
          <w:szCs w:val="22"/>
        </w:rPr>
        <w:t xml:space="preserve"> </w:t>
      </w:r>
      <w:r w:rsidR="00F610A8" w:rsidRPr="00F610A8">
        <w:rPr>
          <w:rFonts w:cstheme="minorHAnsi"/>
          <w:szCs w:val="22"/>
        </w:rPr>
        <w:t>SCE17HC052</w:t>
      </w:r>
      <w:r w:rsidR="00F93A3E">
        <w:rPr>
          <w:rFonts w:cstheme="minorHAnsi"/>
          <w:szCs w:val="22"/>
        </w:rPr>
        <w:t>.</w:t>
      </w:r>
      <w:r w:rsidR="006749DA">
        <w:rPr>
          <w:rFonts w:cstheme="minorHAnsi"/>
          <w:szCs w:val="22"/>
        </w:rPr>
        <w:t>0</w:t>
      </w:r>
      <w:r w:rsidR="00F610A8" w:rsidRPr="00F610A8">
        <w:rPr>
          <w:rFonts w:cstheme="minorHAnsi"/>
          <w:szCs w:val="22"/>
        </w:rPr>
        <w:t xml:space="preserve"> Cost</w:t>
      </w:r>
      <w:r w:rsidR="006749DA">
        <w:rPr>
          <w:rFonts w:cstheme="minorHAnsi"/>
          <w:szCs w:val="22"/>
        </w:rPr>
        <w:t xml:space="preserve"> References</w:t>
      </w:r>
      <w:r w:rsidR="00F610A8">
        <w:rPr>
          <w:rFonts w:cstheme="minorHAnsi"/>
          <w:szCs w:val="22"/>
        </w:rPr>
        <w:t>.xlsx [</w:t>
      </w:r>
      <w:r w:rsidR="002C4DD0">
        <w:rPr>
          <w:rFonts w:cstheme="minorHAnsi"/>
          <w:szCs w:val="22"/>
        </w:rPr>
        <w:t xml:space="preserve">Attachment </w:t>
      </w:r>
      <w:r w:rsidR="00E97D3E">
        <w:rPr>
          <w:rFonts w:cstheme="minorHAnsi"/>
          <w:szCs w:val="22"/>
        </w:rPr>
        <w:t>6</w:t>
      </w:r>
      <w:r w:rsidR="00F610A8">
        <w:rPr>
          <w:rFonts w:cstheme="minorHAnsi"/>
          <w:szCs w:val="22"/>
        </w:rPr>
        <w:t>]</w:t>
      </w:r>
      <w:r w:rsidR="006A3044">
        <w:rPr>
          <w:rFonts w:cstheme="minorHAnsi"/>
          <w:szCs w:val="22"/>
        </w:rPr>
        <w:t>.</w:t>
      </w:r>
      <w:r w:rsidR="00F610A8">
        <w:rPr>
          <w:rFonts w:cstheme="minorHAnsi"/>
          <w:szCs w:val="22"/>
        </w:rPr>
        <w:t xml:space="preserve"> </w:t>
      </w:r>
      <w:r w:rsidR="00F7017A" w:rsidRPr="002C4DD0">
        <w:rPr>
          <w:rFonts w:cstheme="minorHAnsi"/>
          <w:szCs w:val="22"/>
        </w:rPr>
        <w:t xml:space="preserve">The measure labor cost was determined from </w:t>
      </w:r>
      <w:r w:rsidR="00A83293" w:rsidRPr="00A83293">
        <w:rPr>
          <w:rFonts w:cstheme="minorHAnsi"/>
          <w:szCs w:val="22"/>
        </w:rPr>
        <w:t>2018 RS Means Electrical Cost Data Handbook [504]</w:t>
      </w:r>
      <w:r w:rsidR="00F7017A" w:rsidRPr="002C4DD0">
        <w:rPr>
          <w:rFonts w:cstheme="minorHAnsi"/>
          <w:i/>
          <w:szCs w:val="22"/>
        </w:rPr>
        <w:t>.</w:t>
      </w:r>
      <w:r w:rsidR="00F7017A" w:rsidRPr="002C4DD0">
        <w:rPr>
          <w:rFonts w:cstheme="minorHAnsi"/>
          <w:szCs w:val="22"/>
        </w:rPr>
        <w:t xml:space="preserve"> </w:t>
      </w:r>
      <w:r w:rsidR="00F93A3E">
        <w:rPr>
          <w:rFonts w:cstheme="minorHAnsi"/>
          <w:szCs w:val="22"/>
        </w:rPr>
        <w:t>Based on the experience of SCE programs, t</w:t>
      </w:r>
      <w:r w:rsidR="00B969BC" w:rsidRPr="00B969BC">
        <w:rPr>
          <w:rFonts w:cstheme="minorHAnsi"/>
          <w:szCs w:val="22"/>
        </w:rPr>
        <w:t>he installation process including all pre and functional checks takes about 1 hour</w:t>
      </w:r>
      <w:r w:rsidR="00B969BC">
        <w:rPr>
          <w:rFonts w:cstheme="minorHAnsi"/>
          <w:szCs w:val="22"/>
        </w:rPr>
        <w:t xml:space="preserve">. </w:t>
      </w:r>
      <w:r w:rsidR="00B969BC" w:rsidRPr="00B969BC">
        <w:rPr>
          <w:rFonts w:cstheme="minorHAnsi"/>
          <w:szCs w:val="22"/>
        </w:rPr>
        <w:t>The average labor cost is determined to be $78/hour based on 2018 RS Means under low voltage controllers</w:t>
      </w:r>
      <w:r w:rsidR="00B969BC">
        <w:rPr>
          <w:rFonts w:cstheme="minorHAnsi"/>
          <w:szCs w:val="22"/>
        </w:rPr>
        <w:t>.</w:t>
      </w:r>
      <w:r w:rsidR="00B969BC" w:rsidRPr="00B969BC" w:rsidDel="00B969BC">
        <w:rPr>
          <w:rFonts w:cstheme="minorHAnsi"/>
          <w:szCs w:val="22"/>
        </w:rPr>
        <w:t xml:space="preserve"> </w:t>
      </w:r>
    </w:p>
    <w:p w14:paraId="228C0641" w14:textId="77777777" w:rsidR="00AE266C" w:rsidRPr="002C4DD0" w:rsidRDefault="00AE266C" w:rsidP="00AE266C">
      <w:pPr>
        <w:spacing w:before="40" w:after="40"/>
        <w:rPr>
          <w:rFonts w:cstheme="minorHAnsi"/>
          <w:szCs w:val="22"/>
        </w:rPr>
      </w:pPr>
    </w:p>
    <w:p w14:paraId="70D8ADFF" w14:textId="77777777" w:rsidR="00AE266C" w:rsidRPr="002C4DD0" w:rsidRDefault="00AE266C" w:rsidP="00AE266C">
      <w:pPr>
        <w:spacing w:before="40" w:after="40"/>
        <w:ind w:firstLine="720"/>
        <w:rPr>
          <w:rFonts w:cstheme="minorHAnsi"/>
          <w:szCs w:val="22"/>
        </w:rPr>
      </w:pPr>
      <w:r w:rsidRPr="002C4DD0">
        <w:rPr>
          <w:rFonts w:cstheme="minorHAnsi"/>
          <w:szCs w:val="22"/>
        </w:rPr>
        <w:t>Measure Case Cost= Measure Equipment Cost + Measure Labor Cost</w:t>
      </w:r>
    </w:p>
    <w:p w14:paraId="43980D4B" w14:textId="7FE62AFD" w:rsidR="00AE266C" w:rsidRPr="002C4DD0" w:rsidRDefault="00AE266C" w:rsidP="00AE266C">
      <w:pPr>
        <w:spacing w:before="40" w:after="40"/>
        <w:rPr>
          <w:rFonts w:cstheme="minorHAnsi"/>
          <w:szCs w:val="22"/>
        </w:rPr>
      </w:pPr>
      <w:r w:rsidRPr="002C4DD0">
        <w:rPr>
          <w:rFonts w:cstheme="minorHAnsi"/>
          <w:i/>
          <w:szCs w:val="22"/>
        </w:rPr>
        <w:tab/>
      </w:r>
      <w:r w:rsidR="00E1427E" w:rsidRPr="002C4DD0">
        <w:rPr>
          <w:rFonts w:cstheme="minorHAnsi"/>
          <w:szCs w:val="22"/>
        </w:rPr>
        <w:tab/>
        <w:t>= $</w:t>
      </w:r>
      <w:r w:rsidR="00261947">
        <w:rPr>
          <w:rFonts w:cstheme="minorHAnsi"/>
          <w:szCs w:val="22"/>
        </w:rPr>
        <w:t>50</w:t>
      </w:r>
      <w:r w:rsidR="001F4649">
        <w:rPr>
          <w:rFonts w:cstheme="minorHAnsi"/>
          <w:szCs w:val="22"/>
        </w:rPr>
        <w:t xml:space="preserve"> </w:t>
      </w:r>
      <w:r w:rsidRPr="002C4DD0">
        <w:rPr>
          <w:rFonts w:cstheme="minorHAnsi"/>
          <w:szCs w:val="22"/>
        </w:rPr>
        <w:t>+ $</w:t>
      </w:r>
      <w:r w:rsidR="00B969BC">
        <w:rPr>
          <w:rFonts w:cstheme="minorHAnsi"/>
          <w:szCs w:val="22"/>
        </w:rPr>
        <w:t>78</w:t>
      </w:r>
    </w:p>
    <w:p w14:paraId="3B42C140" w14:textId="3C0C212D" w:rsidR="00AE266C" w:rsidRPr="002C4DD0" w:rsidRDefault="002C4DD0" w:rsidP="00AE266C">
      <w:pPr>
        <w:spacing w:before="40" w:after="40"/>
        <w:rPr>
          <w:rFonts w:cstheme="minorHAnsi"/>
          <w:szCs w:val="22"/>
        </w:rPr>
      </w:pPr>
      <w:r w:rsidRPr="002C4DD0">
        <w:rPr>
          <w:rFonts w:cstheme="minorHAnsi"/>
          <w:szCs w:val="22"/>
        </w:rPr>
        <w:tab/>
      </w:r>
      <w:r w:rsidRPr="002C4DD0">
        <w:rPr>
          <w:rFonts w:cstheme="minorHAnsi"/>
          <w:szCs w:val="22"/>
        </w:rPr>
        <w:tab/>
        <w:t>= $</w:t>
      </w:r>
      <w:r w:rsidR="00B969BC">
        <w:rPr>
          <w:rFonts w:cstheme="minorHAnsi"/>
          <w:szCs w:val="22"/>
        </w:rPr>
        <w:t>128</w:t>
      </w:r>
      <w:r w:rsidR="00AE266C" w:rsidRPr="002C4DD0">
        <w:rPr>
          <w:rFonts w:cstheme="minorHAnsi"/>
          <w:szCs w:val="22"/>
        </w:rPr>
        <w:t>/unit</w:t>
      </w:r>
    </w:p>
    <w:p w14:paraId="0AFC8746" w14:textId="77777777" w:rsidR="00AE266C" w:rsidRPr="002C4DD0" w:rsidRDefault="00AE266C" w:rsidP="00AE266C">
      <w:pPr>
        <w:spacing w:before="40" w:after="40"/>
        <w:rPr>
          <w:rFonts w:cstheme="minorHAnsi"/>
          <w:szCs w:val="22"/>
        </w:rPr>
      </w:pPr>
    </w:p>
    <w:p w14:paraId="50E301E5"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2FCC9BD0"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0BE8AEA6" w14:textId="77777777" w:rsidTr="00051F9B">
        <w:tc>
          <w:tcPr>
            <w:tcW w:w="671" w:type="pct"/>
            <w:vMerge w:val="restart"/>
            <w:shd w:val="clear" w:color="auto" w:fill="D9D9D9" w:themeFill="background1" w:themeFillShade="D9"/>
          </w:tcPr>
          <w:p w14:paraId="57824A6F"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C6E764A"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4BCD949"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79F4E91C" w14:textId="77777777" w:rsidTr="00051F9B">
        <w:tc>
          <w:tcPr>
            <w:tcW w:w="671" w:type="pct"/>
            <w:vMerge/>
            <w:shd w:val="clear" w:color="auto" w:fill="D9D9D9" w:themeFill="background1" w:themeFillShade="D9"/>
          </w:tcPr>
          <w:p w14:paraId="7880C3C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7EE3D9A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6228BCE"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765A1C19"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379CE3D" w14:textId="77777777" w:rsidTr="00051F9B">
        <w:tc>
          <w:tcPr>
            <w:tcW w:w="671" w:type="pct"/>
          </w:tcPr>
          <w:p w14:paraId="439FC517" w14:textId="77777777" w:rsidR="00211153" w:rsidRPr="00920905" w:rsidRDefault="00211153" w:rsidP="00175D14">
            <w:pPr>
              <w:rPr>
                <w:rFonts w:cstheme="minorHAnsi"/>
                <w:szCs w:val="20"/>
              </w:rPr>
            </w:pPr>
            <w:r>
              <w:rPr>
                <w:rFonts w:cstheme="minorHAnsi"/>
                <w:szCs w:val="20"/>
              </w:rPr>
              <w:t>REA</w:t>
            </w:r>
          </w:p>
        </w:tc>
        <w:tc>
          <w:tcPr>
            <w:tcW w:w="1443" w:type="pct"/>
          </w:tcPr>
          <w:p w14:paraId="6358EF2D" w14:textId="77777777" w:rsidR="00211153" w:rsidRPr="00920905" w:rsidRDefault="00211153" w:rsidP="00175D14">
            <w:pPr>
              <w:rPr>
                <w:rFonts w:cstheme="minorHAnsi"/>
                <w:szCs w:val="20"/>
              </w:rPr>
            </w:pPr>
            <w:r>
              <w:rPr>
                <w:rFonts w:cstheme="minorHAnsi"/>
                <w:szCs w:val="20"/>
              </w:rPr>
              <w:t>MEC + MLC</w:t>
            </w:r>
          </w:p>
        </w:tc>
        <w:tc>
          <w:tcPr>
            <w:tcW w:w="1396" w:type="pct"/>
          </w:tcPr>
          <w:p w14:paraId="65DC79CC" w14:textId="77777777" w:rsidR="00211153" w:rsidRPr="00920905" w:rsidRDefault="00211153" w:rsidP="00175D14">
            <w:pPr>
              <w:rPr>
                <w:rFonts w:cstheme="minorHAnsi"/>
                <w:szCs w:val="20"/>
              </w:rPr>
            </w:pPr>
            <w:r>
              <w:rPr>
                <w:rFonts w:cstheme="minorHAnsi"/>
                <w:szCs w:val="20"/>
              </w:rPr>
              <w:t>MEC + MLC</w:t>
            </w:r>
          </w:p>
        </w:tc>
        <w:tc>
          <w:tcPr>
            <w:tcW w:w="1489" w:type="pct"/>
          </w:tcPr>
          <w:p w14:paraId="563968E4" w14:textId="77777777" w:rsidR="00211153" w:rsidRPr="00920905" w:rsidRDefault="00211153" w:rsidP="00175D14">
            <w:pPr>
              <w:rPr>
                <w:rFonts w:cstheme="minorHAnsi"/>
                <w:szCs w:val="20"/>
              </w:rPr>
            </w:pPr>
            <w:r>
              <w:rPr>
                <w:rFonts w:cstheme="minorHAnsi"/>
                <w:szCs w:val="20"/>
              </w:rPr>
              <w:t>N/A</w:t>
            </w:r>
          </w:p>
        </w:tc>
      </w:tr>
    </w:tbl>
    <w:p w14:paraId="22E9EB14"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02EC2DEB"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39AA4712" w14:textId="77777777" w:rsidR="00FF73B4" w:rsidRDefault="00FF73B4">
      <w:pPr>
        <w:rPr>
          <w:rFonts w:cs="Arial"/>
          <w:color w:val="FF0000"/>
          <w:szCs w:val="22"/>
        </w:rPr>
      </w:pPr>
    </w:p>
    <w:p w14:paraId="547547F2" w14:textId="77777777"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6FAF855C" w14:textId="77777777" w:rsidTr="00F474EF">
        <w:tc>
          <w:tcPr>
            <w:tcW w:w="587" w:type="pct"/>
            <w:vMerge w:val="restart"/>
            <w:shd w:val="clear" w:color="auto" w:fill="D9D9D9" w:themeFill="background1" w:themeFillShade="D9"/>
          </w:tcPr>
          <w:p w14:paraId="3255E78E" w14:textId="77777777"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24A107DB" w14:textId="77777777"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50B72B28"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1DFF8C21"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517313A3" w14:textId="77777777" w:rsidTr="00F474EF">
        <w:tc>
          <w:tcPr>
            <w:tcW w:w="587" w:type="pct"/>
            <w:vMerge/>
            <w:shd w:val="clear" w:color="auto" w:fill="D9D9D9" w:themeFill="background1" w:themeFillShade="D9"/>
          </w:tcPr>
          <w:p w14:paraId="3B9BFD2E"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A4C90C5" w14:textId="77777777" w:rsidR="00F474EF" w:rsidRPr="00DE77D0" w:rsidRDefault="00F474EF" w:rsidP="00175D14">
            <w:pPr>
              <w:rPr>
                <w:rFonts w:cstheme="minorHAnsi"/>
                <w:b/>
                <w:szCs w:val="20"/>
              </w:rPr>
            </w:pPr>
          </w:p>
        </w:tc>
        <w:tc>
          <w:tcPr>
            <w:tcW w:w="1266" w:type="pct"/>
            <w:vMerge/>
            <w:shd w:val="clear" w:color="auto" w:fill="D9D9D9" w:themeFill="background1" w:themeFillShade="D9"/>
          </w:tcPr>
          <w:p w14:paraId="165AC536"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334C74D2"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72A6BB7"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51F9B" w:rsidRPr="00500C4E" w14:paraId="72E008AB" w14:textId="77777777" w:rsidTr="00F474EF">
        <w:tc>
          <w:tcPr>
            <w:tcW w:w="587" w:type="pct"/>
          </w:tcPr>
          <w:p w14:paraId="46C52AFB" w14:textId="7243C3DE" w:rsidR="00051F9B" w:rsidRPr="00A23DAE" w:rsidRDefault="00051F9B" w:rsidP="00175D14">
            <w:pPr>
              <w:rPr>
                <w:rFonts w:cstheme="minorHAnsi"/>
                <w:szCs w:val="20"/>
              </w:rPr>
            </w:pPr>
            <w:r w:rsidRPr="00A23DAE">
              <w:rPr>
                <w:rFonts w:ascii="Calibri" w:hAnsi="Calibri" w:cs="Calibri"/>
                <w:szCs w:val="20"/>
              </w:rPr>
              <w:t>AC-</w:t>
            </w:r>
            <w:r w:rsidR="00B969BC">
              <w:rPr>
                <w:rFonts w:ascii="Calibri" w:hAnsi="Calibri" w:cs="Calibri"/>
                <w:szCs w:val="20"/>
              </w:rPr>
              <w:t>20510</w:t>
            </w:r>
          </w:p>
        </w:tc>
        <w:tc>
          <w:tcPr>
            <w:tcW w:w="618" w:type="pct"/>
          </w:tcPr>
          <w:p w14:paraId="150EC610" w14:textId="77777777" w:rsidR="00051F9B" w:rsidRPr="00A23DAE" w:rsidRDefault="00051F9B" w:rsidP="00175D14">
            <w:pPr>
              <w:rPr>
                <w:rFonts w:cstheme="minorHAnsi"/>
                <w:szCs w:val="20"/>
              </w:rPr>
            </w:pPr>
            <w:r w:rsidRPr="00A23DAE">
              <w:rPr>
                <w:rFonts w:cstheme="minorHAnsi"/>
                <w:szCs w:val="20"/>
              </w:rPr>
              <w:t>REA</w:t>
            </w:r>
          </w:p>
        </w:tc>
        <w:tc>
          <w:tcPr>
            <w:tcW w:w="1266" w:type="pct"/>
          </w:tcPr>
          <w:p w14:paraId="72D11659" w14:textId="2CBE09CB" w:rsidR="00051F9B" w:rsidRPr="00A23DAE" w:rsidRDefault="00051F9B" w:rsidP="00A97630">
            <w:pPr>
              <w:rPr>
                <w:rFonts w:cstheme="minorHAnsi"/>
                <w:szCs w:val="20"/>
              </w:rPr>
            </w:pPr>
            <w:r w:rsidRPr="00A23DAE">
              <w:rPr>
                <w:rFonts w:cstheme="minorHAnsi"/>
                <w:szCs w:val="20"/>
              </w:rPr>
              <w:t>$</w:t>
            </w:r>
            <w:r w:rsidR="00C75497">
              <w:rPr>
                <w:rFonts w:cstheme="minorHAnsi"/>
                <w:szCs w:val="20"/>
              </w:rPr>
              <w:t>1</w:t>
            </w:r>
            <w:r w:rsidR="00B969BC">
              <w:rPr>
                <w:rFonts w:cstheme="minorHAnsi"/>
                <w:szCs w:val="20"/>
              </w:rPr>
              <w:t>28</w:t>
            </w:r>
          </w:p>
        </w:tc>
        <w:tc>
          <w:tcPr>
            <w:tcW w:w="1225" w:type="pct"/>
          </w:tcPr>
          <w:p w14:paraId="5A53398F" w14:textId="118A8B30" w:rsidR="00051F9B" w:rsidRPr="00A23DAE" w:rsidRDefault="00A23DAE" w:rsidP="00A97630">
            <w:pPr>
              <w:rPr>
                <w:rFonts w:cstheme="minorHAnsi"/>
                <w:szCs w:val="20"/>
              </w:rPr>
            </w:pPr>
            <w:r w:rsidRPr="00A23DAE">
              <w:rPr>
                <w:rFonts w:cstheme="minorHAnsi"/>
                <w:szCs w:val="20"/>
              </w:rPr>
              <w:t>$</w:t>
            </w:r>
            <w:r w:rsidR="00C75497">
              <w:rPr>
                <w:rFonts w:cstheme="minorHAnsi"/>
                <w:szCs w:val="20"/>
              </w:rPr>
              <w:t>1</w:t>
            </w:r>
            <w:r w:rsidR="00B969BC">
              <w:rPr>
                <w:rFonts w:cstheme="minorHAnsi"/>
                <w:szCs w:val="20"/>
              </w:rPr>
              <w:t>28</w:t>
            </w:r>
          </w:p>
        </w:tc>
        <w:tc>
          <w:tcPr>
            <w:tcW w:w="1304" w:type="pct"/>
          </w:tcPr>
          <w:p w14:paraId="45D40C13" w14:textId="77777777" w:rsidR="00051F9B" w:rsidRPr="00A23DAE" w:rsidRDefault="00051F9B" w:rsidP="00175D14">
            <w:pPr>
              <w:rPr>
                <w:rFonts w:cstheme="minorHAnsi"/>
                <w:szCs w:val="20"/>
              </w:rPr>
            </w:pPr>
            <w:r w:rsidRPr="00A23DAE">
              <w:rPr>
                <w:rFonts w:ascii="Calibri" w:hAnsi="Calibri" w:cs="Calibri"/>
                <w:szCs w:val="20"/>
              </w:rPr>
              <w:t>N/A</w:t>
            </w:r>
          </w:p>
        </w:tc>
      </w:tr>
    </w:tbl>
    <w:p w14:paraId="17B98B2C" w14:textId="77777777" w:rsidR="00E16609" w:rsidRPr="00920905" w:rsidRDefault="00E16609">
      <w:pPr>
        <w:rPr>
          <w:rFonts w:cstheme="minorHAnsi"/>
          <w:sz w:val="20"/>
          <w:szCs w:val="20"/>
        </w:rPr>
      </w:pPr>
      <w:bookmarkStart w:id="22" w:name="_Toc214003099"/>
      <w:r w:rsidRPr="00920905">
        <w:rPr>
          <w:rFonts w:cstheme="minorHAnsi"/>
          <w:sz w:val="20"/>
          <w:szCs w:val="20"/>
        </w:rPr>
        <w:br w:type="page"/>
      </w:r>
    </w:p>
    <w:bookmarkEnd w:id="22"/>
    <w:p w14:paraId="441CE4FC" w14:textId="77777777" w:rsidR="00E16609" w:rsidRPr="00500C4E" w:rsidRDefault="00E16609" w:rsidP="00E16609">
      <w:pPr>
        <w:pStyle w:val="Heading1"/>
        <w:rPr>
          <w:rFonts w:cstheme="minorHAnsi"/>
        </w:rPr>
      </w:pPr>
      <w:r w:rsidRPr="00500C4E">
        <w:rPr>
          <w:rFonts w:cstheme="minorHAnsi"/>
        </w:rPr>
        <w:lastRenderedPageBreak/>
        <w:t>Attachments</w:t>
      </w:r>
    </w:p>
    <w:p w14:paraId="6B510ED1" w14:textId="12F8881D" w:rsidR="007B2011" w:rsidRPr="009D3C14" w:rsidRDefault="003E6C54" w:rsidP="00CB1C07">
      <w:pPr>
        <w:pStyle w:val="ListParagraph"/>
        <w:numPr>
          <w:ilvl w:val="0"/>
          <w:numId w:val="39"/>
        </w:numPr>
        <w:rPr>
          <w:rFonts w:cstheme="minorHAnsi"/>
          <w:szCs w:val="22"/>
        </w:rPr>
      </w:pPr>
      <w:r w:rsidRPr="009D3C14">
        <w:rPr>
          <w:rFonts w:cstheme="minorHAnsi"/>
        </w:rPr>
        <w:t>SCE17HC052.</w:t>
      </w:r>
      <w:r w:rsidR="00532CF8">
        <w:rPr>
          <w:rFonts w:cstheme="minorHAnsi"/>
        </w:rPr>
        <w:t>0</w:t>
      </w:r>
      <w:r w:rsidRPr="009D3C14">
        <w:rPr>
          <w:rFonts w:cstheme="minorHAnsi"/>
        </w:rPr>
        <w:t xml:space="preserve"> A1 - ET11SCE1130 ET Study</w:t>
      </w:r>
    </w:p>
    <w:p w14:paraId="1574E3D0" w14:textId="01B37605" w:rsidR="007B2011" w:rsidRPr="009D3C14" w:rsidRDefault="003E6C54" w:rsidP="00CB1C07">
      <w:pPr>
        <w:pStyle w:val="ListParagraph"/>
        <w:numPr>
          <w:ilvl w:val="0"/>
          <w:numId w:val="39"/>
        </w:numPr>
        <w:rPr>
          <w:rFonts w:cstheme="minorHAnsi"/>
          <w:szCs w:val="22"/>
        </w:rPr>
      </w:pPr>
      <w:bookmarkStart w:id="23" w:name="_Hlk525532653"/>
      <w:r w:rsidRPr="009D3C14">
        <w:rPr>
          <w:rFonts w:cstheme="minorHAnsi"/>
        </w:rPr>
        <w:t>SCE17HC052.</w:t>
      </w:r>
      <w:r w:rsidR="00532CF8">
        <w:rPr>
          <w:rFonts w:cstheme="minorHAnsi"/>
        </w:rPr>
        <w:t>0</w:t>
      </w:r>
      <w:r w:rsidRPr="009D3C14">
        <w:rPr>
          <w:rFonts w:cstheme="minorHAnsi"/>
        </w:rPr>
        <w:t xml:space="preserve"> A2 - Annual</w:t>
      </w:r>
      <w:r w:rsidR="0009076B">
        <w:rPr>
          <w:rFonts w:cstheme="minorHAnsi"/>
          <w:szCs w:val="22"/>
        </w:rPr>
        <w:t xml:space="preserve"> Energy Savings </w:t>
      </w:r>
      <w:r w:rsidR="005356F3">
        <w:rPr>
          <w:rFonts w:cstheme="minorHAnsi"/>
          <w:szCs w:val="22"/>
        </w:rPr>
        <w:t>FDC</w:t>
      </w:r>
      <w:r w:rsidR="005356F3" w:rsidRPr="009D3C14">
        <w:rPr>
          <w:rFonts w:cstheme="minorHAnsi"/>
          <w:szCs w:val="22"/>
        </w:rPr>
        <w:t xml:space="preserve"> </w:t>
      </w:r>
      <w:r w:rsidR="007B2011" w:rsidRPr="009D3C14">
        <w:rPr>
          <w:rFonts w:cstheme="minorHAnsi"/>
          <w:szCs w:val="22"/>
        </w:rPr>
        <w:t>SFM _2018.xlsx (</w:t>
      </w:r>
      <w:r w:rsidR="007B2011" w:rsidRPr="009D3C14">
        <w:rPr>
          <w:rFonts w:cstheme="minorHAnsi"/>
          <w:b/>
          <w:szCs w:val="22"/>
        </w:rPr>
        <w:t>available upon request due to size</w:t>
      </w:r>
      <w:r w:rsidR="007B2011" w:rsidRPr="009D3C14">
        <w:rPr>
          <w:rFonts w:cstheme="minorHAnsi"/>
          <w:szCs w:val="22"/>
        </w:rPr>
        <w:t>)</w:t>
      </w:r>
    </w:p>
    <w:p w14:paraId="7DAF383A" w14:textId="48F63FBE" w:rsidR="007B2011" w:rsidRPr="009D3C14" w:rsidRDefault="003E6C54" w:rsidP="00CB1C07">
      <w:pPr>
        <w:pStyle w:val="ListParagraph"/>
        <w:numPr>
          <w:ilvl w:val="0"/>
          <w:numId w:val="39"/>
        </w:numPr>
        <w:rPr>
          <w:rFonts w:cstheme="minorHAnsi"/>
          <w:szCs w:val="22"/>
        </w:rPr>
      </w:pPr>
      <w:r w:rsidRPr="009D3C14">
        <w:rPr>
          <w:rFonts w:cstheme="minorHAnsi"/>
        </w:rPr>
        <w:t>SCE17HC052.</w:t>
      </w:r>
      <w:r w:rsidR="00532CF8">
        <w:rPr>
          <w:rFonts w:cstheme="minorHAnsi"/>
        </w:rPr>
        <w:t>0</w:t>
      </w:r>
      <w:r w:rsidRPr="009D3C14">
        <w:rPr>
          <w:rFonts w:cstheme="minorHAnsi"/>
        </w:rPr>
        <w:t xml:space="preserve"> A3 - </w:t>
      </w:r>
      <w:r w:rsidR="007B2011" w:rsidRPr="009D3C14">
        <w:rPr>
          <w:rFonts w:cstheme="minorHAnsi"/>
          <w:szCs w:val="22"/>
        </w:rPr>
        <w:t xml:space="preserve">Annual Energy </w:t>
      </w:r>
      <w:r w:rsidR="0009076B">
        <w:rPr>
          <w:rFonts w:cstheme="minorHAnsi"/>
          <w:szCs w:val="22"/>
        </w:rPr>
        <w:t xml:space="preserve">Savings </w:t>
      </w:r>
      <w:r w:rsidR="005356F3">
        <w:rPr>
          <w:rFonts w:cstheme="minorHAnsi"/>
          <w:szCs w:val="22"/>
        </w:rPr>
        <w:t>FDC</w:t>
      </w:r>
      <w:r w:rsidR="005356F3" w:rsidRPr="009D3C14">
        <w:rPr>
          <w:rFonts w:cstheme="minorHAnsi"/>
          <w:szCs w:val="22"/>
        </w:rPr>
        <w:t xml:space="preserve"> </w:t>
      </w:r>
      <w:r w:rsidR="007B2011" w:rsidRPr="009D3C14">
        <w:rPr>
          <w:rFonts w:cstheme="minorHAnsi"/>
          <w:szCs w:val="22"/>
        </w:rPr>
        <w:t>MFM_2018.xlsx (</w:t>
      </w:r>
      <w:r w:rsidR="007B2011" w:rsidRPr="009D3C14">
        <w:rPr>
          <w:rFonts w:cstheme="minorHAnsi"/>
          <w:b/>
          <w:szCs w:val="22"/>
        </w:rPr>
        <w:t>available upon request due to size</w:t>
      </w:r>
      <w:r w:rsidR="007B2011" w:rsidRPr="009D3C14">
        <w:rPr>
          <w:rFonts w:cstheme="minorHAnsi"/>
          <w:szCs w:val="22"/>
        </w:rPr>
        <w:t>)</w:t>
      </w:r>
    </w:p>
    <w:p w14:paraId="79B71BCD" w14:textId="34311A32" w:rsidR="007B2011" w:rsidRPr="009D3C14" w:rsidRDefault="003E6C54" w:rsidP="00CB1C07">
      <w:pPr>
        <w:pStyle w:val="ListParagraph"/>
        <w:numPr>
          <w:ilvl w:val="0"/>
          <w:numId w:val="39"/>
        </w:numPr>
        <w:rPr>
          <w:rFonts w:cstheme="minorHAnsi"/>
          <w:szCs w:val="22"/>
        </w:rPr>
      </w:pPr>
      <w:r w:rsidRPr="009D3C14">
        <w:rPr>
          <w:rFonts w:cstheme="minorHAnsi"/>
        </w:rPr>
        <w:t>SCE17HC052.</w:t>
      </w:r>
      <w:r w:rsidR="00532CF8">
        <w:rPr>
          <w:rFonts w:cstheme="minorHAnsi"/>
        </w:rPr>
        <w:t>0</w:t>
      </w:r>
      <w:r w:rsidRPr="009D3C14">
        <w:rPr>
          <w:rFonts w:cstheme="minorHAnsi"/>
        </w:rPr>
        <w:t xml:space="preserve"> A4 - </w:t>
      </w:r>
      <w:r w:rsidR="0009076B">
        <w:rPr>
          <w:rFonts w:cstheme="minorHAnsi"/>
          <w:szCs w:val="22"/>
        </w:rPr>
        <w:t xml:space="preserve">Annual Energy Savings </w:t>
      </w:r>
      <w:r w:rsidR="005356F3">
        <w:rPr>
          <w:rFonts w:cstheme="minorHAnsi"/>
          <w:szCs w:val="22"/>
        </w:rPr>
        <w:t>FDC</w:t>
      </w:r>
      <w:r w:rsidR="005356F3" w:rsidRPr="009D3C14">
        <w:rPr>
          <w:rFonts w:cstheme="minorHAnsi"/>
          <w:szCs w:val="22"/>
        </w:rPr>
        <w:t xml:space="preserve"> </w:t>
      </w:r>
      <w:r w:rsidR="007B2011" w:rsidRPr="009D3C14">
        <w:rPr>
          <w:rFonts w:cstheme="minorHAnsi"/>
          <w:szCs w:val="22"/>
        </w:rPr>
        <w:t>DMO_2018.xlsx (</w:t>
      </w:r>
      <w:r w:rsidR="007B2011" w:rsidRPr="009D3C14">
        <w:rPr>
          <w:rFonts w:cstheme="minorHAnsi"/>
          <w:b/>
          <w:szCs w:val="22"/>
        </w:rPr>
        <w:t>available upon request due to size</w:t>
      </w:r>
      <w:r w:rsidR="007B2011" w:rsidRPr="009D3C14">
        <w:rPr>
          <w:rFonts w:cstheme="minorHAnsi"/>
          <w:szCs w:val="22"/>
        </w:rPr>
        <w:t>)</w:t>
      </w:r>
      <w:bookmarkEnd w:id="23"/>
    </w:p>
    <w:p w14:paraId="5BDAEBDE" w14:textId="56F49F49" w:rsidR="007B2011" w:rsidRPr="009D3C14" w:rsidRDefault="003E6C54" w:rsidP="00CB1C07">
      <w:pPr>
        <w:pStyle w:val="ListParagraph"/>
        <w:numPr>
          <w:ilvl w:val="0"/>
          <w:numId w:val="39"/>
        </w:numPr>
        <w:rPr>
          <w:rFonts w:cstheme="minorHAnsi"/>
        </w:rPr>
      </w:pPr>
      <w:r w:rsidRPr="009D3C14">
        <w:rPr>
          <w:rFonts w:cstheme="minorHAnsi"/>
        </w:rPr>
        <w:t>SCE17HC052.</w:t>
      </w:r>
      <w:r w:rsidR="00532CF8">
        <w:rPr>
          <w:rFonts w:cstheme="minorHAnsi"/>
        </w:rPr>
        <w:t>0</w:t>
      </w:r>
      <w:r w:rsidRPr="009D3C14">
        <w:rPr>
          <w:rFonts w:cstheme="minorHAnsi"/>
        </w:rPr>
        <w:t xml:space="preserve"> A5 </w:t>
      </w:r>
      <w:r w:rsidR="00B07645" w:rsidRPr="009D3C14">
        <w:rPr>
          <w:rFonts w:cstheme="minorHAnsi"/>
        </w:rPr>
        <w:t>- Calculation template</w:t>
      </w:r>
    </w:p>
    <w:p w14:paraId="79042755" w14:textId="3CDC6864" w:rsidR="00B07645" w:rsidRPr="009D3C14" w:rsidRDefault="003E6C54" w:rsidP="00CB1C07">
      <w:pPr>
        <w:pStyle w:val="ListParagraph"/>
        <w:numPr>
          <w:ilvl w:val="0"/>
          <w:numId w:val="39"/>
        </w:numPr>
        <w:rPr>
          <w:rFonts w:cstheme="minorHAnsi"/>
        </w:rPr>
      </w:pPr>
      <w:r w:rsidRPr="009D3C14">
        <w:rPr>
          <w:rFonts w:cstheme="minorHAnsi"/>
        </w:rPr>
        <w:t>SCE17HC052.</w:t>
      </w:r>
      <w:r w:rsidR="00532CF8">
        <w:rPr>
          <w:rFonts w:cstheme="minorHAnsi"/>
        </w:rPr>
        <w:t>0</w:t>
      </w:r>
      <w:r w:rsidRPr="009D3C14">
        <w:rPr>
          <w:rFonts w:cstheme="minorHAnsi"/>
        </w:rPr>
        <w:t xml:space="preserve"> A6 </w:t>
      </w:r>
      <w:r w:rsidR="00B07645" w:rsidRPr="009D3C14">
        <w:rPr>
          <w:rFonts w:cstheme="minorHAnsi"/>
        </w:rPr>
        <w:t>–</w:t>
      </w:r>
      <w:r w:rsidRPr="009D3C14">
        <w:rPr>
          <w:rFonts w:cstheme="minorHAnsi"/>
        </w:rPr>
        <w:t xml:space="preserve"> </w:t>
      </w:r>
      <w:r w:rsidR="00B07645" w:rsidRPr="009D3C14">
        <w:rPr>
          <w:rFonts w:cstheme="minorHAnsi"/>
        </w:rPr>
        <w:t>Cost References</w:t>
      </w:r>
    </w:p>
    <w:p w14:paraId="55BE1A4F" w14:textId="2D0968FB" w:rsidR="00B07645" w:rsidRPr="007B2011" w:rsidRDefault="00B07645" w:rsidP="00CB1C07">
      <w:pPr>
        <w:pStyle w:val="ListParagraph"/>
        <w:numPr>
          <w:ilvl w:val="0"/>
          <w:numId w:val="39"/>
        </w:numPr>
        <w:rPr>
          <w:rFonts w:cstheme="minorHAnsi"/>
        </w:rPr>
      </w:pPr>
      <w:r>
        <w:rPr>
          <w:rFonts w:cstheme="minorHAnsi"/>
        </w:rPr>
        <w:t>SCE17HC052.</w:t>
      </w:r>
      <w:r w:rsidR="00532CF8">
        <w:rPr>
          <w:rFonts w:cstheme="minorHAnsi"/>
        </w:rPr>
        <w:t>0</w:t>
      </w:r>
      <w:r>
        <w:rPr>
          <w:rFonts w:cstheme="minorHAnsi"/>
        </w:rPr>
        <w:t xml:space="preserve"> A7 – Sample </w:t>
      </w:r>
      <w:proofErr w:type="spellStart"/>
      <w:r>
        <w:rPr>
          <w:rFonts w:cstheme="minorHAnsi"/>
          <w:szCs w:val="22"/>
        </w:rPr>
        <w:t>eQuest</w:t>
      </w:r>
      <w:proofErr w:type="spellEnd"/>
      <w:r>
        <w:rPr>
          <w:rFonts w:cstheme="minorHAnsi"/>
          <w:szCs w:val="22"/>
        </w:rPr>
        <w:t xml:space="preserve"> BES files</w:t>
      </w:r>
    </w:p>
    <w:p w14:paraId="67BB95C6" w14:textId="77777777" w:rsidR="00612041" w:rsidRPr="00500C4E" w:rsidRDefault="00612041" w:rsidP="00E16609">
      <w:pPr>
        <w:rPr>
          <w:rFonts w:cstheme="minorHAnsi"/>
        </w:rPr>
      </w:pPr>
    </w:p>
    <w:p w14:paraId="226DCD6F" w14:textId="77777777" w:rsidR="00C54EFF" w:rsidRPr="00500C4E" w:rsidRDefault="00C54EFF" w:rsidP="00E16609">
      <w:pPr>
        <w:rPr>
          <w:rFonts w:cstheme="minorHAnsi"/>
        </w:rPr>
      </w:pPr>
    </w:p>
    <w:p w14:paraId="696EE281" w14:textId="77777777" w:rsidR="00C54EFF" w:rsidRPr="00500C4E" w:rsidRDefault="00C54EFF">
      <w:pPr>
        <w:spacing w:after="200" w:line="276" w:lineRule="auto"/>
        <w:rPr>
          <w:rFonts w:cstheme="minorHAnsi"/>
        </w:rPr>
      </w:pPr>
      <w:r w:rsidRPr="00500C4E">
        <w:rPr>
          <w:rFonts w:cstheme="minorHAnsi"/>
        </w:rPr>
        <w:br w:type="page"/>
      </w:r>
    </w:p>
    <w:p w14:paraId="5DF45E21" w14:textId="77777777" w:rsidR="00C54EFF" w:rsidRPr="00500C4E" w:rsidRDefault="00C54EFF" w:rsidP="00C54EFF">
      <w:pPr>
        <w:pStyle w:val="Heading1"/>
        <w:rPr>
          <w:rFonts w:cstheme="minorHAnsi"/>
        </w:rPr>
      </w:pPr>
      <w:r w:rsidRPr="00500C4E">
        <w:rPr>
          <w:rFonts w:cstheme="minorHAnsi"/>
        </w:rPr>
        <w:lastRenderedPageBreak/>
        <w:t>References</w:t>
      </w:r>
    </w:p>
    <w:p w14:paraId="5F435E16" w14:textId="27BCC5BC" w:rsidR="007B2011" w:rsidRPr="007B2011" w:rsidRDefault="00FE58EF" w:rsidP="00CB1C07">
      <w:r w:rsidRPr="00FE58EF">
        <w:t xml:space="preserve"> </w:t>
      </w:r>
      <w:r>
        <w:object w:dxaOrig="1543" w:dyaOrig="995" w14:anchorId="75B35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5pt" o:ole="">
            <v:imagedata r:id="rId10" o:title=""/>
          </v:shape>
          <o:OLEObject Type="Embed" ProgID="Excel.Sheet.12" ShapeID="_x0000_i1025" DrawAspect="Icon" ObjectID="_1601994357" r:id="rId11"/>
        </w:object>
      </w:r>
      <w:r>
        <w:rPr>
          <w:rStyle w:val="CommentReference"/>
        </w:rPr>
        <w:t xml:space="preserve"> </w:t>
      </w:r>
    </w:p>
    <w:sectPr w:rsidR="007B2011" w:rsidRPr="007B2011" w:rsidSect="00E355FC">
      <w:footerReference w:type="default" r:id="rId12"/>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8E8F4B" w16cid:durableId="1F6B32EB"/>
  <w16cid:commentId w16cid:paraId="1E8CCF0C" w16cid:durableId="1F6EEE2E"/>
  <w16cid:commentId w16cid:paraId="454FAB2F" w16cid:durableId="1F6B32EC"/>
  <w16cid:commentId w16cid:paraId="483CB424" w16cid:durableId="1F6B32ED"/>
  <w16cid:commentId w16cid:paraId="1EC11933" w16cid:durableId="1F6B32EE"/>
  <w16cid:commentId w16cid:paraId="5CD465DF" w16cid:durableId="1F6EEE4B"/>
  <w16cid:commentId w16cid:paraId="5680A3C5" w16cid:durableId="1F6B32EF"/>
  <w16cid:commentId w16cid:paraId="38D1113D" w16cid:durableId="1F6B32F0"/>
  <w16cid:commentId w16cid:paraId="48E007F3" w16cid:durableId="1F6B3420"/>
  <w16cid:commentId w16cid:paraId="468436FD" w16cid:durableId="1F6B32F1"/>
  <w16cid:commentId w16cid:paraId="4ECEF789" w16cid:durableId="1F6B32F2"/>
  <w16cid:commentId w16cid:paraId="3F928DD4" w16cid:durableId="1F6B32FB"/>
  <w16cid:commentId w16cid:paraId="3118BB6E" w16cid:durableId="1F6B32F3"/>
  <w16cid:commentId w16cid:paraId="575B6F0F" w16cid:durableId="1F6EF147"/>
  <w16cid:commentId w16cid:paraId="13CA546E" w16cid:durableId="1F6B32F4"/>
  <w16cid:commentId w16cid:paraId="0EBE6094" w16cid:durableId="1F6EF165"/>
  <w16cid:commentId w16cid:paraId="5B2C6125" w16cid:durableId="1F6B32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1A26D" w14:textId="77777777" w:rsidR="0009076B" w:rsidRDefault="0009076B" w:rsidP="00447D6E">
      <w:r>
        <w:separator/>
      </w:r>
    </w:p>
    <w:p w14:paraId="119135A6" w14:textId="77777777" w:rsidR="0009076B" w:rsidRDefault="0009076B"/>
  </w:endnote>
  <w:endnote w:type="continuationSeparator" w:id="0">
    <w:p w14:paraId="18F7299A" w14:textId="77777777" w:rsidR="0009076B" w:rsidRDefault="0009076B" w:rsidP="00447D6E">
      <w:r>
        <w:continuationSeparator/>
      </w:r>
    </w:p>
    <w:p w14:paraId="5D03BEDA" w14:textId="77777777" w:rsidR="0009076B" w:rsidRDefault="00090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C2052" w14:textId="3050DE9F" w:rsidR="0009076B" w:rsidRPr="009500DC" w:rsidRDefault="0009076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SCE17HC052</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9D169C">
      <w:rPr>
        <w:rFonts w:cstheme="minorHAnsi"/>
        <w:b/>
        <w:noProof/>
        <w:sz w:val="20"/>
        <w:szCs w:val="20"/>
      </w:rPr>
      <w:t>iii</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25T00:00:00Z">
          <w:dateFormat w:val="MMMM d, yyyy"/>
          <w:lid w:val="en-US"/>
          <w:storeMappedDataAs w:val="dateTime"/>
          <w:calendar w:val="gregorian"/>
        </w:date>
      </w:sdtPr>
      <w:sdtContent>
        <w:r w:rsidR="009D169C">
          <w:rPr>
            <w:rFonts w:cstheme="minorHAnsi"/>
            <w:b/>
            <w:sz w:val="20"/>
            <w:szCs w:val="20"/>
          </w:rPr>
          <w:t>October 25</w:t>
        </w:r>
        <w:r>
          <w:rPr>
            <w:rFonts w:cstheme="minorHAnsi"/>
            <w:b/>
            <w:sz w:val="20"/>
            <w:szCs w:val="20"/>
          </w:rPr>
          <w:t>, 2018</w:t>
        </w:r>
      </w:sdtContent>
    </w:sdt>
  </w:p>
  <w:p w14:paraId="57A0AE92" w14:textId="77777777" w:rsidR="0009076B" w:rsidRPr="009500DC" w:rsidRDefault="0009076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6250C802" w14:textId="77777777" w:rsidR="0009076B" w:rsidRDefault="000907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F0A13" w14:textId="77777777" w:rsidR="0009076B" w:rsidRDefault="0009076B" w:rsidP="00447D6E">
      <w:r>
        <w:separator/>
      </w:r>
    </w:p>
    <w:p w14:paraId="7CE256D6" w14:textId="77777777" w:rsidR="0009076B" w:rsidRDefault="0009076B"/>
  </w:footnote>
  <w:footnote w:type="continuationSeparator" w:id="0">
    <w:p w14:paraId="7B8EF123" w14:textId="77777777" w:rsidR="0009076B" w:rsidRDefault="0009076B" w:rsidP="00447D6E">
      <w:r>
        <w:continuationSeparator/>
      </w:r>
    </w:p>
    <w:p w14:paraId="35C5D8BB" w14:textId="77777777" w:rsidR="0009076B" w:rsidRDefault="000907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973DB3"/>
    <w:multiLevelType w:val="hybridMultilevel"/>
    <w:tmpl w:val="CB16BF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08CD4CBF"/>
    <w:multiLevelType w:val="hybridMultilevel"/>
    <w:tmpl w:val="3DE85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A7546"/>
    <w:multiLevelType w:val="hybridMultilevel"/>
    <w:tmpl w:val="9CE6CD2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034A8F"/>
    <w:multiLevelType w:val="hybridMultilevel"/>
    <w:tmpl w:val="3334B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1F7080"/>
    <w:multiLevelType w:val="hybridMultilevel"/>
    <w:tmpl w:val="0E80B350"/>
    <w:lvl w:ilvl="0" w:tplc="919EFB8C">
      <w:start w:val="1"/>
      <w:numFmt w:val="upperLetter"/>
      <w:lvlText w:val="[%1]"/>
      <w:lvlJc w:val="left"/>
      <w:pPr>
        <w:ind w:left="360" w:hanging="360"/>
      </w:pPr>
      <w:rPr>
        <w:rFonts w:asciiTheme="minorHAnsi" w:hAnsiTheme="minorHAnsi" w:cstheme="minorHAnsi"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E35065"/>
    <w:multiLevelType w:val="hybridMultilevel"/>
    <w:tmpl w:val="D926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83647"/>
    <w:multiLevelType w:val="hybridMultilevel"/>
    <w:tmpl w:val="F0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3"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7D6846"/>
    <w:multiLevelType w:val="hybridMultilevel"/>
    <w:tmpl w:val="3738D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FEB283F8"/>
    <w:lvl w:ilvl="0" w:tplc="3202F18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7E3A28"/>
    <w:multiLevelType w:val="hybridMultilevel"/>
    <w:tmpl w:val="6DD4E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4F3A7F"/>
    <w:multiLevelType w:val="hybridMultilevel"/>
    <w:tmpl w:val="ACDC1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037C2"/>
    <w:multiLevelType w:val="hybridMultilevel"/>
    <w:tmpl w:val="84AC3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B746E5"/>
    <w:multiLevelType w:val="hybridMultilevel"/>
    <w:tmpl w:val="086EA076"/>
    <w:lvl w:ilvl="0" w:tplc="FAEA96E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106FF4"/>
    <w:multiLevelType w:val="hybridMultilevel"/>
    <w:tmpl w:val="7586EFC6"/>
    <w:lvl w:ilvl="0" w:tplc="8D1AA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6"/>
  </w:num>
  <w:num w:numId="3">
    <w:abstractNumId w:val="25"/>
  </w:num>
  <w:num w:numId="4">
    <w:abstractNumId w:val="23"/>
  </w:num>
  <w:num w:numId="5">
    <w:abstractNumId w:val="23"/>
  </w:num>
  <w:num w:numId="6">
    <w:abstractNumId w:val="3"/>
  </w:num>
  <w:num w:numId="7">
    <w:abstractNumId w:val="27"/>
  </w:num>
  <w:num w:numId="8">
    <w:abstractNumId w:val="24"/>
  </w:num>
  <w:num w:numId="9">
    <w:abstractNumId w:val="17"/>
  </w:num>
  <w:num w:numId="10">
    <w:abstractNumId w:val="12"/>
  </w:num>
  <w:num w:numId="11">
    <w:abstractNumId w:val="28"/>
  </w:num>
  <w:num w:numId="12">
    <w:abstractNumId w:val="22"/>
  </w:num>
  <w:num w:numId="13">
    <w:abstractNumId w:val="16"/>
  </w:num>
  <w:num w:numId="14">
    <w:abstractNumId w:val="41"/>
  </w:num>
  <w:num w:numId="15">
    <w:abstractNumId w:val="14"/>
  </w:num>
  <w:num w:numId="16">
    <w:abstractNumId w:val="18"/>
  </w:num>
  <w:num w:numId="17">
    <w:abstractNumId w:val="10"/>
  </w:num>
  <w:num w:numId="18">
    <w:abstractNumId w:val="0"/>
  </w:num>
  <w:num w:numId="19">
    <w:abstractNumId w:val="40"/>
  </w:num>
  <w:num w:numId="20">
    <w:abstractNumId w:val="9"/>
  </w:num>
  <w:num w:numId="21">
    <w:abstractNumId w:val="30"/>
  </w:num>
  <w:num w:numId="22">
    <w:abstractNumId w:val="31"/>
  </w:num>
  <w:num w:numId="23">
    <w:abstractNumId w:val="42"/>
  </w:num>
  <w:num w:numId="24">
    <w:abstractNumId w:val="38"/>
  </w:num>
  <w:num w:numId="25">
    <w:abstractNumId w:val="19"/>
  </w:num>
  <w:num w:numId="26">
    <w:abstractNumId w:val="21"/>
  </w:num>
  <w:num w:numId="27">
    <w:abstractNumId w:val="33"/>
  </w:num>
  <w:num w:numId="28">
    <w:abstractNumId w:val="20"/>
  </w:num>
  <w:num w:numId="29">
    <w:abstractNumId w:val="13"/>
  </w:num>
  <w:num w:numId="30">
    <w:abstractNumId w:val="2"/>
  </w:num>
  <w:num w:numId="31">
    <w:abstractNumId w:val="43"/>
  </w:num>
  <w:num w:numId="32">
    <w:abstractNumId w:val="29"/>
  </w:num>
  <w:num w:numId="33">
    <w:abstractNumId w:val="36"/>
  </w:num>
  <w:num w:numId="34">
    <w:abstractNumId w:val="15"/>
  </w:num>
  <w:num w:numId="35">
    <w:abstractNumId w:val="11"/>
  </w:num>
  <w:num w:numId="36">
    <w:abstractNumId w:val="32"/>
  </w:num>
  <w:num w:numId="37">
    <w:abstractNumId w:val="39"/>
  </w:num>
  <w:num w:numId="38">
    <w:abstractNumId w:val="6"/>
  </w:num>
  <w:num w:numId="39">
    <w:abstractNumId w:val="34"/>
  </w:num>
  <w:num w:numId="40">
    <w:abstractNumId w:val="37"/>
  </w:num>
  <w:num w:numId="41">
    <w:abstractNumId w:val="7"/>
  </w:num>
  <w:num w:numId="42">
    <w:abstractNumId w:val="8"/>
  </w:num>
  <w:num w:numId="43">
    <w:abstractNumId w:val="35"/>
  </w:num>
  <w:num w:numId="44">
    <w:abstractNumId w:val="4"/>
  </w:num>
  <w:num w:numId="45">
    <w:abstractNumId w:val="44"/>
  </w:num>
  <w:num w:numId="46">
    <w:abstractNumId w:val="5"/>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5FE1"/>
    <w:rsid w:val="00007C75"/>
    <w:rsid w:val="0001002B"/>
    <w:rsid w:val="00010806"/>
    <w:rsid w:val="00013C63"/>
    <w:rsid w:val="00013F71"/>
    <w:rsid w:val="000146DA"/>
    <w:rsid w:val="000173BF"/>
    <w:rsid w:val="00024252"/>
    <w:rsid w:val="000245B5"/>
    <w:rsid w:val="00027183"/>
    <w:rsid w:val="00033EA1"/>
    <w:rsid w:val="00034104"/>
    <w:rsid w:val="0003746D"/>
    <w:rsid w:val="0004020F"/>
    <w:rsid w:val="000436CB"/>
    <w:rsid w:val="0005111A"/>
    <w:rsid w:val="00051F9B"/>
    <w:rsid w:val="00052E17"/>
    <w:rsid w:val="000552E3"/>
    <w:rsid w:val="00056947"/>
    <w:rsid w:val="00061A8E"/>
    <w:rsid w:val="00064CB3"/>
    <w:rsid w:val="00070BEE"/>
    <w:rsid w:val="00072040"/>
    <w:rsid w:val="00076DF4"/>
    <w:rsid w:val="00076F51"/>
    <w:rsid w:val="0008524C"/>
    <w:rsid w:val="000867A6"/>
    <w:rsid w:val="00086F7F"/>
    <w:rsid w:val="0009074D"/>
    <w:rsid w:val="0009076B"/>
    <w:rsid w:val="000950B3"/>
    <w:rsid w:val="0009592B"/>
    <w:rsid w:val="000968C6"/>
    <w:rsid w:val="000A034F"/>
    <w:rsid w:val="000A58A3"/>
    <w:rsid w:val="000A63C9"/>
    <w:rsid w:val="000B3765"/>
    <w:rsid w:val="000B655B"/>
    <w:rsid w:val="000C0000"/>
    <w:rsid w:val="000C0992"/>
    <w:rsid w:val="000C18CC"/>
    <w:rsid w:val="000C4935"/>
    <w:rsid w:val="000C687D"/>
    <w:rsid w:val="000C6F43"/>
    <w:rsid w:val="000C7854"/>
    <w:rsid w:val="000C7ED1"/>
    <w:rsid w:val="000D789A"/>
    <w:rsid w:val="000E4B5F"/>
    <w:rsid w:val="000E4E91"/>
    <w:rsid w:val="000E706D"/>
    <w:rsid w:val="000E789C"/>
    <w:rsid w:val="000F130A"/>
    <w:rsid w:val="000F4FD8"/>
    <w:rsid w:val="000F6D3C"/>
    <w:rsid w:val="001038C5"/>
    <w:rsid w:val="001064F2"/>
    <w:rsid w:val="00107242"/>
    <w:rsid w:val="00111CC5"/>
    <w:rsid w:val="001206F7"/>
    <w:rsid w:val="0012251F"/>
    <w:rsid w:val="001236C1"/>
    <w:rsid w:val="00133EE8"/>
    <w:rsid w:val="0013695D"/>
    <w:rsid w:val="001373D1"/>
    <w:rsid w:val="00140B30"/>
    <w:rsid w:val="00143B11"/>
    <w:rsid w:val="00147155"/>
    <w:rsid w:val="00150CAA"/>
    <w:rsid w:val="00153669"/>
    <w:rsid w:val="00153CB3"/>
    <w:rsid w:val="00154C3B"/>
    <w:rsid w:val="0015584B"/>
    <w:rsid w:val="00160158"/>
    <w:rsid w:val="001638D6"/>
    <w:rsid w:val="00164001"/>
    <w:rsid w:val="00164AA5"/>
    <w:rsid w:val="00165357"/>
    <w:rsid w:val="00165F00"/>
    <w:rsid w:val="00166F74"/>
    <w:rsid w:val="00170D97"/>
    <w:rsid w:val="001722B7"/>
    <w:rsid w:val="001727D9"/>
    <w:rsid w:val="00174BB4"/>
    <w:rsid w:val="00175150"/>
    <w:rsid w:val="00175816"/>
    <w:rsid w:val="00175D14"/>
    <w:rsid w:val="001762F9"/>
    <w:rsid w:val="0017657A"/>
    <w:rsid w:val="00176ADD"/>
    <w:rsid w:val="00181172"/>
    <w:rsid w:val="001811EE"/>
    <w:rsid w:val="00185AD4"/>
    <w:rsid w:val="0019156F"/>
    <w:rsid w:val="001979AF"/>
    <w:rsid w:val="00197B10"/>
    <w:rsid w:val="00197E6B"/>
    <w:rsid w:val="001A0EB4"/>
    <w:rsid w:val="001A1A86"/>
    <w:rsid w:val="001A53B5"/>
    <w:rsid w:val="001A5F62"/>
    <w:rsid w:val="001B015E"/>
    <w:rsid w:val="001B2301"/>
    <w:rsid w:val="001B618B"/>
    <w:rsid w:val="001B7BB2"/>
    <w:rsid w:val="001C1338"/>
    <w:rsid w:val="001C4140"/>
    <w:rsid w:val="001C5A3D"/>
    <w:rsid w:val="001C5A94"/>
    <w:rsid w:val="001C64E6"/>
    <w:rsid w:val="001D1070"/>
    <w:rsid w:val="001D2317"/>
    <w:rsid w:val="001D3223"/>
    <w:rsid w:val="001D33EF"/>
    <w:rsid w:val="001D5AB3"/>
    <w:rsid w:val="001E0519"/>
    <w:rsid w:val="001E0829"/>
    <w:rsid w:val="001E1320"/>
    <w:rsid w:val="001E556A"/>
    <w:rsid w:val="001E613E"/>
    <w:rsid w:val="001F05CE"/>
    <w:rsid w:val="001F1905"/>
    <w:rsid w:val="001F2FFB"/>
    <w:rsid w:val="001F4649"/>
    <w:rsid w:val="001F4A65"/>
    <w:rsid w:val="0020461E"/>
    <w:rsid w:val="00205C45"/>
    <w:rsid w:val="0021035B"/>
    <w:rsid w:val="00211153"/>
    <w:rsid w:val="00225481"/>
    <w:rsid w:val="00230BBA"/>
    <w:rsid w:val="0023254A"/>
    <w:rsid w:val="002344FB"/>
    <w:rsid w:val="00236216"/>
    <w:rsid w:val="002405CD"/>
    <w:rsid w:val="00240B74"/>
    <w:rsid w:val="00243B62"/>
    <w:rsid w:val="00244981"/>
    <w:rsid w:val="00244FD7"/>
    <w:rsid w:val="0024601E"/>
    <w:rsid w:val="0024675B"/>
    <w:rsid w:val="002469DD"/>
    <w:rsid w:val="00247180"/>
    <w:rsid w:val="00251320"/>
    <w:rsid w:val="002517E4"/>
    <w:rsid w:val="002528CA"/>
    <w:rsid w:val="00254671"/>
    <w:rsid w:val="00257D36"/>
    <w:rsid w:val="00261947"/>
    <w:rsid w:val="0026298D"/>
    <w:rsid w:val="00263436"/>
    <w:rsid w:val="00263C1C"/>
    <w:rsid w:val="002705B1"/>
    <w:rsid w:val="00271415"/>
    <w:rsid w:val="00274FBE"/>
    <w:rsid w:val="002762E1"/>
    <w:rsid w:val="002811BC"/>
    <w:rsid w:val="0028131C"/>
    <w:rsid w:val="00283C85"/>
    <w:rsid w:val="00283DE8"/>
    <w:rsid w:val="00285552"/>
    <w:rsid w:val="00285966"/>
    <w:rsid w:val="00285A0D"/>
    <w:rsid w:val="00286848"/>
    <w:rsid w:val="00290ED8"/>
    <w:rsid w:val="00292F80"/>
    <w:rsid w:val="002958ED"/>
    <w:rsid w:val="00296B49"/>
    <w:rsid w:val="00296CF5"/>
    <w:rsid w:val="00297C89"/>
    <w:rsid w:val="002A03FC"/>
    <w:rsid w:val="002A1843"/>
    <w:rsid w:val="002A2736"/>
    <w:rsid w:val="002A3D26"/>
    <w:rsid w:val="002A523E"/>
    <w:rsid w:val="002B1ADF"/>
    <w:rsid w:val="002B502E"/>
    <w:rsid w:val="002B657B"/>
    <w:rsid w:val="002B6953"/>
    <w:rsid w:val="002C2853"/>
    <w:rsid w:val="002C444C"/>
    <w:rsid w:val="002C458F"/>
    <w:rsid w:val="002C4DD0"/>
    <w:rsid w:val="002C6C20"/>
    <w:rsid w:val="002C6C7A"/>
    <w:rsid w:val="002C7F78"/>
    <w:rsid w:val="002D26C9"/>
    <w:rsid w:val="002D5277"/>
    <w:rsid w:val="002D71FA"/>
    <w:rsid w:val="002D73AF"/>
    <w:rsid w:val="002E2D0C"/>
    <w:rsid w:val="002E4FD9"/>
    <w:rsid w:val="002E5B58"/>
    <w:rsid w:val="002F1437"/>
    <w:rsid w:val="002F3556"/>
    <w:rsid w:val="002F3943"/>
    <w:rsid w:val="002F4E34"/>
    <w:rsid w:val="002F5267"/>
    <w:rsid w:val="002F5EBE"/>
    <w:rsid w:val="002F6A42"/>
    <w:rsid w:val="002F79E7"/>
    <w:rsid w:val="003003EC"/>
    <w:rsid w:val="003035E3"/>
    <w:rsid w:val="0030363A"/>
    <w:rsid w:val="00317467"/>
    <w:rsid w:val="00317970"/>
    <w:rsid w:val="00317EB0"/>
    <w:rsid w:val="00330CB7"/>
    <w:rsid w:val="00332044"/>
    <w:rsid w:val="00332700"/>
    <w:rsid w:val="003358BD"/>
    <w:rsid w:val="00336C7D"/>
    <w:rsid w:val="00341F37"/>
    <w:rsid w:val="00344E88"/>
    <w:rsid w:val="00345D80"/>
    <w:rsid w:val="003464DC"/>
    <w:rsid w:val="003471D4"/>
    <w:rsid w:val="00350BF1"/>
    <w:rsid w:val="00353C49"/>
    <w:rsid w:val="003540B1"/>
    <w:rsid w:val="00354A1B"/>
    <w:rsid w:val="003557E9"/>
    <w:rsid w:val="003560BA"/>
    <w:rsid w:val="003561D0"/>
    <w:rsid w:val="003575BC"/>
    <w:rsid w:val="00360B28"/>
    <w:rsid w:val="00362077"/>
    <w:rsid w:val="00364854"/>
    <w:rsid w:val="00364CC6"/>
    <w:rsid w:val="003650F6"/>
    <w:rsid w:val="0036726C"/>
    <w:rsid w:val="003726E8"/>
    <w:rsid w:val="003809CB"/>
    <w:rsid w:val="003832D2"/>
    <w:rsid w:val="003845E5"/>
    <w:rsid w:val="00393137"/>
    <w:rsid w:val="0039615F"/>
    <w:rsid w:val="00397406"/>
    <w:rsid w:val="003A3170"/>
    <w:rsid w:val="003A360E"/>
    <w:rsid w:val="003B2DB8"/>
    <w:rsid w:val="003B63C3"/>
    <w:rsid w:val="003C0103"/>
    <w:rsid w:val="003C70C7"/>
    <w:rsid w:val="003D17FF"/>
    <w:rsid w:val="003D2871"/>
    <w:rsid w:val="003D2981"/>
    <w:rsid w:val="003D5B83"/>
    <w:rsid w:val="003D7D8E"/>
    <w:rsid w:val="003E19BD"/>
    <w:rsid w:val="003E458C"/>
    <w:rsid w:val="003E4B24"/>
    <w:rsid w:val="003E6C54"/>
    <w:rsid w:val="003E6CC4"/>
    <w:rsid w:val="003E6E47"/>
    <w:rsid w:val="003F0623"/>
    <w:rsid w:val="003F33DE"/>
    <w:rsid w:val="003F3A41"/>
    <w:rsid w:val="003F67E9"/>
    <w:rsid w:val="00401031"/>
    <w:rsid w:val="004023B7"/>
    <w:rsid w:val="004045A0"/>
    <w:rsid w:val="00406C4F"/>
    <w:rsid w:val="0041126E"/>
    <w:rsid w:val="00413CDB"/>
    <w:rsid w:val="004200FE"/>
    <w:rsid w:val="00421183"/>
    <w:rsid w:val="00421BA6"/>
    <w:rsid w:val="00421C17"/>
    <w:rsid w:val="00422A0A"/>
    <w:rsid w:val="00426CDE"/>
    <w:rsid w:val="00433EA1"/>
    <w:rsid w:val="004341AA"/>
    <w:rsid w:val="004400D8"/>
    <w:rsid w:val="00441957"/>
    <w:rsid w:val="00443D32"/>
    <w:rsid w:val="00444DED"/>
    <w:rsid w:val="004469DD"/>
    <w:rsid w:val="004476B2"/>
    <w:rsid w:val="00447CE5"/>
    <w:rsid w:val="00447D6E"/>
    <w:rsid w:val="0045048F"/>
    <w:rsid w:val="0045181B"/>
    <w:rsid w:val="00452133"/>
    <w:rsid w:val="00452C7A"/>
    <w:rsid w:val="00456B53"/>
    <w:rsid w:val="00461820"/>
    <w:rsid w:val="00461B92"/>
    <w:rsid w:val="0046286E"/>
    <w:rsid w:val="004673A2"/>
    <w:rsid w:val="00471234"/>
    <w:rsid w:val="00472250"/>
    <w:rsid w:val="00474076"/>
    <w:rsid w:val="0047437C"/>
    <w:rsid w:val="00477522"/>
    <w:rsid w:val="00480E7B"/>
    <w:rsid w:val="004843E5"/>
    <w:rsid w:val="00484BF6"/>
    <w:rsid w:val="0049052C"/>
    <w:rsid w:val="004921C0"/>
    <w:rsid w:val="00493457"/>
    <w:rsid w:val="00494628"/>
    <w:rsid w:val="0049566B"/>
    <w:rsid w:val="00495E7F"/>
    <w:rsid w:val="00496C92"/>
    <w:rsid w:val="00497338"/>
    <w:rsid w:val="00497E74"/>
    <w:rsid w:val="004A1650"/>
    <w:rsid w:val="004A65F3"/>
    <w:rsid w:val="004A72C6"/>
    <w:rsid w:val="004B1184"/>
    <w:rsid w:val="004B2D44"/>
    <w:rsid w:val="004B3FFB"/>
    <w:rsid w:val="004B4A3A"/>
    <w:rsid w:val="004B5CE5"/>
    <w:rsid w:val="004B741E"/>
    <w:rsid w:val="004B750E"/>
    <w:rsid w:val="004C2244"/>
    <w:rsid w:val="004C23F1"/>
    <w:rsid w:val="004C3390"/>
    <w:rsid w:val="004C6FFA"/>
    <w:rsid w:val="004C729B"/>
    <w:rsid w:val="004D069A"/>
    <w:rsid w:val="004D1D53"/>
    <w:rsid w:val="004D5B40"/>
    <w:rsid w:val="004E01F5"/>
    <w:rsid w:val="004E0D2F"/>
    <w:rsid w:val="004E2899"/>
    <w:rsid w:val="004E297E"/>
    <w:rsid w:val="004E407F"/>
    <w:rsid w:val="004E70EC"/>
    <w:rsid w:val="004E76CA"/>
    <w:rsid w:val="004F1698"/>
    <w:rsid w:val="004F2149"/>
    <w:rsid w:val="00500C4E"/>
    <w:rsid w:val="00505CEC"/>
    <w:rsid w:val="0051020F"/>
    <w:rsid w:val="005108B5"/>
    <w:rsid w:val="00513CAB"/>
    <w:rsid w:val="00516CF5"/>
    <w:rsid w:val="00523597"/>
    <w:rsid w:val="00523736"/>
    <w:rsid w:val="005238F5"/>
    <w:rsid w:val="00532530"/>
    <w:rsid w:val="00532CF8"/>
    <w:rsid w:val="005356F3"/>
    <w:rsid w:val="00535CA4"/>
    <w:rsid w:val="00536B96"/>
    <w:rsid w:val="00537B68"/>
    <w:rsid w:val="005476F6"/>
    <w:rsid w:val="00551D72"/>
    <w:rsid w:val="005540B6"/>
    <w:rsid w:val="005552C3"/>
    <w:rsid w:val="00557E2A"/>
    <w:rsid w:val="00560934"/>
    <w:rsid w:val="00561495"/>
    <w:rsid w:val="00563E58"/>
    <w:rsid w:val="0056444E"/>
    <w:rsid w:val="0056494D"/>
    <w:rsid w:val="00564960"/>
    <w:rsid w:val="00570654"/>
    <w:rsid w:val="00570F38"/>
    <w:rsid w:val="005720F2"/>
    <w:rsid w:val="005729C8"/>
    <w:rsid w:val="00572D2F"/>
    <w:rsid w:val="005734A4"/>
    <w:rsid w:val="00582C13"/>
    <w:rsid w:val="00584999"/>
    <w:rsid w:val="00594EF5"/>
    <w:rsid w:val="005961EE"/>
    <w:rsid w:val="005965AC"/>
    <w:rsid w:val="005A0E53"/>
    <w:rsid w:val="005A1078"/>
    <w:rsid w:val="005A4658"/>
    <w:rsid w:val="005A496B"/>
    <w:rsid w:val="005A5B70"/>
    <w:rsid w:val="005B28C1"/>
    <w:rsid w:val="005B5ED2"/>
    <w:rsid w:val="005B6344"/>
    <w:rsid w:val="005C1C74"/>
    <w:rsid w:val="005C220D"/>
    <w:rsid w:val="005C2E48"/>
    <w:rsid w:val="005C3F23"/>
    <w:rsid w:val="005D006A"/>
    <w:rsid w:val="005D0C3C"/>
    <w:rsid w:val="005D3218"/>
    <w:rsid w:val="005D4DD7"/>
    <w:rsid w:val="005E0AB1"/>
    <w:rsid w:val="005E12A9"/>
    <w:rsid w:val="005E268D"/>
    <w:rsid w:val="005E2F17"/>
    <w:rsid w:val="005F139E"/>
    <w:rsid w:val="005F69D5"/>
    <w:rsid w:val="006018A7"/>
    <w:rsid w:val="00602799"/>
    <w:rsid w:val="00602F18"/>
    <w:rsid w:val="006054EA"/>
    <w:rsid w:val="00607376"/>
    <w:rsid w:val="006075C4"/>
    <w:rsid w:val="00607C30"/>
    <w:rsid w:val="006110F3"/>
    <w:rsid w:val="00612041"/>
    <w:rsid w:val="00612537"/>
    <w:rsid w:val="00614AFF"/>
    <w:rsid w:val="00616C06"/>
    <w:rsid w:val="006204E1"/>
    <w:rsid w:val="00620E7B"/>
    <w:rsid w:val="00621ABA"/>
    <w:rsid w:val="0062322A"/>
    <w:rsid w:val="006236DC"/>
    <w:rsid w:val="00627598"/>
    <w:rsid w:val="006276A9"/>
    <w:rsid w:val="00631157"/>
    <w:rsid w:val="00631574"/>
    <w:rsid w:val="00636030"/>
    <w:rsid w:val="00636900"/>
    <w:rsid w:val="006404E6"/>
    <w:rsid w:val="0064264A"/>
    <w:rsid w:val="0064680F"/>
    <w:rsid w:val="0064729D"/>
    <w:rsid w:val="00647A4B"/>
    <w:rsid w:val="00647ABE"/>
    <w:rsid w:val="006516BA"/>
    <w:rsid w:val="00661242"/>
    <w:rsid w:val="00663EF6"/>
    <w:rsid w:val="0066404F"/>
    <w:rsid w:val="00664B05"/>
    <w:rsid w:val="00665C04"/>
    <w:rsid w:val="0066682D"/>
    <w:rsid w:val="006674AF"/>
    <w:rsid w:val="006746FE"/>
    <w:rsid w:val="006749DA"/>
    <w:rsid w:val="00676E9F"/>
    <w:rsid w:val="00680934"/>
    <w:rsid w:val="006809A4"/>
    <w:rsid w:val="00684E1F"/>
    <w:rsid w:val="00685D5C"/>
    <w:rsid w:val="00687CAC"/>
    <w:rsid w:val="0069264D"/>
    <w:rsid w:val="00692663"/>
    <w:rsid w:val="00693908"/>
    <w:rsid w:val="0069578B"/>
    <w:rsid w:val="00697868"/>
    <w:rsid w:val="006A055F"/>
    <w:rsid w:val="006A0C66"/>
    <w:rsid w:val="006A126F"/>
    <w:rsid w:val="006A14E9"/>
    <w:rsid w:val="006A2189"/>
    <w:rsid w:val="006A2A65"/>
    <w:rsid w:val="006A2ACB"/>
    <w:rsid w:val="006A3044"/>
    <w:rsid w:val="006A5293"/>
    <w:rsid w:val="006A67E4"/>
    <w:rsid w:val="006A6D15"/>
    <w:rsid w:val="006B0DF3"/>
    <w:rsid w:val="006B0F11"/>
    <w:rsid w:val="006B16CC"/>
    <w:rsid w:val="006B27FA"/>
    <w:rsid w:val="006B4A48"/>
    <w:rsid w:val="006B4F44"/>
    <w:rsid w:val="006C122E"/>
    <w:rsid w:val="006C2C55"/>
    <w:rsid w:val="006C430A"/>
    <w:rsid w:val="006C5A4F"/>
    <w:rsid w:val="006C7131"/>
    <w:rsid w:val="006D21C3"/>
    <w:rsid w:val="006D2809"/>
    <w:rsid w:val="006E27A3"/>
    <w:rsid w:val="006E3342"/>
    <w:rsid w:val="006E4B12"/>
    <w:rsid w:val="006E65D0"/>
    <w:rsid w:val="006F1B21"/>
    <w:rsid w:val="006F21E8"/>
    <w:rsid w:val="006F2ED7"/>
    <w:rsid w:val="006F78D5"/>
    <w:rsid w:val="0070091B"/>
    <w:rsid w:val="0070445C"/>
    <w:rsid w:val="007048AC"/>
    <w:rsid w:val="007153F1"/>
    <w:rsid w:val="00723771"/>
    <w:rsid w:val="00723A73"/>
    <w:rsid w:val="00726338"/>
    <w:rsid w:val="00726AD5"/>
    <w:rsid w:val="00733C7D"/>
    <w:rsid w:val="00740761"/>
    <w:rsid w:val="007440F5"/>
    <w:rsid w:val="00745F77"/>
    <w:rsid w:val="007464DE"/>
    <w:rsid w:val="007529EA"/>
    <w:rsid w:val="00755A45"/>
    <w:rsid w:val="00760CDC"/>
    <w:rsid w:val="00764D0D"/>
    <w:rsid w:val="007654A1"/>
    <w:rsid w:val="007708A6"/>
    <w:rsid w:val="00777C53"/>
    <w:rsid w:val="00782714"/>
    <w:rsid w:val="00786E92"/>
    <w:rsid w:val="007933F1"/>
    <w:rsid w:val="007A5F52"/>
    <w:rsid w:val="007B090A"/>
    <w:rsid w:val="007B2011"/>
    <w:rsid w:val="007C6220"/>
    <w:rsid w:val="007D57E3"/>
    <w:rsid w:val="007E2F12"/>
    <w:rsid w:val="007E43F8"/>
    <w:rsid w:val="007E5076"/>
    <w:rsid w:val="007E51FC"/>
    <w:rsid w:val="007E656B"/>
    <w:rsid w:val="007E6F34"/>
    <w:rsid w:val="007F2553"/>
    <w:rsid w:val="007F2997"/>
    <w:rsid w:val="007F50E8"/>
    <w:rsid w:val="007F54E2"/>
    <w:rsid w:val="007F6FBA"/>
    <w:rsid w:val="007F7FBA"/>
    <w:rsid w:val="00800319"/>
    <w:rsid w:val="0080044E"/>
    <w:rsid w:val="00800706"/>
    <w:rsid w:val="00801365"/>
    <w:rsid w:val="0080189A"/>
    <w:rsid w:val="00801F7F"/>
    <w:rsid w:val="00803C2B"/>
    <w:rsid w:val="00804FC0"/>
    <w:rsid w:val="00811945"/>
    <w:rsid w:val="00817E3A"/>
    <w:rsid w:val="008223D0"/>
    <w:rsid w:val="00824F1C"/>
    <w:rsid w:val="00826688"/>
    <w:rsid w:val="0083369B"/>
    <w:rsid w:val="00835D38"/>
    <w:rsid w:val="00836E8E"/>
    <w:rsid w:val="00843763"/>
    <w:rsid w:val="0084429A"/>
    <w:rsid w:val="00846C5B"/>
    <w:rsid w:val="00847A4E"/>
    <w:rsid w:val="00861A6E"/>
    <w:rsid w:val="008638B7"/>
    <w:rsid w:val="00865D94"/>
    <w:rsid w:val="0087149B"/>
    <w:rsid w:val="00871D79"/>
    <w:rsid w:val="0087393E"/>
    <w:rsid w:val="0088026D"/>
    <w:rsid w:val="00881A42"/>
    <w:rsid w:val="00882386"/>
    <w:rsid w:val="0088361D"/>
    <w:rsid w:val="00885E0A"/>
    <w:rsid w:val="0088603B"/>
    <w:rsid w:val="008877AF"/>
    <w:rsid w:val="00893FC3"/>
    <w:rsid w:val="0089577B"/>
    <w:rsid w:val="008A0463"/>
    <w:rsid w:val="008A635C"/>
    <w:rsid w:val="008B1024"/>
    <w:rsid w:val="008B1357"/>
    <w:rsid w:val="008B2DF3"/>
    <w:rsid w:val="008B492C"/>
    <w:rsid w:val="008C2921"/>
    <w:rsid w:val="008C2E0E"/>
    <w:rsid w:val="008C307F"/>
    <w:rsid w:val="008C4DE0"/>
    <w:rsid w:val="008D3930"/>
    <w:rsid w:val="008D3BA3"/>
    <w:rsid w:val="008D67F9"/>
    <w:rsid w:val="008E17CC"/>
    <w:rsid w:val="008E25B1"/>
    <w:rsid w:val="008E56FB"/>
    <w:rsid w:val="008F2167"/>
    <w:rsid w:val="008F309E"/>
    <w:rsid w:val="008F33B4"/>
    <w:rsid w:val="008F6298"/>
    <w:rsid w:val="0090077A"/>
    <w:rsid w:val="00900F47"/>
    <w:rsid w:val="009025AC"/>
    <w:rsid w:val="00903C59"/>
    <w:rsid w:val="00904ADA"/>
    <w:rsid w:val="00907697"/>
    <w:rsid w:val="00910A69"/>
    <w:rsid w:val="009138A0"/>
    <w:rsid w:val="0091424C"/>
    <w:rsid w:val="00916F7A"/>
    <w:rsid w:val="00917DE4"/>
    <w:rsid w:val="00920905"/>
    <w:rsid w:val="00920CCA"/>
    <w:rsid w:val="00922B6D"/>
    <w:rsid w:val="00922B85"/>
    <w:rsid w:val="00927EF7"/>
    <w:rsid w:val="00930CDC"/>
    <w:rsid w:val="00931E45"/>
    <w:rsid w:val="00933188"/>
    <w:rsid w:val="00935AF9"/>
    <w:rsid w:val="009401AF"/>
    <w:rsid w:val="009403A5"/>
    <w:rsid w:val="00943642"/>
    <w:rsid w:val="00944EF8"/>
    <w:rsid w:val="009500DC"/>
    <w:rsid w:val="0095012E"/>
    <w:rsid w:val="00951923"/>
    <w:rsid w:val="00956894"/>
    <w:rsid w:val="00963559"/>
    <w:rsid w:val="00966143"/>
    <w:rsid w:val="009711E6"/>
    <w:rsid w:val="00972C81"/>
    <w:rsid w:val="009824E9"/>
    <w:rsid w:val="009826E5"/>
    <w:rsid w:val="009844A1"/>
    <w:rsid w:val="00986E20"/>
    <w:rsid w:val="00992631"/>
    <w:rsid w:val="00995479"/>
    <w:rsid w:val="00995CB0"/>
    <w:rsid w:val="00997E77"/>
    <w:rsid w:val="009A2734"/>
    <w:rsid w:val="009B0003"/>
    <w:rsid w:val="009B2A02"/>
    <w:rsid w:val="009B2B61"/>
    <w:rsid w:val="009B5B7B"/>
    <w:rsid w:val="009C1777"/>
    <w:rsid w:val="009C2C86"/>
    <w:rsid w:val="009C6FE0"/>
    <w:rsid w:val="009D0753"/>
    <w:rsid w:val="009D10A4"/>
    <w:rsid w:val="009D169C"/>
    <w:rsid w:val="009D2064"/>
    <w:rsid w:val="009D3C14"/>
    <w:rsid w:val="009D5131"/>
    <w:rsid w:val="009D6F71"/>
    <w:rsid w:val="009D750D"/>
    <w:rsid w:val="009D76FF"/>
    <w:rsid w:val="009E1802"/>
    <w:rsid w:val="009E1CDE"/>
    <w:rsid w:val="009E2B06"/>
    <w:rsid w:val="009E3829"/>
    <w:rsid w:val="009E45FE"/>
    <w:rsid w:val="009E51E2"/>
    <w:rsid w:val="009F4252"/>
    <w:rsid w:val="009F7048"/>
    <w:rsid w:val="009F7847"/>
    <w:rsid w:val="009F78E5"/>
    <w:rsid w:val="009F7A61"/>
    <w:rsid w:val="00A0152B"/>
    <w:rsid w:val="00A11800"/>
    <w:rsid w:val="00A11C16"/>
    <w:rsid w:val="00A1423E"/>
    <w:rsid w:val="00A15F66"/>
    <w:rsid w:val="00A17664"/>
    <w:rsid w:val="00A20FAF"/>
    <w:rsid w:val="00A23DAE"/>
    <w:rsid w:val="00A24520"/>
    <w:rsid w:val="00A3164A"/>
    <w:rsid w:val="00A34A49"/>
    <w:rsid w:val="00A34AD4"/>
    <w:rsid w:val="00A368F0"/>
    <w:rsid w:val="00A37F42"/>
    <w:rsid w:val="00A419D7"/>
    <w:rsid w:val="00A4411F"/>
    <w:rsid w:val="00A457C2"/>
    <w:rsid w:val="00A500D6"/>
    <w:rsid w:val="00A509CD"/>
    <w:rsid w:val="00A5178D"/>
    <w:rsid w:val="00A523FF"/>
    <w:rsid w:val="00A537BC"/>
    <w:rsid w:val="00A54756"/>
    <w:rsid w:val="00A54928"/>
    <w:rsid w:val="00A54C66"/>
    <w:rsid w:val="00A559EC"/>
    <w:rsid w:val="00A57D36"/>
    <w:rsid w:val="00A61BB6"/>
    <w:rsid w:val="00A62EA0"/>
    <w:rsid w:val="00A65734"/>
    <w:rsid w:val="00A6687F"/>
    <w:rsid w:val="00A67907"/>
    <w:rsid w:val="00A73CC1"/>
    <w:rsid w:val="00A775FF"/>
    <w:rsid w:val="00A80270"/>
    <w:rsid w:val="00A80576"/>
    <w:rsid w:val="00A82DB1"/>
    <w:rsid w:val="00A8306B"/>
    <w:rsid w:val="00A83293"/>
    <w:rsid w:val="00A834E0"/>
    <w:rsid w:val="00A84127"/>
    <w:rsid w:val="00A84BF9"/>
    <w:rsid w:val="00A853AA"/>
    <w:rsid w:val="00A85851"/>
    <w:rsid w:val="00A86DA2"/>
    <w:rsid w:val="00A87C94"/>
    <w:rsid w:val="00A9006F"/>
    <w:rsid w:val="00A90DFC"/>
    <w:rsid w:val="00A90F1A"/>
    <w:rsid w:val="00A91BF3"/>
    <w:rsid w:val="00A963B7"/>
    <w:rsid w:val="00A97630"/>
    <w:rsid w:val="00AA02F8"/>
    <w:rsid w:val="00AA043A"/>
    <w:rsid w:val="00AA0A9C"/>
    <w:rsid w:val="00AA16C0"/>
    <w:rsid w:val="00AA4CDC"/>
    <w:rsid w:val="00AA741C"/>
    <w:rsid w:val="00AB21D4"/>
    <w:rsid w:val="00AB21F5"/>
    <w:rsid w:val="00AB2C52"/>
    <w:rsid w:val="00AB3386"/>
    <w:rsid w:val="00AB36DB"/>
    <w:rsid w:val="00AC0B1D"/>
    <w:rsid w:val="00AC2F5B"/>
    <w:rsid w:val="00AC3DAD"/>
    <w:rsid w:val="00AC5309"/>
    <w:rsid w:val="00AC5B97"/>
    <w:rsid w:val="00AD2E29"/>
    <w:rsid w:val="00AD4DD0"/>
    <w:rsid w:val="00AE0A8D"/>
    <w:rsid w:val="00AE266C"/>
    <w:rsid w:val="00AE49AF"/>
    <w:rsid w:val="00AE6275"/>
    <w:rsid w:val="00AE75D6"/>
    <w:rsid w:val="00AF6342"/>
    <w:rsid w:val="00B0141E"/>
    <w:rsid w:val="00B053FB"/>
    <w:rsid w:val="00B05647"/>
    <w:rsid w:val="00B07645"/>
    <w:rsid w:val="00B07EE5"/>
    <w:rsid w:val="00B10FB1"/>
    <w:rsid w:val="00B21CC5"/>
    <w:rsid w:val="00B26778"/>
    <w:rsid w:val="00B26B83"/>
    <w:rsid w:val="00B26B9E"/>
    <w:rsid w:val="00B32479"/>
    <w:rsid w:val="00B32D94"/>
    <w:rsid w:val="00B33FE2"/>
    <w:rsid w:val="00B37673"/>
    <w:rsid w:val="00B403ED"/>
    <w:rsid w:val="00B4065F"/>
    <w:rsid w:val="00B41B61"/>
    <w:rsid w:val="00B45091"/>
    <w:rsid w:val="00B45447"/>
    <w:rsid w:val="00B52341"/>
    <w:rsid w:val="00B614F1"/>
    <w:rsid w:val="00B66EE1"/>
    <w:rsid w:val="00B72B6F"/>
    <w:rsid w:val="00B8252D"/>
    <w:rsid w:val="00B866B4"/>
    <w:rsid w:val="00B86CF2"/>
    <w:rsid w:val="00B86DC0"/>
    <w:rsid w:val="00B94226"/>
    <w:rsid w:val="00B952C0"/>
    <w:rsid w:val="00B969BC"/>
    <w:rsid w:val="00B975CB"/>
    <w:rsid w:val="00B97EB2"/>
    <w:rsid w:val="00BA059A"/>
    <w:rsid w:val="00BA0A8C"/>
    <w:rsid w:val="00BA0CEB"/>
    <w:rsid w:val="00BA14AB"/>
    <w:rsid w:val="00BA2383"/>
    <w:rsid w:val="00BA2E7E"/>
    <w:rsid w:val="00BA4DBF"/>
    <w:rsid w:val="00BA590A"/>
    <w:rsid w:val="00BA5FE4"/>
    <w:rsid w:val="00BB0B39"/>
    <w:rsid w:val="00BB30D1"/>
    <w:rsid w:val="00BB39D8"/>
    <w:rsid w:val="00BB5F75"/>
    <w:rsid w:val="00BC0C41"/>
    <w:rsid w:val="00BC6524"/>
    <w:rsid w:val="00BD3931"/>
    <w:rsid w:val="00BD5B88"/>
    <w:rsid w:val="00BD5F58"/>
    <w:rsid w:val="00BE0AEB"/>
    <w:rsid w:val="00BE451F"/>
    <w:rsid w:val="00BE4F72"/>
    <w:rsid w:val="00BF02C7"/>
    <w:rsid w:val="00BF02D7"/>
    <w:rsid w:val="00BF382C"/>
    <w:rsid w:val="00BF4D8D"/>
    <w:rsid w:val="00BF4EC7"/>
    <w:rsid w:val="00BF52CE"/>
    <w:rsid w:val="00C018E0"/>
    <w:rsid w:val="00C0268F"/>
    <w:rsid w:val="00C05AAF"/>
    <w:rsid w:val="00C05CC7"/>
    <w:rsid w:val="00C118C7"/>
    <w:rsid w:val="00C20877"/>
    <w:rsid w:val="00C20E7B"/>
    <w:rsid w:val="00C21456"/>
    <w:rsid w:val="00C24D03"/>
    <w:rsid w:val="00C25E61"/>
    <w:rsid w:val="00C310DC"/>
    <w:rsid w:val="00C348D5"/>
    <w:rsid w:val="00C35A1B"/>
    <w:rsid w:val="00C413F3"/>
    <w:rsid w:val="00C5089E"/>
    <w:rsid w:val="00C53654"/>
    <w:rsid w:val="00C54EFF"/>
    <w:rsid w:val="00C55D03"/>
    <w:rsid w:val="00C63548"/>
    <w:rsid w:val="00C6384A"/>
    <w:rsid w:val="00C63F96"/>
    <w:rsid w:val="00C65450"/>
    <w:rsid w:val="00C677AF"/>
    <w:rsid w:val="00C67E59"/>
    <w:rsid w:val="00C72B8B"/>
    <w:rsid w:val="00C72CB5"/>
    <w:rsid w:val="00C75497"/>
    <w:rsid w:val="00C76D4F"/>
    <w:rsid w:val="00C805BC"/>
    <w:rsid w:val="00C84C4D"/>
    <w:rsid w:val="00C905A6"/>
    <w:rsid w:val="00C959CA"/>
    <w:rsid w:val="00C95D16"/>
    <w:rsid w:val="00CA2AB4"/>
    <w:rsid w:val="00CA47D5"/>
    <w:rsid w:val="00CB0100"/>
    <w:rsid w:val="00CB04D2"/>
    <w:rsid w:val="00CB1C07"/>
    <w:rsid w:val="00CB1FFC"/>
    <w:rsid w:val="00CB65C5"/>
    <w:rsid w:val="00CD5FBB"/>
    <w:rsid w:val="00CD7EFE"/>
    <w:rsid w:val="00CE0C66"/>
    <w:rsid w:val="00CE1017"/>
    <w:rsid w:val="00CE267E"/>
    <w:rsid w:val="00CE28CF"/>
    <w:rsid w:val="00CE4386"/>
    <w:rsid w:val="00CE4CDC"/>
    <w:rsid w:val="00CE5BEB"/>
    <w:rsid w:val="00CE69E9"/>
    <w:rsid w:val="00CE71F2"/>
    <w:rsid w:val="00CE754D"/>
    <w:rsid w:val="00CF3F65"/>
    <w:rsid w:val="00CF464D"/>
    <w:rsid w:val="00CF5E6C"/>
    <w:rsid w:val="00D125AA"/>
    <w:rsid w:val="00D17EF4"/>
    <w:rsid w:val="00D23770"/>
    <w:rsid w:val="00D25074"/>
    <w:rsid w:val="00D253C4"/>
    <w:rsid w:val="00D34517"/>
    <w:rsid w:val="00D36798"/>
    <w:rsid w:val="00D37B79"/>
    <w:rsid w:val="00D47E80"/>
    <w:rsid w:val="00D526A7"/>
    <w:rsid w:val="00D54D64"/>
    <w:rsid w:val="00D70563"/>
    <w:rsid w:val="00D70D89"/>
    <w:rsid w:val="00D72051"/>
    <w:rsid w:val="00D7380B"/>
    <w:rsid w:val="00D75D77"/>
    <w:rsid w:val="00D7639E"/>
    <w:rsid w:val="00D835EF"/>
    <w:rsid w:val="00D85F09"/>
    <w:rsid w:val="00D86A9D"/>
    <w:rsid w:val="00D9282F"/>
    <w:rsid w:val="00D92E9B"/>
    <w:rsid w:val="00D9465D"/>
    <w:rsid w:val="00D96AA7"/>
    <w:rsid w:val="00DA089A"/>
    <w:rsid w:val="00DA11A0"/>
    <w:rsid w:val="00DA2822"/>
    <w:rsid w:val="00DA592B"/>
    <w:rsid w:val="00DA690B"/>
    <w:rsid w:val="00DA7225"/>
    <w:rsid w:val="00DB44E9"/>
    <w:rsid w:val="00DB63FF"/>
    <w:rsid w:val="00DC027F"/>
    <w:rsid w:val="00DC0CD4"/>
    <w:rsid w:val="00DC1966"/>
    <w:rsid w:val="00DC3259"/>
    <w:rsid w:val="00DD0523"/>
    <w:rsid w:val="00DD3F25"/>
    <w:rsid w:val="00DD499A"/>
    <w:rsid w:val="00DE5758"/>
    <w:rsid w:val="00DE5FCF"/>
    <w:rsid w:val="00DF0D19"/>
    <w:rsid w:val="00DF2EE9"/>
    <w:rsid w:val="00DF6FD8"/>
    <w:rsid w:val="00E04312"/>
    <w:rsid w:val="00E05A80"/>
    <w:rsid w:val="00E06A37"/>
    <w:rsid w:val="00E071A5"/>
    <w:rsid w:val="00E07752"/>
    <w:rsid w:val="00E1427E"/>
    <w:rsid w:val="00E16609"/>
    <w:rsid w:val="00E16F08"/>
    <w:rsid w:val="00E233F3"/>
    <w:rsid w:val="00E26B34"/>
    <w:rsid w:val="00E314BA"/>
    <w:rsid w:val="00E325BE"/>
    <w:rsid w:val="00E326BA"/>
    <w:rsid w:val="00E33522"/>
    <w:rsid w:val="00E34202"/>
    <w:rsid w:val="00E3478C"/>
    <w:rsid w:val="00E355FC"/>
    <w:rsid w:val="00E35EA3"/>
    <w:rsid w:val="00E35FEE"/>
    <w:rsid w:val="00E36F19"/>
    <w:rsid w:val="00E37F72"/>
    <w:rsid w:val="00E40BE5"/>
    <w:rsid w:val="00E40CF9"/>
    <w:rsid w:val="00E42A30"/>
    <w:rsid w:val="00E468F4"/>
    <w:rsid w:val="00E5625D"/>
    <w:rsid w:val="00E648BB"/>
    <w:rsid w:val="00E67ACA"/>
    <w:rsid w:val="00E76B31"/>
    <w:rsid w:val="00E81F3E"/>
    <w:rsid w:val="00E844BB"/>
    <w:rsid w:val="00E84C48"/>
    <w:rsid w:val="00E859BD"/>
    <w:rsid w:val="00E86B70"/>
    <w:rsid w:val="00E87C8F"/>
    <w:rsid w:val="00E924C3"/>
    <w:rsid w:val="00E945CA"/>
    <w:rsid w:val="00E95085"/>
    <w:rsid w:val="00E954EE"/>
    <w:rsid w:val="00E96759"/>
    <w:rsid w:val="00E97B4B"/>
    <w:rsid w:val="00E97D3E"/>
    <w:rsid w:val="00EA4437"/>
    <w:rsid w:val="00EA4D87"/>
    <w:rsid w:val="00EB2BB3"/>
    <w:rsid w:val="00EB34FC"/>
    <w:rsid w:val="00EB3AB5"/>
    <w:rsid w:val="00EB76E1"/>
    <w:rsid w:val="00EC1875"/>
    <w:rsid w:val="00EC2499"/>
    <w:rsid w:val="00EC4C35"/>
    <w:rsid w:val="00EC651D"/>
    <w:rsid w:val="00ED5F2E"/>
    <w:rsid w:val="00EE29DF"/>
    <w:rsid w:val="00EE4120"/>
    <w:rsid w:val="00EE4DC8"/>
    <w:rsid w:val="00EF2E8A"/>
    <w:rsid w:val="00EF4E6B"/>
    <w:rsid w:val="00EF5416"/>
    <w:rsid w:val="00EF6E3B"/>
    <w:rsid w:val="00F00BB3"/>
    <w:rsid w:val="00F06CCF"/>
    <w:rsid w:val="00F1053D"/>
    <w:rsid w:val="00F106FC"/>
    <w:rsid w:val="00F110D5"/>
    <w:rsid w:val="00F11E63"/>
    <w:rsid w:val="00F12733"/>
    <w:rsid w:val="00F134F6"/>
    <w:rsid w:val="00F171E1"/>
    <w:rsid w:val="00F20DCF"/>
    <w:rsid w:val="00F21EDC"/>
    <w:rsid w:val="00F227BA"/>
    <w:rsid w:val="00F24638"/>
    <w:rsid w:val="00F25B36"/>
    <w:rsid w:val="00F3052A"/>
    <w:rsid w:val="00F341E3"/>
    <w:rsid w:val="00F35D09"/>
    <w:rsid w:val="00F4304D"/>
    <w:rsid w:val="00F46612"/>
    <w:rsid w:val="00F474EF"/>
    <w:rsid w:val="00F4752B"/>
    <w:rsid w:val="00F476E8"/>
    <w:rsid w:val="00F520AD"/>
    <w:rsid w:val="00F52279"/>
    <w:rsid w:val="00F541AE"/>
    <w:rsid w:val="00F56792"/>
    <w:rsid w:val="00F571A6"/>
    <w:rsid w:val="00F6018B"/>
    <w:rsid w:val="00F60265"/>
    <w:rsid w:val="00F608F1"/>
    <w:rsid w:val="00F60E32"/>
    <w:rsid w:val="00F610A8"/>
    <w:rsid w:val="00F644FF"/>
    <w:rsid w:val="00F65ABA"/>
    <w:rsid w:val="00F65E15"/>
    <w:rsid w:val="00F7017A"/>
    <w:rsid w:val="00F7242E"/>
    <w:rsid w:val="00F74B33"/>
    <w:rsid w:val="00F76820"/>
    <w:rsid w:val="00F810DD"/>
    <w:rsid w:val="00F82CB8"/>
    <w:rsid w:val="00F93A3E"/>
    <w:rsid w:val="00F956E9"/>
    <w:rsid w:val="00F95E2F"/>
    <w:rsid w:val="00F95EEB"/>
    <w:rsid w:val="00F96DEB"/>
    <w:rsid w:val="00F9709E"/>
    <w:rsid w:val="00FA1032"/>
    <w:rsid w:val="00FA1872"/>
    <w:rsid w:val="00FA4F34"/>
    <w:rsid w:val="00FA6439"/>
    <w:rsid w:val="00FB04BE"/>
    <w:rsid w:val="00FB172C"/>
    <w:rsid w:val="00FB2590"/>
    <w:rsid w:val="00FB3089"/>
    <w:rsid w:val="00FB6D1B"/>
    <w:rsid w:val="00FC60C9"/>
    <w:rsid w:val="00FD1D13"/>
    <w:rsid w:val="00FD5A8C"/>
    <w:rsid w:val="00FD5CC5"/>
    <w:rsid w:val="00FE286E"/>
    <w:rsid w:val="00FE3233"/>
    <w:rsid w:val="00FE4C68"/>
    <w:rsid w:val="00FE58EF"/>
    <w:rsid w:val="00FE5FAF"/>
    <w:rsid w:val="00FE6D74"/>
    <w:rsid w:val="00FF0C0C"/>
    <w:rsid w:val="00FF413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707A4"/>
  <w15:docId w15:val="{A4135D6D-62A1-4903-AC97-3EBC0C763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DBF"/>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UnresolvedMention1">
    <w:name w:val="Unresolved Mention1"/>
    <w:basedOn w:val="DefaultParagraphFont"/>
    <w:uiPriority w:val="99"/>
    <w:semiHidden/>
    <w:unhideWhenUsed/>
    <w:rsid w:val="00A419D7"/>
    <w:rPr>
      <w:color w:val="605E5C"/>
      <w:shd w:val="clear" w:color="auto" w:fill="E1DFDD"/>
    </w:rPr>
  </w:style>
  <w:style w:type="table" w:customStyle="1" w:styleId="CLEAResultTable">
    <w:name w:val="CLEAResult Table"/>
    <w:basedOn w:val="TableGrid10"/>
    <w:uiPriority w:val="99"/>
    <w:rsid w:val="00B41B61"/>
    <w:pPr>
      <w:spacing w:after="100"/>
    </w:pPr>
    <w:rPr>
      <w:rFonts w:ascii="Arial" w:eastAsia="Arial" w:hAnsi="Arial" w:cs="Times New Roman"/>
      <w:sz w:val="20"/>
      <w:szCs w:val="16"/>
    </w:rPr>
    <w:tblPr>
      <w:tblStyleRowBandSize w:val="1"/>
      <w:tblStyleColBandSize w:val="1"/>
      <w:tblBorders>
        <w:top w:val="single" w:sz="4" w:space="0" w:color="92B7BC"/>
        <w:left w:val="single" w:sz="4" w:space="0" w:color="92B7BC"/>
        <w:bottom w:val="single" w:sz="4" w:space="0" w:color="92B7BC"/>
        <w:right w:val="single" w:sz="4" w:space="0" w:color="92B7BC"/>
        <w:insideH w:val="single" w:sz="4" w:space="0" w:color="92B7BC"/>
        <w:insideV w:val="single" w:sz="4" w:space="0" w:color="92B7BC"/>
      </w:tblBorders>
      <w:tblCellMar>
        <w:top w:w="29" w:type="dxa"/>
        <w:left w:w="72" w:type="dxa"/>
        <w:bottom w:w="29" w:type="dxa"/>
        <w:right w:w="72" w:type="dxa"/>
      </w:tblCellMar>
    </w:tblPr>
    <w:tcPr>
      <w:shd w:val="clear" w:color="auto" w:fill="auto"/>
      <w:vAlign w:val="center"/>
    </w:tcPr>
    <w:tblStylePr w:type="firstRow">
      <w:pPr>
        <w:jc w:val="left"/>
      </w:pPr>
      <w:rPr>
        <w:b/>
        <w:color w:val="FFFFFF"/>
        <w:sz w:val="20"/>
      </w:rPr>
      <w:tblPr/>
      <w:tcPr>
        <w:shd w:val="clear" w:color="auto" w:fill="007299"/>
      </w:tcPr>
    </w:tblStylePr>
    <w:tblStylePr w:type="lastRow">
      <w:pPr>
        <w:jc w:val="center"/>
      </w:pPr>
      <w:rPr>
        <w:b/>
        <w:i w:val="0"/>
        <w:iCs/>
        <w:color w:val="000000"/>
      </w:rPr>
      <w:tblPr/>
      <w:tcPr>
        <w:tcBorders>
          <w:tl2br w:val="none" w:sz="0" w:space="0" w:color="auto"/>
          <w:tr2bl w:val="none" w:sz="0" w:space="0" w:color="auto"/>
        </w:tcBorders>
        <w:shd w:val="clear" w:color="auto" w:fill="EFE9E5"/>
      </w:tcPr>
    </w:tblStylePr>
    <w:tblStylePr w:type="firstCol">
      <w:pPr>
        <w:jc w:val="center"/>
      </w:pPr>
      <w:tblPr/>
      <w:tcPr>
        <w:shd w:val="clear" w:color="auto" w:fill="F4CE00"/>
      </w:tcPr>
    </w:tblStylePr>
    <w:tblStylePr w:type="lastCol">
      <w:rPr>
        <w:b/>
        <w:i w:val="0"/>
        <w:iCs/>
      </w:rPr>
      <w:tblPr/>
      <w:tcPr>
        <w:tcBorders>
          <w:tl2br w:val="none" w:sz="0" w:space="0" w:color="auto"/>
          <w:tr2bl w:val="none" w:sz="0" w:space="0" w:color="auto"/>
        </w:tcBorders>
        <w:shd w:val="clear" w:color="auto" w:fill="EFE9E5"/>
      </w:tcPr>
    </w:tblStylePr>
  </w:style>
  <w:style w:type="table" w:styleId="TableGrid10">
    <w:name w:val="Table Grid 1"/>
    <w:basedOn w:val="TableNormal"/>
    <w:uiPriority w:val="99"/>
    <w:semiHidden/>
    <w:unhideWhenUsed/>
    <w:rsid w:val="00B41B61"/>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Revision">
    <w:name w:val="Revision"/>
    <w:hidden/>
    <w:uiPriority w:val="99"/>
    <w:semiHidden/>
    <w:rsid w:val="002705B1"/>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96892544">
      <w:bodyDiv w:val="1"/>
      <w:marLeft w:val="0"/>
      <w:marRight w:val="0"/>
      <w:marTop w:val="0"/>
      <w:marBottom w:val="0"/>
      <w:divBdr>
        <w:top w:val="none" w:sz="0" w:space="0" w:color="auto"/>
        <w:left w:val="none" w:sz="0" w:space="0" w:color="auto"/>
        <w:bottom w:val="none" w:sz="0" w:space="0" w:color="auto"/>
        <w:right w:val="none" w:sz="0" w:space="0" w:color="auto"/>
      </w:divBdr>
    </w:div>
    <w:div w:id="1566259340">
      <w:bodyDiv w:val="1"/>
      <w:marLeft w:val="0"/>
      <w:marRight w:val="0"/>
      <w:marTop w:val="0"/>
      <w:marBottom w:val="0"/>
      <w:divBdr>
        <w:top w:val="none" w:sz="0" w:space="0" w:color="auto"/>
        <w:left w:val="none" w:sz="0" w:space="0" w:color="auto"/>
        <w:bottom w:val="none" w:sz="0" w:space="0" w:color="auto"/>
        <w:right w:val="none" w:sz="0" w:space="0" w:color="auto"/>
      </w:divBdr>
    </w:div>
    <w:div w:id="1735277758">
      <w:bodyDiv w:val="1"/>
      <w:marLeft w:val="0"/>
      <w:marRight w:val="0"/>
      <w:marTop w:val="0"/>
      <w:marBottom w:val="0"/>
      <w:divBdr>
        <w:top w:val="none" w:sz="0" w:space="0" w:color="auto"/>
        <w:left w:val="none" w:sz="0" w:space="0" w:color="auto"/>
        <w:bottom w:val="none" w:sz="0" w:space="0" w:color="auto"/>
        <w:right w:val="none" w:sz="0" w:space="0" w:color="auto"/>
      </w:divBdr>
      <w:divsChild>
        <w:div w:id="836193046">
          <w:marLeft w:val="0"/>
          <w:marRight w:val="0"/>
          <w:marTop w:val="0"/>
          <w:marBottom w:val="0"/>
          <w:divBdr>
            <w:top w:val="none" w:sz="0" w:space="0" w:color="auto"/>
            <w:left w:val="none" w:sz="0" w:space="0" w:color="auto"/>
            <w:bottom w:val="none" w:sz="0" w:space="0" w:color="auto"/>
            <w:right w:val="none" w:sz="0" w:space="0" w:color="auto"/>
          </w:divBdr>
        </w:div>
        <w:div w:id="860506707">
          <w:marLeft w:val="0"/>
          <w:marRight w:val="0"/>
          <w:marTop w:val="0"/>
          <w:marBottom w:val="0"/>
          <w:divBdr>
            <w:top w:val="none" w:sz="0" w:space="0" w:color="auto"/>
            <w:left w:val="none" w:sz="0" w:space="0" w:color="auto"/>
            <w:bottom w:val="none" w:sz="0" w:space="0" w:color="auto"/>
            <w:right w:val="none" w:sz="0" w:space="0" w:color="auto"/>
          </w:divBdr>
        </w:div>
        <w:div w:id="1980331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7350A"/>
    <w:rsid w:val="00055835"/>
    <w:rsid w:val="000B31E3"/>
    <w:rsid w:val="000E4056"/>
    <w:rsid w:val="00110D32"/>
    <w:rsid w:val="00146151"/>
    <w:rsid w:val="00157172"/>
    <w:rsid w:val="001D4098"/>
    <w:rsid w:val="00204A7F"/>
    <w:rsid w:val="002752E6"/>
    <w:rsid w:val="002B514B"/>
    <w:rsid w:val="002C0C03"/>
    <w:rsid w:val="002C4769"/>
    <w:rsid w:val="002F01CE"/>
    <w:rsid w:val="00311B0D"/>
    <w:rsid w:val="003A131F"/>
    <w:rsid w:val="003B36F3"/>
    <w:rsid w:val="003D03B8"/>
    <w:rsid w:val="003F5E4C"/>
    <w:rsid w:val="00513D1F"/>
    <w:rsid w:val="00560392"/>
    <w:rsid w:val="005B3584"/>
    <w:rsid w:val="005E48E7"/>
    <w:rsid w:val="006039BA"/>
    <w:rsid w:val="006609B0"/>
    <w:rsid w:val="006B7FA8"/>
    <w:rsid w:val="006C6407"/>
    <w:rsid w:val="006D251A"/>
    <w:rsid w:val="006E38E9"/>
    <w:rsid w:val="006F291F"/>
    <w:rsid w:val="00770283"/>
    <w:rsid w:val="007B279F"/>
    <w:rsid w:val="008211B5"/>
    <w:rsid w:val="00846306"/>
    <w:rsid w:val="00874653"/>
    <w:rsid w:val="00895C31"/>
    <w:rsid w:val="00901583"/>
    <w:rsid w:val="00984D07"/>
    <w:rsid w:val="00A021EE"/>
    <w:rsid w:val="00A5022A"/>
    <w:rsid w:val="00A8604E"/>
    <w:rsid w:val="00AE4C28"/>
    <w:rsid w:val="00AF21ED"/>
    <w:rsid w:val="00AF2C4B"/>
    <w:rsid w:val="00B0429C"/>
    <w:rsid w:val="00B73964"/>
    <w:rsid w:val="00B73AE4"/>
    <w:rsid w:val="00B74704"/>
    <w:rsid w:val="00BD540A"/>
    <w:rsid w:val="00BE4CC3"/>
    <w:rsid w:val="00C617B8"/>
    <w:rsid w:val="00C8018A"/>
    <w:rsid w:val="00C947B8"/>
    <w:rsid w:val="00CE33F2"/>
    <w:rsid w:val="00D0496D"/>
    <w:rsid w:val="00D051F5"/>
    <w:rsid w:val="00DE24B2"/>
    <w:rsid w:val="00E53965"/>
    <w:rsid w:val="00EC59D9"/>
    <w:rsid w:val="00F7350A"/>
    <w:rsid w:val="00F82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9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4F2EA9-11B4-4EA1-8FB3-F1B49819B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3525</Words>
  <Characters>20095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SCE17HC052</vt:lpstr>
    </vt:vector>
  </TitlesOfParts>
  <Company>Southern California Edison</Company>
  <LinksUpToDate>false</LinksUpToDate>
  <CharactersWithSpaces>23573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SCE17HC052</dc:title>
  <dc:creator>Jim Wyatt (PG&amp;E);Jason Wang (SCE)</dc:creator>
  <cp:lastModifiedBy>Jay Bhakta</cp:lastModifiedBy>
  <cp:revision>3</cp:revision>
  <dcterms:created xsi:type="dcterms:W3CDTF">2018-10-26T00:37:00Z</dcterms:created>
  <dcterms:modified xsi:type="dcterms:W3CDTF">2018-10-26T00:40:00Z</dcterms:modified>
  <cp:contentStatus>Revision 0</cp:contentStatus>
</cp:coreProperties>
</file>