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9C0893" w14:textId="4F8209B3" w:rsidR="003F3A41" w:rsidRPr="00500C4E" w:rsidRDefault="00A57D36" w:rsidP="00A57D36">
      <w:pPr>
        <w:pStyle w:val="WPnumber"/>
      </w:pPr>
      <w:bookmarkStart w:id="0" w:name="_Toc153189647"/>
      <w:bookmarkStart w:id="1" w:name="_Toc214003082"/>
      <w:r w:rsidRPr="00500C4E">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r w:rsidR="00540BA3">
            <w:t>SCE17HC012</w:t>
          </w:r>
        </w:sdtContent>
      </w:sdt>
    </w:p>
    <w:bookmarkEnd w:id="0"/>
    <w:p w14:paraId="7601CE2F" w14:textId="43971B54" w:rsidR="00DA690B" w:rsidRPr="00500C4E" w:rsidRDefault="000F56E4"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3F3A41" w:rsidRPr="00500C4E">
            <w:rPr>
              <w:rStyle w:val="CaptionChar"/>
              <w:rFonts w:asciiTheme="minorHAnsi" w:hAnsiTheme="minorHAnsi" w:cstheme="minorHAnsi"/>
              <w:b/>
              <w:bCs w:val="0"/>
              <w:sz w:val="48"/>
              <w:szCs w:val="48"/>
            </w:rPr>
            <w:t xml:space="preserve">Revision </w:t>
          </w:r>
          <w:r w:rsidR="001727B0">
            <w:rPr>
              <w:rStyle w:val="CaptionChar"/>
              <w:rFonts w:asciiTheme="minorHAnsi" w:hAnsiTheme="minorHAnsi" w:cstheme="minorHAnsi"/>
              <w:b/>
              <w:bCs w:val="0"/>
              <w:sz w:val="48"/>
              <w:szCs w:val="48"/>
            </w:rPr>
            <w:t>1</w:t>
          </w:r>
        </w:sdtContent>
      </w:sdt>
    </w:p>
    <w:p w14:paraId="3E4FD8A9" w14:textId="4CB4D611" w:rsidR="00285A0D" w:rsidRPr="00500C4E" w:rsidRDefault="00F30167" w:rsidP="00DE5758">
      <w:pPr>
        <w:jc w:val="right"/>
        <w:rPr>
          <w:rFonts w:cstheme="minorHAnsi"/>
          <w:b/>
          <w:sz w:val="48"/>
          <w:szCs w:val="48"/>
        </w:rPr>
      </w:pPr>
      <w:r>
        <w:rPr>
          <w:rFonts w:cstheme="minorHAnsi"/>
          <w:b/>
          <w:sz w:val="48"/>
          <w:szCs w:val="48"/>
        </w:rPr>
        <w:t>Short Form</w:t>
      </w:r>
    </w:p>
    <w:bookmarkStart w:id="2" w:name="SCE"/>
    <w:p w14:paraId="1837A157" w14:textId="79948BB8" w:rsidR="00DA690B" w:rsidRPr="00500C4E" w:rsidRDefault="000F56E4"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EndPr/>
        <w:sdtContent>
          <w:r w:rsidR="0008524C">
            <w:rPr>
              <w:rFonts w:cstheme="minorHAnsi"/>
              <w:b/>
              <w:sz w:val="36"/>
              <w:szCs w:val="36"/>
            </w:rPr>
            <w:t>Southern California Edison</w:t>
          </w:r>
        </w:sdtContent>
      </w:sdt>
      <w:bookmarkEnd w:id="2"/>
    </w:p>
    <w:p w14:paraId="29354732" w14:textId="77777777" w:rsidR="00DA690B" w:rsidRPr="00500C4E" w:rsidRDefault="00DA690B" w:rsidP="00DA690B">
      <w:pPr>
        <w:rPr>
          <w:rFonts w:cstheme="minorHAnsi"/>
        </w:rPr>
      </w:pPr>
    </w:p>
    <w:p w14:paraId="7BF912AA" w14:textId="77777777" w:rsidR="00DA690B" w:rsidRPr="00500C4E" w:rsidRDefault="00DA690B" w:rsidP="00DA690B">
      <w:pPr>
        <w:rPr>
          <w:rFonts w:cstheme="minorHAnsi"/>
        </w:rPr>
      </w:pPr>
    </w:p>
    <w:p w14:paraId="1D4E0B3B" w14:textId="77777777" w:rsidR="00DA690B" w:rsidRPr="00500C4E" w:rsidRDefault="009D0753" w:rsidP="009D0753">
      <w:pPr>
        <w:tabs>
          <w:tab w:val="left" w:pos="8190"/>
        </w:tabs>
        <w:rPr>
          <w:rFonts w:cstheme="minorHAnsi"/>
        </w:rPr>
      </w:pPr>
      <w:r w:rsidRPr="00500C4E">
        <w:rPr>
          <w:rFonts w:cstheme="minorHAnsi"/>
        </w:rPr>
        <w:tab/>
      </w:r>
    </w:p>
    <w:p w14:paraId="5611997E" w14:textId="77777777" w:rsidR="00DA690B" w:rsidRPr="00500C4E" w:rsidRDefault="00DA690B" w:rsidP="00DA690B">
      <w:pPr>
        <w:rPr>
          <w:rFonts w:cstheme="minorHAnsi"/>
        </w:rPr>
      </w:pPr>
    </w:p>
    <w:p w14:paraId="7C3A666A" w14:textId="77777777" w:rsidR="00DA690B" w:rsidRPr="00500C4E" w:rsidRDefault="00DA690B" w:rsidP="00DA690B">
      <w:pPr>
        <w:rPr>
          <w:rFonts w:cstheme="minorHAnsi"/>
        </w:rPr>
      </w:pPr>
    </w:p>
    <w:p w14:paraId="6777E312" w14:textId="77777777" w:rsidR="00DA690B" w:rsidRPr="00500C4E" w:rsidRDefault="00DA690B" w:rsidP="00DA690B">
      <w:pPr>
        <w:rPr>
          <w:rFonts w:cstheme="minorHAnsi"/>
        </w:rPr>
      </w:pPr>
    </w:p>
    <w:p w14:paraId="7D4F1F66" w14:textId="77777777" w:rsidR="00DA690B" w:rsidRPr="00500C4E" w:rsidRDefault="00DA690B" w:rsidP="00DA690B">
      <w:pPr>
        <w:rPr>
          <w:rFonts w:cstheme="minorHAnsi"/>
        </w:rPr>
      </w:pPr>
    </w:p>
    <w:p w14:paraId="5F74818A" w14:textId="77777777" w:rsidR="00DA690B" w:rsidRPr="00500C4E" w:rsidRDefault="00DA690B" w:rsidP="00DA690B">
      <w:pPr>
        <w:rPr>
          <w:rFonts w:cstheme="minorHAnsi"/>
        </w:rPr>
      </w:pPr>
    </w:p>
    <w:p w14:paraId="29CC4055" w14:textId="6D888EF4" w:rsidR="00E76B31" w:rsidRPr="00500C4E" w:rsidRDefault="00540BA3" w:rsidP="00540BA3">
      <w:pPr>
        <w:rPr>
          <w:rFonts w:cstheme="minorHAnsi"/>
          <w:i/>
          <w:szCs w:val="22"/>
        </w:rPr>
      </w:pPr>
      <w:bookmarkStart w:id="3" w:name="_Toc153189650"/>
      <w:r>
        <w:rPr>
          <w:rFonts w:cstheme="minorHAnsi"/>
          <w:b/>
          <w:sz w:val="72"/>
          <w:szCs w:val="72"/>
        </w:rPr>
        <w:t>Unitary Air Cooled Commercial Air Conditioning and Heat Pump Units Under 65 kBtuh</w:t>
      </w:r>
      <w:bookmarkEnd w:id="3"/>
    </w:p>
    <w:p w14:paraId="60C5441A" w14:textId="0AD285A5" w:rsidR="00F30167" w:rsidRDefault="00F30167">
      <w:pPr>
        <w:spacing w:after="200" w:line="276" w:lineRule="auto"/>
        <w:rPr>
          <w:rFonts w:cstheme="minorHAnsi"/>
          <w:b/>
          <w:color w:val="FF0000"/>
          <w:sz w:val="32"/>
          <w:szCs w:val="22"/>
        </w:rPr>
      </w:pPr>
      <w:r>
        <w:rPr>
          <w:rFonts w:cstheme="minorHAnsi"/>
          <w:b/>
          <w:i/>
          <w:sz w:val="32"/>
          <w:szCs w:val="22"/>
        </w:rPr>
        <w:br w:type="page"/>
      </w:r>
    </w:p>
    <w:p w14:paraId="495DC982" w14:textId="260D6AA2" w:rsidR="00F30167" w:rsidRPr="005837B0" w:rsidRDefault="00F30167" w:rsidP="00F30167">
      <w:pPr>
        <w:pStyle w:val="Reminders"/>
        <w:rPr>
          <w:rFonts w:asciiTheme="minorHAnsi" w:hAnsiTheme="minorHAnsi" w:cstheme="minorHAnsi"/>
          <w:b/>
          <w:i w:val="0"/>
          <w:color w:val="auto"/>
          <w:sz w:val="28"/>
          <w:szCs w:val="28"/>
        </w:rPr>
      </w:pPr>
      <w:r w:rsidRPr="005837B0">
        <w:rPr>
          <w:rFonts w:asciiTheme="minorHAnsi" w:hAnsiTheme="minorHAnsi" w:cstheme="minorHAnsi"/>
          <w:b/>
          <w:i w:val="0"/>
          <w:color w:val="auto"/>
          <w:sz w:val="28"/>
          <w:szCs w:val="28"/>
        </w:rPr>
        <w:lastRenderedPageBreak/>
        <w:t>Introduction</w:t>
      </w:r>
    </w:p>
    <w:p w14:paraId="36DF0D49" w14:textId="3D63934E" w:rsidR="00F30167" w:rsidRPr="005837B0" w:rsidRDefault="00F30167" w:rsidP="00F30167">
      <w:pPr>
        <w:pStyle w:val="Reminders"/>
        <w:rPr>
          <w:rFonts w:asciiTheme="minorHAnsi" w:hAnsiTheme="minorHAnsi" w:cstheme="minorHAnsi"/>
          <w:i w:val="0"/>
          <w:color w:val="auto"/>
          <w:szCs w:val="22"/>
        </w:rPr>
      </w:pPr>
      <w:r w:rsidRPr="005837B0">
        <w:rPr>
          <w:rFonts w:asciiTheme="minorHAnsi" w:hAnsiTheme="minorHAnsi" w:cstheme="minorHAnsi"/>
          <w:i w:val="0"/>
          <w:color w:val="auto"/>
          <w:szCs w:val="22"/>
        </w:rPr>
        <w:t xml:space="preserve">This short form workpaper documents (WP) </w:t>
      </w:r>
      <w:r w:rsidR="005D13CF">
        <w:rPr>
          <w:rFonts w:asciiTheme="minorHAnsi" w:hAnsiTheme="minorHAnsi" w:cstheme="minorHAnsi"/>
          <w:i w:val="0"/>
          <w:color w:val="auto"/>
          <w:szCs w:val="22"/>
        </w:rPr>
        <w:t xml:space="preserve">ex-ante parameters and measure implementation characteristics </w:t>
      </w:r>
      <w:r w:rsidRPr="005837B0">
        <w:rPr>
          <w:rFonts w:asciiTheme="minorHAnsi" w:hAnsiTheme="minorHAnsi" w:cstheme="minorHAnsi"/>
          <w:i w:val="0"/>
          <w:color w:val="auto"/>
          <w:szCs w:val="22"/>
        </w:rPr>
        <w:t xml:space="preserve">adopted </w:t>
      </w:r>
      <w:r w:rsidR="005D13CF">
        <w:rPr>
          <w:rFonts w:asciiTheme="minorHAnsi" w:hAnsiTheme="minorHAnsi" w:cstheme="minorHAnsi"/>
          <w:i w:val="0"/>
          <w:color w:val="auto"/>
          <w:szCs w:val="22"/>
        </w:rPr>
        <w:t xml:space="preserve">by SCE </w:t>
      </w:r>
      <w:r w:rsidRPr="005837B0">
        <w:rPr>
          <w:rFonts w:asciiTheme="minorHAnsi" w:hAnsiTheme="minorHAnsi" w:cstheme="minorHAnsi"/>
          <w:i w:val="0"/>
          <w:color w:val="auto"/>
          <w:szCs w:val="22"/>
        </w:rPr>
        <w:t>from PGE’s WP entitled “</w:t>
      </w:r>
      <w:r w:rsidR="00540BA3" w:rsidRPr="00540BA3">
        <w:rPr>
          <w:rFonts w:asciiTheme="minorHAnsi" w:hAnsiTheme="minorHAnsi" w:cstheme="minorHAnsi"/>
          <w:i w:val="0"/>
          <w:color w:val="auto"/>
          <w:szCs w:val="22"/>
        </w:rPr>
        <w:t>PGECOHVC126 R6 - Un</w:t>
      </w:r>
      <w:r w:rsidR="00540BA3">
        <w:rPr>
          <w:rFonts w:asciiTheme="minorHAnsi" w:hAnsiTheme="minorHAnsi" w:cstheme="minorHAnsi"/>
          <w:i w:val="0"/>
          <w:color w:val="auto"/>
          <w:szCs w:val="22"/>
        </w:rPr>
        <w:t>itary ACHP under 65kBtuh</w:t>
      </w:r>
      <w:r w:rsidR="001727B0">
        <w:rPr>
          <w:rFonts w:asciiTheme="minorHAnsi" w:hAnsiTheme="minorHAnsi" w:cstheme="minorHAnsi"/>
          <w:i w:val="0"/>
          <w:color w:val="auto"/>
          <w:szCs w:val="22"/>
        </w:rPr>
        <w:t>.</w:t>
      </w:r>
      <w:r w:rsidR="00966709" w:rsidRPr="005837B0">
        <w:rPr>
          <w:rFonts w:asciiTheme="minorHAnsi" w:hAnsiTheme="minorHAnsi" w:cstheme="minorHAnsi"/>
          <w:i w:val="0"/>
          <w:color w:val="auto"/>
          <w:szCs w:val="22"/>
        </w:rPr>
        <w:t>”</w:t>
      </w:r>
      <w:r w:rsidR="001727B0">
        <w:rPr>
          <w:rFonts w:asciiTheme="minorHAnsi" w:hAnsiTheme="minorHAnsi" w:cstheme="minorHAnsi"/>
          <w:i w:val="0"/>
          <w:color w:val="auto"/>
          <w:szCs w:val="22"/>
        </w:rPr>
        <w:t xml:space="preserve"> </w:t>
      </w:r>
      <w:r w:rsidRPr="005837B0">
        <w:rPr>
          <w:rFonts w:asciiTheme="minorHAnsi" w:hAnsiTheme="minorHAnsi" w:cstheme="minorHAnsi"/>
          <w:i w:val="0"/>
          <w:color w:val="auto"/>
          <w:szCs w:val="22"/>
        </w:rPr>
        <w:t>SCE adopts all</w:t>
      </w:r>
      <w:r w:rsidR="00003D19">
        <w:rPr>
          <w:rFonts w:asciiTheme="minorHAnsi" w:hAnsiTheme="minorHAnsi" w:cstheme="minorHAnsi"/>
          <w:i w:val="0"/>
          <w:color w:val="auto"/>
          <w:szCs w:val="22"/>
        </w:rPr>
        <w:t xml:space="preserve"> </w:t>
      </w:r>
      <w:r w:rsidR="001727B0">
        <w:rPr>
          <w:rFonts w:asciiTheme="minorHAnsi" w:hAnsiTheme="minorHAnsi" w:cstheme="minorHAnsi"/>
          <w:i w:val="0"/>
          <w:color w:val="auto"/>
          <w:szCs w:val="22"/>
        </w:rPr>
        <w:t>ex-ante requirements</w:t>
      </w:r>
      <w:r w:rsidR="00680B32">
        <w:rPr>
          <w:rFonts w:asciiTheme="minorHAnsi" w:hAnsiTheme="minorHAnsi" w:cstheme="minorHAnsi"/>
          <w:i w:val="0"/>
          <w:color w:val="auto"/>
          <w:szCs w:val="22"/>
        </w:rPr>
        <w:t xml:space="preserve"> </w:t>
      </w:r>
      <w:r w:rsidRPr="005837B0">
        <w:rPr>
          <w:rFonts w:asciiTheme="minorHAnsi" w:hAnsiTheme="minorHAnsi" w:cstheme="minorHAnsi"/>
          <w:i w:val="0"/>
          <w:color w:val="auto"/>
          <w:szCs w:val="22"/>
        </w:rPr>
        <w:t xml:space="preserve">in </w:t>
      </w:r>
      <w:r w:rsidR="00540BA3" w:rsidRPr="00540BA3">
        <w:rPr>
          <w:rFonts w:asciiTheme="minorHAnsi" w:hAnsiTheme="minorHAnsi" w:cstheme="minorHAnsi"/>
          <w:i w:val="0"/>
          <w:color w:val="auto"/>
          <w:szCs w:val="22"/>
        </w:rPr>
        <w:t>PGECOHVC126 R6 - Un</w:t>
      </w:r>
      <w:r w:rsidR="00540BA3">
        <w:rPr>
          <w:rFonts w:asciiTheme="minorHAnsi" w:hAnsiTheme="minorHAnsi" w:cstheme="minorHAnsi"/>
          <w:i w:val="0"/>
          <w:color w:val="auto"/>
          <w:szCs w:val="22"/>
        </w:rPr>
        <w:t>itary ACHP under 65kBtuh</w:t>
      </w:r>
      <w:r w:rsidRPr="005837B0">
        <w:rPr>
          <w:rFonts w:asciiTheme="minorHAnsi" w:hAnsiTheme="minorHAnsi" w:cstheme="minorHAnsi"/>
          <w:i w:val="0"/>
          <w:color w:val="auto"/>
          <w:szCs w:val="22"/>
        </w:rPr>
        <w:t xml:space="preserve">, with the following exceptions. </w:t>
      </w:r>
    </w:p>
    <w:p w14:paraId="78940EFD" w14:textId="77777777" w:rsidR="00F30167" w:rsidRPr="005837B0" w:rsidRDefault="00F30167" w:rsidP="00F30167">
      <w:pPr>
        <w:pStyle w:val="Reminders"/>
        <w:rPr>
          <w:rFonts w:asciiTheme="minorHAnsi" w:hAnsiTheme="minorHAnsi" w:cstheme="minorHAnsi"/>
          <w:i w:val="0"/>
          <w:color w:val="auto"/>
          <w:szCs w:val="22"/>
        </w:rPr>
      </w:pPr>
    </w:p>
    <w:p w14:paraId="26D83D35" w14:textId="5E455589" w:rsidR="00535581" w:rsidRDefault="00540BA3" w:rsidP="001727B0">
      <w:pPr>
        <w:pStyle w:val="Reminders"/>
        <w:numPr>
          <w:ilvl w:val="0"/>
          <w:numId w:val="36"/>
        </w:numPr>
        <w:rPr>
          <w:rFonts w:asciiTheme="minorHAnsi" w:hAnsiTheme="minorHAnsi" w:cstheme="minorHAnsi"/>
          <w:i w:val="0"/>
          <w:color w:val="auto"/>
          <w:szCs w:val="22"/>
        </w:rPr>
      </w:pPr>
      <w:r>
        <w:rPr>
          <w:rFonts w:asciiTheme="minorHAnsi" w:hAnsiTheme="minorHAnsi" w:cstheme="minorHAnsi"/>
          <w:i w:val="0"/>
          <w:color w:val="auto"/>
          <w:szCs w:val="22"/>
        </w:rPr>
        <w:t>All ROB</w:t>
      </w:r>
      <w:r w:rsidR="001727B0">
        <w:rPr>
          <w:rFonts w:asciiTheme="minorHAnsi" w:hAnsiTheme="minorHAnsi" w:cstheme="minorHAnsi"/>
          <w:i w:val="0"/>
          <w:color w:val="auto"/>
          <w:szCs w:val="22"/>
        </w:rPr>
        <w:t xml:space="preserve"> measure impacts have been updated from DEER2015 (</w:t>
      </w:r>
      <w:r w:rsidR="001727B0" w:rsidRPr="001727B0">
        <w:rPr>
          <w:rFonts w:asciiTheme="minorHAnsi" w:hAnsiTheme="minorHAnsi" w:cstheme="minorHAnsi"/>
          <w:i w:val="0"/>
          <w:color w:val="auto"/>
          <w:szCs w:val="22"/>
        </w:rPr>
        <w:t>D15 v1.0</w:t>
      </w:r>
      <w:r w:rsidR="001727B0">
        <w:rPr>
          <w:rFonts w:asciiTheme="minorHAnsi" w:hAnsiTheme="minorHAnsi" w:cstheme="minorHAnsi"/>
          <w:i w:val="0"/>
          <w:color w:val="auto"/>
          <w:szCs w:val="22"/>
        </w:rPr>
        <w:t>) to DEER2017 (D17 v2)</w:t>
      </w:r>
      <w:r w:rsidR="00680B32">
        <w:rPr>
          <w:rFonts w:asciiTheme="minorHAnsi" w:hAnsiTheme="minorHAnsi" w:cstheme="minorHAnsi"/>
          <w:i w:val="0"/>
          <w:color w:val="auto"/>
          <w:szCs w:val="22"/>
        </w:rPr>
        <w:t xml:space="preserve"> </w:t>
      </w:r>
      <w:r w:rsidR="001727B0">
        <w:rPr>
          <w:rFonts w:asciiTheme="minorHAnsi" w:hAnsiTheme="minorHAnsi" w:cstheme="minorHAnsi"/>
          <w:i w:val="0"/>
          <w:color w:val="auto"/>
          <w:szCs w:val="22"/>
        </w:rPr>
        <w:t>from latest READi.</w:t>
      </w:r>
      <w:r>
        <w:rPr>
          <w:rFonts w:asciiTheme="minorHAnsi" w:hAnsiTheme="minorHAnsi" w:cstheme="minorHAnsi"/>
          <w:i w:val="0"/>
          <w:color w:val="auto"/>
          <w:szCs w:val="22"/>
        </w:rPr>
        <w:t xml:space="preserve"> </w:t>
      </w:r>
      <w:r w:rsidR="00535581">
        <w:rPr>
          <w:rFonts w:asciiTheme="minorHAnsi" w:hAnsiTheme="minorHAnsi" w:cstheme="minorHAnsi"/>
          <w:i w:val="0"/>
          <w:color w:val="auto"/>
          <w:szCs w:val="22"/>
        </w:rPr>
        <w:t xml:space="preserve"> </w:t>
      </w:r>
    </w:p>
    <w:p w14:paraId="2A817A72" w14:textId="28D2E7DB" w:rsidR="00C30DAA" w:rsidRDefault="00540BA3" w:rsidP="00540BA3">
      <w:pPr>
        <w:pStyle w:val="Reminders"/>
        <w:numPr>
          <w:ilvl w:val="0"/>
          <w:numId w:val="36"/>
        </w:numPr>
        <w:rPr>
          <w:rFonts w:asciiTheme="minorHAnsi" w:hAnsiTheme="minorHAnsi" w:cstheme="minorHAnsi"/>
          <w:i w:val="0"/>
          <w:color w:val="auto"/>
          <w:szCs w:val="22"/>
        </w:rPr>
      </w:pPr>
      <w:r>
        <w:rPr>
          <w:rFonts w:asciiTheme="minorHAnsi" w:hAnsiTheme="minorHAnsi" w:cstheme="minorHAnsi"/>
          <w:i w:val="0"/>
          <w:color w:val="auto"/>
          <w:szCs w:val="22"/>
        </w:rPr>
        <w:t>Early retirement</w:t>
      </w:r>
      <w:r w:rsidR="00C30DAA">
        <w:rPr>
          <w:rFonts w:asciiTheme="minorHAnsi" w:hAnsiTheme="minorHAnsi" w:cstheme="minorHAnsi"/>
          <w:i w:val="0"/>
          <w:color w:val="auto"/>
          <w:szCs w:val="22"/>
        </w:rPr>
        <w:t xml:space="preserve"> (ER)</w:t>
      </w:r>
      <w:r w:rsidR="001727B0">
        <w:rPr>
          <w:rFonts w:asciiTheme="minorHAnsi" w:hAnsiTheme="minorHAnsi" w:cstheme="minorHAnsi"/>
          <w:i w:val="0"/>
          <w:color w:val="auto"/>
          <w:szCs w:val="22"/>
        </w:rPr>
        <w:t xml:space="preserve"> is not supported by SCE and it is not expected to be implemented by program in 2018. </w:t>
      </w:r>
    </w:p>
    <w:p w14:paraId="25B60788" w14:textId="25FC185B" w:rsidR="0088361D" w:rsidRPr="00500C4E" w:rsidRDefault="00F30167" w:rsidP="00C959CA">
      <w:pPr>
        <w:pStyle w:val="Heading1"/>
      </w:pPr>
      <w:r>
        <w:t xml:space="preserve">Document </w:t>
      </w:r>
      <w:r w:rsidR="00EB34FC" w:rsidRPr="00500C4E">
        <w:t>Revision History</w:t>
      </w:r>
    </w:p>
    <w:tbl>
      <w:tblPr>
        <w:tblStyle w:val="TableGrid1"/>
        <w:tblW w:w="5000" w:type="pct"/>
        <w:tblLook w:val="01E0" w:firstRow="1" w:lastRow="1" w:firstColumn="1" w:lastColumn="1" w:noHBand="0" w:noVBand="0"/>
      </w:tblPr>
      <w:tblGrid>
        <w:gridCol w:w="632"/>
        <w:gridCol w:w="1297"/>
        <w:gridCol w:w="2365"/>
        <w:gridCol w:w="5282"/>
      </w:tblGrid>
      <w:tr w:rsidR="003845E5" w:rsidRPr="00500C4E" w14:paraId="5AFD7FBC" w14:textId="77777777" w:rsidTr="004147A4">
        <w:trPr>
          <w:trHeight w:val="20"/>
        </w:trPr>
        <w:tc>
          <w:tcPr>
            <w:tcW w:w="330" w:type="pct"/>
            <w:shd w:val="clear" w:color="auto" w:fill="D9D9D9" w:themeFill="background1" w:themeFillShade="D9"/>
          </w:tcPr>
          <w:p w14:paraId="52E1F882" w14:textId="5B461D80" w:rsidR="00933188" w:rsidRPr="00500C4E" w:rsidRDefault="003845E5" w:rsidP="003845E5">
            <w:pPr>
              <w:rPr>
                <w:rFonts w:cstheme="minorHAnsi"/>
                <w:b/>
                <w:bCs/>
                <w:szCs w:val="20"/>
              </w:rPr>
            </w:pPr>
            <w:r>
              <w:rPr>
                <w:rFonts w:cstheme="minorHAnsi"/>
                <w:b/>
                <w:szCs w:val="20"/>
              </w:rPr>
              <w:t>Rev</w:t>
            </w:r>
          </w:p>
        </w:tc>
        <w:tc>
          <w:tcPr>
            <w:tcW w:w="677" w:type="pct"/>
            <w:shd w:val="clear" w:color="auto" w:fill="D9D9D9" w:themeFill="background1" w:themeFillShade="D9"/>
          </w:tcPr>
          <w:p w14:paraId="420782CC" w14:textId="2B873DC8" w:rsidR="00933188" w:rsidRPr="00500C4E" w:rsidRDefault="00933188" w:rsidP="005729C8">
            <w:pPr>
              <w:rPr>
                <w:rFonts w:cstheme="minorHAnsi"/>
                <w:b/>
                <w:bCs/>
                <w:szCs w:val="20"/>
              </w:rPr>
            </w:pPr>
            <w:r w:rsidRPr="00920905">
              <w:rPr>
                <w:rFonts w:cstheme="minorHAnsi"/>
                <w:b/>
                <w:szCs w:val="20"/>
              </w:rPr>
              <w:t>Date</w:t>
            </w:r>
          </w:p>
        </w:tc>
        <w:tc>
          <w:tcPr>
            <w:tcW w:w="1235" w:type="pct"/>
            <w:shd w:val="clear" w:color="auto" w:fill="D9D9D9" w:themeFill="background1" w:themeFillShade="D9"/>
          </w:tcPr>
          <w:p w14:paraId="35319158" w14:textId="1CEA4CD6" w:rsidR="00933188" w:rsidRPr="00500C4E" w:rsidRDefault="003845E5" w:rsidP="003845E5">
            <w:pPr>
              <w:rPr>
                <w:rFonts w:cstheme="minorHAnsi"/>
                <w:b/>
                <w:bCs/>
                <w:szCs w:val="20"/>
              </w:rPr>
            </w:pPr>
            <w:r>
              <w:rPr>
                <w:rFonts w:cstheme="minorHAnsi"/>
                <w:b/>
                <w:szCs w:val="20"/>
              </w:rPr>
              <w:t>Author</w:t>
            </w:r>
          </w:p>
        </w:tc>
        <w:tc>
          <w:tcPr>
            <w:tcW w:w="2758" w:type="pct"/>
            <w:shd w:val="clear" w:color="auto" w:fill="D9D9D9" w:themeFill="background1" w:themeFillShade="D9"/>
          </w:tcPr>
          <w:p w14:paraId="49A1B083" w14:textId="77777777" w:rsidR="00933188" w:rsidRPr="00500C4E" w:rsidRDefault="00933188" w:rsidP="005729C8">
            <w:pPr>
              <w:rPr>
                <w:rFonts w:cstheme="minorHAnsi"/>
                <w:b/>
                <w:bCs/>
                <w:szCs w:val="20"/>
              </w:rPr>
            </w:pPr>
            <w:r w:rsidRPr="00920905">
              <w:rPr>
                <w:rFonts w:cstheme="minorHAnsi"/>
                <w:b/>
                <w:szCs w:val="20"/>
              </w:rPr>
              <w:t>Summary of Changes</w:t>
            </w:r>
          </w:p>
        </w:tc>
      </w:tr>
      <w:tr w:rsidR="004147A4" w:rsidRPr="004147A4" w14:paraId="0F8D645E" w14:textId="77777777" w:rsidTr="004147A4">
        <w:trPr>
          <w:trHeight w:val="20"/>
        </w:trPr>
        <w:tc>
          <w:tcPr>
            <w:tcW w:w="330" w:type="pct"/>
          </w:tcPr>
          <w:p w14:paraId="4A1A2996" w14:textId="47307EF1" w:rsidR="004147A4" w:rsidRPr="004147A4" w:rsidRDefault="004147A4" w:rsidP="004147A4">
            <w:pPr>
              <w:rPr>
                <w:rFonts w:cstheme="minorHAnsi"/>
                <w:szCs w:val="20"/>
              </w:rPr>
            </w:pPr>
            <w:r w:rsidRPr="004147A4">
              <w:rPr>
                <w:rFonts w:cstheme="minorHAnsi"/>
                <w:szCs w:val="20"/>
              </w:rPr>
              <w:t>0</w:t>
            </w:r>
          </w:p>
        </w:tc>
        <w:tc>
          <w:tcPr>
            <w:tcW w:w="677" w:type="pct"/>
          </w:tcPr>
          <w:p w14:paraId="68BA349C" w14:textId="276F9511" w:rsidR="004147A4" w:rsidRPr="004147A4" w:rsidRDefault="00540BA3" w:rsidP="00A30A0C">
            <w:pPr>
              <w:rPr>
                <w:rFonts w:cstheme="minorHAnsi"/>
                <w:szCs w:val="20"/>
              </w:rPr>
            </w:pPr>
            <w:r>
              <w:t>0</w:t>
            </w:r>
            <w:r w:rsidR="008142EE">
              <w:t>2</w:t>
            </w:r>
            <w:r>
              <w:t>/</w:t>
            </w:r>
            <w:r w:rsidR="008142EE">
              <w:t>02</w:t>
            </w:r>
            <w:r w:rsidR="009D5DD9">
              <w:t>/201</w:t>
            </w:r>
            <w:r w:rsidR="008142EE">
              <w:t>8</w:t>
            </w:r>
          </w:p>
        </w:tc>
        <w:tc>
          <w:tcPr>
            <w:tcW w:w="1235" w:type="pct"/>
          </w:tcPr>
          <w:p w14:paraId="4A812BB3" w14:textId="4CC16895" w:rsidR="004147A4" w:rsidRPr="004147A4" w:rsidRDefault="00540BA3" w:rsidP="00A30A0C">
            <w:pPr>
              <w:rPr>
                <w:rFonts w:cstheme="minorHAnsi"/>
                <w:szCs w:val="20"/>
              </w:rPr>
            </w:pPr>
            <w:r>
              <w:t>Andres Fergadiotti/SCE</w:t>
            </w:r>
          </w:p>
        </w:tc>
        <w:tc>
          <w:tcPr>
            <w:tcW w:w="2758" w:type="pct"/>
          </w:tcPr>
          <w:p w14:paraId="0C317136" w14:textId="2DC5AE7A" w:rsidR="00540BA3" w:rsidRPr="005014BB" w:rsidRDefault="008142EE" w:rsidP="005014BB">
            <w:pPr>
              <w:pStyle w:val="ListParagraph"/>
              <w:numPr>
                <w:ilvl w:val="0"/>
                <w:numId w:val="42"/>
              </w:numPr>
            </w:pPr>
            <w:r>
              <w:t>SCE’s c</w:t>
            </w:r>
            <w:r w:rsidR="009E0BAA" w:rsidRPr="00535581">
              <w:t xml:space="preserve">alculation template </w:t>
            </w:r>
            <w:r>
              <w:t>is</w:t>
            </w:r>
            <w:r w:rsidR="009E0BAA" w:rsidRPr="00535581">
              <w:t xml:space="preserve"> based on PGE’s template “</w:t>
            </w:r>
            <w:r w:rsidR="00540BA3" w:rsidRPr="00540BA3">
              <w:rPr>
                <w:rFonts w:cstheme="minorHAnsi"/>
                <w:szCs w:val="22"/>
              </w:rPr>
              <w:t>PGECOHVC126 R6</w:t>
            </w:r>
            <w:r w:rsidR="009E0BAA" w:rsidRPr="00535581">
              <w:t>”.</w:t>
            </w:r>
          </w:p>
          <w:p w14:paraId="1E788E6D" w14:textId="77777777" w:rsidR="00540BA3" w:rsidRDefault="00540BA3" w:rsidP="00535581">
            <w:pPr>
              <w:pStyle w:val="ListParagraph"/>
              <w:numPr>
                <w:ilvl w:val="0"/>
                <w:numId w:val="42"/>
              </w:numPr>
            </w:pPr>
            <w:r>
              <w:t>Removed Early Retirement data.</w:t>
            </w:r>
          </w:p>
          <w:p w14:paraId="34F0A8ED" w14:textId="6A170126" w:rsidR="008142EE" w:rsidRPr="00535581" w:rsidRDefault="008142EE" w:rsidP="008142EE">
            <w:pPr>
              <w:pStyle w:val="ListParagraph"/>
              <w:numPr>
                <w:ilvl w:val="0"/>
                <w:numId w:val="42"/>
              </w:numPr>
            </w:pPr>
            <w:r>
              <w:t>M</w:t>
            </w:r>
            <w:r w:rsidRPr="008142EE">
              <w:t>easure impacts have been updated from DEER2015 (D15 v</w:t>
            </w:r>
            <w:r w:rsidR="00680B32">
              <w:t xml:space="preserve">1.0) to DEER2017 (D17 v2) </w:t>
            </w:r>
            <w:r w:rsidRPr="008142EE">
              <w:t>from latest READi</w:t>
            </w:r>
          </w:p>
        </w:tc>
      </w:tr>
    </w:tbl>
    <w:p w14:paraId="0A689F00" w14:textId="5FD0D9AA" w:rsidR="00DA2822" w:rsidRDefault="008877AF" w:rsidP="00BA5FE4">
      <w:pPr>
        <w:spacing w:line="276" w:lineRule="auto"/>
        <w:rPr>
          <w:szCs w:val="20"/>
        </w:rPr>
      </w:pPr>
      <w:r w:rsidRPr="00BA5FE4">
        <w:rPr>
          <w:color w:val="FF0000"/>
          <w:szCs w:val="20"/>
        </w:rPr>
        <w:t xml:space="preserve"> </w:t>
      </w:r>
      <w:r w:rsidR="00DA2822">
        <w:rPr>
          <w:szCs w:val="20"/>
        </w:rPr>
        <w:br w:type="page"/>
      </w:r>
    </w:p>
    <w:p w14:paraId="255B2329" w14:textId="0070D98B" w:rsidR="00F30167" w:rsidRPr="00F30167" w:rsidRDefault="00F30167" w:rsidP="00BA5FE4">
      <w:pPr>
        <w:spacing w:line="276" w:lineRule="auto"/>
        <w:rPr>
          <w:b/>
          <w:szCs w:val="20"/>
        </w:rPr>
      </w:pPr>
      <w:r w:rsidRPr="00F30167">
        <w:rPr>
          <w:b/>
          <w:szCs w:val="20"/>
        </w:rPr>
        <w:lastRenderedPageBreak/>
        <w:t>Measure Summary</w:t>
      </w:r>
    </w:p>
    <w:p w14:paraId="68F1D0A6" w14:textId="2F984A8D" w:rsidR="009A2332" w:rsidRDefault="00F30167" w:rsidP="009A2332">
      <w:pPr>
        <w:pStyle w:val="Caption"/>
        <w:keepNext/>
        <w:jc w:val="center"/>
      </w:pPr>
      <w:r>
        <w:t xml:space="preserve">Table </w:t>
      </w:r>
      <w:r w:rsidR="000F56E4">
        <w:fldChar w:fldCharType="begin"/>
      </w:r>
      <w:r w:rsidR="000F56E4">
        <w:instrText xml:space="preserve"> SEQ Table \* ARABIC </w:instrText>
      </w:r>
      <w:r w:rsidR="000F56E4">
        <w:fldChar w:fldCharType="separate"/>
      </w:r>
      <w:r>
        <w:rPr>
          <w:noProof/>
        </w:rPr>
        <w:t>1</w:t>
      </w:r>
      <w:r w:rsidR="000F56E4">
        <w:rPr>
          <w:noProof/>
        </w:rPr>
        <w:fldChar w:fldCharType="end"/>
      </w:r>
      <w:r>
        <w:t>: Measure Summary Table</w:t>
      </w:r>
    </w:p>
    <w:p w14:paraId="469E3748" w14:textId="77777777" w:rsidR="009A2332" w:rsidRDefault="009A2332" w:rsidP="009A2332"/>
    <w:tbl>
      <w:tblPr>
        <w:tblStyle w:val="TableGrid"/>
        <w:tblW w:w="0" w:type="auto"/>
        <w:tblLook w:val="04A0" w:firstRow="1" w:lastRow="0" w:firstColumn="1" w:lastColumn="0" w:noHBand="0" w:noVBand="1"/>
      </w:tblPr>
      <w:tblGrid>
        <w:gridCol w:w="4675"/>
        <w:gridCol w:w="4675"/>
      </w:tblGrid>
      <w:tr w:rsidR="009A2332" w14:paraId="3F9CA93E" w14:textId="77777777" w:rsidTr="009A2332">
        <w:trPr>
          <w:trHeight w:val="576"/>
          <w:tblHeader/>
        </w:trPr>
        <w:tc>
          <w:tcPr>
            <w:tcW w:w="4675" w:type="dxa"/>
          </w:tcPr>
          <w:p w14:paraId="448E7296" w14:textId="39C7C9A2" w:rsidR="009A2332" w:rsidRPr="009A2332" w:rsidRDefault="009A2332" w:rsidP="009A2332">
            <w:pPr>
              <w:rPr>
                <w:sz w:val="28"/>
              </w:rPr>
            </w:pPr>
            <w:r w:rsidRPr="009A2332">
              <w:rPr>
                <w:rStyle w:val="Strong"/>
                <w:rFonts w:asciiTheme="minorHAnsi" w:hAnsiTheme="minorHAnsi"/>
                <w:sz w:val="28"/>
                <w:szCs w:val="22"/>
              </w:rPr>
              <w:t>Section</w:t>
            </w:r>
          </w:p>
        </w:tc>
        <w:tc>
          <w:tcPr>
            <w:tcW w:w="4675" w:type="dxa"/>
          </w:tcPr>
          <w:p w14:paraId="27CEB258" w14:textId="408F314E" w:rsidR="009A2332" w:rsidRPr="009A2332" w:rsidRDefault="009A2332" w:rsidP="009A2332">
            <w:pPr>
              <w:rPr>
                <w:sz w:val="28"/>
              </w:rPr>
            </w:pPr>
            <w:r w:rsidRPr="009A2332">
              <w:rPr>
                <w:rFonts w:cs="Arial"/>
                <w:b/>
                <w:sz w:val="28"/>
                <w:szCs w:val="20"/>
              </w:rPr>
              <w:t>Value</w:t>
            </w:r>
          </w:p>
        </w:tc>
      </w:tr>
      <w:tr w:rsidR="009A2332" w14:paraId="174B4A0E" w14:textId="77777777" w:rsidTr="009A2332">
        <w:trPr>
          <w:trHeight w:val="576"/>
        </w:trPr>
        <w:tc>
          <w:tcPr>
            <w:tcW w:w="4675" w:type="dxa"/>
          </w:tcPr>
          <w:p w14:paraId="7815901A" w14:textId="49098287" w:rsidR="009A2332" w:rsidRDefault="009A2332" w:rsidP="009A2332">
            <w:r>
              <w:rPr>
                <w:rStyle w:val="Strong"/>
                <w:rFonts w:asciiTheme="minorHAnsi" w:hAnsiTheme="minorHAnsi"/>
                <w:szCs w:val="22"/>
              </w:rPr>
              <w:t>Summary &amp; Purpose</w:t>
            </w:r>
          </w:p>
        </w:tc>
        <w:tc>
          <w:tcPr>
            <w:tcW w:w="4675" w:type="dxa"/>
          </w:tcPr>
          <w:p w14:paraId="0C15584B" w14:textId="77777777" w:rsidR="008142EE" w:rsidRDefault="00A30A0C" w:rsidP="005014BB">
            <w:r>
              <w:t xml:space="preserve">This short form workpaper documents ex-ante load impacts and cost-effectiveness values for </w:t>
            </w:r>
            <w:r w:rsidR="00540BA3" w:rsidRPr="00540BA3">
              <w:rPr>
                <w:rFonts w:cstheme="minorHAnsi"/>
                <w:szCs w:val="22"/>
              </w:rPr>
              <w:t>Unitary ACHP under 65kBtuh</w:t>
            </w:r>
            <w:r w:rsidR="009516CF">
              <w:t>.</w:t>
            </w:r>
          </w:p>
          <w:p w14:paraId="668B3A82" w14:textId="77777777" w:rsidR="008142EE" w:rsidRDefault="008142EE" w:rsidP="005014BB"/>
          <w:p w14:paraId="5ABF811E" w14:textId="159588A2" w:rsidR="008142EE" w:rsidRDefault="008142EE" w:rsidP="008142EE">
            <w:r>
              <w:t>M</w:t>
            </w:r>
            <w:r w:rsidRPr="008142EE">
              <w:t>easure impacts have been updated from DEER2015 (D15 v1.0) to DEER2017 (D17 v2) taken from latest READi</w:t>
            </w:r>
            <w:r w:rsidR="00680B32">
              <w:t xml:space="preserve">.  There are no major variations on measure impacts from the DEER2017. </w:t>
            </w:r>
          </w:p>
          <w:p w14:paraId="6830CEF9" w14:textId="77777777" w:rsidR="008142EE" w:rsidRDefault="008142EE" w:rsidP="008142EE"/>
          <w:p w14:paraId="67138ED4" w14:textId="5A862B1D" w:rsidR="008142EE" w:rsidRDefault="008142EE" w:rsidP="008142EE">
            <w:r w:rsidRPr="008142EE">
              <w:t>Early retirement (ER) is not supported by SCE and it is not expected to be implemented by program in 2018</w:t>
            </w:r>
          </w:p>
          <w:p w14:paraId="6E463AD1" w14:textId="3AAD8082" w:rsidR="009A2332" w:rsidRDefault="00DB10D9" w:rsidP="008142EE">
            <w:r>
              <w:t xml:space="preserve"> </w:t>
            </w:r>
          </w:p>
        </w:tc>
      </w:tr>
      <w:tr w:rsidR="009A2332" w14:paraId="369C5B93" w14:textId="77777777" w:rsidTr="009A2332">
        <w:trPr>
          <w:trHeight w:val="576"/>
        </w:trPr>
        <w:tc>
          <w:tcPr>
            <w:tcW w:w="4675" w:type="dxa"/>
          </w:tcPr>
          <w:p w14:paraId="3E64C4BE" w14:textId="0CE1557B" w:rsidR="009A2332" w:rsidRDefault="009A2332" w:rsidP="009A2332">
            <w:r>
              <w:rPr>
                <w:rStyle w:val="Strong"/>
                <w:rFonts w:asciiTheme="minorHAnsi" w:hAnsiTheme="minorHAnsi"/>
                <w:szCs w:val="22"/>
              </w:rPr>
              <w:t>1.1 Measure &amp; Baseline</w:t>
            </w:r>
          </w:p>
        </w:tc>
        <w:tc>
          <w:tcPr>
            <w:tcW w:w="4675" w:type="dxa"/>
          </w:tcPr>
          <w:p w14:paraId="3ADC75B4" w14:textId="0342A2C9" w:rsidR="009A2332" w:rsidRDefault="008B6976" w:rsidP="009A2332">
            <w:r>
              <w:t>Please refer to Attachment #1 Calculation Templates for the list of measure solution codes and baseline condition.</w:t>
            </w:r>
          </w:p>
        </w:tc>
      </w:tr>
      <w:tr w:rsidR="009A2332" w14:paraId="7CE0AC9F" w14:textId="77777777" w:rsidTr="009A2332">
        <w:trPr>
          <w:trHeight w:val="576"/>
        </w:trPr>
        <w:tc>
          <w:tcPr>
            <w:tcW w:w="4675" w:type="dxa"/>
          </w:tcPr>
          <w:p w14:paraId="2771E06F" w14:textId="3B991165" w:rsidR="009A2332" w:rsidRDefault="009A2332" w:rsidP="009A2332">
            <w:r>
              <w:rPr>
                <w:rStyle w:val="Strong"/>
                <w:rFonts w:asciiTheme="minorHAnsi" w:hAnsiTheme="minorHAnsi"/>
                <w:szCs w:val="22"/>
              </w:rPr>
              <w:t>1.2 Technical Description</w:t>
            </w:r>
          </w:p>
        </w:tc>
        <w:tc>
          <w:tcPr>
            <w:tcW w:w="4675" w:type="dxa"/>
          </w:tcPr>
          <w:p w14:paraId="56BBC77B" w14:textId="77777777" w:rsidR="009A2332" w:rsidRDefault="009A2332" w:rsidP="009A2332"/>
        </w:tc>
      </w:tr>
      <w:tr w:rsidR="009A2332" w14:paraId="6A22A103" w14:textId="77777777" w:rsidTr="009A2332">
        <w:trPr>
          <w:trHeight w:val="576"/>
        </w:trPr>
        <w:tc>
          <w:tcPr>
            <w:tcW w:w="4675" w:type="dxa"/>
          </w:tcPr>
          <w:p w14:paraId="524B4207" w14:textId="7A3D34FE" w:rsidR="009A2332" w:rsidRDefault="009A2332" w:rsidP="009A2332">
            <w:r w:rsidRPr="009A2332">
              <w:rPr>
                <w:rStyle w:val="Strong"/>
                <w:rFonts w:asciiTheme="minorHAnsi" w:hAnsiTheme="minorHAnsi"/>
                <w:b w:val="0"/>
                <w:szCs w:val="22"/>
              </w:rPr>
              <w:t>Measures</w:t>
            </w:r>
          </w:p>
        </w:tc>
        <w:tc>
          <w:tcPr>
            <w:tcW w:w="4675" w:type="dxa"/>
          </w:tcPr>
          <w:p w14:paraId="1EF4EE73" w14:textId="77777777" w:rsidR="009A2332" w:rsidRDefault="00540BA3" w:rsidP="00540BA3">
            <w:pPr>
              <w:pStyle w:val="ListParagraph"/>
              <w:numPr>
                <w:ilvl w:val="0"/>
                <w:numId w:val="45"/>
              </w:numPr>
            </w:pPr>
            <w:r>
              <w:t>No difference in ROB measures.</w:t>
            </w:r>
          </w:p>
          <w:p w14:paraId="2C30E089" w14:textId="13F52D58" w:rsidR="00540BA3" w:rsidRDefault="00540BA3" w:rsidP="005014BB">
            <w:pPr>
              <w:pStyle w:val="ListParagraph"/>
              <w:numPr>
                <w:ilvl w:val="0"/>
                <w:numId w:val="45"/>
              </w:numPr>
            </w:pPr>
            <w:r>
              <w:t>Removed ER savings.</w:t>
            </w:r>
          </w:p>
        </w:tc>
      </w:tr>
      <w:tr w:rsidR="009A2332" w14:paraId="59049B71" w14:textId="77777777" w:rsidTr="009A2332">
        <w:trPr>
          <w:trHeight w:val="576"/>
        </w:trPr>
        <w:tc>
          <w:tcPr>
            <w:tcW w:w="4675" w:type="dxa"/>
          </w:tcPr>
          <w:p w14:paraId="4D87E79A" w14:textId="71418083" w:rsidR="009A2332" w:rsidRDefault="009A2332" w:rsidP="009A2332">
            <w:r w:rsidRPr="009A2332">
              <w:rPr>
                <w:rStyle w:val="Strong"/>
                <w:rFonts w:asciiTheme="minorHAnsi" w:hAnsiTheme="minorHAnsi"/>
                <w:b w:val="0"/>
                <w:szCs w:val="22"/>
              </w:rPr>
              <w:t>Code for All Measures</w:t>
            </w:r>
          </w:p>
        </w:tc>
        <w:tc>
          <w:tcPr>
            <w:tcW w:w="4675" w:type="dxa"/>
          </w:tcPr>
          <w:p w14:paraId="2E6B9EB6" w14:textId="21E4ACEB" w:rsidR="009A2332" w:rsidRDefault="00540BA3" w:rsidP="00B53CF1">
            <w:r>
              <w:t>Please refer to Attachment #1 Calculation Templates for the list of measure solution codes.</w:t>
            </w:r>
          </w:p>
          <w:p w14:paraId="71CCCDEB" w14:textId="5F0780DD" w:rsidR="008B6976" w:rsidRDefault="008B6976" w:rsidP="009E0BAA"/>
        </w:tc>
      </w:tr>
      <w:tr w:rsidR="009A2332" w14:paraId="7696972E" w14:textId="77777777" w:rsidTr="00535581">
        <w:trPr>
          <w:trHeight w:val="3095"/>
        </w:trPr>
        <w:tc>
          <w:tcPr>
            <w:tcW w:w="4675" w:type="dxa"/>
          </w:tcPr>
          <w:p w14:paraId="20CC2D9F" w14:textId="0410DA01" w:rsidR="009A2332" w:rsidRDefault="009A2332" w:rsidP="009A2332">
            <w:r w:rsidRPr="009A2332">
              <w:rPr>
                <w:rStyle w:val="Strong"/>
                <w:rFonts w:asciiTheme="minorHAnsi" w:hAnsiTheme="minorHAnsi"/>
                <w:b w:val="0"/>
                <w:szCs w:val="22"/>
              </w:rPr>
              <w:t>Requirements</w:t>
            </w:r>
          </w:p>
        </w:tc>
        <w:tc>
          <w:tcPr>
            <w:tcW w:w="4675" w:type="dxa"/>
          </w:tcPr>
          <w:p w14:paraId="48258340" w14:textId="77777777" w:rsidR="00177748" w:rsidRDefault="00535581" w:rsidP="00177748">
            <w:pPr>
              <w:rPr>
                <w:szCs w:val="22"/>
              </w:rPr>
            </w:pPr>
            <w:r w:rsidRPr="00FA7441">
              <w:rPr>
                <w:szCs w:val="22"/>
              </w:rPr>
              <w:t xml:space="preserve">Please refer to </w:t>
            </w:r>
            <w:r w:rsidR="00FA7FF2" w:rsidRPr="00FA7441">
              <w:rPr>
                <w:rFonts w:cstheme="minorHAnsi"/>
                <w:szCs w:val="22"/>
              </w:rPr>
              <w:t>PGECOHVC126 R6 - Unitary ACHP under 65kBtuh</w:t>
            </w:r>
            <w:r w:rsidR="00FA7FF2" w:rsidRPr="00FA7441">
              <w:rPr>
                <w:szCs w:val="22"/>
              </w:rPr>
              <w:t xml:space="preserve"> workpaper for details on requirements</w:t>
            </w:r>
            <w:r w:rsidRPr="00FA7441">
              <w:rPr>
                <w:szCs w:val="22"/>
              </w:rPr>
              <w:t>.</w:t>
            </w:r>
            <w:r w:rsidR="00FA7FF2" w:rsidRPr="00FA7441">
              <w:rPr>
                <w:szCs w:val="22"/>
              </w:rPr>
              <w:t xml:space="preserve"> In addition to PG&amp;E workpaper requirements, see below f</w:t>
            </w:r>
            <w:r w:rsidR="00177748">
              <w:rPr>
                <w:szCs w:val="22"/>
              </w:rPr>
              <w:t>or additional SCE requirements:</w:t>
            </w:r>
          </w:p>
          <w:p w14:paraId="5CBD79CA" w14:textId="77777777" w:rsidR="00177748" w:rsidRDefault="00177748" w:rsidP="00177748">
            <w:pPr>
              <w:rPr>
                <w:szCs w:val="22"/>
              </w:rPr>
            </w:pPr>
          </w:p>
          <w:p w14:paraId="1AB53024" w14:textId="77777777" w:rsidR="00177748" w:rsidRPr="00177748" w:rsidRDefault="00177748" w:rsidP="00177748">
            <w:pPr>
              <w:pStyle w:val="ListParagraph"/>
              <w:numPr>
                <w:ilvl w:val="0"/>
                <w:numId w:val="47"/>
              </w:numPr>
              <w:rPr>
                <w:szCs w:val="22"/>
              </w:rPr>
            </w:pPr>
            <w:r>
              <w:t>The program delivery mechanism is Up-Stream and Mid-Stream Incentive, Buy Down Programs.</w:t>
            </w:r>
          </w:p>
          <w:p w14:paraId="30AECB4C" w14:textId="3404A5A1" w:rsidR="006A497A" w:rsidRPr="00177748" w:rsidRDefault="00177748" w:rsidP="00177748">
            <w:pPr>
              <w:pStyle w:val="ListParagraph"/>
              <w:numPr>
                <w:ilvl w:val="0"/>
                <w:numId w:val="47"/>
              </w:numPr>
              <w:rPr>
                <w:szCs w:val="22"/>
              </w:rPr>
            </w:pPr>
            <w:r>
              <w:t>The Up-Stream and Midstream Incentive, Buy Down Program will give financial incentive to HVAC sales distribution channels, such as manufacturers and distributors (Upstream and Midstream Market Actor), in order to stock and upsell premium high efficiency equipment.  Installation types include replace on burnout (ROB).</w:t>
            </w:r>
          </w:p>
        </w:tc>
      </w:tr>
      <w:tr w:rsidR="009A2332" w14:paraId="40AF0DB1" w14:textId="77777777" w:rsidTr="009A2332">
        <w:trPr>
          <w:trHeight w:val="576"/>
        </w:trPr>
        <w:tc>
          <w:tcPr>
            <w:tcW w:w="4675" w:type="dxa"/>
          </w:tcPr>
          <w:p w14:paraId="0A32ADDC" w14:textId="622912A7" w:rsidR="009A2332" w:rsidRDefault="009A2332" w:rsidP="009A2332">
            <w:r>
              <w:rPr>
                <w:rStyle w:val="Strong"/>
                <w:rFonts w:asciiTheme="minorHAnsi" w:hAnsiTheme="minorHAnsi"/>
                <w:szCs w:val="22"/>
              </w:rPr>
              <w:lastRenderedPageBreak/>
              <w:t>1.3 Installation Type and Delivery Mechanisms</w:t>
            </w:r>
          </w:p>
        </w:tc>
        <w:tc>
          <w:tcPr>
            <w:tcW w:w="4675" w:type="dxa"/>
          </w:tcPr>
          <w:p w14:paraId="554484FF" w14:textId="77777777" w:rsidR="009A2332" w:rsidRDefault="009A2332" w:rsidP="009A2332"/>
        </w:tc>
      </w:tr>
      <w:tr w:rsidR="009A2332" w14:paraId="5D5B8844" w14:textId="77777777" w:rsidTr="009A2332">
        <w:trPr>
          <w:trHeight w:val="576"/>
        </w:trPr>
        <w:tc>
          <w:tcPr>
            <w:tcW w:w="4675" w:type="dxa"/>
          </w:tcPr>
          <w:p w14:paraId="75A73897" w14:textId="21601014" w:rsidR="009A2332" w:rsidRDefault="009A2332" w:rsidP="009A2332">
            <w:r w:rsidRPr="009A2332">
              <w:rPr>
                <w:rStyle w:val="Strong"/>
                <w:rFonts w:asciiTheme="minorHAnsi" w:hAnsiTheme="minorHAnsi"/>
                <w:b w:val="0"/>
                <w:szCs w:val="22"/>
              </w:rPr>
              <w:t>Installation Type</w:t>
            </w:r>
          </w:p>
        </w:tc>
        <w:tc>
          <w:tcPr>
            <w:tcW w:w="4675" w:type="dxa"/>
          </w:tcPr>
          <w:p w14:paraId="2B32F7DC" w14:textId="6D756F0A" w:rsidR="009A2332" w:rsidRDefault="005014BB" w:rsidP="009A2332">
            <w:r>
              <w:t xml:space="preserve">ROB </w:t>
            </w:r>
            <w:r w:rsidR="00FA7441">
              <w:t>only</w:t>
            </w:r>
          </w:p>
        </w:tc>
      </w:tr>
      <w:tr w:rsidR="009A2332" w14:paraId="3CF006A0" w14:textId="77777777" w:rsidTr="009A2332">
        <w:trPr>
          <w:trHeight w:val="576"/>
        </w:trPr>
        <w:tc>
          <w:tcPr>
            <w:tcW w:w="4675" w:type="dxa"/>
          </w:tcPr>
          <w:p w14:paraId="548E0861" w14:textId="7D5594CC" w:rsidR="009A2332" w:rsidRDefault="009A2332" w:rsidP="009A2332">
            <w:r w:rsidRPr="009A2332">
              <w:rPr>
                <w:rStyle w:val="Strong"/>
                <w:rFonts w:asciiTheme="minorHAnsi" w:hAnsiTheme="minorHAnsi"/>
                <w:b w:val="0"/>
                <w:szCs w:val="22"/>
              </w:rPr>
              <w:t>Delivery Mechanisms</w:t>
            </w:r>
          </w:p>
        </w:tc>
        <w:tc>
          <w:tcPr>
            <w:tcW w:w="4675" w:type="dxa"/>
          </w:tcPr>
          <w:p w14:paraId="37FF4A3F" w14:textId="467CDCB9" w:rsidR="008142EE" w:rsidRDefault="008142EE" w:rsidP="00535581"/>
          <w:p w14:paraId="64D2B576" w14:textId="21864432" w:rsidR="008142EE" w:rsidRDefault="008142EE" w:rsidP="00535581">
            <w:r w:rsidRPr="008142EE">
              <w:t>Mid-Stream Programs: Mid-Stream Incentive</w:t>
            </w:r>
          </w:p>
          <w:p w14:paraId="028858EC" w14:textId="737AE64A" w:rsidR="008142EE" w:rsidRDefault="008142EE" w:rsidP="00535581">
            <w:r w:rsidRPr="008142EE">
              <w:t>Up-Stream Programs: Up-Stream Incentive</w:t>
            </w:r>
          </w:p>
          <w:p w14:paraId="67E45078" w14:textId="6AC9288A" w:rsidR="008142EE" w:rsidRDefault="008142EE" w:rsidP="00535581"/>
        </w:tc>
      </w:tr>
      <w:tr w:rsidR="009A2332" w14:paraId="09F7817D" w14:textId="77777777" w:rsidTr="009A2332">
        <w:trPr>
          <w:trHeight w:val="576"/>
        </w:trPr>
        <w:tc>
          <w:tcPr>
            <w:tcW w:w="4675" w:type="dxa"/>
          </w:tcPr>
          <w:p w14:paraId="68DCF28E" w14:textId="64F04A32" w:rsidR="009A2332" w:rsidRDefault="009A2332" w:rsidP="009A2332">
            <w:r>
              <w:rPr>
                <w:rStyle w:val="Strong"/>
                <w:rFonts w:asciiTheme="minorHAnsi" w:hAnsiTheme="minorHAnsi"/>
                <w:szCs w:val="22"/>
              </w:rPr>
              <w:t>1.4.1 DEER Data</w:t>
            </w:r>
          </w:p>
        </w:tc>
        <w:tc>
          <w:tcPr>
            <w:tcW w:w="4675" w:type="dxa"/>
          </w:tcPr>
          <w:p w14:paraId="7F520E32" w14:textId="77777777" w:rsidR="009A2332" w:rsidRDefault="009A2332" w:rsidP="009A2332"/>
        </w:tc>
      </w:tr>
      <w:tr w:rsidR="009A2332" w14:paraId="51073860" w14:textId="77777777" w:rsidTr="009A2332">
        <w:trPr>
          <w:trHeight w:val="576"/>
        </w:trPr>
        <w:tc>
          <w:tcPr>
            <w:tcW w:w="4675" w:type="dxa"/>
          </w:tcPr>
          <w:p w14:paraId="07705888" w14:textId="718A29C7" w:rsidR="009A2332" w:rsidRDefault="009A2332" w:rsidP="009A2332">
            <w:r w:rsidRPr="009A2332">
              <w:rPr>
                <w:rStyle w:val="Strong"/>
                <w:rFonts w:asciiTheme="minorHAnsi" w:hAnsiTheme="minorHAnsi"/>
                <w:b w:val="0"/>
                <w:szCs w:val="22"/>
              </w:rPr>
              <w:t>Net-Gross-Ratio</w:t>
            </w:r>
          </w:p>
        </w:tc>
        <w:tc>
          <w:tcPr>
            <w:tcW w:w="4675" w:type="dxa"/>
          </w:tcPr>
          <w:p w14:paraId="7C01181E" w14:textId="1F71FF61" w:rsidR="005F762C" w:rsidRDefault="00FA7FF2" w:rsidP="00D04433">
            <w:r>
              <w:t>No Difference.</w:t>
            </w:r>
          </w:p>
        </w:tc>
      </w:tr>
      <w:tr w:rsidR="009A2332" w14:paraId="7A4E17C4" w14:textId="77777777" w:rsidTr="009A2332">
        <w:trPr>
          <w:trHeight w:val="576"/>
        </w:trPr>
        <w:tc>
          <w:tcPr>
            <w:tcW w:w="4675" w:type="dxa"/>
          </w:tcPr>
          <w:p w14:paraId="08063215" w14:textId="5C719A0C" w:rsidR="009A2332" w:rsidRDefault="009A2332" w:rsidP="009A2332">
            <w:r w:rsidRPr="009A2332">
              <w:rPr>
                <w:rStyle w:val="Strong"/>
                <w:rFonts w:asciiTheme="minorHAnsi" w:hAnsiTheme="minorHAnsi"/>
                <w:b w:val="0"/>
                <w:szCs w:val="22"/>
              </w:rPr>
              <w:t>Effective and Remaining Useful Life</w:t>
            </w:r>
          </w:p>
        </w:tc>
        <w:tc>
          <w:tcPr>
            <w:tcW w:w="4675" w:type="dxa"/>
          </w:tcPr>
          <w:p w14:paraId="70BC13BC" w14:textId="3DD88C4E" w:rsidR="009A2332" w:rsidRDefault="00FA7FF2" w:rsidP="00D04433">
            <w:r>
              <w:t>No Difference.</w:t>
            </w:r>
          </w:p>
        </w:tc>
      </w:tr>
      <w:tr w:rsidR="009A2332" w14:paraId="7C928286" w14:textId="77777777" w:rsidTr="009A2332">
        <w:trPr>
          <w:trHeight w:val="576"/>
        </w:trPr>
        <w:tc>
          <w:tcPr>
            <w:tcW w:w="4675" w:type="dxa"/>
          </w:tcPr>
          <w:p w14:paraId="6ECE75DB" w14:textId="0D2FA7C9" w:rsidR="009A2332" w:rsidRDefault="009A2332" w:rsidP="009A2332">
            <w:r>
              <w:rPr>
                <w:rStyle w:val="Strong"/>
                <w:rFonts w:asciiTheme="minorHAnsi" w:hAnsiTheme="minorHAnsi"/>
                <w:szCs w:val="22"/>
              </w:rPr>
              <w:t>Section 2. Calculation Methodology</w:t>
            </w:r>
          </w:p>
        </w:tc>
        <w:tc>
          <w:tcPr>
            <w:tcW w:w="4675" w:type="dxa"/>
          </w:tcPr>
          <w:p w14:paraId="018C407C" w14:textId="77777777" w:rsidR="009A2332" w:rsidRDefault="009A2332" w:rsidP="009A2332"/>
        </w:tc>
      </w:tr>
      <w:tr w:rsidR="009A2332" w14:paraId="2060FD54" w14:textId="77777777" w:rsidTr="009A2332">
        <w:trPr>
          <w:trHeight w:val="576"/>
        </w:trPr>
        <w:tc>
          <w:tcPr>
            <w:tcW w:w="4675" w:type="dxa"/>
          </w:tcPr>
          <w:p w14:paraId="768E3560" w14:textId="7844934C" w:rsidR="009A2332" w:rsidRDefault="009A2332" w:rsidP="009A2332">
            <w:r w:rsidRPr="009A2332">
              <w:rPr>
                <w:rStyle w:val="Strong"/>
                <w:rFonts w:asciiTheme="minorHAnsi" w:hAnsiTheme="minorHAnsi"/>
                <w:b w:val="0"/>
                <w:szCs w:val="22"/>
              </w:rPr>
              <w:t>Energy savings/Peak Demand Reduction – All Measures</w:t>
            </w:r>
          </w:p>
        </w:tc>
        <w:tc>
          <w:tcPr>
            <w:tcW w:w="4675" w:type="dxa"/>
          </w:tcPr>
          <w:p w14:paraId="48A295FE" w14:textId="51B08279" w:rsidR="009A2332" w:rsidRDefault="00FA7FF2" w:rsidP="009A2332">
            <w:r>
              <w:t>No Difference.</w:t>
            </w:r>
            <w:r w:rsidR="00853F0E">
              <w:t xml:space="preserve"> </w:t>
            </w:r>
            <w:r w:rsidR="00D04433">
              <w:t xml:space="preserve">  </w:t>
            </w:r>
          </w:p>
        </w:tc>
      </w:tr>
      <w:tr w:rsidR="009A2332" w14:paraId="79416F6B" w14:textId="77777777" w:rsidTr="009A2332">
        <w:trPr>
          <w:trHeight w:val="576"/>
        </w:trPr>
        <w:tc>
          <w:tcPr>
            <w:tcW w:w="4675" w:type="dxa"/>
          </w:tcPr>
          <w:p w14:paraId="63B2A37F" w14:textId="0BCDA8F4" w:rsidR="009A2332" w:rsidRDefault="009A2332" w:rsidP="009A2332">
            <w:r w:rsidRPr="00853F0E">
              <w:rPr>
                <w:b/>
                <w:bCs/>
              </w:rPr>
              <w:t>Section 3. Load Shapes</w:t>
            </w:r>
          </w:p>
        </w:tc>
        <w:tc>
          <w:tcPr>
            <w:tcW w:w="4675" w:type="dxa"/>
          </w:tcPr>
          <w:p w14:paraId="573722DD" w14:textId="333F67EE" w:rsidR="009A2332" w:rsidRDefault="00924B0A" w:rsidP="00853F0E">
            <w:r>
              <w:t>No Difference</w:t>
            </w:r>
          </w:p>
        </w:tc>
      </w:tr>
      <w:tr w:rsidR="009A2332" w14:paraId="0E2DA162" w14:textId="77777777" w:rsidTr="009A2332">
        <w:trPr>
          <w:trHeight w:val="576"/>
        </w:trPr>
        <w:tc>
          <w:tcPr>
            <w:tcW w:w="4675" w:type="dxa"/>
          </w:tcPr>
          <w:p w14:paraId="17E265C7" w14:textId="4B0D36D9" w:rsidR="009A2332" w:rsidRDefault="009A2332" w:rsidP="009A2332">
            <w:r>
              <w:rPr>
                <w:rStyle w:val="Strong"/>
                <w:rFonts w:asciiTheme="minorHAnsi" w:hAnsiTheme="minorHAnsi"/>
                <w:szCs w:val="22"/>
              </w:rPr>
              <w:t>Section 4. Costs</w:t>
            </w:r>
          </w:p>
        </w:tc>
        <w:tc>
          <w:tcPr>
            <w:tcW w:w="4675" w:type="dxa"/>
          </w:tcPr>
          <w:p w14:paraId="636754D0" w14:textId="77777777" w:rsidR="009A2332" w:rsidRDefault="009A2332" w:rsidP="009A2332"/>
        </w:tc>
      </w:tr>
      <w:tr w:rsidR="009A2332" w14:paraId="00EA9279" w14:textId="77777777" w:rsidTr="009A2332">
        <w:trPr>
          <w:trHeight w:val="576"/>
        </w:trPr>
        <w:tc>
          <w:tcPr>
            <w:tcW w:w="4675" w:type="dxa"/>
          </w:tcPr>
          <w:p w14:paraId="448F5A7F" w14:textId="54FDF208" w:rsidR="009A2332" w:rsidRDefault="009A2332" w:rsidP="009A2332">
            <w:r>
              <w:rPr>
                <w:rStyle w:val="Strong"/>
                <w:rFonts w:asciiTheme="minorHAnsi" w:hAnsiTheme="minorHAnsi"/>
                <w:szCs w:val="22"/>
              </w:rPr>
              <w:t>Section 4.1 Base and Measure Costs</w:t>
            </w:r>
          </w:p>
        </w:tc>
        <w:tc>
          <w:tcPr>
            <w:tcW w:w="4675" w:type="dxa"/>
          </w:tcPr>
          <w:p w14:paraId="4A8F9241" w14:textId="63FCA7BE" w:rsidR="009A2332" w:rsidRDefault="0043595D" w:rsidP="009A2332">
            <w:r>
              <w:t>Please refer to Attachment #1 Calculation Templates for detailed baseline and measure costs.</w:t>
            </w:r>
            <w:r w:rsidR="00FA7FF2">
              <w:t xml:space="preserve"> No difference from PG&amp;E workpaper.</w:t>
            </w:r>
          </w:p>
        </w:tc>
      </w:tr>
    </w:tbl>
    <w:p w14:paraId="31A3A294" w14:textId="77777777" w:rsidR="009A2332" w:rsidRDefault="009A2332" w:rsidP="009A2332"/>
    <w:p w14:paraId="0C9AC5FC" w14:textId="77777777" w:rsidR="008C26D8" w:rsidRPr="009A2332" w:rsidRDefault="008C26D8" w:rsidP="009A2332"/>
    <w:p w14:paraId="08B31DE0" w14:textId="292A193D" w:rsidR="009A2332" w:rsidRPr="008744E4" w:rsidRDefault="009A2332" w:rsidP="009A2332">
      <w:pPr>
        <w:spacing w:after="200" w:line="276" w:lineRule="auto"/>
        <w:rPr>
          <w:b/>
          <w:szCs w:val="20"/>
          <w:u w:val="single"/>
        </w:rPr>
      </w:pPr>
      <w:r w:rsidRPr="008744E4">
        <w:rPr>
          <w:b/>
          <w:szCs w:val="20"/>
          <w:u w:val="single"/>
        </w:rPr>
        <w:t>Savings and Calculation Methodology</w:t>
      </w:r>
    </w:p>
    <w:p w14:paraId="31FA9B64" w14:textId="52EA62B1" w:rsidR="008C26D8" w:rsidRDefault="008C26D8" w:rsidP="00BB5CA7">
      <w:pPr>
        <w:spacing w:after="200" w:line="276" w:lineRule="auto"/>
        <w:rPr>
          <w:szCs w:val="20"/>
        </w:rPr>
      </w:pPr>
      <w:bookmarkStart w:id="4" w:name="_Toc467224143"/>
      <w:r>
        <w:rPr>
          <w:szCs w:val="20"/>
        </w:rPr>
        <w:t>Savings impacts revised based on</w:t>
      </w:r>
      <w:r w:rsidR="000C2185">
        <w:rPr>
          <w:szCs w:val="20"/>
        </w:rPr>
        <w:t xml:space="preserve"> latest READI - </w:t>
      </w:r>
      <w:r w:rsidR="00FA7FF2">
        <w:rPr>
          <w:szCs w:val="20"/>
        </w:rPr>
        <w:t>DEER2017</w:t>
      </w:r>
      <w:r w:rsidR="000C2185">
        <w:rPr>
          <w:szCs w:val="20"/>
        </w:rPr>
        <w:t xml:space="preserve"> (D17 v2)</w:t>
      </w:r>
      <w:r w:rsidR="00FA7FF2">
        <w:rPr>
          <w:szCs w:val="20"/>
        </w:rPr>
        <w:t xml:space="preserve"> requirements.</w:t>
      </w:r>
    </w:p>
    <w:p w14:paraId="70F7AFE0" w14:textId="00AF1FAD" w:rsidR="007B2FFB" w:rsidRPr="00FA7FF2" w:rsidRDefault="00642213" w:rsidP="00FA7FF2">
      <w:pPr>
        <w:spacing w:after="200" w:line="276" w:lineRule="auto"/>
        <w:rPr>
          <w:rFonts w:cs="Arial"/>
          <w:szCs w:val="22"/>
        </w:rPr>
      </w:pPr>
      <w:r>
        <w:t xml:space="preserve"> </w:t>
      </w:r>
      <w:bookmarkStart w:id="5" w:name="_Toc214003099"/>
      <w:bookmarkEnd w:id="1"/>
      <w:bookmarkEnd w:id="4"/>
      <w:bookmarkEnd w:id="5"/>
      <w:r w:rsidR="007B2FFB" w:rsidRPr="00924B0A">
        <w:rPr>
          <w:b/>
          <w:szCs w:val="20"/>
        </w:rPr>
        <w:t>Attachments</w:t>
      </w:r>
    </w:p>
    <w:p w14:paraId="37E9FBDB" w14:textId="743DA79E" w:rsidR="00E16609" w:rsidRPr="007B2FFB" w:rsidRDefault="00FA7FF2" w:rsidP="007B2FFB">
      <w:pPr>
        <w:pStyle w:val="ListParagraph"/>
        <w:numPr>
          <w:ilvl w:val="0"/>
          <w:numId w:val="39"/>
        </w:numPr>
        <w:rPr>
          <w:szCs w:val="20"/>
        </w:rPr>
      </w:pPr>
      <w:r>
        <w:rPr>
          <w:szCs w:val="20"/>
        </w:rPr>
        <w:t>SCE17HC012</w:t>
      </w:r>
      <w:r w:rsidR="00C601C2">
        <w:rPr>
          <w:szCs w:val="20"/>
        </w:rPr>
        <w:t>.</w:t>
      </w:r>
      <w:r w:rsidR="000C2185">
        <w:rPr>
          <w:szCs w:val="20"/>
        </w:rPr>
        <w:t>1</w:t>
      </w:r>
      <w:r w:rsidR="00C601C2">
        <w:rPr>
          <w:szCs w:val="20"/>
        </w:rPr>
        <w:t xml:space="preserve"> A1 </w:t>
      </w:r>
      <w:r w:rsidR="007B2FFB" w:rsidRPr="007B2FFB">
        <w:rPr>
          <w:szCs w:val="20"/>
        </w:rPr>
        <w:t>Calculation Templates</w:t>
      </w:r>
      <w:r w:rsidR="000F56E4">
        <w:rPr>
          <w:szCs w:val="20"/>
        </w:rPr>
        <w:t>_Final</w:t>
      </w:r>
      <w:bookmarkStart w:id="6" w:name="_GoBack"/>
      <w:bookmarkEnd w:id="6"/>
    </w:p>
    <w:sectPr w:rsidR="00E16609" w:rsidRPr="007B2FFB" w:rsidSect="00E87C8F">
      <w:footerReference w:type="default" r:id="rId10"/>
      <w:pgSz w:w="12240" w:h="15840"/>
      <w:pgMar w:top="1440" w:right="1440" w:bottom="1557"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A44BE6" w14:textId="77777777" w:rsidR="00034786" w:rsidRDefault="00034786" w:rsidP="00447D6E">
      <w:r>
        <w:separator/>
      </w:r>
    </w:p>
    <w:p w14:paraId="60009F01" w14:textId="77777777" w:rsidR="00034786" w:rsidRDefault="00034786"/>
  </w:endnote>
  <w:endnote w:type="continuationSeparator" w:id="0">
    <w:p w14:paraId="54DE25DA" w14:textId="77777777" w:rsidR="00034786" w:rsidRDefault="00034786" w:rsidP="00447D6E">
      <w:r>
        <w:continuationSeparator/>
      </w:r>
    </w:p>
    <w:p w14:paraId="695F0D1C" w14:textId="77777777" w:rsidR="00034786" w:rsidRDefault="000347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altName w:val="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293419" w14:textId="17CCD812" w:rsidR="00F30167" w:rsidRPr="009500DC" w:rsidRDefault="000F56E4"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EndPr/>
      <w:sdtContent>
        <w:r w:rsidR="00540BA3">
          <w:rPr>
            <w:rFonts w:cstheme="minorHAnsi"/>
            <w:b/>
            <w:sz w:val="20"/>
            <w:szCs w:val="20"/>
          </w:rPr>
          <w:t>SCE17HC012</w:t>
        </w:r>
      </w:sdtContent>
    </w:sdt>
    <w:r w:rsidR="00F30167">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EndPr/>
      <w:sdtContent>
        <w:r w:rsidR="001727B0">
          <w:rPr>
            <w:rFonts w:cstheme="minorHAnsi"/>
            <w:b/>
            <w:sz w:val="20"/>
            <w:szCs w:val="20"/>
          </w:rPr>
          <w:t>Revision 1</w:t>
        </w:r>
      </w:sdtContent>
    </w:sdt>
    <w:r w:rsidR="00F30167" w:rsidRPr="009500DC">
      <w:rPr>
        <w:rFonts w:cstheme="minorHAnsi"/>
        <w:b/>
        <w:sz w:val="20"/>
        <w:szCs w:val="20"/>
      </w:rPr>
      <w:tab/>
    </w:r>
    <w:r w:rsidR="00F30167" w:rsidRPr="009500DC">
      <w:rPr>
        <w:rFonts w:cstheme="minorHAnsi"/>
        <w:b/>
        <w:sz w:val="20"/>
        <w:szCs w:val="20"/>
      </w:rPr>
      <w:fldChar w:fldCharType="begin"/>
    </w:r>
    <w:r w:rsidR="00F30167" w:rsidRPr="009500DC">
      <w:rPr>
        <w:rFonts w:cstheme="minorHAnsi"/>
        <w:b/>
        <w:sz w:val="20"/>
        <w:szCs w:val="20"/>
      </w:rPr>
      <w:instrText xml:space="preserve"> PAGE   \* MERGEFORMAT </w:instrText>
    </w:r>
    <w:r w:rsidR="00F30167" w:rsidRPr="009500DC">
      <w:rPr>
        <w:rFonts w:cstheme="minorHAnsi"/>
        <w:b/>
        <w:sz w:val="20"/>
        <w:szCs w:val="20"/>
      </w:rPr>
      <w:fldChar w:fldCharType="separate"/>
    </w:r>
    <w:r>
      <w:rPr>
        <w:rFonts w:cstheme="minorHAnsi"/>
        <w:b/>
        <w:noProof/>
        <w:sz w:val="20"/>
        <w:szCs w:val="20"/>
      </w:rPr>
      <w:t>4</w:t>
    </w:r>
    <w:r w:rsidR="00F30167" w:rsidRPr="009500DC">
      <w:rPr>
        <w:rFonts w:cstheme="minorHAnsi"/>
        <w:b/>
        <w:noProof/>
        <w:sz w:val="20"/>
        <w:szCs w:val="20"/>
      </w:rPr>
      <w:fldChar w:fldCharType="end"/>
    </w:r>
    <w:r w:rsidR="00F30167"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8-02-02T00:00:00Z">
          <w:dateFormat w:val="MMMM d, yyyy"/>
          <w:lid w:val="en-US"/>
          <w:storeMappedDataAs w:val="dateTime"/>
          <w:calendar w:val="gregorian"/>
        </w:date>
      </w:sdtPr>
      <w:sdtEndPr/>
      <w:sdtContent>
        <w:r w:rsidR="001727B0">
          <w:rPr>
            <w:rFonts w:cstheme="minorHAnsi"/>
            <w:b/>
            <w:sz w:val="20"/>
            <w:szCs w:val="20"/>
          </w:rPr>
          <w:t>February 2, 2018</w:t>
        </w:r>
      </w:sdtContent>
    </w:sdt>
  </w:p>
  <w:p w14:paraId="43C07EA5" w14:textId="544E4323" w:rsidR="00F30167" w:rsidRPr="009500DC" w:rsidRDefault="000F56E4"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EndPr/>
      <w:sdtContent>
        <w:r w:rsidR="00F30167">
          <w:rPr>
            <w:rFonts w:cstheme="minorHAnsi"/>
            <w:b/>
            <w:sz w:val="20"/>
            <w:szCs w:val="20"/>
          </w:rPr>
          <w:t>Southern California Edison</w:t>
        </w:r>
      </w:sdtContent>
    </w:sdt>
  </w:p>
  <w:p w14:paraId="4AC7586E" w14:textId="77777777" w:rsidR="00F30167" w:rsidRDefault="00F30167"/>
  <w:p w14:paraId="5C9861A8" w14:textId="77777777" w:rsidR="00F30167" w:rsidRDefault="00F3016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4338BF" w14:textId="77777777" w:rsidR="00034786" w:rsidRDefault="00034786" w:rsidP="00447D6E">
      <w:r>
        <w:separator/>
      </w:r>
    </w:p>
    <w:p w14:paraId="29E4BC19" w14:textId="77777777" w:rsidR="00034786" w:rsidRDefault="00034786"/>
  </w:footnote>
  <w:footnote w:type="continuationSeparator" w:id="0">
    <w:p w14:paraId="6BAA003E" w14:textId="77777777" w:rsidR="00034786" w:rsidRDefault="00034786" w:rsidP="00447D6E">
      <w:r>
        <w:continuationSeparator/>
      </w:r>
    </w:p>
    <w:p w14:paraId="73D8488D" w14:textId="77777777" w:rsidR="00034786" w:rsidRDefault="00034786"/>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3">
    <w:nsid w:val="0D3427CB"/>
    <w:multiLevelType w:val="hybridMultilevel"/>
    <w:tmpl w:val="A7C0E7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0E8C4967"/>
    <w:multiLevelType w:val="hybridMultilevel"/>
    <w:tmpl w:val="5980F5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E140AA"/>
    <w:multiLevelType w:val="hybridMultilevel"/>
    <w:tmpl w:val="B908F5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A5559DD"/>
    <w:multiLevelType w:val="hybridMultilevel"/>
    <w:tmpl w:val="8BF4BAB2"/>
    <w:lvl w:ilvl="0" w:tplc="04090001">
      <w:start w:val="1"/>
      <w:numFmt w:val="bullet"/>
      <w:lvlText w:val=""/>
      <w:lvlJc w:val="left"/>
      <w:pPr>
        <w:ind w:left="702" w:hanging="360"/>
      </w:pPr>
      <w:rPr>
        <w:rFonts w:ascii="Symbol" w:hAnsi="Symbol" w:hint="default"/>
      </w:rPr>
    </w:lvl>
    <w:lvl w:ilvl="1" w:tplc="04090003" w:tentative="1">
      <w:start w:val="1"/>
      <w:numFmt w:val="bullet"/>
      <w:lvlText w:val="o"/>
      <w:lvlJc w:val="left"/>
      <w:pPr>
        <w:ind w:left="1422" w:hanging="360"/>
      </w:pPr>
      <w:rPr>
        <w:rFonts w:ascii="Courier New" w:hAnsi="Courier New" w:cs="Courier New" w:hint="default"/>
      </w:rPr>
    </w:lvl>
    <w:lvl w:ilvl="2" w:tplc="04090005" w:tentative="1">
      <w:start w:val="1"/>
      <w:numFmt w:val="bullet"/>
      <w:lvlText w:val=""/>
      <w:lvlJc w:val="left"/>
      <w:pPr>
        <w:ind w:left="2142" w:hanging="360"/>
      </w:pPr>
      <w:rPr>
        <w:rFonts w:ascii="Wingdings" w:hAnsi="Wingdings" w:hint="default"/>
      </w:rPr>
    </w:lvl>
    <w:lvl w:ilvl="3" w:tplc="04090001" w:tentative="1">
      <w:start w:val="1"/>
      <w:numFmt w:val="bullet"/>
      <w:lvlText w:val=""/>
      <w:lvlJc w:val="left"/>
      <w:pPr>
        <w:ind w:left="2862" w:hanging="360"/>
      </w:pPr>
      <w:rPr>
        <w:rFonts w:ascii="Symbol" w:hAnsi="Symbol" w:hint="default"/>
      </w:rPr>
    </w:lvl>
    <w:lvl w:ilvl="4" w:tplc="04090003" w:tentative="1">
      <w:start w:val="1"/>
      <w:numFmt w:val="bullet"/>
      <w:lvlText w:val="o"/>
      <w:lvlJc w:val="left"/>
      <w:pPr>
        <w:ind w:left="3582" w:hanging="360"/>
      </w:pPr>
      <w:rPr>
        <w:rFonts w:ascii="Courier New" w:hAnsi="Courier New" w:cs="Courier New" w:hint="default"/>
      </w:rPr>
    </w:lvl>
    <w:lvl w:ilvl="5" w:tplc="04090005" w:tentative="1">
      <w:start w:val="1"/>
      <w:numFmt w:val="bullet"/>
      <w:lvlText w:val=""/>
      <w:lvlJc w:val="left"/>
      <w:pPr>
        <w:ind w:left="4302" w:hanging="360"/>
      </w:pPr>
      <w:rPr>
        <w:rFonts w:ascii="Wingdings" w:hAnsi="Wingdings" w:hint="default"/>
      </w:rPr>
    </w:lvl>
    <w:lvl w:ilvl="6" w:tplc="04090001" w:tentative="1">
      <w:start w:val="1"/>
      <w:numFmt w:val="bullet"/>
      <w:lvlText w:val=""/>
      <w:lvlJc w:val="left"/>
      <w:pPr>
        <w:ind w:left="5022" w:hanging="360"/>
      </w:pPr>
      <w:rPr>
        <w:rFonts w:ascii="Symbol" w:hAnsi="Symbol" w:hint="default"/>
      </w:rPr>
    </w:lvl>
    <w:lvl w:ilvl="7" w:tplc="04090003" w:tentative="1">
      <w:start w:val="1"/>
      <w:numFmt w:val="bullet"/>
      <w:lvlText w:val="o"/>
      <w:lvlJc w:val="left"/>
      <w:pPr>
        <w:ind w:left="5742" w:hanging="360"/>
      </w:pPr>
      <w:rPr>
        <w:rFonts w:ascii="Courier New" w:hAnsi="Courier New" w:cs="Courier New" w:hint="default"/>
      </w:rPr>
    </w:lvl>
    <w:lvl w:ilvl="8" w:tplc="04090005" w:tentative="1">
      <w:start w:val="1"/>
      <w:numFmt w:val="bullet"/>
      <w:lvlText w:val=""/>
      <w:lvlJc w:val="left"/>
      <w:pPr>
        <w:ind w:left="6462" w:hanging="360"/>
      </w:pPr>
      <w:rPr>
        <w:rFonts w:ascii="Wingdings" w:hAnsi="Wingdings" w:hint="default"/>
      </w:rPr>
    </w:lvl>
  </w:abstractNum>
  <w:abstractNum w:abstractNumId="9">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10">
    <w:nsid w:val="1C37292C"/>
    <w:multiLevelType w:val="hybridMultilevel"/>
    <w:tmpl w:val="364EABDC"/>
    <w:lvl w:ilvl="0" w:tplc="8CF619D4">
      <w:start w:val="1"/>
      <w:numFmt w:val="decimal"/>
      <w:lvlText w:val="%1."/>
      <w:lvlJc w:val="left"/>
      <w:pPr>
        <w:ind w:left="720" w:hanging="360"/>
      </w:pPr>
      <w:rPr>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30B1640"/>
    <w:multiLevelType w:val="hybridMultilevel"/>
    <w:tmpl w:val="C652CB2E"/>
    <w:lvl w:ilvl="0" w:tplc="A6EC154E">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44B189F"/>
    <w:multiLevelType w:val="hybridMultilevel"/>
    <w:tmpl w:val="9D1A8A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BC97E96"/>
    <w:multiLevelType w:val="hybridMultilevel"/>
    <w:tmpl w:val="40847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6">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376C6357"/>
    <w:multiLevelType w:val="hybridMultilevel"/>
    <w:tmpl w:val="98B040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47BD7088"/>
    <w:multiLevelType w:val="hybridMultilevel"/>
    <w:tmpl w:val="A9B89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7081C3C"/>
    <w:multiLevelType w:val="hybridMultilevel"/>
    <w:tmpl w:val="B8425F62"/>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BD2614A"/>
    <w:multiLevelType w:val="hybridMultilevel"/>
    <w:tmpl w:val="7526C0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1D95CEA"/>
    <w:multiLevelType w:val="hybridMultilevel"/>
    <w:tmpl w:val="12D24B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3FB3AB7"/>
    <w:multiLevelType w:val="hybridMultilevel"/>
    <w:tmpl w:val="7526C0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27"/>
  </w:num>
  <w:num w:numId="3">
    <w:abstractNumId w:val="26"/>
  </w:num>
  <w:num w:numId="4">
    <w:abstractNumId w:val="24"/>
  </w:num>
  <w:num w:numId="5">
    <w:abstractNumId w:val="24"/>
  </w:num>
  <w:num w:numId="6">
    <w:abstractNumId w:val="2"/>
  </w:num>
  <w:num w:numId="7">
    <w:abstractNumId w:val="28"/>
  </w:num>
  <w:num w:numId="8">
    <w:abstractNumId w:val="25"/>
  </w:num>
  <w:num w:numId="9">
    <w:abstractNumId w:val="15"/>
  </w:num>
  <w:num w:numId="10">
    <w:abstractNumId w:val="9"/>
  </w:num>
  <w:num w:numId="11">
    <w:abstractNumId w:val="30"/>
  </w:num>
  <w:num w:numId="12">
    <w:abstractNumId w:val="22"/>
  </w:num>
  <w:num w:numId="13">
    <w:abstractNumId w:val="14"/>
  </w:num>
  <w:num w:numId="14">
    <w:abstractNumId w:val="42"/>
  </w:num>
  <w:num w:numId="15">
    <w:abstractNumId w:val="12"/>
  </w:num>
  <w:num w:numId="16">
    <w:abstractNumId w:val="16"/>
  </w:num>
  <w:num w:numId="17">
    <w:abstractNumId w:val="7"/>
  </w:num>
  <w:num w:numId="18">
    <w:abstractNumId w:val="0"/>
  </w:num>
  <w:num w:numId="19">
    <w:abstractNumId w:val="40"/>
  </w:num>
  <w:num w:numId="20">
    <w:abstractNumId w:val="6"/>
  </w:num>
  <w:num w:numId="21">
    <w:abstractNumId w:val="32"/>
  </w:num>
  <w:num w:numId="22">
    <w:abstractNumId w:val="34"/>
  </w:num>
  <w:num w:numId="23">
    <w:abstractNumId w:val="43"/>
  </w:num>
  <w:num w:numId="24">
    <w:abstractNumId w:val="38"/>
  </w:num>
  <w:num w:numId="25">
    <w:abstractNumId w:val="18"/>
  </w:num>
  <w:num w:numId="26">
    <w:abstractNumId w:val="21"/>
  </w:num>
  <w:num w:numId="27">
    <w:abstractNumId w:val="35"/>
  </w:num>
  <w:num w:numId="28">
    <w:abstractNumId w:val="20"/>
  </w:num>
  <w:num w:numId="29">
    <w:abstractNumId w:val="11"/>
  </w:num>
  <w:num w:numId="30">
    <w:abstractNumId w:val="1"/>
  </w:num>
  <w:num w:numId="31">
    <w:abstractNumId w:val="44"/>
  </w:num>
  <w:num w:numId="32">
    <w:abstractNumId w:val="31"/>
  </w:num>
  <w:num w:numId="33">
    <w:abstractNumId w:val="37"/>
  </w:num>
  <w:num w:numId="34">
    <w:abstractNumId w:val="13"/>
  </w:num>
  <w:num w:numId="35">
    <w:abstractNumId w:val="19"/>
  </w:num>
  <w:num w:numId="36">
    <w:abstractNumId w:val="10"/>
  </w:num>
  <w:num w:numId="37">
    <w:abstractNumId w:val="41"/>
  </w:num>
  <w:num w:numId="38">
    <w:abstractNumId w:val="3"/>
  </w:num>
  <w:num w:numId="39">
    <w:abstractNumId w:val="4"/>
  </w:num>
  <w:num w:numId="40">
    <w:abstractNumId w:val="23"/>
  </w:num>
  <w:num w:numId="41">
    <w:abstractNumId w:val="36"/>
  </w:num>
  <w:num w:numId="42">
    <w:abstractNumId w:val="39"/>
  </w:num>
  <w:num w:numId="43">
    <w:abstractNumId w:val="8"/>
  </w:num>
  <w:num w:numId="44">
    <w:abstractNumId w:val="33"/>
  </w:num>
  <w:num w:numId="45">
    <w:abstractNumId w:val="29"/>
  </w:num>
  <w:num w:numId="46">
    <w:abstractNumId w:val="5"/>
  </w:num>
  <w:num w:numId="4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609"/>
    <w:rsid w:val="000016DB"/>
    <w:rsid w:val="00003D19"/>
    <w:rsid w:val="00005902"/>
    <w:rsid w:val="0001002B"/>
    <w:rsid w:val="00010806"/>
    <w:rsid w:val="00013F71"/>
    <w:rsid w:val="000173BF"/>
    <w:rsid w:val="00024252"/>
    <w:rsid w:val="000245B5"/>
    <w:rsid w:val="00027183"/>
    <w:rsid w:val="00033EA1"/>
    <w:rsid w:val="00034786"/>
    <w:rsid w:val="0003746D"/>
    <w:rsid w:val="0004020F"/>
    <w:rsid w:val="000436CB"/>
    <w:rsid w:val="00052E17"/>
    <w:rsid w:val="00056947"/>
    <w:rsid w:val="00061A8E"/>
    <w:rsid w:val="00064CB3"/>
    <w:rsid w:val="00070BEE"/>
    <w:rsid w:val="00072040"/>
    <w:rsid w:val="000765D0"/>
    <w:rsid w:val="00076DF4"/>
    <w:rsid w:val="00076F51"/>
    <w:rsid w:val="00084331"/>
    <w:rsid w:val="0008524C"/>
    <w:rsid w:val="00086F7F"/>
    <w:rsid w:val="0009074D"/>
    <w:rsid w:val="00094550"/>
    <w:rsid w:val="0009592B"/>
    <w:rsid w:val="000968C6"/>
    <w:rsid w:val="000A63C9"/>
    <w:rsid w:val="000B3765"/>
    <w:rsid w:val="000B655B"/>
    <w:rsid w:val="000C0000"/>
    <w:rsid w:val="000C18CC"/>
    <w:rsid w:val="000C2185"/>
    <w:rsid w:val="000C3091"/>
    <w:rsid w:val="000C687D"/>
    <w:rsid w:val="000C7ED1"/>
    <w:rsid w:val="000D789A"/>
    <w:rsid w:val="000E4B5F"/>
    <w:rsid w:val="000E706D"/>
    <w:rsid w:val="000F130A"/>
    <w:rsid w:val="000F4FD8"/>
    <w:rsid w:val="000F56E4"/>
    <w:rsid w:val="00107242"/>
    <w:rsid w:val="00111CC5"/>
    <w:rsid w:val="001206F7"/>
    <w:rsid w:val="001236C1"/>
    <w:rsid w:val="00133EE8"/>
    <w:rsid w:val="00140B30"/>
    <w:rsid w:val="00147155"/>
    <w:rsid w:val="00153CB3"/>
    <w:rsid w:val="00154C3B"/>
    <w:rsid w:val="00160158"/>
    <w:rsid w:val="00163BF7"/>
    <w:rsid w:val="00165357"/>
    <w:rsid w:val="001722B7"/>
    <w:rsid w:val="001727B0"/>
    <w:rsid w:val="001727D9"/>
    <w:rsid w:val="00174BB4"/>
    <w:rsid w:val="00175D14"/>
    <w:rsid w:val="00177748"/>
    <w:rsid w:val="001811EE"/>
    <w:rsid w:val="00185AD4"/>
    <w:rsid w:val="001979AF"/>
    <w:rsid w:val="001A0EB4"/>
    <w:rsid w:val="001A1A86"/>
    <w:rsid w:val="001A5F62"/>
    <w:rsid w:val="001B015E"/>
    <w:rsid w:val="001B2301"/>
    <w:rsid w:val="001B618B"/>
    <w:rsid w:val="001C1338"/>
    <w:rsid w:val="001C4140"/>
    <w:rsid w:val="001C5A94"/>
    <w:rsid w:val="001D2317"/>
    <w:rsid w:val="001D3223"/>
    <w:rsid w:val="001D33EF"/>
    <w:rsid w:val="001D5AB3"/>
    <w:rsid w:val="001E0519"/>
    <w:rsid w:val="001E0829"/>
    <w:rsid w:val="001E1320"/>
    <w:rsid w:val="001E556A"/>
    <w:rsid w:val="001F05CE"/>
    <w:rsid w:val="001F1905"/>
    <w:rsid w:val="001F4A65"/>
    <w:rsid w:val="0020152C"/>
    <w:rsid w:val="00205C45"/>
    <w:rsid w:val="0021035B"/>
    <w:rsid w:val="00211153"/>
    <w:rsid w:val="00220EF8"/>
    <w:rsid w:val="0023254A"/>
    <w:rsid w:val="002336B8"/>
    <w:rsid w:val="002344FB"/>
    <w:rsid w:val="00236216"/>
    <w:rsid w:val="002405CD"/>
    <w:rsid w:val="00240B74"/>
    <w:rsid w:val="00243B62"/>
    <w:rsid w:val="0024675B"/>
    <w:rsid w:val="002469DD"/>
    <w:rsid w:val="00247180"/>
    <w:rsid w:val="00254671"/>
    <w:rsid w:val="00257D36"/>
    <w:rsid w:val="00263C1C"/>
    <w:rsid w:val="00271415"/>
    <w:rsid w:val="00274FBE"/>
    <w:rsid w:val="002762E1"/>
    <w:rsid w:val="002811BC"/>
    <w:rsid w:val="00283DE8"/>
    <w:rsid w:val="00285552"/>
    <w:rsid w:val="00285966"/>
    <w:rsid w:val="00285A0D"/>
    <w:rsid w:val="00290ED8"/>
    <w:rsid w:val="00296B49"/>
    <w:rsid w:val="002A03FC"/>
    <w:rsid w:val="002A1843"/>
    <w:rsid w:val="002A3D26"/>
    <w:rsid w:val="002A523E"/>
    <w:rsid w:val="002B1ADF"/>
    <w:rsid w:val="002B502E"/>
    <w:rsid w:val="002B657B"/>
    <w:rsid w:val="002C2853"/>
    <w:rsid w:val="002C2D8F"/>
    <w:rsid w:val="002C444C"/>
    <w:rsid w:val="002C458F"/>
    <w:rsid w:val="002C6C20"/>
    <w:rsid w:val="002C6C7A"/>
    <w:rsid w:val="002C7F78"/>
    <w:rsid w:val="002D5277"/>
    <w:rsid w:val="002D71FA"/>
    <w:rsid w:val="002D73AF"/>
    <w:rsid w:val="002E3C35"/>
    <w:rsid w:val="002E4FD9"/>
    <w:rsid w:val="002E5B58"/>
    <w:rsid w:val="002F1437"/>
    <w:rsid w:val="002F3943"/>
    <w:rsid w:val="002F4E34"/>
    <w:rsid w:val="002F6A42"/>
    <w:rsid w:val="002F79E7"/>
    <w:rsid w:val="0030003A"/>
    <w:rsid w:val="003003EC"/>
    <w:rsid w:val="0030181D"/>
    <w:rsid w:val="003035E3"/>
    <w:rsid w:val="0030363A"/>
    <w:rsid w:val="00317970"/>
    <w:rsid w:val="00317EB0"/>
    <w:rsid w:val="00322FD1"/>
    <w:rsid w:val="00332700"/>
    <w:rsid w:val="003358BD"/>
    <w:rsid w:val="00344E88"/>
    <w:rsid w:val="00345D80"/>
    <w:rsid w:val="003471D4"/>
    <w:rsid w:val="00350BF1"/>
    <w:rsid w:val="00353C49"/>
    <w:rsid w:val="003540B1"/>
    <w:rsid w:val="003557E9"/>
    <w:rsid w:val="003560BA"/>
    <w:rsid w:val="00364CC6"/>
    <w:rsid w:val="003650F6"/>
    <w:rsid w:val="0036726C"/>
    <w:rsid w:val="003832D2"/>
    <w:rsid w:val="003845E5"/>
    <w:rsid w:val="00393137"/>
    <w:rsid w:val="0039615F"/>
    <w:rsid w:val="00397406"/>
    <w:rsid w:val="003A3170"/>
    <w:rsid w:val="003A360E"/>
    <w:rsid w:val="003D17FF"/>
    <w:rsid w:val="003D2871"/>
    <w:rsid w:val="003D2981"/>
    <w:rsid w:val="003D54D4"/>
    <w:rsid w:val="003D5B83"/>
    <w:rsid w:val="003E6E47"/>
    <w:rsid w:val="003F0623"/>
    <w:rsid w:val="003F33DE"/>
    <w:rsid w:val="003F3A41"/>
    <w:rsid w:val="003F67E9"/>
    <w:rsid w:val="00401031"/>
    <w:rsid w:val="004023B7"/>
    <w:rsid w:val="004045A0"/>
    <w:rsid w:val="00413CDB"/>
    <w:rsid w:val="004147A4"/>
    <w:rsid w:val="00416E34"/>
    <w:rsid w:val="004200FE"/>
    <w:rsid w:val="00421183"/>
    <w:rsid w:val="00421BA6"/>
    <w:rsid w:val="00421C17"/>
    <w:rsid w:val="00426CDE"/>
    <w:rsid w:val="00433EA1"/>
    <w:rsid w:val="0043595D"/>
    <w:rsid w:val="00441957"/>
    <w:rsid w:val="00443D32"/>
    <w:rsid w:val="004469DD"/>
    <w:rsid w:val="004476B2"/>
    <w:rsid w:val="00447CE5"/>
    <w:rsid w:val="00447D6E"/>
    <w:rsid w:val="0045048F"/>
    <w:rsid w:val="0045181B"/>
    <w:rsid w:val="00452133"/>
    <w:rsid w:val="00452C7A"/>
    <w:rsid w:val="00456B53"/>
    <w:rsid w:val="0046286E"/>
    <w:rsid w:val="004673A2"/>
    <w:rsid w:val="00471234"/>
    <w:rsid w:val="00472250"/>
    <w:rsid w:val="004729D5"/>
    <w:rsid w:val="0047437C"/>
    <w:rsid w:val="00477522"/>
    <w:rsid w:val="00480E7B"/>
    <w:rsid w:val="004843E5"/>
    <w:rsid w:val="00484BF6"/>
    <w:rsid w:val="0049052C"/>
    <w:rsid w:val="00493457"/>
    <w:rsid w:val="00494628"/>
    <w:rsid w:val="0049566B"/>
    <w:rsid w:val="00497338"/>
    <w:rsid w:val="004A1650"/>
    <w:rsid w:val="004B1184"/>
    <w:rsid w:val="004B4A3A"/>
    <w:rsid w:val="004B5CE5"/>
    <w:rsid w:val="004B750E"/>
    <w:rsid w:val="004C2244"/>
    <w:rsid w:val="004C23F1"/>
    <w:rsid w:val="004D069A"/>
    <w:rsid w:val="004E01F5"/>
    <w:rsid w:val="004E297E"/>
    <w:rsid w:val="004E5037"/>
    <w:rsid w:val="004E76CA"/>
    <w:rsid w:val="004F1698"/>
    <w:rsid w:val="004F517B"/>
    <w:rsid w:val="00500C4E"/>
    <w:rsid w:val="005014BB"/>
    <w:rsid w:val="00505CEC"/>
    <w:rsid w:val="0051020F"/>
    <w:rsid w:val="00513CAB"/>
    <w:rsid w:val="00516CF5"/>
    <w:rsid w:val="00523597"/>
    <w:rsid w:val="00523736"/>
    <w:rsid w:val="00525101"/>
    <w:rsid w:val="00532530"/>
    <w:rsid w:val="00535581"/>
    <w:rsid w:val="00535CA4"/>
    <w:rsid w:val="00540BA3"/>
    <w:rsid w:val="005476F6"/>
    <w:rsid w:val="00551D72"/>
    <w:rsid w:val="00552727"/>
    <w:rsid w:val="005540B6"/>
    <w:rsid w:val="005552C3"/>
    <w:rsid w:val="00560934"/>
    <w:rsid w:val="00563E58"/>
    <w:rsid w:val="00564960"/>
    <w:rsid w:val="00570654"/>
    <w:rsid w:val="00570F38"/>
    <w:rsid w:val="005720F2"/>
    <w:rsid w:val="005729C8"/>
    <w:rsid w:val="00572D2F"/>
    <w:rsid w:val="005734A4"/>
    <w:rsid w:val="0058136C"/>
    <w:rsid w:val="005837B0"/>
    <w:rsid w:val="00594EF5"/>
    <w:rsid w:val="005A0E53"/>
    <w:rsid w:val="005A1078"/>
    <w:rsid w:val="005A4658"/>
    <w:rsid w:val="005A496B"/>
    <w:rsid w:val="005B28C1"/>
    <w:rsid w:val="005B6344"/>
    <w:rsid w:val="005C1C74"/>
    <w:rsid w:val="005C2E48"/>
    <w:rsid w:val="005C3F23"/>
    <w:rsid w:val="005D13CF"/>
    <w:rsid w:val="005D2B79"/>
    <w:rsid w:val="005D4720"/>
    <w:rsid w:val="005D4DD7"/>
    <w:rsid w:val="005E12A9"/>
    <w:rsid w:val="005F139E"/>
    <w:rsid w:val="005F69D5"/>
    <w:rsid w:val="005F762C"/>
    <w:rsid w:val="00602799"/>
    <w:rsid w:val="00602F18"/>
    <w:rsid w:val="00607C30"/>
    <w:rsid w:val="006110F3"/>
    <w:rsid w:val="00612041"/>
    <w:rsid w:val="00614AFF"/>
    <w:rsid w:val="00621ABA"/>
    <w:rsid w:val="0062322A"/>
    <w:rsid w:val="00631157"/>
    <w:rsid w:val="00635667"/>
    <w:rsid w:val="006404E6"/>
    <w:rsid w:val="00642213"/>
    <w:rsid w:val="0064680F"/>
    <w:rsid w:val="0064729D"/>
    <w:rsid w:val="00647ABE"/>
    <w:rsid w:val="006516BA"/>
    <w:rsid w:val="00664B05"/>
    <w:rsid w:val="00665C04"/>
    <w:rsid w:val="0066682D"/>
    <w:rsid w:val="006746FE"/>
    <w:rsid w:val="00676E9F"/>
    <w:rsid w:val="00680934"/>
    <w:rsid w:val="00680B32"/>
    <w:rsid w:val="00683050"/>
    <w:rsid w:val="00685D5C"/>
    <w:rsid w:val="0069264D"/>
    <w:rsid w:val="0069578B"/>
    <w:rsid w:val="00697868"/>
    <w:rsid w:val="006A055F"/>
    <w:rsid w:val="006A126F"/>
    <w:rsid w:val="006A14E9"/>
    <w:rsid w:val="006A2A65"/>
    <w:rsid w:val="006A497A"/>
    <w:rsid w:val="006A5293"/>
    <w:rsid w:val="006A67E4"/>
    <w:rsid w:val="006A6D15"/>
    <w:rsid w:val="006B0DF3"/>
    <w:rsid w:val="006B0F11"/>
    <w:rsid w:val="006B27FA"/>
    <w:rsid w:val="006B4A48"/>
    <w:rsid w:val="006C2C55"/>
    <w:rsid w:val="006C430A"/>
    <w:rsid w:val="006D2809"/>
    <w:rsid w:val="006E27A3"/>
    <w:rsid w:val="006E3342"/>
    <w:rsid w:val="006E4B12"/>
    <w:rsid w:val="006E65D0"/>
    <w:rsid w:val="006F1B21"/>
    <w:rsid w:val="006F21E8"/>
    <w:rsid w:val="006F78D5"/>
    <w:rsid w:val="0070091B"/>
    <w:rsid w:val="007048AC"/>
    <w:rsid w:val="00726338"/>
    <w:rsid w:val="00726AD5"/>
    <w:rsid w:val="00733C7D"/>
    <w:rsid w:val="00740761"/>
    <w:rsid w:val="00743C3C"/>
    <w:rsid w:val="00745F77"/>
    <w:rsid w:val="007464DE"/>
    <w:rsid w:val="007529EA"/>
    <w:rsid w:val="00755A45"/>
    <w:rsid w:val="00760CDC"/>
    <w:rsid w:val="00764D0D"/>
    <w:rsid w:val="00777C53"/>
    <w:rsid w:val="00786E92"/>
    <w:rsid w:val="0079252E"/>
    <w:rsid w:val="007933F1"/>
    <w:rsid w:val="007A5F52"/>
    <w:rsid w:val="007B090A"/>
    <w:rsid w:val="007B2FFB"/>
    <w:rsid w:val="007D14AD"/>
    <w:rsid w:val="007E43F8"/>
    <w:rsid w:val="007E5076"/>
    <w:rsid w:val="007E656B"/>
    <w:rsid w:val="007F2997"/>
    <w:rsid w:val="007F50E8"/>
    <w:rsid w:val="007F54E2"/>
    <w:rsid w:val="007F7FBA"/>
    <w:rsid w:val="00800319"/>
    <w:rsid w:val="0080044E"/>
    <w:rsid w:val="00800706"/>
    <w:rsid w:val="0080189A"/>
    <w:rsid w:val="00801F7F"/>
    <w:rsid w:val="00803C2B"/>
    <w:rsid w:val="00811945"/>
    <w:rsid w:val="008142EE"/>
    <w:rsid w:val="00815211"/>
    <w:rsid w:val="00824F1C"/>
    <w:rsid w:val="00826688"/>
    <w:rsid w:val="0083369B"/>
    <w:rsid w:val="00835D38"/>
    <w:rsid w:val="00842884"/>
    <w:rsid w:val="00843763"/>
    <w:rsid w:val="00847A4E"/>
    <w:rsid w:val="00853F0E"/>
    <w:rsid w:val="00871D79"/>
    <w:rsid w:val="00872DA9"/>
    <w:rsid w:val="0087393E"/>
    <w:rsid w:val="008744E4"/>
    <w:rsid w:val="00881A42"/>
    <w:rsid w:val="00882386"/>
    <w:rsid w:val="0088361D"/>
    <w:rsid w:val="00885E0A"/>
    <w:rsid w:val="0088603B"/>
    <w:rsid w:val="008877AF"/>
    <w:rsid w:val="00892A58"/>
    <w:rsid w:val="00893FC3"/>
    <w:rsid w:val="00894730"/>
    <w:rsid w:val="0089577B"/>
    <w:rsid w:val="008A769B"/>
    <w:rsid w:val="008B1024"/>
    <w:rsid w:val="008B1357"/>
    <w:rsid w:val="008B2DF3"/>
    <w:rsid w:val="008B6976"/>
    <w:rsid w:val="008C26D8"/>
    <w:rsid w:val="008C2E0E"/>
    <w:rsid w:val="008C4DE0"/>
    <w:rsid w:val="008D3930"/>
    <w:rsid w:val="008D67F9"/>
    <w:rsid w:val="008E17CC"/>
    <w:rsid w:val="008E25B1"/>
    <w:rsid w:val="008E56FB"/>
    <w:rsid w:val="008E768C"/>
    <w:rsid w:val="008F0B7E"/>
    <w:rsid w:val="008F2167"/>
    <w:rsid w:val="008F33B4"/>
    <w:rsid w:val="008F6298"/>
    <w:rsid w:val="0090077A"/>
    <w:rsid w:val="00900F47"/>
    <w:rsid w:val="00904ADA"/>
    <w:rsid w:val="00907697"/>
    <w:rsid w:val="00910A69"/>
    <w:rsid w:val="009138A0"/>
    <w:rsid w:val="0091424C"/>
    <w:rsid w:val="00917DE4"/>
    <w:rsid w:val="00920905"/>
    <w:rsid w:val="00922B85"/>
    <w:rsid w:val="00924B0A"/>
    <w:rsid w:val="00930CDC"/>
    <w:rsid w:val="00931E45"/>
    <w:rsid w:val="00933188"/>
    <w:rsid w:val="00935AF9"/>
    <w:rsid w:val="009403A5"/>
    <w:rsid w:val="009500DC"/>
    <w:rsid w:val="009516CF"/>
    <w:rsid w:val="00951923"/>
    <w:rsid w:val="00966709"/>
    <w:rsid w:val="00972C81"/>
    <w:rsid w:val="0097589E"/>
    <w:rsid w:val="009824E9"/>
    <w:rsid w:val="009826E5"/>
    <w:rsid w:val="009844A1"/>
    <w:rsid w:val="00986E20"/>
    <w:rsid w:val="009927C7"/>
    <w:rsid w:val="00995479"/>
    <w:rsid w:val="00995CB0"/>
    <w:rsid w:val="00997E77"/>
    <w:rsid w:val="009A2332"/>
    <w:rsid w:val="009A2734"/>
    <w:rsid w:val="009B2A02"/>
    <w:rsid w:val="009B2B61"/>
    <w:rsid w:val="009B5B7B"/>
    <w:rsid w:val="009C1777"/>
    <w:rsid w:val="009C2C86"/>
    <w:rsid w:val="009C6FBD"/>
    <w:rsid w:val="009C6FE0"/>
    <w:rsid w:val="009D0753"/>
    <w:rsid w:val="009D10A4"/>
    <w:rsid w:val="009D5131"/>
    <w:rsid w:val="009D5DD9"/>
    <w:rsid w:val="009D6F71"/>
    <w:rsid w:val="009E0BAA"/>
    <w:rsid w:val="009E1802"/>
    <w:rsid w:val="009E1CDE"/>
    <w:rsid w:val="009E2B06"/>
    <w:rsid w:val="009E3829"/>
    <w:rsid w:val="009E51E2"/>
    <w:rsid w:val="009F67A9"/>
    <w:rsid w:val="009F7A61"/>
    <w:rsid w:val="00A11800"/>
    <w:rsid w:val="00A11C16"/>
    <w:rsid w:val="00A1423E"/>
    <w:rsid w:val="00A17664"/>
    <w:rsid w:val="00A20FAF"/>
    <w:rsid w:val="00A24520"/>
    <w:rsid w:val="00A2781A"/>
    <w:rsid w:val="00A30A0C"/>
    <w:rsid w:val="00A3164A"/>
    <w:rsid w:val="00A37F42"/>
    <w:rsid w:val="00A4411F"/>
    <w:rsid w:val="00A500D6"/>
    <w:rsid w:val="00A523FF"/>
    <w:rsid w:val="00A54756"/>
    <w:rsid w:val="00A54C66"/>
    <w:rsid w:val="00A57D36"/>
    <w:rsid w:val="00A61BB6"/>
    <w:rsid w:val="00A65734"/>
    <w:rsid w:val="00A6687F"/>
    <w:rsid w:val="00A67907"/>
    <w:rsid w:val="00A73CC1"/>
    <w:rsid w:val="00A80270"/>
    <w:rsid w:val="00A82DB1"/>
    <w:rsid w:val="00A84127"/>
    <w:rsid w:val="00A84BF9"/>
    <w:rsid w:val="00A86DA2"/>
    <w:rsid w:val="00A90DFC"/>
    <w:rsid w:val="00A90F1A"/>
    <w:rsid w:val="00A91BF3"/>
    <w:rsid w:val="00AA0A9C"/>
    <w:rsid w:val="00AA16C0"/>
    <w:rsid w:val="00AA4CDC"/>
    <w:rsid w:val="00AB21D4"/>
    <w:rsid w:val="00AB21F5"/>
    <w:rsid w:val="00AB3386"/>
    <w:rsid w:val="00AB36DB"/>
    <w:rsid w:val="00AC0B1D"/>
    <w:rsid w:val="00AC2F5B"/>
    <w:rsid w:val="00AC3DAD"/>
    <w:rsid w:val="00AC5309"/>
    <w:rsid w:val="00AC5B97"/>
    <w:rsid w:val="00AC64DB"/>
    <w:rsid w:val="00AD4DD0"/>
    <w:rsid w:val="00AE0A8D"/>
    <w:rsid w:val="00AF6342"/>
    <w:rsid w:val="00B053FB"/>
    <w:rsid w:val="00B05647"/>
    <w:rsid w:val="00B07EE5"/>
    <w:rsid w:val="00B21CC5"/>
    <w:rsid w:val="00B26778"/>
    <w:rsid w:val="00B26B83"/>
    <w:rsid w:val="00B32479"/>
    <w:rsid w:val="00B33FE2"/>
    <w:rsid w:val="00B403ED"/>
    <w:rsid w:val="00B4065F"/>
    <w:rsid w:val="00B45091"/>
    <w:rsid w:val="00B45447"/>
    <w:rsid w:val="00B53CF1"/>
    <w:rsid w:val="00B614F1"/>
    <w:rsid w:val="00B772A2"/>
    <w:rsid w:val="00B866B4"/>
    <w:rsid w:val="00B94226"/>
    <w:rsid w:val="00BA0A8C"/>
    <w:rsid w:val="00BA0CEB"/>
    <w:rsid w:val="00BA2383"/>
    <w:rsid w:val="00BA2E7E"/>
    <w:rsid w:val="00BA590A"/>
    <w:rsid w:val="00BA5FE4"/>
    <w:rsid w:val="00BB0B39"/>
    <w:rsid w:val="00BB30D1"/>
    <w:rsid w:val="00BB39D8"/>
    <w:rsid w:val="00BB5CA7"/>
    <w:rsid w:val="00BB5F75"/>
    <w:rsid w:val="00BC6524"/>
    <w:rsid w:val="00BD3931"/>
    <w:rsid w:val="00BD5B88"/>
    <w:rsid w:val="00BD5F58"/>
    <w:rsid w:val="00BE0AEB"/>
    <w:rsid w:val="00C018E0"/>
    <w:rsid w:val="00C05AAF"/>
    <w:rsid w:val="00C118C7"/>
    <w:rsid w:val="00C20877"/>
    <w:rsid w:val="00C20E7B"/>
    <w:rsid w:val="00C21456"/>
    <w:rsid w:val="00C24D03"/>
    <w:rsid w:val="00C25E61"/>
    <w:rsid w:val="00C30DAA"/>
    <w:rsid w:val="00C35A1B"/>
    <w:rsid w:val="00C413F3"/>
    <w:rsid w:val="00C53CE6"/>
    <w:rsid w:val="00C54EFF"/>
    <w:rsid w:val="00C55D03"/>
    <w:rsid w:val="00C601C2"/>
    <w:rsid w:val="00C63548"/>
    <w:rsid w:val="00C63F96"/>
    <w:rsid w:val="00C65450"/>
    <w:rsid w:val="00C677AF"/>
    <w:rsid w:val="00C67E59"/>
    <w:rsid w:val="00C72B8B"/>
    <w:rsid w:val="00C72CB5"/>
    <w:rsid w:val="00C76D4F"/>
    <w:rsid w:val="00C805BC"/>
    <w:rsid w:val="00C959CA"/>
    <w:rsid w:val="00C95D16"/>
    <w:rsid w:val="00CA2AB4"/>
    <w:rsid w:val="00CB0100"/>
    <w:rsid w:val="00CB04D2"/>
    <w:rsid w:val="00CD7EFE"/>
    <w:rsid w:val="00CE0C66"/>
    <w:rsid w:val="00CE28CF"/>
    <w:rsid w:val="00CE4386"/>
    <w:rsid w:val="00CE4CDC"/>
    <w:rsid w:val="00CE5BEB"/>
    <w:rsid w:val="00CE69E9"/>
    <w:rsid w:val="00CE71F2"/>
    <w:rsid w:val="00CF3F65"/>
    <w:rsid w:val="00CF464D"/>
    <w:rsid w:val="00D04433"/>
    <w:rsid w:val="00D17EF4"/>
    <w:rsid w:val="00D234E0"/>
    <w:rsid w:val="00D23770"/>
    <w:rsid w:val="00D25074"/>
    <w:rsid w:val="00D318A3"/>
    <w:rsid w:val="00D34517"/>
    <w:rsid w:val="00D36798"/>
    <w:rsid w:val="00D47E80"/>
    <w:rsid w:val="00D531A4"/>
    <w:rsid w:val="00D65E99"/>
    <w:rsid w:val="00D70563"/>
    <w:rsid w:val="00D70D89"/>
    <w:rsid w:val="00D72051"/>
    <w:rsid w:val="00D7380B"/>
    <w:rsid w:val="00D75D77"/>
    <w:rsid w:val="00D7639E"/>
    <w:rsid w:val="00D835EF"/>
    <w:rsid w:val="00D85F09"/>
    <w:rsid w:val="00D86A9D"/>
    <w:rsid w:val="00DA089A"/>
    <w:rsid w:val="00DA11A0"/>
    <w:rsid w:val="00DA2822"/>
    <w:rsid w:val="00DA690B"/>
    <w:rsid w:val="00DA7225"/>
    <w:rsid w:val="00DB10D9"/>
    <w:rsid w:val="00DB44E9"/>
    <w:rsid w:val="00DC1966"/>
    <w:rsid w:val="00DC3259"/>
    <w:rsid w:val="00DD0523"/>
    <w:rsid w:val="00DE5758"/>
    <w:rsid w:val="00DE5FCF"/>
    <w:rsid w:val="00DF0D19"/>
    <w:rsid w:val="00DF185F"/>
    <w:rsid w:val="00DF2EE9"/>
    <w:rsid w:val="00DF6FD8"/>
    <w:rsid w:val="00E05A80"/>
    <w:rsid w:val="00E06A37"/>
    <w:rsid w:val="00E071A5"/>
    <w:rsid w:val="00E07752"/>
    <w:rsid w:val="00E16609"/>
    <w:rsid w:val="00E16CB5"/>
    <w:rsid w:val="00E16F08"/>
    <w:rsid w:val="00E233F3"/>
    <w:rsid w:val="00E26B34"/>
    <w:rsid w:val="00E314BA"/>
    <w:rsid w:val="00E325BE"/>
    <w:rsid w:val="00E326BA"/>
    <w:rsid w:val="00E34202"/>
    <w:rsid w:val="00E37F72"/>
    <w:rsid w:val="00E40BE5"/>
    <w:rsid w:val="00E40CF9"/>
    <w:rsid w:val="00E42A30"/>
    <w:rsid w:val="00E5625D"/>
    <w:rsid w:val="00E61B5E"/>
    <w:rsid w:val="00E648BB"/>
    <w:rsid w:val="00E67ACA"/>
    <w:rsid w:val="00E76B31"/>
    <w:rsid w:val="00E80F62"/>
    <w:rsid w:val="00E81F3E"/>
    <w:rsid w:val="00E844BB"/>
    <w:rsid w:val="00E84C48"/>
    <w:rsid w:val="00E859BD"/>
    <w:rsid w:val="00E86B70"/>
    <w:rsid w:val="00E87C8F"/>
    <w:rsid w:val="00E924C3"/>
    <w:rsid w:val="00E954EE"/>
    <w:rsid w:val="00E96759"/>
    <w:rsid w:val="00EA4437"/>
    <w:rsid w:val="00EA4D87"/>
    <w:rsid w:val="00EB34FC"/>
    <w:rsid w:val="00EB4313"/>
    <w:rsid w:val="00EB76E1"/>
    <w:rsid w:val="00EC2499"/>
    <w:rsid w:val="00EC4AF6"/>
    <w:rsid w:val="00ED02DD"/>
    <w:rsid w:val="00EE29DF"/>
    <w:rsid w:val="00EE4120"/>
    <w:rsid w:val="00EF2E8A"/>
    <w:rsid w:val="00EF4E6B"/>
    <w:rsid w:val="00EF5416"/>
    <w:rsid w:val="00F06CCF"/>
    <w:rsid w:val="00F1053D"/>
    <w:rsid w:val="00F110D5"/>
    <w:rsid w:val="00F11E63"/>
    <w:rsid w:val="00F12733"/>
    <w:rsid w:val="00F171E1"/>
    <w:rsid w:val="00F20DCF"/>
    <w:rsid w:val="00F25B36"/>
    <w:rsid w:val="00F30167"/>
    <w:rsid w:val="00F3052A"/>
    <w:rsid w:val="00F341E3"/>
    <w:rsid w:val="00F35D09"/>
    <w:rsid w:val="00F4304D"/>
    <w:rsid w:val="00F46612"/>
    <w:rsid w:val="00F474EF"/>
    <w:rsid w:val="00F4752B"/>
    <w:rsid w:val="00F476E8"/>
    <w:rsid w:val="00F541AE"/>
    <w:rsid w:val="00F56792"/>
    <w:rsid w:val="00F571A6"/>
    <w:rsid w:val="00F6018B"/>
    <w:rsid w:val="00F60265"/>
    <w:rsid w:val="00F60E32"/>
    <w:rsid w:val="00F644FF"/>
    <w:rsid w:val="00F65ABA"/>
    <w:rsid w:val="00F65E15"/>
    <w:rsid w:val="00F7242E"/>
    <w:rsid w:val="00F74B33"/>
    <w:rsid w:val="00F810DD"/>
    <w:rsid w:val="00F95E2F"/>
    <w:rsid w:val="00F96DEB"/>
    <w:rsid w:val="00FA1872"/>
    <w:rsid w:val="00FA4F34"/>
    <w:rsid w:val="00FA7441"/>
    <w:rsid w:val="00FA7FF2"/>
    <w:rsid w:val="00FB2590"/>
    <w:rsid w:val="00FC7766"/>
    <w:rsid w:val="00FD3B0E"/>
    <w:rsid w:val="00FD5A8C"/>
    <w:rsid w:val="00FE286E"/>
    <w:rsid w:val="00FE3233"/>
    <w:rsid w:val="00FE4C68"/>
    <w:rsid w:val="00FE5FAF"/>
    <w:rsid w:val="00FE6D74"/>
    <w:rsid w:val="00FF12D9"/>
    <w:rsid w:val="00FF7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F77E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2138066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altName w:val="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146151"/>
    <w:rsid w:val="001976ED"/>
    <w:rsid w:val="00204A7F"/>
    <w:rsid w:val="002B514B"/>
    <w:rsid w:val="002C0C03"/>
    <w:rsid w:val="00311B0D"/>
    <w:rsid w:val="003A131F"/>
    <w:rsid w:val="004817CD"/>
    <w:rsid w:val="00560392"/>
    <w:rsid w:val="005F53B2"/>
    <w:rsid w:val="006B7FA8"/>
    <w:rsid w:val="007268B4"/>
    <w:rsid w:val="00791C47"/>
    <w:rsid w:val="008211B5"/>
    <w:rsid w:val="00851776"/>
    <w:rsid w:val="00874653"/>
    <w:rsid w:val="008D1F72"/>
    <w:rsid w:val="009662E4"/>
    <w:rsid w:val="00A5022A"/>
    <w:rsid w:val="00A91599"/>
    <w:rsid w:val="00AE4C28"/>
    <w:rsid w:val="00AF2C4B"/>
    <w:rsid w:val="00B73964"/>
    <w:rsid w:val="00B74704"/>
    <w:rsid w:val="00C947B8"/>
    <w:rsid w:val="00D0496D"/>
    <w:rsid w:val="00D051F5"/>
    <w:rsid w:val="00E2593E"/>
    <w:rsid w:val="00EC59D9"/>
    <w:rsid w:val="00F7350A"/>
    <w:rsid w:val="00FC10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2018-02-02T00:00:00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2D1B42B-AED7-48F6-AAA1-8D944C7791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486</Words>
  <Characters>2772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SCE17HC012</vt:lpstr>
    </vt:vector>
  </TitlesOfParts>
  <Company>Southern California Edison</Company>
  <LinksUpToDate>false</LinksUpToDate>
  <CharactersWithSpaces>3252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SCE17HC012</dc:title>
  <dc:creator>Jim Wyatt (PG&amp;E);Jason Wang (SCE)</dc:creator>
  <cp:lastModifiedBy>Ajay Wadhera</cp:lastModifiedBy>
  <cp:revision>4</cp:revision>
  <dcterms:created xsi:type="dcterms:W3CDTF">2018-02-06T00:11:00Z</dcterms:created>
  <dcterms:modified xsi:type="dcterms:W3CDTF">2018-02-06T00:40:00Z</dcterms:modified>
  <cp:contentStatus>Revision 1</cp:contentStatus>
</cp:coreProperties>
</file>