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5D476D">
            <w:t>SCE17CS014</w:t>
          </w:r>
        </w:sdtContent>
      </w:sdt>
    </w:p>
    <w:bookmarkEnd w:id="0"/>
    <w:p w:rsidR="00DA690B" w:rsidRPr="00500C4E" w:rsidRDefault="00FB5D0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9E1C11">
            <w:rPr>
              <w:rStyle w:val="CaptionChar"/>
              <w:rFonts w:asciiTheme="minorHAnsi" w:hAnsiTheme="minorHAnsi" w:cstheme="minorHAnsi"/>
              <w:b/>
              <w:bCs w:val="0"/>
              <w:sz w:val="48"/>
              <w:szCs w:val="48"/>
            </w:rPr>
            <w:t>0</w:t>
          </w:r>
        </w:sdtContent>
      </w:sdt>
    </w:p>
    <w:p w:rsidR="00285A0D" w:rsidRPr="00500C4E" w:rsidRDefault="00285A0D" w:rsidP="00DE5758">
      <w:pPr>
        <w:jc w:val="right"/>
        <w:rPr>
          <w:rFonts w:cstheme="minorHAnsi"/>
          <w:b/>
          <w:sz w:val="48"/>
          <w:szCs w:val="48"/>
        </w:rPr>
      </w:pPr>
    </w:p>
    <w:bookmarkStart w:id="2" w:name="SCE"/>
    <w:p w:rsidR="00DA690B" w:rsidRPr="00500C4E" w:rsidRDefault="00FB5D0A"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EA122E">
            <w:rPr>
              <w:rFonts w:cstheme="minorHAnsi"/>
              <w:b/>
              <w:sz w:val="36"/>
              <w:szCs w:val="36"/>
            </w:rPr>
            <w:t>Southern California Edison</w:t>
          </w:r>
        </w:sdtContent>
      </w:sdt>
      <w:bookmarkEnd w:id="2"/>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9D0753" w:rsidP="009D0753">
      <w:pPr>
        <w:tabs>
          <w:tab w:val="left" w:pos="8190"/>
        </w:tabs>
        <w:rPr>
          <w:rFonts w:cstheme="minorHAnsi"/>
        </w:rPr>
      </w:pPr>
      <w:r w:rsidRPr="00500C4E">
        <w:rPr>
          <w:rFonts w:cstheme="minorHAnsi"/>
        </w:rPr>
        <w:tab/>
      </w:r>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DA690B" w:rsidP="00DA690B">
      <w:pPr>
        <w:rPr>
          <w:rFonts w:cstheme="minorHAnsi"/>
        </w:rPr>
      </w:pPr>
    </w:p>
    <w:p w:rsidR="00DA690B" w:rsidRPr="00500C4E" w:rsidRDefault="00DA690B" w:rsidP="00DA690B">
      <w:pPr>
        <w:rPr>
          <w:rFonts w:cstheme="minorHAnsi"/>
        </w:rPr>
      </w:pPr>
    </w:p>
    <w:p w:rsidR="00E76B31" w:rsidRPr="00500C4E" w:rsidRDefault="005D476D" w:rsidP="00E76B31">
      <w:pPr>
        <w:pStyle w:val="Reminders"/>
        <w:rPr>
          <w:rFonts w:asciiTheme="minorHAnsi" w:hAnsiTheme="minorHAnsi" w:cstheme="minorHAnsi"/>
          <w:i w:val="0"/>
          <w:szCs w:val="22"/>
        </w:rPr>
      </w:pPr>
      <w:r w:rsidRPr="005D476D">
        <w:rPr>
          <w:rFonts w:asciiTheme="minorHAnsi" w:hAnsiTheme="minorHAnsi" w:cstheme="minorHAnsi"/>
          <w:b/>
          <w:i w:val="0"/>
          <w:color w:val="auto"/>
          <w:sz w:val="72"/>
          <w:szCs w:val="72"/>
        </w:rPr>
        <w:t>Tier 2 Advanced Smart Connected Power Strips</w:t>
      </w:r>
    </w:p>
    <w:p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rsidTr="00920905">
        <w:trPr>
          <w:trHeight w:val="465"/>
        </w:trPr>
        <w:tc>
          <w:tcPr>
            <w:tcW w:w="1875" w:type="pct"/>
          </w:tcPr>
          <w:p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rsidR="00AC5309" w:rsidRPr="0034062E" w:rsidRDefault="005D476D">
            <w:pPr>
              <w:rPr>
                <w:rFonts w:cs="Arial"/>
                <w:bCs/>
                <w:szCs w:val="20"/>
              </w:rPr>
            </w:pPr>
            <w:r>
              <w:rPr>
                <w:rFonts w:cs="Arial"/>
                <w:szCs w:val="20"/>
              </w:rPr>
              <w:t xml:space="preserve">SCE Solution Code: </w:t>
            </w:r>
            <w:r w:rsidRPr="005D476D">
              <w:rPr>
                <w:rFonts w:cs="Arial"/>
                <w:szCs w:val="20"/>
              </w:rPr>
              <w:t>CE-18633</w:t>
            </w:r>
          </w:p>
        </w:tc>
      </w:tr>
      <w:tr w:rsidR="00AC5309" w:rsidRPr="00500C4E" w:rsidTr="00920905">
        <w:trPr>
          <w:trHeight w:val="465"/>
        </w:trPr>
        <w:tc>
          <w:tcPr>
            <w:tcW w:w="1875" w:type="pct"/>
          </w:tcPr>
          <w:p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rsidR="00290ED8" w:rsidRPr="0034062E" w:rsidRDefault="005D476D" w:rsidP="00E04A33">
            <w:pPr>
              <w:rPr>
                <w:rFonts w:cs="Arial"/>
                <w:szCs w:val="20"/>
              </w:rPr>
            </w:pPr>
            <w:r w:rsidRPr="005D476D">
              <w:rPr>
                <w:rFonts w:cs="Arial"/>
                <w:szCs w:val="20"/>
              </w:rPr>
              <w:t>Tier 2 Advanced Smart Connected Power Strips</w:t>
            </w:r>
          </w:p>
        </w:tc>
      </w:tr>
      <w:tr w:rsidR="00AC5309" w:rsidRPr="00500C4E" w:rsidTr="00920905">
        <w:trPr>
          <w:trHeight w:val="465"/>
        </w:trPr>
        <w:tc>
          <w:tcPr>
            <w:tcW w:w="1875" w:type="pct"/>
          </w:tcPr>
          <w:p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rsidR="00290ED8" w:rsidRPr="00500C4E" w:rsidRDefault="005D476D">
            <w:pPr>
              <w:rPr>
                <w:rFonts w:cs="Arial"/>
                <w:color w:val="FF0000"/>
                <w:szCs w:val="20"/>
              </w:rPr>
            </w:pPr>
            <w:r w:rsidRPr="005D476D">
              <w:t>Standard Power Strip</w:t>
            </w:r>
          </w:p>
        </w:tc>
      </w:tr>
      <w:tr w:rsidR="00D36798" w:rsidRPr="00500C4E" w:rsidTr="00920905">
        <w:trPr>
          <w:trHeight w:val="465"/>
        </w:trPr>
        <w:tc>
          <w:tcPr>
            <w:tcW w:w="1875" w:type="pct"/>
          </w:tcPr>
          <w:p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rsidR="00D36798" w:rsidRPr="00500C4E" w:rsidRDefault="009E1C11">
            <w:pPr>
              <w:rPr>
                <w:rFonts w:cs="Arial"/>
                <w:color w:val="FF0000"/>
                <w:szCs w:val="20"/>
              </w:rPr>
            </w:pPr>
            <w:r>
              <w:t>Each</w:t>
            </w:r>
          </w:p>
        </w:tc>
      </w:tr>
      <w:tr w:rsidR="00290ED8" w:rsidRPr="00500C4E" w:rsidTr="00920905">
        <w:trPr>
          <w:trHeight w:val="465"/>
        </w:trPr>
        <w:tc>
          <w:tcPr>
            <w:tcW w:w="1875" w:type="pct"/>
          </w:tcPr>
          <w:p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rsidR="00290ED8" w:rsidRPr="00500C4E" w:rsidRDefault="00795BB7">
            <w:pPr>
              <w:rPr>
                <w:rFonts w:cs="Arial"/>
                <w:szCs w:val="20"/>
              </w:rPr>
            </w:pPr>
            <w:r w:rsidRPr="00E53EDA">
              <w:rPr>
                <w:rFonts w:cstheme="minorBidi"/>
              </w:rPr>
              <w:t xml:space="preserve">Refer to </w:t>
            </w:r>
            <w:r>
              <w:rPr>
                <w:rFonts w:cstheme="minorBidi"/>
              </w:rPr>
              <w:t>Ex-Ante Database</w:t>
            </w:r>
          </w:p>
        </w:tc>
      </w:tr>
      <w:tr w:rsidR="00290ED8" w:rsidRPr="00500C4E" w:rsidTr="00920905">
        <w:trPr>
          <w:trHeight w:val="465"/>
        </w:trPr>
        <w:tc>
          <w:tcPr>
            <w:tcW w:w="1875" w:type="pct"/>
          </w:tcPr>
          <w:p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rsidR="00290ED8" w:rsidRPr="00500C4E" w:rsidRDefault="00795BB7" w:rsidP="00AC2F5B">
            <w:pPr>
              <w:rPr>
                <w:rFonts w:cs="Arial"/>
                <w:szCs w:val="20"/>
              </w:rPr>
            </w:pPr>
            <w:r w:rsidRPr="00E53EDA">
              <w:rPr>
                <w:rFonts w:cstheme="minorBidi"/>
              </w:rPr>
              <w:t xml:space="preserve">Refer to </w:t>
            </w:r>
            <w:r>
              <w:rPr>
                <w:rFonts w:cstheme="minorBidi"/>
              </w:rPr>
              <w:t>Ex-Ante Database</w:t>
            </w:r>
          </w:p>
        </w:tc>
      </w:tr>
      <w:tr w:rsidR="00AC5309" w:rsidRPr="00500C4E" w:rsidTr="00920905">
        <w:trPr>
          <w:trHeight w:val="465"/>
        </w:trPr>
        <w:tc>
          <w:tcPr>
            <w:tcW w:w="1875" w:type="pct"/>
          </w:tcPr>
          <w:p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rsidR="00290ED8" w:rsidRPr="00500C4E" w:rsidRDefault="00795BB7" w:rsidP="00AC2F5B">
            <w:pPr>
              <w:rPr>
                <w:rFonts w:cs="Arial"/>
                <w:szCs w:val="20"/>
              </w:rPr>
            </w:pPr>
            <w:r w:rsidRPr="00E53EDA">
              <w:rPr>
                <w:rFonts w:cstheme="minorBidi"/>
              </w:rPr>
              <w:t xml:space="preserve">Refer to </w:t>
            </w:r>
            <w:r>
              <w:rPr>
                <w:rFonts w:cstheme="minorBidi"/>
              </w:rPr>
              <w:t>Ex-Ante Database</w:t>
            </w:r>
          </w:p>
        </w:tc>
      </w:tr>
      <w:tr w:rsidR="00290ED8" w:rsidRPr="00500C4E" w:rsidTr="00920905">
        <w:trPr>
          <w:trHeight w:val="465"/>
        </w:trPr>
        <w:tc>
          <w:tcPr>
            <w:tcW w:w="1875" w:type="pct"/>
          </w:tcPr>
          <w:p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rsidR="00795BB7" w:rsidRPr="004227F4" w:rsidRDefault="00795BB7" w:rsidP="00795BB7">
            <w:pPr>
              <w:rPr>
                <w:rFonts w:cstheme="minorBidi"/>
              </w:rPr>
            </w:pPr>
            <w:r w:rsidRPr="004227F4">
              <w:rPr>
                <w:rFonts w:cstheme="minorBidi"/>
              </w:rPr>
              <w:t>Res-Plug-AdvPwrStrip</w:t>
            </w:r>
          </w:p>
          <w:p w:rsidR="00290ED8" w:rsidRPr="005D476D" w:rsidRDefault="00290ED8">
            <w:pPr>
              <w:rPr>
                <w:rFonts w:cs="Arial"/>
                <w:color w:val="FF0000"/>
                <w:szCs w:val="20"/>
              </w:rPr>
            </w:pPr>
          </w:p>
        </w:tc>
      </w:tr>
      <w:tr w:rsidR="00AC5309" w:rsidRPr="00500C4E" w:rsidTr="00920905">
        <w:trPr>
          <w:trHeight w:val="465"/>
        </w:trPr>
        <w:tc>
          <w:tcPr>
            <w:tcW w:w="1875" w:type="pct"/>
          </w:tcPr>
          <w:p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rsidR="00290ED8" w:rsidRPr="00500C4E" w:rsidRDefault="004227F4">
            <w:pPr>
              <w:rPr>
                <w:rFonts w:cs="Arial"/>
                <w:color w:val="FF0000"/>
                <w:szCs w:val="20"/>
              </w:rPr>
            </w:pPr>
            <w:r>
              <w:rPr>
                <w:szCs w:val="20"/>
              </w:rPr>
              <w:t>REA</w:t>
            </w:r>
          </w:p>
        </w:tc>
      </w:tr>
      <w:tr w:rsidR="00290ED8" w:rsidRPr="00500C4E" w:rsidTr="00920905">
        <w:trPr>
          <w:trHeight w:val="465"/>
        </w:trPr>
        <w:tc>
          <w:tcPr>
            <w:tcW w:w="1875" w:type="pct"/>
          </w:tcPr>
          <w:p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rsidR="00290ED8" w:rsidRPr="00500C4E" w:rsidRDefault="005D476D">
            <w:pPr>
              <w:rPr>
                <w:rFonts w:cs="Arial"/>
                <w:color w:val="FF0000"/>
                <w:szCs w:val="20"/>
              </w:rPr>
            </w:pPr>
            <w:r w:rsidRPr="005D476D">
              <w:rPr>
                <w:rFonts w:cs="Arial"/>
                <w:szCs w:val="20"/>
              </w:rPr>
              <w:t>ET-Default</w:t>
            </w:r>
          </w:p>
        </w:tc>
      </w:tr>
      <w:tr w:rsidR="00290ED8" w:rsidRPr="00500C4E" w:rsidTr="00920905">
        <w:trPr>
          <w:trHeight w:val="465"/>
        </w:trPr>
        <w:tc>
          <w:tcPr>
            <w:tcW w:w="1875" w:type="pct"/>
          </w:tcPr>
          <w:p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rsidR="00EA122E" w:rsidRDefault="00EA122E" w:rsidP="00322BE0">
            <w:pPr>
              <w:pStyle w:val="ListParagraph"/>
              <w:numPr>
                <w:ilvl w:val="0"/>
                <w:numId w:val="2"/>
              </w:numPr>
            </w:pPr>
            <w:r>
              <w:t xml:space="preserve">The </w:t>
            </w:r>
            <w:r w:rsidR="00033B7A">
              <w:t xml:space="preserve">Tier 2 Advanced Smart Connected Power Strip (wireless communications) </w:t>
            </w:r>
            <w:r>
              <w:t xml:space="preserve">provides the ability to read </w:t>
            </w:r>
            <w:r w:rsidR="00332B20">
              <w:t xml:space="preserve">real time </w:t>
            </w:r>
            <w:r>
              <w:t>power consumption of electronic equipment connected to the power saving sockets of the Tier 2 APS device via a smart device application for both Android and iOS devices.</w:t>
            </w:r>
          </w:p>
          <w:p w:rsidR="00EA122E" w:rsidRDefault="00EA122E" w:rsidP="00EA122E">
            <w:pPr>
              <w:pStyle w:val="ListParagraph"/>
              <w:ind w:left="360"/>
            </w:pPr>
          </w:p>
          <w:p w:rsidR="00EA122E" w:rsidRDefault="00EA122E" w:rsidP="00322BE0">
            <w:pPr>
              <w:pStyle w:val="ListParagraph"/>
              <w:numPr>
                <w:ilvl w:val="0"/>
                <w:numId w:val="2"/>
              </w:numPr>
            </w:pPr>
            <w:r>
              <w:t xml:space="preserve">This </w:t>
            </w:r>
            <w:r w:rsidR="0072754D">
              <w:t xml:space="preserve">SCE </w:t>
            </w:r>
            <w:r>
              <w:t xml:space="preserve">field study </w:t>
            </w:r>
            <w:r w:rsidR="0072754D">
              <w:t>support</w:t>
            </w:r>
            <w:r w:rsidR="00830C13">
              <w:t>s</w:t>
            </w:r>
            <w:r w:rsidR="0072754D">
              <w:t xml:space="preserve"> the claimed savings</w:t>
            </w:r>
            <w:r w:rsidR="00830C13">
              <w:t>,</w:t>
            </w:r>
            <w:r w:rsidR="0072754D">
              <w:t xml:space="preserve"> in this workpaper</w:t>
            </w:r>
            <w:r w:rsidR="00830C13">
              <w:t>,</w:t>
            </w:r>
            <w:r w:rsidR="0072754D">
              <w:t xml:space="preserve"> </w:t>
            </w:r>
            <w:r w:rsidR="002A233D">
              <w:t xml:space="preserve">and </w:t>
            </w:r>
            <w:r>
              <w:t>us</w:t>
            </w:r>
            <w:r w:rsidR="0072754D">
              <w:t xml:space="preserve">ed </w:t>
            </w:r>
            <w:r>
              <w:t>a pre-</w:t>
            </w:r>
            <w:r w:rsidR="002A233D">
              <w:t>post metering approach across 46</w:t>
            </w:r>
            <w:r>
              <w:t xml:space="preserve"> household samples </w:t>
            </w:r>
            <w:r w:rsidR="0072754D">
              <w:t xml:space="preserve">via a wireless </w:t>
            </w:r>
            <w:r>
              <w:t xml:space="preserve">Bluetooth enabled </w:t>
            </w:r>
            <w:r w:rsidR="0072754D">
              <w:t xml:space="preserve">and communicating </w:t>
            </w:r>
            <w:r>
              <w:t>Tier 2 APS in conjunction with IR sensing only</w:t>
            </w:r>
            <w:r w:rsidR="00B728A4">
              <w:t>,</w:t>
            </w:r>
            <w:r>
              <w:t xml:space="preserve"> master-less</w:t>
            </w:r>
            <w:r w:rsidR="002A233D">
              <w:t xml:space="preserve"> t</w:t>
            </w:r>
            <w:r>
              <w:t>rue RMS power monitoring</w:t>
            </w:r>
            <w:r w:rsidR="00B728A4">
              <w:t>,</w:t>
            </w:r>
            <w:r>
              <w:t xml:space="preserve"> </w:t>
            </w:r>
            <w:r w:rsidR="00332B20">
              <w:t xml:space="preserve">and control </w:t>
            </w:r>
            <w:r>
              <w:t xml:space="preserve">across all controlled devices. </w:t>
            </w:r>
          </w:p>
          <w:p w:rsidR="00EA122E" w:rsidRPr="00EA122E" w:rsidRDefault="00EA122E" w:rsidP="00EA122E">
            <w:pPr>
              <w:pStyle w:val="ListParagraph"/>
            </w:pPr>
          </w:p>
          <w:p w:rsidR="00EA122E" w:rsidRDefault="00EA122E" w:rsidP="00322BE0">
            <w:pPr>
              <w:pStyle w:val="ListParagraph"/>
              <w:numPr>
                <w:ilvl w:val="0"/>
                <w:numId w:val="2"/>
              </w:numPr>
            </w:pPr>
            <w:r>
              <w:t xml:space="preserve">This workpaper is differentiated from WPSDGEREHE0004.1 as this </w:t>
            </w:r>
            <w:r w:rsidR="0072754D">
              <w:t>Tier 2 Smart Connected APS</w:t>
            </w:r>
            <w:r>
              <w:t xml:space="preserve"> </w:t>
            </w:r>
            <w:r w:rsidR="0072754D">
              <w:t>is an energy management technology (EMT)</w:t>
            </w:r>
            <w:r w:rsidR="00B728A4">
              <w:t>,</w:t>
            </w:r>
            <w:r w:rsidR="00332B20">
              <w:t xml:space="preserve"> </w:t>
            </w:r>
            <w:r w:rsidR="0072754D">
              <w:t>as defined in Assembly Bill 793 (AB 7</w:t>
            </w:r>
            <w:r w:rsidR="004227F4">
              <w:t xml:space="preserve">93). The technology </w:t>
            </w:r>
            <w:r w:rsidR="0072754D" w:rsidRPr="0072754D">
              <w:t>allows a customer to better understand and manage electricity or gas use in the customer’s home or place of business</w:t>
            </w:r>
            <w:r w:rsidR="0072754D">
              <w:t>.</w:t>
            </w:r>
          </w:p>
          <w:p w:rsidR="00061A8E" w:rsidRPr="00920905" w:rsidRDefault="00061A8E">
            <w:pPr>
              <w:rPr>
                <w:rFonts w:cs="Arial"/>
                <w:szCs w:val="20"/>
              </w:rPr>
            </w:pPr>
          </w:p>
        </w:tc>
      </w:tr>
    </w:tbl>
    <w:p w:rsidR="00AC5309" w:rsidRPr="00500C4E" w:rsidRDefault="00AC5309">
      <w:pPr>
        <w:spacing w:after="200" w:line="276" w:lineRule="auto"/>
        <w:rPr>
          <w:rFonts w:cstheme="minorHAnsi"/>
          <w:b/>
          <w:bCs/>
          <w:smallCaps/>
          <w:kern w:val="32"/>
          <w:sz w:val="36"/>
          <w:szCs w:val="32"/>
        </w:rPr>
      </w:pPr>
    </w:p>
    <w:p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305"/>
        <w:gridCol w:w="6565"/>
      </w:tblGrid>
      <w:tr w:rsidR="003845E5" w:rsidRPr="00500C4E" w:rsidTr="00EA122E">
        <w:trPr>
          <w:trHeight w:val="20"/>
        </w:trPr>
        <w:tc>
          <w:tcPr>
            <w:tcW w:w="282" w:type="pct"/>
            <w:shd w:val="clear" w:color="auto" w:fill="D9D9D9" w:themeFill="background1" w:themeFillShade="D9"/>
          </w:tcPr>
          <w:p w:rsidR="00933188" w:rsidRPr="00500C4E" w:rsidRDefault="003845E5" w:rsidP="003845E5">
            <w:pPr>
              <w:rPr>
                <w:rFonts w:cstheme="minorHAnsi"/>
                <w:b/>
                <w:bCs/>
                <w:szCs w:val="20"/>
              </w:rPr>
            </w:pPr>
            <w:r>
              <w:rPr>
                <w:rFonts w:cstheme="minorHAnsi"/>
                <w:b/>
                <w:szCs w:val="20"/>
              </w:rPr>
              <w:t>Rev</w:t>
            </w:r>
          </w:p>
        </w:tc>
        <w:tc>
          <w:tcPr>
            <w:tcW w:w="511" w:type="pct"/>
            <w:shd w:val="clear" w:color="auto" w:fill="D9D9D9" w:themeFill="background1" w:themeFillShade="D9"/>
          </w:tcPr>
          <w:p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rsidTr="00EA122E">
        <w:trPr>
          <w:trHeight w:val="20"/>
        </w:trPr>
        <w:tc>
          <w:tcPr>
            <w:tcW w:w="282" w:type="pct"/>
          </w:tcPr>
          <w:p w:rsidR="00933188" w:rsidRPr="00EA122E" w:rsidRDefault="00933188" w:rsidP="005729C8">
            <w:pPr>
              <w:rPr>
                <w:rFonts w:cstheme="minorHAnsi"/>
                <w:bCs/>
                <w:szCs w:val="20"/>
              </w:rPr>
            </w:pPr>
            <w:r w:rsidRPr="00EA122E">
              <w:rPr>
                <w:rFonts w:cstheme="minorHAnsi"/>
                <w:bCs/>
                <w:szCs w:val="20"/>
              </w:rPr>
              <w:t>0</w:t>
            </w:r>
          </w:p>
        </w:tc>
        <w:tc>
          <w:tcPr>
            <w:tcW w:w="511" w:type="pct"/>
          </w:tcPr>
          <w:p w:rsidR="00933188" w:rsidRPr="00EA122E" w:rsidRDefault="00BE5268" w:rsidP="00573ECD">
            <w:pPr>
              <w:rPr>
                <w:rFonts w:cstheme="minorHAnsi"/>
                <w:bCs/>
                <w:szCs w:val="20"/>
              </w:rPr>
            </w:pPr>
            <w:r>
              <w:rPr>
                <w:rFonts w:cstheme="minorHAnsi"/>
                <w:bCs/>
                <w:szCs w:val="20"/>
              </w:rPr>
              <w:t>10</w:t>
            </w:r>
            <w:r w:rsidR="007A25C7">
              <w:rPr>
                <w:rFonts w:cstheme="minorHAnsi"/>
                <w:bCs/>
                <w:szCs w:val="20"/>
              </w:rPr>
              <w:t>/</w:t>
            </w:r>
            <w:r w:rsidR="008D7929">
              <w:rPr>
                <w:rFonts w:cstheme="minorHAnsi"/>
                <w:bCs/>
                <w:szCs w:val="20"/>
              </w:rPr>
              <w:t>1</w:t>
            </w:r>
            <w:r>
              <w:rPr>
                <w:rFonts w:cstheme="minorHAnsi"/>
                <w:bCs/>
                <w:szCs w:val="20"/>
              </w:rPr>
              <w:t>2</w:t>
            </w:r>
            <w:r w:rsidR="00EA122E" w:rsidRPr="00EA122E">
              <w:rPr>
                <w:rFonts w:cstheme="minorHAnsi"/>
                <w:bCs/>
                <w:szCs w:val="20"/>
              </w:rPr>
              <w:t>/2017</w:t>
            </w:r>
          </w:p>
        </w:tc>
        <w:tc>
          <w:tcPr>
            <w:tcW w:w="744" w:type="pct"/>
          </w:tcPr>
          <w:p w:rsidR="00933188" w:rsidRPr="00EA122E" w:rsidRDefault="00EA122E" w:rsidP="001B2301">
            <w:pPr>
              <w:rPr>
                <w:rFonts w:cstheme="minorHAnsi"/>
                <w:bCs/>
                <w:szCs w:val="20"/>
              </w:rPr>
            </w:pPr>
            <w:r w:rsidRPr="00EA122E">
              <w:rPr>
                <w:rFonts w:cstheme="minorHAnsi"/>
                <w:bCs/>
                <w:szCs w:val="20"/>
              </w:rPr>
              <w:t>RMS Energy Consulting, LLC</w:t>
            </w:r>
          </w:p>
        </w:tc>
        <w:tc>
          <w:tcPr>
            <w:tcW w:w="3463" w:type="pct"/>
          </w:tcPr>
          <w:p w:rsidR="0036726C" w:rsidRPr="00EA122E" w:rsidRDefault="009B1B64" w:rsidP="00EA122E">
            <w:pPr>
              <w:pStyle w:val="NoSpacing"/>
              <w:rPr>
                <w:rFonts w:cstheme="minorHAnsi"/>
                <w:bCs/>
              </w:rPr>
            </w:pPr>
            <w:r w:rsidRPr="009B1B64">
              <w:rPr>
                <w:rFonts w:cstheme="minorHAnsi"/>
                <w:bCs/>
              </w:rPr>
              <w:t>Original</w:t>
            </w:r>
            <w:r w:rsidR="00EA122E" w:rsidRPr="009B1B64">
              <w:rPr>
                <w:rFonts w:cstheme="minorHAnsi"/>
                <w:bCs/>
              </w:rPr>
              <w:t xml:space="preserve"> </w:t>
            </w:r>
            <w:r w:rsidR="00EA122E">
              <w:rPr>
                <w:rFonts w:cstheme="minorHAnsi"/>
                <w:bCs/>
              </w:rPr>
              <w:t>work paper.</w:t>
            </w:r>
          </w:p>
        </w:tc>
      </w:tr>
    </w:tbl>
    <w:p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rsidTr="00BA5FE4">
        <w:trPr>
          <w:trHeight w:val="20"/>
        </w:trPr>
        <w:tc>
          <w:tcPr>
            <w:tcW w:w="280" w:type="pct"/>
            <w:shd w:val="clear" w:color="auto" w:fill="D9D9D9" w:themeFill="background1" w:themeFillShade="D9"/>
          </w:tcPr>
          <w:p w:rsidR="008877AF" w:rsidRPr="00090AC9" w:rsidRDefault="008877AF" w:rsidP="00EE4120">
            <w:pPr>
              <w:rPr>
                <w:b/>
                <w:bCs/>
                <w:szCs w:val="20"/>
              </w:rPr>
            </w:pPr>
            <w:r>
              <w:rPr>
                <w:b/>
                <w:szCs w:val="20"/>
              </w:rPr>
              <w:t>Rev</w:t>
            </w:r>
          </w:p>
        </w:tc>
        <w:tc>
          <w:tcPr>
            <w:tcW w:w="351" w:type="pct"/>
            <w:shd w:val="clear" w:color="auto" w:fill="D9D9D9" w:themeFill="background1" w:themeFillShade="D9"/>
          </w:tcPr>
          <w:p w:rsidR="008877AF" w:rsidRPr="00090AC9" w:rsidRDefault="008877AF" w:rsidP="00EE4120">
            <w:pPr>
              <w:rPr>
                <w:b/>
                <w:szCs w:val="20"/>
              </w:rPr>
            </w:pPr>
            <w:r>
              <w:rPr>
                <w:b/>
                <w:szCs w:val="20"/>
              </w:rPr>
              <w:t>Party</w:t>
            </w:r>
          </w:p>
        </w:tc>
        <w:tc>
          <w:tcPr>
            <w:tcW w:w="548" w:type="pct"/>
            <w:shd w:val="clear" w:color="auto" w:fill="D9D9D9" w:themeFill="background1" w:themeFillShade="D9"/>
          </w:tcPr>
          <w:p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rsidR="008877AF" w:rsidRPr="00090AC9" w:rsidRDefault="008877AF" w:rsidP="009E1C11">
            <w:pPr>
              <w:rPr>
                <w:b/>
                <w:bCs/>
                <w:szCs w:val="20"/>
              </w:rPr>
            </w:pPr>
            <w:r w:rsidRPr="00090AC9">
              <w:rPr>
                <w:b/>
                <w:szCs w:val="20"/>
              </w:rPr>
              <w:t>Comments</w:t>
            </w:r>
          </w:p>
        </w:tc>
        <w:tc>
          <w:tcPr>
            <w:tcW w:w="1634" w:type="pct"/>
            <w:shd w:val="clear" w:color="auto" w:fill="D9D9D9" w:themeFill="background1" w:themeFillShade="D9"/>
          </w:tcPr>
          <w:p w:rsidR="008877AF" w:rsidRPr="00090AC9" w:rsidRDefault="008877AF" w:rsidP="009E1C11">
            <w:pPr>
              <w:rPr>
                <w:b/>
                <w:szCs w:val="20"/>
              </w:rPr>
            </w:pPr>
            <w:r>
              <w:rPr>
                <w:b/>
                <w:szCs w:val="20"/>
              </w:rPr>
              <w:t>WP Developer Response</w:t>
            </w:r>
          </w:p>
        </w:tc>
      </w:tr>
      <w:tr w:rsidR="008877AF" w:rsidRPr="00500C4E" w:rsidTr="00BA5FE4">
        <w:trPr>
          <w:trHeight w:val="20"/>
        </w:trPr>
        <w:tc>
          <w:tcPr>
            <w:tcW w:w="280" w:type="pct"/>
          </w:tcPr>
          <w:p w:rsidR="008877AF" w:rsidRPr="00EE4120" w:rsidRDefault="008877AF" w:rsidP="009E1C11">
            <w:pPr>
              <w:rPr>
                <w:bCs/>
                <w:color w:val="FF0000"/>
              </w:rPr>
            </w:pPr>
          </w:p>
        </w:tc>
        <w:tc>
          <w:tcPr>
            <w:tcW w:w="351" w:type="pct"/>
          </w:tcPr>
          <w:p w:rsidR="008877AF" w:rsidRPr="00EE4120" w:rsidRDefault="008877AF" w:rsidP="009E1C11">
            <w:pPr>
              <w:rPr>
                <w:bCs/>
                <w:color w:val="FF0000"/>
                <w:szCs w:val="20"/>
              </w:rPr>
            </w:pPr>
          </w:p>
        </w:tc>
        <w:tc>
          <w:tcPr>
            <w:tcW w:w="548" w:type="pct"/>
          </w:tcPr>
          <w:p w:rsidR="008877AF" w:rsidRPr="00EE4120" w:rsidRDefault="008877AF" w:rsidP="009E1C11">
            <w:pPr>
              <w:rPr>
                <w:bCs/>
                <w:color w:val="FF0000"/>
                <w:szCs w:val="20"/>
              </w:rPr>
            </w:pPr>
          </w:p>
        </w:tc>
        <w:tc>
          <w:tcPr>
            <w:tcW w:w="552" w:type="pct"/>
          </w:tcPr>
          <w:p w:rsidR="008877AF" w:rsidRPr="00EE4120" w:rsidRDefault="008877AF" w:rsidP="009E1C11">
            <w:pPr>
              <w:rPr>
                <w:bCs/>
                <w:color w:val="FF0000"/>
                <w:szCs w:val="20"/>
              </w:rPr>
            </w:pPr>
          </w:p>
        </w:tc>
        <w:tc>
          <w:tcPr>
            <w:tcW w:w="1634" w:type="pct"/>
          </w:tcPr>
          <w:p w:rsidR="008877AF" w:rsidRPr="00F25B36" w:rsidRDefault="008877AF" w:rsidP="00EA122E">
            <w:pPr>
              <w:pStyle w:val="ListParagraph"/>
              <w:ind w:left="360"/>
              <w:rPr>
                <w:bCs/>
                <w:color w:val="FF0000"/>
                <w:szCs w:val="20"/>
              </w:rPr>
            </w:pPr>
          </w:p>
        </w:tc>
        <w:tc>
          <w:tcPr>
            <w:tcW w:w="1634" w:type="pct"/>
          </w:tcPr>
          <w:p w:rsidR="008877AF" w:rsidRPr="00F25B36" w:rsidRDefault="008877AF" w:rsidP="00EA122E">
            <w:pPr>
              <w:pStyle w:val="ListParagraph"/>
              <w:ind w:left="360"/>
              <w:rPr>
                <w:bCs/>
                <w:color w:val="FF0000"/>
                <w:szCs w:val="20"/>
              </w:rPr>
            </w:pPr>
          </w:p>
        </w:tc>
      </w:tr>
      <w:tr w:rsidR="008877AF" w:rsidRPr="00500C4E" w:rsidTr="00BA5FE4">
        <w:trPr>
          <w:trHeight w:val="20"/>
        </w:trPr>
        <w:tc>
          <w:tcPr>
            <w:tcW w:w="280" w:type="pct"/>
          </w:tcPr>
          <w:p w:rsidR="008877AF" w:rsidRPr="00EE4120" w:rsidRDefault="008877AF" w:rsidP="009E1C11">
            <w:pPr>
              <w:rPr>
                <w:color w:val="FF0000"/>
              </w:rPr>
            </w:pPr>
          </w:p>
        </w:tc>
        <w:tc>
          <w:tcPr>
            <w:tcW w:w="351" w:type="pct"/>
          </w:tcPr>
          <w:p w:rsidR="008877AF" w:rsidRPr="00EE4120" w:rsidRDefault="008877AF" w:rsidP="009E1C11">
            <w:pPr>
              <w:autoSpaceDE w:val="0"/>
              <w:autoSpaceDN w:val="0"/>
              <w:adjustRightInd w:val="0"/>
              <w:rPr>
                <w:color w:val="FF0000"/>
                <w:szCs w:val="20"/>
              </w:rPr>
            </w:pPr>
          </w:p>
        </w:tc>
        <w:tc>
          <w:tcPr>
            <w:tcW w:w="548" w:type="pct"/>
          </w:tcPr>
          <w:p w:rsidR="008877AF" w:rsidRPr="00EE4120" w:rsidRDefault="008877AF" w:rsidP="009E1C11">
            <w:pPr>
              <w:autoSpaceDE w:val="0"/>
              <w:autoSpaceDN w:val="0"/>
              <w:adjustRightInd w:val="0"/>
              <w:rPr>
                <w:color w:val="FF0000"/>
                <w:szCs w:val="20"/>
              </w:rPr>
            </w:pPr>
          </w:p>
        </w:tc>
        <w:tc>
          <w:tcPr>
            <w:tcW w:w="552" w:type="pct"/>
          </w:tcPr>
          <w:p w:rsidR="008877AF" w:rsidRPr="00EE4120" w:rsidRDefault="008877AF" w:rsidP="009E1C11">
            <w:pPr>
              <w:rPr>
                <w:color w:val="FF0000"/>
                <w:szCs w:val="20"/>
              </w:rPr>
            </w:pPr>
          </w:p>
        </w:tc>
        <w:tc>
          <w:tcPr>
            <w:tcW w:w="1634" w:type="pct"/>
          </w:tcPr>
          <w:p w:rsidR="008877AF" w:rsidRPr="00F25B36" w:rsidRDefault="008877AF" w:rsidP="00EA122E">
            <w:pPr>
              <w:pStyle w:val="ListParagraph"/>
              <w:ind w:left="360"/>
              <w:rPr>
                <w:bCs/>
                <w:color w:val="FF0000"/>
                <w:szCs w:val="20"/>
              </w:rPr>
            </w:pPr>
          </w:p>
        </w:tc>
        <w:tc>
          <w:tcPr>
            <w:tcW w:w="1634" w:type="pct"/>
          </w:tcPr>
          <w:p w:rsidR="008877AF" w:rsidRPr="00F25B36" w:rsidRDefault="008877AF" w:rsidP="00EA122E">
            <w:pPr>
              <w:pStyle w:val="ListParagraph"/>
              <w:ind w:left="360"/>
              <w:rPr>
                <w:bCs/>
                <w:color w:val="FF0000"/>
                <w:szCs w:val="20"/>
              </w:rPr>
            </w:pPr>
          </w:p>
        </w:tc>
      </w:tr>
      <w:tr w:rsidR="008877AF" w:rsidRPr="00500C4E" w:rsidTr="00BA5FE4">
        <w:trPr>
          <w:trHeight w:val="20"/>
        </w:trPr>
        <w:tc>
          <w:tcPr>
            <w:tcW w:w="280" w:type="pct"/>
          </w:tcPr>
          <w:p w:rsidR="008877AF" w:rsidRPr="002A1843" w:rsidRDefault="008877AF" w:rsidP="009E1C11"/>
        </w:tc>
        <w:tc>
          <w:tcPr>
            <w:tcW w:w="351" w:type="pct"/>
          </w:tcPr>
          <w:p w:rsidR="008877AF" w:rsidRPr="002A1843" w:rsidRDefault="008877AF" w:rsidP="009E1C11">
            <w:pPr>
              <w:autoSpaceDE w:val="0"/>
              <w:autoSpaceDN w:val="0"/>
              <w:adjustRightInd w:val="0"/>
              <w:rPr>
                <w:szCs w:val="20"/>
              </w:rPr>
            </w:pPr>
          </w:p>
        </w:tc>
        <w:tc>
          <w:tcPr>
            <w:tcW w:w="548" w:type="pct"/>
          </w:tcPr>
          <w:p w:rsidR="008877AF" w:rsidRPr="002A1843" w:rsidRDefault="008877AF" w:rsidP="009E1C11">
            <w:pPr>
              <w:autoSpaceDE w:val="0"/>
              <w:autoSpaceDN w:val="0"/>
              <w:adjustRightInd w:val="0"/>
              <w:rPr>
                <w:szCs w:val="20"/>
              </w:rPr>
            </w:pPr>
          </w:p>
        </w:tc>
        <w:tc>
          <w:tcPr>
            <w:tcW w:w="552" w:type="pct"/>
          </w:tcPr>
          <w:p w:rsidR="008877AF" w:rsidRPr="002A1843" w:rsidRDefault="008877AF" w:rsidP="009E1C11">
            <w:pPr>
              <w:rPr>
                <w:szCs w:val="20"/>
              </w:rPr>
            </w:pPr>
          </w:p>
        </w:tc>
        <w:tc>
          <w:tcPr>
            <w:tcW w:w="1634" w:type="pct"/>
          </w:tcPr>
          <w:p w:rsidR="008877AF" w:rsidRPr="002A1843" w:rsidRDefault="008877AF" w:rsidP="009E1C11">
            <w:pPr>
              <w:rPr>
                <w:bCs/>
                <w:szCs w:val="20"/>
              </w:rPr>
            </w:pPr>
          </w:p>
        </w:tc>
        <w:tc>
          <w:tcPr>
            <w:tcW w:w="1634" w:type="pct"/>
          </w:tcPr>
          <w:p w:rsidR="008877AF" w:rsidRPr="002A1843" w:rsidRDefault="008877AF" w:rsidP="009E1C11">
            <w:pPr>
              <w:rPr>
                <w:bCs/>
                <w:szCs w:val="20"/>
              </w:rPr>
            </w:pPr>
          </w:p>
        </w:tc>
      </w:tr>
    </w:tbl>
    <w:p w:rsidR="00DA2822" w:rsidRDefault="00DA2822" w:rsidP="00BA5FE4">
      <w:pPr>
        <w:spacing w:line="276" w:lineRule="auto"/>
        <w:rPr>
          <w:rFonts w:cs="Arial"/>
          <w:b/>
          <w:bCs/>
          <w:smallCaps/>
          <w:kern w:val="32"/>
          <w:sz w:val="36"/>
          <w:szCs w:val="20"/>
        </w:rPr>
      </w:pPr>
      <w:r>
        <w:rPr>
          <w:szCs w:val="20"/>
        </w:rPr>
        <w:br w:type="page"/>
      </w:r>
    </w:p>
    <w:p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rsidR="00E16609" w:rsidRPr="00500C4E" w:rsidRDefault="00824F1C" w:rsidP="000F786B">
      <w:pPr>
        <w:pStyle w:val="Heading2"/>
        <w:spacing w:before="0"/>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rsidR="00DB3E6D" w:rsidRPr="00DB3E6D" w:rsidRDefault="00DB3E6D" w:rsidP="000F786B">
      <w:pPr>
        <w:pStyle w:val="Heading3"/>
        <w:spacing w:before="0"/>
        <w:rPr>
          <w:rFonts w:asciiTheme="minorHAnsi" w:hAnsiTheme="minorHAnsi" w:cstheme="minorHAnsi"/>
        </w:rPr>
      </w:pPr>
      <w:r w:rsidRPr="00DB3E6D">
        <w:rPr>
          <w:rFonts w:asciiTheme="minorHAnsi" w:hAnsiTheme="minorHAnsi" w:cstheme="minorHAnsi"/>
        </w:rPr>
        <w:t>1.1a Assembly Bill 793 (AB 793) Background</w:t>
      </w:r>
    </w:p>
    <w:p w:rsidR="0072754D" w:rsidRDefault="0072754D" w:rsidP="0072754D">
      <w:pPr>
        <w:autoSpaceDE w:val="0"/>
        <w:autoSpaceDN w:val="0"/>
        <w:adjustRightInd w:val="0"/>
        <w:rPr>
          <w:rFonts w:cs="ArialMT"/>
          <w:szCs w:val="26"/>
        </w:rPr>
      </w:pPr>
      <w:r w:rsidRPr="0072754D">
        <w:rPr>
          <w:rFonts w:cs="ArialMT"/>
          <w:szCs w:val="26"/>
        </w:rPr>
        <w:t>A</w:t>
      </w:r>
      <w:r>
        <w:rPr>
          <w:rFonts w:cs="ArialMT"/>
          <w:szCs w:val="26"/>
        </w:rPr>
        <w:t xml:space="preserve">ssembly </w:t>
      </w:r>
      <w:r w:rsidRPr="0072754D">
        <w:rPr>
          <w:rFonts w:cs="ArialMT"/>
          <w:szCs w:val="26"/>
        </w:rPr>
        <w:t>B</w:t>
      </w:r>
      <w:r>
        <w:rPr>
          <w:rFonts w:cs="ArialMT"/>
          <w:szCs w:val="26"/>
        </w:rPr>
        <w:t>ill</w:t>
      </w:r>
      <w:r w:rsidRPr="0072754D">
        <w:rPr>
          <w:rFonts w:cs="ArialMT"/>
          <w:szCs w:val="26"/>
        </w:rPr>
        <w:t xml:space="preserve"> 793 </w:t>
      </w:r>
      <w:r>
        <w:rPr>
          <w:rFonts w:cs="ArialMT"/>
          <w:szCs w:val="26"/>
        </w:rPr>
        <w:t xml:space="preserve">(AB 793) </w:t>
      </w:r>
      <w:r w:rsidRPr="0072754D">
        <w:rPr>
          <w:rFonts w:cs="ArialMT"/>
          <w:szCs w:val="26"/>
        </w:rPr>
        <w:t>was signed into law by Governor Brown on October 8, 2015, adding Section 717 to the Public Utilities Code (P.U. Code).  The statute require</w:t>
      </w:r>
      <w:r>
        <w:rPr>
          <w:rFonts w:cs="ArialMT"/>
          <w:szCs w:val="26"/>
        </w:rPr>
        <w:t>s</w:t>
      </w:r>
      <w:r w:rsidRPr="0072754D">
        <w:rPr>
          <w:rFonts w:cs="ArialMT"/>
          <w:szCs w:val="26"/>
        </w:rPr>
        <w:t xml:space="preserve"> the Commission to order electric and gas corporations to develop a program no later than January 1, 2017, to provide incentives to residential or </w:t>
      </w:r>
      <w:r>
        <w:rPr>
          <w:rFonts w:cs="ArialMT"/>
          <w:szCs w:val="26"/>
        </w:rPr>
        <w:t>small and medium business (</w:t>
      </w:r>
      <w:r w:rsidRPr="0072754D">
        <w:rPr>
          <w:rFonts w:cs="ArialMT"/>
          <w:szCs w:val="26"/>
        </w:rPr>
        <w:t>SMB</w:t>
      </w:r>
      <w:r>
        <w:rPr>
          <w:rFonts w:cs="ArialMT"/>
          <w:szCs w:val="26"/>
        </w:rPr>
        <w:t>)</w:t>
      </w:r>
      <w:r w:rsidRPr="0072754D">
        <w:rPr>
          <w:rFonts w:cs="ArialMT"/>
          <w:szCs w:val="26"/>
        </w:rPr>
        <w:t xml:space="preserve"> customers to acquire </w:t>
      </w:r>
      <w:r>
        <w:rPr>
          <w:rFonts w:cs="ArialMT"/>
          <w:szCs w:val="26"/>
        </w:rPr>
        <w:t>energy management technologies (</w:t>
      </w:r>
      <w:r w:rsidRPr="0072754D">
        <w:rPr>
          <w:rFonts w:cs="ArialMT"/>
          <w:szCs w:val="26"/>
        </w:rPr>
        <w:t>EMTs</w:t>
      </w:r>
      <w:r w:rsidR="009C25DE">
        <w:rPr>
          <w:rFonts w:cs="ArialMT"/>
          <w:szCs w:val="26"/>
        </w:rPr>
        <w:t>), and develop a plan to educate</w:t>
      </w:r>
      <w:r w:rsidRPr="0072754D">
        <w:rPr>
          <w:rFonts w:cs="ArialMT"/>
          <w:szCs w:val="26"/>
        </w:rPr>
        <w:t xml:space="preserve"> customers about the incentive program by September 30, 2016</w:t>
      </w:r>
      <w:r w:rsidR="009C25DE">
        <w:rPr>
          <w:rFonts w:cs="ArialMT"/>
          <w:szCs w:val="26"/>
        </w:rPr>
        <w:t>.</w:t>
      </w:r>
    </w:p>
    <w:p w:rsidR="0072754D" w:rsidRDefault="0072754D" w:rsidP="0072754D">
      <w:pPr>
        <w:autoSpaceDE w:val="0"/>
        <w:autoSpaceDN w:val="0"/>
        <w:adjustRightInd w:val="0"/>
        <w:rPr>
          <w:rFonts w:cs="ArialMT"/>
          <w:szCs w:val="26"/>
        </w:rPr>
      </w:pPr>
    </w:p>
    <w:p w:rsidR="0072754D" w:rsidRPr="0067712C" w:rsidRDefault="009C25DE" w:rsidP="0072754D">
      <w:pPr>
        <w:autoSpaceDE w:val="0"/>
        <w:autoSpaceDN w:val="0"/>
        <w:adjustRightInd w:val="0"/>
        <w:rPr>
          <w:rFonts w:cs="ArialMT"/>
          <w:szCs w:val="26"/>
        </w:rPr>
      </w:pPr>
      <w:r>
        <w:rPr>
          <w:rFonts w:cs="ArialMT"/>
          <w:szCs w:val="26"/>
        </w:rPr>
        <w:t>AB 793</w:t>
      </w:r>
      <w:r w:rsidR="0072754D" w:rsidRPr="0067712C">
        <w:rPr>
          <w:rFonts w:cs="ArialMT"/>
          <w:szCs w:val="26"/>
        </w:rPr>
        <w:t xml:space="preserve"> directed the investor-owned</w:t>
      </w:r>
      <w:r w:rsidR="0072754D" w:rsidRPr="000036B7">
        <w:rPr>
          <w:rFonts w:cs="ArialMT"/>
          <w:szCs w:val="26"/>
        </w:rPr>
        <w:t xml:space="preserve"> electric and natural gas</w:t>
      </w:r>
      <w:r w:rsidR="0072754D" w:rsidRPr="0067712C">
        <w:rPr>
          <w:rFonts w:cs="ArialMT"/>
          <w:szCs w:val="26"/>
        </w:rPr>
        <w:t xml:space="preserve"> utilities (IOUs) to develop a program in their demand side management </w:t>
      </w:r>
      <w:r w:rsidR="002A233D">
        <w:rPr>
          <w:rFonts w:cs="ArialMT"/>
          <w:szCs w:val="26"/>
        </w:rPr>
        <w:t xml:space="preserve">(DSM) </w:t>
      </w:r>
      <w:r w:rsidR="0072754D" w:rsidRPr="0067712C">
        <w:rPr>
          <w:rFonts w:cs="ArialMT"/>
          <w:szCs w:val="26"/>
        </w:rPr>
        <w:t xml:space="preserve">portfolios to provide incentives to residential and small and medium business (SMB) customers to acquire </w:t>
      </w:r>
      <w:r w:rsidR="0072754D" w:rsidRPr="000036B7">
        <w:rPr>
          <w:rFonts w:cs="ArialMT"/>
          <w:szCs w:val="26"/>
        </w:rPr>
        <w:t xml:space="preserve">energy management technologies </w:t>
      </w:r>
      <w:r w:rsidR="0072754D" w:rsidRPr="0067712C">
        <w:rPr>
          <w:rFonts w:cs="ArialMT"/>
          <w:szCs w:val="26"/>
        </w:rPr>
        <w:t>(EMTs)</w:t>
      </w:r>
      <w:r w:rsidR="0072754D">
        <w:rPr>
          <w:rStyle w:val="FootnoteReference"/>
          <w:rFonts w:cs="ArialMT"/>
          <w:szCs w:val="26"/>
        </w:rPr>
        <w:footnoteReference w:id="1"/>
      </w:r>
      <w:r w:rsidR="0072754D" w:rsidRPr="0067712C">
        <w:rPr>
          <w:rFonts w:cs="ArialMT"/>
          <w:szCs w:val="26"/>
        </w:rPr>
        <w:t xml:space="preserve"> by January 1, 2017.  AB 793 also required the IOUs to develop a plan by September 30, 2016, to educate residential and SM</w:t>
      </w:r>
      <w:r w:rsidR="0072754D">
        <w:rPr>
          <w:rFonts w:cs="ArialMT"/>
          <w:szCs w:val="26"/>
        </w:rPr>
        <w:t>B customers about incented</w:t>
      </w:r>
      <w:r w:rsidR="0072754D" w:rsidRPr="0067712C">
        <w:rPr>
          <w:rFonts w:cs="ArialMT"/>
          <w:szCs w:val="26"/>
        </w:rPr>
        <w:t xml:space="preserve"> EM</w:t>
      </w:r>
      <w:r w:rsidR="002809AE">
        <w:rPr>
          <w:rFonts w:cs="ArialMT"/>
          <w:szCs w:val="26"/>
        </w:rPr>
        <w:t xml:space="preserve">T offerings available to them. </w:t>
      </w:r>
      <w:r w:rsidR="002809AE" w:rsidRPr="002809AE">
        <w:rPr>
          <w:rFonts w:cs="ArialMT"/>
          <w:szCs w:val="26"/>
        </w:rPr>
        <w:t xml:space="preserve">These </w:t>
      </w:r>
      <w:r w:rsidR="002809AE">
        <w:rPr>
          <w:rFonts w:cs="ArialMT"/>
          <w:szCs w:val="26"/>
        </w:rPr>
        <w:t>EMTs</w:t>
      </w:r>
      <w:r w:rsidR="002809AE" w:rsidRPr="002809AE">
        <w:rPr>
          <w:rFonts w:cs="ArialMT"/>
          <w:szCs w:val="26"/>
        </w:rPr>
        <w:t xml:space="preserve"> could be products, services</w:t>
      </w:r>
      <w:r w:rsidR="00B728A4">
        <w:rPr>
          <w:rFonts w:cs="ArialMT"/>
          <w:szCs w:val="26"/>
        </w:rPr>
        <w:t>,</w:t>
      </w:r>
      <w:r w:rsidR="002809AE" w:rsidRPr="002809AE">
        <w:rPr>
          <w:rFonts w:cs="ArialMT"/>
          <w:szCs w:val="26"/>
        </w:rPr>
        <w:t xml:space="preserve"> or software that provides information and education to consumers about their energy use and ways to better manage it.</w:t>
      </w:r>
    </w:p>
    <w:p w:rsidR="0072754D" w:rsidRPr="00DB3E6D" w:rsidRDefault="00DB3E6D" w:rsidP="00DB3E6D">
      <w:pPr>
        <w:pStyle w:val="Heading3"/>
        <w:rPr>
          <w:rFonts w:asciiTheme="minorHAnsi" w:hAnsiTheme="minorHAnsi" w:cstheme="minorHAnsi"/>
        </w:rPr>
      </w:pPr>
      <w:r w:rsidRPr="00DB3E6D">
        <w:rPr>
          <w:rFonts w:asciiTheme="minorHAnsi" w:hAnsiTheme="minorHAnsi" w:cstheme="minorHAnsi"/>
        </w:rPr>
        <w:t xml:space="preserve">1.1b Measure Description </w:t>
      </w:r>
    </w:p>
    <w:p w:rsidR="00DA1A55" w:rsidRDefault="002A233D" w:rsidP="00D11653">
      <w:pPr>
        <w:rPr>
          <w:rFonts w:cstheme="minorHAnsi"/>
          <w:szCs w:val="22"/>
        </w:rPr>
      </w:pPr>
      <w:r>
        <w:rPr>
          <w:rFonts w:cstheme="minorHAnsi"/>
          <w:szCs w:val="22"/>
        </w:rPr>
        <w:t>This work</w:t>
      </w:r>
      <w:r w:rsidR="0072754D" w:rsidRPr="0092138B">
        <w:rPr>
          <w:rFonts w:cstheme="minorHAnsi"/>
          <w:szCs w:val="22"/>
        </w:rPr>
        <w:t xml:space="preserve">paper </w:t>
      </w:r>
      <w:r w:rsidR="003A491F" w:rsidRPr="00BB61CA">
        <w:rPr>
          <w:rFonts w:cstheme="minorHAnsi"/>
          <w:szCs w:val="22"/>
        </w:rPr>
        <w:t xml:space="preserve">documents the cost-effectiveness parameters </w:t>
      </w:r>
      <w:r w:rsidR="003A491F">
        <w:rPr>
          <w:rFonts w:cstheme="minorHAnsi"/>
          <w:szCs w:val="22"/>
        </w:rPr>
        <w:t xml:space="preserve">and </w:t>
      </w:r>
      <w:r w:rsidR="0072754D" w:rsidRPr="0092138B">
        <w:rPr>
          <w:rFonts w:cstheme="minorHAnsi"/>
          <w:szCs w:val="22"/>
        </w:rPr>
        <w:t xml:space="preserve">details the replacement of </w:t>
      </w:r>
      <w:r w:rsidR="0072754D">
        <w:rPr>
          <w:rFonts w:cstheme="minorHAnsi"/>
          <w:szCs w:val="22"/>
        </w:rPr>
        <w:t>a standard power strip</w:t>
      </w:r>
      <w:r w:rsidR="0072754D" w:rsidRPr="0092138B">
        <w:rPr>
          <w:rFonts w:cstheme="minorHAnsi"/>
          <w:szCs w:val="22"/>
        </w:rPr>
        <w:t xml:space="preserve"> with </w:t>
      </w:r>
      <w:r w:rsidR="0072754D">
        <w:rPr>
          <w:rFonts w:cstheme="minorHAnsi"/>
          <w:szCs w:val="22"/>
        </w:rPr>
        <w:t xml:space="preserve">a new Tier 2 </w:t>
      </w:r>
      <w:r w:rsidR="00033B7A">
        <w:rPr>
          <w:rFonts w:cstheme="minorHAnsi"/>
          <w:szCs w:val="22"/>
        </w:rPr>
        <w:t xml:space="preserve">Advanced </w:t>
      </w:r>
      <w:r w:rsidR="00EC68DD">
        <w:rPr>
          <w:rFonts w:cstheme="minorHAnsi"/>
          <w:szCs w:val="22"/>
        </w:rPr>
        <w:t xml:space="preserve">Smart Connected </w:t>
      </w:r>
      <w:r w:rsidR="00033B7A">
        <w:rPr>
          <w:rFonts w:cstheme="minorHAnsi"/>
          <w:szCs w:val="22"/>
        </w:rPr>
        <w:t>Power Strip</w:t>
      </w:r>
      <w:r w:rsidR="0072754D">
        <w:rPr>
          <w:rFonts w:cstheme="minorHAnsi"/>
          <w:szCs w:val="22"/>
        </w:rPr>
        <w:t xml:space="preserve"> </w:t>
      </w:r>
      <w:r w:rsidR="0072754D" w:rsidRPr="0092138B">
        <w:rPr>
          <w:rFonts w:cstheme="minorHAnsi"/>
          <w:szCs w:val="22"/>
        </w:rPr>
        <w:t xml:space="preserve">in </w:t>
      </w:r>
      <w:r w:rsidR="0072754D">
        <w:rPr>
          <w:rFonts w:cstheme="minorHAnsi"/>
          <w:szCs w:val="22"/>
        </w:rPr>
        <w:t>residential audio visual (AV) home entertainment environments</w:t>
      </w:r>
      <w:r w:rsidR="0072754D" w:rsidRPr="0092138B">
        <w:rPr>
          <w:rFonts w:cstheme="minorHAnsi"/>
          <w:szCs w:val="22"/>
        </w:rPr>
        <w:t xml:space="preserve">. </w:t>
      </w:r>
      <w:r w:rsidR="000F786B" w:rsidRPr="000F786B">
        <w:rPr>
          <w:rFonts w:cstheme="minorHAnsi"/>
          <w:szCs w:val="22"/>
        </w:rPr>
        <w:t xml:space="preserve">This workpaper is differentiated from </w:t>
      </w:r>
      <w:r w:rsidR="00DA1A55">
        <w:rPr>
          <w:rFonts w:cstheme="minorHAnsi"/>
          <w:szCs w:val="22"/>
        </w:rPr>
        <w:t>the non-communicating Tier 2 APS workpaper (</w:t>
      </w:r>
      <w:r w:rsidR="000F786B" w:rsidRPr="000F786B">
        <w:rPr>
          <w:rFonts w:cstheme="minorHAnsi"/>
          <w:szCs w:val="22"/>
        </w:rPr>
        <w:t>WPSDGEREHE0004.1</w:t>
      </w:r>
      <w:r w:rsidR="00DA1A55">
        <w:rPr>
          <w:rFonts w:cstheme="minorHAnsi"/>
          <w:szCs w:val="22"/>
        </w:rPr>
        <w:t>)</w:t>
      </w:r>
      <w:r w:rsidR="000F786B" w:rsidRPr="000F786B">
        <w:rPr>
          <w:rFonts w:cstheme="minorHAnsi"/>
          <w:szCs w:val="22"/>
        </w:rPr>
        <w:t xml:space="preserve"> </w:t>
      </w:r>
      <w:r w:rsidR="00DA1A55">
        <w:rPr>
          <w:rFonts w:cstheme="minorHAnsi"/>
          <w:szCs w:val="22"/>
        </w:rPr>
        <w:t>because</w:t>
      </w:r>
      <w:r w:rsidR="000F786B" w:rsidRPr="000F786B">
        <w:rPr>
          <w:rFonts w:cstheme="minorHAnsi"/>
          <w:szCs w:val="22"/>
        </w:rPr>
        <w:t xml:space="preserve"> </w:t>
      </w:r>
      <w:r w:rsidR="00DA1A55">
        <w:rPr>
          <w:rFonts w:cstheme="minorHAnsi"/>
          <w:szCs w:val="22"/>
        </w:rPr>
        <w:t>this</w:t>
      </w:r>
      <w:r w:rsidR="000F786B" w:rsidRPr="000F786B">
        <w:rPr>
          <w:rFonts w:cstheme="minorHAnsi"/>
          <w:szCs w:val="22"/>
        </w:rPr>
        <w:t xml:space="preserve"> </w:t>
      </w:r>
      <w:r w:rsidR="00DA1A55">
        <w:rPr>
          <w:rFonts w:cstheme="minorHAnsi"/>
          <w:szCs w:val="22"/>
        </w:rPr>
        <w:t xml:space="preserve">wireless communicating </w:t>
      </w:r>
      <w:r w:rsidR="000F786B">
        <w:rPr>
          <w:rFonts w:cstheme="minorHAnsi"/>
          <w:szCs w:val="22"/>
        </w:rPr>
        <w:t xml:space="preserve">device </w:t>
      </w:r>
      <w:r w:rsidR="000F786B" w:rsidRPr="000F786B">
        <w:rPr>
          <w:rFonts w:cstheme="minorHAnsi"/>
          <w:szCs w:val="22"/>
        </w:rPr>
        <w:t xml:space="preserve">is an </w:t>
      </w:r>
      <w:r w:rsidR="00A71E08">
        <w:rPr>
          <w:rFonts w:cstheme="minorHAnsi"/>
          <w:szCs w:val="22"/>
        </w:rPr>
        <w:t>EMT</w:t>
      </w:r>
      <w:r w:rsidR="005463CE">
        <w:rPr>
          <w:rFonts w:cstheme="minorHAnsi"/>
          <w:szCs w:val="22"/>
        </w:rPr>
        <w:t>,</w:t>
      </w:r>
      <w:r w:rsidR="00200DC0">
        <w:rPr>
          <w:rFonts w:cstheme="minorHAnsi"/>
          <w:szCs w:val="22"/>
        </w:rPr>
        <w:t xml:space="preserve"> which</w:t>
      </w:r>
      <w:r w:rsidR="000F786B">
        <w:rPr>
          <w:rFonts w:cstheme="minorHAnsi"/>
          <w:szCs w:val="22"/>
        </w:rPr>
        <w:t xml:space="preserve"> </w:t>
      </w:r>
      <w:r w:rsidR="000F786B" w:rsidRPr="000F786B">
        <w:rPr>
          <w:rFonts w:cstheme="minorHAnsi"/>
          <w:szCs w:val="22"/>
        </w:rPr>
        <w:t>allow</w:t>
      </w:r>
      <w:r w:rsidR="00200DC0">
        <w:rPr>
          <w:rFonts w:cstheme="minorHAnsi"/>
          <w:szCs w:val="22"/>
        </w:rPr>
        <w:t>s</w:t>
      </w:r>
      <w:r w:rsidR="000F786B" w:rsidRPr="000F786B">
        <w:rPr>
          <w:rFonts w:cstheme="minorHAnsi"/>
          <w:szCs w:val="22"/>
        </w:rPr>
        <w:t xml:space="preserve"> a customer to better understa</w:t>
      </w:r>
      <w:r w:rsidR="00DA1A55">
        <w:rPr>
          <w:rFonts w:cstheme="minorHAnsi"/>
          <w:szCs w:val="22"/>
        </w:rPr>
        <w:t xml:space="preserve">nd and manage electricity </w:t>
      </w:r>
      <w:r w:rsidR="000F786B" w:rsidRPr="000F786B">
        <w:rPr>
          <w:rFonts w:cstheme="minorHAnsi"/>
          <w:szCs w:val="22"/>
        </w:rPr>
        <w:t>use in the customer’s home or place of business</w:t>
      </w:r>
      <w:r w:rsidR="00DA1A55">
        <w:rPr>
          <w:rFonts w:cstheme="minorHAnsi"/>
          <w:szCs w:val="22"/>
        </w:rPr>
        <w:t xml:space="preserve"> as defined in AB 793</w:t>
      </w:r>
      <w:r w:rsidR="000F786B" w:rsidRPr="000F786B">
        <w:rPr>
          <w:rFonts w:cstheme="minorHAnsi"/>
          <w:szCs w:val="22"/>
        </w:rPr>
        <w:t>.</w:t>
      </w:r>
      <w:r w:rsidR="000F786B">
        <w:rPr>
          <w:rFonts w:cstheme="minorHAnsi"/>
          <w:szCs w:val="22"/>
        </w:rPr>
        <w:t xml:space="preserve"> </w:t>
      </w:r>
    </w:p>
    <w:p w:rsidR="00D05A19" w:rsidRPr="00DB3E6D" w:rsidRDefault="00D05A19" w:rsidP="00D05A19">
      <w:pPr>
        <w:pStyle w:val="Heading3"/>
        <w:spacing w:after="0"/>
        <w:rPr>
          <w:rFonts w:asciiTheme="minorHAnsi" w:hAnsiTheme="minorHAnsi" w:cstheme="minorHAnsi"/>
        </w:rPr>
      </w:pPr>
      <w:r>
        <w:rPr>
          <w:rFonts w:asciiTheme="minorHAnsi" w:hAnsiTheme="minorHAnsi" w:cstheme="minorHAnsi"/>
        </w:rPr>
        <w:t>1.1c</w:t>
      </w:r>
      <w:r w:rsidRPr="00DB3E6D">
        <w:rPr>
          <w:rFonts w:asciiTheme="minorHAnsi" w:hAnsiTheme="minorHAnsi" w:cstheme="minorHAnsi"/>
        </w:rPr>
        <w:t xml:space="preserve"> </w:t>
      </w:r>
      <w:r>
        <w:rPr>
          <w:rFonts w:asciiTheme="minorHAnsi" w:hAnsiTheme="minorHAnsi" w:cstheme="minorHAnsi"/>
        </w:rPr>
        <w:t>Measure Differentiating Features and Benefits</w:t>
      </w:r>
      <w:r w:rsidRPr="00DB3E6D">
        <w:rPr>
          <w:rFonts w:asciiTheme="minorHAnsi" w:hAnsiTheme="minorHAnsi" w:cstheme="minorHAnsi"/>
        </w:rPr>
        <w:t xml:space="preserve"> </w:t>
      </w:r>
    </w:p>
    <w:p w:rsidR="00AD79C1" w:rsidRDefault="00D05A19" w:rsidP="00AD79C1">
      <w:pPr>
        <w:rPr>
          <w:b/>
        </w:rPr>
      </w:pPr>
      <w:r>
        <w:rPr>
          <w:rFonts w:cstheme="minorHAnsi"/>
          <w:szCs w:val="22"/>
        </w:rPr>
        <w:t>T</w:t>
      </w:r>
      <w:r w:rsidR="003A491F">
        <w:rPr>
          <w:rFonts w:cstheme="minorHAnsi"/>
          <w:szCs w:val="22"/>
        </w:rPr>
        <w:t xml:space="preserve">he wireless </w:t>
      </w:r>
      <w:r>
        <w:rPr>
          <w:rFonts w:cstheme="minorHAnsi"/>
          <w:szCs w:val="22"/>
        </w:rPr>
        <w:t>communicating</w:t>
      </w:r>
      <w:r w:rsidR="003A491F">
        <w:rPr>
          <w:rFonts w:cstheme="minorHAnsi"/>
          <w:szCs w:val="22"/>
        </w:rPr>
        <w:t xml:space="preserve"> </w:t>
      </w:r>
      <w:r w:rsidR="007A25C7">
        <w:rPr>
          <w:rFonts w:cstheme="minorHAnsi"/>
          <w:szCs w:val="22"/>
        </w:rPr>
        <w:t xml:space="preserve">enabled </w:t>
      </w:r>
      <w:r w:rsidR="003A491F">
        <w:rPr>
          <w:rFonts w:cstheme="minorHAnsi"/>
          <w:szCs w:val="22"/>
        </w:rPr>
        <w:t xml:space="preserve">feature within </w:t>
      </w:r>
      <w:r>
        <w:rPr>
          <w:rFonts w:cstheme="minorHAnsi"/>
          <w:szCs w:val="22"/>
        </w:rPr>
        <w:t>this</w:t>
      </w:r>
      <w:r w:rsidR="003A491F">
        <w:rPr>
          <w:rFonts w:cstheme="minorHAnsi"/>
          <w:szCs w:val="22"/>
        </w:rPr>
        <w:t xml:space="preserve"> device </w:t>
      </w:r>
      <w:r w:rsidR="00DA1A55">
        <w:rPr>
          <w:rFonts w:cstheme="minorHAnsi"/>
          <w:szCs w:val="22"/>
        </w:rPr>
        <w:t>provides</w:t>
      </w:r>
      <w:r w:rsidR="00D11653">
        <w:rPr>
          <w:rFonts w:cstheme="minorHAnsi"/>
          <w:szCs w:val="22"/>
        </w:rPr>
        <w:t xml:space="preserve"> a number of consumer and </w:t>
      </w:r>
      <w:r>
        <w:rPr>
          <w:rFonts w:cstheme="minorHAnsi"/>
          <w:szCs w:val="22"/>
        </w:rPr>
        <w:t xml:space="preserve">utility program </w:t>
      </w:r>
      <w:r w:rsidR="00D11653">
        <w:rPr>
          <w:rFonts w:cstheme="minorHAnsi"/>
          <w:szCs w:val="22"/>
        </w:rPr>
        <w:t>implementation benefits</w:t>
      </w:r>
      <w:r w:rsidR="00DA1A55">
        <w:rPr>
          <w:rFonts w:cstheme="minorHAnsi"/>
          <w:szCs w:val="22"/>
        </w:rPr>
        <w:t xml:space="preserve"> above and beyond non-communicating Tier 2 APS devices</w:t>
      </w:r>
      <w:r>
        <w:rPr>
          <w:rFonts w:cstheme="minorHAnsi"/>
          <w:szCs w:val="22"/>
        </w:rPr>
        <w:t xml:space="preserve">, which </w:t>
      </w:r>
      <w:r w:rsidR="00DA1A55">
        <w:rPr>
          <w:rFonts w:cstheme="minorHAnsi"/>
          <w:szCs w:val="22"/>
        </w:rPr>
        <w:t xml:space="preserve">promote a greater focus </w:t>
      </w:r>
      <w:r w:rsidR="004B2484">
        <w:rPr>
          <w:rFonts w:cstheme="minorHAnsi"/>
          <w:szCs w:val="22"/>
        </w:rPr>
        <w:t>on</w:t>
      </w:r>
      <w:r w:rsidR="00DA1A55">
        <w:rPr>
          <w:rFonts w:cstheme="minorHAnsi"/>
          <w:szCs w:val="22"/>
        </w:rPr>
        <w:t xml:space="preserve"> the connected home</w:t>
      </w:r>
      <w:r w:rsidR="003A491F">
        <w:rPr>
          <w:rFonts w:cstheme="minorHAnsi"/>
          <w:szCs w:val="22"/>
        </w:rPr>
        <w:t xml:space="preserve">. </w:t>
      </w:r>
      <w:r w:rsidR="00FF5FE3">
        <w:rPr>
          <w:rFonts w:cstheme="minorHAnsi"/>
          <w:szCs w:val="22"/>
        </w:rPr>
        <w:br/>
      </w:r>
    </w:p>
    <w:p w:rsidR="00563387" w:rsidRPr="00AD79C1" w:rsidRDefault="00563387" w:rsidP="00AD79C1">
      <w:pPr>
        <w:rPr>
          <w:b/>
        </w:rPr>
      </w:pPr>
      <w:r w:rsidRPr="00AD79C1">
        <w:rPr>
          <w:b/>
        </w:rPr>
        <w:t>Consumer Benefits</w:t>
      </w:r>
    </w:p>
    <w:p w:rsidR="00D05A19" w:rsidRDefault="00563387" w:rsidP="00D05A19">
      <w:pPr>
        <w:rPr>
          <w:rFonts w:cstheme="minorHAnsi"/>
          <w:szCs w:val="22"/>
        </w:rPr>
      </w:pPr>
      <w:r>
        <w:rPr>
          <w:rFonts w:cstheme="minorHAnsi"/>
          <w:szCs w:val="22"/>
        </w:rPr>
        <w:t>The</w:t>
      </w:r>
      <w:r w:rsidR="003A491F">
        <w:rPr>
          <w:rFonts w:cstheme="minorHAnsi"/>
          <w:szCs w:val="22"/>
        </w:rPr>
        <w:t xml:space="preserve"> </w:t>
      </w:r>
      <w:r>
        <w:rPr>
          <w:rFonts w:cstheme="minorHAnsi"/>
          <w:szCs w:val="22"/>
        </w:rPr>
        <w:t xml:space="preserve">wireless communication </w:t>
      </w:r>
      <w:r w:rsidR="007164A2">
        <w:rPr>
          <w:rFonts w:cstheme="minorHAnsi"/>
          <w:szCs w:val="22"/>
        </w:rPr>
        <w:t xml:space="preserve">enabled </w:t>
      </w:r>
      <w:r>
        <w:rPr>
          <w:rFonts w:cstheme="minorHAnsi"/>
          <w:szCs w:val="22"/>
        </w:rPr>
        <w:t xml:space="preserve">feature </w:t>
      </w:r>
      <w:r w:rsidR="007164A2">
        <w:rPr>
          <w:rFonts w:cstheme="minorHAnsi"/>
          <w:szCs w:val="22"/>
        </w:rPr>
        <w:t>within</w:t>
      </w:r>
      <w:r w:rsidR="003022E3">
        <w:rPr>
          <w:rFonts w:cstheme="minorHAnsi"/>
          <w:szCs w:val="22"/>
        </w:rPr>
        <w:t xml:space="preserve"> this </w:t>
      </w:r>
      <w:r w:rsidR="004B2484">
        <w:rPr>
          <w:rFonts w:cstheme="minorHAnsi"/>
          <w:szCs w:val="22"/>
        </w:rPr>
        <w:t xml:space="preserve">Tier 2 APS </w:t>
      </w:r>
      <w:r w:rsidR="003022E3">
        <w:rPr>
          <w:rFonts w:cstheme="minorHAnsi"/>
          <w:szCs w:val="22"/>
        </w:rPr>
        <w:t xml:space="preserve">device </w:t>
      </w:r>
      <w:r>
        <w:rPr>
          <w:rFonts w:cstheme="minorHAnsi"/>
          <w:szCs w:val="22"/>
        </w:rPr>
        <w:t xml:space="preserve">can be used to </w:t>
      </w:r>
      <w:r w:rsidR="003A491F">
        <w:rPr>
          <w:rFonts w:cstheme="minorHAnsi"/>
          <w:szCs w:val="22"/>
        </w:rPr>
        <w:t>bene</w:t>
      </w:r>
      <w:r>
        <w:rPr>
          <w:rFonts w:cstheme="minorHAnsi"/>
          <w:szCs w:val="22"/>
        </w:rPr>
        <w:t>fit</w:t>
      </w:r>
      <w:r w:rsidR="007D2FFD">
        <w:rPr>
          <w:rFonts w:cstheme="minorHAnsi"/>
          <w:szCs w:val="22"/>
        </w:rPr>
        <w:t xml:space="preserve"> </w:t>
      </w:r>
      <w:r>
        <w:rPr>
          <w:rFonts w:cstheme="minorHAnsi"/>
          <w:szCs w:val="22"/>
        </w:rPr>
        <w:t xml:space="preserve">consumers </w:t>
      </w:r>
      <w:r w:rsidR="003022E3">
        <w:rPr>
          <w:rFonts w:cstheme="minorHAnsi"/>
          <w:szCs w:val="22"/>
        </w:rPr>
        <w:t>by</w:t>
      </w:r>
      <w:r w:rsidR="00D05A19">
        <w:rPr>
          <w:rFonts w:cstheme="minorHAnsi"/>
          <w:szCs w:val="22"/>
        </w:rPr>
        <w:t>:</w:t>
      </w:r>
      <w:r w:rsidR="007D2FFD">
        <w:rPr>
          <w:rFonts w:cstheme="minorHAnsi"/>
          <w:szCs w:val="22"/>
        </w:rPr>
        <w:t xml:space="preserve"> </w:t>
      </w:r>
    </w:p>
    <w:p w:rsidR="003022E3" w:rsidRDefault="003022E3" w:rsidP="00D05A19">
      <w:pPr>
        <w:rPr>
          <w:rFonts w:cstheme="minorHAnsi"/>
          <w:szCs w:val="22"/>
        </w:rPr>
      </w:pPr>
    </w:p>
    <w:p w:rsidR="00D05A19" w:rsidRDefault="007D2FFD" w:rsidP="00322BE0">
      <w:pPr>
        <w:pStyle w:val="ListParagraph"/>
        <w:numPr>
          <w:ilvl w:val="0"/>
          <w:numId w:val="3"/>
        </w:numPr>
        <w:rPr>
          <w:rFonts w:cstheme="minorHAnsi"/>
          <w:szCs w:val="22"/>
        </w:rPr>
      </w:pPr>
      <w:r w:rsidRPr="00D05A19">
        <w:rPr>
          <w:rFonts w:cstheme="minorHAnsi"/>
          <w:szCs w:val="22"/>
        </w:rPr>
        <w:t xml:space="preserve">providing households </w:t>
      </w:r>
      <w:r w:rsidR="00DA1A55" w:rsidRPr="00D05A19">
        <w:rPr>
          <w:rFonts w:cstheme="minorHAnsi"/>
          <w:szCs w:val="22"/>
        </w:rPr>
        <w:t xml:space="preserve">with </w:t>
      </w:r>
      <w:r w:rsidRPr="00D05A19">
        <w:rPr>
          <w:rFonts w:cstheme="minorHAnsi"/>
          <w:szCs w:val="22"/>
        </w:rPr>
        <w:t>the capability to m</w:t>
      </w:r>
      <w:r w:rsidR="003A491F" w:rsidRPr="00D05A19">
        <w:rPr>
          <w:rFonts w:cstheme="minorHAnsi"/>
          <w:szCs w:val="22"/>
        </w:rPr>
        <w:t xml:space="preserve">onitor and provide real time plug load </w:t>
      </w:r>
      <w:r w:rsidR="00D05A19">
        <w:rPr>
          <w:rFonts w:cstheme="minorHAnsi"/>
          <w:szCs w:val="22"/>
        </w:rPr>
        <w:t xml:space="preserve">connected and controlled power </w:t>
      </w:r>
      <w:r w:rsidR="003A491F" w:rsidRPr="00D05A19">
        <w:rPr>
          <w:rFonts w:cstheme="minorHAnsi"/>
          <w:szCs w:val="22"/>
        </w:rPr>
        <w:t>data</w:t>
      </w:r>
      <w:r w:rsidR="00D05A19">
        <w:rPr>
          <w:rFonts w:cstheme="minorHAnsi"/>
          <w:szCs w:val="22"/>
        </w:rPr>
        <w:t xml:space="preserve"> wirelessly</w:t>
      </w:r>
      <w:r w:rsidR="00564878">
        <w:rPr>
          <w:rFonts w:cstheme="minorHAnsi"/>
          <w:szCs w:val="22"/>
        </w:rPr>
        <w:t>,</w:t>
      </w:r>
      <w:r w:rsidR="00D05A19">
        <w:rPr>
          <w:rFonts w:cstheme="minorHAnsi"/>
          <w:szCs w:val="22"/>
        </w:rPr>
        <w:t xml:space="preserve"> via both Android and iOS software applications</w:t>
      </w:r>
      <w:r w:rsidR="00AD79C1">
        <w:rPr>
          <w:rFonts w:cstheme="minorHAnsi"/>
          <w:szCs w:val="22"/>
        </w:rPr>
        <w:t xml:space="preserve"> (</w:t>
      </w:r>
      <w:r w:rsidR="00200DC0" w:rsidRPr="00200DC0">
        <w:rPr>
          <w:rFonts w:cstheme="minorHAnsi"/>
          <w:b/>
          <w:szCs w:val="22"/>
        </w:rPr>
        <w:t>Figure 1</w:t>
      </w:r>
      <w:r w:rsidR="00AD79C1">
        <w:rPr>
          <w:rFonts w:cstheme="minorHAnsi"/>
          <w:szCs w:val="22"/>
        </w:rPr>
        <w:t>)</w:t>
      </w:r>
      <w:r w:rsidR="00D05A19">
        <w:rPr>
          <w:rFonts w:cstheme="minorHAnsi"/>
          <w:szCs w:val="22"/>
        </w:rPr>
        <w:t>;</w:t>
      </w:r>
      <w:r w:rsidR="00563387">
        <w:rPr>
          <w:rFonts w:cstheme="minorHAnsi"/>
          <w:szCs w:val="22"/>
        </w:rPr>
        <w:t xml:space="preserve"> and</w:t>
      </w:r>
    </w:p>
    <w:p w:rsidR="00563387" w:rsidRDefault="00563387" w:rsidP="00563387">
      <w:pPr>
        <w:pStyle w:val="ListParagraph"/>
        <w:rPr>
          <w:rFonts w:cstheme="minorHAnsi"/>
          <w:szCs w:val="22"/>
        </w:rPr>
      </w:pPr>
    </w:p>
    <w:p w:rsidR="00D05A19" w:rsidRDefault="00A27992" w:rsidP="00322BE0">
      <w:pPr>
        <w:pStyle w:val="ListParagraph"/>
        <w:numPr>
          <w:ilvl w:val="0"/>
          <w:numId w:val="3"/>
        </w:numPr>
        <w:rPr>
          <w:rFonts w:cstheme="minorHAnsi"/>
          <w:szCs w:val="22"/>
        </w:rPr>
      </w:pPr>
      <w:r>
        <w:rPr>
          <w:rFonts w:cstheme="minorHAnsi"/>
          <w:szCs w:val="22"/>
        </w:rPr>
        <w:t>a</w:t>
      </w:r>
      <w:r w:rsidR="003A491F" w:rsidRPr="00D05A19">
        <w:rPr>
          <w:rFonts w:cstheme="minorHAnsi"/>
          <w:szCs w:val="22"/>
        </w:rPr>
        <w:t>ssist</w:t>
      </w:r>
      <w:r w:rsidR="00DA1A55" w:rsidRPr="00D05A19">
        <w:rPr>
          <w:rFonts w:cstheme="minorHAnsi"/>
          <w:szCs w:val="22"/>
        </w:rPr>
        <w:t>ing</w:t>
      </w:r>
      <w:r w:rsidR="003A491F" w:rsidRPr="00D05A19">
        <w:rPr>
          <w:rFonts w:cstheme="minorHAnsi"/>
          <w:szCs w:val="22"/>
        </w:rPr>
        <w:t xml:space="preserve"> </w:t>
      </w:r>
      <w:r w:rsidR="00DA1A55" w:rsidRPr="00D05A19">
        <w:rPr>
          <w:rFonts w:cstheme="minorHAnsi"/>
          <w:szCs w:val="22"/>
        </w:rPr>
        <w:t>households</w:t>
      </w:r>
      <w:r w:rsidR="007D2FFD" w:rsidRPr="00D05A19">
        <w:rPr>
          <w:rFonts w:cstheme="minorHAnsi"/>
          <w:szCs w:val="22"/>
        </w:rPr>
        <w:t xml:space="preserve"> </w:t>
      </w:r>
      <w:r w:rsidR="003A491F" w:rsidRPr="00D05A19">
        <w:rPr>
          <w:rFonts w:cstheme="minorHAnsi"/>
          <w:szCs w:val="22"/>
        </w:rPr>
        <w:t xml:space="preserve">in </w:t>
      </w:r>
      <w:r w:rsidR="00D05A19" w:rsidRPr="00D05A19">
        <w:rPr>
          <w:rFonts w:cstheme="minorHAnsi"/>
          <w:szCs w:val="22"/>
        </w:rPr>
        <w:t xml:space="preserve">understanding, managing and ultimately </w:t>
      </w:r>
      <w:r w:rsidR="003A491F" w:rsidRPr="00D05A19">
        <w:rPr>
          <w:rFonts w:cstheme="minorHAnsi"/>
          <w:szCs w:val="22"/>
        </w:rPr>
        <w:t>reducing the energy use of various plug load devices</w:t>
      </w:r>
      <w:r w:rsidR="00D05A19">
        <w:rPr>
          <w:rFonts w:cstheme="minorHAnsi"/>
          <w:szCs w:val="22"/>
        </w:rPr>
        <w:t xml:space="preserve"> </w:t>
      </w:r>
      <w:r w:rsidR="00200DC0">
        <w:rPr>
          <w:rFonts w:cstheme="minorHAnsi"/>
          <w:szCs w:val="22"/>
        </w:rPr>
        <w:t>(</w:t>
      </w:r>
      <w:r w:rsidR="00200DC0" w:rsidRPr="00200DC0">
        <w:rPr>
          <w:rFonts w:cstheme="minorHAnsi"/>
          <w:b/>
          <w:szCs w:val="22"/>
        </w:rPr>
        <w:t>Figure 2</w:t>
      </w:r>
      <w:r w:rsidR="00AD79C1">
        <w:rPr>
          <w:rFonts w:cstheme="minorHAnsi"/>
          <w:szCs w:val="22"/>
        </w:rPr>
        <w:t xml:space="preserve">) </w:t>
      </w:r>
      <w:r w:rsidR="00D05A19">
        <w:rPr>
          <w:rFonts w:cstheme="minorHAnsi"/>
          <w:szCs w:val="22"/>
        </w:rPr>
        <w:t>through the use of</w:t>
      </w:r>
      <w:r w:rsidR="00D17456">
        <w:rPr>
          <w:rFonts w:cstheme="minorHAnsi"/>
          <w:szCs w:val="22"/>
        </w:rPr>
        <w:t xml:space="preserve"> such options as but not limited to</w:t>
      </w:r>
      <w:r w:rsidR="00FF5FE3">
        <w:rPr>
          <w:rFonts w:cstheme="minorHAnsi"/>
          <w:szCs w:val="22"/>
        </w:rPr>
        <w:t>:</w:t>
      </w:r>
    </w:p>
    <w:p w:rsidR="00563387" w:rsidRDefault="00A27992" w:rsidP="00322BE0">
      <w:pPr>
        <w:pStyle w:val="ListParagraph"/>
        <w:numPr>
          <w:ilvl w:val="1"/>
          <w:numId w:val="3"/>
        </w:numPr>
        <w:rPr>
          <w:rFonts w:cstheme="minorHAnsi"/>
          <w:szCs w:val="22"/>
        </w:rPr>
      </w:pPr>
      <w:r>
        <w:rPr>
          <w:rFonts w:cstheme="minorHAnsi"/>
          <w:szCs w:val="22"/>
        </w:rPr>
        <w:lastRenderedPageBreak/>
        <w:t>a</w:t>
      </w:r>
      <w:r w:rsidR="00563387">
        <w:rPr>
          <w:rFonts w:cstheme="minorHAnsi"/>
          <w:szCs w:val="22"/>
        </w:rPr>
        <w:t xml:space="preserve"> control interface allowing user adjustment settings</w:t>
      </w:r>
      <w:r w:rsidR="003022E3">
        <w:rPr>
          <w:rFonts w:cstheme="minorHAnsi"/>
          <w:szCs w:val="22"/>
        </w:rPr>
        <w:t>;</w:t>
      </w:r>
    </w:p>
    <w:p w:rsidR="00D05A19" w:rsidRDefault="00A27992" w:rsidP="00322BE0">
      <w:pPr>
        <w:pStyle w:val="ListParagraph"/>
        <w:numPr>
          <w:ilvl w:val="1"/>
          <w:numId w:val="3"/>
        </w:numPr>
        <w:rPr>
          <w:rFonts w:cstheme="minorHAnsi"/>
          <w:szCs w:val="22"/>
        </w:rPr>
      </w:pPr>
      <w:r>
        <w:rPr>
          <w:rFonts w:cstheme="minorHAnsi"/>
          <w:szCs w:val="22"/>
        </w:rPr>
        <w:t>t</w:t>
      </w:r>
      <w:r w:rsidR="00D05A19">
        <w:rPr>
          <w:rFonts w:cstheme="minorHAnsi"/>
          <w:szCs w:val="22"/>
        </w:rPr>
        <w:t>wo-way direct messaging</w:t>
      </w:r>
      <w:r w:rsidR="007164A2">
        <w:rPr>
          <w:rFonts w:cstheme="minorHAnsi"/>
          <w:szCs w:val="22"/>
        </w:rPr>
        <w:t xml:space="preserve"> </w:t>
      </w:r>
      <w:r w:rsidR="00564878">
        <w:rPr>
          <w:rFonts w:cstheme="minorHAnsi"/>
          <w:szCs w:val="22"/>
        </w:rPr>
        <w:t xml:space="preserve">via the </w:t>
      </w:r>
      <w:r w:rsidR="007164A2">
        <w:rPr>
          <w:rFonts w:cstheme="minorHAnsi"/>
          <w:szCs w:val="22"/>
        </w:rPr>
        <w:t xml:space="preserve">smart </w:t>
      </w:r>
      <w:r w:rsidR="00564878">
        <w:rPr>
          <w:rFonts w:cstheme="minorHAnsi"/>
          <w:szCs w:val="22"/>
        </w:rPr>
        <w:t xml:space="preserve">device </w:t>
      </w:r>
      <w:r w:rsidR="007164A2">
        <w:rPr>
          <w:rFonts w:cstheme="minorHAnsi"/>
          <w:szCs w:val="22"/>
        </w:rPr>
        <w:t>application</w:t>
      </w:r>
      <w:r w:rsidR="00D05A19">
        <w:rPr>
          <w:rFonts w:cstheme="minorHAnsi"/>
          <w:szCs w:val="22"/>
        </w:rPr>
        <w:t xml:space="preserve"> from the consu</w:t>
      </w:r>
      <w:r w:rsidR="00563387">
        <w:rPr>
          <w:rFonts w:cstheme="minorHAnsi"/>
          <w:szCs w:val="22"/>
        </w:rPr>
        <w:t>mer to manufacturer for product assistance and frequently asked questions</w:t>
      </w:r>
      <w:r w:rsidR="007906F6">
        <w:rPr>
          <w:rFonts w:cstheme="minorHAnsi"/>
          <w:szCs w:val="22"/>
        </w:rPr>
        <w:t xml:space="preserve"> (FAQs)</w:t>
      </w:r>
      <w:r w:rsidR="00563387">
        <w:rPr>
          <w:rFonts w:cstheme="minorHAnsi"/>
          <w:szCs w:val="22"/>
        </w:rPr>
        <w:t>; and</w:t>
      </w:r>
    </w:p>
    <w:p w:rsidR="00563387" w:rsidRDefault="00A27992" w:rsidP="00322BE0">
      <w:pPr>
        <w:pStyle w:val="ListParagraph"/>
        <w:numPr>
          <w:ilvl w:val="1"/>
          <w:numId w:val="3"/>
        </w:numPr>
        <w:rPr>
          <w:rFonts w:cstheme="minorHAnsi"/>
          <w:szCs w:val="22"/>
        </w:rPr>
      </w:pPr>
      <w:r>
        <w:rPr>
          <w:rFonts w:cstheme="minorHAnsi"/>
          <w:szCs w:val="22"/>
        </w:rPr>
        <w:t>i</w:t>
      </w:r>
      <w:r w:rsidR="005463CE">
        <w:rPr>
          <w:rFonts w:cstheme="minorHAnsi"/>
          <w:szCs w:val="22"/>
        </w:rPr>
        <w:t xml:space="preserve">nformative </w:t>
      </w:r>
      <w:r w:rsidR="00564878">
        <w:rPr>
          <w:rFonts w:cstheme="minorHAnsi"/>
          <w:szCs w:val="22"/>
        </w:rPr>
        <w:t xml:space="preserve">“how to install” and “how to </w:t>
      </w:r>
      <w:r w:rsidR="00563387">
        <w:rPr>
          <w:rFonts w:cstheme="minorHAnsi"/>
          <w:szCs w:val="22"/>
        </w:rPr>
        <w:t>use</w:t>
      </w:r>
      <w:r w:rsidR="00564878">
        <w:rPr>
          <w:rFonts w:cstheme="minorHAnsi"/>
          <w:szCs w:val="22"/>
        </w:rPr>
        <w:t>”</w:t>
      </w:r>
      <w:r w:rsidR="00563387">
        <w:rPr>
          <w:rFonts w:cstheme="minorHAnsi"/>
          <w:szCs w:val="22"/>
        </w:rPr>
        <w:t xml:space="preserve"> videos.</w:t>
      </w:r>
      <w:r w:rsidR="00FF5FE3">
        <w:rPr>
          <w:rFonts w:cstheme="minorHAnsi"/>
          <w:szCs w:val="22"/>
        </w:rPr>
        <w:br/>
      </w:r>
    </w:p>
    <w:p w:rsidR="00AD79C1" w:rsidRDefault="00F062C6" w:rsidP="00F062C6">
      <w:pPr>
        <w:jc w:val="center"/>
        <w:rPr>
          <w:rFonts w:cstheme="minorHAnsi"/>
          <w:szCs w:val="22"/>
        </w:rPr>
      </w:pPr>
      <w:r>
        <w:rPr>
          <w:rFonts w:cstheme="minorHAnsi"/>
          <w:noProof/>
          <w:szCs w:val="22"/>
        </w:rPr>
        <w:drawing>
          <wp:inline distT="0" distB="0" distL="0" distR="0">
            <wp:extent cx="1575520" cy="2801848"/>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png"/>
                    <pic:cNvPicPr/>
                  </pic:nvPicPr>
                  <pic:blipFill>
                    <a:blip r:embed="rId11">
                      <a:extLst>
                        <a:ext uri="{28A0092B-C50C-407E-A947-70E740481C1C}">
                          <a14:useLocalDpi xmlns:a14="http://schemas.microsoft.com/office/drawing/2010/main" val="0"/>
                        </a:ext>
                      </a:extLst>
                    </a:blip>
                    <a:stretch>
                      <a:fillRect/>
                    </a:stretch>
                  </pic:blipFill>
                  <pic:spPr>
                    <a:xfrm>
                      <a:off x="0" y="0"/>
                      <a:ext cx="1575520" cy="2801848"/>
                    </a:xfrm>
                    <a:prstGeom prst="rect">
                      <a:avLst/>
                    </a:prstGeom>
                  </pic:spPr>
                </pic:pic>
              </a:graphicData>
            </a:graphic>
          </wp:inline>
        </w:drawing>
      </w:r>
    </w:p>
    <w:p w:rsidR="00AD79C1" w:rsidRDefault="00AD79C1" w:rsidP="00AD79C1">
      <w:pPr>
        <w:rPr>
          <w:rFonts w:cstheme="minorHAnsi"/>
          <w:szCs w:val="22"/>
        </w:rPr>
      </w:pPr>
    </w:p>
    <w:p w:rsidR="00AD79C1" w:rsidRDefault="00200DC0" w:rsidP="00AD79C1">
      <w:pPr>
        <w:jc w:val="center"/>
        <w:rPr>
          <w:rFonts w:cstheme="minorHAnsi"/>
          <w:szCs w:val="22"/>
        </w:rPr>
      </w:pPr>
      <w:r>
        <w:rPr>
          <w:rFonts w:cstheme="minorHAnsi"/>
          <w:b/>
          <w:szCs w:val="22"/>
        </w:rPr>
        <w:t>Figure 1</w:t>
      </w:r>
      <w:r w:rsidR="00AD79C1" w:rsidRPr="00AD79C1">
        <w:rPr>
          <w:rFonts w:cstheme="minorHAnsi"/>
          <w:b/>
          <w:szCs w:val="22"/>
        </w:rPr>
        <w:t>:</w:t>
      </w:r>
      <w:r w:rsidR="00AD79C1">
        <w:rPr>
          <w:rFonts w:cstheme="minorHAnsi"/>
          <w:szCs w:val="22"/>
        </w:rPr>
        <w:t xml:space="preserve"> </w:t>
      </w:r>
      <w:r w:rsidR="007906F6">
        <w:rPr>
          <w:rFonts w:cstheme="minorHAnsi"/>
          <w:szCs w:val="22"/>
        </w:rPr>
        <w:t xml:space="preserve">User Adjustment Control Interface </w:t>
      </w:r>
      <w:r w:rsidR="00AD79C1">
        <w:rPr>
          <w:rFonts w:cstheme="minorHAnsi"/>
          <w:szCs w:val="22"/>
        </w:rPr>
        <w:t>via Android and iOS Software Applications</w:t>
      </w:r>
    </w:p>
    <w:p w:rsidR="00AD79C1" w:rsidRPr="00AD79C1" w:rsidRDefault="00AD79C1" w:rsidP="00AD79C1">
      <w:pPr>
        <w:rPr>
          <w:rFonts w:cstheme="minorHAnsi"/>
          <w:szCs w:val="22"/>
        </w:rPr>
      </w:pPr>
    </w:p>
    <w:p w:rsidR="00FF5FE3" w:rsidRDefault="00E95C0E" w:rsidP="00AD79C1">
      <w:pPr>
        <w:ind w:left="-567" w:right="-563"/>
        <w:jc w:val="center"/>
        <w:rPr>
          <w:rFonts w:cstheme="minorHAnsi"/>
          <w:szCs w:val="22"/>
        </w:rPr>
      </w:pPr>
      <w:r>
        <w:rPr>
          <w:rFonts w:cstheme="minorHAnsi"/>
          <w:szCs w:val="22"/>
        </w:rPr>
        <w:t xml:space="preserve">     </w:t>
      </w:r>
      <w:r w:rsidR="00FB68EA">
        <w:rPr>
          <w:rFonts w:cstheme="minorHAnsi"/>
          <w:szCs w:val="22"/>
        </w:rPr>
        <w:t xml:space="preserve">       </w:t>
      </w:r>
      <w:r>
        <w:rPr>
          <w:rFonts w:cstheme="minorHAnsi"/>
          <w:szCs w:val="22"/>
        </w:rPr>
        <w:t xml:space="preserve">   </w:t>
      </w:r>
      <w:r w:rsidR="00F062C6">
        <w:rPr>
          <w:rFonts w:cstheme="minorHAnsi"/>
          <w:noProof/>
          <w:szCs w:val="22"/>
        </w:rPr>
        <w:drawing>
          <wp:inline distT="0" distB="0" distL="0" distR="0">
            <wp:extent cx="1594486" cy="2834640"/>
            <wp:effectExtent l="0" t="0" r="571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05805" cy="2854763"/>
                    </a:xfrm>
                    <a:prstGeom prst="rect">
                      <a:avLst/>
                    </a:prstGeom>
                  </pic:spPr>
                </pic:pic>
              </a:graphicData>
            </a:graphic>
          </wp:inline>
        </w:drawing>
      </w:r>
      <w:r w:rsidR="00F062C6">
        <w:rPr>
          <w:rFonts w:cstheme="minorHAnsi"/>
          <w:szCs w:val="22"/>
        </w:rPr>
        <w:t xml:space="preserve">       </w:t>
      </w:r>
      <w:r w:rsidR="00F062C6">
        <w:rPr>
          <w:rFonts w:cstheme="minorHAnsi"/>
          <w:noProof/>
          <w:szCs w:val="22"/>
        </w:rPr>
        <w:drawing>
          <wp:inline distT="0" distB="0" distL="0" distR="0">
            <wp:extent cx="1593166" cy="2834640"/>
            <wp:effectExtent l="0" t="0" r="762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6.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06002" cy="2857478"/>
                    </a:xfrm>
                    <a:prstGeom prst="rect">
                      <a:avLst/>
                    </a:prstGeom>
                  </pic:spPr>
                </pic:pic>
              </a:graphicData>
            </a:graphic>
          </wp:inline>
        </w:drawing>
      </w:r>
      <w:r w:rsidR="00F062C6">
        <w:rPr>
          <w:rFonts w:cstheme="minorHAnsi"/>
          <w:szCs w:val="22"/>
        </w:rPr>
        <w:t xml:space="preserve">  </w:t>
      </w:r>
      <w:r>
        <w:rPr>
          <w:rFonts w:cstheme="minorHAnsi"/>
          <w:szCs w:val="22"/>
        </w:rPr>
        <w:t xml:space="preserve">  </w:t>
      </w:r>
      <w:r w:rsidR="00F062C6">
        <w:rPr>
          <w:rFonts w:cstheme="minorHAnsi"/>
          <w:szCs w:val="22"/>
        </w:rPr>
        <w:t xml:space="preserve">   </w:t>
      </w:r>
      <w:r w:rsidR="00F062C6">
        <w:rPr>
          <w:rFonts w:cstheme="minorHAnsi"/>
          <w:noProof/>
          <w:szCs w:val="22"/>
        </w:rPr>
        <w:drawing>
          <wp:inline distT="0" distB="0" distL="0" distR="0">
            <wp:extent cx="1600200" cy="2844874"/>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creenshot_20170509-102800.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39482" cy="2914711"/>
                    </a:xfrm>
                    <a:prstGeom prst="rect">
                      <a:avLst/>
                    </a:prstGeom>
                  </pic:spPr>
                </pic:pic>
              </a:graphicData>
            </a:graphic>
          </wp:inline>
        </w:drawing>
      </w:r>
      <w:r w:rsidR="00F062C6">
        <w:rPr>
          <w:rFonts w:cstheme="minorHAnsi"/>
          <w:szCs w:val="22"/>
        </w:rPr>
        <w:t xml:space="preserve"> </w:t>
      </w:r>
      <w:r w:rsidR="00FF5FE3">
        <w:rPr>
          <w:rFonts w:cstheme="minorHAnsi"/>
          <w:szCs w:val="22"/>
        </w:rPr>
        <w:tab/>
      </w:r>
      <w:r w:rsidR="00F518F0">
        <w:rPr>
          <w:rFonts w:cstheme="minorHAnsi"/>
          <w:szCs w:val="22"/>
        </w:rPr>
        <w:t xml:space="preserve">   </w:t>
      </w:r>
      <w:r w:rsidR="00FF5FE3">
        <w:rPr>
          <w:rFonts w:cstheme="minorHAnsi"/>
          <w:szCs w:val="22"/>
        </w:rPr>
        <w:tab/>
      </w:r>
    </w:p>
    <w:p w:rsidR="00AD79C1" w:rsidRDefault="00AD79C1" w:rsidP="00AD79C1">
      <w:pPr>
        <w:jc w:val="center"/>
        <w:rPr>
          <w:rFonts w:cstheme="minorHAnsi"/>
          <w:szCs w:val="22"/>
        </w:rPr>
      </w:pPr>
      <w:r w:rsidRPr="00AD79C1">
        <w:rPr>
          <w:rFonts w:cstheme="minorHAnsi"/>
          <w:b/>
          <w:szCs w:val="22"/>
        </w:rPr>
        <w:t>Fig</w:t>
      </w:r>
      <w:r w:rsidR="00200DC0">
        <w:rPr>
          <w:rFonts w:cstheme="minorHAnsi"/>
          <w:b/>
          <w:szCs w:val="22"/>
        </w:rPr>
        <w:t>ure 2</w:t>
      </w:r>
      <w:r w:rsidRPr="00AD79C1">
        <w:rPr>
          <w:rFonts w:cstheme="minorHAnsi"/>
          <w:b/>
          <w:szCs w:val="22"/>
        </w:rPr>
        <w:t>:</w:t>
      </w:r>
      <w:r>
        <w:rPr>
          <w:rFonts w:cstheme="minorHAnsi"/>
          <w:szCs w:val="22"/>
        </w:rPr>
        <w:t xml:space="preserve"> </w:t>
      </w:r>
      <w:r w:rsidR="007906F6">
        <w:rPr>
          <w:rFonts w:cstheme="minorHAnsi"/>
          <w:szCs w:val="22"/>
        </w:rPr>
        <w:t>Installation Videos and Two-Way Direct Messaging Smart Application for Product Assistance and FAQs</w:t>
      </w:r>
    </w:p>
    <w:p w:rsidR="00FB68EA" w:rsidRDefault="00FB68EA" w:rsidP="00AD79C1">
      <w:pPr>
        <w:jc w:val="center"/>
        <w:rPr>
          <w:rFonts w:cstheme="minorHAnsi"/>
          <w:szCs w:val="22"/>
        </w:rPr>
      </w:pPr>
    </w:p>
    <w:p w:rsidR="00563387" w:rsidRPr="00563387" w:rsidRDefault="00563387" w:rsidP="00563387">
      <w:pPr>
        <w:pStyle w:val="Heading5"/>
        <w:rPr>
          <w:b/>
        </w:rPr>
      </w:pPr>
      <w:r>
        <w:rPr>
          <w:b/>
        </w:rPr>
        <w:lastRenderedPageBreak/>
        <w:t>Utility Program Implementation</w:t>
      </w:r>
      <w:r w:rsidRPr="00563387">
        <w:rPr>
          <w:b/>
        </w:rPr>
        <w:t xml:space="preserve"> Benefits</w:t>
      </w:r>
    </w:p>
    <w:p w:rsidR="00D05A19" w:rsidRDefault="003022E3" w:rsidP="00563387">
      <w:pPr>
        <w:rPr>
          <w:rFonts w:cstheme="minorHAnsi"/>
          <w:szCs w:val="22"/>
        </w:rPr>
      </w:pPr>
      <w:r>
        <w:rPr>
          <w:rFonts w:cstheme="minorHAnsi"/>
          <w:szCs w:val="22"/>
        </w:rPr>
        <w:t xml:space="preserve">The wireless communication </w:t>
      </w:r>
      <w:r w:rsidR="007164A2">
        <w:rPr>
          <w:rFonts w:cstheme="minorHAnsi"/>
          <w:szCs w:val="22"/>
        </w:rPr>
        <w:t xml:space="preserve">enabled </w:t>
      </w:r>
      <w:r>
        <w:rPr>
          <w:rFonts w:cstheme="minorHAnsi"/>
          <w:szCs w:val="22"/>
        </w:rPr>
        <w:t xml:space="preserve">feature </w:t>
      </w:r>
      <w:r w:rsidR="007164A2">
        <w:rPr>
          <w:rFonts w:cstheme="minorHAnsi"/>
          <w:szCs w:val="22"/>
        </w:rPr>
        <w:t>within</w:t>
      </w:r>
      <w:r>
        <w:rPr>
          <w:rFonts w:cstheme="minorHAnsi"/>
          <w:szCs w:val="22"/>
        </w:rPr>
        <w:t xml:space="preserve"> this device can be used to provide a number of utility programmatic and implementation benefits </w:t>
      </w:r>
      <w:r w:rsidR="001C2318">
        <w:rPr>
          <w:rFonts w:cstheme="minorHAnsi"/>
          <w:szCs w:val="22"/>
        </w:rPr>
        <w:t>through</w:t>
      </w:r>
      <w:r w:rsidR="00563387">
        <w:rPr>
          <w:rFonts w:cstheme="minorHAnsi"/>
          <w:szCs w:val="22"/>
        </w:rPr>
        <w:t>:</w:t>
      </w:r>
    </w:p>
    <w:p w:rsidR="003022E3" w:rsidRDefault="003022E3" w:rsidP="00563387">
      <w:pPr>
        <w:rPr>
          <w:rFonts w:cstheme="minorHAnsi"/>
          <w:szCs w:val="22"/>
        </w:rPr>
      </w:pPr>
    </w:p>
    <w:p w:rsidR="00563387" w:rsidRPr="00C248AE" w:rsidRDefault="00C248AE" w:rsidP="00322BE0">
      <w:pPr>
        <w:pStyle w:val="ListParagraph"/>
        <w:numPr>
          <w:ilvl w:val="0"/>
          <w:numId w:val="4"/>
        </w:numPr>
        <w:rPr>
          <w:rFonts w:cstheme="minorHAnsi"/>
          <w:b/>
          <w:szCs w:val="22"/>
        </w:rPr>
      </w:pPr>
      <w:r>
        <w:rPr>
          <w:rFonts w:cstheme="minorHAnsi"/>
          <w:szCs w:val="22"/>
        </w:rPr>
        <w:t xml:space="preserve">validating device installations wirelessly </w:t>
      </w:r>
      <w:r w:rsidR="007164A2">
        <w:rPr>
          <w:rFonts w:cstheme="minorHAnsi"/>
          <w:szCs w:val="22"/>
        </w:rPr>
        <w:t>beyond</w:t>
      </w:r>
      <w:r>
        <w:rPr>
          <w:rFonts w:cstheme="minorHAnsi"/>
          <w:szCs w:val="22"/>
        </w:rPr>
        <w:t xml:space="preserve"> Direct Install implementation strategies;</w:t>
      </w:r>
    </w:p>
    <w:p w:rsidR="005463CE" w:rsidRPr="00AD79C1" w:rsidRDefault="00C248AE" w:rsidP="00322BE0">
      <w:pPr>
        <w:pStyle w:val="ListParagraph"/>
        <w:numPr>
          <w:ilvl w:val="0"/>
          <w:numId w:val="4"/>
        </w:numPr>
        <w:rPr>
          <w:rFonts w:cstheme="minorHAnsi"/>
          <w:b/>
          <w:szCs w:val="22"/>
        </w:rPr>
      </w:pPr>
      <w:r>
        <w:rPr>
          <w:rFonts w:cstheme="minorHAnsi"/>
          <w:szCs w:val="22"/>
        </w:rPr>
        <w:t>collecting device power</w:t>
      </w:r>
      <w:r w:rsidR="005463CE">
        <w:rPr>
          <w:rFonts w:cstheme="minorHAnsi"/>
          <w:szCs w:val="22"/>
        </w:rPr>
        <w:t xml:space="preserve">, </w:t>
      </w:r>
      <w:r>
        <w:rPr>
          <w:rFonts w:cstheme="minorHAnsi"/>
          <w:szCs w:val="22"/>
        </w:rPr>
        <w:t>energy usage</w:t>
      </w:r>
      <w:r w:rsidR="005463CE">
        <w:rPr>
          <w:rFonts w:cstheme="minorHAnsi"/>
          <w:szCs w:val="22"/>
        </w:rPr>
        <w:t xml:space="preserve"> and </w:t>
      </w:r>
      <w:r>
        <w:rPr>
          <w:rFonts w:cstheme="minorHAnsi"/>
          <w:szCs w:val="22"/>
        </w:rPr>
        <w:t>savings data</w:t>
      </w:r>
      <w:r w:rsidR="00395A38">
        <w:rPr>
          <w:rFonts w:cstheme="minorHAnsi"/>
          <w:szCs w:val="22"/>
        </w:rPr>
        <w:t>,</w:t>
      </w:r>
      <w:r>
        <w:rPr>
          <w:rFonts w:cstheme="minorHAnsi"/>
          <w:szCs w:val="22"/>
        </w:rPr>
        <w:t xml:space="preserve"> approved through a household </w:t>
      </w:r>
    </w:p>
    <w:p w:rsidR="00C248AE" w:rsidRPr="00C248AE" w:rsidRDefault="00C248AE" w:rsidP="00AD79C1">
      <w:pPr>
        <w:pStyle w:val="ListParagraph"/>
        <w:rPr>
          <w:rFonts w:cstheme="minorHAnsi"/>
          <w:b/>
          <w:szCs w:val="22"/>
        </w:rPr>
      </w:pPr>
      <w:r>
        <w:rPr>
          <w:rFonts w:cstheme="minorHAnsi"/>
          <w:szCs w:val="22"/>
        </w:rPr>
        <w:t>opt-in option;</w:t>
      </w:r>
    </w:p>
    <w:p w:rsidR="00C248AE" w:rsidRPr="00C248AE" w:rsidRDefault="00C248AE" w:rsidP="00322BE0">
      <w:pPr>
        <w:pStyle w:val="ListParagraph"/>
        <w:numPr>
          <w:ilvl w:val="0"/>
          <w:numId w:val="4"/>
        </w:numPr>
        <w:rPr>
          <w:rFonts w:cstheme="minorHAnsi"/>
          <w:b/>
          <w:szCs w:val="22"/>
        </w:rPr>
      </w:pPr>
      <w:r>
        <w:rPr>
          <w:rFonts w:cstheme="minorHAnsi"/>
          <w:szCs w:val="22"/>
        </w:rPr>
        <w:t>providing households with energy data on commonly used household electronic equipment; and</w:t>
      </w:r>
    </w:p>
    <w:p w:rsidR="00C248AE" w:rsidRDefault="00C248AE" w:rsidP="00322BE0">
      <w:pPr>
        <w:pStyle w:val="ListParagraph"/>
        <w:numPr>
          <w:ilvl w:val="0"/>
          <w:numId w:val="4"/>
        </w:numPr>
        <w:rPr>
          <w:rFonts w:cstheme="minorHAnsi"/>
          <w:szCs w:val="22"/>
        </w:rPr>
      </w:pPr>
      <w:r w:rsidRPr="00C248AE">
        <w:rPr>
          <w:rFonts w:cstheme="minorHAnsi"/>
          <w:szCs w:val="22"/>
        </w:rPr>
        <w:t xml:space="preserve">engaging </w:t>
      </w:r>
      <w:r>
        <w:rPr>
          <w:rFonts w:cstheme="minorHAnsi"/>
          <w:szCs w:val="22"/>
        </w:rPr>
        <w:t xml:space="preserve">households through two-way direct messaging </w:t>
      </w:r>
      <w:r w:rsidR="00395A38">
        <w:rPr>
          <w:rFonts w:cstheme="minorHAnsi"/>
          <w:szCs w:val="22"/>
        </w:rPr>
        <w:t xml:space="preserve">via the </w:t>
      </w:r>
      <w:r>
        <w:rPr>
          <w:rFonts w:cstheme="minorHAnsi"/>
          <w:szCs w:val="22"/>
        </w:rPr>
        <w:t xml:space="preserve">smart </w:t>
      </w:r>
      <w:r w:rsidR="00395A38">
        <w:rPr>
          <w:rFonts w:cstheme="minorHAnsi"/>
          <w:szCs w:val="22"/>
        </w:rPr>
        <w:t xml:space="preserve">device </w:t>
      </w:r>
      <w:r>
        <w:rPr>
          <w:rFonts w:cstheme="minorHAnsi"/>
          <w:szCs w:val="22"/>
        </w:rPr>
        <w:t>application</w:t>
      </w:r>
      <w:r w:rsidR="00395A38">
        <w:rPr>
          <w:rFonts w:cstheme="minorHAnsi"/>
          <w:szCs w:val="22"/>
        </w:rPr>
        <w:t>,</w:t>
      </w:r>
      <w:r w:rsidR="005463CE">
        <w:rPr>
          <w:rFonts w:cstheme="minorHAnsi"/>
          <w:szCs w:val="22"/>
        </w:rPr>
        <w:t xml:space="preserve"> in order</w:t>
      </w:r>
      <w:r>
        <w:rPr>
          <w:rFonts w:cstheme="minorHAnsi"/>
          <w:szCs w:val="22"/>
        </w:rPr>
        <w:t xml:space="preserve"> to recommend energy efficient monitoring product</w:t>
      </w:r>
      <w:r w:rsidR="00395A38">
        <w:rPr>
          <w:rFonts w:cstheme="minorHAnsi"/>
          <w:szCs w:val="22"/>
        </w:rPr>
        <w:t>s</w:t>
      </w:r>
      <w:r>
        <w:rPr>
          <w:rFonts w:cstheme="minorHAnsi"/>
          <w:szCs w:val="22"/>
        </w:rPr>
        <w:t xml:space="preserve"> and service solutions. </w:t>
      </w:r>
      <w:r w:rsidR="00BD394F">
        <w:rPr>
          <w:rFonts w:cstheme="minorHAnsi"/>
          <w:szCs w:val="22"/>
        </w:rPr>
        <w:br/>
      </w:r>
    </w:p>
    <w:p w:rsidR="00BD394F" w:rsidRPr="00BD394F" w:rsidRDefault="00F518F0" w:rsidP="00F518F0">
      <w:pPr>
        <w:ind w:right="4"/>
        <w:jc w:val="center"/>
        <w:rPr>
          <w:rFonts w:cstheme="minorHAnsi"/>
          <w:szCs w:val="22"/>
        </w:rPr>
      </w:pPr>
      <w:r>
        <w:rPr>
          <w:rFonts w:cstheme="minorHAnsi"/>
          <w:szCs w:val="22"/>
        </w:rPr>
        <w:t xml:space="preserve">  </w:t>
      </w:r>
      <w:r w:rsidR="00BD394F">
        <w:rPr>
          <w:rFonts w:cstheme="minorHAnsi"/>
          <w:szCs w:val="22"/>
        </w:rPr>
        <w:tab/>
        <w:t xml:space="preserve">  </w:t>
      </w:r>
      <w:r w:rsidR="00BD394F">
        <w:rPr>
          <w:rFonts w:cstheme="minorHAnsi"/>
          <w:szCs w:val="22"/>
        </w:rPr>
        <w:br/>
      </w:r>
      <w:r w:rsidR="005F401E">
        <w:rPr>
          <w:noProof/>
        </w:rPr>
        <w:drawing>
          <wp:inline distT="0" distB="0" distL="0" distR="0" wp14:anchorId="47814E2B" wp14:editId="196DB3EA">
            <wp:extent cx="2953854" cy="244294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952160" cy="2441548"/>
                    </a:xfrm>
                    <a:prstGeom prst="rect">
                      <a:avLst/>
                    </a:prstGeom>
                  </pic:spPr>
                </pic:pic>
              </a:graphicData>
            </a:graphic>
          </wp:inline>
        </w:drawing>
      </w:r>
      <w:r w:rsidR="00BD394F">
        <w:rPr>
          <w:rFonts w:cstheme="minorHAnsi"/>
          <w:szCs w:val="22"/>
        </w:rPr>
        <w:t xml:space="preserve">   </w:t>
      </w:r>
    </w:p>
    <w:p w:rsidR="00A27992" w:rsidRDefault="00A27992" w:rsidP="00A27992">
      <w:pPr>
        <w:rPr>
          <w:rFonts w:cstheme="minorHAnsi"/>
          <w:b/>
          <w:szCs w:val="22"/>
        </w:rPr>
      </w:pPr>
    </w:p>
    <w:p w:rsidR="00A27992" w:rsidRDefault="00A27992" w:rsidP="00A27992">
      <w:pPr>
        <w:rPr>
          <w:rFonts w:cstheme="minorHAnsi"/>
          <w:b/>
          <w:szCs w:val="22"/>
        </w:rPr>
      </w:pPr>
    </w:p>
    <w:p w:rsidR="00A27992" w:rsidRDefault="00A27992" w:rsidP="00A27992">
      <w:pPr>
        <w:jc w:val="center"/>
        <w:rPr>
          <w:rFonts w:cstheme="minorHAnsi"/>
          <w:szCs w:val="22"/>
        </w:rPr>
      </w:pPr>
      <w:r w:rsidRPr="00AD79C1">
        <w:rPr>
          <w:rFonts w:cstheme="minorHAnsi"/>
          <w:b/>
          <w:szCs w:val="22"/>
        </w:rPr>
        <w:t>Fig</w:t>
      </w:r>
      <w:r w:rsidR="00200DC0">
        <w:rPr>
          <w:rFonts w:cstheme="minorHAnsi"/>
          <w:b/>
          <w:szCs w:val="22"/>
        </w:rPr>
        <w:t>ure 3</w:t>
      </w:r>
      <w:r w:rsidRPr="00AD79C1">
        <w:rPr>
          <w:rFonts w:cstheme="minorHAnsi"/>
          <w:b/>
          <w:szCs w:val="22"/>
        </w:rPr>
        <w:t>:</w:t>
      </w:r>
      <w:r>
        <w:rPr>
          <w:rFonts w:cstheme="minorHAnsi"/>
          <w:szCs w:val="22"/>
        </w:rPr>
        <w:t xml:space="preserve"> Promotional Opt-In-Option to Participate in 2-Week Baseline Log Mode Monitoring </w:t>
      </w:r>
    </w:p>
    <w:p w:rsidR="00A27992" w:rsidRDefault="00A27992" w:rsidP="00A27992">
      <w:pPr>
        <w:rPr>
          <w:rFonts w:cstheme="minorHAnsi"/>
          <w:b/>
          <w:szCs w:val="22"/>
        </w:rPr>
      </w:pPr>
    </w:p>
    <w:p w:rsidR="00395A38" w:rsidRDefault="00395A38" w:rsidP="00A27992">
      <w:pPr>
        <w:rPr>
          <w:rFonts w:cstheme="minorHAnsi"/>
          <w:b/>
          <w:szCs w:val="22"/>
        </w:rPr>
      </w:pPr>
    </w:p>
    <w:p w:rsidR="00A27992" w:rsidRDefault="00DD0B7B" w:rsidP="00A27992">
      <w:pPr>
        <w:jc w:val="center"/>
        <w:rPr>
          <w:rFonts w:cstheme="minorHAnsi"/>
          <w:b/>
          <w:szCs w:val="22"/>
        </w:rPr>
      </w:pPr>
      <w:r>
        <w:rPr>
          <w:noProof/>
        </w:rPr>
        <w:drawing>
          <wp:inline distT="0" distB="0" distL="0" distR="0" wp14:anchorId="00DD2C84" wp14:editId="13E2220B">
            <wp:extent cx="5943600" cy="228727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2287270"/>
                    </a:xfrm>
                    <a:prstGeom prst="rect">
                      <a:avLst/>
                    </a:prstGeom>
                  </pic:spPr>
                </pic:pic>
              </a:graphicData>
            </a:graphic>
          </wp:inline>
        </w:drawing>
      </w:r>
    </w:p>
    <w:p w:rsidR="00A27992" w:rsidRDefault="00A27992" w:rsidP="00A27992">
      <w:pPr>
        <w:jc w:val="center"/>
        <w:rPr>
          <w:rFonts w:cstheme="minorHAnsi"/>
          <w:szCs w:val="22"/>
        </w:rPr>
      </w:pPr>
      <w:r w:rsidRPr="00AD79C1">
        <w:rPr>
          <w:rFonts w:cstheme="minorHAnsi"/>
          <w:b/>
          <w:szCs w:val="22"/>
        </w:rPr>
        <w:t>Fig</w:t>
      </w:r>
      <w:r w:rsidR="00200DC0">
        <w:rPr>
          <w:rFonts w:cstheme="minorHAnsi"/>
          <w:b/>
          <w:szCs w:val="22"/>
        </w:rPr>
        <w:t>ure 4</w:t>
      </w:r>
      <w:r w:rsidRPr="00AD79C1">
        <w:rPr>
          <w:rFonts w:cstheme="minorHAnsi"/>
          <w:b/>
          <w:szCs w:val="22"/>
        </w:rPr>
        <w:t>:</w:t>
      </w:r>
      <w:r>
        <w:rPr>
          <w:rFonts w:cstheme="minorHAnsi"/>
          <w:szCs w:val="22"/>
        </w:rPr>
        <w:t xml:space="preserve"> Validating Device Installations W</w:t>
      </w:r>
      <w:r w:rsidRPr="00A27992">
        <w:rPr>
          <w:rFonts w:cstheme="minorHAnsi"/>
          <w:szCs w:val="22"/>
        </w:rPr>
        <w:t>irelessly</w:t>
      </w:r>
      <w:r>
        <w:rPr>
          <w:rFonts w:cstheme="minorHAnsi"/>
          <w:szCs w:val="22"/>
        </w:rPr>
        <w:t xml:space="preserve"> After Product Registration</w:t>
      </w:r>
    </w:p>
    <w:p w:rsidR="00A27992" w:rsidRDefault="00A27992">
      <w:pPr>
        <w:spacing w:after="200" w:line="276" w:lineRule="auto"/>
        <w:rPr>
          <w:rFonts w:cstheme="minorHAnsi"/>
          <w:b/>
          <w:szCs w:val="22"/>
        </w:rPr>
      </w:pPr>
    </w:p>
    <w:p w:rsidR="0072754D" w:rsidRPr="00D05A19" w:rsidRDefault="0072754D" w:rsidP="007A57BB">
      <w:pPr>
        <w:spacing w:after="200" w:line="276" w:lineRule="auto"/>
        <w:rPr>
          <w:rFonts w:cstheme="minorHAnsi"/>
          <w:szCs w:val="22"/>
        </w:rPr>
      </w:pPr>
      <w:r w:rsidRPr="00D05A19">
        <w:rPr>
          <w:rFonts w:cstheme="minorHAnsi"/>
          <w:b/>
          <w:szCs w:val="22"/>
        </w:rPr>
        <w:lastRenderedPageBreak/>
        <w:t>Table</w:t>
      </w:r>
      <w:r w:rsidR="00A71E08">
        <w:rPr>
          <w:rFonts w:cstheme="minorHAnsi"/>
          <w:b/>
          <w:szCs w:val="22"/>
        </w:rPr>
        <w:t>s</w:t>
      </w:r>
      <w:r w:rsidRPr="00D05A19">
        <w:rPr>
          <w:rFonts w:cstheme="minorHAnsi"/>
          <w:b/>
          <w:szCs w:val="22"/>
        </w:rPr>
        <w:t xml:space="preserve"> 1</w:t>
      </w:r>
      <w:r w:rsidRPr="00D05A19">
        <w:rPr>
          <w:rFonts w:cstheme="minorHAnsi"/>
          <w:szCs w:val="22"/>
        </w:rPr>
        <w:t xml:space="preserve"> </w:t>
      </w:r>
      <w:r w:rsidR="00A71E08" w:rsidRPr="00A71E08">
        <w:rPr>
          <w:rFonts w:cstheme="minorHAnsi"/>
          <w:b/>
          <w:szCs w:val="22"/>
        </w:rPr>
        <w:t>and 2</w:t>
      </w:r>
      <w:r w:rsidR="00A71E08">
        <w:rPr>
          <w:rFonts w:cstheme="minorHAnsi"/>
          <w:szCs w:val="22"/>
        </w:rPr>
        <w:t xml:space="preserve"> describe</w:t>
      </w:r>
      <w:r w:rsidRPr="00D05A19">
        <w:rPr>
          <w:rFonts w:cstheme="minorHAnsi"/>
          <w:szCs w:val="22"/>
        </w:rPr>
        <w:t xml:space="preserve"> the measure name and associated product or solution code for each of the program administrators.</w:t>
      </w:r>
    </w:p>
    <w:p w:rsidR="00F171E1" w:rsidRPr="00920905" w:rsidRDefault="00200DC0" w:rsidP="00200DC0">
      <w:pPr>
        <w:jc w:val="center"/>
        <w:rPr>
          <w:b/>
          <w:szCs w:val="22"/>
        </w:rPr>
      </w:pPr>
      <w:r>
        <w:rPr>
          <w:b/>
          <w:szCs w:val="22"/>
        </w:rPr>
        <w:t xml:space="preserve">Table 1: </w:t>
      </w:r>
      <w:r w:rsidR="00F171E1" w:rsidRPr="00920905">
        <w:rPr>
          <w:b/>
          <w:szCs w:val="22"/>
        </w:rPr>
        <w:t>Base</w:t>
      </w:r>
      <w:r w:rsidR="005720F2" w:rsidRPr="00920905">
        <w:rPr>
          <w:b/>
          <w:szCs w:val="22"/>
        </w:rPr>
        <w:t>, Standard,</w:t>
      </w:r>
      <w:r w:rsidR="00F171E1"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rsidTr="00920905">
        <w:trPr>
          <w:trHeight w:val="20"/>
        </w:trPr>
        <w:tc>
          <w:tcPr>
            <w:tcW w:w="1502" w:type="pct"/>
            <w:shd w:val="clear" w:color="auto" w:fill="D9D9D9" w:themeFill="background1" w:themeFillShade="D9"/>
          </w:tcPr>
          <w:p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rsidTr="00920905">
        <w:trPr>
          <w:trHeight w:val="20"/>
        </w:trPr>
        <w:tc>
          <w:tcPr>
            <w:tcW w:w="1502" w:type="pct"/>
          </w:tcPr>
          <w:p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rsidR="00D85F09" w:rsidRPr="0034062E" w:rsidRDefault="00EC68DD" w:rsidP="00033B7A">
            <w:pPr>
              <w:rPr>
                <w:szCs w:val="20"/>
              </w:rPr>
            </w:pPr>
            <w:r w:rsidRPr="0034062E">
              <w:rPr>
                <w:szCs w:val="20"/>
              </w:rPr>
              <w:t xml:space="preserve">Tier 2 </w:t>
            </w:r>
            <w:r w:rsidR="00033B7A">
              <w:rPr>
                <w:szCs w:val="20"/>
              </w:rPr>
              <w:t xml:space="preserve">Advanced </w:t>
            </w:r>
            <w:r w:rsidRPr="0034062E">
              <w:rPr>
                <w:szCs w:val="20"/>
              </w:rPr>
              <w:t>Smart Connected Power Strip</w:t>
            </w:r>
          </w:p>
        </w:tc>
      </w:tr>
      <w:tr w:rsidR="00D85F09" w:rsidRPr="00800706" w:rsidTr="00920905">
        <w:trPr>
          <w:trHeight w:val="20"/>
        </w:trPr>
        <w:tc>
          <w:tcPr>
            <w:tcW w:w="1502" w:type="pct"/>
          </w:tcPr>
          <w:p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rsidR="00D85F09" w:rsidRPr="0034062E" w:rsidRDefault="00EC68DD" w:rsidP="00920905">
            <w:pPr>
              <w:rPr>
                <w:i/>
                <w:szCs w:val="20"/>
              </w:rPr>
            </w:pPr>
            <w:r w:rsidRPr="0034062E">
              <w:rPr>
                <w:szCs w:val="20"/>
              </w:rPr>
              <w:t>Standard Power Strip</w:t>
            </w:r>
            <w:r w:rsidR="00C60E50" w:rsidRPr="00C60E50">
              <w:rPr>
                <w:sz w:val="16"/>
                <w:szCs w:val="16"/>
              </w:rPr>
              <w:t>*</w:t>
            </w:r>
          </w:p>
        </w:tc>
      </w:tr>
      <w:tr w:rsidR="00EC68DD" w:rsidRPr="00800706" w:rsidTr="006F21E8">
        <w:trPr>
          <w:trHeight w:val="20"/>
        </w:trPr>
        <w:tc>
          <w:tcPr>
            <w:tcW w:w="1502" w:type="pct"/>
          </w:tcPr>
          <w:p w:rsidR="00EC68DD" w:rsidRPr="00800706" w:rsidRDefault="00EC68DD">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rsidR="00EC68DD" w:rsidRPr="0034062E" w:rsidRDefault="008D7929">
            <w:r>
              <w:rPr>
                <w:szCs w:val="20"/>
              </w:rPr>
              <w:t>N/A</w:t>
            </w:r>
          </w:p>
        </w:tc>
      </w:tr>
      <w:tr w:rsidR="00EC68DD" w:rsidRPr="00800706" w:rsidTr="00920905">
        <w:trPr>
          <w:trHeight w:val="20"/>
        </w:trPr>
        <w:tc>
          <w:tcPr>
            <w:tcW w:w="1502" w:type="pct"/>
          </w:tcPr>
          <w:p w:rsidR="00EC68DD" w:rsidRPr="00920905" w:rsidRDefault="00EC68D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rsidR="00EC68DD" w:rsidRPr="0034062E" w:rsidRDefault="008D7929">
            <w:r>
              <w:rPr>
                <w:szCs w:val="20"/>
              </w:rPr>
              <w:t>N/A</w:t>
            </w:r>
          </w:p>
        </w:tc>
      </w:tr>
    </w:tbl>
    <w:p w:rsidR="00D05A19" w:rsidRPr="00C60E50" w:rsidRDefault="00C60E50" w:rsidP="00920905">
      <w:pPr>
        <w:pStyle w:val="Caption"/>
        <w:rPr>
          <w:rFonts w:cstheme="minorHAnsi"/>
          <w:b w:val="0"/>
          <w:sz w:val="16"/>
          <w:szCs w:val="16"/>
        </w:rPr>
      </w:pPr>
      <w:r w:rsidRPr="00C60E50">
        <w:rPr>
          <w:rFonts w:cstheme="minorHAnsi"/>
          <w:b w:val="0"/>
          <w:sz w:val="16"/>
          <w:szCs w:val="16"/>
        </w:rPr>
        <w:t>*Note: The 2016 SCE ET field study, herein (SCE Report), collected instantaneous pre-post power and energy use measurements in five-minute intervals across 92 residential households.</w:t>
      </w:r>
      <w:r>
        <w:rPr>
          <w:rFonts w:cstheme="minorHAnsi"/>
          <w:b w:val="0"/>
          <w:sz w:val="16"/>
          <w:szCs w:val="16"/>
        </w:rPr>
        <w:t xml:space="preserve"> During the trial, it was confirmed that all resident participants had standard power strips as the baseline condition.</w:t>
      </w:r>
    </w:p>
    <w:p w:rsidR="00AC5309" w:rsidRPr="00800706" w:rsidRDefault="00200DC0" w:rsidP="00200DC0">
      <w:pPr>
        <w:pStyle w:val="Caption"/>
        <w:jc w:val="center"/>
        <w:rPr>
          <w:rFonts w:cstheme="minorHAnsi"/>
          <w:szCs w:val="22"/>
        </w:rPr>
      </w:pPr>
      <w:r>
        <w:rPr>
          <w:rFonts w:cstheme="minorHAnsi"/>
          <w:szCs w:val="22"/>
        </w:rPr>
        <w:t xml:space="preserve">Table 2: </w:t>
      </w:r>
      <w:r w:rsidR="00AC5309"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rsidTr="00920905">
        <w:tc>
          <w:tcPr>
            <w:tcW w:w="2356" w:type="pct"/>
            <w:gridSpan w:val="4"/>
            <w:shd w:val="clear" w:color="auto" w:fill="D9D9D9" w:themeFill="background1" w:themeFillShade="D9"/>
          </w:tcPr>
          <w:p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rsidR="003A3170" w:rsidRPr="00920905" w:rsidRDefault="003A3170" w:rsidP="005729C8">
            <w:pPr>
              <w:rPr>
                <w:rFonts w:cstheme="minorHAnsi"/>
                <w:b/>
                <w:szCs w:val="20"/>
              </w:rPr>
            </w:pPr>
            <w:r w:rsidRPr="00920905">
              <w:rPr>
                <w:rFonts w:cstheme="minorHAnsi"/>
                <w:b/>
                <w:szCs w:val="20"/>
              </w:rPr>
              <w:t>Measure Name</w:t>
            </w:r>
          </w:p>
        </w:tc>
      </w:tr>
      <w:tr w:rsidR="003A3170" w:rsidRPr="00800706" w:rsidTr="00920905">
        <w:tc>
          <w:tcPr>
            <w:tcW w:w="539" w:type="pct"/>
            <w:shd w:val="clear" w:color="auto" w:fill="F2F2F2" w:themeFill="background1" w:themeFillShade="F2"/>
          </w:tcPr>
          <w:p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rsidR="003A3170" w:rsidRPr="00800706" w:rsidRDefault="003A3170" w:rsidP="00D835EF">
            <w:pPr>
              <w:rPr>
                <w:rFonts w:cstheme="minorHAnsi"/>
                <w:szCs w:val="20"/>
              </w:rPr>
            </w:pPr>
            <w:r w:rsidRPr="00800706">
              <w:rPr>
                <w:rFonts w:cstheme="minorHAnsi"/>
                <w:szCs w:val="20"/>
              </w:rPr>
              <w:t>PG&amp;E</w:t>
            </w:r>
          </w:p>
        </w:tc>
        <w:tc>
          <w:tcPr>
            <w:tcW w:w="2644" w:type="pct"/>
            <w:vMerge/>
          </w:tcPr>
          <w:p w:rsidR="003A3170" w:rsidRPr="00800706" w:rsidRDefault="003A3170" w:rsidP="005729C8">
            <w:pPr>
              <w:rPr>
                <w:rFonts w:cstheme="minorHAnsi"/>
                <w:szCs w:val="20"/>
              </w:rPr>
            </w:pPr>
          </w:p>
        </w:tc>
      </w:tr>
      <w:tr w:rsidR="00572D2F" w:rsidRPr="00800706" w:rsidTr="00920905">
        <w:trPr>
          <w:trHeight w:val="243"/>
        </w:trPr>
        <w:tc>
          <w:tcPr>
            <w:tcW w:w="539" w:type="pct"/>
          </w:tcPr>
          <w:p w:rsidR="00572D2F" w:rsidRPr="00033B7A" w:rsidRDefault="002809AE" w:rsidP="00397406">
            <w:pPr>
              <w:rPr>
                <w:rFonts w:cstheme="minorHAnsi"/>
                <w:szCs w:val="20"/>
              </w:rPr>
            </w:pPr>
            <w:r w:rsidRPr="00033B7A">
              <w:rPr>
                <w:rFonts w:cstheme="minorHAnsi"/>
                <w:szCs w:val="20"/>
              </w:rPr>
              <w:t>N/A</w:t>
            </w:r>
          </w:p>
        </w:tc>
        <w:tc>
          <w:tcPr>
            <w:tcW w:w="539" w:type="pct"/>
          </w:tcPr>
          <w:p w:rsidR="00572D2F" w:rsidRPr="00033B7A" w:rsidRDefault="00033B7A" w:rsidP="00397406">
            <w:pPr>
              <w:rPr>
                <w:rFonts w:cstheme="minorHAnsi"/>
                <w:szCs w:val="20"/>
              </w:rPr>
            </w:pPr>
            <w:r w:rsidRPr="00033B7A">
              <w:rPr>
                <w:rFonts w:cstheme="minorHAnsi"/>
                <w:szCs w:val="20"/>
              </w:rPr>
              <w:t>TBD</w:t>
            </w:r>
          </w:p>
        </w:tc>
        <w:tc>
          <w:tcPr>
            <w:tcW w:w="605" w:type="pct"/>
          </w:tcPr>
          <w:p w:rsidR="00572D2F" w:rsidRPr="00033B7A" w:rsidRDefault="00033B7A" w:rsidP="00397406">
            <w:pPr>
              <w:rPr>
                <w:rFonts w:cstheme="minorHAnsi"/>
                <w:szCs w:val="20"/>
              </w:rPr>
            </w:pPr>
            <w:r w:rsidRPr="00033B7A">
              <w:rPr>
                <w:rFonts w:cstheme="minorHAnsi"/>
                <w:szCs w:val="20"/>
              </w:rPr>
              <w:t>CE-18633</w:t>
            </w:r>
          </w:p>
        </w:tc>
        <w:tc>
          <w:tcPr>
            <w:tcW w:w="673" w:type="pct"/>
          </w:tcPr>
          <w:p w:rsidR="00572D2F" w:rsidRPr="00033B7A" w:rsidRDefault="002809AE" w:rsidP="005729C8">
            <w:pPr>
              <w:rPr>
                <w:rFonts w:cstheme="minorHAnsi"/>
                <w:szCs w:val="20"/>
              </w:rPr>
            </w:pPr>
            <w:r w:rsidRPr="00033B7A">
              <w:rPr>
                <w:rFonts w:cstheme="minorHAnsi"/>
                <w:szCs w:val="20"/>
              </w:rPr>
              <w:t>TBD</w:t>
            </w:r>
          </w:p>
        </w:tc>
        <w:tc>
          <w:tcPr>
            <w:tcW w:w="2644" w:type="pct"/>
          </w:tcPr>
          <w:p w:rsidR="00572D2F" w:rsidRPr="00920905" w:rsidRDefault="00A71E08" w:rsidP="00033B7A">
            <w:pPr>
              <w:rPr>
                <w:color w:val="FF0000"/>
              </w:rPr>
            </w:pPr>
            <w:r w:rsidRPr="0034062E">
              <w:rPr>
                <w:szCs w:val="20"/>
              </w:rPr>
              <w:t xml:space="preserve">Tier 2 </w:t>
            </w:r>
            <w:r w:rsidR="00033B7A">
              <w:rPr>
                <w:szCs w:val="20"/>
              </w:rPr>
              <w:t xml:space="preserve">Advanced </w:t>
            </w:r>
            <w:r w:rsidRPr="0034062E">
              <w:rPr>
                <w:szCs w:val="20"/>
              </w:rPr>
              <w:t>Smart Connected Power Strip</w:t>
            </w:r>
          </w:p>
        </w:tc>
      </w:tr>
    </w:tbl>
    <w:p w:rsidR="007164A2" w:rsidRPr="00CB7A0F" w:rsidRDefault="00590492" w:rsidP="007164A2">
      <w:pPr>
        <w:pStyle w:val="Heading3"/>
        <w:rPr>
          <w:rFonts w:asciiTheme="minorHAnsi" w:hAnsiTheme="minorHAnsi"/>
        </w:rPr>
      </w:pPr>
      <w:r>
        <w:rPr>
          <w:rFonts w:asciiTheme="minorHAnsi" w:hAnsiTheme="minorHAnsi"/>
        </w:rPr>
        <w:t>1.1d</w:t>
      </w:r>
      <w:r w:rsidR="007164A2">
        <w:rPr>
          <w:rFonts w:asciiTheme="minorHAnsi" w:hAnsiTheme="minorHAnsi"/>
        </w:rPr>
        <w:t xml:space="preserve"> Measure Eligibility Requirements</w:t>
      </w:r>
    </w:p>
    <w:p w:rsidR="008A0E81" w:rsidRPr="003D577C" w:rsidRDefault="00DC7841" w:rsidP="003D577C">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Tier 2 APS </w:t>
      </w:r>
      <w:r w:rsidR="008A0E81">
        <w:rPr>
          <w:rFonts w:asciiTheme="minorHAnsi" w:hAnsiTheme="minorHAnsi" w:cstheme="minorHAnsi"/>
          <w:i w:val="0"/>
          <w:color w:val="auto"/>
          <w:szCs w:val="22"/>
        </w:rPr>
        <w:t>devices</w:t>
      </w:r>
      <w:r>
        <w:rPr>
          <w:rFonts w:asciiTheme="minorHAnsi" w:hAnsiTheme="minorHAnsi" w:cstheme="minorHAnsi"/>
          <w:i w:val="0"/>
          <w:color w:val="auto"/>
          <w:szCs w:val="22"/>
        </w:rPr>
        <w:t xml:space="preserve"> on the market use varying hardware sensing components and software control algorithms</w:t>
      </w:r>
      <w:r w:rsidR="00103C6D">
        <w:rPr>
          <w:rFonts w:asciiTheme="minorHAnsi" w:hAnsiTheme="minorHAnsi" w:cstheme="minorHAnsi"/>
          <w:i w:val="0"/>
          <w:color w:val="auto"/>
          <w:szCs w:val="22"/>
        </w:rPr>
        <w:t>. Currently, t</w:t>
      </w:r>
      <w:r w:rsidR="008A0E81">
        <w:rPr>
          <w:rFonts w:asciiTheme="minorHAnsi" w:hAnsiTheme="minorHAnsi" w:cstheme="minorHAnsi"/>
          <w:i w:val="0"/>
          <w:color w:val="auto"/>
          <w:szCs w:val="22"/>
        </w:rPr>
        <w:t>hes</w:t>
      </w:r>
      <w:r w:rsidR="00590492">
        <w:rPr>
          <w:rFonts w:asciiTheme="minorHAnsi" w:hAnsiTheme="minorHAnsi" w:cstheme="minorHAnsi"/>
          <w:i w:val="0"/>
          <w:color w:val="auto"/>
          <w:szCs w:val="22"/>
        </w:rPr>
        <w:t xml:space="preserve">e devices are uniquely designed by </w:t>
      </w:r>
      <w:r w:rsidR="008A0E81">
        <w:rPr>
          <w:rFonts w:asciiTheme="minorHAnsi" w:hAnsiTheme="minorHAnsi" w:cstheme="minorHAnsi"/>
          <w:i w:val="0"/>
          <w:color w:val="auto"/>
          <w:szCs w:val="22"/>
        </w:rPr>
        <w:t>each manufacturer</w:t>
      </w:r>
      <w:r>
        <w:rPr>
          <w:rFonts w:asciiTheme="minorHAnsi" w:hAnsiTheme="minorHAnsi" w:cstheme="minorHAnsi"/>
          <w:i w:val="0"/>
          <w:color w:val="auto"/>
          <w:szCs w:val="22"/>
        </w:rPr>
        <w:t xml:space="preserve">. </w:t>
      </w:r>
      <w:r w:rsidR="008A0E81" w:rsidRPr="003D577C">
        <w:rPr>
          <w:rFonts w:asciiTheme="minorHAnsi" w:hAnsiTheme="minorHAnsi" w:cstheme="minorHAnsi"/>
          <w:i w:val="0"/>
          <w:color w:val="auto"/>
          <w:szCs w:val="22"/>
        </w:rPr>
        <w:t>For this reason</w:t>
      </w:r>
      <w:r w:rsidR="003D577C">
        <w:rPr>
          <w:rFonts w:asciiTheme="minorHAnsi" w:hAnsiTheme="minorHAnsi" w:cstheme="minorHAnsi"/>
          <w:i w:val="0"/>
          <w:color w:val="auto"/>
          <w:szCs w:val="22"/>
        </w:rPr>
        <w:t>,</w:t>
      </w:r>
      <w:r w:rsidR="008A0E81" w:rsidRPr="003D577C">
        <w:rPr>
          <w:rFonts w:asciiTheme="minorHAnsi" w:hAnsiTheme="minorHAnsi" w:cstheme="minorHAnsi"/>
          <w:i w:val="0"/>
          <w:color w:val="auto"/>
          <w:szCs w:val="22"/>
        </w:rPr>
        <w:t xml:space="preserve"> CALPLUG developed </w:t>
      </w:r>
      <w:r w:rsidR="00590492">
        <w:rPr>
          <w:rFonts w:asciiTheme="minorHAnsi" w:hAnsiTheme="minorHAnsi" w:cstheme="minorHAnsi"/>
          <w:i w:val="0"/>
          <w:color w:val="auto"/>
          <w:szCs w:val="22"/>
        </w:rPr>
        <w:t xml:space="preserve">a </w:t>
      </w:r>
      <w:r w:rsidR="008A0E81" w:rsidRPr="003D577C">
        <w:rPr>
          <w:rFonts w:asciiTheme="minorHAnsi" w:hAnsiTheme="minorHAnsi" w:cstheme="minorHAnsi"/>
          <w:i w:val="0"/>
          <w:color w:val="auto"/>
          <w:szCs w:val="22"/>
        </w:rPr>
        <w:t>4-Phase Go-to-Market Tier 2 AV APS roadmap</w:t>
      </w:r>
      <w:r w:rsidR="003D577C">
        <w:rPr>
          <w:rFonts w:asciiTheme="minorHAnsi" w:hAnsiTheme="minorHAnsi" w:cstheme="minorHAnsi"/>
          <w:i w:val="0"/>
          <w:color w:val="auto"/>
          <w:szCs w:val="22"/>
        </w:rPr>
        <w:t xml:space="preserve"> (</w:t>
      </w:r>
      <w:r w:rsidR="00103C6D">
        <w:rPr>
          <w:rFonts w:asciiTheme="minorHAnsi" w:hAnsiTheme="minorHAnsi" w:cstheme="minorHAnsi"/>
          <w:b/>
          <w:i w:val="0"/>
          <w:color w:val="auto"/>
          <w:szCs w:val="22"/>
        </w:rPr>
        <w:t>Figure 5</w:t>
      </w:r>
      <w:r w:rsidR="003D577C">
        <w:rPr>
          <w:rFonts w:asciiTheme="minorHAnsi" w:hAnsiTheme="minorHAnsi" w:cstheme="minorHAnsi"/>
          <w:i w:val="0"/>
          <w:color w:val="auto"/>
          <w:szCs w:val="22"/>
        </w:rPr>
        <w:t>)</w:t>
      </w:r>
      <w:r w:rsidR="00BF79A7">
        <w:rPr>
          <w:rFonts w:asciiTheme="minorHAnsi" w:hAnsiTheme="minorHAnsi" w:cstheme="minorHAnsi"/>
          <w:i w:val="0"/>
          <w:color w:val="auto"/>
          <w:szCs w:val="22"/>
        </w:rPr>
        <w:t xml:space="preserve"> to ensure</w:t>
      </w:r>
      <w:r w:rsidR="008A0E81" w:rsidRPr="003D577C">
        <w:rPr>
          <w:rFonts w:asciiTheme="minorHAnsi" w:hAnsiTheme="minorHAnsi" w:cstheme="minorHAnsi"/>
          <w:i w:val="0"/>
          <w:color w:val="auto"/>
          <w:szCs w:val="22"/>
        </w:rPr>
        <w:t xml:space="preserve"> that manufacturers clearly demonstrate energy savings in both laboratory assessments and field trials before </w:t>
      </w:r>
      <w:r w:rsidR="003D577C">
        <w:rPr>
          <w:rFonts w:asciiTheme="minorHAnsi" w:hAnsiTheme="minorHAnsi" w:cstheme="minorHAnsi"/>
          <w:i w:val="0"/>
          <w:color w:val="auto"/>
          <w:szCs w:val="22"/>
        </w:rPr>
        <w:t>devices</w:t>
      </w:r>
      <w:r w:rsidR="008A0E81" w:rsidRPr="003D577C">
        <w:rPr>
          <w:rFonts w:asciiTheme="minorHAnsi" w:hAnsiTheme="minorHAnsi" w:cstheme="minorHAnsi"/>
          <w:i w:val="0"/>
          <w:color w:val="auto"/>
          <w:szCs w:val="22"/>
        </w:rPr>
        <w:t xml:space="preserve"> are considered as an offering in utility rebate programs. Additionally, Tier 2 AV APS </w:t>
      </w:r>
      <w:r w:rsidR="003D577C">
        <w:rPr>
          <w:rFonts w:asciiTheme="minorHAnsi" w:hAnsiTheme="minorHAnsi" w:cstheme="minorHAnsi"/>
          <w:i w:val="0"/>
          <w:color w:val="auto"/>
          <w:szCs w:val="22"/>
        </w:rPr>
        <w:t>devices</w:t>
      </w:r>
      <w:r w:rsidR="008A0E81" w:rsidRPr="003D577C">
        <w:rPr>
          <w:rFonts w:asciiTheme="minorHAnsi" w:hAnsiTheme="minorHAnsi" w:cstheme="minorHAnsi"/>
          <w:i w:val="0"/>
          <w:color w:val="auto"/>
          <w:szCs w:val="22"/>
        </w:rPr>
        <w:t xml:space="preserve"> must incorporate minimum performance specifications that follow CALPLUG’s Tier 2 AV APS recommended definition that features:</w:t>
      </w:r>
    </w:p>
    <w:p w:rsidR="008A0E81" w:rsidRDefault="008A0E81" w:rsidP="00697868">
      <w:pPr>
        <w:pStyle w:val="Reminders"/>
        <w:rPr>
          <w:rFonts w:asciiTheme="minorHAnsi" w:hAnsiTheme="minorHAnsi" w:cstheme="minorHAnsi"/>
          <w:i w:val="0"/>
          <w:color w:val="auto"/>
          <w:szCs w:val="22"/>
        </w:rPr>
      </w:pPr>
    </w:p>
    <w:p w:rsidR="003D577C" w:rsidRPr="002E6C25" w:rsidRDefault="003D577C" w:rsidP="00322BE0">
      <w:pPr>
        <w:pStyle w:val="ListParagraph"/>
        <w:numPr>
          <w:ilvl w:val="0"/>
          <w:numId w:val="5"/>
        </w:numPr>
        <w:rPr>
          <w:rFonts w:cstheme="minorHAnsi"/>
          <w:szCs w:val="22"/>
        </w:rPr>
      </w:pPr>
      <w:r w:rsidRPr="002E6C25">
        <w:rPr>
          <w:rFonts w:cstheme="minorHAnsi"/>
          <w:b/>
          <w:szCs w:val="22"/>
        </w:rPr>
        <w:t>Usage Sensing</w:t>
      </w:r>
      <w:r w:rsidRPr="002E6C25">
        <w:rPr>
          <w:rFonts w:cstheme="minorHAnsi"/>
          <w:szCs w:val="22"/>
        </w:rPr>
        <w:t xml:space="preserve"> – to provide at least one method to sense and determine consume</w:t>
      </w:r>
      <w:r>
        <w:rPr>
          <w:rFonts w:cstheme="minorHAnsi"/>
          <w:szCs w:val="22"/>
        </w:rPr>
        <w:t>r utilization and usage pattern;</w:t>
      </w:r>
    </w:p>
    <w:p w:rsidR="003D577C" w:rsidRPr="002E6C25" w:rsidRDefault="003D577C" w:rsidP="00322BE0">
      <w:pPr>
        <w:pStyle w:val="ListParagraph"/>
        <w:numPr>
          <w:ilvl w:val="0"/>
          <w:numId w:val="5"/>
        </w:numPr>
        <w:rPr>
          <w:rFonts w:cstheme="minorHAnsi"/>
          <w:szCs w:val="22"/>
        </w:rPr>
      </w:pPr>
      <w:r w:rsidRPr="002E6C25">
        <w:rPr>
          <w:rFonts w:cstheme="minorHAnsi"/>
          <w:b/>
          <w:szCs w:val="22"/>
        </w:rPr>
        <w:t>Advanced Power Analysis</w:t>
      </w:r>
      <w:r w:rsidRPr="002E6C25">
        <w:rPr>
          <w:rFonts w:cstheme="minorHAnsi"/>
          <w:szCs w:val="22"/>
        </w:rPr>
        <w:t xml:space="preserve"> – to perform advanced power analysis in addition to voltage and current sensing. These power measu</w:t>
      </w:r>
      <w:r w:rsidR="00BF79A7">
        <w:rPr>
          <w:rFonts w:cstheme="minorHAnsi"/>
          <w:szCs w:val="22"/>
        </w:rPr>
        <w:t>rement and analysis may include</w:t>
      </w:r>
      <w:r w:rsidRPr="002E6C25">
        <w:rPr>
          <w:rFonts w:cstheme="minorHAnsi"/>
          <w:szCs w:val="22"/>
        </w:rPr>
        <w:t xml:space="preserve"> true </w:t>
      </w:r>
      <w:r>
        <w:rPr>
          <w:rFonts w:cstheme="minorHAnsi"/>
          <w:szCs w:val="22"/>
        </w:rPr>
        <w:t>root mean square (</w:t>
      </w:r>
      <w:r w:rsidRPr="002E6C25">
        <w:rPr>
          <w:rFonts w:cstheme="minorHAnsi"/>
          <w:szCs w:val="22"/>
        </w:rPr>
        <w:t>RMS</w:t>
      </w:r>
      <w:r>
        <w:rPr>
          <w:rFonts w:cstheme="minorHAnsi"/>
          <w:szCs w:val="22"/>
        </w:rPr>
        <w:t>)</w:t>
      </w:r>
      <w:r w:rsidRPr="002E6C25">
        <w:rPr>
          <w:rFonts w:cstheme="minorHAnsi"/>
          <w:szCs w:val="22"/>
        </w:rPr>
        <w:t xml:space="preserve"> power, power factor analysis and</w:t>
      </w:r>
      <w:r>
        <w:rPr>
          <w:rFonts w:cstheme="minorHAnsi"/>
          <w:szCs w:val="22"/>
        </w:rPr>
        <w:t xml:space="preserve"> other load signature detection</w:t>
      </w:r>
      <w:r w:rsidR="00126D47">
        <w:rPr>
          <w:rFonts w:cstheme="minorHAnsi"/>
          <w:szCs w:val="22"/>
        </w:rPr>
        <w:t>s</w:t>
      </w:r>
      <w:r>
        <w:rPr>
          <w:rFonts w:cstheme="minorHAnsi"/>
          <w:szCs w:val="22"/>
        </w:rPr>
        <w:t>; and</w:t>
      </w:r>
    </w:p>
    <w:p w:rsidR="003D577C" w:rsidRDefault="003D577C" w:rsidP="00322BE0">
      <w:pPr>
        <w:pStyle w:val="ListParagraph"/>
        <w:numPr>
          <w:ilvl w:val="0"/>
          <w:numId w:val="5"/>
        </w:numPr>
        <w:rPr>
          <w:rFonts w:cstheme="minorHAnsi"/>
          <w:szCs w:val="22"/>
        </w:rPr>
      </w:pPr>
      <w:r w:rsidRPr="002E6C25">
        <w:rPr>
          <w:rFonts w:cstheme="minorHAnsi"/>
          <w:b/>
          <w:szCs w:val="22"/>
        </w:rPr>
        <w:t>Control Algorithms</w:t>
      </w:r>
      <w:r w:rsidRPr="002E6C25">
        <w:rPr>
          <w:rFonts w:cstheme="minorHAnsi"/>
          <w:szCs w:val="22"/>
        </w:rPr>
        <w:t xml:space="preserve"> - to perform automated power management of connected devices based on data and information acquired</w:t>
      </w:r>
      <w:r>
        <w:rPr>
          <w:rFonts w:cstheme="minorHAnsi"/>
          <w:szCs w:val="22"/>
        </w:rPr>
        <w:t xml:space="preserve">. </w:t>
      </w:r>
    </w:p>
    <w:p w:rsidR="00CB2509" w:rsidRPr="00CB2509" w:rsidRDefault="00CB2509" w:rsidP="00CB2509">
      <w:pPr>
        <w:pStyle w:val="ListParagraph"/>
        <w:rPr>
          <w:rFonts w:cstheme="minorHAnsi"/>
          <w:szCs w:val="22"/>
        </w:rPr>
      </w:pPr>
    </w:p>
    <w:p w:rsidR="00CB2509" w:rsidRPr="00CB2509" w:rsidRDefault="00CB2509" w:rsidP="00CB2509">
      <w:pPr>
        <w:pStyle w:val="ListParagraph"/>
        <w:spacing w:after="200" w:line="276" w:lineRule="auto"/>
        <w:jc w:val="center"/>
        <w:rPr>
          <w:rFonts w:cstheme="minorHAnsi"/>
          <w:szCs w:val="22"/>
        </w:rPr>
      </w:pPr>
      <w:r>
        <w:rPr>
          <w:noProof/>
        </w:rPr>
        <w:drawing>
          <wp:inline distT="0" distB="0" distL="0" distR="0" wp14:anchorId="1392ADA8" wp14:editId="7D1CBF59">
            <wp:extent cx="4167764" cy="1993900"/>
            <wp:effectExtent l="0" t="0" r="444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64866" cy="1992513"/>
                    </a:xfrm>
                    <a:prstGeom prst="rect">
                      <a:avLst/>
                    </a:prstGeom>
                    <a:noFill/>
                  </pic:spPr>
                </pic:pic>
              </a:graphicData>
            </a:graphic>
          </wp:inline>
        </w:drawing>
      </w:r>
    </w:p>
    <w:p w:rsidR="00CB2509" w:rsidRPr="00CB2509" w:rsidRDefault="00CB2509" w:rsidP="00CB2509">
      <w:pPr>
        <w:pStyle w:val="ListParagraph"/>
        <w:spacing w:after="200" w:line="276" w:lineRule="auto"/>
        <w:jc w:val="center"/>
        <w:rPr>
          <w:rFonts w:cstheme="minorHAnsi"/>
          <w:szCs w:val="22"/>
        </w:rPr>
      </w:pPr>
      <w:r w:rsidRPr="00CB2509">
        <w:rPr>
          <w:rFonts w:cstheme="minorHAnsi"/>
          <w:b/>
          <w:szCs w:val="22"/>
        </w:rPr>
        <w:t xml:space="preserve">Figure </w:t>
      </w:r>
      <w:r w:rsidR="00BF79A7">
        <w:rPr>
          <w:rFonts w:cstheme="minorHAnsi"/>
          <w:b/>
          <w:szCs w:val="22"/>
        </w:rPr>
        <w:t>5</w:t>
      </w:r>
      <w:r>
        <w:rPr>
          <w:rFonts w:cstheme="minorHAnsi"/>
          <w:b/>
          <w:szCs w:val="22"/>
        </w:rPr>
        <w:t>:</w:t>
      </w:r>
      <w:r w:rsidRPr="00CB2509">
        <w:rPr>
          <w:rFonts w:cstheme="minorHAnsi"/>
          <w:szCs w:val="22"/>
        </w:rPr>
        <w:t xml:space="preserve"> CALPLUG’s 4-Phase Go-to-Market Tier 2 AV APS Roadmap</w:t>
      </w:r>
    </w:p>
    <w:p w:rsidR="00CB2509" w:rsidRPr="00CB2509" w:rsidRDefault="00CB2509" w:rsidP="00CB2509">
      <w:pPr>
        <w:rPr>
          <w:rFonts w:cstheme="minorHAnsi"/>
          <w:szCs w:val="22"/>
        </w:rPr>
      </w:pPr>
      <w:r w:rsidRPr="00CB2509">
        <w:rPr>
          <w:rFonts w:cstheme="minorHAnsi"/>
          <w:szCs w:val="22"/>
        </w:rPr>
        <w:lastRenderedPageBreak/>
        <w:t xml:space="preserve">The California Technical Forum (CALTF) supports </w:t>
      </w:r>
      <w:r w:rsidR="00565EC5">
        <w:rPr>
          <w:rFonts w:cstheme="minorHAnsi"/>
          <w:szCs w:val="22"/>
        </w:rPr>
        <w:t>CalPlug’s 4-Phase</w:t>
      </w:r>
      <w:r w:rsidRPr="00CB2509">
        <w:rPr>
          <w:rFonts w:cstheme="minorHAnsi"/>
          <w:szCs w:val="22"/>
        </w:rPr>
        <w:t xml:space="preserve"> go-to-market roadmap for the Tier 2 AV APS product category and has requested that field trials be conducted on all new products within this category. See attached embedded file – February 2015 CALTF meeting notes – pages 15-16.</w:t>
      </w:r>
    </w:p>
    <w:p w:rsidR="00590492" w:rsidRPr="00590492" w:rsidRDefault="00590492" w:rsidP="00590492">
      <w:pPr>
        <w:pStyle w:val="Heading5"/>
        <w:rPr>
          <w:b/>
        </w:rPr>
      </w:pPr>
      <w:r w:rsidRPr="00590492">
        <w:rPr>
          <w:b/>
        </w:rPr>
        <w:t xml:space="preserve">AB 793 </w:t>
      </w:r>
      <w:r>
        <w:rPr>
          <w:b/>
        </w:rPr>
        <w:t>EMT’s Eligibility Requirements</w:t>
      </w:r>
    </w:p>
    <w:p w:rsidR="00590492" w:rsidRPr="00CB7A0F" w:rsidRDefault="00590492" w:rsidP="00590492">
      <w:pPr>
        <w:rPr>
          <w:rFonts w:cstheme="minorHAnsi"/>
          <w:szCs w:val="22"/>
        </w:rPr>
      </w:pPr>
      <w:r>
        <w:rPr>
          <w:rFonts w:cstheme="minorHAnsi"/>
          <w:szCs w:val="22"/>
        </w:rPr>
        <w:t xml:space="preserve">To meet </w:t>
      </w:r>
      <w:r w:rsidR="008C7FD0">
        <w:rPr>
          <w:rFonts w:cstheme="minorHAnsi"/>
          <w:szCs w:val="22"/>
        </w:rPr>
        <w:t xml:space="preserve">the </w:t>
      </w:r>
      <w:r w:rsidR="00A71E08">
        <w:rPr>
          <w:rFonts w:cstheme="minorHAnsi"/>
          <w:szCs w:val="22"/>
        </w:rPr>
        <w:t xml:space="preserve">intent of </w:t>
      </w:r>
      <w:r>
        <w:rPr>
          <w:rFonts w:cstheme="minorHAnsi"/>
          <w:szCs w:val="22"/>
        </w:rPr>
        <w:t xml:space="preserve">AB 793’s EMT definition, qualifying Tier 2 </w:t>
      </w:r>
      <w:r w:rsidR="001A0792">
        <w:rPr>
          <w:rFonts w:cstheme="minorHAnsi"/>
          <w:szCs w:val="22"/>
        </w:rPr>
        <w:t xml:space="preserve">Advanced </w:t>
      </w:r>
      <w:r>
        <w:rPr>
          <w:rFonts w:cstheme="minorHAnsi"/>
          <w:szCs w:val="22"/>
        </w:rPr>
        <w:t xml:space="preserve">Smart Connected </w:t>
      </w:r>
      <w:r w:rsidR="001A0792">
        <w:rPr>
          <w:rFonts w:cstheme="minorHAnsi"/>
          <w:szCs w:val="22"/>
        </w:rPr>
        <w:t>Power Strip</w:t>
      </w:r>
      <w:r>
        <w:rPr>
          <w:rFonts w:cstheme="minorHAnsi"/>
          <w:szCs w:val="22"/>
        </w:rPr>
        <w:t xml:space="preserve"> devices</w:t>
      </w:r>
      <w:r w:rsidRPr="00590492">
        <w:rPr>
          <w:rFonts w:cstheme="minorHAnsi"/>
          <w:szCs w:val="22"/>
        </w:rPr>
        <w:t xml:space="preserve"> </w:t>
      </w:r>
      <w:r>
        <w:rPr>
          <w:rFonts w:cstheme="minorHAnsi"/>
          <w:szCs w:val="22"/>
        </w:rPr>
        <w:t xml:space="preserve">must incorporate </w:t>
      </w:r>
      <w:r w:rsidR="00A71E08">
        <w:rPr>
          <w:rFonts w:cstheme="minorHAnsi"/>
          <w:szCs w:val="22"/>
        </w:rPr>
        <w:t xml:space="preserve">the following </w:t>
      </w:r>
      <w:r w:rsidRPr="00CB7A0F">
        <w:rPr>
          <w:rFonts w:cstheme="minorHAnsi"/>
          <w:szCs w:val="22"/>
        </w:rPr>
        <w:t xml:space="preserve">feature: </w:t>
      </w:r>
    </w:p>
    <w:p w:rsidR="00590492" w:rsidRDefault="00590492" w:rsidP="003D577C">
      <w:pPr>
        <w:rPr>
          <w:rFonts w:cstheme="minorHAnsi"/>
          <w:szCs w:val="22"/>
        </w:rPr>
      </w:pPr>
    </w:p>
    <w:p w:rsidR="003D577C" w:rsidRPr="00CB7A0F" w:rsidRDefault="003D577C" w:rsidP="00322BE0">
      <w:pPr>
        <w:pStyle w:val="ListParagraph"/>
        <w:numPr>
          <w:ilvl w:val="0"/>
          <w:numId w:val="5"/>
        </w:numPr>
        <w:rPr>
          <w:rFonts w:cstheme="minorHAnsi"/>
          <w:szCs w:val="22"/>
        </w:rPr>
      </w:pPr>
      <w:r>
        <w:rPr>
          <w:rFonts w:cstheme="minorHAnsi"/>
          <w:b/>
          <w:szCs w:val="22"/>
        </w:rPr>
        <w:t xml:space="preserve">Smart device (smart phone or tablet) application user interface </w:t>
      </w:r>
      <w:r w:rsidRPr="00CB7A0F">
        <w:rPr>
          <w:rFonts w:cstheme="minorHAnsi"/>
          <w:szCs w:val="22"/>
        </w:rPr>
        <w:t xml:space="preserve">– to provide </w:t>
      </w:r>
      <w:r w:rsidR="00A71E08">
        <w:rPr>
          <w:rFonts w:cstheme="minorHAnsi"/>
          <w:szCs w:val="22"/>
        </w:rPr>
        <w:t xml:space="preserve">wireless </w:t>
      </w:r>
      <w:r w:rsidRPr="00CB7A0F">
        <w:rPr>
          <w:rFonts w:cstheme="minorHAnsi"/>
          <w:szCs w:val="22"/>
        </w:rPr>
        <w:t>control interfacing between the Tier 2 APS device</w:t>
      </w:r>
      <w:r w:rsidR="00A71E08">
        <w:rPr>
          <w:rFonts w:cstheme="minorHAnsi"/>
          <w:szCs w:val="22"/>
        </w:rPr>
        <w:t>,</w:t>
      </w:r>
      <w:r w:rsidRPr="00CB7A0F">
        <w:rPr>
          <w:rFonts w:cstheme="minorHAnsi"/>
          <w:szCs w:val="22"/>
        </w:rPr>
        <w:t xml:space="preserve"> and the user’s smart device (phone or tablet)</w:t>
      </w:r>
      <w:r w:rsidR="00A71E08">
        <w:rPr>
          <w:rFonts w:cstheme="minorHAnsi"/>
          <w:szCs w:val="22"/>
        </w:rPr>
        <w:t xml:space="preserve"> </w:t>
      </w:r>
      <w:r w:rsidR="00A71E08" w:rsidRPr="00590492">
        <w:rPr>
          <w:rFonts w:cstheme="minorHAnsi"/>
          <w:szCs w:val="22"/>
        </w:rPr>
        <w:t xml:space="preserve">that </w:t>
      </w:r>
      <w:r w:rsidR="00A71E08">
        <w:rPr>
          <w:rFonts w:cstheme="minorHAnsi"/>
          <w:szCs w:val="22"/>
        </w:rPr>
        <w:t>exhibits</w:t>
      </w:r>
      <w:r w:rsidR="00A71E08" w:rsidRPr="00590492">
        <w:rPr>
          <w:rFonts w:cstheme="minorHAnsi"/>
          <w:szCs w:val="22"/>
        </w:rPr>
        <w:t xml:space="preserve"> </w:t>
      </w:r>
      <w:r w:rsidR="00A71E08" w:rsidRPr="00CB7A0F">
        <w:rPr>
          <w:rFonts w:cstheme="minorHAnsi"/>
          <w:szCs w:val="22"/>
        </w:rPr>
        <w:t>live power data</w:t>
      </w:r>
      <w:r w:rsidR="00A71E08">
        <w:rPr>
          <w:rFonts w:cstheme="minorHAnsi"/>
          <w:szCs w:val="22"/>
        </w:rPr>
        <w:t xml:space="preserve"> </w:t>
      </w:r>
      <w:r w:rsidR="00A71E08" w:rsidRPr="00590492">
        <w:rPr>
          <w:rFonts w:cstheme="minorHAnsi"/>
          <w:szCs w:val="22"/>
        </w:rPr>
        <w:t xml:space="preserve">information and </w:t>
      </w:r>
      <w:r w:rsidR="00BA30FF">
        <w:rPr>
          <w:rFonts w:cstheme="minorHAnsi"/>
          <w:szCs w:val="22"/>
        </w:rPr>
        <w:t>educate</w:t>
      </w:r>
      <w:r w:rsidR="00A71E08" w:rsidRPr="00590492">
        <w:rPr>
          <w:rFonts w:cstheme="minorHAnsi"/>
          <w:szCs w:val="22"/>
        </w:rPr>
        <w:t xml:space="preserve"> consumers about their energy </w:t>
      </w:r>
      <w:r w:rsidR="00A71E08">
        <w:rPr>
          <w:rFonts w:cstheme="minorHAnsi"/>
          <w:szCs w:val="22"/>
        </w:rPr>
        <w:t>use and ways to better manage it.</w:t>
      </w:r>
    </w:p>
    <w:p w:rsidR="00CB2509" w:rsidRPr="00CB2509" w:rsidRDefault="00CB2509" w:rsidP="00CB2509">
      <w:pPr>
        <w:pStyle w:val="Heading3"/>
        <w:rPr>
          <w:rFonts w:asciiTheme="minorHAnsi" w:hAnsiTheme="minorHAnsi"/>
        </w:rPr>
      </w:pPr>
      <w:r>
        <w:rPr>
          <w:rFonts w:asciiTheme="minorHAnsi" w:hAnsiTheme="minorHAnsi"/>
        </w:rPr>
        <w:t xml:space="preserve">1.1e </w:t>
      </w:r>
      <w:r w:rsidRPr="00CB2509">
        <w:rPr>
          <w:rFonts w:asciiTheme="minorHAnsi" w:hAnsiTheme="minorHAnsi"/>
        </w:rPr>
        <w:t>Implementation and Installation Requirements</w:t>
      </w:r>
    </w:p>
    <w:p w:rsidR="004227F4" w:rsidRDefault="0058081A" w:rsidP="004227F4">
      <w:pPr>
        <w:pStyle w:val="Heading4"/>
      </w:pPr>
      <w:r>
        <w:t>Direct Install Delivery Channel</w:t>
      </w:r>
    </w:p>
    <w:p w:rsidR="004227F4" w:rsidRDefault="00CB2509" w:rsidP="00783899">
      <w:pPr>
        <w:pStyle w:val="Reminders"/>
        <w:spacing w:before="0" w:after="0"/>
        <w:rPr>
          <w:rFonts w:asciiTheme="minorHAnsi" w:hAnsiTheme="minorHAnsi" w:cstheme="minorHAnsi"/>
          <w:i w:val="0"/>
          <w:color w:val="auto"/>
          <w:szCs w:val="22"/>
        </w:rPr>
      </w:pPr>
      <w:r w:rsidRPr="00CB2509">
        <w:rPr>
          <w:rFonts w:asciiTheme="minorHAnsi" w:hAnsiTheme="minorHAnsi" w:cstheme="minorHAnsi"/>
          <w:i w:val="0"/>
          <w:color w:val="auto"/>
          <w:szCs w:val="22"/>
        </w:rPr>
        <w:t xml:space="preserve">Tier 2 </w:t>
      </w:r>
      <w:r w:rsidR="00033B7A">
        <w:rPr>
          <w:rFonts w:asciiTheme="minorHAnsi" w:hAnsiTheme="minorHAnsi" w:cstheme="minorHAnsi"/>
          <w:i w:val="0"/>
          <w:color w:val="auto"/>
          <w:szCs w:val="22"/>
        </w:rPr>
        <w:t xml:space="preserve">Advanced </w:t>
      </w:r>
      <w:r w:rsidR="0034062E">
        <w:rPr>
          <w:rFonts w:asciiTheme="minorHAnsi" w:hAnsiTheme="minorHAnsi" w:cstheme="minorHAnsi"/>
          <w:i w:val="0"/>
          <w:color w:val="auto"/>
          <w:szCs w:val="22"/>
        </w:rPr>
        <w:t>Smart Connected</w:t>
      </w:r>
      <w:r w:rsidRPr="00CB2509">
        <w:rPr>
          <w:rFonts w:asciiTheme="minorHAnsi" w:hAnsiTheme="minorHAnsi" w:cstheme="minorHAnsi"/>
          <w:i w:val="0"/>
          <w:color w:val="auto"/>
          <w:szCs w:val="22"/>
        </w:rPr>
        <w:t xml:space="preserve"> </w:t>
      </w:r>
      <w:r w:rsidR="00033B7A">
        <w:rPr>
          <w:rFonts w:asciiTheme="minorHAnsi" w:hAnsiTheme="minorHAnsi" w:cstheme="minorHAnsi"/>
          <w:i w:val="0"/>
          <w:color w:val="auto"/>
          <w:szCs w:val="22"/>
        </w:rPr>
        <w:t>Power Strip</w:t>
      </w:r>
      <w:r w:rsidRPr="00CB2509">
        <w:rPr>
          <w:rFonts w:asciiTheme="minorHAnsi" w:hAnsiTheme="minorHAnsi" w:cstheme="minorHAnsi"/>
          <w:i w:val="0"/>
          <w:color w:val="auto"/>
          <w:szCs w:val="22"/>
        </w:rPr>
        <w:t xml:space="preserve"> </w:t>
      </w:r>
      <w:r w:rsidR="0034062E">
        <w:rPr>
          <w:rFonts w:asciiTheme="minorHAnsi" w:hAnsiTheme="minorHAnsi" w:cstheme="minorHAnsi"/>
          <w:i w:val="0"/>
          <w:color w:val="auto"/>
          <w:szCs w:val="22"/>
        </w:rPr>
        <w:t>device</w:t>
      </w:r>
      <w:r w:rsidR="00BA30FF">
        <w:rPr>
          <w:rFonts w:asciiTheme="minorHAnsi" w:hAnsiTheme="minorHAnsi" w:cstheme="minorHAnsi"/>
          <w:i w:val="0"/>
          <w:color w:val="auto"/>
          <w:szCs w:val="22"/>
        </w:rPr>
        <w:t>s</w:t>
      </w:r>
      <w:r w:rsidR="0034062E">
        <w:rPr>
          <w:rFonts w:asciiTheme="minorHAnsi" w:hAnsiTheme="minorHAnsi" w:cstheme="minorHAnsi"/>
          <w:i w:val="0"/>
          <w:color w:val="auto"/>
          <w:szCs w:val="22"/>
        </w:rPr>
        <w:t xml:space="preserve"> delivered through utility </w:t>
      </w:r>
      <w:r w:rsidR="00396261">
        <w:rPr>
          <w:rFonts w:asciiTheme="minorHAnsi" w:hAnsiTheme="minorHAnsi" w:cstheme="minorHAnsi"/>
          <w:i w:val="0"/>
          <w:color w:val="auto"/>
          <w:szCs w:val="22"/>
        </w:rPr>
        <w:t xml:space="preserve">direct install programs </w:t>
      </w:r>
      <w:r w:rsidR="004227F4">
        <w:rPr>
          <w:rFonts w:asciiTheme="minorHAnsi" w:hAnsiTheme="minorHAnsi" w:cstheme="minorHAnsi"/>
          <w:i w:val="0"/>
          <w:color w:val="auto"/>
          <w:szCs w:val="22"/>
        </w:rPr>
        <w:t>require</w:t>
      </w:r>
      <w:r w:rsidR="00396261">
        <w:rPr>
          <w:rFonts w:asciiTheme="minorHAnsi" w:hAnsiTheme="minorHAnsi" w:cstheme="minorHAnsi"/>
          <w:i w:val="0"/>
          <w:color w:val="auto"/>
          <w:szCs w:val="22"/>
        </w:rPr>
        <w:t>:</w:t>
      </w:r>
      <w:r w:rsidR="004227F4">
        <w:rPr>
          <w:rFonts w:asciiTheme="minorHAnsi" w:hAnsiTheme="minorHAnsi" w:cstheme="minorHAnsi"/>
          <w:i w:val="0"/>
          <w:color w:val="auto"/>
          <w:szCs w:val="22"/>
        </w:rPr>
        <w:t xml:space="preserve"> </w:t>
      </w:r>
    </w:p>
    <w:p w:rsidR="00396261" w:rsidRDefault="0058081A" w:rsidP="00322BE0">
      <w:pPr>
        <w:pStyle w:val="Reminders"/>
        <w:numPr>
          <w:ilvl w:val="0"/>
          <w:numId w:val="5"/>
        </w:numPr>
        <w:spacing w:before="0" w:after="0"/>
        <w:rPr>
          <w:rFonts w:asciiTheme="minorHAnsi" w:hAnsiTheme="minorHAnsi" w:cstheme="minorHAnsi"/>
          <w:i w:val="0"/>
          <w:color w:val="auto"/>
          <w:szCs w:val="22"/>
        </w:rPr>
      </w:pPr>
      <w:r w:rsidRPr="0058081A">
        <w:rPr>
          <w:rFonts w:asciiTheme="minorHAnsi" w:hAnsiTheme="minorHAnsi" w:cstheme="minorHAnsi"/>
          <w:b/>
          <w:i w:val="0"/>
          <w:color w:val="auto"/>
          <w:szCs w:val="22"/>
        </w:rPr>
        <w:t>Energy Savings Performance:</w:t>
      </w:r>
      <w:r>
        <w:rPr>
          <w:rFonts w:asciiTheme="minorHAnsi" w:hAnsiTheme="minorHAnsi" w:cstheme="minorHAnsi"/>
          <w:i w:val="0"/>
          <w:color w:val="auto"/>
          <w:szCs w:val="22"/>
        </w:rPr>
        <w:t xml:space="preserve"> </w:t>
      </w:r>
      <w:r w:rsidR="00CB2509" w:rsidRPr="00CB2509">
        <w:rPr>
          <w:rFonts w:asciiTheme="minorHAnsi" w:hAnsiTheme="minorHAnsi" w:cstheme="minorHAnsi"/>
          <w:i w:val="0"/>
          <w:color w:val="auto"/>
          <w:szCs w:val="22"/>
        </w:rPr>
        <w:t>a</w:t>
      </w:r>
      <w:r w:rsidR="004227F4">
        <w:rPr>
          <w:rFonts w:asciiTheme="minorHAnsi" w:hAnsiTheme="minorHAnsi" w:cstheme="minorHAnsi"/>
          <w:i w:val="0"/>
          <w:color w:val="auto"/>
          <w:szCs w:val="22"/>
        </w:rPr>
        <w:t xml:space="preserve">n independent </w:t>
      </w:r>
      <w:r>
        <w:rPr>
          <w:rFonts w:asciiTheme="minorHAnsi" w:hAnsiTheme="minorHAnsi" w:cstheme="minorHAnsi"/>
          <w:i w:val="0"/>
          <w:color w:val="auto"/>
          <w:szCs w:val="22"/>
        </w:rPr>
        <w:t xml:space="preserve">utility </w:t>
      </w:r>
      <w:r w:rsidR="004227F4">
        <w:rPr>
          <w:rFonts w:asciiTheme="minorHAnsi" w:hAnsiTheme="minorHAnsi" w:cstheme="minorHAnsi"/>
          <w:i w:val="0"/>
          <w:color w:val="auto"/>
          <w:szCs w:val="22"/>
        </w:rPr>
        <w:t xml:space="preserve">field trial </w:t>
      </w:r>
      <w:r>
        <w:rPr>
          <w:rFonts w:asciiTheme="minorHAnsi" w:hAnsiTheme="minorHAnsi" w:cstheme="minorHAnsi"/>
          <w:i w:val="0"/>
          <w:color w:val="auto"/>
          <w:szCs w:val="22"/>
        </w:rPr>
        <w:t xml:space="preserve">within the U.S. </w:t>
      </w:r>
      <w:r w:rsidR="004227F4">
        <w:rPr>
          <w:rFonts w:asciiTheme="minorHAnsi" w:hAnsiTheme="minorHAnsi" w:cstheme="minorHAnsi"/>
          <w:i w:val="0"/>
          <w:color w:val="auto"/>
          <w:szCs w:val="22"/>
        </w:rPr>
        <w:t xml:space="preserve">as outlined in </w:t>
      </w:r>
      <w:r w:rsidR="00396261">
        <w:rPr>
          <w:rFonts w:asciiTheme="minorHAnsi" w:hAnsiTheme="minorHAnsi" w:cstheme="minorHAnsi"/>
          <w:i w:val="0"/>
          <w:color w:val="auto"/>
          <w:szCs w:val="22"/>
        </w:rPr>
        <w:t xml:space="preserve">CALPLUG’s </w:t>
      </w:r>
      <w:r w:rsidR="00396261" w:rsidRPr="003D577C">
        <w:rPr>
          <w:rFonts w:asciiTheme="minorHAnsi" w:hAnsiTheme="minorHAnsi" w:cstheme="minorHAnsi"/>
          <w:i w:val="0"/>
          <w:color w:val="auto"/>
          <w:szCs w:val="22"/>
        </w:rPr>
        <w:t>4-Phase Go-to-Market Tier 2 AV APS roadmap</w:t>
      </w:r>
      <w:r w:rsidR="00396261">
        <w:rPr>
          <w:rFonts w:asciiTheme="minorHAnsi" w:hAnsiTheme="minorHAnsi" w:cstheme="minorHAnsi"/>
          <w:i w:val="0"/>
          <w:color w:val="auto"/>
          <w:szCs w:val="22"/>
        </w:rPr>
        <w:t xml:space="preserve"> (</w:t>
      </w:r>
      <w:r w:rsidR="00396261">
        <w:rPr>
          <w:rFonts w:asciiTheme="minorHAnsi" w:hAnsiTheme="minorHAnsi" w:cstheme="minorHAnsi"/>
          <w:b/>
          <w:i w:val="0"/>
          <w:color w:val="auto"/>
          <w:szCs w:val="22"/>
        </w:rPr>
        <w:t>Figure 5</w:t>
      </w:r>
      <w:r w:rsidR="00396261">
        <w:rPr>
          <w:rFonts w:asciiTheme="minorHAnsi" w:hAnsiTheme="minorHAnsi" w:cstheme="minorHAnsi"/>
          <w:i w:val="0"/>
          <w:color w:val="auto"/>
          <w:szCs w:val="22"/>
        </w:rPr>
        <w:t>)</w:t>
      </w:r>
      <w:r>
        <w:rPr>
          <w:rFonts w:asciiTheme="minorHAnsi" w:hAnsiTheme="minorHAnsi" w:cstheme="minorHAnsi"/>
          <w:i w:val="0"/>
          <w:color w:val="auto"/>
          <w:szCs w:val="22"/>
        </w:rPr>
        <w:t xml:space="preserve"> and conforms to the product eligibility requirements specified in 1.1f</w:t>
      </w:r>
      <w:r w:rsidR="00396261">
        <w:rPr>
          <w:rFonts w:asciiTheme="minorHAnsi" w:hAnsiTheme="minorHAnsi" w:cstheme="minorHAnsi"/>
          <w:i w:val="0"/>
          <w:color w:val="auto"/>
          <w:szCs w:val="22"/>
        </w:rPr>
        <w:t>.</w:t>
      </w:r>
    </w:p>
    <w:p w:rsidR="004227F4" w:rsidRDefault="0058081A" w:rsidP="00322BE0">
      <w:pPr>
        <w:pStyle w:val="Reminders"/>
        <w:numPr>
          <w:ilvl w:val="0"/>
          <w:numId w:val="5"/>
        </w:numPr>
        <w:spacing w:before="0" w:after="0"/>
        <w:rPr>
          <w:rFonts w:asciiTheme="minorHAnsi" w:hAnsiTheme="minorHAnsi" w:cstheme="minorHAnsi"/>
          <w:i w:val="0"/>
          <w:color w:val="auto"/>
          <w:szCs w:val="22"/>
        </w:rPr>
      </w:pPr>
      <w:r w:rsidRPr="0058081A">
        <w:rPr>
          <w:rFonts w:asciiTheme="minorHAnsi" w:hAnsiTheme="minorHAnsi" w:cstheme="minorHAnsi"/>
          <w:b/>
          <w:i w:val="0"/>
          <w:color w:val="auto"/>
          <w:szCs w:val="22"/>
        </w:rPr>
        <w:t>Device Accuracy Validation:</w:t>
      </w:r>
      <w:r>
        <w:rPr>
          <w:rFonts w:asciiTheme="minorHAnsi" w:hAnsiTheme="minorHAnsi" w:cstheme="minorHAnsi"/>
          <w:i w:val="0"/>
          <w:color w:val="auto"/>
          <w:szCs w:val="22"/>
        </w:rPr>
        <w:t xml:space="preserve"> </w:t>
      </w:r>
      <w:r w:rsidR="004227F4" w:rsidRPr="00396261">
        <w:rPr>
          <w:rFonts w:asciiTheme="minorHAnsi" w:hAnsiTheme="minorHAnsi" w:cstheme="minorHAnsi"/>
          <w:i w:val="0"/>
          <w:color w:val="auto"/>
          <w:szCs w:val="22"/>
        </w:rPr>
        <w:t>built-in power metering equipment monitoring accuracy with all connected loads to validate the product measures Tr</w:t>
      </w:r>
      <w:r w:rsidR="00396261">
        <w:rPr>
          <w:rFonts w:asciiTheme="minorHAnsi" w:hAnsiTheme="minorHAnsi" w:cstheme="minorHAnsi"/>
          <w:i w:val="0"/>
          <w:color w:val="auto"/>
          <w:szCs w:val="22"/>
        </w:rPr>
        <w:t>ue RMS Power to within +/- 3.0%.</w:t>
      </w:r>
    </w:p>
    <w:p w:rsidR="004227F4" w:rsidRDefault="0058081A" w:rsidP="00322BE0">
      <w:pPr>
        <w:pStyle w:val="ListParagraph"/>
        <w:numPr>
          <w:ilvl w:val="0"/>
          <w:numId w:val="11"/>
        </w:numPr>
        <w:contextualSpacing w:val="0"/>
      </w:pPr>
      <w:r w:rsidRPr="0058081A">
        <w:rPr>
          <w:b/>
        </w:rPr>
        <w:t>Data Reporting</w:t>
      </w:r>
      <w:r>
        <w:rPr>
          <w:b/>
        </w:rPr>
        <w:t xml:space="preserve"> Capability</w:t>
      </w:r>
      <w:r w:rsidRPr="0058081A">
        <w:rPr>
          <w:b/>
        </w:rPr>
        <w:t>:</w:t>
      </w:r>
      <w:r>
        <w:t xml:space="preserve"> </w:t>
      </w:r>
      <w:r w:rsidR="00396261">
        <w:t>p</w:t>
      </w:r>
      <w:r w:rsidR="004227F4">
        <w:t xml:space="preserve">rovide field study pre/post </w:t>
      </w:r>
      <w:r w:rsidR="00396261">
        <w:t xml:space="preserve">data to support </w:t>
      </w:r>
      <w:r w:rsidR="004227F4">
        <w:t>the Energy Reduction Percentage (ERP) analysis</w:t>
      </w:r>
      <w:r w:rsidR="00396261">
        <w:t>.</w:t>
      </w:r>
    </w:p>
    <w:p w:rsidR="004227F4" w:rsidRDefault="0058081A" w:rsidP="00322BE0">
      <w:pPr>
        <w:pStyle w:val="Reminders"/>
        <w:numPr>
          <w:ilvl w:val="0"/>
          <w:numId w:val="11"/>
        </w:numPr>
        <w:spacing w:before="0" w:after="0"/>
        <w:rPr>
          <w:rFonts w:asciiTheme="minorHAnsi" w:hAnsiTheme="minorHAnsi" w:cstheme="minorHAnsi"/>
          <w:i w:val="0"/>
          <w:color w:val="auto"/>
          <w:szCs w:val="22"/>
        </w:rPr>
      </w:pPr>
      <w:r w:rsidRPr="0058081A">
        <w:rPr>
          <w:rFonts w:asciiTheme="minorHAnsi" w:hAnsiTheme="minorHAnsi" w:cstheme="minorHAnsi"/>
          <w:b/>
          <w:i w:val="0"/>
          <w:color w:val="auto"/>
          <w:szCs w:val="22"/>
        </w:rPr>
        <w:t>Valid Installation:</w:t>
      </w:r>
      <w:r>
        <w:rPr>
          <w:rFonts w:asciiTheme="minorHAnsi" w:hAnsiTheme="minorHAnsi" w:cstheme="minorHAnsi"/>
          <w:i w:val="0"/>
          <w:color w:val="auto"/>
          <w:szCs w:val="22"/>
        </w:rPr>
        <w:t xml:space="preserve"> </w:t>
      </w:r>
      <w:r w:rsidR="004227F4">
        <w:rPr>
          <w:rFonts w:asciiTheme="minorHAnsi" w:hAnsiTheme="minorHAnsi" w:cstheme="minorHAnsi"/>
          <w:i w:val="0"/>
          <w:color w:val="auto"/>
          <w:szCs w:val="22"/>
        </w:rPr>
        <w:t>A</w:t>
      </w:r>
      <w:r w:rsidR="004227F4" w:rsidRPr="00CB2509">
        <w:rPr>
          <w:rFonts w:asciiTheme="minorHAnsi" w:hAnsiTheme="minorHAnsi" w:cstheme="minorHAnsi"/>
          <w:i w:val="0"/>
          <w:color w:val="auto"/>
          <w:szCs w:val="22"/>
        </w:rPr>
        <w:t xml:space="preserve"> valid installation </w:t>
      </w:r>
      <w:r w:rsidR="004227F4">
        <w:rPr>
          <w:rFonts w:asciiTheme="minorHAnsi" w:hAnsiTheme="minorHAnsi" w:cstheme="minorHAnsi"/>
          <w:i w:val="0"/>
          <w:color w:val="auto"/>
          <w:szCs w:val="22"/>
        </w:rPr>
        <w:t xml:space="preserve">comprises the </w:t>
      </w:r>
      <w:r w:rsidR="004227F4" w:rsidRPr="00CB2509">
        <w:rPr>
          <w:rFonts w:asciiTheme="minorHAnsi" w:hAnsiTheme="minorHAnsi" w:cstheme="minorHAnsi"/>
          <w:i w:val="0"/>
          <w:color w:val="auto"/>
          <w:szCs w:val="22"/>
        </w:rPr>
        <w:t xml:space="preserve">control </w:t>
      </w:r>
      <w:r w:rsidR="004227F4">
        <w:rPr>
          <w:rFonts w:asciiTheme="minorHAnsi" w:hAnsiTheme="minorHAnsi" w:cstheme="minorHAnsi"/>
          <w:i w:val="0"/>
          <w:color w:val="auto"/>
          <w:szCs w:val="22"/>
        </w:rPr>
        <w:t xml:space="preserve">of </w:t>
      </w:r>
      <w:r w:rsidR="004227F4" w:rsidRPr="00CB2509">
        <w:rPr>
          <w:rFonts w:asciiTheme="minorHAnsi" w:hAnsiTheme="minorHAnsi" w:cstheme="minorHAnsi"/>
          <w:i w:val="0"/>
          <w:color w:val="auto"/>
          <w:szCs w:val="22"/>
        </w:rPr>
        <w:t xml:space="preserve">at least 2 AV devices with one being the television. </w:t>
      </w:r>
      <w:r w:rsidR="004227F4">
        <w:rPr>
          <w:rFonts w:asciiTheme="minorHAnsi" w:hAnsiTheme="minorHAnsi" w:cstheme="minorHAnsi"/>
          <w:i w:val="0"/>
          <w:color w:val="auto"/>
          <w:szCs w:val="22"/>
        </w:rPr>
        <w:t>(</w:t>
      </w:r>
      <w:r w:rsidR="004227F4" w:rsidRPr="00CB2509">
        <w:rPr>
          <w:rFonts w:asciiTheme="minorHAnsi" w:hAnsiTheme="minorHAnsi" w:cstheme="minorHAnsi"/>
          <w:i w:val="0"/>
          <w:color w:val="auto"/>
          <w:szCs w:val="22"/>
        </w:rPr>
        <w:t xml:space="preserve">Given this requirement, an AV environment consisting of a television and DVD player would be eligible for a Tier 2 </w:t>
      </w:r>
      <w:r w:rsidR="004227F4">
        <w:rPr>
          <w:rFonts w:asciiTheme="minorHAnsi" w:hAnsiTheme="minorHAnsi" w:cstheme="minorHAnsi"/>
          <w:i w:val="0"/>
          <w:color w:val="auto"/>
          <w:szCs w:val="22"/>
        </w:rPr>
        <w:t>Advanced Smart Connected</w:t>
      </w:r>
      <w:r w:rsidR="004227F4" w:rsidRPr="00CB2509">
        <w:rPr>
          <w:rFonts w:asciiTheme="minorHAnsi" w:hAnsiTheme="minorHAnsi" w:cstheme="minorHAnsi"/>
          <w:i w:val="0"/>
          <w:color w:val="auto"/>
          <w:szCs w:val="22"/>
        </w:rPr>
        <w:t xml:space="preserve"> </w:t>
      </w:r>
      <w:r w:rsidR="004227F4">
        <w:rPr>
          <w:rFonts w:asciiTheme="minorHAnsi" w:hAnsiTheme="minorHAnsi" w:cstheme="minorHAnsi"/>
          <w:i w:val="0"/>
          <w:color w:val="auto"/>
          <w:szCs w:val="22"/>
        </w:rPr>
        <w:t>Power Strip</w:t>
      </w:r>
      <w:r w:rsidR="004227F4" w:rsidRPr="00CB2509">
        <w:rPr>
          <w:rFonts w:asciiTheme="minorHAnsi" w:hAnsiTheme="minorHAnsi" w:cstheme="minorHAnsi"/>
          <w:i w:val="0"/>
          <w:color w:val="auto"/>
          <w:szCs w:val="22"/>
        </w:rPr>
        <w:t xml:space="preserve"> installation</w:t>
      </w:r>
      <w:r w:rsidR="004227F4">
        <w:rPr>
          <w:rFonts w:asciiTheme="minorHAnsi" w:hAnsiTheme="minorHAnsi" w:cstheme="minorHAnsi"/>
          <w:i w:val="0"/>
          <w:color w:val="auto"/>
          <w:szCs w:val="22"/>
        </w:rPr>
        <w:t>.)</w:t>
      </w:r>
    </w:p>
    <w:p w:rsidR="00783899" w:rsidRDefault="001F4476" w:rsidP="0058081A">
      <w:pPr>
        <w:pStyle w:val="Heading4"/>
      </w:pPr>
      <w:r>
        <w:t xml:space="preserve">Downstream </w:t>
      </w:r>
      <w:r w:rsidR="0058081A">
        <w:t>Delivery Channel</w:t>
      </w:r>
    </w:p>
    <w:p w:rsidR="0058081A" w:rsidRDefault="001F4476" w:rsidP="0058081A">
      <w:pPr>
        <w:pStyle w:val="Reminders"/>
        <w:spacing w:before="0" w:after="0"/>
        <w:rPr>
          <w:rFonts w:asciiTheme="minorHAnsi" w:hAnsiTheme="minorHAnsi" w:cstheme="minorHAnsi"/>
          <w:i w:val="0"/>
          <w:color w:val="auto"/>
          <w:szCs w:val="22"/>
        </w:rPr>
      </w:pPr>
      <w:r>
        <w:rPr>
          <w:rFonts w:asciiTheme="minorHAnsi" w:hAnsiTheme="minorHAnsi" w:cstheme="minorHAnsi"/>
          <w:i w:val="0"/>
          <w:color w:val="auto"/>
          <w:szCs w:val="22"/>
        </w:rPr>
        <w:t xml:space="preserve">Before incentives or rebates are paid, </w:t>
      </w:r>
      <w:r w:rsidR="0058081A" w:rsidRPr="00CB2509">
        <w:rPr>
          <w:rFonts w:asciiTheme="minorHAnsi" w:hAnsiTheme="minorHAnsi" w:cstheme="minorHAnsi"/>
          <w:i w:val="0"/>
          <w:color w:val="auto"/>
          <w:szCs w:val="22"/>
        </w:rPr>
        <w:t xml:space="preserve">Tier 2 </w:t>
      </w:r>
      <w:r w:rsidR="0058081A">
        <w:rPr>
          <w:rFonts w:asciiTheme="minorHAnsi" w:hAnsiTheme="minorHAnsi" w:cstheme="minorHAnsi"/>
          <w:i w:val="0"/>
          <w:color w:val="auto"/>
          <w:szCs w:val="22"/>
        </w:rPr>
        <w:t>Advanced Smart Connected</w:t>
      </w:r>
      <w:r w:rsidR="0058081A" w:rsidRPr="00CB2509">
        <w:rPr>
          <w:rFonts w:asciiTheme="minorHAnsi" w:hAnsiTheme="minorHAnsi" w:cstheme="minorHAnsi"/>
          <w:i w:val="0"/>
          <w:color w:val="auto"/>
          <w:szCs w:val="22"/>
        </w:rPr>
        <w:t xml:space="preserve"> </w:t>
      </w:r>
      <w:r w:rsidR="0058081A">
        <w:rPr>
          <w:rFonts w:asciiTheme="minorHAnsi" w:hAnsiTheme="minorHAnsi" w:cstheme="minorHAnsi"/>
          <w:i w:val="0"/>
          <w:color w:val="auto"/>
          <w:szCs w:val="22"/>
        </w:rPr>
        <w:t>Power Strip</w:t>
      </w:r>
      <w:r w:rsidR="0058081A" w:rsidRPr="00CB2509">
        <w:rPr>
          <w:rFonts w:asciiTheme="minorHAnsi" w:hAnsiTheme="minorHAnsi" w:cstheme="minorHAnsi"/>
          <w:i w:val="0"/>
          <w:color w:val="auto"/>
          <w:szCs w:val="22"/>
        </w:rPr>
        <w:t xml:space="preserve"> </w:t>
      </w:r>
      <w:r w:rsidR="0058081A">
        <w:rPr>
          <w:rFonts w:asciiTheme="minorHAnsi" w:hAnsiTheme="minorHAnsi" w:cstheme="minorHAnsi"/>
          <w:i w:val="0"/>
          <w:color w:val="auto"/>
          <w:szCs w:val="22"/>
        </w:rPr>
        <w:t xml:space="preserve">devices delivered through utility </w:t>
      </w:r>
      <w:r>
        <w:rPr>
          <w:rFonts w:asciiTheme="minorHAnsi" w:hAnsiTheme="minorHAnsi" w:cstheme="minorHAnsi"/>
          <w:i w:val="0"/>
          <w:color w:val="auto"/>
          <w:szCs w:val="22"/>
        </w:rPr>
        <w:t>downstream</w:t>
      </w:r>
      <w:r w:rsidR="0058081A">
        <w:rPr>
          <w:rFonts w:asciiTheme="minorHAnsi" w:hAnsiTheme="minorHAnsi" w:cstheme="minorHAnsi"/>
          <w:i w:val="0"/>
          <w:color w:val="auto"/>
          <w:szCs w:val="22"/>
        </w:rPr>
        <w:t xml:space="preserve"> deployment programs require</w:t>
      </w:r>
      <w:r>
        <w:rPr>
          <w:rFonts w:asciiTheme="minorHAnsi" w:hAnsiTheme="minorHAnsi" w:cstheme="minorHAnsi"/>
          <w:i w:val="0"/>
          <w:color w:val="auto"/>
          <w:szCs w:val="22"/>
        </w:rPr>
        <w:t xml:space="preserve"> the following</w:t>
      </w:r>
      <w:r w:rsidR="0058081A">
        <w:rPr>
          <w:rFonts w:asciiTheme="minorHAnsi" w:hAnsiTheme="minorHAnsi" w:cstheme="minorHAnsi"/>
          <w:i w:val="0"/>
          <w:color w:val="auto"/>
          <w:szCs w:val="22"/>
        </w:rPr>
        <w:t xml:space="preserve">: </w:t>
      </w:r>
    </w:p>
    <w:p w:rsidR="00DF037B" w:rsidRDefault="0058081A" w:rsidP="00322BE0">
      <w:pPr>
        <w:pStyle w:val="Reminders"/>
        <w:numPr>
          <w:ilvl w:val="0"/>
          <w:numId w:val="5"/>
        </w:numPr>
        <w:spacing w:before="0" w:after="0"/>
        <w:rPr>
          <w:rFonts w:asciiTheme="minorHAnsi" w:hAnsiTheme="minorHAnsi" w:cstheme="minorHAnsi"/>
          <w:i w:val="0"/>
          <w:color w:val="auto"/>
          <w:szCs w:val="22"/>
        </w:rPr>
      </w:pPr>
      <w:r w:rsidRPr="0058081A">
        <w:rPr>
          <w:rFonts w:asciiTheme="minorHAnsi" w:hAnsiTheme="minorHAnsi" w:cstheme="minorHAnsi"/>
          <w:b/>
          <w:i w:val="0"/>
          <w:color w:val="auto"/>
          <w:szCs w:val="22"/>
        </w:rPr>
        <w:t xml:space="preserve">Product Installation Validation: </w:t>
      </w:r>
      <w:r w:rsidRPr="0058081A">
        <w:rPr>
          <w:rFonts w:asciiTheme="minorHAnsi" w:hAnsiTheme="minorHAnsi" w:cstheme="minorHAnsi"/>
          <w:i w:val="0"/>
          <w:color w:val="auto"/>
          <w:szCs w:val="22"/>
        </w:rPr>
        <w:t>Every product must validate installation via an electronic registration process.</w:t>
      </w:r>
      <w:r>
        <w:rPr>
          <w:rFonts w:asciiTheme="minorHAnsi" w:hAnsiTheme="minorHAnsi" w:cstheme="minorHAnsi"/>
          <w:i w:val="0"/>
          <w:color w:val="auto"/>
          <w:szCs w:val="22"/>
        </w:rPr>
        <w:t xml:space="preserve"> </w:t>
      </w:r>
    </w:p>
    <w:p w:rsidR="0058081A" w:rsidRDefault="00DF037B" w:rsidP="00322BE0">
      <w:pPr>
        <w:pStyle w:val="Reminders"/>
        <w:numPr>
          <w:ilvl w:val="0"/>
          <w:numId w:val="5"/>
        </w:numPr>
        <w:spacing w:before="0" w:after="0"/>
        <w:rPr>
          <w:rFonts w:asciiTheme="minorHAnsi" w:hAnsiTheme="minorHAnsi" w:cstheme="minorHAnsi"/>
          <w:i w:val="0"/>
          <w:color w:val="auto"/>
          <w:szCs w:val="22"/>
        </w:rPr>
      </w:pPr>
      <w:r>
        <w:rPr>
          <w:rFonts w:asciiTheme="minorHAnsi" w:hAnsiTheme="minorHAnsi" w:cstheme="minorHAnsi"/>
          <w:b/>
          <w:i w:val="0"/>
          <w:color w:val="auto"/>
          <w:szCs w:val="22"/>
        </w:rPr>
        <w:t>Data Metering and Reporting:</w:t>
      </w:r>
      <w:r>
        <w:rPr>
          <w:rFonts w:asciiTheme="minorHAnsi" w:hAnsiTheme="minorHAnsi" w:cstheme="minorHAnsi"/>
          <w:i w:val="0"/>
          <w:color w:val="auto"/>
          <w:szCs w:val="22"/>
        </w:rPr>
        <w:t xml:space="preserve"> </w:t>
      </w:r>
      <w:r w:rsidR="0058081A" w:rsidRPr="0058081A">
        <w:rPr>
          <w:rFonts w:asciiTheme="minorHAnsi" w:hAnsiTheme="minorHAnsi" w:cstheme="minorHAnsi"/>
          <w:i w:val="0"/>
          <w:color w:val="auto"/>
          <w:szCs w:val="22"/>
        </w:rPr>
        <w:t xml:space="preserve">The validation process must meter </w:t>
      </w:r>
      <w:r>
        <w:rPr>
          <w:rFonts w:asciiTheme="minorHAnsi" w:hAnsiTheme="minorHAnsi" w:cstheme="minorHAnsi"/>
          <w:i w:val="0"/>
          <w:color w:val="auto"/>
          <w:szCs w:val="22"/>
        </w:rPr>
        <w:t xml:space="preserve">and report </w:t>
      </w:r>
      <w:r w:rsidR="0058081A" w:rsidRPr="0058081A">
        <w:rPr>
          <w:rFonts w:asciiTheme="minorHAnsi" w:hAnsiTheme="minorHAnsi" w:cstheme="minorHAnsi"/>
          <w:i w:val="0"/>
          <w:color w:val="auto"/>
          <w:szCs w:val="22"/>
        </w:rPr>
        <w:t>the total True RMS Power from devices connected to the controlled outlets of the Tier 2 Advanced Smart Connected Power Strip</w:t>
      </w:r>
      <w:r w:rsidR="0058081A">
        <w:rPr>
          <w:rFonts w:asciiTheme="minorHAnsi" w:hAnsiTheme="minorHAnsi" w:cstheme="minorHAnsi"/>
          <w:i w:val="0"/>
          <w:color w:val="auto"/>
          <w:szCs w:val="22"/>
        </w:rPr>
        <w:t>.</w:t>
      </w:r>
    </w:p>
    <w:p w:rsidR="0058081A" w:rsidRPr="0058081A" w:rsidRDefault="0058081A" w:rsidP="0058081A">
      <w:pPr>
        <w:pStyle w:val="Reminders"/>
        <w:spacing w:before="0" w:after="0"/>
        <w:ind w:left="720"/>
        <w:rPr>
          <w:rFonts w:asciiTheme="minorHAnsi" w:hAnsiTheme="minorHAnsi" w:cstheme="minorHAnsi"/>
          <w:i w:val="0"/>
          <w:color w:val="auto"/>
          <w:szCs w:val="22"/>
        </w:rPr>
      </w:pPr>
    </w:p>
    <w:p w:rsidR="00565EC5" w:rsidRPr="00CB2509" w:rsidRDefault="00565EC5" w:rsidP="00783899">
      <w:pPr>
        <w:pStyle w:val="Heading3"/>
        <w:spacing w:before="0" w:after="0"/>
        <w:rPr>
          <w:rFonts w:asciiTheme="minorHAnsi" w:hAnsiTheme="minorHAnsi"/>
        </w:rPr>
      </w:pPr>
      <w:r>
        <w:rPr>
          <w:rFonts w:asciiTheme="minorHAnsi" w:hAnsiTheme="minorHAnsi"/>
        </w:rPr>
        <w:t>1.1f Product Eligibility Requirements</w:t>
      </w:r>
    </w:p>
    <w:p w:rsidR="00623532" w:rsidRDefault="00565EC5" w:rsidP="00623532">
      <w:pPr>
        <w:contextualSpacing/>
        <w:rPr>
          <w:rFonts w:cstheme="minorHAnsi"/>
          <w:szCs w:val="22"/>
        </w:rPr>
      </w:pPr>
      <w:r w:rsidRPr="007A33F7">
        <w:rPr>
          <w:rFonts w:cstheme="minorHAnsi"/>
          <w:szCs w:val="22"/>
        </w:rPr>
        <w:t>Tier 2</w:t>
      </w:r>
      <w:r w:rsidR="00BA30FF">
        <w:rPr>
          <w:rFonts w:cstheme="minorHAnsi"/>
          <w:szCs w:val="22"/>
        </w:rPr>
        <w:t xml:space="preserve"> </w:t>
      </w:r>
      <w:r w:rsidR="00033B7A">
        <w:rPr>
          <w:rFonts w:cstheme="minorHAnsi"/>
          <w:szCs w:val="22"/>
        </w:rPr>
        <w:t>Advanced Smart Connected Power Strip</w:t>
      </w:r>
      <w:r w:rsidRPr="007A33F7">
        <w:rPr>
          <w:rFonts w:cstheme="minorHAnsi"/>
          <w:szCs w:val="22"/>
        </w:rPr>
        <w:t xml:space="preserve"> Minimum Product Specification</w:t>
      </w:r>
      <w:r w:rsidR="00623532">
        <w:rPr>
          <w:rFonts w:cstheme="minorHAnsi"/>
          <w:szCs w:val="22"/>
        </w:rPr>
        <w:t>s:</w:t>
      </w:r>
    </w:p>
    <w:p w:rsidR="00623532" w:rsidRDefault="00623532" w:rsidP="00623532">
      <w:pPr>
        <w:contextualSpacing/>
        <w:rPr>
          <w:rFonts w:cstheme="minorHAnsi"/>
          <w:szCs w:val="22"/>
        </w:rPr>
      </w:pPr>
    </w:p>
    <w:p w:rsidR="00623532" w:rsidRDefault="00623532" w:rsidP="00322BE0">
      <w:pPr>
        <w:numPr>
          <w:ilvl w:val="1"/>
          <w:numId w:val="6"/>
        </w:numPr>
        <w:ind w:left="993" w:hanging="426"/>
        <w:rPr>
          <w:rFonts w:cstheme="minorHAnsi"/>
          <w:szCs w:val="22"/>
        </w:rPr>
      </w:pPr>
      <w:r>
        <w:rPr>
          <w:rFonts w:cstheme="minorHAnsi"/>
          <w:szCs w:val="22"/>
        </w:rPr>
        <w:t xml:space="preserve">Must be </w:t>
      </w:r>
      <w:r w:rsidR="001132C7">
        <w:rPr>
          <w:rFonts w:cstheme="minorHAnsi"/>
          <w:szCs w:val="22"/>
        </w:rPr>
        <w:t xml:space="preserve">independently field trialed within the U.S. </w:t>
      </w:r>
      <w:r>
        <w:rPr>
          <w:rFonts w:cstheme="minorHAnsi"/>
          <w:szCs w:val="22"/>
        </w:rPr>
        <w:t>as identified in phase 4 of CalPlug’s go-to-market roadmap</w:t>
      </w:r>
      <w:r w:rsidR="008C7FD0">
        <w:rPr>
          <w:rFonts w:cstheme="minorHAnsi"/>
          <w:szCs w:val="22"/>
        </w:rPr>
        <w:t xml:space="preserve"> (</w:t>
      </w:r>
      <w:r w:rsidR="008C7FD0" w:rsidRPr="008C7FD0">
        <w:rPr>
          <w:rFonts w:cstheme="minorHAnsi"/>
          <w:b/>
          <w:szCs w:val="22"/>
        </w:rPr>
        <w:t>Figure 5</w:t>
      </w:r>
      <w:r w:rsidR="008C7FD0">
        <w:rPr>
          <w:rFonts w:cstheme="minorHAnsi"/>
          <w:szCs w:val="22"/>
        </w:rPr>
        <w:t>)</w:t>
      </w:r>
      <w:r>
        <w:rPr>
          <w:rFonts w:cstheme="minorHAnsi"/>
          <w:szCs w:val="22"/>
        </w:rPr>
        <w:t>.</w:t>
      </w:r>
    </w:p>
    <w:p w:rsidR="005C764F" w:rsidRDefault="00BE2241" w:rsidP="00322BE0">
      <w:pPr>
        <w:numPr>
          <w:ilvl w:val="1"/>
          <w:numId w:val="6"/>
        </w:numPr>
        <w:ind w:left="993" w:hanging="426"/>
        <w:rPr>
          <w:rFonts w:cstheme="minorHAnsi"/>
          <w:szCs w:val="22"/>
        </w:rPr>
      </w:pPr>
      <w:r>
        <w:rPr>
          <w:rFonts w:cstheme="minorHAnsi"/>
          <w:szCs w:val="22"/>
        </w:rPr>
        <w:t>Field trial must demonstrate</w:t>
      </w:r>
      <w:r w:rsidR="00623532">
        <w:rPr>
          <w:rFonts w:cstheme="minorHAnsi"/>
          <w:szCs w:val="22"/>
        </w:rPr>
        <w:t xml:space="preserve"> that product achieves</w:t>
      </w:r>
      <w:r>
        <w:rPr>
          <w:rFonts w:cstheme="minorHAnsi"/>
          <w:szCs w:val="22"/>
        </w:rPr>
        <w:t xml:space="preserve"> </w:t>
      </w:r>
      <w:r w:rsidR="00623532">
        <w:rPr>
          <w:rFonts w:cstheme="minorHAnsi"/>
          <w:szCs w:val="22"/>
        </w:rPr>
        <w:t>annual</w:t>
      </w:r>
      <w:r>
        <w:rPr>
          <w:rFonts w:cstheme="minorHAnsi"/>
          <w:szCs w:val="22"/>
        </w:rPr>
        <w:t xml:space="preserve"> energy </w:t>
      </w:r>
      <w:r w:rsidR="00A2644C">
        <w:rPr>
          <w:rFonts w:cstheme="minorHAnsi"/>
          <w:szCs w:val="22"/>
        </w:rPr>
        <w:t xml:space="preserve">and peak demand </w:t>
      </w:r>
      <w:r w:rsidR="00623532">
        <w:rPr>
          <w:rFonts w:cstheme="minorHAnsi"/>
          <w:szCs w:val="22"/>
        </w:rPr>
        <w:t xml:space="preserve">reduction </w:t>
      </w:r>
      <w:r w:rsidR="00A2644C">
        <w:rPr>
          <w:rFonts w:cstheme="minorHAnsi"/>
          <w:szCs w:val="22"/>
        </w:rPr>
        <w:t xml:space="preserve">savings </w:t>
      </w:r>
      <w:r w:rsidR="001132C7">
        <w:rPr>
          <w:rFonts w:cstheme="minorHAnsi"/>
          <w:szCs w:val="22"/>
        </w:rPr>
        <w:t>no less than</w:t>
      </w:r>
      <w:r>
        <w:rPr>
          <w:rFonts w:cstheme="minorHAnsi"/>
          <w:szCs w:val="22"/>
        </w:rPr>
        <w:t xml:space="preserve"> </w:t>
      </w:r>
      <w:r w:rsidR="00AB16DA">
        <w:rPr>
          <w:rFonts w:cstheme="minorHAnsi"/>
          <w:szCs w:val="22"/>
        </w:rPr>
        <w:t>9</w:t>
      </w:r>
      <w:r>
        <w:rPr>
          <w:rFonts w:cstheme="minorHAnsi"/>
          <w:szCs w:val="22"/>
        </w:rPr>
        <w:t xml:space="preserve">5% of 240 kWh </w:t>
      </w:r>
      <w:r w:rsidR="00F750A6">
        <w:rPr>
          <w:rFonts w:cstheme="minorHAnsi"/>
          <w:szCs w:val="22"/>
        </w:rPr>
        <w:t>and</w:t>
      </w:r>
      <w:r>
        <w:rPr>
          <w:rFonts w:cstheme="minorHAnsi"/>
          <w:szCs w:val="22"/>
        </w:rPr>
        <w:t xml:space="preserve"> 52.89 Watts</w:t>
      </w:r>
      <w:r w:rsidR="00623532">
        <w:rPr>
          <w:rFonts w:cstheme="minorHAnsi"/>
          <w:szCs w:val="22"/>
        </w:rPr>
        <w:t>,</w:t>
      </w:r>
      <w:r w:rsidR="00A2644C">
        <w:rPr>
          <w:rFonts w:cstheme="minorHAnsi"/>
          <w:szCs w:val="22"/>
        </w:rPr>
        <w:t xml:space="preserve"> respectively.</w:t>
      </w:r>
    </w:p>
    <w:p w:rsidR="00D17456" w:rsidRDefault="006E4353" w:rsidP="00322BE0">
      <w:pPr>
        <w:numPr>
          <w:ilvl w:val="1"/>
          <w:numId w:val="6"/>
        </w:numPr>
        <w:ind w:left="993" w:hanging="426"/>
        <w:rPr>
          <w:rFonts w:cstheme="minorHAnsi"/>
          <w:szCs w:val="22"/>
        </w:rPr>
      </w:pPr>
      <w:r>
        <w:rPr>
          <w:rFonts w:cstheme="minorHAnsi"/>
          <w:szCs w:val="22"/>
        </w:rPr>
        <w:t xml:space="preserve">Must </w:t>
      </w:r>
      <w:r w:rsidR="008C7FD0">
        <w:rPr>
          <w:rFonts w:cstheme="minorHAnsi"/>
          <w:szCs w:val="22"/>
        </w:rPr>
        <w:t>adhere to AB 793 requirements by providing</w:t>
      </w:r>
      <w:r w:rsidRPr="00CB7A0F">
        <w:rPr>
          <w:rFonts w:cstheme="minorHAnsi"/>
          <w:szCs w:val="22"/>
        </w:rPr>
        <w:t xml:space="preserve"> </w:t>
      </w:r>
      <w:r>
        <w:rPr>
          <w:rFonts w:cstheme="minorHAnsi"/>
          <w:szCs w:val="22"/>
        </w:rPr>
        <w:t xml:space="preserve">wireless </w:t>
      </w:r>
      <w:r w:rsidRPr="00CB7A0F">
        <w:rPr>
          <w:rFonts w:cstheme="minorHAnsi"/>
          <w:szCs w:val="22"/>
        </w:rPr>
        <w:t>control interfacing between the Tier 2 APS device</w:t>
      </w:r>
      <w:r>
        <w:rPr>
          <w:rFonts w:cstheme="minorHAnsi"/>
          <w:szCs w:val="22"/>
        </w:rPr>
        <w:t>,</w:t>
      </w:r>
      <w:r w:rsidRPr="00CB7A0F">
        <w:rPr>
          <w:rFonts w:cstheme="minorHAnsi"/>
          <w:szCs w:val="22"/>
        </w:rPr>
        <w:t xml:space="preserve"> and the user’s smart device (phone or tablet)</w:t>
      </w:r>
      <w:r w:rsidR="008C7FD0">
        <w:rPr>
          <w:rFonts w:cstheme="minorHAnsi"/>
          <w:szCs w:val="22"/>
        </w:rPr>
        <w:t>.</w:t>
      </w:r>
    </w:p>
    <w:p w:rsidR="006E4353" w:rsidRPr="00D17456" w:rsidRDefault="00D17456" w:rsidP="00322BE0">
      <w:pPr>
        <w:numPr>
          <w:ilvl w:val="1"/>
          <w:numId w:val="6"/>
        </w:numPr>
        <w:ind w:left="993" w:hanging="426"/>
        <w:rPr>
          <w:rFonts w:cstheme="minorHAnsi"/>
          <w:szCs w:val="22"/>
        </w:rPr>
      </w:pPr>
      <w:r w:rsidRPr="00D17456">
        <w:rPr>
          <w:rFonts w:cstheme="minorHAnsi"/>
          <w:szCs w:val="22"/>
        </w:rPr>
        <w:lastRenderedPageBreak/>
        <w:t>Must provide the option to stream real time power data directly to the smart device (i.e. directly from the Tier 2 APS device to smart phone or tablet) to ensure power data privacy</w:t>
      </w:r>
      <w:r w:rsidR="002F07A4" w:rsidRPr="00D17456">
        <w:rPr>
          <w:rFonts w:cstheme="minorHAnsi"/>
          <w:szCs w:val="22"/>
        </w:rPr>
        <w:t>.</w:t>
      </w:r>
    </w:p>
    <w:p w:rsidR="00565EC5" w:rsidRPr="006E4353" w:rsidRDefault="00565EC5" w:rsidP="00322BE0">
      <w:pPr>
        <w:numPr>
          <w:ilvl w:val="1"/>
          <w:numId w:val="6"/>
        </w:numPr>
        <w:ind w:left="993" w:hanging="426"/>
        <w:rPr>
          <w:rFonts w:cstheme="minorHAnsi"/>
          <w:szCs w:val="22"/>
        </w:rPr>
      </w:pPr>
      <w:r w:rsidRPr="006E4353">
        <w:rPr>
          <w:rFonts w:cstheme="minorHAnsi"/>
          <w:szCs w:val="22"/>
        </w:rPr>
        <w:t>Featu</w:t>
      </w:r>
      <w:r w:rsidR="002F07A4">
        <w:rPr>
          <w:rFonts w:cstheme="minorHAnsi"/>
          <w:szCs w:val="22"/>
        </w:rPr>
        <w:t>re a resettable circuit breaker.</w:t>
      </w:r>
    </w:p>
    <w:p w:rsidR="00565EC5" w:rsidRPr="007A33F7" w:rsidRDefault="00565EC5" w:rsidP="00322BE0">
      <w:pPr>
        <w:numPr>
          <w:ilvl w:val="1"/>
          <w:numId w:val="6"/>
        </w:numPr>
        <w:ind w:left="993" w:hanging="426"/>
        <w:rPr>
          <w:rFonts w:cstheme="minorHAnsi"/>
          <w:szCs w:val="22"/>
        </w:rPr>
      </w:pPr>
      <w:r w:rsidRPr="007A33F7">
        <w:rPr>
          <w:rFonts w:cstheme="minorHAnsi"/>
          <w:szCs w:val="22"/>
        </w:rPr>
        <w:t>Incorporate power switching electromechanical relays rated for 100,000 switching cycles at full 15 amp load (equi</w:t>
      </w:r>
      <w:r w:rsidR="008C7FD0">
        <w:rPr>
          <w:rFonts w:cstheme="minorHAnsi"/>
          <w:szCs w:val="22"/>
        </w:rPr>
        <w:t>valent to over 10 years of use).</w:t>
      </w:r>
    </w:p>
    <w:p w:rsidR="00565EC5" w:rsidRPr="007A33F7" w:rsidRDefault="00565EC5" w:rsidP="00322BE0">
      <w:pPr>
        <w:numPr>
          <w:ilvl w:val="1"/>
          <w:numId w:val="6"/>
        </w:numPr>
        <w:ind w:left="993" w:hanging="426"/>
        <w:rPr>
          <w:rFonts w:cstheme="minorHAnsi"/>
          <w:szCs w:val="22"/>
        </w:rPr>
      </w:pPr>
      <w:r w:rsidRPr="007A33F7">
        <w:rPr>
          <w:rFonts w:cstheme="minorHAnsi"/>
          <w:szCs w:val="22"/>
        </w:rPr>
        <w:t xml:space="preserve">Consume less than 1 Watt at all times unless delivering </w:t>
      </w:r>
      <w:r w:rsidR="002F07A4">
        <w:rPr>
          <w:rFonts w:cstheme="minorHAnsi"/>
          <w:szCs w:val="22"/>
        </w:rPr>
        <w:t>wireless communication features.</w:t>
      </w:r>
    </w:p>
    <w:p w:rsidR="00565EC5" w:rsidRPr="007A33F7" w:rsidRDefault="00565EC5" w:rsidP="00322BE0">
      <w:pPr>
        <w:numPr>
          <w:ilvl w:val="1"/>
          <w:numId w:val="6"/>
        </w:numPr>
        <w:ind w:left="993" w:hanging="426"/>
        <w:rPr>
          <w:rFonts w:cstheme="minorHAnsi"/>
          <w:szCs w:val="22"/>
        </w:rPr>
      </w:pPr>
      <w:r w:rsidRPr="007A33F7">
        <w:rPr>
          <w:rFonts w:cstheme="minorHAnsi"/>
          <w:szCs w:val="22"/>
        </w:rPr>
        <w:t xml:space="preserve">Sense </w:t>
      </w:r>
      <w:r w:rsidR="00D61704">
        <w:rPr>
          <w:rFonts w:cstheme="minorHAnsi"/>
          <w:szCs w:val="22"/>
        </w:rPr>
        <w:t xml:space="preserve">and transmit </w:t>
      </w:r>
      <w:r w:rsidRPr="007A33F7">
        <w:rPr>
          <w:rFonts w:cstheme="minorHAnsi"/>
          <w:szCs w:val="22"/>
        </w:rPr>
        <w:t xml:space="preserve">total power being consumed by all </w:t>
      </w:r>
      <w:r w:rsidR="00D61704">
        <w:rPr>
          <w:rFonts w:cstheme="minorHAnsi"/>
          <w:szCs w:val="22"/>
        </w:rPr>
        <w:t xml:space="preserve">devices connected to </w:t>
      </w:r>
      <w:r w:rsidR="00D61704" w:rsidRPr="007A33F7">
        <w:rPr>
          <w:rFonts w:cstheme="minorHAnsi"/>
          <w:szCs w:val="22"/>
        </w:rPr>
        <w:t xml:space="preserve">controlled </w:t>
      </w:r>
      <w:r w:rsidR="00D61704">
        <w:rPr>
          <w:rFonts w:cstheme="minorHAnsi"/>
          <w:szCs w:val="22"/>
        </w:rPr>
        <w:t>outlets on the Tier 2 APS device</w:t>
      </w:r>
      <w:r w:rsidR="00637D29">
        <w:rPr>
          <w:rFonts w:cstheme="minorHAnsi"/>
          <w:szCs w:val="22"/>
        </w:rPr>
        <w:t>.</w:t>
      </w:r>
    </w:p>
    <w:p w:rsidR="00565EC5" w:rsidRDefault="00565EC5" w:rsidP="00322BE0">
      <w:pPr>
        <w:numPr>
          <w:ilvl w:val="1"/>
          <w:numId w:val="6"/>
        </w:numPr>
        <w:ind w:left="993" w:hanging="426"/>
        <w:rPr>
          <w:rFonts w:cstheme="minorHAnsi"/>
          <w:szCs w:val="22"/>
        </w:rPr>
      </w:pPr>
      <w:r>
        <w:rPr>
          <w:rFonts w:cstheme="minorHAnsi"/>
          <w:szCs w:val="22"/>
        </w:rPr>
        <w:t xml:space="preserve">Sense </w:t>
      </w:r>
      <w:r w:rsidRPr="007A33F7">
        <w:rPr>
          <w:rFonts w:cstheme="minorHAnsi"/>
          <w:szCs w:val="22"/>
        </w:rPr>
        <w:t xml:space="preserve">true RMS power </w:t>
      </w:r>
      <w:r w:rsidR="00D61704">
        <w:rPr>
          <w:rFonts w:cstheme="minorHAnsi"/>
          <w:szCs w:val="22"/>
        </w:rPr>
        <w:t xml:space="preserve">of all connected controlled devices to </w:t>
      </w:r>
      <w:r w:rsidRPr="007A33F7">
        <w:rPr>
          <w:rFonts w:cstheme="minorHAnsi"/>
          <w:szCs w:val="22"/>
        </w:rPr>
        <w:t xml:space="preserve">determine </w:t>
      </w:r>
      <w:r w:rsidR="00D61704">
        <w:rPr>
          <w:rFonts w:cstheme="minorHAnsi"/>
          <w:szCs w:val="22"/>
        </w:rPr>
        <w:t xml:space="preserve">AV </w:t>
      </w:r>
      <w:r w:rsidRPr="007A33F7">
        <w:rPr>
          <w:rFonts w:cstheme="minorHAnsi"/>
          <w:szCs w:val="22"/>
        </w:rPr>
        <w:t>device usage</w:t>
      </w:r>
      <w:r w:rsidR="00637D29">
        <w:rPr>
          <w:rFonts w:cstheme="minorHAnsi"/>
          <w:szCs w:val="22"/>
        </w:rPr>
        <w:t>.</w:t>
      </w:r>
      <w:r w:rsidRPr="007A33F7">
        <w:rPr>
          <w:rFonts w:cstheme="minorHAnsi"/>
          <w:szCs w:val="22"/>
        </w:rPr>
        <w:t xml:space="preserve"> </w:t>
      </w:r>
    </w:p>
    <w:p w:rsidR="00565EC5" w:rsidRDefault="00565EC5" w:rsidP="00322BE0">
      <w:pPr>
        <w:numPr>
          <w:ilvl w:val="1"/>
          <w:numId w:val="6"/>
        </w:numPr>
        <w:ind w:left="993" w:hanging="426"/>
        <w:rPr>
          <w:rFonts w:cstheme="minorHAnsi"/>
          <w:szCs w:val="22"/>
        </w:rPr>
      </w:pPr>
      <w:r w:rsidRPr="007A33F7">
        <w:rPr>
          <w:rFonts w:cstheme="minorHAnsi"/>
          <w:szCs w:val="22"/>
        </w:rPr>
        <w:t xml:space="preserve">Hardware </w:t>
      </w:r>
      <w:r>
        <w:rPr>
          <w:rFonts w:cstheme="minorHAnsi"/>
          <w:szCs w:val="22"/>
        </w:rPr>
        <w:t>and/</w:t>
      </w:r>
      <w:r w:rsidRPr="007A33F7">
        <w:rPr>
          <w:rFonts w:cstheme="minorHAnsi"/>
          <w:szCs w:val="22"/>
        </w:rPr>
        <w:t>or software IR filtering technology and firmware</w:t>
      </w:r>
      <w:r>
        <w:rPr>
          <w:rFonts w:cstheme="minorHAnsi"/>
          <w:szCs w:val="22"/>
        </w:rPr>
        <w:t xml:space="preserve"> </w:t>
      </w:r>
      <w:r w:rsidRPr="007A33F7">
        <w:rPr>
          <w:rFonts w:cstheme="minorHAnsi"/>
          <w:szCs w:val="22"/>
        </w:rPr>
        <w:t xml:space="preserve">to filter out rogue </w:t>
      </w:r>
      <w:r w:rsidR="001144CA" w:rsidRPr="007A33F7">
        <w:rPr>
          <w:rFonts w:cstheme="minorHAnsi"/>
          <w:szCs w:val="22"/>
        </w:rPr>
        <w:t>non-AV</w:t>
      </w:r>
      <w:r w:rsidRPr="007A33F7">
        <w:rPr>
          <w:rFonts w:cstheme="minorHAnsi"/>
          <w:szCs w:val="22"/>
        </w:rPr>
        <w:t xml:space="preserve"> equipment IR interference from compact f</w:t>
      </w:r>
      <w:r w:rsidR="00637D29">
        <w:rPr>
          <w:rFonts w:cstheme="minorHAnsi"/>
          <w:szCs w:val="22"/>
        </w:rPr>
        <w:t>luorescent lights and sunlight.</w:t>
      </w:r>
    </w:p>
    <w:p w:rsidR="00565EC5" w:rsidRPr="007A33F7" w:rsidRDefault="00565EC5" w:rsidP="00322BE0">
      <w:pPr>
        <w:numPr>
          <w:ilvl w:val="1"/>
          <w:numId w:val="6"/>
        </w:numPr>
        <w:ind w:left="993" w:hanging="426"/>
        <w:rPr>
          <w:rFonts w:cstheme="minorHAnsi"/>
          <w:szCs w:val="22"/>
        </w:rPr>
      </w:pPr>
      <w:r w:rsidRPr="007A33F7">
        <w:rPr>
          <w:rFonts w:cstheme="minorHAnsi"/>
          <w:szCs w:val="22"/>
        </w:rPr>
        <w:t>Provide adjustable Idle Mode capability with a pote</w:t>
      </w:r>
      <w:r w:rsidR="00637D29">
        <w:rPr>
          <w:rFonts w:cstheme="minorHAnsi"/>
          <w:szCs w:val="22"/>
        </w:rPr>
        <w:t>ntial minimum setting of 1 hour.</w:t>
      </w:r>
    </w:p>
    <w:p w:rsidR="00565EC5" w:rsidRPr="007A33F7" w:rsidRDefault="00565EC5" w:rsidP="00322BE0">
      <w:pPr>
        <w:numPr>
          <w:ilvl w:val="1"/>
          <w:numId w:val="6"/>
        </w:numPr>
        <w:ind w:left="993" w:hanging="426"/>
        <w:rPr>
          <w:rFonts w:cstheme="minorHAnsi"/>
          <w:szCs w:val="22"/>
        </w:rPr>
      </w:pPr>
      <w:r w:rsidRPr="007A33F7">
        <w:rPr>
          <w:rFonts w:cstheme="minorHAnsi"/>
          <w:szCs w:val="22"/>
        </w:rPr>
        <w:t xml:space="preserve">Deliver a minimum </w:t>
      </w:r>
      <w:r w:rsidR="001144CA" w:rsidRPr="007A33F7">
        <w:rPr>
          <w:rFonts w:cstheme="minorHAnsi"/>
          <w:szCs w:val="22"/>
        </w:rPr>
        <w:t>ten-minute</w:t>
      </w:r>
      <w:r w:rsidRPr="007A33F7">
        <w:rPr>
          <w:rFonts w:cstheme="minorHAnsi"/>
          <w:szCs w:val="22"/>
        </w:rPr>
        <w:t xml:space="preserve"> count down Idle Mode warn</w:t>
      </w:r>
      <w:r w:rsidR="00637D29">
        <w:rPr>
          <w:rFonts w:cstheme="minorHAnsi"/>
          <w:szCs w:val="22"/>
        </w:rPr>
        <w:t>ing to avoid nuisance switching.</w:t>
      </w:r>
      <w:r w:rsidRPr="007A33F7">
        <w:rPr>
          <w:rFonts w:cstheme="minorHAnsi"/>
          <w:szCs w:val="22"/>
        </w:rPr>
        <w:t xml:space="preserve"> </w:t>
      </w:r>
    </w:p>
    <w:p w:rsidR="00565EC5" w:rsidRPr="007A33F7" w:rsidRDefault="00565EC5" w:rsidP="00322BE0">
      <w:pPr>
        <w:numPr>
          <w:ilvl w:val="1"/>
          <w:numId w:val="6"/>
        </w:numPr>
        <w:ind w:left="993" w:hanging="426"/>
        <w:rPr>
          <w:rFonts w:cstheme="minorHAnsi"/>
          <w:szCs w:val="22"/>
        </w:rPr>
      </w:pPr>
      <w:r w:rsidRPr="007A33F7">
        <w:rPr>
          <w:rFonts w:cstheme="minorHAnsi"/>
          <w:szCs w:val="22"/>
        </w:rPr>
        <w:t>Use an automatically adjustable power switching threshold</w:t>
      </w:r>
      <w:r w:rsidR="00637D29">
        <w:rPr>
          <w:rFonts w:cstheme="minorHAnsi"/>
          <w:szCs w:val="22"/>
        </w:rPr>
        <w:t>.</w:t>
      </w:r>
    </w:p>
    <w:p w:rsidR="00565EC5" w:rsidRPr="001132C7" w:rsidRDefault="00565EC5" w:rsidP="00322BE0">
      <w:pPr>
        <w:numPr>
          <w:ilvl w:val="1"/>
          <w:numId w:val="6"/>
        </w:numPr>
        <w:ind w:left="993" w:hanging="426"/>
        <w:rPr>
          <w:rFonts w:cstheme="minorHAnsi"/>
          <w:szCs w:val="22"/>
        </w:rPr>
      </w:pPr>
      <w:r w:rsidRPr="007A33F7">
        <w:rPr>
          <w:rFonts w:cs="Arial"/>
          <w:szCs w:val="22"/>
        </w:rPr>
        <w:t>Must comply with the 2013 California Fire Code (605.4)</w:t>
      </w:r>
      <w:r w:rsidR="006E4353">
        <w:rPr>
          <w:rFonts w:cs="Arial"/>
          <w:szCs w:val="22"/>
        </w:rPr>
        <w:t>.</w:t>
      </w:r>
    </w:p>
    <w:p w:rsidR="001132C7" w:rsidRDefault="001132C7" w:rsidP="001132C7">
      <w:pPr>
        <w:rPr>
          <w:rFonts w:cstheme="minorHAnsi"/>
          <w:szCs w:val="22"/>
        </w:rPr>
      </w:pPr>
    </w:p>
    <w:p w:rsidR="001132C7" w:rsidRPr="00BA30FF" w:rsidRDefault="001132C7" w:rsidP="001132C7">
      <w:pPr>
        <w:rPr>
          <w:rFonts w:cstheme="minorHAnsi"/>
          <w:szCs w:val="22"/>
        </w:rPr>
      </w:pPr>
      <w:r w:rsidRPr="001132C7">
        <w:rPr>
          <w:rFonts w:cstheme="minorHAnsi"/>
          <w:szCs w:val="22"/>
        </w:rPr>
        <w:t>For further information on the product tested please review the SCE Tier 2 APS Report in the appendix section of this work paper.</w:t>
      </w:r>
    </w:p>
    <w:p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r w:rsidR="00D61704">
        <w:rPr>
          <w:rFonts w:asciiTheme="minorHAnsi" w:hAnsiTheme="minorHAnsi"/>
        </w:rPr>
        <w:t xml:space="preserve"> Of Tier 2 </w:t>
      </w:r>
      <w:r w:rsidR="00033B7A">
        <w:rPr>
          <w:rFonts w:asciiTheme="minorHAnsi" w:hAnsiTheme="minorHAnsi"/>
        </w:rPr>
        <w:t xml:space="preserve">Smart Connected Power Strip </w:t>
      </w:r>
      <w:r w:rsidR="00D61704">
        <w:rPr>
          <w:rFonts w:asciiTheme="minorHAnsi" w:hAnsiTheme="minorHAnsi"/>
        </w:rPr>
        <w:t>Device Tested</w:t>
      </w:r>
    </w:p>
    <w:p w:rsidR="0034062E" w:rsidRDefault="0034062E" w:rsidP="0034062E">
      <w:pPr>
        <w:rPr>
          <w:rFonts w:cstheme="minorHAnsi"/>
          <w:szCs w:val="22"/>
        </w:rPr>
      </w:pPr>
      <w:r w:rsidRPr="006F19E9">
        <w:rPr>
          <w:rFonts w:cstheme="minorHAnsi"/>
          <w:szCs w:val="22"/>
        </w:rPr>
        <w:t xml:space="preserve">Tier 2 </w:t>
      </w:r>
      <w:r w:rsidR="00033B7A">
        <w:rPr>
          <w:rFonts w:cstheme="minorHAnsi"/>
          <w:szCs w:val="22"/>
        </w:rPr>
        <w:t xml:space="preserve">Advanced </w:t>
      </w:r>
      <w:r w:rsidR="006E4353">
        <w:rPr>
          <w:rFonts w:cstheme="minorHAnsi"/>
          <w:szCs w:val="22"/>
        </w:rPr>
        <w:t xml:space="preserve">Smart Connected </w:t>
      </w:r>
      <w:r w:rsidR="00033B7A">
        <w:rPr>
          <w:rFonts w:cstheme="minorHAnsi"/>
          <w:szCs w:val="22"/>
        </w:rPr>
        <w:t>Power Strip</w:t>
      </w:r>
      <w:r w:rsidRPr="006F19E9">
        <w:rPr>
          <w:rFonts w:cstheme="minorHAnsi"/>
          <w:szCs w:val="22"/>
        </w:rPr>
        <w:t xml:space="preserve"> </w:t>
      </w:r>
      <w:r w:rsidR="006E4353">
        <w:rPr>
          <w:rFonts w:cstheme="minorHAnsi"/>
          <w:szCs w:val="22"/>
        </w:rPr>
        <w:t xml:space="preserve">devices </w:t>
      </w:r>
      <w:r w:rsidRPr="006F19E9">
        <w:rPr>
          <w:rFonts w:cstheme="minorHAnsi"/>
          <w:szCs w:val="22"/>
        </w:rPr>
        <w:t xml:space="preserve">use an external sensor paired with a configurable countdown timer to manage both active and standby power loads for controlled devices in a complete system. </w:t>
      </w:r>
      <w:r w:rsidR="006E4353">
        <w:rPr>
          <w:rFonts w:cstheme="minorHAnsi"/>
          <w:szCs w:val="22"/>
        </w:rPr>
        <w:t>These wireless communicating devices</w:t>
      </w:r>
      <w:r w:rsidRPr="006F19E9">
        <w:rPr>
          <w:rFonts w:cstheme="minorHAnsi"/>
          <w:szCs w:val="22"/>
        </w:rPr>
        <w:t xml:space="preserve"> operate </w:t>
      </w:r>
      <w:r w:rsidR="001A2FEA">
        <w:rPr>
          <w:rFonts w:cstheme="minorHAnsi"/>
          <w:szCs w:val="22"/>
        </w:rPr>
        <w:t xml:space="preserve">by </w:t>
      </w:r>
      <w:r w:rsidRPr="006F19E9">
        <w:rPr>
          <w:rFonts w:cstheme="minorHAnsi"/>
          <w:szCs w:val="22"/>
        </w:rPr>
        <w:t>sens</w:t>
      </w:r>
      <w:r w:rsidR="001A2FEA">
        <w:rPr>
          <w:rFonts w:cstheme="minorHAnsi"/>
          <w:szCs w:val="22"/>
        </w:rPr>
        <w:t>ing the</w:t>
      </w:r>
      <w:r w:rsidRPr="006F19E9">
        <w:rPr>
          <w:rFonts w:cstheme="minorHAnsi"/>
          <w:szCs w:val="22"/>
        </w:rPr>
        <w:t xml:space="preserve"> power of all devices conn</w:t>
      </w:r>
      <w:r>
        <w:rPr>
          <w:rFonts w:cstheme="minorHAnsi"/>
          <w:szCs w:val="22"/>
        </w:rPr>
        <w:t xml:space="preserve">ected to the controlled sockets. </w:t>
      </w:r>
    </w:p>
    <w:p w:rsidR="0034062E" w:rsidRDefault="0034062E" w:rsidP="0034062E">
      <w:pPr>
        <w:rPr>
          <w:rFonts w:cstheme="minorHAnsi"/>
          <w:szCs w:val="22"/>
        </w:rPr>
      </w:pPr>
    </w:p>
    <w:p w:rsidR="0034062E" w:rsidRDefault="007D31E8" w:rsidP="0034062E">
      <w:pPr>
        <w:rPr>
          <w:rFonts w:cstheme="minorHAnsi"/>
          <w:szCs w:val="22"/>
        </w:rPr>
      </w:pPr>
      <w:r>
        <w:rPr>
          <w:rFonts w:cstheme="minorHAnsi"/>
          <w:szCs w:val="22"/>
        </w:rPr>
        <w:t>The external sensor of the</w:t>
      </w:r>
      <w:r w:rsidR="0034062E" w:rsidRPr="006F19E9">
        <w:rPr>
          <w:rFonts w:cstheme="minorHAnsi"/>
          <w:szCs w:val="22"/>
        </w:rPr>
        <w:t xml:space="preserve"> Tier 2 </w:t>
      </w:r>
      <w:r w:rsidR="00033B7A">
        <w:rPr>
          <w:rFonts w:cstheme="minorHAnsi"/>
          <w:szCs w:val="22"/>
        </w:rPr>
        <w:t xml:space="preserve">Advanced </w:t>
      </w:r>
      <w:r w:rsidR="006E4353">
        <w:rPr>
          <w:rFonts w:cstheme="minorHAnsi"/>
          <w:szCs w:val="22"/>
        </w:rPr>
        <w:t xml:space="preserve">Smart Connected </w:t>
      </w:r>
      <w:r w:rsidR="00033B7A">
        <w:rPr>
          <w:rFonts w:cstheme="minorHAnsi"/>
          <w:szCs w:val="22"/>
        </w:rPr>
        <w:t>Power Strip</w:t>
      </w:r>
      <w:r>
        <w:rPr>
          <w:rFonts w:cstheme="minorHAnsi"/>
          <w:szCs w:val="22"/>
        </w:rPr>
        <w:t>,</w:t>
      </w:r>
      <w:r w:rsidR="0034062E" w:rsidRPr="006F19E9">
        <w:rPr>
          <w:rFonts w:cstheme="minorHAnsi"/>
          <w:szCs w:val="22"/>
        </w:rPr>
        <w:t xml:space="preserve"> </w:t>
      </w:r>
      <w:r w:rsidR="001A2FEA">
        <w:rPr>
          <w:rFonts w:cstheme="minorHAnsi"/>
          <w:szCs w:val="22"/>
        </w:rPr>
        <w:t xml:space="preserve">tested </w:t>
      </w:r>
      <w:r w:rsidR="00504BA0">
        <w:rPr>
          <w:rFonts w:cstheme="minorHAnsi"/>
          <w:szCs w:val="22"/>
        </w:rPr>
        <w:t>in the SCE</w:t>
      </w:r>
      <w:r>
        <w:rPr>
          <w:rFonts w:cstheme="minorHAnsi"/>
          <w:szCs w:val="22"/>
        </w:rPr>
        <w:t>’s</w:t>
      </w:r>
      <w:r w:rsidR="00504BA0">
        <w:rPr>
          <w:rFonts w:cstheme="minorHAnsi"/>
          <w:szCs w:val="22"/>
        </w:rPr>
        <w:t xml:space="preserve"> field trial, </w:t>
      </w:r>
      <w:r w:rsidR="006E4353">
        <w:rPr>
          <w:rFonts w:cstheme="minorHAnsi"/>
          <w:szCs w:val="22"/>
        </w:rPr>
        <w:t>use</w:t>
      </w:r>
      <w:r w:rsidR="001A2FEA">
        <w:rPr>
          <w:rFonts w:cstheme="minorHAnsi"/>
          <w:szCs w:val="22"/>
        </w:rPr>
        <w:t>d</w:t>
      </w:r>
      <w:r w:rsidR="0034062E" w:rsidRPr="006F19E9">
        <w:rPr>
          <w:rFonts w:cstheme="minorHAnsi"/>
          <w:szCs w:val="22"/>
        </w:rPr>
        <w:t xml:space="preserve"> a</w:t>
      </w:r>
      <w:r w:rsidR="00DA6B9B">
        <w:rPr>
          <w:rFonts w:cstheme="minorHAnsi"/>
          <w:szCs w:val="22"/>
        </w:rPr>
        <w:t>n</w:t>
      </w:r>
      <w:r w:rsidR="00504BA0">
        <w:rPr>
          <w:rFonts w:cstheme="minorHAnsi"/>
          <w:szCs w:val="22"/>
        </w:rPr>
        <w:t xml:space="preserve"> infrared (IR) </w:t>
      </w:r>
      <w:r w:rsidR="0034062E" w:rsidRPr="006F19E9">
        <w:rPr>
          <w:rFonts w:cstheme="minorHAnsi"/>
          <w:szCs w:val="22"/>
        </w:rPr>
        <w:t xml:space="preserve">only sensor to determine device inactivity. </w:t>
      </w:r>
      <w:r w:rsidR="001A2FEA">
        <w:rPr>
          <w:rFonts w:cstheme="minorHAnsi"/>
          <w:szCs w:val="22"/>
        </w:rPr>
        <w:t xml:space="preserve">The </w:t>
      </w:r>
      <w:r w:rsidR="0034062E" w:rsidRPr="006F19E9">
        <w:rPr>
          <w:rFonts w:cstheme="minorHAnsi"/>
          <w:szCs w:val="22"/>
        </w:rPr>
        <w:t>external sensor</w:t>
      </w:r>
      <w:r w:rsidR="001A2FEA">
        <w:rPr>
          <w:rFonts w:cstheme="minorHAnsi"/>
          <w:szCs w:val="22"/>
        </w:rPr>
        <w:t xml:space="preserve"> also </w:t>
      </w:r>
      <w:r w:rsidR="0034062E" w:rsidRPr="006F19E9">
        <w:rPr>
          <w:rFonts w:cstheme="minorHAnsi"/>
          <w:szCs w:val="22"/>
        </w:rPr>
        <w:t>use</w:t>
      </w:r>
      <w:r w:rsidR="001A2FEA">
        <w:rPr>
          <w:rFonts w:cstheme="minorHAnsi"/>
          <w:szCs w:val="22"/>
        </w:rPr>
        <w:t>s</w:t>
      </w:r>
      <w:r w:rsidR="0034062E" w:rsidRPr="006F19E9">
        <w:rPr>
          <w:rFonts w:cstheme="minorHAnsi"/>
          <w:szCs w:val="22"/>
        </w:rPr>
        <w:t xml:space="preserve"> IR filtering to prevent inappropriate switching events</w:t>
      </w:r>
      <w:r w:rsidR="006E4353">
        <w:rPr>
          <w:rFonts w:cstheme="minorHAnsi"/>
          <w:szCs w:val="22"/>
        </w:rPr>
        <w:t>,</w:t>
      </w:r>
      <w:r w:rsidR="0034062E" w:rsidRPr="006F19E9">
        <w:rPr>
          <w:rFonts w:cstheme="minorHAnsi"/>
          <w:szCs w:val="22"/>
        </w:rPr>
        <w:t xml:space="preserve"> which may have otherwise resulted from natural interference such </w:t>
      </w:r>
      <w:r w:rsidR="0034062E">
        <w:rPr>
          <w:rFonts w:cstheme="minorHAnsi"/>
          <w:szCs w:val="22"/>
        </w:rPr>
        <w:t>as sunlight or CFL light bulbs.</w:t>
      </w:r>
      <w:r w:rsidR="0034062E" w:rsidRPr="006F19E9">
        <w:rPr>
          <w:rFonts w:cstheme="minorHAnsi"/>
          <w:szCs w:val="22"/>
        </w:rPr>
        <w:t xml:space="preserve"> </w:t>
      </w:r>
    </w:p>
    <w:p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rsidR="006E4353" w:rsidRDefault="006E4353" w:rsidP="006E4353">
      <w:pPr>
        <w:rPr>
          <w:rFonts w:cstheme="minorHAnsi"/>
          <w:szCs w:val="22"/>
        </w:rPr>
      </w:pPr>
      <w:r w:rsidRPr="00913662">
        <w:rPr>
          <w:rFonts w:cstheme="minorHAnsi"/>
          <w:szCs w:val="22"/>
        </w:rPr>
        <w:t xml:space="preserve">The installation type for </w:t>
      </w:r>
      <w:r>
        <w:rPr>
          <w:rFonts w:cstheme="minorHAnsi"/>
          <w:szCs w:val="22"/>
        </w:rPr>
        <w:t>this measure</w:t>
      </w:r>
      <w:r w:rsidRPr="00913662">
        <w:rPr>
          <w:rFonts w:cstheme="minorHAnsi"/>
          <w:szCs w:val="22"/>
        </w:rPr>
        <w:t xml:space="preserve"> is </w:t>
      </w:r>
      <w:r w:rsidR="00FF2B18">
        <w:rPr>
          <w:rFonts w:cstheme="minorHAnsi"/>
          <w:szCs w:val="22"/>
        </w:rPr>
        <w:t>Retrofit Add-on (REA</w:t>
      </w:r>
      <w:r w:rsidRPr="00913662">
        <w:rPr>
          <w:rFonts w:cstheme="minorHAnsi"/>
          <w:szCs w:val="22"/>
        </w:rPr>
        <w:t>).</w:t>
      </w:r>
    </w:p>
    <w:p w:rsidR="0048676A" w:rsidRDefault="0048676A" w:rsidP="007D31E8">
      <w:pPr>
        <w:pStyle w:val="NoSpacing"/>
        <w:jc w:val="center"/>
        <w:rPr>
          <w:b/>
        </w:rPr>
      </w:pPr>
    </w:p>
    <w:p w:rsidR="001B2301" w:rsidRPr="00920905" w:rsidRDefault="007D31E8" w:rsidP="007D31E8">
      <w:pPr>
        <w:pStyle w:val="NoSpacing"/>
        <w:jc w:val="center"/>
        <w:rPr>
          <w:rFonts w:cstheme="minorHAnsi"/>
          <w:b/>
          <w:i/>
        </w:rPr>
      </w:pPr>
      <w:r>
        <w:rPr>
          <w:b/>
        </w:rPr>
        <w:t xml:space="preserve">Table 3: </w:t>
      </w:r>
      <w:r w:rsidR="00C05AAF"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rsidTr="00920905">
        <w:trPr>
          <w:trHeight w:val="20"/>
        </w:trPr>
        <w:tc>
          <w:tcPr>
            <w:tcW w:w="1778" w:type="pct"/>
            <w:vMerge w:val="restart"/>
            <w:shd w:val="clear" w:color="auto" w:fill="D9D9D9" w:themeFill="background1" w:themeFillShade="D9"/>
          </w:tcPr>
          <w:p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rsidR="006F1B21" w:rsidRPr="00920905" w:rsidRDefault="006F1B21" w:rsidP="001B2301">
            <w:pPr>
              <w:rPr>
                <w:b/>
                <w:sz w:val="18"/>
                <w:szCs w:val="18"/>
              </w:rPr>
            </w:pPr>
            <w:r w:rsidRPr="00920905">
              <w:rPr>
                <w:b/>
                <w:sz w:val="18"/>
                <w:szCs w:val="18"/>
              </w:rPr>
              <w:t>Life</w:t>
            </w:r>
          </w:p>
        </w:tc>
      </w:tr>
      <w:tr w:rsidR="006F1B21" w:rsidRPr="00500C4E" w:rsidTr="006F1B21">
        <w:trPr>
          <w:trHeight w:val="20"/>
        </w:trPr>
        <w:tc>
          <w:tcPr>
            <w:tcW w:w="1778" w:type="pct"/>
            <w:vMerge/>
            <w:shd w:val="clear" w:color="auto" w:fill="D9D9D9" w:themeFill="background1" w:themeFillShade="D9"/>
          </w:tcPr>
          <w:p w:rsidR="006F1B21" w:rsidRPr="00500C4E" w:rsidRDefault="006F1B21" w:rsidP="001B2301">
            <w:pPr>
              <w:rPr>
                <w:sz w:val="18"/>
                <w:szCs w:val="18"/>
              </w:rPr>
            </w:pPr>
          </w:p>
        </w:tc>
        <w:tc>
          <w:tcPr>
            <w:tcW w:w="1107" w:type="pct"/>
            <w:shd w:val="clear" w:color="auto" w:fill="F2F2F2" w:themeFill="background1" w:themeFillShade="F2"/>
          </w:tcPr>
          <w:p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rsidTr="006F1B21">
        <w:trPr>
          <w:trHeight w:val="20"/>
        </w:trPr>
        <w:tc>
          <w:tcPr>
            <w:tcW w:w="1778" w:type="pct"/>
          </w:tcPr>
          <w:p w:rsidR="006F1B21" w:rsidRPr="00500C4E" w:rsidRDefault="00FF2B18">
            <w:pPr>
              <w:rPr>
                <w:sz w:val="18"/>
                <w:szCs w:val="18"/>
              </w:rPr>
            </w:pPr>
            <w:r w:rsidRPr="00500C4E">
              <w:rPr>
                <w:sz w:val="18"/>
                <w:szCs w:val="18"/>
              </w:rPr>
              <w:t>Retrofit Add-on (REA)</w:t>
            </w:r>
          </w:p>
        </w:tc>
        <w:tc>
          <w:tcPr>
            <w:tcW w:w="1107" w:type="pct"/>
          </w:tcPr>
          <w:p w:rsidR="006F1B21" w:rsidRPr="00500C4E" w:rsidRDefault="006F1B21" w:rsidP="00E5625D">
            <w:pPr>
              <w:rPr>
                <w:sz w:val="18"/>
                <w:szCs w:val="18"/>
              </w:rPr>
            </w:pPr>
            <w:r w:rsidRPr="00500C4E">
              <w:rPr>
                <w:sz w:val="18"/>
                <w:szCs w:val="18"/>
              </w:rPr>
              <w:t>Above Code or Standard</w:t>
            </w:r>
          </w:p>
        </w:tc>
        <w:tc>
          <w:tcPr>
            <w:tcW w:w="1108" w:type="pct"/>
          </w:tcPr>
          <w:p w:rsidR="006F1B21" w:rsidRPr="00500C4E" w:rsidRDefault="006F1B21" w:rsidP="00E5625D">
            <w:pPr>
              <w:rPr>
                <w:sz w:val="18"/>
                <w:szCs w:val="18"/>
              </w:rPr>
            </w:pPr>
            <w:r w:rsidRPr="00500C4E">
              <w:rPr>
                <w:sz w:val="18"/>
                <w:szCs w:val="18"/>
              </w:rPr>
              <w:t>N/A</w:t>
            </w:r>
          </w:p>
        </w:tc>
        <w:tc>
          <w:tcPr>
            <w:tcW w:w="481" w:type="pct"/>
          </w:tcPr>
          <w:p w:rsidR="006F1B21" w:rsidRPr="00500C4E" w:rsidRDefault="006F1B21" w:rsidP="00E5625D">
            <w:pPr>
              <w:rPr>
                <w:sz w:val="18"/>
                <w:szCs w:val="18"/>
              </w:rPr>
            </w:pPr>
            <w:r w:rsidRPr="00500C4E">
              <w:rPr>
                <w:sz w:val="18"/>
                <w:szCs w:val="18"/>
              </w:rPr>
              <w:t>EUL</w:t>
            </w:r>
          </w:p>
        </w:tc>
        <w:tc>
          <w:tcPr>
            <w:tcW w:w="526" w:type="pct"/>
          </w:tcPr>
          <w:p w:rsidR="006F1B21" w:rsidRPr="00500C4E" w:rsidRDefault="006F1B21" w:rsidP="00E5625D">
            <w:pPr>
              <w:rPr>
                <w:sz w:val="18"/>
                <w:szCs w:val="18"/>
              </w:rPr>
            </w:pPr>
            <w:r w:rsidRPr="00500C4E">
              <w:rPr>
                <w:sz w:val="18"/>
                <w:szCs w:val="18"/>
              </w:rPr>
              <w:t>N/A</w:t>
            </w:r>
          </w:p>
        </w:tc>
      </w:tr>
    </w:tbl>
    <w:p w:rsidR="008A274E" w:rsidRDefault="008A274E" w:rsidP="008A274E">
      <w:pPr>
        <w:rPr>
          <w:rFonts w:eastAsiaTheme="minorHAnsi" w:cstheme="minorBidi"/>
          <w:szCs w:val="22"/>
        </w:rPr>
      </w:pPr>
    </w:p>
    <w:p w:rsidR="008A274E" w:rsidRDefault="008A274E" w:rsidP="008A274E">
      <w:pPr>
        <w:rPr>
          <w:rFonts w:cstheme="minorHAnsi"/>
          <w:szCs w:val="22"/>
        </w:rPr>
      </w:pPr>
      <w:r w:rsidRPr="00B23B3F">
        <w:rPr>
          <w:rFonts w:eastAsiaTheme="minorHAnsi" w:cstheme="minorBidi"/>
          <w:szCs w:val="22"/>
        </w:rPr>
        <w:t>A delivery mechanism is a delivery method paired with an incentive method. Delivery mechanisms are used by programs to obtain program participation and energy savings.</w:t>
      </w:r>
      <w:r>
        <w:rPr>
          <w:rFonts w:eastAsiaTheme="minorHAnsi" w:cstheme="minorBidi"/>
          <w:szCs w:val="22"/>
        </w:rPr>
        <w:t xml:space="preserve"> </w:t>
      </w:r>
      <w:r w:rsidRPr="0092138B">
        <w:rPr>
          <w:rFonts w:cstheme="minorHAnsi"/>
          <w:szCs w:val="22"/>
        </w:rPr>
        <w:t xml:space="preserve">The </w:t>
      </w:r>
      <w:r>
        <w:rPr>
          <w:rFonts w:cstheme="minorHAnsi"/>
          <w:szCs w:val="22"/>
        </w:rPr>
        <w:t xml:space="preserve">applicable </w:t>
      </w:r>
      <w:r w:rsidRPr="0092138B">
        <w:rPr>
          <w:rFonts w:cstheme="minorHAnsi"/>
          <w:szCs w:val="22"/>
        </w:rPr>
        <w:t xml:space="preserve">incentive delivery methods are </w:t>
      </w:r>
      <w:r>
        <w:rPr>
          <w:rFonts w:cstheme="minorHAnsi"/>
          <w:szCs w:val="22"/>
        </w:rPr>
        <w:t>as follows</w:t>
      </w:r>
      <w:r w:rsidRPr="0092138B">
        <w:rPr>
          <w:rFonts w:cstheme="minorHAnsi"/>
          <w:szCs w:val="22"/>
        </w:rPr>
        <w:t>:</w:t>
      </w:r>
    </w:p>
    <w:p w:rsidR="008A274E" w:rsidRPr="0092138B" w:rsidRDefault="008A274E" w:rsidP="008A274E">
      <w:pPr>
        <w:rPr>
          <w:rFonts w:cstheme="minorHAnsi"/>
          <w:szCs w:val="22"/>
        </w:rPr>
      </w:pPr>
    </w:p>
    <w:p w:rsidR="008A274E" w:rsidRPr="00FF2B18" w:rsidRDefault="008A274E" w:rsidP="00322BE0">
      <w:pPr>
        <w:pStyle w:val="ListParagraph"/>
        <w:numPr>
          <w:ilvl w:val="0"/>
          <w:numId w:val="7"/>
        </w:numPr>
        <w:rPr>
          <w:rFonts w:cstheme="minorHAnsi"/>
          <w:b/>
          <w:szCs w:val="22"/>
        </w:rPr>
      </w:pPr>
      <w:r w:rsidRPr="0092138B">
        <w:rPr>
          <w:rFonts w:cstheme="minorHAnsi"/>
          <w:szCs w:val="22"/>
        </w:rPr>
        <w:t>Financial Support / Direct Install</w:t>
      </w:r>
    </w:p>
    <w:p w:rsidR="00FF2B18" w:rsidRPr="0092138B" w:rsidRDefault="00FF2B18" w:rsidP="00322BE0">
      <w:pPr>
        <w:pStyle w:val="ListParagraph"/>
        <w:numPr>
          <w:ilvl w:val="0"/>
          <w:numId w:val="7"/>
        </w:numPr>
        <w:rPr>
          <w:rFonts w:cstheme="minorHAnsi"/>
          <w:b/>
          <w:szCs w:val="22"/>
        </w:rPr>
      </w:pPr>
      <w:r>
        <w:rPr>
          <w:rFonts w:cstheme="minorHAnsi"/>
          <w:szCs w:val="22"/>
        </w:rPr>
        <w:t xml:space="preserve">Financial Support/ </w:t>
      </w:r>
      <w:r w:rsidR="001F4476" w:rsidRPr="001F4476">
        <w:rPr>
          <w:rFonts w:cstheme="minorHAnsi"/>
          <w:szCs w:val="22"/>
        </w:rPr>
        <w:t>Down-Stream Incentive</w:t>
      </w:r>
    </w:p>
    <w:p w:rsidR="00C05AAF" w:rsidRDefault="00C05AAF" w:rsidP="00920905">
      <w:pPr>
        <w:pStyle w:val="NoSpacing"/>
      </w:pPr>
    </w:p>
    <w:p w:rsidR="00FF2B18" w:rsidRDefault="00FF2B18" w:rsidP="008808EC">
      <w:pPr>
        <w:pStyle w:val="NoSpacing"/>
        <w:jc w:val="center"/>
        <w:rPr>
          <w:b/>
        </w:rPr>
      </w:pPr>
    </w:p>
    <w:p w:rsidR="00C05AAF" w:rsidRPr="00500C4E" w:rsidRDefault="008808EC" w:rsidP="008808EC">
      <w:pPr>
        <w:pStyle w:val="NoSpacing"/>
        <w:jc w:val="center"/>
      </w:pPr>
      <w:r>
        <w:rPr>
          <w:b/>
        </w:rPr>
        <w:lastRenderedPageBreak/>
        <w:t xml:space="preserve">Table 4: </w:t>
      </w:r>
      <w:r w:rsidR="00AA16C0" w:rsidRPr="00DE77D0">
        <w:rPr>
          <w:b/>
        </w:rPr>
        <w:t>Delivery Me</w:t>
      </w:r>
      <w:r w:rsidR="00AA16C0">
        <w:rPr>
          <w:b/>
        </w:rPr>
        <w:t>thod</w:t>
      </w:r>
      <w:r w:rsidR="00AA16C0" w:rsidRPr="00DE77D0">
        <w:rPr>
          <w:b/>
        </w:rPr>
        <w:t xml:space="preserve"> </w:t>
      </w:r>
      <w:r w:rsidR="00AA16C0">
        <w:rPr>
          <w:b/>
        </w:rPr>
        <w:t>D</w:t>
      </w:r>
      <w:r w:rsidR="00AA16C0"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rsidTr="00920905">
        <w:tc>
          <w:tcPr>
            <w:tcW w:w="1297" w:type="pct"/>
            <w:shd w:val="clear" w:color="auto" w:fill="D9D9D9" w:themeFill="background1" w:themeFillShade="D9"/>
          </w:tcPr>
          <w:p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rsidR="00C05AAF" w:rsidRPr="00920905" w:rsidRDefault="00C05AAF" w:rsidP="008F6298">
            <w:pPr>
              <w:rPr>
                <w:b/>
                <w:sz w:val="18"/>
                <w:szCs w:val="18"/>
              </w:rPr>
            </w:pPr>
            <w:r w:rsidRPr="00920905">
              <w:rPr>
                <w:b/>
                <w:sz w:val="18"/>
                <w:szCs w:val="18"/>
              </w:rPr>
              <w:t>Description</w:t>
            </w:r>
          </w:p>
        </w:tc>
      </w:tr>
      <w:tr w:rsidR="00C05AAF" w:rsidRPr="00A3164A" w:rsidTr="00920905">
        <w:tc>
          <w:tcPr>
            <w:tcW w:w="1297" w:type="pct"/>
          </w:tcPr>
          <w:p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rsidR="00F45775" w:rsidRDefault="00F45775" w:rsidP="008808EC">
      <w:pPr>
        <w:pStyle w:val="NoSpacing"/>
        <w:jc w:val="center"/>
        <w:rPr>
          <w:b/>
        </w:rPr>
      </w:pPr>
    </w:p>
    <w:p w:rsidR="00AA16C0" w:rsidRPr="00500C4E" w:rsidRDefault="008808EC" w:rsidP="008808EC">
      <w:pPr>
        <w:pStyle w:val="NoSpacing"/>
        <w:jc w:val="center"/>
      </w:pPr>
      <w:r>
        <w:rPr>
          <w:b/>
        </w:rPr>
        <w:t xml:space="preserve">Table 5: </w:t>
      </w:r>
      <w:r w:rsidR="00AA16C0">
        <w:rPr>
          <w:b/>
        </w:rPr>
        <w:t>Incentive</w:t>
      </w:r>
      <w:r w:rsidR="00AA16C0" w:rsidRPr="00DE77D0">
        <w:rPr>
          <w:b/>
        </w:rPr>
        <w:t xml:space="preserve"> Me</w:t>
      </w:r>
      <w:r w:rsidR="00AA16C0">
        <w:rPr>
          <w:b/>
        </w:rPr>
        <w:t>thod</w:t>
      </w:r>
      <w:r w:rsidR="00AA16C0" w:rsidRPr="00DE77D0">
        <w:rPr>
          <w:b/>
        </w:rPr>
        <w:t xml:space="preserve"> </w:t>
      </w:r>
      <w:r w:rsidR="00AA16C0">
        <w:rPr>
          <w:b/>
        </w:rPr>
        <w:t>D</w:t>
      </w:r>
      <w:r w:rsidR="00AA16C0"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rsidTr="00920905">
        <w:tc>
          <w:tcPr>
            <w:tcW w:w="1297" w:type="pct"/>
            <w:shd w:val="clear" w:color="auto" w:fill="D9D9D9" w:themeFill="background1" w:themeFillShade="D9"/>
          </w:tcPr>
          <w:p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rsidR="001B2301" w:rsidRPr="00920905" w:rsidRDefault="001B2301" w:rsidP="001B2301">
            <w:pPr>
              <w:rPr>
                <w:b/>
                <w:sz w:val="18"/>
                <w:szCs w:val="18"/>
              </w:rPr>
            </w:pPr>
            <w:r w:rsidRPr="00920905">
              <w:rPr>
                <w:b/>
                <w:sz w:val="18"/>
                <w:szCs w:val="18"/>
              </w:rPr>
              <w:t>Description</w:t>
            </w:r>
          </w:p>
        </w:tc>
      </w:tr>
      <w:tr w:rsidR="001B2301" w:rsidRPr="00A3164A" w:rsidTr="001F4476">
        <w:tc>
          <w:tcPr>
            <w:tcW w:w="1297" w:type="pct"/>
            <w:vAlign w:val="center"/>
          </w:tcPr>
          <w:p w:rsidR="00820D3E" w:rsidRPr="004A70A7" w:rsidRDefault="00AA4CDC" w:rsidP="001F4476">
            <w:pPr>
              <w:autoSpaceDE w:val="0"/>
              <w:autoSpaceDN w:val="0"/>
              <w:adjustRightInd w:val="0"/>
              <w:spacing w:line="240" w:lineRule="atLeast"/>
              <w:rPr>
                <w:rFonts w:cs="Helv"/>
                <w:sz w:val="18"/>
                <w:szCs w:val="18"/>
              </w:rPr>
            </w:pPr>
            <w:r w:rsidRPr="00920905">
              <w:rPr>
                <w:rFonts w:cs="Helv"/>
                <w:sz w:val="18"/>
                <w:szCs w:val="18"/>
              </w:rPr>
              <w:t>Direct Install</w:t>
            </w:r>
          </w:p>
        </w:tc>
        <w:tc>
          <w:tcPr>
            <w:tcW w:w="3703" w:type="pct"/>
          </w:tcPr>
          <w:p w:rsidR="001B2301" w:rsidRPr="004A70A7" w:rsidRDefault="00AA4CDC" w:rsidP="00920905">
            <w:pPr>
              <w:autoSpaceDE w:val="0"/>
              <w:autoSpaceDN w:val="0"/>
              <w:adjustRightInd w:val="0"/>
              <w:rPr>
                <w:rFonts w:cs="Helv"/>
                <w:sz w:val="18"/>
                <w:szCs w:val="18"/>
              </w:rPr>
            </w:pPr>
            <w:r w:rsidRPr="00920905">
              <w:rPr>
                <w:rFonts w:cs="Helv"/>
                <w:sz w:val="18"/>
                <w:szCs w:val="18"/>
              </w:rPr>
              <w:t xml:space="preserve">The program </w:t>
            </w:r>
            <w:r w:rsidRPr="004A70A7">
              <w:rPr>
                <w:rFonts w:cs="Helv"/>
                <w:sz w:val="18"/>
                <w:szCs w:val="18"/>
              </w:rPr>
              <w:t>implements energy efficiency measures for qualifying customers, at no cost to the customer.</w:t>
            </w:r>
          </w:p>
        </w:tc>
      </w:tr>
      <w:tr w:rsidR="001F4476" w:rsidRPr="00A3164A" w:rsidTr="001F4476">
        <w:tc>
          <w:tcPr>
            <w:tcW w:w="1297" w:type="pct"/>
            <w:vAlign w:val="center"/>
          </w:tcPr>
          <w:p w:rsidR="001F4476" w:rsidRPr="001F4476" w:rsidRDefault="001F4476" w:rsidP="001F4476">
            <w:pPr>
              <w:rPr>
                <w:rFonts w:cs="Helv"/>
                <w:sz w:val="18"/>
                <w:szCs w:val="18"/>
              </w:rPr>
            </w:pPr>
            <w:r w:rsidRPr="001F4476">
              <w:rPr>
                <w:rFonts w:cs="Helv"/>
                <w:sz w:val="18"/>
                <w:szCs w:val="18"/>
              </w:rPr>
              <w:t>Down-Stream Incentive</w:t>
            </w:r>
          </w:p>
        </w:tc>
        <w:tc>
          <w:tcPr>
            <w:tcW w:w="3703" w:type="pct"/>
          </w:tcPr>
          <w:p w:rsidR="001F4476" w:rsidRPr="001F4476" w:rsidRDefault="001F4476" w:rsidP="008D7929">
            <w:pPr>
              <w:rPr>
                <w:rFonts w:cs="Helv"/>
                <w:sz w:val="18"/>
                <w:szCs w:val="18"/>
              </w:rPr>
            </w:pPr>
            <w:r w:rsidRPr="001F4476">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rsidR="00E326BA" w:rsidRPr="00920905" w:rsidRDefault="00F45775" w:rsidP="00920905">
      <w:pPr>
        <w:pStyle w:val="Caption"/>
        <w:keepNext/>
        <w:jc w:val="center"/>
        <w:rPr>
          <w:rFonts w:cs="Arial"/>
          <w:szCs w:val="22"/>
        </w:rPr>
      </w:pPr>
      <w:bookmarkStart w:id="9" w:name="_Toc385592671"/>
      <w:bookmarkStart w:id="10" w:name="_Toc214003087"/>
      <w:r>
        <w:rPr>
          <w:rFonts w:cs="Arial"/>
          <w:szCs w:val="22"/>
        </w:rPr>
        <w:t xml:space="preserve">Table 6: </w:t>
      </w:r>
      <w:r w:rsidR="00E326BA"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rsidTr="00920905">
        <w:trPr>
          <w:trHeight w:val="20"/>
        </w:trPr>
        <w:tc>
          <w:tcPr>
            <w:tcW w:w="1548" w:type="pct"/>
            <w:shd w:val="clear" w:color="auto" w:fill="D9D9D9" w:themeFill="background1" w:themeFillShade="D9"/>
          </w:tcPr>
          <w:p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Modified DEER methodology</w:t>
            </w:r>
          </w:p>
        </w:tc>
        <w:tc>
          <w:tcPr>
            <w:tcW w:w="3452" w:type="pct"/>
          </w:tcPr>
          <w:p w:rsidR="008A274E" w:rsidRPr="007A33F7" w:rsidRDefault="008A274E" w:rsidP="00E02669">
            <w:pPr>
              <w:rPr>
                <w:rFonts w:cs="Arial"/>
                <w:b/>
                <w:szCs w:val="20"/>
              </w:rPr>
            </w:pPr>
            <w:r w:rsidRPr="007A33F7">
              <w:rPr>
                <w:rFonts w:cs="Arial"/>
                <w:szCs w:val="20"/>
              </w:rPr>
              <w:t>No</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Scaled DEER measure</w:t>
            </w:r>
          </w:p>
        </w:tc>
        <w:tc>
          <w:tcPr>
            <w:tcW w:w="3452" w:type="pct"/>
          </w:tcPr>
          <w:p w:rsidR="008A274E" w:rsidRPr="007A33F7" w:rsidRDefault="008A274E" w:rsidP="00E02669">
            <w:pPr>
              <w:rPr>
                <w:rFonts w:cs="Arial"/>
                <w:szCs w:val="20"/>
              </w:rPr>
            </w:pPr>
            <w:r w:rsidRPr="007A33F7">
              <w:rPr>
                <w:rFonts w:cs="Arial"/>
                <w:szCs w:val="20"/>
              </w:rPr>
              <w:t>No</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rsidR="008A274E" w:rsidRPr="007A33F7" w:rsidRDefault="008A274E" w:rsidP="00E02669">
            <w:pPr>
              <w:rPr>
                <w:rFonts w:cs="Arial"/>
                <w:szCs w:val="20"/>
              </w:rPr>
            </w:pPr>
            <w:r w:rsidRPr="007A33F7">
              <w:rPr>
                <w:rFonts w:cs="Arial"/>
                <w:szCs w:val="20"/>
              </w:rPr>
              <w:t>No</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rsidR="008A274E" w:rsidRPr="007A33F7" w:rsidRDefault="008A274E" w:rsidP="00E02669">
            <w:pPr>
              <w:rPr>
                <w:rFonts w:cs="Arial"/>
                <w:szCs w:val="20"/>
              </w:rPr>
            </w:pPr>
            <w:r w:rsidRPr="007A33F7">
              <w:rPr>
                <w:rFonts w:cs="Arial"/>
                <w:szCs w:val="20"/>
              </w:rPr>
              <w:t>No</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rsidR="008A274E" w:rsidRPr="007A33F7" w:rsidRDefault="008A274E" w:rsidP="00E02669">
            <w:pPr>
              <w:rPr>
                <w:rFonts w:cs="Arial"/>
                <w:szCs w:val="20"/>
              </w:rPr>
            </w:pPr>
            <w:r w:rsidRPr="007A33F7">
              <w:rPr>
                <w:rFonts w:cs="Arial"/>
                <w:szCs w:val="20"/>
              </w:rPr>
              <w:t>Yes</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rsidR="008A274E" w:rsidRPr="007A33F7" w:rsidRDefault="008A274E" w:rsidP="00E02669">
            <w:pPr>
              <w:rPr>
                <w:rFonts w:cs="Arial"/>
                <w:szCs w:val="20"/>
              </w:rPr>
            </w:pPr>
            <w:r w:rsidRPr="007A33F7">
              <w:rPr>
                <w:rFonts w:cs="Arial"/>
                <w:szCs w:val="20"/>
              </w:rPr>
              <w:t>No</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rsidR="008A274E" w:rsidRPr="007A33F7" w:rsidDel="00505CEC" w:rsidRDefault="008A274E" w:rsidP="00E02669">
            <w:pPr>
              <w:rPr>
                <w:rFonts w:cs="Arial"/>
                <w:szCs w:val="20"/>
              </w:rPr>
            </w:pPr>
            <w:r w:rsidRPr="007A33F7">
              <w:rPr>
                <w:rFonts w:cs="Arial"/>
                <w:szCs w:val="20"/>
              </w:rPr>
              <w:t>No</w:t>
            </w:r>
          </w:p>
        </w:tc>
      </w:tr>
      <w:tr w:rsidR="008A274E" w:rsidRPr="00500C4E" w:rsidTr="00920905">
        <w:trPr>
          <w:trHeight w:val="20"/>
        </w:trPr>
        <w:tc>
          <w:tcPr>
            <w:tcW w:w="1548" w:type="pct"/>
          </w:tcPr>
          <w:p w:rsidR="008A274E" w:rsidRPr="00500C4E" w:rsidRDefault="008A274E" w:rsidP="00175D14">
            <w:pPr>
              <w:rPr>
                <w:rFonts w:cs="Arial"/>
                <w:szCs w:val="20"/>
              </w:rPr>
            </w:pPr>
            <w:r w:rsidRPr="00500C4E">
              <w:rPr>
                <w:rFonts w:cs="Arial"/>
                <w:szCs w:val="20"/>
              </w:rPr>
              <w:t>DEER Version</w:t>
            </w:r>
          </w:p>
        </w:tc>
        <w:tc>
          <w:tcPr>
            <w:tcW w:w="3452" w:type="pct"/>
          </w:tcPr>
          <w:p w:rsidR="008A274E" w:rsidRPr="007A33F7" w:rsidRDefault="008A274E" w:rsidP="00E02669">
            <w:pPr>
              <w:rPr>
                <w:rFonts w:cs="Arial"/>
                <w:szCs w:val="20"/>
              </w:rPr>
            </w:pPr>
            <w:r>
              <w:rPr>
                <w:rFonts w:cstheme="minorHAnsi"/>
                <w:szCs w:val="20"/>
              </w:rPr>
              <w:t>DEER 2017 READi v 2.4.7</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Reason for Deviation from DEER</w:t>
            </w:r>
          </w:p>
        </w:tc>
        <w:tc>
          <w:tcPr>
            <w:tcW w:w="3452" w:type="pct"/>
          </w:tcPr>
          <w:p w:rsidR="008A274E" w:rsidRPr="007A33F7" w:rsidRDefault="008A274E" w:rsidP="001A0792">
            <w:pPr>
              <w:rPr>
                <w:rFonts w:cs="Arial"/>
                <w:szCs w:val="20"/>
              </w:rPr>
            </w:pPr>
            <w:r>
              <w:rPr>
                <w:rFonts w:cstheme="minorHAnsi"/>
                <w:szCs w:val="20"/>
              </w:rPr>
              <w:t xml:space="preserve">DEER does not contain Tier 2 </w:t>
            </w:r>
            <w:r w:rsidR="001A0792">
              <w:rPr>
                <w:rFonts w:cstheme="minorHAnsi"/>
                <w:szCs w:val="20"/>
              </w:rPr>
              <w:t xml:space="preserve">Advanced </w:t>
            </w:r>
            <w:r>
              <w:rPr>
                <w:rFonts w:cstheme="minorHAnsi"/>
                <w:szCs w:val="20"/>
              </w:rPr>
              <w:t xml:space="preserve">Smart Connected </w:t>
            </w:r>
            <w:r w:rsidR="001A0792">
              <w:rPr>
                <w:rFonts w:cstheme="minorHAnsi"/>
                <w:szCs w:val="20"/>
              </w:rPr>
              <w:t>Power Strip</w:t>
            </w:r>
            <w:r>
              <w:rPr>
                <w:rFonts w:cstheme="minorHAnsi"/>
                <w:szCs w:val="20"/>
              </w:rPr>
              <w:t xml:space="preserve"> devices</w:t>
            </w:r>
            <w:r w:rsidRPr="007A33F7">
              <w:rPr>
                <w:rFonts w:cstheme="minorHAnsi"/>
                <w:szCs w:val="20"/>
              </w:rPr>
              <w:t>.</w:t>
            </w:r>
          </w:p>
        </w:tc>
      </w:tr>
      <w:tr w:rsidR="008A274E" w:rsidRPr="00500C4E" w:rsidTr="00920905">
        <w:trPr>
          <w:trHeight w:val="20"/>
        </w:trPr>
        <w:tc>
          <w:tcPr>
            <w:tcW w:w="1548" w:type="pct"/>
          </w:tcPr>
          <w:p w:rsidR="008A274E" w:rsidRPr="00920905" w:rsidRDefault="008A274E" w:rsidP="00920905">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rsidR="008A274E" w:rsidRPr="007A33F7" w:rsidRDefault="008A274E" w:rsidP="00E02669">
            <w:pPr>
              <w:rPr>
                <w:rFonts w:cs="Arial"/>
                <w:szCs w:val="20"/>
              </w:rPr>
            </w:pPr>
            <w:r w:rsidRPr="007A33F7">
              <w:rPr>
                <w:rFonts w:cs="Arial"/>
                <w:szCs w:val="20"/>
              </w:rPr>
              <w:t>N/A</w:t>
            </w:r>
          </w:p>
        </w:tc>
      </w:tr>
    </w:tbl>
    <w:p w:rsidR="00472250" w:rsidRPr="00500C4E" w:rsidRDefault="00472250" w:rsidP="00920905">
      <w:pPr>
        <w:pStyle w:val="Caption"/>
        <w:keepNext/>
        <w:rPr>
          <w:rFonts w:cstheme="minorHAnsi"/>
          <w:b w:val="0"/>
          <w:i/>
          <w:szCs w:val="22"/>
        </w:rPr>
      </w:pPr>
    </w:p>
    <w:p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rsidR="008A274E" w:rsidRPr="008A274E" w:rsidRDefault="008A274E" w:rsidP="00472250">
      <w:pPr>
        <w:pStyle w:val="Reminders"/>
        <w:rPr>
          <w:rFonts w:asciiTheme="minorHAnsi" w:hAnsiTheme="minorHAnsi" w:cstheme="minorHAnsi"/>
          <w:i w:val="0"/>
          <w:color w:val="auto"/>
          <w:szCs w:val="22"/>
        </w:rPr>
      </w:pPr>
      <w:r w:rsidRPr="008A274E">
        <w:rPr>
          <w:rFonts w:asciiTheme="minorHAnsi" w:hAnsiTheme="minorHAnsi" w:cstheme="minorHAnsi"/>
          <w:i w:val="0"/>
          <w:color w:val="auto"/>
          <w:szCs w:val="22"/>
        </w:rPr>
        <w:t xml:space="preserve">The NTG values were obtained using the </w:t>
      </w:r>
      <w:r w:rsidR="00A1433E" w:rsidRPr="00A1433E">
        <w:rPr>
          <w:rFonts w:asciiTheme="minorHAnsi" w:hAnsiTheme="minorHAnsi" w:cstheme="minorHAnsi"/>
          <w:i w:val="0"/>
          <w:color w:val="auto"/>
          <w:szCs w:val="22"/>
        </w:rPr>
        <w:t>DEER 2016 READI tool version 2.4.7</w:t>
      </w:r>
      <w:r w:rsidRPr="008A274E">
        <w:rPr>
          <w:rFonts w:asciiTheme="minorHAnsi" w:hAnsiTheme="minorHAnsi" w:cstheme="minorHAnsi"/>
          <w:i w:val="0"/>
          <w:color w:val="auto"/>
          <w:szCs w:val="22"/>
        </w:rPr>
        <w:t xml:space="preserve">.  </w:t>
      </w:r>
    </w:p>
    <w:p w:rsidR="000968C6" w:rsidRPr="00F45775" w:rsidRDefault="00F45775" w:rsidP="00F45775">
      <w:pPr>
        <w:pStyle w:val="NoSpacing"/>
        <w:jc w:val="center"/>
        <w:rPr>
          <w:b/>
        </w:rPr>
      </w:pPr>
      <w:r w:rsidRPr="00F45775">
        <w:rPr>
          <w:b/>
        </w:rPr>
        <w:t>Table 7: Net-to-Gross Ratios</w:t>
      </w:r>
    </w:p>
    <w:tbl>
      <w:tblPr>
        <w:tblStyle w:val="TableGrid1"/>
        <w:tblW w:w="5000" w:type="pct"/>
        <w:tblLayout w:type="fixed"/>
        <w:tblLook w:val="01E0" w:firstRow="1" w:lastRow="1" w:firstColumn="1" w:lastColumn="1" w:noHBand="0" w:noVBand="0"/>
      </w:tblPr>
      <w:tblGrid>
        <w:gridCol w:w="1368"/>
        <w:gridCol w:w="3788"/>
        <w:gridCol w:w="831"/>
        <w:gridCol w:w="1013"/>
        <w:gridCol w:w="1752"/>
        <w:gridCol w:w="824"/>
      </w:tblGrid>
      <w:tr w:rsidR="005F69D5" w:rsidRPr="00500C4E" w:rsidTr="00E02669">
        <w:tc>
          <w:tcPr>
            <w:tcW w:w="714" w:type="pct"/>
            <w:shd w:val="clear" w:color="auto" w:fill="D9D9D9" w:themeFill="background1" w:themeFillShade="D9"/>
          </w:tcPr>
          <w:p w:rsidR="000968C6" w:rsidRPr="00920905" w:rsidRDefault="005729C8" w:rsidP="00390F74">
            <w:pPr>
              <w:jc w:val="cente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78" w:type="pct"/>
            <w:shd w:val="clear" w:color="auto" w:fill="D9D9D9" w:themeFill="background1" w:themeFillShade="D9"/>
          </w:tcPr>
          <w:p w:rsidR="000968C6" w:rsidRPr="00920905" w:rsidRDefault="005F69D5" w:rsidP="00390F74">
            <w:pPr>
              <w:jc w:val="center"/>
              <w:rPr>
                <w:rFonts w:cstheme="minorHAnsi"/>
                <w:b/>
                <w:szCs w:val="20"/>
              </w:rPr>
            </w:pPr>
            <w:r>
              <w:rPr>
                <w:rFonts w:cstheme="minorHAnsi"/>
                <w:b/>
                <w:szCs w:val="20"/>
              </w:rPr>
              <w:t>Description</w:t>
            </w:r>
          </w:p>
        </w:tc>
        <w:tc>
          <w:tcPr>
            <w:tcW w:w="434" w:type="pct"/>
            <w:shd w:val="clear" w:color="auto" w:fill="D9D9D9" w:themeFill="background1" w:themeFillShade="D9"/>
          </w:tcPr>
          <w:p w:rsidR="000968C6" w:rsidRPr="00920905" w:rsidRDefault="000968C6" w:rsidP="00390F74">
            <w:pPr>
              <w:jc w:val="center"/>
              <w:rPr>
                <w:rFonts w:cstheme="minorHAnsi"/>
                <w:b/>
                <w:szCs w:val="20"/>
              </w:rPr>
            </w:pPr>
            <w:r w:rsidRPr="00920905">
              <w:rPr>
                <w:rFonts w:cstheme="minorHAnsi"/>
                <w:b/>
                <w:szCs w:val="20"/>
              </w:rPr>
              <w:t>Sector</w:t>
            </w:r>
          </w:p>
        </w:tc>
        <w:tc>
          <w:tcPr>
            <w:tcW w:w="529" w:type="pct"/>
            <w:shd w:val="clear" w:color="auto" w:fill="D9D9D9" w:themeFill="background1" w:themeFillShade="D9"/>
          </w:tcPr>
          <w:p w:rsidR="000968C6" w:rsidRPr="00920905" w:rsidRDefault="00FB2590" w:rsidP="00390F74">
            <w:pPr>
              <w:jc w:val="center"/>
              <w:rPr>
                <w:rFonts w:cstheme="minorHAnsi"/>
                <w:b/>
                <w:szCs w:val="20"/>
              </w:rPr>
            </w:pPr>
            <w:r w:rsidRPr="00920905">
              <w:rPr>
                <w:rFonts w:cstheme="minorHAnsi"/>
                <w:b/>
                <w:szCs w:val="20"/>
              </w:rPr>
              <w:t>BldgType</w:t>
            </w:r>
          </w:p>
        </w:tc>
        <w:tc>
          <w:tcPr>
            <w:tcW w:w="915" w:type="pct"/>
            <w:shd w:val="clear" w:color="auto" w:fill="D9D9D9" w:themeFill="background1" w:themeFillShade="D9"/>
          </w:tcPr>
          <w:p w:rsidR="000968C6" w:rsidRPr="00920905" w:rsidRDefault="00E06A37" w:rsidP="00390F74">
            <w:pPr>
              <w:jc w:val="cente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rsidR="000968C6" w:rsidRPr="00920905" w:rsidRDefault="00FB2590" w:rsidP="00390F74">
            <w:pPr>
              <w:jc w:val="center"/>
              <w:rPr>
                <w:rFonts w:cstheme="minorHAnsi"/>
                <w:b/>
                <w:szCs w:val="20"/>
              </w:rPr>
            </w:pPr>
            <w:r w:rsidRPr="00920905">
              <w:rPr>
                <w:rFonts w:cstheme="minorHAnsi"/>
                <w:b/>
                <w:szCs w:val="20"/>
              </w:rPr>
              <w:t>NTG</w:t>
            </w:r>
            <w:r w:rsidR="00E06A37">
              <w:rPr>
                <w:rFonts w:cstheme="minorHAnsi"/>
                <w:b/>
                <w:szCs w:val="20"/>
              </w:rPr>
              <w:t>R</w:t>
            </w:r>
          </w:p>
        </w:tc>
      </w:tr>
      <w:tr w:rsidR="00E02669" w:rsidRPr="00500C4E" w:rsidTr="002E551D">
        <w:tc>
          <w:tcPr>
            <w:tcW w:w="714" w:type="pct"/>
            <w:vAlign w:val="center"/>
          </w:tcPr>
          <w:p w:rsidR="00E02669" w:rsidRPr="007A33F7" w:rsidRDefault="00E02669" w:rsidP="002E551D">
            <w:pPr>
              <w:rPr>
                <w:szCs w:val="20"/>
              </w:rPr>
            </w:pPr>
            <w:r w:rsidRPr="00501FDE">
              <w:rPr>
                <w:szCs w:val="20"/>
              </w:rPr>
              <w:t>ET-Default</w:t>
            </w:r>
          </w:p>
        </w:tc>
        <w:tc>
          <w:tcPr>
            <w:tcW w:w="1978" w:type="pct"/>
          </w:tcPr>
          <w:p w:rsidR="00E02669" w:rsidRPr="007A33F7" w:rsidRDefault="00E02669" w:rsidP="00E02669">
            <w:pPr>
              <w:rPr>
                <w:szCs w:val="20"/>
              </w:rPr>
            </w:pPr>
            <w:r w:rsidRPr="00501FDE">
              <w:rPr>
                <w:szCs w:val="20"/>
              </w:rPr>
              <w:t>Emerging Technologies approved by ED through work paper review</w:t>
            </w:r>
          </w:p>
        </w:tc>
        <w:tc>
          <w:tcPr>
            <w:tcW w:w="434" w:type="pct"/>
            <w:vAlign w:val="center"/>
          </w:tcPr>
          <w:p w:rsidR="00E02669" w:rsidRPr="007A33F7" w:rsidRDefault="00E02669" w:rsidP="00390F74">
            <w:pPr>
              <w:jc w:val="center"/>
              <w:rPr>
                <w:szCs w:val="20"/>
              </w:rPr>
            </w:pPr>
            <w:r>
              <w:rPr>
                <w:szCs w:val="20"/>
              </w:rPr>
              <w:t>Any</w:t>
            </w:r>
          </w:p>
        </w:tc>
        <w:tc>
          <w:tcPr>
            <w:tcW w:w="529" w:type="pct"/>
            <w:vAlign w:val="center"/>
          </w:tcPr>
          <w:p w:rsidR="00E02669" w:rsidRPr="007A33F7" w:rsidRDefault="00E02669" w:rsidP="00390F74">
            <w:pPr>
              <w:jc w:val="center"/>
              <w:rPr>
                <w:szCs w:val="20"/>
              </w:rPr>
            </w:pPr>
            <w:r w:rsidRPr="007A33F7">
              <w:rPr>
                <w:szCs w:val="20"/>
              </w:rPr>
              <w:t>Any</w:t>
            </w:r>
          </w:p>
        </w:tc>
        <w:tc>
          <w:tcPr>
            <w:tcW w:w="915" w:type="pct"/>
            <w:vAlign w:val="center"/>
          </w:tcPr>
          <w:p w:rsidR="00E02669" w:rsidRPr="007A33F7" w:rsidRDefault="00E02669" w:rsidP="00390F74">
            <w:pPr>
              <w:jc w:val="center"/>
              <w:rPr>
                <w:szCs w:val="20"/>
              </w:rPr>
            </w:pPr>
            <w:r w:rsidRPr="007A33F7">
              <w:rPr>
                <w:szCs w:val="20"/>
              </w:rPr>
              <w:t>Any</w:t>
            </w:r>
          </w:p>
        </w:tc>
        <w:tc>
          <w:tcPr>
            <w:tcW w:w="430" w:type="pct"/>
            <w:vAlign w:val="center"/>
          </w:tcPr>
          <w:p w:rsidR="00E02669" w:rsidRPr="007A33F7" w:rsidRDefault="00E02669" w:rsidP="00390F74">
            <w:pPr>
              <w:jc w:val="center"/>
              <w:rPr>
                <w:szCs w:val="20"/>
              </w:rPr>
            </w:pPr>
            <w:r>
              <w:rPr>
                <w:szCs w:val="20"/>
              </w:rPr>
              <w:t>0.85</w:t>
            </w:r>
          </w:p>
        </w:tc>
      </w:tr>
    </w:tbl>
    <w:p w:rsidR="003D00BD" w:rsidRDefault="003D00BD" w:rsidP="003003EC">
      <w:pPr>
        <w:pStyle w:val="Reminders"/>
        <w:rPr>
          <w:rFonts w:asciiTheme="minorHAnsi" w:hAnsiTheme="minorHAnsi" w:cstheme="minorHAnsi"/>
          <w:b/>
          <w:i w:val="0"/>
          <w:color w:val="auto"/>
          <w:szCs w:val="22"/>
        </w:rPr>
      </w:pPr>
    </w:p>
    <w:p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rsidR="003003EC" w:rsidRPr="00500C4E" w:rsidRDefault="003003EC" w:rsidP="000968C6">
      <w:pPr>
        <w:pStyle w:val="Reminders"/>
        <w:rPr>
          <w:rFonts w:asciiTheme="minorHAnsi" w:hAnsiTheme="minorHAnsi" w:cstheme="minorHAnsi"/>
          <w:i w:val="0"/>
          <w:color w:val="auto"/>
          <w:szCs w:val="22"/>
        </w:rPr>
      </w:pPr>
    </w:p>
    <w:p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rsidR="00F45775" w:rsidRPr="00F45775" w:rsidRDefault="00F45775" w:rsidP="00F45775">
      <w:pPr>
        <w:pStyle w:val="NoSpacing"/>
        <w:jc w:val="center"/>
        <w:rPr>
          <w:b/>
        </w:rPr>
      </w:pPr>
      <w:r w:rsidRPr="00F45775">
        <w:rPr>
          <w:b/>
        </w:rPr>
        <w:t>Table 8: GSIA Table</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rsidTr="00920905">
        <w:tc>
          <w:tcPr>
            <w:tcW w:w="722" w:type="pct"/>
            <w:shd w:val="clear" w:color="auto" w:fill="D9D9D9" w:themeFill="background1" w:themeFillShade="D9"/>
          </w:tcPr>
          <w:p w:rsidR="006B4A48" w:rsidRPr="00920905" w:rsidRDefault="00BA2E7E" w:rsidP="00390F74">
            <w:pPr>
              <w:jc w:val="cente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rsidR="006B4A48" w:rsidRPr="00920905" w:rsidRDefault="00FB2590" w:rsidP="00390F74">
            <w:pPr>
              <w:jc w:val="center"/>
              <w:rPr>
                <w:rFonts w:cstheme="minorHAnsi"/>
                <w:b/>
                <w:szCs w:val="20"/>
              </w:rPr>
            </w:pPr>
            <w:r w:rsidRPr="00920905">
              <w:rPr>
                <w:rFonts w:cstheme="minorHAnsi"/>
                <w:b/>
                <w:szCs w:val="20"/>
              </w:rPr>
              <w:t>Description</w:t>
            </w:r>
          </w:p>
        </w:tc>
        <w:tc>
          <w:tcPr>
            <w:tcW w:w="688" w:type="pct"/>
            <w:shd w:val="clear" w:color="auto" w:fill="D9D9D9" w:themeFill="background1" w:themeFillShade="D9"/>
          </w:tcPr>
          <w:p w:rsidR="006B4A48" w:rsidRPr="00920905" w:rsidRDefault="00FB2590" w:rsidP="00390F74">
            <w:pPr>
              <w:jc w:val="center"/>
              <w:rPr>
                <w:rFonts w:cstheme="minorHAnsi"/>
                <w:b/>
                <w:szCs w:val="20"/>
              </w:rPr>
            </w:pPr>
            <w:r w:rsidRPr="00920905">
              <w:rPr>
                <w:rFonts w:cstheme="minorHAnsi"/>
                <w:b/>
                <w:szCs w:val="20"/>
              </w:rPr>
              <w:t>Sector</w:t>
            </w:r>
          </w:p>
        </w:tc>
        <w:tc>
          <w:tcPr>
            <w:tcW w:w="858" w:type="pct"/>
            <w:shd w:val="clear" w:color="auto" w:fill="D9D9D9" w:themeFill="background1" w:themeFillShade="D9"/>
          </w:tcPr>
          <w:p w:rsidR="006B4A48" w:rsidRPr="00920905" w:rsidRDefault="00FB2590" w:rsidP="00390F74">
            <w:pPr>
              <w:jc w:val="center"/>
              <w:rPr>
                <w:rFonts w:cstheme="minorHAnsi"/>
                <w:b/>
                <w:szCs w:val="20"/>
              </w:rPr>
            </w:pPr>
            <w:r w:rsidRPr="00920905">
              <w:rPr>
                <w:rFonts w:cstheme="minorHAnsi"/>
                <w:b/>
                <w:szCs w:val="20"/>
              </w:rPr>
              <w:t>BldgType</w:t>
            </w:r>
          </w:p>
        </w:tc>
        <w:tc>
          <w:tcPr>
            <w:tcW w:w="693" w:type="pct"/>
            <w:shd w:val="clear" w:color="auto" w:fill="D9D9D9" w:themeFill="background1" w:themeFillShade="D9"/>
          </w:tcPr>
          <w:p w:rsidR="006B4A48" w:rsidRPr="00920905" w:rsidRDefault="006B4A48" w:rsidP="00390F74">
            <w:pPr>
              <w:jc w:val="center"/>
              <w:rPr>
                <w:rFonts w:cstheme="minorHAnsi"/>
                <w:b/>
                <w:szCs w:val="20"/>
              </w:rPr>
            </w:pPr>
            <w:r w:rsidRPr="00920905">
              <w:rPr>
                <w:rFonts w:cstheme="minorHAnsi"/>
                <w:b/>
                <w:szCs w:val="20"/>
              </w:rPr>
              <w:t>ProgDelivID</w:t>
            </w:r>
          </w:p>
        </w:tc>
        <w:tc>
          <w:tcPr>
            <w:tcW w:w="634" w:type="pct"/>
            <w:shd w:val="clear" w:color="auto" w:fill="D9D9D9" w:themeFill="background1" w:themeFillShade="D9"/>
          </w:tcPr>
          <w:p w:rsidR="006B4A48" w:rsidRPr="00920905" w:rsidRDefault="00FB2590" w:rsidP="00390F74">
            <w:pPr>
              <w:jc w:val="center"/>
              <w:rPr>
                <w:rFonts w:cstheme="minorHAnsi"/>
                <w:b/>
                <w:szCs w:val="20"/>
              </w:rPr>
            </w:pPr>
            <w:r w:rsidRPr="00920905">
              <w:rPr>
                <w:rFonts w:cstheme="minorHAnsi"/>
                <w:b/>
                <w:szCs w:val="20"/>
              </w:rPr>
              <w:t>GSIAValue</w:t>
            </w:r>
          </w:p>
        </w:tc>
      </w:tr>
      <w:tr w:rsidR="002F4E34" w:rsidRPr="00500C4E" w:rsidTr="00920905">
        <w:tc>
          <w:tcPr>
            <w:tcW w:w="722" w:type="pct"/>
          </w:tcPr>
          <w:p w:rsidR="002F4E34" w:rsidRPr="003D00BD" w:rsidRDefault="002F4E34" w:rsidP="005729C8">
            <w:pPr>
              <w:rPr>
                <w:szCs w:val="20"/>
              </w:rPr>
            </w:pPr>
            <w:r w:rsidRPr="003D00BD">
              <w:rPr>
                <w:szCs w:val="20"/>
              </w:rPr>
              <w:t>Def-GSIA</w:t>
            </w:r>
          </w:p>
        </w:tc>
        <w:tc>
          <w:tcPr>
            <w:tcW w:w="1404" w:type="pct"/>
          </w:tcPr>
          <w:p w:rsidR="002F4E34" w:rsidRPr="003D00BD" w:rsidRDefault="002F4E34" w:rsidP="005729C8">
            <w:pPr>
              <w:rPr>
                <w:szCs w:val="20"/>
              </w:rPr>
            </w:pPr>
            <w:r w:rsidRPr="003D00BD">
              <w:rPr>
                <w:szCs w:val="20"/>
              </w:rPr>
              <w:t>Default GSIA values</w:t>
            </w:r>
          </w:p>
        </w:tc>
        <w:tc>
          <w:tcPr>
            <w:tcW w:w="688" w:type="pct"/>
          </w:tcPr>
          <w:p w:rsidR="002F4E34" w:rsidRPr="003D00BD" w:rsidRDefault="002F4E34" w:rsidP="00F45775">
            <w:pPr>
              <w:jc w:val="center"/>
              <w:rPr>
                <w:szCs w:val="20"/>
              </w:rPr>
            </w:pPr>
            <w:r w:rsidRPr="003D00BD">
              <w:rPr>
                <w:szCs w:val="20"/>
              </w:rPr>
              <w:t>Any</w:t>
            </w:r>
          </w:p>
        </w:tc>
        <w:tc>
          <w:tcPr>
            <w:tcW w:w="858" w:type="pct"/>
          </w:tcPr>
          <w:p w:rsidR="002F4E34" w:rsidRPr="003D00BD" w:rsidRDefault="002F4E34" w:rsidP="00F45775">
            <w:pPr>
              <w:jc w:val="center"/>
              <w:rPr>
                <w:szCs w:val="20"/>
              </w:rPr>
            </w:pPr>
            <w:r w:rsidRPr="003D00BD">
              <w:rPr>
                <w:szCs w:val="20"/>
              </w:rPr>
              <w:t>Any</w:t>
            </w:r>
          </w:p>
        </w:tc>
        <w:tc>
          <w:tcPr>
            <w:tcW w:w="693" w:type="pct"/>
          </w:tcPr>
          <w:p w:rsidR="002F4E34" w:rsidRPr="003D00BD" w:rsidRDefault="002F4E34" w:rsidP="00F45775">
            <w:pPr>
              <w:jc w:val="center"/>
              <w:rPr>
                <w:szCs w:val="20"/>
              </w:rPr>
            </w:pPr>
            <w:r w:rsidRPr="003D00BD">
              <w:rPr>
                <w:szCs w:val="20"/>
              </w:rPr>
              <w:t>Any</w:t>
            </w:r>
          </w:p>
        </w:tc>
        <w:tc>
          <w:tcPr>
            <w:tcW w:w="634" w:type="pct"/>
          </w:tcPr>
          <w:p w:rsidR="002F4E34" w:rsidRPr="003D00BD" w:rsidRDefault="002F4E34" w:rsidP="00F45775">
            <w:pPr>
              <w:jc w:val="center"/>
              <w:rPr>
                <w:szCs w:val="20"/>
              </w:rPr>
            </w:pPr>
            <w:r w:rsidRPr="003D00BD">
              <w:rPr>
                <w:szCs w:val="20"/>
              </w:rPr>
              <w:t>1</w:t>
            </w:r>
          </w:p>
        </w:tc>
      </w:tr>
    </w:tbl>
    <w:p w:rsidR="001F4476" w:rsidRDefault="001F4476" w:rsidP="008B1357">
      <w:pPr>
        <w:rPr>
          <w:rFonts w:cstheme="minorHAnsi"/>
          <w:b/>
          <w:szCs w:val="22"/>
        </w:rPr>
      </w:pPr>
    </w:p>
    <w:p w:rsidR="008B1357" w:rsidRPr="00500C4E" w:rsidRDefault="008B1357" w:rsidP="008B1357">
      <w:pPr>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Pr="00500C4E">
        <w:rPr>
          <w:rFonts w:cstheme="minorHAnsi"/>
          <w:b/>
          <w:szCs w:val="22"/>
        </w:rPr>
        <w:t xml:space="preserve"> Useful Life</w:t>
      </w:r>
    </w:p>
    <w:p w:rsidR="00A1433E" w:rsidRDefault="00A1433E" w:rsidP="00A1433E">
      <w:pPr>
        <w:rPr>
          <w:rFonts w:eastAsiaTheme="minorHAnsi" w:cstheme="minorBidi"/>
          <w:szCs w:val="22"/>
        </w:rPr>
      </w:pPr>
      <w:r w:rsidRPr="00846B84">
        <w:rPr>
          <w:rFonts w:eastAsiaTheme="minorHAnsi" w:cstheme="minorBidi"/>
          <w:szCs w:val="22"/>
        </w:rPr>
        <w:t xml:space="preserve">The EUL and RUL values were obtained using the DEER </w:t>
      </w:r>
      <w:r>
        <w:rPr>
          <w:rFonts w:eastAsiaTheme="minorHAnsi" w:cstheme="minorBidi"/>
          <w:szCs w:val="22"/>
        </w:rPr>
        <w:t xml:space="preserve">2016 </w:t>
      </w:r>
      <w:r w:rsidRPr="00846B84">
        <w:rPr>
          <w:rFonts w:eastAsiaTheme="minorHAnsi" w:cstheme="minorBidi"/>
          <w:szCs w:val="22"/>
        </w:rPr>
        <w:t>READI tool</w:t>
      </w:r>
      <w:r>
        <w:rPr>
          <w:rFonts w:eastAsiaTheme="minorHAnsi" w:cstheme="minorBidi"/>
          <w:szCs w:val="22"/>
        </w:rPr>
        <w:t xml:space="preserve"> version 2.4.7</w:t>
      </w:r>
      <w:r w:rsidRPr="00846B84">
        <w:rPr>
          <w:rFonts w:eastAsiaTheme="minorHAnsi" w:cstheme="minorBid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rsidR="00783899" w:rsidRPr="00F45775" w:rsidRDefault="00F45775" w:rsidP="00F45775">
      <w:pPr>
        <w:jc w:val="center"/>
        <w:rPr>
          <w:rFonts w:eastAsiaTheme="minorHAnsi" w:cstheme="minorBidi"/>
          <w:b/>
          <w:szCs w:val="22"/>
        </w:rPr>
      </w:pPr>
      <w:r w:rsidRPr="00F45775">
        <w:rPr>
          <w:rFonts w:eastAsiaTheme="minorHAnsi" w:cstheme="minorBidi"/>
          <w:b/>
          <w:szCs w:val="22"/>
        </w:rPr>
        <w:t>Table 9: Effective and Remaining Useful Life Table</w:t>
      </w:r>
    </w:p>
    <w:tbl>
      <w:tblPr>
        <w:tblStyle w:val="TableGrid1"/>
        <w:tblW w:w="4709" w:type="pct"/>
        <w:tblLook w:val="04A0" w:firstRow="1" w:lastRow="0" w:firstColumn="1" w:lastColumn="0" w:noHBand="0" w:noVBand="1"/>
      </w:tblPr>
      <w:tblGrid>
        <w:gridCol w:w="2159"/>
        <w:gridCol w:w="2412"/>
        <w:gridCol w:w="743"/>
        <w:gridCol w:w="1275"/>
        <w:gridCol w:w="1207"/>
        <w:gridCol w:w="1223"/>
      </w:tblGrid>
      <w:tr w:rsidR="00F62EA2" w:rsidRPr="00500C4E" w:rsidTr="00F62EA2">
        <w:tc>
          <w:tcPr>
            <w:tcW w:w="1197" w:type="pct"/>
            <w:shd w:val="clear" w:color="auto" w:fill="D9D9D9" w:themeFill="background1" w:themeFillShade="D9"/>
          </w:tcPr>
          <w:p w:rsidR="008B1357" w:rsidRPr="00920905" w:rsidRDefault="008B1357" w:rsidP="00390F74">
            <w:pPr>
              <w:jc w:val="center"/>
              <w:rPr>
                <w:rFonts w:cstheme="minorHAnsi"/>
                <w:b/>
                <w:szCs w:val="20"/>
              </w:rPr>
            </w:pPr>
            <w:r w:rsidRPr="00920905">
              <w:rPr>
                <w:rFonts w:cstheme="minorHAnsi"/>
                <w:b/>
                <w:szCs w:val="20"/>
              </w:rPr>
              <w:t>EUL ID</w:t>
            </w:r>
          </w:p>
        </w:tc>
        <w:tc>
          <w:tcPr>
            <w:tcW w:w="1337" w:type="pct"/>
            <w:shd w:val="clear" w:color="auto" w:fill="D9D9D9" w:themeFill="background1" w:themeFillShade="D9"/>
          </w:tcPr>
          <w:p w:rsidR="008B1357" w:rsidRPr="00920905" w:rsidRDefault="008B1357" w:rsidP="00390F74">
            <w:pPr>
              <w:jc w:val="center"/>
              <w:rPr>
                <w:rFonts w:cstheme="minorHAnsi"/>
                <w:b/>
                <w:szCs w:val="20"/>
              </w:rPr>
            </w:pPr>
            <w:r w:rsidRPr="00920905">
              <w:rPr>
                <w:rFonts w:cstheme="minorHAnsi"/>
                <w:b/>
                <w:szCs w:val="20"/>
              </w:rPr>
              <w:t>Description</w:t>
            </w:r>
          </w:p>
        </w:tc>
        <w:tc>
          <w:tcPr>
            <w:tcW w:w="412" w:type="pct"/>
            <w:shd w:val="clear" w:color="auto" w:fill="D9D9D9" w:themeFill="background1" w:themeFillShade="D9"/>
          </w:tcPr>
          <w:p w:rsidR="008B1357" w:rsidRPr="00920905" w:rsidRDefault="008B1357" w:rsidP="00390F74">
            <w:pPr>
              <w:jc w:val="center"/>
              <w:rPr>
                <w:rFonts w:cstheme="minorHAnsi"/>
                <w:b/>
                <w:szCs w:val="20"/>
              </w:rPr>
            </w:pPr>
            <w:r w:rsidRPr="00920905">
              <w:rPr>
                <w:rFonts w:cstheme="minorHAnsi"/>
                <w:b/>
                <w:szCs w:val="20"/>
              </w:rPr>
              <w:t>Sector</w:t>
            </w:r>
          </w:p>
        </w:tc>
        <w:tc>
          <w:tcPr>
            <w:tcW w:w="707" w:type="pct"/>
            <w:shd w:val="clear" w:color="auto" w:fill="D9D9D9" w:themeFill="background1" w:themeFillShade="D9"/>
          </w:tcPr>
          <w:p w:rsidR="008B1357" w:rsidRPr="00920905" w:rsidRDefault="00BA2E7E" w:rsidP="00390F74">
            <w:pPr>
              <w:jc w:val="center"/>
              <w:rPr>
                <w:rFonts w:cstheme="minorHAnsi"/>
                <w:b/>
                <w:szCs w:val="20"/>
              </w:rPr>
            </w:pPr>
            <w:r w:rsidRPr="00920905">
              <w:rPr>
                <w:rFonts w:cstheme="minorHAnsi"/>
                <w:b/>
                <w:szCs w:val="20"/>
              </w:rPr>
              <w:t>UseCategory</w:t>
            </w:r>
          </w:p>
        </w:tc>
        <w:tc>
          <w:tcPr>
            <w:tcW w:w="669" w:type="pct"/>
            <w:shd w:val="clear" w:color="auto" w:fill="D9D9D9" w:themeFill="background1" w:themeFillShade="D9"/>
          </w:tcPr>
          <w:p w:rsidR="008B1357" w:rsidRPr="00920905" w:rsidRDefault="008B1357" w:rsidP="00390F74">
            <w:pPr>
              <w:jc w:val="center"/>
              <w:rPr>
                <w:rFonts w:cstheme="minorHAnsi"/>
                <w:b/>
                <w:szCs w:val="20"/>
              </w:rPr>
            </w:pPr>
            <w:r w:rsidRPr="00920905">
              <w:rPr>
                <w:rFonts w:cstheme="minorHAnsi"/>
                <w:b/>
                <w:szCs w:val="20"/>
              </w:rPr>
              <w:t>EUL (Years)</w:t>
            </w:r>
          </w:p>
        </w:tc>
        <w:tc>
          <w:tcPr>
            <w:tcW w:w="678" w:type="pct"/>
            <w:shd w:val="clear" w:color="auto" w:fill="D9D9D9" w:themeFill="background1" w:themeFillShade="D9"/>
          </w:tcPr>
          <w:p w:rsidR="008B1357" w:rsidRPr="00920905" w:rsidRDefault="008B1357" w:rsidP="00390F74">
            <w:pPr>
              <w:jc w:val="center"/>
              <w:rPr>
                <w:rFonts w:cstheme="minorHAnsi"/>
                <w:b/>
                <w:szCs w:val="20"/>
              </w:rPr>
            </w:pPr>
            <w:r w:rsidRPr="00920905">
              <w:rPr>
                <w:rFonts w:cstheme="minorHAnsi"/>
                <w:b/>
                <w:szCs w:val="20"/>
              </w:rPr>
              <w:t>RUL (Years)</w:t>
            </w:r>
          </w:p>
        </w:tc>
      </w:tr>
      <w:tr w:rsidR="00F62EA2" w:rsidRPr="00500C4E" w:rsidTr="00F62EA2">
        <w:trPr>
          <w:trHeight w:val="243"/>
        </w:trPr>
        <w:tc>
          <w:tcPr>
            <w:tcW w:w="1197" w:type="pct"/>
            <w:vAlign w:val="center"/>
          </w:tcPr>
          <w:p w:rsidR="00A1433E" w:rsidRPr="00500C4E" w:rsidRDefault="00A1433E" w:rsidP="00A1433E">
            <w:pPr>
              <w:jc w:val="center"/>
              <w:rPr>
                <w:color w:val="FF0000"/>
                <w:szCs w:val="20"/>
              </w:rPr>
            </w:pPr>
            <w:r w:rsidRPr="007A33F7">
              <w:rPr>
                <w:szCs w:val="20"/>
              </w:rPr>
              <w:t>Res-Plug-AdvPwrStrip</w:t>
            </w:r>
          </w:p>
        </w:tc>
        <w:tc>
          <w:tcPr>
            <w:tcW w:w="1337" w:type="pct"/>
            <w:vAlign w:val="center"/>
          </w:tcPr>
          <w:p w:rsidR="00A1433E" w:rsidRPr="00500C4E" w:rsidRDefault="00A1433E" w:rsidP="00A1433E">
            <w:pPr>
              <w:jc w:val="center"/>
              <w:rPr>
                <w:color w:val="FF0000"/>
                <w:szCs w:val="20"/>
              </w:rPr>
            </w:pPr>
            <w:r w:rsidRPr="007A33F7">
              <w:rPr>
                <w:szCs w:val="20"/>
              </w:rPr>
              <w:t>Tier 2 Advance Power Strip</w:t>
            </w:r>
          </w:p>
        </w:tc>
        <w:tc>
          <w:tcPr>
            <w:tcW w:w="412" w:type="pct"/>
            <w:vAlign w:val="center"/>
          </w:tcPr>
          <w:p w:rsidR="00A1433E" w:rsidRPr="00AC1505" w:rsidRDefault="00A1433E" w:rsidP="00A1433E">
            <w:pPr>
              <w:jc w:val="center"/>
            </w:pPr>
            <w:r w:rsidRPr="00AC1505">
              <w:t>Res</w:t>
            </w:r>
          </w:p>
        </w:tc>
        <w:tc>
          <w:tcPr>
            <w:tcW w:w="707" w:type="pct"/>
            <w:vAlign w:val="center"/>
          </w:tcPr>
          <w:p w:rsidR="00A1433E" w:rsidRDefault="00A1433E" w:rsidP="00A1433E">
            <w:pPr>
              <w:jc w:val="center"/>
            </w:pPr>
            <w:r w:rsidRPr="00AC1505">
              <w:t>AppPlug</w:t>
            </w:r>
          </w:p>
        </w:tc>
        <w:tc>
          <w:tcPr>
            <w:tcW w:w="669" w:type="pct"/>
            <w:vAlign w:val="center"/>
          </w:tcPr>
          <w:p w:rsidR="00A1433E" w:rsidRPr="00A1433E" w:rsidRDefault="00A1433E" w:rsidP="00A1433E">
            <w:pPr>
              <w:jc w:val="center"/>
              <w:rPr>
                <w:szCs w:val="20"/>
              </w:rPr>
            </w:pPr>
            <w:r w:rsidRPr="00A1433E">
              <w:rPr>
                <w:szCs w:val="20"/>
              </w:rPr>
              <w:t>5</w:t>
            </w:r>
          </w:p>
        </w:tc>
        <w:tc>
          <w:tcPr>
            <w:tcW w:w="678" w:type="pct"/>
            <w:vAlign w:val="center"/>
          </w:tcPr>
          <w:p w:rsidR="00A1433E" w:rsidRPr="00A1433E" w:rsidRDefault="00A1433E" w:rsidP="00A1433E">
            <w:pPr>
              <w:jc w:val="center"/>
              <w:rPr>
                <w:szCs w:val="20"/>
              </w:rPr>
            </w:pPr>
            <w:r w:rsidRPr="00A1433E">
              <w:rPr>
                <w:szCs w:val="20"/>
              </w:rPr>
              <w:t>1.67</w:t>
            </w:r>
          </w:p>
        </w:tc>
      </w:tr>
    </w:tbl>
    <w:p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rsidR="00A1433E" w:rsidRDefault="00A1433E" w:rsidP="00A1433E">
      <w:pPr>
        <w:spacing w:before="40" w:after="40"/>
        <w:rPr>
          <w:rFonts w:cstheme="minorHAnsi"/>
          <w:color w:val="FF0000"/>
          <w:szCs w:val="22"/>
        </w:rPr>
      </w:pPr>
      <w:r w:rsidRPr="007A33F7">
        <w:rPr>
          <w:rFonts w:cstheme="minorHAnsi"/>
          <w:szCs w:val="22"/>
        </w:rPr>
        <w:t>There are no federal, state, or regional code requirements that apply to this measure.</w:t>
      </w:r>
    </w:p>
    <w:p w:rsidR="00B07EE5" w:rsidRPr="00500C4E" w:rsidRDefault="00F45775" w:rsidP="00F45775">
      <w:pPr>
        <w:pStyle w:val="Caption"/>
        <w:keepNext/>
        <w:jc w:val="center"/>
        <w:rPr>
          <w:rFonts w:cstheme="minorHAnsi"/>
          <w:szCs w:val="22"/>
        </w:rPr>
      </w:pPr>
      <w:r>
        <w:rPr>
          <w:rFonts w:cstheme="minorHAnsi"/>
          <w:szCs w:val="22"/>
        </w:rPr>
        <w:t xml:space="preserve">Table 10: </w:t>
      </w:r>
      <w:r w:rsidR="005A1078"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rsidTr="00920905">
        <w:tc>
          <w:tcPr>
            <w:tcW w:w="1155" w:type="pct"/>
            <w:shd w:val="clear" w:color="auto" w:fill="D9D9D9" w:themeFill="background1" w:themeFillShade="D9"/>
          </w:tcPr>
          <w:p w:rsidR="00881A42" w:rsidRPr="00920905" w:rsidRDefault="00881A42" w:rsidP="00390F74">
            <w:pPr>
              <w:jc w:val="center"/>
              <w:rPr>
                <w:rFonts w:cstheme="minorHAnsi"/>
                <w:b/>
                <w:szCs w:val="20"/>
              </w:rPr>
            </w:pPr>
            <w:r w:rsidRPr="00920905">
              <w:rPr>
                <w:rFonts w:cstheme="minorHAnsi"/>
                <w:b/>
                <w:szCs w:val="20"/>
              </w:rPr>
              <w:t>Code</w:t>
            </w:r>
          </w:p>
        </w:tc>
        <w:tc>
          <w:tcPr>
            <w:tcW w:w="2711" w:type="pct"/>
            <w:shd w:val="clear" w:color="auto" w:fill="D9D9D9" w:themeFill="background1" w:themeFillShade="D9"/>
          </w:tcPr>
          <w:p w:rsidR="00881A42" w:rsidRPr="00920905" w:rsidRDefault="00B614F1" w:rsidP="00390F74">
            <w:pPr>
              <w:jc w:val="cente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rsidR="00881A42" w:rsidRPr="00920905" w:rsidRDefault="00881A42" w:rsidP="00390F74">
            <w:pPr>
              <w:jc w:val="center"/>
              <w:rPr>
                <w:rFonts w:cstheme="minorHAnsi"/>
                <w:b/>
                <w:szCs w:val="20"/>
              </w:rPr>
            </w:pPr>
            <w:r w:rsidRPr="00920905">
              <w:rPr>
                <w:rFonts w:cstheme="minorHAnsi"/>
                <w:b/>
                <w:szCs w:val="20"/>
              </w:rPr>
              <w:t>Effective Date</w:t>
            </w:r>
            <w:r w:rsidR="00CB04D2">
              <w:rPr>
                <w:rFonts w:cstheme="minorHAnsi"/>
                <w:b/>
                <w:szCs w:val="20"/>
              </w:rPr>
              <w:t>s</w:t>
            </w:r>
          </w:p>
        </w:tc>
      </w:tr>
      <w:tr w:rsidR="00A1433E" w:rsidRPr="00500C4E" w:rsidTr="00390F74">
        <w:trPr>
          <w:trHeight w:val="243"/>
        </w:trPr>
        <w:tc>
          <w:tcPr>
            <w:tcW w:w="1155" w:type="pct"/>
          </w:tcPr>
          <w:p w:rsidR="00A1433E" w:rsidRPr="007A33F7" w:rsidRDefault="00F62EA2" w:rsidP="0025554C">
            <w:pPr>
              <w:rPr>
                <w:rFonts w:cstheme="minorHAnsi"/>
                <w:szCs w:val="20"/>
              </w:rPr>
            </w:pPr>
            <w:r>
              <w:rPr>
                <w:rFonts w:cstheme="minorHAnsi"/>
                <w:szCs w:val="20"/>
              </w:rPr>
              <w:t>Title 24 (2016</w:t>
            </w:r>
            <w:r w:rsidR="00A1433E" w:rsidRPr="007A33F7">
              <w:rPr>
                <w:rFonts w:cstheme="minorHAnsi"/>
                <w:szCs w:val="20"/>
              </w:rPr>
              <w:t>)</w:t>
            </w:r>
          </w:p>
        </w:tc>
        <w:tc>
          <w:tcPr>
            <w:tcW w:w="2711" w:type="pct"/>
            <w:vAlign w:val="center"/>
          </w:tcPr>
          <w:p w:rsidR="00A1433E" w:rsidRPr="007A33F7" w:rsidRDefault="00A1433E" w:rsidP="00390F74">
            <w:pPr>
              <w:jc w:val="center"/>
              <w:rPr>
                <w:rFonts w:cstheme="minorHAnsi"/>
                <w:szCs w:val="20"/>
              </w:rPr>
            </w:pPr>
            <w:r w:rsidRPr="007A33F7">
              <w:rPr>
                <w:rFonts w:cstheme="minorHAnsi"/>
                <w:szCs w:val="20"/>
              </w:rPr>
              <w:t>N/A</w:t>
            </w:r>
          </w:p>
        </w:tc>
        <w:tc>
          <w:tcPr>
            <w:tcW w:w="1134" w:type="pct"/>
            <w:vAlign w:val="center"/>
          </w:tcPr>
          <w:p w:rsidR="00A1433E" w:rsidRPr="007A33F7" w:rsidRDefault="00F62EA2" w:rsidP="00390F74">
            <w:pPr>
              <w:jc w:val="center"/>
              <w:rPr>
                <w:rFonts w:cstheme="minorHAnsi"/>
                <w:szCs w:val="20"/>
              </w:rPr>
            </w:pPr>
            <w:r>
              <w:rPr>
                <w:rFonts w:cstheme="minorHAnsi"/>
                <w:szCs w:val="20"/>
              </w:rPr>
              <w:t>January 1, 2017</w:t>
            </w:r>
          </w:p>
        </w:tc>
      </w:tr>
      <w:tr w:rsidR="00A1433E" w:rsidRPr="00500C4E" w:rsidTr="00390F74">
        <w:trPr>
          <w:trHeight w:val="243"/>
        </w:trPr>
        <w:tc>
          <w:tcPr>
            <w:tcW w:w="1155" w:type="pct"/>
          </w:tcPr>
          <w:p w:rsidR="00A1433E" w:rsidRPr="007A33F7" w:rsidRDefault="00A1433E" w:rsidP="0025554C">
            <w:pPr>
              <w:rPr>
                <w:rFonts w:cstheme="minorHAnsi"/>
                <w:szCs w:val="20"/>
              </w:rPr>
            </w:pPr>
            <w:r w:rsidRPr="007A33F7">
              <w:rPr>
                <w:rFonts w:cstheme="minorHAnsi"/>
                <w:szCs w:val="20"/>
              </w:rPr>
              <w:t>Title 20 (2014)</w:t>
            </w:r>
          </w:p>
        </w:tc>
        <w:tc>
          <w:tcPr>
            <w:tcW w:w="2711" w:type="pct"/>
            <w:vAlign w:val="center"/>
          </w:tcPr>
          <w:p w:rsidR="00A1433E" w:rsidRPr="007A33F7" w:rsidRDefault="00A1433E" w:rsidP="00390F74">
            <w:pPr>
              <w:jc w:val="center"/>
              <w:rPr>
                <w:rFonts w:cstheme="minorHAnsi"/>
                <w:szCs w:val="20"/>
              </w:rPr>
            </w:pPr>
            <w:r w:rsidRPr="007A33F7">
              <w:rPr>
                <w:rFonts w:cstheme="minorHAnsi"/>
                <w:szCs w:val="20"/>
              </w:rPr>
              <w:t>N/A</w:t>
            </w:r>
          </w:p>
        </w:tc>
        <w:tc>
          <w:tcPr>
            <w:tcW w:w="1134" w:type="pct"/>
            <w:vAlign w:val="center"/>
          </w:tcPr>
          <w:p w:rsidR="00A1433E" w:rsidRPr="007A33F7" w:rsidRDefault="00A1433E" w:rsidP="00390F74">
            <w:pPr>
              <w:jc w:val="center"/>
              <w:rPr>
                <w:rFonts w:cstheme="minorHAnsi"/>
                <w:szCs w:val="20"/>
              </w:rPr>
            </w:pPr>
            <w:r w:rsidRPr="007A33F7">
              <w:rPr>
                <w:rFonts w:cstheme="minorHAnsi"/>
                <w:szCs w:val="20"/>
              </w:rPr>
              <w:t>July 1, 2014</w:t>
            </w:r>
          </w:p>
        </w:tc>
      </w:tr>
      <w:tr w:rsidR="00A1433E" w:rsidRPr="00500C4E" w:rsidTr="00390F74">
        <w:trPr>
          <w:trHeight w:val="243"/>
        </w:trPr>
        <w:tc>
          <w:tcPr>
            <w:tcW w:w="1155" w:type="pct"/>
          </w:tcPr>
          <w:p w:rsidR="00A1433E" w:rsidRPr="007A33F7" w:rsidRDefault="00A1433E" w:rsidP="0025554C">
            <w:pPr>
              <w:rPr>
                <w:rFonts w:cstheme="minorHAnsi"/>
                <w:szCs w:val="20"/>
              </w:rPr>
            </w:pPr>
            <w:r>
              <w:rPr>
                <w:rFonts w:cstheme="minorHAnsi"/>
                <w:szCs w:val="20"/>
              </w:rPr>
              <w:t>Federal Standards</w:t>
            </w:r>
          </w:p>
        </w:tc>
        <w:tc>
          <w:tcPr>
            <w:tcW w:w="2711" w:type="pct"/>
            <w:vAlign w:val="center"/>
          </w:tcPr>
          <w:p w:rsidR="00A1433E" w:rsidRPr="007A33F7" w:rsidRDefault="00A1433E" w:rsidP="00390F74">
            <w:pPr>
              <w:jc w:val="center"/>
              <w:rPr>
                <w:rFonts w:cstheme="minorHAnsi"/>
                <w:szCs w:val="20"/>
              </w:rPr>
            </w:pPr>
            <w:r>
              <w:rPr>
                <w:rFonts w:cstheme="minorHAnsi"/>
                <w:szCs w:val="20"/>
              </w:rPr>
              <w:t>N/A</w:t>
            </w:r>
          </w:p>
        </w:tc>
        <w:tc>
          <w:tcPr>
            <w:tcW w:w="1134" w:type="pct"/>
            <w:vAlign w:val="center"/>
          </w:tcPr>
          <w:p w:rsidR="00A1433E" w:rsidRPr="007A33F7" w:rsidRDefault="00A1433E" w:rsidP="00390F74">
            <w:pPr>
              <w:jc w:val="center"/>
              <w:rPr>
                <w:rFonts w:cstheme="minorHAnsi"/>
                <w:szCs w:val="20"/>
              </w:rPr>
            </w:pPr>
            <w:r>
              <w:rPr>
                <w:rFonts w:cstheme="minorHAnsi"/>
                <w:szCs w:val="20"/>
              </w:rPr>
              <w:t>N/A</w:t>
            </w:r>
          </w:p>
        </w:tc>
      </w:tr>
    </w:tbl>
    <w:p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rsidR="00122158" w:rsidRDefault="00122158" w:rsidP="00122158">
      <w:pPr>
        <w:rPr>
          <w:szCs w:val="22"/>
        </w:rPr>
      </w:pPr>
      <w:r>
        <w:rPr>
          <w:szCs w:val="22"/>
        </w:rPr>
        <w:t xml:space="preserve">Tier 2 APS emerging technology studies have been performed including </w:t>
      </w:r>
      <w:r w:rsidRPr="00122158">
        <w:rPr>
          <w:szCs w:val="22"/>
        </w:rPr>
        <w:t>SDG&amp;E ET Project: ET14SDG8021 Phase 1 Study</w:t>
      </w:r>
      <w:r>
        <w:rPr>
          <w:szCs w:val="22"/>
        </w:rPr>
        <w:t xml:space="preserve"> and </w:t>
      </w:r>
      <w:r w:rsidRPr="00122158">
        <w:rPr>
          <w:szCs w:val="22"/>
        </w:rPr>
        <w:t>PG&amp;E ET Project: ET13PGE1441 Phase 2 Study</w:t>
      </w:r>
      <w:r>
        <w:rPr>
          <w:szCs w:val="22"/>
        </w:rPr>
        <w:t xml:space="preserve">. The SDG&amp;E Phase 1 ET study focused on the Tier 2 APS IR technology. The PG&amp;E Phase 2 ET study focused on the Tier 2 APS IR-OS technology. SDG&amp;E </w:t>
      </w:r>
      <w:r w:rsidR="00307F1C">
        <w:rPr>
          <w:szCs w:val="22"/>
        </w:rPr>
        <w:t xml:space="preserve">subsequently </w:t>
      </w:r>
      <w:r>
        <w:rPr>
          <w:szCs w:val="22"/>
        </w:rPr>
        <w:t xml:space="preserve">developed the workpaper that documented the cost-effectiveness parameters </w:t>
      </w:r>
      <w:r w:rsidR="00307F1C">
        <w:rPr>
          <w:szCs w:val="22"/>
        </w:rPr>
        <w:t>based on the</w:t>
      </w:r>
      <w:r>
        <w:rPr>
          <w:szCs w:val="22"/>
        </w:rPr>
        <w:t xml:space="preserve"> ET study findings. The energy savings disposition outcome is summarized in the next section.</w:t>
      </w:r>
    </w:p>
    <w:p w:rsidR="003E510E" w:rsidRPr="007A33F7" w:rsidRDefault="003E510E" w:rsidP="003E510E">
      <w:pPr>
        <w:pStyle w:val="Heading4"/>
        <w:rPr>
          <w:rFonts w:asciiTheme="minorHAnsi" w:hAnsiTheme="minorHAnsi"/>
          <w:i w:val="0"/>
        </w:rPr>
      </w:pPr>
      <w:r w:rsidRPr="007A33F7">
        <w:rPr>
          <w:rFonts w:asciiTheme="minorHAnsi" w:hAnsiTheme="minorHAnsi"/>
          <w:i w:val="0"/>
        </w:rPr>
        <w:t xml:space="preserve">June 10, 2016 CPUC Staff Response to Early Opinion Request on Proposed Revisions to WPSDGEREHE0004 Revision 0.3 Tier 2 Advanced Power Strips </w:t>
      </w:r>
    </w:p>
    <w:p w:rsidR="00A71018" w:rsidRDefault="00050E41" w:rsidP="004A70A7">
      <w:pPr>
        <w:rPr>
          <w:szCs w:val="22"/>
        </w:rPr>
      </w:pPr>
      <w:r>
        <w:rPr>
          <w:szCs w:val="22"/>
        </w:rPr>
        <w:t xml:space="preserve">The CPUC June 10, 2016 Disposition </w:t>
      </w:r>
      <w:r w:rsidR="00C90852">
        <w:rPr>
          <w:szCs w:val="22"/>
        </w:rPr>
        <w:t>provided</w:t>
      </w:r>
      <w:r>
        <w:rPr>
          <w:szCs w:val="22"/>
        </w:rPr>
        <w:t xml:space="preserve"> final savings values for non-c</w:t>
      </w:r>
      <w:r w:rsidR="004A70A7">
        <w:rPr>
          <w:szCs w:val="22"/>
        </w:rPr>
        <w:t>ommunicating Tier 2 APS device and indicated</w:t>
      </w:r>
      <w:r>
        <w:rPr>
          <w:szCs w:val="22"/>
        </w:rPr>
        <w:t xml:space="preserve"> </w:t>
      </w:r>
    </w:p>
    <w:p w:rsidR="004A70A7" w:rsidRDefault="004A70A7" w:rsidP="00A71018">
      <w:pPr>
        <w:pStyle w:val="NoSpacing"/>
        <w:ind w:left="720"/>
        <w:jc w:val="both"/>
      </w:pPr>
    </w:p>
    <w:p w:rsidR="003F3E0E" w:rsidRDefault="004A70A7" w:rsidP="00A71018">
      <w:pPr>
        <w:pStyle w:val="NoSpacing"/>
        <w:ind w:left="720"/>
        <w:jc w:val="both"/>
      </w:pPr>
      <w:r>
        <w:rPr>
          <w:i/>
        </w:rPr>
        <w:t>“</w:t>
      </w:r>
      <w:r w:rsidR="00A71018" w:rsidRPr="004A70A7">
        <w:rPr>
          <w:i/>
        </w:rPr>
        <w:t>CPUC staff is concerned that the AESC phase 2 research did not include a pre-post investigation of IR T2APS even though the phase 1 investigation indicated significantly lower savings than the simulation mode. CPUC staff is reluctant to direct higher savings values for one technology type over another for measures that serve fundamentally the same purpose. For example, HVAC manufacturers incorporate different technologies to achieve high SEER ratings for air conditioners, but there is only one set of approved savings values that apply to all air conditioners of one particular SEER rating. For these reasons, CPUC staff recommends that SDG&amp;E revise the savings values for T2APS to be the average of the approved values, discussed above, for the two available technologies. This will result in savings values of 130 kWh and 0.018 kW</w:t>
      </w:r>
      <w:r w:rsidR="00A71018" w:rsidRPr="007A33F7">
        <w:t>.</w:t>
      </w:r>
      <w:r>
        <w:t>”</w:t>
      </w:r>
    </w:p>
    <w:p w:rsidR="00307F1C" w:rsidRDefault="00307F1C" w:rsidP="00560934">
      <w:pPr>
        <w:pStyle w:val="Heading1"/>
        <w:keepNext w:val="0"/>
        <w:rPr>
          <w:rFonts w:cstheme="minorHAnsi"/>
        </w:rPr>
      </w:pPr>
    </w:p>
    <w:p w:rsidR="00307F1C" w:rsidRDefault="00307F1C" w:rsidP="00560934">
      <w:pPr>
        <w:pStyle w:val="Heading1"/>
        <w:keepNext w:val="0"/>
        <w:rPr>
          <w:rFonts w:cstheme="minorHAnsi"/>
        </w:rPr>
      </w:pPr>
    </w:p>
    <w:p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rsidR="000C7AFD" w:rsidRPr="005D6D99" w:rsidRDefault="000C7AFD" w:rsidP="000C7AFD">
      <w:pPr>
        <w:pStyle w:val="Heading5"/>
        <w:rPr>
          <w:rFonts w:asciiTheme="minorHAnsi" w:eastAsiaTheme="minorHAnsi" w:hAnsiTheme="minorHAnsi" w:cstheme="minorBidi"/>
          <w:color w:val="auto"/>
          <w:szCs w:val="22"/>
        </w:rPr>
      </w:pPr>
      <w:bookmarkStart w:id="16" w:name="_Toc214003093"/>
      <w:r w:rsidRPr="005D6D99">
        <w:rPr>
          <w:rFonts w:asciiTheme="minorHAnsi" w:eastAsiaTheme="minorHAnsi" w:hAnsiTheme="minorHAnsi" w:cstheme="minorBidi"/>
          <w:color w:val="auto"/>
          <w:szCs w:val="22"/>
        </w:rPr>
        <w:t xml:space="preserve">SCE adopted the pre/post metering approach for this trial, as opposed to the savings verification system (SVS) simulated metering approach used in earlier studies. This was largely due to Energy Division requesting that Infra-Red/Master-less Power sensing Tier 2 APS should undertake additional metering using a pre/post method. </w:t>
      </w:r>
    </w:p>
    <w:p w:rsidR="000C7AFD" w:rsidRPr="005D6D99" w:rsidRDefault="000C7AFD" w:rsidP="000C7AFD">
      <w:pPr>
        <w:pStyle w:val="Heading5"/>
        <w:rPr>
          <w:rFonts w:asciiTheme="minorHAnsi" w:eastAsiaTheme="minorHAnsi" w:hAnsiTheme="minorHAnsi" w:cstheme="minorBidi"/>
          <w:color w:val="auto"/>
          <w:szCs w:val="22"/>
        </w:rPr>
      </w:pPr>
      <w:r w:rsidRPr="005D6D99">
        <w:rPr>
          <w:rFonts w:asciiTheme="minorHAnsi" w:eastAsiaTheme="minorHAnsi" w:hAnsiTheme="minorHAnsi" w:cstheme="minorBidi"/>
          <w:color w:val="auto"/>
          <w:szCs w:val="22"/>
        </w:rPr>
        <w:t xml:space="preserve">The APS tested in this field trial adds Bluetooth for communicating energy usage data to </w:t>
      </w:r>
      <w:r>
        <w:rPr>
          <w:rFonts w:asciiTheme="minorHAnsi" w:eastAsiaTheme="minorHAnsi" w:hAnsiTheme="minorHAnsi" w:cstheme="minorBidi"/>
          <w:color w:val="auto"/>
          <w:szCs w:val="22"/>
        </w:rPr>
        <w:t>households comply</w:t>
      </w:r>
      <w:r w:rsidRPr="005D6D99">
        <w:rPr>
          <w:rFonts w:asciiTheme="minorHAnsi" w:eastAsiaTheme="minorHAnsi" w:hAnsiTheme="minorHAnsi" w:cstheme="minorBidi"/>
          <w:color w:val="auto"/>
          <w:szCs w:val="22"/>
        </w:rPr>
        <w:t xml:space="preserve"> with AB 793 requirements. The APS tested also facilitates the collection of power and energy data in compliance with 2013 California Fire Code 605.4. The calculation method used for this workpaper entails validating the energy savings associated with a Tier 2 APS with Bluetooth in Residential Applications.  </w:t>
      </w:r>
    </w:p>
    <w:p w:rsidR="00A67E13" w:rsidRPr="00094C65" w:rsidRDefault="00A67E13" w:rsidP="00A67E13">
      <w:pPr>
        <w:pStyle w:val="Heading5"/>
        <w:rPr>
          <w:b/>
        </w:rPr>
      </w:pPr>
      <w:r w:rsidRPr="00094C65">
        <w:rPr>
          <w:b/>
        </w:rPr>
        <w:t>Study Scope</w:t>
      </w:r>
      <w:r w:rsidR="001125BB" w:rsidRPr="00094C65">
        <w:rPr>
          <w:b/>
        </w:rPr>
        <w:t xml:space="preserve"> and Technical Approach/Field Testing Methodology</w:t>
      </w:r>
    </w:p>
    <w:p w:rsidR="007C1863" w:rsidRDefault="00A67E13" w:rsidP="00EC5CD9">
      <w:r>
        <w:t>The 2016 SCE ET field study</w:t>
      </w:r>
      <w:r w:rsidR="00A84B4A">
        <w:t>, herein (SCE Report)</w:t>
      </w:r>
      <w:r w:rsidR="00944CE3">
        <w:t>,</w:t>
      </w:r>
      <w:r>
        <w:t xml:space="preserve"> collected </w:t>
      </w:r>
      <w:r w:rsidR="001125BB">
        <w:t xml:space="preserve">instantaneous </w:t>
      </w:r>
      <w:r w:rsidR="00EC5CD9">
        <w:t>p</w:t>
      </w:r>
      <w:r>
        <w:t>re</w:t>
      </w:r>
      <w:r w:rsidR="00EC5CD9">
        <w:t>-p</w:t>
      </w:r>
      <w:r>
        <w:t xml:space="preserve">ost </w:t>
      </w:r>
      <w:r w:rsidR="001125BB">
        <w:t xml:space="preserve">power and </w:t>
      </w:r>
      <w:r>
        <w:t xml:space="preserve">energy use </w:t>
      </w:r>
      <w:r w:rsidR="001125BB">
        <w:t xml:space="preserve">measurements in </w:t>
      </w:r>
      <w:r w:rsidR="001D2897">
        <w:t>five-minute</w:t>
      </w:r>
      <w:r w:rsidR="001125BB">
        <w:t xml:space="preserve"> intervals</w:t>
      </w:r>
      <w:r>
        <w:t xml:space="preserve"> across 92 residential households</w:t>
      </w:r>
      <w:r w:rsidR="00EC5CD9">
        <w:t xml:space="preserve">. </w:t>
      </w:r>
      <w:r w:rsidR="00B84AFA">
        <w:t>A</w:t>
      </w:r>
      <w:r w:rsidR="00C559CA">
        <w:t xml:space="preserve"> </w:t>
      </w:r>
      <w:r w:rsidR="00B84AFA">
        <w:t xml:space="preserve">key difference between the </w:t>
      </w:r>
      <w:r w:rsidR="00C559CA">
        <w:t xml:space="preserve">SCE ET Study </w:t>
      </w:r>
      <w:r w:rsidR="00B84AFA">
        <w:t xml:space="preserve">compared to Phases 1 and 2 was the way the study was implemented. </w:t>
      </w:r>
    </w:p>
    <w:p w:rsidR="007C1863" w:rsidRDefault="007C1863" w:rsidP="00EC5CD9"/>
    <w:p w:rsidR="00B84AFA" w:rsidRDefault="00B84AFA" w:rsidP="00EC5CD9">
      <w:r>
        <w:t xml:space="preserve">Unlike Phase 1 and 2, the SCE ET study </w:t>
      </w:r>
      <w:r w:rsidR="00C559CA">
        <w:t xml:space="preserve">was implemented as part of an existing </w:t>
      </w:r>
      <w:r w:rsidR="00D17456">
        <w:t xml:space="preserve">residential </w:t>
      </w:r>
      <w:r w:rsidR="00C559CA">
        <w:t xml:space="preserve">direct install program that deployed other energy efficiency measures including the Wireless Bluetooth Enabled and Communicating Tier 2 IR only sensing APS device. </w:t>
      </w:r>
      <w:r>
        <w:t>Thus, the Tier 2 APS devices were deployed in Operation Mode where SCE’s 3</w:t>
      </w:r>
      <w:r w:rsidRPr="00B84AFA">
        <w:rPr>
          <w:vertAlign w:val="superscript"/>
        </w:rPr>
        <w:t>rd</w:t>
      </w:r>
      <w:r>
        <w:t xml:space="preserve"> party </w:t>
      </w:r>
      <w:r w:rsidR="00D17456">
        <w:t>residential</w:t>
      </w:r>
      <w:r>
        <w:t xml:space="preserve"> direct install implementers installed the Tier 2 APS devices and educated households on how the devices worked. </w:t>
      </w:r>
      <w:r w:rsidR="00537A88">
        <w:t>As part of the education during installation, households were advised of an opt in request to participate in the “pre”</w:t>
      </w:r>
      <w:r w:rsidR="007C1863">
        <w:t xml:space="preserve"> period phase of the field trial. Thus, the program design deployed a larger sample was deployed because it anticipated that a number of</w:t>
      </w:r>
      <w:r w:rsidR="00537A88" w:rsidRPr="00537A88">
        <w:t xml:space="preserve"> participants would not opt in to</w:t>
      </w:r>
      <w:r w:rsidR="007C1863">
        <w:t xml:space="preserve"> this</w:t>
      </w:r>
      <w:r w:rsidR="00537A88" w:rsidRPr="00537A88">
        <w:t xml:space="preserve"> “pre” period when requested.</w:t>
      </w:r>
    </w:p>
    <w:p w:rsidR="00D17456" w:rsidRDefault="00D17456" w:rsidP="00EC5CD9"/>
    <w:p w:rsidR="00336A3D" w:rsidRDefault="00EC5CD9" w:rsidP="00EC5CD9">
      <w:r>
        <w:t>The SCE ET study was conducted</w:t>
      </w:r>
      <w:r w:rsidR="00C559CA">
        <w:t xml:space="preserve"> </w:t>
      </w:r>
      <w:r w:rsidR="001125BB">
        <w:t>approximately two weeks before and</w:t>
      </w:r>
      <w:r>
        <w:t xml:space="preserve"> after the Thanksgiving Holiday</w:t>
      </w:r>
      <w:r w:rsidR="001125BB">
        <w:t xml:space="preserve"> </w:t>
      </w:r>
      <w:r w:rsidR="00A67E13">
        <w:t xml:space="preserve">during November to December of 2016. </w:t>
      </w:r>
      <w:r>
        <w:t xml:space="preserve"> </w:t>
      </w:r>
      <w:r w:rsidR="00A67E13">
        <w:t>AESC performed the data analysis</w:t>
      </w:r>
      <w:r w:rsidR="00944CE3">
        <w:t xml:space="preserve"> for the SCE Report</w:t>
      </w:r>
      <w:r w:rsidR="00A67E13">
        <w:t xml:space="preserve"> to determine key metrics such as energy and </w:t>
      </w:r>
      <w:r>
        <w:t xml:space="preserve">peak </w:t>
      </w:r>
      <w:r w:rsidR="00A67E13">
        <w:t xml:space="preserve">demand </w:t>
      </w:r>
      <w:r>
        <w:t xml:space="preserve">reduction </w:t>
      </w:r>
      <w:r w:rsidR="00A67E13">
        <w:t xml:space="preserve">savings. </w:t>
      </w:r>
      <w:r w:rsidR="00B84AFA">
        <w:t xml:space="preserve"> </w:t>
      </w:r>
      <w:r w:rsidR="008342B4">
        <w:t>T</w:t>
      </w:r>
      <w:r w:rsidR="00C559CA">
        <w:t>he “p</w:t>
      </w:r>
      <w:r w:rsidR="008342B4" w:rsidRPr="001125BB">
        <w:t>re” case refers to the baseline w</w:t>
      </w:r>
      <w:r w:rsidR="00C559CA">
        <w:t xml:space="preserve">ithout activated A/V controls. </w:t>
      </w:r>
      <w:r w:rsidR="003F3E0E">
        <w:br/>
      </w:r>
    </w:p>
    <w:p w:rsidR="008342B4" w:rsidRPr="00AD7ADF" w:rsidRDefault="00C559CA" w:rsidP="00EC5CD9">
      <w:r>
        <w:t>The “p</w:t>
      </w:r>
      <w:r w:rsidR="008342B4" w:rsidRPr="001125BB">
        <w:t>ost” case refers to the APS with activated control</w:t>
      </w:r>
      <w:r w:rsidR="008342B4">
        <w:t xml:space="preserve"> (Operation Mode)</w:t>
      </w:r>
      <w:r w:rsidR="008342B4" w:rsidRPr="001125BB">
        <w:t xml:space="preserve">. </w:t>
      </w:r>
      <w:r w:rsidR="008342B4">
        <w:t>T</w:t>
      </w:r>
      <w:r w:rsidR="008342B4" w:rsidRPr="001125BB">
        <w:t xml:space="preserve">he APS A/V </w:t>
      </w:r>
      <w:r w:rsidR="008342B4">
        <w:t xml:space="preserve">Operation Mode </w:t>
      </w:r>
      <w:r w:rsidR="008342B4" w:rsidRPr="001125BB">
        <w:t>controls</w:t>
      </w:r>
      <w:r w:rsidR="008342B4">
        <w:t xml:space="preserve"> w</w:t>
      </w:r>
      <w:r w:rsidR="008342B4" w:rsidRPr="001125BB">
        <w:t>ere activated during the initial monitoring period</w:t>
      </w:r>
      <w:r>
        <w:t xml:space="preserve">. The APS A/V Operation Mode controls </w:t>
      </w:r>
      <w:r w:rsidR="008342B4" w:rsidRPr="001125BB">
        <w:t>were subsequently turned off during the second half of the testing period</w:t>
      </w:r>
      <w:r>
        <w:t xml:space="preserve"> </w:t>
      </w:r>
      <w:r w:rsidRPr="001125BB">
        <w:t>to estimate baseline usage</w:t>
      </w:r>
      <w:r w:rsidR="008342B4" w:rsidRPr="001125BB">
        <w:t xml:space="preserve">. </w:t>
      </w:r>
    </w:p>
    <w:p w:rsidR="0060610F" w:rsidRPr="00094C65" w:rsidRDefault="0060610F" w:rsidP="0060610F">
      <w:pPr>
        <w:pStyle w:val="Heading5"/>
        <w:rPr>
          <w:b/>
        </w:rPr>
      </w:pPr>
      <w:r w:rsidRPr="00094C65">
        <w:rPr>
          <w:b/>
        </w:rPr>
        <w:t xml:space="preserve">Pre-Post Operations Mode </w:t>
      </w:r>
      <w:r w:rsidR="007E6047" w:rsidRPr="00094C65">
        <w:rPr>
          <w:b/>
        </w:rPr>
        <w:t>versus</w:t>
      </w:r>
      <w:r w:rsidRPr="00094C65">
        <w:rPr>
          <w:b/>
        </w:rPr>
        <w:t xml:space="preserve"> Savings Verification Systems (SVS) Simulation Mode</w:t>
      </w:r>
    </w:p>
    <w:p w:rsidR="00A67E13" w:rsidRDefault="00371E69" w:rsidP="00A67E13">
      <w:r>
        <w:t>Similar to Phase 1 and 2, the SCE Report</w:t>
      </w:r>
      <w:r w:rsidR="0060610F">
        <w:t xml:space="preserve"> indicated that </w:t>
      </w:r>
      <w:r>
        <w:t>the</w:t>
      </w:r>
      <w:r w:rsidRPr="001125BB">
        <w:t xml:space="preserve"> </w:t>
      </w:r>
      <w:r>
        <w:t>pre-post field testing method</w:t>
      </w:r>
      <w:r w:rsidRPr="001125BB">
        <w:t xml:space="preserve"> provides a more comprehensive view of energy savings by including the effect of the user’s interaction with the IR sensor in the activated </w:t>
      </w:r>
      <w:r>
        <w:t xml:space="preserve">Operations Mode. </w:t>
      </w:r>
      <w:r w:rsidR="0060610F">
        <w:t xml:space="preserve">However, </w:t>
      </w:r>
      <w:r>
        <w:t xml:space="preserve">the SCE Report </w:t>
      </w:r>
      <w:r w:rsidR="0060610F">
        <w:t>also acknowled</w:t>
      </w:r>
      <w:r>
        <w:t>ged that the pre-p</w:t>
      </w:r>
      <w:r w:rsidR="0060610F">
        <w:t>ost</w:t>
      </w:r>
      <w:r w:rsidR="0060610F" w:rsidRPr="001125BB">
        <w:t xml:space="preserve"> </w:t>
      </w:r>
      <w:r>
        <w:t xml:space="preserve">field </w:t>
      </w:r>
      <w:r w:rsidR="0060610F" w:rsidRPr="001125BB">
        <w:t>testing approach does not allow for significant variations in usa</w:t>
      </w:r>
      <w:r w:rsidR="0060610F">
        <w:t>ge patterns</w:t>
      </w:r>
      <w:r>
        <w:t xml:space="preserve"> c</w:t>
      </w:r>
      <w:r w:rsidRPr="001125BB">
        <w:t xml:space="preserve">ompared to </w:t>
      </w:r>
      <w:r>
        <w:t>the Savings Verification Systems (SVS Mode)</w:t>
      </w:r>
      <w:r w:rsidRPr="00371E69">
        <w:t xml:space="preserve"> </w:t>
      </w:r>
      <w:r>
        <w:t xml:space="preserve">approach. Thus, as recommended and implemented in prior field trials, </w:t>
      </w:r>
      <w:r w:rsidR="00CB6A97">
        <w:t>t</w:t>
      </w:r>
      <w:r w:rsidR="0060610F" w:rsidRPr="001125BB">
        <w:t xml:space="preserve">he </w:t>
      </w:r>
      <w:r>
        <w:t xml:space="preserve">pre-post </w:t>
      </w:r>
      <w:r w:rsidR="0060610F" w:rsidRPr="001125BB">
        <w:t>monitoring period</w:t>
      </w:r>
      <w:r w:rsidR="00CB6A97">
        <w:t xml:space="preserve"> </w:t>
      </w:r>
      <w:r w:rsidR="00AD7ADF">
        <w:t xml:space="preserve">was extended </w:t>
      </w:r>
      <w:r w:rsidR="0060610F" w:rsidRPr="001125BB">
        <w:t xml:space="preserve">to two weeks in </w:t>
      </w:r>
      <w:r w:rsidR="00AD7ADF">
        <w:t xml:space="preserve">both </w:t>
      </w:r>
      <w:r w:rsidR="0060610F" w:rsidRPr="001125BB">
        <w:t xml:space="preserve">the baseline and </w:t>
      </w:r>
      <w:r>
        <w:t>post</w:t>
      </w:r>
      <w:r w:rsidR="0060610F" w:rsidRPr="001125BB">
        <w:t xml:space="preserve"> cases</w:t>
      </w:r>
      <w:r w:rsidR="00CB6A97">
        <w:t xml:space="preserve"> to minimize the effect of usage pattern variability</w:t>
      </w:r>
      <w:r w:rsidR="0060610F" w:rsidRPr="001125BB">
        <w:t>.</w:t>
      </w:r>
    </w:p>
    <w:p w:rsidR="00A67E13" w:rsidRPr="00094C65" w:rsidRDefault="00B81549" w:rsidP="00A67E13">
      <w:pPr>
        <w:pStyle w:val="Heading5"/>
        <w:rPr>
          <w:b/>
        </w:rPr>
      </w:pPr>
      <w:r w:rsidRPr="00094C65">
        <w:rPr>
          <w:b/>
        </w:rPr>
        <w:lastRenderedPageBreak/>
        <w:t>Sample Sizes</w:t>
      </w:r>
    </w:p>
    <w:p w:rsidR="007C1863" w:rsidRDefault="007E6047" w:rsidP="00A67E13">
      <w:pPr>
        <w:rPr>
          <w:szCs w:val="22"/>
        </w:rPr>
      </w:pPr>
      <w:r w:rsidRPr="007E6047">
        <w:rPr>
          <w:szCs w:val="22"/>
        </w:rPr>
        <w:t xml:space="preserve">Although 92 </w:t>
      </w:r>
      <w:r>
        <w:rPr>
          <w:szCs w:val="22"/>
        </w:rPr>
        <w:t xml:space="preserve">residential </w:t>
      </w:r>
      <w:r w:rsidRPr="007E6047">
        <w:rPr>
          <w:szCs w:val="22"/>
        </w:rPr>
        <w:t xml:space="preserve">host sites </w:t>
      </w:r>
      <w:r w:rsidR="00537A88">
        <w:rPr>
          <w:szCs w:val="22"/>
        </w:rPr>
        <w:t xml:space="preserve">opted to participate </w:t>
      </w:r>
      <w:r w:rsidRPr="007E6047">
        <w:rPr>
          <w:szCs w:val="22"/>
        </w:rPr>
        <w:t xml:space="preserve">in the study, </w:t>
      </w:r>
      <w:r w:rsidR="009B1E06">
        <w:rPr>
          <w:szCs w:val="22"/>
        </w:rPr>
        <w:t xml:space="preserve">the SCE Report indicated that </w:t>
      </w:r>
      <w:r w:rsidR="00E325B3">
        <w:rPr>
          <w:szCs w:val="22"/>
        </w:rPr>
        <w:t xml:space="preserve">46 sites </w:t>
      </w:r>
      <w:r w:rsidR="00537A88">
        <w:rPr>
          <w:szCs w:val="22"/>
        </w:rPr>
        <w:t xml:space="preserve">opted to participate in both </w:t>
      </w:r>
      <w:r w:rsidR="0025554C">
        <w:rPr>
          <w:szCs w:val="22"/>
        </w:rPr>
        <w:t xml:space="preserve">“pre” and “post” periods </w:t>
      </w:r>
      <w:r w:rsidR="00537A88">
        <w:rPr>
          <w:szCs w:val="22"/>
        </w:rPr>
        <w:t xml:space="preserve">that </w:t>
      </w:r>
      <w:r w:rsidR="00537A88" w:rsidRPr="007E6047">
        <w:rPr>
          <w:szCs w:val="22"/>
        </w:rPr>
        <w:t>had data deemed sufficient for inclusion in the analysis</w:t>
      </w:r>
      <w:r w:rsidRPr="007E6047">
        <w:rPr>
          <w:szCs w:val="22"/>
        </w:rPr>
        <w:t>. While the median data collection interval was five</w:t>
      </w:r>
      <w:r w:rsidR="001D2897">
        <w:rPr>
          <w:szCs w:val="22"/>
        </w:rPr>
        <w:t>-</w:t>
      </w:r>
      <w:r w:rsidRPr="007E6047">
        <w:rPr>
          <w:szCs w:val="22"/>
        </w:rPr>
        <w:t>minutes,</w:t>
      </w:r>
      <w:r w:rsidR="00B81549">
        <w:rPr>
          <w:szCs w:val="22"/>
        </w:rPr>
        <w:t xml:space="preserve"> </w:t>
      </w:r>
      <w:r w:rsidR="00A84B4A">
        <w:rPr>
          <w:szCs w:val="22"/>
        </w:rPr>
        <w:t>the SCE Report</w:t>
      </w:r>
      <w:r>
        <w:rPr>
          <w:szCs w:val="22"/>
        </w:rPr>
        <w:t xml:space="preserve"> did not include data for half of the host sites </w:t>
      </w:r>
      <w:r w:rsidR="009B1E06">
        <w:rPr>
          <w:szCs w:val="22"/>
        </w:rPr>
        <w:t>because</w:t>
      </w:r>
      <w:r w:rsidR="0025554C">
        <w:rPr>
          <w:szCs w:val="22"/>
        </w:rPr>
        <w:t xml:space="preserve"> </w:t>
      </w:r>
      <w:r w:rsidR="00E325B3">
        <w:rPr>
          <w:szCs w:val="22"/>
        </w:rPr>
        <w:t xml:space="preserve">these </w:t>
      </w:r>
      <w:r w:rsidR="00336A3D">
        <w:rPr>
          <w:szCs w:val="22"/>
        </w:rPr>
        <w:t xml:space="preserve">sites </w:t>
      </w:r>
      <w:r w:rsidR="0025554C">
        <w:rPr>
          <w:szCs w:val="22"/>
        </w:rPr>
        <w:t>did not participate in both “pre” and “post” periods</w:t>
      </w:r>
      <w:r w:rsidR="007C1863">
        <w:rPr>
          <w:szCs w:val="22"/>
        </w:rPr>
        <w:t xml:space="preserve"> as described above</w:t>
      </w:r>
      <w:r w:rsidR="00336A3D">
        <w:rPr>
          <w:szCs w:val="22"/>
        </w:rPr>
        <w:t xml:space="preserve">. </w:t>
      </w:r>
    </w:p>
    <w:p w:rsidR="007C1863" w:rsidRDefault="007C1863" w:rsidP="00A67E13">
      <w:pPr>
        <w:rPr>
          <w:szCs w:val="22"/>
        </w:rPr>
      </w:pPr>
    </w:p>
    <w:p w:rsidR="00B81549" w:rsidRDefault="00336A3D" w:rsidP="00A67E13">
      <w:pPr>
        <w:rPr>
          <w:szCs w:val="22"/>
        </w:rPr>
      </w:pPr>
      <w:r>
        <w:rPr>
          <w:szCs w:val="22"/>
        </w:rPr>
        <w:t>I</w:t>
      </w:r>
      <w:r w:rsidR="00E325B3">
        <w:rPr>
          <w:szCs w:val="22"/>
        </w:rPr>
        <w:t>n some instances</w:t>
      </w:r>
      <w:r>
        <w:rPr>
          <w:szCs w:val="22"/>
        </w:rPr>
        <w:t>,</w:t>
      </w:r>
      <w:r w:rsidR="00E325B3">
        <w:rPr>
          <w:szCs w:val="22"/>
        </w:rPr>
        <w:t xml:space="preserve"> </w:t>
      </w:r>
      <w:r w:rsidR="0025554C">
        <w:rPr>
          <w:szCs w:val="22"/>
        </w:rPr>
        <w:t xml:space="preserve">these </w:t>
      </w:r>
      <w:r w:rsidR="007E6047" w:rsidRPr="007E6047">
        <w:rPr>
          <w:szCs w:val="22"/>
        </w:rPr>
        <w:t xml:space="preserve">sites exhibited a few gaps of several hours or days in which no </w:t>
      </w:r>
      <w:r w:rsidR="003F3E0E">
        <w:rPr>
          <w:szCs w:val="22"/>
        </w:rPr>
        <w:t xml:space="preserve">5 minute interval power </w:t>
      </w:r>
      <w:r w:rsidR="007E6047" w:rsidRPr="007E6047">
        <w:rPr>
          <w:szCs w:val="22"/>
        </w:rPr>
        <w:t xml:space="preserve">data was </w:t>
      </w:r>
      <w:r w:rsidR="003F3E0E">
        <w:rPr>
          <w:szCs w:val="22"/>
        </w:rPr>
        <w:t>transmitted</w:t>
      </w:r>
      <w:r w:rsidR="007E6047" w:rsidRPr="007E6047">
        <w:rPr>
          <w:szCs w:val="22"/>
        </w:rPr>
        <w:t xml:space="preserve">. </w:t>
      </w:r>
      <w:r w:rsidR="00D51910">
        <w:rPr>
          <w:szCs w:val="22"/>
        </w:rPr>
        <w:t xml:space="preserve">The </w:t>
      </w:r>
      <w:r w:rsidR="00A84B4A">
        <w:rPr>
          <w:szCs w:val="22"/>
        </w:rPr>
        <w:t>SCE R</w:t>
      </w:r>
      <w:r w:rsidR="009B1E06">
        <w:rPr>
          <w:szCs w:val="22"/>
        </w:rPr>
        <w:t>eport indicated</w:t>
      </w:r>
      <w:r w:rsidR="00D51910">
        <w:rPr>
          <w:szCs w:val="22"/>
        </w:rPr>
        <w:t xml:space="preserve"> that the reason for the data gaps </w:t>
      </w:r>
      <w:r w:rsidR="009B1E06">
        <w:rPr>
          <w:szCs w:val="22"/>
        </w:rPr>
        <w:t>was</w:t>
      </w:r>
      <w:r w:rsidR="00D51910">
        <w:rPr>
          <w:szCs w:val="22"/>
        </w:rPr>
        <w:t xml:space="preserve"> unknown</w:t>
      </w:r>
      <w:r w:rsidR="00D51910" w:rsidRPr="00336A3D">
        <w:rPr>
          <w:szCs w:val="22"/>
        </w:rPr>
        <w:t>. However,</w:t>
      </w:r>
      <w:r w:rsidR="00D51910" w:rsidRPr="00336A3D">
        <w:rPr>
          <w:b/>
          <w:color w:val="FF0000"/>
          <w:szCs w:val="22"/>
        </w:rPr>
        <w:t xml:space="preserve"> </w:t>
      </w:r>
      <w:r w:rsidR="00D51910" w:rsidRPr="00336A3D">
        <w:rPr>
          <w:color w:val="000000" w:themeColor="text1"/>
          <w:szCs w:val="22"/>
        </w:rPr>
        <w:t>the</w:t>
      </w:r>
      <w:r w:rsidR="00D51910" w:rsidRPr="00336A3D">
        <w:rPr>
          <w:b/>
          <w:color w:val="FF0000"/>
          <w:szCs w:val="22"/>
        </w:rPr>
        <w:t xml:space="preserve"> </w:t>
      </w:r>
      <w:r w:rsidR="00D51910" w:rsidRPr="007C1863">
        <w:rPr>
          <w:color w:val="000000" w:themeColor="text1"/>
          <w:szCs w:val="22"/>
        </w:rPr>
        <w:t>man</w:t>
      </w:r>
      <w:r w:rsidR="00D51910" w:rsidRPr="00336A3D">
        <w:rPr>
          <w:color w:val="000000" w:themeColor="text1"/>
          <w:szCs w:val="22"/>
        </w:rPr>
        <w:t xml:space="preserve">ufacturer </w:t>
      </w:r>
      <w:r w:rsidR="003F3E0E">
        <w:rPr>
          <w:color w:val="000000" w:themeColor="text1"/>
          <w:szCs w:val="22"/>
        </w:rPr>
        <w:t xml:space="preserve">reported </w:t>
      </w:r>
      <w:r w:rsidR="00D51910" w:rsidRPr="00336A3D">
        <w:rPr>
          <w:color w:val="000000" w:themeColor="text1"/>
          <w:szCs w:val="22"/>
        </w:rPr>
        <w:t>that t</w:t>
      </w:r>
      <w:r w:rsidR="009B1E06" w:rsidRPr="00336A3D">
        <w:rPr>
          <w:color w:val="000000" w:themeColor="text1"/>
          <w:szCs w:val="22"/>
        </w:rPr>
        <w:t>he source of these data gaps was</w:t>
      </w:r>
      <w:r w:rsidR="007E6047" w:rsidRPr="00336A3D">
        <w:rPr>
          <w:color w:val="000000" w:themeColor="text1"/>
          <w:szCs w:val="22"/>
        </w:rPr>
        <w:t xml:space="preserve"> </w:t>
      </w:r>
      <w:r w:rsidR="0025554C" w:rsidRPr="00336A3D">
        <w:rPr>
          <w:color w:val="000000" w:themeColor="text1"/>
          <w:szCs w:val="22"/>
        </w:rPr>
        <w:t xml:space="preserve">due to </w:t>
      </w:r>
      <w:r w:rsidR="00E325B3" w:rsidRPr="00336A3D">
        <w:rPr>
          <w:color w:val="000000" w:themeColor="text1"/>
          <w:szCs w:val="22"/>
        </w:rPr>
        <w:t xml:space="preserve">gaps in </w:t>
      </w:r>
      <w:r w:rsidR="007C1863">
        <w:rPr>
          <w:color w:val="000000" w:themeColor="text1"/>
          <w:szCs w:val="22"/>
        </w:rPr>
        <w:t>global system mobile (</w:t>
      </w:r>
      <w:r w:rsidR="00E325B3" w:rsidRPr="00336A3D">
        <w:rPr>
          <w:color w:val="000000" w:themeColor="text1"/>
          <w:szCs w:val="22"/>
        </w:rPr>
        <w:t>GSM</w:t>
      </w:r>
      <w:r w:rsidR="007C1863">
        <w:rPr>
          <w:color w:val="000000" w:themeColor="text1"/>
          <w:szCs w:val="22"/>
        </w:rPr>
        <w:t>)</w:t>
      </w:r>
      <w:r w:rsidR="00E325B3" w:rsidRPr="00336A3D">
        <w:rPr>
          <w:color w:val="000000" w:themeColor="text1"/>
          <w:szCs w:val="22"/>
        </w:rPr>
        <w:t xml:space="preserve"> signals to transmit a steady stream of data at all times in some installations. Although this led to power data gaps, it did not </w:t>
      </w:r>
      <w:r w:rsidR="00273B81" w:rsidRPr="00336A3D">
        <w:rPr>
          <w:color w:val="000000" w:themeColor="text1"/>
          <w:szCs w:val="22"/>
        </w:rPr>
        <w:t>influence the total energy metered</w:t>
      </w:r>
      <w:r w:rsidR="003F3E0E">
        <w:rPr>
          <w:color w:val="000000" w:themeColor="text1"/>
          <w:szCs w:val="22"/>
        </w:rPr>
        <w:t>,</w:t>
      </w:r>
      <w:r w:rsidR="00273B81" w:rsidRPr="00336A3D">
        <w:rPr>
          <w:color w:val="000000" w:themeColor="text1"/>
          <w:szCs w:val="22"/>
        </w:rPr>
        <w:t xml:space="preserve"> which is calculated locally on the Tier 2 APS device </w:t>
      </w:r>
      <w:r w:rsidR="007C1863">
        <w:rPr>
          <w:color w:val="000000" w:themeColor="text1"/>
          <w:szCs w:val="22"/>
        </w:rPr>
        <w:t>similar to</w:t>
      </w:r>
      <w:r w:rsidR="00273B81" w:rsidRPr="00336A3D">
        <w:rPr>
          <w:color w:val="000000" w:themeColor="text1"/>
          <w:szCs w:val="22"/>
        </w:rPr>
        <w:t xml:space="preserve"> a standard energy meter. </w:t>
      </w:r>
      <w:r w:rsidR="007E6047" w:rsidRPr="00336A3D">
        <w:rPr>
          <w:color w:val="000000" w:themeColor="text1"/>
          <w:szCs w:val="22"/>
        </w:rPr>
        <w:t xml:space="preserve"> </w:t>
      </w:r>
    </w:p>
    <w:p w:rsidR="00B81549" w:rsidRPr="00094C65" w:rsidRDefault="00534106" w:rsidP="00534106">
      <w:pPr>
        <w:pStyle w:val="Heading5"/>
        <w:rPr>
          <w:b/>
          <w:szCs w:val="22"/>
        </w:rPr>
      </w:pPr>
      <w:r w:rsidRPr="00094C65">
        <w:rPr>
          <w:b/>
        </w:rPr>
        <w:t xml:space="preserve">Data Analysis for Applicable Dataset </w:t>
      </w:r>
    </w:p>
    <w:p w:rsidR="00A84B4A" w:rsidRDefault="00A84B4A" w:rsidP="00A67E13">
      <w:pPr>
        <w:rPr>
          <w:szCs w:val="22"/>
        </w:rPr>
      </w:pPr>
      <w:r>
        <w:rPr>
          <w:szCs w:val="22"/>
        </w:rPr>
        <w:t>The SCE Report indicated that t</w:t>
      </w:r>
      <w:r w:rsidR="009B1E06">
        <w:rPr>
          <w:szCs w:val="22"/>
        </w:rPr>
        <w:t>he data for the</w:t>
      </w:r>
      <w:r w:rsidR="00B81549">
        <w:rPr>
          <w:szCs w:val="22"/>
        </w:rPr>
        <w:t xml:space="preserve"> </w:t>
      </w:r>
      <w:r w:rsidR="007E6047" w:rsidRPr="007E6047">
        <w:rPr>
          <w:szCs w:val="22"/>
        </w:rPr>
        <w:t xml:space="preserve">46 usable sites were </w:t>
      </w:r>
      <w:r w:rsidR="006142A9">
        <w:rPr>
          <w:szCs w:val="22"/>
        </w:rPr>
        <w:t xml:space="preserve">adjusted </w:t>
      </w:r>
      <w:r w:rsidR="007E6047" w:rsidRPr="007E6047">
        <w:rPr>
          <w:szCs w:val="22"/>
        </w:rPr>
        <w:t>by removing days w</w:t>
      </w:r>
      <w:r w:rsidR="009B1E06">
        <w:rPr>
          <w:szCs w:val="22"/>
        </w:rPr>
        <w:t>ith significant collection gaps</w:t>
      </w:r>
      <w:r w:rsidR="007E6047" w:rsidRPr="007E6047">
        <w:rPr>
          <w:szCs w:val="22"/>
        </w:rPr>
        <w:t xml:space="preserve"> to avoid biasing results towards any particular time of day. Due to the prevalence of data gaps</w:t>
      </w:r>
      <w:r w:rsidR="006142A9">
        <w:rPr>
          <w:szCs w:val="22"/>
        </w:rPr>
        <w:t xml:space="preserve"> in some sites</w:t>
      </w:r>
      <w:r w:rsidR="007E6047" w:rsidRPr="007E6047">
        <w:rPr>
          <w:szCs w:val="22"/>
        </w:rPr>
        <w:t xml:space="preserve">, removing days with only partial data decreased the effective monitoring period. </w:t>
      </w:r>
    </w:p>
    <w:p w:rsidR="00A55914" w:rsidRPr="00A55914" w:rsidRDefault="00A55914" w:rsidP="00A55914">
      <w:pPr>
        <w:pStyle w:val="Heading6"/>
        <w:rPr>
          <w:b/>
        </w:rPr>
      </w:pPr>
      <w:r w:rsidRPr="00A55914">
        <w:rPr>
          <w:b/>
        </w:rPr>
        <w:t>Pre-Installation Baseline and Post-Installation Monitoring Periods</w:t>
      </w:r>
    </w:p>
    <w:p w:rsidR="009B1E06" w:rsidRDefault="007E6047" w:rsidP="00A67E13">
      <w:pPr>
        <w:rPr>
          <w:szCs w:val="22"/>
        </w:rPr>
      </w:pPr>
      <w:r w:rsidRPr="007E6047">
        <w:rPr>
          <w:szCs w:val="22"/>
        </w:rPr>
        <w:t xml:space="preserve">To illustrate, </w:t>
      </w:r>
      <w:r w:rsidR="009B1E06">
        <w:rPr>
          <w:szCs w:val="22"/>
        </w:rPr>
        <w:t xml:space="preserve">the SCE Report indicated that </w:t>
      </w:r>
      <w:r w:rsidRPr="007E6047">
        <w:rPr>
          <w:szCs w:val="22"/>
        </w:rPr>
        <w:t>the 46 sites used in the analysis were monitored for an average of 16.4 days in the baseline and 22.0 days in the post</w:t>
      </w:r>
      <w:r w:rsidR="009B1E06">
        <w:rPr>
          <w:szCs w:val="22"/>
        </w:rPr>
        <w:t xml:space="preserve"> period</w:t>
      </w:r>
      <w:r w:rsidRPr="007E6047">
        <w:rPr>
          <w:szCs w:val="22"/>
        </w:rPr>
        <w:t xml:space="preserve">. However, after days with significant </w:t>
      </w:r>
      <w:r w:rsidR="006142A9">
        <w:rPr>
          <w:szCs w:val="22"/>
        </w:rPr>
        <w:t xml:space="preserve">data transmission </w:t>
      </w:r>
      <w:r w:rsidRPr="007E6047">
        <w:rPr>
          <w:szCs w:val="22"/>
        </w:rPr>
        <w:t>gaps were removed from the data</w:t>
      </w:r>
      <w:r w:rsidR="00F422D1">
        <w:rPr>
          <w:szCs w:val="22"/>
        </w:rPr>
        <w:t xml:space="preserve"> set</w:t>
      </w:r>
      <w:r w:rsidRPr="007E6047">
        <w:rPr>
          <w:szCs w:val="22"/>
        </w:rPr>
        <w:t>, the average number of complete days for th</w:t>
      </w:r>
      <w:r w:rsidR="009B1E06">
        <w:rPr>
          <w:szCs w:val="22"/>
        </w:rPr>
        <w:t>ese sites was 13.3 days in the p</w:t>
      </w:r>
      <w:r w:rsidRPr="007E6047">
        <w:rPr>
          <w:szCs w:val="22"/>
        </w:rPr>
        <w:t>re-installa</w:t>
      </w:r>
      <w:r w:rsidR="009B1E06">
        <w:rPr>
          <w:szCs w:val="22"/>
        </w:rPr>
        <w:t>tion case and 16.2 days in the p</w:t>
      </w:r>
      <w:r w:rsidRPr="007E6047">
        <w:rPr>
          <w:szCs w:val="22"/>
        </w:rPr>
        <w:t>ost-installation case</w:t>
      </w:r>
      <w:r w:rsidRPr="00F422D1">
        <w:rPr>
          <w:color w:val="000000" w:themeColor="text1"/>
          <w:szCs w:val="22"/>
        </w:rPr>
        <w:t>.</w:t>
      </w:r>
      <w:r w:rsidR="00BE0185" w:rsidRPr="00F422D1">
        <w:rPr>
          <w:color w:val="000000" w:themeColor="text1"/>
          <w:szCs w:val="22"/>
        </w:rPr>
        <w:t xml:space="preserve"> </w:t>
      </w:r>
      <w:r w:rsidR="00F422D1">
        <w:rPr>
          <w:color w:val="000000" w:themeColor="text1"/>
          <w:szCs w:val="22"/>
        </w:rPr>
        <w:t>D</w:t>
      </w:r>
      <w:r w:rsidR="00BE0185" w:rsidRPr="00F422D1">
        <w:rPr>
          <w:color w:val="000000" w:themeColor="text1"/>
          <w:szCs w:val="22"/>
        </w:rPr>
        <w:t xml:space="preserve">ays before, during and after Thanksgiving were also removed from the data set to </w:t>
      </w:r>
      <w:r w:rsidR="00A618CF" w:rsidRPr="00F422D1">
        <w:rPr>
          <w:color w:val="000000" w:themeColor="text1"/>
          <w:szCs w:val="22"/>
        </w:rPr>
        <w:t>remove any potential biasing or skewing of energy usage and savings</w:t>
      </w:r>
      <w:r w:rsidR="006142A9">
        <w:rPr>
          <w:color w:val="000000" w:themeColor="text1"/>
          <w:szCs w:val="22"/>
        </w:rPr>
        <w:t xml:space="preserve"> during these periods</w:t>
      </w:r>
      <w:r w:rsidR="00A618CF" w:rsidRPr="00F422D1">
        <w:rPr>
          <w:color w:val="000000" w:themeColor="text1"/>
          <w:szCs w:val="22"/>
        </w:rPr>
        <w:t>.</w:t>
      </w:r>
    </w:p>
    <w:p w:rsidR="009B1E06" w:rsidRDefault="009B1E06" w:rsidP="00A67E13">
      <w:pPr>
        <w:rPr>
          <w:szCs w:val="22"/>
        </w:rPr>
      </w:pPr>
    </w:p>
    <w:p w:rsidR="007E6047" w:rsidRPr="007E6047" w:rsidRDefault="00A55914" w:rsidP="00A67E13">
      <w:pPr>
        <w:rPr>
          <w:szCs w:val="22"/>
        </w:rPr>
      </w:pPr>
      <w:r>
        <w:rPr>
          <w:szCs w:val="22"/>
        </w:rPr>
        <w:t>A</w:t>
      </w:r>
      <w:r w:rsidR="0025554C">
        <w:rPr>
          <w:szCs w:val="22"/>
        </w:rPr>
        <w:t>lthough there w</w:t>
      </w:r>
      <w:r w:rsidR="00854DD1">
        <w:rPr>
          <w:szCs w:val="22"/>
        </w:rPr>
        <w:t>ere</w:t>
      </w:r>
      <w:r w:rsidR="0025554C">
        <w:rPr>
          <w:szCs w:val="22"/>
        </w:rPr>
        <w:t xml:space="preserve"> 13.3 </w:t>
      </w:r>
      <w:r w:rsidR="003301A5">
        <w:rPr>
          <w:szCs w:val="22"/>
        </w:rPr>
        <w:t xml:space="preserve">baseline </w:t>
      </w:r>
      <w:r w:rsidR="0025554C">
        <w:rPr>
          <w:szCs w:val="22"/>
        </w:rPr>
        <w:t xml:space="preserve">days </w:t>
      </w:r>
      <w:r w:rsidR="003301A5">
        <w:rPr>
          <w:szCs w:val="22"/>
        </w:rPr>
        <w:t xml:space="preserve">with </w:t>
      </w:r>
      <w:r w:rsidR="0025554C">
        <w:rPr>
          <w:szCs w:val="22"/>
        </w:rPr>
        <w:t xml:space="preserve">consecutive </w:t>
      </w:r>
      <w:r w:rsidR="00854DD1">
        <w:rPr>
          <w:szCs w:val="22"/>
        </w:rPr>
        <w:t>five-</w:t>
      </w:r>
      <w:r w:rsidR="0025554C">
        <w:rPr>
          <w:szCs w:val="22"/>
        </w:rPr>
        <w:t xml:space="preserve"> minute data collect</w:t>
      </w:r>
      <w:r w:rsidR="00854DD1">
        <w:rPr>
          <w:szCs w:val="22"/>
        </w:rPr>
        <w:t>ions</w:t>
      </w:r>
      <w:r w:rsidR="0025554C">
        <w:rPr>
          <w:szCs w:val="22"/>
        </w:rPr>
        <w:t>, the total energy used counters were still operating for 16.4 days in the baseline period.</w:t>
      </w:r>
      <w:r w:rsidR="00101D7E">
        <w:rPr>
          <w:szCs w:val="22"/>
        </w:rPr>
        <w:t xml:space="preserve"> </w:t>
      </w:r>
      <w:r w:rsidR="009B1E06">
        <w:rPr>
          <w:szCs w:val="22"/>
        </w:rPr>
        <w:t>D</w:t>
      </w:r>
      <w:r w:rsidR="00101D7E">
        <w:rPr>
          <w:szCs w:val="22"/>
        </w:rPr>
        <w:t>espite some data blackouts occurring during the 16.2 baseline days, the energy counters continued to accrue within the APS device, which was logged and reported when connection resumed.</w:t>
      </w:r>
      <w:r w:rsidR="00BE0185">
        <w:rPr>
          <w:szCs w:val="22"/>
        </w:rPr>
        <w:t xml:space="preserve"> </w:t>
      </w:r>
      <w:r w:rsidR="00F422D1">
        <w:rPr>
          <w:szCs w:val="22"/>
        </w:rPr>
        <w:t>Thus,</w:t>
      </w:r>
      <w:r w:rsidR="00BE0185">
        <w:rPr>
          <w:szCs w:val="22"/>
        </w:rPr>
        <w:t xml:space="preserve"> </w:t>
      </w:r>
      <w:r w:rsidR="00F422D1">
        <w:rPr>
          <w:szCs w:val="22"/>
        </w:rPr>
        <w:t xml:space="preserve">despite any gaps in the 5 minute transmission of power usage data, </w:t>
      </w:r>
      <w:r w:rsidR="00BE0185">
        <w:rPr>
          <w:szCs w:val="22"/>
        </w:rPr>
        <w:t xml:space="preserve">there was no data loss on total energy used in either </w:t>
      </w:r>
      <w:r w:rsidR="006142A9">
        <w:rPr>
          <w:szCs w:val="22"/>
        </w:rPr>
        <w:t xml:space="preserve">pre or post </w:t>
      </w:r>
      <w:r w:rsidR="00BE0185">
        <w:rPr>
          <w:szCs w:val="22"/>
        </w:rPr>
        <w:t>period</w:t>
      </w:r>
      <w:r w:rsidR="006142A9">
        <w:rPr>
          <w:szCs w:val="22"/>
        </w:rPr>
        <w:t>s</w:t>
      </w:r>
      <w:r w:rsidR="00F422D1">
        <w:rPr>
          <w:szCs w:val="22"/>
        </w:rPr>
        <w:t>.</w:t>
      </w:r>
    </w:p>
    <w:p w:rsidR="00A55914" w:rsidRPr="00A55914" w:rsidRDefault="00A55914" w:rsidP="00A55914">
      <w:pPr>
        <w:pStyle w:val="Heading7"/>
        <w:rPr>
          <w:b/>
        </w:rPr>
      </w:pPr>
      <w:r w:rsidRPr="00A55914">
        <w:rPr>
          <w:b/>
        </w:rPr>
        <w:t>Weekday and Weekend Data</w:t>
      </w:r>
      <w:r w:rsidR="001A7547">
        <w:rPr>
          <w:b/>
        </w:rPr>
        <w:t xml:space="preserve"> Normalization </w:t>
      </w:r>
    </w:p>
    <w:p w:rsidR="00534106" w:rsidRDefault="00B81549" w:rsidP="00B81549">
      <w:r w:rsidRPr="00B81549">
        <w:t xml:space="preserve">For the purpose of maintaining consistency among the sampled group, </w:t>
      </w:r>
      <w:r w:rsidR="00B84AFA">
        <w:t xml:space="preserve">the SCE Report indicated that </w:t>
      </w:r>
      <w:r w:rsidRPr="00B81549">
        <w:t xml:space="preserve">weekdays and weekends were also differentiated in the analysis. </w:t>
      </w:r>
      <w:r w:rsidR="001A7547">
        <w:t>The SCE Report indicated that t</w:t>
      </w:r>
      <w:r w:rsidRPr="00B81549">
        <w:t xml:space="preserve">o be included in the </w:t>
      </w:r>
      <w:r w:rsidR="001A7547">
        <w:t xml:space="preserve">data </w:t>
      </w:r>
      <w:r w:rsidRPr="00B81549">
        <w:t xml:space="preserve">analysis, each site required to have </w:t>
      </w:r>
      <w:r w:rsidR="001A7547">
        <w:t xml:space="preserve">data for </w:t>
      </w:r>
      <w:r w:rsidRPr="00B81549">
        <w:t>at least five complete weekdays and two complete weekend d</w:t>
      </w:r>
      <w:r w:rsidR="001A7547">
        <w:t>ays</w:t>
      </w:r>
      <w:r w:rsidR="00B84AFA">
        <w:t xml:space="preserve"> in both the pre-installation and p</w:t>
      </w:r>
      <w:r w:rsidRPr="00B81549">
        <w:t xml:space="preserve">ost-installation monitoring periods. </w:t>
      </w:r>
    </w:p>
    <w:p w:rsidR="00B81549" w:rsidRDefault="001A7547" w:rsidP="00B81549">
      <w:r>
        <w:t xml:space="preserve">The SCE Report indicated that </w:t>
      </w:r>
      <w:r w:rsidR="00B81549" w:rsidRPr="00B81549">
        <w:t>average energy impacts were calculated for both weekday and weekend days at each site</w:t>
      </w:r>
      <w:r>
        <w:t xml:space="preserve"> u</w:t>
      </w:r>
      <w:r w:rsidRPr="00B81549">
        <w:t>sing data from complete wee</w:t>
      </w:r>
      <w:r>
        <w:t>kdays and complete weekend days</w:t>
      </w:r>
      <w:r w:rsidR="00B81549" w:rsidRPr="00B81549">
        <w:t xml:space="preserve">. These site averages were scaled to determine energy savings over a standardized two-week period with exactly ten weekdays and four weekend days. A similar extrapolation was </w:t>
      </w:r>
      <w:r w:rsidR="00DD0DEB">
        <w:t>used</w:t>
      </w:r>
      <w:r w:rsidR="00B81549" w:rsidRPr="00B81549">
        <w:t xml:space="preserve"> to determine annual energy savings for each site. </w:t>
      </w:r>
      <w:r>
        <w:t>The SCE Report indicated that using t</w:t>
      </w:r>
      <w:r w:rsidR="00B81549" w:rsidRPr="00B81549">
        <w:t xml:space="preserve">his method ensures that </w:t>
      </w:r>
      <w:r w:rsidR="00DD0DEB">
        <w:t>annual</w:t>
      </w:r>
      <w:r w:rsidR="00B81549" w:rsidRPr="00B81549">
        <w:t xml:space="preserve"> results </w:t>
      </w:r>
      <w:r w:rsidR="00DD0DEB">
        <w:t>were</w:t>
      </w:r>
      <w:r w:rsidR="00B81549" w:rsidRPr="00B81549">
        <w:t xml:space="preserve"> not biased </w:t>
      </w:r>
      <w:r>
        <w:t>towards weekend or weekday data</w:t>
      </w:r>
      <w:r w:rsidR="00B81549" w:rsidRPr="00B81549">
        <w:t xml:space="preserve"> despite gaps in usable data over the monitoring period.</w:t>
      </w:r>
    </w:p>
    <w:p w:rsidR="00534106" w:rsidRPr="00094C65" w:rsidRDefault="00534106" w:rsidP="00534106">
      <w:pPr>
        <w:pStyle w:val="Heading5"/>
        <w:rPr>
          <w:b/>
        </w:rPr>
      </w:pPr>
      <w:r w:rsidRPr="00094C65">
        <w:rPr>
          <w:b/>
        </w:rPr>
        <w:lastRenderedPageBreak/>
        <w:t xml:space="preserve">Study Results </w:t>
      </w:r>
    </w:p>
    <w:p w:rsidR="00F47D46" w:rsidRDefault="00A55914" w:rsidP="00A67E13">
      <w:r>
        <w:t>The SCE Report indicated that t</w:t>
      </w:r>
      <w:r w:rsidR="00F47D46">
        <w:t>he</w:t>
      </w:r>
      <w:r w:rsidR="00F47D46" w:rsidRPr="00F47D46">
        <w:t xml:space="preserve"> average baseline and savings for the corrected dataset are shown i</w:t>
      </w:r>
      <w:r w:rsidR="005F03B3">
        <w:t xml:space="preserve">n </w:t>
      </w:r>
      <w:r w:rsidR="005F03B3" w:rsidRPr="005F03B3">
        <w:rPr>
          <w:b/>
        </w:rPr>
        <w:t>Table 11</w:t>
      </w:r>
      <w:r w:rsidR="00F47D46" w:rsidRPr="00F47D46">
        <w:t>. The 90% confidence intervals for baseline energy consumption and energy savings are 487 ± 48 kWh and 240 ± 30 kWh, respectively.</w:t>
      </w:r>
    </w:p>
    <w:p w:rsidR="00F47D46" w:rsidRDefault="00F47D46" w:rsidP="00A67E13"/>
    <w:p w:rsidR="00F47D46" w:rsidRPr="005F03B3" w:rsidRDefault="005F03B3" w:rsidP="00F47D46">
      <w:pPr>
        <w:jc w:val="center"/>
        <w:rPr>
          <w:b/>
        </w:rPr>
      </w:pPr>
      <w:r w:rsidRPr="005F03B3">
        <w:rPr>
          <w:b/>
        </w:rPr>
        <w:t>Table 11</w:t>
      </w:r>
      <w:r w:rsidR="00F47D46" w:rsidRPr="005F03B3">
        <w:rPr>
          <w:b/>
        </w:rPr>
        <w:t>: Average Energy Savings Results for the A/V Trial</w:t>
      </w:r>
    </w:p>
    <w:tbl>
      <w:tblPr>
        <w:tblStyle w:val="TableGrid1"/>
        <w:tblW w:w="3392" w:type="pct"/>
        <w:jc w:val="center"/>
        <w:tblLook w:val="04A0" w:firstRow="1" w:lastRow="0" w:firstColumn="1" w:lastColumn="0" w:noHBand="0" w:noVBand="1"/>
      </w:tblPr>
      <w:tblGrid>
        <w:gridCol w:w="1098"/>
        <w:gridCol w:w="1349"/>
        <w:gridCol w:w="1351"/>
        <w:gridCol w:w="1169"/>
        <w:gridCol w:w="1529"/>
      </w:tblGrid>
      <w:tr w:rsidR="00F47D46" w:rsidRPr="00920905" w:rsidTr="00390F74">
        <w:trPr>
          <w:jc w:val="center"/>
        </w:trPr>
        <w:tc>
          <w:tcPr>
            <w:tcW w:w="845" w:type="pct"/>
            <w:shd w:val="clear" w:color="auto" w:fill="D9D9D9" w:themeFill="background1" w:themeFillShade="D9"/>
            <w:vAlign w:val="center"/>
          </w:tcPr>
          <w:p w:rsidR="00F47D46" w:rsidRPr="00920905" w:rsidRDefault="00F47D46" w:rsidP="00390F74">
            <w:pPr>
              <w:jc w:val="center"/>
              <w:rPr>
                <w:rFonts w:cstheme="minorHAnsi"/>
                <w:b/>
                <w:szCs w:val="20"/>
              </w:rPr>
            </w:pPr>
            <w:r>
              <w:rPr>
                <w:rFonts w:cstheme="minorHAnsi"/>
                <w:b/>
                <w:szCs w:val="20"/>
              </w:rPr>
              <w:t># of Sites</w:t>
            </w:r>
          </w:p>
        </w:tc>
        <w:tc>
          <w:tcPr>
            <w:tcW w:w="1038" w:type="pct"/>
            <w:shd w:val="clear" w:color="auto" w:fill="D9D9D9" w:themeFill="background1" w:themeFillShade="D9"/>
            <w:vAlign w:val="center"/>
          </w:tcPr>
          <w:p w:rsidR="00F47D46" w:rsidRPr="00920905" w:rsidRDefault="00F47D46" w:rsidP="00390F74">
            <w:pPr>
              <w:jc w:val="center"/>
              <w:rPr>
                <w:rFonts w:cstheme="minorHAnsi"/>
                <w:b/>
                <w:szCs w:val="20"/>
              </w:rPr>
            </w:pPr>
            <w:r>
              <w:rPr>
                <w:rFonts w:cstheme="minorHAnsi"/>
                <w:b/>
                <w:szCs w:val="20"/>
              </w:rPr>
              <w:t>Baseline Annual Usage (kwh)</w:t>
            </w:r>
          </w:p>
        </w:tc>
        <w:tc>
          <w:tcPr>
            <w:tcW w:w="1040" w:type="pct"/>
            <w:shd w:val="clear" w:color="auto" w:fill="D9D9D9" w:themeFill="background1" w:themeFillShade="D9"/>
            <w:vAlign w:val="center"/>
          </w:tcPr>
          <w:p w:rsidR="00F47D46" w:rsidRPr="00920905" w:rsidRDefault="00F47D46" w:rsidP="00390F74">
            <w:pPr>
              <w:jc w:val="center"/>
              <w:rPr>
                <w:rFonts w:cstheme="minorHAnsi"/>
                <w:b/>
                <w:szCs w:val="20"/>
              </w:rPr>
            </w:pPr>
            <w:r>
              <w:rPr>
                <w:rFonts w:cstheme="minorHAnsi"/>
                <w:b/>
                <w:szCs w:val="20"/>
              </w:rPr>
              <w:t>Baseline Standard Deviation (kwh)</w:t>
            </w:r>
          </w:p>
        </w:tc>
        <w:tc>
          <w:tcPr>
            <w:tcW w:w="900" w:type="pct"/>
            <w:shd w:val="clear" w:color="auto" w:fill="D9D9D9" w:themeFill="background1" w:themeFillShade="D9"/>
            <w:vAlign w:val="center"/>
          </w:tcPr>
          <w:p w:rsidR="00F47D46" w:rsidRPr="00920905" w:rsidRDefault="00F47D46" w:rsidP="00390F74">
            <w:pPr>
              <w:jc w:val="center"/>
              <w:rPr>
                <w:rFonts w:cstheme="minorHAnsi"/>
                <w:b/>
                <w:szCs w:val="20"/>
              </w:rPr>
            </w:pPr>
            <w:r>
              <w:rPr>
                <w:rFonts w:cstheme="minorHAnsi"/>
                <w:b/>
                <w:szCs w:val="20"/>
              </w:rPr>
              <w:t>Annual Savings (kWh)</w:t>
            </w:r>
          </w:p>
        </w:tc>
        <w:tc>
          <w:tcPr>
            <w:tcW w:w="1177" w:type="pct"/>
            <w:shd w:val="clear" w:color="auto" w:fill="D9D9D9" w:themeFill="background1" w:themeFillShade="D9"/>
            <w:vAlign w:val="center"/>
          </w:tcPr>
          <w:p w:rsidR="00F47D46" w:rsidRPr="00920905" w:rsidRDefault="00F47D46" w:rsidP="00390F74">
            <w:pPr>
              <w:jc w:val="center"/>
              <w:rPr>
                <w:rFonts w:cstheme="minorHAnsi"/>
                <w:b/>
                <w:szCs w:val="20"/>
              </w:rPr>
            </w:pPr>
            <w:r>
              <w:rPr>
                <w:rFonts w:cstheme="minorHAnsi"/>
                <w:b/>
                <w:szCs w:val="20"/>
              </w:rPr>
              <w:t>Annual Savings Standard Deviation (kwh)</w:t>
            </w:r>
          </w:p>
        </w:tc>
      </w:tr>
      <w:tr w:rsidR="00F47D46" w:rsidRPr="00A1433E" w:rsidTr="00103C6D">
        <w:trPr>
          <w:trHeight w:val="243"/>
          <w:jc w:val="center"/>
        </w:trPr>
        <w:tc>
          <w:tcPr>
            <w:tcW w:w="845" w:type="pct"/>
            <w:vAlign w:val="center"/>
          </w:tcPr>
          <w:p w:rsidR="00F47D46" w:rsidRPr="00500C4E" w:rsidRDefault="00F47D46" w:rsidP="00103C6D">
            <w:pPr>
              <w:jc w:val="center"/>
              <w:rPr>
                <w:color w:val="FF0000"/>
                <w:szCs w:val="20"/>
              </w:rPr>
            </w:pPr>
            <w:r>
              <w:rPr>
                <w:szCs w:val="20"/>
              </w:rPr>
              <w:t>46</w:t>
            </w:r>
          </w:p>
        </w:tc>
        <w:tc>
          <w:tcPr>
            <w:tcW w:w="1038" w:type="pct"/>
            <w:vAlign w:val="center"/>
          </w:tcPr>
          <w:p w:rsidR="00F47D46" w:rsidRPr="00500C4E" w:rsidRDefault="00F47D46" w:rsidP="00103C6D">
            <w:pPr>
              <w:jc w:val="center"/>
              <w:rPr>
                <w:color w:val="FF0000"/>
                <w:szCs w:val="20"/>
              </w:rPr>
            </w:pPr>
            <w:r>
              <w:rPr>
                <w:szCs w:val="20"/>
              </w:rPr>
              <w:t>487.4</w:t>
            </w:r>
          </w:p>
        </w:tc>
        <w:tc>
          <w:tcPr>
            <w:tcW w:w="1040" w:type="pct"/>
            <w:vAlign w:val="center"/>
          </w:tcPr>
          <w:p w:rsidR="00F47D46" w:rsidRPr="00AC1505" w:rsidRDefault="00F47D46" w:rsidP="00103C6D">
            <w:pPr>
              <w:jc w:val="center"/>
            </w:pPr>
            <w:r>
              <w:t>197</w:t>
            </w:r>
          </w:p>
        </w:tc>
        <w:tc>
          <w:tcPr>
            <w:tcW w:w="900" w:type="pct"/>
            <w:vAlign w:val="center"/>
          </w:tcPr>
          <w:p w:rsidR="00F47D46" w:rsidRDefault="00F47D46" w:rsidP="00103C6D">
            <w:pPr>
              <w:jc w:val="center"/>
            </w:pPr>
            <w:r>
              <w:t>240.4</w:t>
            </w:r>
          </w:p>
        </w:tc>
        <w:tc>
          <w:tcPr>
            <w:tcW w:w="1177" w:type="pct"/>
            <w:vAlign w:val="center"/>
          </w:tcPr>
          <w:p w:rsidR="00F47D46" w:rsidRPr="00A1433E" w:rsidRDefault="00F47D46" w:rsidP="00103C6D">
            <w:pPr>
              <w:jc w:val="center"/>
              <w:rPr>
                <w:szCs w:val="20"/>
              </w:rPr>
            </w:pPr>
            <w:r w:rsidRPr="00A1433E">
              <w:rPr>
                <w:szCs w:val="20"/>
              </w:rPr>
              <w:t>5</w:t>
            </w:r>
          </w:p>
        </w:tc>
      </w:tr>
    </w:tbl>
    <w:p w:rsidR="00F47D46" w:rsidRDefault="00F47D46" w:rsidP="00A67E13"/>
    <w:p w:rsidR="00F47D46" w:rsidRDefault="00F47D46" w:rsidP="00A67E13">
      <w:r w:rsidRPr="00F422D1">
        <w:rPr>
          <w:color w:val="000000" w:themeColor="text1"/>
        </w:rPr>
        <w:t xml:space="preserve">The </w:t>
      </w:r>
      <w:r w:rsidR="00A55914" w:rsidRPr="00F422D1">
        <w:rPr>
          <w:color w:val="000000" w:themeColor="text1"/>
        </w:rPr>
        <w:t>SCE R</w:t>
      </w:r>
      <w:r w:rsidRPr="00F422D1">
        <w:rPr>
          <w:color w:val="000000" w:themeColor="text1"/>
        </w:rPr>
        <w:t xml:space="preserve">eport indicated that energy savings per site were found to be well correlated with baseline energy consumption overall. The corrected baseline and energy savings for each of the 46 sites </w:t>
      </w:r>
      <w:r w:rsidR="00A84B4A" w:rsidRPr="00F422D1">
        <w:rPr>
          <w:color w:val="000000" w:themeColor="text1"/>
        </w:rPr>
        <w:t>were</w:t>
      </w:r>
      <w:r w:rsidR="005F03B3" w:rsidRPr="00F422D1">
        <w:rPr>
          <w:color w:val="000000" w:themeColor="text1"/>
        </w:rPr>
        <w:t xml:space="preserve"> plotted in </w:t>
      </w:r>
      <w:r w:rsidR="005F03B3" w:rsidRPr="009B1B64">
        <w:rPr>
          <w:b/>
          <w:color w:val="000000" w:themeColor="text1"/>
        </w:rPr>
        <w:t>Figure 6</w:t>
      </w:r>
      <w:r w:rsidRPr="00F422D1">
        <w:rPr>
          <w:color w:val="000000" w:themeColor="text1"/>
        </w:rPr>
        <w:t xml:space="preserve">. </w:t>
      </w:r>
      <w:r w:rsidR="00A84B4A" w:rsidRPr="00F422D1">
        <w:rPr>
          <w:color w:val="000000" w:themeColor="text1"/>
        </w:rPr>
        <w:t xml:space="preserve">The </w:t>
      </w:r>
      <w:r w:rsidR="00A55914" w:rsidRPr="00F422D1">
        <w:rPr>
          <w:color w:val="000000" w:themeColor="text1"/>
        </w:rPr>
        <w:t>SCE R</w:t>
      </w:r>
      <w:r w:rsidR="00A84B4A" w:rsidRPr="00F422D1">
        <w:rPr>
          <w:color w:val="000000" w:themeColor="text1"/>
        </w:rPr>
        <w:t xml:space="preserve">eport </w:t>
      </w:r>
      <w:r w:rsidR="00A84B4A">
        <w:t>indicated that b</w:t>
      </w:r>
      <w:r w:rsidRPr="00F47D46">
        <w:t xml:space="preserve">aseline usage and savings </w:t>
      </w:r>
      <w:r w:rsidR="00A84B4A">
        <w:t>were</w:t>
      </w:r>
      <w:r w:rsidRPr="00F47D46">
        <w:t xml:space="preserve"> fairly linear acros</w:t>
      </w:r>
      <w:r w:rsidR="00A84B4A">
        <w:t>s the range of sites monitored</w:t>
      </w:r>
      <w:r w:rsidR="00FA3850">
        <w:t>,</w:t>
      </w:r>
      <w:r w:rsidR="00A84B4A">
        <w:t xml:space="preserve"> suggesting </w:t>
      </w:r>
      <w:r w:rsidRPr="00F47D46">
        <w:t xml:space="preserve">that annual baseline usage and </w:t>
      </w:r>
      <w:r w:rsidR="00BE0185" w:rsidRPr="00F47D46">
        <w:t>savings</w:t>
      </w:r>
      <w:r w:rsidR="00BE0185">
        <w:t xml:space="preserve"> </w:t>
      </w:r>
      <w:r w:rsidR="00F422D1">
        <w:t>were</w:t>
      </w:r>
      <w:r w:rsidR="00BE0185">
        <w:t xml:space="preserve"> related and have a linear relationship</w:t>
      </w:r>
      <w:r w:rsidR="00FA3850">
        <w:t xml:space="preserve">. This demonstrates that </w:t>
      </w:r>
      <w:r w:rsidR="00BE0185">
        <w:t>variation in baseline energy usage will not influence the Energy Reduction Percentage (ERP).</w:t>
      </w:r>
    </w:p>
    <w:p w:rsidR="00F47D46" w:rsidRDefault="00F47D46" w:rsidP="00A67E13"/>
    <w:p w:rsidR="00F47D46" w:rsidRDefault="00F47D46" w:rsidP="00F47D46">
      <w:pPr>
        <w:jc w:val="center"/>
        <w:rPr>
          <w:rFonts w:asciiTheme="majorHAnsi" w:eastAsiaTheme="majorEastAsia" w:hAnsiTheme="majorHAnsi" w:cstheme="majorBidi"/>
          <w:b/>
          <w:bCs/>
          <w:i/>
          <w:iCs/>
          <w:color w:val="4F81BD" w:themeColor="accent1"/>
        </w:rPr>
      </w:pPr>
      <w:r>
        <w:rPr>
          <w:noProof/>
        </w:rPr>
        <w:drawing>
          <wp:inline distT="0" distB="0" distL="0" distR="0" wp14:anchorId="02455357" wp14:editId="28CB577B">
            <wp:extent cx="3657600" cy="21613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699944" cy="2186365"/>
                    </a:xfrm>
                    <a:prstGeom prst="rect">
                      <a:avLst/>
                    </a:prstGeom>
                  </pic:spPr>
                </pic:pic>
              </a:graphicData>
            </a:graphic>
          </wp:inline>
        </w:drawing>
      </w:r>
    </w:p>
    <w:p w:rsidR="00F47D46" w:rsidRPr="005F03B3" w:rsidRDefault="00F47D46" w:rsidP="00F47D46">
      <w:pPr>
        <w:jc w:val="center"/>
        <w:rPr>
          <w:b/>
        </w:rPr>
      </w:pPr>
      <w:r w:rsidRPr="005F03B3">
        <w:rPr>
          <w:b/>
        </w:rPr>
        <w:t xml:space="preserve">Figure </w:t>
      </w:r>
      <w:r w:rsidR="005F03B3" w:rsidRPr="005F03B3">
        <w:rPr>
          <w:b/>
        </w:rPr>
        <w:t>6</w:t>
      </w:r>
      <w:r w:rsidRPr="005F03B3">
        <w:rPr>
          <w:b/>
        </w:rPr>
        <w:t>: Energy Usage and Savings by Site</w:t>
      </w:r>
    </w:p>
    <w:p w:rsidR="00F422D1" w:rsidRDefault="00F422D1" w:rsidP="00A67E13"/>
    <w:p w:rsidR="00F47D46" w:rsidRDefault="00F47D46" w:rsidP="00A67E13">
      <w:r>
        <w:t xml:space="preserve">The </w:t>
      </w:r>
      <w:r w:rsidR="00A55914">
        <w:t>SCE</w:t>
      </w:r>
      <w:r>
        <w:t xml:space="preserve"> </w:t>
      </w:r>
      <w:r w:rsidR="00A55914">
        <w:t>R</w:t>
      </w:r>
      <w:r>
        <w:t>eport plotted the annual</w:t>
      </w:r>
      <w:r w:rsidRPr="00F47D46">
        <w:t xml:space="preserve"> calculated savin</w:t>
      </w:r>
      <w:r>
        <w:t xml:space="preserve">gs as a function of annual use, which had a </w:t>
      </w:r>
      <w:r w:rsidRPr="00F47D46">
        <w:t xml:space="preserve">linear </w:t>
      </w:r>
      <w:r w:rsidR="00A84B4A" w:rsidRPr="00F47D46">
        <w:t>trend line</w:t>
      </w:r>
      <w:r w:rsidRPr="00F47D46">
        <w:t xml:space="preserve"> slope of about 0.5, or approximately 50% savings</w:t>
      </w:r>
      <w:r w:rsidR="005F03B3">
        <w:t xml:space="preserve"> as shown in </w:t>
      </w:r>
      <w:r w:rsidR="005F03B3" w:rsidRPr="005F03B3">
        <w:rPr>
          <w:b/>
        </w:rPr>
        <w:t>Figure 7</w:t>
      </w:r>
      <w:r w:rsidRPr="00F47D46">
        <w:t>.</w:t>
      </w:r>
    </w:p>
    <w:p w:rsidR="00A84B4A" w:rsidRDefault="00A84B4A" w:rsidP="00A67E13"/>
    <w:p w:rsidR="00A84B4A" w:rsidRDefault="00A84B4A" w:rsidP="00A84B4A">
      <w:pPr>
        <w:jc w:val="center"/>
      </w:pPr>
      <w:r>
        <w:rPr>
          <w:noProof/>
        </w:rPr>
        <w:lastRenderedPageBreak/>
        <w:drawing>
          <wp:inline distT="0" distB="0" distL="0" distR="0" wp14:anchorId="31E1A8C1" wp14:editId="73DC2602">
            <wp:extent cx="3558540" cy="2578799"/>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572622" cy="2589004"/>
                    </a:xfrm>
                    <a:prstGeom prst="rect">
                      <a:avLst/>
                    </a:prstGeom>
                  </pic:spPr>
                </pic:pic>
              </a:graphicData>
            </a:graphic>
          </wp:inline>
        </w:drawing>
      </w:r>
    </w:p>
    <w:p w:rsidR="00A84B4A" w:rsidRPr="005F03B3" w:rsidRDefault="005F03B3" w:rsidP="00A84B4A">
      <w:pPr>
        <w:jc w:val="center"/>
        <w:rPr>
          <w:b/>
        </w:rPr>
      </w:pPr>
      <w:r w:rsidRPr="005F03B3">
        <w:rPr>
          <w:b/>
        </w:rPr>
        <w:t>Figure 7</w:t>
      </w:r>
      <w:r w:rsidR="00A84B4A" w:rsidRPr="005F03B3">
        <w:rPr>
          <w:b/>
        </w:rPr>
        <w:t>: Annual Energy Savings as a Function of Baseline Energy Usage</w:t>
      </w:r>
    </w:p>
    <w:p w:rsidR="00BE0185" w:rsidRDefault="00BE0185" w:rsidP="00A67E13"/>
    <w:p w:rsidR="00DD0DEB" w:rsidRPr="00F422D1" w:rsidRDefault="00A84B4A" w:rsidP="00A67E13">
      <w:pPr>
        <w:rPr>
          <w:color w:val="000000" w:themeColor="text1"/>
        </w:rPr>
      </w:pPr>
      <w:r w:rsidRPr="00F422D1">
        <w:rPr>
          <w:color w:val="000000" w:themeColor="text1"/>
        </w:rPr>
        <w:t xml:space="preserve">The </w:t>
      </w:r>
      <w:r w:rsidR="00A421DC" w:rsidRPr="00F422D1">
        <w:rPr>
          <w:color w:val="000000" w:themeColor="text1"/>
        </w:rPr>
        <w:t>SCE R</w:t>
      </w:r>
      <w:r w:rsidRPr="00F422D1">
        <w:rPr>
          <w:color w:val="000000" w:themeColor="text1"/>
        </w:rPr>
        <w:t>eport</w:t>
      </w:r>
      <w:r w:rsidR="00A67E13" w:rsidRPr="00F422D1">
        <w:rPr>
          <w:color w:val="000000" w:themeColor="text1"/>
        </w:rPr>
        <w:t xml:space="preserve"> identified that this Wireless Communicating Smart Connected Tier 2 APS device </w:t>
      </w:r>
      <w:r w:rsidR="00082A55" w:rsidRPr="00F422D1">
        <w:rPr>
          <w:color w:val="000000" w:themeColor="text1"/>
        </w:rPr>
        <w:t xml:space="preserve">delivered </w:t>
      </w:r>
      <w:r w:rsidR="00BE0185" w:rsidRPr="00F422D1">
        <w:rPr>
          <w:color w:val="000000" w:themeColor="text1"/>
        </w:rPr>
        <w:t>an E</w:t>
      </w:r>
      <w:r w:rsidR="00DD0DEB" w:rsidRPr="00F422D1">
        <w:rPr>
          <w:color w:val="000000" w:themeColor="text1"/>
        </w:rPr>
        <w:t xml:space="preserve">nergy </w:t>
      </w:r>
      <w:r w:rsidR="00BE0185" w:rsidRPr="00F422D1">
        <w:rPr>
          <w:color w:val="000000" w:themeColor="text1"/>
        </w:rPr>
        <w:t>R</w:t>
      </w:r>
      <w:r w:rsidR="00DD0DEB" w:rsidRPr="00F422D1">
        <w:rPr>
          <w:color w:val="000000" w:themeColor="text1"/>
        </w:rPr>
        <w:t xml:space="preserve">eduction </w:t>
      </w:r>
      <w:r w:rsidR="00BE0185" w:rsidRPr="00F422D1">
        <w:rPr>
          <w:color w:val="000000" w:themeColor="text1"/>
        </w:rPr>
        <w:t>P</w:t>
      </w:r>
      <w:r w:rsidR="00DD0DEB" w:rsidRPr="00F422D1">
        <w:rPr>
          <w:color w:val="000000" w:themeColor="text1"/>
        </w:rPr>
        <w:t>ercent</w:t>
      </w:r>
      <w:r w:rsidR="00BE0185" w:rsidRPr="00F422D1">
        <w:rPr>
          <w:color w:val="000000" w:themeColor="text1"/>
        </w:rPr>
        <w:t>age</w:t>
      </w:r>
      <w:r w:rsidR="00DD0DEB" w:rsidRPr="00F422D1">
        <w:rPr>
          <w:color w:val="000000" w:themeColor="text1"/>
        </w:rPr>
        <w:t xml:space="preserve"> (ERP) </w:t>
      </w:r>
      <w:r w:rsidR="00FA3850">
        <w:rPr>
          <w:color w:val="000000" w:themeColor="text1"/>
        </w:rPr>
        <w:t xml:space="preserve">range </w:t>
      </w:r>
      <w:r w:rsidR="00DD0DEB" w:rsidRPr="00F422D1">
        <w:rPr>
          <w:color w:val="000000" w:themeColor="text1"/>
        </w:rPr>
        <w:t>between 22% and 69%</w:t>
      </w:r>
      <w:r w:rsidR="00BE0185" w:rsidRPr="00F422D1">
        <w:rPr>
          <w:color w:val="000000" w:themeColor="text1"/>
        </w:rPr>
        <w:t>,</w:t>
      </w:r>
      <w:r w:rsidR="00DD0DEB" w:rsidRPr="00F422D1">
        <w:rPr>
          <w:color w:val="000000" w:themeColor="text1"/>
        </w:rPr>
        <w:t xml:space="preserve"> with an average ERP</w:t>
      </w:r>
      <w:r w:rsidR="00390F74" w:rsidRPr="00F422D1">
        <w:rPr>
          <w:color w:val="000000" w:themeColor="text1"/>
        </w:rPr>
        <w:t xml:space="preserve"> per site of 49</w:t>
      </w:r>
      <w:r w:rsidR="00DD0DEB" w:rsidRPr="00F422D1">
        <w:rPr>
          <w:color w:val="000000" w:themeColor="text1"/>
        </w:rPr>
        <w:t xml:space="preserve">% from baseline conditions. </w:t>
      </w:r>
      <w:r w:rsidRPr="00F422D1">
        <w:rPr>
          <w:color w:val="000000" w:themeColor="text1"/>
        </w:rPr>
        <w:t xml:space="preserve">However, </w:t>
      </w:r>
      <w:r w:rsidR="005A7F20" w:rsidRPr="00F422D1">
        <w:rPr>
          <w:color w:val="000000" w:themeColor="text1"/>
        </w:rPr>
        <w:t xml:space="preserve">the SCE Report indicated that </w:t>
      </w:r>
      <w:r w:rsidRPr="00F422D1">
        <w:rPr>
          <w:color w:val="000000" w:themeColor="text1"/>
        </w:rPr>
        <w:t xml:space="preserve">the </w:t>
      </w:r>
      <w:r w:rsidR="00BE0185" w:rsidRPr="00F422D1">
        <w:rPr>
          <w:color w:val="000000" w:themeColor="text1"/>
        </w:rPr>
        <w:t>ERP</w:t>
      </w:r>
      <w:r w:rsidRPr="00F422D1">
        <w:rPr>
          <w:color w:val="000000" w:themeColor="text1"/>
        </w:rPr>
        <w:t xml:space="preserve"> d</w:t>
      </w:r>
      <w:r w:rsidR="00BE0185" w:rsidRPr="00F422D1">
        <w:rPr>
          <w:color w:val="000000" w:themeColor="text1"/>
        </w:rPr>
        <w:t>id</w:t>
      </w:r>
      <w:r w:rsidRPr="00F422D1">
        <w:rPr>
          <w:color w:val="000000" w:themeColor="text1"/>
        </w:rPr>
        <w:t xml:space="preserve"> not have a correlation with baseline energy use</w:t>
      </w:r>
      <w:r w:rsidR="00602873">
        <w:rPr>
          <w:color w:val="000000" w:themeColor="text1"/>
        </w:rPr>
        <w:t xml:space="preserve">; thus, </w:t>
      </w:r>
      <w:r w:rsidR="00F422D1">
        <w:rPr>
          <w:color w:val="000000" w:themeColor="text1"/>
        </w:rPr>
        <w:t>ERP did not</w:t>
      </w:r>
      <w:r w:rsidR="00BE0185" w:rsidRPr="00F422D1">
        <w:rPr>
          <w:color w:val="000000" w:themeColor="text1"/>
        </w:rPr>
        <w:t xml:space="preserve"> influence </w:t>
      </w:r>
      <w:r w:rsidR="00F422D1">
        <w:rPr>
          <w:color w:val="000000" w:themeColor="text1"/>
        </w:rPr>
        <w:t xml:space="preserve">the </w:t>
      </w:r>
      <w:r w:rsidR="00BE0185" w:rsidRPr="00F422D1">
        <w:rPr>
          <w:color w:val="000000" w:themeColor="text1"/>
        </w:rPr>
        <w:t xml:space="preserve">baseline energy usage. The ERP </w:t>
      </w:r>
      <w:r w:rsidR="00602873">
        <w:rPr>
          <w:color w:val="000000" w:themeColor="text1"/>
        </w:rPr>
        <w:t xml:space="preserve">was primarily </w:t>
      </w:r>
      <w:r w:rsidRPr="00F422D1">
        <w:rPr>
          <w:color w:val="000000" w:themeColor="text1"/>
        </w:rPr>
        <w:t>dictated by user behavior</w:t>
      </w:r>
      <w:r w:rsidR="00F422D1">
        <w:rPr>
          <w:color w:val="000000" w:themeColor="text1"/>
        </w:rPr>
        <w:t>,</w:t>
      </w:r>
      <w:r w:rsidRPr="00F422D1">
        <w:rPr>
          <w:color w:val="000000" w:themeColor="text1"/>
        </w:rPr>
        <w:t xml:space="preserve"> which is highly variable</w:t>
      </w:r>
      <w:r w:rsidR="00FA3850">
        <w:rPr>
          <w:color w:val="000000" w:themeColor="text1"/>
        </w:rPr>
        <w:t xml:space="preserve"> site to site</w:t>
      </w:r>
      <w:r w:rsidRPr="00F422D1">
        <w:rPr>
          <w:color w:val="000000" w:themeColor="text1"/>
        </w:rPr>
        <w:t>.</w:t>
      </w:r>
      <w:r w:rsidR="005A7F20" w:rsidRPr="00F422D1">
        <w:rPr>
          <w:color w:val="000000" w:themeColor="text1"/>
        </w:rPr>
        <w:t xml:space="preserve"> </w:t>
      </w:r>
      <w:r w:rsidR="00602873">
        <w:rPr>
          <w:color w:val="000000" w:themeColor="text1"/>
        </w:rPr>
        <w:t xml:space="preserve">As a result, </w:t>
      </w:r>
      <w:r w:rsidR="002A1557" w:rsidRPr="00F422D1">
        <w:rPr>
          <w:color w:val="000000" w:themeColor="text1"/>
        </w:rPr>
        <w:t xml:space="preserve">the SCE Report indicated that the effect of </w:t>
      </w:r>
      <w:r w:rsidR="003D22CE" w:rsidRPr="00F422D1">
        <w:rPr>
          <w:color w:val="000000" w:themeColor="text1"/>
        </w:rPr>
        <w:t>this</w:t>
      </w:r>
      <w:r w:rsidR="002A1557" w:rsidRPr="00F422D1">
        <w:rPr>
          <w:color w:val="000000" w:themeColor="text1"/>
        </w:rPr>
        <w:t xml:space="preserve"> user behavior variability was minimized by extending the monitoring period to two weeks in both the </w:t>
      </w:r>
      <w:r w:rsidR="00F422D1">
        <w:rPr>
          <w:color w:val="000000" w:themeColor="text1"/>
        </w:rPr>
        <w:t>pre and post</w:t>
      </w:r>
      <w:r w:rsidR="00FA3850">
        <w:rPr>
          <w:color w:val="000000" w:themeColor="text1"/>
        </w:rPr>
        <w:t xml:space="preserve"> </w:t>
      </w:r>
      <w:r w:rsidR="002A1557" w:rsidRPr="00F422D1">
        <w:rPr>
          <w:color w:val="000000" w:themeColor="text1"/>
        </w:rPr>
        <w:t>cases</w:t>
      </w:r>
      <w:r w:rsidR="00602873">
        <w:rPr>
          <w:color w:val="000000" w:themeColor="text1"/>
        </w:rPr>
        <w:t xml:space="preserve"> a</w:t>
      </w:r>
      <w:r w:rsidR="00602873" w:rsidRPr="00F422D1">
        <w:rPr>
          <w:color w:val="000000" w:themeColor="text1"/>
        </w:rPr>
        <w:t xml:space="preserve">s </w:t>
      </w:r>
      <w:r w:rsidR="00602873">
        <w:rPr>
          <w:color w:val="000000" w:themeColor="text1"/>
        </w:rPr>
        <w:t>discussed in Phases 1 and 2</w:t>
      </w:r>
      <w:r w:rsidR="002A1557" w:rsidRPr="00F422D1">
        <w:rPr>
          <w:color w:val="000000" w:themeColor="text1"/>
        </w:rPr>
        <w:t>.</w:t>
      </w:r>
    </w:p>
    <w:p w:rsidR="00DD0DEB" w:rsidRDefault="00DD0DEB" w:rsidP="00A67E13"/>
    <w:p w:rsidR="00DD0DEB" w:rsidRDefault="007D2694" w:rsidP="00A67E13">
      <w:r>
        <w:t xml:space="preserve">Based on the SCE Report, </w:t>
      </w:r>
      <w:r w:rsidR="005A7F20" w:rsidRPr="005A7F20">
        <w:rPr>
          <w:b/>
        </w:rPr>
        <w:t>Figure 8</w:t>
      </w:r>
      <w:r w:rsidR="005A7F20">
        <w:t xml:space="preserve"> </w:t>
      </w:r>
      <w:r w:rsidR="00DD0DEB" w:rsidRPr="00DD0DEB">
        <w:t xml:space="preserve">shows the </w:t>
      </w:r>
      <w:r w:rsidR="00DD0DEB">
        <w:t>ERP</w:t>
      </w:r>
      <w:r w:rsidR="00DD0DEB" w:rsidRPr="00DD0DEB">
        <w:t xml:space="preserve"> savings of the corrected dataset by baseline usage showing no correlation between percent savings per site and annual baseline usage. </w:t>
      </w:r>
      <w:r w:rsidR="005A7F20">
        <w:t>The SCE Report indicated that a</w:t>
      </w:r>
      <w:r w:rsidR="00DD0DEB" w:rsidRPr="00DD0DEB">
        <w:t xml:space="preserve">lthough sites with larger baseline energy usage generally achieved greater energy savings, the realized </w:t>
      </w:r>
      <w:r w:rsidR="00DD0DEB">
        <w:t xml:space="preserve">ERP </w:t>
      </w:r>
      <w:r w:rsidR="00DD0DEB" w:rsidRPr="00DD0DEB">
        <w:t>savings was not proportional to annual baseline usage.</w:t>
      </w:r>
      <w:r w:rsidR="00FA3850">
        <w:t xml:space="preserve"> Therefore</w:t>
      </w:r>
      <w:r w:rsidR="00F422D1">
        <w:t>,</w:t>
      </w:r>
      <w:r w:rsidR="00FA3850">
        <w:t xml:space="preserve"> a larger baseline energy usage level had no influence and would not increase the demonstrated ERP.</w:t>
      </w:r>
    </w:p>
    <w:p w:rsidR="00A67E13" w:rsidRDefault="00A67E13" w:rsidP="00DD0DEB">
      <w:pPr>
        <w:jc w:val="center"/>
      </w:pPr>
    </w:p>
    <w:p w:rsidR="00DD0DEB" w:rsidRDefault="00DD0DEB" w:rsidP="00DD0DEB">
      <w:pPr>
        <w:jc w:val="center"/>
      </w:pPr>
      <w:r>
        <w:rPr>
          <w:noProof/>
        </w:rPr>
        <w:drawing>
          <wp:inline distT="0" distB="0" distL="0" distR="0" wp14:anchorId="3DB464E4" wp14:editId="1DBD7466">
            <wp:extent cx="3352800" cy="227388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356834" cy="2276623"/>
                    </a:xfrm>
                    <a:prstGeom prst="rect">
                      <a:avLst/>
                    </a:prstGeom>
                  </pic:spPr>
                </pic:pic>
              </a:graphicData>
            </a:graphic>
          </wp:inline>
        </w:drawing>
      </w:r>
    </w:p>
    <w:p w:rsidR="004B772A" w:rsidRPr="005A7F20" w:rsidRDefault="005A7F20" w:rsidP="00DD0DEB">
      <w:pPr>
        <w:jc w:val="center"/>
        <w:rPr>
          <w:b/>
        </w:rPr>
      </w:pPr>
      <w:r w:rsidRPr="005A7F20">
        <w:rPr>
          <w:b/>
        </w:rPr>
        <w:t>Figure 8</w:t>
      </w:r>
      <w:r w:rsidR="00DD0DEB" w:rsidRPr="005A7F20">
        <w:rPr>
          <w:b/>
        </w:rPr>
        <w:t>: Annual</w:t>
      </w:r>
      <w:r w:rsidR="00F47D46" w:rsidRPr="005A7F20">
        <w:rPr>
          <w:b/>
        </w:rPr>
        <w:t xml:space="preserve"> ERP</w:t>
      </w:r>
      <w:r w:rsidR="00DD0DEB" w:rsidRPr="005A7F20">
        <w:rPr>
          <w:b/>
        </w:rPr>
        <w:t xml:space="preserve"> Savings as a Function of Baseline Energy Usage</w:t>
      </w:r>
    </w:p>
    <w:p w:rsidR="00DD0DEB" w:rsidRDefault="00DD0DEB" w:rsidP="00534106">
      <w:pPr>
        <w:jc w:val="center"/>
      </w:pPr>
    </w:p>
    <w:p w:rsidR="007D2694" w:rsidRDefault="001C7C7E" w:rsidP="004B772A">
      <w:r>
        <w:lastRenderedPageBreak/>
        <w:t xml:space="preserve">The SCE Report provided </w:t>
      </w:r>
      <w:r w:rsidR="007D2694" w:rsidRPr="007D2694">
        <w:t>histograms for the baseline usage and energy savings</w:t>
      </w:r>
      <w:r>
        <w:t>, which</w:t>
      </w:r>
      <w:r w:rsidR="007D2694" w:rsidRPr="007D2694">
        <w:t xml:space="preserve"> are shown in </w:t>
      </w:r>
      <w:r w:rsidR="007D2694" w:rsidRPr="005A7F20">
        <w:rPr>
          <w:b/>
        </w:rPr>
        <w:t xml:space="preserve">Figure </w:t>
      </w:r>
      <w:r w:rsidR="005A7F20" w:rsidRPr="005A7F20">
        <w:rPr>
          <w:b/>
        </w:rPr>
        <w:t>9</w:t>
      </w:r>
      <w:r w:rsidR="007D2694" w:rsidRPr="007D2694">
        <w:t>. Energy savings pe</w:t>
      </w:r>
      <w:r>
        <w:t xml:space="preserve">r site ranged from a minimum of </w:t>
      </w:r>
      <w:r w:rsidR="007D2694" w:rsidRPr="007D2694">
        <w:t xml:space="preserve">47 kWh/year to a maximum of 489 kWh/year. </w:t>
      </w:r>
    </w:p>
    <w:p w:rsidR="007D2694" w:rsidRDefault="007D2694" w:rsidP="004B772A"/>
    <w:p w:rsidR="007D2694" w:rsidRDefault="007D2694" w:rsidP="007D2694">
      <w:pPr>
        <w:jc w:val="center"/>
      </w:pPr>
      <w:r>
        <w:rPr>
          <w:noProof/>
        </w:rPr>
        <w:drawing>
          <wp:inline distT="0" distB="0" distL="0" distR="0" wp14:anchorId="01B541BC" wp14:editId="5F921202">
            <wp:extent cx="4876800" cy="217736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887236" cy="2182026"/>
                    </a:xfrm>
                    <a:prstGeom prst="rect">
                      <a:avLst/>
                    </a:prstGeom>
                  </pic:spPr>
                </pic:pic>
              </a:graphicData>
            </a:graphic>
          </wp:inline>
        </w:drawing>
      </w:r>
    </w:p>
    <w:p w:rsidR="007D2694" w:rsidRPr="005A7F20" w:rsidRDefault="005A7F20" w:rsidP="007D2694">
      <w:pPr>
        <w:jc w:val="center"/>
        <w:rPr>
          <w:b/>
        </w:rPr>
      </w:pPr>
      <w:r w:rsidRPr="005A7F20">
        <w:rPr>
          <w:b/>
        </w:rPr>
        <w:t>Figure 9</w:t>
      </w:r>
      <w:r w:rsidR="007D2694" w:rsidRPr="005A7F20">
        <w:rPr>
          <w:b/>
        </w:rPr>
        <w:t>: Annual ERP Savings as a Function of Baseline Energy Usage</w:t>
      </w:r>
    </w:p>
    <w:p w:rsidR="007D2694" w:rsidRDefault="007D2694" w:rsidP="004B772A"/>
    <w:p w:rsidR="002A1557" w:rsidRPr="002A1557" w:rsidRDefault="002A1557" w:rsidP="002A1557">
      <w:pPr>
        <w:pStyle w:val="Heading5"/>
        <w:rPr>
          <w:b/>
        </w:rPr>
      </w:pPr>
      <w:r>
        <w:rPr>
          <w:b/>
        </w:rPr>
        <w:t xml:space="preserve">Accuracy of Tier 2 APS Projected Annual Energy Use </w:t>
      </w:r>
    </w:p>
    <w:p w:rsidR="00333E99" w:rsidRDefault="00AF6635" w:rsidP="00FE046C">
      <w:r>
        <w:t>Prior to deployment into SCE’s 3</w:t>
      </w:r>
      <w:r w:rsidRPr="00AF6635">
        <w:rPr>
          <w:vertAlign w:val="superscript"/>
        </w:rPr>
        <w:t>rd</w:t>
      </w:r>
      <w:r>
        <w:t xml:space="preserve"> party </w:t>
      </w:r>
      <w:r w:rsidR="00D17456">
        <w:t>residential</w:t>
      </w:r>
      <w:r>
        <w:t xml:space="preserve"> direct install programs, </w:t>
      </w:r>
      <w:r w:rsidR="00BC4382">
        <w:t xml:space="preserve">the </w:t>
      </w:r>
      <w:r w:rsidRPr="00AF6635">
        <w:t>Wireless Communicating Tier 2 Smart Connected APS devices</w:t>
      </w:r>
      <w:r>
        <w:t xml:space="preserve"> were tested at SCE’s Technology Test Center </w:t>
      </w:r>
      <w:r w:rsidR="00FE046C">
        <w:t xml:space="preserve">(TTC) </w:t>
      </w:r>
      <w:r>
        <w:t xml:space="preserve">laboratories </w:t>
      </w:r>
      <w:r w:rsidRPr="00AF6635">
        <w:t>using several common entertainment system plug load devices including a TV, sound system, and streaming device</w:t>
      </w:r>
      <w:r>
        <w:t xml:space="preserve">. </w:t>
      </w:r>
      <w:r w:rsidR="00FE046C">
        <w:t xml:space="preserve">SCE’s TTC labs tested these devices using a </w:t>
      </w:r>
      <w:r w:rsidR="00FE046C" w:rsidRPr="00FE046C">
        <w:t>Yokogawa WT1800 Precision Power Analyzer</w:t>
      </w:r>
      <w:r w:rsidR="00FE046C">
        <w:t xml:space="preserve"> and an </w:t>
      </w:r>
      <w:r w:rsidR="00FE046C" w:rsidRPr="00FE046C">
        <w:t xml:space="preserve">Elgar DW1251P AC power source </w:t>
      </w:r>
      <w:r w:rsidR="00FE046C">
        <w:t>power supply to confirm device measurement accuracy</w:t>
      </w:r>
      <w:r w:rsidR="00BC4382">
        <w:t xml:space="preserve"> of the </w:t>
      </w:r>
      <w:r w:rsidR="00BC4382" w:rsidRPr="00AF6635">
        <w:t>Tier 2 Smart Connected APS</w:t>
      </w:r>
      <w:r w:rsidR="00EA4497">
        <w:t xml:space="preserve"> was within acceptable accuracy ranges</w:t>
      </w:r>
      <w:r w:rsidR="00FE046C">
        <w:t>.</w:t>
      </w:r>
      <w:r w:rsidR="00FE046C" w:rsidRPr="00FE046C">
        <w:t xml:space="preserve"> </w:t>
      </w:r>
    </w:p>
    <w:p w:rsidR="00DD0DEB" w:rsidRPr="00333E99" w:rsidRDefault="00E671F5" w:rsidP="00333E99">
      <w:pPr>
        <w:pStyle w:val="Heading6"/>
        <w:rPr>
          <w:b/>
        </w:rPr>
      </w:pPr>
      <w:r>
        <w:rPr>
          <w:b/>
        </w:rPr>
        <w:t xml:space="preserve">Pre-Installation and Post-Installation Average </w:t>
      </w:r>
      <w:r w:rsidR="00DD0DEB" w:rsidRPr="00333E99">
        <w:rPr>
          <w:b/>
        </w:rPr>
        <w:t xml:space="preserve">Daily Usage </w:t>
      </w:r>
      <w:r w:rsidR="001E56C7">
        <w:rPr>
          <w:b/>
        </w:rPr>
        <w:t xml:space="preserve">Discussion </w:t>
      </w:r>
    </w:p>
    <w:p w:rsidR="00390F74" w:rsidRDefault="00390F74" w:rsidP="00DD0DEB">
      <w:r>
        <w:t xml:space="preserve">In the SCE Report, AESC indicated that </w:t>
      </w:r>
    </w:p>
    <w:p w:rsidR="00390F74" w:rsidRDefault="00390F74" w:rsidP="00390F74">
      <w:pPr>
        <w:ind w:left="720"/>
      </w:pPr>
    </w:p>
    <w:p w:rsidR="00390F74" w:rsidRDefault="00390F74" w:rsidP="003C52A9">
      <w:pPr>
        <w:ind w:left="720"/>
        <w:jc w:val="both"/>
      </w:pPr>
      <w:r w:rsidRPr="00390F74">
        <w:t>The results of this study should be tempered by the fact that the average number of uses declined sharply from the pre-installation to post-installation period. Note that a “use” was defined by the analysis as a continuous period with greater than 50W of power consumption. While the total time in use would be expected to decrease since the APS is designed to turn off devices that are not in use, the total number of uses per day would be expected to remain constant. The data shows that both the average time of use and average number of uses per day decrease significantly from the baseline to the post period.</w:t>
      </w:r>
    </w:p>
    <w:p w:rsidR="00D947A7" w:rsidRDefault="00D947A7" w:rsidP="003C52A9">
      <w:pPr>
        <w:ind w:left="720"/>
        <w:jc w:val="both"/>
      </w:pPr>
    </w:p>
    <w:p w:rsidR="00B333E6" w:rsidRDefault="00390F74" w:rsidP="003C52A9">
      <w:pPr>
        <w:ind w:left="720"/>
        <w:jc w:val="both"/>
      </w:pPr>
      <w:r>
        <w:t xml:space="preserve">This significant change in A/V usage may have resulted from the fact that pre- and post-installation periods were collected over nearly identical 2-3 week periods at all 46 sites. As a result, it is possible that more popular television programming was scheduled during the pre-installation period, which led to an increase in A/V operation during this period. </w:t>
      </w:r>
    </w:p>
    <w:p w:rsidR="00B333E6" w:rsidRDefault="00B333E6" w:rsidP="003C52A9">
      <w:pPr>
        <w:ind w:left="720"/>
        <w:jc w:val="both"/>
      </w:pPr>
    </w:p>
    <w:p w:rsidR="00390F74" w:rsidRDefault="00390F74" w:rsidP="003C52A9">
      <w:pPr>
        <w:ind w:left="720"/>
        <w:jc w:val="both"/>
      </w:pPr>
      <w:r>
        <w:t xml:space="preserve">These results highlight the fact that it is difficult to control for changes in usage patterns when conducting any monitoring study and this issue can be best addressed by extending the monitoring period in future studies. If post-installation annual energy consumption is </w:t>
      </w:r>
      <w:r>
        <w:lastRenderedPageBreak/>
        <w:t xml:space="preserve">normalized to consider this change in average daily uses, the energy savings impact of the technology is decreased, as shown in </w:t>
      </w:r>
      <w:r w:rsidR="003D22CE">
        <w:rPr>
          <w:b/>
        </w:rPr>
        <w:t>Table 12</w:t>
      </w:r>
      <w:r>
        <w:t>.</w:t>
      </w:r>
      <w:r w:rsidR="00C26B6A">
        <w:t xml:space="preserve"> </w:t>
      </w:r>
      <w:r w:rsidR="00C26B6A" w:rsidRPr="00C26B6A">
        <w:t>However, even after adjusting for usage, the energy impacts measured in this study were significant. Annual energy usage was observed to decrease significantly in all 46 analyzed sites.</w:t>
      </w:r>
    </w:p>
    <w:p w:rsidR="00390F74" w:rsidRDefault="00390F74" w:rsidP="00390F74">
      <w:pPr>
        <w:ind w:left="720"/>
      </w:pPr>
    </w:p>
    <w:p w:rsidR="00390F74" w:rsidRPr="00210EFB" w:rsidRDefault="003D22CE" w:rsidP="00390F74">
      <w:pPr>
        <w:ind w:left="720"/>
        <w:jc w:val="center"/>
        <w:rPr>
          <w:b/>
        </w:rPr>
      </w:pPr>
      <w:r>
        <w:rPr>
          <w:b/>
        </w:rPr>
        <w:t>Table 12</w:t>
      </w:r>
      <w:r w:rsidR="00390F74" w:rsidRPr="00210EFB">
        <w:rPr>
          <w:b/>
        </w:rPr>
        <w:t>: Adjusted Annual Energy Savings to Consider Changes in Usage Patterns</w:t>
      </w:r>
    </w:p>
    <w:tbl>
      <w:tblPr>
        <w:tblStyle w:val="TableGrid"/>
        <w:tblW w:w="0" w:type="auto"/>
        <w:tblInd w:w="720" w:type="dxa"/>
        <w:tblLook w:val="04A0" w:firstRow="1" w:lastRow="0" w:firstColumn="1" w:lastColumn="0" w:noHBand="0" w:noVBand="1"/>
      </w:tblPr>
      <w:tblGrid>
        <w:gridCol w:w="2206"/>
        <w:gridCol w:w="2242"/>
        <w:gridCol w:w="2166"/>
        <w:gridCol w:w="2242"/>
      </w:tblGrid>
      <w:tr w:rsidR="00390F74" w:rsidTr="00390F74">
        <w:tc>
          <w:tcPr>
            <w:tcW w:w="2394" w:type="dxa"/>
            <w:shd w:val="clear" w:color="auto" w:fill="D9D9D9" w:themeFill="background1" w:themeFillShade="D9"/>
            <w:vAlign w:val="center"/>
          </w:tcPr>
          <w:p w:rsidR="00390F74" w:rsidRPr="00390F74" w:rsidRDefault="00390F74" w:rsidP="00390F74">
            <w:pPr>
              <w:jc w:val="center"/>
              <w:rPr>
                <w:b/>
              </w:rPr>
            </w:pPr>
          </w:p>
        </w:tc>
        <w:tc>
          <w:tcPr>
            <w:tcW w:w="2394" w:type="dxa"/>
            <w:shd w:val="clear" w:color="auto" w:fill="D9D9D9" w:themeFill="background1" w:themeFillShade="D9"/>
            <w:vAlign w:val="center"/>
          </w:tcPr>
          <w:p w:rsidR="00390F74" w:rsidRPr="00390F74" w:rsidRDefault="00390F74" w:rsidP="00390F74">
            <w:pPr>
              <w:jc w:val="center"/>
              <w:rPr>
                <w:b/>
              </w:rPr>
            </w:pPr>
            <w:r w:rsidRPr="00390F74">
              <w:rPr>
                <w:b/>
              </w:rPr>
              <w:t>Unadjusted Energy  Consumption (kWh)</w:t>
            </w:r>
          </w:p>
        </w:tc>
        <w:tc>
          <w:tcPr>
            <w:tcW w:w="2394" w:type="dxa"/>
            <w:shd w:val="clear" w:color="auto" w:fill="D9D9D9" w:themeFill="background1" w:themeFillShade="D9"/>
            <w:vAlign w:val="center"/>
          </w:tcPr>
          <w:p w:rsidR="00390F74" w:rsidRPr="00390F74" w:rsidRDefault="00390F74" w:rsidP="00390F74">
            <w:pPr>
              <w:jc w:val="center"/>
              <w:rPr>
                <w:b/>
              </w:rPr>
            </w:pPr>
            <w:r w:rsidRPr="00390F74">
              <w:rPr>
                <w:b/>
              </w:rPr>
              <w:t>Average Daily Uses</w:t>
            </w:r>
          </w:p>
        </w:tc>
        <w:tc>
          <w:tcPr>
            <w:tcW w:w="2394" w:type="dxa"/>
            <w:shd w:val="clear" w:color="auto" w:fill="D9D9D9" w:themeFill="background1" w:themeFillShade="D9"/>
            <w:vAlign w:val="center"/>
          </w:tcPr>
          <w:p w:rsidR="00390F74" w:rsidRPr="00390F74" w:rsidRDefault="00390F74" w:rsidP="00390F74">
            <w:pPr>
              <w:jc w:val="center"/>
              <w:rPr>
                <w:b/>
              </w:rPr>
            </w:pPr>
            <w:r w:rsidRPr="00390F74">
              <w:rPr>
                <w:b/>
              </w:rPr>
              <w:t>A</w:t>
            </w:r>
            <w:r>
              <w:rPr>
                <w:b/>
              </w:rPr>
              <w:t>djusted Energy Consumption (kWh)</w:t>
            </w:r>
          </w:p>
        </w:tc>
      </w:tr>
      <w:tr w:rsidR="00390F74" w:rsidTr="00390F74">
        <w:tc>
          <w:tcPr>
            <w:tcW w:w="2394" w:type="dxa"/>
          </w:tcPr>
          <w:p w:rsidR="00390F74" w:rsidRDefault="00390F74" w:rsidP="00390F74">
            <w:pPr>
              <w:jc w:val="center"/>
            </w:pPr>
            <w:r>
              <w:t xml:space="preserve">Pre-Installation </w:t>
            </w:r>
          </w:p>
        </w:tc>
        <w:tc>
          <w:tcPr>
            <w:tcW w:w="2394" w:type="dxa"/>
          </w:tcPr>
          <w:p w:rsidR="00390F74" w:rsidRDefault="00390F74" w:rsidP="00390F74">
            <w:pPr>
              <w:jc w:val="center"/>
            </w:pPr>
            <w:r>
              <w:t>487.4</w:t>
            </w:r>
          </w:p>
        </w:tc>
        <w:tc>
          <w:tcPr>
            <w:tcW w:w="2394" w:type="dxa"/>
          </w:tcPr>
          <w:p w:rsidR="00390F74" w:rsidRDefault="00390F74" w:rsidP="00390F74">
            <w:pPr>
              <w:jc w:val="center"/>
            </w:pPr>
            <w:r>
              <w:t>2.4</w:t>
            </w:r>
          </w:p>
        </w:tc>
        <w:tc>
          <w:tcPr>
            <w:tcW w:w="2394" w:type="dxa"/>
          </w:tcPr>
          <w:p w:rsidR="00390F74" w:rsidRDefault="00390F74" w:rsidP="00390F74">
            <w:pPr>
              <w:jc w:val="center"/>
            </w:pPr>
            <w:r>
              <w:t>487.4</w:t>
            </w:r>
          </w:p>
        </w:tc>
      </w:tr>
      <w:tr w:rsidR="00390F74" w:rsidTr="00390F74">
        <w:tc>
          <w:tcPr>
            <w:tcW w:w="2394" w:type="dxa"/>
          </w:tcPr>
          <w:p w:rsidR="00390F74" w:rsidRDefault="00390F74" w:rsidP="00390F74">
            <w:pPr>
              <w:jc w:val="center"/>
            </w:pPr>
            <w:r>
              <w:t xml:space="preserve">Post-Installation </w:t>
            </w:r>
          </w:p>
        </w:tc>
        <w:tc>
          <w:tcPr>
            <w:tcW w:w="2394" w:type="dxa"/>
          </w:tcPr>
          <w:p w:rsidR="00390F74" w:rsidRDefault="00390F74" w:rsidP="00390F74">
            <w:pPr>
              <w:jc w:val="center"/>
            </w:pPr>
            <w:r>
              <w:t>247.0</w:t>
            </w:r>
          </w:p>
        </w:tc>
        <w:tc>
          <w:tcPr>
            <w:tcW w:w="2394" w:type="dxa"/>
          </w:tcPr>
          <w:p w:rsidR="00390F74" w:rsidRDefault="00390F74" w:rsidP="00390F74">
            <w:pPr>
              <w:jc w:val="center"/>
            </w:pPr>
            <w:r>
              <w:t>2.0</w:t>
            </w:r>
          </w:p>
        </w:tc>
        <w:tc>
          <w:tcPr>
            <w:tcW w:w="2394" w:type="dxa"/>
          </w:tcPr>
          <w:p w:rsidR="00390F74" w:rsidRDefault="00390F74" w:rsidP="00390F74">
            <w:pPr>
              <w:jc w:val="center"/>
            </w:pPr>
            <w:r>
              <w:t>305.2</w:t>
            </w:r>
          </w:p>
        </w:tc>
      </w:tr>
      <w:tr w:rsidR="00390F74" w:rsidTr="00390F74">
        <w:tc>
          <w:tcPr>
            <w:tcW w:w="2394" w:type="dxa"/>
          </w:tcPr>
          <w:p w:rsidR="00390F74" w:rsidRDefault="00390F74" w:rsidP="00390F74">
            <w:pPr>
              <w:jc w:val="center"/>
            </w:pPr>
            <w:r>
              <w:t>Savings</w:t>
            </w:r>
          </w:p>
        </w:tc>
        <w:tc>
          <w:tcPr>
            <w:tcW w:w="2394" w:type="dxa"/>
          </w:tcPr>
          <w:p w:rsidR="00390F74" w:rsidRDefault="00390F74" w:rsidP="00390F74">
            <w:pPr>
              <w:jc w:val="center"/>
            </w:pPr>
            <w:r>
              <w:t>240.4</w:t>
            </w:r>
          </w:p>
        </w:tc>
        <w:tc>
          <w:tcPr>
            <w:tcW w:w="2394" w:type="dxa"/>
          </w:tcPr>
          <w:p w:rsidR="00390F74" w:rsidRDefault="00390F74" w:rsidP="00390F74">
            <w:pPr>
              <w:jc w:val="center"/>
            </w:pPr>
          </w:p>
        </w:tc>
        <w:tc>
          <w:tcPr>
            <w:tcW w:w="2394" w:type="dxa"/>
          </w:tcPr>
          <w:p w:rsidR="00390F74" w:rsidRDefault="00390F74" w:rsidP="00390F74">
            <w:pPr>
              <w:jc w:val="center"/>
            </w:pPr>
            <w:r>
              <w:t>182.1</w:t>
            </w:r>
          </w:p>
        </w:tc>
      </w:tr>
      <w:tr w:rsidR="00390F74" w:rsidTr="00390F74">
        <w:tc>
          <w:tcPr>
            <w:tcW w:w="2394" w:type="dxa"/>
          </w:tcPr>
          <w:p w:rsidR="00390F74" w:rsidRDefault="00390F74" w:rsidP="00390F74">
            <w:pPr>
              <w:jc w:val="center"/>
            </w:pPr>
            <w:r>
              <w:t>% Reduction</w:t>
            </w:r>
          </w:p>
        </w:tc>
        <w:tc>
          <w:tcPr>
            <w:tcW w:w="2394" w:type="dxa"/>
          </w:tcPr>
          <w:p w:rsidR="00390F74" w:rsidRDefault="00390F74" w:rsidP="00390F74">
            <w:pPr>
              <w:jc w:val="center"/>
            </w:pPr>
            <w:r>
              <w:t>49%</w:t>
            </w:r>
          </w:p>
        </w:tc>
        <w:tc>
          <w:tcPr>
            <w:tcW w:w="2394" w:type="dxa"/>
          </w:tcPr>
          <w:p w:rsidR="00390F74" w:rsidRDefault="00390F74" w:rsidP="00390F74">
            <w:pPr>
              <w:jc w:val="center"/>
            </w:pPr>
          </w:p>
        </w:tc>
        <w:tc>
          <w:tcPr>
            <w:tcW w:w="2394" w:type="dxa"/>
          </w:tcPr>
          <w:p w:rsidR="00390F74" w:rsidRDefault="00390F74" w:rsidP="00390F74">
            <w:pPr>
              <w:jc w:val="center"/>
            </w:pPr>
            <w:r>
              <w:t>37%</w:t>
            </w:r>
          </w:p>
        </w:tc>
      </w:tr>
    </w:tbl>
    <w:p w:rsidR="00390F74" w:rsidRDefault="00E671F5" w:rsidP="00E671F5">
      <w:pPr>
        <w:pStyle w:val="Heading6"/>
        <w:rPr>
          <w:b/>
        </w:rPr>
      </w:pPr>
      <w:r>
        <w:rPr>
          <w:b/>
        </w:rPr>
        <w:t>Review and Analysis</w:t>
      </w:r>
      <w:r w:rsidRPr="00E671F5">
        <w:rPr>
          <w:b/>
        </w:rPr>
        <w:t xml:space="preserve"> of Average Daily Use</w:t>
      </w:r>
      <w:r>
        <w:rPr>
          <w:b/>
        </w:rPr>
        <w:t xml:space="preserve"> b</w:t>
      </w:r>
      <w:r w:rsidRPr="00E671F5">
        <w:rPr>
          <w:b/>
        </w:rPr>
        <w:t>e</w:t>
      </w:r>
      <w:r>
        <w:rPr>
          <w:b/>
        </w:rPr>
        <w:t>tween Pre and Post Installation Dataset</w:t>
      </w:r>
      <w:r w:rsidRPr="00E671F5">
        <w:rPr>
          <w:b/>
        </w:rPr>
        <w:t xml:space="preserve"> </w:t>
      </w:r>
    </w:p>
    <w:p w:rsidR="00D22098" w:rsidRDefault="00D22098" w:rsidP="00D22098">
      <w:r>
        <w:t>The SCE Report stated that “</w:t>
      </w:r>
      <w:r w:rsidRPr="002C206A">
        <w:rPr>
          <w:i/>
        </w:rPr>
        <w:t>While the total time in use would be expected to decrease since the APS is designed to turn off devices that are not in use, the total number of uses per day would be expected to remain constant</w:t>
      </w:r>
      <w:r>
        <w:t>.” The SCE Report further stated that “</w:t>
      </w:r>
      <w:r w:rsidRPr="00D5278D">
        <w:rPr>
          <w:i/>
        </w:rPr>
        <w:t>the data shows that both the average time of use and average number of uses per day decrease significantly from the baseline to the post period</w:t>
      </w:r>
      <w:r w:rsidRPr="00390F74">
        <w:t>.</w:t>
      </w:r>
      <w:r>
        <w:t>”</w:t>
      </w:r>
      <w:r w:rsidR="00944CE3">
        <w:t xml:space="preserve"> T</w:t>
      </w:r>
      <w:r w:rsidRPr="00AF74C5">
        <w:t xml:space="preserve">he </w:t>
      </w:r>
      <w:r>
        <w:t xml:space="preserve">SCE Report </w:t>
      </w:r>
      <w:r w:rsidR="00944CE3">
        <w:t>hypothesized</w:t>
      </w:r>
      <w:r>
        <w:t xml:space="preserve"> that </w:t>
      </w:r>
      <w:r w:rsidRPr="00AF74C5">
        <w:t xml:space="preserve">the number of daily uses </w:t>
      </w:r>
      <w:r>
        <w:t xml:space="preserve">in the post period decreased because the device was designed to turn off devices not in use as intended. </w:t>
      </w:r>
      <w:r w:rsidR="00944CE3">
        <w:t>Additionally</w:t>
      </w:r>
      <w:r>
        <w:t xml:space="preserve">, the SCE </w:t>
      </w:r>
      <w:r w:rsidRPr="00602873">
        <w:t xml:space="preserve">Report </w:t>
      </w:r>
      <w:r w:rsidR="00A402C3" w:rsidRPr="00602873">
        <w:rPr>
          <w:color w:val="000000" w:themeColor="text1"/>
        </w:rPr>
        <w:t>h</w:t>
      </w:r>
      <w:r w:rsidR="00944CE3" w:rsidRPr="00602873">
        <w:rPr>
          <w:color w:val="000000" w:themeColor="text1"/>
        </w:rPr>
        <w:t>ypothesized</w:t>
      </w:r>
      <w:r w:rsidRPr="00602873">
        <w:rPr>
          <w:color w:val="000000" w:themeColor="text1"/>
        </w:rPr>
        <w:t xml:space="preserve"> </w:t>
      </w:r>
      <w:r>
        <w:t xml:space="preserve">that the average daily use </w:t>
      </w:r>
      <w:r w:rsidRPr="00AF74C5">
        <w:t>in</w:t>
      </w:r>
      <w:r>
        <w:t>creased in the pre period because the households</w:t>
      </w:r>
      <w:r w:rsidRPr="00AF74C5">
        <w:t xml:space="preserve"> were using the TV more during the pre-period </w:t>
      </w:r>
      <w:r>
        <w:t>compared to</w:t>
      </w:r>
      <w:r w:rsidRPr="00AF74C5">
        <w:t xml:space="preserve"> the post period. </w:t>
      </w:r>
    </w:p>
    <w:p w:rsidR="00D22098" w:rsidRDefault="00D22098" w:rsidP="00B333E6"/>
    <w:p w:rsidR="00B333E6" w:rsidRPr="00F72C1C" w:rsidRDefault="00602873" w:rsidP="00B333E6">
      <w:pPr>
        <w:rPr>
          <w:color w:val="000000" w:themeColor="text1"/>
        </w:rPr>
      </w:pPr>
      <w:r>
        <w:t xml:space="preserve">The SCE Report further states, </w:t>
      </w:r>
      <w:r w:rsidR="00B333E6">
        <w:t>“</w:t>
      </w:r>
      <w:r w:rsidR="00B333E6" w:rsidRPr="00B333E6">
        <w:rPr>
          <w:i/>
        </w:rPr>
        <w:t xml:space="preserve">If post-installation annual energy consumption is normalized to consider this change in average daily uses, the </w:t>
      </w:r>
      <w:r w:rsidR="00B333E6" w:rsidRPr="00F72C1C">
        <w:rPr>
          <w:i/>
          <w:color w:val="000000" w:themeColor="text1"/>
        </w:rPr>
        <w:t>energy savings impact of the technology is decreased</w:t>
      </w:r>
      <w:r w:rsidR="00B333E6" w:rsidRPr="00F72C1C">
        <w:rPr>
          <w:color w:val="000000" w:themeColor="text1"/>
        </w:rPr>
        <w:t xml:space="preserve">.” However, the SCE Report did not </w:t>
      </w:r>
      <w:r w:rsidR="00087D97" w:rsidRPr="00F72C1C">
        <w:rPr>
          <w:color w:val="000000" w:themeColor="text1"/>
        </w:rPr>
        <w:t xml:space="preserve">test this hypothesis </w:t>
      </w:r>
      <w:r w:rsidR="00F72C1C">
        <w:rPr>
          <w:color w:val="000000" w:themeColor="text1"/>
        </w:rPr>
        <w:t>or</w:t>
      </w:r>
      <w:r w:rsidR="00087D97" w:rsidRPr="00F72C1C">
        <w:rPr>
          <w:color w:val="000000" w:themeColor="text1"/>
        </w:rPr>
        <w:t xml:space="preserve"> </w:t>
      </w:r>
      <w:r w:rsidR="00B333E6" w:rsidRPr="00F72C1C">
        <w:rPr>
          <w:color w:val="000000" w:themeColor="text1"/>
        </w:rPr>
        <w:t xml:space="preserve">provide further analysis on whether this variance between </w:t>
      </w:r>
      <w:r w:rsidR="003D22CE" w:rsidRPr="00F72C1C">
        <w:rPr>
          <w:color w:val="000000" w:themeColor="text1"/>
        </w:rPr>
        <w:t xml:space="preserve">the </w:t>
      </w:r>
      <w:r w:rsidR="00B333E6" w:rsidRPr="00F72C1C">
        <w:rPr>
          <w:color w:val="000000" w:themeColor="text1"/>
        </w:rPr>
        <w:t xml:space="preserve">average </w:t>
      </w:r>
      <w:r w:rsidR="003D22CE" w:rsidRPr="00F72C1C">
        <w:rPr>
          <w:color w:val="000000" w:themeColor="text1"/>
        </w:rPr>
        <w:t>daily uses</w:t>
      </w:r>
      <w:r w:rsidR="00F72C1C">
        <w:rPr>
          <w:color w:val="000000" w:themeColor="text1"/>
        </w:rPr>
        <w:t xml:space="preserve"> (from the pre 2.4 to the post 2.0)</w:t>
      </w:r>
      <w:r w:rsidR="00012B00">
        <w:rPr>
          <w:color w:val="000000" w:themeColor="text1"/>
        </w:rPr>
        <w:t xml:space="preserve"> </w:t>
      </w:r>
      <w:r w:rsidR="00087D97" w:rsidRPr="00F72C1C">
        <w:rPr>
          <w:color w:val="000000" w:themeColor="text1"/>
        </w:rPr>
        <w:t>was driven by higher usage in the pre period</w:t>
      </w:r>
      <w:r w:rsidR="00F72C1C">
        <w:rPr>
          <w:color w:val="000000" w:themeColor="text1"/>
        </w:rPr>
        <w:t>. Without testing the hypothesis, it is not clear on how higher daily use would va</w:t>
      </w:r>
      <w:r w:rsidR="00B333E6" w:rsidRPr="00F72C1C">
        <w:rPr>
          <w:color w:val="000000" w:themeColor="text1"/>
        </w:rPr>
        <w:t xml:space="preserve">lidly </w:t>
      </w:r>
      <w:r w:rsidR="00F72C1C">
        <w:rPr>
          <w:color w:val="000000" w:themeColor="text1"/>
        </w:rPr>
        <w:t>result</w:t>
      </w:r>
      <w:r w:rsidR="00B333E6" w:rsidRPr="00F72C1C">
        <w:rPr>
          <w:color w:val="000000" w:themeColor="text1"/>
        </w:rPr>
        <w:t xml:space="preserve"> in increasing the adjusted energy consumption for the post period and ultimately lowering ene</w:t>
      </w:r>
      <w:r w:rsidR="00F72C1C">
        <w:rPr>
          <w:color w:val="000000" w:themeColor="text1"/>
        </w:rPr>
        <w:t xml:space="preserve">rgy savings as shown in </w:t>
      </w:r>
      <w:r w:rsidR="00F72C1C" w:rsidRPr="00F72C1C">
        <w:rPr>
          <w:b/>
          <w:color w:val="000000" w:themeColor="text1"/>
        </w:rPr>
        <w:t>Table 12</w:t>
      </w:r>
      <w:r w:rsidR="00B333E6" w:rsidRPr="00F72C1C">
        <w:rPr>
          <w:color w:val="000000" w:themeColor="text1"/>
        </w:rPr>
        <w:t xml:space="preserve">. Thus, a </w:t>
      </w:r>
      <w:r w:rsidR="00012B00">
        <w:rPr>
          <w:color w:val="000000" w:themeColor="text1"/>
        </w:rPr>
        <w:t xml:space="preserve">detailed </w:t>
      </w:r>
      <w:r w:rsidR="00B333E6" w:rsidRPr="00F72C1C">
        <w:rPr>
          <w:color w:val="000000" w:themeColor="text1"/>
        </w:rPr>
        <w:t xml:space="preserve">review of the AESC’s dataset was undertaken to test whether more popular television programming led to an increase in </w:t>
      </w:r>
      <w:r w:rsidR="00012B00">
        <w:rPr>
          <w:color w:val="000000" w:themeColor="text1"/>
        </w:rPr>
        <w:t xml:space="preserve">average </w:t>
      </w:r>
      <w:r w:rsidR="00B333E6" w:rsidRPr="00F72C1C">
        <w:rPr>
          <w:color w:val="000000" w:themeColor="text1"/>
        </w:rPr>
        <w:t xml:space="preserve">A/V </w:t>
      </w:r>
      <w:r w:rsidR="00012B00">
        <w:rPr>
          <w:color w:val="000000" w:themeColor="text1"/>
        </w:rPr>
        <w:t xml:space="preserve">uses </w:t>
      </w:r>
      <w:r w:rsidR="00B333E6" w:rsidRPr="00F72C1C">
        <w:rPr>
          <w:color w:val="000000" w:themeColor="text1"/>
        </w:rPr>
        <w:t xml:space="preserve">during the pre-installation period.  </w:t>
      </w:r>
    </w:p>
    <w:p w:rsidR="00B333E6" w:rsidRPr="005774DB" w:rsidRDefault="00B333E6" w:rsidP="00E671F5">
      <w:pPr>
        <w:rPr>
          <w:color w:val="000000" w:themeColor="text1"/>
        </w:rPr>
      </w:pPr>
    </w:p>
    <w:p w:rsidR="002C206A" w:rsidRPr="00F72C1C" w:rsidRDefault="00E53A02" w:rsidP="00E671F5">
      <w:pPr>
        <w:rPr>
          <w:color w:val="000000" w:themeColor="text1"/>
        </w:rPr>
      </w:pPr>
      <w:r w:rsidRPr="00F72C1C">
        <w:rPr>
          <w:color w:val="000000" w:themeColor="text1"/>
        </w:rPr>
        <w:t xml:space="preserve">As shown in </w:t>
      </w:r>
      <w:r w:rsidR="003D22CE" w:rsidRPr="00F72C1C">
        <w:rPr>
          <w:b/>
          <w:color w:val="000000" w:themeColor="text1"/>
        </w:rPr>
        <w:t>Table 13</w:t>
      </w:r>
      <w:r w:rsidRPr="00F72C1C">
        <w:rPr>
          <w:color w:val="000000" w:themeColor="text1"/>
        </w:rPr>
        <w:t>, t</w:t>
      </w:r>
      <w:r w:rsidR="002C206A" w:rsidRPr="00F72C1C">
        <w:rPr>
          <w:color w:val="000000" w:themeColor="text1"/>
        </w:rPr>
        <w:t xml:space="preserve">he SCE Report </w:t>
      </w:r>
      <w:r w:rsidR="00A402C3" w:rsidRPr="00F72C1C">
        <w:rPr>
          <w:color w:val="000000" w:themeColor="text1"/>
        </w:rPr>
        <w:t>hypothesizes</w:t>
      </w:r>
      <w:r w:rsidR="002C206A" w:rsidRPr="00F72C1C">
        <w:rPr>
          <w:color w:val="000000" w:themeColor="text1"/>
        </w:rPr>
        <w:t xml:space="preserve"> </w:t>
      </w:r>
      <w:r w:rsidR="000969DD" w:rsidRPr="00F72C1C">
        <w:rPr>
          <w:color w:val="000000" w:themeColor="text1"/>
        </w:rPr>
        <w:t>in its Discussion section</w:t>
      </w:r>
      <w:r w:rsidR="00A402C3" w:rsidRPr="00F72C1C">
        <w:rPr>
          <w:color w:val="000000" w:themeColor="text1"/>
        </w:rPr>
        <w:t xml:space="preserve"> </w:t>
      </w:r>
      <w:r w:rsidR="002C206A" w:rsidRPr="00F72C1C">
        <w:rPr>
          <w:color w:val="000000" w:themeColor="text1"/>
        </w:rPr>
        <w:t>that increases in average daily us</w:t>
      </w:r>
      <w:r w:rsidR="00087D97" w:rsidRPr="00F72C1C">
        <w:rPr>
          <w:color w:val="000000" w:themeColor="text1"/>
        </w:rPr>
        <w:t>es</w:t>
      </w:r>
      <w:r w:rsidR="002C206A" w:rsidRPr="00F72C1C">
        <w:rPr>
          <w:color w:val="000000" w:themeColor="text1"/>
        </w:rPr>
        <w:t xml:space="preserve"> per site </w:t>
      </w:r>
      <w:r w:rsidR="00087D97" w:rsidRPr="00F72C1C">
        <w:rPr>
          <w:color w:val="000000" w:themeColor="text1"/>
        </w:rPr>
        <w:t xml:space="preserve">was driven by an increase in equipment usage, which </w:t>
      </w:r>
      <w:r w:rsidR="002C206A" w:rsidRPr="00F72C1C">
        <w:rPr>
          <w:color w:val="000000" w:themeColor="text1"/>
        </w:rPr>
        <w:t>would lead to</w:t>
      </w:r>
      <w:r w:rsidRPr="00F72C1C">
        <w:rPr>
          <w:color w:val="000000" w:themeColor="text1"/>
        </w:rPr>
        <w:t>:</w:t>
      </w:r>
      <w:r w:rsidR="002C206A" w:rsidRPr="00F72C1C">
        <w:rPr>
          <w:color w:val="000000" w:themeColor="text1"/>
        </w:rPr>
        <w:t xml:space="preserve"> </w:t>
      </w:r>
    </w:p>
    <w:p w:rsidR="00E53A02" w:rsidRPr="005774DB" w:rsidRDefault="00E53A02" w:rsidP="00E53A02">
      <w:pPr>
        <w:pStyle w:val="ListParagraph"/>
        <w:rPr>
          <w:color w:val="000000" w:themeColor="text1"/>
        </w:rPr>
      </w:pPr>
    </w:p>
    <w:p w:rsidR="002C206A" w:rsidRPr="005774DB" w:rsidRDefault="002C206A" w:rsidP="00322BE0">
      <w:pPr>
        <w:pStyle w:val="ListParagraph"/>
        <w:numPr>
          <w:ilvl w:val="0"/>
          <w:numId w:val="8"/>
        </w:numPr>
        <w:rPr>
          <w:color w:val="000000" w:themeColor="text1"/>
        </w:rPr>
      </w:pPr>
      <w:r w:rsidRPr="005774DB">
        <w:rPr>
          <w:color w:val="000000" w:themeColor="text1"/>
        </w:rPr>
        <w:t>increases in average daily use hours in the pre-period;</w:t>
      </w:r>
      <w:r w:rsidR="006F5CE5" w:rsidRPr="005774DB">
        <w:rPr>
          <w:color w:val="000000" w:themeColor="text1"/>
        </w:rPr>
        <w:t xml:space="preserve"> </w:t>
      </w:r>
    </w:p>
    <w:p w:rsidR="002C206A" w:rsidRDefault="002C206A" w:rsidP="00322BE0">
      <w:pPr>
        <w:pStyle w:val="ListParagraph"/>
        <w:numPr>
          <w:ilvl w:val="0"/>
          <w:numId w:val="8"/>
        </w:numPr>
      </w:pPr>
      <w:r>
        <w:t>causing the pre period to have higher baseline energy consumption; and</w:t>
      </w:r>
    </w:p>
    <w:p w:rsidR="0086591B" w:rsidRDefault="002C206A" w:rsidP="00322BE0">
      <w:pPr>
        <w:pStyle w:val="ListParagraph"/>
        <w:numPr>
          <w:ilvl w:val="0"/>
          <w:numId w:val="8"/>
        </w:numPr>
      </w:pPr>
      <w:r>
        <w:t>resulting in the potential of higher energy savings opportunity</w:t>
      </w:r>
      <w:r w:rsidR="00E52C54">
        <w:t>.</w:t>
      </w:r>
    </w:p>
    <w:p w:rsidR="00E34AFE" w:rsidRDefault="00E34AFE" w:rsidP="00EC7175">
      <w:pPr>
        <w:jc w:val="center"/>
        <w:rPr>
          <w:b/>
        </w:rPr>
      </w:pPr>
    </w:p>
    <w:p w:rsidR="00122158" w:rsidRDefault="00122158">
      <w:pPr>
        <w:spacing w:after="200" w:line="276" w:lineRule="auto"/>
        <w:rPr>
          <w:b/>
        </w:rPr>
      </w:pPr>
      <w:r>
        <w:rPr>
          <w:b/>
        </w:rPr>
        <w:br w:type="page"/>
      </w:r>
    </w:p>
    <w:p w:rsidR="00EC7175" w:rsidRPr="00EC7175" w:rsidRDefault="003D22CE" w:rsidP="00EC7175">
      <w:pPr>
        <w:jc w:val="center"/>
        <w:rPr>
          <w:b/>
        </w:rPr>
      </w:pPr>
      <w:r>
        <w:rPr>
          <w:b/>
        </w:rPr>
        <w:lastRenderedPageBreak/>
        <w:t>Table 13</w:t>
      </w:r>
      <w:r w:rsidR="00EC7175" w:rsidRPr="00EC7175">
        <w:rPr>
          <w:b/>
        </w:rPr>
        <w:t xml:space="preserve">: SCE Report Average Daily Use Increase </w:t>
      </w:r>
      <w:r w:rsidR="00161103">
        <w:rPr>
          <w:b/>
        </w:rPr>
        <w:t>Hypothesis</w:t>
      </w:r>
      <w:r w:rsidR="00F72C1C">
        <w:rPr>
          <w:b/>
        </w:rPr>
        <w:t xml:space="preserve"> and Potential Skewing Calculation Results</w:t>
      </w:r>
    </w:p>
    <w:tbl>
      <w:tblPr>
        <w:tblStyle w:val="TableGrid"/>
        <w:tblW w:w="0" w:type="auto"/>
        <w:tblLook w:val="04A0" w:firstRow="1" w:lastRow="0" w:firstColumn="1" w:lastColumn="0" w:noHBand="0" w:noVBand="1"/>
      </w:tblPr>
      <w:tblGrid>
        <w:gridCol w:w="1654"/>
        <w:gridCol w:w="1908"/>
        <w:gridCol w:w="1908"/>
        <w:gridCol w:w="2069"/>
        <w:gridCol w:w="2037"/>
      </w:tblGrid>
      <w:tr w:rsidR="00EC7175" w:rsidRPr="00B333E6" w:rsidTr="00E325B3">
        <w:tc>
          <w:tcPr>
            <w:tcW w:w="1654" w:type="dxa"/>
            <w:shd w:val="clear" w:color="auto" w:fill="D9D9D9" w:themeFill="background1" w:themeFillShade="D9"/>
          </w:tcPr>
          <w:p w:rsidR="00EC7175" w:rsidRDefault="00EC7175" w:rsidP="00E325B3">
            <w:pPr>
              <w:jc w:val="center"/>
              <w:rPr>
                <w:b/>
              </w:rPr>
            </w:pPr>
          </w:p>
        </w:tc>
        <w:tc>
          <w:tcPr>
            <w:tcW w:w="1908" w:type="dxa"/>
            <w:shd w:val="clear" w:color="auto" w:fill="D9D9D9" w:themeFill="background1" w:themeFillShade="D9"/>
            <w:vAlign w:val="center"/>
          </w:tcPr>
          <w:p w:rsidR="00EC7175" w:rsidRPr="00B333E6" w:rsidRDefault="00EC7175" w:rsidP="00E325B3">
            <w:pPr>
              <w:jc w:val="center"/>
              <w:rPr>
                <w:b/>
              </w:rPr>
            </w:pPr>
            <w:r>
              <w:rPr>
                <w:b/>
              </w:rPr>
              <w:t xml:space="preserve">Average </w:t>
            </w:r>
            <w:r w:rsidRPr="00B333E6">
              <w:rPr>
                <w:b/>
              </w:rPr>
              <w:t>Daily Use</w:t>
            </w:r>
            <w:r>
              <w:rPr>
                <w:b/>
              </w:rPr>
              <w:t xml:space="preserve"> </w:t>
            </w:r>
          </w:p>
        </w:tc>
        <w:tc>
          <w:tcPr>
            <w:tcW w:w="1908" w:type="dxa"/>
            <w:shd w:val="clear" w:color="auto" w:fill="D9D9D9" w:themeFill="background1" w:themeFillShade="D9"/>
            <w:vAlign w:val="center"/>
          </w:tcPr>
          <w:p w:rsidR="00EC7175" w:rsidRPr="00B333E6" w:rsidRDefault="00EC7175" w:rsidP="00E325B3">
            <w:pPr>
              <w:jc w:val="center"/>
              <w:rPr>
                <w:b/>
              </w:rPr>
            </w:pPr>
            <w:r>
              <w:rPr>
                <w:b/>
              </w:rPr>
              <w:t xml:space="preserve">Average </w:t>
            </w:r>
            <w:r w:rsidRPr="00B333E6">
              <w:rPr>
                <w:b/>
              </w:rPr>
              <w:t>Daily Use Hours</w:t>
            </w:r>
            <w:r>
              <w:rPr>
                <w:b/>
              </w:rPr>
              <w:t xml:space="preserve"> </w:t>
            </w:r>
          </w:p>
        </w:tc>
        <w:tc>
          <w:tcPr>
            <w:tcW w:w="2069" w:type="dxa"/>
            <w:shd w:val="clear" w:color="auto" w:fill="D9D9D9" w:themeFill="background1" w:themeFillShade="D9"/>
            <w:vAlign w:val="center"/>
          </w:tcPr>
          <w:p w:rsidR="00EC7175" w:rsidRPr="00B333E6" w:rsidRDefault="00EC7175" w:rsidP="00E325B3">
            <w:pPr>
              <w:jc w:val="center"/>
              <w:rPr>
                <w:b/>
              </w:rPr>
            </w:pPr>
            <w:r w:rsidRPr="00B333E6">
              <w:rPr>
                <w:b/>
              </w:rPr>
              <w:t>Energy Consumption</w:t>
            </w:r>
          </w:p>
        </w:tc>
        <w:tc>
          <w:tcPr>
            <w:tcW w:w="2037" w:type="dxa"/>
            <w:shd w:val="clear" w:color="auto" w:fill="D9D9D9" w:themeFill="background1" w:themeFillShade="D9"/>
            <w:vAlign w:val="center"/>
          </w:tcPr>
          <w:p w:rsidR="00EC7175" w:rsidRPr="00B333E6" w:rsidRDefault="00EC7175" w:rsidP="00087D97">
            <w:pPr>
              <w:jc w:val="center"/>
              <w:rPr>
                <w:b/>
              </w:rPr>
            </w:pPr>
            <w:r w:rsidRPr="00B333E6">
              <w:rPr>
                <w:b/>
              </w:rPr>
              <w:t xml:space="preserve">Potential </w:t>
            </w:r>
            <w:r w:rsidR="00087D97">
              <w:rPr>
                <w:b/>
              </w:rPr>
              <w:t xml:space="preserve">Skewing in </w:t>
            </w:r>
            <w:r w:rsidRPr="00B333E6">
              <w:rPr>
                <w:b/>
              </w:rPr>
              <w:t xml:space="preserve">Energy Savings </w:t>
            </w:r>
            <w:r w:rsidR="00087D97">
              <w:rPr>
                <w:b/>
              </w:rPr>
              <w:t>Calculation</w:t>
            </w:r>
          </w:p>
        </w:tc>
      </w:tr>
      <w:tr w:rsidR="00EC7175" w:rsidTr="00E325B3">
        <w:trPr>
          <w:trHeight w:val="503"/>
        </w:trPr>
        <w:tc>
          <w:tcPr>
            <w:tcW w:w="1654" w:type="dxa"/>
            <w:vAlign w:val="center"/>
          </w:tcPr>
          <w:p w:rsidR="00EC7175" w:rsidRDefault="00EC7175" w:rsidP="00E325B3">
            <w:pPr>
              <w:jc w:val="center"/>
              <w:rPr>
                <w:noProof/>
              </w:rPr>
            </w:pPr>
            <w:r>
              <w:rPr>
                <w:noProof/>
              </w:rPr>
              <w:t>Pre Period Hypothesis</w:t>
            </w:r>
          </w:p>
        </w:tc>
        <w:tc>
          <w:tcPr>
            <w:tcW w:w="1908" w:type="dxa"/>
          </w:tcPr>
          <w:p w:rsidR="00EC7175" w:rsidRDefault="00EC7175" w:rsidP="00E325B3">
            <w:pPr>
              <w:jc w:val="center"/>
            </w:pPr>
            <w:r>
              <w:rPr>
                <w:noProof/>
              </w:rPr>
              <mc:AlternateContent>
                <mc:Choice Requires="wps">
                  <w:drawing>
                    <wp:anchor distT="0" distB="0" distL="114300" distR="114300" simplePos="0" relativeHeight="251662336" behindDoc="0" locked="0" layoutInCell="1" allowOverlap="1" wp14:anchorId="795CCDD0" wp14:editId="01F0C7D6">
                      <wp:simplePos x="0" y="0"/>
                      <wp:positionH relativeFrom="column">
                        <wp:posOffset>433070</wp:posOffset>
                      </wp:positionH>
                      <wp:positionV relativeFrom="paragraph">
                        <wp:posOffset>34290</wp:posOffset>
                      </wp:positionV>
                      <wp:extent cx="187960" cy="274320"/>
                      <wp:effectExtent l="19050" t="19050" r="40640" b="11430"/>
                      <wp:wrapNone/>
                      <wp:docPr id="14" name="Up Arrow 14"/>
                      <wp:cNvGraphicFramePr/>
                      <a:graphic xmlns:a="http://schemas.openxmlformats.org/drawingml/2006/main">
                        <a:graphicData uri="http://schemas.microsoft.com/office/word/2010/wordprocessingShape">
                          <wps:wsp>
                            <wps:cNvSpPr/>
                            <wps:spPr>
                              <a:xfrm>
                                <a:off x="0" y="0"/>
                                <a:ext cx="187960" cy="2743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EC958B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14" o:spid="_x0000_s1026" type="#_x0000_t68" style="position:absolute;margin-left:34.1pt;margin-top:2.7pt;width:14.8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" adj="7400" fillcolor="#4f81bd [3204]" strokecolor="#243f60 [1604]" strokeweight="2pt"/>
                  </w:pict>
                </mc:Fallback>
              </mc:AlternateContent>
            </w:r>
          </w:p>
        </w:tc>
        <w:tc>
          <w:tcPr>
            <w:tcW w:w="1908" w:type="dxa"/>
          </w:tcPr>
          <w:p w:rsidR="00EC7175" w:rsidRDefault="00EC7175" w:rsidP="00E325B3">
            <w:pPr>
              <w:jc w:val="center"/>
            </w:pPr>
            <w:r>
              <w:rPr>
                <w:noProof/>
              </w:rPr>
              <mc:AlternateContent>
                <mc:Choice Requires="wps">
                  <w:drawing>
                    <wp:anchor distT="0" distB="0" distL="114300" distR="114300" simplePos="0" relativeHeight="251663360" behindDoc="0" locked="0" layoutInCell="1" allowOverlap="1" wp14:anchorId="49661E05" wp14:editId="0D2F0DD3">
                      <wp:simplePos x="0" y="0"/>
                      <wp:positionH relativeFrom="column">
                        <wp:posOffset>478790</wp:posOffset>
                      </wp:positionH>
                      <wp:positionV relativeFrom="paragraph">
                        <wp:posOffset>34290</wp:posOffset>
                      </wp:positionV>
                      <wp:extent cx="187960" cy="274320"/>
                      <wp:effectExtent l="19050" t="19050" r="40640" b="11430"/>
                      <wp:wrapNone/>
                      <wp:docPr id="15" name="Up Arrow 15"/>
                      <wp:cNvGraphicFramePr/>
                      <a:graphic xmlns:a="http://schemas.openxmlformats.org/drawingml/2006/main">
                        <a:graphicData uri="http://schemas.microsoft.com/office/word/2010/wordprocessingShape">
                          <wps:wsp>
                            <wps:cNvSpPr/>
                            <wps:spPr>
                              <a:xfrm>
                                <a:off x="0" y="0"/>
                                <a:ext cx="187960" cy="2743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7D12B46" id="Up Arrow 15" o:spid="_x0000_s1026" type="#_x0000_t68" style="position:absolute;margin-left:37.7pt;margin-top:2.7pt;width:14.8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" adj="7400" fillcolor="#4f81bd [3204]" strokecolor="#243f60 [1604]" strokeweight="2pt"/>
                  </w:pict>
                </mc:Fallback>
              </mc:AlternateContent>
            </w:r>
          </w:p>
        </w:tc>
        <w:tc>
          <w:tcPr>
            <w:tcW w:w="2069" w:type="dxa"/>
          </w:tcPr>
          <w:p w:rsidR="00EC7175" w:rsidRDefault="00EC7175" w:rsidP="00E325B3">
            <w:pPr>
              <w:jc w:val="center"/>
            </w:pPr>
            <w:r>
              <w:rPr>
                <w:noProof/>
              </w:rPr>
              <mc:AlternateContent>
                <mc:Choice Requires="wps">
                  <w:drawing>
                    <wp:anchor distT="0" distB="0" distL="114300" distR="114300" simplePos="0" relativeHeight="251664384" behindDoc="0" locked="0" layoutInCell="1" allowOverlap="1" wp14:anchorId="5CD50E0B" wp14:editId="61320A28">
                      <wp:simplePos x="0" y="0"/>
                      <wp:positionH relativeFrom="column">
                        <wp:posOffset>524510</wp:posOffset>
                      </wp:positionH>
                      <wp:positionV relativeFrom="paragraph">
                        <wp:posOffset>34290</wp:posOffset>
                      </wp:positionV>
                      <wp:extent cx="187960" cy="274320"/>
                      <wp:effectExtent l="19050" t="19050" r="40640" b="11430"/>
                      <wp:wrapNone/>
                      <wp:docPr id="16" name="Up Arrow 16"/>
                      <wp:cNvGraphicFramePr/>
                      <a:graphic xmlns:a="http://schemas.openxmlformats.org/drawingml/2006/main">
                        <a:graphicData uri="http://schemas.microsoft.com/office/word/2010/wordprocessingShape">
                          <wps:wsp>
                            <wps:cNvSpPr/>
                            <wps:spPr>
                              <a:xfrm>
                                <a:off x="0" y="0"/>
                                <a:ext cx="187960" cy="2743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110F843" id="Up Arrow 16" o:spid="_x0000_s1026" type="#_x0000_t68" style="position:absolute;margin-left:41.3pt;margin-top:2.7pt;width:14.8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" adj="7400" fillcolor="#4f81bd [3204]" strokecolor="#243f60 [1604]" strokeweight="2pt"/>
                  </w:pict>
                </mc:Fallback>
              </mc:AlternateContent>
            </w:r>
          </w:p>
        </w:tc>
        <w:tc>
          <w:tcPr>
            <w:tcW w:w="2037" w:type="dxa"/>
          </w:tcPr>
          <w:p w:rsidR="00EC7175" w:rsidRDefault="00EC7175" w:rsidP="00E325B3">
            <w:pPr>
              <w:jc w:val="center"/>
            </w:pPr>
            <w:r>
              <w:rPr>
                <w:noProof/>
              </w:rPr>
              <mc:AlternateContent>
                <mc:Choice Requires="wps">
                  <w:drawing>
                    <wp:anchor distT="0" distB="0" distL="114300" distR="114300" simplePos="0" relativeHeight="251665408" behindDoc="0" locked="0" layoutInCell="1" allowOverlap="1" wp14:anchorId="3ABA5872" wp14:editId="57BC7B55">
                      <wp:simplePos x="0" y="0"/>
                      <wp:positionH relativeFrom="column">
                        <wp:posOffset>467995</wp:posOffset>
                      </wp:positionH>
                      <wp:positionV relativeFrom="paragraph">
                        <wp:posOffset>34290</wp:posOffset>
                      </wp:positionV>
                      <wp:extent cx="187960" cy="274320"/>
                      <wp:effectExtent l="19050" t="19050" r="40640" b="11430"/>
                      <wp:wrapNone/>
                      <wp:docPr id="17" name="Up Arrow 17"/>
                      <wp:cNvGraphicFramePr/>
                      <a:graphic xmlns:a="http://schemas.openxmlformats.org/drawingml/2006/main">
                        <a:graphicData uri="http://schemas.microsoft.com/office/word/2010/wordprocessingShape">
                          <wps:wsp>
                            <wps:cNvSpPr/>
                            <wps:spPr>
                              <a:xfrm>
                                <a:off x="0" y="0"/>
                                <a:ext cx="187960" cy="2743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2079B29" id="Up Arrow 17" o:spid="_x0000_s1026" type="#_x0000_t68" style="position:absolute;margin-left:36.85pt;margin-top:2.7pt;width:14.8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" adj="7400" fillcolor="#4f81bd [3204]" strokecolor="#243f60 [1604]" strokeweight="2pt"/>
                  </w:pict>
                </mc:Fallback>
              </mc:AlternateContent>
            </w:r>
          </w:p>
        </w:tc>
      </w:tr>
      <w:tr w:rsidR="00EC7175" w:rsidTr="00E325B3">
        <w:trPr>
          <w:trHeight w:val="503"/>
        </w:trPr>
        <w:tc>
          <w:tcPr>
            <w:tcW w:w="1654" w:type="dxa"/>
            <w:vAlign w:val="center"/>
          </w:tcPr>
          <w:p w:rsidR="00EC7175" w:rsidRDefault="00EC7175" w:rsidP="00E325B3">
            <w:pPr>
              <w:jc w:val="center"/>
              <w:rPr>
                <w:noProof/>
              </w:rPr>
            </w:pPr>
            <w:r>
              <w:rPr>
                <w:noProof/>
              </w:rPr>
              <w:t>Post Period Normalization Effect</w:t>
            </w:r>
          </w:p>
        </w:tc>
        <w:tc>
          <w:tcPr>
            <w:tcW w:w="1908" w:type="dxa"/>
          </w:tcPr>
          <w:p w:rsidR="00EC7175" w:rsidRDefault="00EC7175" w:rsidP="00E325B3">
            <w:pPr>
              <w:jc w:val="center"/>
            </w:pPr>
            <w:r>
              <w:rPr>
                <w:noProof/>
              </w:rPr>
              <mc:AlternateContent>
                <mc:Choice Requires="wps">
                  <w:drawing>
                    <wp:anchor distT="0" distB="0" distL="114300" distR="114300" simplePos="0" relativeHeight="251666432" behindDoc="0" locked="0" layoutInCell="1" allowOverlap="1" wp14:anchorId="0F077A24" wp14:editId="2CE57B57">
                      <wp:simplePos x="0" y="0"/>
                      <wp:positionH relativeFrom="column">
                        <wp:posOffset>427990</wp:posOffset>
                      </wp:positionH>
                      <wp:positionV relativeFrom="paragraph">
                        <wp:posOffset>120147</wp:posOffset>
                      </wp:positionV>
                      <wp:extent cx="187960" cy="274320"/>
                      <wp:effectExtent l="19050" t="19050" r="40640" b="11430"/>
                      <wp:wrapNone/>
                      <wp:docPr id="18" name="Up Arrow 18"/>
                      <wp:cNvGraphicFramePr/>
                      <a:graphic xmlns:a="http://schemas.openxmlformats.org/drawingml/2006/main">
                        <a:graphicData uri="http://schemas.microsoft.com/office/word/2010/wordprocessingShape">
                          <wps:wsp>
                            <wps:cNvSpPr/>
                            <wps:spPr>
                              <a:xfrm>
                                <a:off x="0" y="0"/>
                                <a:ext cx="187960" cy="2743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A916993" id="Up Arrow 18" o:spid="_x0000_s1026" type="#_x0000_t68" style="position:absolute;margin-left:33.7pt;margin-top:9.45pt;width:14.8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" adj="7400" fillcolor="#4f81bd [3204]" strokecolor="#243f60 [1604]" strokeweight="2pt"/>
                  </w:pict>
                </mc:Fallback>
              </mc:AlternateContent>
            </w:r>
          </w:p>
        </w:tc>
        <w:tc>
          <w:tcPr>
            <w:tcW w:w="1908" w:type="dxa"/>
          </w:tcPr>
          <w:p w:rsidR="00EC7175" w:rsidRDefault="00EC7175" w:rsidP="00E325B3">
            <w:pPr>
              <w:jc w:val="center"/>
            </w:pPr>
            <w:r>
              <w:rPr>
                <w:noProof/>
              </w:rPr>
              <mc:AlternateContent>
                <mc:Choice Requires="wps">
                  <w:drawing>
                    <wp:anchor distT="0" distB="0" distL="114300" distR="114300" simplePos="0" relativeHeight="251667456" behindDoc="0" locked="0" layoutInCell="1" allowOverlap="1" wp14:anchorId="7AB97E49" wp14:editId="392EB3E0">
                      <wp:simplePos x="0" y="0"/>
                      <wp:positionH relativeFrom="column">
                        <wp:posOffset>474345</wp:posOffset>
                      </wp:positionH>
                      <wp:positionV relativeFrom="paragraph">
                        <wp:posOffset>119512</wp:posOffset>
                      </wp:positionV>
                      <wp:extent cx="187960" cy="274320"/>
                      <wp:effectExtent l="19050" t="19050" r="40640" b="11430"/>
                      <wp:wrapNone/>
                      <wp:docPr id="19" name="Up Arrow 19"/>
                      <wp:cNvGraphicFramePr/>
                      <a:graphic xmlns:a="http://schemas.openxmlformats.org/drawingml/2006/main">
                        <a:graphicData uri="http://schemas.microsoft.com/office/word/2010/wordprocessingShape">
                          <wps:wsp>
                            <wps:cNvSpPr/>
                            <wps:spPr>
                              <a:xfrm>
                                <a:off x="0" y="0"/>
                                <a:ext cx="187960" cy="2743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0013EE6" id="Up Arrow 19" o:spid="_x0000_s1026" type="#_x0000_t68" style="position:absolute;margin-left:37.35pt;margin-top:9.4pt;width:14.8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" adj="7400" fillcolor="#4f81bd [3204]" strokecolor="#243f60 [1604]" strokeweight="2pt"/>
                  </w:pict>
                </mc:Fallback>
              </mc:AlternateContent>
            </w:r>
          </w:p>
        </w:tc>
        <w:tc>
          <w:tcPr>
            <w:tcW w:w="2069" w:type="dxa"/>
          </w:tcPr>
          <w:p w:rsidR="00EC7175" w:rsidRDefault="00EC7175" w:rsidP="00E325B3">
            <w:pPr>
              <w:jc w:val="center"/>
            </w:pPr>
            <w:r>
              <w:rPr>
                <w:noProof/>
              </w:rPr>
              <mc:AlternateContent>
                <mc:Choice Requires="wps">
                  <w:drawing>
                    <wp:anchor distT="0" distB="0" distL="114300" distR="114300" simplePos="0" relativeHeight="251668480" behindDoc="0" locked="0" layoutInCell="1" allowOverlap="1" wp14:anchorId="4FB76DDE" wp14:editId="4AFEC127">
                      <wp:simplePos x="0" y="0"/>
                      <wp:positionH relativeFrom="column">
                        <wp:posOffset>520700</wp:posOffset>
                      </wp:positionH>
                      <wp:positionV relativeFrom="paragraph">
                        <wp:posOffset>120147</wp:posOffset>
                      </wp:positionV>
                      <wp:extent cx="187960" cy="274320"/>
                      <wp:effectExtent l="19050" t="19050" r="40640" b="11430"/>
                      <wp:wrapNone/>
                      <wp:docPr id="20" name="Up Arrow 20"/>
                      <wp:cNvGraphicFramePr/>
                      <a:graphic xmlns:a="http://schemas.openxmlformats.org/drawingml/2006/main">
                        <a:graphicData uri="http://schemas.microsoft.com/office/word/2010/wordprocessingShape">
                          <wps:wsp>
                            <wps:cNvSpPr/>
                            <wps:spPr>
                              <a:xfrm>
                                <a:off x="0" y="0"/>
                                <a:ext cx="187960" cy="27432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20F1E3C" id="Up Arrow 20" o:spid="_x0000_s1026" type="#_x0000_t68" style="position:absolute;margin-left:41pt;margin-top:9.45pt;width:14.8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" adj="7400" fillcolor="#4f81bd [3204]" strokecolor="#243f60 [1604]" strokeweight="2pt"/>
                  </w:pict>
                </mc:Fallback>
              </mc:AlternateContent>
            </w:r>
          </w:p>
        </w:tc>
        <w:tc>
          <w:tcPr>
            <w:tcW w:w="2037" w:type="dxa"/>
          </w:tcPr>
          <w:p w:rsidR="00EC7175" w:rsidRDefault="00EC7175" w:rsidP="00E325B3">
            <w:pPr>
              <w:jc w:val="center"/>
            </w:pPr>
            <w:r>
              <w:rPr>
                <w:noProof/>
              </w:rPr>
              <mc:AlternateContent>
                <mc:Choice Requires="wps">
                  <w:drawing>
                    <wp:anchor distT="0" distB="0" distL="114300" distR="114300" simplePos="0" relativeHeight="251669504" behindDoc="0" locked="0" layoutInCell="1" allowOverlap="1" wp14:anchorId="2A44D767" wp14:editId="2E0842EA">
                      <wp:simplePos x="0" y="0"/>
                      <wp:positionH relativeFrom="column">
                        <wp:posOffset>464820</wp:posOffset>
                      </wp:positionH>
                      <wp:positionV relativeFrom="paragraph">
                        <wp:posOffset>120782</wp:posOffset>
                      </wp:positionV>
                      <wp:extent cx="191770" cy="274320"/>
                      <wp:effectExtent l="19050" t="0" r="17780" b="30480"/>
                      <wp:wrapNone/>
                      <wp:docPr id="21" name="Up Arrow 21"/>
                      <wp:cNvGraphicFramePr/>
                      <a:graphic xmlns:a="http://schemas.openxmlformats.org/drawingml/2006/main">
                        <a:graphicData uri="http://schemas.microsoft.com/office/word/2010/wordprocessingShape">
                          <wps:wsp>
                            <wps:cNvSpPr/>
                            <wps:spPr>
                              <a:xfrm rot="10800000">
                                <a:off x="0" y="0"/>
                                <a:ext cx="191770" cy="274320"/>
                              </a:xfrm>
                              <a:prstGeom prst="up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1F82BF1" id="Up Arrow 21" o:spid="_x0000_s1026" type="#_x0000_t68" style="position:absolute;margin-left:36.6pt;margin-top:9.5pt;width:15.1pt;height:21.6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" adj="7550" fillcolor="red" strokecolor="#243f60 [1604]" strokeweight="2pt"/>
                  </w:pict>
                </mc:Fallback>
              </mc:AlternateContent>
            </w:r>
          </w:p>
        </w:tc>
      </w:tr>
    </w:tbl>
    <w:p w:rsidR="00DE7975" w:rsidRDefault="00DE7975" w:rsidP="004574A1"/>
    <w:p w:rsidR="004574A1" w:rsidRDefault="00E34AFE" w:rsidP="004574A1">
      <w:r w:rsidRPr="00C13125">
        <w:rPr>
          <w:color w:val="000000" w:themeColor="text1"/>
        </w:rPr>
        <w:t>A</w:t>
      </w:r>
      <w:r w:rsidR="00012B00">
        <w:rPr>
          <w:color w:val="000000" w:themeColor="text1"/>
        </w:rPr>
        <w:t xml:space="preserve"> data</w:t>
      </w:r>
      <w:r w:rsidRPr="00C13125">
        <w:rPr>
          <w:color w:val="000000" w:themeColor="text1"/>
        </w:rPr>
        <w:t xml:space="preserve"> analysis was conducted </w:t>
      </w:r>
      <w:r w:rsidR="00C13125">
        <w:rPr>
          <w:color w:val="000000" w:themeColor="text1"/>
        </w:rPr>
        <w:t>for each of the</w:t>
      </w:r>
      <w:r w:rsidR="00C13125" w:rsidRPr="00C13125">
        <w:rPr>
          <w:color w:val="000000" w:themeColor="text1"/>
        </w:rPr>
        <w:t xml:space="preserve"> 46 sites </w:t>
      </w:r>
      <w:r w:rsidRPr="00C13125">
        <w:rPr>
          <w:color w:val="000000" w:themeColor="text1"/>
        </w:rPr>
        <w:t xml:space="preserve">to test </w:t>
      </w:r>
      <w:r w:rsidR="00BA7850" w:rsidRPr="00C13125">
        <w:rPr>
          <w:color w:val="000000" w:themeColor="text1"/>
        </w:rPr>
        <w:t>this</w:t>
      </w:r>
      <w:r w:rsidRPr="00C13125">
        <w:rPr>
          <w:color w:val="000000" w:themeColor="text1"/>
        </w:rPr>
        <w:t xml:space="preserve"> hypothesis on whether the data would </w:t>
      </w:r>
      <w:r w:rsidR="00012B00">
        <w:rPr>
          <w:color w:val="000000" w:themeColor="text1"/>
        </w:rPr>
        <w:t xml:space="preserve">demonstrate </w:t>
      </w:r>
      <w:r w:rsidRPr="00C13125">
        <w:rPr>
          <w:color w:val="000000" w:themeColor="text1"/>
        </w:rPr>
        <w:t xml:space="preserve">that both the average time of use and average number of uses per day decreased significantly from the baseline to the post period. </w:t>
      </w:r>
      <w:r w:rsidR="00C13125">
        <w:rPr>
          <w:color w:val="000000" w:themeColor="text1"/>
        </w:rPr>
        <w:t>Based on this</w:t>
      </w:r>
      <w:r w:rsidR="004574A1" w:rsidRPr="00C13125">
        <w:rPr>
          <w:color w:val="000000" w:themeColor="text1"/>
        </w:rPr>
        <w:t xml:space="preserve"> hypothesis, </w:t>
      </w:r>
      <w:r w:rsidR="00C13125">
        <w:rPr>
          <w:color w:val="000000" w:themeColor="text1"/>
        </w:rPr>
        <w:t>an</w:t>
      </w:r>
      <w:r w:rsidR="004574A1" w:rsidRPr="00C13125">
        <w:rPr>
          <w:color w:val="000000" w:themeColor="text1"/>
        </w:rPr>
        <w:t xml:space="preserve"> increase in daily uses in the pre period </w:t>
      </w:r>
      <w:r w:rsidR="00012B00">
        <w:rPr>
          <w:color w:val="000000" w:themeColor="text1"/>
        </w:rPr>
        <w:t xml:space="preserve">would </w:t>
      </w:r>
      <w:r w:rsidR="00C13125">
        <w:rPr>
          <w:color w:val="000000" w:themeColor="text1"/>
        </w:rPr>
        <w:t xml:space="preserve">lead to an increase in the </w:t>
      </w:r>
      <w:r w:rsidR="004574A1" w:rsidRPr="00C13125">
        <w:rPr>
          <w:color w:val="000000" w:themeColor="text1"/>
        </w:rPr>
        <w:t>baseline</w:t>
      </w:r>
      <w:r w:rsidR="00C13125">
        <w:rPr>
          <w:color w:val="000000" w:themeColor="text1"/>
        </w:rPr>
        <w:t xml:space="preserve"> energy consumption in the pre period and increase t</w:t>
      </w:r>
      <w:r w:rsidR="004574A1" w:rsidRPr="00C13125">
        <w:rPr>
          <w:color w:val="000000" w:themeColor="text1"/>
        </w:rPr>
        <w:t xml:space="preserve">he </w:t>
      </w:r>
      <w:r w:rsidR="00C13125">
        <w:rPr>
          <w:color w:val="000000" w:themeColor="text1"/>
        </w:rPr>
        <w:t>energy savings calculation</w:t>
      </w:r>
      <w:r w:rsidR="004574A1">
        <w:t>. If the hypothesis holds true</w:t>
      </w:r>
      <w:r w:rsidR="00C13125">
        <w:t>,</w:t>
      </w:r>
      <w:r w:rsidR="004574A1">
        <w:t xml:space="preserve"> then the samples with the lowest variability </w:t>
      </w:r>
      <w:r w:rsidR="00012B00">
        <w:t xml:space="preserve">in daily uses </w:t>
      </w:r>
      <w:r w:rsidR="004574A1">
        <w:t xml:space="preserve">between post and pre periods will have the lowest calculated </w:t>
      </w:r>
      <w:r w:rsidR="00C13125">
        <w:t>energy savings</w:t>
      </w:r>
      <w:r w:rsidR="004574A1">
        <w:t xml:space="preserve"> </w:t>
      </w:r>
      <w:r w:rsidR="00C13125">
        <w:t>including being</w:t>
      </w:r>
      <w:r w:rsidR="004574A1">
        <w:t xml:space="preserve"> lower than the </w:t>
      </w:r>
      <w:r w:rsidR="00C13125">
        <w:t xml:space="preserve">average savings of 240 kWh spanning across the </w:t>
      </w:r>
      <w:r w:rsidR="004574A1">
        <w:t>total sample s</w:t>
      </w:r>
      <w:r w:rsidR="00C13125">
        <w:t>et (46)</w:t>
      </w:r>
      <w:r w:rsidR="004574A1">
        <w:t>.</w:t>
      </w:r>
    </w:p>
    <w:p w:rsidR="004574A1" w:rsidRDefault="004574A1" w:rsidP="00E34AFE"/>
    <w:p w:rsidR="00122158" w:rsidRDefault="0010028D" w:rsidP="00E34AFE">
      <w:r>
        <w:t xml:space="preserve">As shown in the top chart of </w:t>
      </w:r>
      <w:r w:rsidR="00161103">
        <w:rPr>
          <w:b/>
        </w:rPr>
        <w:t>Figure 10</w:t>
      </w:r>
      <w:r>
        <w:t xml:space="preserve">, </w:t>
      </w:r>
      <w:r w:rsidR="00D817FE">
        <w:t xml:space="preserve">forty (40) out of the forty-six (46) sites showed that increases in average daily uses per day </w:t>
      </w:r>
      <w:r w:rsidR="00161103">
        <w:t xml:space="preserve">in the pre period </w:t>
      </w:r>
      <w:r w:rsidR="00D7475F">
        <w:t xml:space="preserve">typically </w:t>
      </w:r>
      <w:r w:rsidR="00D817FE">
        <w:t>correlated to increases in average daily use hours</w:t>
      </w:r>
      <w:r w:rsidR="00161103">
        <w:t xml:space="preserve"> for the pre period</w:t>
      </w:r>
      <w:r w:rsidR="00D817FE">
        <w:t xml:space="preserve">. The average </w:t>
      </w:r>
      <w:r w:rsidR="001B3D26">
        <w:t>ERP</w:t>
      </w:r>
      <w:r w:rsidR="00D817FE">
        <w:t xml:space="preserve"> and associated annual energy savings for these forty (40) sites amounted to 49% and 251.33 kWh, respectively.</w:t>
      </w:r>
    </w:p>
    <w:p w:rsidR="00122158" w:rsidRDefault="00122158">
      <w:pPr>
        <w:spacing w:after="200" w:line="276" w:lineRule="auto"/>
      </w:pPr>
      <w:r>
        <w:br w:type="page"/>
      </w:r>
    </w:p>
    <w:p w:rsidR="00E34AFE" w:rsidRDefault="00E34AFE" w:rsidP="00E34AFE"/>
    <w:p w:rsidR="00E34AFE" w:rsidRDefault="00E34AFE" w:rsidP="00E34AFE"/>
    <w:p w:rsidR="00E34AFE" w:rsidRDefault="00E34AFE" w:rsidP="00E34AFE">
      <w:r>
        <w:rPr>
          <w:noProof/>
        </w:rPr>
        <w:drawing>
          <wp:inline distT="0" distB="0" distL="0" distR="0" wp14:anchorId="21223330" wp14:editId="38127402">
            <wp:extent cx="5940957" cy="2436638"/>
            <wp:effectExtent l="0" t="0" r="22225" b="2095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34AFE" w:rsidRDefault="00E34AFE" w:rsidP="00E34AFE">
      <w:pPr>
        <w:rPr>
          <w:b/>
        </w:rPr>
      </w:pPr>
      <w:r>
        <w:rPr>
          <w:noProof/>
        </w:rPr>
        <w:drawing>
          <wp:inline distT="0" distB="0" distL="0" distR="0" wp14:anchorId="25D97CE9" wp14:editId="6FE25F96">
            <wp:extent cx="5940957" cy="2151219"/>
            <wp:effectExtent l="0" t="0" r="22225" b="20955"/>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34AFE" w:rsidRDefault="00E34AFE" w:rsidP="00E34AFE">
      <w:pPr>
        <w:rPr>
          <w:b/>
        </w:rPr>
      </w:pPr>
    </w:p>
    <w:p w:rsidR="00E34AFE" w:rsidRDefault="00E34AFE" w:rsidP="00EC7175">
      <w:pPr>
        <w:jc w:val="center"/>
        <w:rPr>
          <w:b/>
        </w:rPr>
      </w:pPr>
      <w:r>
        <w:rPr>
          <w:b/>
        </w:rPr>
        <w:t>Figure</w:t>
      </w:r>
      <w:r w:rsidR="00161103">
        <w:rPr>
          <w:b/>
        </w:rPr>
        <w:t xml:space="preserve"> 10</w:t>
      </w:r>
      <w:r w:rsidR="0010028D">
        <w:rPr>
          <w:b/>
        </w:rPr>
        <w:t>: Pre and Post Average Number of Daily Uses and Average Daily Use Hours Plot</w:t>
      </w:r>
    </w:p>
    <w:p w:rsidR="004574A1" w:rsidRDefault="004574A1" w:rsidP="004574A1">
      <w:pPr>
        <w:rPr>
          <w:b/>
        </w:rPr>
      </w:pPr>
    </w:p>
    <w:p w:rsidR="00466C0A" w:rsidRDefault="00A34B3C" w:rsidP="00466C0A">
      <w:r>
        <w:t xml:space="preserve">However, as shown in </w:t>
      </w:r>
      <w:r w:rsidRPr="001E56C7">
        <w:rPr>
          <w:b/>
        </w:rPr>
        <w:t>Table 1</w:t>
      </w:r>
      <w:r w:rsidR="003D22CE">
        <w:rPr>
          <w:b/>
        </w:rPr>
        <w:t>4</w:t>
      </w:r>
      <w:r>
        <w:t xml:space="preserve">, </w:t>
      </w:r>
      <w:r w:rsidRPr="00A34B3C">
        <w:t>the</w:t>
      </w:r>
      <w:r>
        <w:t xml:space="preserve"> </w:t>
      </w:r>
      <w:r w:rsidRPr="00A34B3C">
        <w:t xml:space="preserve">daily use increases in the pre period </w:t>
      </w:r>
      <w:r>
        <w:t xml:space="preserve">over the post period </w:t>
      </w:r>
      <w:r w:rsidR="00D7475F">
        <w:t xml:space="preserve">for six (6) of the forty-six (46) sites </w:t>
      </w:r>
      <w:r>
        <w:t xml:space="preserve">were </w:t>
      </w:r>
      <w:r w:rsidR="00012B00">
        <w:t xml:space="preserve">on average </w:t>
      </w:r>
      <w:r>
        <w:t>not related to increases in device usage hours, baseline energy use, energy savings</w:t>
      </w:r>
      <w:r w:rsidRPr="00A34B3C">
        <w:t xml:space="preserve"> or the energy reduction percentage</w:t>
      </w:r>
      <w:r>
        <w:t>.</w:t>
      </w:r>
      <w:r w:rsidR="00D7475F">
        <w:t xml:space="preserve"> These six (6) sites had significant </w:t>
      </w:r>
      <w:r w:rsidR="00E20B7B">
        <w:t xml:space="preserve">increases (&gt; 100% difference) in </w:t>
      </w:r>
      <w:r w:rsidR="00D7475F">
        <w:t xml:space="preserve">daily use variability </w:t>
      </w:r>
      <w:r w:rsidR="001B3D26">
        <w:t>between</w:t>
      </w:r>
      <w:r w:rsidR="00D7475F">
        <w:t xml:space="preserve"> the pre period compared to the post period</w:t>
      </w:r>
      <w:r w:rsidR="00E20B7B">
        <w:t xml:space="preserve">. </w:t>
      </w:r>
      <w:r w:rsidR="00D7475F">
        <w:t xml:space="preserve">These </w:t>
      </w:r>
      <w:r w:rsidR="00E20B7B">
        <w:t xml:space="preserve">six (6) </w:t>
      </w:r>
      <w:r w:rsidR="00D7475F">
        <w:t>sites exhibited an average daily use variability of 1.9 daily uses over the post period or an average daily use increase of 137.5% in the pre period over the post period.</w:t>
      </w:r>
      <w:r w:rsidR="00466C0A" w:rsidRPr="00466C0A">
        <w:t xml:space="preserve"> </w:t>
      </w:r>
    </w:p>
    <w:p w:rsidR="00466C0A" w:rsidRDefault="00466C0A" w:rsidP="00466C0A"/>
    <w:p w:rsidR="00E34AFE" w:rsidRPr="00A34B3C" w:rsidRDefault="00466C0A" w:rsidP="00466C0A">
      <w:r>
        <w:t xml:space="preserve">If the </w:t>
      </w:r>
      <w:r w:rsidR="001E56C7">
        <w:t>hypothesis</w:t>
      </w:r>
      <w:r>
        <w:t xml:space="preserve"> held true</w:t>
      </w:r>
      <w:r w:rsidR="001E56C7">
        <w:t>,</w:t>
      </w:r>
      <w:r>
        <w:t xml:space="preserve"> then the average annual kWh </w:t>
      </w:r>
      <w:r w:rsidR="001E56C7">
        <w:t xml:space="preserve">and ERP </w:t>
      </w:r>
      <w:r>
        <w:t>value</w:t>
      </w:r>
      <w:r w:rsidR="001E56C7">
        <w:t>s</w:t>
      </w:r>
      <w:r>
        <w:t xml:space="preserve"> across these 6 sites would be expected to be well above the field trial average </w:t>
      </w:r>
      <w:r w:rsidR="001E56C7">
        <w:t xml:space="preserve">of </w:t>
      </w:r>
      <w:r>
        <w:t>240 kWh and 49%</w:t>
      </w:r>
      <w:r w:rsidR="001E56C7">
        <w:t>, respectively</w:t>
      </w:r>
      <w:r>
        <w:t xml:space="preserve">.  </w:t>
      </w:r>
      <w:r w:rsidR="001B3D26">
        <w:t>However, t</w:t>
      </w:r>
      <w:r>
        <w:t xml:space="preserve">he </w:t>
      </w:r>
      <w:r w:rsidR="00012B00">
        <w:t xml:space="preserve">average of </w:t>
      </w:r>
      <w:r>
        <w:t xml:space="preserve">these 6 sites are completely the opposite of </w:t>
      </w:r>
      <w:r w:rsidR="001E56C7">
        <w:t>the hypothesis</w:t>
      </w:r>
      <w:r w:rsidR="006A2AC5">
        <w:t>,</w:t>
      </w:r>
      <w:r w:rsidR="001E56C7">
        <w:t xml:space="preserve"> exhibiting</w:t>
      </w:r>
      <w:r>
        <w:t xml:space="preserve"> an annual kWh </w:t>
      </w:r>
      <w:r w:rsidR="003D22CE">
        <w:t>saving and</w:t>
      </w:r>
      <w:r w:rsidR="001E56C7">
        <w:t xml:space="preserve"> ERP </w:t>
      </w:r>
      <w:r>
        <w:t>value of 170.53 kWh and 40.8%</w:t>
      </w:r>
      <w:r w:rsidR="001E56C7">
        <w:t>, respectively</w:t>
      </w:r>
      <w:r>
        <w:t>.</w:t>
      </w:r>
    </w:p>
    <w:p w:rsidR="001B3D26" w:rsidRDefault="001B3D26" w:rsidP="006A2AC5">
      <w:pPr>
        <w:spacing w:after="200" w:line="276" w:lineRule="auto"/>
        <w:jc w:val="center"/>
        <w:rPr>
          <w:b/>
        </w:rPr>
      </w:pPr>
    </w:p>
    <w:p w:rsidR="00122158" w:rsidRDefault="00122158">
      <w:pPr>
        <w:spacing w:after="200" w:line="276" w:lineRule="auto"/>
        <w:rPr>
          <w:b/>
        </w:rPr>
      </w:pPr>
      <w:r>
        <w:rPr>
          <w:b/>
        </w:rPr>
        <w:br w:type="page"/>
      </w:r>
    </w:p>
    <w:p w:rsidR="00EC7175" w:rsidRPr="00EC7175" w:rsidRDefault="00EC7175" w:rsidP="006A2AC5">
      <w:pPr>
        <w:spacing w:after="200" w:line="276" w:lineRule="auto"/>
        <w:jc w:val="center"/>
        <w:rPr>
          <w:b/>
        </w:rPr>
      </w:pPr>
      <w:r>
        <w:rPr>
          <w:b/>
        </w:rPr>
        <w:lastRenderedPageBreak/>
        <w:t>Table 1</w:t>
      </w:r>
      <w:r w:rsidR="003D22CE">
        <w:rPr>
          <w:b/>
        </w:rPr>
        <w:t>4</w:t>
      </w:r>
      <w:r w:rsidRPr="00EC7175">
        <w:rPr>
          <w:b/>
        </w:rPr>
        <w:t>: SCE Report Average Daily Use Increase Theory</w:t>
      </w:r>
    </w:p>
    <w:tbl>
      <w:tblPr>
        <w:tblStyle w:val="TableGrid"/>
        <w:tblW w:w="0" w:type="auto"/>
        <w:jc w:val="center"/>
        <w:tblLook w:val="04A0" w:firstRow="1" w:lastRow="0" w:firstColumn="1" w:lastColumn="0" w:noHBand="0" w:noVBand="1"/>
      </w:tblPr>
      <w:tblGrid>
        <w:gridCol w:w="956"/>
        <w:gridCol w:w="700"/>
        <w:gridCol w:w="701"/>
        <w:gridCol w:w="866"/>
        <w:gridCol w:w="776"/>
        <w:gridCol w:w="776"/>
        <w:gridCol w:w="866"/>
        <w:gridCol w:w="872"/>
        <w:gridCol w:w="872"/>
        <w:gridCol w:w="1243"/>
        <w:gridCol w:w="948"/>
      </w:tblGrid>
      <w:tr w:rsidR="00A34B3C" w:rsidTr="00122158">
        <w:trPr>
          <w:jc w:val="center"/>
        </w:trPr>
        <w:tc>
          <w:tcPr>
            <w:tcW w:w="956" w:type="dxa"/>
            <w:shd w:val="clear" w:color="auto" w:fill="D9D9D9" w:themeFill="background1" w:themeFillShade="D9"/>
            <w:vAlign w:val="center"/>
          </w:tcPr>
          <w:p w:rsidR="00A34B3C" w:rsidRPr="008D56BB" w:rsidRDefault="00A34B3C" w:rsidP="00EB01E8">
            <w:pPr>
              <w:jc w:val="center"/>
              <w:rPr>
                <w:b/>
              </w:rPr>
            </w:pPr>
            <w:r w:rsidRPr="008D56BB">
              <w:rPr>
                <w:b/>
              </w:rPr>
              <w:t>Site</w:t>
            </w:r>
          </w:p>
        </w:tc>
        <w:tc>
          <w:tcPr>
            <w:tcW w:w="700" w:type="dxa"/>
            <w:shd w:val="clear" w:color="auto" w:fill="D9D9D9" w:themeFill="background1" w:themeFillShade="D9"/>
            <w:vAlign w:val="center"/>
          </w:tcPr>
          <w:p w:rsidR="00A34B3C" w:rsidRPr="008D56BB" w:rsidRDefault="00A34B3C" w:rsidP="00EB01E8">
            <w:pPr>
              <w:jc w:val="center"/>
              <w:rPr>
                <w:b/>
              </w:rPr>
            </w:pPr>
            <w:r w:rsidRPr="008D56BB">
              <w:rPr>
                <w:b/>
              </w:rPr>
              <w:t>Pre # of Daily Use</w:t>
            </w:r>
          </w:p>
        </w:tc>
        <w:tc>
          <w:tcPr>
            <w:tcW w:w="701" w:type="dxa"/>
            <w:shd w:val="clear" w:color="auto" w:fill="D9D9D9" w:themeFill="background1" w:themeFillShade="D9"/>
            <w:vAlign w:val="center"/>
          </w:tcPr>
          <w:p w:rsidR="00A34B3C" w:rsidRPr="008D56BB" w:rsidRDefault="00A34B3C" w:rsidP="00EB01E8">
            <w:pPr>
              <w:jc w:val="center"/>
              <w:rPr>
                <w:b/>
              </w:rPr>
            </w:pPr>
            <w:r w:rsidRPr="008D56BB">
              <w:rPr>
                <w:b/>
              </w:rPr>
              <w:t>Post # of Daily Use</w:t>
            </w:r>
          </w:p>
        </w:tc>
        <w:tc>
          <w:tcPr>
            <w:tcW w:w="866" w:type="dxa"/>
            <w:shd w:val="clear" w:color="auto" w:fill="D9D9D9" w:themeFill="background1" w:themeFillShade="D9"/>
            <w:vAlign w:val="center"/>
          </w:tcPr>
          <w:p w:rsidR="00A34B3C" w:rsidRPr="008D56BB" w:rsidRDefault="00A34B3C" w:rsidP="00E52C54">
            <w:pPr>
              <w:jc w:val="center"/>
              <w:rPr>
                <w:b/>
              </w:rPr>
            </w:pPr>
            <w:r w:rsidRPr="008D56BB">
              <w:rPr>
                <w:b/>
              </w:rPr>
              <w:t>Daily # of Uses Over Post Period</w:t>
            </w:r>
          </w:p>
        </w:tc>
        <w:tc>
          <w:tcPr>
            <w:tcW w:w="776" w:type="dxa"/>
            <w:shd w:val="clear" w:color="auto" w:fill="D9D9D9" w:themeFill="background1" w:themeFillShade="D9"/>
            <w:vAlign w:val="center"/>
          </w:tcPr>
          <w:p w:rsidR="00A34B3C" w:rsidRPr="008D56BB" w:rsidRDefault="00A34B3C" w:rsidP="00EB01E8">
            <w:pPr>
              <w:jc w:val="center"/>
              <w:rPr>
                <w:b/>
              </w:rPr>
            </w:pPr>
            <w:r w:rsidRPr="008D56BB">
              <w:rPr>
                <w:b/>
              </w:rPr>
              <w:t>Pre Daily Use Hours</w:t>
            </w:r>
          </w:p>
        </w:tc>
        <w:tc>
          <w:tcPr>
            <w:tcW w:w="776" w:type="dxa"/>
            <w:shd w:val="clear" w:color="auto" w:fill="D9D9D9" w:themeFill="background1" w:themeFillShade="D9"/>
            <w:vAlign w:val="center"/>
          </w:tcPr>
          <w:p w:rsidR="00A34B3C" w:rsidRPr="008D56BB" w:rsidRDefault="00A34B3C" w:rsidP="00EB01E8">
            <w:pPr>
              <w:jc w:val="center"/>
              <w:rPr>
                <w:b/>
              </w:rPr>
            </w:pPr>
            <w:r w:rsidRPr="008D56BB">
              <w:rPr>
                <w:b/>
              </w:rPr>
              <w:t>Post Daily Use Hours</w:t>
            </w:r>
          </w:p>
        </w:tc>
        <w:tc>
          <w:tcPr>
            <w:tcW w:w="866" w:type="dxa"/>
            <w:shd w:val="clear" w:color="auto" w:fill="D9D9D9" w:themeFill="background1" w:themeFillShade="D9"/>
            <w:vAlign w:val="center"/>
          </w:tcPr>
          <w:p w:rsidR="00A34B3C" w:rsidRPr="008D56BB" w:rsidRDefault="00A34B3C" w:rsidP="00E52C54">
            <w:pPr>
              <w:jc w:val="center"/>
              <w:rPr>
                <w:b/>
              </w:rPr>
            </w:pPr>
            <w:r w:rsidRPr="008D56BB">
              <w:rPr>
                <w:b/>
              </w:rPr>
              <w:t>Daily # Use Hours Over Post Period</w:t>
            </w:r>
          </w:p>
        </w:tc>
        <w:tc>
          <w:tcPr>
            <w:tcW w:w="872" w:type="dxa"/>
            <w:shd w:val="clear" w:color="auto" w:fill="D9D9D9" w:themeFill="background1" w:themeFillShade="D9"/>
            <w:vAlign w:val="center"/>
          </w:tcPr>
          <w:p w:rsidR="00A34B3C" w:rsidRPr="008D56BB" w:rsidRDefault="00A34B3C" w:rsidP="00EB01E8">
            <w:pPr>
              <w:jc w:val="center"/>
              <w:rPr>
                <w:b/>
              </w:rPr>
            </w:pPr>
            <w:r w:rsidRPr="008D56BB">
              <w:rPr>
                <w:b/>
              </w:rPr>
              <w:t>Pre Annual kWh Usage</w:t>
            </w:r>
          </w:p>
        </w:tc>
        <w:tc>
          <w:tcPr>
            <w:tcW w:w="872" w:type="dxa"/>
            <w:shd w:val="clear" w:color="auto" w:fill="D9D9D9" w:themeFill="background1" w:themeFillShade="D9"/>
            <w:vAlign w:val="center"/>
          </w:tcPr>
          <w:p w:rsidR="00A34B3C" w:rsidRPr="008D56BB" w:rsidRDefault="00A34B3C" w:rsidP="00EB01E8">
            <w:pPr>
              <w:jc w:val="center"/>
              <w:rPr>
                <w:b/>
              </w:rPr>
            </w:pPr>
            <w:r w:rsidRPr="008D56BB">
              <w:rPr>
                <w:b/>
              </w:rPr>
              <w:t>Post Annual kWh Usage</w:t>
            </w:r>
          </w:p>
        </w:tc>
        <w:tc>
          <w:tcPr>
            <w:tcW w:w="1243" w:type="dxa"/>
            <w:shd w:val="clear" w:color="auto" w:fill="D9D9D9" w:themeFill="background1" w:themeFillShade="D9"/>
            <w:vAlign w:val="center"/>
          </w:tcPr>
          <w:p w:rsidR="00A34B3C" w:rsidRPr="008D56BB" w:rsidRDefault="00A34B3C" w:rsidP="00A34B3C">
            <w:pPr>
              <w:jc w:val="center"/>
              <w:rPr>
                <w:b/>
              </w:rPr>
            </w:pPr>
            <w:r w:rsidRPr="008D56BB">
              <w:rPr>
                <w:b/>
              </w:rPr>
              <w:t>Energy Reduction Percentage From Baseline</w:t>
            </w:r>
          </w:p>
        </w:tc>
        <w:tc>
          <w:tcPr>
            <w:tcW w:w="948" w:type="dxa"/>
            <w:shd w:val="clear" w:color="auto" w:fill="D9D9D9" w:themeFill="background1" w:themeFillShade="D9"/>
            <w:vAlign w:val="center"/>
          </w:tcPr>
          <w:p w:rsidR="00A34B3C" w:rsidRPr="008D56BB" w:rsidRDefault="00A34B3C" w:rsidP="00EB01E8">
            <w:pPr>
              <w:jc w:val="center"/>
              <w:rPr>
                <w:b/>
              </w:rPr>
            </w:pPr>
            <w:r w:rsidRPr="008D56BB">
              <w:rPr>
                <w:b/>
              </w:rPr>
              <w:t xml:space="preserve">Annual Energy Savings </w:t>
            </w:r>
          </w:p>
        </w:tc>
      </w:tr>
      <w:tr w:rsidR="00A34B3C" w:rsidTr="00122158">
        <w:trPr>
          <w:jc w:val="center"/>
        </w:trPr>
        <w:tc>
          <w:tcPr>
            <w:tcW w:w="956" w:type="dxa"/>
          </w:tcPr>
          <w:p w:rsidR="00A34B3C" w:rsidRDefault="00A34B3C" w:rsidP="00B62D0A">
            <w:pPr>
              <w:jc w:val="center"/>
            </w:pPr>
            <w:r>
              <w:t>5</w:t>
            </w:r>
          </w:p>
        </w:tc>
        <w:tc>
          <w:tcPr>
            <w:tcW w:w="700" w:type="dxa"/>
          </w:tcPr>
          <w:p w:rsidR="00A34B3C" w:rsidRDefault="00A34B3C" w:rsidP="00B62D0A">
            <w:pPr>
              <w:jc w:val="center"/>
            </w:pPr>
            <w:r>
              <w:t>3.00</w:t>
            </w:r>
          </w:p>
        </w:tc>
        <w:tc>
          <w:tcPr>
            <w:tcW w:w="701" w:type="dxa"/>
          </w:tcPr>
          <w:p w:rsidR="00A34B3C" w:rsidRDefault="00A34B3C" w:rsidP="00B62D0A">
            <w:pPr>
              <w:jc w:val="center"/>
            </w:pPr>
            <w:r>
              <w:t>1.44</w:t>
            </w:r>
          </w:p>
        </w:tc>
        <w:tc>
          <w:tcPr>
            <w:tcW w:w="866" w:type="dxa"/>
          </w:tcPr>
          <w:p w:rsidR="00A34B3C" w:rsidRDefault="00A34B3C" w:rsidP="00B62D0A">
            <w:pPr>
              <w:jc w:val="center"/>
            </w:pPr>
            <w:r>
              <w:t>1.56</w:t>
            </w:r>
          </w:p>
        </w:tc>
        <w:tc>
          <w:tcPr>
            <w:tcW w:w="776" w:type="dxa"/>
          </w:tcPr>
          <w:p w:rsidR="00A34B3C" w:rsidRDefault="00A34B3C" w:rsidP="00B62D0A">
            <w:pPr>
              <w:jc w:val="center"/>
            </w:pPr>
            <w:r>
              <w:t>9.49</w:t>
            </w:r>
          </w:p>
        </w:tc>
        <w:tc>
          <w:tcPr>
            <w:tcW w:w="776" w:type="dxa"/>
          </w:tcPr>
          <w:p w:rsidR="00A34B3C" w:rsidRDefault="00A34B3C" w:rsidP="00B62D0A">
            <w:pPr>
              <w:jc w:val="center"/>
            </w:pPr>
            <w:r>
              <w:t>6.75</w:t>
            </w:r>
          </w:p>
        </w:tc>
        <w:tc>
          <w:tcPr>
            <w:tcW w:w="866" w:type="dxa"/>
          </w:tcPr>
          <w:p w:rsidR="00A34B3C" w:rsidRDefault="00A34B3C" w:rsidP="00B62D0A">
            <w:pPr>
              <w:jc w:val="center"/>
            </w:pPr>
            <w:r>
              <w:t>2.74</w:t>
            </w:r>
          </w:p>
        </w:tc>
        <w:tc>
          <w:tcPr>
            <w:tcW w:w="872" w:type="dxa"/>
          </w:tcPr>
          <w:p w:rsidR="00A34B3C" w:rsidRDefault="00A34B3C" w:rsidP="00B62D0A">
            <w:pPr>
              <w:jc w:val="center"/>
            </w:pPr>
            <w:r>
              <w:t>333.84</w:t>
            </w:r>
          </w:p>
        </w:tc>
        <w:tc>
          <w:tcPr>
            <w:tcW w:w="872" w:type="dxa"/>
          </w:tcPr>
          <w:p w:rsidR="00A34B3C" w:rsidRDefault="00A34B3C" w:rsidP="00B62D0A">
            <w:pPr>
              <w:jc w:val="center"/>
            </w:pPr>
            <w:r>
              <w:t>214.12</w:t>
            </w:r>
          </w:p>
        </w:tc>
        <w:tc>
          <w:tcPr>
            <w:tcW w:w="1243" w:type="dxa"/>
          </w:tcPr>
          <w:p w:rsidR="00A34B3C" w:rsidRDefault="00A34B3C" w:rsidP="00B62D0A">
            <w:pPr>
              <w:jc w:val="center"/>
            </w:pPr>
            <w:r>
              <w:t>35.9%</w:t>
            </w:r>
          </w:p>
        </w:tc>
        <w:tc>
          <w:tcPr>
            <w:tcW w:w="948" w:type="dxa"/>
          </w:tcPr>
          <w:p w:rsidR="00A34B3C" w:rsidRDefault="00A34B3C" w:rsidP="00B62D0A">
            <w:pPr>
              <w:jc w:val="center"/>
            </w:pPr>
            <w:r>
              <w:t>119.72</w:t>
            </w:r>
          </w:p>
        </w:tc>
      </w:tr>
      <w:tr w:rsidR="00A34B3C" w:rsidTr="00122158">
        <w:trPr>
          <w:jc w:val="center"/>
        </w:trPr>
        <w:tc>
          <w:tcPr>
            <w:tcW w:w="956" w:type="dxa"/>
          </w:tcPr>
          <w:p w:rsidR="00A34B3C" w:rsidRDefault="00A34B3C" w:rsidP="00B62D0A">
            <w:pPr>
              <w:jc w:val="center"/>
            </w:pPr>
            <w:r>
              <w:t>6</w:t>
            </w:r>
          </w:p>
        </w:tc>
        <w:tc>
          <w:tcPr>
            <w:tcW w:w="700" w:type="dxa"/>
          </w:tcPr>
          <w:p w:rsidR="00A34B3C" w:rsidRDefault="00A34B3C" w:rsidP="00B62D0A">
            <w:pPr>
              <w:jc w:val="center"/>
            </w:pPr>
            <w:r>
              <w:t>5.21</w:t>
            </w:r>
          </w:p>
        </w:tc>
        <w:tc>
          <w:tcPr>
            <w:tcW w:w="701" w:type="dxa"/>
          </w:tcPr>
          <w:p w:rsidR="00A34B3C" w:rsidRDefault="00A34B3C" w:rsidP="00B62D0A">
            <w:pPr>
              <w:jc w:val="center"/>
            </w:pPr>
            <w:r>
              <w:t>1.64</w:t>
            </w:r>
          </w:p>
        </w:tc>
        <w:tc>
          <w:tcPr>
            <w:tcW w:w="866" w:type="dxa"/>
          </w:tcPr>
          <w:p w:rsidR="00A34B3C" w:rsidRDefault="00A34B3C" w:rsidP="00B62D0A">
            <w:pPr>
              <w:jc w:val="center"/>
            </w:pPr>
            <w:r>
              <w:t>3.57</w:t>
            </w:r>
          </w:p>
        </w:tc>
        <w:tc>
          <w:tcPr>
            <w:tcW w:w="776" w:type="dxa"/>
          </w:tcPr>
          <w:p w:rsidR="00A34B3C" w:rsidRDefault="00A34B3C" w:rsidP="00B62D0A">
            <w:pPr>
              <w:jc w:val="center"/>
            </w:pPr>
            <w:r>
              <w:t>8.21</w:t>
            </w:r>
          </w:p>
        </w:tc>
        <w:tc>
          <w:tcPr>
            <w:tcW w:w="776" w:type="dxa"/>
          </w:tcPr>
          <w:p w:rsidR="00A34B3C" w:rsidRDefault="00A34B3C" w:rsidP="00B62D0A">
            <w:pPr>
              <w:jc w:val="center"/>
            </w:pPr>
            <w:r>
              <w:t>7.12</w:t>
            </w:r>
          </w:p>
        </w:tc>
        <w:tc>
          <w:tcPr>
            <w:tcW w:w="866" w:type="dxa"/>
          </w:tcPr>
          <w:p w:rsidR="00A34B3C" w:rsidRDefault="00A34B3C" w:rsidP="00B62D0A">
            <w:pPr>
              <w:jc w:val="center"/>
            </w:pPr>
            <w:r>
              <w:t>1.09</w:t>
            </w:r>
          </w:p>
        </w:tc>
        <w:tc>
          <w:tcPr>
            <w:tcW w:w="872" w:type="dxa"/>
          </w:tcPr>
          <w:p w:rsidR="00A34B3C" w:rsidRDefault="00A34B3C" w:rsidP="00B62D0A">
            <w:pPr>
              <w:jc w:val="center"/>
            </w:pPr>
            <w:r>
              <w:t>208.33</w:t>
            </w:r>
          </w:p>
        </w:tc>
        <w:tc>
          <w:tcPr>
            <w:tcW w:w="872" w:type="dxa"/>
          </w:tcPr>
          <w:p w:rsidR="00A34B3C" w:rsidRDefault="00A34B3C" w:rsidP="00B62D0A">
            <w:pPr>
              <w:jc w:val="center"/>
            </w:pPr>
            <w:r>
              <w:t>161.9</w:t>
            </w:r>
          </w:p>
        </w:tc>
        <w:tc>
          <w:tcPr>
            <w:tcW w:w="1243" w:type="dxa"/>
          </w:tcPr>
          <w:p w:rsidR="00A34B3C" w:rsidRDefault="00A34B3C" w:rsidP="00B62D0A">
            <w:pPr>
              <w:jc w:val="center"/>
            </w:pPr>
            <w:r>
              <w:t>22.3%</w:t>
            </w:r>
          </w:p>
        </w:tc>
        <w:tc>
          <w:tcPr>
            <w:tcW w:w="948" w:type="dxa"/>
          </w:tcPr>
          <w:p w:rsidR="00A34B3C" w:rsidRDefault="00A34B3C" w:rsidP="00B62D0A">
            <w:pPr>
              <w:jc w:val="center"/>
            </w:pPr>
            <w:r>
              <w:t>46.45</w:t>
            </w:r>
          </w:p>
        </w:tc>
      </w:tr>
      <w:tr w:rsidR="00A34B3C" w:rsidTr="00122158">
        <w:trPr>
          <w:jc w:val="center"/>
        </w:trPr>
        <w:tc>
          <w:tcPr>
            <w:tcW w:w="956" w:type="dxa"/>
          </w:tcPr>
          <w:p w:rsidR="00A34B3C" w:rsidRDefault="00A34B3C" w:rsidP="00B62D0A">
            <w:pPr>
              <w:jc w:val="center"/>
            </w:pPr>
            <w:r>
              <w:t>18</w:t>
            </w:r>
          </w:p>
        </w:tc>
        <w:tc>
          <w:tcPr>
            <w:tcW w:w="700" w:type="dxa"/>
          </w:tcPr>
          <w:p w:rsidR="00A34B3C" w:rsidRDefault="00A34B3C" w:rsidP="00B62D0A">
            <w:pPr>
              <w:jc w:val="center"/>
            </w:pPr>
            <w:r>
              <w:t>3.00</w:t>
            </w:r>
          </w:p>
        </w:tc>
        <w:tc>
          <w:tcPr>
            <w:tcW w:w="701" w:type="dxa"/>
          </w:tcPr>
          <w:p w:rsidR="00A34B3C" w:rsidRDefault="00A34B3C" w:rsidP="00B62D0A">
            <w:pPr>
              <w:jc w:val="center"/>
            </w:pPr>
            <w:r>
              <w:t>1.25</w:t>
            </w:r>
          </w:p>
        </w:tc>
        <w:tc>
          <w:tcPr>
            <w:tcW w:w="866" w:type="dxa"/>
          </w:tcPr>
          <w:p w:rsidR="00A34B3C" w:rsidRDefault="00A34B3C" w:rsidP="00B62D0A">
            <w:pPr>
              <w:jc w:val="center"/>
            </w:pPr>
            <w:r>
              <w:t>1.75</w:t>
            </w:r>
          </w:p>
        </w:tc>
        <w:tc>
          <w:tcPr>
            <w:tcW w:w="776" w:type="dxa"/>
          </w:tcPr>
          <w:p w:rsidR="00A34B3C" w:rsidRDefault="00A34B3C" w:rsidP="00B62D0A">
            <w:pPr>
              <w:jc w:val="center"/>
            </w:pPr>
            <w:r>
              <w:t>8.63</w:t>
            </w:r>
          </w:p>
        </w:tc>
        <w:tc>
          <w:tcPr>
            <w:tcW w:w="776" w:type="dxa"/>
          </w:tcPr>
          <w:p w:rsidR="00A34B3C" w:rsidRDefault="00A34B3C" w:rsidP="00B62D0A">
            <w:pPr>
              <w:jc w:val="center"/>
            </w:pPr>
            <w:r>
              <w:t>5.09</w:t>
            </w:r>
          </w:p>
        </w:tc>
        <w:tc>
          <w:tcPr>
            <w:tcW w:w="866" w:type="dxa"/>
          </w:tcPr>
          <w:p w:rsidR="00A34B3C" w:rsidRDefault="00A34B3C" w:rsidP="00B62D0A">
            <w:pPr>
              <w:jc w:val="center"/>
            </w:pPr>
            <w:r>
              <w:t>3.53</w:t>
            </w:r>
          </w:p>
        </w:tc>
        <w:tc>
          <w:tcPr>
            <w:tcW w:w="872" w:type="dxa"/>
          </w:tcPr>
          <w:p w:rsidR="00A34B3C" w:rsidRDefault="00A34B3C" w:rsidP="00B62D0A">
            <w:pPr>
              <w:jc w:val="center"/>
            </w:pPr>
            <w:r>
              <w:t>452.76</w:t>
            </w:r>
          </w:p>
        </w:tc>
        <w:tc>
          <w:tcPr>
            <w:tcW w:w="872" w:type="dxa"/>
          </w:tcPr>
          <w:p w:rsidR="00A34B3C" w:rsidRDefault="00A34B3C" w:rsidP="00B62D0A">
            <w:pPr>
              <w:jc w:val="center"/>
            </w:pPr>
            <w:r>
              <w:t>269.78</w:t>
            </w:r>
          </w:p>
        </w:tc>
        <w:tc>
          <w:tcPr>
            <w:tcW w:w="1243" w:type="dxa"/>
          </w:tcPr>
          <w:p w:rsidR="00A34B3C" w:rsidRDefault="00A34B3C" w:rsidP="00B62D0A">
            <w:pPr>
              <w:jc w:val="center"/>
            </w:pPr>
            <w:r>
              <w:t>40.4%</w:t>
            </w:r>
          </w:p>
        </w:tc>
        <w:tc>
          <w:tcPr>
            <w:tcW w:w="948" w:type="dxa"/>
          </w:tcPr>
          <w:p w:rsidR="00A34B3C" w:rsidRDefault="00A34B3C" w:rsidP="00B62D0A">
            <w:pPr>
              <w:jc w:val="center"/>
            </w:pPr>
            <w:r>
              <w:t>182.98</w:t>
            </w:r>
          </w:p>
        </w:tc>
      </w:tr>
      <w:tr w:rsidR="00A34B3C" w:rsidTr="00122158">
        <w:trPr>
          <w:jc w:val="center"/>
        </w:trPr>
        <w:tc>
          <w:tcPr>
            <w:tcW w:w="956" w:type="dxa"/>
          </w:tcPr>
          <w:p w:rsidR="00A34B3C" w:rsidRDefault="00A34B3C" w:rsidP="00B62D0A">
            <w:pPr>
              <w:jc w:val="center"/>
            </w:pPr>
            <w:r>
              <w:t>36</w:t>
            </w:r>
          </w:p>
        </w:tc>
        <w:tc>
          <w:tcPr>
            <w:tcW w:w="700" w:type="dxa"/>
          </w:tcPr>
          <w:p w:rsidR="00A34B3C" w:rsidRDefault="00A34B3C" w:rsidP="00B62D0A">
            <w:pPr>
              <w:jc w:val="center"/>
            </w:pPr>
            <w:r>
              <w:t>2.60</w:t>
            </w:r>
          </w:p>
        </w:tc>
        <w:tc>
          <w:tcPr>
            <w:tcW w:w="701" w:type="dxa"/>
          </w:tcPr>
          <w:p w:rsidR="00A34B3C" w:rsidRDefault="00A34B3C" w:rsidP="00B62D0A">
            <w:pPr>
              <w:jc w:val="center"/>
            </w:pPr>
            <w:r>
              <w:t>1.09</w:t>
            </w:r>
          </w:p>
        </w:tc>
        <w:tc>
          <w:tcPr>
            <w:tcW w:w="866" w:type="dxa"/>
          </w:tcPr>
          <w:p w:rsidR="00A34B3C" w:rsidRDefault="00A34B3C" w:rsidP="00B62D0A">
            <w:pPr>
              <w:jc w:val="center"/>
            </w:pPr>
            <w:r>
              <w:t>1.51</w:t>
            </w:r>
          </w:p>
        </w:tc>
        <w:tc>
          <w:tcPr>
            <w:tcW w:w="776" w:type="dxa"/>
          </w:tcPr>
          <w:p w:rsidR="00A34B3C" w:rsidRDefault="00A34B3C" w:rsidP="00B62D0A">
            <w:pPr>
              <w:jc w:val="center"/>
            </w:pPr>
            <w:r>
              <w:t>9.76</w:t>
            </w:r>
          </w:p>
        </w:tc>
        <w:tc>
          <w:tcPr>
            <w:tcW w:w="776" w:type="dxa"/>
          </w:tcPr>
          <w:p w:rsidR="00A34B3C" w:rsidRDefault="00A34B3C" w:rsidP="00B62D0A">
            <w:pPr>
              <w:jc w:val="center"/>
            </w:pPr>
            <w:r>
              <w:t>3.42</w:t>
            </w:r>
          </w:p>
        </w:tc>
        <w:tc>
          <w:tcPr>
            <w:tcW w:w="866" w:type="dxa"/>
          </w:tcPr>
          <w:p w:rsidR="00A34B3C" w:rsidRDefault="00A34B3C" w:rsidP="00B62D0A">
            <w:pPr>
              <w:jc w:val="center"/>
            </w:pPr>
            <w:r>
              <w:t>6.34</w:t>
            </w:r>
          </w:p>
        </w:tc>
        <w:tc>
          <w:tcPr>
            <w:tcW w:w="872" w:type="dxa"/>
          </w:tcPr>
          <w:p w:rsidR="00A34B3C" w:rsidRDefault="00A34B3C" w:rsidP="00B62D0A">
            <w:pPr>
              <w:jc w:val="center"/>
            </w:pPr>
            <w:r>
              <w:t>669.04</w:t>
            </w:r>
          </w:p>
        </w:tc>
        <w:tc>
          <w:tcPr>
            <w:tcW w:w="872" w:type="dxa"/>
          </w:tcPr>
          <w:p w:rsidR="00A34B3C" w:rsidRDefault="00A34B3C" w:rsidP="00B62D0A">
            <w:pPr>
              <w:jc w:val="center"/>
            </w:pPr>
            <w:r>
              <w:t>213.35</w:t>
            </w:r>
          </w:p>
        </w:tc>
        <w:tc>
          <w:tcPr>
            <w:tcW w:w="1243" w:type="dxa"/>
          </w:tcPr>
          <w:p w:rsidR="00A34B3C" w:rsidRDefault="00A34B3C" w:rsidP="00B62D0A">
            <w:pPr>
              <w:jc w:val="center"/>
            </w:pPr>
            <w:r>
              <w:t>68.1%</w:t>
            </w:r>
          </w:p>
        </w:tc>
        <w:tc>
          <w:tcPr>
            <w:tcW w:w="948" w:type="dxa"/>
          </w:tcPr>
          <w:p w:rsidR="00A34B3C" w:rsidRDefault="00A34B3C" w:rsidP="00B62D0A">
            <w:pPr>
              <w:jc w:val="center"/>
            </w:pPr>
            <w:r>
              <w:t>455.69</w:t>
            </w:r>
          </w:p>
        </w:tc>
      </w:tr>
      <w:tr w:rsidR="00A34B3C" w:rsidTr="00122158">
        <w:trPr>
          <w:jc w:val="center"/>
        </w:trPr>
        <w:tc>
          <w:tcPr>
            <w:tcW w:w="956" w:type="dxa"/>
          </w:tcPr>
          <w:p w:rsidR="00A34B3C" w:rsidRDefault="00A34B3C" w:rsidP="00B62D0A">
            <w:pPr>
              <w:jc w:val="center"/>
            </w:pPr>
            <w:r>
              <w:t>71</w:t>
            </w:r>
          </w:p>
        </w:tc>
        <w:tc>
          <w:tcPr>
            <w:tcW w:w="700" w:type="dxa"/>
          </w:tcPr>
          <w:p w:rsidR="00A34B3C" w:rsidRDefault="00A34B3C" w:rsidP="00B62D0A">
            <w:pPr>
              <w:jc w:val="center"/>
            </w:pPr>
            <w:r>
              <w:t>2.79</w:t>
            </w:r>
          </w:p>
        </w:tc>
        <w:tc>
          <w:tcPr>
            <w:tcW w:w="701" w:type="dxa"/>
          </w:tcPr>
          <w:p w:rsidR="00A34B3C" w:rsidRDefault="00A34B3C" w:rsidP="00B62D0A">
            <w:pPr>
              <w:jc w:val="center"/>
            </w:pPr>
            <w:r>
              <w:t>1.35</w:t>
            </w:r>
          </w:p>
        </w:tc>
        <w:tc>
          <w:tcPr>
            <w:tcW w:w="866" w:type="dxa"/>
          </w:tcPr>
          <w:p w:rsidR="00A34B3C" w:rsidRDefault="00A34B3C" w:rsidP="00B62D0A">
            <w:pPr>
              <w:jc w:val="center"/>
            </w:pPr>
            <w:r>
              <w:t>1.44</w:t>
            </w:r>
          </w:p>
        </w:tc>
        <w:tc>
          <w:tcPr>
            <w:tcW w:w="776" w:type="dxa"/>
          </w:tcPr>
          <w:p w:rsidR="00A34B3C" w:rsidRDefault="00A34B3C" w:rsidP="00B62D0A">
            <w:pPr>
              <w:jc w:val="center"/>
            </w:pPr>
            <w:r>
              <w:t>9.29</w:t>
            </w:r>
          </w:p>
        </w:tc>
        <w:tc>
          <w:tcPr>
            <w:tcW w:w="776" w:type="dxa"/>
          </w:tcPr>
          <w:p w:rsidR="00A34B3C" w:rsidRDefault="00A34B3C" w:rsidP="00B62D0A">
            <w:pPr>
              <w:jc w:val="center"/>
            </w:pPr>
            <w:r>
              <w:t>5.90</w:t>
            </w:r>
          </w:p>
        </w:tc>
        <w:tc>
          <w:tcPr>
            <w:tcW w:w="866" w:type="dxa"/>
          </w:tcPr>
          <w:p w:rsidR="00A34B3C" w:rsidRDefault="00A34B3C" w:rsidP="00B62D0A">
            <w:pPr>
              <w:jc w:val="center"/>
            </w:pPr>
            <w:r>
              <w:t>3.39</w:t>
            </w:r>
          </w:p>
        </w:tc>
        <w:tc>
          <w:tcPr>
            <w:tcW w:w="872" w:type="dxa"/>
          </w:tcPr>
          <w:p w:rsidR="00A34B3C" w:rsidRDefault="00A34B3C" w:rsidP="00B62D0A">
            <w:pPr>
              <w:jc w:val="center"/>
            </w:pPr>
            <w:r>
              <w:t>255.60</w:t>
            </w:r>
          </w:p>
        </w:tc>
        <w:tc>
          <w:tcPr>
            <w:tcW w:w="872" w:type="dxa"/>
          </w:tcPr>
          <w:p w:rsidR="00A34B3C" w:rsidRDefault="00A34B3C" w:rsidP="00B62D0A">
            <w:pPr>
              <w:jc w:val="center"/>
            </w:pPr>
            <w:r>
              <w:t>149.71</w:t>
            </w:r>
          </w:p>
        </w:tc>
        <w:tc>
          <w:tcPr>
            <w:tcW w:w="1243" w:type="dxa"/>
          </w:tcPr>
          <w:p w:rsidR="00A34B3C" w:rsidRDefault="00A34B3C" w:rsidP="00B62D0A">
            <w:pPr>
              <w:jc w:val="center"/>
            </w:pPr>
            <w:r>
              <w:t>41.4%</w:t>
            </w:r>
          </w:p>
        </w:tc>
        <w:tc>
          <w:tcPr>
            <w:tcW w:w="948" w:type="dxa"/>
          </w:tcPr>
          <w:p w:rsidR="00A34B3C" w:rsidRDefault="00A34B3C" w:rsidP="00B62D0A">
            <w:pPr>
              <w:jc w:val="center"/>
            </w:pPr>
            <w:r>
              <w:t>105.81</w:t>
            </w:r>
          </w:p>
        </w:tc>
      </w:tr>
      <w:tr w:rsidR="00A34B3C" w:rsidTr="00122158">
        <w:trPr>
          <w:jc w:val="center"/>
        </w:trPr>
        <w:tc>
          <w:tcPr>
            <w:tcW w:w="956" w:type="dxa"/>
          </w:tcPr>
          <w:p w:rsidR="00A34B3C" w:rsidRDefault="00A34B3C" w:rsidP="00B62D0A">
            <w:pPr>
              <w:jc w:val="center"/>
            </w:pPr>
            <w:r>
              <w:t>72</w:t>
            </w:r>
          </w:p>
        </w:tc>
        <w:tc>
          <w:tcPr>
            <w:tcW w:w="700" w:type="dxa"/>
          </w:tcPr>
          <w:p w:rsidR="00A34B3C" w:rsidRDefault="00A34B3C" w:rsidP="00B62D0A">
            <w:pPr>
              <w:jc w:val="center"/>
            </w:pPr>
            <w:r>
              <w:t>3.21</w:t>
            </w:r>
          </w:p>
        </w:tc>
        <w:tc>
          <w:tcPr>
            <w:tcW w:w="701" w:type="dxa"/>
          </w:tcPr>
          <w:p w:rsidR="00A34B3C" w:rsidRDefault="00A34B3C" w:rsidP="00B62D0A">
            <w:pPr>
              <w:jc w:val="center"/>
            </w:pPr>
            <w:r>
              <w:t>1.51</w:t>
            </w:r>
          </w:p>
        </w:tc>
        <w:tc>
          <w:tcPr>
            <w:tcW w:w="866" w:type="dxa"/>
          </w:tcPr>
          <w:p w:rsidR="00A34B3C" w:rsidRDefault="00A34B3C" w:rsidP="00B62D0A">
            <w:pPr>
              <w:jc w:val="center"/>
            </w:pPr>
            <w:r>
              <w:t>1.70</w:t>
            </w:r>
          </w:p>
        </w:tc>
        <w:tc>
          <w:tcPr>
            <w:tcW w:w="776" w:type="dxa"/>
          </w:tcPr>
          <w:p w:rsidR="00A34B3C" w:rsidRDefault="00A34B3C" w:rsidP="00B62D0A">
            <w:pPr>
              <w:jc w:val="center"/>
            </w:pPr>
            <w:r>
              <w:t>10.29</w:t>
            </w:r>
          </w:p>
        </w:tc>
        <w:tc>
          <w:tcPr>
            <w:tcW w:w="776" w:type="dxa"/>
          </w:tcPr>
          <w:p w:rsidR="00A34B3C" w:rsidRDefault="00A34B3C" w:rsidP="00B62D0A">
            <w:pPr>
              <w:jc w:val="center"/>
            </w:pPr>
            <w:r>
              <w:t>7.58</w:t>
            </w:r>
          </w:p>
        </w:tc>
        <w:tc>
          <w:tcPr>
            <w:tcW w:w="866" w:type="dxa"/>
          </w:tcPr>
          <w:p w:rsidR="00A34B3C" w:rsidRDefault="00A34B3C" w:rsidP="00B62D0A">
            <w:pPr>
              <w:jc w:val="center"/>
            </w:pPr>
            <w:r>
              <w:t>2.71</w:t>
            </w:r>
          </w:p>
        </w:tc>
        <w:tc>
          <w:tcPr>
            <w:tcW w:w="872" w:type="dxa"/>
          </w:tcPr>
          <w:p w:rsidR="00A34B3C" w:rsidRDefault="00A34B3C" w:rsidP="00B62D0A">
            <w:pPr>
              <w:jc w:val="center"/>
            </w:pPr>
            <w:r>
              <w:t>305.87</w:t>
            </w:r>
          </w:p>
        </w:tc>
        <w:tc>
          <w:tcPr>
            <w:tcW w:w="872" w:type="dxa"/>
          </w:tcPr>
          <w:p w:rsidR="00A34B3C" w:rsidRDefault="00A34B3C" w:rsidP="00B62D0A">
            <w:pPr>
              <w:jc w:val="center"/>
            </w:pPr>
            <w:r>
              <w:t>193.37</w:t>
            </w:r>
          </w:p>
        </w:tc>
        <w:tc>
          <w:tcPr>
            <w:tcW w:w="1243" w:type="dxa"/>
          </w:tcPr>
          <w:p w:rsidR="00A34B3C" w:rsidRDefault="00A34B3C" w:rsidP="00B62D0A">
            <w:pPr>
              <w:jc w:val="center"/>
            </w:pPr>
            <w:r>
              <w:t>36.8%</w:t>
            </w:r>
          </w:p>
        </w:tc>
        <w:tc>
          <w:tcPr>
            <w:tcW w:w="948" w:type="dxa"/>
          </w:tcPr>
          <w:p w:rsidR="00A34B3C" w:rsidRDefault="00A34B3C" w:rsidP="00B62D0A">
            <w:pPr>
              <w:jc w:val="center"/>
            </w:pPr>
            <w:r>
              <w:t>112.50</w:t>
            </w:r>
          </w:p>
        </w:tc>
      </w:tr>
      <w:tr w:rsidR="00466C0A" w:rsidTr="00122158">
        <w:trPr>
          <w:jc w:val="center"/>
        </w:trPr>
        <w:tc>
          <w:tcPr>
            <w:tcW w:w="956" w:type="dxa"/>
          </w:tcPr>
          <w:p w:rsidR="00466C0A" w:rsidRDefault="00466C0A" w:rsidP="00466C0A">
            <w:pPr>
              <w:jc w:val="center"/>
            </w:pPr>
            <w:r>
              <w:t>Average Across 6 Highest Variable Sites</w:t>
            </w:r>
          </w:p>
        </w:tc>
        <w:tc>
          <w:tcPr>
            <w:tcW w:w="700" w:type="dxa"/>
            <w:vAlign w:val="center"/>
          </w:tcPr>
          <w:p w:rsidR="00466C0A" w:rsidRDefault="00466C0A" w:rsidP="00466C0A">
            <w:pPr>
              <w:jc w:val="center"/>
            </w:pPr>
            <w:r>
              <w:t>3.3</w:t>
            </w:r>
          </w:p>
        </w:tc>
        <w:tc>
          <w:tcPr>
            <w:tcW w:w="701" w:type="dxa"/>
            <w:vAlign w:val="center"/>
          </w:tcPr>
          <w:p w:rsidR="00466C0A" w:rsidRDefault="00466C0A" w:rsidP="00E20B7B">
            <w:pPr>
              <w:jc w:val="center"/>
            </w:pPr>
            <w:r>
              <w:t>1.4</w:t>
            </w:r>
          </w:p>
        </w:tc>
        <w:tc>
          <w:tcPr>
            <w:tcW w:w="866" w:type="dxa"/>
            <w:vAlign w:val="center"/>
          </w:tcPr>
          <w:p w:rsidR="00466C0A" w:rsidRDefault="00466C0A" w:rsidP="00E20B7B">
            <w:pPr>
              <w:jc w:val="center"/>
            </w:pPr>
            <w:r>
              <w:t>1.9</w:t>
            </w:r>
          </w:p>
        </w:tc>
        <w:tc>
          <w:tcPr>
            <w:tcW w:w="776" w:type="dxa"/>
            <w:vAlign w:val="center"/>
          </w:tcPr>
          <w:p w:rsidR="00466C0A" w:rsidRDefault="00466C0A" w:rsidP="00E20B7B">
            <w:pPr>
              <w:jc w:val="center"/>
            </w:pPr>
            <w:r>
              <w:t>9.3</w:t>
            </w:r>
          </w:p>
        </w:tc>
        <w:tc>
          <w:tcPr>
            <w:tcW w:w="776" w:type="dxa"/>
            <w:vAlign w:val="center"/>
          </w:tcPr>
          <w:p w:rsidR="00466C0A" w:rsidRDefault="00466C0A" w:rsidP="00E20B7B">
            <w:pPr>
              <w:jc w:val="center"/>
            </w:pPr>
            <w:r>
              <w:t>6.0</w:t>
            </w:r>
          </w:p>
        </w:tc>
        <w:tc>
          <w:tcPr>
            <w:tcW w:w="866" w:type="dxa"/>
            <w:vAlign w:val="center"/>
          </w:tcPr>
          <w:p w:rsidR="00466C0A" w:rsidRDefault="00466C0A" w:rsidP="00E20B7B">
            <w:pPr>
              <w:jc w:val="center"/>
            </w:pPr>
            <w:r>
              <w:t>3.3</w:t>
            </w:r>
          </w:p>
        </w:tc>
        <w:tc>
          <w:tcPr>
            <w:tcW w:w="872" w:type="dxa"/>
            <w:vAlign w:val="center"/>
          </w:tcPr>
          <w:p w:rsidR="00466C0A" w:rsidRDefault="00466C0A" w:rsidP="00E20B7B">
            <w:pPr>
              <w:jc w:val="center"/>
            </w:pPr>
            <w:r>
              <w:t>370.91</w:t>
            </w:r>
          </w:p>
        </w:tc>
        <w:tc>
          <w:tcPr>
            <w:tcW w:w="872" w:type="dxa"/>
            <w:vAlign w:val="center"/>
          </w:tcPr>
          <w:p w:rsidR="00466C0A" w:rsidRDefault="00466C0A" w:rsidP="00E20B7B">
            <w:pPr>
              <w:jc w:val="center"/>
            </w:pPr>
            <w:r>
              <w:t>200.38</w:t>
            </w:r>
          </w:p>
        </w:tc>
        <w:tc>
          <w:tcPr>
            <w:tcW w:w="1243" w:type="dxa"/>
            <w:vAlign w:val="center"/>
          </w:tcPr>
          <w:p w:rsidR="00466C0A" w:rsidRDefault="00466C0A" w:rsidP="00E20B7B">
            <w:pPr>
              <w:jc w:val="center"/>
            </w:pPr>
            <w:r>
              <w:t>40.8%</w:t>
            </w:r>
          </w:p>
        </w:tc>
        <w:tc>
          <w:tcPr>
            <w:tcW w:w="948" w:type="dxa"/>
            <w:vAlign w:val="center"/>
          </w:tcPr>
          <w:p w:rsidR="00466C0A" w:rsidRDefault="00466C0A" w:rsidP="00E20B7B">
            <w:pPr>
              <w:jc w:val="center"/>
            </w:pPr>
            <w:r>
              <w:t>170.53</w:t>
            </w:r>
          </w:p>
        </w:tc>
      </w:tr>
      <w:tr w:rsidR="00E20B7B" w:rsidTr="00122158">
        <w:trPr>
          <w:jc w:val="center"/>
        </w:trPr>
        <w:tc>
          <w:tcPr>
            <w:tcW w:w="956" w:type="dxa"/>
          </w:tcPr>
          <w:p w:rsidR="00E20B7B" w:rsidRDefault="00E20B7B" w:rsidP="00B62D0A">
            <w:pPr>
              <w:jc w:val="center"/>
            </w:pPr>
            <w:r>
              <w:t xml:space="preserve">Average </w:t>
            </w:r>
            <w:r w:rsidR="00466C0A">
              <w:t xml:space="preserve">Across </w:t>
            </w:r>
            <w:r>
              <w:t>All 46 Sites</w:t>
            </w:r>
          </w:p>
        </w:tc>
        <w:tc>
          <w:tcPr>
            <w:tcW w:w="700" w:type="dxa"/>
            <w:vAlign w:val="center"/>
          </w:tcPr>
          <w:p w:rsidR="00E20B7B" w:rsidRDefault="00E20B7B" w:rsidP="00E20B7B">
            <w:pPr>
              <w:jc w:val="center"/>
            </w:pPr>
            <w:r>
              <w:t>2.4</w:t>
            </w:r>
          </w:p>
        </w:tc>
        <w:tc>
          <w:tcPr>
            <w:tcW w:w="701" w:type="dxa"/>
            <w:vAlign w:val="center"/>
          </w:tcPr>
          <w:p w:rsidR="00E20B7B" w:rsidRDefault="00E20B7B" w:rsidP="00E20B7B">
            <w:pPr>
              <w:jc w:val="center"/>
            </w:pPr>
            <w:r>
              <w:t>2.0</w:t>
            </w:r>
          </w:p>
        </w:tc>
        <w:tc>
          <w:tcPr>
            <w:tcW w:w="866" w:type="dxa"/>
            <w:vAlign w:val="center"/>
          </w:tcPr>
          <w:p w:rsidR="00E20B7B" w:rsidRDefault="00E20B7B" w:rsidP="00E20B7B">
            <w:pPr>
              <w:jc w:val="center"/>
            </w:pPr>
            <w:r>
              <w:t>0.4</w:t>
            </w:r>
          </w:p>
        </w:tc>
        <w:tc>
          <w:tcPr>
            <w:tcW w:w="776" w:type="dxa"/>
            <w:vAlign w:val="center"/>
          </w:tcPr>
          <w:p w:rsidR="00E20B7B" w:rsidRDefault="00E20B7B" w:rsidP="00E20B7B">
            <w:pPr>
              <w:jc w:val="center"/>
            </w:pPr>
            <w:r>
              <w:t>8.9</w:t>
            </w:r>
          </w:p>
        </w:tc>
        <w:tc>
          <w:tcPr>
            <w:tcW w:w="776" w:type="dxa"/>
            <w:vAlign w:val="center"/>
          </w:tcPr>
          <w:p w:rsidR="00E20B7B" w:rsidRDefault="00E20B7B" w:rsidP="00E20B7B">
            <w:pPr>
              <w:jc w:val="center"/>
            </w:pPr>
            <w:r>
              <w:t>5.1</w:t>
            </w:r>
          </w:p>
        </w:tc>
        <w:tc>
          <w:tcPr>
            <w:tcW w:w="866" w:type="dxa"/>
            <w:vAlign w:val="center"/>
          </w:tcPr>
          <w:p w:rsidR="00E20B7B" w:rsidRDefault="00E20B7B" w:rsidP="00E20B7B">
            <w:pPr>
              <w:jc w:val="center"/>
            </w:pPr>
            <w:r>
              <w:t>3.8</w:t>
            </w:r>
          </w:p>
        </w:tc>
        <w:tc>
          <w:tcPr>
            <w:tcW w:w="872" w:type="dxa"/>
            <w:vAlign w:val="center"/>
          </w:tcPr>
          <w:p w:rsidR="00E20B7B" w:rsidRDefault="00122414" w:rsidP="00E20B7B">
            <w:pPr>
              <w:jc w:val="center"/>
            </w:pPr>
            <w:r>
              <w:t>487.4</w:t>
            </w:r>
          </w:p>
        </w:tc>
        <w:tc>
          <w:tcPr>
            <w:tcW w:w="872" w:type="dxa"/>
            <w:vAlign w:val="center"/>
          </w:tcPr>
          <w:p w:rsidR="00E20B7B" w:rsidRDefault="00E20B7B" w:rsidP="00E20B7B">
            <w:pPr>
              <w:jc w:val="center"/>
            </w:pPr>
            <w:r>
              <w:t>247.00</w:t>
            </w:r>
          </w:p>
        </w:tc>
        <w:tc>
          <w:tcPr>
            <w:tcW w:w="1243" w:type="dxa"/>
            <w:vAlign w:val="center"/>
          </w:tcPr>
          <w:p w:rsidR="00E20B7B" w:rsidRDefault="00E20B7B" w:rsidP="00E20B7B">
            <w:pPr>
              <w:jc w:val="center"/>
            </w:pPr>
            <w:r>
              <w:t>49.0%</w:t>
            </w:r>
          </w:p>
        </w:tc>
        <w:tc>
          <w:tcPr>
            <w:tcW w:w="948" w:type="dxa"/>
            <w:vAlign w:val="center"/>
          </w:tcPr>
          <w:p w:rsidR="00E20B7B" w:rsidRDefault="00E20B7B" w:rsidP="00E20B7B">
            <w:pPr>
              <w:jc w:val="center"/>
            </w:pPr>
            <w:r>
              <w:t>240</w:t>
            </w:r>
            <w:r w:rsidR="00122414">
              <w:t>.4</w:t>
            </w:r>
          </w:p>
        </w:tc>
      </w:tr>
    </w:tbl>
    <w:p w:rsidR="001E56C7" w:rsidRPr="00333E99" w:rsidRDefault="001E56C7" w:rsidP="001E56C7">
      <w:pPr>
        <w:pStyle w:val="Heading6"/>
        <w:rPr>
          <w:b/>
        </w:rPr>
      </w:pPr>
      <w:r>
        <w:rPr>
          <w:b/>
        </w:rPr>
        <w:t xml:space="preserve">Pre-Installation and Post-Installation Average </w:t>
      </w:r>
      <w:r w:rsidRPr="00333E99">
        <w:rPr>
          <w:b/>
        </w:rPr>
        <w:t xml:space="preserve">Daily Usage </w:t>
      </w:r>
      <w:r w:rsidR="007F242A">
        <w:rPr>
          <w:b/>
        </w:rPr>
        <w:t>Conclusion</w:t>
      </w:r>
      <w:r>
        <w:rPr>
          <w:b/>
        </w:rPr>
        <w:t xml:space="preserve"> </w:t>
      </w:r>
    </w:p>
    <w:p w:rsidR="001B3D26" w:rsidRDefault="007F242A" w:rsidP="001E56C7">
      <w:r>
        <w:t xml:space="preserve">After testing the hypothesis, the </w:t>
      </w:r>
      <w:r w:rsidR="001B3D26">
        <w:t>data evidences</w:t>
      </w:r>
      <w:r w:rsidR="006A2AC5">
        <w:t xml:space="preserve"> that </w:t>
      </w:r>
      <w:r w:rsidR="001B3D26">
        <w:t>increases in average daily uses were</w:t>
      </w:r>
      <w:r w:rsidR="006A2AC5">
        <w:t xml:space="preserve"> not linked to an </w:t>
      </w:r>
      <w:r>
        <w:t>increase in daily usage hours</w:t>
      </w:r>
      <w:r w:rsidR="006A2AC5">
        <w:t>. Therefore</w:t>
      </w:r>
      <w:r w:rsidR="001B3D26">
        <w:t>,</w:t>
      </w:r>
      <w:r w:rsidR="006A2AC5">
        <w:t xml:space="preserve"> the hypothesis that the </w:t>
      </w:r>
      <w:r>
        <w:t>baseline energy consumption</w:t>
      </w:r>
      <w:r w:rsidR="006A2AC5">
        <w:t xml:space="preserve"> and </w:t>
      </w:r>
      <w:r>
        <w:t xml:space="preserve">ERP </w:t>
      </w:r>
      <w:r w:rsidR="006A2AC5">
        <w:t xml:space="preserve">were influenced by an increase in device </w:t>
      </w:r>
      <w:r w:rsidR="001B3D26">
        <w:t>uses</w:t>
      </w:r>
      <w:r w:rsidR="006A2AC5">
        <w:t xml:space="preserve"> in the pre period would overstate </w:t>
      </w:r>
      <w:r>
        <w:t>energy savings is not correct.</w:t>
      </w:r>
    </w:p>
    <w:p w:rsidR="001B3D26" w:rsidRDefault="001B3D26" w:rsidP="001E56C7"/>
    <w:p w:rsidR="001E56C7" w:rsidRDefault="007F242A" w:rsidP="001E56C7">
      <w:r w:rsidRPr="001B3D26">
        <w:rPr>
          <w:b/>
        </w:rPr>
        <w:t>Table</w:t>
      </w:r>
      <w:r w:rsidR="006A2AC5" w:rsidRPr="001B3D26">
        <w:rPr>
          <w:b/>
        </w:rPr>
        <w:t xml:space="preserve"> </w:t>
      </w:r>
      <w:r w:rsidR="001B3D26">
        <w:rPr>
          <w:b/>
        </w:rPr>
        <w:t>14</w:t>
      </w:r>
      <w:r>
        <w:t xml:space="preserve"> exhibits and </w:t>
      </w:r>
      <w:r w:rsidR="001E56C7">
        <w:t xml:space="preserve">concludes that the increase in average daily uses in the pre period over the post period </w:t>
      </w:r>
      <w:r>
        <w:t xml:space="preserve">for these six (6) sites </w:t>
      </w:r>
      <w:r w:rsidR="001E56C7">
        <w:t>was not due to an increas</w:t>
      </w:r>
      <w:r>
        <w:t>e in AV usage</w:t>
      </w:r>
      <w:r w:rsidR="001B3D26">
        <w:t xml:space="preserve"> hours</w:t>
      </w:r>
      <w:r>
        <w:t xml:space="preserve"> in the pre period.</w:t>
      </w:r>
      <w:r w:rsidR="001E56C7">
        <w:t xml:space="preserve"> </w:t>
      </w:r>
      <w:r>
        <w:t>R</w:t>
      </w:r>
      <w:r w:rsidR="001E56C7">
        <w:t>ather</w:t>
      </w:r>
      <w:r>
        <w:t>, the increase in the average daily uses in the pre period is</w:t>
      </w:r>
      <w:r w:rsidR="001E56C7">
        <w:t xml:space="preserve"> likely due to a </w:t>
      </w:r>
      <w:r>
        <w:t>behavioral</w:t>
      </w:r>
      <w:r w:rsidR="001E56C7">
        <w:t xml:space="preserve"> influence from the Tier 2 APS</w:t>
      </w:r>
      <w:r>
        <w:t>, which educated trial participants</w:t>
      </w:r>
      <w:r w:rsidR="001E56C7">
        <w:t xml:space="preserve"> to switch off their equipment between viewing programs in the pre period. </w:t>
      </w:r>
      <w:r>
        <w:t>As such, s</w:t>
      </w:r>
      <w:r w:rsidR="001E56C7">
        <w:t xml:space="preserve">witching off equipment when it is not being used (i.e. at the culmination of viewing a program) would then require </w:t>
      </w:r>
      <w:r>
        <w:t xml:space="preserve">the household </w:t>
      </w:r>
      <w:r w:rsidR="001E56C7">
        <w:t>to switch</w:t>
      </w:r>
      <w:r>
        <w:t xml:space="preserve"> the equipment</w:t>
      </w:r>
      <w:r w:rsidR="001E56C7">
        <w:t xml:space="preserve"> back on </w:t>
      </w:r>
      <w:r>
        <w:t xml:space="preserve">to watch another program, which increases </w:t>
      </w:r>
      <w:r w:rsidR="001E56C7">
        <w:t xml:space="preserve">daily uses in the pre period. </w:t>
      </w:r>
    </w:p>
    <w:p w:rsidR="001E56C7" w:rsidRDefault="001E56C7" w:rsidP="001E56C7"/>
    <w:p w:rsidR="001E56C7" w:rsidRDefault="007F242A" w:rsidP="001E56C7">
      <w:r>
        <w:t xml:space="preserve">As shown in </w:t>
      </w:r>
      <w:r w:rsidRPr="003D22CE">
        <w:rPr>
          <w:b/>
        </w:rPr>
        <w:t>Table 1</w:t>
      </w:r>
      <w:r w:rsidR="003D22CE" w:rsidRPr="003D22CE">
        <w:rPr>
          <w:b/>
        </w:rPr>
        <w:t>4</w:t>
      </w:r>
      <w:r>
        <w:t>, t</w:t>
      </w:r>
      <w:r w:rsidR="001E56C7">
        <w:t>he increase in daily uses in the pre period over the post period did not increase energy saving</w:t>
      </w:r>
      <w:r>
        <w:t>s</w:t>
      </w:r>
      <w:r w:rsidR="001E56C7">
        <w:t xml:space="preserve"> because it was not linked to </w:t>
      </w:r>
      <w:r>
        <w:t>an increase in equipment usage. R</w:t>
      </w:r>
      <w:r w:rsidR="001E56C7">
        <w:t>ather</w:t>
      </w:r>
      <w:r w:rsidR="003D22CE">
        <w:t xml:space="preserve">, as shown in </w:t>
      </w:r>
      <w:r w:rsidR="003D22CE" w:rsidRPr="003D22CE">
        <w:rPr>
          <w:b/>
        </w:rPr>
        <w:t>Table 14</w:t>
      </w:r>
      <w:r>
        <w:t xml:space="preserve">, </w:t>
      </w:r>
      <w:r w:rsidR="001E56C7">
        <w:t xml:space="preserve">the increase in daily uses was due to more efficient appliance usage </w:t>
      </w:r>
      <w:r>
        <w:t>by the household. Thus,</w:t>
      </w:r>
      <w:r w:rsidR="001E56C7">
        <w:t xml:space="preserve"> any </w:t>
      </w:r>
      <w:r>
        <w:t xml:space="preserve">normalization </w:t>
      </w:r>
      <w:r w:rsidR="001E56C7">
        <w:t>adjustment in the energy saving</w:t>
      </w:r>
      <w:r>
        <w:t>s</w:t>
      </w:r>
      <w:r w:rsidR="001E56C7">
        <w:t xml:space="preserve"> and ERP values for the</w:t>
      </w:r>
      <w:r w:rsidR="001B3D26">
        <w:t>se</w:t>
      </w:r>
      <w:r w:rsidR="001E56C7">
        <w:t xml:space="preserve"> 46 samples should </w:t>
      </w:r>
      <w:r>
        <w:t xml:space="preserve">result in </w:t>
      </w:r>
      <w:r w:rsidR="001E56C7">
        <w:t>increase</w:t>
      </w:r>
      <w:r>
        <w:t xml:space="preserve">d </w:t>
      </w:r>
      <w:r w:rsidR="001E56C7">
        <w:t>energy savings and energy reduction percentage</w:t>
      </w:r>
      <w:r w:rsidR="006A2AC5">
        <w:t xml:space="preserve"> values</w:t>
      </w:r>
      <w:r w:rsidR="001E56C7">
        <w:t xml:space="preserve"> as </w:t>
      </w:r>
      <w:r>
        <w:t xml:space="preserve">supported by the data analysis. </w:t>
      </w:r>
      <w:r w:rsidR="00277CE7">
        <w:t>Therefore</w:t>
      </w:r>
      <w:r w:rsidR="001E56C7">
        <w:t xml:space="preserve">, a conservative view would be to leave both </w:t>
      </w:r>
      <w:r>
        <w:t xml:space="preserve">the annual energy savings and ERP </w:t>
      </w:r>
      <w:r w:rsidR="001E56C7">
        <w:t>values at the 240 kWh and 49%</w:t>
      </w:r>
      <w:r>
        <w:t>, respectively.</w:t>
      </w:r>
      <w:r w:rsidR="00724942">
        <w:t xml:space="preserve"> </w:t>
      </w:r>
    </w:p>
    <w:p w:rsidR="007F242A" w:rsidRDefault="007F242A" w:rsidP="001E56C7"/>
    <w:p w:rsidR="00D7475F" w:rsidRDefault="00452454" w:rsidP="00D7475F">
      <w:pPr>
        <w:jc w:val="center"/>
      </w:pPr>
      <w:r>
        <w:rPr>
          <w:noProof/>
        </w:rPr>
        <w:lastRenderedPageBreak/>
        <mc:AlternateContent>
          <mc:Choice Requires="wps">
            <w:drawing>
              <wp:anchor distT="0" distB="0" distL="114300" distR="114300" simplePos="0" relativeHeight="251671552" behindDoc="0" locked="0" layoutInCell="1" allowOverlap="1" wp14:anchorId="38E57614" wp14:editId="55EFAC8A">
                <wp:simplePos x="0" y="0"/>
                <wp:positionH relativeFrom="column">
                  <wp:posOffset>4914199</wp:posOffset>
                </wp:positionH>
                <wp:positionV relativeFrom="paragraph">
                  <wp:posOffset>294799</wp:posOffset>
                </wp:positionV>
                <wp:extent cx="948059" cy="740495"/>
                <wp:effectExtent l="0" t="0" r="4445" b="2540"/>
                <wp:wrapNone/>
                <wp:docPr id="26" name="Text Box 26"/>
                <wp:cNvGraphicFramePr/>
                <a:graphic xmlns:a="http://schemas.openxmlformats.org/drawingml/2006/main">
                  <a:graphicData uri="http://schemas.microsoft.com/office/word/2010/wordprocessingShape">
                    <wps:wsp>
                      <wps:cNvSpPr txBox="1"/>
                      <wps:spPr>
                        <a:xfrm>
                          <a:off x="0" y="0"/>
                          <a:ext cx="948059" cy="7404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D7929" w:rsidRPr="005774DB" w:rsidRDefault="008D7929">
                            <w:pPr>
                              <w:rPr>
                                <w:color w:val="FF0000"/>
                              </w:rPr>
                            </w:pPr>
                            <w:r w:rsidRPr="005774DB">
                              <w:rPr>
                                <w:color w:val="FF0000"/>
                              </w:rPr>
                              <w:t>Original Hypothesis</w:t>
                            </w:r>
                            <w:r w:rsidRPr="00452454">
                              <w:rPr>
                                <w:color w:val="FF0000"/>
                              </w:rPr>
                              <w:t xml:space="preserve"> Trend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386.95pt;margin-top:23.2pt;width:74.65pt;height:58.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" fillcolor="white [3201]" stroked="f" strokeweight=".5pt">
                <v:textbox>
                  <w:txbxContent>
                    <w:p w:rsidR="008D7929" w:rsidRPr="005774DB" w:rsidRDefault="008D7929">
                      <w:pPr>
                        <w:rPr>
                          <w:color w:val="FF0000"/>
                        </w:rPr>
                      </w:pPr>
                      <w:r w:rsidRPr="005774DB">
                        <w:rPr>
                          <w:color w:val="FF0000"/>
                        </w:rPr>
                        <w:t>Original Hypothesis</w:t>
                      </w:r>
                      <w:r w:rsidRPr="00452454">
                        <w:rPr>
                          <w:color w:val="FF0000"/>
                        </w:rPr>
                        <w:t xml:space="preserve"> Trend Line</w:t>
                      </w:r>
                    </w:p>
                  </w:txbxContent>
                </v:textbox>
              </v:shape>
            </w:pict>
          </mc:Fallback>
        </mc:AlternateContent>
      </w:r>
      <w:r w:rsidR="00DE7975">
        <w:rPr>
          <w:noProof/>
        </w:rPr>
        <mc:AlternateContent>
          <mc:Choice Requires="wps">
            <w:drawing>
              <wp:anchor distT="0" distB="0" distL="114300" distR="114300" simplePos="0" relativeHeight="251670528" behindDoc="0" locked="0" layoutInCell="1" allowOverlap="1" wp14:anchorId="66BB0AB7" wp14:editId="3096ED7E">
                <wp:simplePos x="0" y="0"/>
                <wp:positionH relativeFrom="column">
                  <wp:posOffset>1318260</wp:posOffset>
                </wp:positionH>
                <wp:positionV relativeFrom="paragraph">
                  <wp:posOffset>425450</wp:posOffset>
                </wp:positionV>
                <wp:extent cx="3589020" cy="723900"/>
                <wp:effectExtent l="0" t="0" r="30480" b="19050"/>
                <wp:wrapNone/>
                <wp:docPr id="13" name="Straight Connector 13"/>
                <wp:cNvGraphicFramePr/>
                <a:graphic xmlns:a="http://schemas.openxmlformats.org/drawingml/2006/main">
                  <a:graphicData uri="http://schemas.microsoft.com/office/word/2010/wordprocessingShape">
                    <wps:wsp>
                      <wps:cNvCnPr/>
                      <wps:spPr>
                        <a:xfrm flipV="1">
                          <a:off x="0" y="0"/>
                          <a:ext cx="3589020" cy="72390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21BA565" id="Straight Connector 13"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8pt,33.5pt" to="386.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" strokecolor="red" strokeweight="1pt"/>
            </w:pict>
          </mc:Fallback>
        </mc:AlternateContent>
      </w:r>
      <w:r w:rsidR="006A2AC5" w:rsidRPr="006A2AC5">
        <w:t xml:space="preserve"> </w:t>
      </w:r>
      <w:r w:rsidR="006A2AC5" w:rsidRPr="006A2AC5">
        <w:rPr>
          <w:noProof/>
        </w:rPr>
        <w:drawing>
          <wp:inline distT="0" distB="0" distL="0" distR="0" wp14:anchorId="2921BA8A" wp14:editId="0DFE09B7">
            <wp:extent cx="3261815" cy="1954911"/>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61246" cy="1954570"/>
                    </a:xfrm>
                    <a:prstGeom prst="rect">
                      <a:avLst/>
                    </a:prstGeom>
                    <a:noFill/>
                    <a:ln>
                      <a:noFill/>
                    </a:ln>
                  </pic:spPr>
                </pic:pic>
              </a:graphicData>
            </a:graphic>
          </wp:inline>
        </w:drawing>
      </w:r>
    </w:p>
    <w:p w:rsidR="00D7475F" w:rsidRDefault="00D7475F" w:rsidP="00E671F5"/>
    <w:p w:rsidR="00D7475F" w:rsidRDefault="00D7475F" w:rsidP="00D7475F">
      <w:pPr>
        <w:jc w:val="center"/>
        <w:rPr>
          <w:b/>
        </w:rPr>
      </w:pPr>
      <w:r>
        <w:rPr>
          <w:b/>
        </w:rPr>
        <w:t>Figure 11: Effect of Daily Use Increase in the Pre Period on the kWh Saved</w:t>
      </w:r>
    </w:p>
    <w:p w:rsidR="00D7475F" w:rsidRDefault="00D7475F" w:rsidP="00E671F5"/>
    <w:p w:rsidR="00DE7975" w:rsidRDefault="00DE7975" w:rsidP="00E671F5">
      <w:r>
        <w:t>To further test the SCE Report hypothesis, an analysis was conducted to assess the effect of increasing daily use</w:t>
      </w:r>
      <w:r w:rsidR="005774DB">
        <w:t>s</w:t>
      </w:r>
      <w:r>
        <w:t xml:space="preserve"> </w:t>
      </w:r>
      <w:r w:rsidR="005774DB">
        <w:t>from</w:t>
      </w:r>
      <w:r>
        <w:t xml:space="preserve"> the pre </w:t>
      </w:r>
      <w:r w:rsidR="005774DB">
        <w:t>to</w:t>
      </w:r>
      <w:r>
        <w:t xml:space="preserve"> post period </w:t>
      </w:r>
      <w:r w:rsidR="005774DB">
        <w:t>at</w:t>
      </w:r>
      <w:r>
        <w:t xml:space="preserve"> the same site </w:t>
      </w:r>
      <w:r w:rsidR="005774DB">
        <w:t xml:space="preserve">with respect to </w:t>
      </w:r>
      <w:r>
        <w:t xml:space="preserve">the </w:t>
      </w:r>
      <w:r w:rsidR="006A2AC5">
        <w:t>ERP</w:t>
      </w:r>
      <w:r>
        <w:t>. If this hypothesis was true</w:t>
      </w:r>
      <w:r w:rsidR="006A2AC5">
        <w:t xml:space="preserve">, </w:t>
      </w:r>
      <w:r>
        <w:t>a positive trend line slope (illustrated in red)</w:t>
      </w:r>
      <w:r w:rsidR="005774DB">
        <w:t xml:space="preserve"> is expected because a </w:t>
      </w:r>
      <w:r w:rsidR="00CB4965">
        <w:t>positive trend line would demonstrate that as the pre period daily uses increased over the post period</w:t>
      </w:r>
      <w:r w:rsidR="005774DB">
        <w:t xml:space="preserve">, </w:t>
      </w:r>
      <w:r w:rsidR="00CB4965">
        <w:t xml:space="preserve">the pre period energy usage and annual calculated </w:t>
      </w:r>
      <w:r w:rsidR="00D51799">
        <w:t>energy reduction percentage</w:t>
      </w:r>
      <w:r w:rsidR="005774DB">
        <w:t xml:space="preserve"> would also increase</w:t>
      </w:r>
      <w:r w:rsidR="00CB4965">
        <w:t xml:space="preserve">. </w:t>
      </w:r>
    </w:p>
    <w:p w:rsidR="00CB4965" w:rsidRDefault="00CB4965" w:rsidP="00E671F5"/>
    <w:p w:rsidR="00CB4965" w:rsidRDefault="005774DB" w:rsidP="00E671F5">
      <w:r>
        <w:t xml:space="preserve">However, </w:t>
      </w:r>
      <w:r w:rsidR="00CB4965" w:rsidRPr="005774DB">
        <w:rPr>
          <w:b/>
        </w:rPr>
        <w:t>Figure 11</w:t>
      </w:r>
      <w:r w:rsidR="00CB4965">
        <w:t xml:space="preserve"> demonstrates that there is no linear or positive relationship between the daily uses and the </w:t>
      </w:r>
      <w:r w:rsidR="004E1A48">
        <w:t>energy reduction percentage. Thus, the data</w:t>
      </w:r>
      <w:r w:rsidR="00CB4965">
        <w:t xml:space="preserve"> effectively disprov</w:t>
      </w:r>
      <w:r w:rsidR="004E1A48">
        <w:t>es</w:t>
      </w:r>
      <w:r w:rsidR="00CB4965">
        <w:t xml:space="preserve"> the untested SCE report hypothesis and support</w:t>
      </w:r>
      <w:r w:rsidR="004E1A48">
        <w:t>s</w:t>
      </w:r>
      <w:r w:rsidR="00CB4965">
        <w:t xml:space="preserve"> an Energy Reduction Percentage (ERP) and kWh saving from the 46 samples sites of 49% and 240 kWh respectively.</w:t>
      </w:r>
      <w:r w:rsidR="00D51799">
        <w:t xml:space="preserve"> </w:t>
      </w:r>
      <w:r w:rsidR="004E1A48">
        <w:t>Contrastingly, t</w:t>
      </w:r>
      <w:r w:rsidR="00D51799">
        <w:t>he data demonstrate</w:t>
      </w:r>
      <w:r w:rsidR="004E1A48">
        <w:t>d</w:t>
      </w:r>
      <w:r w:rsidR="00D51799">
        <w:t xml:space="preserve"> </w:t>
      </w:r>
      <w:r w:rsidR="004E1A48">
        <w:t xml:space="preserve">an increase in </w:t>
      </w:r>
      <w:r w:rsidR="00D51799">
        <w:t>daily uses</w:t>
      </w:r>
      <w:r w:rsidR="004E1A48">
        <w:t>,</w:t>
      </w:r>
      <w:r w:rsidR="00D51799">
        <w:t xml:space="preserve"> in the pre period compared to the post period</w:t>
      </w:r>
      <w:r w:rsidR="004E1A48">
        <w:t>, was more likely due to efficient device usage, which lowered pre-period baseline consumption, calculated energy savings and ERP</w:t>
      </w:r>
      <w:r w:rsidR="00D51799">
        <w:t xml:space="preserve">. </w:t>
      </w:r>
      <w:r w:rsidR="004E1A48">
        <w:t xml:space="preserve">Therefore, the data </w:t>
      </w:r>
      <w:r w:rsidR="00D51799">
        <w:t>supports that users were</w:t>
      </w:r>
      <w:r w:rsidR="004E1A48">
        <w:t xml:space="preserve"> likely </w:t>
      </w:r>
      <w:r w:rsidR="00D51799">
        <w:t>behaving more efficiently in the pre period</w:t>
      </w:r>
      <w:r w:rsidR="004E1A48">
        <w:t xml:space="preserve"> increasing daily uses attributed to</w:t>
      </w:r>
      <w:r w:rsidR="00D51799">
        <w:t xml:space="preserve"> switching off equipment when </w:t>
      </w:r>
      <w:r w:rsidR="004E1A48">
        <w:t>not</w:t>
      </w:r>
      <w:r w:rsidR="00D51799">
        <w:t xml:space="preserve"> being used and then switching equipment back on </w:t>
      </w:r>
      <w:r w:rsidR="004E1A48">
        <w:t xml:space="preserve">at a </w:t>
      </w:r>
      <w:r w:rsidR="00D51799">
        <w:t>later</w:t>
      </w:r>
      <w:r w:rsidR="004E1A48">
        <w:t xml:space="preserve"> time</w:t>
      </w:r>
      <w:r w:rsidR="00D51799">
        <w:t>.</w:t>
      </w:r>
    </w:p>
    <w:p w:rsidR="00DE7975" w:rsidRDefault="00DE7975" w:rsidP="00E671F5"/>
    <w:p w:rsidR="005C1101" w:rsidRPr="007A33F7" w:rsidRDefault="005C1101" w:rsidP="005C1101">
      <w:pPr>
        <w:rPr>
          <w:rFonts w:asciiTheme="majorHAnsi" w:eastAsiaTheme="majorEastAsia" w:hAnsiTheme="majorHAnsi" w:cstheme="majorBidi"/>
          <w:b/>
          <w:bCs/>
          <w:i/>
          <w:iCs/>
          <w:color w:val="4F81BD" w:themeColor="accent1"/>
        </w:rPr>
      </w:pPr>
      <w:r w:rsidRPr="007A33F7">
        <w:rPr>
          <w:rFonts w:asciiTheme="majorHAnsi" w:eastAsiaTheme="majorEastAsia" w:hAnsiTheme="majorHAnsi" w:cstheme="majorBidi"/>
          <w:b/>
          <w:bCs/>
          <w:i/>
          <w:iCs/>
          <w:color w:val="4F81BD" w:themeColor="accent1"/>
        </w:rPr>
        <w:t>Energy Interactive Effects</w:t>
      </w:r>
    </w:p>
    <w:p w:rsidR="005C1101" w:rsidRDefault="005C1101" w:rsidP="005C1101">
      <w:pPr>
        <w:spacing w:before="40" w:after="40"/>
        <w:rPr>
          <w:rFonts w:cstheme="minorHAnsi"/>
          <w:szCs w:val="22"/>
        </w:rPr>
      </w:pPr>
      <w:r>
        <w:rPr>
          <w:rFonts w:cstheme="minorHAnsi"/>
          <w:szCs w:val="22"/>
        </w:rPr>
        <w:t xml:space="preserve">Tier 2 </w:t>
      </w:r>
      <w:r w:rsidR="001A0792">
        <w:rPr>
          <w:rFonts w:cstheme="minorHAnsi"/>
          <w:szCs w:val="22"/>
        </w:rPr>
        <w:t xml:space="preserve">Advanced </w:t>
      </w:r>
      <w:r>
        <w:rPr>
          <w:rFonts w:cstheme="minorHAnsi"/>
          <w:szCs w:val="22"/>
        </w:rPr>
        <w:t xml:space="preserve">Smart Connected </w:t>
      </w:r>
      <w:r w:rsidR="001A0792">
        <w:rPr>
          <w:rFonts w:cstheme="minorHAnsi"/>
          <w:szCs w:val="22"/>
        </w:rPr>
        <w:t>Power Strip</w:t>
      </w:r>
      <w:r w:rsidRPr="00F86331">
        <w:rPr>
          <w:rFonts w:cstheme="minorHAnsi"/>
          <w:szCs w:val="22"/>
        </w:rPr>
        <w:t xml:space="preserve"> </w:t>
      </w:r>
      <w:r>
        <w:rPr>
          <w:rFonts w:cstheme="minorHAnsi"/>
          <w:szCs w:val="22"/>
        </w:rPr>
        <w:t>devices</w:t>
      </w:r>
      <w:r w:rsidRPr="00F86331">
        <w:rPr>
          <w:rFonts w:cstheme="minorHAnsi"/>
          <w:szCs w:val="22"/>
        </w:rPr>
        <w:t xml:space="preserve"> d</w:t>
      </w:r>
      <w:r>
        <w:rPr>
          <w:rFonts w:cstheme="minorHAnsi"/>
          <w:szCs w:val="22"/>
        </w:rPr>
        <w:t xml:space="preserve">o have HVAC interactive effects. However, </w:t>
      </w:r>
      <w:r w:rsidRPr="00F86331">
        <w:rPr>
          <w:rFonts w:cstheme="minorHAnsi"/>
          <w:szCs w:val="22"/>
        </w:rPr>
        <w:t xml:space="preserve">DEER does not include </w:t>
      </w:r>
      <w:r>
        <w:rPr>
          <w:rFonts w:cstheme="minorHAnsi"/>
          <w:szCs w:val="22"/>
        </w:rPr>
        <w:t xml:space="preserve">energy </w:t>
      </w:r>
      <w:r w:rsidRPr="00F86331">
        <w:rPr>
          <w:rFonts w:cstheme="minorHAnsi"/>
          <w:szCs w:val="22"/>
        </w:rPr>
        <w:t xml:space="preserve">interactive effects </w:t>
      </w:r>
      <w:r>
        <w:rPr>
          <w:rFonts w:cstheme="minorHAnsi"/>
          <w:szCs w:val="22"/>
        </w:rPr>
        <w:t xml:space="preserve">specifically </w:t>
      </w:r>
      <w:r w:rsidRPr="00F86331">
        <w:rPr>
          <w:rFonts w:cstheme="minorHAnsi"/>
          <w:szCs w:val="22"/>
        </w:rPr>
        <w:t xml:space="preserve">for </w:t>
      </w:r>
      <w:r>
        <w:rPr>
          <w:rFonts w:cstheme="minorHAnsi"/>
          <w:szCs w:val="22"/>
        </w:rPr>
        <w:t>this measure</w:t>
      </w:r>
      <w:r w:rsidRPr="00F86331">
        <w:rPr>
          <w:rFonts w:cstheme="minorHAnsi"/>
          <w:szCs w:val="22"/>
        </w:rPr>
        <w:t xml:space="preserve"> at this time. </w:t>
      </w:r>
      <w:r>
        <w:rPr>
          <w:rFonts w:cstheme="minorHAnsi"/>
          <w:szCs w:val="22"/>
        </w:rPr>
        <w:t>Thus, this measure will</w:t>
      </w:r>
      <w:r w:rsidRPr="00F86331">
        <w:rPr>
          <w:rFonts w:cstheme="minorHAnsi"/>
          <w:szCs w:val="22"/>
        </w:rPr>
        <w:t xml:space="preserve"> use the DEER HVAC interactive effects </w:t>
      </w:r>
      <w:r>
        <w:rPr>
          <w:rFonts w:cstheme="minorHAnsi"/>
          <w:szCs w:val="22"/>
        </w:rPr>
        <w:t>values used in</w:t>
      </w:r>
      <w:r w:rsidRPr="00F86331">
        <w:rPr>
          <w:rFonts w:cstheme="minorHAnsi"/>
          <w:szCs w:val="22"/>
        </w:rPr>
        <w:t xml:space="preserve"> </w:t>
      </w:r>
      <w:r w:rsidR="003E510E">
        <w:rPr>
          <w:rFonts w:cstheme="minorHAnsi"/>
          <w:szCs w:val="22"/>
        </w:rPr>
        <w:t xml:space="preserve">residential indoor </w:t>
      </w:r>
      <w:r w:rsidRPr="00F86331">
        <w:rPr>
          <w:rFonts w:cstheme="minorHAnsi"/>
          <w:szCs w:val="22"/>
        </w:rPr>
        <w:t xml:space="preserve">lighting power </w:t>
      </w:r>
      <w:r>
        <w:rPr>
          <w:rFonts w:cstheme="minorHAnsi"/>
          <w:szCs w:val="22"/>
        </w:rPr>
        <w:t>applications</w:t>
      </w:r>
      <w:r w:rsidRPr="00F86331">
        <w:rPr>
          <w:rFonts w:cstheme="minorHAnsi"/>
          <w:szCs w:val="22"/>
        </w:rPr>
        <w:t>.</w:t>
      </w:r>
      <w:r>
        <w:rPr>
          <w:rFonts w:cstheme="minorHAnsi"/>
          <w:szCs w:val="22"/>
        </w:rPr>
        <w:t xml:space="preserve"> Please refer to the ex-ante database for actual energy savings values. </w:t>
      </w:r>
    </w:p>
    <w:p w:rsidR="00365833" w:rsidRDefault="00365833" w:rsidP="005C1101">
      <w:pPr>
        <w:rPr>
          <w:rFonts w:asciiTheme="majorHAnsi" w:eastAsiaTheme="majorEastAsia" w:hAnsiTheme="majorHAnsi" w:cstheme="majorBidi"/>
          <w:b/>
          <w:bCs/>
          <w:i/>
          <w:iCs/>
          <w:color w:val="4F81BD" w:themeColor="accent1"/>
        </w:rPr>
      </w:pPr>
    </w:p>
    <w:p w:rsidR="00993BCC" w:rsidRDefault="005C1101" w:rsidP="005C1101">
      <w:pPr>
        <w:rPr>
          <w:rFonts w:asciiTheme="majorHAnsi" w:eastAsiaTheme="majorEastAsia" w:hAnsiTheme="majorHAnsi" w:cstheme="majorBidi"/>
          <w:b/>
          <w:bCs/>
          <w:i/>
          <w:iCs/>
          <w:color w:val="4F81BD" w:themeColor="accent1"/>
        </w:rPr>
      </w:pPr>
      <w:r w:rsidRPr="00456A97">
        <w:rPr>
          <w:rFonts w:asciiTheme="majorHAnsi" w:eastAsiaTheme="majorEastAsia" w:hAnsiTheme="majorHAnsi" w:cstheme="majorBidi"/>
          <w:b/>
          <w:bCs/>
          <w:i/>
          <w:iCs/>
          <w:color w:val="4F81BD" w:themeColor="accent1"/>
        </w:rPr>
        <w:t>Peak Demand Reduction</w:t>
      </w:r>
      <w:r w:rsidR="00993BCC">
        <w:rPr>
          <w:rFonts w:asciiTheme="majorHAnsi" w:eastAsiaTheme="majorEastAsia" w:hAnsiTheme="majorHAnsi" w:cstheme="majorBidi"/>
          <w:b/>
          <w:bCs/>
          <w:i/>
          <w:iCs/>
          <w:color w:val="4F81BD" w:themeColor="accent1"/>
        </w:rPr>
        <w:t xml:space="preserve"> </w:t>
      </w:r>
    </w:p>
    <w:p w:rsidR="00993BCC" w:rsidRPr="00993BCC" w:rsidRDefault="00993BCC" w:rsidP="00993BCC">
      <w:pPr>
        <w:rPr>
          <w:rFonts w:cstheme="minorHAnsi"/>
          <w:szCs w:val="22"/>
        </w:rPr>
      </w:pPr>
      <w:r w:rsidRPr="00993BCC">
        <w:rPr>
          <w:rFonts w:cstheme="minorHAnsi"/>
          <w:szCs w:val="22"/>
        </w:rPr>
        <w:t>In addition to energy savings, the APS devices tested in this study also ach</w:t>
      </w:r>
      <w:r w:rsidR="00094C65">
        <w:rPr>
          <w:rFonts w:cstheme="minorHAnsi"/>
          <w:szCs w:val="22"/>
        </w:rPr>
        <w:t xml:space="preserve">ieved some demand reduction. </w:t>
      </w:r>
      <w:r>
        <w:rPr>
          <w:rFonts w:cstheme="minorHAnsi"/>
          <w:szCs w:val="22"/>
        </w:rPr>
        <w:t>I</w:t>
      </w:r>
      <w:r w:rsidRPr="00993BCC">
        <w:rPr>
          <w:rFonts w:cstheme="minorHAnsi"/>
          <w:szCs w:val="22"/>
        </w:rPr>
        <w:t>n both the pre-installation and post-installation cases, the demand profile experiences a brief dip that roughly coincides with the DEER peak</w:t>
      </w:r>
      <w:r w:rsidR="00094C65">
        <w:rPr>
          <w:rFonts w:cstheme="minorHAnsi"/>
          <w:szCs w:val="22"/>
        </w:rPr>
        <w:t xml:space="preserve"> demand period of 2:00-5:00pm. </w:t>
      </w:r>
      <w:r w:rsidRPr="00993BCC">
        <w:rPr>
          <w:rFonts w:cstheme="minorHAnsi"/>
          <w:szCs w:val="22"/>
        </w:rPr>
        <w:t xml:space="preserve">This trend suggests that many participants in the study were away from home during on-peak hours. The associated demand savings are most likely due to standby demand reduction rather than turning off equipment that had been accidentally left on. </w:t>
      </w:r>
    </w:p>
    <w:p w:rsidR="00993BCC" w:rsidRDefault="00993BCC" w:rsidP="00993BCC">
      <w:pPr>
        <w:rPr>
          <w:rFonts w:cstheme="minorHAnsi"/>
          <w:szCs w:val="22"/>
        </w:rPr>
      </w:pPr>
    </w:p>
    <w:p w:rsidR="006F7ADA" w:rsidRDefault="00993BCC" w:rsidP="00993BCC">
      <w:pPr>
        <w:rPr>
          <w:rFonts w:cstheme="minorHAnsi"/>
          <w:szCs w:val="22"/>
        </w:rPr>
      </w:pPr>
      <w:r w:rsidRPr="003D22CE">
        <w:rPr>
          <w:rFonts w:cstheme="minorHAnsi"/>
          <w:b/>
          <w:szCs w:val="22"/>
        </w:rPr>
        <w:t>Figure</w:t>
      </w:r>
      <w:r w:rsidR="00094C65" w:rsidRPr="003D22CE">
        <w:rPr>
          <w:rFonts w:cstheme="minorHAnsi"/>
          <w:b/>
          <w:szCs w:val="22"/>
        </w:rPr>
        <w:t xml:space="preserve"> </w:t>
      </w:r>
      <w:r w:rsidR="003D22CE" w:rsidRPr="003D22CE">
        <w:rPr>
          <w:rFonts w:cstheme="minorHAnsi"/>
          <w:b/>
          <w:szCs w:val="22"/>
        </w:rPr>
        <w:t>12</w:t>
      </w:r>
      <w:r w:rsidRPr="00993BCC">
        <w:rPr>
          <w:rFonts w:cstheme="minorHAnsi"/>
          <w:szCs w:val="22"/>
        </w:rPr>
        <w:t xml:space="preserve"> plots the daily baseline demand profile, post-ins</w:t>
      </w:r>
      <w:r w:rsidR="00D302F8">
        <w:rPr>
          <w:rFonts w:cstheme="minorHAnsi"/>
          <w:szCs w:val="22"/>
        </w:rPr>
        <w:t xml:space="preserve">tallation daily demand profile </w:t>
      </w:r>
      <w:r w:rsidRPr="00993BCC">
        <w:rPr>
          <w:rFonts w:cstheme="minorHAnsi"/>
          <w:szCs w:val="22"/>
        </w:rPr>
        <w:t xml:space="preserve">(including weekday and weekend), and demand reduction, as averaged across all complete host sites over the </w:t>
      </w:r>
      <w:r w:rsidRPr="00993BCC">
        <w:rPr>
          <w:rFonts w:cstheme="minorHAnsi"/>
          <w:szCs w:val="22"/>
        </w:rPr>
        <w:lastRenderedPageBreak/>
        <w:t>measurement period. Note that the baseline demand fluctuates throughout the day, but</w:t>
      </w:r>
      <w:r w:rsidR="00094C65">
        <w:rPr>
          <w:rFonts w:cstheme="minorHAnsi"/>
          <w:szCs w:val="22"/>
        </w:rPr>
        <w:t xml:space="preserve"> peaks at 7am, 2pm and at 8pm. </w:t>
      </w:r>
      <w:r w:rsidRPr="00993BCC">
        <w:rPr>
          <w:rFonts w:cstheme="minorHAnsi"/>
          <w:szCs w:val="22"/>
        </w:rPr>
        <w:t>This daily demand profile differs from previous studies that reported a lone basel</w:t>
      </w:r>
      <w:r w:rsidR="00094C65">
        <w:rPr>
          <w:rFonts w:cstheme="minorHAnsi"/>
          <w:szCs w:val="22"/>
        </w:rPr>
        <w:t xml:space="preserve">ine demand peak at around 9pm.  </w:t>
      </w:r>
      <w:r w:rsidRPr="00993BCC">
        <w:rPr>
          <w:rFonts w:cstheme="minorHAnsi"/>
          <w:szCs w:val="22"/>
        </w:rPr>
        <w:t>This inconsistency with previously reported findings suggests that demographics or APS usage characteristics in this analysis may differ from other studies.</w:t>
      </w:r>
      <w:r w:rsidR="006F7ADA">
        <w:rPr>
          <w:rFonts w:cstheme="minorHAnsi"/>
          <w:szCs w:val="22"/>
        </w:rPr>
        <w:t xml:space="preserve"> </w:t>
      </w:r>
    </w:p>
    <w:p w:rsidR="006F7ADA" w:rsidRDefault="006F7ADA" w:rsidP="00993BCC">
      <w:pPr>
        <w:rPr>
          <w:rFonts w:cstheme="minorHAnsi"/>
          <w:szCs w:val="22"/>
        </w:rPr>
      </w:pPr>
    </w:p>
    <w:p w:rsidR="006F7ADA" w:rsidRDefault="006F7ADA" w:rsidP="00993BCC">
      <w:pPr>
        <w:rPr>
          <w:rFonts w:cstheme="minorHAnsi"/>
          <w:szCs w:val="22"/>
        </w:rPr>
      </w:pPr>
      <w:r w:rsidRPr="006F7ADA">
        <w:rPr>
          <w:rFonts w:cstheme="minorHAnsi"/>
          <w:szCs w:val="22"/>
        </w:rPr>
        <w:t xml:space="preserve">As </w:t>
      </w:r>
      <w:r w:rsidR="003D22CE" w:rsidRPr="003D22CE">
        <w:rPr>
          <w:rFonts w:cstheme="minorHAnsi"/>
          <w:b/>
          <w:szCs w:val="22"/>
        </w:rPr>
        <w:t>Figure 12</w:t>
      </w:r>
      <w:r>
        <w:rPr>
          <w:rFonts w:cstheme="minorHAnsi"/>
          <w:szCs w:val="22"/>
        </w:rPr>
        <w:t xml:space="preserve"> </w:t>
      </w:r>
      <w:r w:rsidRPr="006F7ADA">
        <w:rPr>
          <w:rFonts w:cstheme="minorHAnsi"/>
          <w:szCs w:val="22"/>
        </w:rPr>
        <w:t>illustrates, on average, positive demand savings were achieved for each hour of the day, with a maximum savings of approximately 64W occurring at around 3pm. It should also be noted that the demand savings is about 10W during off hours. Average demand savings across the entire day were about 27W.</w:t>
      </w:r>
      <w:r w:rsidR="00D302F8">
        <w:rPr>
          <w:rFonts w:cstheme="minorHAnsi"/>
          <w:szCs w:val="22"/>
        </w:rPr>
        <w:t xml:space="preserve"> </w:t>
      </w:r>
      <w:r w:rsidRPr="006F7ADA">
        <w:rPr>
          <w:rFonts w:cstheme="minorHAnsi"/>
          <w:szCs w:val="22"/>
        </w:rPr>
        <w:t xml:space="preserve">On-peak demand and demand savings were calculated by averaging the demand between 2pm and 5pm on complete weekdays. Nearly all surveyed sites exhibited savings during this DEER peak period, although two sites showed a slight increase in energy consumption during the period, likely due to varying use patterns. Overall, there was significant variation in peak demand period savings, ranging from -8W to 155W. The demand impacts are summarized in </w:t>
      </w:r>
      <w:r w:rsidRPr="003D22CE">
        <w:rPr>
          <w:rFonts w:cstheme="minorHAnsi"/>
          <w:b/>
          <w:szCs w:val="22"/>
        </w:rPr>
        <w:t xml:space="preserve">Table </w:t>
      </w:r>
      <w:r w:rsidR="003D22CE" w:rsidRPr="003D22CE">
        <w:rPr>
          <w:rFonts w:cstheme="minorHAnsi"/>
          <w:b/>
          <w:szCs w:val="22"/>
        </w:rPr>
        <w:t>15</w:t>
      </w:r>
      <w:r w:rsidR="00D302F8">
        <w:rPr>
          <w:rFonts w:cstheme="minorHAnsi"/>
          <w:szCs w:val="22"/>
        </w:rPr>
        <w:t>.</w:t>
      </w:r>
    </w:p>
    <w:p w:rsidR="00094C65" w:rsidRDefault="00094C65" w:rsidP="00993BCC">
      <w:pPr>
        <w:rPr>
          <w:rFonts w:cstheme="minorHAnsi"/>
          <w:szCs w:val="22"/>
        </w:rPr>
      </w:pPr>
    </w:p>
    <w:p w:rsidR="00094C65" w:rsidRPr="00993BCC" w:rsidRDefault="00094C65" w:rsidP="00094C65">
      <w:pPr>
        <w:jc w:val="center"/>
        <w:rPr>
          <w:rFonts w:cstheme="minorHAnsi"/>
          <w:szCs w:val="22"/>
        </w:rPr>
      </w:pPr>
      <w:r>
        <w:rPr>
          <w:noProof/>
        </w:rPr>
        <w:drawing>
          <wp:inline distT="0" distB="0" distL="0" distR="0" wp14:anchorId="3810DAF5" wp14:editId="3C42C267">
            <wp:extent cx="3483552" cy="2148560"/>
            <wp:effectExtent l="0" t="0" r="317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514728" cy="2167788"/>
                    </a:xfrm>
                    <a:prstGeom prst="rect">
                      <a:avLst/>
                    </a:prstGeom>
                  </pic:spPr>
                </pic:pic>
              </a:graphicData>
            </a:graphic>
          </wp:inline>
        </w:drawing>
      </w:r>
    </w:p>
    <w:p w:rsidR="006E2527" w:rsidRDefault="006E2527" w:rsidP="00094C65">
      <w:pPr>
        <w:jc w:val="center"/>
      </w:pPr>
    </w:p>
    <w:p w:rsidR="00094C65" w:rsidRPr="003D22CE" w:rsidRDefault="007F242A" w:rsidP="00094C65">
      <w:pPr>
        <w:jc w:val="center"/>
        <w:rPr>
          <w:b/>
        </w:rPr>
      </w:pPr>
      <w:r w:rsidRPr="003D22CE">
        <w:rPr>
          <w:b/>
        </w:rPr>
        <w:t>Figure 12</w:t>
      </w:r>
      <w:r w:rsidR="00094C65" w:rsidRPr="003D22CE">
        <w:rPr>
          <w:b/>
        </w:rPr>
        <w:t>: Average Host Site System Load Profile, Including Data from Weekdays and Weekends</w:t>
      </w:r>
    </w:p>
    <w:p w:rsidR="00365833" w:rsidRDefault="00365833" w:rsidP="00094C65">
      <w:pPr>
        <w:jc w:val="center"/>
        <w:rPr>
          <w:rFonts w:asciiTheme="majorHAnsi" w:eastAsiaTheme="majorEastAsia" w:hAnsiTheme="majorHAnsi" w:cstheme="majorBidi"/>
          <w:b/>
          <w:bCs/>
          <w:i/>
          <w:iCs/>
          <w:color w:val="4F81BD" w:themeColor="accent1"/>
        </w:rPr>
      </w:pPr>
    </w:p>
    <w:p w:rsidR="006F7ADA" w:rsidRPr="003D22CE" w:rsidRDefault="006F7ADA" w:rsidP="006F7ADA">
      <w:pPr>
        <w:jc w:val="center"/>
        <w:rPr>
          <w:b/>
        </w:rPr>
      </w:pPr>
      <w:r w:rsidRPr="003D22CE">
        <w:rPr>
          <w:b/>
        </w:rPr>
        <w:t>T</w:t>
      </w:r>
      <w:r w:rsidR="007F242A" w:rsidRPr="003D22CE">
        <w:rPr>
          <w:b/>
        </w:rPr>
        <w:t>able 1</w:t>
      </w:r>
      <w:r w:rsidR="003D22CE" w:rsidRPr="003D22CE">
        <w:rPr>
          <w:b/>
        </w:rPr>
        <w:t>5</w:t>
      </w:r>
      <w:r w:rsidRPr="003D22CE">
        <w:rPr>
          <w:b/>
        </w:rPr>
        <w:t>: Average Weekday On-Peak Period Savings</w:t>
      </w:r>
    </w:p>
    <w:tbl>
      <w:tblPr>
        <w:tblStyle w:val="TableGrid1"/>
        <w:tblW w:w="2564" w:type="pct"/>
        <w:jc w:val="center"/>
        <w:tblLook w:val="04A0" w:firstRow="1" w:lastRow="0" w:firstColumn="1" w:lastColumn="0" w:noHBand="0" w:noVBand="1"/>
      </w:tblPr>
      <w:tblGrid>
        <w:gridCol w:w="3811"/>
        <w:gridCol w:w="1100"/>
      </w:tblGrid>
      <w:tr w:rsidR="00BF0F0D" w:rsidRPr="00920905" w:rsidTr="00BF0F0D">
        <w:trPr>
          <w:trHeight w:val="1128"/>
          <w:jc w:val="center"/>
        </w:trPr>
        <w:tc>
          <w:tcPr>
            <w:tcW w:w="3880" w:type="pct"/>
            <w:shd w:val="clear" w:color="auto" w:fill="D9D9D9" w:themeFill="background1" w:themeFillShade="D9"/>
            <w:vAlign w:val="center"/>
          </w:tcPr>
          <w:p w:rsidR="00BF0F0D" w:rsidRPr="00920905" w:rsidRDefault="00BF0F0D" w:rsidP="003D22CE">
            <w:pPr>
              <w:jc w:val="center"/>
              <w:rPr>
                <w:rFonts w:cstheme="minorHAnsi"/>
                <w:b/>
                <w:szCs w:val="20"/>
              </w:rPr>
            </w:pPr>
          </w:p>
        </w:tc>
        <w:tc>
          <w:tcPr>
            <w:tcW w:w="1120" w:type="pct"/>
            <w:shd w:val="clear" w:color="auto" w:fill="D9D9D9" w:themeFill="background1" w:themeFillShade="D9"/>
            <w:vAlign w:val="center"/>
          </w:tcPr>
          <w:p w:rsidR="00BF0F0D" w:rsidRPr="00920905" w:rsidRDefault="00BF0F0D" w:rsidP="003D22CE">
            <w:pPr>
              <w:jc w:val="center"/>
              <w:rPr>
                <w:rFonts w:cstheme="minorHAnsi"/>
                <w:b/>
                <w:szCs w:val="20"/>
              </w:rPr>
            </w:pPr>
            <w:r>
              <w:rPr>
                <w:rFonts w:cstheme="minorHAnsi"/>
                <w:b/>
                <w:szCs w:val="20"/>
              </w:rPr>
              <w:t>Average</w:t>
            </w:r>
          </w:p>
        </w:tc>
      </w:tr>
      <w:tr w:rsidR="00BF0F0D" w:rsidRPr="00A1433E" w:rsidTr="00BF0F0D">
        <w:trPr>
          <w:trHeight w:val="284"/>
          <w:jc w:val="center"/>
        </w:trPr>
        <w:tc>
          <w:tcPr>
            <w:tcW w:w="3880" w:type="pct"/>
            <w:vAlign w:val="center"/>
          </w:tcPr>
          <w:p w:rsidR="00BF0F0D" w:rsidRPr="00500C4E" w:rsidRDefault="00BF0F0D" w:rsidP="006F7ADA">
            <w:pPr>
              <w:rPr>
                <w:color w:val="FF0000"/>
                <w:szCs w:val="20"/>
              </w:rPr>
            </w:pPr>
            <w:r>
              <w:rPr>
                <w:szCs w:val="20"/>
              </w:rPr>
              <w:t>DEER on-peak baseline demand (W)</w:t>
            </w:r>
          </w:p>
        </w:tc>
        <w:tc>
          <w:tcPr>
            <w:tcW w:w="1120" w:type="pct"/>
            <w:vAlign w:val="center"/>
          </w:tcPr>
          <w:p w:rsidR="00BF0F0D" w:rsidRPr="00500C4E" w:rsidRDefault="00BF0F0D" w:rsidP="0025554C">
            <w:pPr>
              <w:jc w:val="center"/>
              <w:rPr>
                <w:color w:val="FF0000"/>
                <w:szCs w:val="20"/>
              </w:rPr>
            </w:pPr>
            <w:r>
              <w:rPr>
                <w:szCs w:val="20"/>
              </w:rPr>
              <w:t>88.85</w:t>
            </w:r>
          </w:p>
        </w:tc>
      </w:tr>
      <w:tr w:rsidR="00BF0F0D" w:rsidRPr="00A1433E" w:rsidTr="00BF0F0D">
        <w:trPr>
          <w:trHeight w:val="284"/>
          <w:jc w:val="center"/>
        </w:trPr>
        <w:tc>
          <w:tcPr>
            <w:tcW w:w="3880" w:type="pct"/>
            <w:vAlign w:val="center"/>
          </w:tcPr>
          <w:p w:rsidR="00BF0F0D" w:rsidRDefault="00BF0F0D" w:rsidP="006F7ADA">
            <w:pPr>
              <w:rPr>
                <w:szCs w:val="20"/>
              </w:rPr>
            </w:pPr>
            <w:r>
              <w:rPr>
                <w:szCs w:val="20"/>
              </w:rPr>
              <w:t xml:space="preserve">DEER on-peak measure case demand (W) </w:t>
            </w:r>
          </w:p>
        </w:tc>
        <w:tc>
          <w:tcPr>
            <w:tcW w:w="1120" w:type="pct"/>
            <w:vAlign w:val="center"/>
          </w:tcPr>
          <w:p w:rsidR="00BF0F0D" w:rsidRDefault="00BF0F0D" w:rsidP="0025554C">
            <w:pPr>
              <w:jc w:val="center"/>
              <w:rPr>
                <w:szCs w:val="20"/>
              </w:rPr>
            </w:pPr>
            <w:r>
              <w:rPr>
                <w:szCs w:val="20"/>
              </w:rPr>
              <w:t>35.96</w:t>
            </w:r>
          </w:p>
        </w:tc>
      </w:tr>
      <w:tr w:rsidR="00BF0F0D" w:rsidRPr="00A1433E" w:rsidTr="00BF0F0D">
        <w:trPr>
          <w:trHeight w:val="284"/>
          <w:jc w:val="center"/>
        </w:trPr>
        <w:tc>
          <w:tcPr>
            <w:tcW w:w="3880" w:type="pct"/>
            <w:vAlign w:val="center"/>
          </w:tcPr>
          <w:p w:rsidR="00BF0F0D" w:rsidRPr="00500C4E" w:rsidRDefault="00BF0F0D" w:rsidP="006F7ADA">
            <w:pPr>
              <w:rPr>
                <w:color w:val="FF0000"/>
                <w:szCs w:val="20"/>
              </w:rPr>
            </w:pPr>
            <w:r>
              <w:rPr>
                <w:szCs w:val="20"/>
              </w:rPr>
              <w:t>DEER on-peak demand savings (W)</w:t>
            </w:r>
          </w:p>
        </w:tc>
        <w:tc>
          <w:tcPr>
            <w:tcW w:w="1120" w:type="pct"/>
            <w:vAlign w:val="center"/>
          </w:tcPr>
          <w:p w:rsidR="00BF0F0D" w:rsidRDefault="00BF0F0D" w:rsidP="0025554C">
            <w:pPr>
              <w:jc w:val="center"/>
              <w:rPr>
                <w:szCs w:val="20"/>
              </w:rPr>
            </w:pPr>
            <w:r>
              <w:rPr>
                <w:szCs w:val="20"/>
              </w:rPr>
              <w:t>52.89</w:t>
            </w:r>
          </w:p>
        </w:tc>
      </w:tr>
      <w:tr w:rsidR="00BF0F0D" w:rsidRPr="00A1433E" w:rsidTr="00BF0F0D">
        <w:trPr>
          <w:trHeight w:val="284"/>
          <w:jc w:val="center"/>
        </w:trPr>
        <w:tc>
          <w:tcPr>
            <w:tcW w:w="3880" w:type="pct"/>
            <w:vAlign w:val="center"/>
          </w:tcPr>
          <w:p w:rsidR="00BF0F0D" w:rsidRPr="00500C4E" w:rsidRDefault="00BF0F0D" w:rsidP="006F7ADA">
            <w:pPr>
              <w:rPr>
                <w:color w:val="FF0000"/>
                <w:szCs w:val="20"/>
              </w:rPr>
            </w:pPr>
            <w:r>
              <w:rPr>
                <w:szCs w:val="20"/>
              </w:rPr>
              <w:t>DEER on-peak % demand savings</w:t>
            </w:r>
          </w:p>
        </w:tc>
        <w:tc>
          <w:tcPr>
            <w:tcW w:w="1120" w:type="pct"/>
            <w:vAlign w:val="center"/>
          </w:tcPr>
          <w:p w:rsidR="00BF0F0D" w:rsidRDefault="00BF0F0D" w:rsidP="0025554C">
            <w:pPr>
              <w:jc w:val="center"/>
              <w:rPr>
                <w:szCs w:val="20"/>
              </w:rPr>
            </w:pPr>
            <w:r>
              <w:rPr>
                <w:szCs w:val="20"/>
              </w:rPr>
              <w:t>60%</w:t>
            </w:r>
          </w:p>
        </w:tc>
      </w:tr>
    </w:tbl>
    <w:p w:rsidR="009B1B64" w:rsidRDefault="009B1B64" w:rsidP="005C1101">
      <w:pPr>
        <w:rPr>
          <w:rFonts w:asciiTheme="majorHAnsi" w:eastAsiaTheme="majorEastAsia" w:hAnsiTheme="majorHAnsi" w:cstheme="majorBidi"/>
          <w:b/>
          <w:bCs/>
          <w:i/>
          <w:iCs/>
          <w:color w:val="4F81BD" w:themeColor="accent1"/>
        </w:rPr>
      </w:pPr>
    </w:p>
    <w:p w:rsidR="005C1101" w:rsidRPr="00456A97" w:rsidRDefault="00993BCC" w:rsidP="005C1101">
      <w:pPr>
        <w:rPr>
          <w:rFonts w:asciiTheme="majorHAnsi" w:eastAsiaTheme="majorEastAsia" w:hAnsiTheme="majorHAnsi" w:cstheme="majorBidi"/>
          <w:i/>
          <w:iCs/>
          <w:color w:val="4F81BD" w:themeColor="accent1"/>
        </w:rPr>
      </w:pPr>
      <w:r>
        <w:rPr>
          <w:rFonts w:asciiTheme="majorHAnsi" w:eastAsiaTheme="majorEastAsia" w:hAnsiTheme="majorHAnsi" w:cstheme="majorBidi"/>
          <w:b/>
          <w:bCs/>
          <w:i/>
          <w:iCs/>
          <w:color w:val="4F81BD" w:themeColor="accent1"/>
        </w:rPr>
        <w:t>Demand Interactive Effects</w:t>
      </w:r>
    </w:p>
    <w:p w:rsidR="005C1101" w:rsidRPr="00456A97" w:rsidRDefault="005C1101" w:rsidP="005C1101">
      <w:pPr>
        <w:rPr>
          <w:rFonts w:cstheme="minorHAnsi"/>
          <w:szCs w:val="22"/>
        </w:rPr>
      </w:pPr>
      <w:r>
        <w:rPr>
          <w:rFonts w:cstheme="minorHAnsi"/>
          <w:szCs w:val="22"/>
        </w:rPr>
        <w:t>Interactive effects for 2017 were provided ahead of time by the EAR team to help estimate the savings values in specific locations and building types statewide</w:t>
      </w:r>
      <w:r w:rsidR="003E510E">
        <w:rPr>
          <w:rFonts w:cstheme="minorHAnsi"/>
          <w:szCs w:val="22"/>
        </w:rPr>
        <w:t xml:space="preserve">. </w:t>
      </w:r>
      <w:r>
        <w:rPr>
          <w:rFonts w:cstheme="minorHAnsi"/>
          <w:szCs w:val="22"/>
        </w:rPr>
        <w:t>The savings are included in a support table in the attachments.</w:t>
      </w:r>
    </w:p>
    <w:p w:rsidR="00C5309E" w:rsidRDefault="00C5309E" w:rsidP="005C1101">
      <w:pPr>
        <w:pStyle w:val="Heading2"/>
        <w:keepNext w:val="0"/>
        <w:ind w:right="-90"/>
        <w:rPr>
          <w:rFonts w:cstheme="minorHAnsi"/>
        </w:rPr>
      </w:pPr>
    </w:p>
    <w:p w:rsidR="005C1101" w:rsidRDefault="005C1101" w:rsidP="005C1101">
      <w:pPr>
        <w:pStyle w:val="Heading2"/>
        <w:keepNext w:val="0"/>
        <w:ind w:right="-90"/>
        <w:rPr>
          <w:rFonts w:cstheme="minorHAnsi"/>
        </w:rPr>
      </w:pPr>
      <w:r w:rsidRPr="002F2F22">
        <w:rPr>
          <w:rFonts w:cstheme="minorHAnsi"/>
        </w:rPr>
        <w:lastRenderedPageBreak/>
        <w:t>2.2 Gas Energy Savings Estimation Methodologies</w:t>
      </w:r>
    </w:p>
    <w:p w:rsidR="005C1101" w:rsidRPr="0056739B" w:rsidRDefault="005C1101" w:rsidP="005C1101">
      <w:pPr>
        <w:pStyle w:val="Heading2"/>
        <w:keepNext w:val="0"/>
        <w:ind w:right="-90"/>
        <w:rPr>
          <w:rFonts w:cstheme="minorHAnsi"/>
        </w:rPr>
      </w:pPr>
      <w:r>
        <w:rPr>
          <w:rFonts w:asciiTheme="minorHAnsi" w:hAnsiTheme="minorHAnsi" w:cstheme="minorHAnsi"/>
          <w:b w:val="0"/>
          <w:bCs w:val="0"/>
          <w:iCs w:val="0"/>
          <w:smallCaps w:val="0"/>
          <w:sz w:val="22"/>
          <w:szCs w:val="24"/>
        </w:rPr>
        <w:t xml:space="preserve">Tier 2 </w:t>
      </w:r>
      <w:r w:rsidR="001A0792">
        <w:rPr>
          <w:rFonts w:asciiTheme="minorHAnsi" w:hAnsiTheme="minorHAnsi" w:cstheme="minorHAnsi"/>
          <w:b w:val="0"/>
          <w:bCs w:val="0"/>
          <w:iCs w:val="0"/>
          <w:smallCaps w:val="0"/>
          <w:sz w:val="22"/>
          <w:szCs w:val="24"/>
        </w:rPr>
        <w:t xml:space="preserve">Advanced </w:t>
      </w:r>
      <w:r>
        <w:rPr>
          <w:rFonts w:asciiTheme="minorHAnsi" w:hAnsiTheme="minorHAnsi" w:cstheme="minorHAnsi"/>
          <w:b w:val="0"/>
          <w:bCs w:val="0"/>
          <w:iCs w:val="0"/>
          <w:smallCaps w:val="0"/>
          <w:sz w:val="22"/>
          <w:szCs w:val="24"/>
        </w:rPr>
        <w:t xml:space="preserve">Smart Connected </w:t>
      </w:r>
      <w:r w:rsidR="001A0792">
        <w:rPr>
          <w:rFonts w:asciiTheme="minorHAnsi" w:hAnsiTheme="minorHAnsi" w:cstheme="minorHAnsi"/>
          <w:b w:val="0"/>
          <w:bCs w:val="0"/>
          <w:iCs w:val="0"/>
          <w:smallCaps w:val="0"/>
          <w:sz w:val="22"/>
          <w:szCs w:val="24"/>
        </w:rPr>
        <w:t>Power Strip</w:t>
      </w:r>
      <w:r>
        <w:rPr>
          <w:rFonts w:asciiTheme="minorHAnsi" w:hAnsiTheme="minorHAnsi" w:cstheme="minorHAnsi"/>
          <w:b w:val="0"/>
          <w:bCs w:val="0"/>
          <w:iCs w:val="0"/>
          <w:smallCaps w:val="0"/>
          <w:sz w:val="22"/>
          <w:szCs w:val="24"/>
        </w:rPr>
        <w:t xml:space="preserve"> devices </w:t>
      </w:r>
      <w:r w:rsidRPr="006B26C7">
        <w:rPr>
          <w:rFonts w:asciiTheme="minorHAnsi" w:hAnsiTheme="minorHAnsi" w:cstheme="minorHAnsi"/>
          <w:b w:val="0"/>
          <w:bCs w:val="0"/>
          <w:iCs w:val="0"/>
          <w:smallCaps w:val="0"/>
          <w:sz w:val="22"/>
          <w:szCs w:val="24"/>
        </w:rPr>
        <w:t xml:space="preserve">do have HVAC </w:t>
      </w:r>
      <w:r>
        <w:rPr>
          <w:rFonts w:asciiTheme="minorHAnsi" w:hAnsiTheme="minorHAnsi" w:cstheme="minorHAnsi"/>
          <w:b w:val="0"/>
          <w:bCs w:val="0"/>
          <w:iCs w:val="0"/>
          <w:smallCaps w:val="0"/>
          <w:sz w:val="22"/>
          <w:szCs w:val="24"/>
        </w:rPr>
        <w:t xml:space="preserve">negative therm interactive effects. However, </w:t>
      </w:r>
      <w:r w:rsidRPr="006B26C7">
        <w:rPr>
          <w:rFonts w:asciiTheme="minorHAnsi" w:hAnsiTheme="minorHAnsi" w:cstheme="minorHAnsi"/>
          <w:b w:val="0"/>
          <w:bCs w:val="0"/>
          <w:iCs w:val="0"/>
          <w:smallCaps w:val="0"/>
          <w:sz w:val="22"/>
          <w:szCs w:val="24"/>
        </w:rPr>
        <w:t xml:space="preserve">DEER does not include factors </w:t>
      </w:r>
      <w:r>
        <w:rPr>
          <w:rFonts w:asciiTheme="minorHAnsi" w:hAnsiTheme="minorHAnsi" w:cstheme="minorHAnsi"/>
          <w:b w:val="0"/>
          <w:bCs w:val="0"/>
          <w:iCs w:val="0"/>
          <w:smallCaps w:val="0"/>
          <w:sz w:val="22"/>
          <w:szCs w:val="24"/>
        </w:rPr>
        <w:t xml:space="preserve">specifically </w:t>
      </w:r>
      <w:r w:rsidRPr="006B26C7">
        <w:rPr>
          <w:rFonts w:asciiTheme="minorHAnsi" w:hAnsiTheme="minorHAnsi" w:cstheme="minorHAnsi"/>
          <w:b w:val="0"/>
          <w:bCs w:val="0"/>
          <w:iCs w:val="0"/>
          <w:smallCaps w:val="0"/>
          <w:sz w:val="22"/>
          <w:szCs w:val="24"/>
        </w:rPr>
        <w:t xml:space="preserve">for </w:t>
      </w:r>
      <w:r>
        <w:rPr>
          <w:rFonts w:asciiTheme="minorHAnsi" w:hAnsiTheme="minorHAnsi" w:cstheme="minorHAnsi"/>
          <w:b w:val="0"/>
          <w:bCs w:val="0"/>
          <w:iCs w:val="0"/>
          <w:smallCaps w:val="0"/>
          <w:sz w:val="22"/>
          <w:szCs w:val="24"/>
        </w:rPr>
        <w:t>this measure</w:t>
      </w:r>
      <w:r w:rsidRPr="006B26C7">
        <w:rPr>
          <w:rFonts w:asciiTheme="minorHAnsi" w:hAnsiTheme="minorHAnsi" w:cstheme="minorHAnsi"/>
          <w:b w:val="0"/>
          <w:bCs w:val="0"/>
          <w:iCs w:val="0"/>
          <w:smallCaps w:val="0"/>
          <w:sz w:val="22"/>
          <w:szCs w:val="24"/>
        </w:rPr>
        <w:t xml:space="preserve"> at this time. Thus, </w:t>
      </w:r>
      <w:r>
        <w:rPr>
          <w:rFonts w:asciiTheme="minorHAnsi" w:hAnsiTheme="minorHAnsi" w:cstheme="minorHAnsi"/>
          <w:b w:val="0"/>
          <w:bCs w:val="0"/>
          <w:iCs w:val="0"/>
          <w:smallCaps w:val="0"/>
          <w:sz w:val="22"/>
          <w:szCs w:val="24"/>
        </w:rPr>
        <w:t>this measure</w:t>
      </w:r>
      <w:r w:rsidRPr="006B26C7">
        <w:rPr>
          <w:rFonts w:asciiTheme="minorHAnsi" w:hAnsiTheme="minorHAnsi" w:cstheme="minorHAnsi"/>
          <w:b w:val="0"/>
          <w:bCs w:val="0"/>
          <w:iCs w:val="0"/>
          <w:smallCaps w:val="0"/>
          <w:sz w:val="22"/>
          <w:szCs w:val="24"/>
        </w:rPr>
        <w:t xml:space="preserve"> will use the DEER HVAC </w:t>
      </w:r>
      <w:r>
        <w:rPr>
          <w:rFonts w:asciiTheme="minorHAnsi" w:hAnsiTheme="minorHAnsi" w:cstheme="minorHAnsi"/>
          <w:b w:val="0"/>
          <w:bCs w:val="0"/>
          <w:iCs w:val="0"/>
          <w:smallCaps w:val="0"/>
          <w:sz w:val="22"/>
          <w:szCs w:val="24"/>
        </w:rPr>
        <w:t xml:space="preserve">negative therm </w:t>
      </w:r>
      <w:r w:rsidRPr="006B26C7">
        <w:rPr>
          <w:rFonts w:asciiTheme="minorHAnsi" w:hAnsiTheme="minorHAnsi" w:cstheme="minorHAnsi"/>
          <w:b w:val="0"/>
          <w:bCs w:val="0"/>
          <w:iCs w:val="0"/>
          <w:smallCaps w:val="0"/>
          <w:sz w:val="22"/>
          <w:szCs w:val="24"/>
        </w:rPr>
        <w:t xml:space="preserve">values used in </w:t>
      </w:r>
      <w:r>
        <w:rPr>
          <w:rFonts w:asciiTheme="minorHAnsi" w:hAnsiTheme="minorHAnsi" w:cstheme="minorHAnsi"/>
          <w:b w:val="0"/>
          <w:bCs w:val="0"/>
          <w:iCs w:val="0"/>
          <w:smallCaps w:val="0"/>
          <w:sz w:val="22"/>
          <w:szCs w:val="24"/>
        </w:rPr>
        <w:t xml:space="preserve">indoor residential </w:t>
      </w:r>
      <w:r w:rsidRPr="006B26C7">
        <w:rPr>
          <w:rFonts w:asciiTheme="minorHAnsi" w:hAnsiTheme="minorHAnsi" w:cstheme="minorHAnsi"/>
          <w:b w:val="0"/>
          <w:bCs w:val="0"/>
          <w:iCs w:val="0"/>
          <w:smallCaps w:val="0"/>
          <w:sz w:val="22"/>
          <w:szCs w:val="24"/>
        </w:rPr>
        <w:t xml:space="preserve">lighting power applications. Please refer to the ex-ante database for actual </w:t>
      </w:r>
      <w:r>
        <w:rPr>
          <w:rFonts w:asciiTheme="minorHAnsi" w:hAnsiTheme="minorHAnsi" w:cstheme="minorHAnsi"/>
          <w:b w:val="0"/>
          <w:bCs w:val="0"/>
          <w:iCs w:val="0"/>
          <w:smallCaps w:val="0"/>
          <w:sz w:val="22"/>
          <w:szCs w:val="24"/>
        </w:rPr>
        <w:t>negative therm interactive effect values.</w:t>
      </w:r>
    </w:p>
    <w:p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6"/>
      <w:r w:rsidRPr="00500C4E">
        <w:rPr>
          <w:rFonts w:cstheme="minorHAnsi"/>
        </w:rPr>
        <w:t>s</w:t>
      </w:r>
    </w:p>
    <w:p w:rsidR="005C1101" w:rsidRPr="005E4E20" w:rsidRDefault="005C1101" w:rsidP="005C1101">
      <w:pPr>
        <w:rPr>
          <w:rFonts w:cstheme="minorHAnsi"/>
          <w:szCs w:val="22"/>
        </w:rPr>
      </w:pPr>
      <w:r w:rsidRPr="005E4E20">
        <w:rPr>
          <w:rFonts w:cstheme="minorHAnsi"/>
          <w:szCs w:val="22"/>
        </w:rPr>
        <w:t xml:space="preserve">The ideal load shape for net benefits estimates would represent the difference between the base case and measure case. </w:t>
      </w:r>
      <w:r>
        <w:rPr>
          <w:rFonts w:cstheme="minorHAnsi"/>
          <w:szCs w:val="22"/>
        </w:rPr>
        <w:t>The CFL load shape was reviewed but because of the 24/7 operation of the equipment t</w:t>
      </w:r>
      <w:r w:rsidRPr="005E4E20">
        <w:rPr>
          <w:rFonts w:cstheme="minorHAnsi"/>
          <w:szCs w:val="22"/>
        </w:rPr>
        <w:t>he closest load shapes that are applicable to the measures in this work paper are listed in the table below.</w:t>
      </w:r>
    </w:p>
    <w:p w:rsidR="005C1101" w:rsidRPr="005E4E20" w:rsidRDefault="003D22CE" w:rsidP="005C1101">
      <w:pPr>
        <w:jc w:val="center"/>
        <w:rPr>
          <w:rFonts w:cstheme="minorHAnsi"/>
          <w:bCs/>
          <w:szCs w:val="22"/>
        </w:rPr>
      </w:pPr>
      <w:r>
        <w:rPr>
          <w:rFonts w:cstheme="minorHAnsi"/>
          <w:b/>
          <w:bCs/>
          <w:szCs w:val="22"/>
        </w:rPr>
        <w:t>Table 16</w:t>
      </w:r>
      <w:r w:rsidR="007F242A">
        <w:rPr>
          <w:rFonts w:cstheme="minorHAnsi"/>
          <w:b/>
          <w:bCs/>
          <w:szCs w:val="22"/>
        </w:rPr>
        <w:t xml:space="preserve">: </w:t>
      </w:r>
      <w:r w:rsidR="005C1101" w:rsidRPr="005E4E20">
        <w:rPr>
          <w:rFonts w:cstheme="minorHAnsi"/>
          <w:b/>
          <w:bCs/>
          <w:szCs w:val="22"/>
        </w:rPr>
        <w:t>Building Types and Load Shapes</w:t>
      </w:r>
    </w:p>
    <w:tbl>
      <w:tblPr>
        <w:tblStyle w:val="TableGrid14"/>
        <w:tblW w:w="3465" w:type="pct"/>
        <w:jc w:val="center"/>
        <w:tblLook w:val="01E0" w:firstRow="1" w:lastRow="1" w:firstColumn="1" w:lastColumn="1" w:noHBand="0" w:noVBand="0"/>
      </w:tblPr>
      <w:tblGrid>
        <w:gridCol w:w="3229"/>
        <w:gridCol w:w="3407"/>
      </w:tblGrid>
      <w:tr w:rsidR="005C1101" w:rsidRPr="005E4E20" w:rsidTr="0025554C">
        <w:trPr>
          <w:jc w:val="center"/>
        </w:trPr>
        <w:tc>
          <w:tcPr>
            <w:tcW w:w="2433" w:type="pct"/>
            <w:shd w:val="clear" w:color="auto" w:fill="D9D9D9" w:themeFill="background1" w:themeFillShade="D9"/>
          </w:tcPr>
          <w:p w:rsidR="005C1101" w:rsidRPr="005E4E20" w:rsidRDefault="005C1101" w:rsidP="0025554C">
            <w:pPr>
              <w:rPr>
                <w:rFonts w:cstheme="minorHAnsi"/>
                <w:b/>
                <w:szCs w:val="20"/>
                <w:highlight w:val="yellow"/>
              </w:rPr>
            </w:pPr>
            <w:r w:rsidRPr="005E4E20">
              <w:rPr>
                <w:rFonts w:cstheme="minorHAnsi"/>
                <w:b/>
                <w:szCs w:val="20"/>
              </w:rPr>
              <w:t>Building Type</w:t>
            </w:r>
          </w:p>
        </w:tc>
        <w:tc>
          <w:tcPr>
            <w:tcW w:w="2567" w:type="pct"/>
            <w:shd w:val="clear" w:color="auto" w:fill="D9D9D9" w:themeFill="background1" w:themeFillShade="D9"/>
          </w:tcPr>
          <w:p w:rsidR="005C1101" w:rsidRPr="005E4E20" w:rsidRDefault="005C1101" w:rsidP="0025554C">
            <w:pPr>
              <w:rPr>
                <w:rFonts w:cstheme="minorHAnsi"/>
                <w:b/>
                <w:szCs w:val="20"/>
              </w:rPr>
            </w:pPr>
            <w:r w:rsidRPr="005E4E20">
              <w:rPr>
                <w:rFonts w:cstheme="minorHAnsi"/>
                <w:b/>
                <w:szCs w:val="20"/>
              </w:rPr>
              <w:t>Load Shape</w:t>
            </w:r>
          </w:p>
        </w:tc>
      </w:tr>
      <w:tr w:rsidR="005C1101" w:rsidRPr="005E4E20" w:rsidTr="0025554C">
        <w:trPr>
          <w:jc w:val="center"/>
        </w:trPr>
        <w:tc>
          <w:tcPr>
            <w:tcW w:w="2433" w:type="pct"/>
          </w:tcPr>
          <w:p w:rsidR="005C1101" w:rsidRPr="00C5309E" w:rsidRDefault="005C1101" w:rsidP="0025554C">
            <w:pPr>
              <w:rPr>
                <w:rFonts w:cstheme="minorHAnsi"/>
                <w:szCs w:val="20"/>
              </w:rPr>
            </w:pPr>
            <w:r w:rsidRPr="00C5309E">
              <w:rPr>
                <w:rFonts w:cstheme="minorHAnsi"/>
                <w:szCs w:val="20"/>
              </w:rPr>
              <w:t>Residential</w:t>
            </w:r>
          </w:p>
        </w:tc>
        <w:tc>
          <w:tcPr>
            <w:tcW w:w="2567" w:type="pct"/>
          </w:tcPr>
          <w:p w:rsidR="005C1101" w:rsidRPr="00C5309E" w:rsidRDefault="005C1101" w:rsidP="0025554C">
            <w:pPr>
              <w:rPr>
                <w:rFonts w:cstheme="minorHAnsi"/>
                <w:color w:val="FF0000"/>
                <w:szCs w:val="20"/>
              </w:rPr>
            </w:pPr>
            <w:r w:rsidRPr="00C5309E">
              <w:rPr>
                <w:rFonts w:cstheme="minorHAnsi"/>
                <w:szCs w:val="20"/>
              </w:rPr>
              <w:t>DEER:RefrgFrzr_HighEff</w:t>
            </w:r>
          </w:p>
        </w:tc>
      </w:tr>
      <w:tr w:rsidR="005C1101" w:rsidRPr="005E4E20" w:rsidTr="0025554C">
        <w:trPr>
          <w:jc w:val="center"/>
        </w:trPr>
        <w:tc>
          <w:tcPr>
            <w:tcW w:w="2433" w:type="pct"/>
          </w:tcPr>
          <w:p w:rsidR="005C1101" w:rsidRPr="00C5309E" w:rsidRDefault="005C1101" w:rsidP="0025554C">
            <w:pPr>
              <w:rPr>
                <w:rFonts w:cstheme="minorHAnsi"/>
                <w:szCs w:val="20"/>
              </w:rPr>
            </w:pPr>
            <w:r w:rsidRPr="00C5309E">
              <w:rPr>
                <w:rFonts w:cstheme="minorHAnsi"/>
                <w:szCs w:val="20"/>
              </w:rPr>
              <w:t>Residential Mobile Home</w:t>
            </w:r>
          </w:p>
        </w:tc>
        <w:tc>
          <w:tcPr>
            <w:tcW w:w="2567" w:type="pct"/>
          </w:tcPr>
          <w:p w:rsidR="005C1101" w:rsidRPr="00C5309E" w:rsidRDefault="005C1101" w:rsidP="0025554C">
            <w:pPr>
              <w:rPr>
                <w:rFonts w:cstheme="minorHAnsi"/>
                <w:color w:val="FF0000"/>
                <w:szCs w:val="20"/>
              </w:rPr>
            </w:pPr>
            <w:r w:rsidRPr="00C5309E">
              <w:rPr>
                <w:rFonts w:cstheme="minorHAnsi"/>
                <w:szCs w:val="20"/>
              </w:rPr>
              <w:t>DEER:RefrgFrzr_HighEff</w:t>
            </w:r>
          </w:p>
        </w:tc>
      </w:tr>
      <w:tr w:rsidR="005C1101" w:rsidRPr="005E4E20" w:rsidTr="0025554C">
        <w:trPr>
          <w:jc w:val="center"/>
        </w:trPr>
        <w:tc>
          <w:tcPr>
            <w:tcW w:w="2433" w:type="pct"/>
          </w:tcPr>
          <w:p w:rsidR="005C1101" w:rsidRPr="00C5309E" w:rsidRDefault="005C1101" w:rsidP="0025554C">
            <w:pPr>
              <w:rPr>
                <w:rFonts w:cstheme="minorHAnsi"/>
                <w:szCs w:val="20"/>
              </w:rPr>
            </w:pPr>
            <w:r w:rsidRPr="00C5309E">
              <w:rPr>
                <w:rFonts w:cstheme="minorHAnsi"/>
                <w:szCs w:val="20"/>
              </w:rPr>
              <w:t>Residential Multi-family</w:t>
            </w:r>
          </w:p>
        </w:tc>
        <w:tc>
          <w:tcPr>
            <w:tcW w:w="2567" w:type="pct"/>
          </w:tcPr>
          <w:p w:rsidR="005C1101" w:rsidRPr="00C5309E" w:rsidRDefault="005C1101" w:rsidP="0025554C">
            <w:pPr>
              <w:rPr>
                <w:rFonts w:cstheme="minorHAnsi"/>
                <w:color w:val="FF0000"/>
                <w:szCs w:val="20"/>
              </w:rPr>
            </w:pPr>
            <w:r w:rsidRPr="00C5309E">
              <w:rPr>
                <w:rFonts w:cstheme="minorHAnsi"/>
                <w:szCs w:val="20"/>
              </w:rPr>
              <w:t>DEER:RefrgFrzr_HighEff</w:t>
            </w:r>
          </w:p>
        </w:tc>
      </w:tr>
      <w:tr w:rsidR="005C1101" w:rsidRPr="005E4E20" w:rsidTr="0025554C">
        <w:trPr>
          <w:jc w:val="center"/>
        </w:trPr>
        <w:tc>
          <w:tcPr>
            <w:tcW w:w="2433" w:type="pct"/>
          </w:tcPr>
          <w:p w:rsidR="005C1101" w:rsidRPr="00C5309E" w:rsidRDefault="005C1101" w:rsidP="00BF0F0D">
            <w:pPr>
              <w:spacing w:before="120"/>
              <w:rPr>
                <w:rFonts w:cstheme="minorHAnsi"/>
                <w:szCs w:val="20"/>
              </w:rPr>
            </w:pPr>
            <w:r w:rsidRPr="00C5309E">
              <w:rPr>
                <w:rFonts w:cstheme="minorHAnsi"/>
                <w:szCs w:val="20"/>
              </w:rPr>
              <w:t>Residential Single Family</w:t>
            </w:r>
          </w:p>
        </w:tc>
        <w:tc>
          <w:tcPr>
            <w:tcW w:w="2567" w:type="pct"/>
          </w:tcPr>
          <w:p w:rsidR="005C1101" w:rsidRPr="00C5309E" w:rsidRDefault="005C1101" w:rsidP="00BF0F0D">
            <w:pPr>
              <w:spacing w:before="120"/>
              <w:rPr>
                <w:rFonts w:cstheme="minorHAnsi"/>
                <w:color w:val="FF0000"/>
                <w:szCs w:val="20"/>
              </w:rPr>
            </w:pPr>
            <w:r w:rsidRPr="00C5309E">
              <w:rPr>
                <w:rFonts w:cstheme="minorHAnsi"/>
                <w:szCs w:val="20"/>
              </w:rPr>
              <w:t>DEER:RefrgFrzr_HighEff</w:t>
            </w:r>
          </w:p>
        </w:tc>
      </w:tr>
    </w:tbl>
    <w:p w:rsidR="005552C3" w:rsidRDefault="00F95E2F" w:rsidP="00BF0F0D">
      <w:pPr>
        <w:pStyle w:val="Heading1"/>
        <w:spacing w:before="120"/>
      </w:pPr>
      <w:r>
        <w:t>Section 4. Costs</w:t>
      </w:r>
    </w:p>
    <w:p w:rsidR="00E16609" w:rsidRDefault="00E16609" w:rsidP="003D22CE">
      <w:pPr>
        <w:pStyle w:val="Heading2"/>
        <w:spacing w:before="0"/>
        <w:rPr>
          <w:rFonts w:asciiTheme="minorHAnsi" w:hAnsiTheme="minorHAnsi" w:cstheme="minorHAnsi"/>
        </w:rPr>
      </w:pPr>
      <w:bookmarkStart w:id="17" w:name="_MON_1399297811"/>
      <w:bookmarkStart w:id="18" w:name="_Toc214003097"/>
      <w:bookmarkEnd w:id="17"/>
      <w:r w:rsidRPr="00500C4E">
        <w:rPr>
          <w:rFonts w:asciiTheme="minorHAnsi" w:hAnsiTheme="minorHAnsi" w:cstheme="minorHAnsi"/>
        </w:rPr>
        <w:t>4.1 Base Case Cost</w:t>
      </w:r>
      <w:bookmarkEnd w:id="18"/>
    </w:p>
    <w:p w:rsidR="005C1101" w:rsidRPr="00D4698C" w:rsidRDefault="005C1101" w:rsidP="005C1101">
      <w:pPr>
        <w:spacing w:before="40" w:after="40"/>
        <w:rPr>
          <w:rFonts w:cstheme="minorHAnsi"/>
          <w:szCs w:val="22"/>
        </w:rPr>
      </w:pPr>
      <w:r w:rsidRPr="002411E5">
        <w:rPr>
          <w:szCs w:val="22"/>
        </w:rPr>
        <w:t xml:space="preserve">The assumed base case is </w:t>
      </w:r>
      <w:r>
        <w:rPr>
          <w:szCs w:val="22"/>
        </w:rPr>
        <w:t>a standard</w:t>
      </w:r>
      <w:r w:rsidRPr="002411E5">
        <w:rPr>
          <w:szCs w:val="22"/>
        </w:rPr>
        <w:t xml:space="preserve"> power strip. Therefore, </w:t>
      </w:r>
      <w:r>
        <w:rPr>
          <w:szCs w:val="22"/>
        </w:rPr>
        <w:t xml:space="preserve">for </w:t>
      </w:r>
      <w:r w:rsidRPr="00D4698C">
        <w:rPr>
          <w:szCs w:val="22"/>
        </w:rPr>
        <w:t xml:space="preserve">this measure category, the base </w:t>
      </w:r>
      <w:r>
        <w:rPr>
          <w:szCs w:val="22"/>
        </w:rPr>
        <w:t xml:space="preserve">case cost is assumed to be zero. </w:t>
      </w:r>
      <w:r w:rsidRPr="00D4698C">
        <w:rPr>
          <w:szCs w:val="22"/>
        </w:rPr>
        <w:t>The alternative is to make no changes to their existing system.</w:t>
      </w:r>
    </w:p>
    <w:p w:rsidR="005A0E53" w:rsidRPr="00500C4E" w:rsidRDefault="005A0E53" w:rsidP="005A0E53">
      <w:pPr>
        <w:pStyle w:val="Heading2"/>
        <w:rPr>
          <w:rFonts w:asciiTheme="minorHAnsi" w:hAnsiTheme="minorHAnsi" w:cstheme="minorHAnsi"/>
        </w:rPr>
      </w:pPr>
      <w:bookmarkStart w:id="19" w:name="_Toc214003098"/>
      <w:r w:rsidRPr="00500C4E">
        <w:rPr>
          <w:rFonts w:asciiTheme="minorHAnsi" w:hAnsiTheme="minorHAnsi" w:cstheme="minorHAnsi"/>
        </w:rPr>
        <w:t>4.2 Measure Case Cost</w:t>
      </w:r>
    </w:p>
    <w:p w:rsidR="005C1101" w:rsidRPr="00D4698C" w:rsidRDefault="005C1101" w:rsidP="005C1101">
      <w:pPr>
        <w:rPr>
          <w:szCs w:val="22"/>
        </w:rPr>
      </w:pPr>
      <w:r>
        <w:rPr>
          <w:szCs w:val="22"/>
        </w:rPr>
        <w:t>Per manufacturer cost quotes, the measure equipment cost for a Tier 2 AV APS is approximately $60. For the direct install delivery channel, labor rates may vary across different implementers. Please refer to the ex-ante tables for actual labor co</w:t>
      </w:r>
      <w:r w:rsidR="003D22CE">
        <w:rPr>
          <w:szCs w:val="22"/>
        </w:rPr>
        <w:t xml:space="preserve">sts. </w:t>
      </w:r>
      <w:r w:rsidRPr="00D4698C">
        <w:rPr>
          <w:szCs w:val="22"/>
        </w:rPr>
        <w:t>GMC is represented by the equation:</w:t>
      </w:r>
      <w:r>
        <w:rPr>
          <w:szCs w:val="22"/>
        </w:rPr>
        <w:t xml:space="preserve"> </w:t>
      </w:r>
      <w:r w:rsidRPr="00D4698C">
        <w:rPr>
          <w:szCs w:val="22"/>
        </w:rPr>
        <w:t xml:space="preserve">GMC = Measure Equipment Cost </w:t>
      </w:r>
    </w:p>
    <w:p w:rsidR="005C1101" w:rsidRPr="00D4698C" w:rsidRDefault="005C1101" w:rsidP="005C1101">
      <w:pPr>
        <w:keepNext/>
        <w:jc w:val="center"/>
        <w:rPr>
          <w:b/>
          <w:bCs/>
          <w:szCs w:val="22"/>
        </w:rPr>
      </w:pPr>
      <w:bookmarkStart w:id="20" w:name="_Ref380736404"/>
      <w:bookmarkStart w:id="21" w:name="_Ref320628668"/>
      <w:r w:rsidRPr="00D4698C">
        <w:rPr>
          <w:rFonts w:cs="Calibri"/>
          <w:b/>
          <w:bCs/>
          <w:szCs w:val="22"/>
        </w:rPr>
        <w:t xml:space="preserve">Table </w:t>
      </w:r>
      <w:bookmarkEnd w:id="20"/>
      <w:r w:rsidR="007F242A">
        <w:rPr>
          <w:rFonts w:cs="Calibri"/>
          <w:b/>
          <w:bCs/>
          <w:szCs w:val="22"/>
        </w:rPr>
        <w:t>1</w:t>
      </w:r>
      <w:r w:rsidR="003D22CE">
        <w:rPr>
          <w:rFonts w:cs="Calibri"/>
          <w:b/>
          <w:bCs/>
          <w:szCs w:val="22"/>
        </w:rPr>
        <w:t>7</w:t>
      </w:r>
      <w:r w:rsidR="007F242A">
        <w:rPr>
          <w:rFonts w:cs="Calibri"/>
          <w:b/>
          <w:bCs/>
          <w:szCs w:val="22"/>
        </w:rPr>
        <w:t>:</w:t>
      </w:r>
      <w:r w:rsidRPr="00D4698C">
        <w:rPr>
          <w:rFonts w:cs="Calibri"/>
          <w:b/>
          <w:bCs/>
          <w:szCs w:val="22"/>
        </w:rPr>
        <w:t xml:space="preserve"> </w:t>
      </w:r>
      <w:r w:rsidRPr="00D4698C">
        <w:rPr>
          <w:b/>
          <w:bCs/>
          <w:szCs w:val="22"/>
        </w:rPr>
        <w:t>Measure Cost</w:t>
      </w:r>
      <w:bookmarkEnd w:id="21"/>
    </w:p>
    <w:tbl>
      <w:tblPr>
        <w:tblW w:w="7323" w:type="dxa"/>
        <w:jc w:val="center"/>
        <w:tblBorders>
          <w:insideH w:val="single" w:sz="18" w:space="0" w:color="FFFFFF"/>
          <w:insideV w:val="single" w:sz="18" w:space="0" w:color="FFFFFF"/>
        </w:tblBorders>
        <w:tblLook w:val="01E0" w:firstRow="1" w:lastRow="1" w:firstColumn="1" w:lastColumn="1" w:noHBand="0" w:noVBand="0"/>
      </w:tblPr>
      <w:tblGrid>
        <w:gridCol w:w="4864"/>
        <w:gridCol w:w="2459"/>
      </w:tblGrid>
      <w:tr w:rsidR="005C1101" w:rsidRPr="00D4698C" w:rsidTr="0025554C">
        <w:trPr>
          <w:trHeight w:val="255"/>
          <w:jc w:val="center"/>
        </w:trPr>
        <w:tc>
          <w:tcPr>
            <w:tcW w:w="4864" w:type="dxa"/>
            <w:shd w:val="pct20" w:color="000000" w:fill="FFFFFF"/>
          </w:tcPr>
          <w:p w:rsidR="005C1101" w:rsidRPr="00D4698C" w:rsidRDefault="005C1101" w:rsidP="0025554C">
            <w:pPr>
              <w:rPr>
                <w:b/>
                <w:bCs/>
                <w:sz w:val="20"/>
                <w:szCs w:val="22"/>
              </w:rPr>
            </w:pPr>
            <w:r w:rsidRPr="00D4698C">
              <w:rPr>
                <w:b/>
                <w:bCs/>
                <w:sz w:val="20"/>
                <w:szCs w:val="22"/>
              </w:rPr>
              <w:t>Measure</w:t>
            </w:r>
          </w:p>
        </w:tc>
        <w:tc>
          <w:tcPr>
            <w:tcW w:w="2459" w:type="dxa"/>
            <w:shd w:val="pct20" w:color="000000" w:fill="FFFFFF"/>
            <w:noWrap/>
          </w:tcPr>
          <w:p w:rsidR="005C1101" w:rsidRPr="00D4698C" w:rsidRDefault="005C1101" w:rsidP="0025554C">
            <w:pPr>
              <w:jc w:val="center"/>
              <w:rPr>
                <w:b/>
                <w:bCs/>
                <w:sz w:val="20"/>
                <w:szCs w:val="22"/>
              </w:rPr>
            </w:pPr>
            <w:r>
              <w:rPr>
                <w:b/>
                <w:bCs/>
                <w:sz w:val="20"/>
                <w:szCs w:val="22"/>
              </w:rPr>
              <w:t>GMC ($/unit</w:t>
            </w:r>
            <w:r w:rsidRPr="00D4698C">
              <w:rPr>
                <w:b/>
                <w:bCs/>
                <w:sz w:val="20"/>
                <w:szCs w:val="22"/>
              </w:rPr>
              <w:t>)</w:t>
            </w:r>
          </w:p>
        </w:tc>
      </w:tr>
      <w:tr w:rsidR="005C1101" w:rsidRPr="00D4698C" w:rsidTr="0025554C">
        <w:trPr>
          <w:trHeight w:val="255"/>
          <w:jc w:val="center"/>
        </w:trPr>
        <w:tc>
          <w:tcPr>
            <w:tcW w:w="4864" w:type="dxa"/>
            <w:shd w:val="pct5" w:color="000000" w:fill="FFFFFF"/>
          </w:tcPr>
          <w:p w:rsidR="005C1101" w:rsidRPr="00D4698C" w:rsidRDefault="005C1101" w:rsidP="0025554C">
            <w:pPr>
              <w:rPr>
                <w:rFonts w:cstheme="minorHAnsi"/>
                <w:sz w:val="20"/>
                <w:szCs w:val="20"/>
              </w:rPr>
            </w:pPr>
            <w:r>
              <w:rPr>
                <w:rFonts w:cstheme="minorHAnsi"/>
                <w:sz w:val="20"/>
                <w:szCs w:val="20"/>
              </w:rPr>
              <w:t>Tier 2 AV APS Measure Equipment Cost</w:t>
            </w:r>
          </w:p>
        </w:tc>
        <w:tc>
          <w:tcPr>
            <w:tcW w:w="2459" w:type="dxa"/>
            <w:shd w:val="pct5" w:color="000000" w:fill="FFFFFF"/>
            <w:noWrap/>
            <w:vAlign w:val="center"/>
          </w:tcPr>
          <w:p w:rsidR="005C1101" w:rsidRPr="00D4698C" w:rsidRDefault="005C1101" w:rsidP="005C1101">
            <w:pPr>
              <w:jc w:val="center"/>
              <w:rPr>
                <w:sz w:val="20"/>
                <w:szCs w:val="22"/>
              </w:rPr>
            </w:pPr>
            <w:r>
              <w:rPr>
                <w:sz w:val="20"/>
                <w:szCs w:val="22"/>
              </w:rPr>
              <w:t>$60</w:t>
            </w:r>
          </w:p>
        </w:tc>
      </w:tr>
      <w:tr w:rsidR="005C1101" w:rsidRPr="00D4698C" w:rsidTr="0025554C">
        <w:trPr>
          <w:trHeight w:val="255"/>
          <w:jc w:val="center"/>
        </w:trPr>
        <w:tc>
          <w:tcPr>
            <w:tcW w:w="4864" w:type="dxa"/>
            <w:shd w:val="pct5" w:color="000000" w:fill="FFFFFF"/>
          </w:tcPr>
          <w:p w:rsidR="005C1101" w:rsidRDefault="005C1101" w:rsidP="0025554C">
            <w:pPr>
              <w:rPr>
                <w:rFonts w:cstheme="minorHAnsi"/>
                <w:sz w:val="20"/>
                <w:szCs w:val="20"/>
              </w:rPr>
            </w:pPr>
            <w:r>
              <w:rPr>
                <w:rFonts w:cstheme="minorHAnsi"/>
                <w:sz w:val="20"/>
                <w:szCs w:val="20"/>
              </w:rPr>
              <w:t>Labor Cost</w:t>
            </w:r>
          </w:p>
        </w:tc>
        <w:tc>
          <w:tcPr>
            <w:tcW w:w="2459" w:type="dxa"/>
            <w:shd w:val="pct5" w:color="000000" w:fill="FFFFFF"/>
            <w:noWrap/>
            <w:vAlign w:val="center"/>
          </w:tcPr>
          <w:p w:rsidR="005C1101" w:rsidRDefault="005C1101" w:rsidP="0025554C">
            <w:pPr>
              <w:jc w:val="center"/>
              <w:rPr>
                <w:sz w:val="20"/>
                <w:szCs w:val="22"/>
              </w:rPr>
            </w:pPr>
            <w:r>
              <w:rPr>
                <w:sz w:val="20"/>
                <w:szCs w:val="22"/>
              </w:rPr>
              <w:t>See ex-ante database</w:t>
            </w:r>
          </w:p>
        </w:tc>
      </w:tr>
    </w:tbl>
    <w:p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Pr="00500C4E">
        <w:rPr>
          <w:rFonts w:asciiTheme="minorHAnsi" w:hAnsiTheme="minorHAnsi" w:cstheme="minorHAnsi"/>
        </w:rPr>
        <w:t>Incremental</w:t>
      </w:r>
      <w:r w:rsidR="00E16609" w:rsidRPr="00500C4E">
        <w:rPr>
          <w:rFonts w:asciiTheme="minorHAnsi" w:hAnsiTheme="minorHAnsi" w:cstheme="minorHAnsi"/>
        </w:rPr>
        <w:t xml:space="preserve"> Measure Cost</w:t>
      </w:r>
      <w:bookmarkEnd w:id="19"/>
    </w:p>
    <w:p w:rsidR="005C1101" w:rsidRPr="00BD3931" w:rsidRDefault="005C1101" w:rsidP="005C1101">
      <w:pPr>
        <w:rPr>
          <w:rFonts w:cstheme="minorHAnsi"/>
          <w:szCs w:val="22"/>
        </w:rPr>
      </w:pPr>
      <w:r w:rsidRPr="007A2FAD">
        <w:rPr>
          <w:rFonts w:cs="Calibri"/>
          <w:szCs w:val="22"/>
        </w:rPr>
        <w:t xml:space="preserve">Incremental Measure Cost (IMC) is the premium cost to install an energy efficient measure over a standard efficiency measure or code baseline measure. </w:t>
      </w:r>
      <w:r w:rsidRPr="007A2FAD">
        <w:t xml:space="preserve">For </w:t>
      </w:r>
      <w:r>
        <w:t>this measure</w:t>
      </w:r>
      <w:r w:rsidRPr="007A2FAD">
        <w:t xml:space="preserve">, </w:t>
      </w:r>
      <w:r w:rsidRPr="008347C5">
        <w:rPr>
          <w:color w:val="000000" w:themeColor="text1"/>
        </w:rPr>
        <w:t xml:space="preserve">the IMC is equal to the gross measure cost as there </w:t>
      </w:r>
      <w:r w:rsidRPr="008347C5">
        <w:rPr>
          <w:rFonts w:cs="Calibri"/>
          <w:color w:val="000000" w:themeColor="text1"/>
          <w:szCs w:val="22"/>
        </w:rPr>
        <w:t>exists no base case</w:t>
      </w:r>
      <w:r w:rsidRPr="008347C5">
        <w:rPr>
          <w:color w:val="000000" w:themeColor="text1"/>
        </w:rPr>
        <w:t xml:space="preserve"> from which to compare the measure.</w:t>
      </w:r>
    </w:p>
    <w:p w:rsidR="003D22CE" w:rsidRDefault="003D22CE" w:rsidP="007F242A">
      <w:pPr>
        <w:jc w:val="center"/>
        <w:rPr>
          <w:b/>
        </w:rPr>
      </w:pPr>
    </w:p>
    <w:p w:rsidR="00FF73B4" w:rsidRDefault="007F242A" w:rsidP="007F242A">
      <w:pPr>
        <w:jc w:val="center"/>
        <w:rPr>
          <w:b/>
        </w:rPr>
      </w:pPr>
      <w:r>
        <w:rPr>
          <w:b/>
        </w:rPr>
        <w:t>Table 1</w:t>
      </w:r>
      <w:r w:rsidR="003D22CE">
        <w:rPr>
          <w:b/>
        </w:rPr>
        <w:t>8</w:t>
      </w:r>
      <w:r>
        <w:rPr>
          <w:b/>
        </w:rPr>
        <w:t xml:space="preserve">: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286"/>
        <w:gridCol w:w="2764"/>
        <w:gridCol w:w="2674"/>
        <w:gridCol w:w="2852"/>
      </w:tblGrid>
      <w:tr w:rsidR="00F74B33" w:rsidRPr="00500C4E" w:rsidTr="005C1101">
        <w:tc>
          <w:tcPr>
            <w:tcW w:w="671" w:type="pct"/>
            <w:vMerge w:val="restart"/>
            <w:shd w:val="clear" w:color="auto" w:fill="D9D9D9" w:themeFill="background1" w:themeFillShade="D9"/>
            <w:vAlign w:val="center"/>
          </w:tcPr>
          <w:p w:rsidR="00F74B33" w:rsidRPr="00DE77D0" w:rsidRDefault="00F74B33" w:rsidP="005C1101">
            <w:pPr>
              <w:jc w:val="cente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vAlign w:val="center"/>
          </w:tcPr>
          <w:p w:rsidR="00F74B33" w:rsidRPr="00DE77D0" w:rsidRDefault="00F74B33" w:rsidP="005C1101">
            <w:pPr>
              <w:jc w:val="cente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rsidTr="005C1101">
        <w:tc>
          <w:tcPr>
            <w:tcW w:w="671" w:type="pct"/>
            <w:vMerge/>
            <w:shd w:val="clear" w:color="auto" w:fill="D9D9D9" w:themeFill="background1" w:themeFillShade="D9"/>
          </w:tcPr>
          <w:p w:rsidR="00F74B33" w:rsidRPr="00DE77D0" w:rsidRDefault="00F74B33" w:rsidP="00175D14">
            <w:pPr>
              <w:rPr>
                <w:rFonts w:cstheme="minorHAnsi"/>
                <w:b/>
                <w:szCs w:val="20"/>
              </w:rPr>
            </w:pPr>
          </w:p>
        </w:tc>
        <w:tc>
          <w:tcPr>
            <w:tcW w:w="1443" w:type="pct"/>
            <w:vMerge/>
            <w:shd w:val="clear" w:color="auto" w:fill="D9D9D9" w:themeFill="background1" w:themeFillShade="D9"/>
          </w:tcPr>
          <w:p w:rsidR="00F74B33" w:rsidRPr="00DE77D0" w:rsidRDefault="00F74B33" w:rsidP="00175D14">
            <w:pPr>
              <w:rPr>
                <w:rFonts w:cstheme="minorHAnsi"/>
                <w:b/>
                <w:szCs w:val="20"/>
              </w:rPr>
            </w:pPr>
          </w:p>
        </w:tc>
        <w:tc>
          <w:tcPr>
            <w:tcW w:w="1396" w:type="pct"/>
            <w:shd w:val="clear" w:color="auto" w:fill="F2F2F2" w:themeFill="background1" w:themeFillShade="F2"/>
          </w:tcPr>
          <w:p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rsidTr="005C1101">
        <w:tc>
          <w:tcPr>
            <w:tcW w:w="671" w:type="pct"/>
          </w:tcPr>
          <w:p w:rsidR="00F74B33" w:rsidRPr="005C1101" w:rsidRDefault="00A26D1C" w:rsidP="005C1101">
            <w:pPr>
              <w:jc w:val="center"/>
              <w:rPr>
                <w:rFonts w:cstheme="minorHAnsi"/>
                <w:szCs w:val="20"/>
              </w:rPr>
            </w:pPr>
            <w:r>
              <w:rPr>
                <w:rFonts w:cstheme="minorHAnsi"/>
                <w:szCs w:val="20"/>
              </w:rPr>
              <w:t>REA</w:t>
            </w:r>
          </w:p>
        </w:tc>
        <w:tc>
          <w:tcPr>
            <w:tcW w:w="1443" w:type="pct"/>
          </w:tcPr>
          <w:p w:rsidR="00F74B33" w:rsidRPr="005C1101" w:rsidRDefault="003D22CE" w:rsidP="005C1101">
            <w:pPr>
              <w:jc w:val="center"/>
              <w:rPr>
                <w:rFonts w:cstheme="minorHAnsi"/>
                <w:szCs w:val="20"/>
              </w:rPr>
            </w:pPr>
            <w:r>
              <w:rPr>
                <w:rFonts w:cstheme="minorHAnsi"/>
                <w:szCs w:val="20"/>
              </w:rPr>
              <w:t>$60</w:t>
            </w:r>
          </w:p>
        </w:tc>
        <w:tc>
          <w:tcPr>
            <w:tcW w:w="1396" w:type="pct"/>
          </w:tcPr>
          <w:p w:rsidR="00F74B33" w:rsidRPr="005C1101" w:rsidRDefault="003D22CE" w:rsidP="005C1101">
            <w:pPr>
              <w:jc w:val="center"/>
              <w:rPr>
                <w:rFonts w:cstheme="minorHAnsi"/>
                <w:szCs w:val="20"/>
              </w:rPr>
            </w:pPr>
            <w:r>
              <w:rPr>
                <w:rFonts w:cstheme="minorHAnsi"/>
                <w:szCs w:val="20"/>
              </w:rPr>
              <w:t>$60</w:t>
            </w:r>
          </w:p>
        </w:tc>
        <w:tc>
          <w:tcPr>
            <w:tcW w:w="1489" w:type="pct"/>
          </w:tcPr>
          <w:p w:rsidR="00F74B33" w:rsidRPr="005C1101" w:rsidRDefault="00F74B33" w:rsidP="005C1101">
            <w:pPr>
              <w:jc w:val="center"/>
              <w:rPr>
                <w:rFonts w:cstheme="minorHAnsi"/>
                <w:szCs w:val="20"/>
              </w:rPr>
            </w:pPr>
            <w:r w:rsidRPr="005C1101">
              <w:rPr>
                <w:rFonts w:cstheme="minorHAnsi"/>
                <w:szCs w:val="20"/>
              </w:rPr>
              <w:t>N/A</w:t>
            </w:r>
          </w:p>
        </w:tc>
      </w:tr>
    </w:tbl>
    <w:p w:rsidR="00E16609" w:rsidRPr="00500C4E" w:rsidRDefault="00E16609" w:rsidP="00E16609">
      <w:pPr>
        <w:pStyle w:val="Heading1"/>
        <w:rPr>
          <w:rFonts w:cstheme="minorHAnsi"/>
        </w:rPr>
      </w:pPr>
      <w:r w:rsidRPr="00500C4E">
        <w:rPr>
          <w:rFonts w:cstheme="minorHAnsi"/>
        </w:rPr>
        <w:lastRenderedPageBreak/>
        <w:t>Attachments</w:t>
      </w:r>
      <w:bookmarkStart w:id="22" w:name="_GoBack"/>
      <w:bookmarkEnd w:id="22"/>
    </w:p>
    <w:p w:rsidR="00A500D6" w:rsidRPr="00500C4E" w:rsidRDefault="00A500D6" w:rsidP="00E16609">
      <w:pPr>
        <w:rPr>
          <w:rFonts w:cstheme="minorHAnsi"/>
        </w:rPr>
      </w:pPr>
    </w:p>
    <w:p w:rsidR="00F02382" w:rsidRDefault="00FB5D0A" w:rsidP="00F02382">
      <w:pPr>
        <w:pStyle w:val="ListParagraph"/>
        <w:numPr>
          <w:ilvl w:val="0"/>
          <w:numId w:val="9"/>
        </w:numPr>
        <w:rPr>
          <w:rFonts w:cstheme="minorHAnsi"/>
        </w:rPr>
      </w:pPr>
      <w:r>
        <w:rPr>
          <w:rFonts w:cstheme="minorHAnsi"/>
        </w:rPr>
        <w:t xml:space="preserve">A1 - </w:t>
      </w:r>
      <w:r w:rsidR="00F02382" w:rsidRPr="00F02382">
        <w:rPr>
          <w:rFonts w:cstheme="minorHAnsi"/>
        </w:rPr>
        <w:t>2017-08-22 Tier 2 APS Results - Master</w:t>
      </w:r>
    </w:p>
    <w:p w:rsidR="00F02382" w:rsidRDefault="00FB5D0A" w:rsidP="00F02382">
      <w:pPr>
        <w:pStyle w:val="ListParagraph"/>
        <w:numPr>
          <w:ilvl w:val="0"/>
          <w:numId w:val="9"/>
        </w:numPr>
        <w:rPr>
          <w:rFonts w:cstheme="minorHAnsi"/>
        </w:rPr>
      </w:pPr>
      <w:r>
        <w:rPr>
          <w:rFonts w:cstheme="minorHAnsi"/>
        </w:rPr>
        <w:t xml:space="preserve">A2 - </w:t>
      </w:r>
      <w:r w:rsidR="00F02382" w:rsidRPr="00F02382">
        <w:rPr>
          <w:rFonts w:cstheme="minorHAnsi"/>
        </w:rPr>
        <w:t>Tier 2 APS Report 04062017</w:t>
      </w:r>
    </w:p>
    <w:p w:rsidR="00F02382" w:rsidRDefault="00FB5D0A" w:rsidP="00F02382">
      <w:pPr>
        <w:pStyle w:val="ListParagraph"/>
        <w:numPr>
          <w:ilvl w:val="0"/>
          <w:numId w:val="9"/>
        </w:numPr>
        <w:rPr>
          <w:rFonts w:cstheme="minorHAnsi"/>
        </w:rPr>
      </w:pPr>
      <w:r>
        <w:rPr>
          <w:rFonts w:cstheme="minorHAnsi"/>
        </w:rPr>
        <w:t xml:space="preserve">A3 - </w:t>
      </w:r>
      <w:proofErr w:type="spellStart"/>
      <w:r w:rsidR="00F02382" w:rsidRPr="00F02382">
        <w:rPr>
          <w:rFonts w:cstheme="minorHAnsi"/>
        </w:rPr>
        <w:t>CalTF</w:t>
      </w:r>
      <w:proofErr w:type="spellEnd"/>
      <w:r w:rsidR="00F02382" w:rsidRPr="00F02382">
        <w:rPr>
          <w:rFonts w:cstheme="minorHAnsi"/>
        </w:rPr>
        <w:t xml:space="preserve"> Notes</w:t>
      </w:r>
    </w:p>
    <w:p w:rsidR="00F02382" w:rsidRDefault="00FB5D0A" w:rsidP="00F02382">
      <w:pPr>
        <w:pStyle w:val="ListParagraph"/>
        <w:numPr>
          <w:ilvl w:val="0"/>
          <w:numId w:val="9"/>
        </w:numPr>
        <w:rPr>
          <w:rFonts w:cstheme="minorHAnsi"/>
        </w:rPr>
      </w:pPr>
      <w:r>
        <w:rPr>
          <w:rFonts w:cstheme="minorHAnsi"/>
        </w:rPr>
        <w:t xml:space="preserve">A4 - </w:t>
      </w:r>
      <w:r w:rsidR="00F02382" w:rsidRPr="00F02382">
        <w:rPr>
          <w:rFonts w:cstheme="minorHAnsi"/>
        </w:rPr>
        <w:t>SM</w:t>
      </w:r>
      <w:r w:rsidR="00F02382">
        <w:rPr>
          <w:rFonts w:cstheme="minorHAnsi"/>
        </w:rPr>
        <w:t>ART Power Strips</w:t>
      </w:r>
      <w:r w:rsidR="00F02382" w:rsidRPr="00F02382">
        <w:rPr>
          <w:rFonts w:cstheme="minorHAnsi"/>
        </w:rPr>
        <w:t xml:space="preserve"> EUL Justification</w:t>
      </w:r>
    </w:p>
    <w:p w:rsidR="00B924BC" w:rsidRPr="00B924BC" w:rsidRDefault="00FB5D0A" w:rsidP="00F02382">
      <w:pPr>
        <w:pStyle w:val="ListParagraph"/>
        <w:numPr>
          <w:ilvl w:val="0"/>
          <w:numId w:val="9"/>
        </w:numPr>
        <w:rPr>
          <w:rFonts w:cstheme="minorHAnsi"/>
        </w:rPr>
      </w:pPr>
      <w:r>
        <w:rPr>
          <w:rFonts w:cstheme="minorHAnsi"/>
        </w:rPr>
        <w:t xml:space="preserve">A5 - </w:t>
      </w:r>
      <w:r w:rsidR="00F02382" w:rsidRPr="00F02382">
        <w:rPr>
          <w:rFonts w:cstheme="minorHAnsi"/>
        </w:rPr>
        <w:t>TIER 2 Smart Connected Power Strip Calculations</w:t>
      </w:r>
      <w:r w:rsidR="002E551D">
        <w:rPr>
          <w:rFonts w:cstheme="minorHAnsi"/>
        </w:rPr>
        <w:tab/>
      </w:r>
    </w:p>
    <w:p w:rsidR="00C54EFF" w:rsidRPr="00500C4E" w:rsidRDefault="00C54EFF" w:rsidP="00E16609">
      <w:pPr>
        <w:rPr>
          <w:rFonts w:cstheme="minorHAnsi"/>
        </w:rPr>
      </w:pPr>
    </w:p>
    <w:p w:rsidR="00C54EFF" w:rsidRPr="00500C4E" w:rsidRDefault="00C54EFF">
      <w:pPr>
        <w:spacing w:after="200" w:line="276" w:lineRule="auto"/>
        <w:rPr>
          <w:rFonts w:cstheme="minorHAnsi"/>
        </w:rPr>
      </w:pPr>
      <w:r w:rsidRPr="00500C4E">
        <w:rPr>
          <w:rFonts w:cstheme="minorHAnsi"/>
        </w:rPr>
        <w:br w:type="page"/>
      </w:r>
    </w:p>
    <w:p w:rsidR="00C54EFF" w:rsidRDefault="00C54EFF" w:rsidP="00C54EFF">
      <w:pPr>
        <w:pStyle w:val="Heading1"/>
        <w:rPr>
          <w:rFonts w:cstheme="minorHAnsi"/>
        </w:rPr>
      </w:pPr>
      <w:r w:rsidRPr="00500C4E">
        <w:rPr>
          <w:rFonts w:cstheme="minorHAnsi"/>
        </w:rPr>
        <w:lastRenderedPageBreak/>
        <w:t>References</w:t>
      </w:r>
    </w:p>
    <w:p w:rsidR="00174373" w:rsidRDefault="00174373" w:rsidP="00322BE0">
      <w:pPr>
        <w:pStyle w:val="ListParagraph"/>
        <w:numPr>
          <w:ilvl w:val="0"/>
          <w:numId w:val="12"/>
        </w:numPr>
      </w:pPr>
      <w:r w:rsidRPr="00174373">
        <w:t>Tier 2 Advanced Power Strips with Bluetooth® in Multifamily Residential Applications (2017).</w:t>
      </w:r>
    </w:p>
    <w:p w:rsidR="00174373" w:rsidRDefault="00174373" w:rsidP="00322BE0">
      <w:pPr>
        <w:pStyle w:val="ListParagraph"/>
        <w:numPr>
          <w:ilvl w:val="0"/>
          <w:numId w:val="12"/>
        </w:numPr>
      </w:pPr>
      <w:r w:rsidRPr="00174373">
        <w:t>Tier 2 Advanced Power Strip Evaluation for Energy Saving Incentive</w:t>
      </w:r>
      <w:r>
        <w:t xml:space="preserve"> CalPlug (2014).</w:t>
      </w:r>
    </w:p>
    <w:p w:rsidR="00174373" w:rsidRDefault="00174373" w:rsidP="00322BE0">
      <w:pPr>
        <w:pStyle w:val="ListParagraph"/>
        <w:numPr>
          <w:ilvl w:val="0"/>
          <w:numId w:val="12"/>
        </w:numPr>
      </w:pPr>
      <w:r w:rsidRPr="00174373">
        <w:t>SDG&amp;E ET Project: ET14SDG8021 Phase 1 Study</w:t>
      </w:r>
      <w:r>
        <w:t xml:space="preserve"> Tier 2 Advanced Power Strips Residential and Commercial Applications SDG&amp;E (2014). </w:t>
      </w:r>
    </w:p>
    <w:p w:rsidR="00174373" w:rsidRDefault="00174373" w:rsidP="00322BE0">
      <w:pPr>
        <w:pStyle w:val="ListParagraph"/>
        <w:numPr>
          <w:ilvl w:val="0"/>
          <w:numId w:val="12"/>
        </w:numPr>
      </w:pPr>
      <w:r w:rsidRPr="00174373">
        <w:t>WPSDGEREHE0004.0</w:t>
      </w:r>
      <w:r>
        <w:t>.3</w:t>
      </w:r>
      <w:r w:rsidRPr="00174373">
        <w:t xml:space="preserve"> Tier</w:t>
      </w:r>
      <w:r>
        <w:t xml:space="preserve"> 2 Advanced Power Strips Workpaper SDG&amp;E (2015).</w:t>
      </w:r>
    </w:p>
    <w:p w:rsidR="00174373" w:rsidRDefault="00174373" w:rsidP="00322BE0">
      <w:pPr>
        <w:pStyle w:val="ListParagraph"/>
        <w:numPr>
          <w:ilvl w:val="0"/>
          <w:numId w:val="12"/>
        </w:numPr>
      </w:pPr>
      <w:r w:rsidRPr="00174373">
        <w:t>PG&amp;E ET Project: ET13PGE1441 Phase 2 Study</w:t>
      </w:r>
      <w:r>
        <w:t xml:space="preserve"> (2016).</w:t>
      </w:r>
    </w:p>
    <w:p w:rsidR="00174373" w:rsidRPr="00174373" w:rsidRDefault="00174373" w:rsidP="00322BE0">
      <w:pPr>
        <w:pStyle w:val="ListParagraph"/>
        <w:numPr>
          <w:ilvl w:val="0"/>
          <w:numId w:val="12"/>
        </w:numPr>
      </w:pPr>
      <w:r w:rsidRPr="00174373">
        <w:t>CPUC Staff Response to Early Opinion Request on Proposed Revisions to WPSDGEREHE0004 Revision 0.3 Tier 2 Advanced Power Strips</w:t>
      </w:r>
      <w:r w:rsidR="00C5309E">
        <w:t xml:space="preserve"> (2016)</w:t>
      </w:r>
      <w:r>
        <w:t>.</w:t>
      </w:r>
    </w:p>
    <w:sectPr w:rsidR="00174373" w:rsidRPr="00174373" w:rsidSect="00E87C8F">
      <w:headerReference w:type="even" r:id="rId26"/>
      <w:headerReference w:type="default" r:id="rId27"/>
      <w:footerReference w:type="default" r:id="rId28"/>
      <w:headerReference w:type="first" r:id="rId29"/>
      <w:pgSz w:w="12240" w:h="15840"/>
      <w:pgMar w:top="1440" w:right="1440" w:bottom="1557"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513325" w16cid:durableId="1D3583FE"/>
  <w16cid:commentId w16cid:paraId="0224034A" w16cid:durableId="1D3583FF"/>
  <w16cid:commentId w16cid:paraId="3A9ED047" w16cid:durableId="1D358400"/>
  <w16cid:commentId w16cid:paraId="79A8F594" w16cid:durableId="1D358401"/>
  <w16cid:commentId w16cid:paraId="61E2320A" w16cid:durableId="1D358402"/>
  <w16cid:commentId w16cid:paraId="51EABEC2" w16cid:durableId="1D358403"/>
  <w16cid:commentId w16cid:paraId="35A4ED4C" w16cid:durableId="1D358404"/>
  <w16cid:commentId w16cid:paraId="133047C4" w16cid:durableId="1D3584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929" w:rsidRDefault="008D7929" w:rsidP="00447D6E">
      <w:r>
        <w:separator/>
      </w:r>
    </w:p>
    <w:p w:rsidR="008D7929" w:rsidRDefault="008D7929"/>
  </w:endnote>
  <w:endnote w:type="continuationSeparator" w:id="0">
    <w:p w:rsidR="008D7929" w:rsidRDefault="008D7929" w:rsidP="00447D6E">
      <w:r>
        <w:continuationSeparator/>
      </w:r>
    </w:p>
    <w:p w:rsidR="008D7929" w:rsidRDefault="008D79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29" w:rsidRDefault="00FB5D0A" w:rsidP="00F571A6">
    <w:pPr>
      <w:pStyle w:val="Footer"/>
      <w:jc w:val="right"/>
      <w:rPr>
        <w:rFonts w:cstheme="minorHAnsi"/>
        <w:b/>
        <w:sz w:val="36"/>
        <w:szCs w:val="36"/>
      </w:rPr>
    </w:pPr>
    <w:sdt>
      <w:sdtPr>
        <w:rPr>
          <w:rFonts w:cstheme="minorHAnsi"/>
          <w:b/>
          <w:sz w:val="36"/>
          <w:szCs w:val="36"/>
        </w:rPr>
        <w:alias w:val="Date"/>
        <w:tag w:val=""/>
        <w:id w:val="626895829"/>
        <w:dataBinding w:prefixMappings="xmlns:ns0='http://schemas.microsoft.com/office/2006/coverPageProps' " w:xpath="/ns0:CoverPageProperties[1]/ns0:PublishDate[1]" w:storeItemID="{55AF091B-3C7A-41E3-B477-F2FDAA23CFDA}"/>
        <w:date w:fullDate="2017-10-12T00:00:00Z">
          <w:dateFormat w:val="MMMM d, yyyy"/>
          <w:lid w:val="en-US"/>
          <w:storeMappedDataAs w:val="dateTime"/>
          <w:calendar w:val="gregorian"/>
        </w:date>
      </w:sdtPr>
      <w:sdtEndPr/>
      <w:sdtContent>
        <w:r w:rsidR="008D7929">
          <w:rPr>
            <w:rFonts w:cstheme="minorHAnsi"/>
            <w:b/>
            <w:sz w:val="36"/>
            <w:szCs w:val="36"/>
          </w:rPr>
          <w:t>October 12, 2017</w:t>
        </w:r>
      </w:sdtContent>
    </w:sdt>
  </w:p>
  <w:p w:rsidR="008D7929" w:rsidRPr="009500DC" w:rsidRDefault="008D7929"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29" w:rsidRPr="009500DC" w:rsidRDefault="00FB5D0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D7929">
          <w:rPr>
            <w:rFonts w:cstheme="minorHAnsi"/>
            <w:b/>
            <w:sz w:val="20"/>
            <w:szCs w:val="20"/>
          </w:rPr>
          <w:t>SCE17CS014</w:t>
        </w:r>
      </w:sdtContent>
    </w:sdt>
    <w:r w:rsidR="008D7929">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8D7929">
          <w:rPr>
            <w:rFonts w:cstheme="minorHAnsi"/>
            <w:b/>
            <w:sz w:val="20"/>
            <w:szCs w:val="20"/>
          </w:rPr>
          <w:t>Revision 0</w:t>
        </w:r>
      </w:sdtContent>
    </w:sdt>
    <w:r w:rsidR="008D7929" w:rsidRPr="009500DC">
      <w:rPr>
        <w:rFonts w:cstheme="minorHAnsi"/>
        <w:b/>
        <w:sz w:val="20"/>
        <w:szCs w:val="20"/>
      </w:rPr>
      <w:tab/>
    </w:r>
    <w:r w:rsidR="008D7929" w:rsidRPr="009500DC">
      <w:rPr>
        <w:rFonts w:cstheme="minorHAnsi"/>
        <w:b/>
        <w:sz w:val="20"/>
        <w:szCs w:val="20"/>
      </w:rPr>
      <w:fldChar w:fldCharType="begin"/>
    </w:r>
    <w:r w:rsidR="008D7929" w:rsidRPr="009500DC">
      <w:rPr>
        <w:rFonts w:cstheme="minorHAnsi"/>
        <w:b/>
        <w:sz w:val="20"/>
        <w:szCs w:val="20"/>
      </w:rPr>
      <w:instrText xml:space="preserve"> PAGE   \* MERGEFORMAT </w:instrText>
    </w:r>
    <w:r w:rsidR="008D7929" w:rsidRPr="009500DC">
      <w:rPr>
        <w:rFonts w:cstheme="minorHAnsi"/>
        <w:b/>
        <w:sz w:val="20"/>
        <w:szCs w:val="20"/>
      </w:rPr>
      <w:fldChar w:fldCharType="separate"/>
    </w:r>
    <w:r>
      <w:rPr>
        <w:rFonts w:cstheme="minorHAnsi"/>
        <w:b/>
        <w:noProof/>
        <w:sz w:val="20"/>
        <w:szCs w:val="20"/>
      </w:rPr>
      <w:t>24</w:t>
    </w:r>
    <w:r w:rsidR="008D7929" w:rsidRPr="009500DC">
      <w:rPr>
        <w:rFonts w:cstheme="minorHAnsi"/>
        <w:b/>
        <w:noProof/>
        <w:sz w:val="20"/>
        <w:szCs w:val="20"/>
      </w:rPr>
      <w:fldChar w:fldCharType="end"/>
    </w:r>
    <w:r w:rsidR="008D7929"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0-12T00:00:00Z">
          <w:dateFormat w:val="MMMM d, yyyy"/>
          <w:lid w:val="en-US"/>
          <w:storeMappedDataAs w:val="dateTime"/>
          <w:calendar w:val="gregorian"/>
        </w:date>
      </w:sdtPr>
      <w:sdtEndPr/>
      <w:sdtContent>
        <w:r w:rsidR="008D7929">
          <w:rPr>
            <w:rFonts w:cstheme="minorHAnsi"/>
            <w:b/>
            <w:sz w:val="20"/>
            <w:szCs w:val="20"/>
          </w:rPr>
          <w:t>October 12, 2017</w:t>
        </w:r>
      </w:sdtContent>
    </w:sdt>
  </w:p>
  <w:p w:rsidR="008D7929" w:rsidRPr="009500DC" w:rsidRDefault="00FB5D0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D7929">
          <w:rPr>
            <w:rFonts w:cstheme="minorHAnsi"/>
            <w:b/>
            <w:sz w:val="20"/>
            <w:szCs w:val="20"/>
          </w:rPr>
          <w:t>Southern California Edison</w:t>
        </w:r>
      </w:sdtContent>
    </w:sdt>
  </w:p>
  <w:p w:rsidR="008D7929" w:rsidRDefault="008D7929"/>
  <w:p w:rsidR="008D7929" w:rsidRDefault="008D79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929" w:rsidRDefault="008D7929" w:rsidP="00447D6E">
      <w:r>
        <w:separator/>
      </w:r>
    </w:p>
    <w:p w:rsidR="008D7929" w:rsidRDefault="008D7929"/>
  </w:footnote>
  <w:footnote w:type="continuationSeparator" w:id="0">
    <w:p w:rsidR="008D7929" w:rsidRDefault="008D7929" w:rsidP="00447D6E">
      <w:r>
        <w:continuationSeparator/>
      </w:r>
    </w:p>
    <w:p w:rsidR="008D7929" w:rsidRDefault="008D7929"/>
  </w:footnote>
  <w:footnote w:id="1">
    <w:p w:rsidR="008D7929" w:rsidRPr="0034062E" w:rsidRDefault="008D7929" w:rsidP="0072754D">
      <w:pPr>
        <w:pStyle w:val="FootnoteText"/>
        <w:spacing w:after="120"/>
        <w:rPr>
          <w:sz w:val="16"/>
          <w:szCs w:val="16"/>
        </w:rPr>
      </w:pPr>
      <w:r w:rsidRPr="0034062E">
        <w:rPr>
          <w:rStyle w:val="FootnoteReference"/>
          <w:sz w:val="16"/>
          <w:szCs w:val="16"/>
        </w:rPr>
        <w:footnoteRef/>
      </w:r>
      <w:r w:rsidRPr="0034062E">
        <w:rPr>
          <w:sz w:val="16"/>
          <w:szCs w:val="16"/>
        </w:rPr>
        <w:t xml:space="preserve"> For the purposes of AB 793, “energy management technology” may include products, services, or software that allow customers to better understand and manage electricity or natural gas use in the their homes or places of business.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29" w:rsidRDefault="008D79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29" w:rsidRDefault="008D79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929" w:rsidRDefault="008D79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9466B9"/>
    <w:multiLevelType w:val="hybridMultilevel"/>
    <w:tmpl w:val="F3244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787981"/>
    <w:multiLevelType w:val="hybridMultilevel"/>
    <w:tmpl w:val="3E021F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42AA7"/>
    <w:multiLevelType w:val="hybridMultilevel"/>
    <w:tmpl w:val="A11C23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BA475A"/>
    <w:multiLevelType w:val="hybridMultilevel"/>
    <w:tmpl w:val="24B465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7D90356"/>
    <w:multiLevelType w:val="hybridMultilevel"/>
    <w:tmpl w:val="3CA02A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C4255F3"/>
    <w:multiLevelType w:val="hybridMultilevel"/>
    <w:tmpl w:val="3F3A037E"/>
    <w:lvl w:ilvl="0" w:tplc="84BEFA48">
      <w:start w:val="1"/>
      <w:numFmt w:val="bullet"/>
      <w:lvlText w:val=""/>
      <w:lvlJc w:val="left"/>
      <w:pPr>
        <w:tabs>
          <w:tab w:val="num" w:pos="360"/>
        </w:tabs>
        <w:ind w:left="360" w:hanging="360"/>
      </w:pPr>
      <w:rPr>
        <w:rFonts w:ascii="Wingdings" w:hAnsi="Wingdings" w:hint="default"/>
      </w:rPr>
    </w:lvl>
    <w:lvl w:ilvl="1" w:tplc="04090001">
      <w:start w:val="1"/>
      <w:numFmt w:val="bullet"/>
      <w:lvlText w:val=""/>
      <w:lvlJc w:val="left"/>
      <w:pPr>
        <w:tabs>
          <w:tab w:val="num" w:pos="1080"/>
        </w:tabs>
        <w:ind w:left="1080" w:hanging="360"/>
      </w:pPr>
      <w:rPr>
        <w:rFonts w:ascii="Symbol" w:hAnsi="Symbol" w:hint="default"/>
      </w:rPr>
    </w:lvl>
    <w:lvl w:ilvl="2" w:tplc="E1B80CF6">
      <w:start w:val="1339"/>
      <w:numFmt w:val="bullet"/>
      <w:lvlText w:val=""/>
      <w:lvlJc w:val="left"/>
      <w:pPr>
        <w:tabs>
          <w:tab w:val="num" w:pos="1800"/>
        </w:tabs>
        <w:ind w:left="1800" w:hanging="360"/>
      </w:pPr>
      <w:rPr>
        <w:rFonts w:ascii="Wingdings" w:hAnsi="Wingdings" w:hint="default"/>
      </w:rPr>
    </w:lvl>
    <w:lvl w:ilvl="3" w:tplc="8A729BF0" w:tentative="1">
      <w:start w:val="1"/>
      <w:numFmt w:val="bullet"/>
      <w:lvlText w:val=""/>
      <w:lvlJc w:val="left"/>
      <w:pPr>
        <w:tabs>
          <w:tab w:val="num" w:pos="2520"/>
        </w:tabs>
        <w:ind w:left="2520" w:hanging="360"/>
      </w:pPr>
      <w:rPr>
        <w:rFonts w:ascii="Wingdings" w:hAnsi="Wingdings" w:hint="default"/>
      </w:rPr>
    </w:lvl>
    <w:lvl w:ilvl="4" w:tplc="EC08A082" w:tentative="1">
      <w:start w:val="1"/>
      <w:numFmt w:val="bullet"/>
      <w:lvlText w:val=""/>
      <w:lvlJc w:val="left"/>
      <w:pPr>
        <w:tabs>
          <w:tab w:val="num" w:pos="3240"/>
        </w:tabs>
        <w:ind w:left="3240" w:hanging="360"/>
      </w:pPr>
      <w:rPr>
        <w:rFonts w:ascii="Wingdings" w:hAnsi="Wingdings" w:hint="default"/>
      </w:rPr>
    </w:lvl>
    <w:lvl w:ilvl="5" w:tplc="3E8AA396" w:tentative="1">
      <w:start w:val="1"/>
      <w:numFmt w:val="bullet"/>
      <w:lvlText w:val=""/>
      <w:lvlJc w:val="left"/>
      <w:pPr>
        <w:tabs>
          <w:tab w:val="num" w:pos="3960"/>
        </w:tabs>
        <w:ind w:left="3960" w:hanging="360"/>
      </w:pPr>
      <w:rPr>
        <w:rFonts w:ascii="Wingdings" w:hAnsi="Wingdings" w:hint="default"/>
      </w:rPr>
    </w:lvl>
    <w:lvl w:ilvl="6" w:tplc="64F45EBA" w:tentative="1">
      <w:start w:val="1"/>
      <w:numFmt w:val="bullet"/>
      <w:lvlText w:val=""/>
      <w:lvlJc w:val="left"/>
      <w:pPr>
        <w:tabs>
          <w:tab w:val="num" w:pos="4680"/>
        </w:tabs>
        <w:ind w:left="4680" w:hanging="360"/>
      </w:pPr>
      <w:rPr>
        <w:rFonts w:ascii="Wingdings" w:hAnsi="Wingdings" w:hint="default"/>
      </w:rPr>
    </w:lvl>
    <w:lvl w:ilvl="7" w:tplc="630052D6" w:tentative="1">
      <w:start w:val="1"/>
      <w:numFmt w:val="bullet"/>
      <w:lvlText w:val=""/>
      <w:lvlJc w:val="left"/>
      <w:pPr>
        <w:tabs>
          <w:tab w:val="num" w:pos="5400"/>
        </w:tabs>
        <w:ind w:left="5400" w:hanging="360"/>
      </w:pPr>
      <w:rPr>
        <w:rFonts w:ascii="Wingdings" w:hAnsi="Wingdings" w:hint="default"/>
      </w:rPr>
    </w:lvl>
    <w:lvl w:ilvl="8" w:tplc="4024328E" w:tentative="1">
      <w:start w:val="1"/>
      <w:numFmt w:val="bullet"/>
      <w:lvlText w:val=""/>
      <w:lvlJc w:val="left"/>
      <w:pPr>
        <w:tabs>
          <w:tab w:val="num" w:pos="6120"/>
        </w:tabs>
        <w:ind w:left="6120" w:hanging="360"/>
      </w:pPr>
      <w:rPr>
        <w:rFonts w:ascii="Wingdings" w:hAnsi="Wingdings" w:hint="default"/>
      </w:rPr>
    </w:lvl>
  </w:abstractNum>
  <w:abstractNum w:abstractNumId="7">
    <w:nsid w:val="4CDE188B"/>
    <w:multiLevelType w:val="hybridMultilevel"/>
    <w:tmpl w:val="93B61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276CA"/>
    <w:multiLevelType w:val="hybridMultilevel"/>
    <w:tmpl w:val="E11C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E75D83"/>
    <w:multiLevelType w:val="hybridMultilevel"/>
    <w:tmpl w:val="8DD21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8A62CB"/>
    <w:multiLevelType w:val="hybridMultilevel"/>
    <w:tmpl w:val="BE7C3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BA023C"/>
    <w:multiLevelType w:val="hybridMultilevel"/>
    <w:tmpl w:val="D09A1C30"/>
    <w:lvl w:ilvl="0" w:tplc="8324922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8"/>
  </w:num>
  <w:num w:numId="5">
    <w:abstractNumId w:val="10"/>
  </w:num>
  <w:num w:numId="6">
    <w:abstractNumId w:val="6"/>
  </w:num>
  <w:num w:numId="7">
    <w:abstractNumId w:val="9"/>
  </w:num>
  <w:num w:numId="8">
    <w:abstractNumId w:val="2"/>
  </w:num>
  <w:num w:numId="9">
    <w:abstractNumId w:val="3"/>
  </w:num>
  <w:num w:numId="10">
    <w:abstractNumId w:val="11"/>
  </w:num>
  <w:num w:numId="11">
    <w:abstractNumId w:val="4"/>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2B00"/>
    <w:rsid w:val="00012BE3"/>
    <w:rsid w:val="00013F71"/>
    <w:rsid w:val="000173BF"/>
    <w:rsid w:val="00022698"/>
    <w:rsid w:val="00024252"/>
    <w:rsid w:val="000245B5"/>
    <w:rsid w:val="0002625E"/>
    <w:rsid w:val="00027183"/>
    <w:rsid w:val="00032228"/>
    <w:rsid w:val="00033B7A"/>
    <w:rsid w:val="00033EA1"/>
    <w:rsid w:val="0003746D"/>
    <w:rsid w:val="0004020F"/>
    <w:rsid w:val="000436CB"/>
    <w:rsid w:val="00050E41"/>
    <w:rsid w:val="00052E17"/>
    <w:rsid w:val="00056947"/>
    <w:rsid w:val="00061A8E"/>
    <w:rsid w:val="00064CB3"/>
    <w:rsid w:val="00070BEE"/>
    <w:rsid w:val="00072040"/>
    <w:rsid w:val="00076DF4"/>
    <w:rsid w:val="00076F51"/>
    <w:rsid w:val="00082A55"/>
    <w:rsid w:val="00086F7F"/>
    <w:rsid w:val="00087D97"/>
    <w:rsid w:val="0009074D"/>
    <w:rsid w:val="00094C65"/>
    <w:rsid w:val="000954B1"/>
    <w:rsid w:val="0009592B"/>
    <w:rsid w:val="000968C6"/>
    <w:rsid w:val="000969DD"/>
    <w:rsid w:val="000A63C9"/>
    <w:rsid w:val="000B3765"/>
    <w:rsid w:val="000B62F2"/>
    <w:rsid w:val="000B655B"/>
    <w:rsid w:val="000C0000"/>
    <w:rsid w:val="000C18CC"/>
    <w:rsid w:val="000C687D"/>
    <w:rsid w:val="000C7AFD"/>
    <w:rsid w:val="000C7ED1"/>
    <w:rsid w:val="000D086A"/>
    <w:rsid w:val="000D55E3"/>
    <w:rsid w:val="000D7550"/>
    <w:rsid w:val="000D789A"/>
    <w:rsid w:val="000E4B5F"/>
    <w:rsid w:val="000E706D"/>
    <w:rsid w:val="000F130A"/>
    <w:rsid w:val="000F4FD8"/>
    <w:rsid w:val="000F786B"/>
    <w:rsid w:val="0010028D"/>
    <w:rsid w:val="00101D7E"/>
    <w:rsid w:val="00103C6D"/>
    <w:rsid w:val="00107242"/>
    <w:rsid w:val="00111CC5"/>
    <w:rsid w:val="001125BB"/>
    <w:rsid w:val="001132C7"/>
    <w:rsid w:val="001144CA"/>
    <w:rsid w:val="001206F7"/>
    <w:rsid w:val="00122158"/>
    <w:rsid w:val="00122414"/>
    <w:rsid w:val="001236C1"/>
    <w:rsid w:val="00126D47"/>
    <w:rsid w:val="00133EE8"/>
    <w:rsid w:val="0013568F"/>
    <w:rsid w:val="00136BC4"/>
    <w:rsid w:val="00140B30"/>
    <w:rsid w:val="00147155"/>
    <w:rsid w:val="00147A0D"/>
    <w:rsid w:val="00153CB3"/>
    <w:rsid w:val="00154C3B"/>
    <w:rsid w:val="00160158"/>
    <w:rsid w:val="00161103"/>
    <w:rsid w:val="00165357"/>
    <w:rsid w:val="001722B7"/>
    <w:rsid w:val="001727D9"/>
    <w:rsid w:val="00174373"/>
    <w:rsid w:val="00174BB4"/>
    <w:rsid w:val="00175D14"/>
    <w:rsid w:val="001811EE"/>
    <w:rsid w:val="00185AD4"/>
    <w:rsid w:val="00193DF3"/>
    <w:rsid w:val="00196A83"/>
    <w:rsid w:val="001979AF"/>
    <w:rsid w:val="001A0792"/>
    <w:rsid w:val="001A0EB4"/>
    <w:rsid w:val="001A1A86"/>
    <w:rsid w:val="001A2FEA"/>
    <w:rsid w:val="001A579B"/>
    <w:rsid w:val="001A5F62"/>
    <w:rsid w:val="001A7547"/>
    <w:rsid w:val="001B015E"/>
    <w:rsid w:val="001B2301"/>
    <w:rsid w:val="001B296B"/>
    <w:rsid w:val="001B3D26"/>
    <w:rsid w:val="001B618B"/>
    <w:rsid w:val="001C1338"/>
    <w:rsid w:val="001C2318"/>
    <w:rsid w:val="001C25E8"/>
    <w:rsid w:val="001C3CD1"/>
    <w:rsid w:val="001C4140"/>
    <w:rsid w:val="001C5A94"/>
    <w:rsid w:val="001C7C7E"/>
    <w:rsid w:val="001D2317"/>
    <w:rsid w:val="001D2897"/>
    <w:rsid w:val="001D3223"/>
    <w:rsid w:val="001D33EF"/>
    <w:rsid w:val="001D5AB3"/>
    <w:rsid w:val="001E0519"/>
    <w:rsid w:val="001E0829"/>
    <w:rsid w:val="001E1320"/>
    <w:rsid w:val="001E556A"/>
    <w:rsid w:val="001E56C7"/>
    <w:rsid w:val="001F05CE"/>
    <w:rsid w:val="001F1905"/>
    <w:rsid w:val="001F4476"/>
    <w:rsid w:val="001F4A65"/>
    <w:rsid w:val="00200DC0"/>
    <w:rsid w:val="00205C45"/>
    <w:rsid w:val="0021035B"/>
    <w:rsid w:val="00210EFB"/>
    <w:rsid w:val="00211153"/>
    <w:rsid w:val="0023254A"/>
    <w:rsid w:val="002344FB"/>
    <w:rsid w:val="00236216"/>
    <w:rsid w:val="00237F9C"/>
    <w:rsid w:val="002405CD"/>
    <w:rsid w:val="00240B74"/>
    <w:rsid w:val="00243B62"/>
    <w:rsid w:val="0024675B"/>
    <w:rsid w:val="002469DD"/>
    <w:rsid w:val="00247180"/>
    <w:rsid w:val="00254671"/>
    <w:rsid w:val="0025554C"/>
    <w:rsid w:val="00257D36"/>
    <w:rsid w:val="00263C1C"/>
    <w:rsid w:val="002706C9"/>
    <w:rsid w:val="00271415"/>
    <w:rsid w:val="00273B81"/>
    <w:rsid w:val="00274FBE"/>
    <w:rsid w:val="002762E1"/>
    <w:rsid w:val="00277CE7"/>
    <w:rsid w:val="002809AE"/>
    <w:rsid w:val="002811BC"/>
    <w:rsid w:val="00283DE8"/>
    <w:rsid w:val="00285552"/>
    <w:rsid w:val="00285966"/>
    <w:rsid w:val="00285A0D"/>
    <w:rsid w:val="002867F0"/>
    <w:rsid w:val="00290ED8"/>
    <w:rsid w:val="00296B49"/>
    <w:rsid w:val="002A03FC"/>
    <w:rsid w:val="002A1557"/>
    <w:rsid w:val="002A1843"/>
    <w:rsid w:val="002A233D"/>
    <w:rsid w:val="002A3D26"/>
    <w:rsid w:val="002A523E"/>
    <w:rsid w:val="002B1ADF"/>
    <w:rsid w:val="002B502E"/>
    <w:rsid w:val="002B657B"/>
    <w:rsid w:val="002C206A"/>
    <w:rsid w:val="002C2853"/>
    <w:rsid w:val="002C444C"/>
    <w:rsid w:val="002C458F"/>
    <w:rsid w:val="002C6C20"/>
    <w:rsid w:val="002C6C7A"/>
    <w:rsid w:val="002C7F78"/>
    <w:rsid w:val="002D5277"/>
    <w:rsid w:val="002D71FA"/>
    <w:rsid w:val="002D73AF"/>
    <w:rsid w:val="002E4FD9"/>
    <w:rsid w:val="002E551D"/>
    <w:rsid w:val="002E5B58"/>
    <w:rsid w:val="002F07A4"/>
    <w:rsid w:val="002F1437"/>
    <w:rsid w:val="002F3943"/>
    <w:rsid w:val="002F4E34"/>
    <w:rsid w:val="002F6A42"/>
    <w:rsid w:val="002F79E7"/>
    <w:rsid w:val="003003EC"/>
    <w:rsid w:val="003022E3"/>
    <w:rsid w:val="003035E3"/>
    <w:rsid w:val="0030363A"/>
    <w:rsid w:val="00307F1C"/>
    <w:rsid w:val="00314C82"/>
    <w:rsid w:val="00317970"/>
    <w:rsid w:val="00317EB0"/>
    <w:rsid w:val="00322BE0"/>
    <w:rsid w:val="00323149"/>
    <w:rsid w:val="003301A5"/>
    <w:rsid w:val="00331CE6"/>
    <w:rsid w:val="00332700"/>
    <w:rsid w:val="00332722"/>
    <w:rsid w:val="00332B20"/>
    <w:rsid w:val="00333E99"/>
    <w:rsid w:val="003358BD"/>
    <w:rsid w:val="00336A3D"/>
    <w:rsid w:val="0034062E"/>
    <w:rsid w:val="00344E88"/>
    <w:rsid w:val="00345D80"/>
    <w:rsid w:val="003471D4"/>
    <w:rsid w:val="00350BF1"/>
    <w:rsid w:val="00353C49"/>
    <w:rsid w:val="003540B1"/>
    <w:rsid w:val="003557E9"/>
    <w:rsid w:val="003560BA"/>
    <w:rsid w:val="0035708F"/>
    <w:rsid w:val="00364CC6"/>
    <w:rsid w:val="003650F6"/>
    <w:rsid w:val="00365833"/>
    <w:rsid w:val="00365F19"/>
    <w:rsid w:val="0036726C"/>
    <w:rsid w:val="00371E69"/>
    <w:rsid w:val="003832D2"/>
    <w:rsid w:val="003845E5"/>
    <w:rsid w:val="00387249"/>
    <w:rsid w:val="00390F74"/>
    <w:rsid w:val="00393137"/>
    <w:rsid w:val="00395A38"/>
    <w:rsid w:val="00396261"/>
    <w:rsid w:val="00397406"/>
    <w:rsid w:val="003A3170"/>
    <w:rsid w:val="003A33AE"/>
    <w:rsid w:val="003A360E"/>
    <w:rsid w:val="003A491F"/>
    <w:rsid w:val="003B29C6"/>
    <w:rsid w:val="003C52A9"/>
    <w:rsid w:val="003D00BD"/>
    <w:rsid w:val="003D17FF"/>
    <w:rsid w:val="003D22CE"/>
    <w:rsid w:val="003D2871"/>
    <w:rsid w:val="003D577C"/>
    <w:rsid w:val="003D5B83"/>
    <w:rsid w:val="003E2A01"/>
    <w:rsid w:val="003E510E"/>
    <w:rsid w:val="003E5E2A"/>
    <w:rsid w:val="003E6E47"/>
    <w:rsid w:val="003F0623"/>
    <w:rsid w:val="003F33DE"/>
    <w:rsid w:val="003F3A41"/>
    <w:rsid w:val="003F3E0E"/>
    <w:rsid w:val="003F67E9"/>
    <w:rsid w:val="003F7D6F"/>
    <w:rsid w:val="00401031"/>
    <w:rsid w:val="004023B7"/>
    <w:rsid w:val="004045A0"/>
    <w:rsid w:val="00413CDB"/>
    <w:rsid w:val="004200FE"/>
    <w:rsid w:val="00421183"/>
    <w:rsid w:val="00421BA6"/>
    <w:rsid w:val="00421C17"/>
    <w:rsid w:val="004227F4"/>
    <w:rsid w:val="00426CDE"/>
    <w:rsid w:val="00433EA1"/>
    <w:rsid w:val="00441957"/>
    <w:rsid w:val="00443D32"/>
    <w:rsid w:val="004469DD"/>
    <w:rsid w:val="004476B2"/>
    <w:rsid w:val="00447CE5"/>
    <w:rsid w:val="00447D6E"/>
    <w:rsid w:val="0045048F"/>
    <w:rsid w:val="0045181B"/>
    <w:rsid w:val="00452133"/>
    <w:rsid w:val="00452454"/>
    <w:rsid w:val="00452C7A"/>
    <w:rsid w:val="00456B53"/>
    <w:rsid w:val="004574A1"/>
    <w:rsid w:val="00460C75"/>
    <w:rsid w:val="0046286E"/>
    <w:rsid w:val="00466C0A"/>
    <w:rsid w:val="004673A2"/>
    <w:rsid w:val="00471234"/>
    <w:rsid w:val="004719B4"/>
    <w:rsid w:val="00472250"/>
    <w:rsid w:val="0047437C"/>
    <w:rsid w:val="00475566"/>
    <w:rsid w:val="00477522"/>
    <w:rsid w:val="00480E7B"/>
    <w:rsid w:val="004820BA"/>
    <w:rsid w:val="004843E5"/>
    <w:rsid w:val="00484BF6"/>
    <w:rsid w:val="0048676A"/>
    <w:rsid w:val="004867C8"/>
    <w:rsid w:val="0049052C"/>
    <w:rsid w:val="00493457"/>
    <w:rsid w:val="00494628"/>
    <w:rsid w:val="0049566B"/>
    <w:rsid w:val="00497338"/>
    <w:rsid w:val="004A1650"/>
    <w:rsid w:val="004A70A7"/>
    <w:rsid w:val="004B1184"/>
    <w:rsid w:val="004B2484"/>
    <w:rsid w:val="004B4A3A"/>
    <w:rsid w:val="004B5CE5"/>
    <w:rsid w:val="004B750E"/>
    <w:rsid w:val="004B772A"/>
    <w:rsid w:val="004C2244"/>
    <w:rsid w:val="004C23F1"/>
    <w:rsid w:val="004D069A"/>
    <w:rsid w:val="004E01F5"/>
    <w:rsid w:val="004E1670"/>
    <w:rsid w:val="004E1A48"/>
    <w:rsid w:val="004E297E"/>
    <w:rsid w:val="004E76CA"/>
    <w:rsid w:val="004F1698"/>
    <w:rsid w:val="004F658F"/>
    <w:rsid w:val="00500C4E"/>
    <w:rsid w:val="00504BA0"/>
    <w:rsid w:val="00505CEC"/>
    <w:rsid w:val="0051020F"/>
    <w:rsid w:val="0051330A"/>
    <w:rsid w:val="00513CAB"/>
    <w:rsid w:val="00516CF5"/>
    <w:rsid w:val="00523597"/>
    <w:rsid w:val="00523736"/>
    <w:rsid w:val="00531035"/>
    <w:rsid w:val="00532530"/>
    <w:rsid w:val="00534094"/>
    <w:rsid w:val="00534106"/>
    <w:rsid w:val="00535CA4"/>
    <w:rsid w:val="00537A88"/>
    <w:rsid w:val="005463CE"/>
    <w:rsid w:val="005476F6"/>
    <w:rsid w:val="00551D72"/>
    <w:rsid w:val="005540B6"/>
    <w:rsid w:val="00554597"/>
    <w:rsid w:val="005552C3"/>
    <w:rsid w:val="00560934"/>
    <w:rsid w:val="00563387"/>
    <w:rsid w:val="00563E58"/>
    <w:rsid w:val="00564878"/>
    <w:rsid w:val="00564960"/>
    <w:rsid w:val="00565EC5"/>
    <w:rsid w:val="00570654"/>
    <w:rsid w:val="00570F38"/>
    <w:rsid w:val="005720F2"/>
    <w:rsid w:val="005729C8"/>
    <w:rsid w:val="00572D2F"/>
    <w:rsid w:val="005734A4"/>
    <w:rsid w:val="00573ECD"/>
    <w:rsid w:val="005774DB"/>
    <w:rsid w:val="0058081A"/>
    <w:rsid w:val="00582700"/>
    <w:rsid w:val="00587788"/>
    <w:rsid w:val="0058786A"/>
    <w:rsid w:val="00587FF9"/>
    <w:rsid w:val="00590492"/>
    <w:rsid w:val="00594EF5"/>
    <w:rsid w:val="005A0E53"/>
    <w:rsid w:val="005A1078"/>
    <w:rsid w:val="005A4658"/>
    <w:rsid w:val="005A496B"/>
    <w:rsid w:val="005A7F20"/>
    <w:rsid w:val="005B28C1"/>
    <w:rsid w:val="005B6344"/>
    <w:rsid w:val="005C1101"/>
    <w:rsid w:val="005C1C74"/>
    <w:rsid w:val="005C2E48"/>
    <w:rsid w:val="005C3F23"/>
    <w:rsid w:val="005C764F"/>
    <w:rsid w:val="005D476D"/>
    <w:rsid w:val="005D4DD7"/>
    <w:rsid w:val="005E12A9"/>
    <w:rsid w:val="005F03B3"/>
    <w:rsid w:val="005F139E"/>
    <w:rsid w:val="005F401E"/>
    <w:rsid w:val="005F4E26"/>
    <w:rsid w:val="005F69D5"/>
    <w:rsid w:val="00601BC4"/>
    <w:rsid w:val="00602799"/>
    <w:rsid w:val="00602873"/>
    <w:rsid w:val="00602F18"/>
    <w:rsid w:val="0060610F"/>
    <w:rsid w:val="00607C30"/>
    <w:rsid w:val="006110F3"/>
    <w:rsid w:val="00612041"/>
    <w:rsid w:val="006142A9"/>
    <w:rsid w:val="00614AFF"/>
    <w:rsid w:val="00621ABA"/>
    <w:rsid w:val="0062322A"/>
    <w:rsid w:val="00623532"/>
    <w:rsid w:val="006310AC"/>
    <w:rsid w:val="00631157"/>
    <w:rsid w:val="00637D29"/>
    <w:rsid w:val="006404E6"/>
    <w:rsid w:val="0064680F"/>
    <w:rsid w:val="0064729D"/>
    <w:rsid w:val="00647ABE"/>
    <w:rsid w:val="00650FA6"/>
    <w:rsid w:val="00651623"/>
    <w:rsid w:val="006516BA"/>
    <w:rsid w:val="006534B7"/>
    <w:rsid w:val="00664B05"/>
    <w:rsid w:val="00665C04"/>
    <w:rsid w:val="0066682D"/>
    <w:rsid w:val="006746FE"/>
    <w:rsid w:val="00676E9F"/>
    <w:rsid w:val="00677DD3"/>
    <w:rsid w:val="00680934"/>
    <w:rsid w:val="0068297C"/>
    <w:rsid w:val="00685D5C"/>
    <w:rsid w:val="0069264D"/>
    <w:rsid w:val="00694D2C"/>
    <w:rsid w:val="0069578B"/>
    <w:rsid w:val="00697868"/>
    <w:rsid w:val="006A055F"/>
    <w:rsid w:val="006A126F"/>
    <w:rsid w:val="006A14E9"/>
    <w:rsid w:val="006A2A65"/>
    <w:rsid w:val="006A2AC5"/>
    <w:rsid w:val="006A3934"/>
    <w:rsid w:val="006A5293"/>
    <w:rsid w:val="006A67E4"/>
    <w:rsid w:val="006A6D15"/>
    <w:rsid w:val="006B0DF3"/>
    <w:rsid w:val="006B0F11"/>
    <w:rsid w:val="006B27FA"/>
    <w:rsid w:val="006B4A48"/>
    <w:rsid w:val="006C2C55"/>
    <w:rsid w:val="006C430A"/>
    <w:rsid w:val="006D2809"/>
    <w:rsid w:val="006E2527"/>
    <w:rsid w:val="006E27A3"/>
    <w:rsid w:val="006E3342"/>
    <w:rsid w:val="006E4353"/>
    <w:rsid w:val="006E4B12"/>
    <w:rsid w:val="006E65D0"/>
    <w:rsid w:val="006F1B21"/>
    <w:rsid w:val="006F21E8"/>
    <w:rsid w:val="006F5CE5"/>
    <w:rsid w:val="006F78D5"/>
    <w:rsid w:val="006F7ADA"/>
    <w:rsid w:val="0070091B"/>
    <w:rsid w:val="007048AC"/>
    <w:rsid w:val="00706E53"/>
    <w:rsid w:val="0070718A"/>
    <w:rsid w:val="00714A9C"/>
    <w:rsid w:val="007164A2"/>
    <w:rsid w:val="00724942"/>
    <w:rsid w:val="00726338"/>
    <w:rsid w:val="00726AD5"/>
    <w:rsid w:val="0072754D"/>
    <w:rsid w:val="0073080B"/>
    <w:rsid w:val="00733C7D"/>
    <w:rsid w:val="00740761"/>
    <w:rsid w:val="00745F77"/>
    <w:rsid w:val="007464DE"/>
    <w:rsid w:val="00747097"/>
    <w:rsid w:val="007529EA"/>
    <w:rsid w:val="00755A45"/>
    <w:rsid w:val="00760CDC"/>
    <w:rsid w:val="00764D0D"/>
    <w:rsid w:val="00777C53"/>
    <w:rsid w:val="00783899"/>
    <w:rsid w:val="00786E92"/>
    <w:rsid w:val="007906F6"/>
    <w:rsid w:val="007933F1"/>
    <w:rsid w:val="00794BAD"/>
    <w:rsid w:val="00795BB7"/>
    <w:rsid w:val="007A25C7"/>
    <w:rsid w:val="007A57BB"/>
    <w:rsid w:val="007A5F52"/>
    <w:rsid w:val="007B090A"/>
    <w:rsid w:val="007B512C"/>
    <w:rsid w:val="007B66F6"/>
    <w:rsid w:val="007C1863"/>
    <w:rsid w:val="007D2694"/>
    <w:rsid w:val="007D2FFD"/>
    <w:rsid w:val="007D31E8"/>
    <w:rsid w:val="007E43F8"/>
    <w:rsid w:val="007E5076"/>
    <w:rsid w:val="007E6047"/>
    <w:rsid w:val="007E656B"/>
    <w:rsid w:val="007F242A"/>
    <w:rsid w:val="007F2997"/>
    <w:rsid w:val="007F50E8"/>
    <w:rsid w:val="007F54E2"/>
    <w:rsid w:val="007F7FBA"/>
    <w:rsid w:val="00800319"/>
    <w:rsid w:val="0080044E"/>
    <w:rsid w:val="00800706"/>
    <w:rsid w:val="0080189A"/>
    <w:rsid w:val="00801F7F"/>
    <w:rsid w:val="00803C2B"/>
    <w:rsid w:val="00811945"/>
    <w:rsid w:val="00820D3E"/>
    <w:rsid w:val="00823307"/>
    <w:rsid w:val="00823855"/>
    <w:rsid w:val="00824AA6"/>
    <w:rsid w:val="00824F1C"/>
    <w:rsid w:val="00826688"/>
    <w:rsid w:val="00830C13"/>
    <w:rsid w:val="0083369B"/>
    <w:rsid w:val="008342B4"/>
    <w:rsid w:val="00835D38"/>
    <w:rsid w:val="00847A4E"/>
    <w:rsid w:val="00854DD1"/>
    <w:rsid w:val="00857523"/>
    <w:rsid w:val="0086591B"/>
    <w:rsid w:val="00871D79"/>
    <w:rsid w:val="0087372B"/>
    <w:rsid w:val="0087393E"/>
    <w:rsid w:val="00874CFC"/>
    <w:rsid w:val="008764F9"/>
    <w:rsid w:val="008808EC"/>
    <w:rsid w:val="00881A42"/>
    <w:rsid w:val="00882386"/>
    <w:rsid w:val="0088313D"/>
    <w:rsid w:val="0088361D"/>
    <w:rsid w:val="00885E0A"/>
    <w:rsid w:val="0088603B"/>
    <w:rsid w:val="008877AF"/>
    <w:rsid w:val="00890B6F"/>
    <w:rsid w:val="00893FC3"/>
    <w:rsid w:val="0089577B"/>
    <w:rsid w:val="008A0E81"/>
    <w:rsid w:val="008A12CD"/>
    <w:rsid w:val="008A274E"/>
    <w:rsid w:val="008B1024"/>
    <w:rsid w:val="008B1357"/>
    <w:rsid w:val="008B2DF3"/>
    <w:rsid w:val="008C2E0E"/>
    <w:rsid w:val="008C4DE0"/>
    <w:rsid w:val="008C7FD0"/>
    <w:rsid w:val="008D3930"/>
    <w:rsid w:val="008D56BB"/>
    <w:rsid w:val="008D67F9"/>
    <w:rsid w:val="008D7929"/>
    <w:rsid w:val="008E17CC"/>
    <w:rsid w:val="008E25B1"/>
    <w:rsid w:val="008E56FB"/>
    <w:rsid w:val="008F1702"/>
    <w:rsid w:val="008F2167"/>
    <w:rsid w:val="008F33B4"/>
    <w:rsid w:val="008F6298"/>
    <w:rsid w:val="008F7A3C"/>
    <w:rsid w:val="0090077A"/>
    <w:rsid w:val="00900F47"/>
    <w:rsid w:val="00904ADA"/>
    <w:rsid w:val="00907697"/>
    <w:rsid w:val="00910A69"/>
    <w:rsid w:val="009138A0"/>
    <w:rsid w:val="0091424C"/>
    <w:rsid w:val="00917974"/>
    <w:rsid w:val="00917DE4"/>
    <w:rsid w:val="00920905"/>
    <w:rsid w:val="00922B85"/>
    <w:rsid w:val="00930CDC"/>
    <w:rsid w:val="00931E45"/>
    <w:rsid w:val="00933188"/>
    <w:rsid w:val="00935AF9"/>
    <w:rsid w:val="009403A5"/>
    <w:rsid w:val="00944CE3"/>
    <w:rsid w:val="009500DC"/>
    <w:rsid w:val="00951923"/>
    <w:rsid w:val="00966831"/>
    <w:rsid w:val="00972C81"/>
    <w:rsid w:val="009824E9"/>
    <w:rsid w:val="009826E5"/>
    <w:rsid w:val="009844A1"/>
    <w:rsid w:val="00986E20"/>
    <w:rsid w:val="00993BCC"/>
    <w:rsid w:val="00995479"/>
    <w:rsid w:val="00995CB0"/>
    <w:rsid w:val="00997E77"/>
    <w:rsid w:val="009A2734"/>
    <w:rsid w:val="009B1B64"/>
    <w:rsid w:val="009B1E06"/>
    <w:rsid w:val="009B2A02"/>
    <w:rsid w:val="009B2B61"/>
    <w:rsid w:val="009B5B7B"/>
    <w:rsid w:val="009B6464"/>
    <w:rsid w:val="009C1777"/>
    <w:rsid w:val="009C25DE"/>
    <w:rsid w:val="009C2C86"/>
    <w:rsid w:val="009C6FE0"/>
    <w:rsid w:val="009D0753"/>
    <w:rsid w:val="009D10A4"/>
    <w:rsid w:val="009D5131"/>
    <w:rsid w:val="009D6F71"/>
    <w:rsid w:val="009E1802"/>
    <w:rsid w:val="009E1C11"/>
    <w:rsid w:val="009E1CDE"/>
    <w:rsid w:val="009E27D4"/>
    <w:rsid w:val="009E2B06"/>
    <w:rsid w:val="009E3829"/>
    <w:rsid w:val="009E51E2"/>
    <w:rsid w:val="009F7A61"/>
    <w:rsid w:val="00A0136D"/>
    <w:rsid w:val="00A0672E"/>
    <w:rsid w:val="00A11800"/>
    <w:rsid w:val="00A11C16"/>
    <w:rsid w:val="00A1423E"/>
    <w:rsid w:val="00A1433E"/>
    <w:rsid w:val="00A17664"/>
    <w:rsid w:val="00A20FAF"/>
    <w:rsid w:val="00A24520"/>
    <w:rsid w:val="00A2644C"/>
    <w:rsid w:val="00A26D1C"/>
    <w:rsid w:val="00A27992"/>
    <w:rsid w:val="00A3164A"/>
    <w:rsid w:val="00A34B3C"/>
    <w:rsid w:val="00A37F42"/>
    <w:rsid w:val="00A402C3"/>
    <w:rsid w:val="00A40886"/>
    <w:rsid w:val="00A421DC"/>
    <w:rsid w:val="00A4411F"/>
    <w:rsid w:val="00A500D6"/>
    <w:rsid w:val="00A523FF"/>
    <w:rsid w:val="00A54756"/>
    <w:rsid w:val="00A54C66"/>
    <w:rsid w:val="00A55914"/>
    <w:rsid w:val="00A57D36"/>
    <w:rsid w:val="00A618CF"/>
    <w:rsid w:val="00A61BB6"/>
    <w:rsid w:val="00A65734"/>
    <w:rsid w:val="00A6687F"/>
    <w:rsid w:val="00A67907"/>
    <w:rsid w:val="00A67E13"/>
    <w:rsid w:val="00A71018"/>
    <w:rsid w:val="00A71E08"/>
    <w:rsid w:val="00A73CC1"/>
    <w:rsid w:val="00A80270"/>
    <w:rsid w:val="00A82DB1"/>
    <w:rsid w:val="00A84127"/>
    <w:rsid w:val="00A84B4A"/>
    <w:rsid w:val="00A84B77"/>
    <w:rsid w:val="00A86DA2"/>
    <w:rsid w:val="00A90DFC"/>
    <w:rsid w:val="00A91BF3"/>
    <w:rsid w:val="00AA0A9C"/>
    <w:rsid w:val="00AA16C0"/>
    <w:rsid w:val="00AA3420"/>
    <w:rsid w:val="00AA4CDC"/>
    <w:rsid w:val="00AB16DA"/>
    <w:rsid w:val="00AB21D4"/>
    <w:rsid w:val="00AB21F5"/>
    <w:rsid w:val="00AB3386"/>
    <w:rsid w:val="00AB36DB"/>
    <w:rsid w:val="00AC0B1D"/>
    <w:rsid w:val="00AC2F5B"/>
    <w:rsid w:val="00AC3DAD"/>
    <w:rsid w:val="00AC5309"/>
    <w:rsid w:val="00AC5B97"/>
    <w:rsid w:val="00AC6B78"/>
    <w:rsid w:val="00AD4DD0"/>
    <w:rsid w:val="00AD79C1"/>
    <w:rsid w:val="00AD7ADF"/>
    <w:rsid w:val="00AE0A8D"/>
    <w:rsid w:val="00AF6342"/>
    <w:rsid w:val="00AF6635"/>
    <w:rsid w:val="00AF74C5"/>
    <w:rsid w:val="00B053FB"/>
    <w:rsid w:val="00B05647"/>
    <w:rsid w:val="00B07EE5"/>
    <w:rsid w:val="00B21CC5"/>
    <w:rsid w:val="00B237C1"/>
    <w:rsid w:val="00B26778"/>
    <w:rsid w:val="00B26B83"/>
    <w:rsid w:val="00B2766A"/>
    <w:rsid w:val="00B32479"/>
    <w:rsid w:val="00B333E6"/>
    <w:rsid w:val="00B33FE2"/>
    <w:rsid w:val="00B403ED"/>
    <w:rsid w:val="00B4065F"/>
    <w:rsid w:val="00B429C8"/>
    <w:rsid w:val="00B45091"/>
    <w:rsid w:val="00B45447"/>
    <w:rsid w:val="00B4617A"/>
    <w:rsid w:val="00B569D9"/>
    <w:rsid w:val="00B614F1"/>
    <w:rsid w:val="00B62D0A"/>
    <w:rsid w:val="00B728A4"/>
    <w:rsid w:val="00B80B6E"/>
    <w:rsid w:val="00B81549"/>
    <w:rsid w:val="00B84AFA"/>
    <w:rsid w:val="00B866B4"/>
    <w:rsid w:val="00B924BC"/>
    <w:rsid w:val="00B94226"/>
    <w:rsid w:val="00BA0A8C"/>
    <w:rsid w:val="00BA0CEB"/>
    <w:rsid w:val="00BA2383"/>
    <w:rsid w:val="00BA2E7E"/>
    <w:rsid w:val="00BA30FF"/>
    <w:rsid w:val="00BA590A"/>
    <w:rsid w:val="00BA5FE4"/>
    <w:rsid w:val="00BA7850"/>
    <w:rsid w:val="00BB0B39"/>
    <w:rsid w:val="00BB30D1"/>
    <w:rsid w:val="00BB39D8"/>
    <w:rsid w:val="00BB5F75"/>
    <w:rsid w:val="00BB6240"/>
    <w:rsid w:val="00BC4382"/>
    <w:rsid w:val="00BC6524"/>
    <w:rsid w:val="00BD3931"/>
    <w:rsid w:val="00BD394F"/>
    <w:rsid w:val="00BD5B88"/>
    <w:rsid w:val="00BD5F58"/>
    <w:rsid w:val="00BE0185"/>
    <w:rsid w:val="00BE0AEB"/>
    <w:rsid w:val="00BE2241"/>
    <w:rsid w:val="00BE5268"/>
    <w:rsid w:val="00BF0F0D"/>
    <w:rsid w:val="00BF79A7"/>
    <w:rsid w:val="00C018E0"/>
    <w:rsid w:val="00C05AAF"/>
    <w:rsid w:val="00C118C7"/>
    <w:rsid w:val="00C13125"/>
    <w:rsid w:val="00C20877"/>
    <w:rsid w:val="00C20E7B"/>
    <w:rsid w:val="00C21456"/>
    <w:rsid w:val="00C248AE"/>
    <w:rsid w:val="00C24D03"/>
    <w:rsid w:val="00C25E61"/>
    <w:rsid w:val="00C26B6A"/>
    <w:rsid w:val="00C3214A"/>
    <w:rsid w:val="00C35A1B"/>
    <w:rsid w:val="00C413F3"/>
    <w:rsid w:val="00C523F9"/>
    <w:rsid w:val="00C52625"/>
    <w:rsid w:val="00C5309E"/>
    <w:rsid w:val="00C54EFF"/>
    <w:rsid w:val="00C559CA"/>
    <w:rsid w:val="00C55D03"/>
    <w:rsid w:val="00C60550"/>
    <w:rsid w:val="00C60E50"/>
    <w:rsid w:val="00C63548"/>
    <w:rsid w:val="00C63E63"/>
    <w:rsid w:val="00C63F96"/>
    <w:rsid w:val="00C641C7"/>
    <w:rsid w:val="00C65450"/>
    <w:rsid w:val="00C662CD"/>
    <w:rsid w:val="00C677AF"/>
    <w:rsid w:val="00C67E59"/>
    <w:rsid w:val="00C72B8B"/>
    <w:rsid w:val="00C72CB5"/>
    <w:rsid w:val="00C76D4F"/>
    <w:rsid w:val="00C805BC"/>
    <w:rsid w:val="00C90852"/>
    <w:rsid w:val="00C90C6B"/>
    <w:rsid w:val="00C959CA"/>
    <w:rsid w:val="00C95D16"/>
    <w:rsid w:val="00CA2AB4"/>
    <w:rsid w:val="00CB0100"/>
    <w:rsid w:val="00CB04D2"/>
    <w:rsid w:val="00CB2509"/>
    <w:rsid w:val="00CB4965"/>
    <w:rsid w:val="00CB6A97"/>
    <w:rsid w:val="00CD7EFE"/>
    <w:rsid w:val="00CE0429"/>
    <w:rsid w:val="00CE0C66"/>
    <w:rsid w:val="00CE28CF"/>
    <w:rsid w:val="00CE4386"/>
    <w:rsid w:val="00CE4CDC"/>
    <w:rsid w:val="00CE5BEB"/>
    <w:rsid w:val="00CE69E9"/>
    <w:rsid w:val="00CE71F2"/>
    <w:rsid w:val="00CF3F65"/>
    <w:rsid w:val="00CF464D"/>
    <w:rsid w:val="00CF7406"/>
    <w:rsid w:val="00D05A19"/>
    <w:rsid w:val="00D11653"/>
    <w:rsid w:val="00D13E6D"/>
    <w:rsid w:val="00D17456"/>
    <w:rsid w:val="00D17EF4"/>
    <w:rsid w:val="00D22098"/>
    <w:rsid w:val="00D23770"/>
    <w:rsid w:val="00D25074"/>
    <w:rsid w:val="00D302F8"/>
    <w:rsid w:val="00D34517"/>
    <w:rsid w:val="00D36798"/>
    <w:rsid w:val="00D47E80"/>
    <w:rsid w:val="00D50F31"/>
    <w:rsid w:val="00D51799"/>
    <w:rsid w:val="00D51910"/>
    <w:rsid w:val="00D5278D"/>
    <w:rsid w:val="00D606B7"/>
    <w:rsid w:val="00D61704"/>
    <w:rsid w:val="00D66535"/>
    <w:rsid w:val="00D70563"/>
    <w:rsid w:val="00D70D89"/>
    <w:rsid w:val="00D72051"/>
    <w:rsid w:val="00D7380B"/>
    <w:rsid w:val="00D7475F"/>
    <w:rsid w:val="00D75D77"/>
    <w:rsid w:val="00D7639E"/>
    <w:rsid w:val="00D817FE"/>
    <w:rsid w:val="00D835EF"/>
    <w:rsid w:val="00D85F09"/>
    <w:rsid w:val="00D86A9D"/>
    <w:rsid w:val="00D947A7"/>
    <w:rsid w:val="00DA089A"/>
    <w:rsid w:val="00DA0D0D"/>
    <w:rsid w:val="00DA11A0"/>
    <w:rsid w:val="00DA1A55"/>
    <w:rsid w:val="00DA2822"/>
    <w:rsid w:val="00DA3BAD"/>
    <w:rsid w:val="00DA690B"/>
    <w:rsid w:val="00DA6B9B"/>
    <w:rsid w:val="00DA7225"/>
    <w:rsid w:val="00DA7CF0"/>
    <w:rsid w:val="00DB3E6D"/>
    <w:rsid w:val="00DB44E9"/>
    <w:rsid w:val="00DC1966"/>
    <w:rsid w:val="00DC3259"/>
    <w:rsid w:val="00DC7841"/>
    <w:rsid w:val="00DD0523"/>
    <w:rsid w:val="00DD0B7B"/>
    <w:rsid w:val="00DD0DEB"/>
    <w:rsid w:val="00DD2D50"/>
    <w:rsid w:val="00DE5758"/>
    <w:rsid w:val="00DE5FCF"/>
    <w:rsid w:val="00DE7975"/>
    <w:rsid w:val="00DF037B"/>
    <w:rsid w:val="00DF0D19"/>
    <w:rsid w:val="00DF2EE9"/>
    <w:rsid w:val="00DF6FD8"/>
    <w:rsid w:val="00E01192"/>
    <w:rsid w:val="00E02669"/>
    <w:rsid w:val="00E04A33"/>
    <w:rsid w:val="00E05A80"/>
    <w:rsid w:val="00E06A37"/>
    <w:rsid w:val="00E071A5"/>
    <w:rsid w:val="00E07752"/>
    <w:rsid w:val="00E15C28"/>
    <w:rsid w:val="00E16609"/>
    <w:rsid w:val="00E16F08"/>
    <w:rsid w:val="00E20B7B"/>
    <w:rsid w:val="00E233F3"/>
    <w:rsid w:val="00E26B34"/>
    <w:rsid w:val="00E314BA"/>
    <w:rsid w:val="00E325B3"/>
    <w:rsid w:val="00E325BE"/>
    <w:rsid w:val="00E326BA"/>
    <w:rsid w:val="00E34202"/>
    <w:rsid w:val="00E34AFE"/>
    <w:rsid w:val="00E37F72"/>
    <w:rsid w:val="00E40BE5"/>
    <w:rsid w:val="00E40CF9"/>
    <w:rsid w:val="00E42A30"/>
    <w:rsid w:val="00E52C54"/>
    <w:rsid w:val="00E53A02"/>
    <w:rsid w:val="00E5625D"/>
    <w:rsid w:val="00E648BB"/>
    <w:rsid w:val="00E671F5"/>
    <w:rsid w:val="00E67ACA"/>
    <w:rsid w:val="00E76B31"/>
    <w:rsid w:val="00E81F3E"/>
    <w:rsid w:val="00E844BB"/>
    <w:rsid w:val="00E84C48"/>
    <w:rsid w:val="00E859BD"/>
    <w:rsid w:val="00E86B70"/>
    <w:rsid w:val="00E87C8F"/>
    <w:rsid w:val="00E924C3"/>
    <w:rsid w:val="00E954EE"/>
    <w:rsid w:val="00E95C0E"/>
    <w:rsid w:val="00E96759"/>
    <w:rsid w:val="00EA122E"/>
    <w:rsid w:val="00EA4437"/>
    <w:rsid w:val="00EA4497"/>
    <w:rsid w:val="00EA4D87"/>
    <w:rsid w:val="00EB01E8"/>
    <w:rsid w:val="00EB34FC"/>
    <w:rsid w:val="00EB76E1"/>
    <w:rsid w:val="00EC1674"/>
    <w:rsid w:val="00EC2499"/>
    <w:rsid w:val="00EC5CD9"/>
    <w:rsid w:val="00EC68DD"/>
    <w:rsid w:val="00EC7175"/>
    <w:rsid w:val="00ED15E5"/>
    <w:rsid w:val="00EE4046"/>
    <w:rsid w:val="00EE4120"/>
    <w:rsid w:val="00EF2E8A"/>
    <w:rsid w:val="00EF4E6B"/>
    <w:rsid w:val="00EF5416"/>
    <w:rsid w:val="00F02382"/>
    <w:rsid w:val="00F062C6"/>
    <w:rsid w:val="00F06CCF"/>
    <w:rsid w:val="00F1053D"/>
    <w:rsid w:val="00F110D5"/>
    <w:rsid w:val="00F11E63"/>
    <w:rsid w:val="00F12733"/>
    <w:rsid w:val="00F171E1"/>
    <w:rsid w:val="00F20DCF"/>
    <w:rsid w:val="00F246EA"/>
    <w:rsid w:val="00F25B36"/>
    <w:rsid w:val="00F3052A"/>
    <w:rsid w:val="00F341E3"/>
    <w:rsid w:val="00F35D09"/>
    <w:rsid w:val="00F422D1"/>
    <w:rsid w:val="00F4304D"/>
    <w:rsid w:val="00F45775"/>
    <w:rsid w:val="00F46612"/>
    <w:rsid w:val="00F4752B"/>
    <w:rsid w:val="00F476E8"/>
    <w:rsid w:val="00F47D46"/>
    <w:rsid w:val="00F50C43"/>
    <w:rsid w:val="00F518F0"/>
    <w:rsid w:val="00F527AD"/>
    <w:rsid w:val="00F541AE"/>
    <w:rsid w:val="00F56792"/>
    <w:rsid w:val="00F571A6"/>
    <w:rsid w:val="00F6018B"/>
    <w:rsid w:val="00F60265"/>
    <w:rsid w:val="00F60E32"/>
    <w:rsid w:val="00F62EA2"/>
    <w:rsid w:val="00F644FF"/>
    <w:rsid w:val="00F65ABA"/>
    <w:rsid w:val="00F65E15"/>
    <w:rsid w:val="00F7242E"/>
    <w:rsid w:val="00F72C1C"/>
    <w:rsid w:val="00F74B33"/>
    <w:rsid w:val="00F750A6"/>
    <w:rsid w:val="00F810DD"/>
    <w:rsid w:val="00F95E2F"/>
    <w:rsid w:val="00F96DEB"/>
    <w:rsid w:val="00FA1872"/>
    <w:rsid w:val="00FA3850"/>
    <w:rsid w:val="00FA4F34"/>
    <w:rsid w:val="00FB2590"/>
    <w:rsid w:val="00FB5D0A"/>
    <w:rsid w:val="00FB68EA"/>
    <w:rsid w:val="00FD5A8C"/>
    <w:rsid w:val="00FE046C"/>
    <w:rsid w:val="00FE286E"/>
    <w:rsid w:val="00FE3233"/>
    <w:rsid w:val="00FE4C68"/>
    <w:rsid w:val="00FE5FAF"/>
    <w:rsid w:val="00FE6D74"/>
    <w:rsid w:val="00FF2B18"/>
    <w:rsid w:val="00FF504A"/>
    <w:rsid w:val="00FF5FE3"/>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DB3E6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D2D5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E510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9085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Heading4Char">
    <w:name w:val="Heading 4 Char"/>
    <w:basedOn w:val="DefaultParagraphFont"/>
    <w:link w:val="Heading4"/>
    <w:uiPriority w:val="9"/>
    <w:rsid w:val="00DB3E6D"/>
    <w:rPr>
      <w:rFonts w:asciiTheme="majorHAnsi" w:eastAsiaTheme="majorEastAsia" w:hAnsiTheme="majorHAnsi" w:cstheme="majorBidi"/>
      <w:b/>
      <w:bCs/>
      <w:i/>
      <w:iCs/>
      <w:color w:val="4F81BD" w:themeColor="accent1"/>
      <w:szCs w:val="24"/>
    </w:rPr>
  </w:style>
  <w:style w:type="character" w:customStyle="1" w:styleId="Heading5Char">
    <w:name w:val="Heading 5 Char"/>
    <w:basedOn w:val="DefaultParagraphFont"/>
    <w:link w:val="Heading5"/>
    <w:uiPriority w:val="9"/>
    <w:rsid w:val="00DD2D50"/>
    <w:rPr>
      <w:rFonts w:asciiTheme="majorHAnsi" w:eastAsiaTheme="majorEastAsia" w:hAnsiTheme="majorHAnsi" w:cstheme="majorBidi"/>
      <w:color w:val="243F60" w:themeColor="accent1" w:themeShade="7F"/>
      <w:szCs w:val="24"/>
    </w:rPr>
  </w:style>
  <w:style w:type="table" w:customStyle="1" w:styleId="TableGrid14">
    <w:name w:val="Table Grid14"/>
    <w:basedOn w:val="TableNormal"/>
    <w:next w:val="TableGrid"/>
    <w:rsid w:val="005C110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sid w:val="003E510E"/>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rsid w:val="00C90852"/>
    <w:rPr>
      <w:rFonts w:asciiTheme="majorHAnsi" w:eastAsiaTheme="majorEastAsia" w:hAnsiTheme="majorHAnsi" w:cstheme="majorBidi"/>
      <w:i/>
      <w:iCs/>
      <w:color w:val="404040" w:themeColor="text1" w:themeTint="BF"/>
      <w:szCs w:val="24"/>
    </w:rPr>
  </w:style>
  <w:style w:type="paragraph" w:customStyle="1" w:styleId="Default">
    <w:name w:val="Default"/>
    <w:rsid w:val="001125BB"/>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DB3E6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D2D5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E510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9085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Heading4Char">
    <w:name w:val="Heading 4 Char"/>
    <w:basedOn w:val="DefaultParagraphFont"/>
    <w:link w:val="Heading4"/>
    <w:uiPriority w:val="9"/>
    <w:rsid w:val="00DB3E6D"/>
    <w:rPr>
      <w:rFonts w:asciiTheme="majorHAnsi" w:eastAsiaTheme="majorEastAsia" w:hAnsiTheme="majorHAnsi" w:cstheme="majorBidi"/>
      <w:b/>
      <w:bCs/>
      <w:i/>
      <w:iCs/>
      <w:color w:val="4F81BD" w:themeColor="accent1"/>
      <w:szCs w:val="24"/>
    </w:rPr>
  </w:style>
  <w:style w:type="character" w:customStyle="1" w:styleId="Heading5Char">
    <w:name w:val="Heading 5 Char"/>
    <w:basedOn w:val="DefaultParagraphFont"/>
    <w:link w:val="Heading5"/>
    <w:uiPriority w:val="9"/>
    <w:rsid w:val="00DD2D50"/>
    <w:rPr>
      <w:rFonts w:asciiTheme="majorHAnsi" w:eastAsiaTheme="majorEastAsia" w:hAnsiTheme="majorHAnsi" w:cstheme="majorBidi"/>
      <w:color w:val="243F60" w:themeColor="accent1" w:themeShade="7F"/>
      <w:szCs w:val="24"/>
    </w:rPr>
  </w:style>
  <w:style w:type="table" w:customStyle="1" w:styleId="TableGrid14">
    <w:name w:val="Table Grid14"/>
    <w:basedOn w:val="TableNormal"/>
    <w:next w:val="TableGrid"/>
    <w:rsid w:val="005C110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sid w:val="003E510E"/>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rsid w:val="00C90852"/>
    <w:rPr>
      <w:rFonts w:asciiTheme="majorHAnsi" w:eastAsiaTheme="majorEastAsia" w:hAnsiTheme="majorHAnsi" w:cstheme="majorBidi"/>
      <w:i/>
      <w:iCs/>
      <w:color w:val="404040" w:themeColor="text1" w:themeTint="BF"/>
      <w:szCs w:val="24"/>
    </w:rPr>
  </w:style>
  <w:style w:type="paragraph" w:customStyle="1" w:styleId="Default">
    <w:name w:val="Default"/>
    <w:rsid w:val="001125B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8528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image" Target="media/image12.emf"/><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5.png"/><Relationship Id="rId23" Type="http://schemas.openxmlformats.org/officeDocument/2006/relationships/chart" Target="charts/chart2.xml"/><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glossaryDocument" Target="glossary/document.xml"/><Relationship Id="rId44" Type="http://schemas.microsoft.com/office/2016/09/relationships/commentsIds" Target="commentsId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chart" Target="charts/chart1.xml"/><Relationship Id="rId27" Type="http://schemas.openxmlformats.org/officeDocument/2006/relationships/header" Target="header2.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file:///C:\Users\Martin%20Vu\AppData\Local\Microsoft\Windows\INetCache\Content.Outlook\N63GLRSA\Tier%202%20APS%20Results%20-%20Master%20Data_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Pre</a:t>
            </a:r>
            <a:r>
              <a:rPr lang="en-US" baseline="0"/>
              <a:t> - Number of Uses and Use Hours</a:t>
            </a:r>
          </a:p>
        </c:rich>
      </c:tx>
      <c:layout/>
      <c:overlay val="0"/>
      <c:spPr>
        <a:noFill/>
        <a:ln>
          <a:noFill/>
        </a:ln>
        <a:effectLst/>
      </c:spPr>
    </c:title>
    <c:autoTitleDeleted val="0"/>
    <c:plotArea>
      <c:layout/>
      <c:lineChart>
        <c:grouping val="standard"/>
        <c:varyColors val="0"/>
        <c:ser>
          <c:idx val="0"/>
          <c:order val="0"/>
          <c:tx>
            <c:strRef>
              <c:f>'[Tier 2 APS Results - Master Data_TA.xlsx]Peak Demand and Usage Metrics'!$A$59</c:f>
              <c:strCache>
                <c:ptCount val="1"/>
                <c:pt idx="0">
                  <c:v>Daily use hours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'[Tier 2 APS Results - Master Data_TA.xlsx]Peak Demand and Usage Metrics'!$B$59:$AV$59</c:f>
              <c:numCache>
                <c:formatCode>0.00</c:formatCode>
                <c:ptCount val="47"/>
                <c:pt idx="1">
                  <c:v>8.2344716321591811</c:v>
                </c:pt>
                <c:pt idx="2">
                  <c:v>5.061093247588424</c:v>
                </c:pt>
                <c:pt idx="3">
                  <c:v>9.4901730712819017</c:v>
                </c:pt>
                <c:pt idx="4">
                  <c:v>8.2089552238805972</c:v>
                </c:pt>
                <c:pt idx="5">
                  <c:v>8.5235602094240832</c:v>
                </c:pt>
                <c:pt idx="6">
                  <c:v>8.7082119976703538</c:v>
                </c:pt>
                <c:pt idx="7">
                  <c:v>7.1727861771058326</c:v>
                </c:pt>
                <c:pt idx="8">
                  <c:v>9.7160305343511446</c:v>
                </c:pt>
                <c:pt idx="9">
                  <c:v>11.27859649122807</c:v>
                </c:pt>
                <c:pt idx="10">
                  <c:v>8.6254826254826256</c:v>
                </c:pt>
                <c:pt idx="11">
                  <c:v>5.7548746518105851</c:v>
                </c:pt>
                <c:pt idx="12">
                  <c:v>10.305121293800539</c:v>
                </c:pt>
                <c:pt idx="13">
                  <c:v>8.0942941334047678</c:v>
                </c:pt>
                <c:pt idx="14">
                  <c:v>6.4863252113376433</c:v>
                </c:pt>
                <c:pt idx="15">
                  <c:v>7.5480799746112348</c:v>
                </c:pt>
                <c:pt idx="16">
                  <c:v>9.7923823749066461</c:v>
                </c:pt>
                <c:pt idx="17">
                  <c:v>9.7552349930200091</c:v>
                </c:pt>
                <c:pt idx="18">
                  <c:v>6.5839721254355403</c:v>
                </c:pt>
                <c:pt idx="19">
                  <c:v>10.060465116279069</c:v>
                </c:pt>
                <c:pt idx="20">
                  <c:v>7.6021879661859764</c:v>
                </c:pt>
                <c:pt idx="21">
                  <c:v>7.2822710230316012</c:v>
                </c:pt>
                <c:pt idx="22">
                  <c:v>11.516068052930056</c:v>
                </c:pt>
                <c:pt idx="23">
                  <c:v>10.226514486391572</c:v>
                </c:pt>
                <c:pt idx="24">
                  <c:v>7.6451953537486803</c:v>
                </c:pt>
                <c:pt idx="25">
                  <c:v>8.6973365617433416</c:v>
                </c:pt>
                <c:pt idx="26">
                  <c:v>11.02257636122178</c:v>
                </c:pt>
                <c:pt idx="27">
                  <c:v>8.0248110098856369</c:v>
                </c:pt>
                <c:pt idx="28">
                  <c:v>9.1526315789473678</c:v>
                </c:pt>
                <c:pt idx="29">
                  <c:v>10.624719101123596</c:v>
                </c:pt>
                <c:pt idx="30">
                  <c:v>10.478402229447283</c:v>
                </c:pt>
                <c:pt idx="31">
                  <c:v>9.1900595029751493</c:v>
                </c:pt>
                <c:pt idx="32">
                  <c:v>9.2753938077132005</c:v>
                </c:pt>
                <c:pt idx="33">
                  <c:v>13.662447257383967</c:v>
                </c:pt>
                <c:pt idx="34">
                  <c:v>8.5960692285127607</c:v>
                </c:pt>
                <c:pt idx="35">
                  <c:v>8.0446304044630406</c:v>
                </c:pt>
                <c:pt idx="36">
                  <c:v>8.1837160751565765</c:v>
                </c:pt>
                <c:pt idx="37">
                  <c:v>7.3869346733668335</c:v>
                </c:pt>
                <c:pt idx="38">
                  <c:v>9.647583643122676</c:v>
                </c:pt>
                <c:pt idx="39">
                  <c:v>8.6799468791500658</c:v>
                </c:pt>
                <c:pt idx="40">
                  <c:v>11.200406917599185</c:v>
                </c:pt>
                <c:pt idx="41">
                  <c:v>9.2912838341196924</c:v>
                </c:pt>
                <c:pt idx="42">
                  <c:v>10.287419194430631</c:v>
                </c:pt>
                <c:pt idx="43">
                  <c:v>10.188257222739981</c:v>
                </c:pt>
                <c:pt idx="44">
                  <c:v>6.4198511166253098</c:v>
                </c:pt>
                <c:pt idx="45">
                  <c:v>8.8578553615960089</c:v>
                </c:pt>
                <c:pt idx="46">
                  <c:v>8.5223025168203339</c:v>
                </c:pt>
              </c:numCache>
            </c:numRef>
          </c:val>
          <c:smooth val="0"/>
        </c:ser>
        <c:dLbls>
          <c:showLegendKey val="0"/>
          <c:showVal val="0"/>
          <c:showCatName val="0"/>
          <c:showSerName val="0"/>
          <c:showPercent val="0"/>
          <c:showBubbleSize val="0"/>
        </c:dLbls>
        <c:marker val="1"/>
        <c:smooth val="0"/>
        <c:axId val="110867584"/>
        <c:axId val="110869888"/>
      </c:lineChart>
      <c:lineChart>
        <c:grouping val="standard"/>
        <c:varyColors val="0"/>
        <c:ser>
          <c:idx val="1"/>
          <c:order val="1"/>
          <c:tx>
            <c:strRef>
              <c:f>'[Tier 2 APS Results - Master Data_TA.xlsx]Peak Demand and Usage Metrics'!$A$60</c:f>
              <c:strCache>
                <c:ptCount val="1"/>
                <c:pt idx="0">
                  <c:v>Daily # uses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'[Tier 2 APS Results - Master Data_TA.xlsx]Peak Demand and Usage Metrics'!$B$60:$AV$60</c:f>
              <c:numCache>
                <c:formatCode>0.00</c:formatCode>
                <c:ptCount val="47"/>
                <c:pt idx="1">
                  <c:v>2.2307692307692308</c:v>
                </c:pt>
                <c:pt idx="2">
                  <c:v>1.1538461538461537</c:v>
                </c:pt>
                <c:pt idx="3">
                  <c:v>3</c:v>
                </c:pt>
                <c:pt idx="4">
                  <c:v>5.2142857142857144</c:v>
                </c:pt>
                <c:pt idx="5">
                  <c:v>2.5833333333333335</c:v>
                </c:pt>
                <c:pt idx="6">
                  <c:v>1.8333333333333333</c:v>
                </c:pt>
                <c:pt idx="7">
                  <c:v>2.8461538461538463</c:v>
                </c:pt>
                <c:pt idx="8">
                  <c:v>2.6428571428571428</c:v>
                </c:pt>
                <c:pt idx="9">
                  <c:v>2.6</c:v>
                </c:pt>
                <c:pt idx="10">
                  <c:v>3</c:v>
                </c:pt>
                <c:pt idx="11">
                  <c:v>2.4666666666666668</c:v>
                </c:pt>
                <c:pt idx="12">
                  <c:v>2.6153846153846154</c:v>
                </c:pt>
                <c:pt idx="13">
                  <c:v>2.3846153846153846</c:v>
                </c:pt>
                <c:pt idx="14">
                  <c:v>2.3571428571428572</c:v>
                </c:pt>
                <c:pt idx="15">
                  <c:v>2.2727272727272729</c:v>
                </c:pt>
                <c:pt idx="16">
                  <c:v>2.0714285714285716</c:v>
                </c:pt>
                <c:pt idx="17">
                  <c:v>2.6</c:v>
                </c:pt>
                <c:pt idx="18">
                  <c:v>1.6666666666666667</c:v>
                </c:pt>
                <c:pt idx="19">
                  <c:v>2.8333333333333335</c:v>
                </c:pt>
                <c:pt idx="20">
                  <c:v>1.7142857142857142</c:v>
                </c:pt>
                <c:pt idx="21">
                  <c:v>2.6923076923076925</c:v>
                </c:pt>
                <c:pt idx="22">
                  <c:v>2.2727272727272729</c:v>
                </c:pt>
                <c:pt idx="23">
                  <c:v>2.8333333333333335</c:v>
                </c:pt>
                <c:pt idx="24">
                  <c:v>2.2000000000000002</c:v>
                </c:pt>
                <c:pt idx="25">
                  <c:v>2.3076923076923075</c:v>
                </c:pt>
                <c:pt idx="26">
                  <c:v>2.0625</c:v>
                </c:pt>
                <c:pt idx="27">
                  <c:v>1.6111111111111112</c:v>
                </c:pt>
                <c:pt idx="28">
                  <c:v>2.125</c:v>
                </c:pt>
                <c:pt idx="29">
                  <c:v>1.8823529411764706</c:v>
                </c:pt>
                <c:pt idx="30">
                  <c:v>2.6</c:v>
                </c:pt>
                <c:pt idx="31">
                  <c:v>3</c:v>
                </c:pt>
                <c:pt idx="32">
                  <c:v>2.6923076923076925</c:v>
                </c:pt>
                <c:pt idx="33">
                  <c:v>1.8</c:v>
                </c:pt>
                <c:pt idx="34">
                  <c:v>3.8333333333333335</c:v>
                </c:pt>
                <c:pt idx="35">
                  <c:v>2.6</c:v>
                </c:pt>
                <c:pt idx="36">
                  <c:v>2.4</c:v>
                </c:pt>
                <c:pt idx="37">
                  <c:v>2</c:v>
                </c:pt>
                <c:pt idx="38">
                  <c:v>2.7142857142857144</c:v>
                </c:pt>
                <c:pt idx="39">
                  <c:v>2</c:v>
                </c:pt>
                <c:pt idx="40">
                  <c:v>1.7857142857142858</c:v>
                </c:pt>
                <c:pt idx="41">
                  <c:v>2.7857142857142856</c:v>
                </c:pt>
                <c:pt idx="42">
                  <c:v>3.2142857142857144</c:v>
                </c:pt>
                <c:pt idx="43">
                  <c:v>2.2000000000000002</c:v>
                </c:pt>
                <c:pt idx="44">
                  <c:v>2.5714285714285716</c:v>
                </c:pt>
                <c:pt idx="45">
                  <c:v>2.5</c:v>
                </c:pt>
                <c:pt idx="46">
                  <c:v>2</c:v>
                </c:pt>
              </c:numCache>
            </c:numRef>
          </c:val>
          <c:smooth val="0"/>
        </c:ser>
        <c:dLbls>
          <c:showLegendKey val="0"/>
          <c:showVal val="0"/>
          <c:showCatName val="0"/>
          <c:showSerName val="0"/>
          <c:showPercent val="0"/>
          <c:showBubbleSize val="0"/>
        </c:dLbls>
        <c:marker val="1"/>
        <c:smooth val="0"/>
        <c:axId val="110873216"/>
        <c:axId val="110871680"/>
      </c:lineChart>
      <c:catAx>
        <c:axId val="11086758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0869888"/>
        <c:crosses val="autoZero"/>
        <c:auto val="1"/>
        <c:lblAlgn val="ctr"/>
        <c:lblOffset val="100"/>
        <c:noMultiLvlLbl val="0"/>
      </c:catAx>
      <c:valAx>
        <c:axId val="11086988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0867584"/>
        <c:crosses val="autoZero"/>
        <c:crossBetween val="between"/>
      </c:valAx>
      <c:valAx>
        <c:axId val="110871680"/>
        <c:scaling>
          <c:orientation val="minMax"/>
        </c:scaling>
        <c:delete val="0"/>
        <c:axPos val="r"/>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0873216"/>
        <c:crosses val="max"/>
        <c:crossBetween val="between"/>
      </c:valAx>
      <c:catAx>
        <c:axId val="110873216"/>
        <c:scaling>
          <c:orientation val="minMax"/>
        </c:scaling>
        <c:delete val="1"/>
        <c:axPos val="b"/>
        <c:majorTickMark val="out"/>
        <c:minorTickMark val="none"/>
        <c:tickLblPos val="nextTo"/>
        <c:crossAx val="110871680"/>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baseline="0">
                <a:effectLst/>
              </a:rPr>
              <a:t>Post - Number of Uses and Use Hours</a:t>
            </a:r>
            <a:endParaRPr lang="en-US" sz="1400">
              <a:effectLst/>
            </a:endParaRPr>
          </a:p>
        </c:rich>
      </c:tx>
      <c:layout/>
      <c:overlay val="0"/>
      <c:spPr>
        <a:noFill/>
        <a:ln>
          <a:noFill/>
        </a:ln>
        <a:effectLst/>
      </c:spPr>
    </c:title>
    <c:autoTitleDeleted val="0"/>
    <c:plotArea>
      <c:layout/>
      <c:lineChart>
        <c:grouping val="standard"/>
        <c:varyColors val="0"/>
        <c:ser>
          <c:idx val="0"/>
          <c:order val="0"/>
          <c:tx>
            <c:strRef>
              <c:f>'[Tier 2 APS Results - Master Data_TA.xlsx]Peak Demand and Usage Metrics'!$A$27</c:f>
              <c:strCache>
                <c:ptCount val="1"/>
                <c:pt idx="0">
                  <c:v>Daily use hours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'[Tier 2 APS Results - Master Data_TA.xlsx]Peak Demand and Usage Metrics'!$B$27:$AV$27</c:f>
              <c:numCache>
                <c:formatCode>0.0</c:formatCode>
                <c:ptCount val="47"/>
                <c:pt idx="1">
                  <c:v>4.6472781506338556</c:v>
                </c:pt>
                <c:pt idx="2">
                  <c:v>3.2463993771895678</c:v>
                </c:pt>
                <c:pt idx="3">
                  <c:v>6.7497893850042123</c:v>
                </c:pt>
                <c:pt idx="4">
                  <c:v>7.1228014577721428</c:v>
                </c:pt>
                <c:pt idx="5">
                  <c:v>4.1155393053016454</c:v>
                </c:pt>
                <c:pt idx="6">
                  <c:v>5.058637083993661</c:v>
                </c:pt>
                <c:pt idx="7">
                  <c:v>6.2421524663677124</c:v>
                </c:pt>
                <c:pt idx="8">
                  <c:v>6.0944983818770222</c:v>
                </c:pt>
                <c:pt idx="9">
                  <c:v>7.4965250965250965</c:v>
                </c:pt>
                <c:pt idx="10">
                  <c:v>5.0916710319539025</c:v>
                </c:pt>
                <c:pt idx="11">
                  <c:v>5.3226773226773227</c:v>
                </c:pt>
                <c:pt idx="12">
                  <c:v>4.7068313587093522</c:v>
                </c:pt>
                <c:pt idx="13">
                  <c:v>5.5327679259830376</c:v>
                </c:pt>
                <c:pt idx="14">
                  <c:v>3.8260869565217388</c:v>
                </c:pt>
                <c:pt idx="15">
                  <c:v>6.3423822714681437</c:v>
                </c:pt>
                <c:pt idx="16">
                  <c:v>6.1488291413703378</c:v>
                </c:pt>
                <c:pt idx="17">
                  <c:v>3.4109464771696403</c:v>
                </c:pt>
                <c:pt idx="18">
                  <c:v>3.8079415185246717</c:v>
                </c:pt>
                <c:pt idx="19">
                  <c:v>5.2518457752255943</c:v>
                </c:pt>
                <c:pt idx="20">
                  <c:v>4.3956630525437861</c:v>
                </c:pt>
                <c:pt idx="21">
                  <c:v>4.2719406674907292</c:v>
                </c:pt>
                <c:pt idx="22">
                  <c:v>5.8340767172167709</c:v>
                </c:pt>
                <c:pt idx="23">
                  <c:v>4.8355263157894743</c:v>
                </c:pt>
                <c:pt idx="24">
                  <c:v>4.5150065245759023</c:v>
                </c:pt>
                <c:pt idx="25">
                  <c:v>5.105367793240557</c:v>
                </c:pt>
                <c:pt idx="26">
                  <c:v>5.8171745152354566</c:v>
                </c:pt>
                <c:pt idx="27">
                  <c:v>3.9355450236966822</c:v>
                </c:pt>
                <c:pt idx="28">
                  <c:v>5.5033635565954961</c:v>
                </c:pt>
                <c:pt idx="29">
                  <c:v>6.0091231626964019</c:v>
                </c:pt>
                <c:pt idx="30">
                  <c:v>4.4264816769717994</c:v>
                </c:pt>
                <c:pt idx="31">
                  <c:v>3.84</c:v>
                </c:pt>
                <c:pt idx="32">
                  <c:v>5.2145496985022373</c:v>
                </c:pt>
                <c:pt idx="33">
                  <c:v>7.0240663900414937</c:v>
                </c:pt>
                <c:pt idx="34">
                  <c:v>5.2364810330912022</c:v>
                </c:pt>
                <c:pt idx="35">
                  <c:v>4.9993682880606443</c:v>
                </c:pt>
                <c:pt idx="36">
                  <c:v>3.4128680479825517</c:v>
                </c:pt>
                <c:pt idx="37">
                  <c:v>4.8355091383812008</c:v>
                </c:pt>
                <c:pt idx="38">
                  <c:v>4.1788235294117646</c:v>
                </c:pt>
                <c:pt idx="39">
                  <c:v>3.8845144356955381</c:v>
                </c:pt>
                <c:pt idx="40">
                  <c:v>6.5376782077393081</c:v>
                </c:pt>
                <c:pt idx="41">
                  <c:v>5.9021237303785785</c:v>
                </c:pt>
                <c:pt idx="42">
                  <c:v>7.5822383325781599</c:v>
                </c:pt>
                <c:pt idx="43">
                  <c:v>4.8609934539853681</c:v>
                </c:pt>
                <c:pt idx="44">
                  <c:v>4.5411882176734899</c:v>
                </c:pt>
                <c:pt idx="45">
                  <c:v>3.9571840263482918</c:v>
                </c:pt>
                <c:pt idx="46">
                  <c:v>4.4826446280991732</c:v>
                </c:pt>
              </c:numCache>
            </c:numRef>
          </c:val>
          <c:smooth val="0"/>
        </c:ser>
        <c:dLbls>
          <c:showLegendKey val="0"/>
          <c:showVal val="0"/>
          <c:showCatName val="0"/>
          <c:showSerName val="0"/>
          <c:showPercent val="0"/>
          <c:showBubbleSize val="0"/>
        </c:dLbls>
        <c:marker val="1"/>
        <c:smooth val="0"/>
        <c:axId val="145191296"/>
        <c:axId val="145193600"/>
      </c:lineChart>
      <c:lineChart>
        <c:grouping val="standard"/>
        <c:varyColors val="0"/>
        <c:ser>
          <c:idx val="1"/>
          <c:order val="1"/>
          <c:tx>
            <c:strRef>
              <c:f>'[Tier 2 APS Results - Master Data_TA.xlsx]Peak Demand and Usage Metrics'!$A$28</c:f>
              <c:strCache>
                <c:ptCount val="1"/>
                <c:pt idx="0">
                  <c:v>Uses per day</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'[Tier 2 APS Results - Master Data_TA.xlsx]Peak Demand and Usage Metrics'!$B$28:$AV$28</c:f>
              <c:numCache>
                <c:formatCode>0.0</c:formatCode>
                <c:ptCount val="47"/>
                <c:pt idx="1">
                  <c:v>1.8571428571428572</c:v>
                </c:pt>
                <c:pt idx="2">
                  <c:v>1.4444444444444444</c:v>
                </c:pt>
                <c:pt idx="3">
                  <c:v>1.44</c:v>
                </c:pt>
                <c:pt idx="4">
                  <c:v>1.6363636363636365</c:v>
                </c:pt>
                <c:pt idx="5">
                  <c:v>1.5789473684210527</c:v>
                </c:pt>
                <c:pt idx="6">
                  <c:v>2.4545454545454546</c:v>
                </c:pt>
                <c:pt idx="7">
                  <c:v>2</c:v>
                </c:pt>
                <c:pt idx="8">
                  <c:v>1.6875</c:v>
                </c:pt>
                <c:pt idx="9">
                  <c:v>2.3888888888888888</c:v>
                </c:pt>
                <c:pt idx="10">
                  <c:v>1.25</c:v>
                </c:pt>
                <c:pt idx="11">
                  <c:v>2.7142857142857144</c:v>
                </c:pt>
                <c:pt idx="12">
                  <c:v>2.4285714285714284</c:v>
                </c:pt>
                <c:pt idx="13">
                  <c:v>2.0555555555555554</c:v>
                </c:pt>
                <c:pt idx="14">
                  <c:v>1.5555555555555556</c:v>
                </c:pt>
                <c:pt idx="15">
                  <c:v>1.368421052631579</c:v>
                </c:pt>
                <c:pt idx="16">
                  <c:v>1.35</c:v>
                </c:pt>
                <c:pt idx="17">
                  <c:v>1.0869565217391304</c:v>
                </c:pt>
                <c:pt idx="18">
                  <c:v>1.4761904761904763</c:v>
                </c:pt>
                <c:pt idx="19">
                  <c:v>2.1176470588235294</c:v>
                </c:pt>
                <c:pt idx="20">
                  <c:v>1.2857142857142858</c:v>
                </c:pt>
                <c:pt idx="21">
                  <c:v>1.8823529411764706</c:v>
                </c:pt>
                <c:pt idx="22">
                  <c:v>3.375</c:v>
                </c:pt>
                <c:pt idx="23">
                  <c:v>2.4705882352941178</c:v>
                </c:pt>
                <c:pt idx="24">
                  <c:v>1.9375</c:v>
                </c:pt>
                <c:pt idx="25">
                  <c:v>2.5714285714285716</c:v>
                </c:pt>
                <c:pt idx="26">
                  <c:v>3.25</c:v>
                </c:pt>
                <c:pt idx="27">
                  <c:v>2.1818181818181817</c:v>
                </c:pt>
                <c:pt idx="28">
                  <c:v>2.1666666666666665</c:v>
                </c:pt>
                <c:pt idx="29">
                  <c:v>3.1428571428571428</c:v>
                </c:pt>
                <c:pt idx="30">
                  <c:v>1.3043478260869565</c:v>
                </c:pt>
                <c:pt idx="31">
                  <c:v>2</c:v>
                </c:pt>
                <c:pt idx="32">
                  <c:v>1.4444444444444444</c:v>
                </c:pt>
                <c:pt idx="33">
                  <c:v>3.1538461538461537</c:v>
                </c:pt>
                <c:pt idx="34">
                  <c:v>2.8461538461538463</c:v>
                </c:pt>
                <c:pt idx="35">
                  <c:v>1.3181818181818181</c:v>
                </c:pt>
                <c:pt idx="36">
                  <c:v>1.8125</c:v>
                </c:pt>
                <c:pt idx="37">
                  <c:v>2.375</c:v>
                </c:pt>
                <c:pt idx="38">
                  <c:v>2.4444444444444446</c:v>
                </c:pt>
                <c:pt idx="39">
                  <c:v>2</c:v>
                </c:pt>
                <c:pt idx="40">
                  <c:v>2</c:v>
                </c:pt>
                <c:pt idx="41">
                  <c:v>1.3478260869565217</c:v>
                </c:pt>
                <c:pt idx="42">
                  <c:v>1.5172413793103448</c:v>
                </c:pt>
                <c:pt idx="43">
                  <c:v>1.9444444444444444</c:v>
                </c:pt>
                <c:pt idx="44">
                  <c:v>2.2857142857142856</c:v>
                </c:pt>
                <c:pt idx="45">
                  <c:v>1.6470588235294117</c:v>
                </c:pt>
                <c:pt idx="46">
                  <c:v>1.5789473684210527</c:v>
                </c:pt>
              </c:numCache>
            </c:numRef>
          </c:val>
          <c:smooth val="0"/>
        </c:ser>
        <c:dLbls>
          <c:showLegendKey val="0"/>
          <c:showVal val="0"/>
          <c:showCatName val="0"/>
          <c:showSerName val="0"/>
          <c:showPercent val="0"/>
          <c:showBubbleSize val="0"/>
        </c:dLbls>
        <c:marker val="1"/>
        <c:smooth val="0"/>
        <c:axId val="145196928"/>
        <c:axId val="145195392"/>
      </c:lineChart>
      <c:catAx>
        <c:axId val="14519129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5193600"/>
        <c:crosses val="autoZero"/>
        <c:auto val="1"/>
        <c:lblAlgn val="ctr"/>
        <c:lblOffset val="100"/>
        <c:noMultiLvlLbl val="0"/>
      </c:catAx>
      <c:valAx>
        <c:axId val="14519360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5191296"/>
        <c:crosses val="autoZero"/>
        <c:crossBetween val="between"/>
      </c:valAx>
      <c:valAx>
        <c:axId val="145195392"/>
        <c:scaling>
          <c:orientation val="minMax"/>
        </c:scaling>
        <c:delete val="0"/>
        <c:axPos val="r"/>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5196928"/>
        <c:crosses val="max"/>
        <c:crossBetween val="between"/>
      </c:valAx>
      <c:catAx>
        <c:axId val="145196928"/>
        <c:scaling>
          <c:orientation val="minMax"/>
        </c:scaling>
        <c:delete val="1"/>
        <c:axPos val="b"/>
        <c:majorTickMark val="out"/>
        <c:minorTickMark val="none"/>
        <c:tickLblPos val="nextTo"/>
        <c:crossAx val="145195392"/>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6CC2"/>
    <w:rsid w:val="000B6BAE"/>
    <w:rsid w:val="00146151"/>
    <w:rsid w:val="00157A8F"/>
    <w:rsid w:val="001657B4"/>
    <w:rsid w:val="00204A7F"/>
    <w:rsid w:val="002B514B"/>
    <w:rsid w:val="002C0C03"/>
    <w:rsid w:val="00311B0D"/>
    <w:rsid w:val="00363836"/>
    <w:rsid w:val="003A131F"/>
    <w:rsid w:val="003B3DFD"/>
    <w:rsid w:val="00560392"/>
    <w:rsid w:val="00664B55"/>
    <w:rsid w:val="006A42DF"/>
    <w:rsid w:val="006B7FA8"/>
    <w:rsid w:val="007E3AAB"/>
    <w:rsid w:val="008211B5"/>
    <w:rsid w:val="00874653"/>
    <w:rsid w:val="008C6FC2"/>
    <w:rsid w:val="008E715B"/>
    <w:rsid w:val="00A5022A"/>
    <w:rsid w:val="00A7750E"/>
    <w:rsid w:val="00AE4C28"/>
    <w:rsid w:val="00B73964"/>
    <w:rsid w:val="00B74704"/>
    <w:rsid w:val="00B86B8A"/>
    <w:rsid w:val="00BB1AC8"/>
    <w:rsid w:val="00C0603B"/>
    <w:rsid w:val="00C12165"/>
    <w:rsid w:val="00C947B8"/>
    <w:rsid w:val="00CA6CD6"/>
    <w:rsid w:val="00CC67CC"/>
    <w:rsid w:val="00CE104A"/>
    <w:rsid w:val="00D0496D"/>
    <w:rsid w:val="00D051F5"/>
    <w:rsid w:val="00D4774C"/>
    <w:rsid w:val="00D92FF8"/>
    <w:rsid w:val="00DA34CD"/>
    <w:rsid w:val="00DC48D2"/>
    <w:rsid w:val="00DE6536"/>
    <w:rsid w:val="00E03C86"/>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B1147B-601E-42F4-BA46-5AF2E935D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6575</Words>
  <Characters>37483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SCE17CS014</vt:lpstr>
    </vt:vector>
  </TitlesOfParts>
  <Company>Southern California Edison</Company>
  <LinksUpToDate>false</LinksUpToDate>
  <CharactersWithSpaces>43971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SCE17CS014</dc:title>
  <dc:creator>Jim Wyatt (PG&amp;E);Jason Wang (SCE)</dc:creator>
  <cp:lastModifiedBy>Ajay Wadhera</cp:lastModifiedBy>
  <cp:revision>3</cp:revision>
  <dcterms:created xsi:type="dcterms:W3CDTF">2017-10-16T15:04:00Z</dcterms:created>
  <dcterms:modified xsi:type="dcterms:W3CDTF">2017-10-16T15:05:00Z</dcterms:modified>
  <cp:contentStatus>Revision 0</cp:contentStatus>
</cp:coreProperties>
</file>