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14402930"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08524C">
            <w:t>SCE</w:t>
          </w:r>
          <w:r w:rsidR="009A2332">
            <w:t>17</w:t>
          </w:r>
          <w:r w:rsidR="00A40C24">
            <w:t>CC</w:t>
          </w:r>
          <w:r w:rsidR="001A539B">
            <w:t>018</w:t>
          </w:r>
        </w:sdtContent>
      </w:sdt>
    </w:p>
    <w:bookmarkEnd w:id="0"/>
    <w:p w14:paraId="7601CE2F" w14:textId="0679083F" w:rsidR="00DA690B" w:rsidRPr="00500C4E" w:rsidRDefault="00455E15"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5319F0">
            <w:rPr>
              <w:rStyle w:val="CaptionChar"/>
              <w:rFonts w:asciiTheme="minorHAnsi" w:hAnsiTheme="minorHAnsi" w:cstheme="minorHAnsi"/>
              <w:b/>
              <w:bCs w:val="0"/>
              <w:sz w:val="48"/>
              <w:szCs w:val="48"/>
            </w:rPr>
            <w:t>0</w:t>
          </w:r>
        </w:sdtContent>
      </w:sdt>
    </w:p>
    <w:p w14:paraId="3E4FD8A9" w14:textId="4CB4D611" w:rsidR="00285A0D" w:rsidRPr="00500C4E" w:rsidRDefault="00F30167" w:rsidP="00DE5758">
      <w:pPr>
        <w:jc w:val="right"/>
        <w:rPr>
          <w:rFonts w:cstheme="minorHAnsi"/>
          <w:b/>
          <w:sz w:val="48"/>
          <w:szCs w:val="48"/>
        </w:rPr>
      </w:pPr>
      <w:r>
        <w:rPr>
          <w:rFonts w:cstheme="minorHAnsi"/>
          <w:b/>
          <w:sz w:val="48"/>
          <w:szCs w:val="48"/>
        </w:rPr>
        <w:t>Short Form</w:t>
      </w:r>
    </w:p>
    <w:bookmarkStart w:id="2" w:name="SCE"/>
    <w:p w14:paraId="1837A157" w14:textId="79948BB8" w:rsidR="00DA690B" w:rsidRPr="00500C4E" w:rsidRDefault="00455E15"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60C5441A" w14:textId="09454545" w:rsidR="00F30167" w:rsidRDefault="00A40C24">
      <w:pPr>
        <w:spacing w:after="200" w:line="276" w:lineRule="auto"/>
        <w:rPr>
          <w:rFonts w:cstheme="minorHAnsi"/>
          <w:b/>
          <w:color w:val="FF0000"/>
          <w:sz w:val="32"/>
          <w:szCs w:val="22"/>
        </w:rPr>
      </w:pPr>
      <w:r w:rsidRPr="00A40C24">
        <w:rPr>
          <w:rFonts w:cstheme="minorHAnsi"/>
          <w:b/>
          <w:sz w:val="72"/>
          <w:szCs w:val="72"/>
        </w:rPr>
        <w:t>Under Counter Type Commercial Dishwashers</w:t>
      </w:r>
      <w:r w:rsidR="00F30167">
        <w:rPr>
          <w:rFonts w:cstheme="minorHAnsi"/>
          <w:b/>
          <w:i/>
          <w:sz w:val="32"/>
          <w:szCs w:val="22"/>
        </w:rPr>
        <w:br w:type="page"/>
      </w:r>
    </w:p>
    <w:p w14:paraId="495DC982" w14:textId="260D6AA2" w:rsidR="00F30167" w:rsidRDefault="00F30167" w:rsidP="00F30167">
      <w:pPr>
        <w:pStyle w:val="Reminders"/>
        <w:rPr>
          <w:rFonts w:asciiTheme="minorHAnsi" w:hAnsiTheme="minorHAnsi" w:cstheme="minorHAnsi"/>
          <w:b/>
          <w:i w:val="0"/>
          <w:color w:val="auto"/>
          <w:sz w:val="28"/>
          <w:szCs w:val="22"/>
        </w:rPr>
      </w:pPr>
      <w:r>
        <w:rPr>
          <w:rFonts w:asciiTheme="minorHAnsi" w:hAnsiTheme="minorHAnsi" w:cstheme="minorHAnsi"/>
          <w:b/>
          <w:i w:val="0"/>
          <w:color w:val="auto"/>
          <w:sz w:val="28"/>
          <w:szCs w:val="22"/>
        </w:rPr>
        <w:lastRenderedPageBreak/>
        <w:t>Introduction</w:t>
      </w:r>
    </w:p>
    <w:p w14:paraId="36DF0D49" w14:textId="5FE44635" w:rsidR="00F30167" w:rsidRDefault="00F30167" w:rsidP="00F30167">
      <w:pPr>
        <w:pStyle w:val="Reminders"/>
        <w:rPr>
          <w:rFonts w:asciiTheme="minorHAnsi" w:hAnsiTheme="minorHAnsi" w:cstheme="minorHAnsi"/>
          <w:i w:val="0"/>
          <w:color w:val="auto"/>
          <w:sz w:val="28"/>
          <w:szCs w:val="22"/>
        </w:rPr>
      </w:pPr>
      <w:r>
        <w:rPr>
          <w:rFonts w:asciiTheme="minorHAnsi" w:hAnsiTheme="minorHAnsi" w:cstheme="minorHAnsi"/>
          <w:i w:val="0"/>
          <w:color w:val="auto"/>
          <w:sz w:val="28"/>
          <w:szCs w:val="22"/>
        </w:rPr>
        <w:t>This short form workpaper</w:t>
      </w:r>
      <w:r w:rsidR="00992017">
        <w:rPr>
          <w:rFonts w:asciiTheme="minorHAnsi" w:hAnsiTheme="minorHAnsi" w:cstheme="minorHAnsi"/>
          <w:i w:val="0"/>
          <w:color w:val="auto"/>
          <w:sz w:val="28"/>
          <w:szCs w:val="22"/>
        </w:rPr>
        <w:t xml:space="preserve"> (WP)</w:t>
      </w:r>
      <w:r>
        <w:rPr>
          <w:rFonts w:asciiTheme="minorHAnsi" w:hAnsiTheme="minorHAnsi" w:cstheme="minorHAnsi"/>
          <w:i w:val="0"/>
          <w:color w:val="auto"/>
          <w:sz w:val="28"/>
          <w:szCs w:val="22"/>
        </w:rPr>
        <w:t xml:space="preserve"> documents the values adopted from </w:t>
      </w:r>
      <w:r w:rsidR="00A40C24">
        <w:rPr>
          <w:rFonts w:asciiTheme="minorHAnsi" w:hAnsiTheme="minorHAnsi" w:cstheme="minorHAnsi"/>
          <w:i w:val="0"/>
          <w:color w:val="auto"/>
          <w:sz w:val="28"/>
          <w:szCs w:val="22"/>
        </w:rPr>
        <w:t>SCG</w:t>
      </w:r>
      <w:r>
        <w:rPr>
          <w:rFonts w:asciiTheme="minorHAnsi" w:hAnsiTheme="minorHAnsi" w:cstheme="minorHAnsi"/>
          <w:i w:val="0"/>
          <w:color w:val="auto"/>
          <w:sz w:val="28"/>
          <w:szCs w:val="22"/>
        </w:rPr>
        <w:t>’s WP entitled “</w:t>
      </w:r>
      <w:r w:rsidR="00A40C24" w:rsidRPr="00A40C24">
        <w:rPr>
          <w:rFonts w:asciiTheme="minorHAnsi" w:hAnsiTheme="minorHAnsi" w:cstheme="minorHAnsi"/>
          <w:i w:val="0"/>
          <w:color w:val="auto"/>
          <w:sz w:val="28"/>
          <w:szCs w:val="22"/>
        </w:rPr>
        <w:t>Under Counter Type Commercial Dishwashers</w:t>
      </w:r>
      <w:r>
        <w:rPr>
          <w:rFonts w:asciiTheme="minorHAnsi" w:hAnsiTheme="minorHAnsi" w:cstheme="minorHAnsi"/>
          <w:i w:val="0"/>
          <w:color w:val="auto"/>
          <w:sz w:val="28"/>
          <w:szCs w:val="22"/>
        </w:rPr>
        <w:t>” (</w:t>
      </w:r>
      <w:r w:rsidR="00A40C24" w:rsidRPr="00A40C24">
        <w:rPr>
          <w:rFonts w:asciiTheme="minorHAnsi" w:hAnsiTheme="minorHAnsi" w:cstheme="minorHAnsi"/>
          <w:i w:val="0"/>
          <w:color w:val="auto"/>
          <w:sz w:val="28"/>
          <w:szCs w:val="22"/>
        </w:rPr>
        <w:t>WPSCGNRCC180529A</w:t>
      </w:r>
      <w:r w:rsidR="00A40C24">
        <w:rPr>
          <w:rFonts w:asciiTheme="minorHAnsi" w:hAnsiTheme="minorHAnsi" w:cstheme="minorHAnsi"/>
          <w:i w:val="0"/>
          <w:color w:val="auto"/>
          <w:sz w:val="28"/>
          <w:szCs w:val="22"/>
        </w:rPr>
        <w:t xml:space="preserve"> Rev00</w:t>
      </w:r>
      <w:r>
        <w:rPr>
          <w:rFonts w:asciiTheme="minorHAnsi" w:hAnsiTheme="minorHAnsi" w:cstheme="minorHAnsi"/>
          <w:i w:val="0"/>
          <w:color w:val="auto"/>
          <w:sz w:val="28"/>
          <w:szCs w:val="22"/>
        </w:rPr>
        <w:t xml:space="preserve">). SCE adopts all the values in </w:t>
      </w:r>
      <w:r w:rsidR="00A40C24" w:rsidRPr="00A40C24">
        <w:rPr>
          <w:rFonts w:asciiTheme="minorHAnsi" w:hAnsiTheme="minorHAnsi" w:cstheme="minorHAnsi"/>
          <w:i w:val="0"/>
          <w:color w:val="auto"/>
          <w:sz w:val="28"/>
          <w:szCs w:val="22"/>
        </w:rPr>
        <w:t>WPSCGNRCC180529A</w:t>
      </w:r>
      <w:r w:rsidR="00A40C24">
        <w:rPr>
          <w:rFonts w:asciiTheme="minorHAnsi" w:hAnsiTheme="minorHAnsi" w:cstheme="minorHAnsi"/>
          <w:i w:val="0"/>
          <w:color w:val="auto"/>
          <w:sz w:val="28"/>
          <w:szCs w:val="22"/>
        </w:rPr>
        <w:t xml:space="preserve"> Rev00</w:t>
      </w:r>
      <w:r>
        <w:rPr>
          <w:rFonts w:asciiTheme="minorHAnsi" w:hAnsiTheme="minorHAnsi" w:cstheme="minorHAnsi"/>
          <w:i w:val="0"/>
          <w:color w:val="auto"/>
          <w:sz w:val="28"/>
          <w:szCs w:val="22"/>
        </w:rPr>
        <w:t xml:space="preserve"> – </w:t>
      </w:r>
      <w:r w:rsidR="00A40C24">
        <w:rPr>
          <w:rFonts w:asciiTheme="minorHAnsi" w:hAnsiTheme="minorHAnsi" w:cstheme="minorHAnsi"/>
          <w:i w:val="0"/>
          <w:color w:val="auto"/>
          <w:sz w:val="28"/>
          <w:szCs w:val="22"/>
        </w:rPr>
        <w:t>“</w:t>
      </w:r>
      <w:r w:rsidR="00A40C24" w:rsidRPr="00A40C24">
        <w:rPr>
          <w:rFonts w:asciiTheme="minorHAnsi" w:hAnsiTheme="minorHAnsi" w:cstheme="minorHAnsi"/>
          <w:i w:val="0"/>
          <w:color w:val="auto"/>
          <w:sz w:val="28"/>
          <w:szCs w:val="22"/>
        </w:rPr>
        <w:t>Under Counter Type Commercial Dishwashers</w:t>
      </w:r>
      <w:r w:rsidR="00A40C24">
        <w:rPr>
          <w:rFonts w:asciiTheme="minorHAnsi" w:hAnsiTheme="minorHAnsi" w:cstheme="minorHAnsi"/>
          <w:i w:val="0"/>
          <w:color w:val="auto"/>
          <w:sz w:val="28"/>
          <w:szCs w:val="22"/>
        </w:rPr>
        <w:t>”</w:t>
      </w:r>
      <w:r>
        <w:rPr>
          <w:rFonts w:asciiTheme="minorHAnsi" w:hAnsiTheme="minorHAnsi" w:cstheme="minorHAnsi"/>
          <w:i w:val="0"/>
          <w:color w:val="auto"/>
          <w:sz w:val="28"/>
          <w:szCs w:val="22"/>
        </w:rPr>
        <w:t xml:space="preserve">, with the following exceptions. </w:t>
      </w:r>
    </w:p>
    <w:p w14:paraId="78940EFD" w14:textId="77777777" w:rsidR="00F30167" w:rsidRDefault="00F30167" w:rsidP="00F30167">
      <w:pPr>
        <w:pStyle w:val="Reminders"/>
        <w:rPr>
          <w:rFonts w:asciiTheme="minorHAnsi" w:hAnsiTheme="minorHAnsi" w:cstheme="minorHAnsi"/>
          <w:i w:val="0"/>
          <w:color w:val="auto"/>
          <w:sz w:val="28"/>
          <w:szCs w:val="22"/>
        </w:rPr>
      </w:pPr>
    </w:p>
    <w:p w14:paraId="71119783" w14:textId="0CE51B05" w:rsidR="00255338" w:rsidRDefault="00255338" w:rsidP="00255338">
      <w:pPr>
        <w:pStyle w:val="Reminders"/>
        <w:numPr>
          <w:ilvl w:val="0"/>
          <w:numId w:val="36"/>
        </w:numPr>
        <w:rPr>
          <w:rFonts w:asciiTheme="minorHAnsi" w:hAnsiTheme="minorHAnsi" w:cstheme="minorHAnsi"/>
          <w:i w:val="0"/>
          <w:color w:val="auto"/>
          <w:sz w:val="24"/>
          <w:szCs w:val="22"/>
        </w:rPr>
      </w:pPr>
      <w:r>
        <w:rPr>
          <w:rFonts w:asciiTheme="minorHAnsi" w:hAnsiTheme="minorHAnsi" w:cstheme="minorHAnsi"/>
          <w:i w:val="0"/>
          <w:color w:val="auto"/>
          <w:sz w:val="24"/>
          <w:szCs w:val="22"/>
        </w:rPr>
        <w:t xml:space="preserve">SCE adopts the same EUL and RUL year values as SCG, but changes the EUL ID </w:t>
      </w:r>
      <w:r w:rsidR="00814619">
        <w:rPr>
          <w:rFonts w:asciiTheme="minorHAnsi" w:hAnsiTheme="minorHAnsi" w:cstheme="minorHAnsi"/>
          <w:i w:val="0"/>
          <w:color w:val="auto"/>
          <w:sz w:val="24"/>
          <w:szCs w:val="22"/>
        </w:rPr>
        <w:t>from “</w:t>
      </w:r>
      <w:r w:rsidRPr="00255338">
        <w:rPr>
          <w:rFonts w:asciiTheme="minorHAnsi" w:hAnsiTheme="minorHAnsi" w:cstheme="minorHAnsi"/>
          <w:i w:val="0"/>
          <w:color w:val="auto"/>
          <w:sz w:val="24"/>
          <w:szCs w:val="22"/>
        </w:rPr>
        <w:t>Appl-DW-UnderCounter</w:t>
      </w:r>
      <w:r>
        <w:rPr>
          <w:rFonts w:asciiTheme="minorHAnsi" w:hAnsiTheme="minorHAnsi" w:cstheme="minorHAnsi"/>
          <w:i w:val="0"/>
          <w:color w:val="auto"/>
          <w:sz w:val="24"/>
          <w:szCs w:val="22"/>
        </w:rPr>
        <w:t>” to “</w:t>
      </w:r>
      <w:r w:rsidRPr="00255338">
        <w:rPr>
          <w:rFonts w:asciiTheme="minorHAnsi" w:hAnsiTheme="minorHAnsi" w:cstheme="minorHAnsi"/>
          <w:i w:val="0"/>
          <w:color w:val="auto"/>
          <w:sz w:val="24"/>
          <w:szCs w:val="22"/>
        </w:rPr>
        <w:t>Appl-EFFDW</w:t>
      </w:r>
      <w:r>
        <w:rPr>
          <w:rFonts w:asciiTheme="minorHAnsi" w:hAnsiTheme="minorHAnsi" w:cstheme="minorHAnsi"/>
          <w:i w:val="0"/>
          <w:color w:val="auto"/>
          <w:sz w:val="24"/>
          <w:szCs w:val="22"/>
        </w:rPr>
        <w:t xml:space="preserve">”. </w:t>
      </w:r>
    </w:p>
    <w:p w14:paraId="79252955" w14:textId="4C393DC6" w:rsidR="00304960" w:rsidRDefault="00304960" w:rsidP="00304960">
      <w:pPr>
        <w:pStyle w:val="Reminders"/>
        <w:numPr>
          <w:ilvl w:val="0"/>
          <w:numId w:val="36"/>
        </w:numPr>
        <w:rPr>
          <w:rFonts w:asciiTheme="minorHAnsi" w:hAnsiTheme="minorHAnsi" w:cstheme="minorHAnsi"/>
          <w:i w:val="0"/>
          <w:color w:val="auto"/>
          <w:sz w:val="24"/>
          <w:szCs w:val="22"/>
        </w:rPr>
      </w:pPr>
      <w:r>
        <w:rPr>
          <w:rFonts w:asciiTheme="minorHAnsi" w:hAnsiTheme="minorHAnsi" w:cstheme="minorHAnsi"/>
          <w:i w:val="0"/>
          <w:color w:val="auto"/>
          <w:sz w:val="24"/>
          <w:szCs w:val="22"/>
        </w:rPr>
        <w:t xml:space="preserve">In addition to delivery mechanisms included in </w:t>
      </w:r>
      <w:r w:rsidRPr="00304960">
        <w:rPr>
          <w:rFonts w:asciiTheme="minorHAnsi" w:hAnsiTheme="minorHAnsi" w:cstheme="minorHAnsi"/>
          <w:i w:val="0"/>
          <w:color w:val="auto"/>
          <w:sz w:val="24"/>
          <w:szCs w:val="22"/>
        </w:rPr>
        <w:t>WPSCGNRCC180529A Rev00</w:t>
      </w:r>
      <w:r>
        <w:rPr>
          <w:rFonts w:asciiTheme="minorHAnsi" w:hAnsiTheme="minorHAnsi" w:cstheme="minorHAnsi"/>
          <w:i w:val="0"/>
          <w:color w:val="auto"/>
          <w:sz w:val="24"/>
          <w:szCs w:val="22"/>
        </w:rPr>
        <w:t>, SCE also includes Upstream Programs: Up-Stream Incentive.</w:t>
      </w:r>
    </w:p>
    <w:p w14:paraId="24BC4CB7" w14:textId="5DE0027B" w:rsidR="005319F0" w:rsidRDefault="005319F0" w:rsidP="005319F0">
      <w:pPr>
        <w:pStyle w:val="Reminders"/>
        <w:numPr>
          <w:ilvl w:val="0"/>
          <w:numId w:val="36"/>
        </w:numPr>
        <w:rPr>
          <w:rFonts w:asciiTheme="minorHAnsi" w:hAnsiTheme="minorHAnsi" w:cstheme="minorHAnsi"/>
          <w:i w:val="0"/>
          <w:color w:val="auto"/>
          <w:sz w:val="24"/>
          <w:szCs w:val="22"/>
        </w:rPr>
      </w:pPr>
      <w:r>
        <w:rPr>
          <w:rFonts w:asciiTheme="minorHAnsi" w:hAnsiTheme="minorHAnsi" w:cstheme="minorHAnsi"/>
          <w:i w:val="0"/>
          <w:color w:val="auto"/>
          <w:sz w:val="24"/>
          <w:szCs w:val="22"/>
        </w:rPr>
        <w:t>Only SCE climate zones are included</w:t>
      </w:r>
      <w:r w:rsidR="00F50C4A">
        <w:rPr>
          <w:rFonts w:asciiTheme="minorHAnsi" w:hAnsiTheme="minorHAnsi" w:cstheme="minorHAnsi"/>
          <w:i w:val="0"/>
          <w:color w:val="auto"/>
          <w:sz w:val="24"/>
          <w:szCs w:val="22"/>
        </w:rPr>
        <w:t>.</w:t>
      </w:r>
    </w:p>
    <w:p w14:paraId="583056CE" w14:textId="0F4896D5" w:rsidR="00383820" w:rsidRDefault="00383820" w:rsidP="005319F0">
      <w:pPr>
        <w:pStyle w:val="Reminders"/>
        <w:numPr>
          <w:ilvl w:val="0"/>
          <w:numId w:val="36"/>
        </w:numPr>
        <w:rPr>
          <w:rFonts w:asciiTheme="minorHAnsi" w:hAnsiTheme="minorHAnsi" w:cstheme="minorHAnsi"/>
          <w:i w:val="0"/>
          <w:color w:val="auto"/>
          <w:sz w:val="24"/>
          <w:szCs w:val="22"/>
        </w:rPr>
      </w:pPr>
      <w:r>
        <w:rPr>
          <w:rFonts w:asciiTheme="minorHAnsi" w:hAnsiTheme="minorHAnsi" w:cstheme="minorHAnsi"/>
          <w:i w:val="0"/>
          <w:color w:val="auto"/>
          <w:sz w:val="24"/>
          <w:szCs w:val="22"/>
        </w:rPr>
        <w:t>Modified MAT, Delivery Type, and Measure Impact Type per Resolution E-4952.</w:t>
      </w:r>
    </w:p>
    <w:p w14:paraId="4D5A3F80" w14:textId="2C675EEF" w:rsidR="00185BF0" w:rsidRDefault="00BD34DF" w:rsidP="005319F0">
      <w:pPr>
        <w:pStyle w:val="Reminders"/>
        <w:numPr>
          <w:ilvl w:val="0"/>
          <w:numId w:val="36"/>
        </w:numPr>
        <w:rPr>
          <w:rFonts w:asciiTheme="minorHAnsi" w:hAnsiTheme="minorHAnsi" w:cstheme="minorHAnsi"/>
          <w:i w:val="0"/>
          <w:color w:val="auto"/>
          <w:sz w:val="24"/>
          <w:szCs w:val="22"/>
        </w:rPr>
      </w:pPr>
      <w:r>
        <w:rPr>
          <w:rFonts w:asciiTheme="minorHAnsi" w:hAnsiTheme="minorHAnsi" w:cstheme="minorHAnsi"/>
          <w:i w:val="0"/>
          <w:color w:val="auto"/>
          <w:sz w:val="24"/>
          <w:szCs w:val="22"/>
        </w:rPr>
        <w:t>Added</w:t>
      </w:r>
      <w:r w:rsidR="00185BF0">
        <w:rPr>
          <w:rFonts w:asciiTheme="minorHAnsi" w:hAnsiTheme="minorHAnsi" w:cstheme="minorHAnsi"/>
          <w:i w:val="0"/>
          <w:color w:val="auto"/>
          <w:sz w:val="24"/>
          <w:szCs w:val="22"/>
        </w:rPr>
        <w:t xml:space="preserve"> clarification on eligibility requirements.</w:t>
      </w:r>
    </w:p>
    <w:p w14:paraId="25B60788" w14:textId="25FC185B" w:rsidR="0088361D" w:rsidRPr="00500C4E" w:rsidRDefault="00F30167" w:rsidP="00C959CA">
      <w:pPr>
        <w:pStyle w:val="Heading1"/>
      </w:pPr>
      <w:r>
        <w:t xml:space="preserve">Document </w:t>
      </w:r>
      <w:r w:rsidR="00EB34FC" w:rsidRPr="00500C4E">
        <w:t>Revision History</w:t>
      </w:r>
    </w:p>
    <w:tbl>
      <w:tblPr>
        <w:tblStyle w:val="TableGrid1"/>
        <w:tblW w:w="5000" w:type="pct"/>
        <w:tblLook w:val="01E0" w:firstRow="1" w:lastRow="1" w:firstColumn="1" w:lastColumn="1" w:noHBand="0" w:noVBand="0"/>
      </w:tblPr>
      <w:tblGrid>
        <w:gridCol w:w="524"/>
        <w:gridCol w:w="1182"/>
        <w:gridCol w:w="1260"/>
        <w:gridCol w:w="6384"/>
      </w:tblGrid>
      <w:tr w:rsidR="003845E5" w:rsidRPr="00500C4E" w14:paraId="5AFD7FBC" w14:textId="77777777" w:rsidTr="00357868">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78"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701"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441"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3845E5" w:rsidRPr="00500C4E" w14:paraId="62DC1728" w14:textId="77777777" w:rsidTr="005B01A3">
        <w:trPr>
          <w:trHeight w:val="20"/>
        </w:trPr>
        <w:tc>
          <w:tcPr>
            <w:tcW w:w="280" w:type="pct"/>
          </w:tcPr>
          <w:p w14:paraId="3E501C93" w14:textId="20AF16A5" w:rsidR="0036726C" w:rsidRPr="00500C4E" w:rsidRDefault="00357868" w:rsidP="005729C8">
            <w:pPr>
              <w:rPr>
                <w:rFonts w:cstheme="minorHAnsi"/>
                <w:szCs w:val="20"/>
              </w:rPr>
            </w:pPr>
            <w:r>
              <w:rPr>
                <w:rFonts w:cstheme="minorHAnsi"/>
                <w:szCs w:val="20"/>
              </w:rPr>
              <w:t>0</w:t>
            </w:r>
          </w:p>
        </w:tc>
        <w:tc>
          <w:tcPr>
            <w:tcW w:w="578" w:type="pct"/>
          </w:tcPr>
          <w:p w14:paraId="2265169C" w14:textId="0D528074" w:rsidR="0036726C" w:rsidRPr="00500C4E" w:rsidRDefault="00A40C24" w:rsidP="005729C8">
            <w:pPr>
              <w:rPr>
                <w:rFonts w:cstheme="minorHAnsi"/>
                <w:szCs w:val="20"/>
              </w:rPr>
            </w:pPr>
            <w:r>
              <w:rPr>
                <w:rFonts w:cstheme="minorHAnsi"/>
                <w:szCs w:val="20"/>
              </w:rPr>
              <w:t>12/2</w:t>
            </w:r>
            <w:r w:rsidR="008F4333">
              <w:rPr>
                <w:rFonts w:cstheme="minorHAnsi"/>
                <w:szCs w:val="20"/>
              </w:rPr>
              <w:t>0</w:t>
            </w:r>
            <w:r w:rsidR="00F64EC4">
              <w:rPr>
                <w:rFonts w:cstheme="minorHAnsi"/>
                <w:szCs w:val="20"/>
              </w:rPr>
              <w:t>/</w:t>
            </w:r>
            <w:r w:rsidR="00357868">
              <w:rPr>
                <w:rFonts w:cstheme="minorHAnsi"/>
                <w:szCs w:val="20"/>
              </w:rPr>
              <w:t>2018</w:t>
            </w:r>
          </w:p>
        </w:tc>
        <w:tc>
          <w:tcPr>
            <w:tcW w:w="701" w:type="pct"/>
          </w:tcPr>
          <w:p w14:paraId="6BF6F30A" w14:textId="77777777" w:rsidR="0036726C" w:rsidRDefault="00F30167" w:rsidP="005729C8">
            <w:pPr>
              <w:rPr>
                <w:rFonts w:cstheme="minorHAnsi"/>
                <w:szCs w:val="20"/>
              </w:rPr>
            </w:pPr>
            <w:r>
              <w:rPr>
                <w:rFonts w:cstheme="minorHAnsi"/>
                <w:szCs w:val="20"/>
              </w:rPr>
              <w:t>Lake Casco</w:t>
            </w:r>
            <w:r w:rsidR="00357868">
              <w:rPr>
                <w:rFonts w:cstheme="minorHAnsi"/>
                <w:szCs w:val="20"/>
              </w:rPr>
              <w:t>/TRC</w:t>
            </w:r>
          </w:p>
          <w:p w14:paraId="7BD6C688" w14:textId="77777777" w:rsidR="00383820" w:rsidRDefault="00383820" w:rsidP="005729C8">
            <w:pPr>
              <w:rPr>
                <w:rFonts w:cstheme="minorHAnsi"/>
                <w:szCs w:val="20"/>
              </w:rPr>
            </w:pPr>
          </w:p>
          <w:p w14:paraId="1B212508" w14:textId="46E8DEA8" w:rsidR="00383820" w:rsidRPr="00500C4E" w:rsidRDefault="00383820" w:rsidP="005729C8">
            <w:pPr>
              <w:rPr>
                <w:rFonts w:cstheme="minorHAnsi"/>
                <w:szCs w:val="20"/>
              </w:rPr>
            </w:pPr>
          </w:p>
        </w:tc>
        <w:tc>
          <w:tcPr>
            <w:tcW w:w="3441" w:type="pct"/>
          </w:tcPr>
          <w:p w14:paraId="3C42419D" w14:textId="713703B2" w:rsidR="00F30167" w:rsidRDefault="00F30167" w:rsidP="00F30167">
            <w:pPr>
              <w:pStyle w:val="ListParagraph"/>
              <w:numPr>
                <w:ilvl w:val="0"/>
                <w:numId w:val="35"/>
              </w:numPr>
              <w:rPr>
                <w:rFonts w:cstheme="minorHAnsi"/>
                <w:bCs/>
                <w:szCs w:val="20"/>
              </w:rPr>
            </w:pPr>
            <w:r>
              <w:rPr>
                <w:rFonts w:cstheme="minorHAnsi"/>
                <w:bCs/>
                <w:szCs w:val="20"/>
              </w:rPr>
              <w:t>Transferred savings values to SCE C</w:t>
            </w:r>
            <w:r w:rsidR="00A40C24">
              <w:rPr>
                <w:rFonts w:cstheme="minorHAnsi"/>
                <w:bCs/>
                <w:szCs w:val="20"/>
              </w:rPr>
              <w:t>alculation template for the 2019</w:t>
            </w:r>
            <w:r>
              <w:rPr>
                <w:rFonts w:cstheme="minorHAnsi"/>
                <w:bCs/>
                <w:szCs w:val="20"/>
              </w:rPr>
              <w:t xml:space="preserve"> program year. </w:t>
            </w:r>
          </w:p>
          <w:p w14:paraId="5C379EEC" w14:textId="6CAF4B35" w:rsidR="00255338" w:rsidRDefault="00255338" w:rsidP="00255338">
            <w:pPr>
              <w:pStyle w:val="ListParagraph"/>
              <w:numPr>
                <w:ilvl w:val="0"/>
                <w:numId w:val="35"/>
              </w:numPr>
              <w:rPr>
                <w:rFonts w:cstheme="minorHAnsi"/>
                <w:bCs/>
                <w:szCs w:val="20"/>
              </w:rPr>
            </w:pPr>
            <w:r>
              <w:rPr>
                <w:rFonts w:cstheme="minorHAnsi"/>
                <w:bCs/>
                <w:szCs w:val="20"/>
              </w:rPr>
              <w:t>Maintained the same EUL</w:t>
            </w:r>
            <w:r w:rsidR="008E04BA">
              <w:rPr>
                <w:rFonts w:cstheme="minorHAnsi"/>
                <w:bCs/>
                <w:szCs w:val="20"/>
              </w:rPr>
              <w:t xml:space="preserve"> and RUL year value, but updated</w:t>
            </w:r>
            <w:r>
              <w:rPr>
                <w:rFonts w:cstheme="minorHAnsi"/>
                <w:bCs/>
                <w:szCs w:val="20"/>
              </w:rPr>
              <w:t xml:space="preserve"> the EUL ID to </w:t>
            </w:r>
            <w:r w:rsidRPr="00255338">
              <w:rPr>
                <w:rFonts w:cstheme="minorHAnsi"/>
                <w:bCs/>
                <w:szCs w:val="20"/>
              </w:rPr>
              <w:t>Appl-EFFDW</w:t>
            </w:r>
            <w:r>
              <w:rPr>
                <w:rFonts w:cstheme="minorHAnsi"/>
                <w:bCs/>
                <w:szCs w:val="20"/>
              </w:rPr>
              <w:t>.</w:t>
            </w:r>
          </w:p>
          <w:p w14:paraId="667FEDCF" w14:textId="2A702364" w:rsidR="00304960" w:rsidRDefault="00304960" w:rsidP="00304960">
            <w:pPr>
              <w:pStyle w:val="ListParagraph"/>
              <w:numPr>
                <w:ilvl w:val="0"/>
                <w:numId w:val="35"/>
              </w:numPr>
              <w:rPr>
                <w:rFonts w:cstheme="minorHAnsi"/>
                <w:bCs/>
                <w:szCs w:val="20"/>
              </w:rPr>
            </w:pPr>
            <w:r>
              <w:rPr>
                <w:rFonts w:cstheme="minorHAnsi"/>
                <w:bCs/>
                <w:szCs w:val="20"/>
              </w:rPr>
              <w:t xml:space="preserve">Added </w:t>
            </w:r>
            <w:r w:rsidRPr="00304960">
              <w:rPr>
                <w:rFonts w:cstheme="minorHAnsi"/>
                <w:bCs/>
                <w:szCs w:val="20"/>
              </w:rPr>
              <w:t>Upstream Programs: Up-Stream Incentive</w:t>
            </w:r>
            <w:r>
              <w:rPr>
                <w:rFonts w:cstheme="minorHAnsi"/>
                <w:bCs/>
                <w:szCs w:val="20"/>
              </w:rPr>
              <w:t xml:space="preserve"> delivery mechanism. </w:t>
            </w:r>
          </w:p>
          <w:p w14:paraId="61966CE2" w14:textId="5D0D52AB" w:rsidR="00F30167" w:rsidRPr="005B01A3" w:rsidRDefault="000F7135" w:rsidP="005B01A3">
            <w:pPr>
              <w:pStyle w:val="ListParagraph"/>
              <w:numPr>
                <w:ilvl w:val="0"/>
                <w:numId w:val="35"/>
              </w:numPr>
              <w:rPr>
                <w:rFonts w:cstheme="minorHAnsi"/>
                <w:bCs/>
                <w:szCs w:val="20"/>
              </w:rPr>
            </w:pPr>
            <w:r>
              <w:rPr>
                <w:rFonts w:cstheme="minorHAnsi"/>
                <w:bCs/>
                <w:szCs w:val="20"/>
              </w:rPr>
              <w:t>Only SCE Climate zones are adopted</w:t>
            </w:r>
            <w:r w:rsidR="008E04BA">
              <w:rPr>
                <w:rFonts w:cstheme="minorHAnsi"/>
                <w:bCs/>
                <w:szCs w:val="20"/>
              </w:rPr>
              <w:t>.</w:t>
            </w:r>
          </w:p>
        </w:tc>
      </w:tr>
      <w:tr w:rsidR="00E25EFF" w:rsidRPr="00500C4E" w14:paraId="4A0CA96B" w14:textId="77777777" w:rsidTr="00357868">
        <w:trPr>
          <w:trHeight w:val="20"/>
        </w:trPr>
        <w:tc>
          <w:tcPr>
            <w:tcW w:w="280" w:type="pct"/>
            <w:tcBorders>
              <w:bottom w:val="single" w:sz="4" w:space="0" w:color="auto"/>
            </w:tcBorders>
          </w:tcPr>
          <w:p w14:paraId="3486F749" w14:textId="77777777" w:rsidR="00E25EFF" w:rsidRDefault="00E25EFF" w:rsidP="005729C8">
            <w:pPr>
              <w:rPr>
                <w:rFonts w:cstheme="minorHAnsi"/>
                <w:szCs w:val="20"/>
              </w:rPr>
            </w:pPr>
          </w:p>
        </w:tc>
        <w:tc>
          <w:tcPr>
            <w:tcW w:w="578" w:type="pct"/>
            <w:tcBorders>
              <w:bottom w:val="single" w:sz="4" w:space="0" w:color="auto"/>
            </w:tcBorders>
          </w:tcPr>
          <w:p w14:paraId="38C98090" w14:textId="5A5EF8FF" w:rsidR="00E25EFF" w:rsidRDefault="00E25EFF" w:rsidP="005729C8">
            <w:pPr>
              <w:rPr>
                <w:rFonts w:cstheme="minorHAnsi"/>
                <w:szCs w:val="20"/>
              </w:rPr>
            </w:pPr>
            <w:r>
              <w:rPr>
                <w:rFonts w:cstheme="minorHAnsi"/>
                <w:szCs w:val="20"/>
              </w:rPr>
              <w:t>12/21/2018</w:t>
            </w:r>
          </w:p>
        </w:tc>
        <w:tc>
          <w:tcPr>
            <w:tcW w:w="701" w:type="pct"/>
            <w:tcBorders>
              <w:bottom w:val="single" w:sz="4" w:space="0" w:color="auto"/>
            </w:tcBorders>
          </w:tcPr>
          <w:p w14:paraId="2555F45F" w14:textId="6EB2BF3A" w:rsidR="00E25EFF" w:rsidRDefault="00E25EFF" w:rsidP="005729C8">
            <w:pPr>
              <w:rPr>
                <w:rFonts w:cstheme="minorHAnsi"/>
                <w:szCs w:val="20"/>
              </w:rPr>
            </w:pPr>
            <w:r>
              <w:rPr>
                <w:rFonts w:cstheme="minorHAnsi"/>
                <w:szCs w:val="20"/>
              </w:rPr>
              <w:t>Jesse Manao/SCE</w:t>
            </w:r>
          </w:p>
        </w:tc>
        <w:tc>
          <w:tcPr>
            <w:tcW w:w="3441" w:type="pct"/>
            <w:tcBorders>
              <w:bottom w:val="single" w:sz="4" w:space="0" w:color="auto"/>
            </w:tcBorders>
          </w:tcPr>
          <w:p w14:paraId="6D8CB51A" w14:textId="420011F8" w:rsidR="00E25EFF" w:rsidRPr="005B01A3" w:rsidRDefault="00E25EFF">
            <w:pPr>
              <w:pStyle w:val="ListParagraph"/>
              <w:numPr>
                <w:ilvl w:val="0"/>
                <w:numId w:val="35"/>
              </w:numPr>
              <w:rPr>
                <w:rFonts w:cstheme="minorHAnsi"/>
                <w:bCs/>
                <w:szCs w:val="20"/>
              </w:rPr>
            </w:pPr>
            <w:r>
              <w:rPr>
                <w:rFonts w:cstheme="minorHAnsi"/>
                <w:bCs/>
                <w:szCs w:val="20"/>
              </w:rPr>
              <w:t>Modified MAT, Delivery Type, and Measure Impact Type on Calculation Template.</w:t>
            </w:r>
          </w:p>
        </w:tc>
      </w:tr>
    </w:tbl>
    <w:p w14:paraId="0A689F00" w14:textId="2E917581" w:rsidR="00DA2822" w:rsidRDefault="008877AF" w:rsidP="00BA5FE4">
      <w:pPr>
        <w:spacing w:line="276" w:lineRule="auto"/>
        <w:rPr>
          <w:szCs w:val="20"/>
        </w:rPr>
      </w:pPr>
      <w:r w:rsidRPr="00BA5FE4">
        <w:rPr>
          <w:color w:val="FF0000"/>
          <w:szCs w:val="20"/>
        </w:rPr>
        <w:t xml:space="preserve"> </w:t>
      </w:r>
      <w:r w:rsidR="00DA2822">
        <w:rPr>
          <w:szCs w:val="20"/>
        </w:rPr>
        <w:br w:type="page"/>
      </w:r>
    </w:p>
    <w:p w14:paraId="255B2329" w14:textId="0070D98B" w:rsidR="00F30167" w:rsidRPr="00F30167" w:rsidRDefault="00F30167" w:rsidP="00BA5FE4">
      <w:pPr>
        <w:spacing w:line="276" w:lineRule="auto"/>
        <w:rPr>
          <w:b/>
          <w:szCs w:val="20"/>
        </w:rPr>
      </w:pPr>
      <w:r w:rsidRPr="00F30167">
        <w:rPr>
          <w:b/>
          <w:szCs w:val="20"/>
        </w:rPr>
        <w:lastRenderedPageBreak/>
        <w:t>Measure Summary</w:t>
      </w:r>
    </w:p>
    <w:p w14:paraId="68F1D0A6" w14:textId="2F984A8D" w:rsidR="009A2332" w:rsidRDefault="00F30167" w:rsidP="009A2332">
      <w:pPr>
        <w:pStyle w:val="Caption"/>
        <w:keepNext/>
        <w:jc w:val="center"/>
      </w:pPr>
      <w:r>
        <w:t xml:space="preserve">Table </w:t>
      </w:r>
      <w:r w:rsidR="001E5C9E">
        <w:rPr>
          <w:noProof/>
        </w:rPr>
        <w:fldChar w:fldCharType="begin"/>
      </w:r>
      <w:r w:rsidR="001E5C9E">
        <w:rPr>
          <w:noProof/>
        </w:rPr>
        <w:instrText xml:space="preserve"> SEQ Table \* ARABIC </w:instrText>
      </w:r>
      <w:r w:rsidR="001E5C9E">
        <w:rPr>
          <w:noProof/>
        </w:rPr>
        <w:fldChar w:fldCharType="separate"/>
      </w:r>
      <w:r>
        <w:rPr>
          <w:noProof/>
        </w:rPr>
        <w:t>1</w:t>
      </w:r>
      <w:r w:rsidR="001E5C9E">
        <w:rPr>
          <w:noProof/>
        </w:rPr>
        <w:fldChar w:fldCharType="end"/>
      </w:r>
      <w:r>
        <w:t>: Measure Summary Table</w:t>
      </w:r>
    </w:p>
    <w:p w14:paraId="469E3748" w14:textId="77777777" w:rsidR="009A2332" w:rsidRDefault="009A2332" w:rsidP="009A2332"/>
    <w:tbl>
      <w:tblPr>
        <w:tblStyle w:val="TableGrid"/>
        <w:tblW w:w="0" w:type="auto"/>
        <w:tblLook w:val="04A0" w:firstRow="1" w:lastRow="0" w:firstColumn="1" w:lastColumn="0" w:noHBand="0" w:noVBand="1"/>
      </w:tblPr>
      <w:tblGrid>
        <w:gridCol w:w="2695"/>
        <w:gridCol w:w="6655"/>
      </w:tblGrid>
      <w:tr w:rsidR="009A2332" w14:paraId="3F9CA93E" w14:textId="77777777" w:rsidTr="00176090">
        <w:trPr>
          <w:trHeight w:val="576"/>
          <w:tblHeader/>
        </w:trPr>
        <w:tc>
          <w:tcPr>
            <w:tcW w:w="2695" w:type="dxa"/>
          </w:tcPr>
          <w:p w14:paraId="448E7296" w14:textId="39C7C9A2" w:rsidR="009A2332" w:rsidRPr="009A2332" w:rsidRDefault="009A2332" w:rsidP="009A2332">
            <w:pPr>
              <w:rPr>
                <w:sz w:val="28"/>
              </w:rPr>
            </w:pPr>
            <w:r w:rsidRPr="009A2332">
              <w:rPr>
                <w:rStyle w:val="Strong"/>
                <w:rFonts w:asciiTheme="minorHAnsi" w:hAnsiTheme="minorHAnsi"/>
                <w:sz w:val="28"/>
                <w:szCs w:val="22"/>
              </w:rPr>
              <w:t>Section</w:t>
            </w:r>
          </w:p>
        </w:tc>
        <w:tc>
          <w:tcPr>
            <w:tcW w:w="6655" w:type="dxa"/>
          </w:tcPr>
          <w:p w14:paraId="27CEB258" w14:textId="408F314E" w:rsidR="009A2332" w:rsidRPr="009A2332" w:rsidRDefault="009A2332" w:rsidP="009A2332">
            <w:pPr>
              <w:rPr>
                <w:sz w:val="28"/>
              </w:rPr>
            </w:pPr>
            <w:r w:rsidRPr="009A2332">
              <w:rPr>
                <w:rFonts w:cs="Arial"/>
                <w:b/>
                <w:sz w:val="28"/>
                <w:szCs w:val="20"/>
              </w:rPr>
              <w:t>Value</w:t>
            </w:r>
          </w:p>
        </w:tc>
      </w:tr>
      <w:tr w:rsidR="007F4905" w14:paraId="174B4A0E" w14:textId="77777777" w:rsidTr="00176090">
        <w:trPr>
          <w:trHeight w:val="576"/>
        </w:trPr>
        <w:tc>
          <w:tcPr>
            <w:tcW w:w="2695" w:type="dxa"/>
          </w:tcPr>
          <w:p w14:paraId="7815901A" w14:textId="49098287" w:rsidR="007F4905" w:rsidRDefault="007F4905" w:rsidP="007F4905">
            <w:r>
              <w:rPr>
                <w:rStyle w:val="Strong"/>
                <w:rFonts w:asciiTheme="minorHAnsi" w:hAnsiTheme="minorHAnsi"/>
                <w:szCs w:val="22"/>
              </w:rPr>
              <w:t>Summary &amp; Purpose</w:t>
            </w:r>
          </w:p>
        </w:tc>
        <w:tc>
          <w:tcPr>
            <w:tcW w:w="6655" w:type="dxa"/>
          </w:tcPr>
          <w:p w14:paraId="3F6CD77D" w14:textId="6615F834" w:rsidR="007F4905" w:rsidRDefault="007F4905" w:rsidP="007F4905">
            <w:r w:rsidRPr="002C01E3">
              <w:rPr>
                <w:rFonts w:cstheme="minorHAnsi"/>
                <w:szCs w:val="22"/>
              </w:rPr>
              <w:t xml:space="preserve">This </w:t>
            </w:r>
            <w:r>
              <w:rPr>
                <w:rFonts w:cstheme="minorHAnsi"/>
                <w:szCs w:val="22"/>
              </w:rPr>
              <w:t xml:space="preserve">short form </w:t>
            </w:r>
            <w:r w:rsidRPr="002C01E3">
              <w:rPr>
                <w:rFonts w:cstheme="minorHAnsi"/>
                <w:szCs w:val="22"/>
              </w:rPr>
              <w:t xml:space="preserve">work paper </w:t>
            </w:r>
            <w:r w:rsidR="00A40C24" w:rsidRPr="00A40C24">
              <w:rPr>
                <w:rFonts w:cstheme="minorHAnsi"/>
                <w:szCs w:val="22"/>
              </w:rPr>
              <w:t>documents the i</w:t>
            </w:r>
            <w:r w:rsidR="00304960">
              <w:rPr>
                <w:rFonts w:cstheme="minorHAnsi"/>
                <w:szCs w:val="22"/>
              </w:rPr>
              <w:t>nputs for the Energy Efficient U</w:t>
            </w:r>
            <w:r w:rsidR="00A40C24" w:rsidRPr="00A40C24">
              <w:rPr>
                <w:rFonts w:cstheme="minorHAnsi"/>
                <w:szCs w:val="22"/>
              </w:rPr>
              <w:t>ndercounter Commercial Dishwashers measure</w:t>
            </w:r>
            <w:r w:rsidRPr="002C01E3">
              <w:rPr>
                <w:rFonts w:cstheme="minorHAnsi"/>
                <w:szCs w:val="22"/>
              </w:rPr>
              <w:t xml:space="preserve">.  </w:t>
            </w:r>
            <w:r>
              <w:t xml:space="preserve">The savings values are </w:t>
            </w:r>
            <w:r w:rsidR="00290FE3">
              <w:t>based on</w:t>
            </w:r>
            <w:r>
              <w:t xml:space="preserve"> </w:t>
            </w:r>
            <w:r w:rsidR="00A40C24">
              <w:t>SCG</w:t>
            </w:r>
            <w:r w:rsidR="009F010C">
              <w:t>’s</w:t>
            </w:r>
            <w:r>
              <w:t xml:space="preserve"> workpaper </w:t>
            </w:r>
            <w:r w:rsidR="00A40C24" w:rsidRPr="00A40C24">
              <w:t>WPSCGNRCC180529A Rev00</w:t>
            </w:r>
            <w:r w:rsidR="009F010C" w:rsidRPr="009F010C">
              <w:t xml:space="preserve"> – “</w:t>
            </w:r>
            <w:r w:rsidR="00A40C24" w:rsidRPr="00A40C24">
              <w:t>Under Counter Type Commercial Dishwashers</w:t>
            </w:r>
            <w:r w:rsidR="009F010C" w:rsidRPr="009F010C">
              <w:t>”</w:t>
            </w:r>
            <w:r>
              <w:rPr>
                <w:rFonts w:cstheme="minorHAnsi"/>
                <w:szCs w:val="22"/>
              </w:rPr>
              <w:t xml:space="preserve"> document</w:t>
            </w:r>
            <w:r>
              <w:t xml:space="preserve">. </w:t>
            </w:r>
          </w:p>
          <w:p w14:paraId="6E463AD1" w14:textId="392431FD" w:rsidR="007F4905" w:rsidRDefault="00A40C24" w:rsidP="007F4905">
            <w:r w:rsidRPr="00A40C24">
              <w:t>Of the many types of commercial dishwashers available, including door-type and conveyor-types, undercounter units accounted for 43% of t</w:t>
            </w:r>
            <w:r>
              <w:t>he market share by sales volume. U</w:t>
            </w:r>
            <w:r w:rsidRPr="00A40C24">
              <w:t>ndercounter dishwashers are mostly found in bars and restaurants with bars, and are mainly used for washing glassware.</w:t>
            </w:r>
            <w:r>
              <w:t xml:space="preserve"> </w:t>
            </w:r>
            <w:r w:rsidRPr="00A40C24">
              <w:t xml:space="preserve">High efficiency commercial dishwashers reduce water heating requirements while maintaining cleaning performance by reducing heat losses, improving mechanical soil removal, and/or increasing component efficiencies.  </w:t>
            </w:r>
          </w:p>
        </w:tc>
      </w:tr>
      <w:tr w:rsidR="007F4905" w14:paraId="369C5B93" w14:textId="77777777" w:rsidTr="00176090">
        <w:trPr>
          <w:trHeight w:val="576"/>
        </w:trPr>
        <w:tc>
          <w:tcPr>
            <w:tcW w:w="2695" w:type="dxa"/>
          </w:tcPr>
          <w:p w14:paraId="3E64C4BE" w14:textId="0CE1557B" w:rsidR="007F4905" w:rsidRDefault="007F4905" w:rsidP="007F4905">
            <w:r>
              <w:rPr>
                <w:rStyle w:val="Strong"/>
                <w:rFonts w:asciiTheme="minorHAnsi" w:hAnsiTheme="minorHAnsi"/>
                <w:szCs w:val="22"/>
              </w:rPr>
              <w:t>1.1 Measure &amp; Baseline</w:t>
            </w:r>
          </w:p>
        </w:tc>
        <w:tc>
          <w:tcPr>
            <w:tcW w:w="6655" w:type="dxa"/>
          </w:tcPr>
          <w:p w14:paraId="52F8E139" w14:textId="73DFCA83" w:rsidR="007F4905" w:rsidRDefault="007F4905" w:rsidP="007F4905">
            <w:r>
              <w:t xml:space="preserve">Measure: </w:t>
            </w:r>
            <w:r w:rsidR="00A40C24">
              <w:t>Tier 1 (Energy Star</w:t>
            </w:r>
            <w:r w:rsidR="001057A8">
              <w:t xml:space="preserve"> V2</w:t>
            </w:r>
            <w:r w:rsidR="00A40C24">
              <w:t>) and Tier 2 (15%&lt; Energy Star</w:t>
            </w:r>
            <w:r w:rsidR="001057A8">
              <w:t xml:space="preserve"> V2</w:t>
            </w:r>
            <w:r w:rsidR="00A40C24">
              <w:t>), High and Low Temperature Commercial Undercounter Dishwasher</w:t>
            </w:r>
            <w:r w:rsidR="00304960">
              <w:t>s</w:t>
            </w:r>
          </w:p>
          <w:p w14:paraId="5E1AF41A" w14:textId="77777777" w:rsidR="00A40C24" w:rsidRDefault="00A40C24" w:rsidP="007F4905"/>
          <w:p w14:paraId="6258BD1D" w14:textId="7C370AF8" w:rsidR="007F4905" w:rsidRDefault="00A40C24" w:rsidP="00A40C24">
            <w:r>
              <w:t>Industry Standard Practice:</w:t>
            </w:r>
          </w:p>
          <w:p w14:paraId="66ACB883" w14:textId="55A81338" w:rsidR="00A40C24" w:rsidRDefault="00A40C24" w:rsidP="00A40C24">
            <w:r w:rsidRPr="00A40C24">
              <w:t xml:space="preserve">Minimum </w:t>
            </w:r>
            <w:r>
              <w:t>Energy Star</w:t>
            </w:r>
            <w:r w:rsidRPr="00A40C24">
              <w:t xml:space="preserve"> specification (V1.2) averaged with High Temperature Undercounter Commercial Dishwasher monitored data</w:t>
            </w:r>
          </w:p>
          <w:p w14:paraId="015BF54E" w14:textId="77777777" w:rsidR="007F4905" w:rsidRDefault="007F4905" w:rsidP="007F4905"/>
          <w:p w14:paraId="3ADC75B4" w14:textId="27D4B0B6" w:rsidR="007F4905" w:rsidRDefault="007F4905" w:rsidP="007F4905">
            <w:r w:rsidRPr="005128F4">
              <w:t xml:space="preserve">Please refer to Attachment #1 Calculation Template </w:t>
            </w:r>
            <w:r w:rsidR="00633CBD">
              <w:t>f</w:t>
            </w:r>
            <w:r>
              <w:t>or additional information on</w:t>
            </w:r>
            <w:r w:rsidRPr="005128F4">
              <w:t xml:space="preserve"> codes and baseline condition.</w:t>
            </w:r>
          </w:p>
        </w:tc>
      </w:tr>
      <w:tr w:rsidR="007F4905" w14:paraId="7CE0AC9F" w14:textId="77777777" w:rsidTr="00176090">
        <w:trPr>
          <w:trHeight w:val="576"/>
        </w:trPr>
        <w:tc>
          <w:tcPr>
            <w:tcW w:w="2695" w:type="dxa"/>
          </w:tcPr>
          <w:p w14:paraId="2771E06F" w14:textId="3B991165" w:rsidR="007F4905" w:rsidRDefault="007F4905" w:rsidP="007F4905">
            <w:r>
              <w:rPr>
                <w:rStyle w:val="Strong"/>
                <w:rFonts w:asciiTheme="minorHAnsi" w:hAnsiTheme="minorHAnsi"/>
                <w:szCs w:val="22"/>
              </w:rPr>
              <w:t>1.2 Technical Description</w:t>
            </w:r>
          </w:p>
        </w:tc>
        <w:tc>
          <w:tcPr>
            <w:tcW w:w="6655" w:type="dxa"/>
          </w:tcPr>
          <w:p w14:paraId="56BBC77B" w14:textId="77777777" w:rsidR="007F4905" w:rsidRDefault="007F4905" w:rsidP="007F4905"/>
        </w:tc>
      </w:tr>
      <w:tr w:rsidR="007F4905" w14:paraId="6A22A103" w14:textId="77777777" w:rsidTr="00176090">
        <w:trPr>
          <w:trHeight w:val="576"/>
        </w:trPr>
        <w:tc>
          <w:tcPr>
            <w:tcW w:w="2695" w:type="dxa"/>
          </w:tcPr>
          <w:p w14:paraId="524B4207" w14:textId="7A3D34FE" w:rsidR="007F4905" w:rsidRDefault="007F4905" w:rsidP="007F4905">
            <w:r w:rsidRPr="009A2332">
              <w:rPr>
                <w:rStyle w:val="Strong"/>
                <w:rFonts w:asciiTheme="minorHAnsi" w:hAnsiTheme="minorHAnsi"/>
                <w:b w:val="0"/>
                <w:szCs w:val="22"/>
              </w:rPr>
              <w:t>Measures</w:t>
            </w:r>
          </w:p>
        </w:tc>
        <w:tc>
          <w:tcPr>
            <w:tcW w:w="6655" w:type="dxa"/>
          </w:tcPr>
          <w:p w14:paraId="7044D984" w14:textId="6F238E51" w:rsidR="00176090" w:rsidRDefault="00F64EC4" w:rsidP="00176090">
            <w:r w:rsidRPr="00F64EC4">
              <w:t xml:space="preserve">FS-20783 </w:t>
            </w:r>
            <w:r w:rsidR="00176090">
              <w:t xml:space="preserve">(SCG code: </w:t>
            </w:r>
            <w:r w:rsidR="00176090" w:rsidRPr="00176090">
              <w:t>Msr001</w:t>
            </w:r>
            <w:r w:rsidR="00176090">
              <w:t xml:space="preserve">): Commercial Undercounter Dishwasher, High Temperature, Tier 1 </w:t>
            </w:r>
          </w:p>
          <w:p w14:paraId="1C599404" w14:textId="15380A1B" w:rsidR="00176090" w:rsidRDefault="00F64EC4" w:rsidP="00176090">
            <w:r w:rsidRPr="00F64EC4">
              <w:t xml:space="preserve">FS-20784 </w:t>
            </w:r>
            <w:r w:rsidR="00176090">
              <w:t xml:space="preserve">(SCG code: </w:t>
            </w:r>
            <w:r w:rsidR="00176090" w:rsidRPr="00176090">
              <w:t>Msr00</w:t>
            </w:r>
            <w:r w:rsidR="00176090">
              <w:t xml:space="preserve">2): Commercial Undercounter Dishwasher, High Temperature, Tier 2 </w:t>
            </w:r>
          </w:p>
          <w:p w14:paraId="3390290F" w14:textId="368C2F42" w:rsidR="00176090" w:rsidRDefault="00F64EC4" w:rsidP="00176090">
            <w:r w:rsidRPr="00F64EC4">
              <w:t xml:space="preserve">FS-20786 </w:t>
            </w:r>
            <w:r w:rsidR="00176090">
              <w:t xml:space="preserve">(SCG code: </w:t>
            </w:r>
            <w:r w:rsidR="00176090" w:rsidRPr="00176090">
              <w:t>Msr00</w:t>
            </w:r>
            <w:r w:rsidR="00176090">
              <w:t xml:space="preserve">3): Commercial Undercounter Dishwasher, Low Temperature, Tier 1 </w:t>
            </w:r>
          </w:p>
          <w:p w14:paraId="2C30E089" w14:textId="1DB33DCE" w:rsidR="007F4905" w:rsidRDefault="00F64EC4" w:rsidP="00176090">
            <w:r w:rsidRPr="00F64EC4">
              <w:t xml:space="preserve">FS-20787 </w:t>
            </w:r>
            <w:r w:rsidR="00176090">
              <w:t xml:space="preserve">(SCG code: </w:t>
            </w:r>
            <w:r w:rsidR="00176090" w:rsidRPr="00176090">
              <w:t>Msr00</w:t>
            </w:r>
            <w:r w:rsidR="00176090">
              <w:t>4): Commercial Undercounter Dishwasher, Low Temperature, Tier 2</w:t>
            </w:r>
          </w:p>
        </w:tc>
      </w:tr>
      <w:tr w:rsidR="007F4905" w14:paraId="59049B71" w14:textId="77777777" w:rsidTr="00176090">
        <w:trPr>
          <w:trHeight w:val="576"/>
        </w:trPr>
        <w:tc>
          <w:tcPr>
            <w:tcW w:w="2695" w:type="dxa"/>
          </w:tcPr>
          <w:p w14:paraId="4D87E79A" w14:textId="1926E44B" w:rsidR="007F4905" w:rsidRDefault="007F4905" w:rsidP="007F4905">
            <w:r w:rsidRPr="009A2332">
              <w:rPr>
                <w:rStyle w:val="Strong"/>
                <w:rFonts w:asciiTheme="minorHAnsi" w:hAnsiTheme="minorHAnsi"/>
                <w:b w:val="0"/>
                <w:szCs w:val="22"/>
              </w:rPr>
              <w:t>Code for All Measures</w:t>
            </w:r>
          </w:p>
        </w:tc>
        <w:tc>
          <w:tcPr>
            <w:tcW w:w="6655" w:type="dxa"/>
          </w:tcPr>
          <w:p w14:paraId="37650417" w14:textId="6916C55A" w:rsidR="009F010C" w:rsidRDefault="00862D8F" w:rsidP="007F4905">
            <w:r w:rsidRPr="00862D8F">
              <w:t xml:space="preserve">This measure is not governed by either state or federal codes and standards.  </w:t>
            </w:r>
          </w:p>
          <w:p w14:paraId="299E0E93" w14:textId="2FA1E110" w:rsidR="00862D8F" w:rsidRDefault="00862D8F" w:rsidP="007F4905"/>
          <w:p w14:paraId="79D12593" w14:textId="34DA85DF" w:rsidR="00862D8F" w:rsidRDefault="00862D8F" w:rsidP="00862D8F">
            <w:r>
              <w:t xml:space="preserve">The ENERGY STAR V2 Test Method for Commercial Dishwashers (Commercial Dishwasher Program Requirements Version 2.0) uses the ASTM F1696-09 Standard Test Method for Energy Performance Single-Rack, Door-Type Commercial Dishwashing Machines to estimate the energy and water consumption of both the base and measure case. </w:t>
            </w:r>
          </w:p>
          <w:p w14:paraId="679B6AD1" w14:textId="77777777" w:rsidR="00862D8F" w:rsidRDefault="00862D8F" w:rsidP="00862D8F"/>
          <w:p w14:paraId="7043FD79" w14:textId="36FC7190" w:rsidR="00862D8F" w:rsidRDefault="00862D8F" w:rsidP="00862D8F">
            <w:r>
              <w:lastRenderedPageBreak/>
              <w:t>The revised ASTM F1696-15 test method includes washing energy consumption tests methodology for undercounter dishwashers and will be referenced in future ENERGY STAR standards.  The F1696-15 test methodology includes energy consumption per rack while washing racks of glasses.</w:t>
            </w:r>
          </w:p>
          <w:p w14:paraId="0D9D7336" w14:textId="77777777" w:rsidR="00862D8F" w:rsidRDefault="00862D8F" w:rsidP="00862D8F"/>
          <w:p w14:paraId="210F6712" w14:textId="7D193DC5" w:rsidR="007F4905" w:rsidRDefault="00515DA1" w:rsidP="007F4905">
            <w:r>
              <w:t xml:space="preserve">Refer to </w:t>
            </w:r>
            <w:r w:rsidR="007F4905">
              <w:t xml:space="preserve">Section 1.4.2 of </w:t>
            </w:r>
            <w:r w:rsidR="00A40C24" w:rsidRPr="00A40C24">
              <w:t>WPSCGNRCC180529A Rev00</w:t>
            </w:r>
            <w:r w:rsidR="00A40C24">
              <w:t xml:space="preserve"> </w:t>
            </w:r>
            <w:r w:rsidR="007F4905">
              <w:t xml:space="preserve">for more details.  </w:t>
            </w:r>
          </w:p>
          <w:p w14:paraId="71CCCDEB" w14:textId="77777777" w:rsidR="007F4905" w:rsidRDefault="007F4905" w:rsidP="007F4905"/>
        </w:tc>
      </w:tr>
      <w:tr w:rsidR="007F4905" w14:paraId="7696972E" w14:textId="77777777" w:rsidTr="00176090">
        <w:trPr>
          <w:trHeight w:val="576"/>
        </w:trPr>
        <w:tc>
          <w:tcPr>
            <w:tcW w:w="2695" w:type="dxa"/>
          </w:tcPr>
          <w:p w14:paraId="20CC2D9F" w14:textId="0410DA01" w:rsidR="007F4905" w:rsidRDefault="007F4905" w:rsidP="007F4905">
            <w:r w:rsidRPr="009A2332">
              <w:rPr>
                <w:rStyle w:val="Strong"/>
                <w:rFonts w:asciiTheme="minorHAnsi" w:hAnsiTheme="minorHAnsi"/>
                <w:b w:val="0"/>
                <w:szCs w:val="22"/>
              </w:rPr>
              <w:lastRenderedPageBreak/>
              <w:t>Requirements</w:t>
            </w:r>
          </w:p>
        </w:tc>
        <w:tc>
          <w:tcPr>
            <w:tcW w:w="6655" w:type="dxa"/>
          </w:tcPr>
          <w:p w14:paraId="66F1E3D2" w14:textId="77777777" w:rsidR="007F4905" w:rsidRDefault="007F4905" w:rsidP="007F4905">
            <w:r>
              <w:t xml:space="preserve">Eligibility Requirements: </w:t>
            </w:r>
          </w:p>
          <w:p w14:paraId="56076F92" w14:textId="257AB599" w:rsidR="007F4905" w:rsidRDefault="00862D8F" w:rsidP="00862D8F">
            <w:pPr>
              <w:pStyle w:val="ListParagraph"/>
              <w:numPr>
                <w:ilvl w:val="0"/>
                <w:numId w:val="38"/>
              </w:numPr>
            </w:pPr>
            <w:r>
              <w:t xml:space="preserve">Low or High temperature undercounter dishwashers and glasswashers that meet the Gallons/rack and Idle Energy Rate (kW) shown in Table 1 </w:t>
            </w:r>
            <w:r w:rsidR="00764465">
              <w:t>of</w:t>
            </w:r>
            <w:r>
              <w:t xml:space="preserve"> </w:t>
            </w:r>
            <w:r w:rsidRPr="00862D8F">
              <w:t>WPSCGNRCC180529A Rev00</w:t>
            </w:r>
            <w:r>
              <w:t>.</w:t>
            </w:r>
          </w:p>
          <w:p w14:paraId="255A346C" w14:textId="7E8891C2" w:rsidR="009F010C" w:rsidRDefault="00862D8F" w:rsidP="009F010C">
            <w:pPr>
              <w:pStyle w:val="ListParagraph"/>
              <w:numPr>
                <w:ilvl w:val="0"/>
                <w:numId w:val="38"/>
              </w:numPr>
            </w:pPr>
            <w:r>
              <w:t>Used or rebuilt equipment is not eligible.</w:t>
            </w:r>
          </w:p>
          <w:p w14:paraId="4172AC25" w14:textId="61C97B47" w:rsidR="009F010C" w:rsidRDefault="00862D8F" w:rsidP="009F010C">
            <w:pPr>
              <w:pStyle w:val="ListParagraph"/>
              <w:numPr>
                <w:ilvl w:val="0"/>
                <w:numId w:val="38"/>
              </w:numPr>
            </w:pPr>
            <w:r>
              <w:t xml:space="preserve">Customers must provide proof that the equipment meets </w:t>
            </w:r>
            <w:r w:rsidR="00AE07FB">
              <w:t xml:space="preserve">SCG </w:t>
            </w:r>
            <w:r w:rsidR="00185BF0">
              <w:t>workpapers</w:t>
            </w:r>
            <w:r w:rsidR="00AE07FB">
              <w:t xml:space="preserve"> </w:t>
            </w:r>
            <w:r>
              <w:t>Table 1 requirements</w:t>
            </w:r>
            <w:r w:rsidR="00AE07FB">
              <w:t xml:space="preserve"> for gallons per rack and idle energy rate</w:t>
            </w:r>
            <w:r>
              <w:t>.</w:t>
            </w:r>
          </w:p>
          <w:p w14:paraId="0A4C8EBB" w14:textId="69FCF60E" w:rsidR="00185BF0" w:rsidRDefault="00185BF0" w:rsidP="009F010C">
            <w:pPr>
              <w:pStyle w:val="ListParagraph"/>
              <w:numPr>
                <w:ilvl w:val="0"/>
                <w:numId w:val="38"/>
              </w:numPr>
            </w:pPr>
            <w:r>
              <w:t>In addition to SCG requirements, residential or laboratory applications are not eligible.</w:t>
            </w:r>
          </w:p>
          <w:p w14:paraId="01328A51" w14:textId="77777777" w:rsidR="009F010C" w:rsidRDefault="009F010C" w:rsidP="007F4905"/>
          <w:p w14:paraId="64614D4D" w14:textId="77777777" w:rsidR="00862D8F" w:rsidRDefault="007F4905" w:rsidP="007F4905">
            <w:r w:rsidRPr="00BC1701">
              <w:t xml:space="preserve">Implementation and installation requirements: </w:t>
            </w:r>
          </w:p>
          <w:p w14:paraId="53FEF1FF" w14:textId="059106B5" w:rsidR="009F010C" w:rsidRDefault="007F4905" w:rsidP="00862D8F">
            <w:r w:rsidRPr="00BC1701">
              <w:t>Measures presented in this Workpaper apply</w:t>
            </w:r>
            <w:r w:rsidR="00FE00A6">
              <w:t xml:space="preserve"> to</w:t>
            </w:r>
            <w:r w:rsidRPr="00BC1701">
              <w:t xml:space="preserve"> </w:t>
            </w:r>
            <w:r w:rsidR="009F010C">
              <w:t xml:space="preserve">SCE climate zones and </w:t>
            </w:r>
            <w:r w:rsidR="000B7826">
              <w:t>all c</w:t>
            </w:r>
            <w:r w:rsidR="00304960">
              <w:t>ommercial building types</w:t>
            </w:r>
            <w:r w:rsidR="005D271F">
              <w:t xml:space="preserve">. </w:t>
            </w:r>
          </w:p>
        </w:tc>
      </w:tr>
      <w:tr w:rsidR="007F4905" w14:paraId="40AF0DB1" w14:textId="77777777" w:rsidTr="00176090">
        <w:trPr>
          <w:trHeight w:val="576"/>
        </w:trPr>
        <w:tc>
          <w:tcPr>
            <w:tcW w:w="2695" w:type="dxa"/>
          </w:tcPr>
          <w:p w14:paraId="0A32ADDC" w14:textId="15881A27" w:rsidR="007F4905" w:rsidRDefault="007F4905" w:rsidP="007F4905">
            <w:r>
              <w:rPr>
                <w:rStyle w:val="Strong"/>
                <w:rFonts w:asciiTheme="minorHAnsi" w:hAnsiTheme="minorHAnsi"/>
                <w:szCs w:val="22"/>
              </w:rPr>
              <w:t>1.3 Installation Type and Delivery Mechanisms</w:t>
            </w:r>
          </w:p>
        </w:tc>
        <w:tc>
          <w:tcPr>
            <w:tcW w:w="6655" w:type="dxa"/>
          </w:tcPr>
          <w:p w14:paraId="554484FF" w14:textId="77777777" w:rsidR="007F4905" w:rsidRDefault="007F4905" w:rsidP="007F4905"/>
        </w:tc>
      </w:tr>
      <w:tr w:rsidR="007F4905" w14:paraId="5D5B8844" w14:textId="77777777" w:rsidTr="00176090">
        <w:trPr>
          <w:trHeight w:val="576"/>
        </w:trPr>
        <w:tc>
          <w:tcPr>
            <w:tcW w:w="2695" w:type="dxa"/>
          </w:tcPr>
          <w:p w14:paraId="75A73897" w14:textId="098B418A" w:rsidR="007F4905" w:rsidRDefault="005B01A3" w:rsidP="007F4905">
            <w:r>
              <w:rPr>
                <w:rStyle w:val="Strong"/>
                <w:rFonts w:asciiTheme="minorHAnsi" w:hAnsiTheme="minorHAnsi"/>
                <w:b w:val="0"/>
                <w:szCs w:val="22"/>
              </w:rPr>
              <w:t>Measure Application</w:t>
            </w:r>
            <w:r w:rsidRPr="009A2332">
              <w:rPr>
                <w:rStyle w:val="Strong"/>
                <w:rFonts w:asciiTheme="minorHAnsi" w:hAnsiTheme="minorHAnsi"/>
                <w:b w:val="0"/>
                <w:szCs w:val="22"/>
              </w:rPr>
              <w:t xml:space="preserve"> </w:t>
            </w:r>
            <w:r w:rsidR="007F4905" w:rsidRPr="009A2332">
              <w:rPr>
                <w:rStyle w:val="Strong"/>
                <w:rFonts w:asciiTheme="minorHAnsi" w:hAnsiTheme="minorHAnsi"/>
                <w:b w:val="0"/>
                <w:szCs w:val="22"/>
              </w:rPr>
              <w:t>Type</w:t>
            </w:r>
          </w:p>
        </w:tc>
        <w:tc>
          <w:tcPr>
            <w:tcW w:w="6655" w:type="dxa"/>
          </w:tcPr>
          <w:p w14:paraId="2B32F7DC" w14:textId="26364A3E" w:rsidR="007F4905" w:rsidRDefault="005B01A3" w:rsidP="005B01A3">
            <w:r>
              <w:t xml:space="preserve">Deviation. </w:t>
            </w:r>
            <w:r w:rsidR="005D28C2">
              <w:t>Based on CPUC Resolution E-</w:t>
            </w:r>
            <w:r w:rsidR="00383820">
              <w:t>4952</w:t>
            </w:r>
            <w:r>
              <w:t>,</w:t>
            </w:r>
            <w:r w:rsidR="005D28C2">
              <w:t xml:space="preserve"> this measure</w:t>
            </w:r>
            <w:r>
              <w:t>’s Measure Application Type</w:t>
            </w:r>
            <w:r w:rsidR="005D28C2">
              <w:t xml:space="preserve"> is</w:t>
            </w:r>
            <w:r>
              <w:t xml:space="preserve"> changed from Replace on Burnout (ROB) and New Construction (NEW) to</w:t>
            </w:r>
            <w:r w:rsidR="005D28C2">
              <w:t xml:space="preserve"> </w:t>
            </w:r>
            <w:r w:rsidR="005D28C2" w:rsidRPr="005D28C2">
              <w:t>Normal Replacement (NR</w:t>
            </w:r>
            <w:r w:rsidR="00EE0253">
              <w:t>) and New Construction (NC)</w:t>
            </w:r>
          </w:p>
        </w:tc>
      </w:tr>
      <w:tr w:rsidR="007F4905" w14:paraId="3CF006A0" w14:textId="77777777" w:rsidTr="00176090">
        <w:trPr>
          <w:trHeight w:val="576"/>
        </w:trPr>
        <w:tc>
          <w:tcPr>
            <w:tcW w:w="2695" w:type="dxa"/>
          </w:tcPr>
          <w:p w14:paraId="548E0861" w14:textId="7D5594CC" w:rsidR="007F4905" w:rsidRDefault="007F4905" w:rsidP="007F4905">
            <w:r w:rsidRPr="009A2332">
              <w:rPr>
                <w:rStyle w:val="Strong"/>
                <w:rFonts w:asciiTheme="minorHAnsi" w:hAnsiTheme="minorHAnsi"/>
                <w:b w:val="0"/>
                <w:szCs w:val="22"/>
              </w:rPr>
              <w:t>Delivery Mechanisms</w:t>
            </w:r>
          </w:p>
        </w:tc>
        <w:tc>
          <w:tcPr>
            <w:tcW w:w="6655" w:type="dxa"/>
          </w:tcPr>
          <w:p w14:paraId="58955D14" w14:textId="001D15CE" w:rsidR="007F4905" w:rsidRDefault="007F4905" w:rsidP="005D28C2">
            <w:r w:rsidRPr="00BC1701">
              <w:t>Financial Support</w:t>
            </w:r>
            <w:r>
              <w:t xml:space="preserve">: </w:t>
            </w:r>
            <w:r w:rsidRPr="00BC1701">
              <w:t>Down-Stream Incentive</w:t>
            </w:r>
            <w:r>
              <w:t xml:space="preserve"> </w:t>
            </w:r>
            <w:r w:rsidR="00EE0253">
              <w:t>–</w:t>
            </w:r>
            <w:r>
              <w:t xml:space="preserve"> Deemed</w:t>
            </w:r>
          </w:p>
          <w:p w14:paraId="25E82B0B" w14:textId="095F1350" w:rsidR="00EE0253" w:rsidRDefault="00A358C9" w:rsidP="00EE0253">
            <w:r w:rsidRPr="00A358C9">
              <w:t>Mid-Stream Programs</w:t>
            </w:r>
            <w:r w:rsidR="00EE0253">
              <w:t xml:space="preserve">: </w:t>
            </w:r>
            <w:r w:rsidR="00EE0253" w:rsidRPr="00EE0253">
              <w:t>Mid-Stream Incentive</w:t>
            </w:r>
          </w:p>
          <w:p w14:paraId="67E45078" w14:textId="04D66B45" w:rsidR="00383820" w:rsidRDefault="00A358C9" w:rsidP="005D28C2">
            <w:r w:rsidRPr="00A358C9">
              <w:t>Up-Stream Programs: Up-Stream Incentive</w:t>
            </w:r>
          </w:p>
        </w:tc>
      </w:tr>
      <w:tr w:rsidR="007F4905" w14:paraId="09F7817D" w14:textId="77777777" w:rsidTr="00176090">
        <w:trPr>
          <w:trHeight w:val="576"/>
        </w:trPr>
        <w:tc>
          <w:tcPr>
            <w:tcW w:w="2695" w:type="dxa"/>
          </w:tcPr>
          <w:p w14:paraId="68DCF28E" w14:textId="573A4587" w:rsidR="007F4905" w:rsidRDefault="007F4905" w:rsidP="007F4905">
            <w:r>
              <w:rPr>
                <w:rStyle w:val="Strong"/>
                <w:rFonts w:asciiTheme="minorHAnsi" w:hAnsiTheme="minorHAnsi"/>
                <w:szCs w:val="22"/>
              </w:rPr>
              <w:t>1.4.1 DEER Data</w:t>
            </w:r>
          </w:p>
        </w:tc>
        <w:tc>
          <w:tcPr>
            <w:tcW w:w="6655" w:type="dxa"/>
          </w:tcPr>
          <w:p w14:paraId="7F520E32" w14:textId="77777777" w:rsidR="007F4905" w:rsidRDefault="007F4905" w:rsidP="007F4905"/>
        </w:tc>
      </w:tr>
      <w:tr w:rsidR="007F4905" w14:paraId="51073860" w14:textId="77777777" w:rsidTr="00176090">
        <w:trPr>
          <w:trHeight w:val="576"/>
        </w:trPr>
        <w:tc>
          <w:tcPr>
            <w:tcW w:w="2695" w:type="dxa"/>
          </w:tcPr>
          <w:p w14:paraId="07705888" w14:textId="718A29C7" w:rsidR="007F4905" w:rsidRDefault="007F4905" w:rsidP="007F4905">
            <w:r w:rsidRPr="009A2332">
              <w:rPr>
                <w:rStyle w:val="Strong"/>
                <w:rFonts w:asciiTheme="minorHAnsi" w:hAnsiTheme="minorHAnsi"/>
                <w:b w:val="0"/>
                <w:szCs w:val="22"/>
              </w:rPr>
              <w:t>Net-Gross-Ratio</w:t>
            </w:r>
          </w:p>
        </w:tc>
        <w:tc>
          <w:tcPr>
            <w:tcW w:w="6655" w:type="dxa"/>
          </w:tcPr>
          <w:p w14:paraId="0B188C2A" w14:textId="1ACDF268" w:rsidR="00EE0253" w:rsidRDefault="00EE0253" w:rsidP="007F4905">
            <w:r>
              <w:t xml:space="preserve">NTGR ID: </w:t>
            </w:r>
            <w:r w:rsidRPr="00EE0253">
              <w:t xml:space="preserve">All-Default&lt;=2yrs </w:t>
            </w:r>
          </w:p>
          <w:p w14:paraId="7C01181E" w14:textId="7FFA94CF" w:rsidR="005D28C2" w:rsidRDefault="005D28C2" w:rsidP="007F4905">
            <w:r>
              <w:t xml:space="preserve">NTGR = </w:t>
            </w:r>
            <w:r w:rsidR="00EE0253">
              <w:t>0.7</w:t>
            </w:r>
          </w:p>
        </w:tc>
      </w:tr>
      <w:tr w:rsidR="007F4905" w14:paraId="7A4E17C4" w14:textId="77777777" w:rsidTr="00176090">
        <w:trPr>
          <w:trHeight w:val="576"/>
        </w:trPr>
        <w:tc>
          <w:tcPr>
            <w:tcW w:w="2695" w:type="dxa"/>
          </w:tcPr>
          <w:p w14:paraId="08063215" w14:textId="5C719A0C" w:rsidR="007F4905" w:rsidRDefault="007F4905" w:rsidP="007F4905">
            <w:r w:rsidRPr="009A2332">
              <w:rPr>
                <w:rStyle w:val="Strong"/>
                <w:rFonts w:asciiTheme="minorHAnsi" w:hAnsiTheme="minorHAnsi"/>
                <w:b w:val="0"/>
                <w:szCs w:val="22"/>
              </w:rPr>
              <w:t>Effective and Remaining Useful Life</w:t>
            </w:r>
          </w:p>
        </w:tc>
        <w:tc>
          <w:tcPr>
            <w:tcW w:w="6655" w:type="dxa"/>
          </w:tcPr>
          <w:p w14:paraId="2CBC93C3" w14:textId="648593C1" w:rsidR="00A358C9" w:rsidRDefault="005B01A3" w:rsidP="007F4905">
            <w:bookmarkStart w:id="3" w:name="_Hlk532882924"/>
            <w:r>
              <w:t xml:space="preserve">Deviation from SCG Workpaper EUL_ID </w:t>
            </w:r>
            <w:r w:rsidR="00A358C9">
              <w:t>Appl-EFFDW, EUL = 12 years, RUL = 4 years</w:t>
            </w:r>
          </w:p>
          <w:p w14:paraId="6ECF26E4" w14:textId="77777777" w:rsidR="00383820" w:rsidRDefault="00383820" w:rsidP="007F4905"/>
          <w:p w14:paraId="70BC13BC" w14:textId="2F007AE6" w:rsidR="007F4905" w:rsidRDefault="00A358C9">
            <w:r>
              <w:t xml:space="preserve">Note: SCG uses </w:t>
            </w:r>
            <w:r w:rsidR="00EE0253" w:rsidRPr="00EE0253">
              <w:t>Appl-DW-UnderCounter</w:t>
            </w:r>
            <w:r>
              <w:t xml:space="preserve"> (</w:t>
            </w:r>
            <w:r w:rsidR="005D28C2">
              <w:t xml:space="preserve">EUL = </w:t>
            </w:r>
            <w:r w:rsidR="00EE0253">
              <w:t>12</w:t>
            </w:r>
            <w:r w:rsidR="007F4905">
              <w:t xml:space="preserve"> years, RUL = </w:t>
            </w:r>
            <w:r w:rsidR="00EE0253">
              <w:t>4</w:t>
            </w:r>
            <w:r w:rsidR="007F4905">
              <w:t xml:space="preserve"> years</w:t>
            </w:r>
            <w:bookmarkEnd w:id="3"/>
            <w:r>
              <w:t>) however,</w:t>
            </w:r>
            <w:r w:rsidR="004B163E">
              <w:t xml:space="preserve"> to better align with READi,</w:t>
            </w:r>
            <w:r>
              <w:t xml:space="preserve"> SCE adopts</w:t>
            </w:r>
            <w:r w:rsidR="004B163E">
              <w:t xml:space="preserve"> EUL ID:</w:t>
            </w:r>
            <w:r>
              <w:t xml:space="preserve"> Appl-EFFDW (DEER EUL = 11 years, RUL = 3.7 years)</w:t>
            </w:r>
            <w:r w:rsidR="004B163E">
              <w:t xml:space="preserve">. The EUL value has been adjusted (EUL = 12 years, RUL = 4 years) per </w:t>
            </w:r>
            <w:r w:rsidRPr="00A358C9">
              <w:t xml:space="preserve">SCGs </w:t>
            </w:r>
            <w:r w:rsidR="004B163E">
              <w:t xml:space="preserve">supporting </w:t>
            </w:r>
            <w:r w:rsidRPr="00A358C9">
              <w:t>statement on the EUL value for foodservice measures.</w:t>
            </w:r>
          </w:p>
        </w:tc>
      </w:tr>
      <w:tr w:rsidR="007F4905" w14:paraId="7C928286" w14:textId="77777777" w:rsidTr="00176090">
        <w:trPr>
          <w:trHeight w:val="576"/>
        </w:trPr>
        <w:tc>
          <w:tcPr>
            <w:tcW w:w="2695" w:type="dxa"/>
          </w:tcPr>
          <w:p w14:paraId="6ECE75DB" w14:textId="0D2FA7C9" w:rsidR="007F4905" w:rsidRDefault="007F4905" w:rsidP="007F4905">
            <w:r>
              <w:rPr>
                <w:rStyle w:val="Strong"/>
                <w:rFonts w:asciiTheme="minorHAnsi" w:hAnsiTheme="minorHAnsi"/>
                <w:szCs w:val="22"/>
              </w:rPr>
              <w:lastRenderedPageBreak/>
              <w:t>Section 2. Calculation Methodology</w:t>
            </w:r>
          </w:p>
        </w:tc>
        <w:tc>
          <w:tcPr>
            <w:tcW w:w="6655" w:type="dxa"/>
          </w:tcPr>
          <w:p w14:paraId="018C407C" w14:textId="77777777" w:rsidR="007F4905" w:rsidRDefault="007F4905" w:rsidP="007F4905"/>
        </w:tc>
      </w:tr>
      <w:tr w:rsidR="007F4905" w14:paraId="2060FD54" w14:textId="77777777" w:rsidTr="00176090">
        <w:trPr>
          <w:trHeight w:val="576"/>
        </w:trPr>
        <w:tc>
          <w:tcPr>
            <w:tcW w:w="2695" w:type="dxa"/>
          </w:tcPr>
          <w:p w14:paraId="768E3560" w14:textId="7844934C" w:rsidR="007F4905" w:rsidRDefault="007F4905" w:rsidP="007F4905">
            <w:r w:rsidRPr="009A2332">
              <w:rPr>
                <w:rStyle w:val="Strong"/>
                <w:rFonts w:asciiTheme="minorHAnsi" w:hAnsiTheme="minorHAnsi"/>
                <w:b w:val="0"/>
                <w:szCs w:val="22"/>
              </w:rPr>
              <w:t>Energy savings/Peak Demand Reduction – All Measures</w:t>
            </w:r>
          </w:p>
        </w:tc>
        <w:tc>
          <w:tcPr>
            <w:tcW w:w="6655" w:type="dxa"/>
          </w:tcPr>
          <w:p w14:paraId="2048C362" w14:textId="0EA7B4F9" w:rsidR="007F4905" w:rsidRDefault="004F14AF" w:rsidP="007F4905">
            <w:r>
              <w:t xml:space="preserve">Electric and gas energy savings are calculated based on assumptions of reduced water heating requirements. Gallons used per dishwasher rack and idle water heating energy rates (kW) are obtained from Energy Star requirements.  Quantity of racks per day is assumed based on FSTC studies from </w:t>
            </w:r>
            <w:r w:rsidR="00304960">
              <w:t xml:space="preserve">a number of </w:t>
            </w:r>
            <w:r>
              <w:t xml:space="preserve">restaurants. Energy consumption requirements for base and measure cases are based on average temperature increases of ground water (per CZ) to low temperature water (140°F) and high temperature water (180°F).  The energy consumption of electric and gas water heaters and electric dishwasher booster heaters were weighted based on CEC market data. Details on the energy savings calculations can be found </w:t>
            </w:r>
            <w:r w:rsidR="005D28C2">
              <w:t xml:space="preserve">in Section 2 of </w:t>
            </w:r>
            <w:r w:rsidR="00A40C24" w:rsidRPr="00A40C24">
              <w:t>WPSCGNRCC180529A Rev00</w:t>
            </w:r>
            <w:r w:rsidR="005D28C2">
              <w:t xml:space="preserve">. </w:t>
            </w:r>
          </w:p>
          <w:p w14:paraId="140EE22E" w14:textId="0D237913" w:rsidR="005D28C2" w:rsidRDefault="005D28C2" w:rsidP="007F4905"/>
          <w:p w14:paraId="24E89550" w14:textId="3F49D357" w:rsidR="005D28C2" w:rsidRDefault="005D28C2" w:rsidP="007F4905">
            <w:r>
              <w:t xml:space="preserve">Peak demand calculations were calculated </w:t>
            </w:r>
            <w:r w:rsidR="00975500">
              <w:t xml:space="preserve">based on the End-use Water Demand profile for restaurants from the CPUC. A coincidence factor was applied to the average daily energy consumption (kWh) based on the load profile and differences in peak demand were calculated. </w:t>
            </w:r>
          </w:p>
          <w:p w14:paraId="2FB12862" w14:textId="0BA7A96C" w:rsidR="005D28C2" w:rsidRDefault="005D28C2" w:rsidP="007F4905"/>
          <w:p w14:paraId="3A1B429E" w14:textId="011055E4" w:rsidR="000B7826" w:rsidRDefault="000B7826" w:rsidP="007F4905">
            <w:r>
              <w:t xml:space="preserve">Savings impacts are climate zone dependent, but do not vary based on building type. </w:t>
            </w:r>
          </w:p>
          <w:p w14:paraId="5D471835" w14:textId="77777777" w:rsidR="000B7826" w:rsidRDefault="000B7826" w:rsidP="007F4905"/>
          <w:p w14:paraId="48A295FE" w14:textId="2C5BBF5D" w:rsidR="001E35D5" w:rsidRDefault="00000461" w:rsidP="007F4905">
            <w:r>
              <w:t xml:space="preserve">Refer to </w:t>
            </w:r>
            <w:r w:rsidR="007F4905">
              <w:t xml:space="preserve">Section 2 of </w:t>
            </w:r>
            <w:r w:rsidR="00A40C24" w:rsidRPr="00A40C24">
              <w:t>WPSCGNRCC180529A Rev00</w:t>
            </w:r>
            <w:r w:rsidR="005D28C2">
              <w:t xml:space="preserve"> </w:t>
            </w:r>
            <w:r w:rsidR="007F4905">
              <w:t xml:space="preserve">for more details.  </w:t>
            </w:r>
          </w:p>
        </w:tc>
      </w:tr>
      <w:tr w:rsidR="007F4905" w14:paraId="79416F6B" w14:textId="77777777" w:rsidTr="00176090">
        <w:trPr>
          <w:trHeight w:val="576"/>
        </w:trPr>
        <w:tc>
          <w:tcPr>
            <w:tcW w:w="2695" w:type="dxa"/>
          </w:tcPr>
          <w:p w14:paraId="63B2A37F" w14:textId="79D3BD2C" w:rsidR="007F4905" w:rsidRDefault="007F4905" w:rsidP="007F4905">
            <w:r>
              <w:rPr>
                <w:rStyle w:val="Strong"/>
                <w:rFonts w:asciiTheme="minorHAnsi" w:hAnsiTheme="minorHAnsi"/>
                <w:szCs w:val="22"/>
              </w:rPr>
              <w:t>Section 3. Load Shapes</w:t>
            </w:r>
          </w:p>
        </w:tc>
        <w:tc>
          <w:tcPr>
            <w:tcW w:w="6655" w:type="dxa"/>
          </w:tcPr>
          <w:p w14:paraId="573722DD" w14:textId="15BFD022" w:rsidR="007F4905" w:rsidRDefault="00E76176" w:rsidP="007F4905">
            <w:r w:rsidRPr="00E76176">
              <w:rPr>
                <w:rFonts w:cstheme="minorHAnsi"/>
                <w:szCs w:val="20"/>
              </w:rPr>
              <w:t>DHW HtPmp</w:t>
            </w:r>
          </w:p>
        </w:tc>
      </w:tr>
      <w:tr w:rsidR="007F4905" w14:paraId="0E2DA162" w14:textId="77777777" w:rsidTr="00176090">
        <w:trPr>
          <w:trHeight w:val="576"/>
        </w:trPr>
        <w:tc>
          <w:tcPr>
            <w:tcW w:w="2695" w:type="dxa"/>
          </w:tcPr>
          <w:p w14:paraId="17E265C7" w14:textId="4B0D36D9" w:rsidR="007F4905" w:rsidRDefault="007F4905" w:rsidP="007F4905">
            <w:r>
              <w:rPr>
                <w:rStyle w:val="Strong"/>
                <w:rFonts w:asciiTheme="minorHAnsi" w:hAnsiTheme="minorHAnsi"/>
                <w:szCs w:val="22"/>
              </w:rPr>
              <w:t>Section 4. Costs</w:t>
            </w:r>
          </w:p>
        </w:tc>
        <w:tc>
          <w:tcPr>
            <w:tcW w:w="6655" w:type="dxa"/>
          </w:tcPr>
          <w:p w14:paraId="636754D0" w14:textId="1CA65818" w:rsidR="007F4905" w:rsidRDefault="00975500" w:rsidP="007F4905">
            <w:r>
              <w:t xml:space="preserve">Base and measure case costing were obtained from online retailers based on seven of the most popular undercounter dishwasher manufacturers. </w:t>
            </w:r>
          </w:p>
        </w:tc>
      </w:tr>
      <w:tr w:rsidR="007F4905" w14:paraId="00EA9279" w14:textId="77777777" w:rsidTr="00176090">
        <w:trPr>
          <w:trHeight w:val="576"/>
        </w:trPr>
        <w:tc>
          <w:tcPr>
            <w:tcW w:w="2695" w:type="dxa"/>
          </w:tcPr>
          <w:p w14:paraId="448F5A7F" w14:textId="54FDF208" w:rsidR="007F4905" w:rsidRDefault="007F4905" w:rsidP="007F4905">
            <w:r>
              <w:rPr>
                <w:rStyle w:val="Strong"/>
                <w:rFonts w:asciiTheme="minorHAnsi" w:hAnsiTheme="minorHAnsi"/>
                <w:szCs w:val="22"/>
              </w:rPr>
              <w:t>Section 4.1 Base and Measure Costs</w:t>
            </w:r>
          </w:p>
        </w:tc>
        <w:tc>
          <w:tcPr>
            <w:tcW w:w="6655" w:type="dxa"/>
          </w:tcPr>
          <w:p w14:paraId="4A8F9241" w14:textId="52D663A9" w:rsidR="007F4905" w:rsidRDefault="001F7D82" w:rsidP="004E2C75">
            <w:r w:rsidRPr="001F7D82">
              <w:t>Please refer to Attachment #1 Calculation Templates for detailed baseline and measure costs.</w:t>
            </w:r>
            <w:r w:rsidR="004E2C75">
              <w:t xml:space="preserve"> </w:t>
            </w:r>
          </w:p>
        </w:tc>
      </w:tr>
    </w:tbl>
    <w:p w14:paraId="31A3A294" w14:textId="77777777" w:rsidR="009A2332" w:rsidRPr="009A2332" w:rsidRDefault="009A2332" w:rsidP="009A2332"/>
    <w:p w14:paraId="5989BA52" w14:textId="77777777" w:rsidR="00954C30" w:rsidRDefault="00954C30" w:rsidP="00975500">
      <w:pPr>
        <w:spacing w:after="200" w:line="276" w:lineRule="auto"/>
        <w:rPr>
          <w:b/>
          <w:szCs w:val="20"/>
        </w:rPr>
      </w:pPr>
    </w:p>
    <w:p w14:paraId="0C475F92" w14:textId="1B942F07" w:rsidR="009A2332" w:rsidRPr="00975500" w:rsidRDefault="009A2332" w:rsidP="00975500">
      <w:pPr>
        <w:spacing w:after="200" w:line="276" w:lineRule="auto"/>
        <w:rPr>
          <w:szCs w:val="20"/>
        </w:rPr>
      </w:pPr>
      <w:r w:rsidRPr="009A2332">
        <w:rPr>
          <w:b/>
          <w:szCs w:val="20"/>
        </w:rPr>
        <w:t>Savings and Calculation Methodology</w:t>
      </w:r>
      <w:r w:rsidR="001F7D82">
        <w:rPr>
          <w:b/>
          <w:szCs w:val="20"/>
        </w:rPr>
        <w:br/>
      </w:r>
      <w:r w:rsidR="00975500">
        <w:rPr>
          <w:szCs w:val="20"/>
        </w:rPr>
        <w:t xml:space="preserve">No changes to the savings or costs are adopted for this short form. </w:t>
      </w:r>
      <w:bookmarkStart w:id="4" w:name="_GoBack"/>
      <w:bookmarkEnd w:id="4"/>
    </w:p>
    <w:p w14:paraId="4C148930" w14:textId="09F9773D" w:rsidR="009A2332" w:rsidRPr="009A2332" w:rsidRDefault="009A2332" w:rsidP="009A2332">
      <w:pPr>
        <w:spacing w:after="200" w:line="276" w:lineRule="auto"/>
        <w:rPr>
          <w:b/>
          <w:szCs w:val="20"/>
        </w:rPr>
      </w:pPr>
    </w:p>
    <w:p w14:paraId="4ADFD17A" w14:textId="29C76DEA" w:rsidR="009A2332" w:rsidRDefault="009A2332" w:rsidP="009A2332">
      <w:pPr>
        <w:spacing w:after="200" w:line="276" w:lineRule="auto"/>
        <w:rPr>
          <w:b/>
          <w:szCs w:val="20"/>
        </w:rPr>
      </w:pPr>
      <w:r>
        <w:rPr>
          <w:b/>
          <w:szCs w:val="20"/>
        </w:rPr>
        <w:t>Savings Calculation Workbook</w:t>
      </w:r>
    </w:p>
    <w:p w14:paraId="37E9FBDB" w14:textId="3660C0EB" w:rsidR="00E16609" w:rsidRDefault="001F7D82" w:rsidP="001F7D82">
      <w:pPr>
        <w:pStyle w:val="ListParagraph"/>
        <w:numPr>
          <w:ilvl w:val="0"/>
          <w:numId w:val="39"/>
        </w:numPr>
        <w:rPr>
          <w:szCs w:val="20"/>
        </w:rPr>
      </w:pPr>
      <w:bookmarkStart w:id="5" w:name="_Toc214003099"/>
      <w:bookmarkEnd w:id="1"/>
      <w:r>
        <w:rPr>
          <w:szCs w:val="20"/>
        </w:rPr>
        <w:t>SCE17</w:t>
      </w:r>
      <w:r w:rsidR="00975500">
        <w:rPr>
          <w:szCs w:val="20"/>
        </w:rPr>
        <w:t>CC</w:t>
      </w:r>
      <w:r w:rsidR="001A539B">
        <w:rPr>
          <w:szCs w:val="20"/>
        </w:rPr>
        <w:t>018</w:t>
      </w:r>
      <w:r>
        <w:rPr>
          <w:szCs w:val="20"/>
        </w:rPr>
        <w:t xml:space="preserve">.0 A1 </w:t>
      </w:r>
      <w:r w:rsidR="00E55DCB">
        <w:rPr>
          <w:szCs w:val="20"/>
        </w:rPr>
        <w:t>-</w:t>
      </w:r>
      <w:r>
        <w:rPr>
          <w:szCs w:val="20"/>
        </w:rPr>
        <w:t xml:space="preserve"> Calculation Template</w:t>
      </w:r>
      <w:bookmarkEnd w:id="5"/>
    </w:p>
    <w:sectPr w:rsidR="00E16609" w:rsidSect="00CD452C">
      <w:footerReference w:type="default" r:id="rId9"/>
      <w:pgSz w:w="12240" w:h="15840"/>
      <w:pgMar w:top="1440" w:right="1440" w:bottom="1557" w:left="1440" w:header="720" w:footer="720" w:gutter="0"/>
      <w:pgNumType w:fmt="lowerRoman"/>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C5CC0F" w16cid:durableId="1FC642D7"/>
  <w16cid:commentId w16cid:paraId="4AF3C790" w16cid:durableId="1FC642D8"/>
  <w16cid:commentId w16cid:paraId="2DC87E82" w16cid:durableId="1FC642D9"/>
  <w16cid:commentId w16cid:paraId="573326C7" w16cid:durableId="1FC48F7A"/>
  <w16cid:commentId w16cid:paraId="5462A791" w16cid:durableId="1FC642DB"/>
  <w16cid:commentId w16cid:paraId="53BF2045" w16cid:durableId="1FC64476"/>
  <w16cid:commentId w16cid:paraId="62142D0C" w16cid:durableId="1FC642DC"/>
  <w16cid:commentId w16cid:paraId="42AFE2E2" w16cid:durableId="1FC6448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D4F75A" w14:textId="77777777" w:rsidR="00383820" w:rsidRDefault="00383820" w:rsidP="00447D6E">
      <w:r>
        <w:separator/>
      </w:r>
    </w:p>
    <w:p w14:paraId="592223BE" w14:textId="77777777" w:rsidR="00383820" w:rsidRDefault="00383820"/>
  </w:endnote>
  <w:endnote w:type="continuationSeparator" w:id="0">
    <w:p w14:paraId="6793F9DF" w14:textId="77777777" w:rsidR="00383820" w:rsidRDefault="00383820" w:rsidP="00447D6E">
      <w:r>
        <w:continuationSeparator/>
      </w:r>
    </w:p>
    <w:p w14:paraId="32E5BC8D" w14:textId="77777777" w:rsidR="00383820" w:rsidRDefault="003838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76DF2EB8" w:rsidR="00383820" w:rsidRPr="009500DC" w:rsidRDefault="00455E15"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383820">
          <w:rPr>
            <w:rFonts w:cstheme="minorHAnsi"/>
            <w:b/>
            <w:sz w:val="20"/>
            <w:szCs w:val="20"/>
          </w:rPr>
          <w:t>SCE17CC018</w:t>
        </w:r>
      </w:sdtContent>
    </w:sdt>
    <w:r w:rsidR="00383820">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383820">
          <w:rPr>
            <w:rFonts w:cstheme="minorHAnsi"/>
            <w:b/>
            <w:sz w:val="20"/>
            <w:szCs w:val="20"/>
          </w:rPr>
          <w:t>Revision 0</w:t>
        </w:r>
      </w:sdtContent>
    </w:sdt>
    <w:r w:rsidR="00383820" w:rsidRPr="009500DC">
      <w:rPr>
        <w:rFonts w:cstheme="minorHAnsi"/>
        <w:b/>
        <w:sz w:val="20"/>
        <w:szCs w:val="20"/>
      </w:rPr>
      <w:tab/>
    </w:r>
    <w:r w:rsidR="00383820" w:rsidRPr="009500DC">
      <w:rPr>
        <w:rFonts w:cstheme="minorHAnsi"/>
        <w:b/>
        <w:sz w:val="20"/>
        <w:szCs w:val="20"/>
      </w:rPr>
      <w:fldChar w:fldCharType="begin"/>
    </w:r>
    <w:r w:rsidR="00383820" w:rsidRPr="009500DC">
      <w:rPr>
        <w:rFonts w:cstheme="minorHAnsi"/>
        <w:b/>
        <w:sz w:val="20"/>
        <w:szCs w:val="20"/>
      </w:rPr>
      <w:instrText xml:space="preserve"> PAGE   \* MERGEFORMAT </w:instrText>
    </w:r>
    <w:r w:rsidR="00383820" w:rsidRPr="009500DC">
      <w:rPr>
        <w:rFonts w:cstheme="minorHAnsi"/>
        <w:b/>
        <w:sz w:val="20"/>
        <w:szCs w:val="20"/>
      </w:rPr>
      <w:fldChar w:fldCharType="separate"/>
    </w:r>
    <w:r>
      <w:rPr>
        <w:rFonts w:cstheme="minorHAnsi"/>
        <w:b/>
        <w:noProof/>
        <w:sz w:val="20"/>
        <w:szCs w:val="20"/>
      </w:rPr>
      <w:t>iv</w:t>
    </w:r>
    <w:r w:rsidR="00383820" w:rsidRPr="009500DC">
      <w:rPr>
        <w:rFonts w:cstheme="minorHAnsi"/>
        <w:b/>
        <w:noProof/>
        <w:sz w:val="20"/>
        <w:szCs w:val="20"/>
      </w:rPr>
      <w:fldChar w:fldCharType="end"/>
    </w:r>
    <w:r w:rsidR="00383820"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2-20T00:00:00Z">
          <w:dateFormat w:val="MMMM d, yyyy"/>
          <w:lid w:val="en-US"/>
          <w:storeMappedDataAs w:val="dateTime"/>
          <w:calendar w:val="gregorian"/>
        </w:date>
      </w:sdtPr>
      <w:sdtEndPr/>
      <w:sdtContent>
        <w:r w:rsidR="00383820">
          <w:rPr>
            <w:rFonts w:cstheme="minorHAnsi"/>
            <w:b/>
            <w:sz w:val="20"/>
            <w:szCs w:val="20"/>
          </w:rPr>
          <w:t>December 20, 2018</w:t>
        </w:r>
      </w:sdtContent>
    </w:sdt>
  </w:p>
  <w:p w14:paraId="43C07EA5" w14:textId="544E4323" w:rsidR="00383820" w:rsidRPr="009500DC" w:rsidRDefault="00455E15"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383820">
          <w:rPr>
            <w:rFonts w:cstheme="minorHAnsi"/>
            <w:b/>
            <w:sz w:val="20"/>
            <w:szCs w:val="20"/>
          </w:rPr>
          <w:t>Southern California Edison</w:t>
        </w:r>
      </w:sdtContent>
    </w:sdt>
  </w:p>
  <w:p w14:paraId="4AC7586E" w14:textId="77777777" w:rsidR="00383820" w:rsidRDefault="00383820"/>
  <w:p w14:paraId="5C9861A8" w14:textId="77777777" w:rsidR="00383820" w:rsidRDefault="0038382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74C858" w14:textId="77777777" w:rsidR="00383820" w:rsidRDefault="00383820" w:rsidP="00447D6E">
      <w:r>
        <w:separator/>
      </w:r>
    </w:p>
    <w:p w14:paraId="3336D660" w14:textId="77777777" w:rsidR="00383820" w:rsidRDefault="00383820"/>
  </w:footnote>
  <w:footnote w:type="continuationSeparator" w:id="0">
    <w:p w14:paraId="57B9B5EA" w14:textId="77777777" w:rsidR="00383820" w:rsidRDefault="00383820" w:rsidP="00447D6E">
      <w:r>
        <w:continuationSeparator/>
      </w:r>
    </w:p>
    <w:p w14:paraId="0A84B97D" w14:textId="77777777" w:rsidR="00383820" w:rsidRDefault="0038382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15:restartNumberingAfterBreak="0">
    <w:nsid w:val="1C37292C"/>
    <w:multiLevelType w:val="hybridMultilevel"/>
    <w:tmpl w:val="7A00B1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4B189F"/>
    <w:multiLevelType w:val="hybridMultilevel"/>
    <w:tmpl w:val="9D1A8A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DE2263"/>
    <w:multiLevelType w:val="hybridMultilevel"/>
    <w:tmpl w:val="AE14DC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1"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4AC691E"/>
    <w:multiLevelType w:val="hybridMultilevel"/>
    <w:tmpl w:val="C5501AC4"/>
    <w:lvl w:ilvl="0" w:tplc="F594E1DE">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7D63B6"/>
    <w:multiLevelType w:val="hybridMultilevel"/>
    <w:tmpl w:val="EF1EE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7C25D6"/>
    <w:multiLevelType w:val="hybridMultilevel"/>
    <w:tmpl w:val="8F0A1A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9915D7"/>
    <w:multiLevelType w:val="hybridMultilevel"/>
    <w:tmpl w:val="27AC56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0B3D16"/>
    <w:multiLevelType w:val="hybridMultilevel"/>
    <w:tmpl w:val="72B408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3"/>
  </w:num>
  <w:num w:numId="3">
    <w:abstractNumId w:val="21"/>
  </w:num>
  <w:num w:numId="4">
    <w:abstractNumId w:val="19"/>
  </w:num>
  <w:num w:numId="5">
    <w:abstractNumId w:val="19"/>
  </w:num>
  <w:num w:numId="6">
    <w:abstractNumId w:val="2"/>
  </w:num>
  <w:num w:numId="7">
    <w:abstractNumId w:val="24"/>
  </w:num>
  <w:num w:numId="8">
    <w:abstractNumId w:val="20"/>
  </w:num>
  <w:num w:numId="9">
    <w:abstractNumId w:val="11"/>
  </w:num>
  <w:num w:numId="10">
    <w:abstractNumId w:val="5"/>
  </w:num>
  <w:num w:numId="11">
    <w:abstractNumId w:val="25"/>
  </w:num>
  <w:num w:numId="12">
    <w:abstractNumId w:val="18"/>
  </w:num>
  <w:num w:numId="13">
    <w:abstractNumId w:val="10"/>
  </w:num>
  <w:num w:numId="14">
    <w:abstractNumId w:val="37"/>
  </w:num>
  <w:num w:numId="15">
    <w:abstractNumId w:val="8"/>
  </w:num>
  <w:num w:numId="16">
    <w:abstractNumId w:val="12"/>
  </w:num>
  <w:num w:numId="17">
    <w:abstractNumId w:val="4"/>
  </w:num>
  <w:num w:numId="18">
    <w:abstractNumId w:val="0"/>
  </w:num>
  <w:num w:numId="19">
    <w:abstractNumId w:val="36"/>
  </w:num>
  <w:num w:numId="20">
    <w:abstractNumId w:val="3"/>
  </w:num>
  <w:num w:numId="21">
    <w:abstractNumId w:val="28"/>
  </w:num>
  <w:num w:numId="22">
    <w:abstractNumId w:val="29"/>
  </w:num>
  <w:num w:numId="23">
    <w:abstractNumId w:val="38"/>
  </w:num>
  <w:num w:numId="24">
    <w:abstractNumId w:val="34"/>
  </w:num>
  <w:num w:numId="25">
    <w:abstractNumId w:val="13"/>
  </w:num>
  <w:num w:numId="26">
    <w:abstractNumId w:val="17"/>
  </w:num>
  <w:num w:numId="27">
    <w:abstractNumId w:val="31"/>
  </w:num>
  <w:num w:numId="28">
    <w:abstractNumId w:val="15"/>
  </w:num>
  <w:num w:numId="29">
    <w:abstractNumId w:val="7"/>
  </w:num>
  <w:num w:numId="30">
    <w:abstractNumId w:val="1"/>
  </w:num>
  <w:num w:numId="31">
    <w:abstractNumId w:val="39"/>
  </w:num>
  <w:num w:numId="32">
    <w:abstractNumId w:val="27"/>
  </w:num>
  <w:num w:numId="33">
    <w:abstractNumId w:val="33"/>
  </w:num>
  <w:num w:numId="34">
    <w:abstractNumId w:val="9"/>
  </w:num>
  <w:num w:numId="35">
    <w:abstractNumId w:val="14"/>
  </w:num>
  <w:num w:numId="36">
    <w:abstractNumId w:val="6"/>
  </w:num>
  <w:num w:numId="37">
    <w:abstractNumId w:val="22"/>
  </w:num>
  <w:num w:numId="38">
    <w:abstractNumId w:val="35"/>
  </w:num>
  <w:num w:numId="39">
    <w:abstractNumId w:val="16"/>
  </w:num>
  <w:num w:numId="40">
    <w:abstractNumId w:val="26"/>
  </w:num>
  <w:num w:numId="41">
    <w:abstractNumId w:val="32"/>
  </w:num>
  <w:num w:numId="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0461"/>
    <w:rsid w:val="000016DB"/>
    <w:rsid w:val="00005902"/>
    <w:rsid w:val="0001002B"/>
    <w:rsid w:val="00010806"/>
    <w:rsid w:val="00013F71"/>
    <w:rsid w:val="000173BF"/>
    <w:rsid w:val="00024252"/>
    <w:rsid w:val="000245B5"/>
    <w:rsid w:val="00027183"/>
    <w:rsid w:val="00033EA1"/>
    <w:rsid w:val="0003746D"/>
    <w:rsid w:val="0004020F"/>
    <w:rsid w:val="000436CB"/>
    <w:rsid w:val="00052E17"/>
    <w:rsid w:val="00056947"/>
    <w:rsid w:val="00061A8E"/>
    <w:rsid w:val="00064CB3"/>
    <w:rsid w:val="00070BEE"/>
    <w:rsid w:val="00072040"/>
    <w:rsid w:val="00076DF4"/>
    <w:rsid w:val="00076F51"/>
    <w:rsid w:val="0008524C"/>
    <w:rsid w:val="00086F7F"/>
    <w:rsid w:val="0009074D"/>
    <w:rsid w:val="0009592B"/>
    <w:rsid w:val="000968C6"/>
    <w:rsid w:val="000A63C9"/>
    <w:rsid w:val="000B3765"/>
    <w:rsid w:val="000B655B"/>
    <w:rsid w:val="000B7826"/>
    <w:rsid w:val="000C0000"/>
    <w:rsid w:val="000C18CC"/>
    <w:rsid w:val="000C687D"/>
    <w:rsid w:val="000C7ED1"/>
    <w:rsid w:val="000D789A"/>
    <w:rsid w:val="000E4B5F"/>
    <w:rsid w:val="000E706D"/>
    <w:rsid w:val="000F130A"/>
    <w:rsid w:val="000F4D63"/>
    <w:rsid w:val="000F4FD8"/>
    <w:rsid w:val="000F7135"/>
    <w:rsid w:val="001057A8"/>
    <w:rsid w:val="00107242"/>
    <w:rsid w:val="00111CC5"/>
    <w:rsid w:val="001206F7"/>
    <w:rsid w:val="001236C1"/>
    <w:rsid w:val="00133EE8"/>
    <w:rsid w:val="00140B30"/>
    <w:rsid w:val="00142B2A"/>
    <w:rsid w:val="00147155"/>
    <w:rsid w:val="00153CB3"/>
    <w:rsid w:val="00154C3B"/>
    <w:rsid w:val="00160158"/>
    <w:rsid w:val="00165357"/>
    <w:rsid w:val="001722B7"/>
    <w:rsid w:val="001727D9"/>
    <w:rsid w:val="00174BB4"/>
    <w:rsid w:val="00175D14"/>
    <w:rsid w:val="00176090"/>
    <w:rsid w:val="001811EE"/>
    <w:rsid w:val="00185AD4"/>
    <w:rsid w:val="00185BF0"/>
    <w:rsid w:val="001979AF"/>
    <w:rsid w:val="001A0EB4"/>
    <w:rsid w:val="001A1A86"/>
    <w:rsid w:val="001A539B"/>
    <w:rsid w:val="001A5F62"/>
    <w:rsid w:val="001B015E"/>
    <w:rsid w:val="001B2301"/>
    <w:rsid w:val="001B618B"/>
    <w:rsid w:val="001C1338"/>
    <w:rsid w:val="001C4140"/>
    <w:rsid w:val="001C5A94"/>
    <w:rsid w:val="001D2317"/>
    <w:rsid w:val="001D3223"/>
    <w:rsid w:val="001D33EF"/>
    <w:rsid w:val="001D5AB3"/>
    <w:rsid w:val="001E0519"/>
    <w:rsid w:val="001E0829"/>
    <w:rsid w:val="001E1320"/>
    <w:rsid w:val="001E35D5"/>
    <w:rsid w:val="001E556A"/>
    <w:rsid w:val="001E5C9E"/>
    <w:rsid w:val="001F05CE"/>
    <w:rsid w:val="001F1905"/>
    <w:rsid w:val="001F4A65"/>
    <w:rsid w:val="001F7D82"/>
    <w:rsid w:val="00205C45"/>
    <w:rsid w:val="0021035B"/>
    <w:rsid w:val="00211153"/>
    <w:rsid w:val="0023254A"/>
    <w:rsid w:val="00233205"/>
    <w:rsid w:val="002344FB"/>
    <w:rsid w:val="00236216"/>
    <w:rsid w:val="002405CD"/>
    <w:rsid w:val="00240B74"/>
    <w:rsid w:val="00243B62"/>
    <w:rsid w:val="0024675B"/>
    <w:rsid w:val="002469DD"/>
    <w:rsid w:val="00247180"/>
    <w:rsid w:val="00254671"/>
    <w:rsid w:val="00255338"/>
    <w:rsid w:val="00257D36"/>
    <w:rsid w:val="00263C1C"/>
    <w:rsid w:val="00271415"/>
    <w:rsid w:val="00274FBE"/>
    <w:rsid w:val="002762E1"/>
    <w:rsid w:val="00277F64"/>
    <w:rsid w:val="002811BC"/>
    <w:rsid w:val="00283DE8"/>
    <w:rsid w:val="00285552"/>
    <w:rsid w:val="00285966"/>
    <w:rsid w:val="00285A0D"/>
    <w:rsid w:val="00290ED8"/>
    <w:rsid w:val="00290FE3"/>
    <w:rsid w:val="00296B49"/>
    <w:rsid w:val="002A03FC"/>
    <w:rsid w:val="002A1843"/>
    <w:rsid w:val="002A3D26"/>
    <w:rsid w:val="002A523E"/>
    <w:rsid w:val="002B1ADF"/>
    <w:rsid w:val="002B502E"/>
    <w:rsid w:val="002B657B"/>
    <w:rsid w:val="002C2853"/>
    <w:rsid w:val="002C444C"/>
    <w:rsid w:val="002C458F"/>
    <w:rsid w:val="002C4983"/>
    <w:rsid w:val="002C6C20"/>
    <w:rsid w:val="002C6C7A"/>
    <w:rsid w:val="002C7F78"/>
    <w:rsid w:val="002D5277"/>
    <w:rsid w:val="002D71FA"/>
    <w:rsid w:val="002D73AF"/>
    <w:rsid w:val="002E4FD9"/>
    <w:rsid w:val="002E5B58"/>
    <w:rsid w:val="002F1437"/>
    <w:rsid w:val="002F3943"/>
    <w:rsid w:val="002F4E34"/>
    <w:rsid w:val="002F6A42"/>
    <w:rsid w:val="002F79E7"/>
    <w:rsid w:val="003003EC"/>
    <w:rsid w:val="003035E3"/>
    <w:rsid w:val="0030363A"/>
    <w:rsid w:val="00304960"/>
    <w:rsid w:val="003108ED"/>
    <w:rsid w:val="00313B4E"/>
    <w:rsid w:val="00317970"/>
    <w:rsid w:val="00317EB0"/>
    <w:rsid w:val="00332700"/>
    <w:rsid w:val="003358BD"/>
    <w:rsid w:val="00344E88"/>
    <w:rsid w:val="00345D80"/>
    <w:rsid w:val="003471D4"/>
    <w:rsid w:val="00350BF1"/>
    <w:rsid w:val="00353C49"/>
    <w:rsid w:val="003540B1"/>
    <w:rsid w:val="003557E9"/>
    <w:rsid w:val="003560BA"/>
    <w:rsid w:val="00357868"/>
    <w:rsid w:val="00364CC6"/>
    <w:rsid w:val="003650F6"/>
    <w:rsid w:val="0036726C"/>
    <w:rsid w:val="003832D2"/>
    <w:rsid w:val="00383820"/>
    <w:rsid w:val="003845E5"/>
    <w:rsid w:val="0038615C"/>
    <w:rsid w:val="00393137"/>
    <w:rsid w:val="0039615F"/>
    <w:rsid w:val="00397406"/>
    <w:rsid w:val="003A3170"/>
    <w:rsid w:val="003A360E"/>
    <w:rsid w:val="003D17FF"/>
    <w:rsid w:val="003D2871"/>
    <w:rsid w:val="003D2981"/>
    <w:rsid w:val="003D5B83"/>
    <w:rsid w:val="003E6E47"/>
    <w:rsid w:val="003F0623"/>
    <w:rsid w:val="003F33DE"/>
    <w:rsid w:val="003F3A41"/>
    <w:rsid w:val="003F67E9"/>
    <w:rsid w:val="00401031"/>
    <w:rsid w:val="004023B7"/>
    <w:rsid w:val="004045A0"/>
    <w:rsid w:val="00413CDB"/>
    <w:rsid w:val="00416E34"/>
    <w:rsid w:val="004200FE"/>
    <w:rsid w:val="00421183"/>
    <w:rsid w:val="00421BA6"/>
    <w:rsid w:val="00421C17"/>
    <w:rsid w:val="004262BA"/>
    <w:rsid w:val="00426CDE"/>
    <w:rsid w:val="00433EA1"/>
    <w:rsid w:val="00441957"/>
    <w:rsid w:val="00443D32"/>
    <w:rsid w:val="004469DD"/>
    <w:rsid w:val="004476B2"/>
    <w:rsid w:val="00447CE5"/>
    <w:rsid w:val="00447D6E"/>
    <w:rsid w:val="0045048F"/>
    <w:rsid w:val="0045181B"/>
    <w:rsid w:val="00452133"/>
    <w:rsid w:val="00452C7A"/>
    <w:rsid w:val="00455E15"/>
    <w:rsid w:val="00456B53"/>
    <w:rsid w:val="0046286E"/>
    <w:rsid w:val="004673A2"/>
    <w:rsid w:val="00471234"/>
    <w:rsid w:val="00472250"/>
    <w:rsid w:val="0047437C"/>
    <w:rsid w:val="00477522"/>
    <w:rsid w:val="00480E7B"/>
    <w:rsid w:val="004843E5"/>
    <w:rsid w:val="00484BF6"/>
    <w:rsid w:val="0049052C"/>
    <w:rsid w:val="00493457"/>
    <w:rsid w:val="00494628"/>
    <w:rsid w:val="0049566B"/>
    <w:rsid w:val="00497338"/>
    <w:rsid w:val="004A1650"/>
    <w:rsid w:val="004B1184"/>
    <w:rsid w:val="004B163E"/>
    <w:rsid w:val="004B4A3A"/>
    <w:rsid w:val="004B5CE5"/>
    <w:rsid w:val="004B750E"/>
    <w:rsid w:val="004C2244"/>
    <w:rsid w:val="004C23F1"/>
    <w:rsid w:val="004D069A"/>
    <w:rsid w:val="004E01F5"/>
    <w:rsid w:val="004E297E"/>
    <w:rsid w:val="004E2C75"/>
    <w:rsid w:val="004E76CA"/>
    <w:rsid w:val="004F14AF"/>
    <w:rsid w:val="004F1698"/>
    <w:rsid w:val="00500C4E"/>
    <w:rsid w:val="00505CEC"/>
    <w:rsid w:val="0051020F"/>
    <w:rsid w:val="00513CAB"/>
    <w:rsid w:val="00515DA1"/>
    <w:rsid w:val="00516CF5"/>
    <w:rsid w:val="00522F20"/>
    <w:rsid w:val="00523597"/>
    <w:rsid w:val="00523736"/>
    <w:rsid w:val="00527D6D"/>
    <w:rsid w:val="005319F0"/>
    <w:rsid w:val="00532530"/>
    <w:rsid w:val="00535CA4"/>
    <w:rsid w:val="0053656E"/>
    <w:rsid w:val="005417B7"/>
    <w:rsid w:val="005476F6"/>
    <w:rsid w:val="00551D72"/>
    <w:rsid w:val="005540B6"/>
    <w:rsid w:val="005552C3"/>
    <w:rsid w:val="00557846"/>
    <w:rsid w:val="00560934"/>
    <w:rsid w:val="00563E58"/>
    <w:rsid w:val="00564960"/>
    <w:rsid w:val="00570654"/>
    <w:rsid w:val="00570F38"/>
    <w:rsid w:val="005720F2"/>
    <w:rsid w:val="005729C8"/>
    <w:rsid w:val="00572D2F"/>
    <w:rsid w:val="005734A4"/>
    <w:rsid w:val="00594EF5"/>
    <w:rsid w:val="005A0E53"/>
    <w:rsid w:val="005A1078"/>
    <w:rsid w:val="005A4658"/>
    <w:rsid w:val="005A496B"/>
    <w:rsid w:val="005B01A3"/>
    <w:rsid w:val="005B28C1"/>
    <w:rsid w:val="005B6344"/>
    <w:rsid w:val="005C1C74"/>
    <w:rsid w:val="005C2E48"/>
    <w:rsid w:val="005C3F23"/>
    <w:rsid w:val="005D271F"/>
    <w:rsid w:val="005D28C2"/>
    <w:rsid w:val="005D4DD7"/>
    <w:rsid w:val="005E12A9"/>
    <w:rsid w:val="005F139E"/>
    <w:rsid w:val="005F69D5"/>
    <w:rsid w:val="00602799"/>
    <w:rsid w:val="00602F18"/>
    <w:rsid w:val="00607C30"/>
    <w:rsid w:val="006110F3"/>
    <w:rsid w:val="00612041"/>
    <w:rsid w:val="00614AFF"/>
    <w:rsid w:val="00621ABA"/>
    <w:rsid w:val="0062322A"/>
    <w:rsid w:val="00631157"/>
    <w:rsid w:val="00633CBD"/>
    <w:rsid w:val="006404E6"/>
    <w:rsid w:val="0064680F"/>
    <w:rsid w:val="0064729D"/>
    <w:rsid w:val="00647ABE"/>
    <w:rsid w:val="00650BA0"/>
    <w:rsid w:val="006516BA"/>
    <w:rsid w:val="00664B05"/>
    <w:rsid w:val="00665C04"/>
    <w:rsid w:val="0066682D"/>
    <w:rsid w:val="006746FE"/>
    <w:rsid w:val="00676946"/>
    <w:rsid w:val="00676D61"/>
    <w:rsid w:val="00676E9F"/>
    <w:rsid w:val="00680934"/>
    <w:rsid w:val="00685D5C"/>
    <w:rsid w:val="0069264D"/>
    <w:rsid w:val="0069578B"/>
    <w:rsid w:val="00697868"/>
    <w:rsid w:val="006A055F"/>
    <w:rsid w:val="006A126F"/>
    <w:rsid w:val="006A14E9"/>
    <w:rsid w:val="006A2A65"/>
    <w:rsid w:val="006A5293"/>
    <w:rsid w:val="006A67E4"/>
    <w:rsid w:val="006A6D15"/>
    <w:rsid w:val="006B0DF3"/>
    <w:rsid w:val="006B0F11"/>
    <w:rsid w:val="006B27FA"/>
    <w:rsid w:val="006B4A48"/>
    <w:rsid w:val="006C2C55"/>
    <w:rsid w:val="006C430A"/>
    <w:rsid w:val="006D2809"/>
    <w:rsid w:val="006E27A3"/>
    <w:rsid w:val="006E3342"/>
    <w:rsid w:val="006E4B12"/>
    <w:rsid w:val="006E65D0"/>
    <w:rsid w:val="006E7B05"/>
    <w:rsid w:val="006F1B21"/>
    <w:rsid w:val="006F21E8"/>
    <w:rsid w:val="006F78D5"/>
    <w:rsid w:val="0070091B"/>
    <w:rsid w:val="007048AC"/>
    <w:rsid w:val="00726338"/>
    <w:rsid w:val="00726AD5"/>
    <w:rsid w:val="00733C7D"/>
    <w:rsid w:val="00740761"/>
    <w:rsid w:val="00745F77"/>
    <w:rsid w:val="007464DE"/>
    <w:rsid w:val="007529EA"/>
    <w:rsid w:val="00755A45"/>
    <w:rsid w:val="00760CDC"/>
    <w:rsid w:val="00764465"/>
    <w:rsid w:val="00764D0D"/>
    <w:rsid w:val="00777C53"/>
    <w:rsid w:val="00786E92"/>
    <w:rsid w:val="007933F1"/>
    <w:rsid w:val="007A5F52"/>
    <w:rsid w:val="007B090A"/>
    <w:rsid w:val="007D546F"/>
    <w:rsid w:val="007E43F8"/>
    <w:rsid w:val="007E5076"/>
    <w:rsid w:val="007E656B"/>
    <w:rsid w:val="007F2997"/>
    <w:rsid w:val="007F4905"/>
    <w:rsid w:val="007F50E8"/>
    <w:rsid w:val="007F54E2"/>
    <w:rsid w:val="007F7FBA"/>
    <w:rsid w:val="00800319"/>
    <w:rsid w:val="0080044E"/>
    <w:rsid w:val="00800706"/>
    <w:rsid w:val="0080189A"/>
    <w:rsid w:val="00801F7F"/>
    <w:rsid w:val="00803C2B"/>
    <w:rsid w:val="00811945"/>
    <w:rsid w:val="00814619"/>
    <w:rsid w:val="00824F1C"/>
    <w:rsid w:val="00826688"/>
    <w:rsid w:val="0083369B"/>
    <w:rsid w:val="00835D38"/>
    <w:rsid w:val="00843763"/>
    <w:rsid w:val="00847A4E"/>
    <w:rsid w:val="00862D8F"/>
    <w:rsid w:val="00871D79"/>
    <w:rsid w:val="0087393E"/>
    <w:rsid w:val="00881A42"/>
    <w:rsid w:val="00882386"/>
    <w:rsid w:val="0088361D"/>
    <w:rsid w:val="00885E0A"/>
    <w:rsid w:val="0088603B"/>
    <w:rsid w:val="008877AF"/>
    <w:rsid w:val="00893FC3"/>
    <w:rsid w:val="0089577B"/>
    <w:rsid w:val="008B1024"/>
    <w:rsid w:val="008B1357"/>
    <w:rsid w:val="008B2DF3"/>
    <w:rsid w:val="008C2E0E"/>
    <w:rsid w:val="008C4DE0"/>
    <w:rsid w:val="008D249F"/>
    <w:rsid w:val="008D3930"/>
    <w:rsid w:val="008D67F9"/>
    <w:rsid w:val="008E04BA"/>
    <w:rsid w:val="008E17CC"/>
    <w:rsid w:val="008E25B1"/>
    <w:rsid w:val="008E56FB"/>
    <w:rsid w:val="008E5F40"/>
    <w:rsid w:val="008F2167"/>
    <w:rsid w:val="008F33B4"/>
    <w:rsid w:val="008F4333"/>
    <w:rsid w:val="008F6298"/>
    <w:rsid w:val="0090077A"/>
    <w:rsid w:val="00900F47"/>
    <w:rsid w:val="00904ADA"/>
    <w:rsid w:val="00907697"/>
    <w:rsid w:val="00910A69"/>
    <w:rsid w:val="009138A0"/>
    <w:rsid w:val="0091424C"/>
    <w:rsid w:val="00917DE4"/>
    <w:rsid w:val="00920905"/>
    <w:rsid w:val="00922B85"/>
    <w:rsid w:val="009238E7"/>
    <w:rsid w:val="00930CDC"/>
    <w:rsid w:val="00931E45"/>
    <w:rsid w:val="00933188"/>
    <w:rsid w:val="00935AF9"/>
    <w:rsid w:val="009403A5"/>
    <w:rsid w:val="009500DC"/>
    <w:rsid w:val="00951923"/>
    <w:rsid w:val="00954C30"/>
    <w:rsid w:val="00972C81"/>
    <w:rsid w:val="00975500"/>
    <w:rsid w:val="009824E9"/>
    <w:rsid w:val="009826E5"/>
    <w:rsid w:val="009844A1"/>
    <w:rsid w:val="00986E20"/>
    <w:rsid w:val="00992017"/>
    <w:rsid w:val="00992D61"/>
    <w:rsid w:val="00995479"/>
    <w:rsid w:val="00995CB0"/>
    <w:rsid w:val="00997E77"/>
    <w:rsid w:val="009A2332"/>
    <w:rsid w:val="009A2734"/>
    <w:rsid w:val="009A7C35"/>
    <w:rsid w:val="009B2A02"/>
    <w:rsid w:val="009B2B61"/>
    <w:rsid w:val="009B5B7B"/>
    <w:rsid w:val="009C1777"/>
    <w:rsid w:val="009C2C86"/>
    <w:rsid w:val="009C6FE0"/>
    <w:rsid w:val="009D0753"/>
    <w:rsid w:val="009D10A4"/>
    <w:rsid w:val="009D5131"/>
    <w:rsid w:val="009D6F71"/>
    <w:rsid w:val="009E1802"/>
    <w:rsid w:val="009E1CDE"/>
    <w:rsid w:val="009E2B06"/>
    <w:rsid w:val="009E3829"/>
    <w:rsid w:val="009E51E2"/>
    <w:rsid w:val="009F010C"/>
    <w:rsid w:val="009F7A61"/>
    <w:rsid w:val="00A11800"/>
    <w:rsid w:val="00A11C16"/>
    <w:rsid w:val="00A1423E"/>
    <w:rsid w:val="00A17664"/>
    <w:rsid w:val="00A20FAF"/>
    <w:rsid w:val="00A24520"/>
    <w:rsid w:val="00A3164A"/>
    <w:rsid w:val="00A358C9"/>
    <w:rsid w:val="00A37F42"/>
    <w:rsid w:val="00A40C24"/>
    <w:rsid w:val="00A4411F"/>
    <w:rsid w:val="00A500D6"/>
    <w:rsid w:val="00A523FF"/>
    <w:rsid w:val="00A5417B"/>
    <w:rsid w:val="00A54756"/>
    <w:rsid w:val="00A54C66"/>
    <w:rsid w:val="00A57D36"/>
    <w:rsid w:val="00A61BB6"/>
    <w:rsid w:val="00A65734"/>
    <w:rsid w:val="00A6687F"/>
    <w:rsid w:val="00A67907"/>
    <w:rsid w:val="00A73CC1"/>
    <w:rsid w:val="00A80270"/>
    <w:rsid w:val="00A82DB1"/>
    <w:rsid w:val="00A84127"/>
    <w:rsid w:val="00A84BF9"/>
    <w:rsid w:val="00A86DA2"/>
    <w:rsid w:val="00A90DFC"/>
    <w:rsid w:val="00A90F1A"/>
    <w:rsid w:val="00A91BF3"/>
    <w:rsid w:val="00AA0A9C"/>
    <w:rsid w:val="00AA16C0"/>
    <w:rsid w:val="00AA4CDC"/>
    <w:rsid w:val="00AB21D4"/>
    <w:rsid w:val="00AB21F5"/>
    <w:rsid w:val="00AB3291"/>
    <w:rsid w:val="00AB3386"/>
    <w:rsid w:val="00AB36DB"/>
    <w:rsid w:val="00AC0B1D"/>
    <w:rsid w:val="00AC2F5B"/>
    <w:rsid w:val="00AC3DAD"/>
    <w:rsid w:val="00AC5309"/>
    <w:rsid w:val="00AC5B97"/>
    <w:rsid w:val="00AD4DD0"/>
    <w:rsid w:val="00AE07FB"/>
    <w:rsid w:val="00AE0A8D"/>
    <w:rsid w:val="00AF6342"/>
    <w:rsid w:val="00B053FB"/>
    <w:rsid w:val="00B05647"/>
    <w:rsid w:val="00B07EE5"/>
    <w:rsid w:val="00B17A58"/>
    <w:rsid w:val="00B21CC5"/>
    <w:rsid w:val="00B26778"/>
    <w:rsid w:val="00B26B83"/>
    <w:rsid w:val="00B32479"/>
    <w:rsid w:val="00B3317C"/>
    <w:rsid w:val="00B33FE2"/>
    <w:rsid w:val="00B403ED"/>
    <w:rsid w:val="00B4065F"/>
    <w:rsid w:val="00B45091"/>
    <w:rsid w:val="00B45447"/>
    <w:rsid w:val="00B47CB1"/>
    <w:rsid w:val="00B614F1"/>
    <w:rsid w:val="00B7783C"/>
    <w:rsid w:val="00B8417A"/>
    <w:rsid w:val="00B866B4"/>
    <w:rsid w:val="00B94226"/>
    <w:rsid w:val="00BA0A8C"/>
    <w:rsid w:val="00BA0CEB"/>
    <w:rsid w:val="00BA2383"/>
    <w:rsid w:val="00BA2E7E"/>
    <w:rsid w:val="00BA590A"/>
    <w:rsid w:val="00BA5FE4"/>
    <w:rsid w:val="00BB0B39"/>
    <w:rsid w:val="00BB30D1"/>
    <w:rsid w:val="00BB39D8"/>
    <w:rsid w:val="00BB5F75"/>
    <w:rsid w:val="00BC6524"/>
    <w:rsid w:val="00BD34DF"/>
    <w:rsid w:val="00BD3931"/>
    <w:rsid w:val="00BD5B88"/>
    <w:rsid w:val="00BD5F58"/>
    <w:rsid w:val="00BE0AEB"/>
    <w:rsid w:val="00C018E0"/>
    <w:rsid w:val="00C05AAF"/>
    <w:rsid w:val="00C118C7"/>
    <w:rsid w:val="00C20877"/>
    <w:rsid w:val="00C20E7B"/>
    <w:rsid w:val="00C21456"/>
    <w:rsid w:val="00C24D03"/>
    <w:rsid w:val="00C25E61"/>
    <w:rsid w:val="00C35A1B"/>
    <w:rsid w:val="00C413F3"/>
    <w:rsid w:val="00C54EFF"/>
    <w:rsid w:val="00C55D03"/>
    <w:rsid w:val="00C63548"/>
    <w:rsid w:val="00C63F96"/>
    <w:rsid w:val="00C65450"/>
    <w:rsid w:val="00C677AF"/>
    <w:rsid w:val="00C67E59"/>
    <w:rsid w:val="00C72B8B"/>
    <w:rsid w:val="00C72CB5"/>
    <w:rsid w:val="00C76D4F"/>
    <w:rsid w:val="00C805BC"/>
    <w:rsid w:val="00C959CA"/>
    <w:rsid w:val="00C95D16"/>
    <w:rsid w:val="00CA2AB4"/>
    <w:rsid w:val="00CB0100"/>
    <w:rsid w:val="00CB04D2"/>
    <w:rsid w:val="00CD452C"/>
    <w:rsid w:val="00CD7EFE"/>
    <w:rsid w:val="00CE0C66"/>
    <w:rsid w:val="00CE28CF"/>
    <w:rsid w:val="00CE4386"/>
    <w:rsid w:val="00CE4CDC"/>
    <w:rsid w:val="00CE5BEB"/>
    <w:rsid w:val="00CE69E9"/>
    <w:rsid w:val="00CE71F2"/>
    <w:rsid w:val="00CF3F65"/>
    <w:rsid w:val="00CF464D"/>
    <w:rsid w:val="00D17EF4"/>
    <w:rsid w:val="00D23770"/>
    <w:rsid w:val="00D24DF9"/>
    <w:rsid w:val="00D25074"/>
    <w:rsid w:val="00D33388"/>
    <w:rsid w:val="00D34517"/>
    <w:rsid w:val="00D36798"/>
    <w:rsid w:val="00D4175C"/>
    <w:rsid w:val="00D47E80"/>
    <w:rsid w:val="00D70563"/>
    <w:rsid w:val="00D70D89"/>
    <w:rsid w:val="00D72051"/>
    <w:rsid w:val="00D7380B"/>
    <w:rsid w:val="00D75D77"/>
    <w:rsid w:val="00D7639E"/>
    <w:rsid w:val="00D835EF"/>
    <w:rsid w:val="00D85F09"/>
    <w:rsid w:val="00D86A9D"/>
    <w:rsid w:val="00DA089A"/>
    <w:rsid w:val="00DA11A0"/>
    <w:rsid w:val="00DA2822"/>
    <w:rsid w:val="00DA690B"/>
    <w:rsid w:val="00DA7225"/>
    <w:rsid w:val="00DB44E9"/>
    <w:rsid w:val="00DC1966"/>
    <w:rsid w:val="00DC3259"/>
    <w:rsid w:val="00DD0523"/>
    <w:rsid w:val="00DD5BE5"/>
    <w:rsid w:val="00DD66FA"/>
    <w:rsid w:val="00DE5758"/>
    <w:rsid w:val="00DE5FCF"/>
    <w:rsid w:val="00DF0D19"/>
    <w:rsid w:val="00DF2EE9"/>
    <w:rsid w:val="00DF6FD8"/>
    <w:rsid w:val="00E05A80"/>
    <w:rsid w:val="00E06A37"/>
    <w:rsid w:val="00E071A5"/>
    <w:rsid w:val="00E07752"/>
    <w:rsid w:val="00E16609"/>
    <w:rsid w:val="00E16F08"/>
    <w:rsid w:val="00E233F3"/>
    <w:rsid w:val="00E25EFF"/>
    <w:rsid w:val="00E26B34"/>
    <w:rsid w:val="00E314BA"/>
    <w:rsid w:val="00E325BE"/>
    <w:rsid w:val="00E326BA"/>
    <w:rsid w:val="00E34202"/>
    <w:rsid w:val="00E37F72"/>
    <w:rsid w:val="00E40BE5"/>
    <w:rsid w:val="00E40CF9"/>
    <w:rsid w:val="00E42A30"/>
    <w:rsid w:val="00E55DCB"/>
    <w:rsid w:val="00E5625D"/>
    <w:rsid w:val="00E648BB"/>
    <w:rsid w:val="00E67ACA"/>
    <w:rsid w:val="00E76176"/>
    <w:rsid w:val="00E76B31"/>
    <w:rsid w:val="00E81F3E"/>
    <w:rsid w:val="00E829CD"/>
    <w:rsid w:val="00E844BB"/>
    <w:rsid w:val="00E84C48"/>
    <w:rsid w:val="00E859BD"/>
    <w:rsid w:val="00E86B70"/>
    <w:rsid w:val="00E87C8F"/>
    <w:rsid w:val="00E924C3"/>
    <w:rsid w:val="00E954EE"/>
    <w:rsid w:val="00E96759"/>
    <w:rsid w:val="00EA4437"/>
    <w:rsid w:val="00EA4D87"/>
    <w:rsid w:val="00EB34FC"/>
    <w:rsid w:val="00EB76E1"/>
    <w:rsid w:val="00EC2499"/>
    <w:rsid w:val="00EE0253"/>
    <w:rsid w:val="00EE29DF"/>
    <w:rsid w:val="00EE4120"/>
    <w:rsid w:val="00EF2E8A"/>
    <w:rsid w:val="00EF4E6B"/>
    <w:rsid w:val="00EF5416"/>
    <w:rsid w:val="00F06CCF"/>
    <w:rsid w:val="00F1053D"/>
    <w:rsid w:val="00F110D5"/>
    <w:rsid w:val="00F11E63"/>
    <w:rsid w:val="00F12733"/>
    <w:rsid w:val="00F171E1"/>
    <w:rsid w:val="00F20DCF"/>
    <w:rsid w:val="00F25B36"/>
    <w:rsid w:val="00F30167"/>
    <w:rsid w:val="00F3052A"/>
    <w:rsid w:val="00F341E3"/>
    <w:rsid w:val="00F35D09"/>
    <w:rsid w:val="00F4304D"/>
    <w:rsid w:val="00F46612"/>
    <w:rsid w:val="00F474EF"/>
    <w:rsid w:val="00F4752B"/>
    <w:rsid w:val="00F476E8"/>
    <w:rsid w:val="00F50C4A"/>
    <w:rsid w:val="00F541AE"/>
    <w:rsid w:val="00F56792"/>
    <w:rsid w:val="00F571A6"/>
    <w:rsid w:val="00F6018B"/>
    <w:rsid w:val="00F60265"/>
    <w:rsid w:val="00F60E32"/>
    <w:rsid w:val="00F644FF"/>
    <w:rsid w:val="00F64EC4"/>
    <w:rsid w:val="00F65ABA"/>
    <w:rsid w:val="00F65E15"/>
    <w:rsid w:val="00F7242E"/>
    <w:rsid w:val="00F74B33"/>
    <w:rsid w:val="00F810DD"/>
    <w:rsid w:val="00F95E2F"/>
    <w:rsid w:val="00F96DEB"/>
    <w:rsid w:val="00FA1872"/>
    <w:rsid w:val="00FA4F34"/>
    <w:rsid w:val="00FB2590"/>
    <w:rsid w:val="00FD5A8C"/>
    <w:rsid w:val="00FE00A6"/>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F77E0EA"/>
  <w15:docId w15:val="{31F5FEE9-A998-4EF3-998D-E51E44CF2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204A7F"/>
    <w:rsid w:val="002B514B"/>
    <w:rsid w:val="002C0C03"/>
    <w:rsid w:val="00311B0D"/>
    <w:rsid w:val="003A131F"/>
    <w:rsid w:val="004817CD"/>
    <w:rsid w:val="00560392"/>
    <w:rsid w:val="00574339"/>
    <w:rsid w:val="00672C17"/>
    <w:rsid w:val="006B7FA8"/>
    <w:rsid w:val="008211B5"/>
    <w:rsid w:val="00874653"/>
    <w:rsid w:val="009B0D75"/>
    <w:rsid w:val="00A5022A"/>
    <w:rsid w:val="00AE4C28"/>
    <w:rsid w:val="00AF2C4B"/>
    <w:rsid w:val="00B73964"/>
    <w:rsid w:val="00B74704"/>
    <w:rsid w:val="00C947B8"/>
    <w:rsid w:val="00D0496D"/>
    <w:rsid w:val="00D051F5"/>
    <w:rsid w:val="00EC59D9"/>
    <w:rsid w:val="00F52B45"/>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0D75"/>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30179D576E2D406E91D83D5C6592204F">
    <w:name w:val="30179D576E2D406E91D83D5C6592204F"/>
    <w:rsid w:val="00574339"/>
    <w:pPr>
      <w:spacing w:after="160" w:line="259" w:lineRule="auto"/>
    </w:pPr>
  </w:style>
  <w:style w:type="paragraph" w:customStyle="1" w:styleId="AB8C0E701CC144DF9A191C3D43FFB012">
    <w:name w:val="AB8C0E701CC144DF9A191C3D43FFB012"/>
    <w:rsid w:val="009B0D7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2018-12-20T00:00:00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09C1A74-8A79-496C-B29C-C91673BC8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1053</Words>
  <Characters>6006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SCE17CC018</vt:lpstr>
    </vt:vector>
  </TitlesOfParts>
  <Company>Southern California Edison</Company>
  <LinksUpToDate>false</LinksUpToDate>
  <CharactersWithSpaces>7045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SCE17CC018</dc:title>
  <dc:creator>Jim Wyatt (PG&amp;E);Jason Wang (SCE)</dc:creator>
  <cp:lastModifiedBy>Cassie Cuaresma</cp:lastModifiedBy>
  <cp:revision>4</cp:revision>
  <dcterms:created xsi:type="dcterms:W3CDTF">2018-12-24T18:07:00Z</dcterms:created>
  <dcterms:modified xsi:type="dcterms:W3CDTF">2018-12-26T16:48:00Z</dcterms:modified>
  <cp:contentStatus>Revision 0</cp:contentStatus>
</cp:coreProperties>
</file>