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7CF75506"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CE3831">
            <w:t>SCE1</w:t>
          </w:r>
          <w:r w:rsidR="00F63DEF">
            <w:t>7</w:t>
          </w:r>
          <w:r w:rsidR="00CE3831">
            <w:t>CC014</w:t>
          </w:r>
        </w:sdtContent>
      </w:sdt>
    </w:p>
    <w:bookmarkEnd w:id="0"/>
    <w:p w14:paraId="7601CE2F" w14:textId="2F6A94B9" w:rsidR="00DA690B" w:rsidRPr="00500C4E" w:rsidRDefault="003D6124" w:rsidP="00A57D36">
      <w:pPr>
        <w:pStyle w:val="Revnumber"/>
        <w:rPr>
          <w:rStyle w:val="CaptionChar"/>
          <w:rFonts w:asciiTheme="minorHAnsi" w:hAnsiTheme="minorHAnsi" w:cstheme="minorHAnsi"/>
          <w:b/>
          <w:bCs w:val="0"/>
          <w:sz w:val="48"/>
          <w:szCs w:val="48"/>
        </w:rPr>
      </w:pPr>
      <w:r w:rsidRPr="00500C4E">
        <w:rPr>
          <w:rStyle w:val="CaptionChar"/>
          <w:rFonts w:asciiTheme="minorHAnsi" w:hAnsiTheme="minorHAnsi" w:cstheme="minorHAnsi"/>
          <w:b/>
          <w:bCs w:val="0"/>
          <w:sz w:val="48"/>
          <w:szCs w:val="48"/>
        </w:rPr>
        <w:t xml:space="preserve">Revision </w:t>
      </w:r>
      <w:r w:rsidR="004D297F">
        <w:rPr>
          <w:rStyle w:val="CaptionChar"/>
          <w:rFonts w:asciiTheme="minorHAnsi" w:hAnsiTheme="minorHAnsi" w:cstheme="minorHAnsi"/>
          <w:b/>
          <w:bCs w:val="0"/>
          <w:sz w:val="48"/>
          <w:szCs w:val="48"/>
        </w:rPr>
        <w:t>1</w:t>
      </w:r>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0226FD"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266CD85D" w:rsidR="00DA690B" w:rsidRPr="00500C4E" w:rsidRDefault="003E5829" w:rsidP="00DA690B">
      <w:pPr>
        <w:rPr>
          <w:rFonts w:cstheme="minorHAnsi"/>
          <w:b/>
          <w:sz w:val="72"/>
          <w:szCs w:val="72"/>
        </w:rPr>
      </w:pPr>
      <w:r>
        <w:rPr>
          <w:rFonts w:cstheme="minorHAnsi"/>
          <w:b/>
          <w:sz w:val="72"/>
          <w:szCs w:val="72"/>
        </w:rPr>
        <w:t>Commercial Hand Wrap</w:t>
      </w:r>
      <w:r w:rsidR="00CE3831">
        <w:rPr>
          <w:rFonts w:cstheme="minorHAnsi"/>
          <w:b/>
          <w:sz w:val="72"/>
          <w:szCs w:val="72"/>
        </w:rPr>
        <w:t xml:space="preserve"> Machines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Default="00EF4E6B" w:rsidP="00E76B31">
      <w:pPr>
        <w:pStyle w:val="Reminders"/>
        <w:rPr>
          <w:rFonts w:asciiTheme="minorHAnsi" w:hAnsiTheme="minorHAnsi" w:cstheme="minorHAnsi"/>
          <w:b/>
          <w:i w:val="0"/>
          <w:sz w:val="32"/>
          <w:szCs w:val="22"/>
        </w:rPr>
      </w:pPr>
    </w:p>
    <w:p w14:paraId="1F962998" w14:textId="77777777" w:rsidR="0097513E" w:rsidRDefault="0097513E" w:rsidP="00E76B31">
      <w:pPr>
        <w:pStyle w:val="Reminders"/>
        <w:rPr>
          <w:rFonts w:asciiTheme="minorHAnsi" w:hAnsiTheme="minorHAnsi" w:cstheme="minorHAnsi"/>
          <w:b/>
          <w:i w:val="0"/>
          <w:sz w:val="32"/>
          <w:szCs w:val="22"/>
        </w:rPr>
      </w:pPr>
    </w:p>
    <w:p w14:paraId="5EC674BF" w14:textId="77777777" w:rsidR="0097513E" w:rsidRDefault="0097513E" w:rsidP="00E76B31">
      <w:pPr>
        <w:pStyle w:val="Reminders"/>
        <w:rPr>
          <w:rFonts w:asciiTheme="minorHAnsi" w:hAnsiTheme="minorHAnsi" w:cstheme="minorHAnsi"/>
          <w:b/>
          <w:i w:val="0"/>
          <w:sz w:val="32"/>
          <w:szCs w:val="22"/>
        </w:rPr>
      </w:pPr>
    </w:p>
    <w:p w14:paraId="12D52D21" w14:textId="2E866588" w:rsidR="006C3012" w:rsidRDefault="006C3012" w:rsidP="00E76B31">
      <w:pPr>
        <w:pStyle w:val="Reminders"/>
        <w:rPr>
          <w:rFonts w:asciiTheme="minorHAnsi" w:hAnsiTheme="minorHAnsi" w:cstheme="minorHAnsi"/>
          <w:b/>
          <w:i w:val="0"/>
          <w:sz w:val="32"/>
          <w:szCs w:val="22"/>
        </w:rPr>
      </w:pPr>
    </w:p>
    <w:p w14:paraId="0243E191" w14:textId="77777777" w:rsidR="006C3012" w:rsidRPr="006C3012" w:rsidRDefault="006C3012" w:rsidP="006C3012"/>
    <w:p w14:paraId="56A784F6" w14:textId="77777777" w:rsidR="006C3012" w:rsidRPr="006C3012" w:rsidRDefault="006C3012" w:rsidP="006C3012"/>
    <w:p w14:paraId="11623046" w14:textId="77777777" w:rsidR="006C3012" w:rsidRPr="006C3012" w:rsidRDefault="006C3012" w:rsidP="006C3012"/>
    <w:p w14:paraId="65866F5C" w14:textId="77777777" w:rsidR="00523736" w:rsidRPr="006C3012" w:rsidRDefault="00523736" w:rsidP="006C3012">
      <w:pPr>
        <w:sectPr w:rsidR="00523736" w:rsidRPr="006C3012">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5C3DE0" w:rsidRPr="00500C4E" w14:paraId="4D3A4AB5" w14:textId="77777777" w:rsidTr="00920905">
        <w:trPr>
          <w:trHeight w:val="465"/>
        </w:trPr>
        <w:tc>
          <w:tcPr>
            <w:tcW w:w="1875" w:type="pct"/>
          </w:tcPr>
          <w:p w14:paraId="4D8DADAE" w14:textId="129EB9BE" w:rsidR="005C3DE0" w:rsidRPr="00920905" w:rsidRDefault="005C3DE0" w:rsidP="005C3DE0">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2544C792" w:rsidR="005C3DE0" w:rsidRPr="00500C4E" w:rsidRDefault="005C3DE0" w:rsidP="005C3DE0">
            <w:pPr>
              <w:rPr>
                <w:rFonts w:cs="Arial"/>
                <w:bCs/>
                <w:color w:val="FF0000"/>
                <w:szCs w:val="20"/>
              </w:rPr>
            </w:pPr>
            <w:r w:rsidRPr="002E4E54">
              <w:rPr>
                <w:rFonts w:cs="Arial"/>
                <w:szCs w:val="20"/>
              </w:rPr>
              <w:t>FS-</w:t>
            </w:r>
            <w:r>
              <w:rPr>
                <w:rFonts w:cs="Arial"/>
                <w:szCs w:val="20"/>
              </w:rPr>
              <w:t>77556</w:t>
            </w:r>
          </w:p>
        </w:tc>
      </w:tr>
      <w:tr w:rsidR="005C3DE0" w:rsidRPr="00500C4E" w14:paraId="63B310F0" w14:textId="77777777" w:rsidTr="00920905">
        <w:trPr>
          <w:trHeight w:val="465"/>
        </w:trPr>
        <w:tc>
          <w:tcPr>
            <w:tcW w:w="1875" w:type="pct"/>
          </w:tcPr>
          <w:p w14:paraId="5050E2A3" w14:textId="2CBF1387" w:rsidR="005C3DE0" w:rsidRPr="00500C4E" w:rsidRDefault="005C3DE0" w:rsidP="005C3DE0">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1F147447" w:rsidR="005C3DE0" w:rsidRPr="00500C4E" w:rsidRDefault="005C3DE0" w:rsidP="005C3DE0">
            <w:pPr>
              <w:rPr>
                <w:rFonts w:cs="Arial"/>
                <w:color w:val="FF0000"/>
                <w:szCs w:val="20"/>
              </w:rPr>
            </w:pPr>
            <w:r>
              <w:rPr>
                <w:rFonts w:cs="Arial"/>
                <w:szCs w:val="20"/>
              </w:rPr>
              <w:t>On-demand</w:t>
            </w:r>
            <w:r w:rsidRPr="00D7677E">
              <w:rPr>
                <w:rFonts w:cs="Arial"/>
                <w:szCs w:val="20"/>
              </w:rPr>
              <w:t xml:space="preserve"> commercial</w:t>
            </w:r>
            <w:r>
              <w:rPr>
                <w:rFonts w:cs="Arial"/>
                <w:szCs w:val="20"/>
              </w:rPr>
              <w:t xml:space="preserve"> electric</w:t>
            </w:r>
            <w:r w:rsidRPr="00D7677E">
              <w:rPr>
                <w:rFonts w:cs="Arial"/>
                <w:szCs w:val="20"/>
              </w:rPr>
              <w:t xml:space="preserve"> </w:t>
            </w:r>
            <w:r>
              <w:rPr>
                <w:rFonts w:cs="Arial"/>
                <w:szCs w:val="20"/>
              </w:rPr>
              <w:t>hand wrap machine</w:t>
            </w:r>
          </w:p>
        </w:tc>
      </w:tr>
      <w:tr w:rsidR="005C3DE0" w:rsidRPr="00500C4E" w14:paraId="085771EF" w14:textId="77777777" w:rsidTr="00920905">
        <w:trPr>
          <w:trHeight w:val="465"/>
        </w:trPr>
        <w:tc>
          <w:tcPr>
            <w:tcW w:w="1875" w:type="pct"/>
          </w:tcPr>
          <w:p w14:paraId="679DB8A0" w14:textId="3D691398" w:rsidR="005C3DE0" w:rsidRPr="00500C4E" w:rsidRDefault="005C3DE0" w:rsidP="005C3DE0">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78E67870" w:rsidR="005C3DE0" w:rsidRPr="00500C4E" w:rsidRDefault="005C3DE0" w:rsidP="005C3DE0">
            <w:pPr>
              <w:rPr>
                <w:rFonts w:cs="Arial"/>
                <w:color w:val="FF0000"/>
                <w:szCs w:val="20"/>
              </w:rPr>
            </w:pPr>
            <w:r>
              <w:rPr>
                <w:rFonts w:cs="Arial"/>
                <w:szCs w:val="20"/>
              </w:rPr>
              <w:t>Always-on</w:t>
            </w:r>
            <w:r w:rsidRPr="00D7677E">
              <w:rPr>
                <w:rFonts w:cs="Arial"/>
                <w:szCs w:val="20"/>
              </w:rPr>
              <w:t xml:space="preserve"> commercial</w:t>
            </w:r>
            <w:r>
              <w:rPr>
                <w:rFonts w:cs="Arial"/>
                <w:szCs w:val="20"/>
              </w:rPr>
              <w:t xml:space="preserve"> electric</w:t>
            </w:r>
            <w:r w:rsidRPr="00D7677E">
              <w:rPr>
                <w:rFonts w:cs="Arial"/>
                <w:szCs w:val="20"/>
              </w:rPr>
              <w:t xml:space="preserve"> </w:t>
            </w:r>
            <w:r>
              <w:rPr>
                <w:rFonts w:cs="Arial"/>
                <w:szCs w:val="20"/>
              </w:rPr>
              <w:t>hand wrap machine</w:t>
            </w:r>
          </w:p>
        </w:tc>
      </w:tr>
      <w:tr w:rsidR="005C3DE0" w:rsidRPr="00500C4E" w14:paraId="5C218003" w14:textId="77777777" w:rsidTr="00920905">
        <w:trPr>
          <w:trHeight w:val="465"/>
        </w:trPr>
        <w:tc>
          <w:tcPr>
            <w:tcW w:w="1875" w:type="pct"/>
          </w:tcPr>
          <w:p w14:paraId="1DBA889C" w14:textId="032192ED" w:rsidR="005C3DE0" w:rsidRPr="00500C4E" w:rsidRDefault="005C3DE0" w:rsidP="005C3DE0">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7C315D17" w:rsidR="005C3DE0" w:rsidRPr="00F63DEF" w:rsidRDefault="005C3DE0" w:rsidP="005C3DE0">
            <w:pPr>
              <w:rPr>
                <w:rFonts w:cs="Arial"/>
                <w:color w:val="FF0000"/>
                <w:szCs w:val="20"/>
              </w:rPr>
            </w:pPr>
            <w:r w:rsidRPr="00F63DEF">
              <w:rPr>
                <w:rFonts w:cs="Arial"/>
                <w:szCs w:val="20"/>
              </w:rPr>
              <w:t>Unit</w:t>
            </w:r>
          </w:p>
        </w:tc>
      </w:tr>
      <w:tr w:rsidR="005C3DE0" w:rsidRPr="00500C4E" w14:paraId="66C8B424" w14:textId="77777777" w:rsidTr="00920905">
        <w:trPr>
          <w:trHeight w:val="465"/>
        </w:trPr>
        <w:tc>
          <w:tcPr>
            <w:tcW w:w="1875" w:type="pct"/>
          </w:tcPr>
          <w:p w14:paraId="0C38E296" w14:textId="625EE0BE" w:rsidR="005C3DE0" w:rsidRPr="00920905" w:rsidRDefault="005C3DE0" w:rsidP="005C3DE0">
            <w:pPr>
              <w:rPr>
                <w:rStyle w:val="Strong1"/>
                <w:szCs w:val="20"/>
              </w:rPr>
            </w:pPr>
            <w:r w:rsidRPr="00500C4E">
              <w:rPr>
                <w:rStyle w:val="Strong"/>
                <w:rFonts w:asciiTheme="minorHAnsi" w:hAnsiTheme="minorHAnsi"/>
                <w:sz w:val="20"/>
                <w:szCs w:val="20"/>
              </w:rPr>
              <w:t>Energy Savings</w:t>
            </w:r>
          </w:p>
        </w:tc>
        <w:tc>
          <w:tcPr>
            <w:tcW w:w="3125" w:type="pct"/>
          </w:tcPr>
          <w:p w14:paraId="7D5952C1" w14:textId="57F835CB" w:rsidR="005C3DE0" w:rsidRPr="00F63DEF" w:rsidRDefault="005C3DE0" w:rsidP="005C3DE0">
            <w:pPr>
              <w:rPr>
                <w:rFonts w:cs="Arial"/>
                <w:szCs w:val="20"/>
              </w:rPr>
            </w:pPr>
            <w:r w:rsidRPr="00F63DEF">
              <w:rPr>
                <w:rFonts w:cs="Arial"/>
                <w:szCs w:val="20"/>
              </w:rPr>
              <w:t>Refer to Excel Calculation Attachment</w:t>
            </w:r>
            <w:r w:rsidR="00A7456A">
              <w:rPr>
                <w:rFonts w:cs="Arial"/>
                <w:szCs w:val="20"/>
              </w:rPr>
              <w:t xml:space="preserve"> 1.</w:t>
            </w:r>
          </w:p>
        </w:tc>
      </w:tr>
      <w:tr w:rsidR="005C3DE0" w:rsidRPr="00500C4E" w14:paraId="3432D116" w14:textId="77777777" w:rsidTr="00920905">
        <w:trPr>
          <w:trHeight w:val="465"/>
        </w:trPr>
        <w:tc>
          <w:tcPr>
            <w:tcW w:w="1875" w:type="pct"/>
          </w:tcPr>
          <w:p w14:paraId="3CB3B700" w14:textId="30D3563F" w:rsidR="005C3DE0" w:rsidRPr="00500C4E" w:rsidRDefault="005C3DE0" w:rsidP="005C3DE0">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09F05652" w:rsidR="005C3DE0" w:rsidRPr="00F63DEF" w:rsidRDefault="005C3DE0">
            <w:pPr>
              <w:rPr>
                <w:rFonts w:cs="Arial"/>
                <w:szCs w:val="20"/>
              </w:rPr>
            </w:pPr>
            <w:r w:rsidRPr="00F63DEF">
              <w:rPr>
                <w:rFonts w:cs="Arial"/>
                <w:szCs w:val="20"/>
              </w:rPr>
              <w:t>Refer to Excel Calculation Attachment</w:t>
            </w:r>
            <w:r w:rsidR="00A7456A">
              <w:rPr>
                <w:rFonts w:cs="Arial"/>
                <w:szCs w:val="20"/>
              </w:rPr>
              <w:t xml:space="preserve"> 2.</w:t>
            </w:r>
          </w:p>
        </w:tc>
      </w:tr>
      <w:tr w:rsidR="005C3DE0" w:rsidRPr="00500C4E" w14:paraId="2D16677E" w14:textId="77777777" w:rsidTr="00920905">
        <w:trPr>
          <w:trHeight w:val="465"/>
        </w:trPr>
        <w:tc>
          <w:tcPr>
            <w:tcW w:w="1875" w:type="pct"/>
          </w:tcPr>
          <w:p w14:paraId="1C8BF889" w14:textId="6745F31A" w:rsidR="005C3DE0" w:rsidRPr="00500C4E" w:rsidRDefault="005C3DE0" w:rsidP="005C3DE0">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7D3B04CB" w:rsidR="005C3DE0" w:rsidRPr="00F63DEF" w:rsidRDefault="005C3DE0">
            <w:pPr>
              <w:rPr>
                <w:rFonts w:cs="Arial"/>
                <w:szCs w:val="20"/>
              </w:rPr>
            </w:pPr>
            <w:r w:rsidRPr="00F63DEF">
              <w:rPr>
                <w:rFonts w:cs="Arial"/>
                <w:szCs w:val="20"/>
              </w:rPr>
              <w:t>Refer to Excel Calculation Attachment</w:t>
            </w:r>
            <w:r w:rsidR="00A7456A">
              <w:rPr>
                <w:rFonts w:cs="Arial"/>
                <w:szCs w:val="20"/>
              </w:rPr>
              <w:t xml:space="preserve"> 2.</w:t>
            </w:r>
          </w:p>
        </w:tc>
      </w:tr>
      <w:tr w:rsidR="005C3DE0" w:rsidRPr="00500C4E" w14:paraId="466E1409" w14:textId="77777777" w:rsidTr="00920905">
        <w:trPr>
          <w:trHeight w:val="465"/>
        </w:trPr>
        <w:tc>
          <w:tcPr>
            <w:tcW w:w="1875" w:type="pct"/>
          </w:tcPr>
          <w:p w14:paraId="4F8D0A97" w14:textId="25FD4E84" w:rsidR="005C3DE0" w:rsidRPr="00500C4E" w:rsidRDefault="005C3DE0" w:rsidP="005C3DE0">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66826C9A" w:rsidR="005C3DE0" w:rsidRPr="00500C4E" w:rsidRDefault="005C3DE0" w:rsidP="005C3DE0">
            <w:pPr>
              <w:rPr>
                <w:rFonts w:cs="Arial"/>
                <w:color w:val="FF0000"/>
                <w:szCs w:val="20"/>
              </w:rPr>
            </w:pPr>
            <w:r w:rsidRPr="00D94483">
              <w:rPr>
                <w:rFonts w:cs="Arial"/>
                <w:szCs w:val="20"/>
              </w:rPr>
              <w:t>Food</w:t>
            </w:r>
            <w:r w:rsidR="0097513E">
              <w:rPr>
                <w:rFonts w:cs="Arial"/>
                <w:szCs w:val="20"/>
              </w:rPr>
              <w:t xml:space="preserve"> </w:t>
            </w:r>
            <w:r w:rsidRPr="00D94483">
              <w:rPr>
                <w:rFonts w:cs="Arial"/>
                <w:szCs w:val="20"/>
              </w:rPr>
              <w:t>Hand</w:t>
            </w:r>
            <w:r w:rsidR="0097513E">
              <w:rPr>
                <w:rFonts w:cs="Arial"/>
                <w:szCs w:val="20"/>
              </w:rPr>
              <w:t xml:space="preserve"> </w:t>
            </w:r>
            <w:r w:rsidRPr="00D94483">
              <w:rPr>
                <w:rFonts w:cs="Arial"/>
                <w:szCs w:val="20"/>
              </w:rPr>
              <w:t>Wrap</w:t>
            </w:r>
            <w:r w:rsidRPr="00A67D4C">
              <w:rPr>
                <w:rFonts w:cs="Arial"/>
                <w:szCs w:val="20"/>
              </w:rPr>
              <w:t>: 10 years</w:t>
            </w:r>
          </w:p>
        </w:tc>
      </w:tr>
      <w:tr w:rsidR="005C3DE0" w:rsidRPr="00500C4E" w14:paraId="6FFAAB3B" w14:textId="77777777" w:rsidTr="00920905">
        <w:trPr>
          <w:trHeight w:val="465"/>
        </w:trPr>
        <w:tc>
          <w:tcPr>
            <w:tcW w:w="1875" w:type="pct"/>
          </w:tcPr>
          <w:p w14:paraId="080378E9" w14:textId="52D7A149" w:rsidR="005C3DE0" w:rsidRPr="00500C4E" w:rsidRDefault="005C3DE0" w:rsidP="005C3DE0">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35063F3A" w:rsidR="005C3DE0" w:rsidRPr="00500C4E" w:rsidRDefault="005C3DE0" w:rsidP="005C3DE0">
            <w:pPr>
              <w:rPr>
                <w:rFonts w:cs="Arial"/>
                <w:color w:val="FF0000"/>
                <w:szCs w:val="20"/>
              </w:rPr>
            </w:pPr>
            <w:r w:rsidRPr="00B551A8">
              <w:rPr>
                <w:rFonts w:cs="Arial"/>
                <w:szCs w:val="20"/>
              </w:rPr>
              <w:t>Replace on Burnout (ROB)</w:t>
            </w:r>
            <w:r w:rsidR="00A7456A">
              <w:rPr>
                <w:rFonts w:cs="Arial"/>
                <w:szCs w:val="20"/>
              </w:rPr>
              <w:t xml:space="preserve"> and New Construction (NEW)</w:t>
            </w:r>
          </w:p>
        </w:tc>
      </w:tr>
      <w:tr w:rsidR="005C3DE0" w:rsidRPr="00500C4E" w14:paraId="2EA80FC2" w14:textId="77777777" w:rsidTr="00920905">
        <w:trPr>
          <w:trHeight w:val="465"/>
        </w:trPr>
        <w:tc>
          <w:tcPr>
            <w:tcW w:w="1875" w:type="pct"/>
          </w:tcPr>
          <w:p w14:paraId="7E87F403" w14:textId="5683C17E" w:rsidR="005C3DE0" w:rsidRPr="00500C4E" w:rsidRDefault="005C3DE0" w:rsidP="005C3DE0">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4EE12DFC" w:rsidR="005C3DE0" w:rsidRPr="00500C4E" w:rsidRDefault="00BE6BBA" w:rsidP="005C3DE0">
            <w:pPr>
              <w:rPr>
                <w:rFonts w:cs="Arial"/>
                <w:color w:val="FF0000"/>
                <w:szCs w:val="20"/>
              </w:rPr>
            </w:pPr>
            <w:r w:rsidRPr="00BE6BBA">
              <w:rPr>
                <w:rFonts w:cs="Arial"/>
                <w:szCs w:val="20"/>
              </w:rPr>
              <w:t>Com-Default&gt;2yrs</w:t>
            </w:r>
            <w:r w:rsidRPr="00BE6BBA" w:rsidDel="00BE6BBA">
              <w:rPr>
                <w:rFonts w:cs="Arial"/>
                <w:szCs w:val="20"/>
              </w:rPr>
              <w:t xml:space="preserve"> </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7"/>
        <w:gridCol w:w="1210"/>
        <w:gridCol w:w="2026"/>
        <w:gridCol w:w="5803"/>
      </w:tblGrid>
      <w:tr w:rsidR="003845E5" w:rsidRPr="00500C4E" w14:paraId="5AFD7FBC" w14:textId="77777777" w:rsidTr="00EF0217">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58"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3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D61C74" w:rsidRPr="00500C4E" w14:paraId="08C3E1C9" w14:textId="77777777" w:rsidTr="00EF0217">
        <w:trPr>
          <w:trHeight w:val="20"/>
        </w:trPr>
        <w:tc>
          <w:tcPr>
            <w:tcW w:w="280" w:type="pct"/>
          </w:tcPr>
          <w:p w14:paraId="5DC98F70" w14:textId="5C33CD24" w:rsidR="00D61C74" w:rsidRDefault="003D6124" w:rsidP="005729C8">
            <w:pPr>
              <w:rPr>
                <w:rFonts w:cstheme="minorHAnsi"/>
                <w:szCs w:val="20"/>
              </w:rPr>
            </w:pPr>
            <w:r>
              <w:rPr>
                <w:rFonts w:cstheme="minorHAnsi"/>
                <w:szCs w:val="20"/>
              </w:rPr>
              <w:t>0</w:t>
            </w:r>
          </w:p>
        </w:tc>
        <w:tc>
          <w:tcPr>
            <w:tcW w:w="632" w:type="pct"/>
          </w:tcPr>
          <w:p w14:paraId="1890A244" w14:textId="3F50DE48" w:rsidR="00D61C74" w:rsidRDefault="00AF4991" w:rsidP="005729C8">
            <w:pPr>
              <w:rPr>
                <w:rFonts w:cstheme="minorHAnsi"/>
                <w:szCs w:val="20"/>
              </w:rPr>
            </w:pPr>
            <w:r>
              <w:rPr>
                <w:rFonts w:cstheme="minorHAnsi"/>
                <w:szCs w:val="20"/>
              </w:rPr>
              <w:t>10/</w:t>
            </w:r>
            <w:r w:rsidR="00916EE1">
              <w:rPr>
                <w:rFonts w:cstheme="minorHAnsi"/>
                <w:szCs w:val="20"/>
              </w:rPr>
              <w:t>27</w:t>
            </w:r>
            <w:r w:rsidR="00D61C74">
              <w:rPr>
                <w:rFonts w:cstheme="minorHAnsi"/>
                <w:szCs w:val="20"/>
              </w:rPr>
              <w:t>/2016</w:t>
            </w:r>
          </w:p>
        </w:tc>
        <w:tc>
          <w:tcPr>
            <w:tcW w:w="1058" w:type="pct"/>
          </w:tcPr>
          <w:p w14:paraId="7FADD7BA" w14:textId="71D58004" w:rsidR="00D61C74" w:rsidRDefault="00D61C74" w:rsidP="005729C8">
            <w:pPr>
              <w:rPr>
                <w:rFonts w:cstheme="minorHAnsi"/>
                <w:szCs w:val="20"/>
              </w:rPr>
            </w:pPr>
            <w:r>
              <w:rPr>
                <w:rFonts w:cstheme="minorHAnsi"/>
                <w:szCs w:val="20"/>
              </w:rPr>
              <w:t xml:space="preserve">Theodore </w:t>
            </w:r>
            <w:proofErr w:type="spellStart"/>
            <w:r>
              <w:rPr>
                <w:rFonts w:cstheme="minorHAnsi"/>
                <w:szCs w:val="20"/>
              </w:rPr>
              <w:t>D’Williams</w:t>
            </w:r>
            <w:proofErr w:type="spellEnd"/>
            <w:r w:rsidR="003D6B69">
              <w:rPr>
                <w:rFonts w:cstheme="minorHAnsi"/>
                <w:szCs w:val="20"/>
              </w:rPr>
              <w:t xml:space="preserve"> (TRC)</w:t>
            </w:r>
          </w:p>
        </w:tc>
        <w:tc>
          <w:tcPr>
            <w:tcW w:w="3030" w:type="pct"/>
          </w:tcPr>
          <w:p w14:paraId="4ED826D8" w14:textId="7F31E665" w:rsidR="003D6124" w:rsidRDefault="00D61C74" w:rsidP="0037735C">
            <w:r>
              <w:t>-</w:t>
            </w:r>
            <w:r w:rsidR="003D6124">
              <w:t xml:space="preserve"> This work paper is a</w:t>
            </w:r>
            <w:r w:rsidR="00D030B5">
              <w:t>n update of</w:t>
            </w:r>
            <w:r w:rsidR="003D6124">
              <w:t xml:space="preserve"> SCE13CC014.3</w:t>
            </w:r>
          </w:p>
          <w:p w14:paraId="0B0E1687" w14:textId="77777777" w:rsidR="00087105" w:rsidRDefault="003D6124" w:rsidP="00087105">
            <w:r>
              <w:t>-</w:t>
            </w:r>
            <w:r w:rsidR="00916EE1">
              <w:t xml:space="preserve"> </w:t>
            </w:r>
            <w:r w:rsidR="0037735C">
              <w:t>Updated baseline and measure cost</w:t>
            </w:r>
            <w:r w:rsidR="00916EE1">
              <w:t xml:space="preserve"> </w:t>
            </w:r>
          </w:p>
          <w:p w14:paraId="6E5DE8AC" w14:textId="77777777" w:rsidR="003D6B69" w:rsidRDefault="003D6B69" w:rsidP="00087105">
            <w:r>
              <w:t xml:space="preserve">- </w:t>
            </w:r>
            <w:r w:rsidR="00291C15">
              <w:t>New calculation template for program year 2017</w:t>
            </w:r>
          </w:p>
          <w:p w14:paraId="4B39F048" w14:textId="0C19ED80" w:rsidR="00895F68" w:rsidRDefault="00895F68" w:rsidP="00895F68">
            <w:r>
              <w:t xml:space="preserve">- Added NEW Install type </w:t>
            </w:r>
          </w:p>
        </w:tc>
      </w:tr>
      <w:tr w:rsidR="004D297F" w:rsidRPr="00500C4E" w14:paraId="59809B76" w14:textId="77777777" w:rsidTr="004D297F">
        <w:tblPrEx>
          <w:tblLook w:val="04A0" w:firstRow="1" w:lastRow="0" w:firstColumn="1" w:lastColumn="0" w:noHBand="0" w:noVBand="1"/>
        </w:tblPrEx>
        <w:trPr>
          <w:trHeight w:val="20"/>
        </w:trPr>
        <w:tc>
          <w:tcPr>
            <w:tcW w:w="280" w:type="pct"/>
          </w:tcPr>
          <w:p w14:paraId="08275C15" w14:textId="5CA6EE9B" w:rsidR="004D297F" w:rsidRDefault="004D297F" w:rsidP="00C606BB">
            <w:pPr>
              <w:rPr>
                <w:rFonts w:cstheme="minorHAnsi"/>
                <w:szCs w:val="20"/>
              </w:rPr>
            </w:pPr>
            <w:r>
              <w:rPr>
                <w:rFonts w:cstheme="minorHAnsi"/>
                <w:szCs w:val="20"/>
              </w:rPr>
              <w:t>1</w:t>
            </w:r>
          </w:p>
        </w:tc>
        <w:tc>
          <w:tcPr>
            <w:tcW w:w="632" w:type="pct"/>
          </w:tcPr>
          <w:p w14:paraId="69043751" w14:textId="3DF1DD20" w:rsidR="004D297F" w:rsidRDefault="004D297F" w:rsidP="00C606BB">
            <w:pPr>
              <w:rPr>
                <w:rFonts w:cstheme="minorHAnsi"/>
                <w:szCs w:val="20"/>
              </w:rPr>
            </w:pPr>
            <w:r>
              <w:rPr>
                <w:rFonts w:cstheme="minorHAnsi"/>
                <w:szCs w:val="20"/>
              </w:rPr>
              <w:t>2/5/2018</w:t>
            </w:r>
          </w:p>
        </w:tc>
        <w:tc>
          <w:tcPr>
            <w:tcW w:w="1058" w:type="pct"/>
          </w:tcPr>
          <w:p w14:paraId="61CB0646" w14:textId="5588EA4B" w:rsidR="004D297F" w:rsidRDefault="004D297F" w:rsidP="00C606BB">
            <w:pPr>
              <w:rPr>
                <w:rFonts w:cstheme="minorHAnsi"/>
                <w:szCs w:val="20"/>
              </w:rPr>
            </w:pPr>
            <w:r>
              <w:rPr>
                <w:rFonts w:cstheme="minorHAnsi"/>
                <w:szCs w:val="20"/>
              </w:rPr>
              <w:t>Jay Bhakta</w:t>
            </w:r>
          </w:p>
        </w:tc>
        <w:tc>
          <w:tcPr>
            <w:tcW w:w="3030" w:type="pct"/>
          </w:tcPr>
          <w:p w14:paraId="3FD4E6F6" w14:textId="77777777" w:rsidR="004D297F" w:rsidRDefault="004D297F" w:rsidP="004D297F">
            <w:r>
              <w:t xml:space="preserve">- Added Mid-Stream delivery channel </w:t>
            </w:r>
          </w:p>
          <w:p w14:paraId="02E9AC38" w14:textId="6433D3A9" w:rsidR="0044177A" w:rsidRDefault="0044177A" w:rsidP="004D297F">
            <w:r>
              <w:t>- Updated net-to-gross</w:t>
            </w:r>
            <w:r w:rsidR="00417E5D">
              <w:t xml:space="preserve"> </w:t>
            </w:r>
            <w:r w:rsidR="00BE6BBA">
              <w:t>to Com-Default</w:t>
            </w:r>
          </w:p>
        </w:tc>
      </w:tr>
    </w:tbl>
    <w:p w14:paraId="31B16955" w14:textId="77777777" w:rsidR="00D658E2" w:rsidRDefault="00D658E2" w:rsidP="00E325BE">
      <w:pPr>
        <w:pStyle w:val="Heading1"/>
      </w:pPr>
    </w:p>
    <w:p w14:paraId="656E2232" w14:textId="50A044F9"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6A9C40A0" w:rsidR="008877AF" w:rsidRPr="00EE4120" w:rsidRDefault="008877AF" w:rsidP="00A84BF9">
            <w:pPr>
              <w:rPr>
                <w:bCs/>
                <w:color w:val="FF0000"/>
              </w:rPr>
            </w:pPr>
          </w:p>
        </w:tc>
        <w:tc>
          <w:tcPr>
            <w:tcW w:w="351" w:type="pct"/>
          </w:tcPr>
          <w:p w14:paraId="23988046" w14:textId="363D596B" w:rsidR="008877AF" w:rsidRPr="00EE4120" w:rsidRDefault="008877AF" w:rsidP="00A84BF9">
            <w:pPr>
              <w:rPr>
                <w:bCs/>
                <w:color w:val="FF0000"/>
                <w:szCs w:val="20"/>
              </w:rPr>
            </w:pPr>
          </w:p>
        </w:tc>
        <w:tc>
          <w:tcPr>
            <w:tcW w:w="548" w:type="pct"/>
          </w:tcPr>
          <w:p w14:paraId="4AB37DB0" w14:textId="51FB717B" w:rsidR="008877AF" w:rsidRPr="00EE4120" w:rsidRDefault="008877AF" w:rsidP="00A84BF9">
            <w:pPr>
              <w:rPr>
                <w:bCs/>
                <w:color w:val="FF0000"/>
                <w:szCs w:val="20"/>
              </w:rPr>
            </w:pPr>
          </w:p>
        </w:tc>
        <w:tc>
          <w:tcPr>
            <w:tcW w:w="552" w:type="pct"/>
          </w:tcPr>
          <w:p w14:paraId="62E998F6" w14:textId="789A4950" w:rsidR="008877AF" w:rsidRPr="00EE4120" w:rsidRDefault="008877AF" w:rsidP="00A84BF9">
            <w:pPr>
              <w:rPr>
                <w:bCs/>
                <w:color w:val="FF0000"/>
                <w:szCs w:val="20"/>
              </w:rPr>
            </w:pPr>
          </w:p>
        </w:tc>
        <w:tc>
          <w:tcPr>
            <w:tcW w:w="1634" w:type="pct"/>
          </w:tcPr>
          <w:p w14:paraId="369DEEE8" w14:textId="5DFAC667" w:rsidR="008877AF" w:rsidRPr="00F719CE" w:rsidRDefault="008877AF" w:rsidP="00F25B36">
            <w:pPr>
              <w:pStyle w:val="ListParagraph"/>
              <w:numPr>
                <w:ilvl w:val="0"/>
                <w:numId w:val="33"/>
              </w:numPr>
              <w:rPr>
                <w:bCs/>
                <w:szCs w:val="20"/>
              </w:rPr>
            </w:pPr>
          </w:p>
        </w:tc>
        <w:tc>
          <w:tcPr>
            <w:tcW w:w="1634" w:type="pct"/>
          </w:tcPr>
          <w:p w14:paraId="1ECCFDB6" w14:textId="20D31C8B" w:rsidR="008877AF" w:rsidRPr="00F719CE" w:rsidRDefault="008877AF" w:rsidP="00F25B36">
            <w:pPr>
              <w:pStyle w:val="ListParagraph"/>
              <w:numPr>
                <w:ilvl w:val="0"/>
                <w:numId w:val="33"/>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0FCAFED7"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6F01B276" w:rsidR="00E16609" w:rsidRDefault="00AC5309" w:rsidP="00AB123A">
      <w:pPr>
        <w:pStyle w:val="Heading2"/>
        <w:numPr>
          <w:ilvl w:val="1"/>
          <w:numId w:val="36"/>
        </w:numPr>
        <w:rPr>
          <w:rFonts w:asciiTheme="minorHAnsi" w:hAnsiTheme="minorHAnsi"/>
        </w:rPr>
      </w:pPr>
      <w:bookmarkStart w:id="7" w:name="_Toc214003083"/>
      <w:r w:rsidRPr="00500C4E">
        <w:rPr>
          <w:rFonts w:asciiTheme="minorHAnsi" w:hAnsiTheme="minorHAnsi"/>
        </w:rPr>
        <w:t xml:space="preserve">Measure Description </w:t>
      </w:r>
      <w:r w:rsidR="00E16609" w:rsidRPr="00500C4E">
        <w:rPr>
          <w:rFonts w:asciiTheme="minorHAnsi" w:hAnsiTheme="minorHAnsi"/>
        </w:rPr>
        <w:t xml:space="preserve">&amp; </w:t>
      </w:r>
      <w:r w:rsidRPr="00500C4E">
        <w:rPr>
          <w:rFonts w:asciiTheme="minorHAnsi" w:hAnsiTheme="minorHAnsi"/>
        </w:rPr>
        <w:t>Background</w:t>
      </w:r>
      <w:r w:rsidR="00E16609" w:rsidRPr="00500C4E">
        <w:rPr>
          <w:rFonts w:asciiTheme="minorHAnsi" w:hAnsiTheme="minorHAnsi"/>
        </w:rPr>
        <w:t xml:space="preserve"> </w:t>
      </w:r>
      <w:bookmarkEnd w:id="7"/>
    </w:p>
    <w:p w14:paraId="475A51D2" w14:textId="6B8E4791" w:rsidR="00AB123A" w:rsidRPr="00AB123A" w:rsidRDefault="00AB123A" w:rsidP="00AB123A">
      <w:r w:rsidRPr="00B551A8">
        <w:rPr>
          <w:rFonts w:cstheme="minorHAnsi"/>
          <w:szCs w:val="22"/>
        </w:rPr>
        <w:t>This work paper deta</w:t>
      </w:r>
      <w:r>
        <w:rPr>
          <w:rFonts w:cstheme="minorHAnsi"/>
          <w:szCs w:val="22"/>
        </w:rPr>
        <w:t>ils the replacement of always-on</w:t>
      </w:r>
      <w:r w:rsidRPr="00B551A8">
        <w:rPr>
          <w:rFonts w:cstheme="minorHAnsi"/>
          <w:szCs w:val="22"/>
        </w:rPr>
        <w:t xml:space="preserve"> </w:t>
      </w:r>
      <w:r w:rsidRPr="00D94483">
        <w:rPr>
          <w:rFonts w:cstheme="minorHAnsi"/>
          <w:szCs w:val="22"/>
        </w:rPr>
        <w:t>commercial electric hand wrap machine</w:t>
      </w:r>
      <w:r>
        <w:rPr>
          <w:rFonts w:cstheme="minorHAnsi"/>
          <w:szCs w:val="22"/>
        </w:rPr>
        <w:t>s with o</w:t>
      </w:r>
      <w:r w:rsidRPr="00D94483">
        <w:rPr>
          <w:rFonts w:cstheme="minorHAnsi"/>
          <w:szCs w:val="22"/>
        </w:rPr>
        <w:t>n-demand commercial electric hand wrap machine</w:t>
      </w:r>
      <w:r>
        <w:rPr>
          <w:rFonts w:cstheme="minorHAnsi"/>
          <w:szCs w:val="22"/>
        </w:rPr>
        <w:t>s</w:t>
      </w:r>
      <w:r w:rsidRPr="00B551A8">
        <w:rPr>
          <w:rFonts w:cstheme="minorHAnsi"/>
          <w:szCs w:val="22"/>
        </w:rPr>
        <w:t>.</w:t>
      </w:r>
    </w:p>
    <w:p w14:paraId="3840B472" w14:textId="77777777" w:rsidR="009D7320" w:rsidRDefault="009D7320" w:rsidP="00AA79ED">
      <w:pPr>
        <w:pStyle w:val="Caption"/>
        <w:rPr>
          <w:bCs w:val="0"/>
          <w:szCs w:val="22"/>
        </w:rPr>
      </w:pPr>
    </w:p>
    <w:p w14:paraId="1FFD38CC" w14:textId="51313E8D" w:rsidR="00F171E1" w:rsidRPr="008B41E5" w:rsidRDefault="003D6124" w:rsidP="009D7320">
      <w:pPr>
        <w:pStyle w:val="Caption"/>
        <w:rPr>
          <w:b w:val="0"/>
          <w:szCs w:val="22"/>
        </w:rPr>
      </w:pPr>
      <w:r w:rsidRPr="00916EE1">
        <w:rPr>
          <w:b w:val="0"/>
          <w:szCs w:val="22"/>
        </w:rPr>
        <w:t>Ba</w:t>
      </w:r>
      <w:r w:rsidR="00F171E1" w:rsidRPr="008D0454">
        <w:rPr>
          <w:b w:val="0"/>
          <w:szCs w:val="22"/>
        </w:rPr>
        <w:t>se</w:t>
      </w:r>
      <w:r w:rsidR="005720F2" w:rsidRPr="008D0454">
        <w:rPr>
          <w:b w:val="0"/>
          <w:szCs w:val="22"/>
        </w:rPr>
        <w:t>, Standard,</w:t>
      </w:r>
      <w:r w:rsidR="00F171E1" w:rsidRPr="008B41E5">
        <w:rPr>
          <w:b w:val="0"/>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472EA66A" w:rsidR="00D85F09" w:rsidRPr="00920905" w:rsidRDefault="007E5433" w:rsidP="00920905">
            <w:pPr>
              <w:rPr>
                <w:szCs w:val="20"/>
              </w:rPr>
            </w:pPr>
            <w:r>
              <w:rPr>
                <w:rFonts w:cs="Arial"/>
                <w:szCs w:val="20"/>
              </w:rPr>
              <w:t>On-demand</w:t>
            </w:r>
            <w:r w:rsidRPr="00D7677E">
              <w:rPr>
                <w:rFonts w:cs="Arial"/>
                <w:szCs w:val="20"/>
              </w:rPr>
              <w:t xml:space="preserve"> commercial</w:t>
            </w:r>
            <w:r>
              <w:rPr>
                <w:rFonts w:cs="Arial"/>
                <w:szCs w:val="20"/>
              </w:rPr>
              <w:t xml:space="preserve"> electric</w:t>
            </w:r>
            <w:r w:rsidRPr="00D7677E">
              <w:rPr>
                <w:rFonts w:cs="Arial"/>
                <w:szCs w:val="20"/>
              </w:rPr>
              <w:t xml:space="preserve"> </w:t>
            </w:r>
            <w:r>
              <w:rPr>
                <w:rFonts w:cs="Arial"/>
                <w:szCs w:val="20"/>
              </w:rPr>
              <w:t>hand wrap machine</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63B314FC" w:rsidR="00D85F09" w:rsidRPr="00920905" w:rsidRDefault="007E5433" w:rsidP="00920905">
            <w:pPr>
              <w:rPr>
                <w:i/>
                <w:szCs w:val="20"/>
              </w:rPr>
            </w:pPr>
            <w:r>
              <w:rPr>
                <w:rFonts w:cs="Arial"/>
                <w:szCs w:val="20"/>
              </w:rPr>
              <w:t>Always-on</w:t>
            </w:r>
            <w:r w:rsidRPr="00D7677E">
              <w:rPr>
                <w:rFonts w:cs="Arial"/>
                <w:szCs w:val="20"/>
              </w:rPr>
              <w:t xml:space="preserve"> commercial</w:t>
            </w:r>
            <w:r>
              <w:rPr>
                <w:rFonts w:cs="Arial"/>
                <w:szCs w:val="20"/>
              </w:rPr>
              <w:t xml:space="preserve"> electric</w:t>
            </w:r>
            <w:r w:rsidRPr="00D7677E">
              <w:rPr>
                <w:rFonts w:cs="Arial"/>
                <w:szCs w:val="20"/>
              </w:rPr>
              <w:t xml:space="preserve"> </w:t>
            </w:r>
            <w:r>
              <w:rPr>
                <w:rFonts w:cs="Arial"/>
                <w:szCs w:val="20"/>
              </w:rPr>
              <w:t>hand wrap machine</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02D134E5" w:rsidR="002344FB" w:rsidRPr="00AB123A" w:rsidRDefault="00AB123A">
            <w:pPr>
              <w:rPr>
                <w:szCs w:val="20"/>
              </w:rPr>
            </w:pPr>
            <w:r w:rsidRPr="00AB123A">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3366309D" w:rsidR="00D85F09" w:rsidRPr="00AB123A" w:rsidRDefault="00AB123A" w:rsidP="00920905">
            <w:pPr>
              <w:rPr>
                <w:i/>
                <w:szCs w:val="20"/>
              </w:rPr>
            </w:pPr>
            <w:r w:rsidRPr="00AB123A">
              <w:rPr>
                <w:szCs w:val="20"/>
              </w:rPr>
              <w:t>N/A</w:t>
            </w:r>
          </w:p>
        </w:tc>
      </w:tr>
    </w:tbl>
    <w:p w14:paraId="3D32C2EF" w14:textId="77777777" w:rsidR="00D85F09" w:rsidRPr="00800706" w:rsidRDefault="00D85F09" w:rsidP="00920905">
      <w:pPr>
        <w:pStyle w:val="NoSpacing"/>
      </w:pPr>
    </w:p>
    <w:p w14:paraId="70C2E711" w14:textId="7AAA386F" w:rsidR="00697868" w:rsidRPr="00920905" w:rsidRDefault="00697868" w:rsidP="00920905">
      <w:pPr>
        <w:pStyle w:val="NoSpacing"/>
        <w:rPr>
          <w:rFonts w:cs="Times New Roman"/>
          <w:i/>
          <w:szCs w:val="24"/>
        </w:rPr>
      </w:pPr>
    </w:p>
    <w:p w14:paraId="00275FA1" w14:textId="28EB1A0B" w:rsidR="00AC5309" w:rsidRPr="00916EE1" w:rsidRDefault="00AC5309" w:rsidP="00AA79ED">
      <w:pPr>
        <w:pStyle w:val="Caption"/>
        <w:rPr>
          <w:rFonts w:cstheme="minorHAnsi"/>
          <w:b w:val="0"/>
          <w:szCs w:val="22"/>
        </w:rPr>
      </w:pPr>
      <w:r w:rsidRPr="00916EE1">
        <w:rPr>
          <w:rFonts w:cstheme="minorHAnsi"/>
          <w:b w:val="0"/>
          <w:szCs w:val="22"/>
        </w:rPr>
        <w:t>Measure</w:t>
      </w:r>
      <w:r w:rsidR="005476F6" w:rsidRPr="00916EE1">
        <w:rPr>
          <w:rFonts w:cstheme="minorHAnsi"/>
          <w:b w:val="0"/>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AB123A" w:rsidRPr="00800706" w14:paraId="0290ADBE" w14:textId="77777777" w:rsidTr="00920905">
        <w:trPr>
          <w:trHeight w:val="243"/>
        </w:trPr>
        <w:tc>
          <w:tcPr>
            <w:tcW w:w="539" w:type="pct"/>
          </w:tcPr>
          <w:p w14:paraId="1CE709CC" w14:textId="350E1C0B" w:rsidR="00AB123A" w:rsidRPr="00AB123A" w:rsidRDefault="00AB123A" w:rsidP="00AB123A">
            <w:pPr>
              <w:rPr>
                <w:rFonts w:cstheme="minorHAnsi"/>
                <w:szCs w:val="20"/>
              </w:rPr>
            </w:pPr>
            <w:r w:rsidRPr="00AB123A">
              <w:rPr>
                <w:rFonts w:cstheme="minorHAnsi"/>
                <w:szCs w:val="20"/>
              </w:rPr>
              <w:t>N/A</w:t>
            </w:r>
          </w:p>
        </w:tc>
        <w:tc>
          <w:tcPr>
            <w:tcW w:w="539" w:type="pct"/>
          </w:tcPr>
          <w:p w14:paraId="666F9F6A" w14:textId="7956A8FC" w:rsidR="00AB123A" w:rsidRPr="00AB123A" w:rsidRDefault="00AB123A" w:rsidP="00AB123A">
            <w:pPr>
              <w:rPr>
                <w:rFonts w:cstheme="minorHAnsi"/>
                <w:szCs w:val="20"/>
              </w:rPr>
            </w:pPr>
            <w:r w:rsidRPr="00AB123A">
              <w:rPr>
                <w:rFonts w:cstheme="minorHAnsi"/>
                <w:szCs w:val="20"/>
              </w:rPr>
              <w:t>N/A</w:t>
            </w:r>
          </w:p>
        </w:tc>
        <w:tc>
          <w:tcPr>
            <w:tcW w:w="605" w:type="pct"/>
          </w:tcPr>
          <w:p w14:paraId="63438A36" w14:textId="1A922E21" w:rsidR="00AB123A" w:rsidRPr="00920905" w:rsidRDefault="00AB123A" w:rsidP="00AB123A">
            <w:pPr>
              <w:rPr>
                <w:rFonts w:cstheme="minorHAnsi"/>
                <w:color w:val="FF0000"/>
                <w:szCs w:val="20"/>
              </w:rPr>
            </w:pPr>
            <w:r w:rsidRPr="00E077DF">
              <w:rPr>
                <w:rFonts w:cstheme="minorHAnsi"/>
                <w:szCs w:val="20"/>
              </w:rPr>
              <w:t>FS-</w:t>
            </w:r>
            <w:r>
              <w:rPr>
                <w:rFonts w:cstheme="minorHAnsi"/>
                <w:szCs w:val="20"/>
              </w:rPr>
              <w:t>77556</w:t>
            </w:r>
          </w:p>
        </w:tc>
        <w:tc>
          <w:tcPr>
            <w:tcW w:w="673" w:type="pct"/>
          </w:tcPr>
          <w:p w14:paraId="311A1841" w14:textId="0F4D7F9F" w:rsidR="00AB123A" w:rsidRPr="00920905" w:rsidRDefault="00AB123A" w:rsidP="00AB123A">
            <w:pPr>
              <w:rPr>
                <w:rFonts w:cstheme="minorHAnsi"/>
                <w:color w:val="FF0000"/>
                <w:szCs w:val="20"/>
              </w:rPr>
            </w:pPr>
            <w:r w:rsidRPr="00AB123A">
              <w:rPr>
                <w:rFonts w:cstheme="minorHAnsi"/>
                <w:szCs w:val="20"/>
              </w:rPr>
              <w:t>N/A</w:t>
            </w:r>
          </w:p>
        </w:tc>
        <w:tc>
          <w:tcPr>
            <w:tcW w:w="2644" w:type="pct"/>
          </w:tcPr>
          <w:p w14:paraId="512138E6" w14:textId="5ED3F3D1" w:rsidR="00AB123A" w:rsidRPr="00920905" w:rsidRDefault="00AB123A" w:rsidP="00AB123A">
            <w:pPr>
              <w:rPr>
                <w:color w:val="FF0000"/>
              </w:rPr>
            </w:pPr>
            <w:r>
              <w:rPr>
                <w:rFonts w:cstheme="minorHAnsi"/>
                <w:szCs w:val="20"/>
              </w:rPr>
              <w:t>On-demand Hand Wrap Machine replacing Always-on Hand Wrap Machine</w:t>
            </w:r>
          </w:p>
        </w:tc>
      </w:tr>
    </w:tbl>
    <w:p w14:paraId="3AF714EF" w14:textId="77777777" w:rsidR="00760CDC" w:rsidRDefault="00760CDC" w:rsidP="00697868">
      <w:pPr>
        <w:pStyle w:val="Reminders"/>
        <w:rPr>
          <w:rFonts w:asciiTheme="minorHAnsi" w:hAnsiTheme="minorHAnsi" w:cstheme="minorHAnsi"/>
          <w:i w:val="0"/>
          <w:szCs w:val="22"/>
        </w:rPr>
      </w:pPr>
    </w:p>
    <w:p w14:paraId="5D0D720A" w14:textId="77777777" w:rsidR="00321067" w:rsidRPr="00AB7554" w:rsidRDefault="00321067" w:rsidP="00321067">
      <w:pPr>
        <w:rPr>
          <w:rFonts w:cstheme="minorHAnsi"/>
          <w:b/>
          <w:szCs w:val="22"/>
        </w:rPr>
      </w:pPr>
      <w:r>
        <w:rPr>
          <w:rFonts w:cstheme="minorHAnsi"/>
          <w:b/>
          <w:szCs w:val="22"/>
        </w:rPr>
        <w:t>Eligibility Requirements</w:t>
      </w:r>
    </w:p>
    <w:p w14:paraId="67DCC771" w14:textId="77777777" w:rsidR="00321067" w:rsidRDefault="00321067" w:rsidP="00321067">
      <w:pPr>
        <w:pStyle w:val="ListParagraph"/>
        <w:numPr>
          <w:ilvl w:val="0"/>
          <w:numId w:val="11"/>
        </w:numPr>
        <w:rPr>
          <w:rFonts w:cstheme="minorHAnsi"/>
          <w:szCs w:val="22"/>
        </w:rPr>
      </w:pPr>
      <w:r>
        <w:rPr>
          <w:rFonts w:cstheme="minorHAnsi"/>
          <w:szCs w:val="22"/>
        </w:rPr>
        <w:t>Measure case hand wrap machine must use either a mechanical or optical control system.</w:t>
      </w:r>
    </w:p>
    <w:p w14:paraId="1BDC23C7" w14:textId="77777777" w:rsidR="00321067" w:rsidRDefault="00321067" w:rsidP="00321067">
      <w:pPr>
        <w:pStyle w:val="ListParagraph"/>
        <w:numPr>
          <w:ilvl w:val="0"/>
          <w:numId w:val="11"/>
        </w:numPr>
        <w:rPr>
          <w:rFonts w:cstheme="minorHAnsi"/>
          <w:szCs w:val="22"/>
        </w:rPr>
      </w:pPr>
      <w:r>
        <w:rPr>
          <w:rFonts w:cstheme="minorHAnsi"/>
          <w:szCs w:val="22"/>
        </w:rPr>
        <w:t>All climate zones are eligible.</w:t>
      </w:r>
    </w:p>
    <w:p w14:paraId="67554815" w14:textId="77777777" w:rsidR="00321067" w:rsidRDefault="00321067" w:rsidP="00321067">
      <w:pPr>
        <w:pStyle w:val="ListParagraph"/>
        <w:numPr>
          <w:ilvl w:val="0"/>
          <w:numId w:val="11"/>
        </w:numPr>
        <w:rPr>
          <w:rFonts w:cstheme="minorHAnsi"/>
          <w:szCs w:val="22"/>
        </w:rPr>
      </w:pPr>
      <w:r>
        <w:rPr>
          <w:rFonts w:cstheme="minorHAnsi"/>
          <w:szCs w:val="22"/>
        </w:rPr>
        <w:t>Grocery, Food Store, and Misc. Commercial building types are eligible.</w:t>
      </w:r>
    </w:p>
    <w:p w14:paraId="4DBB2FB6" w14:textId="77777777" w:rsidR="00321067" w:rsidRDefault="00321067" w:rsidP="00321067">
      <w:pPr>
        <w:rPr>
          <w:rFonts w:cstheme="minorHAnsi"/>
          <w:b/>
          <w:szCs w:val="22"/>
        </w:rPr>
      </w:pPr>
    </w:p>
    <w:p w14:paraId="21222A0B" w14:textId="77777777" w:rsidR="00321067" w:rsidRPr="00AB7554" w:rsidRDefault="00321067" w:rsidP="00321067">
      <w:pPr>
        <w:rPr>
          <w:rFonts w:cstheme="minorHAnsi"/>
          <w:b/>
          <w:szCs w:val="22"/>
        </w:rPr>
      </w:pPr>
      <w:r>
        <w:rPr>
          <w:rFonts w:cstheme="minorHAnsi"/>
          <w:b/>
          <w:szCs w:val="22"/>
        </w:rPr>
        <w:t>Implementation Requirements</w:t>
      </w:r>
    </w:p>
    <w:p w14:paraId="3C53270A" w14:textId="36B3A211" w:rsidR="00321067" w:rsidRPr="00321067" w:rsidRDefault="00321067" w:rsidP="00321067">
      <w:pPr>
        <w:pStyle w:val="Reminders"/>
        <w:rPr>
          <w:rFonts w:asciiTheme="minorHAnsi" w:hAnsiTheme="minorHAnsi" w:cstheme="minorHAnsi"/>
          <w:i w:val="0"/>
          <w:color w:val="auto"/>
          <w:szCs w:val="22"/>
        </w:rPr>
      </w:pPr>
      <w:r w:rsidRPr="00321067">
        <w:rPr>
          <w:rFonts w:asciiTheme="minorHAnsi" w:hAnsiTheme="minorHAnsi" w:cstheme="minorHAnsi"/>
          <w:i w:val="0"/>
          <w:color w:val="auto"/>
          <w:szCs w:val="22"/>
        </w:rPr>
        <w:t>The hand wrap machine should be installed by a manufacturer-recommended service technician.</w:t>
      </w:r>
    </w:p>
    <w:p w14:paraId="27D46BED" w14:textId="692A2EB6" w:rsidR="00E16609" w:rsidRDefault="00697868" w:rsidP="0084670F">
      <w:pPr>
        <w:pStyle w:val="Heading2"/>
        <w:numPr>
          <w:ilvl w:val="1"/>
          <w:numId w:val="36"/>
        </w:numPr>
        <w:rPr>
          <w:rFonts w:asciiTheme="minorHAnsi" w:hAnsiTheme="minorHAnsi"/>
        </w:rPr>
      </w:pPr>
      <w:r w:rsidRPr="00500C4E">
        <w:rPr>
          <w:rFonts w:asciiTheme="minorHAnsi" w:hAnsiTheme="minorHAnsi"/>
        </w:rPr>
        <w:t>Technical</w:t>
      </w:r>
      <w:r w:rsidR="00E16609" w:rsidRPr="00500C4E">
        <w:rPr>
          <w:rFonts w:asciiTheme="minorHAnsi" w:hAnsiTheme="minorHAnsi"/>
        </w:rPr>
        <w:t xml:space="preserve"> Description</w:t>
      </w:r>
    </w:p>
    <w:p w14:paraId="05712273" w14:textId="33FB4948" w:rsidR="0084670F" w:rsidRPr="00697EF7" w:rsidRDefault="0084670F" w:rsidP="0084670F">
      <w:pPr>
        <w:pStyle w:val="BodyTextIndent"/>
        <w:ind w:left="0"/>
        <w:rPr>
          <w:rFonts w:asciiTheme="minorHAnsi" w:hAnsiTheme="minorHAnsi" w:cstheme="minorHAnsi"/>
          <w:sz w:val="22"/>
          <w:szCs w:val="22"/>
        </w:rPr>
      </w:pPr>
      <w:r w:rsidRPr="00697EF7">
        <w:rPr>
          <w:rFonts w:asciiTheme="minorHAnsi" w:hAnsiTheme="minorHAnsi" w:cstheme="minorHAnsi"/>
          <w:sz w:val="22"/>
          <w:szCs w:val="22"/>
        </w:rPr>
        <w:t xml:space="preserve">Food items such as meat and cheese are often placed in trays and wrapped in plastic film before being put on display. This protects the food from airborne organisms and dust, allows customers to view the product, and provides a surface for pasting information labels. </w:t>
      </w:r>
      <w:r>
        <w:rPr>
          <w:rFonts w:asciiTheme="minorHAnsi" w:hAnsiTheme="minorHAnsi" w:cstheme="minorHAnsi"/>
          <w:sz w:val="22"/>
          <w:szCs w:val="22"/>
        </w:rPr>
        <w:t>A hand wrap machine</w:t>
      </w:r>
      <w:r w:rsidRPr="00697EF7">
        <w:rPr>
          <w:rFonts w:asciiTheme="minorHAnsi" w:hAnsiTheme="minorHAnsi" w:cstheme="minorHAnsi"/>
          <w:sz w:val="22"/>
          <w:szCs w:val="22"/>
        </w:rPr>
        <w:t xml:space="preserve"> consists of a heating bar and a heating </w:t>
      </w:r>
      <w:r>
        <w:rPr>
          <w:rFonts w:asciiTheme="minorHAnsi" w:hAnsiTheme="minorHAnsi" w:cstheme="minorHAnsi"/>
          <w:sz w:val="22"/>
          <w:szCs w:val="22"/>
        </w:rPr>
        <w:t>platform</w:t>
      </w:r>
      <w:r w:rsidRPr="00697EF7">
        <w:rPr>
          <w:rFonts w:asciiTheme="minorHAnsi" w:hAnsiTheme="minorHAnsi" w:cstheme="minorHAnsi"/>
          <w:sz w:val="22"/>
          <w:szCs w:val="22"/>
        </w:rPr>
        <w:t xml:space="preserve">, rated at approximately </w:t>
      </w:r>
      <w:r w:rsidR="00534D67">
        <w:rPr>
          <w:rFonts w:asciiTheme="minorHAnsi" w:hAnsiTheme="minorHAnsi" w:cstheme="minorHAnsi"/>
          <w:sz w:val="22"/>
          <w:szCs w:val="22"/>
        </w:rPr>
        <w:t>0.0</w:t>
      </w:r>
      <w:r w:rsidRPr="00697EF7">
        <w:rPr>
          <w:rFonts w:asciiTheme="minorHAnsi" w:hAnsiTheme="minorHAnsi" w:cstheme="minorHAnsi"/>
          <w:sz w:val="22"/>
          <w:szCs w:val="22"/>
        </w:rPr>
        <w:t xml:space="preserve">50 </w:t>
      </w:r>
      <w:r w:rsidR="00534D67">
        <w:rPr>
          <w:rFonts w:asciiTheme="minorHAnsi" w:hAnsiTheme="minorHAnsi" w:cstheme="minorHAnsi"/>
          <w:sz w:val="22"/>
          <w:szCs w:val="22"/>
        </w:rPr>
        <w:t>k</w:t>
      </w:r>
      <w:r>
        <w:rPr>
          <w:rFonts w:asciiTheme="minorHAnsi" w:hAnsiTheme="minorHAnsi" w:cstheme="minorHAnsi"/>
          <w:sz w:val="22"/>
          <w:szCs w:val="22"/>
        </w:rPr>
        <w:t>W</w:t>
      </w:r>
      <w:r w:rsidRPr="00697EF7">
        <w:rPr>
          <w:rFonts w:asciiTheme="minorHAnsi" w:hAnsiTheme="minorHAnsi" w:cstheme="minorHAnsi"/>
          <w:sz w:val="22"/>
          <w:szCs w:val="22"/>
        </w:rPr>
        <w:t xml:space="preserve"> and 0.55 kW</w:t>
      </w:r>
      <w:r>
        <w:rPr>
          <w:rFonts w:asciiTheme="minorHAnsi" w:hAnsiTheme="minorHAnsi" w:cstheme="minorHAnsi"/>
          <w:sz w:val="22"/>
          <w:szCs w:val="22"/>
        </w:rPr>
        <w:t>,</w:t>
      </w:r>
      <w:r w:rsidRPr="00697EF7">
        <w:rPr>
          <w:rFonts w:asciiTheme="minorHAnsi" w:hAnsiTheme="minorHAnsi" w:cstheme="minorHAnsi"/>
          <w:sz w:val="22"/>
          <w:szCs w:val="22"/>
        </w:rPr>
        <w:t xml:space="preserve"> respectively. The heating bar is used to cut the wrapping film as it comes</w:t>
      </w:r>
      <w:r w:rsidR="00534D67">
        <w:rPr>
          <w:rFonts w:asciiTheme="minorHAnsi" w:hAnsiTheme="minorHAnsi" w:cstheme="minorHAnsi"/>
          <w:sz w:val="22"/>
          <w:szCs w:val="22"/>
        </w:rPr>
        <w:t xml:space="preserve"> in contact with itself</w:t>
      </w:r>
      <w:r w:rsidRPr="00697EF7">
        <w:rPr>
          <w:rFonts w:asciiTheme="minorHAnsi" w:hAnsiTheme="minorHAnsi" w:cstheme="minorHAnsi"/>
          <w:sz w:val="22"/>
          <w:szCs w:val="22"/>
        </w:rPr>
        <w:t xml:space="preserve">. The heating </w:t>
      </w:r>
      <w:r>
        <w:rPr>
          <w:rFonts w:asciiTheme="minorHAnsi" w:hAnsiTheme="minorHAnsi" w:cstheme="minorHAnsi"/>
          <w:sz w:val="22"/>
          <w:szCs w:val="22"/>
        </w:rPr>
        <w:t>platform</w:t>
      </w:r>
      <w:r w:rsidRPr="00697EF7">
        <w:rPr>
          <w:rFonts w:asciiTheme="minorHAnsi" w:hAnsiTheme="minorHAnsi" w:cstheme="minorHAnsi"/>
          <w:sz w:val="22"/>
          <w:szCs w:val="22"/>
        </w:rPr>
        <w:t xml:space="preserve"> is used to heat up the wrapping film. When the wrapping film is heate</w:t>
      </w:r>
      <w:r>
        <w:rPr>
          <w:rFonts w:asciiTheme="minorHAnsi" w:hAnsiTheme="minorHAnsi" w:cstheme="minorHAnsi"/>
          <w:sz w:val="22"/>
          <w:szCs w:val="22"/>
        </w:rPr>
        <w:t>d, the film sticks to the</w:t>
      </w:r>
      <w:r w:rsidRPr="00697EF7">
        <w:rPr>
          <w:rFonts w:asciiTheme="minorHAnsi" w:hAnsiTheme="minorHAnsi" w:cstheme="minorHAnsi"/>
          <w:sz w:val="22"/>
          <w:szCs w:val="22"/>
        </w:rPr>
        <w:t xml:space="preserve"> package and seals the product. </w:t>
      </w:r>
      <w:r>
        <w:rPr>
          <w:rFonts w:asciiTheme="minorHAnsi" w:hAnsiTheme="minorHAnsi" w:cstheme="minorHAnsi"/>
          <w:sz w:val="22"/>
          <w:szCs w:val="22"/>
        </w:rPr>
        <w:t>With c</w:t>
      </w:r>
      <w:r w:rsidRPr="00697EF7">
        <w:rPr>
          <w:rFonts w:asciiTheme="minorHAnsi" w:hAnsiTheme="minorHAnsi" w:cstheme="minorHAnsi"/>
          <w:sz w:val="22"/>
          <w:szCs w:val="22"/>
        </w:rPr>
        <w:t>onventional</w:t>
      </w:r>
      <w:r>
        <w:rPr>
          <w:rFonts w:asciiTheme="minorHAnsi" w:hAnsiTheme="minorHAnsi" w:cstheme="minorHAnsi"/>
          <w:sz w:val="22"/>
          <w:szCs w:val="22"/>
        </w:rPr>
        <w:t xml:space="preserve"> (always-on)</w:t>
      </w:r>
      <w:r w:rsidRPr="00697EF7">
        <w:rPr>
          <w:rFonts w:asciiTheme="minorHAnsi" w:hAnsiTheme="minorHAnsi" w:cstheme="minorHAnsi"/>
          <w:sz w:val="22"/>
          <w:szCs w:val="22"/>
        </w:rPr>
        <w:t xml:space="preserve"> </w:t>
      </w:r>
      <w:r>
        <w:rPr>
          <w:rFonts w:asciiTheme="minorHAnsi" w:hAnsiTheme="minorHAnsi" w:cstheme="minorHAnsi"/>
          <w:sz w:val="22"/>
          <w:szCs w:val="22"/>
        </w:rPr>
        <w:t>hand wrap machines</w:t>
      </w:r>
      <w:r w:rsidRPr="00697EF7">
        <w:rPr>
          <w:rFonts w:asciiTheme="minorHAnsi" w:hAnsiTheme="minorHAnsi" w:cstheme="minorHAnsi"/>
          <w:sz w:val="22"/>
          <w:szCs w:val="22"/>
        </w:rPr>
        <w:t xml:space="preserve">, both heating elements are </w:t>
      </w:r>
      <w:r>
        <w:rPr>
          <w:rFonts w:asciiTheme="minorHAnsi" w:hAnsiTheme="minorHAnsi" w:cstheme="minorHAnsi"/>
          <w:sz w:val="22"/>
          <w:szCs w:val="22"/>
        </w:rPr>
        <w:t>kept</w:t>
      </w:r>
      <w:r w:rsidRPr="00697EF7">
        <w:rPr>
          <w:rFonts w:asciiTheme="minorHAnsi" w:hAnsiTheme="minorHAnsi" w:cstheme="minorHAnsi"/>
          <w:sz w:val="22"/>
          <w:szCs w:val="22"/>
        </w:rPr>
        <w:t xml:space="preserve"> a</w:t>
      </w:r>
      <w:r>
        <w:rPr>
          <w:rFonts w:asciiTheme="minorHAnsi" w:hAnsiTheme="minorHAnsi" w:cstheme="minorHAnsi"/>
          <w:sz w:val="22"/>
          <w:szCs w:val="22"/>
        </w:rPr>
        <w:t>t a</w:t>
      </w:r>
      <w:r w:rsidRPr="00697EF7">
        <w:rPr>
          <w:rFonts w:asciiTheme="minorHAnsi" w:hAnsiTheme="minorHAnsi" w:cstheme="minorHAnsi"/>
          <w:sz w:val="22"/>
          <w:szCs w:val="22"/>
        </w:rPr>
        <w:t xml:space="preserve"> constant temperature of 280</w:t>
      </w:r>
      <w:r>
        <w:rPr>
          <w:rFonts w:asciiTheme="minorHAnsi" w:hAnsiTheme="minorHAnsi" w:cstheme="minorHAnsi"/>
          <w:sz w:val="22"/>
          <w:szCs w:val="22"/>
        </w:rPr>
        <w:t xml:space="preserve"> °F.</w:t>
      </w:r>
    </w:p>
    <w:p w14:paraId="604339E4" w14:textId="4A34E48E" w:rsidR="0084670F" w:rsidRPr="00697EF7" w:rsidRDefault="0084670F" w:rsidP="0084670F">
      <w:pPr>
        <w:pStyle w:val="BodyTextIndent"/>
        <w:ind w:left="0"/>
        <w:rPr>
          <w:rFonts w:asciiTheme="minorHAnsi" w:hAnsiTheme="minorHAnsi" w:cstheme="minorHAnsi"/>
          <w:sz w:val="22"/>
          <w:szCs w:val="22"/>
        </w:rPr>
      </w:pPr>
      <w:r>
        <w:rPr>
          <w:rFonts w:asciiTheme="minorHAnsi" w:hAnsiTheme="minorHAnsi" w:cstheme="minorHAnsi"/>
          <w:sz w:val="22"/>
          <w:szCs w:val="22"/>
        </w:rPr>
        <w:t>An o</w:t>
      </w:r>
      <w:r w:rsidRPr="00697EF7">
        <w:rPr>
          <w:rFonts w:asciiTheme="minorHAnsi" w:hAnsiTheme="minorHAnsi" w:cstheme="minorHAnsi"/>
          <w:sz w:val="22"/>
          <w:szCs w:val="22"/>
        </w:rPr>
        <w:t xml:space="preserve">n-demand </w:t>
      </w:r>
      <w:r>
        <w:rPr>
          <w:rFonts w:asciiTheme="minorHAnsi" w:hAnsiTheme="minorHAnsi" w:cstheme="minorHAnsi"/>
          <w:sz w:val="22"/>
          <w:szCs w:val="22"/>
        </w:rPr>
        <w:t>hand wrap machine</w:t>
      </w:r>
      <w:r w:rsidRPr="00697EF7">
        <w:rPr>
          <w:rFonts w:asciiTheme="minorHAnsi" w:hAnsiTheme="minorHAnsi" w:cstheme="minorHAnsi"/>
          <w:sz w:val="22"/>
          <w:szCs w:val="22"/>
        </w:rPr>
        <w:t xml:space="preserve"> </w:t>
      </w:r>
      <w:r>
        <w:rPr>
          <w:rFonts w:asciiTheme="minorHAnsi" w:hAnsiTheme="minorHAnsi" w:cstheme="minorHAnsi"/>
          <w:sz w:val="22"/>
          <w:szCs w:val="22"/>
        </w:rPr>
        <w:t xml:space="preserve">is similar to a conventional </w:t>
      </w:r>
      <w:proofErr w:type="gramStart"/>
      <w:r w:rsidR="00534D67">
        <w:rPr>
          <w:rFonts w:asciiTheme="minorHAnsi" w:hAnsiTheme="minorHAnsi" w:cstheme="minorHAnsi"/>
          <w:sz w:val="22"/>
          <w:szCs w:val="22"/>
        </w:rPr>
        <w:t>type</w:t>
      </w:r>
      <w:r>
        <w:rPr>
          <w:rFonts w:asciiTheme="minorHAnsi" w:hAnsiTheme="minorHAnsi" w:cstheme="minorHAnsi"/>
          <w:sz w:val="22"/>
          <w:szCs w:val="22"/>
        </w:rPr>
        <w:t>,</w:t>
      </w:r>
      <w:proofErr w:type="gramEnd"/>
      <w:r>
        <w:rPr>
          <w:rFonts w:asciiTheme="minorHAnsi" w:hAnsiTheme="minorHAnsi" w:cstheme="minorHAnsi"/>
          <w:sz w:val="22"/>
          <w:szCs w:val="22"/>
        </w:rPr>
        <w:t xml:space="preserve"> </w:t>
      </w:r>
      <w:r w:rsidR="00534D67">
        <w:rPr>
          <w:rFonts w:asciiTheme="minorHAnsi" w:hAnsiTheme="minorHAnsi" w:cstheme="minorHAnsi"/>
          <w:sz w:val="22"/>
          <w:szCs w:val="22"/>
        </w:rPr>
        <w:t xml:space="preserve">however, </w:t>
      </w:r>
      <w:r>
        <w:rPr>
          <w:rFonts w:asciiTheme="minorHAnsi" w:hAnsiTheme="minorHAnsi" w:cstheme="minorHAnsi"/>
          <w:sz w:val="22"/>
          <w:szCs w:val="22"/>
        </w:rPr>
        <w:t xml:space="preserve">it has a more powerful </w:t>
      </w:r>
      <w:r w:rsidRPr="00697EF7">
        <w:rPr>
          <w:rFonts w:asciiTheme="minorHAnsi" w:hAnsiTheme="minorHAnsi" w:cstheme="minorHAnsi"/>
          <w:sz w:val="22"/>
          <w:szCs w:val="22"/>
        </w:rPr>
        <w:t xml:space="preserve">heating </w:t>
      </w:r>
      <w:r>
        <w:rPr>
          <w:rFonts w:asciiTheme="minorHAnsi" w:hAnsiTheme="minorHAnsi" w:cstheme="minorHAnsi"/>
          <w:sz w:val="22"/>
          <w:szCs w:val="22"/>
        </w:rPr>
        <w:t xml:space="preserve">platform (rated at approximately 2 kW) which is switched on/off by a controller. By default, the heating platform is OFF. </w:t>
      </w:r>
      <w:r w:rsidRPr="00697EF7">
        <w:rPr>
          <w:rFonts w:asciiTheme="minorHAnsi" w:hAnsiTheme="minorHAnsi" w:cstheme="minorHAnsi"/>
          <w:sz w:val="22"/>
          <w:szCs w:val="22"/>
        </w:rPr>
        <w:t>The two types of controllers</w:t>
      </w:r>
      <w:r>
        <w:rPr>
          <w:rFonts w:asciiTheme="minorHAnsi" w:hAnsiTheme="minorHAnsi" w:cstheme="minorHAnsi"/>
          <w:sz w:val="22"/>
          <w:szCs w:val="22"/>
        </w:rPr>
        <w:t xml:space="preserve"> are</w:t>
      </w:r>
      <w:r w:rsidRPr="00697EF7">
        <w:rPr>
          <w:rFonts w:asciiTheme="minorHAnsi" w:hAnsiTheme="minorHAnsi" w:cstheme="minorHAnsi"/>
          <w:sz w:val="22"/>
          <w:szCs w:val="22"/>
        </w:rPr>
        <w:t>:</w:t>
      </w:r>
    </w:p>
    <w:p w14:paraId="0E10CECD" w14:textId="77777777" w:rsidR="0084670F" w:rsidRPr="00697EF7" w:rsidRDefault="0084670F" w:rsidP="0084670F">
      <w:pPr>
        <w:pStyle w:val="BodyTextIndent"/>
        <w:numPr>
          <w:ilvl w:val="0"/>
          <w:numId w:val="38"/>
        </w:numPr>
        <w:rPr>
          <w:rFonts w:asciiTheme="minorHAnsi" w:hAnsiTheme="minorHAnsi" w:cstheme="minorHAnsi"/>
          <w:sz w:val="22"/>
          <w:szCs w:val="22"/>
        </w:rPr>
      </w:pPr>
      <w:r w:rsidRPr="00697EF7">
        <w:rPr>
          <w:rFonts w:asciiTheme="minorHAnsi" w:hAnsiTheme="minorHAnsi" w:cstheme="minorHAnsi"/>
          <w:sz w:val="22"/>
          <w:szCs w:val="22"/>
        </w:rPr>
        <w:t xml:space="preserve">A mechanical system where pressure must be applied down onto the </w:t>
      </w:r>
      <w:r>
        <w:rPr>
          <w:rFonts w:asciiTheme="minorHAnsi" w:hAnsiTheme="minorHAnsi" w:cstheme="minorHAnsi"/>
          <w:sz w:val="22"/>
          <w:szCs w:val="22"/>
        </w:rPr>
        <w:t>heating platform</w:t>
      </w:r>
      <w:r w:rsidRPr="00697EF7">
        <w:rPr>
          <w:rFonts w:asciiTheme="minorHAnsi" w:hAnsiTheme="minorHAnsi" w:cstheme="minorHAnsi"/>
          <w:sz w:val="22"/>
          <w:szCs w:val="22"/>
        </w:rPr>
        <w:t xml:space="preserve">. Applying pressure to the heating </w:t>
      </w:r>
      <w:r>
        <w:rPr>
          <w:rFonts w:asciiTheme="minorHAnsi" w:hAnsiTheme="minorHAnsi" w:cstheme="minorHAnsi"/>
          <w:sz w:val="22"/>
          <w:szCs w:val="22"/>
        </w:rPr>
        <w:t>platform</w:t>
      </w:r>
      <w:r w:rsidRPr="00697EF7">
        <w:rPr>
          <w:rFonts w:asciiTheme="minorHAnsi" w:hAnsiTheme="minorHAnsi" w:cstheme="minorHAnsi"/>
          <w:sz w:val="22"/>
          <w:szCs w:val="22"/>
        </w:rPr>
        <w:t xml:space="preserve"> engages a switch, which activates the 2 kW heating </w:t>
      </w:r>
      <w:r>
        <w:rPr>
          <w:rFonts w:asciiTheme="minorHAnsi" w:hAnsiTheme="minorHAnsi" w:cstheme="minorHAnsi"/>
          <w:sz w:val="22"/>
          <w:szCs w:val="22"/>
        </w:rPr>
        <w:t>platform</w:t>
      </w:r>
      <w:r w:rsidRPr="00697EF7">
        <w:rPr>
          <w:rFonts w:asciiTheme="minorHAnsi" w:hAnsiTheme="minorHAnsi" w:cstheme="minorHAnsi"/>
          <w:sz w:val="22"/>
          <w:szCs w:val="22"/>
        </w:rPr>
        <w:t xml:space="preserve"> until the switch is disengaged</w:t>
      </w:r>
      <w:r>
        <w:rPr>
          <w:rFonts w:asciiTheme="minorHAnsi" w:hAnsiTheme="minorHAnsi" w:cstheme="minorHAnsi"/>
          <w:sz w:val="22"/>
          <w:szCs w:val="22"/>
        </w:rPr>
        <w:t>,</w:t>
      </w:r>
      <w:r w:rsidRPr="00697EF7">
        <w:rPr>
          <w:rFonts w:asciiTheme="minorHAnsi" w:hAnsiTheme="minorHAnsi" w:cstheme="minorHAnsi"/>
          <w:sz w:val="22"/>
          <w:szCs w:val="22"/>
        </w:rPr>
        <w:t xml:space="preserve"> or for a maximum of 3 seconds. </w:t>
      </w:r>
    </w:p>
    <w:p w14:paraId="35DA4253" w14:textId="77777777" w:rsidR="0084670F" w:rsidRDefault="0084670F" w:rsidP="0084670F">
      <w:pPr>
        <w:pStyle w:val="BodyTextIndent"/>
        <w:numPr>
          <w:ilvl w:val="0"/>
          <w:numId w:val="38"/>
        </w:numPr>
        <w:rPr>
          <w:rFonts w:asciiTheme="minorHAnsi" w:hAnsiTheme="minorHAnsi" w:cstheme="minorHAnsi"/>
          <w:sz w:val="22"/>
          <w:szCs w:val="22"/>
        </w:rPr>
      </w:pPr>
      <w:r w:rsidRPr="00697EF7">
        <w:rPr>
          <w:rFonts w:asciiTheme="minorHAnsi" w:hAnsiTheme="minorHAnsi" w:cstheme="minorHAnsi"/>
          <w:sz w:val="22"/>
          <w:szCs w:val="22"/>
        </w:rPr>
        <w:lastRenderedPageBreak/>
        <w:t xml:space="preserve">An optical system which uses an optical eye to detect that an item is being sealed. The optical eye is placed in the front center of the </w:t>
      </w:r>
      <w:r>
        <w:rPr>
          <w:rFonts w:asciiTheme="minorHAnsi" w:hAnsiTheme="minorHAnsi" w:cstheme="minorHAnsi"/>
          <w:sz w:val="22"/>
          <w:szCs w:val="22"/>
        </w:rPr>
        <w:t>heating platform</w:t>
      </w:r>
      <w:r w:rsidRPr="00697EF7">
        <w:rPr>
          <w:rFonts w:asciiTheme="minorHAnsi" w:hAnsiTheme="minorHAnsi" w:cstheme="minorHAnsi"/>
          <w:sz w:val="22"/>
          <w:szCs w:val="22"/>
        </w:rPr>
        <w:t xml:space="preserve">. When a package is set on the heating </w:t>
      </w:r>
      <w:r>
        <w:rPr>
          <w:rFonts w:asciiTheme="minorHAnsi" w:hAnsiTheme="minorHAnsi" w:cstheme="minorHAnsi"/>
          <w:sz w:val="22"/>
          <w:szCs w:val="22"/>
        </w:rPr>
        <w:t>platform,</w:t>
      </w:r>
      <w:r w:rsidRPr="00697EF7">
        <w:rPr>
          <w:rFonts w:asciiTheme="minorHAnsi" w:hAnsiTheme="minorHAnsi" w:cstheme="minorHAnsi"/>
          <w:sz w:val="22"/>
          <w:szCs w:val="22"/>
        </w:rPr>
        <w:t xml:space="preserve"> light is reflected into the eye, </w:t>
      </w:r>
      <w:r>
        <w:rPr>
          <w:rFonts w:asciiTheme="minorHAnsi" w:hAnsiTheme="minorHAnsi" w:cstheme="minorHAnsi"/>
          <w:sz w:val="22"/>
          <w:szCs w:val="22"/>
        </w:rPr>
        <w:t xml:space="preserve">which activates the heating platform </w:t>
      </w:r>
      <w:r w:rsidRPr="00697EF7">
        <w:rPr>
          <w:rFonts w:asciiTheme="minorHAnsi" w:hAnsiTheme="minorHAnsi" w:cstheme="minorHAnsi"/>
          <w:sz w:val="22"/>
          <w:szCs w:val="22"/>
        </w:rPr>
        <w:t xml:space="preserve">until </w:t>
      </w:r>
      <w:r>
        <w:rPr>
          <w:rFonts w:asciiTheme="minorHAnsi" w:hAnsiTheme="minorHAnsi" w:cstheme="minorHAnsi"/>
          <w:sz w:val="22"/>
          <w:szCs w:val="22"/>
        </w:rPr>
        <w:t>the item</w:t>
      </w:r>
      <w:r w:rsidRPr="00697EF7">
        <w:rPr>
          <w:rFonts w:asciiTheme="minorHAnsi" w:hAnsiTheme="minorHAnsi" w:cstheme="minorHAnsi"/>
          <w:sz w:val="22"/>
          <w:szCs w:val="22"/>
        </w:rPr>
        <w:t xml:space="preserve"> is removed, or for a maximum of 3 seconds.</w:t>
      </w:r>
    </w:p>
    <w:p w14:paraId="112F384E" w14:textId="77777777" w:rsidR="0084670F" w:rsidRDefault="0084670F" w:rsidP="0084670F">
      <w:pPr>
        <w:pStyle w:val="BodyTextIndent"/>
        <w:rPr>
          <w:rFonts w:asciiTheme="minorHAnsi" w:hAnsiTheme="minorHAnsi" w:cstheme="minorHAnsi"/>
          <w:sz w:val="22"/>
          <w:szCs w:val="22"/>
        </w:rPr>
      </w:pPr>
    </w:p>
    <w:p w14:paraId="5B8FCD1E" w14:textId="77777777" w:rsidR="0084670F" w:rsidRDefault="0084670F" w:rsidP="0084670F">
      <w:pPr>
        <w:pStyle w:val="Caption"/>
        <w:jc w:val="center"/>
        <w:rPr>
          <w:sz w:val="20"/>
          <w:szCs w:val="20"/>
        </w:rPr>
      </w:pPr>
      <w:r>
        <w:rPr>
          <w:noProof/>
        </w:rPr>
        <w:drawing>
          <wp:inline distT="0" distB="0" distL="0" distR="0" wp14:anchorId="125FA9C0" wp14:editId="7AFFF41A">
            <wp:extent cx="3051866" cy="2011680"/>
            <wp:effectExtent l="0" t="0" r="0" b="7620"/>
            <wp:docPr id="13" name="Picture 13" descr="old heat seal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ld heat sealer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6032" cy="2021018"/>
                    </a:xfrm>
                    <a:prstGeom prst="rect">
                      <a:avLst/>
                    </a:prstGeom>
                    <a:noFill/>
                    <a:ln>
                      <a:noFill/>
                    </a:ln>
                  </pic:spPr>
                </pic:pic>
              </a:graphicData>
            </a:graphic>
          </wp:inline>
        </w:drawing>
      </w:r>
      <w:r>
        <w:rPr>
          <w:noProof/>
        </w:rPr>
        <w:drawing>
          <wp:inline distT="0" distB="0" distL="0" distR="0" wp14:anchorId="484482FB" wp14:editId="0761A2A4">
            <wp:extent cx="2880360" cy="202556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99485" cy="2039011"/>
                    </a:xfrm>
                    <a:prstGeom prst="rect">
                      <a:avLst/>
                    </a:prstGeom>
                    <a:noFill/>
                  </pic:spPr>
                </pic:pic>
              </a:graphicData>
            </a:graphic>
          </wp:inline>
        </w:drawing>
      </w:r>
      <w:r>
        <w:rPr>
          <w:rFonts w:cstheme="minorHAnsi"/>
          <w:szCs w:val="22"/>
        </w:rPr>
        <w:br/>
      </w:r>
      <w:r w:rsidRPr="00FB3AC3">
        <w:rPr>
          <w:sz w:val="20"/>
          <w:szCs w:val="20"/>
        </w:rPr>
        <w:t xml:space="preserve">Figure </w:t>
      </w:r>
      <w:r w:rsidRPr="00FB3AC3">
        <w:rPr>
          <w:sz w:val="20"/>
          <w:szCs w:val="20"/>
        </w:rPr>
        <w:fldChar w:fldCharType="begin"/>
      </w:r>
      <w:r w:rsidRPr="00FB3AC3">
        <w:rPr>
          <w:sz w:val="20"/>
          <w:szCs w:val="20"/>
        </w:rPr>
        <w:instrText xml:space="preserve"> SEQ Figure \* ARABIC </w:instrText>
      </w:r>
      <w:r w:rsidRPr="00FB3AC3">
        <w:rPr>
          <w:sz w:val="20"/>
          <w:szCs w:val="20"/>
        </w:rPr>
        <w:fldChar w:fldCharType="separate"/>
      </w:r>
      <w:r>
        <w:rPr>
          <w:noProof/>
          <w:sz w:val="20"/>
          <w:szCs w:val="20"/>
        </w:rPr>
        <w:t>1</w:t>
      </w:r>
      <w:r w:rsidRPr="00FB3AC3">
        <w:rPr>
          <w:sz w:val="20"/>
          <w:szCs w:val="20"/>
        </w:rPr>
        <w:fldChar w:fldCharType="end"/>
      </w:r>
      <w:r w:rsidRPr="00FB3AC3">
        <w:rPr>
          <w:sz w:val="20"/>
          <w:szCs w:val="20"/>
        </w:rPr>
        <w:t>: Always-on (left) and On-demand (right) hand wrap machines</w:t>
      </w:r>
    </w:p>
    <w:p w14:paraId="36BCEE5C" w14:textId="77777777" w:rsidR="0084670F" w:rsidRDefault="0084670F" w:rsidP="0084670F"/>
    <w:p w14:paraId="2F7107A0" w14:textId="77777777" w:rsidR="009A1D6B" w:rsidRDefault="0084670F" w:rsidP="009A1D6B">
      <w:pPr>
        <w:jc w:val="center"/>
      </w:pPr>
      <w:r>
        <w:rPr>
          <w:noProof/>
        </w:rPr>
        <w:drawing>
          <wp:inline distT="0" distB="0" distL="0" distR="0" wp14:anchorId="47A91DAF" wp14:editId="3DE48D94">
            <wp:extent cx="3559031" cy="2581275"/>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a:extLst>
                        <a:ext uri="{28A0092B-C50C-407E-A947-70E740481C1C}">
                          <a14:useLocalDpi xmlns:a14="http://schemas.microsoft.com/office/drawing/2010/main" val="0"/>
                        </a:ext>
                      </a:extLst>
                    </a:blip>
                    <a:srcRect l="1282" t="1744" r="1495" b="2325"/>
                    <a:stretch>
                      <a:fillRect/>
                    </a:stretch>
                  </pic:blipFill>
                  <pic:spPr bwMode="auto">
                    <a:xfrm>
                      <a:off x="0" y="0"/>
                      <a:ext cx="3559031" cy="2581275"/>
                    </a:xfrm>
                    <a:prstGeom prst="rect">
                      <a:avLst/>
                    </a:prstGeom>
                    <a:noFill/>
                    <a:ln w="76200" cmpd="sng">
                      <a:noFill/>
                      <a:miter lim="800000"/>
                      <a:headEnd/>
                      <a:tailEnd/>
                    </a:ln>
                    <a:effectLst/>
                  </pic:spPr>
                </pic:pic>
              </a:graphicData>
            </a:graphic>
          </wp:inline>
        </w:drawing>
      </w:r>
    </w:p>
    <w:p w14:paraId="5B806EDE" w14:textId="1E3E6470" w:rsidR="0084670F" w:rsidRPr="0084670F" w:rsidRDefault="0084670F" w:rsidP="009A1D6B">
      <w:pPr>
        <w:jc w:val="center"/>
      </w:pPr>
      <w:r w:rsidRPr="009A1D6B">
        <w:rPr>
          <w:sz w:val="20"/>
          <w:szCs w:val="20"/>
        </w:rPr>
        <w:t xml:space="preserve">Figure </w:t>
      </w:r>
      <w:r w:rsidRPr="009A1D6B">
        <w:rPr>
          <w:sz w:val="20"/>
          <w:szCs w:val="20"/>
        </w:rPr>
        <w:fldChar w:fldCharType="begin"/>
      </w:r>
      <w:r w:rsidRPr="009A1D6B">
        <w:rPr>
          <w:sz w:val="20"/>
          <w:szCs w:val="20"/>
        </w:rPr>
        <w:instrText xml:space="preserve"> SEQ Figure \* ARABIC </w:instrText>
      </w:r>
      <w:r w:rsidRPr="009A1D6B">
        <w:rPr>
          <w:sz w:val="20"/>
          <w:szCs w:val="20"/>
        </w:rPr>
        <w:fldChar w:fldCharType="separate"/>
      </w:r>
      <w:r w:rsidRPr="009A1D6B">
        <w:rPr>
          <w:noProof/>
          <w:sz w:val="20"/>
          <w:szCs w:val="20"/>
        </w:rPr>
        <w:t>2</w:t>
      </w:r>
      <w:r w:rsidRPr="009A1D6B">
        <w:rPr>
          <w:sz w:val="20"/>
          <w:szCs w:val="20"/>
        </w:rPr>
        <w:fldChar w:fldCharType="end"/>
      </w:r>
      <w:r w:rsidRPr="009A1D6B">
        <w:rPr>
          <w:sz w:val="20"/>
          <w:szCs w:val="20"/>
        </w:rPr>
        <w:t>: Hand wrapping</w:t>
      </w:r>
    </w:p>
    <w:p w14:paraId="11D9F41A" w14:textId="799587F7" w:rsidR="00697868" w:rsidRDefault="00AE0A8D" w:rsidP="000A6227">
      <w:pPr>
        <w:pStyle w:val="Heading2"/>
        <w:numPr>
          <w:ilvl w:val="1"/>
          <w:numId w:val="36"/>
        </w:numPr>
        <w:rPr>
          <w:rFonts w:asciiTheme="minorHAnsi" w:hAnsiTheme="minorHAnsi"/>
        </w:rPr>
      </w:pPr>
      <w:r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00697868" w:rsidRPr="00500C4E">
        <w:rPr>
          <w:rFonts w:asciiTheme="minorHAnsi" w:hAnsiTheme="minorHAnsi"/>
        </w:rPr>
        <w:t xml:space="preserve"> </w:t>
      </w:r>
      <w:r w:rsidR="00B4065F" w:rsidRPr="00500C4E">
        <w:rPr>
          <w:rFonts w:asciiTheme="minorHAnsi" w:hAnsiTheme="minorHAnsi"/>
        </w:rPr>
        <w:t>Mechanisms</w:t>
      </w:r>
    </w:p>
    <w:p w14:paraId="05A95E4B" w14:textId="77777777" w:rsidR="000A6227" w:rsidRPr="00B551A8" w:rsidRDefault="000A6227" w:rsidP="000A6227">
      <w:pPr>
        <w:rPr>
          <w:rFonts w:cstheme="minorHAnsi"/>
          <w:szCs w:val="22"/>
        </w:rPr>
      </w:pPr>
      <w:r w:rsidRPr="00B551A8">
        <w:rPr>
          <w:rFonts w:cstheme="minorHAnsi"/>
          <w:szCs w:val="22"/>
        </w:rPr>
        <w:t>The delivery method is Financial Support - Down-Stream Incentive – Deemed.</w:t>
      </w:r>
    </w:p>
    <w:p w14:paraId="4D93075C" w14:textId="77777777" w:rsidR="000A6227" w:rsidRPr="00B551A8" w:rsidRDefault="000A6227" w:rsidP="000A6227">
      <w:pPr>
        <w:rPr>
          <w:rFonts w:cstheme="minorHAnsi"/>
          <w:szCs w:val="22"/>
        </w:rPr>
      </w:pPr>
    </w:p>
    <w:p w14:paraId="0110B8FE" w14:textId="3F78701E" w:rsidR="000A6227" w:rsidRPr="000A6227" w:rsidRDefault="000A6227" w:rsidP="000A6227">
      <w:r w:rsidRPr="000A6227">
        <w:rPr>
          <w:rFonts w:cstheme="minorHAnsi"/>
          <w:szCs w:val="22"/>
        </w:rPr>
        <w:t xml:space="preserve">The install type is </w:t>
      </w:r>
      <w:r w:rsidR="00C34601">
        <w:rPr>
          <w:rFonts w:cstheme="minorHAnsi"/>
          <w:szCs w:val="22"/>
        </w:rPr>
        <w:t>ROB (Replace-on-Burnout) and New Construction (NEW/NC).</w:t>
      </w:r>
    </w:p>
    <w:p w14:paraId="7CF6A858" w14:textId="77777777" w:rsidR="000A6227" w:rsidRDefault="000A6227" w:rsidP="00920905">
      <w:pPr>
        <w:pStyle w:val="NoSpacing"/>
        <w:rPr>
          <w:b/>
        </w:rPr>
      </w:pPr>
    </w:p>
    <w:p w14:paraId="6D9C3B45" w14:textId="42F01CE1" w:rsidR="001B2301" w:rsidRPr="00920905" w:rsidRDefault="00C05AAF" w:rsidP="00AA79ED">
      <w:pPr>
        <w:pStyle w:val="Caption"/>
        <w:rPr>
          <w:rFonts w:cstheme="minorHAnsi"/>
          <w:b w:val="0"/>
          <w:i/>
        </w:rPr>
      </w:pPr>
      <w:r w:rsidRPr="00920905">
        <w:rPr>
          <w:b w:val="0"/>
        </w:rPr>
        <w:t>Installation Type</w:t>
      </w:r>
      <w:r w:rsidR="002469DD" w:rsidRPr="00920905">
        <w:rPr>
          <w:b w:val="0"/>
        </w:rPr>
        <w:t xml:space="preserve"> </w:t>
      </w:r>
      <w:r w:rsidR="006F1B21" w:rsidRPr="00920905">
        <w:rPr>
          <w:b w:val="0"/>
        </w:rPr>
        <w:t>D</w:t>
      </w:r>
      <w:r w:rsidR="002469DD" w:rsidRPr="00920905">
        <w:rPr>
          <w:b w:val="0"/>
        </w:rPr>
        <w:t>escription</w:t>
      </w:r>
      <w:r w:rsidR="006F1B21" w:rsidRPr="00920905">
        <w:rPr>
          <w:b w:val="0"/>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C34601" w:rsidRPr="00500C4E" w14:paraId="70565202" w14:textId="77777777" w:rsidTr="006F1B21">
        <w:trPr>
          <w:trHeight w:val="20"/>
        </w:trPr>
        <w:tc>
          <w:tcPr>
            <w:tcW w:w="1778" w:type="pct"/>
          </w:tcPr>
          <w:p w14:paraId="5EC8CE0C" w14:textId="0CFC84F0" w:rsidR="00C34601" w:rsidRPr="00500C4E" w:rsidRDefault="00C34601">
            <w:pPr>
              <w:rPr>
                <w:sz w:val="18"/>
                <w:szCs w:val="18"/>
              </w:rPr>
            </w:pPr>
            <w:r w:rsidRPr="00500C4E">
              <w:rPr>
                <w:sz w:val="18"/>
                <w:szCs w:val="18"/>
              </w:rPr>
              <w:t>New Construction (NEW</w:t>
            </w:r>
            <w:r>
              <w:rPr>
                <w:sz w:val="18"/>
                <w:szCs w:val="18"/>
              </w:rPr>
              <w:t>/NC</w:t>
            </w:r>
            <w:r w:rsidRPr="00500C4E">
              <w:rPr>
                <w:sz w:val="18"/>
                <w:szCs w:val="18"/>
              </w:rPr>
              <w:t>)</w:t>
            </w:r>
          </w:p>
        </w:tc>
        <w:tc>
          <w:tcPr>
            <w:tcW w:w="1107" w:type="pct"/>
          </w:tcPr>
          <w:p w14:paraId="589581D1" w14:textId="4E84B4BB" w:rsidR="00C34601" w:rsidRPr="00500C4E" w:rsidRDefault="00C34601" w:rsidP="00E5625D">
            <w:pPr>
              <w:rPr>
                <w:sz w:val="18"/>
                <w:szCs w:val="18"/>
              </w:rPr>
            </w:pPr>
            <w:r w:rsidRPr="00500C4E">
              <w:rPr>
                <w:sz w:val="18"/>
                <w:szCs w:val="18"/>
              </w:rPr>
              <w:t>Above Code or Standard</w:t>
            </w:r>
          </w:p>
        </w:tc>
        <w:tc>
          <w:tcPr>
            <w:tcW w:w="1108" w:type="pct"/>
          </w:tcPr>
          <w:p w14:paraId="7AA2187F" w14:textId="54163B58" w:rsidR="00C34601" w:rsidRPr="00500C4E" w:rsidRDefault="00C34601" w:rsidP="00E5625D">
            <w:pPr>
              <w:rPr>
                <w:sz w:val="18"/>
                <w:szCs w:val="18"/>
              </w:rPr>
            </w:pPr>
            <w:r w:rsidRPr="00500C4E">
              <w:rPr>
                <w:sz w:val="18"/>
                <w:szCs w:val="18"/>
              </w:rPr>
              <w:t>N/A</w:t>
            </w:r>
          </w:p>
        </w:tc>
        <w:tc>
          <w:tcPr>
            <w:tcW w:w="481" w:type="pct"/>
          </w:tcPr>
          <w:p w14:paraId="3792BDB8" w14:textId="73EF732F" w:rsidR="00C34601" w:rsidRPr="00500C4E" w:rsidRDefault="00C34601" w:rsidP="00E5625D">
            <w:pPr>
              <w:rPr>
                <w:sz w:val="18"/>
                <w:szCs w:val="18"/>
              </w:rPr>
            </w:pPr>
            <w:r w:rsidRPr="00500C4E">
              <w:rPr>
                <w:sz w:val="18"/>
                <w:szCs w:val="18"/>
              </w:rPr>
              <w:t>EUL</w:t>
            </w:r>
          </w:p>
        </w:tc>
        <w:tc>
          <w:tcPr>
            <w:tcW w:w="526" w:type="pct"/>
          </w:tcPr>
          <w:p w14:paraId="1384FFCF" w14:textId="4422D892" w:rsidR="00C34601" w:rsidRPr="00500C4E" w:rsidRDefault="00C34601" w:rsidP="00E5625D">
            <w:pPr>
              <w:rPr>
                <w:sz w:val="18"/>
                <w:szCs w:val="18"/>
              </w:rPr>
            </w:pPr>
            <w:r w:rsidRPr="00500C4E">
              <w:rPr>
                <w:sz w:val="18"/>
                <w:szCs w:val="18"/>
              </w:rPr>
              <w:t>N/A</w:t>
            </w:r>
          </w:p>
        </w:tc>
      </w:tr>
    </w:tbl>
    <w:p w14:paraId="0FE0174D" w14:textId="30483983" w:rsidR="00C05AAF" w:rsidRDefault="00C05AAF" w:rsidP="00920905">
      <w:pPr>
        <w:pStyle w:val="NoSpacing"/>
      </w:pPr>
      <w:r w:rsidRPr="0087004B">
        <w:lastRenderedPageBreak/>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7B35B60C" w14:textId="77777777" w:rsidR="00A30BF1" w:rsidRDefault="00A30BF1" w:rsidP="00920905">
      <w:pPr>
        <w:pStyle w:val="NoSpacing"/>
      </w:pPr>
    </w:p>
    <w:p w14:paraId="68C152A6" w14:textId="25204E55" w:rsidR="00A30BF1" w:rsidRDefault="00A30BF1" w:rsidP="00A30BF1">
      <w:r w:rsidRPr="009330BA">
        <w:t xml:space="preserve">The </w:t>
      </w:r>
      <w:r w:rsidRPr="009330BA">
        <w:rPr>
          <w:b/>
        </w:rPr>
        <w:t xml:space="preserve">SCE </w:t>
      </w:r>
      <w:r>
        <w:rPr>
          <w:b/>
        </w:rPr>
        <w:t>Savings by Design</w:t>
      </w:r>
      <w:r w:rsidRPr="009330BA">
        <w:rPr>
          <w:b/>
        </w:rPr>
        <w:t xml:space="preserve"> Program</w:t>
      </w:r>
      <w:r w:rsidRPr="009330BA">
        <w:t xml:space="preserve"> offers </w:t>
      </w:r>
      <w:r>
        <w:t>incentives</w:t>
      </w:r>
      <w:r w:rsidRPr="009330BA">
        <w:t xml:space="preserve"> on a wide variety of energy-saving </w:t>
      </w:r>
      <w:r>
        <w:t>design and technologies that encourages design teams and building</w:t>
      </w:r>
      <w:r w:rsidRPr="009330BA">
        <w:t xml:space="preserve"> owners/managers to </w:t>
      </w:r>
      <w:r>
        <w:t>integrate a higher level of energy efficiency for their new construction and major building renovation projects</w:t>
      </w:r>
      <w:r w:rsidRPr="009330BA">
        <w:t xml:space="preserve">.  </w:t>
      </w:r>
      <w:r>
        <w:t xml:space="preserve">As a way to streamline incentivizing energy efficient lighting technologies, SBD offers an “express” way to participate in this opportunity using deemed </w:t>
      </w:r>
      <w:r w:rsidR="00B70960">
        <w:t>equipment</w:t>
      </w:r>
      <w:r>
        <w:t xml:space="preserve"> measures.</w:t>
      </w:r>
    </w:p>
    <w:p w14:paraId="24FBAA1D" w14:textId="77777777" w:rsidR="00A30BF1" w:rsidRDefault="00A30BF1" w:rsidP="00A30BF1"/>
    <w:p w14:paraId="5B8C9A19" w14:textId="77777777" w:rsidR="00A30BF1" w:rsidRDefault="00A30BF1" w:rsidP="00A30BF1">
      <w:r>
        <w:t xml:space="preserve">The process will direct the customer or their designated representative (customer) to work with an SCE New Construction Representative (NCR).  The NCR will determine if the Whole Building Approach (WBA) or Deemed System Approach (DSA) will provide the most benefit to the project.  </w:t>
      </w:r>
    </w:p>
    <w:p w14:paraId="3C008B39" w14:textId="77777777" w:rsidR="00A30BF1" w:rsidRDefault="00A30BF1" w:rsidP="00A30BF1"/>
    <w:p w14:paraId="7BE9D0E3" w14:textId="066E7260" w:rsidR="00A30BF1" w:rsidRDefault="00A30BF1" w:rsidP="00A30BF1">
      <w:r>
        <w:t>If the project qualifies for DSA Food Technology measures, the NCR will provide the customer with a coded coupon, which the customer will use when ordering construction or renovation materials for their facility.  The customer will receive the rebate incentive by presenting the coupon when applying for the rebate.</w:t>
      </w:r>
    </w:p>
    <w:p w14:paraId="53FF83BC" w14:textId="77777777" w:rsidR="00A30BF1" w:rsidRDefault="00A30BF1" w:rsidP="00A30BF1"/>
    <w:p w14:paraId="5695E5EA" w14:textId="01F61B8E" w:rsidR="00A30BF1" w:rsidRDefault="00A30BF1" w:rsidP="00A30BF1">
      <w:pPr>
        <w:pStyle w:val="NoSpacing"/>
      </w:pPr>
      <w:r>
        <w:t xml:space="preserve">The pre-inspection and post-inspection process will follow the process used by SCE’s EE program via which this product is offered.  It should be noted, DSA measures apply to </w:t>
      </w:r>
      <w:r w:rsidRPr="00F2009D">
        <w:rPr>
          <w:u w:val="single"/>
        </w:rPr>
        <w:t>new construction</w:t>
      </w:r>
      <w:r>
        <w:t xml:space="preserve"> and </w:t>
      </w:r>
      <w:r w:rsidRPr="00F2009D">
        <w:rPr>
          <w:u w:val="single"/>
        </w:rPr>
        <w:t>major renovations</w:t>
      </w:r>
      <w:r>
        <w:t xml:space="preserve">. </w:t>
      </w:r>
    </w:p>
    <w:p w14:paraId="1DDE7A54" w14:textId="77777777" w:rsidR="00C05AAF" w:rsidRDefault="00C05AAF" w:rsidP="00920905">
      <w:pPr>
        <w:pStyle w:val="NoSpacing"/>
      </w:pPr>
    </w:p>
    <w:p w14:paraId="7BCC2724" w14:textId="1C3DEA0A" w:rsidR="00C05AAF" w:rsidRPr="00500C4E" w:rsidRDefault="00AA16C0" w:rsidP="00AA79ED">
      <w:pPr>
        <w:pStyle w:val="Caption"/>
      </w:pPr>
      <w:r w:rsidRPr="00DE77D0">
        <w:rPr>
          <w:b w:val="0"/>
        </w:rPr>
        <w:t>Delivery Me</w:t>
      </w:r>
      <w:r>
        <w:rPr>
          <w:b w:val="0"/>
        </w:rPr>
        <w:t>thod</w:t>
      </w:r>
      <w:r w:rsidRPr="00DE77D0">
        <w:rPr>
          <w:b w:val="0"/>
        </w:rPr>
        <w:t xml:space="preserve"> </w:t>
      </w:r>
      <w:r>
        <w:rPr>
          <w:b w:val="0"/>
        </w:rPr>
        <w:t>D</w:t>
      </w:r>
      <w:r w:rsidRPr="00DE77D0">
        <w:rPr>
          <w:b w:val="0"/>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4D297F" w:rsidRPr="00A3164A" w14:paraId="0E94634C" w14:textId="77777777" w:rsidTr="00920905">
        <w:tc>
          <w:tcPr>
            <w:tcW w:w="1297" w:type="pct"/>
          </w:tcPr>
          <w:p w14:paraId="78D174A3" w14:textId="03D4E0FE" w:rsidR="004D297F" w:rsidRPr="00920905" w:rsidRDefault="004D297F" w:rsidP="004D297F">
            <w:pPr>
              <w:pStyle w:val="NoSpacing"/>
              <w:rPr>
                <w:rFonts w:cs="BookAntiqua"/>
                <w:sz w:val="18"/>
                <w:szCs w:val="18"/>
              </w:rPr>
            </w:pPr>
            <w:r>
              <w:rPr>
                <w:rFonts w:eastAsiaTheme="minorHAnsi" w:cstheme="minorBidi"/>
                <w:sz w:val="18"/>
                <w:szCs w:val="18"/>
              </w:rPr>
              <w:t>Mid-Stream Programs</w:t>
            </w:r>
          </w:p>
        </w:tc>
        <w:tc>
          <w:tcPr>
            <w:tcW w:w="3703" w:type="pct"/>
          </w:tcPr>
          <w:p w14:paraId="16748163" w14:textId="18C834C3" w:rsidR="004D297F" w:rsidRPr="00920905" w:rsidRDefault="004D297F" w:rsidP="004D297F">
            <w:pPr>
              <w:pStyle w:val="NoSpacing"/>
              <w:rPr>
                <w:rFonts w:cs="BookAntiqua"/>
                <w:sz w:val="18"/>
                <w:szCs w:val="18"/>
              </w:rPr>
            </w:pPr>
            <w:r w:rsidRPr="003D2981">
              <w:rPr>
                <w:rFonts w:cs="Helv"/>
                <w:i/>
                <w:sz w:val="18"/>
                <w:szCs w:val="18"/>
              </w:rPr>
              <w:t xml:space="preserve">See Mid-Stream Incentive in the </w:t>
            </w:r>
            <w:r w:rsidRPr="003D2981">
              <w:rPr>
                <w:i/>
                <w:sz w:val="18"/>
                <w:szCs w:val="18"/>
              </w:rPr>
              <w:t>Incentive Method Descriptions table.</w:t>
            </w:r>
          </w:p>
        </w:tc>
      </w:tr>
    </w:tbl>
    <w:p w14:paraId="1C2ADD3B" w14:textId="3ECA8E91" w:rsidR="001B2301" w:rsidRPr="00500C4E" w:rsidRDefault="001B2301" w:rsidP="00920905"/>
    <w:p w14:paraId="13A3DE38" w14:textId="17154696" w:rsidR="00AA16C0" w:rsidRPr="00500C4E" w:rsidRDefault="00AA16C0" w:rsidP="00AA79ED">
      <w:pPr>
        <w:pStyle w:val="Caption"/>
      </w:pPr>
      <w:r>
        <w:rPr>
          <w:b w:val="0"/>
        </w:rPr>
        <w:t>Incentive</w:t>
      </w:r>
      <w:r w:rsidRPr="00DE77D0">
        <w:rPr>
          <w:b w:val="0"/>
        </w:rPr>
        <w:t xml:space="preserve"> Me</w:t>
      </w:r>
      <w:r>
        <w:rPr>
          <w:b w:val="0"/>
        </w:rPr>
        <w:t>thod</w:t>
      </w:r>
      <w:r w:rsidRPr="00DE77D0">
        <w:rPr>
          <w:b w:val="0"/>
        </w:rPr>
        <w:t xml:space="preserve"> </w:t>
      </w:r>
      <w:r>
        <w:rPr>
          <w:b w:val="0"/>
        </w:rPr>
        <w:t>D</w:t>
      </w:r>
      <w:r w:rsidRPr="00DE77D0">
        <w:rPr>
          <w:b w:val="0"/>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4D297F" w:rsidRPr="00A3164A" w14:paraId="63E91BD2" w14:textId="77777777" w:rsidTr="004D297F">
        <w:tc>
          <w:tcPr>
            <w:tcW w:w="1297" w:type="pct"/>
          </w:tcPr>
          <w:p w14:paraId="3D3120FB" w14:textId="77777777" w:rsidR="004D297F" w:rsidRDefault="004D297F" w:rsidP="00C606BB">
            <w:pPr>
              <w:autoSpaceDE w:val="0"/>
              <w:autoSpaceDN w:val="0"/>
              <w:adjustRightInd w:val="0"/>
              <w:spacing w:line="240" w:lineRule="atLeast"/>
              <w:rPr>
                <w:rFonts w:cs="Helv"/>
                <w:sz w:val="18"/>
                <w:szCs w:val="18"/>
              </w:rPr>
            </w:pPr>
            <w:r w:rsidRPr="00920905">
              <w:rPr>
                <w:rFonts w:cs="Helv"/>
                <w:sz w:val="18"/>
                <w:szCs w:val="18"/>
              </w:rPr>
              <w:t>Mid-Stream Incentive</w:t>
            </w:r>
          </w:p>
          <w:p w14:paraId="20CB1920" w14:textId="77777777" w:rsidR="004D297F" w:rsidRPr="00920905" w:rsidRDefault="004D297F" w:rsidP="00C606BB">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2A8FA63C" w14:textId="77777777" w:rsidR="004D297F" w:rsidRPr="00920905" w:rsidRDefault="004D297F" w:rsidP="00C606BB">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Pr>
                <w:rFonts w:cs="Helv"/>
                <w:sz w:val="18"/>
                <w:szCs w:val="18"/>
              </w:rPr>
              <w:t xml:space="preserve"> (distributor,</w:t>
            </w:r>
            <w:r w:rsidRPr="00920905">
              <w:rPr>
                <w:rFonts w:cs="Helv"/>
                <w:sz w:val="18"/>
                <w:szCs w:val="18"/>
              </w:rPr>
              <w:t xml:space="preserve"> </w:t>
            </w:r>
            <w:r>
              <w:rPr>
                <w:rFonts w:cs="Helv"/>
                <w:sz w:val="18"/>
                <w:szCs w:val="18"/>
              </w:rPr>
              <w:t>vendor, or retailer)</w:t>
            </w:r>
            <w:r w:rsidRPr="00920905">
              <w:rPr>
                <w:rFonts w:cs="Helv"/>
                <w:sz w:val="18"/>
                <w:szCs w:val="18"/>
              </w:rPr>
              <w:t xml:space="preserve"> to encourage the p</w:t>
            </w:r>
            <w:r>
              <w:rPr>
                <w:rFonts w:cs="Helv"/>
                <w:sz w:val="18"/>
                <w:szCs w:val="18"/>
              </w:rPr>
              <w:t>romotion of efficient measures.</w:t>
            </w:r>
            <w:r w:rsidRPr="00920905">
              <w:rPr>
                <w:rFonts w:cs="Helv"/>
                <w:sz w:val="18"/>
                <w:szCs w:val="18"/>
              </w:rPr>
              <w:t xml:space="preserve"> </w:t>
            </w:r>
            <w:r>
              <w:rPr>
                <w:rFonts w:cs="Helv"/>
                <w:sz w:val="18"/>
                <w:szCs w:val="18"/>
              </w:rPr>
              <w:t>B</w:t>
            </w:r>
            <w:r w:rsidRPr="00920905">
              <w:rPr>
                <w:rFonts w:cs="Helv"/>
                <w:sz w:val="18"/>
                <w:szCs w:val="18"/>
              </w:rPr>
              <w:t>uy</w:t>
            </w:r>
            <w:r>
              <w:rPr>
                <w:rFonts w:cs="Helv"/>
                <w:sz w:val="18"/>
                <w:szCs w:val="18"/>
              </w:rPr>
              <w:t xml:space="preserve"> D</w:t>
            </w:r>
            <w:r w:rsidRPr="00920905">
              <w:rPr>
                <w:rFonts w:cs="Helv"/>
                <w:sz w:val="18"/>
                <w:szCs w:val="18"/>
              </w:rPr>
              <w:t>own</w:t>
            </w:r>
            <w:r>
              <w:rPr>
                <w:rFonts w:cs="Helv"/>
                <w:sz w:val="18"/>
                <w:szCs w:val="18"/>
              </w:rPr>
              <w:t xml:space="preserve"> means that the incentive is required to be passed down to the</w:t>
            </w:r>
            <w:r w:rsidRPr="00920905">
              <w:rPr>
                <w:rFonts w:cs="Helv"/>
                <w:sz w:val="18"/>
                <w:szCs w:val="18"/>
              </w:rPr>
              <w:t xml:space="preserve"> end-use customer.</w:t>
            </w:r>
          </w:p>
        </w:tc>
      </w:tr>
    </w:tbl>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1FB18941" w:rsidR="00F06CCF" w:rsidRDefault="00F06CCF" w:rsidP="00AA178B">
      <w:pPr>
        <w:pStyle w:val="Heading3"/>
        <w:tabs>
          <w:tab w:val="left" w:pos="2352"/>
        </w:tabs>
        <w:rPr>
          <w:rFonts w:asciiTheme="minorHAnsi" w:hAnsiTheme="minorHAnsi"/>
        </w:rPr>
      </w:pPr>
      <w:r w:rsidRPr="00500C4E">
        <w:rPr>
          <w:rFonts w:asciiTheme="minorHAnsi" w:hAnsiTheme="minorHAnsi"/>
        </w:rPr>
        <w:t xml:space="preserve">1.4.1 DEER </w:t>
      </w:r>
      <w:r w:rsidR="00D86A9D">
        <w:rPr>
          <w:rFonts w:asciiTheme="minorHAnsi" w:hAnsiTheme="minorHAnsi"/>
        </w:rPr>
        <w:t>Data</w:t>
      </w:r>
      <w:r w:rsidR="00AA178B">
        <w:rPr>
          <w:rFonts w:asciiTheme="minorHAnsi" w:hAnsiTheme="minorHAnsi"/>
        </w:rPr>
        <w:tab/>
      </w:r>
    </w:p>
    <w:p w14:paraId="77102DC7" w14:textId="2641A530" w:rsidR="00AA178B" w:rsidRPr="00B30A3A" w:rsidRDefault="00AA178B" w:rsidP="00AA178B">
      <w:pPr>
        <w:pStyle w:val="Reminder"/>
        <w:rPr>
          <w:rFonts w:asciiTheme="minorHAnsi" w:hAnsiTheme="minorHAnsi" w:cstheme="minorHAnsi"/>
          <w:i w:val="0"/>
          <w:color w:val="auto"/>
          <w:szCs w:val="22"/>
        </w:rPr>
      </w:pPr>
      <w:r w:rsidRPr="00B30A3A">
        <w:rPr>
          <w:rFonts w:asciiTheme="minorHAnsi" w:hAnsiTheme="minorHAnsi" w:cstheme="minorHAnsi"/>
          <w:i w:val="0"/>
          <w:color w:val="auto"/>
          <w:szCs w:val="22"/>
        </w:rPr>
        <w:t>DEER</w:t>
      </w:r>
      <w:r>
        <w:rPr>
          <w:rFonts w:asciiTheme="minorHAnsi" w:hAnsiTheme="minorHAnsi" w:cstheme="minorHAnsi"/>
          <w:i w:val="0"/>
          <w:color w:val="auto"/>
          <w:szCs w:val="22"/>
        </w:rPr>
        <w:t xml:space="preserve"> 201</w:t>
      </w:r>
      <w:r w:rsidR="00A658B3">
        <w:rPr>
          <w:rFonts w:asciiTheme="minorHAnsi" w:hAnsiTheme="minorHAnsi" w:cstheme="minorHAnsi"/>
          <w:i w:val="0"/>
          <w:color w:val="auto"/>
          <w:szCs w:val="22"/>
        </w:rPr>
        <w:t>7</w:t>
      </w:r>
      <w:r w:rsidRPr="00B30A3A">
        <w:rPr>
          <w:rFonts w:asciiTheme="minorHAnsi" w:hAnsiTheme="minorHAnsi" w:cstheme="minorHAnsi"/>
          <w:i w:val="0"/>
          <w:color w:val="auto"/>
          <w:szCs w:val="22"/>
        </w:rPr>
        <w:t xml:space="preserve"> does not contain measures for </w:t>
      </w:r>
      <w:r>
        <w:rPr>
          <w:rFonts w:asciiTheme="minorHAnsi" w:hAnsiTheme="minorHAnsi" w:cstheme="minorHAnsi"/>
          <w:i w:val="0"/>
          <w:color w:val="auto"/>
          <w:szCs w:val="22"/>
        </w:rPr>
        <w:t>hand wrap machines</w:t>
      </w:r>
      <w:r w:rsidRPr="00B30A3A">
        <w:rPr>
          <w:rFonts w:asciiTheme="minorHAnsi" w:hAnsiTheme="minorHAnsi" w:cstheme="minorHAnsi"/>
          <w:i w:val="0"/>
          <w:color w:val="auto"/>
          <w:szCs w:val="22"/>
        </w:rPr>
        <w:t>.</w:t>
      </w:r>
    </w:p>
    <w:p w14:paraId="220384D6" w14:textId="77777777" w:rsidR="00A30BF1" w:rsidRDefault="00A30BF1" w:rsidP="00AA79ED">
      <w:pPr>
        <w:pStyle w:val="Caption"/>
        <w:rPr>
          <w:b w:val="0"/>
          <w:bCs w:val="0"/>
          <w:szCs w:val="24"/>
        </w:rPr>
      </w:pPr>
      <w:bookmarkStart w:id="9" w:name="_Toc385592671"/>
      <w:bookmarkStart w:id="10" w:name="_Toc214003087"/>
    </w:p>
    <w:p w14:paraId="127C5859" w14:textId="1A619063" w:rsidR="00E326BA" w:rsidRPr="00916EE1" w:rsidRDefault="00E326BA" w:rsidP="00AA79ED">
      <w:pPr>
        <w:pStyle w:val="Caption"/>
        <w:rPr>
          <w:rFonts w:cs="Arial"/>
          <w:b w:val="0"/>
          <w:szCs w:val="22"/>
        </w:rPr>
      </w:pPr>
      <w:r w:rsidRPr="00916EE1">
        <w:rPr>
          <w:rFonts w:cs="Arial"/>
          <w:b w:val="0"/>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5532A54A"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37735C">
              <w:rPr>
                <w:rFonts w:cs="Arial"/>
                <w:b/>
                <w:szCs w:val="20"/>
              </w:rPr>
              <w:t xml:space="preserve"> </w:t>
            </w:r>
            <w:r w:rsidRPr="00920905">
              <w:rPr>
                <w:rFonts w:cs="Arial"/>
                <w:b/>
                <w:szCs w:val="20"/>
              </w:rPr>
              <w:t>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42B91BE9" w:rsidR="00E326BA" w:rsidRPr="00AA178B" w:rsidRDefault="00E326BA" w:rsidP="00920905">
            <w:pPr>
              <w:rPr>
                <w:rFonts w:cs="Arial"/>
                <w:b/>
                <w:szCs w:val="20"/>
              </w:rPr>
            </w:pPr>
            <w:r w:rsidRPr="00AA178B">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527093C8" w:rsidR="00E326BA" w:rsidRPr="00AA178B" w:rsidRDefault="00E326BA" w:rsidP="00920905">
            <w:pPr>
              <w:rPr>
                <w:rFonts w:cs="Arial"/>
                <w:szCs w:val="20"/>
              </w:rPr>
            </w:pPr>
            <w:r w:rsidRPr="00AA178B">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43E24D34" w:rsidR="00E326BA" w:rsidRPr="00AA178B" w:rsidRDefault="00E326BA" w:rsidP="00920905">
            <w:pPr>
              <w:rPr>
                <w:rFonts w:cs="Arial"/>
                <w:szCs w:val="20"/>
              </w:rPr>
            </w:pPr>
            <w:r w:rsidRPr="00AA178B">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lastRenderedPageBreak/>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5BB88CCB" w:rsidR="00E326BA" w:rsidRPr="00AA178B" w:rsidRDefault="00E326BA" w:rsidP="00920905">
            <w:pPr>
              <w:rPr>
                <w:rFonts w:cs="Arial"/>
                <w:szCs w:val="20"/>
              </w:rPr>
            </w:pPr>
            <w:r w:rsidRPr="00AA178B">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328DF47D" w:rsidR="00E326BA" w:rsidRPr="00AA178B" w:rsidRDefault="009605EB" w:rsidP="00920905">
            <w:pPr>
              <w:rPr>
                <w:rFonts w:cs="Arial"/>
                <w:szCs w:val="20"/>
              </w:rPr>
            </w:pPr>
            <w:r>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196F869" w:rsidR="00E326BA" w:rsidRPr="00AA178B" w:rsidRDefault="00254671" w:rsidP="00920905">
            <w:pPr>
              <w:rPr>
                <w:rFonts w:cs="Arial"/>
                <w:szCs w:val="20"/>
              </w:rPr>
            </w:pPr>
            <w:r w:rsidRPr="00AA178B">
              <w:rPr>
                <w:rFonts w:cs="Arial"/>
                <w:szCs w:val="20"/>
              </w:rPr>
              <w:t>No</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37C49A6E" w:rsidR="00505CEC" w:rsidRPr="00AA178B" w:rsidDel="00505CEC" w:rsidRDefault="00505CEC" w:rsidP="00920905">
            <w:pPr>
              <w:rPr>
                <w:rFonts w:cs="Arial"/>
                <w:szCs w:val="20"/>
              </w:rPr>
            </w:pPr>
            <w:r w:rsidRPr="00AA178B">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6ED7BC99" w:rsidR="00D86A9D" w:rsidRPr="00AA178B" w:rsidRDefault="00AA178B" w:rsidP="00175D14">
            <w:pPr>
              <w:rPr>
                <w:rFonts w:cs="Arial"/>
                <w:szCs w:val="20"/>
              </w:rPr>
            </w:pPr>
            <w:r w:rsidRPr="00AA178B">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24072715" w:rsidR="00E326BA" w:rsidRPr="00AA178B" w:rsidRDefault="00E326BA" w:rsidP="00AA178B">
            <w:pPr>
              <w:rPr>
                <w:rFonts w:cs="Arial"/>
                <w:szCs w:val="20"/>
              </w:rPr>
            </w:pPr>
            <w:r w:rsidRPr="00AA178B">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066E4547" w:rsidR="00E326BA" w:rsidRPr="00AA178B" w:rsidRDefault="00AA178B" w:rsidP="00920905">
            <w:pPr>
              <w:rPr>
                <w:rFonts w:cs="Arial"/>
                <w:szCs w:val="20"/>
              </w:rPr>
            </w:pPr>
            <w:r w:rsidRPr="00AA178B">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57A05512" w14:textId="77777777" w:rsidR="00AA79ED" w:rsidRDefault="00AA79ED" w:rsidP="00920905">
      <w:pPr>
        <w:pStyle w:val="NoSpacing"/>
      </w:pPr>
    </w:p>
    <w:p w14:paraId="5A6AEFB6" w14:textId="037E529D" w:rsidR="00CF0841" w:rsidRPr="00916EE1" w:rsidRDefault="00AA79ED" w:rsidP="00AA79ED">
      <w:pPr>
        <w:pStyle w:val="Caption"/>
        <w:rPr>
          <w:b w:val="0"/>
        </w:rPr>
      </w:pPr>
      <w:r w:rsidRPr="00916EE1">
        <w:rPr>
          <w:b w:val="0"/>
        </w:rPr>
        <w:t>Net to Gross Ratio</w:t>
      </w:r>
    </w:p>
    <w:tbl>
      <w:tblPr>
        <w:tblStyle w:val="TableGrid1"/>
        <w:tblW w:w="5000" w:type="pct"/>
        <w:tblLayout w:type="fixed"/>
        <w:tblLook w:val="01E0" w:firstRow="1" w:lastRow="1" w:firstColumn="1" w:lastColumn="1" w:noHBand="0" w:noVBand="0"/>
      </w:tblPr>
      <w:tblGrid>
        <w:gridCol w:w="1289"/>
        <w:gridCol w:w="3777"/>
        <w:gridCol w:w="90"/>
        <w:gridCol w:w="737"/>
        <w:gridCol w:w="94"/>
        <w:gridCol w:w="921"/>
        <w:gridCol w:w="92"/>
        <w:gridCol w:w="1754"/>
        <w:gridCol w:w="822"/>
      </w:tblGrid>
      <w:tr w:rsidR="005F69D5" w:rsidRPr="00500C4E" w14:paraId="7ADA6C1A" w14:textId="77777777" w:rsidTr="00F63DEF">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972"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2" w:type="pct"/>
            <w:gridSpan w:val="2"/>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30" w:type="pct"/>
            <w:gridSpan w:val="2"/>
            <w:shd w:val="clear" w:color="auto" w:fill="D9D9D9" w:themeFill="background1" w:themeFillShade="D9"/>
          </w:tcPr>
          <w:p w14:paraId="7DB97D70" w14:textId="6D31CB21" w:rsidR="000968C6" w:rsidRPr="00920905" w:rsidRDefault="00F63DEF" w:rsidP="005729C8">
            <w:pPr>
              <w:rPr>
                <w:rFonts w:cstheme="minorHAnsi"/>
                <w:b/>
                <w:szCs w:val="20"/>
              </w:rPr>
            </w:pPr>
            <w:proofErr w:type="spellStart"/>
            <w:r w:rsidRPr="00920905">
              <w:rPr>
                <w:rFonts w:cstheme="minorHAnsi"/>
                <w:b/>
                <w:szCs w:val="20"/>
              </w:rPr>
              <w:t>BldgType</w:t>
            </w:r>
            <w:proofErr w:type="spellEnd"/>
          </w:p>
        </w:tc>
        <w:tc>
          <w:tcPr>
            <w:tcW w:w="964" w:type="pct"/>
            <w:gridSpan w:val="2"/>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29"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BE6BBA" w:rsidRPr="007B2A04" w14:paraId="107B4140" w14:textId="77777777" w:rsidTr="00D26922">
        <w:tc>
          <w:tcPr>
            <w:tcW w:w="673" w:type="pct"/>
          </w:tcPr>
          <w:p w14:paraId="41D428D8" w14:textId="77777777" w:rsidR="00BE6BBA" w:rsidRPr="007B2A04" w:rsidRDefault="00BE6BBA" w:rsidP="00B924C9">
            <w:pPr>
              <w:rPr>
                <w:szCs w:val="20"/>
              </w:rPr>
            </w:pPr>
            <w:r w:rsidRPr="007B2A04">
              <w:rPr>
                <w:szCs w:val="20"/>
              </w:rPr>
              <w:t>Com-Default&gt;2yrs</w:t>
            </w:r>
          </w:p>
        </w:tc>
        <w:tc>
          <w:tcPr>
            <w:tcW w:w="2019" w:type="pct"/>
            <w:gridSpan w:val="2"/>
          </w:tcPr>
          <w:p w14:paraId="032FC6FB" w14:textId="77777777" w:rsidR="00BE6BBA" w:rsidRPr="007B2A04" w:rsidRDefault="00BE6BBA" w:rsidP="00B924C9">
            <w:pPr>
              <w:rPr>
                <w:szCs w:val="20"/>
              </w:rPr>
            </w:pPr>
            <w:r w:rsidRPr="007B2A04">
              <w:rPr>
                <w:szCs w:val="20"/>
              </w:rPr>
              <w:t>All other EEMs with no evaluated NTGR; existing EEM in programs with same delivery mechanism for more than 2 years</w:t>
            </w:r>
          </w:p>
        </w:tc>
        <w:tc>
          <w:tcPr>
            <w:tcW w:w="434" w:type="pct"/>
            <w:gridSpan w:val="2"/>
          </w:tcPr>
          <w:p w14:paraId="5AF13CDC" w14:textId="77777777" w:rsidR="00BE6BBA" w:rsidRPr="007B2A04" w:rsidRDefault="00BE6BBA" w:rsidP="00B924C9">
            <w:pPr>
              <w:rPr>
                <w:szCs w:val="20"/>
              </w:rPr>
            </w:pPr>
            <w:r w:rsidRPr="007B2A04">
              <w:rPr>
                <w:szCs w:val="20"/>
              </w:rPr>
              <w:t>Com</w:t>
            </w:r>
          </w:p>
        </w:tc>
        <w:tc>
          <w:tcPr>
            <w:tcW w:w="529" w:type="pct"/>
            <w:gridSpan w:val="2"/>
          </w:tcPr>
          <w:p w14:paraId="73B8AE2B" w14:textId="77777777" w:rsidR="00BE6BBA" w:rsidRPr="007B2A04" w:rsidRDefault="00BE6BBA" w:rsidP="00B924C9">
            <w:pPr>
              <w:rPr>
                <w:szCs w:val="20"/>
              </w:rPr>
            </w:pPr>
            <w:r w:rsidRPr="007B2A04">
              <w:rPr>
                <w:szCs w:val="20"/>
              </w:rPr>
              <w:t>Any</w:t>
            </w:r>
          </w:p>
        </w:tc>
        <w:tc>
          <w:tcPr>
            <w:tcW w:w="916" w:type="pct"/>
          </w:tcPr>
          <w:p w14:paraId="0EFEAE32" w14:textId="77777777" w:rsidR="00BE6BBA" w:rsidRPr="007B2A04" w:rsidRDefault="00BE6BBA" w:rsidP="00B924C9">
            <w:pPr>
              <w:rPr>
                <w:szCs w:val="20"/>
              </w:rPr>
            </w:pPr>
            <w:r w:rsidRPr="007B2A04">
              <w:rPr>
                <w:szCs w:val="20"/>
              </w:rPr>
              <w:t>Any</w:t>
            </w:r>
          </w:p>
        </w:tc>
        <w:tc>
          <w:tcPr>
            <w:tcW w:w="429" w:type="pct"/>
          </w:tcPr>
          <w:p w14:paraId="5B6D7055" w14:textId="77777777" w:rsidR="00BE6BBA" w:rsidRPr="007B2A04" w:rsidRDefault="00BE6BBA" w:rsidP="00B924C9">
            <w:pPr>
              <w:rPr>
                <w:szCs w:val="20"/>
              </w:rPr>
            </w:pPr>
            <w:r w:rsidRPr="007B2A04">
              <w:rPr>
                <w:szCs w:val="20"/>
              </w:rPr>
              <w:t>0.6</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0620301E" w14:textId="3353E971" w:rsidR="005E73AA" w:rsidRPr="00920905" w:rsidRDefault="005E73AA" w:rsidP="00AA79ED">
      <w:pPr>
        <w:pStyle w:val="Caption"/>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5E73AA" w:rsidRDefault="002F4E34" w:rsidP="005729C8">
            <w:pPr>
              <w:rPr>
                <w:szCs w:val="20"/>
              </w:rPr>
            </w:pPr>
            <w:r w:rsidRPr="005E73AA">
              <w:rPr>
                <w:szCs w:val="20"/>
              </w:rPr>
              <w:t>Def-GSIA</w:t>
            </w:r>
          </w:p>
        </w:tc>
        <w:tc>
          <w:tcPr>
            <w:tcW w:w="1404" w:type="pct"/>
          </w:tcPr>
          <w:p w14:paraId="2BFFF598" w14:textId="77777777" w:rsidR="002F4E34" w:rsidRPr="005E73AA" w:rsidRDefault="002F4E34" w:rsidP="005729C8">
            <w:pPr>
              <w:rPr>
                <w:szCs w:val="20"/>
              </w:rPr>
            </w:pPr>
            <w:r w:rsidRPr="005E73AA">
              <w:rPr>
                <w:szCs w:val="20"/>
              </w:rPr>
              <w:t>Default GSIA values</w:t>
            </w:r>
          </w:p>
        </w:tc>
        <w:tc>
          <w:tcPr>
            <w:tcW w:w="688" w:type="pct"/>
          </w:tcPr>
          <w:p w14:paraId="157D8A62" w14:textId="77777777" w:rsidR="002F4E34" w:rsidRPr="005E73AA" w:rsidRDefault="002F4E34" w:rsidP="005729C8">
            <w:pPr>
              <w:rPr>
                <w:szCs w:val="20"/>
              </w:rPr>
            </w:pPr>
            <w:r w:rsidRPr="005E73AA">
              <w:rPr>
                <w:szCs w:val="20"/>
              </w:rPr>
              <w:t>Any</w:t>
            </w:r>
          </w:p>
        </w:tc>
        <w:tc>
          <w:tcPr>
            <w:tcW w:w="858" w:type="pct"/>
          </w:tcPr>
          <w:p w14:paraId="0C3293FE" w14:textId="77777777" w:rsidR="002F4E34" w:rsidRPr="005E73AA" w:rsidRDefault="002F4E34" w:rsidP="005729C8">
            <w:pPr>
              <w:rPr>
                <w:szCs w:val="20"/>
              </w:rPr>
            </w:pPr>
            <w:r w:rsidRPr="005E73AA">
              <w:rPr>
                <w:szCs w:val="20"/>
              </w:rPr>
              <w:t>Any</w:t>
            </w:r>
          </w:p>
        </w:tc>
        <w:tc>
          <w:tcPr>
            <w:tcW w:w="693" w:type="pct"/>
          </w:tcPr>
          <w:p w14:paraId="0B642835" w14:textId="77777777" w:rsidR="002F4E34" w:rsidRPr="005E73AA" w:rsidRDefault="002F4E34" w:rsidP="005729C8">
            <w:pPr>
              <w:rPr>
                <w:szCs w:val="20"/>
              </w:rPr>
            </w:pPr>
            <w:r w:rsidRPr="005E73AA">
              <w:rPr>
                <w:szCs w:val="20"/>
              </w:rPr>
              <w:t>Any</w:t>
            </w:r>
          </w:p>
        </w:tc>
        <w:tc>
          <w:tcPr>
            <w:tcW w:w="634" w:type="pct"/>
          </w:tcPr>
          <w:p w14:paraId="1C671DD2" w14:textId="77777777" w:rsidR="002F4E34" w:rsidRPr="005E73AA" w:rsidRDefault="002F4E34" w:rsidP="005729C8">
            <w:pPr>
              <w:rPr>
                <w:szCs w:val="20"/>
              </w:rPr>
            </w:pPr>
            <w:r w:rsidRPr="005E73AA">
              <w:rPr>
                <w:szCs w:val="20"/>
              </w:rPr>
              <w:t>1</w:t>
            </w:r>
          </w:p>
        </w:tc>
      </w:tr>
    </w:tbl>
    <w:p w14:paraId="7C0BC8F3" w14:textId="77777777" w:rsidR="00A30BF1" w:rsidRDefault="00A30BF1" w:rsidP="008B1357">
      <w:pPr>
        <w:rPr>
          <w:rFonts w:cstheme="minorHAnsi"/>
          <w:b/>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0FB41D1F" w:rsidR="008B1357" w:rsidRDefault="006A6D15" w:rsidP="00920905">
      <w:pPr>
        <w:pStyle w:val="NoSpacing"/>
      </w:pPr>
      <w:r w:rsidRPr="0087393E">
        <w:t xml:space="preserve">The EUL and RUL values were obtained </w:t>
      </w:r>
      <w:r w:rsidR="00BC6524" w:rsidRPr="0087393E">
        <w:t>using the DEER READI tool</w:t>
      </w:r>
      <w:r w:rsidR="00550308">
        <w:t xml:space="preserve"> version 2.4.7</w:t>
      </w:r>
      <w:r w:rsidRPr="0087393E">
        <w:t xml:space="preserve">. </w:t>
      </w:r>
    </w:p>
    <w:p w14:paraId="128B7E13" w14:textId="77777777" w:rsidR="00550308" w:rsidRDefault="00550308" w:rsidP="00920905">
      <w:pPr>
        <w:pStyle w:val="NoSpacing"/>
      </w:pPr>
    </w:p>
    <w:p w14:paraId="02193E1F" w14:textId="71F4015A" w:rsidR="00BB2A52" w:rsidRPr="00916EE1" w:rsidRDefault="003D6124" w:rsidP="00AA79ED">
      <w:pPr>
        <w:pStyle w:val="Caption"/>
        <w:rPr>
          <w:b w:val="0"/>
        </w:rPr>
      </w:pPr>
      <w:r w:rsidRPr="00916EE1">
        <w:rPr>
          <w:b w:val="0"/>
        </w:rPr>
        <w:t>E</w:t>
      </w:r>
      <w:r w:rsidR="00AA79ED" w:rsidRPr="00916EE1">
        <w:rPr>
          <w:b w:val="0"/>
        </w:rPr>
        <w:t>ffective Useful Life</w:t>
      </w:r>
    </w:p>
    <w:tbl>
      <w:tblPr>
        <w:tblStyle w:val="TableGrid1"/>
        <w:tblW w:w="5000" w:type="pct"/>
        <w:tblLook w:val="04A0" w:firstRow="1" w:lastRow="0" w:firstColumn="1" w:lastColumn="0" w:noHBand="0" w:noVBand="1"/>
      </w:tblPr>
      <w:tblGrid>
        <w:gridCol w:w="1579"/>
        <w:gridCol w:w="2749"/>
        <w:gridCol w:w="907"/>
        <w:gridCol w:w="1300"/>
        <w:gridCol w:w="1555"/>
        <w:gridCol w:w="1486"/>
      </w:tblGrid>
      <w:tr w:rsidR="008B1357" w:rsidRPr="00500C4E" w14:paraId="5A9EC2BE" w14:textId="77777777" w:rsidTr="00BB2A52">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B2A52" w:rsidRPr="00500C4E" w14:paraId="23E3B0B0" w14:textId="77777777" w:rsidTr="00BB2A52">
        <w:trPr>
          <w:trHeight w:val="243"/>
        </w:trPr>
        <w:tc>
          <w:tcPr>
            <w:tcW w:w="824" w:type="pct"/>
          </w:tcPr>
          <w:p w14:paraId="17A1D7F4" w14:textId="7673E00B" w:rsidR="00BB2A52" w:rsidRPr="00500C4E" w:rsidRDefault="00BB2A52" w:rsidP="00BB2A52">
            <w:pPr>
              <w:rPr>
                <w:color w:val="FF0000"/>
                <w:szCs w:val="20"/>
              </w:rPr>
            </w:pPr>
            <w:proofErr w:type="spellStart"/>
            <w:r>
              <w:rPr>
                <w:szCs w:val="20"/>
              </w:rPr>
              <w:t>FoodHandWrap</w:t>
            </w:r>
            <w:proofErr w:type="spellEnd"/>
          </w:p>
        </w:tc>
        <w:tc>
          <w:tcPr>
            <w:tcW w:w="1435" w:type="pct"/>
          </w:tcPr>
          <w:p w14:paraId="36E678D1" w14:textId="4643A848" w:rsidR="00BB2A52" w:rsidRPr="00500C4E" w:rsidRDefault="00BB2A52" w:rsidP="00BB2A52">
            <w:pPr>
              <w:rPr>
                <w:color w:val="FF0000"/>
                <w:szCs w:val="20"/>
              </w:rPr>
            </w:pPr>
            <w:r>
              <w:rPr>
                <w:szCs w:val="20"/>
              </w:rPr>
              <w:t>Hand Wrap Machine</w:t>
            </w:r>
          </w:p>
        </w:tc>
        <w:tc>
          <w:tcPr>
            <w:tcW w:w="473" w:type="pct"/>
          </w:tcPr>
          <w:p w14:paraId="42B5C736" w14:textId="6AE5CA06" w:rsidR="00BB2A52" w:rsidRPr="00500C4E" w:rsidRDefault="00BB2A52" w:rsidP="00BB2A52">
            <w:pPr>
              <w:rPr>
                <w:color w:val="FF0000"/>
                <w:szCs w:val="20"/>
              </w:rPr>
            </w:pPr>
            <w:r w:rsidRPr="00B30A3A">
              <w:rPr>
                <w:szCs w:val="20"/>
              </w:rPr>
              <w:t>Com</w:t>
            </w:r>
          </w:p>
        </w:tc>
        <w:tc>
          <w:tcPr>
            <w:tcW w:w="679" w:type="pct"/>
          </w:tcPr>
          <w:p w14:paraId="52A841ED" w14:textId="45813B53" w:rsidR="00BB2A52" w:rsidRPr="00500C4E" w:rsidRDefault="00BB2A52" w:rsidP="00BB2A52">
            <w:pPr>
              <w:rPr>
                <w:color w:val="FF0000"/>
                <w:szCs w:val="20"/>
              </w:rPr>
            </w:pPr>
            <w:proofErr w:type="spellStart"/>
            <w:r w:rsidRPr="00B30A3A">
              <w:rPr>
                <w:szCs w:val="20"/>
              </w:rPr>
              <w:t>FoodServ</w:t>
            </w:r>
            <w:proofErr w:type="spellEnd"/>
          </w:p>
        </w:tc>
        <w:tc>
          <w:tcPr>
            <w:tcW w:w="812" w:type="pct"/>
          </w:tcPr>
          <w:p w14:paraId="1BF5FCBD" w14:textId="31B7F70B" w:rsidR="00BB2A52" w:rsidRPr="00500C4E" w:rsidRDefault="00BB2A52" w:rsidP="00BB2A52">
            <w:pPr>
              <w:rPr>
                <w:color w:val="FF0000"/>
                <w:szCs w:val="20"/>
              </w:rPr>
            </w:pPr>
            <w:r w:rsidRPr="0053566A">
              <w:rPr>
                <w:szCs w:val="20"/>
              </w:rPr>
              <w:t>10</w:t>
            </w:r>
          </w:p>
        </w:tc>
        <w:tc>
          <w:tcPr>
            <w:tcW w:w="776" w:type="pct"/>
          </w:tcPr>
          <w:p w14:paraId="46ED97C1" w14:textId="63D49B2A" w:rsidR="00BB2A52" w:rsidRPr="00500C4E" w:rsidRDefault="001B724A" w:rsidP="00BB2A52">
            <w:pPr>
              <w:rPr>
                <w:color w:val="FF0000"/>
                <w:szCs w:val="20"/>
              </w:rPr>
            </w:pPr>
            <w:r>
              <w:rPr>
                <w:szCs w:val="20"/>
              </w:rPr>
              <w:t>N/A</w:t>
            </w:r>
          </w:p>
        </w:tc>
      </w:tr>
    </w:tbl>
    <w:p w14:paraId="70FE2727" w14:textId="77777777" w:rsidR="00E16609"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588E2A68" w14:textId="5F835247" w:rsidR="00394DFD" w:rsidRPr="00B551A8" w:rsidRDefault="00394DFD" w:rsidP="00394DFD">
      <w:pPr>
        <w:rPr>
          <w:rFonts w:cstheme="minorHAnsi"/>
          <w:szCs w:val="22"/>
        </w:rPr>
      </w:pPr>
      <w:r w:rsidRPr="00B551A8">
        <w:rPr>
          <w:rFonts w:cstheme="minorHAnsi"/>
          <w:b/>
          <w:szCs w:val="22"/>
        </w:rPr>
        <w:t xml:space="preserve">Title 24 </w:t>
      </w:r>
      <w:r>
        <w:rPr>
          <w:rFonts w:cstheme="minorHAnsi"/>
          <w:b/>
          <w:szCs w:val="22"/>
        </w:rPr>
        <w:t>(</w:t>
      </w:r>
      <w:r w:rsidRPr="00B551A8">
        <w:rPr>
          <w:rFonts w:cstheme="minorHAnsi"/>
          <w:b/>
          <w:szCs w:val="22"/>
        </w:rPr>
        <w:t>201</w:t>
      </w:r>
      <w:r w:rsidR="001B724A">
        <w:rPr>
          <w:rFonts w:cstheme="minorHAnsi"/>
          <w:b/>
          <w:szCs w:val="22"/>
        </w:rPr>
        <w:t>6</w:t>
      </w:r>
      <w:r>
        <w:rPr>
          <w:rFonts w:cstheme="minorHAnsi"/>
          <w:b/>
          <w:szCs w:val="22"/>
        </w:rPr>
        <w:t>) [</w:t>
      </w:r>
      <w:r w:rsidR="00557361">
        <w:rPr>
          <w:rFonts w:cstheme="minorHAnsi"/>
          <w:b/>
          <w:szCs w:val="22"/>
        </w:rPr>
        <w:t>496</w:t>
      </w:r>
      <w:r>
        <w:rPr>
          <w:rFonts w:cstheme="minorHAnsi"/>
          <w:b/>
          <w:szCs w:val="22"/>
        </w:rPr>
        <w:t>]</w:t>
      </w:r>
      <w:r w:rsidRPr="00B551A8">
        <w:rPr>
          <w:rFonts w:cstheme="minorHAnsi"/>
          <w:b/>
          <w:szCs w:val="22"/>
        </w:rPr>
        <w:t>:</w:t>
      </w:r>
      <w:r w:rsidRPr="00B551A8">
        <w:rPr>
          <w:rFonts w:cstheme="minorHAnsi"/>
          <w:szCs w:val="22"/>
        </w:rPr>
        <w:t xml:space="preserve"> These measures do not fall under Title 24 of the California Energy Regulations.</w:t>
      </w:r>
    </w:p>
    <w:p w14:paraId="60FDC40D" w14:textId="77777777" w:rsidR="00394DFD" w:rsidRPr="00B551A8" w:rsidRDefault="00394DFD" w:rsidP="00394DFD">
      <w:pPr>
        <w:rPr>
          <w:rFonts w:cstheme="minorHAnsi"/>
          <w:szCs w:val="22"/>
        </w:rPr>
      </w:pPr>
    </w:p>
    <w:p w14:paraId="025712A0" w14:textId="5413E8BF" w:rsidR="00394DFD" w:rsidRPr="00B551A8" w:rsidRDefault="00394DFD" w:rsidP="00394DFD">
      <w:pPr>
        <w:rPr>
          <w:rFonts w:cstheme="minorHAnsi"/>
          <w:szCs w:val="22"/>
        </w:rPr>
      </w:pPr>
      <w:r w:rsidRPr="00B551A8">
        <w:rPr>
          <w:rFonts w:cstheme="minorHAnsi"/>
          <w:b/>
          <w:szCs w:val="22"/>
        </w:rPr>
        <w:t xml:space="preserve">Title 20 </w:t>
      </w:r>
      <w:r>
        <w:rPr>
          <w:rFonts w:cstheme="minorHAnsi"/>
          <w:b/>
          <w:szCs w:val="22"/>
        </w:rPr>
        <w:t>(</w:t>
      </w:r>
      <w:r w:rsidR="005B43D9">
        <w:rPr>
          <w:rFonts w:cstheme="minorHAnsi"/>
          <w:b/>
          <w:szCs w:val="22"/>
        </w:rPr>
        <w:t>2015) [493</w:t>
      </w:r>
      <w:r>
        <w:rPr>
          <w:rFonts w:cstheme="minorHAnsi"/>
          <w:b/>
          <w:szCs w:val="22"/>
        </w:rPr>
        <w:t>]</w:t>
      </w:r>
      <w:r w:rsidRPr="00B551A8">
        <w:rPr>
          <w:rFonts w:cstheme="minorHAnsi"/>
          <w:b/>
          <w:szCs w:val="22"/>
        </w:rPr>
        <w:t>:</w:t>
      </w:r>
      <w:r w:rsidRPr="00B551A8">
        <w:rPr>
          <w:rFonts w:cstheme="minorHAnsi"/>
          <w:szCs w:val="22"/>
        </w:rPr>
        <w:t xml:space="preserve"> </w:t>
      </w:r>
      <w:r>
        <w:rPr>
          <w:rFonts w:cstheme="minorHAnsi"/>
          <w:szCs w:val="22"/>
        </w:rPr>
        <w:t xml:space="preserve">The </w:t>
      </w:r>
      <w:r w:rsidRPr="00B551A8">
        <w:rPr>
          <w:rFonts w:cstheme="minorHAnsi"/>
          <w:szCs w:val="22"/>
        </w:rPr>
        <w:t>Title 20 Appliance Efficiency Regulation</w:t>
      </w:r>
      <w:r>
        <w:rPr>
          <w:rFonts w:cstheme="minorHAnsi"/>
          <w:szCs w:val="22"/>
        </w:rPr>
        <w:t>s</w:t>
      </w:r>
      <w:r w:rsidRPr="00B551A8">
        <w:rPr>
          <w:rFonts w:cstheme="minorHAnsi"/>
          <w:szCs w:val="22"/>
        </w:rPr>
        <w:t xml:space="preserve"> ha</w:t>
      </w:r>
      <w:r>
        <w:rPr>
          <w:rFonts w:cstheme="minorHAnsi"/>
          <w:szCs w:val="22"/>
        </w:rPr>
        <w:t>ve</w:t>
      </w:r>
      <w:r w:rsidRPr="00B551A8">
        <w:rPr>
          <w:rFonts w:cstheme="minorHAnsi"/>
          <w:szCs w:val="22"/>
        </w:rPr>
        <w:t xml:space="preserve"> a category for cooking appliances, but </w:t>
      </w:r>
      <w:r>
        <w:rPr>
          <w:rFonts w:cstheme="minorHAnsi"/>
          <w:szCs w:val="22"/>
        </w:rPr>
        <w:t>hand wrap machines</w:t>
      </w:r>
      <w:r w:rsidRPr="00B551A8">
        <w:rPr>
          <w:rFonts w:cstheme="minorHAnsi"/>
          <w:szCs w:val="22"/>
        </w:rPr>
        <w:t xml:space="preserve"> are not included.</w:t>
      </w:r>
    </w:p>
    <w:p w14:paraId="617226D1" w14:textId="77777777" w:rsidR="00394DFD" w:rsidRPr="00B551A8" w:rsidRDefault="00394DFD" w:rsidP="00394DFD">
      <w:pPr>
        <w:rPr>
          <w:rFonts w:cstheme="minorHAnsi"/>
          <w:b/>
          <w:szCs w:val="22"/>
        </w:rPr>
      </w:pPr>
    </w:p>
    <w:p w14:paraId="7347FD96" w14:textId="21522EE2" w:rsidR="00394DFD" w:rsidRPr="00B551A8" w:rsidRDefault="00394DFD" w:rsidP="00394DFD">
      <w:pPr>
        <w:pStyle w:val="Heading3"/>
        <w:shd w:val="clear" w:color="auto" w:fill="FFFFFF"/>
        <w:spacing w:before="0" w:after="0"/>
        <w:rPr>
          <w:rFonts w:asciiTheme="minorHAnsi" w:hAnsiTheme="minorHAnsi" w:cstheme="minorHAnsi"/>
          <w:b w:val="0"/>
          <w:i/>
          <w:sz w:val="22"/>
          <w:szCs w:val="22"/>
        </w:rPr>
      </w:pPr>
      <w:r w:rsidRPr="00B551A8">
        <w:rPr>
          <w:rFonts w:asciiTheme="minorHAnsi" w:hAnsiTheme="minorHAnsi" w:cstheme="minorHAnsi"/>
          <w:bCs w:val="0"/>
          <w:sz w:val="22"/>
          <w:szCs w:val="22"/>
        </w:rPr>
        <w:t>ASTM Standards:</w:t>
      </w:r>
      <w:r w:rsidRPr="00B551A8">
        <w:rPr>
          <w:rFonts w:asciiTheme="minorHAnsi" w:hAnsiTheme="minorHAnsi" w:cstheme="minorHAnsi"/>
          <w:b w:val="0"/>
          <w:bCs w:val="0"/>
          <w:sz w:val="22"/>
          <w:szCs w:val="22"/>
        </w:rPr>
        <w:t xml:space="preserve"> </w:t>
      </w:r>
      <w:r w:rsidR="00A30BF1">
        <w:rPr>
          <w:rFonts w:asciiTheme="minorHAnsi" w:hAnsiTheme="minorHAnsi" w:cstheme="minorHAnsi"/>
          <w:b w:val="0"/>
          <w:bCs w:val="0"/>
          <w:sz w:val="22"/>
          <w:szCs w:val="22"/>
        </w:rPr>
        <w:t>There are no</w:t>
      </w:r>
      <w:r>
        <w:rPr>
          <w:rFonts w:asciiTheme="minorHAnsi" w:hAnsiTheme="minorHAnsi" w:cstheme="minorHAnsi"/>
          <w:b w:val="0"/>
          <w:bCs w:val="0"/>
          <w:sz w:val="22"/>
          <w:szCs w:val="22"/>
        </w:rPr>
        <w:t xml:space="preserve"> ASTM standards for hand wrap machines.</w:t>
      </w:r>
    </w:p>
    <w:p w14:paraId="2BD85649" w14:textId="77777777" w:rsidR="00394DFD" w:rsidRPr="00B551A8" w:rsidRDefault="00394DFD" w:rsidP="00394DFD">
      <w:pPr>
        <w:rPr>
          <w:rFonts w:cstheme="minorHAnsi"/>
          <w:szCs w:val="22"/>
        </w:rPr>
      </w:pPr>
    </w:p>
    <w:p w14:paraId="2572EC7D" w14:textId="77777777" w:rsidR="00394DFD" w:rsidRPr="00B551A8" w:rsidRDefault="00394DFD" w:rsidP="00394DFD">
      <w:pPr>
        <w:pStyle w:val="Reminders"/>
        <w:rPr>
          <w:rFonts w:asciiTheme="minorHAnsi" w:hAnsiTheme="minorHAnsi" w:cstheme="minorHAnsi"/>
          <w:color w:val="auto"/>
          <w:szCs w:val="22"/>
        </w:rPr>
      </w:pPr>
      <w:r w:rsidRPr="00B551A8">
        <w:rPr>
          <w:rFonts w:asciiTheme="minorHAnsi" w:hAnsiTheme="minorHAnsi" w:cstheme="minorHAnsi"/>
          <w:b/>
          <w:i w:val="0"/>
          <w:color w:val="auto"/>
          <w:szCs w:val="22"/>
        </w:rPr>
        <w:t>Federal Standards:</w:t>
      </w:r>
      <w:r w:rsidRPr="00B551A8">
        <w:rPr>
          <w:rFonts w:asciiTheme="minorHAnsi" w:hAnsiTheme="minorHAnsi" w:cstheme="minorHAnsi"/>
          <w:i w:val="0"/>
          <w:color w:val="auto"/>
          <w:szCs w:val="22"/>
        </w:rPr>
        <w:t xml:space="preserve"> These measures do not fall under Federal DOE or EPA Energy Regulations</w:t>
      </w:r>
      <w:r>
        <w:rPr>
          <w:rFonts w:asciiTheme="minorHAnsi" w:hAnsiTheme="minorHAnsi" w:cstheme="minorHAnsi"/>
          <w:i w:val="0"/>
          <w:color w:val="auto"/>
          <w:szCs w:val="22"/>
        </w:rPr>
        <w:t>.</w:t>
      </w:r>
    </w:p>
    <w:p w14:paraId="14E9632B" w14:textId="77777777" w:rsidR="00394DFD" w:rsidRPr="00394DFD" w:rsidRDefault="00394DFD" w:rsidP="00394DFD"/>
    <w:p w14:paraId="284601E7" w14:textId="752FA7BF" w:rsidR="00B07EE5" w:rsidRPr="00916EE1" w:rsidRDefault="005A1078" w:rsidP="00550308">
      <w:pPr>
        <w:pStyle w:val="Caption"/>
        <w:rPr>
          <w:b w:val="0"/>
        </w:rPr>
      </w:pPr>
      <w:r w:rsidRPr="00916EE1">
        <w:rPr>
          <w:rFonts w:cstheme="minorHAnsi"/>
          <w:b w:val="0"/>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394DFD" w:rsidRPr="00500C4E" w14:paraId="41E6B4DA" w14:textId="77777777" w:rsidTr="00920905">
        <w:trPr>
          <w:trHeight w:val="243"/>
        </w:trPr>
        <w:tc>
          <w:tcPr>
            <w:tcW w:w="1155" w:type="pct"/>
          </w:tcPr>
          <w:p w14:paraId="16A44F28" w14:textId="4834F2A0" w:rsidR="00394DFD" w:rsidRPr="00500C4E" w:rsidRDefault="00394DFD" w:rsidP="00394DFD">
            <w:pPr>
              <w:rPr>
                <w:rFonts w:cstheme="minorHAnsi"/>
                <w:szCs w:val="20"/>
              </w:rPr>
            </w:pPr>
            <w:r>
              <w:rPr>
                <w:rFonts w:cstheme="minorHAnsi"/>
                <w:szCs w:val="20"/>
              </w:rPr>
              <w:t>N/A</w:t>
            </w:r>
          </w:p>
        </w:tc>
        <w:tc>
          <w:tcPr>
            <w:tcW w:w="2711" w:type="pct"/>
          </w:tcPr>
          <w:p w14:paraId="387D6828" w14:textId="433D9421" w:rsidR="00394DFD" w:rsidRPr="00500C4E" w:rsidRDefault="00394DFD" w:rsidP="00394DFD">
            <w:pPr>
              <w:rPr>
                <w:rFonts w:cstheme="minorHAnsi"/>
                <w:color w:val="FF0000"/>
                <w:szCs w:val="20"/>
              </w:rPr>
            </w:pPr>
            <w:r w:rsidRPr="00CF55A2">
              <w:rPr>
                <w:rFonts w:cstheme="minorHAnsi"/>
                <w:szCs w:val="20"/>
              </w:rPr>
              <w:t>N/A</w:t>
            </w:r>
          </w:p>
        </w:tc>
        <w:tc>
          <w:tcPr>
            <w:tcW w:w="1134" w:type="pct"/>
          </w:tcPr>
          <w:p w14:paraId="3E1189F8" w14:textId="4296475C" w:rsidR="00394DFD" w:rsidRPr="00500C4E" w:rsidRDefault="00394DFD" w:rsidP="00394DFD">
            <w:pPr>
              <w:rPr>
                <w:rFonts w:cstheme="minorHAnsi"/>
                <w:color w:val="FF0000"/>
                <w:szCs w:val="20"/>
              </w:rPr>
            </w:pPr>
            <w:r w:rsidRPr="00CF55A2">
              <w:rPr>
                <w:rFonts w:cstheme="minorHAnsi"/>
                <w:szCs w:val="20"/>
              </w:rPr>
              <w:t>N/A</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171FE7F6" w14:textId="60570D1B" w:rsidR="00572D2F" w:rsidRDefault="00572D2F" w:rsidP="00920905">
      <w:pPr>
        <w:pStyle w:val="Heading3"/>
        <w:rPr>
          <w:rFonts w:asciiTheme="minorHAnsi" w:hAnsiTheme="minorHAnsi"/>
        </w:rPr>
      </w:pPr>
      <w:r w:rsidRPr="00920905">
        <w:rPr>
          <w:rFonts w:asciiTheme="minorHAnsi" w:hAnsiTheme="minorHAnsi"/>
        </w:rPr>
        <w:t>1.</w:t>
      </w:r>
      <w:r w:rsidR="00A4411F" w:rsidRPr="00920905">
        <w:rPr>
          <w:rFonts w:asciiTheme="minorHAnsi" w:hAnsiTheme="minorHAnsi"/>
        </w:rPr>
        <w:t>5.1</w:t>
      </w:r>
      <w:r w:rsidR="00357353">
        <w:rPr>
          <w:rFonts w:asciiTheme="minorHAnsi" w:hAnsiTheme="minorHAnsi"/>
        </w:rPr>
        <w:t xml:space="preserve"> Non-DEER Study Review </w:t>
      </w:r>
    </w:p>
    <w:p w14:paraId="12F90146" w14:textId="75B2A2F5" w:rsidR="00357353" w:rsidRPr="00357353" w:rsidRDefault="00357353" w:rsidP="00357353">
      <w:r>
        <w:rPr>
          <w:rFonts w:cstheme="minorHAnsi"/>
          <w:szCs w:val="22"/>
        </w:rPr>
        <w:t>Emerging Products study ET13SCE1190 “Vacuum-Sealing and Packaging Machines for Food Service Applications Field Test” [</w:t>
      </w:r>
      <w:r w:rsidRPr="00E73B38">
        <w:rPr>
          <w:rFonts w:cstheme="minorHAnsi"/>
          <w:szCs w:val="22"/>
        </w:rPr>
        <w:t>483</w:t>
      </w:r>
      <w:r>
        <w:rPr>
          <w:rFonts w:cstheme="minorHAnsi"/>
          <w:szCs w:val="22"/>
        </w:rPr>
        <w:t>] was used as the source of savings for this work paper</w:t>
      </w:r>
      <w:r w:rsidRPr="00B27490">
        <w:rPr>
          <w:rFonts w:cstheme="minorHAnsi"/>
          <w:szCs w:val="22"/>
        </w:rPr>
        <w:t>.</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1E682315" w14:textId="1C169FEB" w:rsidR="00D51EA0" w:rsidRPr="00D51EA0" w:rsidRDefault="00D51EA0" w:rsidP="00D51EA0">
      <w:r>
        <w:t>N/A</w:t>
      </w:r>
    </w:p>
    <w:p w14:paraId="015A5544" w14:textId="0BCDDBF9" w:rsidR="00E16609"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0285E8BA" w14:textId="77777777" w:rsidR="0014353E" w:rsidRPr="00B551A8" w:rsidRDefault="0014353E" w:rsidP="0014353E">
      <w:pPr>
        <w:pStyle w:val="Heading2"/>
        <w:rPr>
          <w:rFonts w:asciiTheme="minorHAnsi" w:hAnsiTheme="minorHAnsi" w:cstheme="minorHAnsi"/>
        </w:rPr>
      </w:pPr>
      <w:bookmarkStart w:id="16" w:name="_Toc326215672"/>
      <w:r w:rsidRPr="00B551A8">
        <w:rPr>
          <w:rFonts w:asciiTheme="minorHAnsi" w:hAnsiTheme="minorHAnsi" w:cstheme="minorHAnsi"/>
        </w:rPr>
        <w:t>2.1 Electric Energy Savings Estimation Methodologies</w:t>
      </w:r>
      <w:bookmarkEnd w:id="16"/>
    </w:p>
    <w:p w14:paraId="663DCD1B" w14:textId="77777777" w:rsidR="0014353E" w:rsidRDefault="0014353E" w:rsidP="0014353E">
      <w:pPr>
        <w:pStyle w:val="Reminders"/>
        <w:rPr>
          <w:rFonts w:asciiTheme="minorHAnsi" w:hAnsiTheme="minorHAnsi" w:cstheme="minorHAnsi"/>
          <w:i w:val="0"/>
          <w:color w:val="auto"/>
          <w:szCs w:val="22"/>
        </w:rPr>
      </w:pPr>
      <w:r>
        <w:rPr>
          <w:rFonts w:asciiTheme="minorHAnsi" w:hAnsiTheme="minorHAnsi" w:cstheme="minorHAnsi"/>
          <w:i w:val="0"/>
          <w:color w:val="auto"/>
          <w:szCs w:val="22"/>
        </w:rPr>
        <w:t>Measure savings are the result of eliminating standby losses. Using on-demand controls prevents the heating platform from being maintained at an elevated temperature when not in use. Although an on-demand hand wrap machine has a more powerful heating element than an always-on machine (2 kW compared to 0.55 kW), its total hours of operation are much less. Typical operating hours are 20 hours/day for always-on machines. Since hand wrap machines are not frequently used, there is substantial savings potential.</w:t>
      </w:r>
    </w:p>
    <w:p w14:paraId="6BF28516" w14:textId="77777777" w:rsidR="0014353E" w:rsidRDefault="0014353E" w:rsidP="0014353E">
      <w:pPr>
        <w:pStyle w:val="Reminders"/>
        <w:rPr>
          <w:rFonts w:asciiTheme="minorHAnsi" w:hAnsiTheme="minorHAnsi" w:cstheme="minorHAnsi"/>
          <w:i w:val="0"/>
          <w:color w:val="auto"/>
          <w:szCs w:val="22"/>
        </w:rPr>
      </w:pPr>
    </w:p>
    <w:p w14:paraId="51E88CA2" w14:textId="17EDAA8C" w:rsidR="0014353E" w:rsidRDefault="0014353E" w:rsidP="0014353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Emerging Products study involved field tests with four major supermarket chains found throughout SCE’s service territory. Monitoring was performed at a total of 10 supermarkets, in the bakery, deli and meat departments. Both baseline and measure case hand wrap machines were monitored for six weeks, at a 10 second interval. </w:t>
      </w:r>
      <w:r w:rsidR="008B41E5">
        <w:rPr>
          <w:rFonts w:asciiTheme="minorHAnsi" w:hAnsiTheme="minorHAnsi" w:cstheme="minorHAnsi"/>
          <w:i w:val="0"/>
          <w:color w:val="auto"/>
          <w:szCs w:val="22"/>
        </w:rPr>
        <w:t xml:space="preserve">The </w:t>
      </w:r>
      <w:r w:rsidR="009D7320">
        <w:rPr>
          <w:rFonts w:asciiTheme="minorHAnsi" w:hAnsiTheme="minorHAnsi" w:cstheme="minorHAnsi"/>
          <w:i w:val="0"/>
          <w:color w:val="auto"/>
          <w:szCs w:val="22"/>
        </w:rPr>
        <w:t>table below shows</w:t>
      </w:r>
      <w:r>
        <w:rPr>
          <w:rFonts w:asciiTheme="minorHAnsi" w:hAnsiTheme="minorHAnsi" w:cstheme="minorHAnsi"/>
          <w:i w:val="0"/>
          <w:color w:val="auto"/>
          <w:szCs w:val="22"/>
        </w:rPr>
        <w:t xml:space="preserve"> the results for each chain, and for all chains averaged. For each chain, first an average is taken for all bakery and deli departments, and then another average is taken for all meat departments. Then these two are averaged together. This is done because stores are expected to buy one machine for the bakery and deli, and one for the meat department.</w:t>
      </w:r>
    </w:p>
    <w:p w14:paraId="61681591" w14:textId="77777777" w:rsidR="0014353E" w:rsidRDefault="0014353E" w:rsidP="0014353E">
      <w:pPr>
        <w:pStyle w:val="Reminders"/>
        <w:spacing w:before="0" w:after="0"/>
        <w:rPr>
          <w:rFonts w:asciiTheme="minorHAnsi" w:hAnsiTheme="minorHAnsi" w:cstheme="minorHAnsi"/>
          <w:i w:val="0"/>
          <w:color w:val="auto"/>
          <w:szCs w:val="22"/>
        </w:rPr>
      </w:pPr>
    </w:p>
    <w:p w14:paraId="71103909" w14:textId="66366D67" w:rsidR="0014353E" w:rsidRPr="00916EE1" w:rsidRDefault="00C07C72" w:rsidP="00C07C72">
      <w:pPr>
        <w:pStyle w:val="Caption"/>
        <w:rPr>
          <w:rFonts w:cstheme="minorHAnsi"/>
          <w:b w:val="0"/>
          <w:szCs w:val="22"/>
        </w:rPr>
      </w:pPr>
      <w:r w:rsidRPr="00916EE1">
        <w:rPr>
          <w:rFonts w:cstheme="minorHAnsi"/>
          <w:b w:val="0"/>
          <w:szCs w:val="22"/>
        </w:rPr>
        <w:t>Hand Wrap Machine Savings Calculations</w:t>
      </w:r>
    </w:p>
    <w:tbl>
      <w:tblPr>
        <w:tblStyle w:val="TableGrid1"/>
        <w:tblW w:w="8748" w:type="dxa"/>
        <w:tblLook w:val="04A0" w:firstRow="1" w:lastRow="0" w:firstColumn="1" w:lastColumn="0" w:noHBand="0" w:noVBand="1"/>
      </w:tblPr>
      <w:tblGrid>
        <w:gridCol w:w="3020"/>
        <w:gridCol w:w="1228"/>
        <w:gridCol w:w="1170"/>
        <w:gridCol w:w="1080"/>
        <w:gridCol w:w="1170"/>
        <w:gridCol w:w="1080"/>
      </w:tblGrid>
      <w:tr w:rsidR="0014353E" w:rsidRPr="004A5DB6" w14:paraId="17150F45" w14:textId="77777777" w:rsidTr="0014353E">
        <w:trPr>
          <w:trHeight w:val="276"/>
        </w:trPr>
        <w:tc>
          <w:tcPr>
            <w:tcW w:w="3020" w:type="dxa"/>
            <w:shd w:val="clear" w:color="auto" w:fill="D9D9D9" w:themeFill="background1" w:themeFillShade="D9"/>
            <w:hideMark/>
          </w:tcPr>
          <w:p w14:paraId="1668F48D" w14:textId="77777777" w:rsidR="0014353E" w:rsidRPr="0014353E" w:rsidRDefault="0014353E" w:rsidP="00534D67">
            <w:pPr>
              <w:rPr>
                <w:b/>
                <w:szCs w:val="20"/>
              </w:rPr>
            </w:pPr>
          </w:p>
        </w:tc>
        <w:tc>
          <w:tcPr>
            <w:tcW w:w="1228" w:type="dxa"/>
            <w:shd w:val="clear" w:color="auto" w:fill="D9D9D9" w:themeFill="background1" w:themeFillShade="D9"/>
            <w:hideMark/>
          </w:tcPr>
          <w:p w14:paraId="537A7673" w14:textId="77777777" w:rsidR="0014353E" w:rsidRPr="0014353E" w:rsidRDefault="0014353E" w:rsidP="00534D67">
            <w:pPr>
              <w:rPr>
                <w:rFonts w:ascii="Calibri" w:hAnsi="Calibri"/>
                <w:b/>
                <w:szCs w:val="20"/>
              </w:rPr>
            </w:pPr>
            <w:r w:rsidRPr="0014353E">
              <w:rPr>
                <w:rFonts w:ascii="Calibri" w:hAnsi="Calibri"/>
                <w:b/>
                <w:szCs w:val="20"/>
              </w:rPr>
              <w:t>Chain 1</w:t>
            </w:r>
          </w:p>
        </w:tc>
        <w:tc>
          <w:tcPr>
            <w:tcW w:w="1170" w:type="dxa"/>
            <w:shd w:val="clear" w:color="auto" w:fill="D9D9D9" w:themeFill="background1" w:themeFillShade="D9"/>
            <w:hideMark/>
          </w:tcPr>
          <w:p w14:paraId="1C1F0095" w14:textId="77777777" w:rsidR="0014353E" w:rsidRPr="0014353E" w:rsidRDefault="0014353E" w:rsidP="00534D67">
            <w:pPr>
              <w:rPr>
                <w:rFonts w:ascii="Calibri" w:hAnsi="Calibri"/>
                <w:b/>
                <w:bCs/>
                <w:szCs w:val="20"/>
              </w:rPr>
            </w:pPr>
            <w:r w:rsidRPr="0014353E">
              <w:rPr>
                <w:rFonts w:ascii="Calibri" w:hAnsi="Calibri"/>
                <w:b/>
                <w:szCs w:val="20"/>
              </w:rPr>
              <w:t>Chain 2</w:t>
            </w:r>
          </w:p>
        </w:tc>
        <w:tc>
          <w:tcPr>
            <w:tcW w:w="1080" w:type="dxa"/>
            <w:shd w:val="clear" w:color="auto" w:fill="D9D9D9" w:themeFill="background1" w:themeFillShade="D9"/>
            <w:hideMark/>
          </w:tcPr>
          <w:p w14:paraId="6C660FB2" w14:textId="77777777" w:rsidR="0014353E" w:rsidRPr="0014353E" w:rsidRDefault="0014353E" w:rsidP="00534D67">
            <w:pPr>
              <w:rPr>
                <w:rFonts w:ascii="Calibri" w:hAnsi="Calibri"/>
                <w:b/>
                <w:bCs/>
                <w:szCs w:val="20"/>
              </w:rPr>
            </w:pPr>
            <w:r w:rsidRPr="0014353E">
              <w:rPr>
                <w:rFonts w:ascii="Calibri" w:hAnsi="Calibri"/>
                <w:b/>
                <w:szCs w:val="20"/>
              </w:rPr>
              <w:t>Chain 3</w:t>
            </w:r>
          </w:p>
        </w:tc>
        <w:tc>
          <w:tcPr>
            <w:tcW w:w="1170" w:type="dxa"/>
            <w:shd w:val="clear" w:color="auto" w:fill="D9D9D9" w:themeFill="background1" w:themeFillShade="D9"/>
            <w:hideMark/>
          </w:tcPr>
          <w:p w14:paraId="22750904" w14:textId="77777777" w:rsidR="0014353E" w:rsidRPr="0014353E" w:rsidRDefault="0014353E" w:rsidP="00534D67">
            <w:pPr>
              <w:rPr>
                <w:rFonts w:ascii="Calibri" w:hAnsi="Calibri"/>
                <w:b/>
                <w:bCs/>
                <w:szCs w:val="20"/>
              </w:rPr>
            </w:pPr>
            <w:r w:rsidRPr="0014353E">
              <w:rPr>
                <w:rFonts w:ascii="Calibri" w:hAnsi="Calibri"/>
                <w:b/>
                <w:szCs w:val="20"/>
              </w:rPr>
              <w:t>Chain 4</w:t>
            </w:r>
          </w:p>
        </w:tc>
        <w:tc>
          <w:tcPr>
            <w:tcW w:w="1080" w:type="dxa"/>
            <w:shd w:val="clear" w:color="auto" w:fill="D9D9D9" w:themeFill="background1" w:themeFillShade="D9"/>
            <w:hideMark/>
          </w:tcPr>
          <w:p w14:paraId="7EE7A0E9" w14:textId="77777777" w:rsidR="0014353E" w:rsidRPr="0014353E" w:rsidRDefault="0014353E" w:rsidP="00534D67">
            <w:pPr>
              <w:rPr>
                <w:rFonts w:ascii="Calibri" w:hAnsi="Calibri"/>
                <w:b/>
                <w:bCs/>
                <w:szCs w:val="20"/>
              </w:rPr>
            </w:pPr>
            <w:r w:rsidRPr="0014353E">
              <w:rPr>
                <w:rFonts w:ascii="Calibri" w:hAnsi="Calibri"/>
                <w:b/>
                <w:szCs w:val="20"/>
              </w:rPr>
              <w:t>Average</w:t>
            </w:r>
          </w:p>
        </w:tc>
      </w:tr>
      <w:tr w:rsidR="0014353E" w:rsidRPr="004A5DB6" w14:paraId="2D4962FB" w14:textId="77777777" w:rsidTr="0014353E">
        <w:trPr>
          <w:trHeight w:val="276"/>
        </w:trPr>
        <w:tc>
          <w:tcPr>
            <w:tcW w:w="3020" w:type="dxa"/>
            <w:hideMark/>
          </w:tcPr>
          <w:p w14:paraId="1DF79107" w14:textId="77777777" w:rsidR="0014353E" w:rsidRDefault="0014353E" w:rsidP="00534D67">
            <w:pPr>
              <w:rPr>
                <w:rFonts w:ascii="Calibri" w:hAnsi="Calibri"/>
                <w:szCs w:val="20"/>
              </w:rPr>
            </w:pPr>
            <w:r>
              <w:rPr>
                <w:rFonts w:ascii="Calibri" w:hAnsi="Calibri"/>
                <w:szCs w:val="20"/>
              </w:rPr>
              <w:t>Baseline Annual Usage (kWh)</w:t>
            </w:r>
          </w:p>
        </w:tc>
        <w:tc>
          <w:tcPr>
            <w:tcW w:w="1228" w:type="dxa"/>
            <w:hideMark/>
          </w:tcPr>
          <w:p w14:paraId="3D836D8B" w14:textId="77777777" w:rsidR="0014353E" w:rsidRDefault="0014353E" w:rsidP="00534D67">
            <w:pPr>
              <w:jc w:val="right"/>
              <w:rPr>
                <w:rFonts w:ascii="Calibri" w:hAnsi="Calibri"/>
                <w:szCs w:val="20"/>
              </w:rPr>
            </w:pPr>
            <w:r>
              <w:rPr>
                <w:rFonts w:ascii="Calibri" w:hAnsi="Calibri"/>
                <w:szCs w:val="20"/>
              </w:rPr>
              <w:t>2,310.55</w:t>
            </w:r>
          </w:p>
        </w:tc>
        <w:tc>
          <w:tcPr>
            <w:tcW w:w="1170" w:type="dxa"/>
            <w:hideMark/>
          </w:tcPr>
          <w:p w14:paraId="760E4994" w14:textId="77777777" w:rsidR="0014353E" w:rsidRDefault="0014353E" w:rsidP="00534D67">
            <w:pPr>
              <w:jc w:val="right"/>
              <w:rPr>
                <w:rFonts w:ascii="Calibri" w:hAnsi="Calibri"/>
                <w:szCs w:val="20"/>
              </w:rPr>
            </w:pPr>
            <w:r>
              <w:rPr>
                <w:rFonts w:ascii="Calibri" w:hAnsi="Calibri"/>
                <w:szCs w:val="20"/>
              </w:rPr>
              <w:t>1,809.70</w:t>
            </w:r>
          </w:p>
        </w:tc>
        <w:tc>
          <w:tcPr>
            <w:tcW w:w="1080" w:type="dxa"/>
            <w:hideMark/>
          </w:tcPr>
          <w:p w14:paraId="1D29BC09" w14:textId="77777777" w:rsidR="0014353E" w:rsidRDefault="0014353E" w:rsidP="00534D67">
            <w:pPr>
              <w:jc w:val="right"/>
              <w:rPr>
                <w:rFonts w:ascii="Calibri" w:hAnsi="Calibri"/>
                <w:szCs w:val="20"/>
              </w:rPr>
            </w:pPr>
            <w:r>
              <w:rPr>
                <w:rFonts w:ascii="Calibri" w:hAnsi="Calibri"/>
                <w:szCs w:val="20"/>
              </w:rPr>
              <w:t>1,697.20</w:t>
            </w:r>
          </w:p>
        </w:tc>
        <w:tc>
          <w:tcPr>
            <w:tcW w:w="1170" w:type="dxa"/>
            <w:hideMark/>
          </w:tcPr>
          <w:p w14:paraId="651F761D" w14:textId="77777777" w:rsidR="0014353E" w:rsidRDefault="0014353E" w:rsidP="00534D67">
            <w:pPr>
              <w:jc w:val="right"/>
              <w:rPr>
                <w:rFonts w:ascii="Calibri" w:hAnsi="Calibri"/>
                <w:szCs w:val="20"/>
              </w:rPr>
            </w:pPr>
            <w:r>
              <w:rPr>
                <w:rFonts w:ascii="Calibri" w:hAnsi="Calibri"/>
                <w:szCs w:val="20"/>
              </w:rPr>
              <w:t>1,983.14</w:t>
            </w:r>
          </w:p>
        </w:tc>
        <w:tc>
          <w:tcPr>
            <w:tcW w:w="1080" w:type="dxa"/>
            <w:hideMark/>
          </w:tcPr>
          <w:p w14:paraId="0303365E" w14:textId="77777777" w:rsidR="0014353E" w:rsidRDefault="0014353E" w:rsidP="00534D67">
            <w:pPr>
              <w:jc w:val="right"/>
              <w:rPr>
                <w:rFonts w:ascii="Calibri" w:hAnsi="Calibri"/>
                <w:szCs w:val="20"/>
              </w:rPr>
            </w:pPr>
          </w:p>
        </w:tc>
      </w:tr>
      <w:tr w:rsidR="0014353E" w:rsidRPr="004A5DB6" w14:paraId="5A081750" w14:textId="77777777" w:rsidTr="0014353E">
        <w:trPr>
          <w:trHeight w:val="276"/>
        </w:trPr>
        <w:tc>
          <w:tcPr>
            <w:tcW w:w="3020" w:type="dxa"/>
            <w:hideMark/>
          </w:tcPr>
          <w:p w14:paraId="7366FED1" w14:textId="77777777" w:rsidR="0014353E" w:rsidRDefault="0014353E" w:rsidP="00534D67">
            <w:pPr>
              <w:rPr>
                <w:rFonts w:ascii="Calibri" w:hAnsi="Calibri"/>
                <w:szCs w:val="20"/>
              </w:rPr>
            </w:pPr>
            <w:r>
              <w:rPr>
                <w:rFonts w:ascii="Calibri" w:hAnsi="Calibri"/>
                <w:szCs w:val="20"/>
              </w:rPr>
              <w:t>Measure Annual Usage (kWh)</w:t>
            </w:r>
          </w:p>
        </w:tc>
        <w:tc>
          <w:tcPr>
            <w:tcW w:w="1228" w:type="dxa"/>
            <w:hideMark/>
          </w:tcPr>
          <w:p w14:paraId="514A7B48" w14:textId="77777777" w:rsidR="0014353E" w:rsidRDefault="0014353E" w:rsidP="00534D67">
            <w:pPr>
              <w:jc w:val="right"/>
              <w:rPr>
                <w:rFonts w:ascii="Calibri" w:hAnsi="Calibri"/>
                <w:szCs w:val="20"/>
              </w:rPr>
            </w:pPr>
            <w:r>
              <w:rPr>
                <w:rFonts w:ascii="Calibri" w:hAnsi="Calibri"/>
                <w:szCs w:val="20"/>
              </w:rPr>
              <w:t>411.64</w:t>
            </w:r>
          </w:p>
        </w:tc>
        <w:tc>
          <w:tcPr>
            <w:tcW w:w="1170" w:type="dxa"/>
            <w:hideMark/>
          </w:tcPr>
          <w:p w14:paraId="31684D9A" w14:textId="77777777" w:rsidR="0014353E" w:rsidRDefault="0014353E" w:rsidP="00534D67">
            <w:pPr>
              <w:jc w:val="right"/>
              <w:rPr>
                <w:rFonts w:ascii="Calibri" w:hAnsi="Calibri"/>
                <w:szCs w:val="20"/>
              </w:rPr>
            </w:pPr>
            <w:r>
              <w:rPr>
                <w:rFonts w:ascii="Calibri" w:hAnsi="Calibri"/>
                <w:szCs w:val="20"/>
              </w:rPr>
              <w:t>395.10</w:t>
            </w:r>
          </w:p>
        </w:tc>
        <w:tc>
          <w:tcPr>
            <w:tcW w:w="1080" w:type="dxa"/>
            <w:hideMark/>
          </w:tcPr>
          <w:p w14:paraId="0975DBA0" w14:textId="77777777" w:rsidR="0014353E" w:rsidRDefault="0014353E" w:rsidP="00534D67">
            <w:pPr>
              <w:jc w:val="right"/>
              <w:rPr>
                <w:rFonts w:ascii="Calibri" w:hAnsi="Calibri"/>
                <w:szCs w:val="20"/>
              </w:rPr>
            </w:pPr>
            <w:r>
              <w:rPr>
                <w:rFonts w:ascii="Calibri" w:hAnsi="Calibri"/>
                <w:szCs w:val="20"/>
              </w:rPr>
              <w:t>452.30</w:t>
            </w:r>
          </w:p>
        </w:tc>
        <w:tc>
          <w:tcPr>
            <w:tcW w:w="1170" w:type="dxa"/>
            <w:hideMark/>
          </w:tcPr>
          <w:p w14:paraId="097731F7" w14:textId="77777777" w:rsidR="0014353E" w:rsidRDefault="0014353E" w:rsidP="00534D67">
            <w:pPr>
              <w:jc w:val="right"/>
              <w:rPr>
                <w:rFonts w:ascii="Calibri" w:hAnsi="Calibri"/>
                <w:szCs w:val="20"/>
              </w:rPr>
            </w:pPr>
            <w:r>
              <w:rPr>
                <w:rFonts w:ascii="Calibri" w:hAnsi="Calibri"/>
                <w:szCs w:val="20"/>
              </w:rPr>
              <w:t>361.21</w:t>
            </w:r>
          </w:p>
        </w:tc>
        <w:tc>
          <w:tcPr>
            <w:tcW w:w="1080" w:type="dxa"/>
            <w:hideMark/>
          </w:tcPr>
          <w:p w14:paraId="3CC483FB" w14:textId="77777777" w:rsidR="0014353E" w:rsidRDefault="0014353E" w:rsidP="00534D67">
            <w:pPr>
              <w:jc w:val="right"/>
              <w:rPr>
                <w:rFonts w:ascii="Calibri" w:hAnsi="Calibri"/>
                <w:szCs w:val="20"/>
              </w:rPr>
            </w:pPr>
          </w:p>
        </w:tc>
      </w:tr>
      <w:tr w:rsidR="0014353E" w:rsidRPr="004A5DB6" w14:paraId="0D84F05E" w14:textId="77777777" w:rsidTr="0014353E">
        <w:trPr>
          <w:trHeight w:val="276"/>
        </w:trPr>
        <w:tc>
          <w:tcPr>
            <w:tcW w:w="3020" w:type="dxa"/>
            <w:hideMark/>
          </w:tcPr>
          <w:p w14:paraId="03733DD2" w14:textId="77777777" w:rsidR="0014353E" w:rsidRPr="00987777" w:rsidRDefault="0014353E" w:rsidP="00534D67">
            <w:pPr>
              <w:rPr>
                <w:rFonts w:ascii="Calibri" w:hAnsi="Calibri"/>
                <w:b/>
                <w:szCs w:val="20"/>
              </w:rPr>
            </w:pPr>
            <w:r w:rsidRPr="00987777">
              <w:rPr>
                <w:rFonts w:ascii="Calibri" w:hAnsi="Calibri"/>
                <w:b/>
                <w:szCs w:val="20"/>
              </w:rPr>
              <w:t>Annual Savings per unit (kWh)</w:t>
            </w:r>
          </w:p>
        </w:tc>
        <w:tc>
          <w:tcPr>
            <w:tcW w:w="1228" w:type="dxa"/>
            <w:hideMark/>
          </w:tcPr>
          <w:p w14:paraId="77174806" w14:textId="77777777" w:rsidR="0014353E" w:rsidRDefault="0014353E" w:rsidP="00534D67">
            <w:pPr>
              <w:jc w:val="right"/>
              <w:rPr>
                <w:rFonts w:ascii="Calibri" w:hAnsi="Calibri"/>
                <w:szCs w:val="20"/>
              </w:rPr>
            </w:pPr>
            <w:r>
              <w:rPr>
                <w:rFonts w:ascii="Calibri" w:hAnsi="Calibri"/>
                <w:szCs w:val="20"/>
              </w:rPr>
              <w:t>1,898.91</w:t>
            </w:r>
          </w:p>
        </w:tc>
        <w:tc>
          <w:tcPr>
            <w:tcW w:w="1170" w:type="dxa"/>
            <w:hideMark/>
          </w:tcPr>
          <w:p w14:paraId="53330ADC" w14:textId="77777777" w:rsidR="0014353E" w:rsidRDefault="0014353E" w:rsidP="00534D67">
            <w:pPr>
              <w:jc w:val="right"/>
              <w:rPr>
                <w:rFonts w:ascii="Calibri" w:hAnsi="Calibri"/>
                <w:szCs w:val="20"/>
              </w:rPr>
            </w:pPr>
            <w:r>
              <w:rPr>
                <w:rFonts w:ascii="Calibri" w:hAnsi="Calibri"/>
                <w:szCs w:val="20"/>
              </w:rPr>
              <w:t>1,414.60</w:t>
            </w:r>
          </w:p>
        </w:tc>
        <w:tc>
          <w:tcPr>
            <w:tcW w:w="1080" w:type="dxa"/>
            <w:hideMark/>
          </w:tcPr>
          <w:p w14:paraId="68347D59" w14:textId="77777777" w:rsidR="0014353E" w:rsidRDefault="0014353E" w:rsidP="00534D67">
            <w:pPr>
              <w:jc w:val="right"/>
              <w:rPr>
                <w:rFonts w:ascii="Calibri" w:hAnsi="Calibri"/>
                <w:szCs w:val="20"/>
              </w:rPr>
            </w:pPr>
            <w:r>
              <w:rPr>
                <w:rFonts w:ascii="Calibri" w:hAnsi="Calibri"/>
                <w:szCs w:val="20"/>
              </w:rPr>
              <w:t>1,323.90</w:t>
            </w:r>
          </w:p>
        </w:tc>
        <w:tc>
          <w:tcPr>
            <w:tcW w:w="1170" w:type="dxa"/>
            <w:hideMark/>
          </w:tcPr>
          <w:p w14:paraId="40B9C0F5" w14:textId="77777777" w:rsidR="0014353E" w:rsidRDefault="0014353E" w:rsidP="00534D67">
            <w:pPr>
              <w:jc w:val="right"/>
              <w:rPr>
                <w:rFonts w:ascii="Calibri" w:hAnsi="Calibri"/>
                <w:szCs w:val="20"/>
              </w:rPr>
            </w:pPr>
            <w:r>
              <w:rPr>
                <w:rFonts w:ascii="Calibri" w:hAnsi="Calibri"/>
                <w:szCs w:val="20"/>
              </w:rPr>
              <w:t>1,621.93</w:t>
            </w:r>
          </w:p>
        </w:tc>
        <w:tc>
          <w:tcPr>
            <w:tcW w:w="1080" w:type="dxa"/>
            <w:hideMark/>
          </w:tcPr>
          <w:p w14:paraId="312C59FC" w14:textId="77777777" w:rsidR="0014353E" w:rsidRPr="00987777" w:rsidRDefault="0014353E" w:rsidP="00534D67">
            <w:pPr>
              <w:jc w:val="right"/>
              <w:rPr>
                <w:rFonts w:ascii="Calibri" w:hAnsi="Calibri"/>
                <w:b/>
                <w:szCs w:val="20"/>
              </w:rPr>
            </w:pPr>
            <w:r w:rsidRPr="00987777">
              <w:rPr>
                <w:rFonts w:ascii="Calibri" w:hAnsi="Calibri"/>
                <w:b/>
                <w:szCs w:val="20"/>
              </w:rPr>
              <w:t>1,564.83</w:t>
            </w:r>
          </w:p>
        </w:tc>
      </w:tr>
      <w:tr w:rsidR="0014353E" w:rsidRPr="004A5DB6" w14:paraId="1E7D5F9B" w14:textId="77777777" w:rsidTr="0014353E">
        <w:trPr>
          <w:trHeight w:val="276"/>
        </w:trPr>
        <w:tc>
          <w:tcPr>
            <w:tcW w:w="3020" w:type="dxa"/>
            <w:hideMark/>
          </w:tcPr>
          <w:p w14:paraId="4005F521" w14:textId="77777777" w:rsidR="0014353E" w:rsidRDefault="0014353E" w:rsidP="00534D67">
            <w:pPr>
              <w:rPr>
                <w:rFonts w:ascii="Calibri" w:hAnsi="Calibri"/>
                <w:szCs w:val="20"/>
              </w:rPr>
            </w:pPr>
            <w:r>
              <w:rPr>
                <w:rFonts w:ascii="Calibri" w:hAnsi="Calibri"/>
                <w:szCs w:val="20"/>
              </w:rPr>
              <w:t>Baseline Peak kW</w:t>
            </w:r>
          </w:p>
        </w:tc>
        <w:tc>
          <w:tcPr>
            <w:tcW w:w="1228" w:type="dxa"/>
            <w:hideMark/>
          </w:tcPr>
          <w:p w14:paraId="3F99C88F" w14:textId="77777777" w:rsidR="0014353E" w:rsidRDefault="0014353E" w:rsidP="00534D67">
            <w:pPr>
              <w:jc w:val="right"/>
              <w:rPr>
                <w:rFonts w:ascii="Calibri" w:hAnsi="Calibri"/>
                <w:szCs w:val="20"/>
              </w:rPr>
            </w:pPr>
            <w:r>
              <w:rPr>
                <w:rFonts w:ascii="Calibri" w:hAnsi="Calibri"/>
                <w:szCs w:val="20"/>
              </w:rPr>
              <w:t>0.26716</w:t>
            </w:r>
          </w:p>
        </w:tc>
        <w:tc>
          <w:tcPr>
            <w:tcW w:w="1170" w:type="dxa"/>
            <w:hideMark/>
          </w:tcPr>
          <w:p w14:paraId="09AFDA10" w14:textId="77777777" w:rsidR="0014353E" w:rsidRDefault="0014353E" w:rsidP="00534D67">
            <w:pPr>
              <w:jc w:val="right"/>
              <w:rPr>
                <w:rFonts w:ascii="Calibri" w:hAnsi="Calibri"/>
                <w:szCs w:val="20"/>
              </w:rPr>
            </w:pPr>
            <w:r>
              <w:rPr>
                <w:rFonts w:ascii="Calibri" w:hAnsi="Calibri"/>
                <w:szCs w:val="20"/>
              </w:rPr>
              <w:t>0.22722</w:t>
            </w:r>
          </w:p>
        </w:tc>
        <w:tc>
          <w:tcPr>
            <w:tcW w:w="1080" w:type="dxa"/>
            <w:hideMark/>
          </w:tcPr>
          <w:p w14:paraId="3A4D4F8F" w14:textId="77777777" w:rsidR="0014353E" w:rsidRDefault="0014353E" w:rsidP="00534D67">
            <w:pPr>
              <w:jc w:val="right"/>
              <w:rPr>
                <w:rFonts w:ascii="Calibri" w:hAnsi="Calibri"/>
                <w:szCs w:val="20"/>
              </w:rPr>
            </w:pPr>
            <w:r>
              <w:rPr>
                <w:rFonts w:ascii="Calibri" w:hAnsi="Calibri"/>
                <w:szCs w:val="20"/>
              </w:rPr>
              <w:t>0.19166</w:t>
            </w:r>
          </w:p>
        </w:tc>
        <w:tc>
          <w:tcPr>
            <w:tcW w:w="1170" w:type="dxa"/>
            <w:hideMark/>
          </w:tcPr>
          <w:p w14:paraId="42F2002F" w14:textId="77777777" w:rsidR="0014353E" w:rsidRDefault="0014353E" w:rsidP="00534D67">
            <w:pPr>
              <w:jc w:val="right"/>
              <w:rPr>
                <w:rFonts w:ascii="Calibri" w:hAnsi="Calibri"/>
                <w:szCs w:val="20"/>
              </w:rPr>
            </w:pPr>
            <w:r>
              <w:rPr>
                <w:rFonts w:ascii="Calibri" w:hAnsi="Calibri"/>
                <w:szCs w:val="20"/>
              </w:rPr>
              <w:t>0.22906</w:t>
            </w:r>
          </w:p>
        </w:tc>
        <w:tc>
          <w:tcPr>
            <w:tcW w:w="1080" w:type="dxa"/>
            <w:hideMark/>
          </w:tcPr>
          <w:p w14:paraId="58FDDFBE" w14:textId="77777777" w:rsidR="0014353E" w:rsidRDefault="0014353E" w:rsidP="00534D67">
            <w:pPr>
              <w:jc w:val="right"/>
              <w:rPr>
                <w:rFonts w:ascii="Calibri" w:hAnsi="Calibri"/>
                <w:szCs w:val="20"/>
              </w:rPr>
            </w:pPr>
          </w:p>
        </w:tc>
      </w:tr>
      <w:tr w:rsidR="0014353E" w:rsidRPr="004A5DB6" w14:paraId="792D3B89" w14:textId="77777777" w:rsidTr="0014353E">
        <w:trPr>
          <w:trHeight w:val="276"/>
        </w:trPr>
        <w:tc>
          <w:tcPr>
            <w:tcW w:w="3020" w:type="dxa"/>
            <w:hideMark/>
          </w:tcPr>
          <w:p w14:paraId="4AC98025" w14:textId="77777777" w:rsidR="0014353E" w:rsidRDefault="0014353E" w:rsidP="00534D67">
            <w:pPr>
              <w:rPr>
                <w:rFonts w:ascii="Calibri" w:hAnsi="Calibri"/>
                <w:szCs w:val="20"/>
              </w:rPr>
            </w:pPr>
            <w:r>
              <w:rPr>
                <w:rFonts w:ascii="Calibri" w:hAnsi="Calibri"/>
                <w:szCs w:val="20"/>
              </w:rPr>
              <w:t>Measure Peak kW</w:t>
            </w:r>
          </w:p>
        </w:tc>
        <w:tc>
          <w:tcPr>
            <w:tcW w:w="1228" w:type="dxa"/>
            <w:hideMark/>
          </w:tcPr>
          <w:p w14:paraId="2F45E62E" w14:textId="77777777" w:rsidR="0014353E" w:rsidRDefault="0014353E" w:rsidP="00534D67">
            <w:pPr>
              <w:jc w:val="right"/>
              <w:rPr>
                <w:rFonts w:ascii="Calibri" w:hAnsi="Calibri"/>
                <w:szCs w:val="20"/>
              </w:rPr>
            </w:pPr>
            <w:r>
              <w:rPr>
                <w:rFonts w:ascii="Calibri" w:hAnsi="Calibri"/>
                <w:szCs w:val="20"/>
              </w:rPr>
              <w:t>0.05378</w:t>
            </w:r>
          </w:p>
        </w:tc>
        <w:tc>
          <w:tcPr>
            <w:tcW w:w="1170" w:type="dxa"/>
            <w:hideMark/>
          </w:tcPr>
          <w:p w14:paraId="279C4B47" w14:textId="77777777" w:rsidR="0014353E" w:rsidRDefault="0014353E" w:rsidP="00534D67">
            <w:pPr>
              <w:jc w:val="right"/>
              <w:rPr>
                <w:rFonts w:ascii="Calibri" w:hAnsi="Calibri"/>
                <w:szCs w:val="20"/>
              </w:rPr>
            </w:pPr>
            <w:r>
              <w:rPr>
                <w:rFonts w:ascii="Calibri" w:hAnsi="Calibri"/>
                <w:szCs w:val="20"/>
              </w:rPr>
              <w:t>0.04266</w:t>
            </w:r>
          </w:p>
        </w:tc>
        <w:tc>
          <w:tcPr>
            <w:tcW w:w="1080" w:type="dxa"/>
            <w:hideMark/>
          </w:tcPr>
          <w:p w14:paraId="3200B118" w14:textId="77777777" w:rsidR="0014353E" w:rsidRDefault="0014353E" w:rsidP="00534D67">
            <w:pPr>
              <w:jc w:val="right"/>
              <w:rPr>
                <w:rFonts w:ascii="Calibri" w:hAnsi="Calibri"/>
                <w:szCs w:val="20"/>
              </w:rPr>
            </w:pPr>
            <w:r>
              <w:rPr>
                <w:rFonts w:ascii="Calibri" w:hAnsi="Calibri"/>
                <w:szCs w:val="20"/>
              </w:rPr>
              <w:t>0.05930</w:t>
            </w:r>
          </w:p>
        </w:tc>
        <w:tc>
          <w:tcPr>
            <w:tcW w:w="1170" w:type="dxa"/>
            <w:hideMark/>
          </w:tcPr>
          <w:p w14:paraId="5F96B870" w14:textId="77777777" w:rsidR="0014353E" w:rsidRDefault="0014353E" w:rsidP="00534D67">
            <w:pPr>
              <w:jc w:val="right"/>
              <w:rPr>
                <w:rFonts w:ascii="Calibri" w:hAnsi="Calibri"/>
                <w:szCs w:val="20"/>
              </w:rPr>
            </w:pPr>
            <w:r>
              <w:rPr>
                <w:rFonts w:ascii="Calibri" w:hAnsi="Calibri"/>
                <w:szCs w:val="20"/>
              </w:rPr>
              <w:t>0.04332</w:t>
            </w:r>
          </w:p>
        </w:tc>
        <w:tc>
          <w:tcPr>
            <w:tcW w:w="1080" w:type="dxa"/>
            <w:hideMark/>
          </w:tcPr>
          <w:p w14:paraId="342E8EE8" w14:textId="77777777" w:rsidR="0014353E" w:rsidRDefault="0014353E" w:rsidP="00534D67">
            <w:pPr>
              <w:jc w:val="right"/>
              <w:rPr>
                <w:rFonts w:ascii="Calibri" w:hAnsi="Calibri"/>
                <w:szCs w:val="20"/>
              </w:rPr>
            </w:pPr>
          </w:p>
        </w:tc>
      </w:tr>
      <w:tr w:rsidR="0014353E" w:rsidRPr="004A5DB6" w14:paraId="13B1273F" w14:textId="77777777" w:rsidTr="0014353E">
        <w:trPr>
          <w:trHeight w:val="276"/>
        </w:trPr>
        <w:tc>
          <w:tcPr>
            <w:tcW w:w="3020" w:type="dxa"/>
            <w:hideMark/>
          </w:tcPr>
          <w:p w14:paraId="5751EE21" w14:textId="77777777" w:rsidR="0014353E" w:rsidRPr="00987777" w:rsidRDefault="0014353E" w:rsidP="00534D67">
            <w:pPr>
              <w:rPr>
                <w:rFonts w:ascii="Calibri" w:hAnsi="Calibri"/>
                <w:b/>
                <w:szCs w:val="20"/>
              </w:rPr>
            </w:pPr>
            <w:r w:rsidRPr="00987777">
              <w:rPr>
                <w:rFonts w:ascii="Calibri" w:hAnsi="Calibri"/>
                <w:b/>
                <w:szCs w:val="20"/>
              </w:rPr>
              <w:t>Peak kW savings</w:t>
            </w:r>
          </w:p>
        </w:tc>
        <w:tc>
          <w:tcPr>
            <w:tcW w:w="1228" w:type="dxa"/>
            <w:hideMark/>
          </w:tcPr>
          <w:p w14:paraId="7D294F76" w14:textId="77777777" w:rsidR="0014353E" w:rsidRDefault="0014353E" w:rsidP="00534D67">
            <w:pPr>
              <w:jc w:val="right"/>
              <w:rPr>
                <w:rFonts w:ascii="Calibri" w:hAnsi="Calibri"/>
                <w:szCs w:val="20"/>
              </w:rPr>
            </w:pPr>
            <w:r>
              <w:rPr>
                <w:rFonts w:ascii="Calibri" w:hAnsi="Calibri"/>
                <w:szCs w:val="20"/>
              </w:rPr>
              <w:t>0.21338</w:t>
            </w:r>
          </w:p>
        </w:tc>
        <w:tc>
          <w:tcPr>
            <w:tcW w:w="1170" w:type="dxa"/>
            <w:hideMark/>
          </w:tcPr>
          <w:p w14:paraId="34DA5C27" w14:textId="77777777" w:rsidR="0014353E" w:rsidRDefault="0014353E" w:rsidP="00534D67">
            <w:pPr>
              <w:jc w:val="right"/>
              <w:rPr>
                <w:rFonts w:ascii="Calibri" w:hAnsi="Calibri"/>
                <w:szCs w:val="20"/>
              </w:rPr>
            </w:pPr>
            <w:r>
              <w:rPr>
                <w:rFonts w:ascii="Calibri" w:hAnsi="Calibri"/>
                <w:szCs w:val="20"/>
              </w:rPr>
              <w:t>0.18456</w:t>
            </w:r>
          </w:p>
        </w:tc>
        <w:tc>
          <w:tcPr>
            <w:tcW w:w="1080" w:type="dxa"/>
            <w:hideMark/>
          </w:tcPr>
          <w:p w14:paraId="380E086E" w14:textId="77777777" w:rsidR="0014353E" w:rsidRDefault="0014353E" w:rsidP="00534D67">
            <w:pPr>
              <w:jc w:val="right"/>
              <w:rPr>
                <w:rFonts w:ascii="Calibri" w:hAnsi="Calibri"/>
                <w:szCs w:val="20"/>
              </w:rPr>
            </w:pPr>
            <w:r>
              <w:rPr>
                <w:rFonts w:ascii="Calibri" w:hAnsi="Calibri"/>
                <w:szCs w:val="20"/>
              </w:rPr>
              <w:t>0.14214</w:t>
            </w:r>
          </w:p>
        </w:tc>
        <w:tc>
          <w:tcPr>
            <w:tcW w:w="1170" w:type="dxa"/>
            <w:hideMark/>
          </w:tcPr>
          <w:p w14:paraId="0D6629A6" w14:textId="77777777" w:rsidR="0014353E" w:rsidRDefault="0014353E" w:rsidP="00534D67">
            <w:pPr>
              <w:jc w:val="right"/>
              <w:rPr>
                <w:rFonts w:ascii="Calibri" w:hAnsi="Calibri"/>
                <w:szCs w:val="20"/>
              </w:rPr>
            </w:pPr>
            <w:r>
              <w:rPr>
                <w:rFonts w:ascii="Calibri" w:hAnsi="Calibri"/>
                <w:szCs w:val="20"/>
              </w:rPr>
              <w:t>0.18574</w:t>
            </w:r>
          </w:p>
        </w:tc>
        <w:tc>
          <w:tcPr>
            <w:tcW w:w="1080" w:type="dxa"/>
            <w:hideMark/>
          </w:tcPr>
          <w:p w14:paraId="235875EF" w14:textId="77777777" w:rsidR="0014353E" w:rsidRPr="00987777" w:rsidRDefault="0014353E" w:rsidP="00534D67">
            <w:pPr>
              <w:jc w:val="right"/>
              <w:rPr>
                <w:rFonts w:ascii="Calibri" w:hAnsi="Calibri"/>
                <w:b/>
                <w:szCs w:val="20"/>
              </w:rPr>
            </w:pPr>
            <w:r w:rsidRPr="00987777">
              <w:rPr>
                <w:rFonts w:ascii="Calibri" w:hAnsi="Calibri"/>
                <w:b/>
                <w:szCs w:val="20"/>
              </w:rPr>
              <w:t>0.18146</w:t>
            </w:r>
          </w:p>
        </w:tc>
      </w:tr>
    </w:tbl>
    <w:p w14:paraId="0E3B5210" w14:textId="77777777" w:rsidR="0014353E" w:rsidRDefault="0014353E" w:rsidP="0014353E">
      <w:pPr>
        <w:pStyle w:val="Reminders"/>
        <w:rPr>
          <w:rFonts w:asciiTheme="minorHAnsi" w:hAnsiTheme="minorHAnsi" w:cstheme="minorHAnsi"/>
          <w:i w:val="0"/>
          <w:color w:val="auto"/>
          <w:szCs w:val="22"/>
        </w:rPr>
      </w:pPr>
    </w:p>
    <w:p w14:paraId="14C7EFCE" w14:textId="77777777" w:rsidR="0014353E" w:rsidRDefault="0014353E" w:rsidP="0014353E">
      <w:pPr>
        <w:rPr>
          <w:rFonts w:cstheme="minorHAnsi"/>
          <w:szCs w:val="22"/>
        </w:rPr>
      </w:pPr>
      <w:r w:rsidRPr="00B551A8">
        <w:rPr>
          <w:rFonts w:cstheme="minorHAnsi"/>
          <w:szCs w:val="22"/>
        </w:rPr>
        <w:t>See Attachment 2 for all calculations. See Attachment 1 for a complete list of savings.</w:t>
      </w:r>
    </w:p>
    <w:p w14:paraId="554769F5" w14:textId="77777777" w:rsidR="0014353E" w:rsidRPr="00B551A8" w:rsidRDefault="0014353E" w:rsidP="0014353E">
      <w:pPr>
        <w:pStyle w:val="Heading2"/>
        <w:rPr>
          <w:rFonts w:asciiTheme="minorHAnsi" w:hAnsiTheme="minorHAnsi" w:cstheme="minorHAnsi"/>
        </w:rPr>
      </w:pPr>
      <w:bookmarkStart w:id="17" w:name="_Toc326215673"/>
      <w:r w:rsidRPr="00B551A8">
        <w:rPr>
          <w:rFonts w:asciiTheme="minorHAnsi" w:hAnsiTheme="minorHAnsi" w:cstheme="minorHAnsi"/>
        </w:rPr>
        <w:lastRenderedPageBreak/>
        <w:t>2.2. Demand Reduction Estimation Methodologies</w:t>
      </w:r>
      <w:bookmarkEnd w:id="17"/>
    </w:p>
    <w:p w14:paraId="2FB8B7B8" w14:textId="7C44DF84" w:rsidR="0014353E" w:rsidRPr="00B07A82" w:rsidRDefault="0014353E" w:rsidP="0014353E">
      <w:pPr>
        <w:rPr>
          <w:rFonts w:cstheme="minorHAnsi"/>
          <w:szCs w:val="22"/>
        </w:rPr>
      </w:pPr>
      <w:r>
        <w:rPr>
          <w:rFonts w:cstheme="minorHAnsi"/>
          <w:szCs w:val="22"/>
        </w:rPr>
        <w:t xml:space="preserve">The Peak kW measurements </w:t>
      </w:r>
      <w:r w:rsidRPr="004A3A85">
        <w:rPr>
          <w:rFonts w:cstheme="minorHAnsi"/>
          <w:szCs w:val="22"/>
        </w:rPr>
        <w:t xml:space="preserve">in </w:t>
      </w:r>
      <w:r w:rsidR="008B41E5">
        <w:rPr>
          <w:rFonts w:cstheme="minorHAnsi"/>
          <w:szCs w:val="22"/>
        </w:rPr>
        <w:t xml:space="preserve">the </w:t>
      </w:r>
      <w:r w:rsidR="00C750F7">
        <w:rPr>
          <w:rFonts w:cstheme="minorHAnsi"/>
          <w:szCs w:val="22"/>
        </w:rPr>
        <w:t>t</w:t>
      </w:r>
      <w:r w:rsidR="008B41E5">
        <w:rPr>
          <w:rFonts w:cstheme="minorHAnsi"/>
          <w:szCs w:val="22"/>
        </w:rPr>
        <w:t xml:space="preserve">able above </w:t>
      </w:r>
      <w:r w:rsidRPr="004A3A85">
        <w:rPr>
          <w:rFonts w:cstheme="minorHAnsi"/>
          <w:szCs w:val="22"/>
        </w:rPr>
        <w:t>are</w:t>
      </w:r>
      <w:r>
        <w:rPr>
          <w:rFonts w:cstheme="minorHAnsi"/>
          <w:szCs w:val="22"/>
        </w:rPr>
        <w:t xml:space="preserve"> from the DEER peak period of 2–5 PM</w:t>
      </w:r>
      <w:r w:rsidR="009E0308">
        <w:rPr>
          <w:rFonts w:cstheme="minorHAnsi"/>
          <w:szCs w:val="22"/>
        </w:rPr>
        <w:t xml:space="preserve"> weekdays</w:t>
      </w:r>
      <w:r>
        <w:rPr>
          <w:rFonts w:cstheme="minorHAnsi"/>
          <w:szCs w:val="22"/>
        </w:rPr>
        <w:t xml:space="preserve">, </w:t>
      </w:r>
      <w:r w:rsidR="00C07C72">
        <w:rPr>
          <w:rFonts w:cstheme="minorHAnsi"/>
          <w:szCs w:val="22"/>
        </w:rPr>
        <w:t>as a result</w:t>
      </w:r>
      <w:r>
        <w:rPr>
          <w:rFonts w:cstheme="minorHAnsi"/>
          <w:szCs w:val="22"/>
        </w:rPr>
        <w:t xml:space="preserve"> no coincidence factors are applied. The demand reduction is 0.18146 kW.</w:t>
      </w:r>
    </w:p>
    <w:p w14:paraId="6C7EC920" w14:textId="49C926A2" w:rsidR="00E16609" w:rsidRPr="00500C4E" w:rsidRDefault="00E16609" w:rsidP="00E16609">
      <w:pPr>
        <w:pStyle w:val="Heading1"/>
        <w:keepNext w:val="0"/>
        <w:rPr>
          <w:rFonts w:cstheme="minorHAnsi"/>
        </w:rPr>
      </w:pPr>
      <w:bookmarkStart w:id="18" w:name="_Toc214003093"/>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8"/>
      <w:r w:rsidRPr="00500C4E">
        <w:rPr>
          <w:rFonts w:cstheme="minorHAnsi"/>
        </w:rPr>
        <w:t>s</w:t>
      </w:r>
    </w:p>
    <w:p w14:paraId="7449CD6E" w14:textId="3D16E7CF"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2818FAD5" w14:textId="77777777" w:rsidR="00DF22D9" w:rsidRPr="00500C4E" w:rsidRDefault="00DF22D9" w:rsidP="00E16609">
      <w:pPr>
        <w:rPr>
          <w:rFonts w:cstheme="minorHAnsi"/>
          <w:szCs w:val="22"/>
        </w:rPr>
      </w:pPr>
    </w:p>
    <w:p w14:paraId="4E5AEDD2" w14:textId="3C4B799F" w:rsidR="00E16609" w:rsidRPr="008D0454" w:rsidRDefault="002A3D26" w:rsidP="00C07C72">
      <w:pPr>
        <w:pStyle w:val="Caption"/>
        <w:rPr>
          <w:rFonts w:cstheme="minorHAnsi"/>
          <w:b w:val="0"/>
          <w:szCs w:val="22"/>
        </w:rPr>
      </w:pPr>
      <w:r w:rsidRPr="00916EE1">
        <w:rPr>
          <w:rFonts w:cstheme="minorHAnsi"/>
          <w:b w:val="0"/>
          <w:szCs w:val="22"/>
        </w:rPr>
        <w:t>Building Types</w:t>
      </w:r>
      <w:r w:rsidR="00E16609" w:rsidRPr="00916EE1">
        <w:rPr>
          <w:rFonts w:cstheme="minorHAnsi"/>
          <w:b w:val="0"/>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500C4E" w14:paraId="3D341893" w14:textId="77777777" w:rsidTr="00920905">
        <w:tc>
          <w:tcPr>
            <w:tcW w:w="1686" w:type="pct"/>
          </w:tcPr>
          <w:p w14:paraId="4FA2FF6D" w14:textId="7D509863" w:rsidR="00263C1C" w:rsidRPr="00A07D8A" w:rsidRDefault="00A07D8A" w:rsidP="00BA2E7E">
            <w:pPr>
              <w:rPr>
                <w:rFonts w:cstheme="minorHAnsi"/>
                <w:szCs w:val="20"/>
              </w:rPr>
            </w:pPr>
            <w:r w:rsidRPr="00A07D8A">
              <w:rPr>
                <w:rFonts w:ascii="Calibri" w:hAnsi="Calibri" w:cs="Arial"/>
                <w:szCs w:val="20"/>
              </w:rPr>
              <w:t>Grocery</w:t>
            </w:r>
          </w:p>
        </w:tc>
        <w:tc>
          <w:tcPr>
            <w:tcW w:w="1779" w:type="pct"/>
          </w:tcPr>
          <w:p w14:paraId="3B2DCD1E" w14:textId="77777777" w:rsidR="00263C1C" w:rsidRPr="00A07D8A" w:rsidRDefault="00263C1C" w:rsidP="00BA2E7E">
            <w:pPr>
              <w:rPr>
                <w:rFonts w:cstheme="minorHAnsi"/>
                <w:szCs w:val="20"/>
              </w:rPr>
            </w:pPr>
            <w:proofErr w:type="spellStart"/>
            <w:r w:rsidRPr="00A07D8A">
              <w:rPr>
                <w:rFonts w:cstheme="minorHAnsi"/>
                <w:szCs w:val="20"/>
              </w:rPr>
              <w:t>DEER:Indoor_Non-CFL_Ltg</w:t>
            </w:r>
            <w:proofErr w:type="spellEnd"/>
          </w:p>
        </w:tc>
        <w:tc>
          <w:tcPr>
            <w:tcW w:w="1535" w:type="pct"/>
          </w:tcPr>
          <w:p w14:paraId="6722CD8A" w14:textId="77777777" w:rsidR="00263C1C" w:rsidRPr="00A07D8A" w:rsidRDefault="00263C1C" w:rsidP="00BA2E7E">
            <w:pPr>
              <w:rPr>
                <w:rFonts w:cstheme="minorHAnsi"/>
                <w:szCs w:val="20"/>
              </w:rPr>
            </w:pPr>
            <w:r w:rsidRPr="00A07D8A">
              <w:rPr>
                <w:rFonts w:cstheme="minorHAnsi"/>
                <w:szCs w:val="20"/>
              </w:rPr>
              <w:t>NON_RES</w:t>
            </w:r>
          </w:p>
        </w:tc>
      </w:tr>
      <w:tr w:rsidR="00CF0A4A" w:rsidRPr="00500C4E" w14:paraId="0413B9FC" w14:textId="77777777" w:rsidTr="00920905">
        <w:tc>
          <w:tcPr>
            <w:tcW w:w="1686" w:type="pct"/>
          </w:tcPr>
          <w:p w14:paraId="4FD23F79" w14:textId="03D2A163" w:rsidR="00CF0A4A" w:rsidRPr="00A07D8A" w:rsidRDefault="00CF0A4A" w:rsidP="00CF0A4A">
            <w:pPr>
              <w:rPr>
                <w:rFonts w:ascii="Calibri" w:hAnsi="Calibri" w:cs="Arial"/>
                <w:szCs w:val="20"/>
              </w:rPr>
            </w:pPr>
            <w:r>
              <w:rPr>
                <w:rFonts w:ascii="Calibri" w:hAnsi="Calibri" w:cs="Arial"/>
                <w:szCs w:val="20"/>
              </w:rPr>
              <w:t>Office - Small</w:t>
            </w:r>
          </w:p>
        </w:tc>
        <w:tc>
          <w:tcPr>
            <w:tcW w:w="1779" w:type="pct"/>
          </w:tcPr>
          <w:p w14:paraId="4FD9D74D" w14:textId="0237273F" w:rsidR="00CF0A4A" w:rsidRPr="00A07D8A" w:rsidRDefault="00CF0A4A" w:rsidP="00CF0A4A">
            <w:pPr>
              <w:rPr>
                <w:rFonts w:cstheme="minorHAnsi"/>
                <w:szCs w:val="20"/>
              </w:rPr>
            </w:pPr>
            <w:proofErr w:type="spellStart"/>
            <w:r w:rsidRPr="00A07D8A">
              <w:rPr>
                <w:rFonts w:cstheme="minorHAnsi"/>
                <w:szCs w:val="20"/>
              </w:rPr>
              <w:t>DEER:Indoor_Non-CFL_Ltg</w:t>
            </w:r>
            <w:proofErr w:type="spellEnd"/>
          </w:p>
        </w:tc>
        <w:tc>
          <w:tcPr>
            <w:tcW w:w="1535" w:type="pct"/>
          </w:tcPr>
          <w:p w14:paraId="732596B6" w14:textId="18E9409B" w:rsidR="00CF0A4A" w:rsidRPr="00A07D8A" w:rsidRDefault="00CF0A4A" w:rsidP="00CF0A4A">
            <w:pPr>
              <w:rPr>
                <w:rFonts w:cstheme="minorHAnsi"/>
                <w:szCs w:val="20"/>
              </w:rPr>
            </w:pPr>
            <w:r w:rsidRPr="00A07D8A">
              <w:rPr>
                <w:rFonts w:cstheme="minorHAnsi"/>
                <w:szCs w:val="20"/>
              </w:rPr>
              <w:t>NON_RES</w:t>
            </w:r>
          </w:p>
        </w:tc>
      </w:tr>
    </w:tbl>
    <w:p w14:paraId="52C9214C" w14:textId="5A04C955" w:rsidR="005552C3" w:rsidRDefault="00F95E2F" w:rsidP="00920905">
      <w:pPr>
        <w:pStyle w:val="Heading1"/>
      </w:pPr>
      <w:proofErr w:type="gramStart"/>
      <w:r>
        <w:t>Section 4.</w:t>
      </w:r>
      <w:proofErr w:type="gramEnd"/>
      <w:r>
        <w:t xml:space="preserve"> Costs</w:t>
      </w:r>
    </w:p>
    <w:p w14:paraId="4696E137" w14:textId="77777777" w:rsidR="00E16609" w:rsidRDefault="00E16609" w:rsidP="00824F1C">
      <w:pPr>
        <w:pStyle w:val="Heading2"/>
        <w:rPr>
          <w:rFonts w:asciiTheme="minorHAnsi" w:hAnsiTheme="minorHAnsi" w:cstheme="minorHAnsi"/>
        </w:rPr>
      </w:pPr>
      <w:bookmarkStart w:id="19" w:name="_MON_1399297811"/>
      <w:bookmarkStart w:id="20" w:name="_Toc214003097"/>
      <w:bookmarkEnd w:id="19"/>
      <w:r w:rsidRPr="00500C4E">
        <w:rPr>
          <w:rFonts w:asciiTheme="minorHAnsi" w:hAnsiTheme="minorHAnsi" w:cstheme="minorHAnsi"/>
        </w:rPr>
        <w:t>4.1 Base Case Cost</w:t>
      </w:r>
      <w:bookmarkEnd w:id="20"/>
    </w:p>
    <w:p w14:paraId="174FD0EE" w14:textId="400F1BDE" w:rsidR="000A0E36" w:rsidRPr="0092623D" w:rsidRDefault="000A0E36" w:rsidP="000A0E36">
      <w:pPr>
        <w:pStyle w:val="Reminders"/>
        <w:rPr>
          <w:rFonts w:asciiTheme="minorHAnsi" w:hAnsiTheme="minorHAnsi" w:cstheme="minorHAnsi"/>
          <w:i w:val="0"/>
          <w:color w:val="auto"/>
          <w:szCs w:val="22"/>
        </w:rPr>
      </w:pPr>
      <w:r w:rsidRPr="0092623D">
        <w:rPr>
          <w:rFonts w:asciiTheme="minorHAnsi" w:hAnsiTheme="minorHAnsi" w:cstheme="minorHAnsi"/>
          <w:i w:val="0"/>
          <w:color w:val="auto"/>
          <w:szCs w:val="22"/>
        </w:rPr>
        <w:t>Equipment prices for this work paper were compiled from a number of sources including equipment sales representatives</w:t>
      </w:r>
      <w:r w:rsidR="00A658B3">
        <w:rPr>
          <w:rFonts w:asciiTheme="minorHAnsi" w:hAnsiTheme="minorHAnsi" w:cstheme="minorHAnsi"/>
          <w:i w:val="0"/>
          <w:color w:val="auto"/>
          <w:szCs w:val="22"/>
        </w:rPr>
        <w:t xml:space="preserve"> and online </w:t>
      </w:r>
      <w:r w:rsidRPr="0092623D">
        <w:rPr>
          <w:rFonts w:asciiTheme="minorHAnsi" w:hAnsiTheme="minorHAnsi" w:cstheme="minorHAnsi"/>
          <w:i w:val="0"/>
          <w:color w:val="auto"/>
          <w:szCs w:val="22"/>
        </w:rPr>
        <w:t xml:space="preserve">sources. Manufacturer published list prices </w:t>
      </w:r>
      <w:r w:rsidR="0092623D" w:rsidRPr="0092623D">
        <w:rPr>
          <w:rFonts w:asciiTheme="minorHAnsi" w:hAnsiTheme="minorHAnsi" w:cstheme="minorHAnsi"/>
          <w:i w:val="0"/>
          <w:color w:val="auto"/>
          <w:szCs w:val="22"/>
        </w:rPr>
        <w:t>varies along with discounts. The non-discounted prices were used s</w:t>
      </w:r>
      <w:r w:rsidRPr="0092623D">
        <w:rPr>
          <w:rFonts w:asciiTheme="minorHAnsi" w:hAnsiTheme="minorHAnsi" w:cstheme="minorHAnsi"/>
          <w:i w:val="0"/>
          <w:color w:val="auto"/>
          <w:szCs w:val="22"/>
        </w:rPr>
        <w:t xml:space="preserve">ince equipment pricing in the food service industry is closely held information and prices vary widely according to </w:t>
      </w:r>
      <w:r w:rsidR="0092623D" w:rsidRPr="0092623D">
        <w:rPr>
          <w:rFonts w:asciiTheme="minorHAnsi" w:hAnsiTheme="minorHAnsi" w:cstheme="minorHAnsi"/>
          <w:i w:val="0"/>
          <w:color w:val="auto"/>
          <w:szCs w:val="22"/>
        </w:rPr>
        <w:t>buying volume and other factors.</w:t>
      </w:r>
    </w:p>
    <w:p w14:paraId="6C0F010B" w14:textId="77777777" w:rsidR="000A0E36" w:rsidRPr="0092623D" w:rsidRDefault="000A0E36" w:rsidP="000A0E36">
      <w:pPr>
        <w:pStyle w:val="Reminders"/>
        <w:rPr>
          <w:rFonts w:asciiTheme="minorHAnsi" w:hAnsiTheme="minorHAnsi" w:cstheme="minorHAnsi"/>
          <w:i w:val="0"/>
          <w:color w:val="auto"/>
          <w:szCs w:val="22"/>
        </w:rPr>
      </w:pPr>
    </w:p>
    <w:p w14:paraId="16A7E0E2" w14:textId="38526A20" w:rsidR="000A0E36" w:rsidRDefault="000A0E36" w:rsidP="000A0E36">
      <w:pPr>
        <w:pStyle w:val="Reminders"/>
        <w:rPr>
          <w:rFonts w:asciiTheme="minorHAnsi" w:hAnsiTheme="minorHAnsi" w:cstheme="minorHAnsi"/>
          <w:i w:val="0"/>
          <w:color w:val="auto"/>
          <w:szCs w:val="22"/>
        </w:rPr>
      </w:pPr>
      <w:r w:rsidRPr="0092623D">
        <w:rPr>
          <w:rFonts w:asciiTheme="minorHAnsi" w:hAnsiTheme="minorHAnsi" w:cstheme="minorHAnsi"/>
          <w:i w:val="0"/>
          <w:color w:val="auto"/>
          <w:szCs w:val="22"/>
        </w:rPr>
        <w:t>The cost of the baseline always-on hand wrap machine is $</w:t>
      </w:r>
      <w:r w:rsidR="002466A2">
        <w:rPr>
          <w:rFonts w:asciiTheme="minorHAnsi" w:hAnsiTheme="minorHAnsi" w:cstheme="minorHAnsi"/>
          <w:i w:val="0"/>
          <w:color w:val="auto"/>
          <w:szCs w:val="22"/>
        </w:rPr>
        <w:t>999.77</w:t>
      </w:r>
      <w:r w:rsidRPr="0092623D">
        <w:rPr>
          <w:rFonts w:asciiTheme="minorHAnsi" w:hAnsiTheme="minorHAnsi" w:cstheme="minorHAnsi"/>
          <w:i w:val="0"/>
          <w:color w:val="auto"/>
          <w:szCs w:val="22"/>
        </w:rPr>
        <w:t xml:space="preserve">, from </w:t>
      </w:r>
      <w:r w:rsidR="00C07C72">
        <w:rPr>
          <w:rFonts w:asciiTheme="minorHAnsi" w:hAnsiTheme="minorHAnsi" w:cstheme="minorHAnsi"/>
          <w:i w:val="0"/>
          <w:color w:val="auto"/>
          <w:szCs w:val="22"/>
        </w:rPr>
        <w:t>market research (See Attachment</w:t>
      </w:r>
      <w:r w:rsidR="002466A2">
        <w:rPr>
          <w:rFonts w:asciiTheme="minorHAnsi" w:hAnsiTheme="minorHAnsi" w:cstheme="minorHAnsi"/>
          <w:i w:val="0"/>
          <w:color w:val="auto"/>
          <w:szCs w:val="22"/>
        </w:rPr>
        <w:t xml:space="preserve"> 2</w:t>
      </w:r>
      <w:r w:rsidR="00C07C72">
        <w:rPr>
          <w:rFonts w:asciiTheme="minorHAnsi" w:hAnsiTheme="minorHAnsi" w:cstheme="minorHAnsi"/>
          <w:i w:val="0"/>
          <w:color w:val="auto"/>
          <w:szCs w:val="22"/>
        </w:rPr>
        <w:t>)</w:t>
      </w:r>
      <w:r w:rsidRPr="0092623D">
        <w:rPr>
          <w:rFonts w:asciiTheme="minorHAnsi" w:hAnsiTheme="minorHAnsi" w:cstheme="minorHAnsi"/>
          <w:i w:val="0"/>
          <w:color w:val="auto"/>
          <w:szCs w:val="22"/>
        </w:rPr>
        <w:t>.</w:t>
      </w:r>
    </w:p>
    <w:p w14:paraId="416B0881" w14:textId="77777777" w:rsidR="000A0E36" w:rsidRDefault="000A0E36" w:rsidP="000A0E36">
      <w:pPr>
        <w:pStyle w:val="Reminders"/>
        <w:rPr>
          <w:rFonts w:asciiTheme="minorHAnsi" w:hAnsiTheme="minorHAnsi" w:cstheme="minorHAnsi"/>
          <w:i w:val="0"/>
          <w:color w:val="auto"/>
          <w:szCs w:val="22"/>
        </w:rPr>
      </w:pPr>
    </w:p>
    <w:p w14:paraId="075D09DB" w14:textId="4777322A" w:rsidR="000A0E36" w:rsidRPr="000A0E36" w:rsidRDefault="000A0E36" w:rsidP="000A0E36">
      <w:r>
        <w:rPr>
          <w:rFonts w:cstheme="minorHAnsi"/>
          <w:szCs w:val="22"/>
        </w:rPr>
        <w:t xml:space="preserve">Installation of a hand wrap machine involves removing the existing machine and plugging in the new machine. Therefore the labor is estimated at 0.5 hours, and using the default non-residential DEER </w:t>
      </w:r>
      <w:r w:rsidR="00F15EBD">
        <w:rPr>
          <w:rFonts w:cstheme="minorHAnsi"/>
          <w:szCs w:val="22"/>
        </w:rPr>
        <w:t>READI tool (v.2.4.7)</w:t>
      </w:r>
      <w:r>
        <w:rPr>
          <w:rFonts w:cstheme="minorHAnsi"/>
          <w:szCs w:val="22"/>
        </w:rPr>
        <w:t xml:space="preserve"> labor rate of $67.88/</w:t>
      </w:r>
      <w:r w:rsidR="00B72012">
        <w:rPr>
          <w:rFonts w:cstheme="minorHAnsi"/>
          <w:szCs w:val="22"/>
        </w:rPr>
        <w:t>hr.</w:t>
      </w:r>
      <w:r>
        <w:rPr>
          <w:rFonts w:cstheme="minorHAnsi"/>
          <w:szCs w:val="22"/>
        </w:rPr>
        <w:t xml:space="preserve"> yields a labor cost of $33.94</w:t>
      </w:r>
      <w:r w:rsidRPr="00384967">
        <w:rPr>
          <w:rFonts w:cstheme="minorHAnsi"/>
          <w:szCs w:val="22"/>
        </w:rPr>
        <w:t>.</w:t>
      </w:r>
      <w:r>
        <w:rPr>
          <w:rFonts w:cstheme="minorHAnsi"/>
          <w:szCs w:val="22"/>
        </w:rPr>
        <w:t xml:space="preserve"> The labor cost is assumed to be the same in the base and measure cases.</w:t>
      </w:r>
    </w:p>
    <w:p w14:paraId="44713B57" w14:textId="77777777" w:rsidR="005A0E53" w:rsidRDefault="005A0E53" w:rsidP="005A0E53">
      <w:pPr>
        <w:pStyle w:val="Heading2"/>
        <w:rPr>
          <w:rFonts w:asciiTheme="minorHAnsi" w:hAnsiTheme="minorHAnsi" w:cstheme="minorHAnsi"/>
        </w:rPr>
      </w:pPr>
      <w:bookmarkStart w:id="21" w:name="_Toc214003098"/>
      <w:r w:rsidRPr="00500C4E">
        <w:rPr>
          <w:rFonts w:asciiTheme="minorHAnsi" w:hAnsiTheme="minorHAnsi" w:cstheme="minorHAnsi"/>
        </w:rPr>
        <w:t>4.2 Measure Case Cost</w:t>
      </w:r>
    </w:p>
    <w:p w14:paraId="4C13204A" w14:textId="77777777" w:rsidR="000A0E36" w:rsidRDefault="000A0E36" w:rsidP="000A0E36">
      <w:pPr>
        <w:pStyle w:val="Reminders"/>
        <w:rPr>
          <w:rFonts w:asciiTheme="minorHAnsi" w:hAnsiTheme="minorHAnsi" w:cstheme="minorHAnsi"/>
          <w:i w:val="0"/>
          <w:color w:val="auto"/>
          <w:szCs w:val="22"/>
        </w:rPr>
      </w:pPr>
      <w:r w:rsidRPr="00FA22E6">
        <w:rPr>
          <w:rFonts w:asciiTheme="minorHAnsi" w:hAnsiTheme="minorHAnsi" w:cstheme="minorHAnsi"/>
          <w:i w:val="0"/>
          <w:color w:val="auto"/>
          <w:szCs w:val="22"/>
        </w:rPr>
        <w:t>The measure case costs are</w:t>
      </w:r>
      <w:r>
        <w:rPr>
          <w:rFonts w:asciiTheme="minorHAnsi" w:hAnsiTheme="minorHAnsi" w:cstheme="minorHAnsi"/>
          <w:i w:val="0"/>
          <w:color w:val="auto"/>
          <w:szCs w:val="22"/>
        </w:rPr>
        <w:t xml:space="preserve"> also</w:t>
      </w:r>
      <w:r w:rsidRPr="00FA22E6">
        <w:rPr>
          <w:rFonts w:asciiTheme="minorHAnsi" w:hAnsiTheme="minorHAnsi" w:cstheme="minorHAnsi"/>
          <w:i w:val="0"/>
          <w:color w:val="auto"/>
          <w:szCs w:val="22"/>
        </w:rPr>
        <w:t xml:space="preserve"> from the sources </w:t>
      </w:r>
      <w:r>
        <w:rPr>
          <w:rFonts w:asciiTheme="minorHAnsi" w:hAnsiTheme="minorHAnsi" w:cstheme="minorHAnsi"/>
          <w:i w:val="0"/>
          <w:color w:val="auto"/>
          <w:szCs w:val="22"/>
        </w:rPr>
        <w:t>mentioned</w:t>
      </w:r>
      <w:r w:rsidRPr="00FA22E6">
        <w:rPr>
          <w:rFonts w:asciiTheme="minorHAnsi" w:hAnsiTheme="minorHAnsi" w:cstheme="minorHAnsi"/>
          <w:i w:val="0"/>
          <w:color w:val="auto"/>
          <w:szCs w:val="22"/>
        </w:rPr>
        <w:t xml:space="preserve"> in Section 4.1.</w:t>
      </w:r>
    </w:p>
    <w:p w14:paraId="14CA96B8" w14:textId="77777777" w:rsidR="000A0E36" w:rsidRDefault="000A0E36" w:rsidP="000A0E36">
      <w:pPr>
        <w:pStyle w:val="Reminders"/>
        <w:rPr>
          <w:rFonts w:asciiTheme="minorHAnsi" w:hAnsiTheme="minorHAnsi" w:cstheme="minorHAnsi"/>
          <w:i w:val="0"/>
          <w:color w:val="auto"/>
          <w:szCs w:val="22"/>
        </w:rPr>
      </w:pPr>
    </w:p>
    <w:p w14:paraId="2A05A2EC" w14:textId="07DAA0D0" w:rsidR="00CF1D76" w:rsidRDefault="000A0E36" w:rsidP="00CF1D76">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cost of the measure case on-demand hand wrap machine is $</w:t>
      </w:r>
      <w:r w:rsidR="0092623D">
        <w:rPr>
          <w:rFonts w:asciiTheme="minorHAnsi" w:hAnsiTheme="minorHAnsi" w:cstheme="minorHAnsi"/>
          <w:i w:val="0"/>
          <w:color w:val="auto"/>
          <w:szCs w:val="22"/>
        </w:rPr>
        <w:t>1</w:t>
      </w:r>
      <w:r w:rsidR="00631AB9">
        <w:rPr>
          <w:rFonts w:asciiTheme="minorHAnsi" w:hAnsiTheme="minorHAnsi" w:cstheme="minorHAnsi"/>
          <w:i w:val="0"/>
          <w:color w:val="auto"/>
          <w:szCs w:val="22"/>
        </w:rPr>
        <w:t>,</w:t>
      </w:r>
      <w:r w:rsidR="0092623D">
        <w:rPr>
          <w:rFonts w:asciiTheme="minorHAnsi" w:hAnsiTheme="minorHAnsi" w:cstheme="minorHAnsi"/>
          <w:i w:val="0"/>
          <w:color w:val="auto"/>
          <w:szCs w:val="22"/>
        </w:rPr>
        <w:t>13</w:t>
      </w:r>
      <w:r w:rsidR="002466A2">
        <w:rPr>
          <w:rFonts w:asciiTheme="minorHAnsi" w:hAnsiTheme="minorHAnsi" w:cstheme="minorHAnsi"/>
          <w:i w:val="0"/>
          <w:color w:val="auto"/>
          <w:szCs w:val="22"/>
        </w:rPr>
        <w:t>4.36</w:t>
      </w:r>
      <w:r>
        <w:rPr>
          <w:rFonts w:asciiTheme="minorHAnsi" w:hAnsiTheme="minorHAnsi" w:cstheme="minorHAnsi"/>
          <w:i w:val="0"/>
          <w:color w:val="auto"/>
          <w:szCs w:val="22"/>
        </w:rPr>
        <w:t xml:space="preserve">, from </w:t>
      </w:r>
      <w:r w:rsidR="005B1797">
        <w:rPr>
          <w:rFonts w:asciiTheme="minorHAnsi" w:hAnsiTheme="minorHAnsi" w:cstheme="minorHAnsi"/>
          <w:i w:val="0"/>
          <w:color w:val="auto"/>
          <w:szCs w:val="22"/>
        </w:rPr>
        <w:t>market research</w:t>
      </w:r>
      <w:r w:rsidR="00A2507A">
        <w:rPr>
          <w:rFonts w:asciiTheme="minorHAnsi" w:hAnsiTheme="minorHAnsi" w:cstheme="minorHAnsi"/>
          <w:i w:val="0"/>
          <w:color w:val="auto"/>
          <w:szCs w:val="22"/>
        </w:rPr>
        <w:t xml:space="preserve"> </w:t>
      </w:r>
      <w:r w:rsidR="00CF1D76">
        <w:rPr>
          <w:rFonts w:asciiTheme="minorHAnsi" w:hAnsiTheme="minorHAnsi" w:cstheme="minorHAnsi"/>
          <w:i w:val="0"/>
          <w:color w:val="auto"/>
          <w:szCs w:val="22"/>
        </w:rPr>
        <w:t>(See Attachment</w:t>
      </w:r>
      <w:r w:rsidR="002466A2">
        <w:rPr>
          <w:rFonts w:asciiTheme="minorHAnsi" w:hAnsiTheme="minorHAnsi" w:cstheme="minorHAnsi"/>
          <w:i w:val="0"/>
          <w:color w:val="auto"/>
          <w:szCs w:val="22"/>
        </w:rPr>
        <w:t xml:space="preserve"> 2</w:t>
      </w:r>
      <w:r w:rsidR="00CF1D76">
        <w:rPr>
          <w:rFonts w:asciiTheme="minorHAnsi" w:hAnsiTheme="minorHAnsi" w:cstheme="minorHAnsi"/>
          <w:i w:val="0"/>
          <w:color w:val="auto"/>
          <w:szCs w:val="22"/>
        </w:rPr>
        <w:t>)</w:t>
      </w:r>
      <w:r w:rsidR="00CF1D76" w:rsidRPr="0092623D">
        <w:rPr>
          <w:rFonts w:asciiTheme="minorHAnsi" w:hAnsiTheme="minorHAnsi" w:cstheme="minorHAnsi"/>
          <w:i w:val="0"/>
          <w:color w:val="auto"/>
          <w:szCs w:val="22"/>
        </w:rPr>
        <w:t>.</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1"/>
    </w:p>
    <w:p w14:paraId="657892D7" w14:textId="5AD183AF" w:rsidR="000A0E36" w:rsidRPr="00916EE1" w:rsidRDefault="000A0E36" w:rsidP="00C21362">
      <w:pPr>
        <w:pStyle w:val="Caption"/>
        <w:rPr>
          <w:b w:val="0"/>
        </w:rPr>
      </w:pPr>
      <w:r w:rsidRPr="00916EE1">
        <w:rPr>
          <w:b w:val="0"/>
        </w:rPr>
        <w:t>Full and Incremental Measure Cost Equations</w:t>
      </w:r>
    </w:p>
    <w:tbl>
      <w:tblPr>
        <w:tblStyle w:val="TableGrid1"/>
        <w:tblW w:w="5000" w:type="pct"/>
        <w:jc w:val="center"/>
        <w:tblLook w:val="01E0" w:firstRow="1" w:lastRow="1" w:firstColumn="1" w:lastColumn="1" w:noHBand="0" w:noVBand="0"/>
      </w:tblPr>
      <w:tblGrid>
        <w:gridCol w:w="1286"/>
        <w:gridCol w:w="2764"/>
        <w:gridCol w:w="2674"/>
        <w:gridCol w:w="2852"/>
      </w:tblGrid>
      <w:tr w:rsidR="000A0E36" w:rsidRPr="00500C4E" w14:paraId="0D54EACC" w14:textId="77777777" w:rsidTr="00B72012">
        <w:trPr>
          <w:jc w:val="center"/>
        </w:trPr>
        <w:tc>
          <w:tcPr>
            <w:tcW w:w="672" w:type="pct"/>
            <w:vMerge w:val="restart"/>
            <w:shd w:val="clear" w:color="auto" w:fill="D9D9D9" w:themeFill="background1" w:themeFillShade="D9"/>
          </w:tcPr>
          <w:p w14:paraId="5DA62323" w14:textId="77777777" w:rsidR="000A0E36" w:rsidRPr="00DE77D0" w:rsidRDefault="000A0E36" w:rsidP="00534D67">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99ED82C" w14:textId="77777777" w:rsidR="000A0E36" w:rsidRPr="00DE77D0" w:rsidRDefault="000A0E36" w:rsidP="00534D67">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DD7DD62" w14:textId="77777777" w:rsidR="000A0E36" w:rsidRPr="00DE77D0" w:rsidRDefault="000A0E36" w:rsidP="00534D67">
            <w:pPr>
              <w:rPr>
                <w:rFonts w:cstheme="minorHAnsi"/>
                <w:b/>
                <w:szCs w:val="20"/>
                <w:highlight w:val="yellow"/>
              </w:rPr>
            </w:pPr>
            <w:r>
              <w:rPr>
                <w:rFonts w:cstheme="minorHAnsi"/>
                <w:b/>
                <w:szCs w:val="20"/>
              </w:rPr>
              <w:t>Full Measure Cost</w:t>
            </w:r>
          </w:p>
        </w:tc>
      </w:tr>
      <w:tr w:rsidR="000A0E36" w:rsidRPr="00500C4E" w14:paraId="230EB437" w14:textId="77777777" w:rsidTr="00B72012">
        <w:trPr>
          <w:jc w:val="center"/>
        </w:trPr>
        <w:tc>
          <w:tcPr>
            <w:tcW w:w="672" w:type="pct"/>
            <w:vMerge/>
            <w:shd w:val="clear" w:color="auto" w:fill="D9D9D9" w:themeFill="background1" w:themeFillShade="D9"/>
          </w:tcPr>
          <w:p w14:paraId="0DC040B2" w14:textId="77777777" w:rsidR="000A0E36" w:rsidRPr="00DE77D0" w:rsidRDefault="000A0E36" w:rsidP="00534D67">
            <w:pPr>
              <w:rPr>
                <w:rFonts w:cstheme="minorHAnsi"/>
                <w:b/>
                <w:szCs w:val="20"/>
              </w:rPr>
            </w:pPr>
          </w:p>
        </w:tc>
        <w:tc>
          <w:tcPr>
            <w:tcW w:w="1443" w:type="pct"/>
            <w:vMerge/>
            <w:shd w:val="clear" w:color="auto" w:fill="D9D9D9" w:themeFill="background1" w:themeFillShade="D9"/>
          </w:tcPr>
          <w:p w14:paraId="237EA310" w14:textId="77777777" w:rsidR="000A0E36" w:rsidRPr="00DE77D0" w:rsidRDefault="000A0E36" w:rsidP="00534D67">
            <w:pPr>
              <w:rPr>
                <w:rFonts w:cstheme="minorHAnsi"/>
                <w:b/>
                <w:szCs w:val="20"/>
              </w:rPr>
            </w:pPr>
          </w:p>
        </w:tc>
        <w:tc>
          <w:tcPr>
            <w:tcW w:w="1396" w:type="pct"/>
            <w:shd w:val="clear" w:color="auto" w:fill="F2F2F2" w:themeFill="background1" w:themeFillShade="F2"/>
          </w:tcPr>
          <w:p w14:paraId="4C4271B5" w14:textId="77777777" w:rsidR="000A0E36" w:rsidRPr="00DE77D0" w:rsidRDefault="000A0E36" w:rsidP="00534D67">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2C10FEE0" w14:textId="77777777" w:rsidR="000A0E36" w:rsidRPr="00DE77D0" w:rsidRDefault="000A0E36" w:rsidP="00534D67">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0A0E36" w:rsidRPr="00500C4E" w14:paraId="5676DD2E" w14:textId="77777777" w:rsidTr="00B72012">
        <w:trPr>
          <w:jc w:val="center"/>
        </w:trPr>
        <w:tc>
          <w:tcPr>
            <w:tcW w:w="672" w:type="pct"/>
          </w:tcPr>
          <w:p w14:paraId="0624577C" w14:textId="77777777" w:rsidR="000A0E36" w:rsidRPr="00920905" w:rsidRDefault="000A0E36" w:rsidP="00534D67">
            <w:pPr>
              <w:rPr>
                <w:rFonts w:cstheme="minorHAnsi"/>
                <w:szCs w:val="20"/>
              </w:rPr>
            </w:pPr>
            <w:r>
              <w:rPr>
                <w:rFonts w:cstheme="minorHAnsi"/>
                <w:szCs w:val="20"/>
              </w:rPr>
              <w:t>ROB</w:t>
            </w:r>
          </w:p>
        </w:tc>
        <w:tc>
          <w:tcPr>
            <w:tcW w:w="1443" w:type="pct"/>
            <w:vMerge w:val="restart"/>
          </w:tcPr>
          <w:p w14:paraId="3B3CD7AF" w14:textId="77777777" w:rsidR="000A0E36" w:rsidRPr="00920905" w:rsidRDefault="000A0E36" w:rsidP="00B72012">
            <w:pPr>
              <w:rPr>
                <w:rFonts w:cstheme="minorHAnsi"/>
                <w:szCs w:val="20"/>
              </w:rPr>
            </w:pPr>
            <w:r>
              <w:rPr>
                <w:rFonts w:cstheme="minorHAnsi"/>
                <w:szCs w:val="20"/>
              </w:rPr>
              <w:t>(MEC + MLC) – (BEC + BLC)</w:t>
            </w:r>
          </w:p>
        </w:tc>
        <w:tc>
          <w:tcPr>
            <w:tcW w:w="1396" w:type="pct"/>
            <w:vMerge w:val="restart"/>
          </w:tcPr>
          <w:p w14:paraId="282B31C9" w14:textId="77777777" w:rsidR="000A0E36" w:rsidRPr="00920905" w:rsidRDefault="000A0E36" w:rsidP="00B72012">
            <w:pPr>
              <w:rPr>
                <w:rFonts w:cstheme="minorHAnsi"/>
                <w:szCs w:val="20"/>
              </w:rPr>
            </w:pPr>
            <w:r>
              <w:rPr>
                <w:rFonts w:cstheme="minorHAnsi"/>
                <w:szCs w:val="20"/>
              </w:rPr>
              <w:t>(MEC + MLC) – (BEC + BLC)</w:t>
            </w:r>
          </w:p>
        </w:tc>
        <w:tc>
          <w:tcPr>
            <w:tcW w:w="1489" w:type="pct"/>
            <w:vMerge w:val="restart"/>
          </w:tcPr>
          <w:p w14:paraId="1C21C45D" w14:textId="77777777" w:rsidR="000A0E36" w:rsidRPr="00920905" w:rsidRDefault="000A0E36" w:rsidP="00B72012">
            <w:pPr>
              <w:rPr>
                <w:rFonts w:cstheme="minorHAnsi"/>
                <w:szCs w:val="20"/>
              </w:rPr>
            </w:pPr>
            <w:r>
              <w:rPr>
                <w:rFonts w:cstheme="minorHAnsi"/>
                <w:szCs w:val="20"/>
              </w:rPr>
              <w:t>N/A</w:t>
            </w:r>
          </w:p>
        </w:tc>
      </w:tr>
      <w:tr w:rsidR="000A0E36" w:rsidRPr="00500C4E" w14:paraId="598F17CA" w14:textId="77777777" w:rsidTr="00B72012">
        <w:trPr>
          <w:jc w:val="center"/>
        </w:trPr>
        <w:tc>
          <w:tcPr>
            <w:tcW w:w="672" w:type="pct"/>
          </w:tcPr>
          <w:p w14:paraId="29100CCC" w14:textId="77777777" w:rsidR="000A0E36" w:rsidRPr="00920905" w:rsidRDefault="000A0E36" w:rsidP="00534D67">
            <w:pPr>
              <w:rPr>
                <w:rFonts w:cstheme="minorHAnsi"/>
                <w:szCs w:val="20"/>
              </w:rPr>
            </w:pPr>
            <w:r>
              <w:rPr>
                <w:rFonts w:cstheme="minorHAnsi"/>
                <w:szCs w:val="20"/>
              </w:rPr>
              <w:t>NEW/NC</w:t>
            </w:r>
          </w:p>
        </w:tc>
        <w:tc>
          <w:tcPr>
            <w:tcW w:w="1443" w:type="pct"/>
            <w:vMerge/>
          </w:tcPr>
          <w:p w14:paraId="67C7B4D7" w14:textId="77777777" w:rsidR="000A0E36" w:rsidRPr="00920905" w:rsidRDefault="000A0E36" w:rsidP="00534D67">
            <w:pPr>
              <w:rPr>
                <w:rFonts w:cstheme="minorHAnsi"/>
                <w:szCs w:val="20"/>
              </w:rPr>
            </w:pPr>
          </w:p>
        </w:tc>
        <w:tc>
          <w:tcPr>
            <w:tcW w:w="1396" w:type="pct"/>
            <w:vMerge/>
          </w:tcPr>
          <w:p w14:paraId="737187ED" w14:textId="77777777" w:rsidR="000A0E36" w:rsidRPr="00920905" w:rsidRDefault="000A0E36" w:rsidP="00534D67">
            <w:pPr>
              <w:rPr>
                <w:rFonts w:cstheme="minorHAnsi"/>
                <w:szCs w:val="20"/>
              </w:rPr>
            </w:pPr>
          </w:p>
        </w:tc>
        <w:tc>
          <w:tcPr>
            <w:tcW w:w="1489" w:type="pct"/>
            <w:vMerge/>
          </w:tcPr>
          <w:p w14:paraId="6578778C" w14:textId="77777777" w:rsidR="000A0E36" w:rsidRPr="00920905" w:rsidRDefault="000A0E36" w:rsidP="00534D67">
            <w:pPr>
              <w:rPr>
                <w:rFonts w:cstheme="minorHAnsi"/>
                <w:szCs w:val="20"/>
              </w:rPr>
            </w:pPr>
          </w:p>
        </w:tc>
      </w:tr>
    </w:tbl>
    <w:p w14:paraId="7D61C1A1" w14:textId="77777777" w:rsidR="000A0E36" w:rsidRPr="00920905" w:rsidRDefault="000A0E36" w:rsidP="000A0E36">
      <w:pPr>
        <w:rPr>
          <w:sz w:val="20"/>
          <w:szCs w:val="20"/>
        </w:rPr>
      </w:pPr>
      <w:r w:rsidRPr="00920905">
        <w:rPr>
          <w:sz w:val="20"/>
          <w:szCs w:val="20"/>
        </w:rPr>
        <w:t>MEC = Measure Equipment Cost; MLC = Measure Labor Cost</w:t>
      </w:r>
    </w:p>
    <w:p w14:paraId="2A4E4509" w14:textId="77777777" w:rsidR="000A0E36" w:rsidRPr="00920905" w:rsidRDefault="000A0E36" w:rsidP="000A0E36">
      <w:pPr>
        <w:rPr>
          <w:sz w:val="20"/>
          <w:szCs w:val="20"/>
        </w:rPr>
      </w:pPr>
      <w:r w:rsidRPr="00920905">
        <w:rPr>
          <w:sz w:val="20"/>
          <w:szCs w:val="20"/>
        </w:rPr>
        <w:lastRenderedPageBreak/>
        <w:t>BEC = Base Case Equipment Cost; BLC = Base Case Labor Cost</w:t>
      </w:r>
    </w:p>
    <w:p w14:paraId="7962FC5E" w14:textId="77777777" w:rsidR="000A0E36" w:rsidRPr="000A0E36" w:rsidRDefault="000A0E36" w:rsidP="000A0E36"/>
    <w:p w14:paraId="68DD6459" w14:textId="77777777" w:rsidR="00A30BF1" w:rsidRDefault="00A30BF1" w:rsidP="000A0E36">
      <w:pPr>
        <w:keepNext/>
        <w:rPr>
          <w:rFonts w:cstheme="minorHAnsi"/>
          <w:szCs w:val="22"/>
        </w:rPr>
      </w:pPr>
    </w:p>
    <w:p w14:paraId="67D6381F" w14:textId="3753DFB6" w:rsidR="000A0E36" w:rsidRPr="00B551A8" w:rsidRDefault="005D2532" w:rsidP="000A0E36">
      <w:pPr>
        <w:keepNext/>
        <w:rPr>
          <w:rFonts w:cstheme="minorHAnsi"/>
          <w:szCs w:val="22"/>
        </w:rPr>
      </w:pPr>
      <w:r>
        <w:rPr>
          <w:rFonts w:cstheme="minorHAnsi"/>
          <w:szCs w:val="22"/>
        </w:rPr>
        <w:t xml:space="preserve">As illustrated below, </w:t>
      </w:r>
      <w:r w:rsidR="000A0E36" w:rsidRPr="00B551A8">
        <w:rPr>
          <w:rFonts w:cstheme="minorHAnsi"/>
          <w:szCs w:val="22"/>
        </w:rPr>
        <w:t xml:space="preserve">the </w:t>
      </w:r>
      <w:r w:rsidR="00C13CE5">
        <w:rPr>
          <w:rFonts w:cstheme="minorHAnsi"/>
          <w:szCs w:val="22"/>
        </w:rPr>
        <w:t>calculated incremental cost as well as</w:t>
      </w:r>
      <w:r w:rsidR="000A0E36" w:rsidRPr="00B551A8">
        <w:rPr>
          <w:rFonts w:cstheme="minorHAnsi"/>
          <w:szCs w:val="22"/>
        </w:rPr>
        <w:t xml:space="preserve"> </w:t>
      </w:r>
      <w:r w:rsidR="00C13CE5">
        <w:rPr>
          <w:rFonts w:cstheme="minorHAnsi"/>
          <w:szCs w:val="22"/>
        </w:rPr>
        <w:t xml:space="preserve">both gross baseline and measure </w:t>
      </w:r>
      <w:r w:rsidR="000A0E36" w:rsidRPr="00B551A8">
        <w:rPr>
          <w:rFonts w:cstheme="minorHAnsi"/>
          <w:szCs w:val="22"/>
        </w:rPr>
        <w:t>cost:</w:t>
      </w:r>
    </w:p>
    <w:p w14:paraId="15F8EF2E" w14:textId="77777777" w:rsidR="009D7320" w:rsidRDefault="009D7320" w:rsidP="00C21362">
      <w:pPr>
        <w:pStyle w:val="Caption"/>
        <w:rPr>
          <w:szCs w:val="22"/>
        </w:rPr>
      </w:pPr>
    </w:p>
    <w:p w14:paraId="0AF3F83F" w14:textId="068F161A" w:rsidR="00FF73B4" w:rsidRPr="008D0454" w:rsidRDefault="00FF73B4" w:rsidP="00C21362">
      <w:pPr>
        <w:pStyle w:val="Caption"/>
        <w:rPr>
          <w:b w:val="0"/>
        </w:rPr>
      </w:pPr>
      <w:r w:rsidRPr="00916EE1">
        <w:rPr>
          <w:b w:val="0"/>
        </w:rPr>
        <w:t xml:space="preserve">Incremental </w:t>
      </w:r>
      <w:r w:rsidR="009D7320">
        <w:rPr>
          <w:b w:val="0"/>
        </w:rPr>
        <w:t>Measure Cost</w:t>
      </w:r>
    </w:p>
    <w:tbl>
      <w:tblPr>
        <w:tblStyle w:val="TableGrid1"/>
        <w:tblW w:w="5000" w:type="pct"/>
        <w:tblLayout w:type="fixed"/>
        <w:tblLook w:val="01E0" w:firstRow="1" w:lastRow="1" w:firstColumn="1" w:lastColumn="1" w:noHBand="0" w:noVBand="0"/>
      </w:tblPr>
      <w:tblGrid>
        <w:gridCol w:w="1188"/>
        <w:gridCol w:w="1397"/>
        <w:gridCol w:w="1743"/>
        <w:gridCol w:w="829"/>
        <w:gridCol w:w="1291"/>
        <w:gridCol w:w="1262"/>
        <w:gridCol w:w="933"/>
        <w:gridCol w:w="933"/>
      </w:tblGrid>
      <w:tr w:rsidR="002466A2" w:rsidRPr="00500C4E" w14:paraId="7122FF83" w14:textId="77777777" w:rsidTr="003E471B">
        <w:tc>
          <w:tcPr>
            <w:tcW w:w="620" w:type="pct"/>
            <w:vMerge w:val="restart"/>
            <w:shd w:val="clear" w:color="auto" w:fill="D9D9D9" w:themeFill="background1" w:themeFillShade="D9"/>
          </w:tcPr>
          <w:p w14:paraId="1B2725EC" w14:textId="589C410F" w:rsidR="00E206E1" w:rsidRDefault="00E206E1" w:rsidP="00175D14">
            <w:pPr>
              <w:rPr>
                <w:rFonts w:cstheme="minorHAnsi"/>
                <w:b/>
                <w:szCs w:val="20"/>
              </w:rPr>
            </w:pPr>
            <w:r>
              <w:rPr>
                <w:rFonts w:cstheme="minorHAnsi"/>
                <w:b/>
                <w:szCs w:val="20"/>
              </w:rPr>
              <w:t>Measure</w:t>
            </w:r>
          </w:p>
        </w:tc>
        <w:tc>
          <w:tcPr>
            <w:tcW w:w="729" w:type="pct"/>
            <w:vMerge w:val="restart"/>
            <w:shd w:val="clear" w:color="auto" w:fill="D9D9D9" w:themeFill="background1" w:themeFillShade="D9"/>
          </w:tcPr>
          <w:p w14:paraId="423CCAC1" w14:textId="2927ECAA" w:rsidR="00E206E1" w:rsidRDefault="00E206E1" w:rsidP="00175D14">
            <w:pPr>
              <w:rPr>
                <w:rFonts w:cstheme="minorHAnsi"/>
                <w:b/>
                <w:szCs w:val="20"/>
              </w:rPr>
            </w:pPr>
            <w:r w:rsidRPr="000A0E36">
              <w:rPr>
                <w:rFonts w:cs="Arial"/>
                <w:b/>
                <w:color w:val="000000"/>
                <w:szCs w:val="20"/>
              </w:rPr>
              <w:t>Baseline Equipment Cost</w:t>
            </w:r>
          </w:p>
        </w:tc>
        <w:tc>
          <w:tcPr>
            <w:tcW w:w="910" w:type="pct"/>
            <w:vMerge w:val="restart"/>
            <w:shd w:val="clear" w:color="auto" w:fill="D9D9D9" w:themeFill="background1" w:themeFillShade="D9"/>
          </w:tcPr>
          <w:p w14:paraId="74820744" w14:textId="50177EBA" w:rsidR="00E206E1" w:rsidRDefault="00E206E1" w:rsidP="00175D14">
            <w:pPr>
              <w:rPr>
                <w:rFonts w:cstheme="minorHAnsi"/>
                <w:b/>
                <w:szCs w:val="20"/>
              </w:rPr>
            </w:pPr>
            <w:r w:rsidRPr="000A0E36">
              <w:rPr>
                <w:rFonts w:cs="Arial"/>
                <w:b/>
                <w:color w:val="000000"/>
                <w:szCs w:val="20"/>
              </w:rPr>
              <w:t>Measure Equipment Cost</w:t>
            </w:r>
          </w:p>
        </w:tc>
        <w:tc>
          <w:tcPr>
            <w:tcW w:w="433" w:type="pct"/>
            <w:vMerge w:val="restart"/>
            <w:shd w:val="clear" w:color="auto" w:fill="D9D9D9" w:themeFill="background1" w:themeFillShade="D9"/>
          </w:tcPr>
          <w:p w14:paraId="2B4BB9C3" w14:textId="181555B5" w:rsidR="00E206E1" w:rsidRDefault="00E206E1" w:rsidP="00175D14">
            <w:pPr>
              <w:rPr>
                <w:rFonts w:cstheme="minorHAnsi"/>
                <w:b/>
                <w:szCs w:val="20"/>
              </w:rPr>
            </w:pPr>
            <w:r w:rsidRPr="000A0E36">
              <w:rPr>
                <w:rFonts w:cs="Arial"/>
                <w:b/>
                <w:color w:val="000000"/>
                <w:szCs w:val="20"/>
              </w:rPr>
              <w:t>Labor Cost</w:t>
            </w:r>
          </w:p>
        </w:tc>
        <w:tc>
          <w:tcPr>
            <w:tcW w:w="674" w:type="pct"/>
            <w:vMerge w:val="restart"/>
            <w:shd w:val="clear" w:color="auto" w:fill="D9D9D9" w:themeFill="background1" w:themeFillShade="D9"/>
          </w:tcPr>
          <w:p w14:paraId="51D383F5" w14:textId="2319AE98" w:rsidR="00E206E1" w:rsidRPr="00DE77D0" w:rsidRDefault="00E206E1" w:rsidP="00175D14">
            <w:pPr>
              <w:rPr>
                <w:rFonts w:cstheme="minorHAnsi"/>
                <w:b/>
                <w:szCs w:val="20"/>
                <w:highlight w:val="yellow"/>
              </w:rPr>
            </w:pPr>
            <w:r>
              <w:rPr>
                <w:rFonts w:cstheme="minorHAnsi"/>
                <w:b/>
                <w:szCs w:val="20"/>
              </w:rPr>
              <w:t>Installation Type</w:t>
            </w:r>
          </w:p>
        </w:tc>
        <w:tc>
          <w:tcPr>
            <w:tcW w:w="659" w:type="pct"/>
            <w:vMerge w:val="restart"/>
            <w:shd w:val="clear" w:color="auto" w:fill="D9D9D9" w:themeFill="background1" w:themeFillShade="D9"/>
          </w:tcPr>
          <w:p w14:paraId="3A7A2512" w14:textId="77777777" w:rsidR="00E206E1" w:rsidRPr="00C92237" w:rsidRDefault="00E206E1" w:rsidP="00175D14">
            <w:pPr>
              <w:rPr>
                <w:rFonts w:cstheme="minorHAnsi"/>
                <w:b/>
                <w:szCs w:val="20"/>
              </w:rPr>
            </w:pPr>
            <w:r w:rsidRPr="00C92237">
              <w:rPr>
                <w:rFonts w:cstheme="minorHAnsi"/>
                <w:b/>
                <w:szCs w:val="20"/>
              </w:rPr>
              <w:t>Incremental Measure Cost</w:t>
            </w:r>
          </w:p>
        </w:tc>
        <w:tc>
          <w:tcPr>
            <w:tcW w:w="974" w:type="pct"/>
            <w:gridSpan w:val="2"/>
            <w:shd w:val="clear" w:color="auto" w:fill="D9D9D9" w:themeFill="background1" w:themeFillShade="D9"/>
          </w:tcPr>
          <w:p w14:paraId="7AECFFEC" w14:textId="3EEA0F4A" w:rsidR="00E206E1" w:rsidRPr="00C92237" w:rsidRDefault="00E206E1" w:rsidP="00175D14">
            <w:pPr>
              <w:rPr>
                <w:rFonts w:cstheme="minorHAnsi"/>
                <w:b/>
                <w:szCs w:val="20"/>
              </w:rPr>
            </w:pPr>
            <w:r>
              <w:rPr>
                <w:rFonts w:cstheme="minorHAnsi"/>
                <w:b/>
                <w:szCs w:val="20"/>
              </w:rPr>
              <w:t>Incremental</w:t>
            </w:r>
            <w:r w:rsidRPr="00C92237">
              <w:rPr>
                <w:rFonts w:cstheme="minorHAnsi"/>
                <w:b/>
                <w:szCs w:val="20"/>
              </w:rPr>
              <w:t xml:space="preserve"> Measure Cost</w:t>
            </w:r>
          </w:p>
        </w:tc>
      </w:tr>
      <w:tr w:rsidR="002466A2" w:rsidRPr="00500C4E" w14:paraId="06496C2D" w14:textId="77777777" w:rsidTr="003E471B">
        <w:tc>
          <w:tcPr>
            <w:tcW w:w="620" w:type="pct"/>
            <w:vMerge/>
            <w:shd w:val="clear" w:color="auto" w:fill="D9D9D9" w:themeFill="background1" w:themeFillShade="D9"/>
          </w:tcPr>
          <w:p w14:paraId="756DF1A0" w14:textId="77777777" w:rsidR="00E206E1" w:rsidRPr="00DE77D0" w:rsidRDefault="00E206E1" w:rsidP="00175D14">
            <w:pPr>
              <w:rPr>
                <w:rFonts w:cstheme="minorHAnsi"/>
                <w:b/>
                <w:szCs w:val="20"/>
              </w:rPr>
            </w:pPr>
          </w:p>
        </w:tc>
        <w:tc>
          <w:tcPr>
            <w:tcW w:w="729" w:type="pct"/>
            <w:vMerge/>
            <w:shd w:val="clear" w:color="auto" w:fill="D9D9D9" w:themeFill="background1" w:themeFillShade="D9"/>
          </w:tcPr>
          <w:p w14:paraId="449E1724" w14:textId="77777777" w:rsidR="00E206E1" w:rsidRPr="00DE77D0" w:rsidRDefault="00E206E1" w:rsidP="00175D14">
            <w:pPr>
              <w:rPr>
                <w:rFonts w:cstheme="minorHAnsi"/>
                <w:b/>
                <w:szCs w:val="20"/>
              </w:rPr>
            </w:pPr>
          </w:p>
        </w:tc>
        <w:tc>
          <w:tcPr>
            <w:tcW w:w="910" w:type="pct"/>
            <w:vMerge/>
            <w:shd w:val="clear" w:color="auto" w:fill="D9D9D9" w:themeFill="background1" w:themeFillShade="D9"/>
          </w:tcPr>
          <w:p w14:paraId="12DF68FC" w14:textId="77777777" w:rsidR="00E206E1" w:rsidRPr="00DE77D0" w:rsidRDefault="00E206E1" w:rsidP="00175D14">
            <w:pPr>
              <w:rPr>
                <w:rFonts w:cstheme="minorHAnsi"/>
                <w:b/>
                <w:szCs w:val="20"/>
              </w:rPr>
            </w:pPr>
          </w:p>
        </w:tc>
        <w:tc>
          <w:tcPr>
            <w:tcW w:w="433" w:type="pct"/>
            <w:vMerge/>
            <w:shd w:val="clear" w:color="auto" w:fill="D9D9D9" w:themeFill="background1" w:themeFillShade="D9"/>
          </w:tcPr>
          <w:p w14:paraId="23CBBF67" w14:textId="77777777" w:rsidR="00E206E1" w:rsidRPr="00DE77D0" w:rsidRDefault="00E206E1" w:rsidP="00175D14">
            <w:pPr>
              <w:rPr>
                <w:rFonts w:cstheme="minorHAnsi"/>
                <w:b/>
                <w:szCs w:val="20"/>
              </w:rPr>
            </w:pPr>
          </w:p>
        </w:tc>
        <w:tc>
          <w:tcPr>
            <w:tcW w:w="674" w:type="pct"/>
            <w:vMerge/>
            <w:shd w:val="clear" w:color="auto" w:fill="D9D9D9" w:themeFill="background1" w:themeFillShade="D9"/>
          </w:tcPr>
          <w:p w14:paraId="66B12B51" w14:textId="13223EB1" w:rsidR="00E206E1" w:rsidRPr="00DE77D0" w:rsidRDefault="00E206E1" w:rsidP="00175D14">
            <w:pPr>
              <w:rPr>
                <w:rFonts w:cstheme="minorHAnsi"/>
                <w:b/>
                <w:szCs w:val="20"/>
              </w:rPr>
            </w:pPr>
          </w:p>
        </w:tc>
        <w:tc>
          <w:tcPr>
            <w:tcW w:w="659" w:type="pct"/>
            <w:vMerge/>
            <w:shd w:val="clear" w:color="auto" w:fill="D9D9D9" w:themeFill="background1" w:themeFillShade="D9"/>
          </w:tcPr>
          <w:p w14:paraId="35D79D77" w14:textId="77777777" w:rsidR="00E206E1" w:rsidRPr="00C92237" w:rsidRDefault="00E206E1" w:rsidP="00175D14">
            <w:pPr>
              <w:rPr>
                <w:rFonts w:cstheme="minorHAnsi"/>
                <w:b/>
                <w:szCs w:val="20"/>
              </w:rPr>
            </w:pPr>
          </w:p>
        </w:tc>
        <w:tc>
          <w:tcPr>
            <w:tcW w:w="487" w:type="pct"/>
            <w:shd w:val="clear" w:color="auto" w:fill="F2F2F2" w:themeFill="background1" w:themeFillShade="F2"/>
          </w:tcPr>
          <w:p w14:paraId="2BC0AC4F" w14:textId="77777777" w:rsidR="00E206E1" w:rsidRPr="00C92237" w:rsidRDefault="00E206E1" w:rsidP="00175D14">
            <w:pPr>
              <w:rPr>
                <w:rFonts w:cstheme="minorHAnsi"/>
                <w:b/>
                <w:szCs w:val="20"/>
              </w:rPr>
            </w:pPr>
            <w:r w:rsidRPr="00C92237">
              <w:rPr>
                <w:rFonts w:cstheme="minorHAnsi"/>
                <w:b/>
                <w:szCs w:val="20"/>
              </w:rPr>
              <w:t>1</w:t>
            </w:r>
            <w:r w:rsidRPr="00C92237">
              <w:rPr>
                <w:rFonts w:cstheme="minorHAnsi"/>
                <w:b/>
                <w:szCs w:val="20"/>
                <w:vertAlign w:val="superscript"/>
              </w:rPr>
              <w:t>st</w:t>
            </w:r>
            <w:r w:rsidRPr="00C92237">
              <w:rPr>
                <w:rFonts w:cstheme="minorHAnsi"/>
                <w:b/>
                <w:szCs w:val="20"/>
              </w:rPr>
              <w:t xml:space="preserve"> Baseline</w:t>
            </w:r>
          </w:p>
        </w:tc>
        <w:tc>
          <w:tcPr>
            <w:tcW w:w="487" w:type="pct"/>
            <w:shd w:val="clear" w:color="auto" w:fill="F2F2F2" w:themeFill="background1" w:themeFillShade="F2"/>
          </w:tcPr>
          <w:p w14:paraId="199F1085" w14:textId="77777777" w:rsidR="00E206E1" w:rsidRPr="00DE77D0" w:rsidRDefault="00E206E1"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E206E1" w:rsidRPr="00500C4E" w14:paraId="31204A9D" w14:textId="77777777" w:rsidTr="003E471B">
        <w:tc>
          <w:tcPr>
            <w:tcW w:w="620" w:type="pct"/>
          </w:tcPr>
          <w:p w14:paraId="20624498" w14:textId="5C099A35" w:rsidR="00E206E1" w:rsidRPr="00920905" w:rsidRDefault="00E206E1" w:rsidP="00E206E1">
            <w:pPr>
              <w:rPr>
                <w:rFonts w:cstheme="minorHAnsi"/>
                <w:color w:val="FF0000"/>
                <w:szCs w:val="20"/>
              </w:rPr>
            </w:pPr>
            <w:r>
              <w:rPr>
                <w:rFonts w:ascii="Calibri" w:hAnsi="Calibri"/>
                <w:color w:val="000000"/>
                <w:szCs w:val="20"/>
              </w:rPr>
              <w:t>Hand Wrap Machine</w:t>
            </w:r>
          </w:p>
        </w:tc>
        <w:tc>
          <w:tcPr>
            <w:tcW w:w="729" w:type="pct"/>
          </w:tcPr>
          <w:p w14:paraId="66FFD3F4" w14:textId="0E68FA4A" w:rsidR="00E206E1" w:rsidRPr="006C1C10" w:rsidRDefault="00E206E1" w:rsidP="008B41E5">
            <w:pPr>
              <w:rPr>
                <w:rFonts w:cstheme="minorHAnsi"/>
                <w:szCs w:val="20"/>
              </w:rPr>
            </w:pPr>
            <w:r w:rsidRPr="00374665">
              <w:rPr>
                <w:rFonts w:ascii="Calibri" w:hAnsi="Calibri" w:cs="Calibri"/>
                <w:color w:val="000000"/>
                <w:szCs w:val="20"/>
              </w:rPr>
              <w:t>$</w:t>
            </w:r>
            <w:r w:rsidR="002466A2">
              <w:rPr>
                <w:rFonts w:ascii="Calibri" w:hAnsi="Calibri" w:cs="Calibri"/>
                <w:color w:val="000000"/>
                <w:szCs w:val="20"/>
              </w:rPr>
              <w:t>999.77</w:t>
            </w:r>
          </w:p>
        </w:tc>
        <w:tc>
          <w:tcPr>
            <w:tcW w:w="910" w:type="pct"/>
          </w:tcPr>
          <w:p w14:paraId="536E78A7" w14:textId="6C56ADD1" w:rsidR="00E206E1" w:rsidRPr="006C1C10" w:rsidRDefault="00E206E1" w:rsidP="008B41E5">
            <w:pPr>
              <w:rPr>
                <w:rFonts w:cstheme="minorHAnsi"/>
                <w:szCs w:val="20"/>
              </w:rPr>
            </w:pPr>
            <w:r w:rsidRPr="00C92237">
              <w:rPr>
                <w:rFonts w:ascii="Calibri" w:hAnsi="Calibri" w:cs="Calibri"/>
                <w:color w:val="000000"/>
                <w:szCs w:val="20"/>
              </w:rPr>
              <w:t>$1,</w:t>
            </w:r>
            <w:r>
              <w:rPr>
                <w:rFonts w:ascii="Calibri" w:hAnsi="Calibri" w:cs="Calibri"/>
                <w:color w:val="000000"/>
                <w:szCs w:val="20"/>
              </w:rPr>
              <w:t>13</w:t>
            </w:r>
            <w:r w:rsidR="002466A2">
              <w:rPr>
                <w:rFonts w:ascii="Calibri" w:hAnsi="Calibri" w:cs="Calibri"/>
                <w:color w:val="000000"/>
                <w:szCs w:val="20"/>
              </w:rPr>
              <w:t>4.36</w:t>
            </w:r>
          </w:p>
        </w:tc>
        <w:tc>
          <w:tcPr>
            <w:tcW w:w="433" w:type="pct"/>
          </w:tcPr>
          <w:p w14:paraId="2E7CF9AB" w14:textId="5AAF0B39" w:rsidR="00E206E1" w:rsidRPr="006C1C10" w:rsidRDefault="00E206E1" w:rsidP="00E206E1">
            <w:pPr>
              <w:rPr>
                <w:rFonts w:cstheme="minorHAnsi"/>
                <w:szCs w:val="20"/>
              </w:rPr>
            </w:pPr>
            <w:r>
              <w:rPr>
                <w:rFonts w:ascii="Calibri" w:hAnsi="Calibri" w:cs="Calibri"/>
                <w:color w:val="000000"/>
                <w:szCs w:val="20"/>
              </w:rPr>
              <w:t>$33.94</w:t>
            </w:r>
          </w:p>
        </w:tc>
        <w:tc>
          <w:tcPr>
            <w:tcW w:w="674" w:type="pct"/>
          </w:tcPr>
          <w:p w14:paraId="1B8D4FEE" w14:textId="5A7AA79C" w:rsidR="00E206E1" w:rsidRPr="006C1C10" w:rsidRDefault="00E206E1" w:rsidP="00E206E1">
            <w:pPr>
              <w:rPr>
                <w:rFonts w:cstheme="minorHAnsi"/>
                <w:szCs w:val="20"/>
              </w:rPr>
            </w:pPr>
            <w:r w:rsidRPr="006C1C10">
              <w:rPr>
                <w:rFonts w:cstheme="minorHAnsi"/>
                <w:szCs w:val="20"/>
              </w:rPr>
              <w:t>ROB</w:t>
            </w:r>
          </w:p>
        </w:tc>
        <w:tc>
          <w:tcPr>
            <w:tcW w:w="659" w:type="pct"/>
          </w:tcPr>
          <w:p w14:paraId="17400ED7" w14:textId="545708F6" w:rsidR="00E206E1" w:rsidRPr="00C92237" w:rsidRDefault="00E206E1" w:rsidP="008B41E5">
            <w:pPr>
              <w:rPr>
                <w:rFonts w:cstheme="minorHAnsi"/>
                <w:szCs w:val="20"/>
              </w:rPr>
            </w:pPr>
            <w:r w:rsidRPr="00C92237">
              <w:rPr>
                <w:rFonts w:cstheme="minorHAnsi"/>
                <w:szCs w:val="20"/>
              </w:rPr>
              <w:t>$</w:t>
            </w:r>
            <w:r w:rsidR="004E2D31">
              <w:rPr>
                <w:rFonts w:cstheme="minorHAnsi"/>
                <w:szCs w:val="20"/>
              </w:rPr>
              <w:t>13</w:t>
            </w:r>
            <w:r w:rsidR="002466A2">
              <w:rPr>
                <w:rFonts w:cstheme="minorHAnsi"/>
                <w:szCs w:val="20"/>
              </w:rPr>
              <w:t>4.59</w:t>
            </w:r>
          </w:p>
        </w:tc>
        <w:tc>
          <w:tcPr>
            <w:tcW w:w="487" w:type="pct"/>
          </w:tcPr>
          <w:p w14:paraId="0F861C7C" w14:textId="29FF9DB6" w:rsidR="00E206E1" w:rsidRPr="00C92237" w:rsidRDefault="00822899">
            <w:pPr>
              <w:rPr>
                <w:rFonts w:cstheme="minorHAnsi"/>
                <w:szCs w:val="20"/>
              </w:rPr>
            </w:pPr>
            <w:r>
              <w:rPr>
                <w:rFonts w:cstheme="minorHAnsi"/>
                <w:szCs w:val="20"/>
              </w:rPr>
              <w:t>$</w:t>
            </w:r>
            <w:r w:rsidR="004E2D31">
              <w:rPr>
                <w:rFonts w:cstheme="minorHAnsi"/>
                <w:szCs w:val="20"/>
              </w:rPr>
              <w:t>13</w:t>
            </w:r>
            <w:r w:rsidR="002466A2">
              <w:rPr>
                <w:rFonts w:cstheme="minorHAnsi"/>
                <w:szCs w:val="20"/>
              </w:rPr>
              <w:t>4.59</w:t>
            </w:r>
          </w:p>
        </w:tc>
        <w:tc>
          <w:tcPr>
            <w:tcW w:w="487" w:type="pct"/>
          </w:tcPr>
          <w:p w14:paraId="26FF7460" w14:textId="77777777" w:rsidR="00E206E1" w:rsidRPr="006C1C10" w:rsidRDefault="00E206E1" w:rsidP="00E206E1">
            <w:pPr>
              <w:rPr>
                <w:rFonts w:cstheme="minorHAnsi"/>
                <w:szCs w:val="20"/>
              </w:rPr>
            </w:pPr>
            <w:r w:rsidRPr="006C1C10">
              <w:rPr>
                <w:rFonts w:cstheme="minorHAnsi"/>
                <w:szCs w:val="20"/>
              </w:rPr>
              <w:t>N/A</w:t>
            </w:r>
          </w:p>
        </w:tc>
      </w:tr>
    </w:tbl>
    <w:p w14:paraId="37E9FBDB" w14:textId="6A852581" w:rsidR="00E16609" w:rsidRPr="00920905" w:rsidRDefault="00E16609">
      <w:pPr>
        <w:rPr>
          <w:rFonts w:cstheme="minorHAnsi"/>
          <w:sz w:val="20"/>
          <w:szCs w:val="20"/>
        </w:rPr>
      </w:pPr>
      <w:bookmarkStart w:id="22" w:name="_Toc214003099"/>
    </w:p>
    <w:bookmarkEnd w:id="22"/>
    <w:p w14:paraId="10FCAB52" w14:textId="77777777" w:rsidR="00953944" w:rsidRDefault="00953944" w:rsidP="00E41365">
      <w:pPr>
        <w:pStyle w:val="Heading1"/>
        <w:rPr>
          <w:rFonts w:cstheme="minorHAnsi"/>
        </w:rPr>
      </w:pPr>
    </w:p>
    <w:p w14:paraId="7F32E831" w14:textId="4439AAB4" w:rsidR="00E838C0" w:rsidRDefault="00E16609" w:rsidP="00E41365">
      <w:pPr>
        <w:pStyle w:val="Heading1"/>
        <w:rPr>
          <w:rFonts w:cstheme="minorHAnsi"/>
        </w:rPr>
      </w:pPr>
      <w:r w:rsidRPr="00500C4E">
        <w:rPr>
          <w:rFonts w:cstheme="minorHAnsi"/>
        </w:rPr>
        <w:t>Attachments</w:t>
      </w:r>
    </w:p>
    <w:p w14:paraId="2975EEB1" w14:textId="77777777" w:rsidR="00860413" w:rsidRDefault="00860413" w:rsidP="00860413"/>
    <w:p w14:paraId="2C52C296" w14:textId="77777777" w:rsidR="00860413" w:rsidRPr="00860413" w:rsidRDefault="00860413" w:rsidP="00860413"/>
    <w:tbl>
      <w:tblPr>
        <w:tblStyle w:val="TableGrid"/>
        <w:tblW w:w="0" w:type="auto"/>
        <w:tblLook w:val="04A0" w:firstRow="1" w:lastRow="0" w:firstColumn="1" w:lastColumn="0" w:noHBand="0" w:noVBand="1"/>
      </w:tblPr>
      <w:tblGrid>
        <w:gridCol w:w="2695"/>
        <w:gridCol w:w="6655"/>
      </w:tblGrid>
      <w:tr w:rsidR="00860413" w14:paraId="4FA19474" w14:textId="77777777" w:rsidTr="00C606BB">
        <w:tc>
          <w:tcPr>
            <w:tcW w:w="2695" w:type="dxa"/>
          </w:tcPr>
          <w:p w14:paraId="316C2320" w14:textId="77777777" w:rsidR="00860413" w:rsidRDefault="00860413" w:rsidP="00C606BB">
            <w:proofErr w:type="spellStart"/>
            <w:r>
              <w:t>Workpaper</w:t>
            </w:r>
            <w:proofErr w:type="spellEnd"/>
            <w:r>
              <w:t xml:space="preserve"> ID: </w:t>
            </w:r>
          </w:p>
        </w:tc>
        <w:tc>
          <w:tcPr>
            <w:tcW w:w="6655" w:type="dxa"/>
          </w:tcPr>
          <w:p w14:paraId="1C8C5B91" w14:textId="378F60C4" w:rsidR="00860413" w:rsidRDefault="000226FD" w:rsidP="00C606BB">
            <w:r>
              <w:t>SCE17CC014.1</w:t>
            </w:r>
          </w:p>
        </w:tc>
      </w:tr>
      <w:tr w:rsidR="00860413" w14:paraId="0AF5946D" w14:textId="77777777" w:rsidTr="00C606BB">
        <w:tc>
          <w:tcPr>
            <w:tcW w:w="2695" w:type="dxa"/>
          </w:tcPr>
          <w:p w14:paraId="04C90AA0" w14:textId="77777777" w:rsidR="00860413" w:rsidRDefault="00860413" w:rsidP="00C606BB">
            <w:r>
              <w:t xml:space="preserve">Attachment 1: </w:t>
            </w:r>
          </w:p>
        </w:tc>
        <w:tc>
          <w:tcPr>
            <w:tcW w:w="6655" w:type="dxa"/>
          </w:tcPr>
          <w:p w14:paraId="2FA93F7E" w14:textId="2A9F87D5" w:rsidR="00860413" w:rsidRDefault="00860413" w:rsidP="00860413">
            <w:r>
              <w:t>SCE17CC014.1 - Calculation Template_Final.xlsx</w:t>
            </w:r>
          </w:p>
        </w:tc>
      </w:tr>
      <w:tr w:rsidR="00860413" w14:paraId="47C06117" w14:textId="77777777" w:rsidTr="00C606BB">
        <w:tc>
          <w:tcPr>
            <w:tcW w:w="2695" w:type="dxa"/>
          </w:tcPr>
          <w:p w14:paraId="0A4BD04D" w14:textId="77777777" w:rsidR="00860413" w:rsidRDefault="00860413" w:rsidP="00C606BB">
            <w:r>
              <w:t xml:space="preserve">Attachment 2: </w:t>
            </w:r>
          </w:p>
        </w:tc>
        <w:tc>
          <w:tcPr>
            <w:tcW w:w="6655" w:type="dxa"/>
          </w:tcPr>
          <w:p w14:paraId="1982BE04" w14:textId="18A20AC9" w:rsidR="00860413" w:rsidRDefault="00860413" w:rsidP="00C606BB">
            <w:r>
              <w:t>SCE17CC014.1 - Commercial Hand Wrap Machine Costs.xlsx</w:t>
            </w:r>
          </w:p>
        </w:tc>
      </w:tr>
      <w:tr w:rsidR="00860413" w14:paraId="6F3A0092" w14:textId="77777777" w:rsidTr="00C606BB">
        <w:tc>
          <w:tcPr>
            <w:tcW w:w="2695" w:type="dxa"/>
          </w:tcPr>
          <w:p w14:paraId="3A598DB1" w14:textId="77777777" w:rsidR="00860413" w:rsidRDefault="00860413" w:rsidP="00C606BB">
            <w:r>
              <w:t xml:space="preserve">Attachment 3: </w:t>
            </w:r>
          </w:p>
        </w:tc>
        <w:tc>
          <w:tcPr>
            <w:tcW w:w="6655" w:type="dxa"/>
          </w:tcPr>
          <w:p w14:paraId="189D8D14" w14:textId="452ACC2C" w:rsidR="00860413" w:rsidRDefault="00860413" w:rsidP="00860413">
            <w:r>
              <w:t>SCE17CC014.1 - Cost and Specification References.pdf</w:t>
            </w:r>
          </w:p>
        </w:tc>
      </w:tr>
      <w:tr w:rsidR="00860413" w14:paraId="0CF45EAF" w14:textId="77777777" w:rsidTr="00C606BB">
        <w:tc>
          <w:tcPr>
            <w:tcW w:w="2695" w:type="dxa"/>
          </w:tcPr>
          <w:p w14:paraId="1F34C5BF" w14:textId="77777777" w:rsidR="00860413" w:rsidRDefault="00860413" w:rsidP="00C606BB">
            <w:r>
              <w:t>Attachment 4:</w:t>
            </w:r>
          </w:p>
        </w:tc>
        <w:tc>
          <w:tcPr>
            <w:tcW w:w="6655" w:type="dxa"/>
          </w:tcPr>
          <w:p w14:paraId="4692E8A8" w14:textId="3B303952" w:rsidR="00860413" w:rsidRDefault="00953944" w:rsidP="00C606BB">
            <w:r>
              <w:t xml:space="preserve">SCE17CC014.1 - </w:t>
            </w:r>
            <w:r w:rsidR="00860413">
              <w:t>Eulid_Data_desc.xlsx</w:t>
            </w:r>
          </w:p>
        </w:tc>
      </w:tr>
      <w:tr w:rsidR="00860413" w14:paraId="224418BE" w14:textId="77777777" w:rsidTr="00C606BB">
        <w:tc>
          <w:tcPr>
            <w:tcW w:w="2695" w:type="dxa"/>
          </w:tcPr>
          <w:p w14:paraId="15E11766" w14:textId="77777777" w:rsidR="00860413" w:rsidRDefault="00860413" w:rsidP="00C606BB">
            <w:r>
              <w:t xml:space="preserve">Reference Attachment 1: </w:t>
            </w:r>
          </w:p>
        </w:tc>
        <w:tc>
          <w:tcPr>
            <w:tcW w:w="6655" w:type="dxa"/>
          </w:tcPr>
          <w:p w14:paraId="774B63E4" w14:textId="3B187D1D" w:rsidR="00860413" w:rsidRDefault="000226FD" w:rsidP="00C606BB">
            <w:r w:rsidRPr="000226FD">
              <w:t>References_11152017_131456</w:t>
            </w:r>
            <w:r w:rsidR="00860413">
              <w:t>.xlsx</w:t>
            </w:r>
          </w:p>
        </w:tc>
      </w:tr>
    </w:tbl>
    <w:p w14:paraId="7176FFA5" w14:textId="77777777" w:rsidR="00860413" w:rsidRPr="00860413" w:rsidRDefault="00860413" w:rsidP="00860413"/>
    <w:p w14:paraId="071DBD6B" w14:textId="044351EE" w:rsidR="00E41365" w:rsidRPr="00E41365" w:rsidRDefault="00E41365" w:rsidP="00916EE1">
      <w:pPr>
        <w:ind w:left="360"/>
      </w:pPr>
    </w:p>
    <w:p w14:paraId="59DE5DCA" w14:textId="3E1B5318" w:rsidR="003D6124" w:rsidRDefault="003D6124" w:rsidP="003D6124">
      <w:pPr>
        <w:pStyle w:val="Heading1"/>
        <w:rPr>
          <w:rFonts w:cstheme="minorHAnsi"/>
        </w:rPr>
      </w:pPr>
      <w:r>
        <w:rPr>
          <w:rFonts w:cstheme="minorHAnsi"/>
        </w:rPr>
        <w:t>Reference</w:t>
      </w:r>
      <w:bookmarkStart w:id="23" w:name="_GoBack"/>
      <w:bookmarkEnd w:id="23"/>
    </w:p>
    <w:p w14:paraId="51F89551" w14:textId="4413DD46" w:rsidR="00B3112F" w:rsidRDefault="00B3112F" w:rsidP="009D7320">
      <w:pPr>
        <w:rPr>
          <w:rFonts w:cstheme="minorHAnsi"/>
          <w:szCs w:val="22"/>
        </w:rPr>
      </w:pPr>
      <w:r w:rsidRPr="00B3112F">
        <w:t xml:space="preserve"> </w:t>
      </w:r>
    </w:p>
    <w:p w14:paraId="56773192" w14:textId="6ECF0232" w:rsidR="00BC3D0B" w:rsidRPr="00397406" w:rsidRDefault="005B43D9" w:rsidP="00BC3D0B">
      <w:pPr>
        <w:rPr>
          <w:rFonts w:cstheme="minorHAnsi"/>
        </w:rPr>
      </w:pPr>
      <w:r>
        <w:rPr>
          <w:rFonts w:cstheme="minorHAnsi"/>
        </w:rPr>
        <w:t>[493</w:t>
      </w:r>
      <w:r w:rsidR="00BC3D0B" w:rsidRPr="00DA6005">
        <w:rPr>
          <w:rFonts w:cstheme="minorHAnsi"/>
        </w:rPr>
        <w:t>]</w:t>
      </w:r>
    </w:p>
    <w:p w14:paraId="35B58661" w14:textId="77777777" w:rsidR="00BC3D0B" w:rsidRPr="00397406" w:rsidRDefault="00BC3D0B" w:rsidP="00BC3D0B">
      <w:r>
        <w:t>[483]</w:t>
      </w:r>
    </w:p>
    <w:p w14:paraId="709F7B3B" w14:textId="31D390FD" w:rsidR="00BC3D0B" w:rsidRPr="00BC3D0B" w:rsidRDefault="00642EA7" w:rsidP="00BC3D0B">
      <w:r>
        <w:t>[496]</w:t>
      </w:r>
    </w:p>
    <w:sectPr w:rsidR="00BC3D0B" w:rsidRPr="00BC3D0B" w:rsidSect="00E87C8F">
      <w:footerReference w:type="default" r:id="rId1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E3C99" w14:textId="77777777" w:rsidR="00C750F7" w:rsidRDefault="00C750F7" w:rsidP="00447D6E">
      <w:r>
        <w:separator/>
      </w:r>
    </w:p>
    <w:p w14:paraId="6A8798F7" w14:textId="77777777" w:rsidR="00C750F7" w:rsidRDefault="00C750F7"/>
  </w:endnote>
  <w:endnote w:type="continuationSeparator" w:id="0">
    <w:p w14:paraId="0C0F8474" w14:textId="77777777" w:rsidR="00C750F7" w:rsidRDefault="00C750F7" w:rsidP="00447D6E">
      <w:r>
        <w:continuationSeparator/>
      </w:r>
    </w:p>
    <w:p w14:paraId="4A59159B" w14:textId="77777777" w:rsidR="00C750F7" w:rsidRDefault="00C750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3CC031A5" w:rsidR="00C750F7" w:rsidRDefault="000226FD"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02-05T00:00:00Z">
          <w:dateFormat w:val="MMMM d, yyyy"/>
          <w:lid w:val="en-US"/>
          <w:storeMappedDataAs w:val="dateTime"/>
          <w:calendar w:val="gregorian"/>
        </w:date>
      </w:sdtPr>
      <w:sdtEndPr/>
      <w:sdtContent>
        <w:r w:rsidR="004D297F">
          <w:rPr>
            <w:rFonts w:cstheme="minorHAnsi"/>
            <w:b/>
            <w:sz w:val="36"/>
            <w:szCs w:val="36"/>
          </w:rPr>
          <w:t>February 5, 2018</w:t>
        </w:r>
      </w:sdtContent>
    </w:sdt>
  </w:p>
  <w:p w14:paraId="650DB54B" w14:textId="670C7D5C" w:rsidR="00C750F7" w:rsidRPr="009500DC" w:rsidRDefault="00C750F7"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5AA80181" w:rsidR="00C750F7" w:rsidRPr="009500DC" w:rsidRDefault="000226FD"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C750F7">
          <w:rPr>
            <w:rFonts w:cstheme="minorHAnsi"/>
            <w:b/>
            <w:sz w:val="20"/>
            <w:szCs w:val="20"/>
          </w:rPr>
          <w:t>SCE17CC014</w:t>
        </w:r>
      </w:sdtContent>
    </w:sdt>
    <w:r w:rsidR="00C750F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C750F7">
          <w:rPr>
            <w:rFonts w:cstheme="minorHAnsi"/>
            <w:b/>
            <w:sz w:val="20"/>
            <w:szCs w:val="20"/>
          </w:rPr>
          <w:t>Revision 0</w:t>
        </w:r>
      </w:sdtContent>
    </w:sdt>
    <w:r w:rsidR="00C750F7" w:rsidRPr="009500DC">
      <w:rPr>
        <w:rFonts w:cstheme="minorHAnsi"/>
        <w:b/>
        <w:sz w:val="20"/>
        <w:szCs w:val="20"/>
      </w:rPr>
      <w:tab/>
    </w:r>
    <w:r w:rsidR="00C750F7" w:rsidRPr="009500DC">
      <w:rPr>
        <w:rFonts w:cstheme="minorHAnsi"/>
        <w:b/>
        <w:sz w:val="20"/>
        <w:szCs w:val="20"/>
      </w:rPr>
      <w:fldChar w:fldCharType="begin"/>
    </w:r>
    <w:r w:rsidR="00C750F7" w:rsidRPr="009500DC">
      <w:rPr>
        <w:rFonts w:cstheme="minorHAnsi"/>
        <w:b/>
        <w:sz w:val="20"/>
        <w:szCs w:val="20"/>
      </w:rPr>
      <w:instrText xml:space="preserve"> PAGE   \* MERGEFORMAT </w:instrText>
    </w:r>
    <w:r w:rsidR="00C750F7" w:rsidRPr="009500DC">
      <w:rPr>
        <w:rFonts w:cstheme="minorHAnsi"/>
        <w:b/>
        <w:sz w:val="20"/>
        <w:szCs w:val="20"/>
      </w:rPr>
      <w:fldChar w:fldCharType="separate"/>
    </w:r>
    <w:r>
      <w:rPr>
        <w:rFonts w:cstheme="minorHAnsi"/>
        <w:b/>
        <w:noProof/>
        <w:sz w:val="20"/>
        <w:szCs w:val="20"/>
      </w:rPr>
      <w:t>10</w:t>
    </w:r>
    <w:r w:rsidR="00C750F7" w:rsidRPr="009500DC">
      <w:rPr>
        <w:rFonts w:cstheme="minorHAnsi"/>
        <w:b/>
        <w:noProof/>
        <w:sz w:val="20"/>
        <w:szCs w:val="20"/>
      </w:rPr>
      <w:fldChar w:fldCharType="end"/>
    </w:r>
    <w:r w:rsidR="00C750F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2-05T00:00:00Z">
          <w:dateFormat w:val="MMMM d, yyyy"/>
          <w:lid w:val="en-US"/>
          <w:storeMappedDataAs w:val="dateTime"/>
          <w:calendar w:val="gregorian"/>
        </w:date>
      </w:sdtPr>
      <w:sdtEndPr/>
      <w:sdtContent>
        <w:r w:rsidR="004D297F">
          <w:rPr>
            <w:rFonts w:cstheme="minorHAnsi"/>
            <w:b/>
            <w:sz w:val="20"/>
            <w:szCs w:val="20"/>
          </w:rPr>
          <w:t>February 5, 2018</w:t>
        </w:r>
      </w:sdtContent>
    </w:sdt>
  </w:p>
  <w:p w14:paraId="43C07EA5" w14:textId="544E4323" w:rsidR="00C750F7" w:rsidRPr="009500DC" w:rsidRDefault="000226FD"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C750F7">
          <w:rPr>
            <w:rFonts w:cstheme="minorHAnsi"/>
            <w:b/>
            <w:sz w:val="20"/>
            <w:szCs w:val="20"/>
          </w:rPr>
          <w:t>Southern California Edison</w:t>
        </w:r>
      </w:sdtContent>
    </w:sdt>
  </w:p>
  <w:p w14:paraId="4AC7586E" w14:textId="77777777" w:rsidR="00C750F7" w:rsidRDefault="00C750F7"/>
  <w:p w14:paraId="5C9861A8" w14:textId="77777777" w:rsidR="00C750F7" w:rsidRDefault="00C750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981273" w14:textId="77777777" w:rsidR="00C750F7" w:rsidRDefault="00C750F7" w:rsidP="00447D6E">
      <w:r>
        <w:separator/>
      </w:r>
    </w:p>
    <w:p w14:paraId="4808980C" w14:textId="77777777" w:rsidR="00C750F7" w:rsidRDefault="00C750F7"/>
  </w:footnote>
  <w:footnote w:type="continuationSeparator" w:id="0">
    <w:p w14:paraId="6D8BBEF8" w14:textId="77777777" w:rsidR="00C750F7" w:rsidRDefault="00C750F7" w:rsidP="00447D6E">
      <w:r>
        <w:continuationSeparator/>
      </w:r>
    </w:p>
    <w:p w14:paraId="252A2535" w14:textId="77777777" w:rsidR="00C750F7" w:rsidRDefault="00C750F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18306D"/>
    <w:multiLevelType w:val="hybridMultilevel"/>
    <w:tmpl w:val="8FA4F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nsid w:val="0D860C73"/>
    <w:multiLevelType w:val="hybridMultilevel"/>
    <w:tmpl w:val="4738B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683647"/>
    <w:multiLevelType w:val="hybridMultilevel"/>
    <w:tmpl w:val="F0DC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8">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3D2E48"/>
    <w:multiLevelType w:val="hybridMultilevel"/>
    <w:tmpl w:val="99F61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F273A71"/>
    <w:multiLevelType w:val="multilevel"/>
    <w:tmpl w:val="8AB81EBE"/>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A5534C"/>
    <w:multiLevelType w:val="hybridMultilevel"/>
    <w:tmpl w:val="B0FAE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5AA4DC8"/>
    <w:multiLevelType w:val="hybridMultilevel"/>
    <w:tmpl w:val="8BA22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23"/>
  </w:num>
  <w:num w:numId="4">
    <w:abstractNumId w:val="20"/>
  </w:num>
  <w:num w:numId="5">
    <w:abstractNumId w:val="20"/>
  </w:num>
  <w:num w:numId="6">
    <w:abstractNumId w:val="3"/>
  </w:num>
  <w:num w:numId="7">
    <w:abstractNumId w:val="25"/>
  </w:num>
  <w:num w:numId="8">
    <w:abstractNumId w:val="22"/>
  </w:num>
  <w:num w:numId="9">
    <w:abstractNumId w:val="13"/>
  </w:num>
  <w:num w:numId="10">
    <w:abstractNumId w:val="8"/>
  </w:num>
  <w:num w:numId="11">
    <w:abstractNumId w:val="26"/>
  </w:num>
  <w:num w:numId="12">
    <w:abstractNumId w:val="19"/>
  </w:num>
  <w:num w:numId="13">
    <w:abstractNumId w:val="12"/>
  </w:num>
  <w:num w:numId="14">
    <w:abstractNumId w:val="36"/>
  </w:num>
  <w:num w:numId="15">
    <w:abstractNumId w:val="10"/>
  </w:num>
  <w:num w:numId="16">
    <w:abstractNumId w:val="14"/>
  </w:num>
  <w:num w:numId="17">
    <w:abstractNumId w:val="6"/>
  </w:num>
  <w:num w:numId="18">
    <w:abstractNumId w:val="0"/>
  </w:num>
  <w:num w:numId="19">
    <w:abstractNumId w:val="35"/>
  </w:num>
  <w:num w:numId="20">
    <w:abstractNumId w:val="5"/>
  </w:num>
  <w:num w:numId="21">
    <w:abstractNumId w:val="30"/>
  </w:num>
  <w:num w:numId="22">
    <w:abstractNumId w:val="31"/>
  </w:num>
  <w:num w:numId="23">
    <w:abstractNumId w:val="37"/>
  </w:num>
  <w:num w:numId="24">
    <w:abstractNumId w:val="34"/>
  </w:num>
  <w:num w:numId="25">
    <w:abstractNumId w:val="16"/>
  </w:num>
  <w:num w:numId="26">
    <w:abstractNumId w:val="18"/>
  </w:num>
  <w:num w:numId="27">
    <w:abstractNumId w:val="32"/>
  </w:num>
  <w:num w:numId="28">
    <w:abstractNumId w:val="17"/>
  </w:num>
  <w:num w:numId="29">
    <w:abstractNumId w:val="9"/>
  </w:num>
  <w:num w:numId="30">
    <w:abstractNumId w:val="1"/>
  </w:num>
  <w:num w:numId="31">
    <w:abstractNumId w:val="38"/>
  </w:num>
  <w:num w:numId="32">
    <w:abstractNumId w:val="28"/>
  </w:num>
  <w:num w:numId="33">
    <w:abstractNumId w:val="33"/>
  </w:num>
  <w:num w:numId="34">
    <w:abstractNumId w:val="11"/>
  </w:num>
  <w:num w:numId="35">
    <w:abstractNumId w:val="7"/>
  </w:num>
  <w:num w:numId="36">
    <w:abstractNumId w:val="21"/>
  </w:num>
  <w:num w:numId="37">
    <w:abstractNumId w:val="29"/>
  </w:num>
  <w:num w:numId="38">
    <w:abstractNumId w:val="2"/>
  </w:num>
  <w:num w:numId="39">
    <w:abstractNumId w:val="27"/>
  </w:num>
  <w:num w:numId="40">
    <w:abstractNumId w:val="15"/>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062C0"/>
    <w:rsid w:val="0001002B"/>
    <w:rsid w:val="00010806"/>
    <w:rsid w:val="00013F71"/>
    <w:rsid w:val="00014B5F"/>
    <w:rsid w:val="000173BF"/>
    <w:rsid w:val="000226FD"/>
    <w:rsid w:val="00024252"/>
    <w:rsid w:val="000245B5"/>
    <w:rsid w:val="00027183"/>
    <w:rsid w:val="00032FAE"/>
    <w:rsid w:val="00033D74"/>
    <w:rsid w:val="00033EA1"/>
    <w:rsid w:val="0003746D"/>
    <w:rsid w:val="0004020F"/>
    <w:rsid w:val="000436CB"/>
    <w:rsid w:val="00052E17"/>
    <w:rsid w:val="00056947"/>
    <w:rsid w:val="00061A8E"/>
    <w:rsid w:val="00064CB3"/>
    <w:rsid w:val="00070BEE"/>
    <w:rsid w:val="00072040"/>
    <w:rsid w:val="00076DF4"/>
    <w:rsid w:val="00076F51"/>
    <w:rsid w:val="0008524C"/>
    <w:rsid w:val="00086F7F"/>
    <w:rsid w:val="00087105"/>
    <w:rsid w:val="0009074D"/>
    <w:rsid w:val="000929DC"/>
    <w:rsid w:val="0009592B"/>
    <w:rsid w:val="000968C6"/>
    <w:rsid w:val="000A0E36"/>
    <w:rsid w:val="000A6227"/>
    <w:rsid w:val="000A63C9"/>
    <w:rsid w:val="000B3765"/>
    <w:rsid w:val="000B655B"/>
    <w:rsid w:val="000C0000"/>
    <w:rsid w:val="000C18CC"/>
    <w:rsid w:val="000C687D"/>
    <w:rsid w:val="000C7854"/>
    <w:rsid w:val="000C7ED1"/>
    <w:rsid w:val="000D789A"/>
    <w:rsid w:val="000E4B5F"/>
    <w:rsid w:val="000E706D"/>
    <w:rsid w:val="000F130A"/>
    <w:rsid w:val="000F4FD8"/>
    <w:rsid w:val="00107242"/>
    <w:rsid w:val="00111CC5"/>
    <w:rsid w:val="001206F7"/>
    <w:rsid w:val="00120B25"/>
    <w:rsid w:val="001236C1"/>
    <w:rsid w:val="00133EE8"/>
    <w:rsid w:val="00140B30"/>
    <w:rsid w:val="0014353E"/>
    <w:rsid w:val="00147155"/>
    <w:rsid w:val="00153CB3"/>
    <w:rsid w:val="00154C3B"/>
    <w:rsid w:val="00154E15"/>
    <w:rsid w:val="00160158"/>
    <w:rsid w:val="00165357"/>
    <w:rsid w:val="001722B7"/>
    <w:rsid w:val="001727D9"/>
    <w:rsid w:val="00174BB4"/>
    <w:rsid w:val="00175D14"/>
    <w:rsid w:val="001811EE"/>
    <w:rsid w:val="001839CC"/>
    <w:rsid w:val="00185AD4"/>
    <w:rsid w:val="001950C6"/>
    <w:rsid w:val="001979AF"/>
    <w:rsid w:val="001A0EB4"/>
    <w:rsid w:val="001A1A86"/>
    <w:rsid w:val="001A5F62"/>
    <w:rsid w:val="001B015E"/>
    <w:rsid w:val="001B2301"/>
    <w:rsid w:val="001B56E1"/>
    <w:rsid w:val="001B618B"/>
    <w:rsid w:val="001B724A"/>
    <w:rsid w:val="001C1338"/>
    <w:rsid w:val="001C4140"/>
    <w:rsid w:val="001C5A94"/>
    <w:rsid w:val="001D2317"/>
    <w:rsid w:val="001D3223"/>
    <w:rsid w:val="001D33EF"/>
    <w:rsid w:val="001D5AB3"/>
    <w:rsid w:val="001E0519"/>
    <w:rsid w:val="001E0829"/>
    <w:rsid w:val="001E1320"/>
    <w:rsid w:val="001E556A"/>
    <w:rsid w:val="001F05CE"/>
    <w:rsid w:val="001F1905"/>
    <w:rsid w:val="001F2B5E"/>
    <w:rsid w:val="001F4A65"/>
    <w:rsid w:val="00205C45"/>
    <w:rsid w:val="0021035B"/>
    <w:rsid w:val="00211153"/>
    <w:rsid w:val="0023254A"/>
    <w:rsid w:val="002344FB"/>
    <w:rsid w:val="00236216"/>
    <w:rsid w:val="002405CD"/>
    <w:rsid w:val="00240B74"/>
    <w:rsid w:val="00243B62"/>
    <w:rsid w:val="00245132"/>
    <w:rsid w:val="0024516F"/>
    <w:rsid w:val="002466A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1C15"/>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0969"/>
    <w:rsid w:val="003035E3"/>
    <w:rsid w:val="0030363A"/>
    <w:rsid w:val="00311073"/>
    <w:rsid w:val="00317970"/>
    <w:rsid w:val="00317EB0"/>
    <w:rsid w:val="00321067"/>
    <w:rsid w:val="00324C72"/>
    <w:rsid w:val="00332700"/>
    <w:rsid w:val="003358BD"/>
    <w:rsid w:val="00344E88"/>
    <w:rsid w:val="00345D80"/>
    <w:rsid w:val="003471D4"/>
    <w:rsid w:val="00350BF1"/>
    <w:rsid w:val="00353C49"/>
    <w:rsid w:val="003540B1"/>
    <w:rsid w:val="003557E9"/>
    <w:rsid w:val="003560BA"/>
    <w:rsid w:val="00356C97"/>
    <w:rsid w:val="00357353"/>
    <w:rsid w:val="00361875"/>
    <w:rsid w:val="00364CC6"/>
    <w:rsid w:val="003650F6"/>
    <w:rsid w:val="0036726C"/>
    <w:rsid w:val="0037662F"/>
    <w:rsid w:val="0037735C"/>
    <w:rsid w:val="00381F99"/>
    <w:rsid w:val="003832D2"/>
    <w:rsid w:val="003845E5"/>
    <w:rsid w:val="00393137"/>
    <w:rsid w:val="00394DFD"/>
    <w:rsid w:val="0039615F"/>
    <w:rsid w:val="00397406"/>
    <w:rsid w:val="003A3170"/>
    <w:rsid w:val="003A360E"/>
    <w:rsid w:val="003D17FF"/>
    <w:rsid w:val="003D2871"/>
    <w:rsid w:val="003D2981"/>
    <w:rsid w:val="003D5B83"/>
    <w:rsid w:val="003D6124"/>
    <w:rsid w:val="003D6B69"/>
    <w:rsid w:val="003E471B"/>
    <w:rsid w:val="003E5829"/>
    <w:rsid w:val="003E6E47"/>
    <w:rsid w:val="003F0623"/>
    <w:rsid w:val="003F33DE"/>
    <w:rsid w:val="003F3A41"/>
    <w:rsid w:val="003F67E9"/>
    <w:rsid w:val="00401031"/>
    <w:rsid w:val="004023B7"/>
    <w:rsid w:val="004045A0"/>
    <w:rsid w:val="00413CDB"/>
    <w:rsid w:val="00417E5D"/>
    <w:rsid w:val="004200FE"/>
    <w:rsid w:val="00421183"/>
    <w:rsid w:val="00421BA6"/>
    <w:rsid w:val="00421C17"/>
    <w:rsid w:val="00426CDE"/>
    <w:rsid w:val="00433EA1"/>
    <w:rsid w:val="0044177A"/>
    <w:rsid w:val="00441957"/>
    <w:rsid w:val="00443D32"/>
    <w:rsid w:val="004469DD"/>
    <w:rsid w:val="004476B2"/>
    <w:rsid w:val="00447CE5"/>
    <w:rsid w:val="00447D6E"/>
    <w:rsid w:val="0045048F"/>
    <w:rsid w:val="0045181B"/>
    <w:rsid w:val="00452133"/>
    <w:rsid w:val="00452C7A"/>
    <w:rsid w:val="00456B53"/>
    <w:rsid w:val="0046286E"/>
    <w:rsid w:val="0046539B"/>
    <w:rsid w:val="0046638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A3AB5"/>
    <w:rsid w:val="004B1184"/>
    <w:rsid w:val="004B4A3A"/>
    <w:rsid w:val="004B5CE5"/>
    <w:rsid w:val="004B750E"/>
    <w:rsid w:val="004C01B1"/>
    <w:rsid w:val="004C2244"/>
    <w:rsid w:val="004C23F1"/>
    <w:rsid w:val="004C4CFF"/>
    <w:rsid w:val="004D069A"/>
    <w:rsid w:val="004D297F"/>
    <w:rsid w:val="004E01F5"/>
    <w:rsid w:val="004E297E"/>
    <w:rsid w:val="004E2D31"/>
    <w:rsid w:val="004E407F"/>
    <w:rsid w:val="004E76CA"/>
    <w:rsid w:val="004F1698"/>
    <w:rsid w:val="00500C4E"/>
    <w:rsid w:val="00501893"/>
    <w:rsid w:val="00505CEC"/>
    <w:rsid w:val="0051020F"/>
    <w:rsid w:val="00513CAB"/>
    <w:rsid w:val="00516CF5"/>
    <w:rsid w:val="00523597"/>
    <w:rsid w:val="00523736"/>
    <w:rsid w:val="00523772"/>
    <w:rsid w:val="005271B3"/>
    <w:rsid w:val="005276EB"/>
    <w:rsid w:val="00532530"/>
    <w:rsid w:val="00534D67"/>
    <w:rsid w:val="00535540"/>
    <w:rsid w:val="00535CA4"/>
    <w:rsid w:val="005476F6"/>
    <w:rsid w:val="00550308"/>
    <w:rsid w:val="00551D72"/>
    <w:rsid w:val="005540B6"/>
    <w:rsid w:val="005552C3"/>
    <w:rsid w:val="0055653D"/>
    <w:rsid w:val="00557361"/>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B1797"/>
    <w:rsid w:val="005B28C1"/>
    <w:rsid w:val="005B43D9"/>
    <w:rsid w:val="005B6344"/>
    <w:rsid w:val="005C0219"/>
    <w:rsid w:val="005C1C74"/>
    <w:rsid w:val="005C2E48"/>
    <w:rsid w:val="005C371B"/>
    <w:rsid w:val="005C3DE0"/>
    <w:rsid w:val="005C3F23"/>
    <w:rsid w:val="005D2532"/>
    <w:rsid w:val="005D4DD7"/>
    <w:rsid w:val="005E12A9"/>
    <w:rsid w:val="005E73AA"/>
    <w:rsid w:val="005F139E"/>
    <w:rsid w:val="005F69D5"/>
    <w:rsid w:val="0060242B"/>
    <w:rsid w:val="00602799"/>
    <w:rsid w:val="00602F18"/>
    <w:rsid w:val="00607C30"/>
    <w:rsid w:val="006110F3"/>
    <w:rsid w:val="00612041"/>
    <w:rsid w:val="00614AFF"/>
    <w:rsid w:val="00621ABA"/>
    <w:rsid w:val="0062322A"/>
    <w:rsid w:val="00631157"/>
    <w:rsid w:val="00631AB9"/>
    <w:rsid w:val="00633D93"/>
    <w:rsid w:val="0063450F"/>
    <w:rsid w:val="00636D26"/>
    <w:rsid w:val="006404E6"/>
    <w:rsid w:val="00642EA7"/>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1C10"/>
    <w:rsid w:val="006C28AC"/>
    <w:rsid w:val="006C2C55"/>
    <w:rsid w:val="006C3012"/>
    <w:rsid w:val="006C430A"/>
    <w:rsid w:val="006C627B"/>
    <w:rsid w:val="006D2809"/>
    <w:rsid w:val="006E27A3"/>
    <w:rsid w:val="006E3342"/>
    <w:rsid w:val="006E4B12"/>
    <w:rsid w:val="006E65D0"/>
    <w:rsid w:val="006F1B21"/>
    <w:rsid w:val="006F21E8"/>
    <w:rsid w:val="006F78D5"/>
    <w:rsid w:val="0070091B"/>
    <w:rsid w:val="007048AC"/>
    <w:rsid w:val="00705EE3"/>
    <w:rsid w:val="007209A1"/>
    <w:rsid w:val="007227C4"/>
    <w:rsid w:val="00722BBB"/>
    <w:rsid w:val="00726338"/>
    <w:rsid w:val="00726AD5"/>
    <w:rsid w:val="00733C7D"/>
    <w:rsid w:val="00740761"/>
    <w:rsid w:val="00741801"/>
    <w:rsid w:val="0074508E"/>
    <w:rsid w:val="00745F77"/>
    <w:rsid w:val="007464DE"/>
    <w:rsid w:val="007529EA"/>
    <w:rsid w:val="00755A45"/>
    <w:rsid w:val="00760CDC"/>
    <w:rsid w:val="00764D0D"/>
    <w:rsid w:val="00770B61"/>
    <w:rsid w:val="00777C53"/>
    <w:rsid w:val="00786E92"/>
    <w:rsid w:val="007933F1"/>
    <w:rsid w:val="007A5F52"/>
    <w:rsid w:val="007B090A"/>
    <w:rsid w:val="007B1787"/>
    <w:rsid w:val="007C5752"/>
    <w:rsid w:val="007E43F8"/>
    <w:rsid w:val="007E5076"/>
    <w:rsid w:val="007E5433"/>
    <w:rsid w:val="007E656B"/>
    <w:rsid w:val="007F1319"/>
    <w:rsid w:val="007F2997"/>
    <w:rsid w:val="007F50E8"/>
    <w:rsid w:val="007F54E2"/>
    <w:rsid w:val="007F7FBA"/>
    <w:rsid w:val="00800319"/>
    <w:rsid w:val="0080044E"/>
    <w:rsid w:val="00800706"/>
    <w:rsid w:val="0080189A"/>
    <w:rsid w:val="00801F7F"/>
    <w:rsid w:val="00803C2B"/>
    <w:rsid w:val="00806327"/>
    <w:rsid w:val="00811945"/>
    <w:rsid w:val="00822899"/>
    <w:rsid w:val="00824F1C"/>
    <w:rsid w:val="00826688"/>
    <w:rsid w:val="0083369B"/>
    <w:rsid w:val="00835D38"/>
    <w:rsid w:val="00843763"/>
    <w:rsid w:val="0084670F"/>
    <w:rsid w:val="00847A4E"/>
    <w:rsid w:val="008517BC"/>
    <w:rsid w:val="00860413"/>
    <w:rsid w:val="0086705D"/>
    <w:rsid w:val="00871D79"/>
    <w:rsid w:val="0087393E"/>
    <w:rsid w:val="00881A42"/>
    <w:rsid w:val="00882386"/>
    <w:rsid w:val="0088361D"/>
    <w:rsid w:val="0088581D"/>
    <w:rsid w:val="00885E0A"/>
    <w:rsid w:val="0088603B"/>
    <w:rsid w:val="008877AF"/>
    <w:rsid w:val="008911E6"/>
    <w:rsid w:val="00893FC3"/>
    <w:rsid w:val="0089577B"/>
    <w:rsid w:val="00895F68"/>
    <w:rsid w:val="008B1024"/>
    <w:rsid w:val="008B1357"/>
    <w:rsid w:val="008B2DF3"/>
    <w:rsid w:val="008B41E5"/>
    <w:rsid w:val="008C2E0E"/>
    <w:rsid w:val="008C4DE0"/>
    <w:rsid w:val="008D0454"/>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67E1"/>
    <w:rsid w:val="00916EE1"/>
    <w:rsid w:val="00917DE4"/>
    <w:rsid w:val="00920905"/>
    <w:rsid w:val="009229B8"/>
    <w:rsid w:val="00922B85"/>
    <w:rsid w:val="0092623D"/>
    <w:rsid w:val="00930CDC"/>
    <w:rsid w:val="00931E45"/>
    <w:rsid w:val="00933188"/>
    <w:rsid w:val="00933E91"/>
    <w:rsid w:val="00935AF9"/>
    <w:rsid w:val="009372BC"/>
    <w:rsid w:val="009403A5"/>
    <w:rsid w:val="009500DC"/>
    <w:rsid w:val="00951923"/>
    <w:rsid w:val="00953944"/>
    <w:rsid w:val="009605EB"/>
    <w:rsid w:val="00972C81"/>
    <w:rsid w:val="0097513E"/>
    <w:rsid w:val="009824E9"/>
    <w:rsid w:val="009826E5"/>
    <w:rsid w:val="009844A1"/>
    <w:rsid w:val="00986E20"/>
    <w:rsid w:val="00995479"/>
    <w:rsid w:val="00995CB0"/>
    <w:rsid w:val="00997E77"/>
    <w:rsid w:val="009A1D6B"/>
    <w:rsid w:val="009A2734"/>
    <w:rsid w:val="009A2EA1"/>
    <w:rsid w:val="009B2A02"/>
    <w:rsid w:val="009B2B61"/>
    <w:rsid w:val="009B5B7B"/>
    <w:rsid w:val="009C1777"/>
    <w:rsid w:val="009C2454"/>
    <w:rsid w:val="009C2C86"/>
    <w:rsid w:val="009C6FE0"/>
    <w:rsid w:val="009D0753"/>
    <w:rsid w:val="009D10A4"/>
    <w:rsid w:val="009D5131"/>
    <w:rsid w:val="009D6F71"/>
    <w:rsid w:val="009D7320"/>
    <w:rsid w:val="009E0308"/>
    <w:rsid w:val="009E1802"/>
    <w:rsid w:val="009E1CDE"/>
    <w:rsid w:val="009E2B06"/>
    <w:rsid w:val="009E3829"/>
    <w:rsid w:val="009E51E2"/>
    <w:rsid w:val="009E6FDD"/>
    <w:rsid w:val="009F2F25"/>
    <w:rsid w:val="009F6AF2"/>
    <w:rsid w:val="009F718B"/>
    <w:rsid w:val="009F7A61"/>
    <w:rsid w:val="00A07D8A"/>
    <w:rsid w:val="00A11800"/>
    <w:rsid w:val="00A11C16"/>
    <w:rsid w:val="00A1423E"/>
    <w:rsid w:val="00A17664"/>
    <w:rsid w:val="00A20FAF"/>
    <w:rsid w:val="00A24520"/>
    <w:rsid w:val="00A2507A"/>
    <w:rsid w:val="00A27936"/>
    <w:rsid w:val="00A30BF1"/>
    <w:rsid w:val="00A3164A"/>
    <w:rsid w:val="00A32876"/>
    <w:rsid w:val="00A37F42"/>
    <w:rsid w:val="00A4411F"/>
    <w:rsid w:val="00A500D6"/>
    <w:rsid w:val="00A523FF"/>
    <w:rsid w:val="00A54756"/>
    <w:rsid w:val="00A54C66"/>
    <w:rsid w:val="00A57D36"/>
    <w:rsid w:val="00A61BB6"/>
    <w:rsid w:val="00A62C11"/>
    <w:rsid w:val="00A65734"/>
    <w:rsid w:val="00A658B3"/>
    <w:rsid w:val="00A6687F"/>
    <w:rsid w:val="00A67907"/>
    <w:rsid w:val="00A73CC1"/>
    <w:rsid w:val="00A7456A"/>
    <w:rsid w:val="00A80270"/>
    <w:rsid w:val="00A82DB1"/>
    <w:rsid w:val="00A84127"/>
    <w:rsid w:val="00A84BF9"/>
    <w:rsid w:val="00A86DA2"/>
    <w:rsid w:val="00A90DFC"/>
    <w:rsid w:val="00A90F1A"/>
    <w:rsid w:val="00A91BF3"/>
    <w:rsid w:val="00AA0A9C"/>
    <w:rsid w:val="00AA16C0"/>
    <w:rsid w:val="00AA178B"/>
    <w:rsid w:val="00AA4CDC"/>
    <w:rsid w:val="00AA79ED"/>
    <w:rsid w:val="00AB123A"/>
    <w:rsid w:val="00AB21D4"/>
    <w:rsid w:val="00AB21F5"/>
    <w:rsid w:val="00AB3386"/>
    <w:rsid w:val="00AB36DB"/>
    <w:rsid w:val="00AC0B1D"/>
    <w:rsid w:val="00AC2F5B"/>
    <w:rsid w:val="00AC3DAD"/>
    <w:rsid w:val="00AC5309"/>
    <w:rsid w:val="00AC5B97"/>
    <w:rsid w:val="00AD4DD0"/>
    <w:rsid w:val="00AE0A8D"/>
    <w:rsid w:val="00AE4D73"/>
    <w:rsid w:val="00AF4991"/>
    <w:rsid w:val="00AF6342"/>
    <w:rsid w:val="00B053FB"/>
    <w:rsid w:val="00B05647"/>
    <w:rsid w:val="00B065CD"/>
    <w:rsid w:val="00B07EE5"/>
    <w:rsid w:val="00B1709A"/>
    <w:rsid w:val="00B21CC5"/>
    <w:rsid w:val="00B26778"/>
    <w:rsid w:val="00B26B83"/>
    <w:rsid w:val="00B3112F"/>
    <w:rsid w:val="00B32479"/>
    <w:rsid w:val="00B33FE2"/>
    <w:rsid w:val="00B403ED"/>
    <w:rsid w:val="00B4065F"/>
    <w:rsid w:val="00B45091"/>
    <w:rsid w:val="00B45447"/>
    <w:rsid w:val="00B46833"/>
    <w:rsid w:val="00B614F1"/>
    <w:rsid w:val="00B6211F"/>
    <w:rsid w:val="00B66EE1"/>
    <w:rsid w:val="00B70960"/>
    <w:rsid w:val="00B72012"/>
    <w:rsid w:val="00B77343"/>
    <w:rsid w:val="00B8041F"/>
    <w:rsid w:val="00B866B4"/>
    <w:rsid w:val="00B94226"/>
    <w:rsid w:val="00BA0A8C"/>
    <w:rsid w:val="00BA0CEB"/>
    <w:rsid w:val="00BA2383"/>
    <w:rsid w:val="00BA2E7E"/>
    <w:rsid w:val="00BA590A"/>
    <w:rsid w:val="00BA5FE4"/>
    <w:rsid w:val="00BB0B39"/>
    <w:rsid w:val="00BB2A52"/>
    <w:rsid w:val="00BB30D1"/>
    <w:rsid w:val="00BB39D8"/>
    <w:rsid w:val="00BB5F75"/>
    <w:rsid w:val="00BC3D0B"/>
    <w:rsid w:val="00BC6524"/>
    <w:rsid w:val="00BD3931"/>
    <w:rsid w:val="00BD5B88"/>
    <w:rsid w:val="00BD5F58"/>
    <w:rsid w:val="00BE0AEB"/>
    <w:rsid w:val="00BE6BBA"/>
    <w:rsid w:val="00C018E0"/>
    <w:rsid w:val="00C05AAF"/>
    <w:rsid w:val="00C0635A"/>
    <w:rsid w:val="00C07C72"/>
    <w:rsid w:val="00C118C7"/>
    <w:rsid w:val="00C13CE5"/>
    <w:rsid w:val="00C20877"/>
    <w:rsid w:val="00C20E7B"/>
    <w:rsid w:val="00C21362"/>
    <w:rsid w:val="00C21456"/>
    <w:rsid w:val="00C24D03"/>
    <w:rsid w:val="00C25E61"/>
    <w:rsid w:val="00C34601"/>
    <w:rsid w:val="00C35A1B"/>
    <w:rsid w:val="00C413F3"/>
    <w:rsid w:val="00C44EF6"/>
    <w:rsid w:val="00C54EFF"/>
    <w:rsid w:val="00C55D03"/>
    <w:rsid w:val="00C63548"/>
    <w:rsid w:val="00C63F96"/>
    <w:rsid w:val="00C65450"/>
    <w:rsid w:val="00C677AF"/>
    <w:rsid w:val="00C67E59"/>
    <w:rsid w:val="00C72B8B"/>
    <w:rsid w:val="00C72CB5"/>
    <w:rsid w:val="00C750F7"/>
    <w:rsid w:val="00C76D4F"/>
    <w:rsid w:val="00C805BC"/>
    <w:rsid w:val="00C86687"/>
    <w:rsid w:val="00C905A6"/>
    <w:rsid w:val="00C91010"/>
    <w:rsid w:val="00C92237"/>
    <w:rsid w:val="00C959CA"/>
    <w:rsid w:val="00C95D16"/>
    <w:rsid w:val="00CA2AB4"/>
    <w:rsid w:val="00CB0100"/>
    <w:rsid w:val="00CB04D2"/>
    <w:rsid w:val="00CB7047"/>
    <w:rsid w:val="00CD7EFE"/>
    <w:rsid w:val="00CE0C66"/>
    <w:rsid w:val="00CE28CF"/>
    <w:rsid w:val="00CE3831"/>
    <w:rsid w:val="00CE4386"/>
    <w:rsid w:val="00CE4CDC"/>
    <w:rsid w:val="00CE5BEB"/>
    <w:rsid w:val="00CE69E9"/>
    <w:rsid w:val="00CE71F2"/>
    <w:rsid w:val="00CF0841"/>
    <w:rsid w:val="00CF0A4A"/>
    <w:rsid w:val="00CF1D76"/>
    <w:rsid w:val="00CF3F65"/>
    <w:rsid w:val="00CF464D"/>
    <w:rsid w:val="00D030B5"/>
    <w:rsid w:val="00D157B2"/>
    <w:rsid w:val="00D17EF4"/>
    <w:rsid w:val="00D23770"/>
    <w:rsid w:val="00D25074"/>
    <w:rsid w:val="00D26922"/>
    <w:rsid w:val="00D34517"/>
    <w:rsid w:val="00D36798"/>
    <w:rsid w:val="00D47E80"/>
    <w:rsid w:val="00D50ED4"/>
    <w:rsid w:val="00D51EA0"/>
    <w:rsid w:val="00D61C74"/>
    <w:rsid w:val="00D658E2"/>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3D06"/>
    <w:rsid w:val="00DB44E9"/>
    <w:rsid w:val="00DC1966"/>
    <w:rsid w:val="00DC3259"/>
    <w:rsid w:val="00DD0523"/>
    <w:rsid w:val="00DE5758"/>
    <w:rsid w:val="00DE5FCF"/>
    <w:rsid w:val="00DF0D19"/>
    <w:rsid w:val="00DF22D9"/>
    <w:rsid w:val="00DF2EE9"/>
    <w:rsid w:val="00DF6FD8"/>
    <w:rsid w:val="00E05A80"/>
    <w:rsid w:val="00E06A37"/>
    <w:rsid w:val="00E071A5"/>
    <w:rsid w:val="00E07752"/>
    <w:rsid w:val="00E16609"/>
    <w:rsid w:val="00E16F08"/>
    <w:rsid w:val="00E206E1"/>
    <w:rsid w:val="00E21F9F"/>
    <w:rsid w:val="00E233F3"/>
    <w:rsid w:val="00E26B34"/>
    <w:rsid w:val="00E2789D"/>
    <w:rsid w:val="00E314BA"/>
    <w:rsid w:val="00E325BE"/>
    <w:rsid w:val="00E326BA"/>
    <w:rsid w:val="00E34202"/>
    <w:rsid w:val="00E37F72"/>
    <w:rsid w:val="00E40BE5"/>
    <w:rsid w:val="00E40CF9"/>
    <w:rsid w:val="00E41365"/>
    <w:rsid w:val="00E42A30"/>
    <w:rsid w:val="00E559A1"/>
    <w:rsid w:val="00E5625D"/>
    <w:rsid w:val="00E648BB"/>
    <w:rsid w:val="00E6667B"/>
    <w:rsid w:val="00E67ACA"/>
    <w:rsid w:val="00E76B31"/>
    <w:rsid w:val="00E81F3E"/>
    <w:rsid w:val="00E838C0"/>
    <w:rsid w:val="00E844BB"/>
    <w:rsid w:val="00E84C48"/>
    <w:rsid w:val="00E859BD"/>
    <w:rsid w:val="00E85BC8"/>
    <w:rsid w:val="00E86B70"/>
    <w:rsid w:val="00E87C8F"/>
    <w:rsid w:val="00E924C3"/>
    <w:rsid w:val="00E954EE"/>
    <w:rsid w:val="00E966EE"/>
    <w:rsid w:val="00E96759"/>
    <w:rsid w:val="00E96805"/>
    <w:rsid w:val="00EA4437"/>
    <w:rsid w:val="00EA4D87"/>
    <w:rsid w:val="00EB34FC"/>
    <w:rsid w:val="00EB76E1"/>
    <w:rsid w:val="00EC2499"/>
    <w:rsid w:val="00ED5B7A"/>
    <w:rsid w:val="00EE29DF"/>
    <w:rsid w:val="00EE4120"/>
    <w:rsid w:val="00EF0217"/>
    <w:rsid w:val="00EF2E8A"/>
    <w:rsid w:val="00EF4E6B"/>
    <w:rsid w:val="00EF5416"/>
    <w:rsid w:val="00F01795"/>
    <w:rsid w:val="00F06CCF"/>
    <w:rsid w:val="00F1053D"/>
    <w:rsid w:val="00F110D5"/>
    <w:rsid w:val="00F11E63"/>
    <w:rsid w:val="00F12733"/>
    <w:rsid w:val="00F146C6"/>
    <w:rsid w:val="00F14F03"/>
    <w:rsid w:val="00F15EBD"/>
    <w:rsid w:val="00F171E1"/>
    <w:rsid w:val="00F20DCF"/>
    <w:rsid w:val="00F25B36"/>
    <w:rsid w:val="00F3052A"/>
    <w:rsid w:val="00F341E3"/>
    <w:rsid w:val="00F35D09"/>
    <w:rsid w:val="00F37827"/>
    <w:rsid w:val="00F4304D"/>
    <w:rsid w:val="00F46612"/>
    <w:rsid w:val="00F474EF"/>
    <w:rsid w:val="00F4752B"/>
    <w:rsid w:val="00F476E8"/>
    <w:rsid w:val="00F541AE"/>
    <w:rsid w:val="00F56792"/>
    <w:rsid w:val="00F571A6"/>
    <w:rsid w:val="00F6018B"/>
    <w:rsid w:val="00F60265"/>
    <w:rsid w:val="00F60E32"/>
    <w:rsid w:val="00F63DEF"/>
    <w:rsid w:val="00F644FF"/>
    <w:rsid w:val="00F65ABA"/>
    <w:rsid w:val="00F65E15"/>
    <w:rsid w:val="00F65FA1"/>
    <w:rsid w:val="00F719CE"/>
    <w:rsid w:val="00F7242E"/>
    <w:rsid w:val="00F74B33"/>
    <w:rsid w:val="00F810DD"/>
    <w:rsid w:val="00F95E2F"/>
    <w:rsid w:val="00F96DEB"/>
    <w:rsid w:val="00FA1872"/>
    <w:rsid w:val="00FA20D6"/>
    <w:rsid w:val="00FA4F34"/>
    <w:rsid w:val="00FB2590"/>
    <w:rsid w:val="00FD54C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Table Contemporary Black Header"/>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3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BodyTextIndent">
    <w:name w:val="Body Text Indent"/>
    <w:basedOn w:val="Normal"/>
    <w:link w:val="BodyTextIndentChar"/>
    <w:rsid w:val="0084670F"/>
    <w:pPr>
      <w:spacing w:before="120" w:after="120"/>
      <w:ind w:left="720"/>
    </w:pPr>
    <w:rPr>
      <w:rFonts w:ascii="Verdana" w:hAnsi="Verdana"/>
      <w:sz w:val="20"/>
      <w:szCs w:val="20"/>
    </w:rPr>
  </w:style>
  <w:style w:type="character" w:customStyle="1" w:styleId="BodyTextIndentChar">
    <w:name w:val="Body Text Indent Char"/>
    <w:basedOn w:val="DefaultParagraphFont"/>
    <w:link w:val="BodyTextIndent"/>
    <w:rsid w:val="0084670F"/>
    <w:rPr>
      <w:rFonts w:ascii="Verdana" w:eastAsia="Times New Roman" w:hAnsi="Verdana" w:cs="Times New Roman"/>
      <w:sz w:val="20"/>
      <w:szCs w:val="20"/>
    </w:rPr>
  </w:style>
  <w:style w:type="paragraph" w:styleId="TableofFigures">
    <w:name w:val="table of figures"/>
    <w:basedOn w:val="Normal"/>
    <w:next w:val="Normal"/>
    <w:uiPriority w:val="99"/>
    <w:unhideWhenUsed/>
    <w:rsid w:val="00AA79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Table Contemporary Black Header"/>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3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BodyTextIndent">
    <w:name w:val="Body Text Indent"/>
    <w:basedOn w:val="Normal"/>
    <w:link w:val="BodyTextIndentChar"/>
    <w:rsid w:val="0084670F"/>
    <w:pPr>
      <w:spacing w:before="120" w:after="120"/>
      <w:ind w:left="720"/>
    </w:pPr>
    <w:rPr>
      <w:rFonts w:ascii="Verdana" w:hAnsi="Verdana"/>
      <w:sz w:val="20"/>
      <w:szCs w:val="20"/>
    </w:rPr>
  </w:style>
  <w:style w:type="character" w:customStyle="1" w:styleId="BodyTextIndentChar">
    <w:name w:val="Body Text Indent Char"/>
    <w:basedOn w:val="DefaultParagraphFont"/>
    <w:link w:val="BodyTextIndent"/>
    <w:rsid w:val="0084670F"/>
    <w:rPr>
      <w:rFonts w:ascii="Verdana" w:eastAsia="Times New Roman" w:hAnsi="Verdana" w:cs="Times New Roman"/>
      <w:sz w:val="20"/>
      <w:szCs w:val="20"/>
    </w:rPr>
  </w:style>
  <w:style w:type="paragraph" w:styleId="TableofFigures">
    <w:name w:val="table of figures"/>
    <w:basedOn w:val="Normal"/>
    <w:next w:val="Normal"/>
    <w:uiPriority w:val="99"/>
    <w:unhideWhenUsed/>
    <w:rsid w:val="00AA7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87546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A3B2A"/>
    <w:rsid w:val="00204A7F"/>
    <w:rsid w:val="00244CB2"/>
    <w:rsid w:val="002B514B"/>
    <w:rsid w:val="002C0C03"/>
    <w:rsid w:val="003075FD"/>
    <w:rsid w:val="00311B0D"/>
    <w:rsid w:val="00385484"/>
    <w:rsid w:val="003A131F"/>
    <w:rsid w:val="003B36F3"/>
    <w:rsid w:val="003E11DF"/>
    <w:rsid w:val="00473C9D"/>
    <w:rsid w:val="00476B8C"/>
    <w:rsid w:val="00560392"/>
    <w:rsid w:val="006B7FA8"/>
    <w:rsid w:val="007F61A1"/>
    <w:rsid w:val="008211B5"/>
    <w:rsid w:val="00823FE6"/>
    <w:rsid w:val="00874653"/>
    <w:rsid w:val="0091602F"/>
    <w:rsid w:val="009E20BA"/>
    <w:rsid w:val="009E4BFF"/>
    <w:rsid w:val="009F6E3E"/>
    <w:rsid w:val="00A021EE"/>
    <w:rsid w:val="00A5022A"/>
    <w:rsid w:val="00A970F4"/>
    <w:rsid w:val="00AA0218"/>
    <w:rsid w:val="00AE4C28"/>
    <w:rsid w:val="00AF2C4B"/>
    <w:rsid w:val="00B73964"/>
    <w:rsid w:val="00B74704"/>
    <w:rsid w:val="00C16690"/>
    <w:rsid w:val="00C947B8"/>
    <w:rsid w:val="00D0496D"/>
    <w:rsid w:val="00D051F5"/>
    <w:rsid w:val="00EC59D9"/>
    <w:rsid w:val="00EE2496"/>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2018-02-05T00:00:00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F1C4C2-FE70-4E98-9168-4F9A5BC7B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2086</Words>
  <Characters>11893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SCE17CC014</vt:lpstr>
    </vt:vector>
  </TitlesOfParts>
  <Company>Southern California Edison</Company>
  <LinksUpToDate>false</LinksUpToDate>
  <CharactersWithSpaces>13952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SCE17CC014</dc:title>
  <dc:creator>Jim Wyatt (PG&amp;E);Jason Wang (SCE)</dc:creator>
  <cp:lastModifiedBy>Ajay Wadhera</cp:lastModifiedBy>
  <cp:revision>4</cp:revision>
  <dcterms:created xsi:type="dcterms:W3CDTF">2018-02-13T19:31:00Z</dcterms:created>
  <dcterms:modified xsi:type="dcterms:W3CDTF">2018-02-20T18:10:00Z</dcterms:modified>
  <cp:contentStatus>Revision 0</cp:contentStatus>
</cp:coreProperties>
</file>