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CF898EA"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9B3D34">
            <w:t>SCE17</w:t>
          </w:r>
          <w:r w:rsidR="006D14C6" w:rsidRPr="00905879">
            <w:t>CC012</w:t>
          </w:r>
        </w:sdtContent>
      </w:sdt>
    </w:p>
    <w:bookmarkEnd w:id="0"/>
    <w:p w14:paraId="7601CE2F" w14:textId="3F7B2285" w:rsidR="00DA690B" w:rsidRPr="00500C4E" w:rsidRDefault="0070004C"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34176" w:rsidRPr="00500C4E">
            <w:rPr>
              <w:rStyle w:val="CaptionChar"/>
              <w:rFonts w:asciiTheme="minorHAnsi" w:hAnsiTheme="minorHAnsi" w:cstheme="minorHAnsi"/>
              <w:b/>
              <w:bCs w:val="0"/>
              <w:sz w:val="48"/>
              <w:szCs w:val="48"/>
            </w:rPr>
            <w:t xml:space="preserve">Revision </w:t>
          </w:r>
          <w:r w:rsidR="00334176">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70004C"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35609FCD" w:rsidR="00DA690B" w:rsidRPr="00500C4E" w:rsidRDefault="009051B5" w:rsidP="00DA690B">
      <w:pPr>
        <w:rPr>
          <w:rFonts w:cstheme="minorHAnsi"/>
          <w:b/>
          <w:sz w:val="72"/>
          <w:szCs w:val="72"/>
        </w:rPr>
      </w:pPr>
      <w:r>
        <w:rPr>
          <w:rFonts w:cstheme="minorHAnsi"/>
          <w:b/>
          <w:sz w:val="72"/>
          <w:szCs w:val="72"/>
        </w:rPr>
        <w:t>Commercial Electric Deck Oven</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6D14C6" w:rsidRPr="00500C4E" w14:paraId="4D3A4AB5" w14:textId="77777777" w:rsidTr="00920905">
        <w:trPr>
          <w:trHeight w:val="465"/>
        </w:trPr>
        <w:tc>
          <w:tcPr>
            <w:tcW w:w="1875" w:type="pct"/>
          </w:tcPr>
          <w:p w14:paraId="4D8DADAE" w14:textId="129EB9BE" w:rsidR="006D14C6" w:rsidRPr="00920905" w:rsidRDefault="006D14C6" w:rsidP="006D14C6">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65366394" w:rsidR="006D14C6" w:rsidRPr="00500C4E" w:rsidRDefault="006D14C6" w:rsidP="006D14C6">
            <w:pPr>
              <w:rPr>
                <w:rFonts w:cs="Arial"/>
                <w:bCs/>
                <w:color w:val="FF0000"/>
                <w:szCs w:val="20"/>
              </w:rPr>
            </w:pPr>
            <w:r w:rsidRPr="00664EC8">
              <w:rPr>
                <w:rFonts w:cstheme="minorHAnsi"/>
                <w:color w:val="000000"/>
                <w:szCs w:val="20"/>
              </w:rPr>
              <w:t>FS-70944</w:t>
            </w:r>
          </w:p>
        </w:tc>
      </w:tr>
      <w:tr w:rsidR="006D14C6" w:rsidRPr="00500C4E" w14:paraId="63B310F0" w14:textId="77777777" w:rsidTr="00920905">
        <w:trPr>
          <w:trHeight w:val="465"/>
        </w:trPr>
        <w:tc>
          <w:tcPr>
            <w:tcW w:w="1875" w:type="pct"/>
          </w:tcPr>
          <w:p w14:paraId="5050E2A3" w14:textId="2CBF1387" w:rsidR="006D14C6" w:rsidRPr="00500C4E" w:rsidRDefault="006D14C6" w:rsidP="006D14C6">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781C7193" w:rsidR="006D14C6" w:rsidRPr="00500C4E" w:rsidRDefault="006D14C6" w:rsidP="006D14C6">
            <w:pPr>
              <w:rPr>
                <w:rFonts w:cs="Arial"/>
                <w:color w:val="FF0000"/>
                <w:szCs w:val="20"/>
              </w:rPr>
            </w:pPr>
            <w:r w:rsidRPr="00664EC8">
              <w:rPr>
                <w:rFonts w:cs="Arial"/>
                <w:szCs w:val="20"/>
              </w:rPr>
              <w:t xml:space="preserve">Energy efficient </w:t>
            </w:r>
            <w:r w:rsidR="00E5324B">
              <w:rPr>
                <w:rFonts w:cs="Arial"/>
                <w:szCs w:val="20"/>
              </w:rPr>
              <w:t xml:space="preserve">(60% cooking energy efficiency) </w:t>
            </w:r>
            <w:r w:rsidRPr="00664EC8">
              <w:rPr>
                <w:rFonts w:cs="Arial"/>
                <w:szCs w:val="20"/>
              </w:rPr>
              <w:t>commercial electric deck oven</w:t>
            </w:r>
          </w:p>
        </w:tc>
      </w:tr>
      <w:tr w:rsidR="006D14C6" w:rsidRPr="00500C4E" w14:paraId="085771EF" w14:textId="77777777" w:rsidTr="00920905">
        <w:trPr>
          <w:trHeight w:val="465"/>
        </w:trPr>
        <w:tc>
          <w:tcPr>
            <w:tcW w:w="1875" w:type="pct"/>
          </w:tcPr>
          <w:p w14:paraId="679DB8A0" w14:textId="3D691398" w:rsidR="006D14C6" w:rsidRPr="00500C4E" w:rsidRDefault="006D14C6" w:rsidP="006D14C6">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41A0B933" w:rsidR="006D14C6" w:rsidRPr="00500C4E" w:rsidRDefault="006D14C6" w:rsidP="006D14C6">
            <w:pPr>
              <w:rPr>
                <w:rFonts w:cs="Arial"/>
                <w:color w:val="FF0000"/>
                <w:szCs w:val="20"/>
              </w:rPr>
            </w:pPr>
            <w:r w:rsidRPr="00664EC8">
              <w:rPr>
                <w:rFonts w:cs="Arial"/>
                <w:szCs w:val="20"/>
              </w:rPr>
              <w:t>Standard</w:t>
            </w:r>
            <w:r w:rsidR="003B6ABC">
              <w:rPr>
                <w:rFonts w:cs="Arial"/>
                <w:szCs w:val="20"/>
              </w:rPr>
              <w:t>-</w:t>
            </w:r>
            <w:r w:rsidRPr="00664EC8">
              <w:rPr>
                <w:rFonts w:cs="Arial"/>
                <w:szCs w:val="20"/>
              </w:rPr>
              <w:t>efficiency</w:t>
            </w:r>
            <w:r w:rsidR="00E5324B">
              <w:rPr>
                <w:rFonts w:cs="Arial"/>
                <w:szCs w:val="20"/>
              </w:rPr>
              <w:t xml:space="preserve"> (40% cooking energy efficiency) </w:t>
            </w:r>
            <w:r w:rsidRPr="00664EC8">
              <w:rPr>
                <w:rFonts w:cs="Arial"/>
                <w:szCs w:val="20"/>
              </w:rPr>
              <w:t>commercial</w:t>
            </w:r>
            <w:r w:rsidR="003B6ABC">
              <w:rPr>
                <w:rFonts w:cs="Arial"/>
                <w:szCs w:val="20"/>
              </w:rPr>
              <w:t xml:space="preserve"> electric</w:t>
            </w:r>
            <w:r w:rsidRPr="00664EC8">
              <w:rPr>
                <w:rFonts w:cs="Arial"/>
                <w:szCs w:val="20"/>
              </w:rPr>
              <w:t xml:space="preserve"> deck oven</w:t>
            </w:r>
          </w:p>
        </w:tc>
      </w:tr>
      <w:tr w:rsidR="006D14C6" w:rsidRPr="00500C4E" w14:paraId="5C218003" w14:textId="77777777" w:rsidTr="00920905">
        <w:trPr>
          <w:trHeight w:val="465"/>
        </w:trPr>
        <w:tc>
          <w:tcPr>
            <w:tcW w:w="1875" w:type="pct"/>
          </w:tcPr>
          <w:p w14:paraId="1DBA889C" w14:textId="032192ED" w:rsidR="006D14C6" w:rsidRPr="00500C4E" w:rsidRDefault="006D14C6" w:rsidP="006D14C6">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14680AFC" w:rsidR="006D14C6" w:rsidRPr="00500C4E" w:rsidRDefault="006D14C6" w:rsidP="006D14C6">
            <w:pPr>
              <w:rPr>
                <w:rFonts w:cs="Arial"/>
                <w:color w:val="FF0000"/>
                <w:szCs w:val="20"/>
              </w:rPr>
            </w:pPr>
            <w:r w:rsidRPr="00664EC8">
              <w:rPr>
                <w:rFonts w:cs="Arial"/>
                <w:szCs w:val="20"/>
              </w:rPr>
              <w:t>Unit</w:t>
            </w:r>
          </w:p>
        </w:tc>
      </w:tr>
      <w:tr w:rsidR="006D14C6" w:rsidRPr="00500C4E" w14:paraId="66C8B424" w14:textId="77777777" w:rsidTr="00920905">
        <w:trPr>
          <w:trHeight w:val="465"/>
        </w:trPr>
        <w:tc>
          <w:tcPr>
            <w:tcW w:w="1875" w:type="pct"/>
          </w:tcPr>
          <w:p w14:paraId="0C38E296" w14:textId="625EE0BE" w:rsidR="006D14C6" w:rsidRPr="00920905" w:rsidRDefault="006D14C6" w:rsidP="006D14C6">
            <w:pPr>
              <w:rPr>
                <w:rStyle w:val="Strong1"/>
                <w:szCs w:val="20"/>
              </w:rPr>
            </w:pPr>
            <w:r w:rsidRPr="00500C4E">
              <w:rPr>
                <w:rStyle w:val="Strong"/>
                <w:rFonts w:asciiTheme="minorHAnsi" w:hAnsiTheme="minorHAnsi"/>
                <w:sz w:val="20"/>
                <w:szCs w:val="20"/>
              </w:rPr>
              <w:t>Energy Savings</w:t>
            </w:r>
          </w:p>
        </w:tc>
        <w:tc>
          <w:tcPr>
            <w:tcW w:w="3125" w:type="pct"/>
          </w:tcPr>
          <w:p w14:paraId="7D5952C1" w14:textId="766DC98F" w:rsidR="006D14C6" w:rsidRPr="00226F90" w:rsidRDefault="006D14C6" w:rsidP="00A303CA">
            <w:pPr>
              <w:rPr>
                <w:rFonts w:cs="Arial"/>
                <w:szCs w:val="20"/>
              </w:rPr>
            </w:pPr>
            <w:r w:rsidRPr="00226F90">
              <w:rPr>
                <w:rFonts w:cs="Arial"/>
                <w:szCs w:val="20"/>
              </w:rPr>
              <w:t>Refer to Excel Calculation Attachment</w:t>
            </w:r>
            <w:r w:rsidR="005E475B" w:rsidRPr="00226F90">
              <w:rPr>
                <w:rFonts w:cs="Arial"/>
                <w:szCs w:val="20"/>
              </w:rPr>
              <w:t xml:space="preserve"> </w:t>
            </w:r>
            <w:r w:rsidR="001336D5" w:rsidRPr="00226F90">
              <w:rPr>
                <w:rFonts w:cs="Arial"/>
                <w:szCs w:val="20"/>
              </w:rPr>
              <w:t>A</w:t>
            </w:r>
            <w:r w:rsidR="001748BA" w:rsidRPr="00226F90">
              <w:rPr>
                <w:rFonts w:cs="Arial"/>
                <w:szCs w:val="20"/>
              </w:rPr>
              <w:t>1</w:t>
            </w:r>
            <w:r w:rsidR="001336D5" w:rsidRPr="00226F90">
              <w:rPr>
                <w:rFonts w:cs="Arial"/>
                <w:szCs w:val="20"/>
              </w:rPr>
              <w:t>.</w:t>
            </w:r>
          </w:p>
        </w:tc>
      </w:tr>
      <w:tr w:rsidR="006D14C6" w:rsidRPr="00500C4E" w14:paraId="3432D116" w14:textId="77777777" w:rsidTr="00920905">
        <w:trPr>
          <w:trHeight w:val="465"/>
        </w:trPr>
        <w:tc>
          <w:tcPr>
            <w:tcW w:w="1875" w:type="pct"/>
          </w:tcPr>
          <w:p w14:paraId="3CB3B700" w14:textId="30D3563F" w:rsidR="006D14C6" w:rsidRPr="00500C4E" w:rsidRDefault="006D14C6" w:rsidP="006D14C6">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6CDA709A" w:rsidR="006D14C6" w:rsidRPr="00226F90" w:rsidRDefault="006D14C6" w:rsidP="00A303CA">
            <w:pPr>
              <w:rPr>
                <w:rFonts w:cs="Arial"/>
                <w:szCs w:val="20"/>
              </w:rPr>
            </w:pPr>
            <w:r w:rsidRPr="00226F90">
              <w:rPr>
                <w:rFonts w:cs="Arial"/>
                <w:szCs w:val="20"/>
              </w:rPr>
              <w:t>Refer to Excel Calculation Attachment</w:t>
            </w:r>
            <w:r w:rsidR="005E475B" w:rsidRPr="00226F90">
              <w:rPr>
                <w:rFonts w:cs="Arial"/>
                <w:szCs w:val="20"/>
              </w:rPr>
              <w:t xml:space="preserve"> </w:t>
            </w:r>
            <w:r w:rsidR="001336D5" w:rsidRPr="00226F90">
              <w:rPr>
                <w:rFonts w:cs="Arial"/>
                <w:szCs w:val="20"/>
              </w:rPr>
              <w:t>A</w:t>
            </w:r>
            <w:r w:rsidR="00320436" w:rsidRPr="00CA3EB8">
              <w:rPr>
                <w:rFonts w:cs="Arial"/>
                <w:szCs w:val="20"/>
              </w:rPr>
              <w:t>1</w:t>
            </w:r>
            <w:r w:rsidR="00A303CA" w:rsidRPr="00226F90">
              <w:rPr>
                <w:rFonts w:cs="Arial"/>
                <w:szCs w:val="20"/>
              </w:rPr>
              <w:t>.</w:t>
            </w:r>
          </w:p>
        </w:tc>
      </w:tr>
      <w:tr w:rsidR="006D14C6" w:rsidRPr="00500C4E" w14:paraId="2D16677E" w14:textId="77777777" w:rsidTr="00920905">
        <w:trPr>
          <w:trHeight w:val="465"/>
        </w:trPr>
        <w:tc>
          <w:tcPr>
            <w:tcW w:w="1875" w:type="pct"/>
          </w:tcPr>
          <w:p w14:paraId="1C8BF889" w14:textId="6745F31A" w:rsidR="006D14C6" w:rsidRPr="00500C4E" w:rsidRDefault="006D14C6" w:rsidP="006D14C6">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131EB551" w:rsidR="006D14C6" w:rsidRPr="00226F90" w:rsidRDefault="006D14C6" w:rsidP="00A303CA">
            <w:pPr>
              <w:rPr>
                <w:rFonts w:cs="Arial"/>
                <w:szCs w:val="20"/>
              </w:rPr>
            </w:pPr>
            <w:r w:rsidRPr="00226F90">
              <w:rPr>
                <w:rFonts w:cs="Arial"/>
                <w:szCs w:val="20"/>
              </w:rPr>
              <w:t>Refer to Excel Calculation Attachment</w:t>
            </w:r>
            <w:r w:rsidR="00A303CA" w:rsidRPr="00226F90">
              <w:rPr>
                <w:rFonts w:cs="Arial"/>
                <w:szCs w:val="20"/>
              </w:rPr>
              <w:t xml:space="preserve"> </w:t>
            </w:r>
            <w:r w:rsidR="00320436" w:rsidRPr="00CA3EB8">
              <w:rPr>
                <w:rFonts w:cs="Arial"/>
                <w:szCs w:val="20"/>
              </w:rPr>
              <w:t>A1</w:t>
            </w:r>
            <w:r w:rsidR="00A303CA" w:rsidRPr="00226F90">
              <w:rPr>
                <w:rFonts w:cs="Arial"/>
                <w:szCs w:val="20"/>
              </w:rPr>
              <w:t>.</w:t>
            </w:r>
          </w:p>
        </w:tc>
      </w:tr>
      <w:tr w:rsidR="006D14C6" w:rsidRPr="00500C4E" w14:paraId="466E1409" w14:textId="77777777" w:rsidTr="00920905">
        <w:trPr>
          <w:trHeight w:val="465"/>
        </w:trPr>
        <w:tc>
          <w:tcPr>
            <w:tcW w:w="1875" w:type="pct"/>
          </w:tcPr>
          <w:p w14:paraId="4F8D0A97" w14:textId="25FD4E84" w:rsidR="006D14C6" w:rsidRPr="00500C4E" w:rsidRDefault="006D14C6" w:rsidP="006D14C6">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339DCBA0" w:rsidR="006D14C6" w:rsidRPr="00500C4E" w:rsidRDefault="006D14C6" w:rsidP="006D14C6">
            <w:pPr>
              <w:rPr>
                <w:rFonts w:cs="Arial"/>
                <w:color w:val="FF0000"/>
                <w:szCs w:val="20"/>
              </w:rPr>
            </w:pPr>
            <w:r w:rsidRPr="00664EC8">
              <w:rPr>
                <w:rFonts w:cs="Arial"/>
                <w:szCs w:val="20"/>
              </w:rPr>
              <w:t>Cook-ElecCombOven: 12 years</w:t>
            </w:r>
          </w:p>
        </w:tc>
      </w:tr>
      <w:tr w:rsidR="006D14C6" w:rsidRPr="00500C4E" w14:paraId="6FFAAB3B" w14:textId="77777777" w:rsidTr="00920905">
        <w:trPr>
          <w:trHeight w:val="465"/>
        </w:trPr>
        <w:tc>
          <w:tcPr>
            <w:tcW w:w="1875" w:type="pct"/>
          </w:tcPr>
          <w:p w14:paraId="080378E9" w14:textId="52D7A149" w:rsidR="006D14C6" w:rsidRPr="00500C4E" w:rsidRDefault="006D14C6" w:rsidP="006D14C6">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59437F4B" w14:textId="77777777" w:rsidR="006D14C6" w:rsidRDefault="006D14C6" w:rsidP="006D14C6">
            <w:pPr>
              <w:rPr>
                <w:rFonts w:cs="Arial"/>
                <w:szCs w:val="20"/>
              </w:rPr>
            </w:pPr>
            <w:r w:rsidRPr="00664EC8">
              <w:rPr>
                <w:rFonts w:cs="Arial"/>
                <w:szCs w:val="20"/>
              </w:rPr>
              <w:t>Replace on Burnout (ROB)</w:t>
            </w:r>
          </w:p>
          <w:p w14:paraId="08423BBE" w14:textId="6366D1D3" w:rsidR="00ED1A3D" w:rsidRPr="00500C4E" w:rsidRDefault="00ED1A3D" w:rsidP="006D14C6">
            <w:pPr>
              <w:rPr>
                <w:rFonts w:cs="Arial"/>
                <w:color w:val="FF0000"/>
                <w:szCs w:val="20"/>
              </w:rPr>
            </w:pPr>
            <w:r>
              <w:rPr>
                <w:rFonts w:cs="Arial"/>
                <w:szCs w:val="20"/>
              </w:rPr>
              <w:t>New Construction (NEW)</w:t>
            </w:r>
          </w:p>
        </w:tc>
      </w:tr>
      <w:tr w:rsidR="006D14C6" w:rsidRPr="00500C4E" w14:paraId="2EA80FC2" w14:textId="77777777" w:rsidTr="00920905">
        <w:trPr>
          <w:trHeight w:val="465"/>
        </w:trPr>
        <w:tc>
          <w:tcPr>
            <w:tcW w:w="1875" w:type="pct"/>
          </w:tcPr>
          <w:p w14:paraId="7E87F403" w14:textId="5683C17E" w:rsidR="006D14C6" w:rsidRPr="00500C4E" w:rsidRDefault="006D14C6" w:rsidP="006D14C6">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11181445" w:rsidR="006D14C6" w:rsidRPr="00500C4E" w:rsidRDefault="006D14C6" w:rsidP="006D14C6">
            <w:pPr>
              <w:rPr>
                <w:rFonts w:cs="Arial"/>
                <w:color w:val="FF0000"/>
                <w:szCs w:val="20"/>
              </w:rPr>
            </w:pPr>
            <w:r w:rsidRPr="00664EC8">
              <w:rPr>
                <w:rFonts w:cs="Arial"/>
                <w:szCs w:val="20"/>
              </w:rPr>
              <w:t>Com-Default&gt;2yrs: 0.6</w:t>
            </w:r>
            <w:r>
              <w:rPr>
                <w:rFonts w:cs="Arial"/>
                <w:szCs w:val="20"/>
              </w:rPr>
              <w:t xml:space="preserve"> </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978"/>
        <w:gridCol w:w="5666"/>
      </w:tblGrid>
      <w:tr w:rsidR="003845E5" w:rsidRPr="00500C4E" w14:paraId="5AFD7FBC" w14:textId="77777777" w:rsidTr="00EB63C2">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58"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030"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515B06" w:rsidRPr="00500C4E" w14:paraId="09F43F9C" w14:textId="77777777" w:rsidTr="00EB63C2">
        <w:trPr>
          <w:trHeight w:val="20"/>
        </w:trPr>
        <w:tc>
          <w:tcPr>
            <w:tcW w:w="280" w:type="pct"/>
          </w:tcPr>
          <w:p w14:paraId="451F5EC2" w14:textId="23A0863E" w:rsidR="00515B06" w:rsidRDefault="005F457F">
            <w:pPr>
              <w:rPr>
                <w:rFonts w:cstheme="minorHAnsi"/>
                <w:szCs w:val="20"/>
              </w:rPr>
            </w:pPr>
            <w:r>
              <w:rPr>
                <w:rFonts w:cstheme="minorHAnsi"/>
                <w:szCs w:val="20"/>
              </w:rPr>
              <w:t>0</w:t>
            </w:r>
          </w:p>
        </w:tc>
        <w:tc>
          <w:tcPr>
            <w:tcW w:w="632" w:type="pct"/>
          </w:tcPr>
          <w:p w14:paraId="5F831862" w14:textId="065416A5" w:rsidR="00515B06" w:rsidRDefault="00515B06">
            <w:pPr>
              <w:rPr>
                <w:rFonts w:cstheme="minorHAnsi"/>
                <w:szCs w:val="20"/>
              </w:rPr>
            </w:pPr>
            <w:r>
              <w:rPr>
                <w:rFonts w:cstheme="minorHAnsi"/>
                <w:szCs w:val="20"/>
              </w:rPr>
              <w:t>1</w:t>
            </w:r>
            <w:r w:rsidR="002F0CA7">
              <w:rPr>
                <w:rFonts w:cstheme="minorHAnsi"/>
                <w:szCs w:val="20"/>
              </w:rPr>
              <w:t>0/20</w:t>
            </w:r>
            <w:r>
              <w:rPr>
                <w:rFonts w:cstheme="minorHAnsi"/>
                <w:szCs w:val="20"/>
              </w:rPr>
              <w:t>/2016</w:t>
            </w:r>
          </w:p>
        </w:tc>
        <w:tc>
          <w:tcPr>
            <w:tcW w:w="1058" w:type="pct"/>
          </w:tcPr>
          <w:p w14:paraId="434B549F" w14:textId="7CAEAF60" w:rsidR="00515B06" w:rsidRDefault="00515B06">
            <w:pPr>
              <w:rPr>
                <w:rFonts w:cstheme="minorHAnsi"/>
                <w:szCs w:val="20"/>
              </w:rPr>
            </w:pPr>
            <w:r>
              <w:rPr>
                <w:rFonts w:cstheme="minorHAnsi"/>
                <w:szCs w:val="20"/>
              </w:rPr>
              <w:t>Theodore D’Williams</w:t>
            </w:r>
            <w:r w:rsidR="00E566EF">
              <w:rPr>
                <w:rFonts w:cstheme="minorHAnsi"/>
                <w:szCs w:val="20"/>
              </w:rPr>
              <w:t>/TRC</w:t>
            </w:r>
          </w:p>
        </w:tc>
        <w:tc>
          <w:tcPr>
            <w:tcW w:w="3030" w:type="pct"/>
          </w:tcPr>
          <w:p w14:paraId="604ABB0F" w14:textId="3C19A588" w:rsidR="005F457F" w:rsidRPr="005F457F" w:rsidRDefault="005F457F" w:rsidP="005F457F">
            <w:pPr>
              <w:pStyle w:val="ListParagraph"/>
              <w:numPr>
                <w:ilvl w:val="0"/>
                <w:numId w:val="43"/>
              </w:numPr>
            </w:pPr>
            <w:r w:rsidRPr="005F457F">
              <w:t>This work pa</w:t>
            </w:r>
            <w:r w:rsidR="00E408EA">
              <w:t>per is an update of SCE13CC012.2</w:t>
            </w:r>
          </w:p>
          <w:p w14:paraId="6F306CBC" w14:textId="77777777" w:rsidR="005F457F" w:rsidRDefault="005F457F" w:rsidP="005F457F">
            <w:pPr>
              <w:pStyle w:val="ListParagraph"/>
              <w:numPr>
                <w:ilvl w:val="0"/>
                <w:numId w:val="43"/>
              </w:numPr>
            </w:pPr>
            <w:r w:rsidRPr="005F457F">
              <w:t>New Calculation template for 2017 program year</w:t>
            </w:r>
          </w:p>
          <w:p w14:paraId="2A277516" w14:textId="77777777" w:rsidR="005F457F" w:rsidRDefault="00D36B3F" w:rsidP="005F457F">
            <w:pPr>
              <w:pStyle w:val="ListParagraph"/>
              <w:numPr>
                <w:ilvl w:val="0"/>
                <w:numId w:val="43"/>
              </w:numPr>
            </w:pPr>
            <w:r w:rsidRPr="005F457F">
              <w:t>Gross</w:t>
            </w:r>
            <w:r w:rsidR="00515B06" w:rsidRPr="005F457F">
              <w:t xml:space="preserve"> and incremental cost update</w:t>
            </w:r>
            <w:r w:rsidRPr="005F457F">
              <w:t>d</w:t>
            </w:r>
            <w:r w:rsidR="00515B06" w:rsidRPr="005F457F">
              <w:t xml:space="preserve">. </w:t>
            </w:r>
          </w:p>
          <w:p w14:paraId="3BFA3C9E" w14:textId="46C39E84" w:rsidR="00123AAC" w:rsidRPr="005F457F" w:rsidRDefault="00D36B3F" w:rsidP="005F457F">
            <w:pPr>
              <w:pStyle w:val="ListParagraph"/>
              <w:numPr>
                <w:ilvl w:val="0"/>
                <w:numId w:val="43"/>
              </w:numPr>
            </w:pPr>
            <w:r w:rsidRPr="005F457F">
              <w:t xml:space="preserve">Installation type - </w:t>
            </w:r>
            <w:r w:rsidR="00515B06" w:rsidRPr="005F457F">
              <w:t>New Construction added</w:t>
            </w:r>
          </w:p>
        </w:tc>
      </w:tr>
      <w:tr w:rsidR="00334176" w:rsidRPr="00500C4E" w14:paraId="24E4475A" w14:textId="77777777" w:rsidTr="00EB63C2">
        <w:trPr>
          <w:trHeight w:val="20"/>
        </w:trPr>
        <w:tc>
          <w:tcPr>
            <w:tcW w:w="280" w:type="pct"/>
          </w:tcPr>
          <w:p w14:paraId="629B8757" w14:textId="6491FDA4" w:rsidR="00334176" w:rsidRDefault="00334176">
            <w:pPr>
              <w:rPr>
                <w:rFonts w:cstheme="minorHAnsi"/>
                <w:szCs w:val="20"/>
              </w:rPr>
            </w:pPr>
            <w:r>
              <w:rPr>
                <w:rFonts w:cstheme="minorHAnsi"/>
                <w:szCs w:val="20"/>
              </w:rPr>
              <w:t>1</w:t>
            </w:r>
          </w:p>
        </w:tc>
        <w:tc>
          <w:tcPr>
            <w:tcW w:w="632" w:type="pct"/>
          </w:tcPr>
          <w:p w14:paraId="03A40766" w14:textId="63CE6757" w:rsidR="00334176" w:rsidRDefault="00BE17B9">
            <w:pPr>
              <w:rPr>
                <w:rFonts w:cstheme="minorHAnsi"/>
                <w:szCs w:val="20"/>
              </w:rPr>
            </w:pPr>
            <w:r>
              <w:rPr>
                <w:rFonts w:cstheme="minorHAnsi"/>
                <w:szCs w:val="20"/>
              </w:rPr>
              <w:t>08/</w:t>
            </w:r>
            <w:r w:rsidR="00200DDF">
              <w:rPr>
                <w:rFonts w:cstheme="minorHAnsi"/>
                <w:szCs w:val="20"/>
              </w:rPr>
              <w:t>30</w:t>
            </w:r>
            <w:r w:rsidR="00334176">
              <w:rPr>
                <w:rFonts w:cstheme="minorHAnsi"/>
                <w:szCs w:val="20"/>
              </w:rPr>
              <w:t>/2018</w:t>
            </w:r>
          </w:p>
        </w:tc>
        <w:tc>
          <w:tcPr>
            <w:tcW w:w="1058" w:type="pct"/>
          </w:tcPr>
          <w:p w14:paraId="46BC9205" w14:textId="2631E07E" w:rsidR="00334176" w:rsidRDefault="00377F5E">
            <w:pPr>
              <w:rPr>
                <w:rFonts w:cstheme="minorHAnsi"/>
                <w:szCs w:val="20"/>
              </w:rPr>
            </w:pPr>
            <w:r>
              <w:rPr>
                <w:rFonts w:cstheme="minorHAnsi"/>
                <w:szCs w:val="20"/>
              </w:rPr>
              <w:t>Srushti Koli/TRC</w:t>
            </w:r>
          </w:p>
        </w:tc>
        <w:tc>
          <w:tcPr>
            <w:tcW w:w="3030" w:type="pct"/>
          </w:tcPr>
          <w:p w14:paraId="50CEA702" w14:textId="00BB082B" w:rsidR="00334176" w:rsidRDefault="00377F5E" w:rsidP="00D92B9E">
            <w:pPr>
              <w:pStyle w:val="ListParagraph"/>
              <w:numPr>
                <w:ilvl w:val="0"/>
                <w:numId w:val="43"/>
              </w:numPr>
            </w:pPr>
            <w:r>
              <w:t>New Calculation template for 201</w:t>
            </w:r>
            <w:r w:rsidR="00223A2B">
              <w:t>8</w:t>
            </w:r>
            <w:r>
              <w:t xml:space="preserve"> program year</w:t>
            </w:r>
          </w:p>
          <w:p w14:paraId="102B8C4B" w14:textId="77777777" w:rsidR="00334176" w:rsidRDefault="00334176" w:rsidP="005F457F">
            <w:pPr>
              <w:pStyle w:val="ListParagraph"/>
              <w:numPr>
                <w:ilvl w:val="0"/>
                <w:numId w:val="43"/>
              </w:numPr>
            </w:pPr>
            <w:r>
              <w:t>Added mid-stream delivery method</w:t>
            </w:r>
          </w:p>
          <w:p w14:paraId="7B6C0D86" w14:textId="3AEA048D" w:rsidR="008531AF" w:rsidRDefault="008531AF" w:rsidP="005F457F">
            <w:pPr>
              <w:pStyle w:val="ListParagraph"/>
              <w:numPr>
                <w:ilvl w:val="0"/>
                <w:numId w:val="43"/>
              </w:numPr>
            </w:pPr>
            <w:r>
              <w:t xml:space="preserve">Added eligibility requirement for </w:t>
            </w:r>
            <w:r w:rsidRPr="00160EFA">
              <w:rPr>
                <w:rFonts w:cstheme="minorHAnsi"/>
              </w:rPr>
              <w:t>Replace on Burnout (ROB)</w:t>
            </w:r>
            <w:r>
              <w:rPr>
                <w:rFonts w:cstheme="minorHAnsi"/>
              </w:rPr>
              <w:t xml:space="preserve"> case</w:t>
            </w:r>
          </w:p>
          <w:p w14:paraId="72F622CA" w14:textId="7F396FEB" w:rsidR="008531AF" w:rsidRDefault="008531AF">
            <w:pPr>
              <w:pStyle w:val="ListParagraph"/>
              <w:numPr>
                <w:ilvl w:val="0"/>
                <w:numId w:val="43"/>
              </w:numPr>
            </w:pPr>
            <w:r>
              <w:t>Updated measure case cost data based on the most recent values from an authorized distributor</w:t>
            </w:r>
            <w:r w:rsidR="008A6F8B">
              <w:t xml:space="preserve">. Normalized costs per quantity of decks. </w:t>
            </w:r>
          </w:p>
          <w:p w14:paraId="27447ACF" w14:textId="77777777" w:rsidR="00826E1F" w:rsidRDefault="00826E1F">
            <w:pPr>
              <w:pStyle w:val="ListParagraph"/>
              <w:numPr>
                <w:ilvl w:val="0"/>
                <w:numId w:val="43"/>
              </w:numPr>
            </w:pPr>
            <w:r>
              <w:t>Added Standard Practice Evidence section to support the   claim that electric deck ovens are not ISP at this moment</w:t>
            </w:r>
          </w:p>
          <w:p w14:paraId="1FA63073" w14:textId="77777777" w:rsidR="00826E1F" w:rsidRDefault="00826E1F">
            <w:pPr>
              <w:pStyle w:val="ListParagraph"/>
              <w:numPr>
                <w:ilvl w:val="0"/>
                <w:numId w:val="43"/>
              </w:numPr>
            </w:pPr>
            <w:r>
              <w:t xml:space="preserve">Added Driver for </w:t>
            </w:r>
            <w:r w:rsidR="008B44F5">
              <w:t xml:space="preserve">Expansion/Load Added </w:t>
            </w:r>
            <w:r>
              <w:t>section</w:t>
            </w:r>
            <w:r w:rsidR="001107DF">
              <w:t xml:space="preserve"> to discuss efficiency drivers for measure </w:t>
            </w:r>
          </w:p>
          <w:p w14:paraId="4B3AABF9" w14:textId="147480C2" w:rsidR="008A6F8B" w:rsidRPr="008A6F8B" w:rsidRDefault="008A6F8B" w:rsidP="008A6F8B">
            <w:pPr>
              <w:pStyle w:val="ListParagraph"/>
              <w:numPr>
                <w:ilvl w:val="0"/>
                <w:numId w:val="43"/>
              </w:numPr>
            </w:pPr>
            <w:r>
              <w:t xml:space="preserve">Removed Manufacturing – Bio/Tech and Manufacturing – Light Industrial building types. </w:t>
            </w:r>
          </w:p>
        </w:tc>
      </w:tr>
    </w:tbl>
    <w:p w14:paraId="7BD9821C" w14:textId="5CAE1F23" w:rsidR="00E404C4" w:rsidRDefault="00E404C4" w:rsidP="00E325BE">
      <w:pPr>
        <w:pStyle w:val="Heading1"/>
      </w:pPr>
    </w:p>
    <w:p w14:paraId="656E2232" w14:textId="50A044F9"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6"/>
        <w:gridCol w:w="1033"/>
        <w:gridCol w:w="3055"/>
        <w:gridCol w:w="3055"/>
      </w:tblGrid>
      <w:tr w:rsidR="008877AF" w:rsidRPr="00500C4E" w14:paraId="31D4D566" w14:textId="0512A126" w:rsidTr="005F457F">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9"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5F457F">
        <w:trPr>
          <w:trHeight w:val="20"/>
        </w:trPr>
        <w:tc>
          <w:tcPr>
            <w:tcW w:w="280" w:type="pct"/>
          </w:tcPr>
          <w:p w14:paraId="4D0B6F23" w14:textId="0650FF8F" w:rsidR="008877AF" w:rsidRPr="00EE4120" w:rsidRDefault="008877AF" w:rsidP="00A84BF9">
            <w:pPr>
              <w:rPr>
                <w:bCs/>
                <w:color w:val="FF0000"/>
              </w:rPr>
            </w:pPr>
          </w:p>
        </w:tc>
        <w:tc>
          <w:tcPr>
            <w:tcW w:w="351" w:type="pct"/>
          </w:tcPr>
          <w:p w14:paraId="23988046" w14:textId="28CAC76A" w:rsidR="008877AF" w:rsidRPr="00EE4120" w:rsidRDefault="008877AF" w:rsidP="00A84BF9">
            <w:pPr>
              <w:rPr>
                <w:bCs/>
                <w:color w:val="FF0000"/>
                <w:szCs w:val="20"/>
              </w:rPr>
            </w:pPr>
          </w:p>
        </w:tc>
        <w:tc>
          <w:tcPr>
            <w:tcW w:w="549" w:type="pct"/>
          </w:tcPr>
          <w:p w14:paraId="4AB37DB0" w14:textId="7D8D177B" w:rsidR="008877AF" w:rsidRPr="00EE4120" w:rsidRDefault="008877AF" w:rsidP="00A84BF9">
            <w:pPr>
              <w:rPr>
                <w:bCs/>
                <w:color w:val="FF0000"/>
                <w:szCs w:val="20"/>
              </w:rPr>
            </w:pPr>
          </w:p>
        </w:tc>
        <w:tc>
          <w:tcPr>
            <w:tcW w:w="552" w:type="pct"/>
          </w:tcPr>
          <w:p w14:paraId="62E998F6" w14:textId="176AF6DC" w:rsidR="008877AF" w:rsidRPr="00EE4120" w:rsidRDefault="008877AF" w:rsidP="00A84BF9">
            <w:pPr>
              <w:rPr>
                <w:bCs/>
                <w:color w:val="FF0000"/>
                <w:szCs w:val="20"/>
              </w:rPr>
            </w:pPr>
          </w:p>
        </w:tc>
        <w:tc>
          <w:tcPr>
            <w:tcW w:w="1634" w:type="pct"/>
          </w:tcPr>
          <w:p w14:paraId="369DEEE8" w14:textId="5D4ABE14" w:rsidR="008877AF" w:rsidRPr="00DF4C3C" w:rsidRDefault="008877AF" w:rsidP="00F25B36">
            <w:pPr>
              <w:pStyle w:val="ListParagraph"/>
              <w:numPr>
                <w:ilvl w:val="0"/>
                <w:numId w:val="33"/>
              </w:numPr>
              <w:rPr>
                <w:bCs/>
                <w:szCs w:val="20"/>
              </w:rPr>
            </w:pPr>
          </w:p>
        </w:tc>
        <w:tc>
          <w:tcPr>
            <w:tcW w:w="1634" w:type="pct"/>
          </w:tcPr>
          <w:p w14:paraId="1ECCFDB6" w14:textId="37AC050E" w:rsidR="008877AF" w:rsidRPr="00DF4C3C" w:rsidRDefault="008877AF" w:rsidP="00F25B36">
            <w:pPr>
              <w:pStyle w:val="ListParagraph"/>
              <w:numPr>
                <w:ilvl w:val="0"/>
                <w:numId w:val="33"/>
              </w:numPr>
              <w:rPr>
                <w:bCs/>
                <w:szCs w:val="20"/>
              </w:rPr>
            </w:pPr>
          </w:p>
        </w:tc>
      </w:tr>
      <w:tr w:rsidR="008877AF" w:rsidRPr="00500C4E" w14:paraId="3150CD9E" w14:textId="23D900C0" w:rsidTr="005F457F">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9"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559CD612"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223A2B">
        <w:rPr>
          <w:rFonts w:asciiTheme="minorHAnsi" w:hAnsiTheme="minorHAnsi"/>
        </w:rPr>
        <w:t xml:space="preserve">1.1 </w:t>
      </w:r>
      <w:r w:rsidR="00AC5309" w:rsidRPr="00223A2B">
        <w:rPr>
          <w:rFonts w:asciiTheme="minorHAnsi" w:hAnsiTheme="minorHAnsi"/>
        </w:rPr>
        <w:t xml:space="preserve">Measure Description </w:t>
      </w:r>
      <w:r w:rsidR="00E16609" w:rsidRPr="00223A2B">
        <w:rPr>
          <w:rFonts w:asciiTheme="minorHAnsi" w:hAnsiTheme="minorHAnsi"/>
        </w:rPr>
        <w:t xml:space="preserve">&amp; </w:t>
      </w:r>
      <w:r w:rsidR="00AC5309" w:rsidRPr="00223A2B">
        <w:rPr>
          <w:rFonts w:asciiTheme="minorHAnsi" w:hAnsiTheme="minorHAnsi"/>
        </w:rPr>
        <w:t>Background</w:t>
      </w:r>
      <w:r w:rsidR="00E16609" w:rsidRPr="00500C4E">
        <w:rPr>
          <w:rFonts w:asciiTheme="minorHAnsi" w:hAnsiTheme="minorHAnsi"/>
        </w:rPr>
        <w:t xml:space="preserve"> </w:t>
      </w:r>
      <w:bookmarkEnd w:id="7"/>
    </w:p>
    <w:p w14:paraId="2759C9B0" w14:textId="1E5E953E" w:rsidR="00C7618D" w:rsidRDefault="00C7618D" w:rsidP="001D3223">
      <w:pPr>
        <w:pStyle w:val="Reminders"/>
        <w:tabs>
          <w:tab w:val="num" w:pos="360"/>
        </w:tabs>
        <w:rPr>
          <w:rFonts w:asciiTheme="minorHAnsi" w:hAnsiTheme="minorHAnsi" w:cstheme="minorHAnsi"/>
          <w:i w:val="0"/>
          <w:color w:val="auto"/>
          <w:szCs w:val="22"/>
        </w:rPr>
      </w:pPr>
      <w:r w:rsidRPr="00C7618D">
        <w:rPr>
          <w:rFonts w:asciiTheme="minorHAnsi" w:hAnsiTheme="minorHAnsi" w:cstheme="minorHAnsi"/>
          <w:i w:val="0"/>
          <w:color w:val="auto"/>
          <w:szCs w:val="22"/>
        </w:rPr>
        <w:t>This work paper details the replacement of standard-efficiency commercial electric deck ovens with energy-efficient commercial electric deck ovens.</w:t>
      </w:r>
      <w:r w:rsidR="005C0F38">
        <w:rPr>
          <w:rFonts w:asciiTheme="minorHAnsi" w:hAnsiTheme="minorHAnsi" w:cstheme="minorHAnsi"/>
          <w:i w:val="0"/>
          <w:color w:val="auto"/>
          <w:szCs w:val="22"/>
        </w:rPr>
        <w:t xml:space="preserve"> The base case standard-efficiency ovens are rated at approximately 40% eff</w:t>
      </w:r>
      <w:r w:rsidR="00583B5B">
        <w:rPr>
          <w:rFonts w:asciiTheme="minorHAnsi" w:hAnsiTheme="minorHAnsi" w:cstheme="minorHAnsi"/>
          <w:i w:val="0"/>
          <w:color w:val="auto"/>
          <w:szCs w:val="22"/>
        </w:rPr>
        <w:t>iciency, whereas the new energy-</w:t>
      </w:r>
      <w:r w:rsidR="005C0F38">
        <w:rPr>
          <w:rFonts w:asciiTheme="minorHAnsi" w:hAnsiTheme="minorHAnsi" w:cstheme="minorHAnsi"/>
          <w:i w:val="0"/>
          <w:color w:val="auto"/>
          <w:szCs w:val="22"/>
        </w:rPr>
        <w:t>efficient ovens are over 60% efficient</w:t>
      </w:r>
      <w:r w:rsidR="007E4600">
        <w:rPr>
          <w:rFonts w:asciiTheme="minorHAnsi" w:hAnsiTheme="minorHAnsi" w:cstheme="minorHAnsi"/>
          <w:i w:val="0"/>
          <w:color w:val="auto"/>
          <w:szCs w:val="22"/>
        </w:rPr>
        <w:t xml:space="preserve">. The heavy load cooking energy </w:t>
      </w:r>
      <w:r w:rsidR="00A45349">
        <w:rPr>
          <w:rFonts w:asciiTheme="minorHAnsi" w:hAnsiTheme="minorHAnsi" w:cstheme="minorHAnsi"/>
          <w:i w:val="0"/>
          <w:color w:val="auto"/>
          <w:szCs w:val="22"/>
        </w:rPr>
        <w:t>efficiency used to describe these</w:t>
      </w:r>
      <w:r w:rsidR="007E4600">
        <w:rPr>
          <w:rFonts w:asciiTheme="minorHAnsi" w:hAnsiTheme="minorHAnsi" w:cstheme="minorHAnsi"/>
          <w:i w:val="0"/>
          <w:color w:val="auto"/>
          <w:szCs w:val="22"/>
        </w:rPr>
        <w:t xml:space="preserve"> ovens is the amount of energy imparted to the food product compared to the total consumed energy of the equipment during cooking during the heavy load test described by ASTM F1965-99 (2010) [289].</w:t>
      </w:r>
    </w:p>
    <w:p w14:paraId="4AF7EE72" w14:textId="77777777" w:rsidR="00C7618D" w:rsidRDefault="00C7618D" w:rsidP="00920905">
      <w:pPr>
        <w:rPr>
          <w:rFonts w:cstheme="minorHAnsi"/>
          <w:szCs w:val="22"/>
        </w:rPr>
      </w:pPr>
    </w:p>
    <w:p w14:paraId="1FFD38CC" w14:textId="1EB49E59" w:rsidR="00F171E1" w:rsidRPr="00B4002B" w:rsidRDefault="00F171E1" w:rsidP="00B4002B">
      <w:pPr>
        <w:pStyle w:val="Caption"/>
        <w:rPr>
          <w:b w:val="0"/>
          <w:szCs w:val="22"/>
        </w:rPr>
      </w:pPr>
      <w:r w:rsidRPr="00D36B3F">
        <w:rPr>
          <w:szCs w:val="22"/>
        </w:rPr>
        <w:t>Base</w:t>
      </w:r>
      <w:r w:rsidR="005720F2" w:rsidRPr="00D36B3F">
        <w:rPr>
          <w:szCs w:val="22"/>
        </w:rPr>
        <w:t>, Standard,</w:t>
      </w:r>
      <w:r w:rsidRPr="005F25D0">
        <w:rPr>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3E3706" w14:paraId="282551D9" w14:textId="77777777" w:rsidTr="00920905">
        <w:trPr>
          <w:trHeight w:val="20"/>
        </w:trPr>
        <w:tc>
          <w:tcPr>
            <w:tcW w:w="1502" w:type="pct"/>
            <w:shd w:val="clear" w:color="auto" w:fill="D9D9D9" w:themeFill="background1" w:themeFillShade="D9"/>
          </w:tcPr>
          <w:p w14:paraId="4FC5763D" w14:textId="75FAA297" w:rsidR="005720F2" w:rsidRPr="003E3706" w:rsidRDefault="005720F2" w:rsidP="00920905">
            <w:pPr>
              <w:pStyle w:val="Reminders"/>
              <w:tabs>
                <w:tab w:val="num" w:pos="360"/>
              </w:tabs>
              <w:spacing w:before="0" w:after="0"/>
              <w:rPr>
                <w:rFonts w:asciiTheme="minorHAnsi" w:hAnsiTheme="minorHAnsi" w:cs="Arial"/>
                <w:b/>
                <w:i w:val="0"/>
                <w:color w:val="auto"/>
                <w:szCs w:val="20"/>
              </w:rPr>
            </w:pPr>
            <w:r w:rsidRPr="003E3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3E3706" w:rsidRDefault="005720F2" w:rsidP="00920905">
            <w:pPr>
              <w:pStyle w:val="Reminders"/>
              <w:tabs>
                <w:tab w:val="num" w:pos="360"/>
              </w:tabs>
              <w:spacing w:before="0" w:after="0"/>
              <w:rPr>
                <w:rFonts w:asciiTheme="minorHAnsi" w:hAnsiTheme="minorHAnsi" w:cstheme="minorHAnsi"/>
                <w:b/>
                <w:i w:val="0"/>
                <w:color w:val="auto"/>
                <w:szCs w:val="20"/>
              </w:rPr>
            </w:pPr>
            <w:r w:rsidRPr="003E3706">
              <w:rPr>
                <w:rFonts w:asciiTheme="minorHAnsi" w:hAnsiTheme="minorHAnsi" w:cstheme="minorHAnsi"/>
                <w:b/>
                <w:i w:val="0"/>
                <w:color w:val="auto"/>
                <w:szCs w:val="20"/>
              </w:rPr>
              <w:t>Description</w:t>
            </w:r>
            <w:r w:rsidR="00680934" w:rsidRPr="003E3706">
              <w:rPr>
                <w:rFonts w:asciiTheme="minorHAnsi" w:hAnsiTheme="minorHAnsi" w:cstheme="minorHAnsi"/>
                <w:b/>
                <w:i w:val="0"/>
                <w:color w:val="auto"/>
                <w:szCs w:val="20"/>
              </w:rPr>
              <w:t xml:space="preserve"> of Typical Scenario</w:t>
            </w:r>
          </w:p>
        </w:tc>
      </w:tr>
      <w:tr w:rsidR="00981CE3" w:rsidRPr="00800706" w14:paraId="50504EB6" w14:textId="77777777" w:rsidTr="00920905">
        <w:trPr>
          <w:trHeight w:val="20"/>
        </w:trPr>
        <w:tc>
          <w:tcPr>
            <w:tcW w:w="1502" w:type="pct"/>
          </w:tcPr>
          <w:p w14:paraId="25878B64" w14:textId="2358F1DE" w:rsidR="00981CE3" w:rsidRPr="00920905" w:rsidRDefault="00981CE3" w:rsidP="00981CE3">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0BB6F2EF" w:rsidR="00981CE3" w:rsidRPr="00FE4C9D" w:rsidRDefault="00981CE3" w:rsidP="00981CE3">
            <w:pPr>
              <w:rPr>
                <w:szCs w:val="20"/>
              </w:rPr>
            </w:pPr>
            <w:r w:rsidRPr="00664EC8">
              <w:rPr>
                <w:rFonts w:cs="Arial"/>
                <w:szCs w:val="20"/>
              </w:rPr>
              <w:t xml:space="preserve">Energy efficient </w:t>
            </w:r>
            <w:r>
              <w:rPr>
                <w:rFonts w:cs="Arial"/>
                <w:szCs w:val="20"/>
              </w:rPr>
              <w:t xml:space="preserve">(60% cooking energy efficiency) </w:t>
            </w:r>
            <w:r w:rsidRPr="00664EC8">
              <w:rPr>
                <w:rFonts w:cs="Arial"/>
                <w:szCs w:val="20"/>
              </w:rPr>
              <w:t>commercial electric deck oven</w:t>
            </w:r>
          </w:p>
        </w:tc>
      </w:tr>
      <w:tr w:rsidR="00981CE3" w:rsidRPr="00800706" w14:paraId="1C9532C6" w14:textId="77777777" w:rsidTr="00920905">
        <w:trPr>
          <w:trHeight w:val="20"/>
        </w:trPr>
        <w:tc>
          <w:tcPr>
            <w:tcW w:w="1502" w:type="pct"/>
          </w:tcPr>
          <w:p w14:paraId="33E87E80" w14:textId="1EC944A8" w:rsidR="00981CE3" w:rsidRPr="00920905" w:rsidRDefault="00981CE3" w:rsidP="00981CE3">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04927FFD" w:rsidR="00981CE3" w:rsidRPr="00920905" w:rsidRDefault="00981CE3" w:rsidP="00981CE3">
            <w:pPr>
              <w:rPr>
                <w:i/>
                <w:szCs w:val="20"/>
              </w:rPr>
            </w:pPr>
            <w:r w:rsidRPr="00664EC8">
              <w:rPr>
                <w:rFonts w:cs="Arial"/>
                <w:szCs w:val="20"/>
              </w:rPr>
              <w:t>Standard</w:t>
            </w:r>
            <w:r>
              <w:rPr>
                <w:rFonts w:cs="Arial"/>
                <w:szCs w:val="20"/>
              </w:rPr>
              <w:t>-</w:t>
            </w:r>
            <w:r w:rsidRPr="00664EC8">
              <w:rPr>
                <w:rFonts w:cs="Arial"/>
                <w:szCs w:val="20"/>
              </w:rPr>
              <w:t>efficiency</w:t>
            </w:r>
            <w:r>
              <w:rPr>
                <w:rFonts w:cs="Arial"/>
                <w:szCs w:val="20"/>
              </w:rPr>
              <w:t xml:space="preserve"> (40% cooking energy efficiency) </w:t>
            </w:r>
            <w:r w:rsidRPr="00664EC8">
              <w:rPr>
                <w:rFonts w:cs="Arial"/>
                <w:szCs w:val="20"/>
              </w:rPr>
              <w:t>commercial</w:t>
            </w:r>
            <w:r>
              <w:rPr>
                <w:rFonts w:cs="Arial"/>
                <w:szCs w:val="20"/>
              </w:rPr>
              <w:t xml:space="preserve"> electric</w:t>
            </w:r>
            <w:r w:rsidRPr="00664EC8">
              <w:rPr>
                <w:rFonts w:cs="Arial"/>
                <w:szCs w:val="20"/>
              </w:rPr>
              <w:t xml:space="preserve"> deck oven</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204259DF" w:rsidR="002344FB" w:rsidRPr="00FE4C9D" w:rsidRDefault="00FE4C9D">
            <w:pPr>
              <w:rPr>
                <w:szCs w:val="20"/>
              </w:rPr>
            </w:pPr>
            <w:r w:rsidRPr="00FE4C9D">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4EE6A5DF" w:rsidR="00D85F09" w:rsidRPr="00FE4C9D" w:rsidRDefault="00FE4C9D" w:rsidP="00920905">
            <w:pPr>
              <w:rPr>
                <w:i/>
                <w:szCs w:val="20"/>
              </w:rPr>
            </w:pPr>
            <w:r w:rsidRPr="00FE4C9D">
              <w:rPr>
                <w:szCs w:val="20"/>
              </w:rPr>
              <w:t>N/A</w:t>
            </w:r>
          </w:p>
        </w:tc>
      </w:tr>
    </w:tbl>
    <w:p w14:paraId="3D32C2EF" w14:textId="77777777" w:rsidR="00D85F09" w:rsidRPr="00800706" w:rsidRDefault="00D85F09" w:rsidP="00920905">
      <w:pPr>
        <w:pStyle w:val="NoSpacing"/>
      </w:pPr>
    </w:p>
    <w:p w14:paraId="00275FA1" w14:textId="2365AC6A" w:rsidR="00AC5309" w:rsidRPr="00800706" w:rsidRDefault="00AC5309">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1617F4" w:rsidRPr="00800706" w14:paraId="0290ADBE" w14:textId="77777777" w:rsidTr="00920905">
        <w:trPr>
          <w:trHeight w:val="243"/>
        </w:trPr>
        <w:tc>
          <w:tcPr>
            <w:tcW w:w="539" w:type="pct"/>
          </w:tcPr>
          <w:p w14:paraId="1CE709CC" w14:textId="1E022D59" w:rsidR="001617F4" w:rsidRPr="00920905" w:rsidRDefault="001617F4" w:rsidP="001617F4">
            <w:pPr>
              <w:rPr>
                <w:rFonts w:cstheme="minorHAnsi"/>
                <w:color w:val="FF0000"/>
                <w:szCs w:val="20"/>
              </w:rPr>
            </w:pPr>
            <w:r w:rsidRPr="00F27A93">
              <w:rPr>
                <w:rFonts w:cstheme="minorHAnsi"/>
                <w:szCs w:val="20"/>
              </w:rPr>
              <w:t>N/A</w:t>
            </w:r>
          </w:p>
        </w:tc>
        <w:tc>
          <w:tcPr>
            <w:tcW w:w="539" w:type="pct"/>
          </w:tcPr>
          <w:p w14:paraId="666F9F6A" w14:textId="54927517" w:rsidR="001617F4" w:rsidRPr="00920905" w:rsidRDefault="001617F4" w:rsidP="001617F4">
            <w:pPr>
              <w:rPr>
                <w:rFonts w:cstheme="minorHAnsi"/>
                <w:color w:val="FF0000"/>
                <w:szCs w:val="20"/>
              </w:rPr>
            </w:pPr>
            <w:r w:rsidRPr="00F27A93">
              <w:rPr>
                <w:rFonts w:cstheme="minorHAnsi"/>
                <w:szCs w:val="20"/>
              </w:rPr>
              <w:t>N/A</w:t>
            </w:r>
          </w:p>
        </w:tc>
        <w:tc>
          <w:tcPr>
            <w:tcW w:w="605" w:type="pct"/>
          </w:tcPr>
          <w:p w14:paraId="63438A36" w14:textId="7354EDD9" w:rsidR="001617F4" w:rsidRPr="00920905" w:rsidRDefault="001617F4" w:rsidP="001617F4">
            <w:pPr>
              <w:rPr>
                <w:rFonts w:cstheme="minorHAnsi"/>
                <w:color w:val="FF0000"/>
                <w:szCs w:val="20"/>
              </w:rPr>
            </w:pPr>
            <w:r w:rsidRPr="00664EC8">
              <w:rPr>
                <w:rFonts w:cstheme="minorHAnsi"/>
                <w:szCs w:val="20"/>
              </w:rPr>
              <w:t>FS-70944</w:t>
            </w:r>
          </w:p>
        </w:tc>
        <w:tc>
          <w:tcPr>
            <w:tcW w:w="673" w:type="pct"/>
          </w:tcPr>
          <w:p w14:paraId="311A1841" w14:textId="3E7F4596" w:rsidR="001617F4" w:rsidRPr="00920905" w:rsidRDefault="001617F4" w:rsidP="001617F4">
            <w:pPr>
              <w:rPr>
                <w:rFonts w:cstheme="minorHAnsi"/>
                <w:color w:val="FF0000"/>
                <w:szCs w:val="20"/>
              </w:rPr>
            </w:pPr>
            <w:r w:rsidRPr="001617F4">
              <w:rPr>
                <w:rFonts w:cstheme="minorHAnsi"/>
                <w:szCs w:val="20"/>
              </w:rPr>
              <w:t>N/A</w:t>
            </w:r>
          </w:p>
        </w:tc>
        <w:tc>
          <w:tcPr>
            <w:tcW w:w="2644" w:type="pct"/>
          </w:tcPr>
          <w:p w14:paraId="512138E6" w14:textId="0849F1E9" w:rsidR="001617F4" w:rsidRPr="00920905" w:rsidRDefault="001617F4" w:rsidP="001617F4">
            <w:pPr>
              <w:rPr>
                <w:color w:val="FF0000"/>
              </w:rPr>
            </w:pPr>
            <w:r w:rsidRPr="00AD4B79">
              <w:rPr>
                <w:rFonts w:cstheme="minorHAnsi"/>
                <w:color w:val="000000"/>
                <w:szCs w:val="20"/>
              </w:rPr>
              <w:t>Cooking Efficiency ≥ 60% Commercial Electric Deck (Deck Area ≥ 1200 in</w:t>
            </w:r>
            <w:r w:rsidR="00454D4F">
              <w:rPr>
                <w:rFonts w:cstheme="minorHAnsi"/>
                <w:color w:val="000000"/>
                <w:szCs w:val="20"/>
              </w:rPr>
              <w:t>^</w:t>
            </w:r>
            <w:r w:rsidRPr="00AD4B79">
              <w:rPr>
                <w:rFonts w:cstheme="minorHAnsi"/>
                <w:color w:val="000000"/>
                <w:szCs w:val="20"/>
              </w:rPr>
              <w:t>2) Oven</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1B9877FE" w14:textId="77777777" w:rsidR="00107535" w:rsidRPr="00664EC8" w:rsidRDefault="00107535" w:rsidP="00107535">
      <w:pPr>
        <w:rPr>
          <w:rFonts w:cstheme="minorHAnsi"/>
          <w:b/>
          <w:szCs w:val="22"/>
        </w:rPr>
      </w:pPr>
      <w:r w:rsidRPr="00664EC8">
        <w:rPr>
          <w:rFonts w:cstheme="minorHAnsi"/>
          <w:b/>
          <w:szCs w:val="22"/>
        </w:rPr>
        <w:t>Eligibility Requirements</w:t>
      </w:r>
    </w:p>
    <w:p w14:paraId="45CAD1DA" w14:textId="19A498FC" w:rsidR="00912CC8" w:rsidRDefault="00912CC8" w:rsidP="00107535">
      <w:pPr>
        <w:rPr>
          <w:rFonts w:cstheme="minorHAnsi"/>
          <w:szCs w:val="22"/>
        </w:rPr>
      </w:pPr>
      <w:r>
        <w:rPr>
          <w:rFonts w:cstheme="minorHAnsi"/>
          <w:szCs w:val="22"/>
        </w:rPr>
        <w:t>This measure is applicable t</w:t>
      </w:r>
      <w:r w:rsidR="00890413">
        <w:rPr>
          <w:rFonts w:cstheme="minorHAnsi"/>
          <w:szCs w:val="22"/>
        </w:rPr>
        <w:t xml:space="preserve">o </w:t>
      </w:r>
      <w:r w:rsidR="0091609D">
        <w:rPr>
          <w:rFonts w:cstheme="minorHAnsi"/>
          <w:szCs w:val="22"/>
        </w:rPr>
        <w:t xml:space="preserve">the </w:t>
      </w:r>
      <w:r w:rsidR="00890413">
        <w:rPr>
          <w:rFonts w:cstheme="minorHAnsi"/>
          <w:szCs w:val="22"/>
        </w:rPr>
        <w:t>Non-Residential building type</w:t>
      </w:r>
      <w:r w:rsidR="0091609D">
        <w:rPr>
          <w:rFonts w:cstheme="minorHAnsi"/>
          <w:szCs w:val="22"/>
        </w:rPr>
        <w:t>s listed in Section 3</w:t>
      </w:r>
      <w:r w:rsidR="00890413">
        <w:rPr>
          <w:rFonts w:cstheme="minorHAnsi"/>
          <w:szCs w:val="22"/>
        </w:rPr>
        <w:t xml:space="preserve"> and all climate zones.</w:t>
      </w:r>
    </w:p>
    <w:p w14:paraId="4340056B" w14:textId="6B8AC595" w:rsidR="00107535" w:rsidRPr="00664EC8" w:rsidRDefault="00107535" w:rsidP="00107535">
      <w:pPr>
        <w:rPr>
          <w:rFonts w:cstheme="minorHAnsi"/>
          <w:szCs w:val="22"/>
        </w:rPr>
      </w:pPr>
      <w:r w:rsidRPr="00664EC8">
        <w:rPr>
          <w:rFonts w:cstheme="minorHAnsi"/>
          <w:szCs w:val="22"/>
        </w:rPr>
        <w:t>Eligible deck ovens must:</w:t>
      </w:r>
    </w:p>
    <w:p w14:paraId="0A1CB1EA" w14:textId="66CD88F7" w:rsidR="00107535" w:rsidRPr="00664EC8" w:rsidRDefault="00107535" w:rsidP="00107535">
      <w:pPr>
        <w:pStyle w:val="ListParagraph"/>
        <w:numPr>
          <w:ilvl w:val="0"/>
          <w:numId w:val="27"/>
        </w:numPr>
        <w:rPr>
          <w:rFonts w:cstheme="minorHAnsi"/>
        </w:rPr>
      </w:pPr>
      <w:r w:rsidRPr="00664EC8">
        <w:rPr>
          <w:rFonts w:cstheme="minorHAnsi"/>
        </w:rPr>
        <w:t>Have a heavy load cooking energy efficiency of 60% or greater based on the heavy-load pizza test in ASTM F1965</w:t>
      </w:r>
      <w:r w:rsidR="005123D3">
        <w:rPr>
          <w:rFonts w:cstheme="minorHAnsi"/>
        </w:rPr>
        <w:t>-99</w:t>
      </w:r>
      <w:r w:rsidRPr="00664EC8">
        <w:rPr>
          <w:rFonts w:cstheme="minorHAnsi"/>
        </w:rPr>
        <w:t>(20</w:t>
      </w:r>
      <w:r w:rsidR="005123D3">
        <w:rPr>
          <w:rFonts w:cstheme="minorHAnsi"/>
        </w:rPr>
        <w:t>10</w:t>
      </w:r>
      <w:r w:rsidRPr="00664EC8">
        <w:rPr>
          <w:rFonts w:cstheme="minorHAnsi"/>
        </w:rPr>
        <w:t>) [289].</w:t>
      </w:r>
    </w:p>
    <w:p w14:paraId="09E221E5" w14:textId="77777777" w:rsidR="00107535" w:rsidRPr="00664EC8" w:rsidRDefault="00107535" w:rsidP="00107535">
      <w:pPr>
        <w:pStyle w:val="ListParagraph"/>
        <w:numPr>
          <w:ilvl w:val="0"/>
          <w:numId w:val="27"/>
        </w:numPr>
        <w:rPr>
          <w:rFonts w:cstheme="minorHAnsi"/>
        </w:rPr>
      </w:pPr>
      <w:r w:rsidRPr="00664EC8">
        <w:rPr>
          <w:rFonts w:cstheme="minorHAnsi"/>
        </w:rPr>
        <w:t>Have an idle energy rate of 1.3 kW or less.</w:t>
      </w:r>
    </w:p>
    <w:p w14:paraId="10FB8135" w14:textId="0344B321" w:rsidR="00107535" w:rsidRPr="00C63CCF" w:rsidRDefault="00107535" w:rsidP="00107535">
      <w:pPr>
        <w:pStyle w:val="NoSpacing"/>
        <w:numPr>
          <w:ilvl w:val="0"/>
          <w:numId w:val="27"/>
        </w:numPr>
      </w:pPr>
      <w:r w:rsidRPr="00664EC8">
        <w:rPr>
          <w:rFonts w:cstheme="minorHAnsi"/>
        </w:rPr>
        <w:t>Be on the Food Service Technology Center pre-approved list</w:t>
      </w:r>
      <w:r w:rsidR="007E4600">
        <w:rPr>
          <w:rFonts w:cstheme="minorHAnsi"/>
        </w:rPr>
        <w:t xml:space="preserve">, found at the website </w:t>
      </w:r>
      <w:hyperlink r:id="rId11" w:history="1">
        <w:r w:rsidR="007E4600" w:rsidRPr="00DD18BA">
          <w:rPr>
            <w:rStyle w:val="Hyperlink"/>
          </w:rPr>
          <w:t>https://caenergywise.com/rebates/</w:t>
        </w:r>
      </w:hyperlink>
      <w:r w:rsidR="007E4600">
        <w:rPr>
          <w:rStyle w:val="Hyperlink"/>
        </w:rPr>
        <w:t>.</w:t>
      </w:r>
    </w:p>
    <w:p w14:paraId="4BF40629" w14:textId="0A0137F5" w:rsidR="00160EFA" w:rsidRPr="00920905" w:rsidRDefault="00E70E52" w:rsidP="00160EFA">
      <w:pPr>
        <w:pStyle w:val="NoSpacing"/>
        <w:numPr>
          <w:ilvl w:val="0"/>
          <w:numId w:val="27"/>
        </w:numPr>
      </w:pPr>
      <w:r>
        <w:rPr>
          <w:rFonts w:cstheme="minorHAnsi"/>
        </w:rPr>
        <w:t xml:space="preserve">For Replace on Burnout (ROB) measures, the new electric deck oven must be replacing an existing standard efficiency electric deck oven. </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5C6C556" w14:textId="77777777" w:rsidR="00CC16AC" w:rsidRPr="00664EC8" w:rsidRDefault="00CC16AC" w:rsidP="00CC16AC">
      <w:pPr>
        <w:rPr>
          <w:rFonts w:cstheme="minorHAnsi"/>
        </w:rPr>
      </w:pPr>
      <w:r w:rsidRPr="00664EC8">
        <w:rPr>
          <w:rFonts w:cstheme="minorHAnsi"/>
        </w:rPr>
        <w:t xml:space="preserve">Commercial electric deck ovens are appliances that cook the food product within a heated chamber. The food product can be placed directly on the floor of the chamber during cooking and energy may be delivered to the food product by convective, conductive, or radiant heat transfer. The chamber may be heated by electric forced convection, radiation, or quartz tubes. Top and bottom heat may be independently controlled. </w:t>
      </w:r>
    </w:p>
    <w:p w14:paraId="158D6024" w14:textId="77777777" w:rsidR="00CC16AC" w:rsidRPr="00664EC8" w:rsidRDefault="00CC16AC" w:rsidP="00CC16AC">
      <w:pPr>
        <w:rPr>
          <w:rFonts w:cstheme="minorHAnsi"/>
        </w:rPr>
      </w:pPr>
    </w:p>
    <w:p w14:paraId="6BAE0E22" w14:textId="77777777" w:rsidR="00CC16AC" w:rsidRPr="00664EC8" w:rsidRDefault="00CC16AC" w:rsidP="00CC16AC">
      <w:pPr>
        <w:rPr>
          <w:rFonts w:cstheme="minorHAnsi"/>
        </w:rPr>
      </w:pPr>
      <w:r w:rsidRPr="00664EC8">
        <w:rPr>
          <w:rFonts w:cstheme="minorHAnsi"/>
        </w:rPr>
        <w:t>Deck ovens are available in various sizes measured by the surface area of the oven cavity floor. Sizes range from approximately 1000 in</w:t>
      </w:r>
      <w:r w:rsidRPr="00664EC8">
        <w:rPr>
          <w:rFonts w:cstheme="minorHAnsi"/>
          <w:vertAlign w:val="superscript"/>
        </w:rPr>
        <w:t>2</w:t>
      </w:r>
      <w:r w:rsidRPr="00664EC8">
        <w:rPr>
          <w:rFonts w:cstheme="minorHAnsi"/>
        </w:rPr>
        <w:t xml:space="preserve"> to 2200 in</w:t>
      </w:r>
      <w:r w:rsidRPr="00664EC8">
        <w:rPr>
          <w:rFonts w:cstheme="minorHAnsi"/>
          <w:vertAlign w:val="superscript"/>
        </w:rPr>
        <w:t>2</w:t>
      </w:r>
      <w:r w:rsidRPr="00664EC8">
        <w:rPr>
          <w:rFonts w:cstheme="minorHAnsi"/>
        </w:rPr>
        <w:t>. Deck ovens are typically stackable to allow for multiple ovens in a single floor space.</w:t>
      </w:r>
    </w:p>
    <w:p w14:paraId="0F610C04" w14:textId="77777777" w:rsidR="00CC16AC" w:rsidRPr="00664EC8" w:rsidRDefault="00CC16AC" w:rsidP="00CC16AC">
      <w:pPr>
        <w:rPr>
          <w:rFonts w:cstheme="minorHAnsi"/>
        </w:rPr>
      </w:pPr>
    </w:p>
    <w:p w14:paraId="3F316A46" w14:textId="66548D02" w:rsidR="00CC16AC" w:rsidRPr="00CC16AC" w:rsidRDefault="00CC16AC" w:rsidP="00CC16AC">
      <w:pPr>
        <w:pStyle w:val="Reminders"/>
        <w:tabs>
          <w:tab w:val="num" w:pos="360"/>
        </w:tabs>
        <w:rPr>
          <w:rFonts w:asciiTheme="minorHAnsi" w:hAnsiTheme="minorHAnsi" w:cstheme="minorHAnsi"/>
          <w:i w:val="0"/>
          <w:color w:val="auto"/>
        </w:rPr>
      </w:pPr>
      <w:r w:rsidRPr="00CC16AC">
        <w:rPr>
          <w:rFonts w:asciiTheme="minorHAnsi" w:hAnsiTheme="minorHAnsi" w:cstheme="minorHAnsi"/>
          <w:i w:val="0"/>
          <w:color w:val="auto"/>
        </w:rPr>
        <w:t>Deck oven performance is determined by applying the American Society for Testing and Materials (ASTM) Standard Test Method for Performance of Deck Ovens F1965</w:t>
      </w:r>
      <w:r w:rsidR="005123D3">
        <w:rPr>
          <w:rFonts w:asciiTheme="minorHAnsi" w:hAnsiTheme="minorHAnsi" w:cstheme="minorHAnsi"/>
          <w:i w:val="0"/>
          <w:color w:val="auto"/>
        </w:rPr>
        <w:t>-99</w:t>
      </w:r>
      <w:r w:rsidR="005C0F38">
        <w:rPr>
          <w:rFonts w:asciiTheme="minorHAnsi" w:hAnsiTheme="minorHAnsi" w:cstheme="minorHAnsi"/>
          <w:i w:val="0"/>
          <w:color w:val="auto"/>
        </w:rPr>
        <w:t xml:space="preserve"> </w:t>
      </w:r>
      <w:r w:rsidRPr="00CC16AC">
        <w:rPr>
          <w:rFonts w:asciiTheme="minorHAnsi" w:hAnsiTheme="minorHAnsi" w:cstheme="minorHAnsi"/>
          <w:i w:val="0"/>
          <w:color w:val="auto"/>
        </w:rPr>
        <w:t>(20</w:t>
      </w:r>
      <w:r w:rsidR="005123D3">
        <w:rPr>
          <w:rFonts w:asciiTheme="minorHAnsi" w:hAnsiTheme="minorHAnsi" w:cstheme="minorHAnsi"/>
          <w:i w:val="0"/>
          <w:color w:val="auto"/>
        </w:rPr>
        <w:t>10</w:t>
      </w:r>
      <w:r w:rsidRPr="00CC16AC">
        <w:rPr>
          <w:rFonts w:asciiTheme="minorHAnsi" w:hAnsiTheme="minorHAnsi" w:cstheme="minorHAnsi"/>
          <w:i w:val="0"/>
          <w:color w:val="auto"/>
        </w:rPr>
        <w:t>) [289], which is the industry standard for quantifying the efficiency and performance of commercial deck ovens.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7C96D3EF" w14:textId="74A19F2A" w:rsidR="00090DE5" w:rsidRPr="00664EC8" w:rsidRDefault="00090DE5" w:rsidP="00090DE5">
      <w:pPr>
        <w:rPr>
          <w:rFonts w:cstheme="minorHAnsi"/>
          <w:szCs w:val="22"/>
        </w:rPr>
      </w:pPr>
      <w:r w:rsidRPr="00226F90">
        <w:rPr>
          <w:rFonts w:cstheme="minorHAnsi"/>
          <w:szCs w:val="22"/>
        </w:rPr>
        <w:t>The delivery method is Financial Support - Down-Stream Incentive – Deemed</w:t>
      </w:r>
      <w:r w:rsidR="00914562" w:rsidRPr="00226F90">
        <w:rPr>
          <w:rFonts w:cstheme="minorHAnsi"/>
          <w:szCs w:val="22"/>
        </w:rPr>
        <w:t xml:space="preserve"> and Mid-Stream Programs</w:t>
      </w:r>
      <w:r w:rsidR="00F01E66" w:rsidRPr="00226F90">
        <w:rPr>
          <w:rFonts w:cstheme="minorHAnsi"/>
          <w:szCs w:val="22"/>
        </w:rPr>
        <w:t>-Mid-Stream Incentive</w:t>
      </w:r>
      <w:r w:rsidRPr="00226F90">
        <w:rPr>
          <w:rFonts w:cstheme="minorHAnsi"/>
          <w:szCs w:val="22"/>
        </w:rPr>
        <w:t>.</w:t>
      </w:r>
      <w:r w:rsidR="00890413" w:rsidRPr="00226F90">
        <w:rPr>
          <w:rFonts w:cstheme="minorHAnsi"/>
          <w:szCs w:val="22"/>
        </w:rPr>
        <w:t xml:space="preserve"> </w:t>
      </w:r>
    </w:p>
    <w:p w14:paraId="414D6A8A" w14:textId="77777777" w:rsidR="00090DE5" w:rsidRPr="00664EC8" w:rsidRDefault="00090DE5" w:rsidP="00090DE5">
      <w:pPr>
        <w:rPr>
          <w:rFonts w:cstheme="minorHAnsi"/>
          <w:szCs w:val="22"/>
        </w:rPr>
      </w:pPr>
    </w:p>
    <w:p w14:paraId="7D212BB6" w14:textId="0469E7A5" w:rsidR="00090DE5" w:rsidRDefault="00090DE5" w:rsidP="00090DE5">
      <w:pPr>
        <w:pStyle w:val="Reminders"/>
        <w:tabs>
          <w:tab w:val="num" w:pos="360"/>
        </w:tabs>
        <w:rPr>
          <w:rFonts w:asciiTheme="minorHAnsi" w:hAnsiTheme="minorHAnsi" w:cstheme="minorHAnsi"/>
          <w:i w:val="0"/>
          <w:color w:val="auto"/>
          <w:szCs w:val="22"/>
        </w:rPr>
      </w:pPr>
      <w:r w:rsidRPr="00090DE5">
        <w:rPr>
          <w:rFonts w:asciiTheme="minorHAnsi" w:hAnsiTheme="minorHAnsi" w:cstheme="minorHAnsi"/>
          <w:i w:val="0"/>
          <w:color w:val="auto"/>
          <w:szCs w:val="22"/>
        </w:rPr>
        <w:t>The install type is ROB (Replace-on-Burnout)</w:t>
      </w:r>
      <w:r w:rsidR="00B4002B">
        <w:rPr>
          <w:rFonts w:asciiTheme="minorHAnsi" w:hAnsiTheme="minorHAnsi" w:cstheme="minorHAnsi"/>
          <w:i w:val="0"/>
          <w:color w:val="auto"/>
          <w:szCs w:val="22"/>
        </w:rPr>
        <w:t xml:space="preserve"> and New Construction (NEW)</w:t>
      </w:r>
      <w:r w:rsidRPr="00090DE5">
        <w:rPr>
          <w:rFonts w:asciiTheme="minorHAnsi" w:hAnsiTheme="minorHAnsi" w:cstheme="minorHAnsi"/>
          <w:i w:val="0"/>
          <w:color w:val="auto"/>
          <w:szCs w:val="22"/>
        </w:rPr>
        <w:t>.</w:t>
      </w:r>
    </w:p>
    <w:p w14:paraId="2272FF46" w14:textId="77777777" w:rsidR="00090DE5" w:rsidRPr="00090DE5" w:rsidRDefault="00090DE5" w:rsidP="00090DE5">
      <w:pPr>
        <w:pStyle w:val="Reminders"/>
        <w:tabs>
          <w:tab w:val="num" w:pos="360"/>
        </w:tabs>
        <w:rPr>
          <w:rFonts w:asciiTheme="minorHAnsi" w:hAnsiTheme="minorHAnsi" w:cstheme="minorHAnsi"/>
          <w:i w:val="0"/>
          <w:color w:val="auto"/>
          <w:szCs w:val="22"/>
        </w:rPr>
      </w:pPr>
    </w:p>
    <w:p w14:paraId="6D9C3B45" w14:textId="341E608C" w:rsidR="001B2301" w:rsidRPr="00920905" w:rsidRDefault="00C05AAF" w:rsidP="00B4002B">
      <w:pPr>
        <w:pStyle w:val="Caption"/>
        <w:rPr>
          <w:rFonts w:cstheme="minorHAnsi"/>
          <w:i/>
        </w:rPr>
      </w:pPr>
      <w:r w:rsidRPr="00D36B3F">
        <w:t>Installation Type</w:t>
      </w:r>
      <w:r w:rsidR="002469DD" w:rsidRPr="00D36B3F">
        <w:t xml:space="preserve"> </w:t>
      </w:r>
      <w:r w:rsidR="006F1B21" w:rsidRPr="00D36B3F">
        <w:t>D</w:t>
      </w:r>
      <w:r w:rsidR="002469DD" w:rsidRPr="00D36B3F">
        <w:t>escription</w:t>
      </w:r>
      <w:r w:rsidR="006F1B21" w:rsidRPr="00D36B3F">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090649" w:rsidRPr="00500C4E" w14:paraId="3B609D91" w14:textId="77777777" w:rsidTr="006F1B21">
        <w:trPr>
          <w:trHeight w:val="20"/>
        </w:trPr>
        <w:tc>
          <w:tcPr>
            <w:tcW w:w="1778" w:type="pct"/>
          </w:tcPr>
          <w:p w14:paraId="55263A83" w14:textId="0C0EEE75" w:rsidR="00090649" w:rsidRPr="00500C4E" w:rsidRDefault="00090649" w:rsidP="00090649">
            <w:pPr>
              <w:rPr>
                <w:sz w:val="18"/>
                <w:szCs w:val="18"/>
              </w:rPr>
            </w:pPr>
            <w:r>
              <w:rPr>
                <w:sz w:val="18"/>
                <w:szCs w:val="18"/>
              </w:rPr>
              <w:t>New Construction (NEW)</w:t>
            </w:r>
          </w:p>
        </w:tc>
        <w:tc>
          <w:tcPr>
            <w:tcW w:w="1107" w:type="pct"/>
          </w:tcPr>
          <w:p w14:paraId="369F87F6" w14:textId="7ED7B7BE" w:rsidR="00090649" w:rsidRPr="00500C4E" w:rsidRDefault="00090649" w:rsidP="00090649">
            <w:pPr>
              <w:rPr>
                <w:sz w:val="18"/>
                <w:szCs w:val="18"/>
              </w:rPr>
            </w:pPr>
            <w:r w:rsidRPr="00500C4E">
              <w:rPr>
                <w:sz w:val="18"/>
                <w:szCs w:val="18"/>
              </w:rPr>
              <w:t>Above Code or Standard</w:t>
            </w:r>
          </w:p>
        </w:tc>
        <w:tc>
          <w:tcPr>
            <w:tcW w:w="1108" w:type="pct"/>
          </w:tcPr>
          <w:p w14:paraId="212FB013" w14:textId="34B0ED1C" w:rsidR="00090649" w:rsidRPr="00500C4E" w:rsidRDefault="00090649" w:rsidP="00090649">
            <w:pPr>
              <w:rPr>
                <w:sz w:val="18"/>
                <w:szCs w:val="18"/>
              </w:rPr>
            </w:pPr>
            <w:r w:rsidRPr="00500C4E">
              <w:rPr>
                <w:sz w:val="18"/>
                <w:szCs w:val="18"/>
              </w:rPr>
              <w:t>N/A</w:t>
            </w:r>
          </w:p>
        </w:tc>
        <w:tc>
          <w:tcPr>
            <w:tcW w:w="481" w:type="pct"/>
          </w:tcPr>
          <w:p w14:paraId="3D829C39" w14:textId="02851308" w:rsidR="00090649" w:rsidRPr="00500C4E" w:rsidRDefault="00090649" w:rsidP="00090649">
            <w:pPr>
              <w:rPr>
                <w:sz w:val="18"/>
                <w:szCs w:val="18"/>
              </w:rPr>
            </w:pPr>
            <w:r w:rsidRPr="00500C4E">
              <w:rPr>
                <w:sz w:val="18"/>
                <w:szCs w:val="18"/>
              </w:rPr>
              <w:t>EUL</w:t>
            </w:r>
          </w:p>
        </w:tc>
        <w:tc>
          <w:tcPr>
            <w:tcW w:w="526" w:type="pct"/>
          </w:tcPr>
          <w:p w14:paraId="56B00FF2" w14:textId="4637D4CD" w:rsidR="00090649" w:rsidRPr="00500C4E" w:rsidRDefault="00090649" w:rsidP="00090649">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44A58B4" w:rsidR="00C05AAF" w:rsidRPr="00500C4E" w:rsidRDefault="00AA16C0" w:rsidP="00B4002B">
      <w:pPr>
        <w:pStyle w:val="Caption"/>
      </w:pPr>
      <w:r w:rsidRPr="00D36B3F">
        <w:t>Delivery Method Descriptions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307706" w:rsidRPr="00A3164A" w14:paraId="037C0453" w14:textId="77777777" w:rsidTr="00920905">
        <w:tc>
          <w:tcPr>
            <w:tcW w:w="1297" w:type="pct"/>
          </w:tcPr>
          <w:p w14:paraId="4DE6E4F2" w14:textId="2C794463" w:rsidR="00307706" w:rsidRPr="00920905" w:rsidRDefault="00307706" w:rsidP="00307706">
            <w:pPr>
              <w:pStyle w:val="NoSpacing"/>
              <w:rPr>
                <w:rFonts w:cs="BookAntiqua"/>
                <w:sz w:val="18"/>
                <w:szCs w:val="18"/>
              </w:rPr>
            </w:pPr>
            <w:r>
              <w:rPr>
                <w:rFonts w:eastAsiaTheme="minorHAnsi" w:cstheme="minorBidi"/>
                <w:sz w:val="18"/>
                <w:szCs w:val="18"/>
              </w:rPr>
              <w:t>Mid-Stream Programs</w:t>
            </w:r>
          </w:p>
        </w:tc>
        <w:tc>
          <w:tcPr>
            <w:tcW w:w="3703" w:type="pct"/>
          </w:tcPr>
          <w:p w14:paraId="2DE9F580" w14:textId="43414229" w:rsidR="00307706" w:rsidRPr="00920905" w:rsidRDefault="00307706" w:rsidP="00307706">
            <w:pPr>
              <w:pStyle w:val="NoSpacing"/>
              <w:rPr>
                <w:rFonts w:cs="BookAntiqua"/>
                <w:sz w:val="18"/>
                <w:szCs w:val="18"/>
              </w:rPr>
            </w:pPr>
            <w:r w:rsidRPr="003D2981">
              <w:rPr>
                <w:rFonts w:cs="Helv"/>
                <w:i/>
                <w:sz w:val="18"/>
                <w:szCs w:val="18"/>
              </w:rPr>
              <w:t xml:space="preserve">See Mid-Stream Incentive in the </w:t>
            </w:r>
            <w:r w:rsidRPr="003D2981">
              <w:rPr>
                <w:i/>
                <w:sz w:val="18"/>
                <w:szCs w:val="18"/>
              </w:rPr>
              <w:t>Incentive Method Descriptions table.</w:t>
            </w:r>
          </w:p>
        </w:tc>
      </w:tr>
      <w:tr w:rsidR="00307706" w:rsidRPr="00A3164A" w14:paraId="3D5D7080" w14:textId="77777777" w:rsidTr="00920905">
        <w:tc>
          <w:tcPr>
            <w:tcW w:w="1297" w:type="pct"/>
          </w:tcPr>
          <w:p w14:paraId="4475B82B" w14:textId="67C23832" w:rsidR="00307706" w:rsidRPr="00920905" w:rsidRDefault="00307706" w:rsidP="00307706">
            <w:pPr>
              <w:pStyle w:val="NoSpacing"/>
              <w:rPr>
                <w:rFonts w:cs="BookAntiqua"/>
                <w:sz w:val="18"/>
                <w:szCs w:val="18"/>
              </w:rPr>
            </w:pPr>
            <w:r w:rsidRPr="00920905">
              <w:rPr>
                <w:rFonts w:eastAsiaTheme="minorHAnsi" w:cstheme="minorBidi"/>
                <w:sz w:val="18"/>
                <w:szCs w:val="18"/>
              </w:rPr>
              <w:t>Partnership</w:t>
            </w:r>
          </w:p>
        </w:tc>
        <w:tc>
          <w:tcPr>
            <w:tcW w:w="3703" w:type="pct"/>
          </w:tcPr>
          <w:p w14:paraId="732714FF" w14:textId="20F2CEBA" w:rsidR="00307706" w:rsidRPr="00920905" w:rsidRDefault="00307706" w:rsidP="00307706">
            <w:pPr>
              <w:pStyle w:val="NoSpacing"/>
              <w:rPr>
                <w:rFonts w:cs="BookAntiqua"/>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0278A6BE" w:rsidR="00AA16C0" w:rsidRPr="00500C4E" w:rsidRDefault="00AA16C0" w:rsidP="00B4002B">
      <w:pPr>
        <w:pStyle w:val="Caption"/>
      </w:pPr>
      <w:r w:rsidRPr="00D36B3F">
        <w:t>Incentive Method Descriptions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F01E66" w:rsidRPr="00A3164A" w14:paraId="6CBEC9A5" w14:textId="77777777" w:rsidTr="00920905">
        <w:tc>
          <w:tcPr>
            <w:tcW w:w="1297" w:type="pct"/>
          </w:tcPr>
          <w:p w14:paraId="7976E6C0" w14:textId="4BF73088" w:rsidR="00F01E66" w:rsidRPr="00920905" w:rsidRDefault="00F01E66" w:rsidP="00F01E66">
            <w:pPr>
              <w:autoSpaceDE w:val="0"/>
              <w:autoSpaceDN w:val="0"/>
              <w:adjustRightInd w:val="0"/>
              <w:spacing w:line="240" w:lineRule="atLeast"/>
              <w:rPr>
                <w:rFonts w:cs="Helv"/>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617F53CD" w14:textId="650DB4E9" w:rsidR="00F01E66" w:rsidRPr="00920905" w:rsidRDefault="00F01E66" w:rsidP="00F01E66">
            <w:pPr>
              <w:autoSpaceDE w:val="0"/>
              <w:autoSpaceDN w:val="0"/>
              <w:adjustRightInd w:val="0"/>
              <w:spacing w:line="240" w:lineRule="atLeast"/>
              <w:rPr>
                <w:rFonts w:cs="Helv"/>
                <w:sz w:val="18"/>
                <w:szCs w:val="18"/>
              </w:rPr>
            </w:pPr>
            <w:r w:rsidRPr="00920905">
              <w:rPr>
                <w:rFonts w:cs="Helv"/>
                <w:sz w:val="18"/>
                <w:szCs w:val="18"/>
              </w:rPr>
              <w:t>The program offers financing for the cost</w:t>
            </w:r>
            <w:r>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r w:rsidR="00F01E66" w:rsidRPr="00A3164A" w14:paraId="4359FCA5" w14:textId="77777777" w:rsidTr="00920905">
        <w:tc>
          <w:tcPr>
            <w:tcW w:w="1297" w:type="pct"/>
          </w:tcPr>
          <w:p w14:paraId="5EE05E24" w14:textId="77777777" w:rsidR="00F01E66" w:rsidRDefault="00F01E66" w:rsidP="00F01E66">
            <w:pPr>
              <w:autoSpaceDE w:val="0"/>
              <w:autoSpaceDN w:val="0"/>
              <w:adjustRightInd w:val="0"/>
              <w:spacing w:line="240" w:lineRule="atLeast"/>
              <w:rPr>
                <w:rFonts w:cs="Helv"/>
                <w:sz w:val="18"/>
                <w:szCs w:val="18"/>
              </w:rPr>
            </w:pPr>
            <w:r w:rsidRPr="00920905">
              <w:rPr>
                <w:rFonts w:cs="Helv"/>
                <w:sz w:val="18"/>
                <w:szCs w:val="18"/>
              </w:rPr>
              <w:t>Mid-Stream Incentive</w:t>
            </w:r>
          </w:p>
          <w:p w14:paraId="25D640A9" w14:textId="77777777" w:rsidR="00F01E66" w:rsidRPr="00920905" w:rsidRDefault="00F01E66" w:rsidP="001D3E56">
            <w:pPr>
              <w:autoSpaceDE w:val="0"/>
              <w:autoSpaceDN w:val="0"/>
              <w:adjustRightInd w:val="0"/>
              <w:spacing w:line="240" w:lineRule="atLeast"/>
              <w:jc w:val="center"/>
              <w:rPr>
                <w:rFonts w:cs="Helv"/>
                <w:sz w:val="18"/>
                <w:szCs w:val="18"/>
              </w:rPr>
            </w:pPr>
          </w:p>
        </w:tc>
        <w:tc>
          <w:tcPr>
            <w:tcW w:w="3703" w:type="pct"/>
          </w:tcPr>
          <w:p w14:paraId="277B618C" w14:textId="6B4F6025" w:rsidR="00F01E66" w:rsidRPr="00920905" w:rsidRDefault="00F01E66" w:rsidP="00F01E66">
            <w:pPr>
              <w:autoSpaceDE w:val="0"/>
              <w:autoSpaceDN w:val="0"/>
              <w:adjustRightInd w:val="0"/>
              <w:spacing w:line="240" w:lineRule="atLeast"/>
              <w:rPr>
                <w:rFonts w:cs="Helv"/>
                <w:sz w:val="18"/>
                <w:szCs w:val="18"/>
              </w:rPr>
            </w:pPr>
            <w:r w:rsidRPr="00920905">
              <w:rPr>
                <w:rFonts w:cs="Helv"/>
                <w:sz w:val="18"/>
                <w:szCs w:val="18"/>
              </w:rPr>
              <w:t>The program gives a financial incentive to a midstream market actor</w:t>
            </w:r>
            <w:r>
              <w:rPr>
                <w:rFonts w:cs="Helv"/>
                <w:sz w:val="18"/>
                <w:szCs w:val="18"/>
              </w:rPr>
              <w:t xml:space="preserve"> (distributor,</w:t>
            </w:r>
            <w:r w:rsidRPr="00920905">
              <w:rPr>
                <w:rFonts w:cs="Helv"/>
                <w:sz w:val="18"/>
                <w:szCs w:val="18"/>
              </w:rPr>
              <w:t xml:space="preserve"> </w:t>
            </w:r>
            <w:r>
              <w:rPr>
                <w:rFonts w:cs="Helv"/>
                <w:sz w:val="18"/>
                <w:szCs w:val="18"/>
              </w:rPr>
              <w:t>vendor, or retailer)</w:t>
            </w:r>
            <w:r w:rsidRPr="00920905">
              <w:rPr>
                <w:rFonts w:cs="Helv"/>
                <w:sz w:val="18"/>
                <w:szCs w:val="18"/>
              </w:rPr>
              <w:t xml:space="preserve"> to encourage the p</w:t>
            </w:r>
            <w:r>
              <w:rPr>
                <w:rFonts w:cs="Helv"/>
                <w:sz w:val="18"/>
                <w:szCs w:val="18"/>
              </w:rPr>
              <w:t>romotion of efficient measures.</w:t>
            </w:r>
          </w:p>
        </w:tc>
      </w:tr>
    </w:tbl>
    <w:p w14:paraId="70E7D0F9" w14:textId="77777777" w:rsidR="002420B3" w:rsidRDefault="002420B3" w:rsidP="002420B3">
      <w:bookmarkStart w:id="8" w:name="_Toc214003084"/>
    </w:p>
    <w:p w14:paraId="72E47250" w14:textId="73841D29" w:rsidR="00E16609" w:rsidRPr="00500C4E" w:rsidRDefault="00824F1C" w:rsidP="00824F1C">
      <w:pPr>
        <w:pStyle w:val="Heading2"/>
        <w:rPr>
          <w:rFonts w:asciiTheme="minorHAnsi" w:hAnsiTheme="minorHAnsi" w:cstheme="minorHAnsi"/>
        </w:rPr>
      </w:pPr>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0F4843BE" w14:textId="6E991452" w:rsidR="00FA2332" w:rsidRDefault="00FA2332" w:rsidP="00920905">
      <w:pPr>
        <w:pStyle w:val="Reminder"/>
        <w:rPr>
          <w:rFonts w:asciiTheme="minorHAnsi" w:hAnsiTheme="minorHAnsi"/>
          <w:i w:val="0"/>
          <w:color w:val="auto"/>
          <w:szCs w:val="22"/>
        </w:rPr>
      </w:pPr>
      <w:r w:rsidRPr="00FA2332">
        <w:rPr>
          <w:rFonts w:asciiTheme="minorHAnsi" w:hAnsiTheme="minorHAnsi"/>
          <w:i w:val="0"/>
          <w:color w:val="auto"/>
          <w:szCs w:val="22"/>
        </w:rPr>
        <w:t>DEER 201</w:t>
      </w:r>
      <w:r w:rsidR="00090649">
        <w:rPr>
          <w:rFonts w:asciiTheme="minorHAnsi" w:hAnsiTheme="minorHAnsi"/>
          <w:i w:val="0"/>
          <w:color w:val="auto"/>
          <w:szCs w:val="22"/>
        </w:rPr>
        <w:t>7</w:t>
      </w:r>
      <w:r w:rsidR="00E408EA">
        <w:rPr>
          <w:rFonts w:asciiTheme="minorHAnsi" w:hAnsiTheme="minorHAnsi"/>
          <w:i w:val="0"/>
          <w:color w:val="auto"/>
          <w:szCs w:val="22"/>
        </w:rPr>
        <w:t xml:space="preserve"> </w:t>
      </w:r>
      <w:r w:rsidRPr="00FA2332">
        <w:rPr>
          <w:rFonts w:asciiTheme="minorHAnsi" w:hAnsiTheme="minorHAnsi"/>
          <w:i w:val="0"/>
          <w:color w:val="auto"/>
          <w:szCs w:val="22"/>
        </w:rPr>
        <w:t>does not include this measure.</w:t>
      </w:r>
    </w:p>
    <w:p w14:paraId="3947AC15" w14:textId="77777777" w:rsidR="002420B3" w:rsidRDefault="002420B3" w:rsidP="00B4002B">
      <w:pPr>
        <w:pStyle w:val="Caption"/>
        <w:rPr>
          <w:rFonts w:cs="Arial"/>
          <w:szCs w:val="22"/>
        </w:rPr>
      </w:pPr>
      <w:bookmarkStart w:id="9" w:name="_Toc385592671"/>
      <w:bookmarkStart w:id="10" w:name="_Toc214003087"/>
    </w:p>
    <w:p w14:paraId="127C5859" w14:textId="408149FA" w:rsidR="00E326BA" w:rsidRPr="00920905" w:rsidRDefault="00E326BA" w:rsidP="00B4002B">
      <w:pPr>
        <w:pStyle w:val="Caption"/>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5A92B775"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CA3DDF">
              <w:rPr>
                <w:rFonts w:cs="Arial"/>
                <w:b/>
                <w:szCs w:val="20"/>
              </w:rPr>
              <w:t xml:space="preserve"> </w:t>
            </w:r>
            <w:r w:rsidRPr="00920905">
              <w:rPr>
                <w:rFonts w:cs="Arial"/>
                <w:b/>
                <w:szCs w:val="20"/>
              </w:rPr>
              <w:t>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14B7A5E0" w:rsidR="00E326BA" w:rsidRPr="00543125" w:rsidRDefault="00E326BA" w:rsidP="00920905">
            <w:pPr>
              <w:rPr>
                <w:rFonts w:cs="Arial"/>
                <w:b/>
                <w:szCs w:val="20"/>
              </w:rPr>
            </w:pPr>
            <w:r w:rsidRPr="00543125">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64634788" w:rsidR="00E326BA" w:rsidRPr="00543125" w:rsidRDefault="00E326BA" w:rsidP="00920905">
            <w:pPr>
              <w:rPr>
                <w:rFonts w:cs="Arial"/>
                <w:szCs w:val="20"/>
              </w:rPr>
            </w:pPr>
            <w:r w:rsidRPr="00543125">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4FBC1F58" w:rsidR="00E326BA" w:rsidRPr="00543125" w:rsidRDefault="00E326BA" w:rsidP="00920905">
            <w:pPr>
              <w:rPr>
                <w:rFonts w:cs="Arial"/>
                <w:szCs w:val="20"/>
              </w:rPr>
            </w:pPr>
            <w:r w:rsidRPr="00543125">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7F0B653B" w:rsidR="00E326BA" w:rsidRPr="00543125" w:rsidRDefault="00E326BA" w:rsidP="00920905">
            <w:pPr>
              <w:rPr>
                <w:rFonts w:cs="Arial"/>
                <w:szCs w:val="20"/>
              </w:rPr>
            </w:pPr>
            <w:r w:rsidRPr="00543125">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16B68F4E" w:rsidR="00E326BA" w:rsidRPr="00543125" w:rsidRDefault="00890413" w:rsidP="00920905">
            <w:pPr>
              <w:rPr>
                <w:rFonts w:cs="Arial"/>
                <w:szCs w:val="20"/>
              </w:rPr>
            </w:pPr>
            <w:r>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48486C2" w:rsidR="00E326BA" w:rsidRPr="00543125" w:rsidRDefault="00254671" w:rsidP="00920905">
            <w:pPr>
              <w:rPr>
                <w:rFonts w:cs="Arial"/>
                <w:szCs w:val="20"/>
              </w:rPr>
            </w:pPr>
            <w:r w:rsidRPr="00543125">
              <w:rPr>
                <w:rFonts w:cs="Arial"/>
                <w:szCs w:val="20"/>
              </w:rPr>
              <w:t>No</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5B3295D2" w:rsidR="00505CEC" w:rsidRPr="00543125" w:rsidDel="00505CEC" w:rsidRDefault="00505CEC" w:rsidP="00920905">
            <w:pPr>
              <w:rPr>
                <w:rFonts w:cs="Arial"/>
                <w:szCs w:val="20"/>
              </w:rPr>
            </w:pPr>
            <w:r w:rsidRPr="00543125">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5D99BB04" w:rsidR="00D86A9D" w:rsidRPr="00543125" w:rsidRDefault="00543125" w:rsidP="00175D14">
            <w:pPr>
              <w:rPr>
                <w:rFonts w:cs="Arial"/>
                <w:szCs w:val="20"/>
              </w:rPr>
            </w:pPr>
            <w:r w:rsidRPr="00543125">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105DE10B" w:rsidR="00E326BA" w:rsidRPr="00543125" w:rsidRDefault="00543125" w:rsidP="00920905">
            <w:pPr>
              <w:rPr>
                <w:rFonts w:cs="Arial"/>
                <w:szCs w:val="20"/>
              </w:rPr>
            </w:pPr>
            <w:r w:rsidRPr="00543125">
              <w:rPr>
                <w:rFonts w:cs="Arial"/>
                <w:szCs w:val="20"/>
              </w:rPr>
              <w:t>DEER does not contain this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3609E426" w:rsidR="00E326BA" w:rsidRPr="00543125" w:rsidRDefault="00543125" w:rsidP="00920905">
            <w:pPr>
              <w:rPr>
                <w:rFonts w:cs="Arial"/>
                <w:szCs w:val="20"/>
              </w:rPr>
            </w:pPr>
            <w:r w:rsidRPr="00543125">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74A462F2"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090649">
        <w:t xml:space="preserve"> v.2.4.</w:t>
      </w:r>
      <w:r w:rsidR="00307706">
        <w:t>8</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915D0F">
        <w:t>shown</w:t>
      </w:r>
      <w:r w:rsidR="00E408EA">
        <w:t xml:space="preserve"> in the table below</w:t>
      </w:r>
      <w:r w:rsidR="00915D0F">
        <w:t>.</w:t>
      </w:r>
    </w:p>
    <w:p w14:paraId="2078CAC1" w14:textId="77777777" w:rsidR="00156E77" w:rsidRDefault="00156E77" w:rsidP="00920905">
      <w:pPr>
        <w:pStyle w:val="NoSpacing"/>
      </w:pPr>
    </w:p>
    <w:p w14:paraId="0754D15A" w14:textId="0956FA6E" w:rsidR="00394236" w:rsidRPr="00920905" w:rsidRDefault="003E3706" w:rsidP="00B4002B">
      <w:pPr>
        <w:pStyle w:val="Caption"/>
      </w:pPr>
      <w:r>
        <w:t>Net-to-Gross Ratio</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D569AF" w:rsidRPr="00500C4E" w14:paraId="5C8B04BC" w14:textId="77777777" w:rsidTr="00E96DA3">
        <w:tc>
          <w:tcPr>
            <w:tcW w:w="673" w:type="pct"/>
          </w:tcPr>
          <w:p w14:paraId="28722997" w14:textId="5049B88D" w:rsidR="00D569AF" w:rsidRPr="00500C4E" w:rsidRDefault="00D569AF" w:rsidP="00E96DA3">
            <w:pPr>
              <w:rPr>
                <w:color w:val="FF0000"/>
                <w:szCs w:val="20"/>
              </w:rPr>
            </w:pPr>
            <w:r w:rsidRPr="00664EC8">
              <w:rPr>
                <w:rFonts w:cstheme="minorHAnsi"/>
                <w:szCs w:val="20"/>
              </w:rPr>
              <w:t>Com-Default&gt;2yrs</w:t>
            </w:r>
          </w:p>
        </w:tc>
        <w:tc>
          <w:tcPr>
            <w:tcW w:w="2019" w:type="pct"/>
          </w:tcPr>
          <w:p w14:paraId="3EB26158" w14:textId="4245C8C2" w:rsidR="00D569AF" w:rsidRPr="00500C4E" w:rsidRDefault="00D569AF" w:rsidP="00E96DA3">
            <w:pPr>
              <w:rPr>
                <w:color w:val="FF0000"/>
                <w:szCs w:val="20"/>
              </w:rPr>
            </w:pPr>
            <w:r w:rsidRPr="00664EC8">
              <w:rPr>
                <w:rFonts w:cstheme="minorHAnsi"/>
                <w:szCs w:val="20"/>
              </w:rPr>
              <w:t>All other EEMs with no evaluated NTGR; existing EEM in programs with same delivery mechanism for more than 2 years</w:t>
            </w:r>
          </w:p>
        </w:tc>
        <w:tc>
          <w:tcPr>
            <w:tcW w:w="434" w:type="pct"/>
          </w:tcPr>
          <w:p w14:paraId="5C4D3E7D" w14:textId="77777CF9" w:rsidR="00D569AF" w:rsidRPr="00500C4E" w:rsidRDefault="00D569AF" w:rsidP="00E96DA3">
            <w:pPr>
              <w:rPr>
                <w:color w:val="FF0000"/>
                <w:szCs w:val="20"/>
              </w:rPr>
            </w:pPr>
            <w:r w:rsidRPr="00664EC8">
              <w:rPr>
                <w:rFonts w:cstheme="minorHAnsi"/>
                <w:szCs w:val="20"/>
              </w:rPr>
              <w:t>Com</w:t>
            </w:r>
          </w:p>
        </w:tc>
        <w:tc>
          <w:tcPr>
            <w:tcW w:w="529" w:type="pct"/>
          </w:tcPr>
          <w:p w14:paraId="1A63333B" w14:textId="7CE0032C" w:rsidR="00D569AF" w:rsidRPr="00500C4E" w:rsidRDefault="00D569AF" w:rsidP="00E96DA3">
            <w:pPr>
              <w:rPr>
                <w:color w:val="FF0000"/>
                <w:szCs w:val="20"/>
              </w:rPr>
            </w:pPr>
            <w:r w:rsidRPr="00664EC8">
              <w:rPr>
                <w:rFonts w:cstheme="minorHAnsi"/>
                <w:szCs w:val="20"/>
              </w:rPr>
              <w:t>Any</w:t>
            </w:r>
          </w:p>
        </w:tc>
        <w:tc>
          <w:tcPr>
            <w:tcW w:w="915" w:type="pct"/>
          </w:tcPr>
          <w:p w14:paraId="6AB10E89" w14:textId="026052D8" w:rsidR="00D569AF" w:rsidRPr="00500C4E" w:rsidRDefault="00D569AF" w:rsidP="00E96DA3">
            <w:pPr>
              <w:rPr>
                <w:color w:val="FF0000"/>
                <w:szCs w:val="20"/>
              </w:rPr>
            </w:pPr>
            <w:r w:rsidRPr="00664EC8">
              <w:rPr>
                <w:rFonts w:cstheme="minorHAnsi"/>
                <w:szCs w:val="20"/>
              </w:rPr>
              <w:t>Any</w:t>
            </w:r>
          </w:p>
        </w:tc>
        <w:tc>
          <w:tcPr>
            <w:tcW w:w="430" w:type="pct"/>
          </w:tcPr>
          <w:p w14:paraId="25878F23" w14:textId="53C7BE82" w:rsidR="00D569AF" w:rsidRPr="00500C4E" w:rsidRDefault="00D569AF" w:rsidP="00E96DA3">
            <w:pPr>
              <w:rPr>
                <w:color w:val="FF0000"/>
                <w:szCs w:val="20"/>
              </w:rPr>
            </w:pPr>
            <w:r w:rsidRPr="00664EC8">
              <w:rPr>
                <w:rFonts w:cstheme="minorHAnsi"/>
                <w:szCs w:val="20"/>
              </w:rPr>
              <w:t>0.6</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12EBC481" w14:textId="77777777" w:rsidR="003B1FB8" w:rsidRDefault="003B1FB8">
      <w:pPr>
        <w:spacing w:after="200" w:line="276" w:lineRule="auto"/>
        <w:rPr>
          <w:rFonts w:cstheme="minorHAnsi"/>
          <w:b/>
          <w:szCs w:val="22"/>
        </w:rPr>
      </w:pPr>
      <w:r>
        <w:rPr>
          <w:rFonts w:cstheme="minorHAnsi"/>
          <w:b/>
          <w:i/>
          <w:szCs w:val="22"/>
        </w:rPr>
        <w:br w:type="page"/>
      </w:r>
    </w:p>
    <w:p w14:paraId="4168B5BD" w14:textId="06840CCD"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5A20EA03"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312354">
        <w:t xml:space="preserve"> v.2.4.</w:t>
      </w:r>
      <w:r w:rsidR="00307706">
        <w:t>8</w:t>
      </w:r>
      <w:r w:rsidR="00240B74" w:rsidRPr="00920905">
        <w:t>.</w:t>
      </w:r>
      <w:r w:rsidRPr="00920905">
        <w:t xml:space="preserve"> </w:t>
      </w:r>
      <w:r w:rsidR="00061A8E" w:rsidRPr="00920905">
        <w:t>The relevant IR values for the measures in this work paper are</w:t>
      </w:r>
      <w:r w:rsidR="00915D0F">
        <w:t xml:space="preserve"> shown in </w:t>
      </w:r>
      <w:r w:rsidR="00E408EA">
        <w:t>the table below</w:t>
      </w:r>
      <w:r w:rsidR="00915D0F">
        <w:fldChar w:fldCharType="begin"/>
      </w:r>
      <w:r w:rsidR="00915D0F">
        <w:instrText xml:space="preserve"> REF _Ref464147720 \h </w:instrText>
      </w:r>
      <w:r w:rsidR="00915D0F">
        <w:fldChar w:fldCharType="end"/>
      </w:r>
      <w:r w:rsidR="00915D0F">
        <w:t>.</w:t>
      </w:r>
    </w:p>
    <w:p w14:paraId="6217B094" w14:textId="77777777" w:rsidR="003E3706" w:rsidRDefault="003E3706" w:rsidP="00920905">
      <w:pPr>
        <w:pStyle w:val="NoSpacing"/>
      </w:pPr>
    </w:p>
    <w:p w14:paraId="42FA3BB0" w14:textId="21561FAD" w:rsidR="005D3ED2" w:rsidRPr="00920905" w:rsidRDefault="003E3706" w:rsidP="00B4002B">
      <w:pPr>
        <w:pStyle w:val="Caption"/>
      </w:pPr>
      <w:r>
        <w:t>Gross Savings and Installation Adjustment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5D3ED2" w:rsidRDefault="002F4E34" w:rsidP="005729C8">
            <w:pPr>
              <w:rPr>
                <w:szCs w:val="20"/>
              </w:rPr>
            </w:pPr>
            <w:r w:rsidRPr="005D3ED2">
              <w:rPr>
                <w:szCs w:val="20"/>
              </w:rPr>
              <w:t>Def-GSIA</w:t>
            </w:r>
          </w:p>
        </w:tc>
        <w:tc>
          <w:tcPr>
            <w:tcW w:w="1404" w:type="pct"/>
          </w:tcPr>
          <w:p w14:paraId="2BFFF598" w14:textId="77777777" w:rsidR="002F4E34" w:rsidRPr="005D3ED2" w:rsidRDefault="002F4E34" w:rsidP="005729C8">
            <w:pPr>
              <w:rPr>
                <w:szCs w:val="20"/>
              </w:rPr>
            </w:pPr>
            <w:r w:rsidRPr="005D3ED2">
              <w:rPr>
                <w:szCs w:val="20"/>
              </w:rPr>
              <w:t>Default GSIA values</w:t>
            </w:r>
          </w:p>
        </w:tc>
        <w:tc>
          <w:tcPr>
            <w:tcW w:w="688" w:type="pct"/>
          </w:tcPr>
          <w:p w14:paraId="157D8A62" w14:textId="77777777" w:rsidR="002F4E34" w:rsidRPr="005D3ED2" w:rsidRDefault="002F4E34" w:rsidP="005729C8">
            <w:pPr>
              <w:rPr>
                <w:szCs w:val="20"/>
              </w:rPr>
            </w:pPr>
            <w:r w:rsidRPr="005D3ED2">
              <w:rPr>
                <w:szCs w:val="20"/>
              </w:rPr>
              <w:t>Any</w:t>
            </w:r>
          </w:p>
        </w:tc>
        <w:tc>
          <w:tcPr>
            <w:tcW w:w="858" w:type="pct"/>
          </w:tcPr>
          <w:p w14:paraId="0C3293FE" w14:textId="77777777" w:rsidR="002F4E34" w:rsidRPr="005D3ED2" w:rsidRDefault="002F4E34" w:rsidP="005729C8">
            <w:pPr>
              <w:rPr>
                <w:szCs w:val="20"/>
              </w:rPr>
            </w:pPr>
            <w:r w:rsidRPr="005D3ED2">
              <w:rPr>
                <w:szCs w:val="20"/>
              </w:rPr>
              <w:t>Any</w:t>
            </w:r>
          </w:p>
        </w:tc>
        <w:tc>
          <w:tcPr>
            <w:tcW w:w="693" w:type="pct"/>
          </w:tcPr>
          <w:p w14:paraId="0B642835" w14:textId="77777777" w:rsidR="002F4E34" w:rsidRPr="005D3ED2" w:rsidRDefault="002F4E34" w:rsidP="005729C8">
            <w:pPr>
              <w:rPr>
                <w:szCs w:val="20"/>
              </w:rPr>
            </w:pPr>
            <w:r w:rsidRPr="005D3ED2">
              <w:rPr>
                <w:szCs w:val="20"/>
              </w:rPr>
              <w:t>Any</w:t>
            </w:r>
          </w:p>
        </w:tc>
        <w:tc>
          <w:tcPr>
            <w:tcW w:w="634" w:type="pct"/>
          </w:tcPr>
          <w:p w14:paraId="1C671DD2" w14:textId="77777777" w:rsidR="002F4E34" w:rsidRPr="005D3ED2" w:rsidRDefault="002F4E34" w:rsidP="005729C8">
            <w:pPr>
              <w:rPr>
                <w:szCs w:val="20"/>
              </w:rPr>
            </w:pPr>
            <w:r w:rsidRPr="005D3ED2">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3BBE487C" w:rsidR="008B1357" w:rsidRDefault="006A6D15" w:rsidP="00920905">
      <w:pPr>
        <w:pStyle w:val="NoSpacing"/>
      </w:pPr>
      <w:r w:rsidRPr="0087393E">
        <w:t xml:space="preserve">The EUL and RUL </w:t>
      </w:r>
      <w:r w:rsidR="00E96DA3" w:rsidRPr="0087393E">
        <w:t>value were obtained using the DEER READI tool v.2.4.</w:t>
      </w:r>
      <w:r w:rsidR="00307706">
        <w:t>8</w:t>
      </w:r>
      <w:r w:rsidR="00E96DA3" w:rsidRPr="0087393E">
        <w:t xml:space="preserve"> and is</w:t>
      </w:r>
      <w:r w:rsidR="003E3706">
        <w:t xml:space="preserve"> illustrated in</w:t>
      </w:r>
      <w:r w:rsidR="00E408EA">
        <w:t xml:space="preserve"> the table below</w:t>
      </w:r>
      <w:r w:rsidR="003E3706">
        <w:t>.</w:t>
      </w:r>
      <w:r w:rsidR="005E6C7E">
        <w:t xml:space="preserve">  </w:t>
      </w:r>
      <w:r w:rsidRPr="0087393E">
        <w:t>DEER defines the RUL as 1/3 of the EUL value. The RUL value is only applicable to the first baseline period for an RET measure with an applicable code baseline. The relevant EUL and RUL values for the measures in this work paper are in the table below.</w:t>
      </w:r>
    </w:p>
    <w:p w14:paraId="3FC245CD" w14:textId="77777777" w:rsidR="005E6C7E" w:rsidRDefault="005E6C7E" w:rsidP="00B4002B">
      <w:pPr>
        <w:pStyle w:val="Caption"/>
      </w:pPr>
    </w:p>
    <w:p w14:paraId="129954DD" w14:textId="56436FB5" w:rsidR="006808CB" w:rsidRPr="00920905" w:rsidRDefault="003E3706" w:rsidP="00B4002B">
      <w:pPr>
        <w:pStyle w:val="Caption"/>
      </w:pPr>
      <w:r>
        <w:t>Effective Useful Life</w:t>
      </w:r>
    </w:p>
    <w:tbl>
      <w:tblPr>
        <w:tblStyle w:val="TableGrid1"/>
        <w:tblW w:w="5000" w:type="pct"/>
        <w:tblLook w:val="04A0" w:firstRow="1" w:lastRow="0" w:firstColumn="1" w:lastColumn="0" w:noHBand="0" w:noVBand="1"/>
      </w:tblPr>
      <w:tblGrid>
        <w:gridCol w:w="2120"/>
        <w:gridCol w:w="2554"/>
        <w:gridCol w:w="743"/>
        <w:gridCol w:w="1328"/>
        <w:gridCol w:w="1363"/>
        <w:gridCol w:w="1242"/>
      </w:tblGrid>
      <w:tr w:rsidR="00E96DA3" w:rsidRPr="00500C4E" w14:paraId="5A9EC2BE" w14:textId="77777777" w:rsidTr="001D3E56">
        <w:tc>
          <w:tcPr>
            <w:tcW w:w="113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36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397"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710"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729"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664"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E96DA3" w:rsidRPr="00500C4E" w14:paraId="23E3B0B0" w14:textId="77777777" w:rsidTr="001D3E56">
        <w:trPr>
          <w:trHeight w:val="197"/>
        </w:trPr>
        <w:tc>
          <w:tcPr>
            <w:tcW w:w="1134" w:type="pct"/>
          </w:tcPr>
          <w:p w14:paraId="17A1D7F4" w14:textId="04C51FFD" w:rsidR="00CC20E7" w:rsidRPr="00500C4E" w:rsidRDefault="00CC20E7" w:rsidP="00E96DA3">
            <w:pPr>
              <w:rPr>
                <w:color w:val="FF0000"/>
                <w:szCs w:val="20"/>
              </w:rPr>
            </w:pPr>
            <w:r w:rsidRPr="00077D0C">
              <w:rPr>
                <w:rFonts w:cstheme="minorHAnsi"/>
                <w:szCs w:val="20"/>
              </w:rPr>
              <w:t>Cook-ElecCombOven</w:t>
            </w:r>
          </w:p>
        </w:tc>
        <w:tc>
          <w:tcPr>
            <w:tcW w:w="1366" w:type="pct"/>
          </w:tcPr>
          <w:p w14:paraId="23A6377F" w14:textId="4E89E07B" w:rsidR="00CC20E7" w:rsidRPr="00E96DA3" w:rsidRDefault="00E96DA3" w:rsidP="00E96DA3">
            <w:pPr>
              <w:rPr>
                <w:rFonts w:ascii="Calibri" w:hAnsi="Calibri"/>
                <w:color w:val="000000"/>
                <w:szCs w:val="22"/>
              </w:rPr>
            </w:pPr>
            <w:r>
              <w:rPr>
                <w:rFonts w:ascii="Calibri" w:hAnsi="Calibri"/>
                <w:color w:val="000000"/>
                <w:szCs w:val="22"/>
              </w:rPr>
              <w:t>Combination Oven - Electric</w:t>
            </w:r>
          </w:p>
        </w:tc>
        <w:tc>
          <w:tcPr>
            <w:tcW w:w="397" w:type="pct"/>
          </w:tcPr>
          <w:p w14:paraId="42B5C736" w14:textId="51A6AD67" w:rsidR="00CC20E7" w:rsidRPr="00500C4E" w:rsidRDefault="00CC20E7" w:rsidP="00E96DA3">
            <w:pPr>
              <w:rPr>
                <w:color w:val="FF0000"/>
                <w:szCs w:val="20"/>
              </w:rPr>
            </w:pPr>
            <w:r w:rsidRPr="00077D0C">
              <w:rPr>
                <w:rFonts w:cstheme="minorHAnsi"/>
                <w:szCs w:val="20"/>
              </w:rPr>
              <w:t>Com</w:t>
            </w:r>
          </w:p>
        </w:tc>
        <w:tc>
          <w:tcPr>
            <w:tcW w:w="710" w:type="pct"/>
          </w:tcPr>
          <w:p w14:paraId="52A841ED" w14:textId="66FD4ACA" w:rsidR="00CC20E7" w:rsidRPr="00500C4E" w:rsidRDefault="00CC20E7" w:rsidP="00E96DA3">
            <w:pPr>
              <w:rPr>
                <w:color w:val="FF0000"/>
                <w:szCs w:val="20"/>
              </w:rPr>
            </w:pPr>
            <w:r w:rsidRPr="00077D0C">
              <w:rPr>
                <w:rFonts w:cstheme="minorHAnsi"/>
                <w:szCs w:val="20"/>
              </w:rPr>
              <w:t>FoodServ</w:t>
            </w:r>
          </w:p>
        </w:tc>
        <w:tc>
          <w:tcPr>
            <w:tcW w:w="729" w:type="pct"/>
          </w:tcPr>
          <w:p w14:paraId="1BF5FCBD" w14:textId="74FFD7AD" w:rsidR="00CC20E7" w:rsidRPr="00500C4E" w:rsidRDefault="00CC20E7" w:rsidP="00E96DA3">
            <w:pPr>
              <w:rPr>
                <w:color w:val="FF0000"/>
                <w:szCs w:val="20"/>
              </w:rPr>
            </w:pPr>
            <w:r w:rsidRPr="00077D0C">
              <w:rPr>
                <w:rFonts w:cstheme="minorHAnsi"/>
                <w:szCs w:val="20"/>
              </w:rPr>
              <w:t>12</w:t>
            </w:r>
          </w:p>
        </w:tc>
        <w:tc>
          <w:tcPr>
            <w:tcW w:w="664" w:type="pct"/>
          </w:tcPr>
          <w:p w14:paraId="46ED97C1" w14:textId="7A44DB0E" w:rsidR="00CC20E7" w:rsidRPr="00500C4E" w:rsidRDefault="00B279AB" w:rsidP="00E96DA3">
            <w:pPr>
              <w:rPr>
                <w:color w:val="FF0000"/>
                <w:szCs w:val="20"/>
              </w:rPr>
            </w:pPr>
            <w:r>
              <w:rPr>
                <w:rFonts w:cstheme="minorHAnsi"/>
                <w:szCs w:val="20"/>
              </w:rPr>
              <w:t>N/A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19A54F2A" w14:textId="5AEB9C92" w:rsidR="00B848AE" w:rsidRPr="00664EC8" w:rsidRDefault="00B848AE" w:rsidP="00B848AE">
      <w:pPr>
        <w:rPr>
          <w:rFonts w:cstheme="minorHAnsi"/>
          <w:szCs w:val="22"/>
        </w:rPr>
      </w:pPr>
      <w:r w:rsidRPr="00664EC8">
        <w:rPr>
          <w:rFonts w:cstheme="minorHAnsi"/>
          <w:b/>
          <w:szCs w:val="22"/>
        </w:rPr>
        <w:t>California Title 24 201</w:t>
      </w:r>
      <w:r w:rsidR="003E3706">
        <w:rPr>
          <w:rFonts w:cstheme="minorHAnsi"/>
          <w:b/>
          <w:szCs w:val="22"/>
        </w:rPr>
        <w:t>6</w:t>
      </w:r>
      <w:r w:rsidRPr="00664EC8">
        <w:rPr>
          <w:rFonts w:cstheme="minorHAnsi"/>
          <w:b/>
          <w:szCs w:val="22"/>
        </w:rPr>
        <w:t>:</w:t>
      </w:r>
      <w:r w:rsidRPr="00664EC8">
        <w:rPr>
          <w:rFonts w:cstheme="minorHAnsi"/>
          <w:szCs w:val="22"/>
        </w:rPr>
        <w:t xml:space="preserve"> </w:t>
      </w:r>
      <w:r w:rsidR="00B21F5B">
        <w:rPr>
          <w:rFonts w:cstheme="minorHAnsi"/>
          <w:szCs w:val="22"/>
        </w:rPr>
        <w:t xml:space="preserve">Title 24 [496] </w:t>
      </w:r>
      <w:r w:rsidR="002420B3">
        <w:rPr>
          <w:rFonts w:cstheme="minorHAnsi"/>
          <w:szCs w:val="22"/>
        </w:rPr>
        <w:t>this</w:t>
      </w:r>
      <w:r w:rsidR="002420B3" w:rsidRPr="00664EC8">
        <w:rPr>
          <w:rFonts w:cstheme="minorHAnsi"/>
          <w:szCs w:val="22"/>
        </w:rPr>
        <w:t xml:space="preserve"> measure does</w:t>
      </w:r>
      <w:r w:rsidRPr="00664EC8">
        <w:rPr>
          <w:rFonts w:cstheme="minorHAnsi"/>
          <w:szCs w:val="22"/>
        </w:rPr>
        <w:t xml:space="preserve"> not fall under Title 24 of the California Energy Regulations.</w:t>
      </w:r>
    </w:p>
    <w:p w14:paraId="75DAC1EA" w14:textId="77777777" w:rsidR="00B848AE" w:rsidRPr="00664EC8" w:rsidRDefault="00B848AE" w:rsidP="00B848AE">
      <w:pPr>
        <w:rPr>
          <w:rFonts w:cstheme="minorHAnsi"/>
          <w:szCs w:val="22"/>
        </w:rPr>
      </w:pPr>
    </w:p>
    <w:p w14:paraId="644E2F08" w14:textId="2FEB5563" w:rsidR="00B848AE" w:rsidRPr="00664EC8" w:rsidRDefault="00B848AE" w:rsidP="00B848AE">
      <w:pPr>
        <w:rPr>
          <w:rFonts w:cstheme="minorHAnsi"/>
        </w:rPr>
      </w:pPr>
      <w:r w:rsidRPr="00664EC8">
        <w:rPr>
          <w:rFonts w:cstheme="minorHAnsi"/>
          <w:b/>
          <w:szCs w:val="22"/>
        </w:rPr>
        <w:t>California Title 20 201</w:t>
      </w:r>
      <w:r w:rsidR="008456B1">
        <w:rPr>
          <w:rFonts w:cstheme="minorHAnsi"/>
          <w:b/>
          <w:szCs w:val="22"/>
        </w:rPr>
        <w:t>8</w:t>
      </w:r>
      <w:r w:rsidRPr="00664EC8">
        <w:rPr>
          <w:rFonts w:cstheme="minorHAnsi"/>
          <w:b/>
          <w:szCs w:val="22"/>
        </w:rPr>
        <w:t>:</w:t>
      </w:r>
      <w:r w:rsidRPr="00664EC8">
        <w:rPr>
          <w:rFonts w:cstheme="minorHAnsi"/>
          <w:szCs w:val="22"/>
        </w:rPr>
        <w:t xml:space="preserve"> Title 20 [</w:t>
      </w:r>
      <w:r w:rsidR="00ED2300">
        <w:rPr>
          <w:rFonts w:cstheme="minorHAnsi"/>
          <w:szCs w:val="22"/>
        </w:rPr>
        <w:t>515]</w:t>
      </w:r>
      <w:r w:rsidRPr="00664EC8">
        <w:rPr>
          <w:rFonts w:cstheme="minorHAnsi"/>
          <w:szCs w:val="22"/>
        </w:rPr>
        <w:t xml:space="preserve"> </w:t>
      </w:r>
      <w:r w:rsidRPr="00664EC8">
        <w:rPr>
          <w:rFonts w:cstheme="minorHAnsi"/>
        </w:rPr>
        <w:t>has a category for cooking appliances, but deck ovens are not included.</w:t>
      </w:r>
    </w:p>
    <w:p w14:paraId="266F3E05" w14:textId="77777777" w:rsidR="00B848AE" w:rsidRPr="00664EC8" w:rsidRDefault="00B848AE" w:rsidP="00B848AE">
      <w:pPr>
        <w:rPr>
          <w:rFonts w:cstheme="minorHAnsi"/>
          <w:b/>
          <w:szCs w:val="22"/>
        </w:rPr>
      </w:pPr>
    </w:p>
    <w:p w14:paraId="14AAFFD0" w14:textId="58A4018B" w:rsidR="00B848AE" w:rsidRPr="00664EC8" w:rsidRDefault="00B848AE" w:rsidP="00B848AE">
      <w:pPr>
        <w:pStyle w:val="Heading3"/>
        <w:shd w:val="clear" w:color="auto" w:fill="FFFFFF"/>
        <w:spacing w:before="0" w:after="0"/>
        <w:rPr>
          <w:rFonts w:asciiTheme="minorHAnsi" w:hAnsiTheme="minorHAnsi" w:cstheme="minorHAnsi"/>
          <w:b w:val="0"/>
          <w:i/>
          <w:sz w:val="22"/>
          <w:szCs w:val="22"/>
        </w:rPr>
      </w:pPr>
      <w:r w:rsidRPr="00664EC8">
        <w:rPr>
          <w:rFonts w:asciiTheme="minorHAnsi" w:hAnsiTheme="minorHAnsi" w:cstheme="minorHAnsi"/>
          <w:bCs w:val="0"/>
          <w:sz w:val="22"/>
          <w:szCs w:val="22"/>
        </w:rPr>
        <w:t>ASTM Standards:</w:t>
      </w:r>
      <w:r w:rsidRPr="00664EC8">
        <w:rPr>
          <w:rFonts w:asciiTheme="minorHAnsi" w:hAnsiTheme="minorHAnsi" w:cstheme="minorHAnsi"/>
          <w:b w:val="0"/>
          <w:bCs w:val="0"/>
          <w:sz w:val="22"/>
          <w:szCs w:val="22"/>
        </w:rPr>
        <w:t xml:space="preserve"> </w:t>
      </w:r>
      <w:r w:rsidRPr="00664EC8">
        <w:rPr>
          <w:rFonts w:asciiTheme="minorHAnsi" w:hAnsiTheme="minorHAnsi" w:cstheme="minorHAnsi"/>
          <w:b w:val="0"/>
          <w:sz w:val="22"/>
        </w:rPr>
        <w:t>ASTM Standard Test Method for Performance of Deck Ovens (</w:t>
      </w:r>
      <w:r w:rsidRPr="008456B1">
        <w:rPr>
          <w:rFonts w:asciiTheme="minorHAnsi" w:hAnsiTheme="minorHAnsi" w:cstheme="minorHAnsi"/>
          <w:b w:val="0"/>
          <w:sz w:val="22"/>
        </w:rPr>
        <w:t>F1965</w:t>
      </w:r>
      <w:r w:rsidR="005123D3">
        <w:rPr>
          <w:rFonts w:asciiTheme="minorHAnsi" w:hAnsiTheme="minorHAnsi" w:cstheme="minorHAnsi"/>
          <w:b w:val="0"/>
          <w:sz w:val="22"/>
        </w:rPr>
        <w:t>-99</w:t>
      </w:r>
      <w:r w:rsidRPr="00664EC8">
        <w:rPr>
          <w:rFonts w:asciiTheme="minorHAnsi" w:hAnsiTheme="minorHAnsi" w:cstheme="minorHAnsi"/>
          <w:b w:val="0"/>
          <w:sz w:val="22"/>
        </w:rPr>
        <w:t>, reapproved 201</w:t>
      </w:r>
      <w:r w:rsidR="005123D3">
        <w:rPr>
          <w:rFonts w:asciiTheme="minorHAnsi" w:hAnsiTheme="minorHAnsi" w:cstheme="minorHAnsi"/>
          <w:b w:val="0"/>
          <w:sz w:val="22"/>
        </w:rPr>
        <w:t>0</w:t>
      </w:r>
      <w:r w:rsidRPr="00664EC8">
        <w:rPr>
          <w:rFonts w:asciiTheme="minorHAnsi" w:hAnsiTheme="minorHAnsi" w:cstheme="minorHAnsi"/>
          <w:b w:val="0"/>
          <w:sz w:val="22"/>
        </w:rPr>
        <w:t>) [289] is applicable for estimating deck oven energy use and cooking performance. It was used to estimate the energy consumption of the base case and measure equipment.</w:t>
      </w:r>
    </w:p>
    <w:p w14:paraId="7F2498AA" w14:textId="77777777" w:rsidR="00B848AE" w:rsidRPr="00664EC8" w:rsidRDefault="00B848AE" w:rsidP="00B848AE">
      <w:pPr>
        <w:rPr>
          <w:rFonts w:cstheme="minorHAnsi"/>
          <w:szCs w:val="22"/>
        </w:rPr>
      </w:pPr>
    </w:p>
    <w:p w14:paraId="1C80F0DF" w14:textId="3A01A440" w:rsidR="00B848AE" w:rsidRPr="00920905" w:rsidRDefault="00B848AE" w:rsidP="00B848AE">
      <w:pPr>
        <w:pStyle w:val="NoSpacing"/>
      </w:pPr>
      <w:r w:rsidRPr="00664EC8">
        <w:rPr>
          <w:rFonts w:cstheme="minorHAnsi"/>
          <w:b/>
        </w:rPr>
        <w:t>Federal Standards:</w:t>
      </w:r>
      <w:r w:rsidRPr="00664EC8">
        <w:rPr>
          <w:rFonts w:cstheme="minorHAnsi"/>
        </w:rPr>
        <w:t xml:space="preserve"> These measures do not fall under Federal DOE or EPA Energy Regulations.</w:t>
      </w:r>
    </w:p>
    <w:p w14:paraId="6C06F3B4" w14:textId="77777777" w:rsidR="00B848AE" w:rsidRDefault="00B848AE" w:rsidP="00920905">
      <w:pPr>
        <w:pStyle w:val="Caption"/>
        <w:keepNext/>
        <w:rPr>
          <w:rFonts w:cstheme="minorHAnsi"/>
          <w:szCs w:val="22"/>
        </w:rPr>
      </w:pPr>
    </w:p>
    <w:p w14:paraId="284601E7" w14:textId="4888B7B2" w:rsidR="00B07EE5" w:rsidRPr="00500C4E" w:rsidRDefault="005A1078" w:rsidP="00B4002B">
      <w:pPr>
        <w:pStyle w:val="Caption"/>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B848AE" w:rsidRPr="00500C4E" w14:paraId="41E6B4DA" w14:textId="77777777" w:rsidTr="0045669C">
        <w:trPr>
          <w:trHeight w:val="243"/>
        </w:trPr>
        <w:tc>
          <w:tcPr>
            <w:tcW w:w="1155" w:type="pct"/>
            <w:vAlign w:val="center"/>
          </w:tcPr>
          <w:p w14:paraId="16A44F28" w14:textId="0074E50F" w:rsidR="00B848AE" w:rsidRPr="00500C4E" w:rsidRDefault="00B848AE" w:rsidP="00B848AE">
            <w:pPr>
              <w:rPr>
                <w:rFonts w:cstheme="minorHAnsi"/>
                <w:szCs w:val="20"/>
              </w:rPr>
            </w:pPr>
            <w:r w:rsidRPr="00664EC8">
              <w:rPr>
                <w:rFonts w:cstheme="minorHAnsi"/>
                <w:szCs w:val="20"/>
              </w:rPr>
              <w:t>ASTM</w:t>
            </w:r>
          </w:p>
        </w:tc>
        <w:tc>
          <w:tcPr>
            <w:tcW w:w="2711" w:type="pct"/>
            <w:vAlign w:val="center"/>
          </w:tcPr>
          <w:p w14:paraId="387D6828" w14:textId="2D4E96A8" w:rsidR="00B848AE" w:rsidRPr="00500C4E" w:rsidRDefault="00B848AE" w:rsidP="00B848AE">
            <w:pPr>
              <w:rPr>
                <w:rFonts w:cstheme="minorHAnsi"/>
                <w:color w:val="FF0000"/>
                <w:szCs w:val="20"/>
              </w:rPr>
            </w:pPr>
            <w:r w:rsidRPr="00664EC8">
              <w:rPr>
                <w:rFonts w:cstheme="minorHAnsi"/>
                <w:szCs w:val="20"/>
              </w:rPr>
              <w:t>F1965-99</w:t>
            </w:r>
          </w:p>
        </w:tc>
        <w:tc>
          <w:tcPr>
            <w:tcW w:w="1134" w:type="pct"/>
            <w:vAlign w:val="center"/>
          </w:tcPr>
          <w:p w14:paraId="3E1189F8" w14:textId="26DC05A4" w:rsidR="00B848AE" w:rsidRPr="00500C4E" w:rsidRDefault="00B848AE" w:rsidP="00B848AE">
            <w:pPr>
              <w:rPr>
                <w:rFonts w:cstheme="minorHAnsi"/>
                <w:color w:val="FF0000"/>
                <w:szCs w:val="20"/>
              </w:rPr>
            </w:pPr>
            <w:r w:rsidRPr="00664EC8">
              <w:rPr>
                <w:rFonts w:cstheme="minorHAnsi"/>
                <w:szCs w:val="20"/>
              </w:rPr>
              <w:t>January 1, 201</w:t>
            </w:r>
            <w:r w:rsidR="005123D3">
              <w:rPr>
                <w:rFonts w:cstheme="minorHAnsi"/>
                <w:szCs w:val="20"/>
              </w:rPr>
              <w:t>0</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23A463D4" w14:textId="77777777" w:rsidR="00BB0682" w:rsidRDefault="00572D2F" w:rsidP="00920905">
      <w:pPr>
        <w:pStyle w:val="Heading3"/>
        <w:rPr>
          <w:rFonts w:asciiTheme="minorHAnsi" w:hAnsiTheme="minorHAnsi"/>
        </w:rPr>
      </w:pPr>
      <w:r w:rsidRPr="00920905">
        <w:rPr>
          <w:rFonts w:asciiTheme="minorHAnsi" w:hAnsiTheme="minorHAnsi"/>
        </w:rPr>
        <w:t>1.</w:t>
      </w:r>
      <w:r w:rsidR="00A4411F" w:rsidRPr="00920905">
        <w:rPr>
          <w:rFonts w:asciiTheme="minorHAnsi" w:hAnsiTheme="minorHAnsi"/>
        </w:rPr>
        <w:t>5.1</w:t>
      </w:r>
      <w:r w:rsidR="000C420F">
        <w:rPr>
          <w:rFonts w:asciiTheme="minorHAnsi" w:hAnsiTheme="minorHAnsi"/>
        </w:rPr>
        <w:t xml:space="preserve"> Non-DEER Study Review</w:t>
      </w:r>
    </w:p>
    <w:p w14:paraId="171FE7F6" w14:textId="4944C0C2" w:rsidR="00572D2F" w:rsidRDefault="00BB0682" w:rsidP="00756072">
      <w:pPr>
        <w:pStyle w:val="Heading4"/>
      </w:pPr>
      <w:r>
        <w:t>1.5.</w:t>
      </w:r>
      <w:r w:rsidR="00903BC1">
        <w:t>1.1 Standard Industry Practice Evidence</w:t>
      </w:r>
    </w:p>
    <w:p w14:paraId="317994A2" w14:textId="4540662A" w:rsidR="008E1654" w:rsidRDefault="008E1654" w:rsidP="008E1654">
      <w:pPr>
        <w:rPr>
          <w:rFonts w:cstheme="minorHAnsi"/>
          <w:szCs w:val="22"/>
        </w:rPr>
      </w:pPr>
      <w:bookmarkStart w:id="16" w:name="_Hlk522536696"/>
      <w:r w:rsidRPr="008E1654">
        <w:rPr>
          <w:rFonts w:cstheme="minorHAnsi"/>
          <w:szCs w:val="22"/>
        </w:rPr>
        <w:t>According to a California</w:t>
      </w:r>
      <w:r>
        <w:rPr>
          <w:rFonts w:cstheme="minorHAnsi"/>
          <w:szCs w:val="22"/>
        </w:rPr>
        <w:t xml:space="preserve"> Energy Commission (CEC)</w:t>
      </w:r>
      <w:r w:rsidRPr="008E1654">
        <w:rPr>
          <w:rFonts w:cstheme="minorHAnsi"/>
          <w:szCs w:val="22"/>
        </w:rPr>
        <w:t xml:space="preserve"> study by Fisher-Nickel</w:t>
      </w:r>
      <w:r>
        <w:rPr>
          <w:rFonts w:cstheme="minorHAnsi"/>
          <w:szCs w:val="22"/>
        </w:rPr>
        <w:t xml:space="preserve"> in October 2017</w:t>
      </w:r>
      <w:r w:rsidR="00E16E63">
        <w:rPr>
          <w:rFonts w:cstheme="minorHAnsi"/>
          <w:szCs w:val="22"/>
        </w:rPr>
        <w:t xml:space="preserve"> (Attachment 5)</w:t>
      </w:r>
      <w:r>
        <w:rPr>
          <w:rFonts w:cstheme="minorHAnsi"/>
          <w:szCs w:val="22"/>
        </w:rPr>
        <w:t xml:space="preserve">, </w:t>
      </w:r>
      <w:r w:rsidRPr="008E1654">
        <w:rPr>
          <w:rFonts w:cstheme="minorHAnsi"/>
          <w:szCs w:val="22"/>
        </w:rPr>
        <w:t>deck ovens are among the least developed in the oven category</w:t>
      </w:r>
      <w:r>
        <w:rPr>
          <w:rFonts w:cstheme="minorHAnsi"/>
          <w:szCs w:val="22"/>
        </w:rPr>
        <w:t xml:space="preserve">. </w:t>
      </w:r>
      <w:r w:rsidRPr="008E1654">
        <w:rPr>
          <w:rFonts w:cstheme="minorHAnsi"/>
          <w:szCs w:val="22"/>
        </w:rPr>
        <w:t>As other oven technologies have replaced older deck ovens, there has</w:t>
      </w:r>
      <w:r>
        <w:rPr>
          <w:rFonts w:cstheme="minorHAnsi"/>
          <w:szCs w:val="22"/>
        </w:rPr>
        <w:t xml:space="preserve"> </w:t>
      </w:r>
      <w:r w:rsidRPr="008E1654">
        <w:rPr>
          <w:rFonts w:cstheme="minorHAnsi"/>
          <w:szCs w:val="22"/>
        </w:rPr>
        <w:t xml:space="preserve">been little interest in improving their efficiency on the part of </w:t>
      </w:r>
      <w:r>
        <w:rPr>
          <w:rFonts w:cstheme="minorHAnsi"/>
          <w:szCs w:val="22"/>
        </w:rPr>
        <w:t xml:space="preserve">either the manufacturers or the </w:t>
      </w:r>
      <w:r w:rsidRPr="008E1654">
        <w:rPr>
          <w:rFonts w:cstheme="minorHAnsi"/>
          <w:szCs w:val="22"/>
        </w:rPr>
        <w:t>end users.</w:t>
      </w:r>
    </w:p>
    <w:p w14:paraId="682F09B1" w14:textId="77777777" w:rsidR="008E1654" w:rsidRDefault="008E1654" w:rsidP="008E1654">
      <w:pPr>
        <w:rPr>
          <w:rFonts w:cstheme="minorHAnsi"/>
          <w:szCs w:val="22"/>
        </w:rPr>
      </w:pPr>
    </w:p>
    <w:p w14:paraId="536C371A" w14:textId="49C25A12" w:rsidR="00004816" w:rsidRDefault="00A45349" w:rsidP="000C420F">
      <w:pPr>
        <w:rPr>
          <w:rFonts w:cstheme="minorHAnsi"/>
          <w:szCs w:val="22"/>
        </w:rPr>
      </w:pPr>
      <w:r>
        <w:rPr>
          <w:rFonts w:cstheme="minorHAnsi"/>
          <w:szCs w:val="22"/>
        </w:rPr>
        <w:t>In t</w:t>
      </w:r>
      <w:r w:rsidRPr="00481DF7">
        <w:rPr>
          <w:rFonts w:cstheme="minorHAnsi"/>
          <w:szCs w:val="22"/>
        </w:rPr>
        <w:t>he 3rd quarter of 2018</w:t>
      </w:r>
      <w:r>
        <w:rPr>
          <w:rFonts w:cstheme="minorHAnsi"/>
          <w:szCs w:val="22"/>
        </w:rPr>
        <w:t xml:space="preserve"> </w:t>
      </w:r>
      <w:r w:rsidR="00481DF7">
        <w:rPr>
          <w:rFonts w:cstheme="minorHAnsi"/>
          <w:szCs w:val="22"/>
        </w:rPr>
        <w:t xml:space="preserve">SCE </w:t>
      </w:r>
      <w:r w:rsidR="007A03E4">
        <w:rPr>
          <w:rFonts w:cstheme="minorHAnsi"/>
          <w:szCs w:val="22"/>
        </w:rPr>
        <w:t>collected</w:t>
      </w:r>
      <w:r w:rsidR="006951AB">
        <w:rPr>
          <w:rFonts w:cstheme="minorHAnsi"/>
          <w:szCs w:val="22"/>
        </w:rPr>
        <w:t xml:space="preserve"> </w:t>
      </w:r>
      <w:r w:rsidR="00481DF7">
        <w:rPr>
          <w:rFonts w:cstheme="minorHAnsi"/>
          <w:szCs w:val="22"/>
        </w:rPr>
        <w:t xml:space="preserve">information from </w:t>
      </w:r>
      <w:r w:rsidR="006951AB">
        <w:rPr>
          <w:rFonts w:cstheme="minorHAnsi"/>
          <w:szCs w:val="22"/>
        </w:rPr>
        <w:t xml:space="preserve">the leading oven manufactures </w:t>
      </w:r>
      <w:r w:rsidR="008E1654">
        <w:rPr>
          <w:rFonts w:cstheme="minorHAnsi"/>
          <w:szCs w:val="22"/>
        </w:rPr>
        <w:t>(Revent Inc. and MPM F</w:t>
      </w:r>
      <w:r w:rsidR="00481DF7">
        <w:rPr>
          <w:rFonts w:cstheme="minorHAnsi"/>
          <w:szCs w:val="22"/>
        </w:rPr>
        <w:t xml:space="preserve">ood Equipment Group) </w:t>
      </w:r>
      <w:r w:rsidR="006951AB">
        <w:rPr>
          <w:rFonts w:cstheme="minorHAnsi"/>
          <w:szCs w:val="22"/>
        </w:rPr>
        <w:t xml:space="preserve">on the past and </w:t>
      </w:r>
      <w:r w:rsidR="00481DF7">
        <w:rPr>
          <w:rFonts w:cstheme="minorHAnsi"/>
          <w:szCs w:val="22"/>
        </w:rPr>
        <w:t>projected</w:t>
      </w:r>
      <w:r w:rsidR="006951AB">
        <w:rPr>
          <w:rFonts w:cstheme="minorHAnsi"/>
          <w:szCs w:val="22"/>
        </w:rPr>
        <w:t xml:space="preserve"> sales trends</w:t>
      </w:r>
      <w:r w:rsidR="00445FF9">
        <w:rPr>
          <w:rFonts w:cstheme="minorHAnsi"/>
          <w:szCs w:val="22"/>
        </w:rPr>
        <w:t xml:space="preserve"> for e</w:t>
      </w:r>
      <w:r w:rsidR="00481DF7">
        <w:rPr>
          <w:rFonts w:cstheme="minorHAnsi"/>
          <w:szCs w:val="22"/>
        </w:rPr>
        <w:t>lectric</w:t>
      </w:r>
      <w:r w:rsidR="008E1654">
        <w:rPr>
          <w:rFonts w:cstheme="minorHAnsi"/>
          <w:szCs w:val="22"/>
        </w:rPr>
        <w:t xml:space="preserve"> </w:t>
      </w:r>
      <w:r w:rsidR="00445FF9">
        <w:rPr>
          <w:rFonts w:cstheme="minorHAnsi"/>
          <w:szCs w:val="22"/>
        </w:rPr>
        <w:t>d</w:t>
      </w:r>
      <w:r w:rsidR="008E1654">
        <w:rPr>
          <w:rFonts w:cstheme="minorHAnsi"/>
          <w:szCs w:val="22"/>
        </w:rPr>
        <w:t>eck</w:t>
      </w:r>
      <w:r w:rsidR="00481DF7">
        <w:rPr>
          <w:rFonts w:cstheme="minorHAnsi"/>
          <w:szCs w:val="22"/>
        </w:rPr>
        <w:t xml:space="preserve"> ovens</w:t>
      </w:r>
      <w:r w:rsidR="00E16E63">
        <w:rPr>
          <w:rFonts w:cstheme="minorHAnsi"/>
          <w:szCs w:val="22"/>
        </w:rPr>
        <w:t xml:space="preserve"> and </w:t>
      </w:r>
      <w:r w:rsidR="006951AB">
        <w:rPr>
          <w:rFonts w:cstheme="minorHAnsi"/>
          <w:szCs w:val="22"/>
        </w:rPr>
        <w:t>various product categories available in the market</w:t>
      </w:r>
      <w:r w:rsidR="00E16E63">
        <w:rPr>
          <w:rFonts w:cstheme="minorHAnsi"/>
          <w:szCs w:val="22"/>
        </w:rPr>
        <w:t>.</w:t>
      </w:r>
      <w:r w:rsidR="00481DF7">
        <w:rPr>
          <w:rFonts w:cstheme="minorHAnsi"/>
          <w:szCs w:val="22"/>
        </w:rPr>
        <w:t xml:space="preserve"> </w:t>
      </w:r>
      <w:r w:rsidR="00E16E63">
        <w:rPr>
          <w:rFonts w:cstheme="minorHAnsi"/>
          <w:szCs w:val="22"/>
        </w:rPr>
        <w:t xml:space="preserve">Additionally, </w:t>
      </w:r>
      <w:r w:rsidR="00481DF7">
        <w:rPr>
          <w:rFonts w:cstheme="minorHAnsi"/>
          <w:szCs w:val="22"/>
        </w:rPr>
        <w:t>expected savings estimates</w:t>
      </w:r>
      <w:r w:rsidR="00E16E63">
        <w:rPr>
          <w:rFonts w:cstheme="minorHAnsi"/>
          <w:szCs w:val="22"/>
        </w:rPr>
        <w:t xml:space="preserve"> for electric deck ovens</w:t>
      </w:r>
      <w:r w:rsidR="00624052">
        <w:rPr>
          <w:rFonts w:cstheme="minorHAnsi"/>
          <w:szCs w:val="22"/>
        </w:rPr>
        <w:t>,</w:t>
      </w:r>
      <w:r w:rsidR="00481DF7">
        <w:rPr>
          <w:rFonts w:cstheme="minorHAnsi"/>
          <w:szCs w:val="22"/>
        </w:rPr>
        <w:t xml:space="preserve"> </w:t>
      </w:r>
      <w:r w:rsidR="00624052">
        <w:rPr>
          <w:rFonts w:cstheme="minorHAnsi"/>
          <w:szCs w:val="22"/>
        </w:rPr>
        <w:t>as well as</w:t>
      </w:r>
      <w:r w:rsidR="00481DF7">
        <w:rPr>
          <w:rFonts w:cstheme="minorHAnsi"/>
          <w:szCs w:val="22"/>
        </w:rPr>
        <w:t xml:space="preserve"> cost and efficiency comparison</w:t>
      </w:r>
      <w:r w:rsidR="00624052">
        <w:rPr>
          <w:rFonts w:cstheme="minorHAnsi"/>
          <w:szCs w:val="22"/>
        </w:rPr>
        <w:t>s</w:t>
      </w:r>
      <w:r w:rsidR="00481DF7">
        <w:rPr>
          <w:rFonts w:cstheme="minorHAnsi"/>
          <w:szCs w:val="22"/>
        </w:rPr>
        <w:t xml:space="preserve"> with the current gas deck ovens</w:t>
      </w:r>
      <w:r w:rsidR="00E16E63">
        <w:rPr>
          <w:rFonts w:cstheme="minorHAnsi"/>
          <w:szCs w:val="22"/>
        </w:rPr>
        <w:t xml:space="preserve"> </w:t>
      </w:r>
      <w:r w:rsidR="00624052">
        <w:rPr>
          <w:rFonts w:cstheme="minorHAnsi"/>
          <w:szCs w:val="22"/>
        </w:rPr>
        <w:t>was</w:t>
      </w:r>
      <w:r w:rsidR="00E16E63">
        <w:rPr>
          <w:rFonts w:cstheme="minorHAnsi"/>
          <w:szCs w:val="22"/>
        </w:rPr>
        <w:t xml:space="preserve"> </w:t>
      </w:r>
      <w:r w:rsidR="00624052">
        <w:rPr>
          <w:rFonts w:cstheme="minorHAnsi"/>
          <w:szCs w:val="22"/>
        </w:rPr>
        <w:t>requested from the manufacturers</w:t>
      </w:r>
      <w:r w:rsidR="003C62FD">
        <w:rPr>
          <w:rFonts w:cstheme="minorHAnsi"/>
          <w:szCs w:val="22"/>
        </w:rPr>
        <w:t xml:space="preserve"> (Attachment 4)</w:t>
      </w:r>
      <w:r w:rsidR="00481DF7">
        <w:rPr>
          <w:rFonts w:cstheme="minorHAnsi"/>
          <w:szCs w:val="22"/>
        </w:rPr>
        <w:t>.</w:t>
      </w:r>
      <w:bookmarkStart w:id="17" w:name="_Hlk522180844"/>
      <w:r w:rsidR="00481DF7">
        <w:rPr>
          <w:rFonts w:cstheme="minorHAnsi"/>
          <w:szCs w:val="22"/>
        </w:rPr>
        <w:t xml:space="preserve"> </w:t>
      </w:r>
      <w:bookmarkEnd w:id="17"/>
      <w:r w:rsidR="00BA23D6">
        <w:rPr>
          <w:rFonts w:cstheme="minorHAnsi"/>
          <w:szCs w:val="22"/>
        </w:rPr>
        <w:t xml:space="preserve">For details on the specific questions that SCE asked the manufacturers, please refer to the summary document and emails in Attachment 4. </w:t>
      </w:r>
    </w:p>
    <w:p w14:paraId="7BB411BB" w14:textId="77777777" w:rsidR="00481DF7" w:rsidRDefault="00481DF7" w:rsidP="000C420F">
      <w:pPr>
        <w:rPr>
          <w:rFonts w:cstheme="minorHAnsi"/>
          <w:szCs w:val="22"/>
        </w:rPr>
      </w:pPr>
    </w:p>
    <w:p w14:paraId="3BDD2BCC" w14:textId="735D3AF3" w:rsidR="00963B5D" w:rsidRDefault="00004816" w:rsidP="00963B5D">
      <w:pPr>
        <w:rPr>
          <w:rFonts w:cstheme="minorHAnsi"/>
          <w:szCs w:val="22"/>
        </w:rPr>
      </w:pPr>
      <w:r>
        <w:rPr>
          <w:rFonts w:cstheme="minorHAnsi"/>
          <w:szCs w:val="22"/>
        </w:rPr>
        <w:t>According to the information exchange between So</w:t>
      </w:r>
      <w:r w:rsidR="00EF4C67">
        <w:rPr>
          <w:rFonts w:cstheme="minorHAnsi"/>
          <w:szCs w:val="22"/>
        </w:rPr>
        <w:t>u</w:t>
      </w:r>
      <w:r>
        <w:rPr>
          <w:rFonts w:cstheme="minorHAnsi"/>
          <w:szCs w:val="22"/>
        </w:rPr>
        <w:t xml:space="preserve">thern California Edison and </w:t>
      </w:r>
      <w:r w:rsidRPr="00B44975">
        <w:rPr>
          <w:rFonts w:cstheme="minorHAnsi"/>
          <w:szCs w:val="22"/>
        </w:rPr>
        <w:t>Revent</w:t>
      </w:r>
      <w:r w:rsidR="00BE17B9" w:rsidRPr="00B44975">
        <w:rPr>
          <w:rFonts w:cstheme="minorHAnsi"/>
          <w:szCs w:val="22"/>
        </w:rPr>
        <w:t xml:space="preserve"> Inc.</w:t>
      </w:r>
      <w:r w:rsidRPr="00B44975">
        <w:rPr>
          <w:rFonts w:cstheme="minorHAnsi"/>
          <w:szCs w:val="22"/>
        </w:rPr>
        <w:t>, g</w:t>
      </w:r>
      <w:r w:rsidR="00F25BD7" w:rsidRPr="00B44975">
        <w:rPr>
          <w:rFonts w:cstheme="minorHAnsi"/>
          <w:szCs w:val="22"/>
        </w:rPr>
        <w:t>as</w:t>
      </w:r>
      <w:r w:rsidR="00F25BD7">
        <w:rPr>
          <w:rFonts w:cstheme="minorHAnsi"/>
          <w:szCs w:val="22"/>
        </w:rPr>
        <w:t xml:space="preserve"> heated ovens dominate the current US market</w:t>
      </w:r>
      <w:r w:rsidR="00AF1236">
        <w:rPr>
          <w:rFonts w:cstheme="minorHAnsi"/>
          <w:szCs w:val="22"/>
        </w:rPr>
        <w:t xml:space="preserve"> with over 90% of sales</w:t>
      </w:r>
      <w:r w:rsidR="00A45349">
        <w:rPr>
          <w:rFonts w:cstheme="minorHAnsi"/>
          <w:szCs w:val="22"/>
        </w:rPr>
        <w:t>. This is</w:t>
      </w:r>
      <w:r w:rsidR="00F25BD7">
        <w:rPr>
          <w:rFonts w:cstheme="minorHAnsi"/>
          <w:szCs w:val="22"/>
        </w:rPr>
        <w:t xml:space="preserve"> due to lower purchase cost and lower gas price.</w:t>
      </w:r>
      <w:r w:rsidR="00F25BD7" w:rsidRPr="00F25BD7">
        <w:rPr>
          <w:rFonts w:cstheme="minorHAnsi"/>
          <w:szCs w:val="22"/>
        </w:rPr>
        <w:t xml:space="preserve"> </w:t>
      </w:r>
      <w:r w:rsidR="004D5C40">
        <w:rPr>
          <w:rFonts w:cstheme="minorHAnsi"/>
          <w:szCs w:val="22"/>
        </w:rPr>
        <w:t>Almost all electric deck ovens are imported from Europe and China with authorized distributors in the US. On an average the total US market for electric ovens is between 600 – 800 ovens, of which approximately 30 – 40 units are in California</w:t>
      </w:r>
      <w:r w:rsidR="00D4502F">
        <w:rPr>
          <w:rFonts w:cstheme="minorHAnsi"/>
          <w:szCs w:val="22"/>
        </w:rPr>
        <w:t xml:space="preserve"> (Attachment 4)</w:t>
      </w:r>
      <w:r w:rsidR="004D5C40">
        <w:rPr>
          <w:rFonts w:cstheme="minorHAnsi"/>
          <w:szCs w:val="22"/>
        </w:rPr>
        <w:t xml:space="preserve">. </w:t>
      </w:r>
      <w:r w:rsidR="00445FF9">
        <w:rPr>
          <w:rFonts w:cstheme="minorHAnsi"/>
          <w:szCs w:val="22"/>
        </w:rPr>
        <w:t>The projected trend for e</w:t>
      </w:r>
      <w:r w:rsidR="00864A7A" w:rsidRPr="00864A7A">
        <w:rPr>
          <w:rFonts w:cstheme="minorHAnsi"/>
          <w:szCs w:val="22"/>
        </w:rPr>
        <w:t xml:space="preserve">lectric </w:t>
      </w:r>
      <w:r w:rsidR="00445FF9">
        <w:rPr>
          <w:rFonts w:cstheme="minorHAnsi"/>
          <w:szCs w:val="22"/>
        </w:rPr>
        <w:t>d</w:t>
      </w:r>
      <w:r w:rsidR="00864A7A" w:rsidRPr="00864A7A">
        <w:rPr>
          <w:rFonts w:cstheme="minorHAnsi"/>
          <w:szCs w:val="22"/>
        </w:rPr>
        <w:t xml:space="preserve">eck ovens used for baking </w:t>
      </w:r>
      <w:r w:rsidR="00EF4C67">
        <w:rPr>
          <w:rFonts w:cstheme="minorHAnsi"/>
          <w:szCs w:val="22"/>
        </w:rPr>
        <w:t xml:space="preserve">for </w:t>
      </w:r>
      <w:r w:rsidR="00EF4C67" w:rsidRPr="00864A7A">
        <w:rPr>
          <w:rFonts w:cstheme="minorHAnsi"/>
          <w:szCs w:val="22"/>
        </w:rPr>
        <w:t xml:space="preserve">Retail and In-store baking </w:t>
      </w:r>
      <w:r w:rsidR="00624052">
        <w:rPr>
          <w:rFonts w:cstheme="minorHAnsi"/>
          <w:szCs w:val="22"/>
        </w:rPr>
        <w:t xml:space="preserve">customers </w:t>
      </w:r>
      <w:r w:rsidR="00864A7A" w:rsidRPr="00864A7A">
        <w:rPr>
          <w:rFonts w:cstheme="minorHAnsi"/>
          <w:szCs w:val="22"/>
        </w:rPr>
        <w:t xml:space="preserve">is </w:t>
      </w:r>
      <w:r w:rsidR="00F53E04">
        <w:rPr>
          <w:rFonts w:cstheme="minorHAnsi"/>
          <w:szCs w:val="22"/>
        </w:rPr>
        <w:t xml:space="preserve">observed to be </w:t>
      </w:r>
      <w:r w:rsidR="00864A7A" w:rsidRPr="00864A7A">
        <w:rPr>
          <w:rFonts w:cstheme="minorHAnsi"/>
          <w:szCs w:val="22"/>
        </w:rPr>
        <w:t>a slow growth</w:t>
      </w:r>
      <w:r w:rsidR="002771AC">
        <w:rPr>
          <w:rFonts w:cstheme="minorHAnsi"/>
          <w:szCs w:val="22"/>
        </w:rPr>
        <w:t xml:space="preserve"> </w:t>
      </w:r>
      <w:r w:rsidR="00EF4C67">
        <w:rPr>
          <w:rFonts w:cstheme="minorHAnsi"/>
          <w:szCs w:val="22"/>
        </w:rPr>
        <w:t>area</w:t>
      </w:r>
      <w:r w:rsidR="004D5C40">
        <w:rPr>
          <w:rFonts w:cstheme="minorHAnsi"/>
          <w:szCs w:val="22"/>
        </w:rPr>
        <w:t>, based on product sales in those industries</w:t>
      </w:r>
      <w:r w:rsidR="00864A7A" w:rsidRPr="00864A7A">
        <w:rPr>
          <w:rFonts w:cstheme="minorHAnsi"/>
          <w:szCs w:val="22"/>
        </w:rPr>
        <w:t>.</w:t>
      </w:r>
      <w:r w:rsidR="00F53E04">
        <w:rPr>
          <w:rFonts w:cstheme="minorHAnsi"/>
          <w:szCs w:val="22"/>
        </w:rPr>
        <w:t xml:space="preserve"> </w:t>
      </w:r>
      <w:r w:rsidR="004D5C40">
        <w:rPr>
          <w:rFonts w:cstheme="minorHAnsi"/>
          <w:szCs w:val="22"/>
        </w:rPr>
        <w:t>Furthermore, as</w:t>
      </w:r>
      <w:r w:rsidR="00770880">
        <w:rPr>
          <w:rFonts w:cstheme="minorHAnsi"/>
          <w:szCs w:val="22"/>
        </w:rPr>
        <w:t xml:space="preserve"> electric deck ovens require </w:t>
      </w:r>
      <w:r w:rsidR="004309D1">
        <w:rPr>
          <w:rFonts w:cstheme="minorHAnsi"/>
          <w:szCs w:val="22"/>
        </w:rPr>
        <w:t>high current</w:t>
      </w:r>
      <w:r w:rsidR="00770880">
        <w:rPr>
          <w:rFonts w:cstheme="minorHAnsi"/>
          <w:szCs w:val="22"/>
        </w:rPr>
        <w:t xml:space="preserve">, </w:t>
      </w:r>
      <w:r w:rsidR="002771AC">
        <w:rPr>
          <w:rFonts w:cstheme="minorHAnsi"/>
          <w:szCs w:val="22"/>
        </w:rPr>
        <w:t xml:space="preserve">having to invest in modifying the existing electrical system to accommodate </w:t>
      </w:r>
      <w:r w:rsidR="004309D1">
        <w:rPr>
          <w:rFonts w:cstheme="minorHAnsi"/>
          <w:szCs w:val="22"/>
        </w:rPr>
        <w:t>the added load can be a</w:t>
      </w:r>
      <w:r w:rsidR="00F53E04">
        <w:rPr>
          <w:rFonts w:cstheme="minorHAnsi"/>
          <w:szCs w:val="22"/>
        </w:rPr>
        <w:t xml:space="preserve"> factor in the limited sal</w:t>
      </w:r>
      <w:r w:rsidR="008E1654">
        <w:rPr>
          <w:rFonts w:cstheme="minorHAnsi"/>
          <w:szCs w:val="22"/>
        </w:rPr>
        <w:t>es</w:t>
      </w:r>
      <w:r w:rsidR="00F53E04">
        <w:rPr>
          <w:rFonts w:cstheme="minorHAnsi"/>
          <w:szCs w:val="22"/>
        </w:rPr>
        <w:t>.</w:t>
      </w:r>
      <w:r w:rsidR="004E3CB5">
        <w:rPr>
          <w:rFonts w:cstheme="minorHAnsi"/>
          <w:szCs w:val="22"/>
        </w:rPr>
        <w:t xml:space="preserve"> </w:t>
      </w:r>
      <w:r w:rsidR="004E3CB5" w:rsidRPr="004E3CB5">
        <w:rPr>
          <w:rFonts w:cstheme="minorHAnsi"/>
          <w:szCs w:val="22"/>
        </w:rPr>
        <w:t>There are no major studies or data available on energy consumption and estimated savings for smaller deck ovens.</w:t>
      </w:r>
      <w:r w:rsidR="00963B5D">
        <w:rPr>
          <w:rFonts w:cstheme="minorHAnsi"/>
          <w:szCs w:val="22"/>
        </w:rPr>
        <w:t xml:space="preserve"> </w:t>
      </w:r>
      <w:r w:rsidR="00A45349">
        <w:rPr>
          <w:rFonts w:cstheme="minorHAnsi"/>
          <w:szCs w:val="22"/>
        </w:rPr>
        <w:t>With the responses</w:t>
      </w:r>
      <w:r w:rsidR="00963B5D" w:rsidRPr="00481DF7">
        <w:rPr>
          <w:rFonts w:cstheme="minorHAnsi"/>
          <w:szCs w:val="22"/>
        </w:rPr>
        <w:t xml:space="preserve"> </w:t>
      </w:r>
      <w:r w:rsidR="00A45349">
        <w:rPr>
          <w:rFonts w:cstheme="minorHAnsi"/>
          <w:szCs w:val="22"/>
        </w:rPr>
        <w:t>above</w:t>
      </w:r>
      <w:r w:rsidR="0070004C">
        <w:rPr>
          <w:rFonts w:cstheme="minorHAnsi"/>
          <w:szCs w:val="22"/>
        </w:rPr>
        <w:t>,</w:t>
      </w:r>
      <w:bookmarkStart w:id="18" w:name="_GoBack"/>
      <w:bookmarkEnd w:id="18"/>
      <w:r w:rsidR="00A45349">
        <w:rPr>
          <w:rFonts w:cstheme="minorHAnsi"/>
          <w:szCs w:val="22"/>
        </w:rPr>
        <w:t xml:space="preserve"> </w:t>
      </w:r>
      <w:r w:rsidR="00963B5D">
        <w:rPr>
          <w:rFonts w:cstheme="minorHAnsi"/>
          <w:szCs w:val="22"/>
        </w:rPr>
        <w:t xml:space="preserve">it is determined that efficient </w:t>
      </w:r>
      <w:r w:rsidR="00963B5D" w:rsidRPr="00481DF7">
        <w:rPr>
          <w:rFonts w:cstheme="minorHAnsi"/>
          <w:szCs w:val="22"/>
        </w:rPr>
        <w:t>electric deck ovens are not a</w:t>
      </w:r>
      <w:r w:rsidR="00963B5D">
        <w:rPr>
          <w:rFonts w:cstheme="minorHAnsi"/>
          <w:szCs w:val="22"/>
        </w:rPr>
        <w:t>n</w:t>
      </w:r>
      <w:r w:rsidR="00963B5D" w:rsidRPr="00481DF7">
        <w:rPr>
          <w:rFonts w:cstheme="minorHAnsi"/>
          <w:szCs w:val="22"/>
        </w:rPr>
        <w:t xml:space="preserve"> industry standard practice (ISP)</w:t>
      </w:r>
      <w:r w:rsidR="00F25D34">
        <w:rPr>
          <w:rFonts w:cstheme="minorHAnsi"/>
          <w:szCs w:val="22"/>
        </w:rPr>
        <w:t>, and that gas deck ovens are expected to continue to dominate the US market (Attachment 4)</w:t>
      </w:r>
      <w:r w:rsidR="00963B5D" w:rsidRPr="00481DF7">
        <w:rPr>
          <w:rFonts w:cstheme="minorHAnsi"/>
          <w:szCs w:val="22"/>
        </w:rPr>
        <w:t>.</w:t>
      </w:r>
    </w:p>
    <w:p w14:paraId="1ECC3C3B" w14:textId="1C2F54F7" w:rsidR="001F7227" w:rsidRDefault="001F7227" w:rsidP="001F7DD2">
      <w:pPr>
        <w:rPr>
          <w:rFonts w:cstheme="minorHAnsi"/>
          <w:szCs w:val="22"/>
        </w:rPr>
      </w:pPr>
    </w:p>
    <w:p w14:paraId="5EDB3DAD" w14:textId="3ECBC8E7" w:rsidR="001F7227" w:rsidRDefault="001F7227" w:rsidP="001F7DD2">
      <w:pPr>
        <w:rPr>
          <w:rFonts w:cstheme="minorHAnsi"/>
          <w:szCs w:val="22"/>
        </w:rPr>
      </w:pPr>
      <w:r>
        <w:rPr>
          <w:rFonts w:cstheme="minorHAnsi"/>
          <w:szCs w:val="22"/>
        </w:rPr>
        <w:t>Based on the information above, if a customer intended to increase their load with additional ovens</w:t>
      </w:r>
      <w:r w:rsidR="000B7A32">
        <w:rPr>
          <w:rFonts w:cstheme="minorHAnsi"/>
          <w:szCs w:val="22"/>
        </w:rPr>
        <w:t xml:space="preserve">, they would likely </w:t>
      </w:r>
      <w:r w:rsidR="00A45349">
        <w:rPr>
          <w:rFonts w:cstheme="minorHAnsi"/>
          <w:szCs w:val="22"/>
        </w:rPr>
        <w:t>install</w:t>
      </w:r>
      <w:r w:rsidR="000B7A32">
        <w:rPr>
          <w:rFonts w:cstheme="minorHAnsi"/>
          <w:szCs w:val="22"/>
        </w:rPr>
        <w:t xml:space="preserve"> gas</w:t>
      </w:r>
      <w:r w:rsidR="00963B5D">
        <w:rPr>
          <w:rFonts w:cstheme="minorHAnsi"/>
          <w:szCs w:val="22"/>
        </w:rPr>
        <w:t xml:space="preserve"> deck ovens</w:t>
      </w:r>
      <w:r w:rsidR="00F25D34">
        <w:rPr>
          <w:rFonts w:cstheme="minorHAnsi"/>
          <w:szCs w:val="22"/>
        </w:rPr>
        <w:t xml:space="preserve"> (Attachment 4)</w:t>
      </w:r>
      <w:r>
        <w:rPr>
          <w:rFonts w:cstheme="minorHAnsi"/>
          <w:szCs w:val="22"/>
        </w:rPr>
        <w:t xml:space="preserve">. As the standard practice, gas deck ovens comprise </w:t>
      </w:r>
      <w:r w:rsidR="00E04289">
        <w:rPr>
          <w:rFonts w:cstheme="minorHAnsi"/>
          <w:szCs w:val="22"/>
        </w:rPr>
        <w:t>most</w:t>
      </w:r>
      <w:r>
        <w:rPr>
          <w:rFonts w:cstheme="minorHAnsi"/>
          <w:szCs w:val="22"/>
        </w:rPr>
        <w:t xml:space="preserve"> of the market</w:t>
      </w:r>
      <w:r w:rsidR="00963B5D">
        <w:rPr>
          <w:rFonts w:cstheme="minorHAnsi"/>
          <w:szCs w:val="22"/>
        </w:rPr>
        <w:t xml:space="preserve"> sales</w:t>
      </w:r>
      <w:r>
        <w:rPr>
          <w:rFonts w:cstheme="minorHAnsi"/>
          <w:szCs w:val="22"/>
        </w:rPr>
        <w:t xml:space="preserve">, </w:t>
      </w:r>
      <w:r w:rsidR="001D1326">
        <w:rPr>
          <w:rFonts w:cstheme="minorHAnsi"/>
          <w:szCs w:val="22"/>
        </w:rPr>
        <w:t>and</w:t>
      </w:r>
      <w:r>
        <w:rPr>
          <w:rFonts w:cstheme="minorHAnsi"/>
          <w:szCs w:val="22"/>
        </w:rPr>
        <w:t xml:space="preserve"> also have a cheaper </w:t>
      </w:r>
      <w:r w:rsidR="000B7A32">
        <w:rPr>
          <w:rFonts w:cstheme="minorHAnsi"/>
          <w:szCs w:val="22"/>
        </w:rPr>
        <w:t>equipment</w:t>
      </w:r>
      <w:r>
        <w:rPr>
          <w:rFonts w:cstheme="minorHAnsi"/>
          <w:szCs w:val="22"/>
        </w:rPr>
        <w:t xml:space="preserve"> cost </w:t>
      </w:r>
      <w:r w:rsidR="001D1326">
        <w:rPr>
          <w:rFonts w:cstheme="minorHAnsi"/>
          <w:szCs w:val="22"/>
        </w:rPr>
        <w:t>compared to</w:t>
      </w:r>
      <w:r>
        <w:rPr>
          <w:rFonts w:cstheme="minorHAnsi"/>
          <w:szCs w:val="22"/>
        </w:rPr>
        <w:t xml:space="preserve"> their electric counterparts. Due to the ubiquity of the gas ovens in the market, it is likely that the customer would also already have </w:t>
      </w:r>
      <w:r w:rsidR="000B7A32">
        <w:rPr>
          <w:rFonts w:cstheme="minorHAnsi"/>
          <w:szCs w:val="22"/>
        </w:rPr>
        <w:t xml:space="preserve">existing </w:t>
      </w:r>
      <w:r>
        <w:rPr>
          <w:rFonts w:cstheme="minorHAnsi"/>
          <w:szCs w:val="22"/>
        </w:rPr>
        <w:t xml:space="preserve">gas ovens, with gas utility and distribution system already installed. </w:t>
      </w:r>
      <w:r w:rsidR="00963B5D">
        <w:rPr>
          <w:rFonts w:cstheme="minorHAnsi"/>
          <w:szCs w:val="22"/>
        </w:rPr>
        <w:t xml:space="preserve">Additional installation costs would need to be paid by the customer in many cases where the existing electrical system could not handle the high amperage of the electric deck ovens, creating a further barrier for adoption. </w:t>
      </w:r>
    </w:p>
    <w:bookmarkEnd w:id="16"/>
    <w:p w14:paraId="11F8AA47" w14:textId="5A3AA902" w:rsidR="004E3CB5" w:rsidRPr="00C63CCF" w:rsidRDefault="004E3CB5" w:rsidP="000C420F">
      <w:pPr>
        <w:rPr>
          <w:rFonts w:cstheme="minorHAnsi"/>
          <w:szCs w:val="22"/>
        </w:rPr>
      </w:pP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D22DA1C" w14:textId="4D16317F" w:rsidR="000C420F" w:rsidRPr="000C420F" w:rsidRDefault="000C420F" w:rsidP="000C420F">
      <w:r>
        <w:t>N/A</w:t>
      </w:r>
    </w:p>
    <w:p w14:paraId="530F626B" w14:textId="77777777" w:rsidR="00D4502F" w:rsidRDefault="00D4502F">
      <w:pPr>
        <w:spacing w:after="200" w:line="276" w:lineRule="auto"/>
        <w:rPr>
          <w:rFonts w:cstheme="minorHAnsi"/>
          <w:b/>
          <w:bCs/>
          <w:smallCaps/>
          <w:kern w:val="32"/>
          <w:sz w:val="36"/>
          <w:szCs w:val="32"/>
        </w:rPr>
      </w:pPr>
      <w:r>
        <w:rPr>
          <w:rFonts w:cstheme="minorHAnsi"/>
        </w:rPr>
        <w:br w:type="page"/>
      </w:r>
    </w:p>
    <w:p w14:paraId="015A5544" w14:textId="07188768"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0258479B" w14:textId="77777777" w:rsidR="00660610" w:rsidRPr="00664EC8" w:rsidRDefault="00660610" w:rsidP="00660610">
      <w:pPr>
        <w:pStyle w:val="Heading2"/>
        <w:rPr>
          <w:rFonts w:asciiTheme="minorHAnsi" w:hAnsiTheme="minorHAnsi" w:cstheme="minorHAnsi"/>
        </w:rPr>
      </w:pPr>
      <w:bookmarkStart w:id="19" w:name="_Toc326215672"/>
      <w:r w:rsidRPr="00664EC8">
        <w:rPr>
          <w:rFonts w:asciiTheme="minorHAnsi" w:hAnsiTheme="minorHAnsi" w:cstheme="minorHAnsi"/>
        </w:rPr>
        <w:t>2.1 Electric Energy Savings Estimation Methodologies</w:t>
      </w:r>
      <w:bookmarkEnd w:id="19"/>
    </w:p>
    <w:p w14:paraId="052AE912" w14:textId="2B91ED86" w:rsidR="00D307E3" w:rsidRDefault="00660610" w:rsidP="00660610">
      <w:pPr>
        <w:rPr>
          <w:rFonts w:cstheme="minorHAnsi"/>
        </w:rPr>
      </w:pPr>
      <w:r w:rsidRPr="00664EC8">
        <w:rPr>
          <w:rFonts w:cstheme="minorHAnsi"/>
        </w:rPr>
        <w:t>This work paper uses ASTM F1965</w:t>
      </w:r>
      <w:r w:rsidR="005123D3">
        <w:rPr>
          <w:rFonts w:cstheme="minorHAnsi"/>
        </w:rPr>
        <w:t>-99</w:t>
      </w:r>
      <w:r w:rsidR="00B9535C">
        <w:rPr>
          <w:rFonts w:cstheme="minorHAnsi"/>
        </w:rPr>
        <w:t xml:space="preserve"> </w:t>
      </w:r>
      <w:r w:rsidRPr="00664EC8">
        <w:rPr>
          <w:rFonts w:cstheme="minorHAnsi"/>
        </w:rPr>
        <w:t>(201</w:t>
      </w:r>
      <w:r w:rsidR="005123D3">
        <w:rPr>
          <w:rFonts w:cstheme="minorHAnsi"/>
        </w:rPr>
        <w:t>0</w:t>
      </w:r>
      <w:r w:rsidRPr="00664EC8">
        <w:rPr>
          <w:rFonts w:cstheme="minorHAnsi"/>
        </w:rPr>
        <w:t>) for calculation of energy use and demand, based on testing in an approved and qualified laboratory. In the absence of mandatory regulations for testing commercial deck ovens, there is</w:t>
      </w:r>
      <w:r>
        <w:rPr>
          <w:rFonts w:cstheme="minorHAnsi"/>
        </w:rPr>
        <w:t xml:space="preserve"> little incentive on</w:t>
      </w:r>
      <w:r w:rsidRPr="00664EC8">
        <w:rPr>
          <w:rFonts w:cstheme="minorHAnsi"/>
        </w:rPr>
        <w:t xml:space="preserve"> equipment manufacturers to have their baseline equipment tested. Therefore, the ASTM performance parameters for baseline equipment were drawn from a sample of economy grade equipment tested by the PG&amp;E Food Service Technology Center and the Southern California Edison Foodservice Technology Center.</w:t>
      </w:r>
      <w:r w:rsidR="00616973">
        <w:rPr>
          <w:rFonts w:cstheme="minorHAnsi"/>
        </w:rPr>
        <w:t xml:space="preserve"> </w:t>
      </w:r>
    </w:p>
    <w:p w14:paraId="1851F65D" w14:textId="7C7AF0DC" w:rsidR="00AF3F7F" w:rsidRDefault="00AF3F7F" w:rsidP="00660610">
      <w:pPr>
        <w:rPr>
          <w:rFonts w:cstheme="minorHAnsi"/>
        </w:rPr>
      </w:pPr>
    </w:p>
    <w:p w14:paraId="137726EE" w14:textId="29D16A55" w:rsidR="00AF3F7F" w:rsidRDefault="00AF3F7F" w:rsidP="00660610">
      <w:pPr>
        <w:rPr>
          <w:rFonts w:cstheme="minorHAnsi"/>
        </w:rPr>
      </w:pPr>
      <w:r>
        <w:rPr>
          <w:rFonts w:cstheme="minorHAnsi"/>
        </w:rPr>
        <w:t>The tested equipment was split into three tiers (Low, Medium, High) based on their efficiency. The average efficiencies</w:t>
      </w:r>
      <w:r w:rsidR="00E428FD">
        <w:rPr>
          <w:rFonts w:cstheme="minorHAnsi"/>
        </w:rPr>
        <w:t xml:space="preserve"> </w:t>
      </w:r>
      <w:r>
        <w:rPr>
          <w:rFonts w:cstheme="minorHAnsi"/>
        </w:rPr>
        <w:t xml:space="preserve">of the tiers </w:t>
      </w:r>
      <w:r w:rsidR="00E428FD">
        <w:rPr>
          <w:rFonts w:cstheme="minorHAnsi"/>
        </w:rPr>
        <w:t>(rounded to the tens place) are</w:t>
      </w:r>
      <w:r>
        <w:rPr>
          <w:rFonts w:cstheme="minorHAnsi"/>
        </w:rPr>
        <w:t xml:space="preserve"> shown below. </w:t>
      </w:r>
      <w:r w:rsidR="00E428FD">
        <w:rPr>
          <w:rFonts w:cstheme="minorHAnsi"/>
        </w:rPr>
        <w:t>Refer to Attachment 2, Tested Oven Efficiencies tab for more details.</w:t>
      </w:r>
    </w:p>
    <w:p w14:paraId="4EAA312A" w14:textId="4EC12C78" w:rsidR="00D307E3" w:rsidRDefault="00D307E3" w:rsidP="00660610">
      <w:pPr>
        <w:rPr>
          <w:rFonts w:cstheme="minorHAnsi"/>
        </w:rPr>
      </w:pPr>
    </w:p>
    <w:tbl>
      <w:tblPr>
        <w:tblStyle w:val="TableGrid1"/>
        <w:tblW w:w="2741" w:type="pct"/>
        <w:jc w:val="center"/>
        <w:tblLook w:val="01E0" w:firstRow="1" w:lastRow="1" w:firstColumn="1" w:lastColumn="1" w:noHBand="0" w:noVBand="0"/>
      </w:tblPr>
      <w:tblGrid>
        <w:gridCol w:w="1564"/>
        <w:gridCol w:w="1672"/>
        <w:gridCol w:w="1890"/>
      </w:tblGrid>
      <w:tr w:rsidR="0099593F" w:rsidRPr="00C17CAC" w14:paraId="5B894CD5" w14:textId="77777777" w:rsidTr="0070004C">
        <w:trPr>
          <w:trHeight w:val="441"/>
          <w:jc w:val="center"/>
        </w:trPr>
        <w:tc>
          <w:tcPr>
            <w:tcW w:w="1525" w:type="pct"/>
            <w:shd w:val="clear" w:color="auto" w:fill="D9D9D9" w:themeFill="background1" w:themeFillShade="D9"/>
            <w:vAlign w:val="center"/>
          </w:tcPr>
          <w:p w14:paraId="4432342C" w14:textId="1B164E6B" w:rsidR="00E428FD" w:rsidRPr="00C17CAC" w:rsidRDefault="00E428FD">
            <w:pPr>
              <w:jc w:val="center"/>
              <w:rPr>
                <w:rFonts w:cstheme="minorHAnsi"/>
                <w:b/>
                <w:bCs/>
                <w:color w:val="000000"/>
                <w:szCs w:val="20"/>
              </w:rPr>
            </w:pPr>
            <w:r>
              <w:rPr>
                <w:rFonts w:ascii="Calibri" w:hAnsi="Calibri" w:cs="Calibri"/>
                <w:b/>
                <w:bCs/>
                <w:color w:val="000000"/>
                <w:sz w:val="22"/>
                <w:szCs w:val="22"/>
              </w:rPr>
              <w:t>Tier</w:t>
            </w:r>
          </w:p>
        </w:tc>
        <w:tc>
          <w:tcPr>
            <w:tcW w:w="1631" w:type="pct"/>
            <w:shd w:val="clear" w:color="auto" w:fill="D9D9D9" w:themeFill="background1" w:themeFillShade="D9"/>
            <w:vAlign w:val="center"/>
          </w:tcPr>
          <w:p w14:paraId="5508488F" w14:textId="2633B184" w:rsidR="00E428FD" w:rsidRPr="00C17CAC" w:rsidRDefault="00E428FD">
            <w:pPr>
              <w:jc w:val="center"/>
              <w:rPr>
                <w:rFonts w:cstheme="minorHAnsi"/>
                <w:b/>
                <w:bCs/>
                <w:color w:val="000000"/>
                <w:szCs w:val="20"/>
              </w:rPr>
            </w:pPr>
            <w:r>
              <w:rPr>
                <w:rFonts w:ascii="Calibri" w:hAnsi="Calibri" w:cs="Calibri"/>
                <w:b/>
                <w:bCs/>
                <w:color w:val="000000"/>
                <w:sz w:val="22"/>
                <w:szCs w:val="22"/>
              </w:rPr>
              <w:t>Average Efficiency (%)</w:t>
            </w:r>
          </w:p>
        </w:tc>
        <w:tc>
          <w:tcPr>
            <w:tcW w:w="1844" w:type="pct"/>
            <w:shd w:val="clear" w:color="auto" w:fill="D9D9D9" w:themeFill="background1" w:themeFillShade="D9"/>
            <w:vAlign w:val="center"/>
          </w:tcPr>
          <w:p w14:paraId="297A7FE5" w14:textId="4EE3DFBC" w:rsidR="00E428FD" w:rsidRPr="00C17CAC" w:rsidRDefault="00E428FD">
            <w:pPr>
              <w:jc w:val="center"/>
              <w:rPr>
                <w:rFonts w:cstheme="minorHAnsi"/>
                <w:b/>
                <w:bCs/>
                <w:color w:val="000000"/>
                <w:szCs w:val="20"/>
              </w:rPr>
            </w:pPr>
            <w:r>
              <w:rPr>
                <w:rFonts w:ascii="Calibri" w:hAnsi="Calibri" w:cs="Calibri"/>
                <w:b/>
                <w:bCs/>
                <w:color w:val="000000"/>
                <w:sz w:val="22"/>
                <w:szCs w:val="22"/>
              </w:rPr>
              <w:t>Rounded Average Efficiency (%)</w:t>
            </w:r>
          </w:p>
        </w:tc>
      </w:tr>
      <w:tr w:rsidR="0099593F" w:rsidRPr="00664EC8" w14:paraId="34C4C553" w14:textId="77777777" w:rsidTr="0070004C">
        <w:trPr>
          <w:trHeight w:val="294"/>
          <w:jc w:val="center"/>
        </w:trPr>
        <w:tc>
          <w:tcPr>
            <w:tcW w:w="1525" w:type="pct"/>
            <w:vAlign w:val="center"/>
          </w:tcPr>
          <w:p w14:paraId="3D555CA6" w14:textId="2861ACDC" w:rsidR="00E428FD" w:rsidRPr="00664EC8" w:rsidRDefault="00E428FD">
            <w:pPr>
              <w:jc w:val="center"/>
              <w:rPr>
                <w:rFonts w:cstheme="minorHAnsi"/>
                <w:color w:val="000000"/>
                <w:szCs w:val="20"/>
              </w:rPr>
            </w:pPr>
            <w:r>
              <w:rPr>
                <w:rFonts w:ascii="Calibri" w:hAnsi="Calibri" w:cs="Calibri"/>
                <w:color w:val="000000"/>
                <w:sz w:val="22"/>
                <w:szCs w:val="22"/>
              </w:rPr>
              <w:t>Low</w:t>
            </w:r>
          </w:p>
        </w:tc>
        <w:tc>
          <w:tcPr>
            <w:tcW w:w="1631" w:type="pct"/>
            <w:vAlign w:val="center"/>
          </w:tcPr>
          <w:p w14:paraId="0ED01AE8" w14:textId="1F94F71E" w:rsidR="00E428FD" w:rsidRPr="00664EC8" w:rsidRDefault="00E428FD">
            <w:pPr>
              <w:jc w:val="center"/>
              <w:rPr>
                <w:rFonts w:cstheme="minorHAnsi"/>
                <w:color w:val="000000"/>
                <w:szCs w:val="20"/>
              </w:rPr>
            </w:pPr>
            <w:r>
              <w:rPr>
                <w:rFonts w:ascii="Calibri" w:hAnsi="Calibri" w:cs="Calibri"/>
                <w:color w:val="000000"/>
                <w:sz w:val="22"/>
                <w:szCs w:val="22"/>
              </w:rPr>
              <w:t>42%</w:t>
            </w:r>
          </w:p>
        </w:tc>
        <w:tc>
          <w:tcPr>
            <w:tcW w:w="1844" w:type="pct"/>
            <w:vAlign w:val="center"/>
          </w:tcPr>
          <w:p w14:paraId="60A4FE83" w14:textId="3DCAC18B" w:rsidR="00E428FD" w:rsidRPr="00664EC8" w:rsidRDefault="00E428FD">
            <w:pPr>
              <w:jc w:val="center"/>
              <w:rPr>
                <w:rFonts w:cstheme="minorHAnsi"/>
                <w:color w:val="000000"/>
                <w:szCs w:val="20"/>
              </w:rPr>
            </w:pPr>
            <w:r>
              <w:rPr>
                <w:rFonts w:ascii="Calibri" w:hAnsi="Calibri" w:cs="Calibri"/>
                <w:color w:val="000000"/>
                <w:sz w:val="22"/>
                <w:szCs w:val="22"/>
              </w:rPr>
              <w:t>40%</w:t>
            </w:r>
          </w:p>
        </w:tc>
      </w:tr>
      <w:tr w:rsidR="00E428FD" w:rsidRPr="00664EC8" w14:paraId="7649AA5D" w14:textId="77777777" w:rsidTr="0070004C">
        <w:trPr>
          <w:trHeight w:val="294"/>
          <w:jc w:val="center"/>
        </w:trPr>
        <w:tc>
          <w:tcPr>
            <w:tcW w:w="1525" w:type="pct"/>
            <w:vAlign w:val="center"/>
          </w:tcPr>
          <w:p w14:paraId="00278BAB" w14:textId="46314AD7" w:rsidR="00E428FD" w:rsidRPr="00664EC8" w:rsidRDefault="00E428FD">
            <w:pPr>
              <w:jc w:val="center"/>
              <w:rPr>
                <w:rFonts w:cstheme="minorHAnsi"/>
                <w:color w:val="000000"/>
                <w:szCs w:val="20"/>
              </w:rPr>
            </w:pPr>
            <w:r>
              <w:rPr>
                <w:rFonts w:ascii="Calibri" w:hAnsi="Calibri" w:cs="Calibri"/>
                <w:color w:val="000000"/>
                <w:sz w:val="22"/>
                <w:szCs w:val="22"/>
              </w:rPr>
              <w:t>Medium</w:t>
            </w:r>
          </w:p>
        </w:tc>
        <w:tc>
          <w:tcPr>
            <w:tcW w:w="1631" w:type="pct"/>
            <w:vAlign w:val="center"/>
          </w:tcPr>
          <w:p w14:paraId="0825D6B9" w14:textId="30D9031B" w:rsidR="00E428FD" w:rsidRPr="00664EC8" w:rsidRDefault="00E428FD">
            <w:pPr>
              <w:jc w:val="center"/>
              <w:rPr>
                <w:rFonts w:cstheme="minorHAnsi"/>
                <w:color w:val="000000"/>
                <w:szCs w:val="20"/>
              </w:rPr>
            </w:pPr>
            <w:r>
              <w:rPr>
                <w:rFonts w:ascii="Calibri" w:hAnsi="Calibri" w:cs="Calibri"/>
                <w:color w:val="000000"/>
                <w:sz w:val="22"/>
                <w:szCs w:val="22"/>
              </w:rPr>
              <w:t>57%</w:t>
            </w:r>
          </w:p>
        </w:tc>
        <w:tc>
          <w:tcPr>
            <w:tcW w:w="1844" w:type="pct"/>
            <w:vAlign w:val="center"/>
          </w:tcPr>
          <w:p w14:paraId="2EAB2225" w14:textId="266FB947" w:rsidR="00E428FD" w:rsidRPr="00664EC8" w:rsidRDefault="00E428FD">
            <w:pPr>
              <w:jc w:val="center"/>
              <w:rPr>
                <w:rFonts w:cstheme="minorHAnsi"/>
                <w:color w:val="000000"/>
                <w:szCs w:val="20"/>
              </w:rPr>
            </w:pPr>
            <w:r>
              <w:rPr>
                <w:rFonts w:ascii="Calibri" w:hAnsi="Calibri" w:cs="Calibri"/>
                <w:color w:val="000000"/>
                <w:sz w:val="22"/>
                <w:szCs w:val="22"/>
              </w:rPr>
              <w:t>60%</w:t>
            </w:r>
          </w:p>
        </w:tc>
      </w:tr>
      <w:tr w:rsidR="00E428FD" w:rsidRPr="00664EC8" w14:paraId="0097D4AD" w14:textId="77777777" w:rsidTr="0070004C">
        <w:trPr>
          <w:trHeight w:val="294"/>
          <w:jc w:val="center"/>
        </w:trPr>
        <w:tc>
          <w:tcPr>
            <w:tcW w:w="1525" w:type="pct"/>
            <w:vAlign w:val="center"/>
          </w:tcPr>
          <w:p w14:paraId="6C381A8F" w14:textId="6C10E88E" w:rsidR="00E428FD" w:rsidRPr="00664EC8" w:rsidRDefault="00E428FD">
            <w:pPr>
              <w:jc w:val="center"/>
              <w:rPr>
                <w:rFonts w:cstheme="minorHAnsi"/>
                <w:color w:val="000000"/>
                <w:szCs w:val="20"/>
              </w:rPr>
            </w:pPr>
            <w:r>
              <w:rPr>
                <w:rFonts w:ascii="Calibri" w:hAnsi="Calibri" w:cs="Calibri"/>
                <w:color w:val="000000"/>
                <w:sz w:val="22"/>
                <w:szCs w:val="22"/>
              </w:rPr>
              <w:t>High</w:t>
            </w:r>
          </w:p>
        </w:tc>
        <w:tc>
          <w:tcPr>
            <w:tcW w:w="1631" w:type="pct"/>
            <w:vAlign w:val="center"/>
          </w:tcPr>
          <w:p w14:paraId="3F5FD0DE" w14:textId="1058E80C" w:rsidR="00E428FD" w:rsidRPr="00664EC8" w:rsidRDefault="00E428FD">
            <w:pPr>
              <w:jc w:val="center"/>
              <w:rPr>
                <w:rFonts w:cstheme="minorHAnsi"/>
                <w:color w:val="000000"/>
                <w:szCs w:val="20"/>
              </w:rPr>
            </w:pPr>
            <w:r>
              <w:rPr>
                <w:rFonts w:ascii="Calibri" w:hAnsi="Calibri" w:cs="Calibri"/>
                <w:color w:val="000000"/>
                <w:sz w:val="22"/>
                <w:szCs w:val="22"/>
              </w:rPr>
              <w:t>73%</w:t>
            </w:r>
          </w:p>
        </w:tc>
        <w:tc>
          <w:tcPr>
            <w:tcW w:w="1844" w:type="pct"/>
            <w:vAlign w:val="center"/>
          </w:tcPr>
          <w:p w14:paraId="59DCA44C" w14:textId="2723B315" w:rsidR="00E428FD" w:rsidRPr="00664EC8" w:rsidRDefault="00E428FD">
            <w:pPr>
              <w:jc w:val="center"/>
              <w:rPr>
                <w:rFonts w:cstheme="minorHAnsi"/>
                <w:color w:val="000000"/>
                <w:szCs w:val="20"/>
              </w:rPr>
            </w:pPr>
            <w:r>
              <w:rPr>
                <w:rFonts w:ascii="Calibri" w:hAnsi="Calibri" w:cs="Calibri"/>
                <w:color w:val="000000"/>
                <w:sz w:val="22"/>
                <w:szCs w:val="22"/>
              </w:rPr>
              <w:t>70%</w:t>
            </w:r>
          </w:p>
        </w:tc>
      </w:tr>
    </w:tbl>
    <w:p w14:paraId="181D0BE4" w14:textId="4A81814C" w:rsidR="00D307E3" w:rsidRDefault="00D307E3" w:rsidP="00660610">
      <w:pPr>
        <w:rPr>
          <w:rFonts w:cstheme="minorHAnsi"/>
        </w:rPr>
      </w:pPr>
    </w:p>
    <w:p w14:paraId="0FBFB0D8" w14:textId="654A259C" w:rsidR="00660610" w:rsidRPr="00664EC8" w:rsidRDefault="00175927" w:rsidP="00660610">
      <w:pPr>
        <w:rPr>
          <w:rFonts w:cstheme="minorHAnsi"/>
        </w:rPr>
      </w:pPr>
      <w:r>
        <w:rPr>
          <w:rFonts w:cstheme="minorHAnsi"/>
        </w:rPr>
        <w:t>The</w:t>
      </w:r>
      <w:r w:rsidR="00E428FD">
        <w:rPr>
          <w:rFonts w:cstheme="minorHAnsi"/>
        </w:rPr>
        <w:t xml:space="preserve"> rounded average efficiency of the Low Tier was used for the baseline efficiency. The rounded average efficiency of the Medium Tier was used for the measure case efficiency. </w:t>
      </w:r>
      <w:r w:rsidR="003F2A77">
        <w:rPr>
          <w:rFonts w:cstheme="minorHAnsi"/>
        </w:rPr>
        <w:t>As the measure case represents only the medium efficiency tier</w:t>
      </w:r>
      <w:r w:rsidR="00934704">
        <w:rPr>
          <w:rFonts w:cstheme="minorHAnsi"/>
        </w:rPr>
        <w:t>,</w:t>
      </w:r>
      <w:r w:rsidR="003F2A77">
        <w:rPr>
          <w:rFonts w:cstheme="minorHAnsi"/>
        </w:rPr>
        <w:t xml:space="preserve"> the</w:t>
      </w:r>
      <w:r>
        <w:rPr>
          <w:rFonts w:cstheme="minorHAnsi"/>
        </w:rPr>
        <w:t xml:space="preserve"> calculations</w:t>
      </w:r>
      <w:r w:rsidR="00F20B42">
        <w:rPr>
          <w:rFonts w:cstheme="minorHAnsi"/>
        </w:rPr>
        <w:t xml:space="preserve"> presented below use a</w:t>
      </w:r>
      <w:r w:rsidR="00DE1638">
        <w:rPr>
          <w:rFonts w:cstheme="minorHAnsi"/>
        </w:rPr>
        <w:t xml:space="preserve"> more</w:t>
      </w:r>
      <w:r w:rsidR="00F20B42">
        <w:rPr>
          <w:rFonts w:cstheme="minorHAnsi"/>
        </w:rPr>
        <w:t xml:space="preserve"> conservative approach in terms </w:t>
      </w:r>
      <w:r w:rsidR="00DE1638">
        <w:rPr>
          <w:rFonts w:cstheme="minorHAnsi"/>
        </w:rPr>
        <w:t>of</w:t>
      </w:r>
      <w:r w:rsidR="00F20B42">
        <w:rPr>
          <w:rFonts w:cstheme="minorHAnsi"/>
        </w:rPr>
        <w:t xml:space="preserve"> oven efficiency and energy usage compared to the</w:t>
      </w:r>
      <w:r w:rsidR="00FB7FF2">
        <w:rPr>
          <w:rFonts w:cstheme="minorHAnsi"/>
        </w:rPr>
        <w:t xml:space="preserve"> actual</w:t>
      </w:r>
      <w:r w:rsidR="00F20B42">
        <w:rPr>
          <w:rFonts w:cstheme="minorHAnsi"/>
        </w:rPr>
        <w:t xml:space="preserve"> performance testing data </w:t>
      </w:r>
      <w:r w:rsidR="00DE1638">
        <w:rPr>
          <w:rFonts w:cstheme="minorHAnsi"/>
        </w:rPr>
        <w:t>obtained from Food Service Technology Center website</w:t>
      </w:r>
      <w:r w:rsidR="00F20B42">
        <w:rPr>
          <w:rFonts w:cstheme="minorHAnsi"/>
        </w:rPr>
        <w:t xml:space="preserve">. </w:t>
      </w:r>
      <w:r w:rsidR="00660610" w:rsidRPr="00664EC8">
        <w:rPr>
          <w:rFonts w:cstheme="minorHAnsi"/>
        </w:rPr>
        <w:t xml:space="preserve">  </w:t>
      </w:r>
    </w:p>
    <w:p w14:paraId="5BA73D10" w14:textId="77777777" w:rsidR="005E6C7E" w:rsidRDefault="005E6C7E" w:rsidP="0070004C">
      <w:pPr>
        <w:pStyle w:val="Caption"/>
        <w:jc w:val="center"/>
        <w:rPr>
          <w:rFonts w:cstheme="minorHAnsi"/>
          <w:szCs w:val="22"/>
        </w:rPr>
      </w:pPr>
    </w:p>
    <w:p w14:paraId="60984648" w14:textId="6A0EFA5A" w:rsidR="00660610" w:rsidRPr="00664EC8" w:rsidRDefault="00660610" w:rsidP="0070004C">
      <w:pPr>
        <w:pStyle w:val="Caption"/>
        <w:jc w:val="center"/>
        <w:rPr>
          <w:rFonts w:cstheme="minorHAnsi"/>
          <w:szCs w:val="22"/>
        </w:rPr>
      </w:pPr>
      <w:r w:rsidRPr="00664EC8">
        <w:rPr>
          <w:rFonts w:cstheme="minorHAnsi"/>
          <w:szCs w:val="22"/>
        </w:rPr>
        <w:fldChar w:fldCharType="begin"/>
      </w:r>
      <w:r w:rsidRPr="00664EC8">
        <w:rPr>
          <w:rFonts w:cstheme="minorHAnsi"/>
          <w:szCs w:val="22"/>
        </w:rPr>
        <w:instrText xml:space="preserve"> TC /f “Table”</w:instrText>
      </w:r>
      <w:r w:rsidRPr="00664EC8">
        <w:rPr>
          <w:rFonts w:cstheme="minorHAnsi"/>
          <w:szCs w:val="22"/>
        </w:rPr>
        <w:fldChar w:fldCharType="end"/>
      </w:r>
      <w:bookmarkStart w:id="20" w:name="_Toc326932881"/>
      <w:r w:rsidR="00915D0F">
        <w:t>B</w:t>
      </w:r>
      <w:r w:rsidRPr="00664EC8">
        <w:rPr>
          <w:rFonts w:cstheme="minorHAnsi"/>
          <w:szCs w:val="22"/>
        </w:rPr>
        <w:t>aseline ASTM test results for Commercial Deck Ovens</w:t>
      </w:r>
      <w:bookmarkEnd w:id="20"/>
    </w:p>
    <w:tbl>
      <w:tblPr>
        <w:tblStyle w:val="TableGrid1"/>
        <w:tblW w:w="3161" w:type="pct"/>
        <w:jc w:val="center"/>
        <w:tblLook w:val="01E0" w:firstRow="1" w:lastRow="1" w:firstColumn="1" w:lastColumn="1" w:noHBand="0" w:noVBand="0"/>
      </w:tblPr>
      <w:tblGrid>
        <w:gridCol w:w="1563"/>
        <w:gridCol w:w="2284"/>
        <w:gridCol w:w="2064"/>
      </w:tblGrid>
      <w:tr w:rsidR="00660610" w:rsidRPr="00664EC8" w14:paraId="2257DF32" w14:textId="77777777" w:rsidTr="0070004C">
        <w:trPr>
          <w:trHeight w:val="441"/>
          <w:jc w:val="center"/>
        </w:trPr>
        <w:tc>
          <w:tcPr>
            <w:tcW w:w="1322" w:type="pct"/>
            <w:shd w:val="clear" w:color="auto" w:fill="D9D9D9" w:themeFill="background1" w:themeFillShade="D9"/>
          </w:tcPr>
          <w:p w14:paraId="4CCD2254" w14:textId="77777777" w:rsidR="00660610" w:rsidRPr="00C17CAC" w:rsidRDefault="00660610">
            <w:pPr>
              <w:jc w:val="center"/>
              <w:rPr>
                <w:rFonts w:cstheme="minorHAnsi"/>
                <w:b/>
                <w:bCs/>
                <w:color w:val="000000"/>
                <w:szCs w:val="20"/>
              </w:rPr>
            </w:pPr>
            <w:r w:rsidRPr="00C17CAC">
              <w:rPr>
                <w:rFonts w:cstheme="minorHAnsi"/>
                <w:b/>
                <w:color w:val="000000"/>
                <w:szCs w:val="20"/>
              </w:rPr>
              <w:t>Idle Energy Rate</w:t>
            </w:r>
          </w:p>
        </w:tc>
        <w:tc>
          <w:tcPr>
            <w:tcW w:w="1932" w:type="pct"/>
            <w:shd w:val="clear" w:color="auto" w:fill="D9D9D9" w:themeFill="background1" w:themeFillShade="D9"/>
          </w:tcPr>
          <w:p w14:paraId="74AAD91D" w14:textId="77777777" w:rsidR="00660610" w:rsidRPr="00C17CAC" w:rsidRDefault="00660610">
            <w:pPr>
              <w:jc w:val="center"/>
              <w:rPr>
                <w:rFonts w:cstheme="minorHAnsi"/>
                <w:b/>
                <w:bCs/>
                <w:color w:val="000000"/>
                <w:szCs w:val="20"/>
              </w:rPr>
            </w:pPr>
            <w:r w:rsidRPr="00C17CAC">
              <w:rPr>
                <w:rFonts w:cstheme="minorHAnsi"/>
                <w:b/>
                <w:color w:val="000000"/>
                <w:szCs w:val="20"/>
              </w:rPr>
              <w:t>Cooking-Energy Efficiency*</w:t>
            </w:r>
          </w:p>
        </w:tc>
        <w:tc>
          <w:tcPr>
            <w:tcW w:w="1746" w:type="pct"/>
            <w:shd w:val="clear" w:color="auto" w:fill="D9D9D9" w:themeFill="background1" w:themeFillShade="D9"/>
          </w:tcPr>
          <w:p w14:paraId="59581D41" w14:textId="77777777" w:rsidR="00660610" w:rsidRPr="00C17CAC" w:rsidRDefault="00660610">
            <w:pPr>
              <w:jc w:val="center"/>
              <w:rPr>
                <w:rFonts w:cstheme="minorHAnsi"/>
                <w:b/>
                <w:bCs/>
                <w:color w:val="000000"/>
                <w:szCs w:val="20"/>
              </w:rPr>
            </w:pPr>
            <w:r w:rsidRPr="00C17CAC">
              <w:rPr>
                <w:rFonts w:cstheme="minorHAnsi"/>
                <w:b/>
                <w:color w:val="000000"/>
                <w:szCs w:val="20"/>
              </w:rPr>
              <w:t>Production Capacity</w:t>
            </w:r>
          </w:p>
          <w:p w14:paraId="246719DC" w14:textId="77777777" w:rsidR="00660610" w:rsidRPr="00C17CAC" w:rsidRDefault="00660610">
            <w:pPr>
              <w:jc w:val="center"/>
              <w:rPr>
                <w:rFonts w:cstheme="minorHAnsi"/>
                <w:b/>
                <w:bCs/>
                <w:color w:val="000000"/>
                <w:szCs w:val="20"/>
              </w:rPr>
            </w:pPr>
            <w:r w:rsidRPr="00C17CAC">
              <w:rPr>
                <w:rFonts w:cstheme="minorHAnsi"/>
                <w:b/>
                <w:color w:val="000000"/>
                <w:szCs w:val="20"/>
              </w:rPr>
              <w:t>(lb/h)*</w:t>
            </w:r>
          </w:p>
        </w:tc>
      </w:tr>
      <w:tr w:rsidR="00660610" w:rsidRPr="00664EC8" w14:paraId="6C5B30A0" w14:textId="77777777" w:rsidTr="0070004C">
        <w:trPr>
          <w:trHeight w:val="294"/>
          <w:jc w:val="center"/>
        </w:trPr>
        <w:tc>
          <w:tcPr>
            <w:tcW w:w="1322" w:type="pct"/>
          </w:tcPr>
          <w:p w14:paraId="201A4593" w14:textId="77777777" w:rsidR="00660610" w:rsidRPr="00664EC8" w:rsidRDefault="00660610">
            <w:pPr>
              <w:jc w:val="center"/>
              <w:rPr>
                <w:rFonts w:cstheme="minorHAnsi"/>
                <w:color w:val="000000"/>
                <w:szCs w:val="20"/>
              </w:rPr>
            </w:pPr>
            <w:r w:rsidRPr="00664EC8">
              <w:rPr>
                <w:rFonts w:cstheme="minorHAnsi"/>
                <w:color w:val="000000"/>
                <w:szCs w:val="20"/>
              </w:rPr>
              <w:t>1,900 W</w:t>
            </w:r>
          </w:p>
        </w:tc>
        <w:tc>
          <w:tcPr>
            <w:tcW w:w="1932" w:type="pct"/>
          </w:tcPr>
          <w:p w14:paraId="2AEBEC06" w14:textId="77777777" w:rsidR="00660610" w:rsidRPr="00664EC8" w:rsidRDefault="00660610">
            <w:pPr>
              <w:jc w:val="center"/>
              <w:rPr>
                <w:rFonts w:cstheme="minorHAnsi"/>
                <w:color w:val="000000"/>
                <w:szCs w:val="20"/>
              </w:rPr>
            </w:pPr>
            <w:r w:rsidRPr="00664EC8">
              <w:rPr>
                <w:rFonts w:cstheme="minorHAnsi"/>
                <w:color w:val="000000"/>
                <w:szCs w:val="20"/>
              </w:rPr>
              <w:t>40%</w:t>
            </w:r>
          </w:p>
        </w:tc>
        <w:tc>
          <w:tcPr>
            <w:tcW w:w="1746" w:type="pct"/>
          </w:tcPr>
          <w:p w14:paraId="37CA70EE" w14:textId="77777777" w:rsidR="00660610" w:rsidRPr="00664EC8" w:rsidRDefault="00660610">
            <w:pPr>
              <w:jc w:val="center"/>
              <w:rPr>
                <w:rFonts w:cstheme="minorHAnsi"/>
                <w:color w:val="000000"/>
                <w:szCs w:val="20"/>
              </w:rPr>
            </w:pPr>
            <w:r w:rsidRPr="00664EC8">
              <w:rPr>
                <w:rFonts w:cstheme="minorHAnsi"/>
                <w:color w:val="000000"/>
                <w:szCs w:val="20"/>
              </w:rPr>
              <w:t>60</w:t>
            </w:r>
          </w:p>
        </w:tc>
      </w:tr>
    </w:tbl>
    <w:p w14:paraId="016565FC" w14:textId="77777777" w:rsidR="00660610" w:rsidRPr="00664EC8" w:rsidRDefault="00660610" w:rsidP="0070004C">
      <w:pPr>
        <w:pStyle w:val="BodyText"/>
        <w:jc w:val="center"/>
        <w:rPr>
          <w:rFonts w:asciiTheme="minorHAnsi" w:hAnsiTheme="minorHAnsi" w:cstheme="minorHAnsi"/>
          <w:szCs w:val="24"/>
        </w:rPr>
      </w:pPr>
      <w:r w:rsidRPr="00664EC8">
        <w:rPr>
          <w:rFonts w:asciiTheme="minorHAnsi" w:hAnsiTheme="minorHAnsi" w:cstheme="minorHAnsi"/>
          <w:szCs w:val="24"/>
        </w:rPr>
        <w:t>*Based on the Heavy-load Pizza test in ASTM F1965.</w:t>
      </w:r>
    </w:p>
    <w:p w14:paraId="2A0631C4" w14:textId="77777777" w:rsidR="00660610" w:rsidRPr="00664EC8" w:rsidRDefault="00660610" w:rsidP="0070004C">
      <w:pPr>
        <w:jc w:val="center"/>
        <w:rPr>
          <w:rFonts w:cstheme="minorHAnsi"/>
        </w:rPr>
      </w:pPr>
    </w:p>
    <w:p w14:paraId="4AAFEF0A" w14:textId="577DBFAC" w:rsidR="00660610" w:rsidRPr="00664EC8" w:rsidRDefault="00660610" w:rsidP="0070004C">
      <w:pPr>
        <w:pStyle w:val="Caption"/>
        <w:jc w:val="center"/>
        <w:rPr>
          <w:rFonts w:cstheme="minorHAnsi"/>
          <w:szCs w:val="22"/>
        </w:rPr>
      </w:pPr>
      <w:r w:rsidRPr="00664EC8">
        <w:rPr>
          <w:rFonts w:cstheme="minorHAnsi"/>
          <w:szCs w:val="22"/>
        </w:rPr>
        <w:fldChar w:fldCharType="begin"/>
      </w:r>
      <w:r w:rsidRPr="00664EC8">
        <w:rPr>
          <w:rFonts w:cstheme="minorHAnsi"/>
          <w:szCs w:val="22"/>
        </w:rPr>
        <w:instrText xml:space="preserve"> TC /f “Table”</w:instrText>
      </w:r>
      <w:r w:rsidRPr="00664EC8">
        <w:rPr>
          <w:rFonts w:cstheme="minorHAnsi"/>
          <w:szCs w:val="22"/>
        </w:rPr>
        <w:fldChar w:fldCharType="end"/>
      </w:r>
      <w:r w:rsidRPr="00664EC8">
        <w:rPr>
          <w:rFonts w:cstheme="minorHAnsi"/>
          <w:szCs w:val="22"/>
        </w:rPr>
        <w:fldChar w:fldCharType="begin"/>
      </w:r>
      <w:r w:rsidRPr="00664EC8">
        <w:rPr>
          <w:rFonts w:cstheme="minorHAnsi"/>
          <w:szCs w:val="22"/>
        </w:rPr>
        <w:instrText xml:space="preserve"> TC /f “Table”</w:instrText>
      </w:r>
      <w:r w:rsidRPr="00664EC8">
        <w:rPr>
          <w:rFonts w:cstheme="minorHAnsi"/>
          <w:szCs w:val="22"/>
        </w:rPr>
        <w:fldChar w:fldCharType="end"/>
      </w:r>
      <w:bookmarkStart w:id="21" w:name="_Toc326932882"/>
      <w:r w:rsidR="00915D0F">
        <w:t>M</w:t>
      </w:r>
      <w:r w:rsidRPr="00664EC8">
        <w:rPr>
          <w:rFonts w:cstheme="minorHAnsi"/>
          <w:szCs w:val="22"/>
        </w:rPr>
        <w:t>easure ASTM test results for Commercial Deck Ovens</w:t>
      </w:r>
      <w:bookmarkEnd w:id="21"/>
    </w:p>
    <w:tbl>
      <w:tblPr>
        <w:tblStyle w:val="TableGrid1"/>
        <w:tblW w:w="0" w:type="auto"/>
        <w:jc w:val="center"/>
        <w:tblLook w:val="01E0" w:firstRow="1" w:lastRow="1" w:firstColumn="1" w:lastColumn="1" w:noHBand="0" w:noVBand="0"/>
      </w:tblPr>
      <w:tblGrid>
        <w:gridCol w:w="1565"/>
        <w:gridCol w:w="2391"/>
        <w:gridCol w:w="2160"/>
      </w:tblGrid>
      <w:tr w:rsidR="00660610" w:rsidRPr="00664EC8" w14:paraId="15B3901A" w14:textId="77777777" w:rsidTr="0070004C">
        <w:trPr>
          <w:trHeight w:val="460"/>
          <w:jc w:val="center"/>
        </w:trPr>
        <w:tc>
          <w:tcPr>
            <w:tcW w:w="0" w:type="auto"/>
            <w:shd w:val="clear" w:color="auto" w:fill="D9D9D9" w:themeFill="background1" w:themeFillShade="D9"/>
          </w:tcPr>
          <w:p w14:paraId="5A7238DF" w14:textId="77777777" w:rsidR="00660610" w:rsidRPr="00C17CAC" w:rsidRDefault="00660610">
            <w:pPr>
              <w:jc w:val="center"/>
              <w:rPr>
                <w:rFonts w:cstheme="minorHAnsi"/>
                <w:b/>
                <w:bCs/>
                <w:color w:val="000000"/>
                <w:szCs w:val="20"/>
              </w:rPr>
            </w:pPr>
            <w:r w:rsidRPr="00C17CAC">
              <w:rPr>
                <w:rFonts w:cstheme="minorHAnsi"/>
                <w:b/>
                <w:color w:val="000000"/>
                <w:szCs w:val="20"/>
              </w:rPr>
              <w:t>Idle Energy Rate</w:t>
            </w:r>
          </w:p>
        </w:tc>
        <w:tc>
          <w:tcPr>
            <w:tcW w:w="2391" w:type="dxa"/>
            <w:shd w:val="clear" w:color="auto" w:fill="D9D9D9" w:themeFill="background1" w:themeFillShade="D9"/>
          </w:tcPr>
          <w:p w14:paraId="6AFCAA43" w14:textId="77777777" w:rsidR="00660610" w:rsidRPr="00C17CAC" w:rsidRDefault="00660610">
            <w:pPr>
              <w:jc w:val="center"/>
              <w:rPr>
                <w:rFonts w:cstheme="minorHAnsi"/>
                <w:b/>
                <w:bCs/>
                <w:color w:val="000000"/>
                <w:szCs w:val="20"/>
              </w:rPr>
            </w:pPr>
            <w:r w:rsidRPr="00C17CAC">
              <w:rPr>
                <w:rFonts w:cstheme="minorHAnsi"/>
                <w:b/>
                <w:color w:val="000000"/>
                <w:szCs w:val="20"/>
              </w:rPr>
              <w:t>Cooking-Energy Efficiency*</w:t>
            </w:r>
          </w:p>
        </w:tc>
        <w:tc>
          <w:tcPr>
            <w:tcW w:w="2160" w:type="dxa"/>
            <w:shd w:val="clear" w:color="auto" w:fill="D9D9D9" w:themeFill="background1" w:themeFillShade="D9"/>
          </w:tcPr>
          <w:p w14:paraId="7A1CB1B7" w14:textId="77777777" w:rsidR="00660610" w:rsidRPr="00C17CAC" w:rsidRDefault="00660610">
            <w:pPr>
              <w:jc w:val="center"/>
              <w:rPr>
                <w:rFonts w:cstheme="minorHAnsi"/>
                <w:b/>
                <w:bCs/>
                <w:color w:val="000000"/>
                <w:szCs w:val="20"/>
              </w:rPr>
            </w:pPr>
            <w:r w:rsidRPr="00C17CAC">
              <w:rPr>
                <w:rFonts w:cstheme="minorHAnsi"/>
                <w:b/>
                <w:color w:val="000000"/>
                <w:szCs w:val="20"/>
              </w:rPr>
              <w:t>Production Capacity</w:t>
            </w:r>
          </w:p>
          <w:p w14:paraId="39DAB08B" w14:textId="77777777" w:rsidR="00660610" w:rsidRPr="00C17CAC" w:rsidRDefault="00660610">
            <w:pPr>
              <w:jc w:val="center"/>
              <w:rPr>
                <w:rFonts w:cstheme="minorHAnsi"/>
                <w:b/>
                <w:bCs/>
                <w:color w:val="000000"/>
                <w:szCs w:val="20"/>
              </w:rPr>
            </w:pPr>
            <w:r w:rsidRPr="00C17CAC">
              <w:rPr>
                <w:rFonts w:cstheme="minorHAnsi"/>
                <w:b/>
                <w:color w:val="000000"/>
                <w:szCs w:val="20"/>
              </w:rPr>
              <w:t>(lb/h)*</w:t>
            </w:r>
          </w:p>
        </w:tc>
      </w:tr>
      <w:tr w:rsidR="00660610" w:rsidRPr="00664EC8" w14:paraId="370D54F3" w14:textId="77777777" w:rsidTr="0070004C">
        <w:trPr>
          <w:trHeight w:val="307"/>
          <w:jc w:val="center"/>
        </w:trPr>
        <w:tc>
          <w:tcPr>
            <w:tcW w:w="0" w:type="auto"/>
          </w:tcPr>
          <w:p w14:paraId="24ABF37D" w14:textId="77777777" w:rsidR="00660610" w:rsidRPr="00664EC8" w:rsidRDefault="00660610">
            <w:pPr>
              <w:jc w:val="center"/>
              <w:rPr>
                <w:rFonts w:cstheme="minorHAnsi"/>
                <w:color w:val="000000"/>
                <w:szCs w:val="20"/>
              </w:rPr>
            </w:pPr>
            <w:r w:rsidRPr="00664EC8">
              <w:rPr>
                <w:rFonts w:cstheme="minorHAnsi"/>
                <w:color w:val="000000"/>
                <w:szCs w:val="20"/>
              </w:rPr>
              <w:t>1,300 W</w:t>
            </w:r>
          </w:p>
        </w:tc>
        <w:tc>
          <w:tcPr>
            <w:tcW w:w="2391" w:type="dxa"/>
          </w:tcPr>
          <w:p w14:paraId="73A8C52B" w14:textId="77777777" w:rsidR="00660610" w:rsidRPr="00664EC8" w:rsidDel="00961610" w:rsidRDefault="00660610">
            <w:pPr>
              <w:jc w:val="center"/>
              <w:rPr>
                <w:rFonts w:cstheme="minorHAnsi"/>
                <w:color w:val="000000"/>
                <w:szCs w:val="20"/>
              </w:rPr>
            </w:pPr>
            <w:r w:rsidRPr="00664EC8">
              <w:rPr>
                <w:rFonts w:cstheme="minorHAnsi"/>
                <w:color w:val="000000"/>
                <w:szCs w:val="20"/>
              </w:rPr>
              <w:t>60%</w:t>
            </w:r>
          </w:p>
        </w:tc>
        <w:tc>
          <w:tcPr>
            <w:tcW w:w="2160" w:type="dxa"/>
          </w:tcPr>
          <w:p w14:paraId="2CA0FCC1" w14:textId="41474F3A" w:rsidR="00660610" w:rsidRPr="00664EC8" w:rsidDel="00961610" w:rsidRDefault="00BE7224">
            <w:pPr>
              <w:jc w:val="center"/>
              <w:rPr>
                <w:rFonts w:cstheme="minorHAnsi"/>
                <w:color w:val="000000"/>
                <w:szCs w:val="20"/>
              </w:rPr>
            </w:pPr>
            <w:r>
              <w:rPr>
                <w:rFonts w:cstheme="minorHAnsi"/>
                <w:color w:val="000000"/>
                <w:szCs w:val="20"/>
              </w:rPr>
              <w:t>6</w:t>
            </w:r>
            <w:r w:rsidR="00660610" w:rsidRPr="00664EC8">
              <w:rPr>
                <w:rFonts w:cstheme="minorHAnsi"/>
                <w:color w:val="000000"/>
                <w:szCs w:val="20"/>
              </w:rPr>
              <w:t>0</w:t>
            </w:r>
          </w:p>
        </w:tc>
      </w:tr>
    </w:tbl>
    <w:p w14:paraId="1580CA24" w14:textId="77777777" w:rsidR="00660610" w:rsidRPr="00664EC8" w:rsidRDefault="00660610" w:rsidP="0070004C">
      <w:pPr>
        <w:pStyle w:val="BodyText"/>
        <w:jc w:val="center"/>
        <w:rPr>
          <w:rFonts w:asciiTheme="minorHAnsi" w:hAnsiTheme="minorHAnsi" w:cstheme="minorHAnsi"/>
          <w:szCs w:val="24"/>
        </w:rPr>
      </w:pPr>
      <w:r w:rsidRPr="00664EC8">
        <w:rPr>
          <w:rFonts w:asciiTheme="minorHAnsi" w:hAnsiTheme="minorHAnsi" w:cstheme="minorHAnsi"/>
          <w:szCs w:val="24"/>
        </w:rPr>
        <w:t>*Based on the Heavy-load Pizza test in ASTM F1965.</w:t>
      </w:r>
    </w:p>
    <w:p w14:paraId="08D79515" w14:textId="77777777" w:rsidR="00660610" w:rsidRPr="00664EC8" w:rsidRDefault="00660610" w:rsidP="0070004C">
      <w:pPr>
        <w:jc w:val="center"/>
        <w:rPr>
          <w:rFonts w:cstheme="minorHAnsi"/>
          <w:szCs w:val="22"/>
        </w:rPr>
      </w:pPr>
    </w:p>
    <w:p w14:paraId="776D7F41" w14:textId="77777777" w:rsidR="00A86529" w:rsidRDefault="00A86529">
      <w:pPr>
        <w:spacing w:after="200" w:line="276" w:lineRule="auto"/>
        <w:rPr>
          <w:rFonts w:cstheme="minorHAnsi"/>
        </w:rPr>
      </w:pPr>
      <w:bookmarkStart w:id="22" w:name="_Toc174327975"/>
      <w:r>
        <w:rPr>
          <w:rFonts w:cstheme="minorHAnsi"/>
        </w:rPr>
        <w:br w:type="page"/>
      </w:r>
    </w:p>
    <w:p w14:paraId="517EFD7A" w14:textId="6891CC2D" w:rsidR="00660610" w:rsidRPr="00664EC8" w:rsidRDefault="00E408EA" w:rsidP="00660610">
      <w:pPr>
        <w:rPr>
          <w:rFonts w:cstheme="minorHAnsi"/>
        </w:rPr>
      </w:pPr>
      <w:r>
        <w:rPr>
          <w:rFonts w:cstheme="minorHAnsi"/>
        </w:rPr>
        <w:t xml:space="preserve">The table below </w:t>
      </w:r>
      <w:r w:rsidR="00660610">
        <w:rPr>
          <w:rFonts w:cstheme="minorHAnsi"/>
        </w:rPr>
        <w:t>shows</w:t>
      </w:r>
      <w:r w:rsidR="00660610" w:rsidRPr="00664EC8">
        <w:rPr>
          <w:rFonts w:cstheme="minorHAnsi"/>
        </w:rPr>
        <w:t xml:space="preserve"> the calculation results</w:t>
      </w:r>
      <w:r>
        <w:rPr>
          <w:rFonts w:cstheme="minorHAnsi"/>
        </w:rPr>
        <w:t xml:space="preserve"> of the deck oven cost effectiveness</w:t>
      </w:r>
      <w:r w:rsidR="006171DA">
        <w:rPr>
          <w:rFonts w:cstheme="minorHAnsi"/>
        </w:rPr>
        <w:t>.</w:t>
      </w:r>
    </w:p>
    <w:p w14:paraId="0FCF09AA" w14:textId="77777777" w:rsidR="00660610" w:rsidRPr="00664EC8" w:rsidRDefault="00660610" w:rsidP="00660610">
      <w:pPr>
        <w:rPr>
          <w:rFonts w:cstheme="minorHAnsi"/>
        </w:rPr>
      </w:pPr>
    </w:p>
    <w:p w14:paraId="14B27828" w14:textId="4B50A1CA" w:rsidR="00660610" w:rsidRPr="00664EC8" w:rsidRDefault="00660610">
      <w:pPr>
        <w:pStyle w:val="Caption"/>
        <w:rPr>
          <w:rFonts w:cstheme="minorHAnsi"/>
        </w:rPr>
      </w:pPr>
      <w:r w:rsidRPr="00664EC8">
        <w:rPr>
          <w:rFonts w:cstheme="minorHAnsi"/>
          <w:szCs w:val="24"/>
        </w:rPr>
        <w:fldChar w:fldCharType="begin"/>
      </w:r>
      <w:r w:rsidRPr="00664EC8">
        <w:rPr>
          <w:rFonts w:cstheme="minorHAnsi"/>
          <w:szCs w:val="24"/>
        </w:rPr>
        <w:instrText xml:space="preserve"> TC /f “Table”</w:instrText>
      </w:r>
      <w:r w:rsidRPr="00664EC8">
        <w:rPr>
          <w:rFonts w:cstheme="minorHAnsi"/>
          <w:szCs w:val="24"/>
        </w:rPr>
        <w:fldChar w:fldCharType="end"/>
      </w:r>
      <w:r w:rsidR="00915D0F">
        <w:t>C</w:t>
      </w:r>
      <w:r w:rsidRPr="00664EC8">
        <w:rPr>
          <w:rFonts w:cstheme="minorHAnsi"/>
          <w:szCs w:val="24"/>
        </w:rPr>
        <w:t>ommercial Electric Deck Oven Cost Effectiveness Example</w:t>
      </w:r>
    </w:p>
    <w:tbl>
      <w:tblPr>
        <w:tblStyle w:val="TableGrid1"/>
        <w:tblW w:w="5000" w:type="pct"/>
        <w:tblLook w:val="00A0" w:firstRow="1" w:lastRow="0" w:firstColumn="1" w:lastColumn="0" w:noHBand="0" w:noVBand="0"/>
      </w:tblPr>
      <w:tblGrid>
        <w:gridCol w:w="3536"/>
        <w:gridCol w:w="1801"/>
        <w:gridCol w:w="1801"/>
        <w:gridCol w:w="2212"/>
      </w:tblGrid>
      <w:tr w:rsidR="00224FA6" w:rsidRPr="00664EC8" w14:paraId="631C2BD5" w14:textId="77777777" w:rsidTr="00CB146C">
        <w:trPr>
          <w:trHeight w:val="432"/>
        </w:trPr>
        <w:tc>
          <w:tcPr>
            <w:tcW w:w="1891" w:type="pct"/>
            <w:shd w:val="clear" w:color="auto" w:fill="D9D9D9" w:themeFill="background1" w:themeFillShade="D9"/>
          </w:tcPr>
          <w:p w14:paraId="1DB84F41" w14:textId="77777777" w:rsidR="00224FA6" w:rsidRPr="00C17CAC" w:rsidRDefault="00224FA6" w:rsidP="0045669C">
            <w:pPr>
              <w:jc w:val="center"/>
              <w:rPr>
                <w:rFonts w:cstheme="minorHAnsi"/>
                <w:b/>
                <w:bCs/>
                <w:szCs w:val="20"/>
              </w:rPr>
            </w:pPr>
            <w:r w:rsidRPr="00C17CAC">
              <w:rPr>
                <w:rFonts w:cstheme="minorHAnsi"/>
                <w:b/>
                <w:szCs w:val="20"/>
              </w:rPr>
              <w:t>Performance</w:t>
            </w:r>
          </w:p>
        </w:tc>
        <w:tc>
          <w:tcPr>
            <w:tcW w:w="963" w:type="pct"/>
            <w:shd w:val="clear" w:color="auto" w:fill="D9D9D9" w:themeFill="background1" w:themeFillShade="D9"/>
          </w:tcPr>
          <w:p w14:paraId="188E55E2" w14:textId="72437590" w:rsidR="00224FA6" w:rsidRPr="00C17CAC" w:rsidRDefault="00885830" w:rsidP="0045669C">
            <w:pPr>
              <w:jc w:val="center"/>
              <w:rPr>
                <w:rFonts w:cstheme="minorHAnsi"/>
                <w:b/>
                <w:szCs w:val="20"/>
              </w:rPr>
            </w:pPr>
            <w:r>
              <w:rPr>
                <w:rFonts w:cstheme="minorHAnsi"/>
                <w:b/>
                <w:szCs w:val="20"/>
              </w:rPr>
              <w:t>Calculation Parameters</w:t>
            </w:r>
          </w:p>
        </w:tc>
        <w:tc>
          <w:tcPr>
            <w:tcW w:w="963" w:type="pct"/>
            <w:shd w:val="clear" w:color="auto" w:fill="D9D9D9" w:themeFill="background1" w:themeFillShade="D9"/>
          </w:tcPr>
          <w:p w14:paraId="42C53759" w14:textId="4BF1DBE9" w:rsidR="00224FA6" w:rsidRPr="00C17CAC" w:rsidRDefault="00224FA6" w:rsidP="0045669C">
            <w:pPr>
              <w:jc w:val="center"/>
              <w:rPr>
                <w:rFonts w:cstheme="minorHAnsi"/>
                <w:b/>
                <w:bCs/>
                <w:szCs w:val="20"/>
              </w:rPr>
            </w:pPr>
            <w:r w:rsidRPr="00C17CAC">
              <w:rPr>
                <w:rFonts w:cstheme="minorHAnsi"/>
                <w:b/>
                <w:szCs w:val="20"/>
              </w:rPr>
              <w:t>Baseline Model</w:t>
            </w:r>
          </w:p>
        </w:tc>
        <w:tc>
          <w:tcPr>
            <w:tcW w:w="1183" w:type="pct"/>
            <w:shd w:val="clear" w:color="auto" w:fill="D9D9D9" w:themeFill="background1" w:themeFillShade="D9"/>
          </w:tcPr>
          <w:p w14:paraId="22E916CB" w14:textId="67B737D7" w:rsidR="00224FA6" w:rsidRPr="00C17CAC" w:rsidRDefault="006B4059" w:rsidP="0045669C">
            <w:pPr>
              <w:jc w:val="center"/>
              <w:rPr>
                <w:rFonts w:cstheme="minorHAnsi"/>
                <w:b/>
                <w:bCs/>
                <w:szCs w:val="20"/>
              </w:rPr>
            </w:pPr>
            <w:r>
              <w:rPr>
                <w:rFonts w:cstheme="minorHAnsi"/>
                <w:b/>
                <w:szCs w:val="20"/>
              </w:rPr>
              <w:t>Measure</w:t>
            </w:r>
            <w:r w:rsidR="00224FA6" w:rsidRPr="00C17CAC">
              <w:rPr>
                <w:rFonts w:cstheme="minorHAnsi"/>
                <w:b/>
                <w:szCs w:val="20"/>
              </w:rPr>
              <w:t xml:space="preserve"> Model</w:t>
            </w:r>
          </w:p>
        </w:tc>
      </w:tr>
      <w:tr w:rsidR="00224FA6" w:rsidRPr="00664EC8" w14:paraId="022E2631" w14:textId="77777777" w:rsidTr="00CB146C">
        <w:trPr>
          <w:trHeight w:hRule="exact" w:val="288"/>
        </w:trPr>
        <w:tc>
          <w:tcPr>
            <w:tcW w:w="1891" w:type="pct"/>
          </w:tcPr>
          <w:p w14:paraId="4ACA6C29" w14:textId="77777777" w:rsidR="00224FA6" w:rsidRPr="00664EC8" w:rsidRDefault="00224FA6" w:rsidP="0045669C">
            <w:pPr>
              <w:rPr>
                <w:rFonts w:cstheme="minorHAnsi"/>
                <w:szCs w:val="20"/>
              </w:rPr>
            </w:pPr>
            <w:r w:rsidRPr="00664EC8">
              <w:rPr>
                <w:rFonts w:cstheme="minorHAnsi"/>
                <w:szCs w:val="20"/>
              </w:rPr>
              <w:t>Preheat Time (min)</w:t>
            </w:r>
          </w:p>
        </w:tc>
        <w:tc>
          <w:tcPr>
            <w:tcW w:w="963" w:type="pct"/>
          </w:tcPr>
          <w:p w14:paraId="2F87E1BC" w14:textId="033E075D" w:rsidR="00224FA6" w:rsidRPr="00664EC8" w:rsidRDefault="00224FA6" w:rsidP="0045669C">
            <w:pPr>
              <w:jc w:val="center"/>
              <w:rPr>
                <w:rFonts w:cstheme="minorHAnsi"/>
                <w:szCs w:val="20"/>
              </w:rPr>
            </w:pPr>
            <w:r>
              <w:rPr>
                <w:rFonts w:cstheme="minorHAnsi"/>
                <w:szCs w:val="20"/>
              </w:rPr>
              <w:t>TP</w:t>
            </w:r>
          </w:p>
        </w:tc>
        <w:tc>
          <w:tcPr>
            <w:tcW w:w="963" w:type="pct"/>
          </w:tcPr>
          <w:p w14:paraId="52A43C4E" w14:textId="27818995" w:rsidR="00224FA6" w:rsidRPr="00664EC8" w:rsidRDefault="00224FA6" w:rsidP="0045669C">
            <w:pPr>
              <w:jc w:val="center"/>
              <w:rPr>
                <w:rFonts w:cstheme="minorHAnsi"/>
                <w:szCs w:val="20"/>
              </w:rPr>
            </w:pPr>
            <w:r w:rsidRPr="00664EC8">
              <w:rPr>
                <w:rFonts w:cstheme="minorHAnsi"/>
                <w:szCs w:val="20"/>
              </w:rPr>
              <w:t>30</w:t>
            </w:r>
          </w:p>
        </w:tc>
        <w:tc>
          <w:tcPr>
            <w:tcW w:w="1183" w:type="pct"/>
          </w:tcPr>
          <w:p w14:paraId="01AA6D42" w14:textId="77777777" w:rsidR="00224FA6" w:rsidRPr="00664EC8" w:rsidRDefault="00224FA6" w:rsidP="0045669C">
            <w:pPr>
              <w:jc w:val="center"/>
              <w:rPr>
                <w:rFonts w:cstheme="minorHAnsi"/>
                <w:szCs w:val="20"/>
              </w:rPr>
            </w:pPr>
            <w:r w:rsidRPr="00664EC8">
              <w:rPr>
                <w:rFonts w:cstheme="minorHAnsi"/>
                <w:szCs w:val="20"/>
              </w:rPr>
              <w:t>30</w:t>
            </w:r>
          </w:p>
        </w:tc>
      </w:tr>
      <w:tr w:rsidR="00224FA6" w:rsidRPr="00664EC8" w14:paraId="518153B0" w14:textId="77777777" w:rsidTr="00CB146C">
        <w:trPr>
          <w:trHeight w:hRule="exact" w:val="288"/>
        </w:trPr>
        <w:tc>
          <w:tcPr>
            <w:tcW w:w="1891" w:type="pct"/>
          </w:tcPr>
          <w:p w14:paraId="3F7BD588" w14:textId="77777777" w:rsidR="00224FA6" w:rsidRPr="00664EC8" w:rsidRDefault="00224FA6" w:rsidP="0045669C">
            <w:pPr>
              <w:rPr>
                <w:rFonts w:cstheme="minorHAnsi"/>
                <w:szCs w:val="20"/>
              </w:rPr>
            </w:pPr>
            <w:r w:rsidRPr="00664EC8">
              <w:rPr>
                <w:rFonts w:cstheme="minorHAnsi"/>
                <w:szCs w:val="20"/>
              </w:rPr>
              <w:t>Preheat Energy (kWh)</w:t>
            </w:r>
          </w:p>
        </w:tc>
        <w:tc>
          <w:tcPr>
            <w:tcW w:w="963" w:type="pct"/>
          </w:tcPr>
          <w:p w14:paraId="11B846BE" w14:textId="772AF9A4" w:rsidR="00224FA6" w:rsidRPr="00664EC8" w:rsidRDefault="00224FA6" w:rsidP="0045669C">
            <w:pPr>
              <w:jc w:val="center"/>
              <w:rPr>
                <w:rFonts w:cstheme="minorHAnsi"/>
                <w:szCs w:val="20"/>
              </w:rPr>
            </w:pPr>
            <w:r>
              <w:rPr>
                <w:rFonts w:cstheme="minorHAnsi"/>
                <w:szCs w:val="20"/>
              </w:rPr>
              <w:t>EP</w:t>
            </w:r>
          </w:p>
        </w:tc>
        <w:tc>
          <w:tcPr>
            <w:tcW w:w="963" w:type="pct"/>
          </w:tcPr>
          <w:p w14:paraId="0CBBA7EF" w14:textId="0AEBC384" w:rsidR="00224FA6" w:rsidRPr="00664EC8" w:rsidRDefault="00224FA6" w:rsidP="0045669C">
            <w:pPr>
              <w:jc w:val="center"/>
              <w:rPr>
                <w:rFonts w:cstheme="minorHAnsi"/>
                <w:szCs w:val="20"/>
              </w:rPr>
            </w:pPr>
            <w:r w:rsidRPr="00664EC8">
              <w:rPr>
                <w:rFonts w:cstheme="minorHAnsi"/>
                <w:szCs w:val="20"/>
              </w:rPr>
              <w:t>6.50</w:t>
            </w:r>
          </w:p>
        </w:tc>
        <w:tc>
          <w:tcPr>
            <w:tcW w:w="1183" w:type="pct"/>
          </w:tcPr>
          <w:p w14:paraId="16262C61" w14:textId="7AE60FCA" w:rsidR="00224FA6" w:rsidRPr="00664EC8" w:rsidRDefault="00224FA6" w:rsidP="0045669C">
            <w:pPr>
              <w:jc w:val="center"/>
              <w:rPr>
                <w:rFonts w:cstheme="minorHAnsi"/>
                <w:szCs w:val="20"/>
              </w:rPr>
            </w:pPr>
            <w:r w:rsidRPr="00664EC8">
              <w:rPr>
                <w:rFonts w:cstheme="minorHAnsi"/>
                <w:szCs w:val="20"/>
              </w:rPr>
              <w:t>3.0</w:t>
            </w:r>
            <w:r>
              <w:rPr>
                <w:rFonts w:cstheme="minorHAnsi"/>
                <w:szCs w:val="20"/>
              </w:rPr>
              <w:t>0</w:t>
            </w:r>
          </w:p>
        </w:tc>
      </w:tr>
      <w:tr w:rsidR="00224FA6" w:rsidRPr="00664EC8" w14:paraId="153419F1" w14:textId="77777777" w:rsidTr="00CB146C">
        <w:trPr>
          <w:trHeight w:hRule="exact" w:val="288"/>
        </w:trPr>
        <w:tc>
          <w:tcPr>
            <w:tcW w:w="1891" w:type="pct"/>
          </w:tcPr>
          <w:p w14:paraId="69746798" w14:textId="77777777" w:rsidR="00224FA6" w:rsidRPr="00664EC8" w:rsidRDefault="00224FA6" w:rsidP="0045669C">
            <w:pPr>
              <w:rPr>
                <w:rFonts w:cstheme="minorHAnsi"/>
                <w:szCs w:val="20"/>
              </w:rPr>
            </w:pPr>
            <w:r w:rsidRPr="00664EC8">
              <w:rPr>
                <w:rFonts w:cstheme="minorHAnsi"/>
                <w:szCs w:val="20"/>
              </w:rPr>
              <w:t>Idle Energy Rate (kW)</w:t>
            </w:r>
          </w:p>
        </w:tc>
        <w:tc>
          <w:tcPr>
            <w:tcW w:w="963" w:type="pct"/>
          </w:tcPr>
          <w:p w14:paraId="4791F44C" w14:textId="0C5B2280" w:rsidR="00224FA6" w:rsidRPr="00664EC8" w:rsidRDefault="00224FA6" w:rsidP="0045669C">
            <w:pPr>
              <w:jc w:val="center"/>
              <w:rPr>
                <w:rFonts w:cstheme="minorHAnsi"/>
                <w:szCs w:val="20"/>
              </w:rPr>
            </w:pPr>
            <w:r>
              <w:rPr>
                <w:rFonts w:cstheme="minorHAnsi"/>
                <w:szCs w:val="20"/>
              </w:rPr>
              <w:t>IDLE RATE</w:t>
            </w:r>
          </w:p>
        </w:tc>
        <w:tc>
          <w:tcPr>
            <w:tcW w:w="963" w:type="pct"/>
          </w:tcPr>
          <w:p w14:paraId="31B71833" w14:textId="657EABCE" w:rsidR="00224FA6" w:rsidRPr="00664EC8" w:rsidRDefault="00224FA6" w:rsidP="0045669C">
            <w:pPr>
              <w:jc w:val="center"/>
              <w:rPr>
                <w:rFonts w:cstheme="minorHAnsi"/>
                <w:szCs w:val="20"/>
              </w:rPr>
            </w:pPr>
            <w:r w:rsidRPr="00664EC8">
              <w:rPr>
                <w:rFonts w:cstheme="minorHAnsi"/>
                <w:szCs w:val="20"/>
              </w:rPr>
              <w:t>1.90</w:t>
            </w:r>
            <w:r>
              <w:rPr>
                <w:rFonts w:cstheme="minorHAnsi"/>
                <w:szCs w:val="20"/>
              </w:rPr>
              <w:t>000</w:t>
            </w:r>
          </w:p>
        </w:tc>
        <w:tc>
          <w:tcPr>
            <w:tcW w:w="1183" w:type="pct"/>
          </w:tcPr>
          <w:p w14:paraId="5828182B" w14:textId="5784C9A3" w:rsidR="00224FA6" w:rsidRPr="00664EC8" w:rsidRDefault="00224FA6" w:rsidP="0045669C">
            <w:pPr>
              <w:jc w:val="center"/>
              <w:rPr>
                <w:rFonts w:cstheme="minorHAnsi"/>
                <w:szCs w:val="20"/>
              </w:rPr>
            </w:pPr>
            <w:r w:rsidRPr="00664EC8">
              <w:rPr>
                <w:rFonts w:cstheme="minorHAnsi"/>
                <w:szCs w:val="20"/>
              </w:rPr>
              <w:t>1.30</w:t>
            </w:r>
            <w:r>
              <w:rPr>
                <w:rFonts w:cstheme="minorHAnsi"/>
                <w:szCs w:val="20"/>
              </w:rPr>
              <w:t>000</w:t>
            </w:r>
          </w:p>
        </w:tc>
      </w:tr>
      <w:tr w:rsidR="00224FA6" w:rsidRPr="00664EC8" w14:paraId="5B6BFEBB" w14:textId="77777777" w:rsidTr="00CB146C">
        <w:trPr>
          <w:trHeight w:hRule="exact" w:val="288"/>
        </w:trPr>
        <w:tc>
          <w:tcPr>
            <w:tcW w:w="1891" w:type="pct"/>
          </w:tcPr>
          <w:p w14:paraId="0AD3F0BF" w14:textId="77777777" w:rsidR="00224FA6" w:rsidRPr="00664EC8" w:rsidRDefault="00224FA6" w:rsidP="0045669C">
            <w:pPr>
              <w:rPr>
                <w:rFonts w:cstheme="minorHAnsi"/>
                <w:szCs w:val="20"/>
              </w:rPr>
            </w:pPr>
            <w:r w:rsidRPr="00664EC8">
              <w:rPr>
                <w:rFonts w:cstheme="minorHAnsi"/>
                <w:szCs w:val="20"/>
              </w:rPr>
              <w:t>Heavy Load Cooking Energy Efficiency (%)</w:t>
            </w:r>
          </w:p>
        </w:tc>
        <w:tc>
          <w:tcPr>
            <w:tcW w:w="963" w:type="pct"/>
          </w:tcPr>
          <w:p w14:paraId="0BB69EF1" w14:textId="0BCE8069" w:rsidR="00224FA6" w:rsidRPr="00664EC8" w:rsidRDefault="00224FA6" w:rsidP="0045669C">
            <w:pPr>
              <w:jc w:val="center"/>
              <w:rPr>
                <w:rFonts w:cstheme="minorHAnsi"/>
                <w:szCs w:val="20"/>
              </w:rPr>
            </w:pPr>
            <w:r>
              <w:rPr>
                <w:rFonts w:cstheme="minorHAnsi"/>
                <w:szCs w:val="20"/>
              </w:rPr>
              <w:t>EFFICIENCY</w:t>
            </w:r>
          </w:p>
        </w:tc>
        <w:tc>
          <w:tcPr>
            <w:tcW w:w="963" w:type="pct"/>
          </w:tcPr>
          <w:p w14:paraId="7FC779B8" w14:textId="4555E81E" w:rsidR="00224FA6" w:rsidRPr="00664EC8" w:rsidRDefault="00224FA6" w:rsidP="0045669C">
            <w:pPr>
              <w:jc w:val="center"/>
              <w:rPr>
                <w:rFonts w:cstheme="minorHAnsi"/>
                <w:szCs w:val="20"/>
              </w:rPr>
            </w:pPr>
            <w:r w:rsidRPr="00664EC8">
              <w:rPr>
                <w:rFonts w:cstheme="minorHAnsi"/>
                <w:szCs w:val="20"/>
              </w:rPr>
              <w:t>40%</w:t>
            </w:r>
          </w:p>
        </w:tc>
        <w:tc>
          <w:tcPr>
            <w:tcW w:w="1183" w:type="pct"/>
          </w:tcPr>
          <w:p w14:paraId="229579BD" w14:textId="77777777" w:rsidR="00224FA6" w:rsidRPr="00664EC8" w:rsidRDefault="00224FA6" w:rsidP="0045669C">
            <w:pPr>
              <w:jc w:val="center"/>
              <w:rPr>
                <w:rFonts w:cstheme="minorHAnsi"/>
                <w:szCs w:val="20"/>
              </w:rPr>
            </w:pPr>
            <w:r w:rsidRPr="00664EC8">
              <w:rPr>
                <w:rFonts w:cstheme="minorHAnsi"/>
                <w:szCs w:val="20"/>
              </w:rPr>
              <w:t>60%</w:t>
            </w:r>
          </w:p>
        </w:tc>
      </w:tr>
      <w:tr w:rsidR="00224FA6" w:rsidRPr="00664EC8" w14:paraId="318FCCFC" w14:textId="77777777" w:rsidTr="00CB146C">
        <w:trPr>
          <w:trHeight w:hRule="exact" w:val="288"/>
        </w:trPr>
        <w:tc>
          <w:tcPr>
            <w:tcW w:w="1891" w:type="pct"/>
          </w:tcPr>
          <w:p w14:paraId="5918392E" w14:textId="77777777" w:rsidR="00224FA6" w:rsidRPr="00664EC8" w:rsidRDefault="00224FA6" w:rsidP="0045669C">
            <w:pPr>
              <w:rPr>
                <w:rFonts w:cstheme="minorHAnsi"/>
                <w:szCs w:val="20"/>
              </w:rPr>
            </w:pPr>
            <w:r w:rsidRPr="00664EC8">
              <w:rPr>
                <w:rFonts w:cstheme="minorHAnsi"/>
                <w:szCs w:val="20"/>
              </w:rPr>
              <w:t>Production Capacity (lbs/hr)</w:t>
            </w:r>
          </w:p>
        </w:tc>
        <w:tc>
          <w:tcPr>
            <w:tcW w:w="963" w:type="pct"/>
          </w:tcPr>
          <w:p w14:paraId="244D5CE5" w14:textId="6564C624" w:rsidR="00224FA6" w:rsidRPr="00664EC8" w:rsidRDefault="00224FA6" w:rsidP="0045669C">
            <w:pPr>
              <w:jc w:val="center"/>
              <w:rPr>
                <w:rFonts w:cstheme="minorHAnsi"/>
                <w:szCs w:val="20"/>
              </w:rPr>
            </w:pPr>
            <w:r>
              <w:rPr>
                <w:rFonts w:cstheme="minorHAnsi"/>
                <w:szCs w:val="20"/>
              </w:rPr>
              <w:t>PC</w:t>
            </w:r>
          </w:p>
        </w:tc>
        <w:tc>
          <w:tcPr>
            <w:tcW w:w="963" w:type="pct"/>
          </w:tcPr>
          <w:p w14:paraId="11566D1C" w14:textId="77FC476F" w:rsidR="00224FA6" w:rsidRPr="00664EC8" w:rsidRDefault="00224FA6" w:rsidP="0045669C">
            <w:pPr>
              <w:jc w:val="center"/>
              <w:rPr>
                <w:rFonts w:cstheme="minorHAnsi"/>
                <w:szCs w:val="20"/>
              </w:rPr>
            </w:pPr>
            <w:r w:rsidRPr="00664EC8">
              <w:rPr>
                <w:rFonts w:cstheme="minorHAnsi"/>
                <w:szCs w:val="20"/>
              </w:rPr>
              <w:t>60</w:t>
            </w:r>
          </w:p>
        </w:tc>
        <w:tc>
          <w:tcPr>
            <w:tcW w:w="1183" w:type="pct"/>
          </w:tcPr>
          <w:p w14:paraId="3BA48504" w14:textId="77777777" w:rsidR="00224FA6" w:rsidRPr="00664EC8" w:rsidRDefault="00224FA6" w:rsidP="0045669C">
            <w:pPr>
              <w:jc w:val="center"/>
              <w:rPr>
                <w:rFonts w:cstheme="minorHAnsi"/>
                <w:szCs w:val="20"/>
              </w:rPr>
            </w:pPr>
            <w:r w:rsidRPr="00664EC8">
              <w:rPr>
                <w:rFonts w:cstheme="minorHAnsi"/>
                <w:szCs w:val="20"/>
              </w:rPr>
              <w:t>60</w:t>
            </w:r>
          </w:p>
        </w:tc>
      </w:tr>
      <w:tr w:rsidR="00224FA6" w:rsidRPr="00664EC8" w14:paraId="2672339B" w14:textId="77777777" w:rsidTr="00CB146C">
        <w:trPr>
          <w:trHeight w:hRule="exact" w:val="288"/>
        </w:trPr>
        <w:tc>
          <w:tcPr>
            <w:tcW w:w="1891" w:type="pct"/>
          </w:tcPr>
          <w:p w14:paraId="74B7B3EA" w14:textId="77777777" w:rsidR="00224FA6" w:rsidRPr="00664EC8" w:rsidRDefault="00224FA6" w:rsidP="0045669C">
            <w:pPr>
              <w:rPr>
                <w:rFonts w:cstheme="minorHAnsi"/>
                <w:szCs w:val="20"/>
              </w:rPr>
            </w:pPr>
            <w:r w:rsidRPr="00664EC8">
              <w:rPr>
                <w:rFonts w:cstheme="minorHAnsi"/>
                <w:szCs w:val="20"/>
              </w:rPr>
              <w:t>Operating Hours/Day</w:t>
            </w:r>
          </w:p>
        </w:tc>
        <w:tc>
          <w:tcPr>
            <w:tcW w:w="963" w:type="pct"/>
          </w:tcPr>
          <w:p w14:paraId="3A284304" w14:textId="3467BB65" w:rsidR="00224FA6" w:rsidRPr="00664EC8" w:rsidRDefault="00224FA6" w:rsidP="0045669C">
            <w:pPr>
              <w:jc w:val="center"/>
              <w:rPr>
                <w:rFonts w:cstheme="minorHAnsi"/>
                <w:szCs w:val="20"/>
              </w:rPr>
            </w:pPr>
            <w:r>
              <w:rPr>
                <w:rFonts w:cstheme="minorHAnsi"/>
                <w:szCs w:val="20"/>
              </w:rPr>
              <w:t>TON</w:t>
            </w:r>
          </w:p>
        </w:tc>
        <w:tc>
          <w:tcPr>
            <w:tcW w:w="963" w:type="pct"/>
          </w:tcPr>
          <w:p w14:paraId="467E0614" w14:textId="46F18280" w:rsidR="00224FA6" w:rsidRPr="00664EC8" w:rsidRDefault="00224FA6" w:rsidP="0045669C">
            <w:pPr>
              <w:jc w:val="center"/>
              <w:rPr>
                <w:rFonts w:cstheme="minorHAnsi"/>
                <w:szCs w:val="20"/>
              </w:rPr>
            </w:pPr>
            <w:r w:rsidRPr="00664EC8">
              <w:rPr>
                <w:rFonts w:cstheme="minorHAnsi"/>
                <w:szCs w:val="20"/>
              </w:rPr>
              <w:t>12</w:t>
            </w:r>
          </w:p>
        </w:tc>
        <w:tc>
          <w:tcPr>
            <w:tcW w:w="1183" w:type="pct"/>
          </w:tcPr>
          <w:p w14:paraId="6BBC00A9" w14:textId="77777777" w:rsidR="00224FA6" w:rsidRPr="00664EC8" w:rsidRDefault="00224FA6" w:rsidP="0045669C">
            <w:pPr>
              <w:jc w:val="center"/>
              <w:rPr>
                <w:rFonts w:cstheme="minorHAnsi"/>
                <w:szCs w:val="20"/>
              </w:rPr>
            </w:pPr>
            <w:r w:rsidRPr="00664EC8">
              <w:rPr>
                <w:rFonts w:cstheme="minorHAnsi"/>
                <w:szCs w:val="20"/>
              </w:rPr>
              <w:t>12</w:t>
            </w:r>
          </w:p>
        </w:tc>
      </w:tr>
      <w:tr w:rsidR="00224FA6" w:rsidRPr="00664EC8" w14:paraId="0CA5E30D" w14:textId="77777777" w:rsidTr="00CB146C">
        <w:trPr>
          <w:trHeight w:hRule="exact" w:val="288"/>
        </w:trPr>
        <w:tc>
          <w:tcPr>
            <w:tcW w:w="1891" w:type="pct"/>
          </w:tcPr>
          <w:p w14:paraId="06327D7B" w14:textId="77777777" w:rsidR="00224FA6" w:rsidRPr="00664EC8" w:rsidRDefault="00224FA6" w:rsidP="0045669C">
            <w:pPr>
              <w:rPr>
                <w:rFonts w:cstheme="minorHAnsi"/>
                <w:szCs w:val="20"/>
              </w:rPr>
            </w:pPr>
            <w:r w:rsidRPr="00664EC8">
              <w:rPr>
                <w:rFonts w:cstheme="minorHAnsi"/>
                <w:szCs w:val="20"/>
              </w:rPr>
              <w:t>Operating Days/Year</w:t>
            </w:r>
          </w:p>
        </w:tc>
        <w:tc>
          <w:tcPr>
            <w:tcW w:w="963" w:type="pct"/>
          </w:tcPr>
          <w:p w14:paraId="4ACD9733" w14:textId="77777777" w:rsidR="00224FA6" w:rsidRDefault="00224FA6" w:rsidP="0045669C">
            <w:pPr>
              <w:jc w:val="center"/>
              <w:rPr>
                <w:rFonts w:cstheme="minorHAnsi"/>
                <w:szCs w:val="20"/>
              </w:rPr>
            </w:pPr>
          </w:p>
        </w:tc>
        <w:tc>
          <w:tcPr>
            <w:tcW w:w="963" w:type="pct"/>
          </w:tcPr>
          <w:p w14:paraId="5A0485B0" w14:textId="3C52D9E0" w:rsidR="00224FA6" w:rsidRPr="00664EC8" w:rsidRDefault="00224FA6" w:rsidP="0045669C">
            <w:pPr>
              <w:jc w:val="center"/>
              <w:rPr>
                <w:rFonts w:cstheme="minorHAnsi"/>
                <w:szCs w:val="20"/>
              </w:rPr>
            </w:pPr>
            <w:r>
              <w:rPr>
                <w:rFonts w:cstheme="minorHAnsi"/>
                <w:szCs w:val="20"/>
              </w:rPr>
              <w:t>3</w:t>
            </w:r>
            <w:r w:rsidR="006171DA">
              <w:rPr>
                <w:rFonts w:cstheme="minorHAnsi"/>
                <w:szCs w:val="20"/>
              </w:rPr>
              <w:t>5</w:t>
            </w:r>
            <w:r w:rsidRPr="00664EC8">
              <w:rPr>
                <w:rFonts w:cstheme="minorHAnsi"/>
                <w:szCs w:val="20"/>
              </w:rPr>
              <w:t>5</w:t>
            </w:r>
          </w:p>
        </w:tc>
        <w:tc>
          <w:tcPr>
            <w:tcW w:w="1183" w:type="pct"/>
          </w:tcPr>
          <w:p w14:paraId="7A899F01" w14:textId="517D460F" w:rsidR="00224FA6" w:rsidRPr="00664EC8" w:rsidRDefault="00224FA6" w:rsidP="0045669C">
            <w:pPr>
              <w:jc w:val="center"/>
              <w:rPr>
                <w:rFonts w:cstheme="minorHAnsi"/>
                <w:szCs w:val="20"/>
              </w:rPr>
            </w:pPr>
            <w:r>
              <w:rPr>
                <w:rFonts w:cstheme="minorHAnsi"/>
                <w:szCs w:val="20"/>
              </w:rPr>
              <w:t>3</w:t>
            </w:r>
            <w:r w:rsidR="006171DA">
              <w:rPr>
                <w:rFonts w:cstheme="minorHAnsi"/>
                <w:szCs w:val="20"/>
              </w:rPr>
              <w:t>5</w:t>
            </w:r>
            <w:r>
              <w:rPr>
                <w:rFonts w:cstheme="minorHAnsi"/>
                <w:szCs w:val="20"/>
              </w:rPr>
              <w:t>5</w:t>
            </w:r>
          </w:p>
        </w:tc>
      </w:tr>
      <w:tr w:rsidR="00224FA6" w:rsidRPr="00664EC8" w14:paraId="06B823FA" w14:textId="77777777" w:rsidTr="00CB146C">
        <w:trPr>
          <w:trHeight w:hRule="exact" w:val="288"/>
        </w:trPr>
        <w:tc>
          <w:tcPr>
            <w:tcW w:w="1891" w:type="pct"/>
          </w:tcPr>
          <w:p w14:paraId="53041C99" w14:textId="77777777" w:rsidR="00224FA6" w:rsidRPr="00664EC8" w:rsidRDefault="00224FA6" w:rsidP="0045669C">
            <w:pPr>
              <w:rPr>
                <w:rFonts w:cstheme="minorHAnsi"/>
                <w:szCs w:val="20"/>
              </w:rPr>
            </w:pPr>
            <w:r w:rsidRPr="00664EC8">
              <w:rPr>
                <w:rFonts w:cstheme="minorHAnsi"/>
                <w:szCs w:val="20"/>
              </w:rPr>
              <w:t>Pounds of Food Cooked per Day</w:t>
            </w:r>
          </w:p>
        </w:tc>
        <w:tc>
          <w:tcPr>
            <w:tcW w:w="963" w:type="pct"/>
          </w:tcPr>
          <w:p w14:paraId="27EB0B0C" w14:textId="09C58968" w:rsidR="00224FA6" w:rsidRPr="00664EC8" w:rsidRDefault="00224FA6" w:rsidP="0045669C">
            <w:pPr>
              <w:jc w:val="center"/>
              <w:rPr>
                <w:rFonts w:cstheme="minorHAnsi"/>
                <w:szCs w:val="20"/>
              </w:rPr>
            </w:pPr>
            <w:r>
              <w:rPr>
                <w:rFonts w:cstheme="minorHAnsi"/>
                <w:szCs w:val="20"/>
              </w:rPr>
              <w:t>LBFOOD</w:t>
            </w:r>
          </w:p>
        </w:tc>
        <w:tc>
          <w:tcPr>
            <w:tcW w:w="963" w:type="pct"/>
          </w:tcPr>
          <w:p w14:paraId="5FCA003B" w14:textId="4C2E5120" w:rsidR="00224FA6" w:rsidRPr="00664EC8" w:rsidRDefault="00224FA6" w:rsidP="0045669C">
            <w:pPr>
              <w:jc w:val="center"/>
              <w:rPr>
                <w:rFonts w:cstheme="minorHAnsi"/>
                <w:szCs w:val="20"/>
              </w:rPr>
            </w:pPr>
            <w:r w:rsidRPr="00664EC8">
              <w:rPr>
                <w:rFonts w:cstheme="minorHAnsi"/>
                <w:szCs w:val="20"/>
              </w:rPr>
              <w:t>200</w:t>
            </w:r>
          </w:p>
        </w:tc>
        <w:tc>
          <w:tcPr>
            <w:tcW w:w="1183" w:type="pct"/>
          </w:tcPr>
          <w:p w14:paraId="6377D1CA" w14:textId="77777777" w:rsidR="00224FA6" w:rsidRPr="00664EC8" w:rsidRDefault="00224FA6" w:rsidP="0045669C">
            <w:pPr>
              <w:jc w:val="center"/>
              <w:rPr>
                <w:rFonts w:cstheme="minorHAnsi"/>
                <w:szCs w:val="20"/>
              </w:rPr>
            </w:pPr>
            <w:r w:rsidRPr="00664EC8">
              <w:rPr>
                <w:rFonts w:cstheme="minorHAnsi"/>
                <w:szCs w:val="20"/>
              </w:rPr>
              <w:t>200</w:t>
            </w:r>
          </w:p>
        </w:tc>
      </w:tr>
      <w:tr w:rsidR="00224FA6" w:rsidRPr="00664EC8" w14:paraId="5A4BE834" w14:textId="77777777" w:rsidTr="00CB146C">
        <w:trPr>
          <w:trHeight w:hRule="exact" w:val="288"/>
        </w:trPr>
        <w:tc>
          <w:tcPr>
            <w:tcW w:w="1891" w:type="pct"/>
          </w:tcPr>
          <w:p w14:paraId="6148EF62" w14:textId="77777777" w:rsidR="00224FA6" w:rsidRPr="00664EC8" w:rsidRDefault="00224FA6" w:rsidP="0045669C">
            <w:pPr>
              <w:rPr>
                <w:rFonts w:cstheme="minorHAnsi"/>
                <w:szCs w:val="20"/>
              </w:rPr>
            </w:pPr>
            <w:r w:rsidRPr="00664EC8">
              <w:rPr>
                <w:rFonts w:cstheme="minorHAnsi"/>
                <w:szCs w:val="20"/>
              </w:rPr>
              <w:t>ASTM Energy to Food (kWh/lb)</w:t>
            </w:r>
          </w:p>
        </w:tc>
        <w:tc>
          <w:tcPr>
            <w:tcW w:w="963" w:type="pct"/>
          </w:tcPr>
          <w:p w14:paraId="2E95F422" w14:textId="1C12DA6C" w:rsidR="00224FA6" w:rsidRPr="00664EC8" w:rsidRDefault="00224FA6" w:rsidP="0045669C">
            <w:pPr>
              <w:jc w:val="center"/>
              <w:rPr>
                <w:rFonts w:cstheme="minorHAnsi"/>
                <w:szCs w:val="20"/>
              </w:rPr>
            </w:pPr>
            <w:r>
              <w:rPr>
                <w:rFonts w:cstheme="minorHAnsi"/>
                <w:szCs w:val="20"/>
              </w:rPr>
              <w:t>EFOOD</w:t>
            </w:r>
          </w:p>
        </w:tc>
        <w:tc>
          <w:tcPr>
            <w:tcW w:w="963" w:type="pct"/>
          </w:tcPr>
          <w:p w14:paraId="461459F8" w14:textId="7F139DB4" w:rsidR="00224FA6" w:rsidRPr="00664EC8" w:rsidRDefault="00224FA6" w:rsidP="0045669C">
            <w:pPr>
              <w:jc w:val="center"/>
              <w:rPr>
                <w:rFonts w:cstheme="minorHAnsi"/>
                <w:szCs w:val="20"/>
              </w:rPr>
            </w:pPr>
            <w:r w:rsidRPr="00664EC8">
              <w:rPr>
                <w:rFonts w:cstheme="minorHAnsi"/>
                <w:szCs w:val="20"/>
              </w:rPr>
              <w:t>0.0732</w:t>
            </w:r>
          </w:p>
        </w:tc>
        <w:tc>
          <w:tcPr>
            <w:tcW w:w="1183" w:type="pct"/>
          </w:tcPr>
          <w:p w14:paraId="15CC50FE" w14:textId="77777777" w:rsidR="00224FA6" w:rsidRPr="00664EC8" w:rsidRDefault="00224FA6" w:rsidP="0045669C">
            <w:pPr>
              <w:jc w:val="center"/>
              <w:rPr>
                <w:rFonts w:cstheme="minorHAnsi"/>
                <w:szCs w:val="20"/>
              </w:rPr>
            </w:pPr>
            <w:r w:rsidRPr="00664EC8">
              <w:rPr>
                <w:rFonts w:cstheme="minorHAnsi"/>
                <w:szCs w:val="20"/>
              </w:rPr>
              <w:t>0.0732</w:t>
            </w:r>
          </w:p>
        </w:tc>
      </w:tr>
      <w:tr w:rsidR="00224FA6" w:rsidRPr="00664EC8" w14:paraId="43F41A2F" w14:textId="77777777" w:rsidTr="00CB146C">
        <w:trPr>
          <w:trHeight w:hRule="exact" w:val="288"/>
        </w:trPr>
        <w:tc>
          <w:tcPr>
            <w:tcW w:w="1891" w:type="pct"/>
          </w:tcPr>
          <w:p w14:paraId="2D17FB1E" w14:textId="77777777" w:rsidR="00224FA6" w:rsidRPr="00664EC8" w:rsidRDefault="00224FA6" w:rsidP="0045669C">
            <w:pPr>
              <w:rPr>
                <w:rFonts w:cstheme="minorHAnsi"/>
                <w:szCs w:val="20"/>
              </w:rPr>
            </w:pPr>
            <w:r w:rsidRPr="00664EC8">
              <w:rPr>
                <w:rFonts w:cstheme="minorHAnsi"/>
                <w:szCs w:val="20"/>
              </w:rPr>
              <w:t>Daily Energy Consumption (kWh)</w:t>
            </w:r>
          </w:p>
        </w:tc>
        <w:tc>
          <w:tcPr>
            <w:tcW w:w="963" w:type="pct"/>
          </w:tcPr>
          <w:p w14:paraId="6DDEB90F" w14:textId="45708632" w:rsidR="00224FA6" w:rsidRPr="00664EC8" w:rsidRDefault="00224FA6" w:rsidP="0045669C">
            <w:pPr>
              <w:jc w:val="center"/>
              <w:rPr>
                <w:rFonts w:cstheme="minorHAnsi"/>
                <w:szCs w:val="20"/>
              </w:rPr>
            </w:pPr>
            <w:r>
              <w:rPr>
                <w:rFonts w:cstheme="minorHAnsi"/>
                <w:szCs w:val="20"/>
              </w:rPr>
              <w:t>EDAY</w:t>
            </w:r>
          </w:p>
        </w:tc>
        <w:tc>
          <w:tcPr>
            <w:tcW w:w="963" w:type="pct"/>
          </w:tcPr>
          <w:p w14:paraId="0C097AC7" w14:textId="66F8ACAB" w:rsidR="00224FA6" w:rsidRPr="00664EC8" w:rsidRDefault="00224FA6" w:rsidP="0045669C">
            <w:pPr>
              <w:jc w:val="center"/>
              <w:rPr>
                <w:rFonts w:cstheme="minorHAnsi"/>
                <w:szCs w:val="20"/>
              </w:rPr>
            </w:pPr>
            <w:r w:rsidRPr="00664EC8">
              <w:rPr>
                <w:rFonts w:cstheme="minorHAnsi"/>
                <w:szCs w:val="20"/>
              </w:rPr>
              <w:t>5</w:t>
            </w:r>
            <w:r>
              <w:rPr>
                <w:rFonts w:cstheme="minorHAnsi"/>
                <w:szCs w:val="20"/>
              </w:rPr>
              <w:t>8.62</w:t>
            </w:r>
          </w:p>
        </w:tc>
        <w:tc>
          <w:tcPr>
            <w:tcW w:w="1183" w:type="pct"/>
          </w:tcPr>
          <w:p w14:paraId="62B7E5B4" w14:textId="6D0518B9" w:rsidR="00224FA6" w:rsidRPr="00664EC8" w:rsidRDefault="00224FA6" w:rsidP="0045669C">
            <w:pPr>
              <w:jc w:val="center"/>
              <w:rPr>
                <w:rFonts w:cstheme="minorHAnsi"/>
                <w:szCs w:val="20"/>
              </w:rPr>
            </w:pPr>
            <w:r>
              <w:rPr>
                <w:rFonts w:cstheme="minorHAnsi"/>
                <w:szCs w:val="20"/>
              </w:rPr>
              <w:t>38.02</w:t>
            </w:r>
          </w:p>
        </w:tc>
      </w:tr>
      <w:tr w:rsidR="00224FA6" w:rsidRPr="00664EC8" w14:paraId="0B35FEFC" w14:textId="77777777" w:rsidTr="00CB146C">
        <w:trPr>
          <w:trHeight w:hRule="exact" w:val="288"/>
        </w:trPr>
        <w:tc>
          <w:tcPr>
            <w:tcW w:w="1891" w:type="pct"/>
          </w:tcPr>
          <w:p w14:paraId="069D5737" w14:textId="77777777" w:rsidR="00224FA6" w:rsidRPr="00664EC8" w:rsidRDefault="00224FA6" w:rsidP="0045669C">
            <w:pPr>
              <w:rPr>
                <w:rFonts w:cstheme="minorHAnsi"/>
                <w:szCs w:val="20"/>
              </w:rPr>
            </w:pPr>
            <w:r w:rsidRPr="00664EC8">
              <w:rPr>
                <w:rFonts w:cstheme="minorHAnsi"/>
                <w:szCs w:val="20"/>
              </w:rPr>
              <w:t>Average Demand (kW)</w:t>
            </w:r>
          </w:p>
        </w:tc>
        <w:tc>
          <w:tcPr>
            <w:tcW w:w="963" w:type="pct"/>
          </w:tcPr>
          <w:p w14:paraId="6A2DD70E" w14:textId="77777777" w:rsidR="00224FA6" w:rsidRPr="00664EC8" w:rsidRDefault="00224FA6" w:rsidP="0045669C">
            <w:pPr>
              <w:jc w:val="center"/>
              <w:rPr>
                <w:rFonts w:cstheme="minorHAnsi"/>
                <w:szCs w:val="20"/>
              </w:rPr>
            </w:pPr>
          </w:p>
        </w:tc>
        <w:tc>
          <w:tcPr>
            <w:tcW w:w="963" w:type="pct"/>
          </w:tcPr>
          <w:p w14:paraId="5D27A029" w14:textId="77927407" w:rsidR="00224FA6" w:rsidRPr="00664EC8" w:rsidRDefault="00224FA6" w:rsidP="0045669C">
            <w:pPr>
              <w:jc w:val="center"/>
              <w:rPr>
                <w:rFonts w:cstheme="minorHAnsi"/>
                <w:szCs w:val="20"/>
              </w:rPr>
            </w:pPr>
            <w:r w:rsidRPr="00664EC8">
              <w:rPr>
                <w:rFonts w:cstheme="minorHAnsi"/>
                <w:szCs w:val="20"/>
              </w:rPr>
              <w:t>4.</w:t>
            </w:r>
            <w:r>
              <w:rPr>
                <w:rFonts w:cstheme="minorHAnsi"/>
                <w:szCs w:val="20"/>
              </w:rPr>
              <w:t>88472</w:t>
            </w:r>
          </w:p>
        </w:tc>
        <w:tc>
          <w:tcPr>
            <w:tcW w:w="1183" w:type="pct"/>
          </w:tcPr>
          <w:p w14:paraId="5438342A" w14:textId="487A3671" w:rsidR="00224FA6" w:rsidRPr="00664EC8" w:rsidRDefault="00224FA6" w:rsidP="0045669C">
            <w:pPr>
              <w:jc w:val="center"/>
              <w:rPr>
                <w:rFonts w:cstheme="minorHAnsi"/>
                <w:szCs w:val="20"/>
              </w:rPr>
            </w:pPr>
            <w:r w:rsidRPr="00664EC8">
              <w:rPr>
                <w:rFonts w:cstheme="minorHAnsi"/>
                <w:szCs w:val="20"/>
              </w:rPr>
              <w:t>3.</w:t>
            </w:r>
            <w:r>
              <w:rPr>
                <w:rFonts w:cstheme="minorHAnsi"/>
                <w:szCs w:val="20"/>
              </w:rPr>
              <w:t>16806</w:t>
            </w:r>
          </w:p>
        </w:tc>
      </w:tr>
      <w:tr w:rsidR="00224FA6" w:rsidRPr="00664EC8" w14:paraId="0DE9384C" w14:textId="77777777" w:rsidTr="00CB146C">
        <w:trPr>
          <w:trHeight w:hRule="exact" w:val="288"/>
        </w:trPr>
        <w:tc>
          <w:tcPr>
            <w:tcW w:w="1891" w:type="pct"/>
          </w:tcPr>
          <w:p w14:paraId="3183C737" w14:textId="77777777" w:rsidR="00224FA6" w:rsidRPr="00664EC8" w:rsidRDefault="00224FA6" w:rsidP="0045669C">
            <w:pPr>
              <w:rPr>
                <w:rFonts w:cstheme="minorHAnsi"/>
                <w:szCs w:val="20"/>
              </w:rPr>
            </w:pPr>
            <w:r w:rsidRPr="00664EC8">
              <w:rPr>
                <w:rFonts w:cstheme="minorHAnsi"/>
                <w:szCs w:val="20"/>
              </w:rPr>
              <w:t>Estimated Demand Reduction (kW)</w:t>
            </w:r>
          </w:p>
        </w:tc>
        <w:tc>
          <w:tcPr>
            <w:tcW w:w="963" w:type="pct"/>
          </w:tcPr>
          <w:p w14:paraId="47FADAFC" w14:textId="77777777" w:rsidR="00224FA6" w:rsidRPr="00664EC8" w:rsidRDefault="00224FA6" w:rsidP="0045669C">
            <w:pPr>
              <w:jc w:val="center"/>
              <w:rPr>
                <w:rFonts w:cstheme="minorHAnsi"/>
                <w:szCs w:val="20"/>
              </w:rPr>
            </w:pPr>
          </w:p>
        </w:tc>
        <w:tc>
          <w:tcPr>
            <w:tcW w:w="963" w:type="pct"/>
          </w:tcPr>
          <w:p w14:paraId="277E4F44" w14:textId="7BA01963" w:rsidR="00224FA6" w:rsidRPr="00664EC8" w:rsidRDefault="00224FA6" w:rsidP="0045669C">
            <w:pPr>
              <w:jc w:val="center"/>
              <w:rPr>
                <w:rFonts w:cstheme="minorHAnsi"/>
                <w:szCs w:val="20"/>
              </w:rPr>
            </w:pPr>
            <w:r w:rsidRPr="00664EC8">
              <w:rPr>
                <w:rFonts w:cstheme="minorHAnsi"/>
                <w:szCs w:val="20"/>
              </w:rPr>
              <w:t>-</w:t>
            </w:r>
          </w:p>
        </w:tc>
        <w:tc>
          <w:tcPr>
            <w:tcW w:w="1183" w:type="pct"/>
          </w:tcPr>
          <w:p w14:paraId="33B3A5B7" w14:textId="2DF53FB8" w:rsidR="00224FA6" w:rsidRPr="00664EC8" w:rsidRDefault="00224FA6" w:rsidP="0045669C">
            <w:pPr>
              <w:jc w:val="center"/>
              <w:rPr>
                <w:rFonts w:cstheme="minorHAnsi"/>
                <w:szCs w:val="20"/>
              </w:rPr>
            </w:pPr>
            <w:r w:rsidRPr="00664EC8">
              <w:rPr>
                <w:rFonts w:cstheme="minorHAnsi"/>
                <w:szCs w:val="20"/>
              </w:rPr>
              <w:t>1.7</w:t>
            </w:r>
            <w:r>
              <w:rPr>
                <w:rFonts w:cstheme="minorHAnsi"/>
                <w:szCs w:val="20"/>
              </w:rPr>
              <w:t>1667</w:t>
            </w:r>
          </w:p>
        </w:tc>
      </w:tr>
      <w:tr w:rsidR="00224FA6" w:rsidRPr="00664EC8" w14:paraId="7A9F91FA" w14:textId="77777777" w:rsidTr="00CB146C">
        <w:trPr>
          <w:trHeight w:hRule="exact" w:val="288"/>
        </w:trPr>
        <w:tc>
          <w:tcPr>
            <w:tcW w:w="1891" w:type="pct"/>
          </w:tcPr>
          <w:p w14:paraId="25FCF18E" w14:textId="3ABFED85" w:rsidR="00224FA6" w:rsidRPr="00664EC8" w:rsidRDefault="00224FA6" w:rsidP="0045669C">
            <w:pPr>
              <w:rPr>
                <w:rFonts w:cstheme="minorHAnsi"/>
                <w:szCs w:val="20"/>
              </w:rPr>
            </w:pPr>
            <w:r>
              <w:rPr>
                <w:rFonts w:cstheme="minorHAnsi"/>
                <w:szCs w:val="20"/>
              </w:rPr>
              <w:t>DEER Coincidence Factor</w:t>
            </w:r>
          </w:p>
        </w:tc>
        <w:tc>
          <w:tcPr>
            <w:tcW w:w="963" w:type="pct"/>
          </w:tcPr>
          <w:p w14:paraId="5A24781F" w14:textId="77777777" w:rsidR="00224FA6" w:rsidRPr="00664EC8" w:rsidRDefault="00224FA6" w:rsidP="0045669C">
            <w:pPr>
              <w:jc w:val="center"/>
              <w:rPr>
                <w:rFonts w:cstheme="minorHAnsi"/>
                <w:szCs w:val="20"/>
              </w:rPr>
            </w:pPr>
          </w:p>
        </w:tc>
        <w:tc>
          <w:tcPr>
            <w:tcW w:w="963" w:type="pct"/>
          </w:tcPr>
          <w:p w14:paraId="73CBAA00" w14:textId="37A73C08" w:rsidR="00224FA6" w:rsidRPr="00664EC8" w:rsidRDefault="00885830" w:rsidP="0045669C">
            <w:pPr>
              <w:jc w:val="center"/>
              <w:rPr>
                <w:rFonts w:cstheme="minorHAnsi"/>
                <w:szCs w:val="20"/>
              </w:rPr>
            </w:pPr>
            <w:r>
              <w:rPr>
                <w:rFonts w:cstheme="minorHAnsi"/>
                <w:szCs w:val="20"/>
              </w:rPr>
              <w:t>-</w:t>
            </w:r>
          </w:p>
        </w:tc>
        <w:tc>
          <w:tcPr>
            <w:tcW w:w="1183" w:type="pct"/>
          </w:tcPr>
          <w:p w14:paraId="6745C4E6" w14:textId="493CED12" w:rsidR="00224FA6" w:rsidRPr="00664EC8" w:rsidRDefault="00224FA6" w:rsidP="0045669C">
            <w:pPr>
              <w:jc w:val="center"/>
              <w:rPr>
                <w:rFonts w:cstheme="minorHAnsi"/>
                <w:szCs w:val="20"/>
              </w:rPr>
            </w:pPr>
            <w:r>
              <w:rPr>
                <w:rFonts w:cstheme="minorHAnsi"/>
                <w:szCs w:val="20"/>
              </w:rPr>
              <w:t>0.9</w:t>
            </w:r>
          </w:p>
        </w:tc>
      </w:tr>
      <w:tr w:rsidR="00224FA6" w:rsidRPr="00664EC8" w14:paraId="6A676670" w14:textId="77777777" w:rsidTr="00CB146C">
        <w:trPr>
          <w:trHeight w:hRule="exact" w:val="288"/>
        </w:trPr>
        <w:tc>
          <w:tcPr>
            <w:tcW w:w="1891" w:type="pct"/>
          </w:tcPr>
          <w:p w14:paraId="472174C8" w14:textId="77777777" w:rsidR="00224FA6" w:rsidRPr="00E639B5" w:rsidRDefault="00224FA6" w:rsidP="0045669C">
            <w:pPr>
              <w:rPr>
                <w:rFonts w:cstheme="minorHAnsi"/>
                <w:b/>
                <w:szCs w:val="20"/>
              </w:rPr>
            </w:pPr>
            <w:r w:rsidRPr="00E639B5">
              <w:rPr>
                <w:rFonts w:cstheme="minorHAnsi"/>
                <w:b/>
                <w:szCs w:val="20"/>
              </w:rPr>
              <w:t>DEER Peak Demand Reduction (kW)</w:t>
            </w:r>
          </w:p>
        </w:tc>
        <w:tc>
          <w:tcPr>
            <w:tcW w:w="963" w:type="pct"/>
          </w:tcPr>
          <w:p w14:paraId="4748F20B" w14:textId="77777777" w:rsidR="00224FA6" w:rsidRPr="00E639B5" w:rsidRDefault="00224FA6" w:rsidP="0045669C">
            <w:pPr>
              <w:jc w:val="center"/>
              <w:rPr>
                <w:rFonts w:cstheme="minorHAnsi"/>
                <w:b/>
                <w:szCs w:val="20"/>
              </w:rPr>
            </w:pPr>
          </w:p>
        </w:tc>
        <w:tc>
          <w:tcPr>
            <w:tcW w:w="963" w:type="pct"/>
          </w:tcPr>
          <w:p w14:paraId="6989E6D5" w14:textId="25B6D873" w:rsidR="00224FA6" w:rsidRPr="00E639B5" w:rsidRDefault="00885830" w:rsidP="0045669C">
            <w:pPr>
              <w:jc w:val="center"/>
              <w:rPr>
                <w:rFonts w:cstheme="minorHAnsi"/>
                <w:b/>
                <w:szCs w:val="20"/>
              </w:rPr>
            </w:pPr>
            <w:r>
              <w:rPr>
                <w:rFonts w:cstheme="minorHAnsi"/>
                <w:b/>
                <w:szCs w:val="20"/>
              </w:rPr>
              <w:t>-</w:t>
            </w:r>
          </w:p>
        </w:tc>
        <w:tc>
          <w:tcPr>
            <w:tcW w:w="1183" w:type="pct"/>
          </w:tcPr>
          <w:p w14:paraId="6A6972D6" w14:textId="349A2ECA" w:rsidR="00224FA6" w:rsidRPr="00E639B5" w:rsidRDefault="00224FA6" w:rsidP="0045669C">
            <w:pPr>
              <w:jc w:val="center"/>
              <w:rPr>
                <w:rFonts w:cstheme="minorHAnsi"/>
                <w:b/>
                <w:szCs w:val="20"/>
              </w:rPr>
            </w:pPr>
            <w:r w:rsidRPr="00E639B5">
              <w:rPr>
                <w:rFonts w:cstheme="minorHAnsi"/>
                <w:b/>
                <w:szCs w:val="20"/>
              </w:rPr>
              <w:t>1.5</w:t>
            </w:r>
            <w:r>
              <w:rPr>
                <w:rFonts w:cstheme="minorHAnsi"/>
                <w:b/>
                <w:szCs w:val="20"/>
              </w:rPr>
              <w:t>4500</w:t>
            </w:r>
          </w:p>
        </w:tc>
      </w:tr>
      <w:tr w:rsidR="00224FA6" w:rsidRPr="00664EC8" w14:paraId="5A9D6A5D" w14:textId="77777777" w:rsidTr="00CB146C">
        <w:trPr>
          <w:trHeight w:hRule="exact" w:val="288"/>
        </w:trPr>
        <w:tc>
          <w:tcPr>
            <w:tcW w:w="1891" w:type="pct"/>
          </w:tcPr>
          <w:p w14:paraId="1BD1C9B4" w14:textId="77777777" w:rsidR="00224FA6" w:rsidRPr="00664EC8" w:rsidRDefault="00224FA6" w:rsidP="0045669C">
            <w:pPr>
              <w:rPr>
                <w:rFonts w:cstheme="minorHAnsi"/>
                <w:szCs w:val="20"/>
              </w:rPr>
            </w:pPr>
            <w:r w:rsidRPr="00664EC8">
              <w:rPr>
                <w:rFonts w:cstheme="minorHAnsi"/>
                <w:szCs w:val="20"/>
              </w:rPr>
              <w:t>Annual Energy Consumption (kWh)</w:t>
            </w:r>
          </w:p>
        </w:tc>
        <w:tc>
          <w:tcPr>
            <w:tcW w:w="963" w:type="pct"/>
          </w:tcPr>
          <w:p w14:paraId="793AB164" w14:textId="77777777" w:rsidR="00224FA6" w:rsidRDefault="00224FA6" w:rsidP="0045669C">
            <w:pPr>
              <w:jc w:val="center"/>
              <w:rPr>
                <w:rFonts w:cstheme="minorHAnsi"/>
                <w:szCs w:val="20"/>
              </w:rPr>
            </w:pPr>
          </w:p>
        </w:tc>
        <w:tc>
          <w:tcPr>
            <w:tcW w:w="963" w:type="pct"/>
          </w:tcPr>
          <w:p w14:paraId="5A33D143" w14:textId="4DF58590" w:rsidR="00224FA6" w:rsidRPr="00664EC8" w:rsidRDefault="006171DA" w:rsidP="0045669C">
            <w:pPr>
              <w:jc w:val="center"/>
              <w:rPr>
                <w:rFonts w:cstheme="minorHAnsi"/>
                <w:szCs w:val="20"/>
              </w:rPr>
            </w:pPr>
            <w:r>
              <w:rPr>
                <w:rFonts w:cstheme="minorHAnsi"/>
                <w:szCs w:val="20"/>
              </w:rPr>
              <w:t>20,808.92</w:t>
            </w:r>
          </w:p>
        </w:tc>
        <w:tc>
          <w:tcPr>
            <w:tcW w:w="1183" w:type="pct"/>
          </w:tcPr>
          <w:p w14:paraId="10EFCD23" w14:textId="5F11D687" w:rsidR="00224FA6" w:rsidRPr="00664EC8" w:rsidRDefault="006171DA" w:rsidP="0045669C">
            <w:pPr>
              <w:jc w:val="center"/>
              <w:rPr>
                <w:rFonts w:cstheme="minorHAnsi"/>
                <w:szCs w:val="20"/>
              </w:rPr>
            </w:pPr>
            <w:r>
              <w:rPr>
                <w:rFonts w:cstheme="minorHAnsi"/>
                <w:szCs w:val="20"/>
              </w:rPr>
              <w:t>13,495.92</w:t>
            </w:r>
          </w:p>
        </w:tc>
      </w:tr>
      <w:tr w:rsidR="00224FA6" w:rsidRPr="00664EC8" w14:paraId="3EB047A5" w14:textId="77777777" w:rsidTr="00CB146C">
        <w:trPr>
          <w:trHeight w:hRule="exact" w:val="288"/>
        </w:trPr>
        <w:tc>
          <w:tcPr>
            <w:tcW w:w="1891" w:type="pct"/>
          </w:tcPr>
          <w:p w14:paraId="640669E5" w14:textId="77777777" w:rsidR="00224FA6" w:rsidRPr="00E639B5" w:rsidRDefault="00224FA6" w:rsidP="0045669C">
            <w:pPr>
              <w:rPr>
                <w:rFonts w:cstheme="minorHAnsi"/>
                <w:b/>
                <w:szCs w:val="20"/>
              </w:rPr>
            </w:pPr>
            <w:r w:rsidRPr="00E639B5">
              <w:rPr>
                <w:rFonts w:cstheme="minorHAnsi"/>
                <w:b/>
                <w:szCs w:val="20"/>
              </w:rPr>
              <w:t>Estimated Energy Savings (kWh/yr)</w:t>
            </w:r>
          </w:p>
        </w:tc>
        <w:tc>
          <w:tcPr>
            <w:tcW w:w="963" w:type="pct"/>
          </w:tcPr>
          <w:p w14:paraId="2DB240F3" w14:textId="77777777" w:rsidR="00224FA6" w:rsidRPr="00E639B5" w:rsidRDefault="00224FA6" w:rsidP="0045669C">
            <w:pPr>
              <w:jc w:val="center"/>
              <w:rPr>
                <w:rFonts w:cstheme="minorHAnsi"/>
                <w:b/>
                <w:szCs w:val="20"/>
              </w:rPr>
            </w:pPr>
          </w:p>
        </w:tc>
        <w:tc>
          <w:tcPr>
            <w:tcW w:w="963" w:type="pct"/>
          </w:tcPr>
          <w:p w14:paraId="6519568C" w14:textId="5BB4446F" w:rsidR="00224FA6" w:rsidRPr="00E639B5" w:rsidRDefault="00224FA6" w:rsidP="0045669C">
            <w:pPr>
              <w:jc w:val="center"/>
              <w:rPr>
                <w:rFonts w:cstheme="minorHAnsi"/>
                <w:b/>
                <w:szCs w:val="20"/>
              </w:rPr>
            </w:pPr>
            <w:r w:rsidRPr="00E639B5">
              <w:rPr>
                <w:rFonts w:cstheme="minorHAnsi"/>
                <w:b/>
                <w:szCs w:val="20"/>
              </w:rPr>
              <w:t>-</w:t>
            </w:r>
          </w:p>
        </w:tc>
        <w:tc>
          <w:tcPr>
            <w:tcW w:w="1183" w:type="pct"/>
          </w:tcPr>
          <w:p w14:paraId="181A2954" w14:textId="4A5FE47D" w:rsidR="00224FA6" w:rsidRPr="00E639B5" w:rsidRDefault="00224FA6" w:rsidP="0045669C">
            <w:pPr>
              <w:jc w:val="center"/>
              <w:rPr>
                <w:rFonts w:cstheme="minorHAnsi"/>
                <w:b/>
                <w:szCs w:val="20"/>
              </w:rPr>
            </w:pPr>
            <w:r w:rsidRPr="00E639B5">
              <w:rPr>
                <w:rFonts w:cstheme="minorHAnsi"/>
                <w:b/>
                <w:szCs w:val="20"/>
              </w:rPr>
              <w:t>7,</w:t>
            </w:r>
            <w:r w:rsidR="006171DA">
              <w:rPr>
                <w:rFonts w:cstheme="minorHAnsi"/>
                <w:b/>
                <w:szCs w:val="20"/>
              </w:rPr>
              <w:t>313</w:t>
            </w:r>
            <w:r>
              <w:rPr>
                <w:rFonts w:cstheme="minorHAnsi"/>
                <w:b/>
                <w:szCs w:val="20"/>
              </w:rPr>
              <w:t>.00</w:t>
            </w:r>
          </w:p>
        </w:tc>
      </w:tr>
    </w:tbl>
    <w:p w14:paraId="06D91F03" w14:textId="3EB7D9FF" w:rsidR="00905C64" w:rsidRDefault="00905C64">
      <w:pPr>
        <w:spacing w:after="200" w:line="276" w:lineRule="auto"/>
        <w:rPr>
          <w:rFonts w:cstheme="minorHAnsi"/>
          <w:b/>
          <w:i/>
          <w:szCs w:val="22"/>
        </w:rPr>
      </w:pPr>
    </w:p>
    <w:p w14:paraId="5EDB0E55" w14:textId="7B8DB802" w:rsidR="00660610" w:rsidRPr="00664EC8" w:rsidRDefault="00660610" w:rsidP="00660610">
      <w:pPr>
        <w:spacing w:before="120" w:after="120"/>
        <w:rPr>
          <w:rFonts w:cstheme="minorHAnsi"/>
          <w:b/>
          <w:i/>
          <w:szCs w:val="22"/>
        </w:rPr>
      </w:pPr>
      <w:r w:rsidRPr="00664EC8">
        <w:rPr>
          <w:rFonts w:cstheme="minorHAnsi"/>
          <w:b/>
          <w:i/>
          <w:szCs w:val="22"/>
        </w:rPr>
        <w:t>Daily Energy Consumption Calculation and Definitions</w:t>
      </w:r>
    </w:p>
    <w:p w14:paraId="14C1A946" w14:textId="77777777" w:rsidR="00660610" w:rsidRPr="00664EC8" w:rsidRDefault="00660610" w:rsidP="00660610">
      <w:pPr>
        <w:keepNext/>
        <w:rPr>
          <w:rFonts w:cstheme="minorHAnsi"/>
          <w:szCs w:val="22"/>
          <w:u w:val="single"/>
        </w:rPr>
      </w:pPr>
      <w:r w:rsidRPr="00664EC8">
        <w:rPr>
          <w:rFonts w:cstheme="minorHAnsi"/>
          <w:szCs w:val="22"/>
          <w:u w:val="single"/>
        </w:rPr>
        <w:t xml:space="preserve">EDAY = (LBFOOD x EFOOD) ÷ EFFICIENCY + [IDLERATE x (TON - LBFOOD/PC – nP x TP/60)] </w:t>
      </w:r>
      <w:r w:rsidRPr="00664EC8">
        <w:rPr>
          <w:rFonts w:cstheme="minorHAnsi"/>
          <w:szCs w:val="22"/>
          <w:u w:val="single"/>
        </w:rPr>
        <w:br/>
        <w:t>+ nP x EP</w:t>
      </w:r>
    </w:p>
    <w:p w14:paraId="6487A676" w14:textId="77777777" w:rsidR="00660610" w:rsidRPr="00664EC8" w:rsidRDefault="00660610" w:rsidP="00660610">
      <w:pPr>
        <w:rPr>
          <w:rFonts w:cstheme="minorHAnsi"/>
          <w:szCs w:val="22"/>
          <w:u w:val="single"/>
        </w:rPr>
      </w:pPr>
    </w:p>
    <w:p w14:paraId="4309FA5F" w14:textId="77777777" w:rsidR="00660610" w:rsidRPr="00664EC8" w:rsidRDefault="00660610" w:rsidP="00660610">
      <w:pPr>
        <w:spacing w:before="120" w:after="120"/>
        <w:rPr>
          <w:rFonts w:cstheme="minorHAnsi"/>
          <w:szCs w:val="22"/>
        </w:rPr>
      </w:pPr>
      <w:r w:rsidRPr="00664EC8">
        <w:rPr>
          <w:rFonts w:cstheme="minorHAnsi"/>
          <w:szCs w:val="22"/>
        </w:rPr>
        <w:t>Where:</w:t>
      </w:r>
    </w:p>
    <w:tbl>
      <w:tblPr>
        <w:tblW w:w="4598" w:type="pct"/>
        <w:jc w:val="center"/>
        <w:tblLook w:val="01E0" w:firstRow="1" w:lastRow="1" w:firstColumn="1" w:lastColumn="1" w:noHBand="0" w:noVBand="0"/>
      </w:tblPr>
      <w:tblGrid>
        <w:gridCol w:w="1408"/>
        <w:gridCol w:w="7199"/>
      </w:tblGrid>
      <w:tr w:rsidR="00660610" w:rsidRPr="00664EC8" w14:paraId="6A2FF5BA" w14:textId="77777777" w:rsidTr="0045669C">
        <w:trPr>
          <w:trHeight w:val="144"/>
          <w:jc w:val="center"/>
        </w:trPr>
        <w:tc>
          <w:tcPr>
            <w:tcW w:w="818" w:type="pct"/>
          </w:tcPr>
          <w:p w14:paraId="70D6F1DD" w14:textId="77777777" w:rsidR="00660610" w:rsidRPr="00664EC8" w:rsidRDefault="00660610" w:rsidP="0045669C">
            <w:pPr>
              <w:rPr>
                <w:rFonts w:cstheme="minorHAnsi"/>
                <w:szCs w:val="22"/>
              </w:rPr>
            </w:pPr>
            <w:r w:rsidRPr="00664EC8">
              <w:rPr>
                <w:rFonts w:cstheme="minorHAnsi"/>
                <w:szCs w:val="22"/>
              </w:rPr>
              <w:t>EDAY =</w:t>
            </w:r>
          </w:p>
        </w:tc>
        <w:tc>
          <w:tcPr>
            <w:tcW w:w="4182" w:type="pct"/>
          </w:tcPr>
          <w:p w14:paraId="0109A5F2" w14:textId="77777777" w:rsidR="00660610" w:rsidRPr="00DD20AA" w:rsidRDefault="00660610" w:rsidP="0045669C">
            <w:pPr>
              <w:rPr>
                <w:rFonts w:cstheme="minorHAnsi"/>
                <w:szCs w:val="22"/>
              </w:rPr>
            </w:pPr>
            <w:r w:rsidRPr="00DD20AA">
              <w:rPr>
                <w:rFonts w:cstheme="minorHAnsi"/>
                <w:szCs w:val="22"/>
              </w:rPr>
              <w:t>Calculated Daily Energy Consumption (kWh/day)</w:t>
            </w:r>
          </w:p>
        </w:tc>
      </w:tr>
      <w:tr w:rsidR="00660610" w:rsidRPr="00664EC8" w14:paraId="5DDE75DB" w14:textId="77777777" w:rsidTr="0045669C">
        <w:trPr>
          <w:trHeight w:val="144"/>
          <w:jc w:val="center"/>
        </w:trPr>
        <w:tc>
          <w:tcPr>
            <w:tcW w:w="818" w:type="pct"/>
          </w:tcPr>
          <w:p w14:paraId="4CF2BEFB" w14:textId="77777777" w:rsidR="00660610" w:rsidRPr="00664EC8" w:rsidRDefault="00660610" w:rsidP="0045669C">
            <w:pPr>
              <w:rPr>
                <w:rFonts w:cstheme="minorHAnsi"/>
                <w:szCs w:val="22"/>
              </w:rPr>
            </w:pPr>
            <w:r w:rsidRPr="00664EC8">
              <w:rPr>
                <w:rFonts w:cstheme="minorHAnsi"/>
                <w:szCs w:val="22"/>
              </w:rPr>
              <w:t>LBFOOD =</w:t>
            </w:r>
          </w:p>
        </w:tc>
        <w:tc>
          <w:tcPr>
            <w:tcW w:w="4182" w:type="pct"/>
          </w:tcPr>
          <w:p w14:paraId="17958365" w14:textId="77777777" w:rsidR="00660610" w:rsidRPr="00DD20AA" w:rsidRDefault="00660610" w:rsidP="0045669C">
            <w:pPr>
              <w:rPr>
                <w:rFonts w:cstheme="minorHAnsi"/>
                <w:szCs w:val="22"/>
              </w:rPr>
            </w:pPr>
            <w:r w:rsidRPr="00DD20AA">
              <w:rPr>
                <w:rFonts w:cstheme="minorHAnsi"/>
                <w:szCs w:val="22"/>
              </w:rPr>
              <w:t>Estimated Pounds of Food Cooked per Day</w:t>
            </w:r>
          </w:p>
        </w:tc>
      </w:tr>
      <w:tr w:rsidR="00660610" w:rsidRPr="00664EC8" w14:paraId="6DD44CF5" w14:textId="77777777" w:rsidTr="0045669C">
        <w:trPr>
          <w:trHeight w:val="144"/>
          <w:jc w:val="center"/>
        </w:trPr>
        <w:tc>
          <w:tcPr>
            <w:tcW w:w="818" w:type="pct"/>
          </w:tcPr>
          <w:p w14:paraId="3A5C4D4B" w14:textId="77777777" w:rsidR="00660610" w:rsidRPr="00664EC8" w:rsidRDefault="00660610" w:rsidP="0045669C">
            <w:pPr>
              <w:rPr>
                <w:rFonts w:cstheme="minorHAnsi"/>
                <w:szCs w:val="22"/>
              </w:rPr>
            </w:pPr>
            <w:r w:rsidRPr="00664EC8">
              <w:rPr>
                <w:rFonts w:cstheme="minorHAnsi"/>
                <w:szCs w:val="22"/>
              </w:rPr>
              <w:t>EFOOD =</w:t>
            </w:r>
          </w:p>
        </w:tc>
        <w:tc>
          <w:tcPr>
            <w:tcW w:w="4182" w:type="pct"/>
          </w:tcPr>
          <w:p w14:paraId="020DFDF5" w14:textId="77777777" w:rsidR="00660610" w:rsidRPr="00DD20AA" w:rsidRDefault="00660610" w:rsidP="0045669C">
            <w:pPr>
              <w:rPr>
                <w:rFonts w:cstheme="minorHAnsi"/>
                <w:szCs w:val="22"/>
              </w:rPr>
            </w:pPr>
            <w:r w:rsidRPr="00DD20AA">
              <w:rPr>
                <w:rFonts w:cstheme="minorHAnsi"/>
                <w:szCs w:val="22"/>
              </w:rPr>
              <w:t>ASTM Energy to Food (kWh/lb) = kWh/pound of energy absorbed by food product during cooking based on the ASTM test method</w:t>
            </w:r>
          </w:p>
        </w:tc>
      </w:tr>
      <w:tr w:rsidR="00660610" w:rsidRPr="00664EC8" w14:paraId="536F2BA8" w14:textId="77777777" w:rsidTr="0045669C">
        <w:trPr>
          <w:trHeight w:val="144"/>
          <w:jc w:val="center"/>
        </w:trPr>
        <w:tc>
          <w:tcPr>
            <w:tcW w:w="818" w:type="pct"/>
          </w:tcPr>
          <w:p w14:paraId="0499529D" w14:textId="77777777" w:rsidR="00660610" w:rsidRPr="00664EC8" w:rsidRDefault="00660610" w:rsidP="0045669C">
            <w:pPr>
              <w:rPr>
                <w:rFonts w:cstheme="minorHAnsi"/>
                <w:szCs w:val="22"/>
              </w:rPr>
            </w:pPr>
            <w:r w:rsidRPr="00664EC8">
              <w:rPr>
                <w:rFonts w:cstheme="minorHAnsi"/>
                <w:szCs w:val="22"/>
              </w:rPr>
              <w:t xml:space="preserve">EFFICIENCY = </w:t>
            </w:r>
          </w:p>
        </w:tc>
        <w:tc>
          <w:tcPr>
            <w:tcW w:w="4182" w:type="pct"/>
          </w:tcPr>
          <w:p w14:paraId="090301F8" w14:textId="77777777" w:rsidR="00660610" w:rsidRPr="00DD20AA" w:rsidRDefault="00660610" w:rsidP="0045669C">
            <w:pPr>
              <w:rPr>
                <w:rFonts w:cstheme="minorHAnsi"/>
                <w:szCs w:val="22"/>
              </w:rPr>
            </w:pPr>
            <w:r w:rsidRPr="00DD20AA">
              <w:rPr>
                <w:rFonts w:cstheme="minorHAnsi"/>
                <w:szCs w:val="22"/>
              </w:rPr>
              <w:t>Measured Heavy Load Cooking Energy Efficiency %</w:t>
            </w:r>
          </w:p>
        </w:tc>
      </w:tr>
      <w:tr w:rsidR="00660610" w:rsidRPr="00664EC8" w14:paraId="6B1F1840" w14:textId="77777777" w:rsidTr="0045669C">
        <w:trPr>
          <w:trHeight w:val="144"/>
          <w:jc w:val="center"/>
        </w:trPr>
        <w:tc>
          <w:tcPr>
            <w:tcW w:w="818" w:type="pct"/>
          </w:tcPr>
          <w:p w14:paraId="6AEABE72" w14:textId="77777777" w:rsidR="00660610" w:rsidRPr="00664EC8" w:rsidRDefault="00660610" w:rsidP="0045669C">
            <w:pPr>
              <w:rPr>
                <w:rFonts w:cstheme="minorHAnsi"/>
                <w:szCs w:val="22"/>
              </w:rPr>
            </w:pPr>
            <w:r w:rsidRPr="00664EC8">
              <w:rPr>
                <w:rFonts w:cstheme="minorHAnsi"/>
                <w:szCs w:val="22"/>
              </w:rPr>
              <w:t>IDLE RATE =</w:t>
            </w:r>
          </w:p>
        </w:tc>
        <w:tc>
          <w:tcPr>
            <w:tcW w:w="4182" w:type="pct"/>
          </w:tcPr>
          <w:p w14:paraId="4A990344" w14:textId="77777777" w:rsidR="00660610" w:rsidRPr="00DD20AA" w:rsidRDefault="00660610" w:rsidP="0045669C">
            <w:pPr>
              <w:rPr>
                <w:rFonts w:cstheme="minorHAnsi"/>
                <w:szCs w:val="22"/>
              </w:rPr>
            </w:pPr>
            <w:r w:rsidRPr="00DD20AA">
              <w:rPr>
                <w:rFonts w:cstheme="minorHAnsi"/>
                <w:szCs w:val="22"/>
              </w:rPr>
              <w:t>Measured Idle Energy Rate (kW)</w:t>
            </w:r>
          </w:p>
        </w:tc>
      </w:tr>
      <w:tr w:rsidR="00660610" w:rsidRPr="00664EC8" w14:paraId="509D61EA" w14:textId="77777777" w:rsidTr="0045669C">
        <w:trPr>
          <w:trHeight w:val="144"/>
          <w:jc w:val="center"/>
        </w:trPr>
        <w:tc>
          <w:tcPr>
            <w:tcW w:w="818" w:type="pct"/>
          </w:tcPr>
          <w:p w14:paraId="22F23335" w14:textId="77777777" w:rsidR="00660610" w:rsidRPr="00664EC8" w:rsidRDefault="00660610" w:rsidP="0045669C">
            <w:pPr>
              <w:rPr>
                <w:rFonts w:cstheme="minorHAnsi"/>
                <w:szCs w:val="22"/>
              </w:rPr>
            </w:pPr>
            <w:r w:rsidRPr="00664EC8">
              <w:rPr>
                <w:rFonts w:cstheme="minorHAnsi"/>
                <w:szCs w:val="22"/>
              </w:rPr>
              <w:t>TON =</w:t>
            </w:r>
          </w:p>
        </w:tc>
        <w:tc>
          <w:tcPr>
            <w:tcW w:w="4182" w:type="pct"/>
          </w:tcPr>
          <w:p w14:paraId="40A337B8" w14:textId="77777777" w:rsidR="00660610" w:rsidRPr="00DD20AA" w:rsidRDefault="00660610" w:rsidP="0045669C">
            <w:pPr>
              <w:rPr>
                <w:rFonts w:cstheme="minorHAnsi"/>
                <w:szCs w:val="22"/>
              </w:rPr>
            </w:pPr>
            <w:r w:rsidRPr="00DD20AA">
              <w:rPr>
                <w:rFonts w:cstheme="minorHAnsi"/>
                <w:szCs w:val="22"/>
              </w:rPr>
              <w:t>Estimated Operating Hours/Day</w:t>
            </w:r>
          </w:p>
        </w:tc>
      </w:tr>
      <w:tr w:rsidR="00660610" w:rsidRPr="00664EC8" w14:paraId="0D89DA69" w14:textId="77777777" w:rsidTr="0045669C">
        <w:trPr>
          <w:trHeight w:val="144"/>
          <w:jc w:val="center"/>
        </w:trPr>
        <w:tc>
          <w:tcPr>
            <w:tcW w:w="818" w:type="pct"/>
          </w:tcPr>
          <w:p w14:paraId="40C22034" w14:textId="77777777" w:rsidR="00660610" w:rsidRPr="00664EC8" w:rsidRDefault="00660610" w:rsidP="0045669C">
            <w:pPr>
              <w:rPr>
                <w:rFonts w:cstheme="minorHAnsi"/>
                <w:szCs w:val="22"/>
              </w:rPr>
            </w:pPr>
            <w:r w:rsidRPr="00664EC8">
              <w:rPr>
                <w:rFonts w:cstheme="minorHAnsi"/>
                <w:szCs w:val="22"/>
              </w:rPr>
              <w:t>PC =</w:t>
            </w:r>
          </w:p>
        </w:tc>
        <w:tc>
          <w:tcPr>
            <w:tcW w:w="4182" w:type="pct"/>
          </w:tcPr>
          <w:p w14:paraId="725A4EB1" w14:textId="77777777" w:rsidR="00660610" w:rsidRPr="00DD20AA" w:rsidRDefault="00660610" w:rsidP="0045669C">
            <w:pPr>
              <w:rPr>
                <w:rFonts w:cstheme="minorHAnsi"/>
                <w:szCs w:val="22"/>
              </w:rPr>
            </w:pPr>
            <w:r w:rsidRPr="00DD20AA">
              <w:rPr>
                <w:rFonts w:cstheme="minorHAnsi"/>
                <w:szCs w:val="22"/>
              </w:rPr>
              <w:t>Measured Production Capacity (lbs/hr)</w:t>
            </w:r>
          </w:p>
        </w:tc>
      </w:tr>
      <w:tr w:rsidR="00660610" w:rsidRPr="00664EC8" w14:paraId="2A63F67C" w14:textId="77777777" w:rsidTr="0045669C">
        <w:trPr>
          <w:trHeight w:val="144"/>
          <w:jc w:val="center"/>
        </w:trPr>
        <w:tc>
          <w:tcPr>
            <w:tcW w:w="818" w:type="pct"/>
          </w:tcPr>
          <w:p w14:paraId="7C8C963A" w14:textId="77777777" w:rsidR="00660610" w:rsidRPr="00664EC8" w:rsidRDefault="00660610" w:rsidP="0045669C">
            <w:pPr>
              <w:rPr>
                <w:rFonts w:cstheme="minorHAnsi"/>
                <w:szCs w:val="22"/>
              </w:rPr>
            </w:pPr>
            <w:r w:rsidRPr="00664EC8">
              <w:rPr>
                <w:rFonts w:cstheme="minorHAnsi"/>
                <w:szCs w:val="22"/>
              </w:rPr>
              <w:t>TP =</w:t>
            </w:r>
          </w:p>
        </w:tc>
        <w:tc>
          <w:tcPr>
            <w:tcW w:w="4182" w:type="pct"/>
          </w:tcPr>
          <w:p w14:paraId="386C3618" w14:textId="77777777" w:rsidR="00660610" w:rsidRPr="00DD20AA" w:rsidRDefault="00660610" w:rsidP="0045669C">
            <w:pPr>
              <w:rPr>
                <w:rFonts w:cstheme="minorHAnsi"/>
                <w:szCs w:val="22"/>
              </w:rPr>
            </w:pPr>
            <w:r w:rsidRPr="00DD20AA">
              <w:rPr>
                <w:rFonts w:cstheme="minorHAnsi"/>
                <w:szCs w:val="22"/>
              </w:rPr>
              <w:t>Estimated Preheat Time (min)</w:t>
            </w:r>
          </w:p>
        </w:tc>
      </w:tr>
      <w:tr w:rsidR="00660610" w:rsidRPr="00664EC8" w14:paraId="35313FD5" w14:textId="77777777" w:rsidTr="0045669C">
        <w:trPr>
          <w:trHeight w:val="144"/>
          <w:jc w:val="center"/>
        </w:trPr>
        <w:tc>
          <w:tcPr>
            <w:tcW w:w="818" w:type="pct"/>
          </w:tcPr>
          <w:p w14:paraId="57F3BCA0" w14:textId="77777777" w:rsidR="00660610" w:rsidRPr="00664EC8" w:rsidRDefault="00660610" w:rsidP="0045669C">
            <w:pPr>
              <w:rPr>
                <w:rFonts w:cstheme="minorHAnsi"/>
                <w:szCs w:val="22"/>
              </w:rPr>
            </w:pPr>
            <w:r w:rsidRPr="00664EC8">
              <w:rPr>
                <w:rFonts w:cstheme="minorHAnsi"/>
                <w:szCs w:val="22"/>
              </w:rPr>
              <w:t>nP =</w:t>
            </w:r>
          </w:p>
        </w:tc>
        <w:tc>
          <w:tcPr>
            <w:tcW w:w="4182" w:type="pct"/>
          </w:tcPr>
          <w:p w14:paraId="3C982E33" w14:textId="77777777" w:rsidR="00660610" w:rsidRPr="00DD20AA" w:rsidRDefault="00660610" w:rsidP="0045669C">
            <w:pPr>
              <w:rPr>
                <w:rFonts w:cstheme="minorHAnsi"/>
                <w:szCs w:val="22"/>
              </w:rPr>
            </w:pPr>
            <w:r w:rsidRPr="00DD20AA">
              <w:rPr>
                <w:rFonts w:cstheme="minorHAnsi"/>
                <w:szCs w:val="22"/>
              </w:rPr>
              <w:t>Estimated Number of preheats/Day</w:t>
            </w:r>
          </w:p>
        </w:tc>
      </w:tr>
      <w:tr w:rsidR="00660610" w:rsidRPr="00664EC8" w14:paraId="5B22A075" w14:textId="77777777" w:rsidTr="0045669C">
        <w:trPr>
          <w:trHeight w:val="144"/>
          <w:jc w:val="center"/>
        </w:trPr>
        <w:tc>
          <w:tcPr>
            <w:tcW w:w="818" w:type="pct"/>
          </w:tcPr>
          <w:p w14:paraId="3D6A9809" w14:textId="77777777" w:rsidR="00660610" w:rsidRPr="00664EC8" w:rsidRDefault="00660610" w:rsidP="0045669C">
            <w:pPr>
              <w:rPr>
                <w:rFonts w:cstheme="minorHAnsi"/>
                <w:szCs w:val="22"/>
              </w:rPr>
            </w:pPr>
            <w:r w:rsidRPr="00664EC8">
              <w:rPr>
                <w:rFonts w:cstheme="minorHAnsi"/>
                <w:szCs w:val="22"/>
              </w:rPr>
              <w:t>EP =</w:t>
            </w:r>
          </w:p>
        </w:tc>
        <w:tc>
          <w:tcPr>
            <w:tcW w:w="4182" w:type="pct"/>
          </w:tcPr>
          <w:p w14:paraId="3D5759F3" w14:textId="77777777" w:rsidR="00660610" w:rsidRPr="00DD20AA" w:rsidRDefault="00660610" w:rsidP="0045669C">
            <w:pPr>
              <w:rPr>
                <w:rFonts w:cstheme="minorHAnsi"/>
                <w:szCs w:val="22"/>
              </w:rPr>
            </w:pPr>
            <w:r w:rsidRPr="00DD20AA">
              <w:rPr>
                <w:rFonts w:cstheme="minorHAnsi"/>
                <w:szCs w:val="22"/>
              </w:rPr>
              <w:t>Measured Preheat Energy (kWh)</w:t>
            </w:r>
          </w:p>
        </w:tc>
      </w:tr>
    </w:tbl>
    <w:p w14:paraId="5A7298E5" w14:textId="77777777" w:rsidR="00660610" w:rsidRPr="00664EC8" w:rsidRDefault="00660610" w:rsidP="00660610">
      <w:pPr>
        <w:rPr>
          <w:rFonts w:cstheme="minorHAnsi"/>
        </w:rPr>
      </w:pPr>
    </w:p>
    <w:bookmarkEnd w:id="22"/>
    <w:p w14:paraId="5781BD57" w14:textId="4A2D2566" w:rsidR="00224FA6" w:rsidRPr="00CB146C" w:rsidRDefault="00224FA6" w:rsidP="00660610">
      <w:pPr>
        <w:rPr>
          <w:rFonts w:cstheme="minorHAnsi"/>
          <w:b/>
          <w:szCs w:val="22"/>
        </w:rPr>
      </w:pPr>
      <w:r w:rsidRPr="00CB146C">
        <w:rPr>
          <w:rFonts w:cstheme="minorHAnsi"/>
          <w:b/>
          <w:szCs w:val="22"/>
        </w:rPr>
        <w:t>Base</w:t>
      </w:r>
      <w:r w:rsidR="006B4059">
        <w:rPr>
          <w:rFonts w:cstheme="minorHAnsi"/>
          <w:b/>
          <w:szCs w:val="22"/>
        </w:rPr>
        <w:t xml:space="preserve"> Case </w:t>
      </w:r>
      <w:r w:rsidRPr="00CB146C">
        <w:rPr>
          <w:rFonts w:cstheme="minorHAnsi"/>
          <w:b/>
          <w:szCs w:val="22"/>
        </w:rPr>
        <w:t>Calculations: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9"/>
        <w:gridCol w:w="8531"/>
      </w:tblGrid>
      <w:tr w:rsidR="00224FA6" w14:paraId="2ED84FD6" w14:textId="77777777" w:rsidTr="00CB146C">
        <w:tc>
          <w:tcPr>
            <w:tcW w:w="715" w:type="dxa"/>
          </w:tcPr>
          <w:p w14:paraId="4C8CDCE3" w14:textId="76460EEC" w:rsidR="00224FA6" w:rsidRDefault="00224FA6" w:rsidP="00660610">
            <w:pPr>
              <w:rPr>
                <w:rFonts w:cstheme="minorHAnsi"/>
                <w:szCs w:val="22"/>
              </w:rPr>
            </w:pPr>
            <w:r>
              <w:rPr>
                <w:rFonts w:cstheme="minorHAnsi"/>
                <w:szCs w:val="22"/>
              </w:rPr>
              <w:t>EDAY</w:t>
            </w:r>
            <w:r w:rsidR="0004265B">
              <w:rPr>
                <w:rFonts w:cstheme="minorHAnsi"/>
                <w:szCs w:val="22"/>
                <w:vertAlign w:val="subscript"/>
              </w:rPr>
              <w:t>BL</w:t>
            </w:r>
            <w:r>
              <w:rPr>
                <w:rFonts w:cstheme="minorHAnsi"/>
                <w:szCs w:val="22"/>
              </w:rPr>
              <w:t xml:space="preserve"> </w:t>
            </w:r>
          </w:p>
        </w:tc>
        <w:tc>
          <w:tcPr>
            <w:tcW w:w="8635" w:type="dxa"/>
          </w:tcPr>
          <w:p w14:paraId="5302D5FE" w14:textId="738BF809" w:rsidR="00224FA6" w:rsidRDefault="00224FA6" w:rsidP="00660610">
            <w:pPr>
              <w:rPr>
                <w:rFonts w:cstheme="minorHAnsi"/>
                <w:szCs w:val="22"/>
              </w:rPr>
            </w:pPr>
            <w:r>
              <w:rPr>
                <w:rFonts w:cstheme="minorHAnsi"/>
                <w:szCs w:val="22"/>
              </w:rPr>
              <w:t xml:space="preserve">= (200 x 0.0732) </w:t>
            </w:r>
            <w:r w:rsidRPr="00587A22">
              <w:rPr>
                <w:rFonts w:cstheme="minorHAnsi"/>
                <w:szCs w:val="22"/>
              </w:rPr>
              <w:t>÷</w:t>
            </w:r>
            <w:r>
              <w:rPr>
                <w:rFonts w:cstheme="minorHAnsi"/>
                <w:szCs w:val="22"/>
              </w:rPr>
              <w:t xml:space="preserve"> 0.4 + [1.90000 x (12 -200/60 – 1 x 30/60)] + 1 x 6.50</w:t>
            </w:r>
          </w:p>
        </w:tc>
      </w:tr>
      <w:tr w:rsidR="00224FA6" w14:paraId="4FC417F1" w14:textId="77777777" w:rsidTr="00CB146C">
        <w:tc>
          <w:tcPr>
            <w:tcW w:w="715" w:type="dxa"/>
          </w:tcPr>
          <w:p w14:paraId="3B7B810F" w14:textId="77777777" w:rsidR="00224FA6" w:rsidRDefault="00224FA6" w:rsidP="00660610">
            <w:pPr>
              <w:rPr>
                <w:rFonts w:cstheme="minorHAnsi"/>
                <w:szCs w:val="22"/>
              </w:rPr>
            </w:pPr>
          </w:p>
        </w:tc>
        <w:tc>
          <w:tcPr>
            <w:tcW w:w="8635" w:type="dxa"/>
          </w:tcPr>
          <w:p w14:paraId="0C12FEC2" w14:textId="361FA929" w:rsidR="00224FA6" w:rsidRDefault="00224FA6" w:rsidP="00660610">
            <w:pPr>
              <w:rPr>
                <w:rFonts w:cstheme="minorHAnsi"/>
                <w:szCs w:val="22"/>
              </w:rPr>
            </w:pPr>
            <w:r>
              <w:rPr>
                <w:rFonts w:cstheme="minorHAnsi"/>
                <w:szCs w:val="22"/>
              </w:rPr>
              <w:t>= 58.62 kWh</w:t>
            </w:r>
          </w:p>
        </w:tc>
      </w:tr>
    </w:tbl>
    <w:p w14:paraId="6765DD9E" w14:textId="49F3E91D" w:rsidR="00224FA6" w:rsidRPr="00224FA6" w:rsidRDefault="00224FA6" w:rsidP="00660610">
      <w:pPr>
        <w:rPr>
          <w:rFonts w:cstheme="minorHAnsi"/>
          <w:szCs w:val="22"/>
        </w:rPr>
      </w:pPr>
      <w:r>
        <w:rPr>
          <w:rFonts w:cstheme="minorHAnsi"/>
          <w:szCs w:val="22"/>
        </w:rPr>
        <w:tab/>
      </w:r>
    </w:p>
    <w:p w14:paraId="4D7DCD7D" w14:textId="501F33E1" w:rsidR="00224FA6" w:rsidRDefault="006B4059" w:rsidP="00660610">
      <w:pPr>
        <w:rPr>
          <w:rFonts w:cstheme="minorHAnsi"/>
          <w:b/>
          <w:szCs w:val="22"/>
        </w:rPr>
      </w:pPr>
      <w:r>
        <w:rPr>
          <w:rFonts w:cstheme="minorHAnsi"/>
          <w:b/>
          <w:szCs w:val="22"/>
        </w:rPr>
        <w:t>Measure Case</w:t>
      </w:r>
      <w:r w:rsidR="00977645" w:rsidRPr="00587A22">
        <w:rPr>
          <w:rFonts w:cstheme="minorHAnsi"/>
          <w:b/>
          <w:szCs w:val="22"/>
        </w:rPr>
        <w:t xml:space="preserve"> Calculations: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
        <w:gridCol w:w="8547"/>
      </w:tblGrid>
      <w:tr w:rsidR="00977645" w14:paraId="73AE7253" w14:textId="77777777" w:rsidTr="00CB146C">
        <w:tc>
          <w:tcPr>
            <w:tcW w:w="715" w:type="dxa"/>
          </w:tcPr>
          <w:p w14:paraId="7677DF09" w14:textId="21095E72" w:rsidR="00977645" w:rsidRDefault="00977645" w:rsidP="00226F90">
            <w:pPr>
              <w:rPr>
                <w:rFonts w:cstheme="minorHAnsi"/>
                <w:szCs w:val="22"/>
              </w:rPr>
            </w:pPr>
            <w:r>
              <w:rPr>
                <w:rFonts w:cstheme="minorHAnsi"/>
                <w:szCs w:val="22"/>
              </w:rPr>
              <w:t>EDAY</w:t>
            </w:r>
            <w:r w:rsidR="0004265B">
              <w:rPr>
                <w:rFonts w:cstheme="minorHAnsi"/>
                <w:szCs w:val="22"/>
                <w:vertAlign w:val="subscript"/>
              </w:rPr>
              <w:t>M</w:t>
            </w:r>
            <w:r>
              <w:rPr>
                <w:rFonts w:cstheme="minorHAnsi"/>
                <w:szCs w:val="22"/>
              </w:rPr>
              <w:t xml:space="preserve"> </w:t>
            </w:r>
          </w:p>
        </w:tc>
        <w:tc>
          <w:tcPr>
            <w:tcW w:w="8635" w:type="dxa"/>
          </w:tcPr>
          <w:p w14:paraId="6FB451AE" w14:textId="72A6CD1B" w:rsidR="00977645" w:rsidRDefault="00977645" w:rsidP="00226F90">
            <w:pPr>
              <w:rPr>
                <w:rFonts w:cstheme="minorHAnsi"/>
                <w:szCs w:val="22"/>
              </w:rPr>
            </w:pPr>
            <w:r>
              <w:rPr>
                <w:rFonts w:cstheme="minorHAnsi"/>
                <w:szCs w:val="22"/>
              </w:rPr>
              <w:t xml:space="preserve">= (200 x 0.0732) </w:t>
            </w:r>
            <w:r w:rsidRPr="00587A22">
              <w:rPr>
                <w:rFonts w:cstheme="minorHAnsi"/>
                <w:szCs w:val="22"/>
              </w:rPr>
              <w:t>÷</w:t>
            </w:r>
            <w:r>
              <w:rPr>
                <w:rFonts w:cstheme="minorHAnsi"/>
                <w:szCs w:val="22"/>
              </w:rPr>
              <w:t xml:space="preserve"> 0.6 + [1.30000 x (12 -200/60 – 1 x 30/60)] + 1 x 3.00</w:t>
            </w:r>
          </w:p>
        </w:tc>
      </w:tr>
      <w:tr w:rsidR="00977645" w14:paraId="3E84F150" w14:textId="77777777" w:rsidTr="00CB146C">
        <w:tc>
          <w:tcPr>
            <w:tcW w:w="715" w:type="dxa"/>
          </w:tcPr>
          <w:p w14:paraId="0664CC92" w14:textId="77777777" w:rsidR="00977645" w:rsidRDefault="00977645" w:rsidP="00226F90">
            <w:pPr>
              <w:rPr>
                <w:rFonts w:cstheme="minorHAnsi"/>
                <w:szCs w:val="22"/>
              </w:rPr>
            </w:pPr>
          </w:p>
        </w:tc>
        <w:tc>
          <w:tcPr>
            <w:tcW w:w="8635" w:type="dxa"/>
          </w:tcPr>
          <w:p w14:paraId="6408BE99" w14:textId="25F5C978" w:rsidR="00977645" w:rsidRDefault="00977645" w:rsidP="00226F90">
            <w:pPr>
              <w:rPr>
                <w:rFonts w:cstheme="minorHAnsi"/>
                <w:szCs w:val="22"/>
              </w:rPr>
            </w:pPr>
            <w:r>
              <w:rPr>
                <w:rFonts w:cstheme="minorHAnsi"/>
                <w:szCs w:val="22"/>
              </w:rPr>
              <w:t>= 38.02 kWh</w:t>
            </w:r>
          </w:p>
        </w:tc>
      </w:tr>
    </w:tbl>
    <w:p w14:paraId="2D001023" w14:textId="7F7904FD" w:rsidR="00977645" w:rsidRDefault="00977645" w:rsidP="00660610">
      <w:pPr>
        <w:rPr>
          <w:rFonts w:cstheme="minorHAnsi"/>
          <w:szCs w:val="22"/>
        </w:rPr>
      </w:pPr>
    </w:p>
    <w:p w14:paraId="60C16C59" w14:textId="446E731E" w:rsidR="0004265B" w:rsidRDefault="0004265B" w:rsidP="00660610">
      <w:pPr>
        <w:rPr>
          <w:rFonts w:cstheme="minorHAnsi"/>
          <w:szCs w:val="22"/>
        </w:rPr>
      </w:pPr>
      <w:r>
        <w:rPr>
          <w:rFonts w:cstheme="minorHAnsi"/>
          <w:szCs w:val="22"/>
        </w:rPr>
        <w:t>The annual energy savings is found by multiplying the daily energy consumptions by the annual operating days (</w:t>
      </w:r>
      <w:r w:rsidR="00981CE3">
        <w:rPr>
          <w:rFonts w:cstheme="minorHAnsi"/>
          <w:szCs w:val="22"/>
        </w:rPr>
        <w:t>355</w:t>
      </w:r>
      <w:r>
        <w:rPr>
          <w:rFonts w:cstheme="minorHAnsi"/>
          <w:szCs w:val="22"/>
        </w:rPr>
        <w:t xml:space="preserve">) and taking the difference. </w:t>
      </w:r>
      <w:r w:rsidR="00981CE3">
        <w:rPr>
          <w:rFonts w:cstheme="minorHAnsi"/>
        </w:rPr>
        <w:t>Note that the ovens are estimated to operate 355 days per year, based on the everyday operation except for the 10 federal holidays.</w:t>
      </w:r>
    </w:p>
    <w:p w14:paraId="0469B656" w14:textId="36185B45" w:rsidR="0004265B" w:rsidRDefault="0004265B" w:rsidP="00660610">
      <w:pPr>
        <w:rPr>
          <w:rFonts w:cstheme="minorHAnsi"/>
          <w:szCs w:val="22"/>
        </w:rPr>
      </w:pPr>
    </w:p>
    <w:p w14:paraId="5F7244A0" w14:textId="3E5F5ED9" w:rsidR="006B4059" w:rsidRPr="00CB146C" w:rsidRDefault="006B4059" w:rsidP="00660610">
      <w:pPr>
        <w:rPr>
          <w:rFonts w:cstheme="minorHAnsi"/>
          <w:b/>
          <w:szCs w:val="22"/>
        </w:rPr>
      </w:pPr>
      <w:r w:rsidRPr="00CB146C">
        <w:rPr>
          <w:rFonts w:cstheme="minorHAnsi"/>
          <w:b/>
          <w:szCs w:val="22"/>
        </w:rPr>
        <w:t xml:space="preserve">Annual Energy Savings: </w:t>
      </w:r>
    </w:p>
    <w:p w14:paraId="0CDEFF77" w14:textId="29181410" w:rsidR="0004265B" w:rsidRDefault="0004265B" w:rsidP="00660610">
      <w:pPr>
        <w:rPr>
          <w:rFonts w:cstheme="minorHAnsi"/>
          <w:szCs w:val="22"/>
        </w:rPr>
      </w:pPr>
      <w:r>
        <w:rPr>
          <w:rFonts w:cstheme="minorHAnsi"/>
          <w:szCs w:val="22"/>
        </w:rPr>
        <w:t>Annual Energy Savings = (EDAY</w:t>
      </w:r>
      <w:r>
        <w:rPr>
          <w:rFonts w:cstheme="minorHAnsi"/>
          <w:szCs w:val="22"/>
          <w:vertAlign w:val="subscript"/>
        </w:rPr>
        <w:t xml:space="preserve">BL </w:t>
      </w:r>
      <w:r>
        <w:rPr>
          <w:rFonts w:cstheme="minorHAnsi"/>
          <w:szCs w:val="22"/>
        </w:rPr>
        <w:t>x 3</w:t>
      </w:r>
      <w:r w:rsidR="006171DA">
        <w:rPr>
          <w:rFonts w:cstheme="minorHAnsi"/>
          <w:szCs w:val="22"/>
        </w:rPr>
        <w:t>5</w:t>
      </w:r>
      <w:r>
        <w:rPr>
          <w:rFonts w:cstheme="minorHAnsi"/>
          <w:szCs w:val="22"/>
        </w:rPr>
        <w:t>5) - (EDAY</w:t>
      </w:r>
      <w:r>
        <w:rPr>
          <w:rFonts w:cstheme="minorHAnsi"/>
          <w:szCs w:val="22"/>
          <w:vertAlign w:val="subscript"/>
        </w:rPr>
        <w:t xml:space="preserve">M </w:t>
      </w:r>
      <w:r>
        <w:rPr>
          <w:rFonts w:cstheme="minorHAnsi"/>
          <w:szCs w:val="22"/>
        </w:rPr>
        <w:t>x 3</w:t>
      </w:r>
      <w:r w:rsidR="006171DA">
        <w:rPr>
          <w:rFonts w:cstheme="minorHAnsi"/>
          <w:szCs w:val="22"/>
        </w:rPr>
        <w:t>5</w:t>
      </w:r>
      <w:r>
        <w:rPr>
          <w:rFonts w:cstheme="minorHAnsi"/>
          <w:szCs w:val="22"/>
        </w:rPr>
        <w:t>5) = (58.62</w:t>
      </w:r>
      <w:r>
        <w:rPr>
          <w:rFonts w:cstheme="minorHAnsi"/>
          <w:szCs w:val="22"/>
          <w:vertAlign w:val="subscript"/>
        </w:rPr>
        <w:t xml:space="preserve"> </w:t>
      </w:r>
      <w:r>
        <w:rPr>
          <w:rFonts w:cstheme="minorHAnsi"/>
          <w:szCs w:val="22"/>
        </w:rPr>
        <w:t>x 3</w:t>
      </w:r>
      <w:r w:rsidR="006171DA">
        <w:rPr>
          <w:rFonts w:cstheme="minorHAnsi"/>
          <w:szCs w:val="22"/>
        </w:rPr>
        <w:t>5</w:t>
      </w:r>
      <w:r>
        <w:rPr>
          <w:rFonts w:cstheme="minorHAnsi"/>
          <w:szCs w:val="22"/>
        </w:rPr>
        <w:t>5) - (38.02x 3</w:t>
      </w:r>
      <w:r w:rsidR="006171DA">
        <w:rPr>
          <w:rFonts w:cstheme="minorHAnsi"/>
          <w:szCs w:val="22"/>
        </w:rPr>
        <w:t>5</w:t>
      </w:r>
      <w:r>
        <w:rPr>
          <w:rFonts w:cstheme="minorHAnsi"/>
          <w:szCs w:val="22"/>
        </w:rPr>
        <w:t>5)</w:t>
      </w:r>
    </w:p>
    <w:p w14:paraId="3773A0A5" w14:textId="77777777" w:rsidR="0004265B" w:rsidRPr="0004265B" w:rsidRDefault="0004265B" w:rsidP="00660610">
      <w:pPr>
        <w:rPr>
          <w:rFonts w:cstheme="minorHAnsi"/>
          <w:szCs w:val="22"/>
        </w:rPr>
      </w:pPr>
    </w:p>
    <w:p w14:paraId="7E7A7162" w14:textId="1BC672DF" w:rsidR="0004265B" w:rsidRDefault="0004265B" w:rsidP="00660610">
      <w:pPr>
        <w:rPr>
          <w:rFonts w:cstheme="minorHAnsi"/>
          <w:szCs w:val="22"/>
        </w:rPr>
      </w:pPr>
      <w:r>
        <w:rPr>
          <w:rFonts w:cstheme="minorHAnsi"/>
          <w:szCs w:val="22"/>
        </w:rPr>
        <w:t xml:space="preserve">Annual Energy Savings = </w:t>
      </w:r>
      <w:r w:rsidR="006171DA">
        <w:rPr>
          <w:rFonts w:cstheme="minorHAnsi"/>
          <w:szCs w:val="22"/>
        </w:rPr>
        <w:t>20,808.92 – 13,495.92</w:t>
      </w:r>
    </w:p>
    <w:p w14:paraId="018E32C7" w14:textId="473E9B63" w:rsidR="0004265B" w:rsidRDefault="0004265B" w:rsidP="00660610">
      <w:pPr>
        <w:rPr>
          <w:rFonts w:cstheme="minorHAnsi"/>
          <w:szCs w:val="22"/>
        </w:rPr>
      </w:pPr>
    </w:p>
    <w:p w14:paraId="47DC0D6A" w14:textId="27318C50" w:rsidR="0004265B" w:rsidRDefault="0004265B" w:rsidP="00660610">
      <w:pPr>
        <w:rPr>
          <w:rFonts w:cstheme="minorHAnsi"/>
          <w:szCs w:val="22"/>
        </w:rPr>
      </w:pPr>
      <w:r>
        <w:rPr>
          <w:rFonts w:cstheme="minorHAnsi"/>
          <w:szCs w:val="22"/>
        </w:rPr>
        <w:t>Annual Energy Savings = 7,</w:t>
      </w:r>
      <w:r w:rsidR="006171DA">
        <w:rPr>
          <w:rFonts w:cstheme="minorHAnsi"/>
          <w:szCs w:val="22"/>
        </w:rPr>
        <w:t>313</w:t>
      </w:r>
      <w:r>
        <w:rPr>
          <w:rFonts w:cstheme="minorHAnsi"/>
          <w:szCs w:val="22"/>
        </w:rPr>
        <w:t>.00</w:t>
      </w:r>
    </w:p>
    <w:p w14:paraId="1E9AE846" w14:textId="77777777" w:rsidR="0004265B" w:rsidRDefault="0004265B" w:rsidP="00660610">
      <w:pPr>
        <w:rPr>
          <w:rFonts w:cstheme="minorHAnsi"/>
          <w:szCs w:val="22"/>
        </w:rPr>
      </w:pPr>
    </w:p>
    <w:p w14:paraId="796074B6" w14:textId="08D90FD3" w:rsidR="00660610" w:rsidRPr="00664EC8" w:rsidRDefault="003737CE" w:rsidP="00660610">
      <w:pPr>
        <w:rPr>
          <w:rFonts w:cstheme="minorHAnsi"/>
          <w:szCs w:val="22"/>
        </w:rPr>
      </w:pPr>
      <w:r>
        <w:rPr>
          <w:rFonts w:cstheme="minorHAnsi"/>
          <w:szCs w:val="22"/>
        </w:rPr>
        <w:t>This work</w:t>
      </w:r>
      <w:r w:rsidR="00A72C6F">
        <w:rPr>
          <w:rFonts w:cstheme="minorHAnsi"/>
          <w:szCs w:val="22"/>
        </w:rPr>
        <w:t xml:space="preserve"> </w:t>
      </w:r>
      <w:r>
        <w:rPr>
          <w:rFonts w:cstheme="minorHAnsi"/>
          <w:szCs w:val="22"/>
        </w:rPr>
        <w:t xml:space="preserve">paper is applicable to all climate zones. </w:t>
      </w:r>
      <w:r w:rsidR="00660610" w:rsidRPr="005E475B">
        <w:rPr>
          <w:rFonts w:cstheme="minorHAnsi"/>
          <w:szCs w:val="22"/>
        </w:rPr>
        <w:t xml:space="preserve">See Attachment </w:t>
      </w:r>
      <w:r w:rsidR="001336D5">
        <w:rPr>
          <w:rFonts w:cstheme="minorHAnsi"/>
          <w:szCs w:val="22"/>
        </w:rPr>
        <w:t>A</w:t>
      </w:r>
      <w:r w:rsidR="00E408EA">
        <w:rPr>
          <w:rFonts w:cstheme="minorHAnsi"/>
          <w:szCs w:val="22"/>
        </w:rPr>
        <w:t>1</w:t>
      </w:r>
      <w:r w:rsidR="005E475B" w:rsidRPr="005E475B">
        <w:rPr>
          <w:rFonts w:cstheme="minorHAnsi"/>
          <w:szCs w:val="22"/>
        </w:rPr>
        <w:t xml:space="preserve"> </w:t>
      </w:r>
      <w:r w:rsidR="00660610" w:rsidRPr="005E475B">
        <w:rPr>
          <w:rFonts w:cstheme="minorHAnsi"/>
          <w:szCs w:val="22"/>
        </w:rPr>
        <w:t xml:space="preserve">for all calculations. See Attachment </w:t>
      </w:r>
      <w:r w:rsidR="001336D5">
        <w:rPr>
          <w:rFonts w:cstheme="minorHAnsi"/>
          <w:szCs w:val="22"/>
        </w:rPr>
        <w:t>A</w:t>
      </w:r>
      <w:r w:rsidR="00E408EA">
        <w:rPr>
          <w:rFonts w:cstheme="minorHAnsi"/>
          <w:szCs w:val="22"/>
        </w:rPr>
        <w:t>2</w:t>
      </w:r>
      <w:r w:rsidR="005E475B" w:rsidRPr="005E475B">
        <w:rPr>
          <w:rFonts w:cstheme="minorHAnsi"/>
          <w:szCs w:val="22"/>
        </w:rPr>
        <w:t xml:space="preserve"> </w:t>
      </w:r>
      <w:r w:rsidR="00660610" w:rsidRPr="005E475B">
        <w:rPr>
          <w:rFonts w:cstheme="minorHAnsi"/>
          <w:szCs w:val="22"/>
        </w:rPr>
        <w:t>for a complete list of savings.</w:t>
      </w:r>
    </w:p>
    <w:p w14:paraId="046A5D10" w14:textId="77777777" w:rsidR="00660610" w:rsidRPr="00664EC8" w:rsidRDefault="00660610" w:rsidP="00660610">
      <w:pPr>
        <w:pStyle w:val="Heading2"/>
        <w:rPr>
          <w:rFonts w:asciiTheme="minorHAnsi" w:hAnsiTheme="minorHAnsi" w:cstheme="minorHAnsi"/>
        </w:rPr>
      </w:pPr>
      <w:bookmarkStart w:id="23" w:name="_Toc326215673"/>
      <w:r w:rsidRPr="00664EC8">
        <w:rPr>
          <w:rFonts w:asciiTheme="minorHAnsi" w:hAnsiTheme="minorHAnsi" w:cstheme="minorHAnsi"/>
        </w:rPr>
        <w:t>2.2. Demand Reduction Estimation Methodologies</w:t>
      </w:r>
      <w:bookmarkEnd w:id="23"/>
    </w:p>
    <w:p w14:paraId="7F80D47F" w14:textId="2B349D66" w:rsidR="00660610" w:rsidRDefault="00660610" w:rsidP="00660610">
      <w:pPr>
        <w:rPr>
          <w:rFonts w:cs="Arial"/>
          <w:szCs w:val="22"/>
        </w:rPr>
      </w:pPr>
      <w:r w:rsidRPr="00664EC8">
        <w:rPr>
          <w:rFonts w:cstheme="minorHAnsi"/>
          <w:szCs w:val="22"/>
        </w:rPr>
        <w:t xml:space="preserve">A deck oven’s actual contribution to a building’s peak demand may vary significantly depending on its usage pattern in relation to that of other electric equipment in the facility (operating schedule, appliance on time, etc.). The probability of an appliance drawing its average rate during the period that the building peak is set is significantly higher than for any other input rate for that appliance. Therefore, it has been assumed that the probable contribution to the building’s peak demand is equal to the appliance’s average demand. </w:t>
      </w:r>
      <w:r w:rsidRPr="00664EC8">
        <w:rPr>
          <w:rFonts w:cs="Arial"/>
          <w:szCs w:val="22"/>
        </w:rPr>
        <w:t>A coincidence factor of 0.9 from DEER 2005 [26] is applied to demand reduction; see Section 2.1 for final values.</w:t>
      </w:r>
    </w:p>
    <w:p w14:paraId="1C871292" w14:textId="333A35FD" w:rsidR="00977645" w:rsidRDefault="00977645" w:rsidP="00660610">
      <w:pPr>
        <w:rPr>
          <w:rFonts w:cs="Arial"/>
          <w:szCs w:val="22"/>
        </w:rPr>
      </w:pPr>
    </w:p>
    <w:p w14:paraId="4E869663" w14:textId="77777777" w:rsidR="0004265B" w:rsidRDefault="0004265B" w:rsidP="0004265B">
      <w:pPr>
        <w:pStyle w:val="Caption"/>
        <w:keepNext/>
      </w:pPr>
      <w:r>
        <w:t>Electric Cooking Measure Savings Estimate</w:t>
      </w:r>
    </w:p>
    <w:p w14:paraId="1C442830" w14:textId="77777777" w:rsidR="0004265B" w:rsidRPr="00664EC8" w:rsidRDefault="0004265B" w:rsidP="0004265B">
      <w:pPr>
        <w:rPr>
          <w:rFonts w:cs="Arial"/>
          <w:szCs w:val="22"/>
        </w:rPr>
      </w:pPr>
      <w:r w:rsidRPr="00664EC8">
        <w:rPr>
          <w:noProof/>
        </w:rPr>
        <w:drawing>
          <wp:inline distT="0" distB="0" distL="0" distR="0" wp14:anchorId="7DC67334" wp14:editId="413E93D1">
            <wp:extent cx="5943600" cy="1847850"/>
            <wp:effectExtent l="19050" t="19050" r="1905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t="13547"/>
                    <a:stretch/>
                  </pic:blipFill>
                  <pic:spPr bwMode="auto">
                    <a:xfrm>
                      <a:off x="0" y="0"/>
                      <a:ext cx="5943600" cy="1847850"/>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5B35F995" w14:textId="40B4BEB1" w:rsidR="0004265B" w:rsidRDefault="0004265B" w:rsidP="00660610">
      <w:pPr>
        <w:rPr>
          <w:rFonts w:cs="Arial"/>
          <w:szCs w:val="22"/>
        </w:rPr>
      </w:pPr>
    </w:p>
    <w:p w14:paraId="710465EA" w14:textId="77777777" w:rsidR="0004265B" w:rsidRDefault="0004265B" w:rsidP="00660610">
      <w:pPr>
        <w:rPr>
          <w:rFonts w:cs="Arial"/>
          <w:szCs w:val="22"/>
        </w:rPr>
      </w:pPr>
    </w:p>
    <w:p w14:paraId="7315B9EB" w14:textId="77777777" w:rsidR="00A86529" w:rsidRDefault="00A86529">
      <w:pPr>
        <w:spacing w:after="200" w:line="276" w:lineRule="auto"/>
        <w:rPr>
          <w:rFonts w:cs="Arial"/>
          <w:szCs w:val="22"/>
        </w:rPr>
      </w:pPr>
      <w:r>
        <w:rPr>
          <w:rFonts w:cs="Arial"/>
          <w:szCs w:val="22"/>
        </w:rPr>
        <w:br w:type="page"/>
      </w:r>
    </w:p>
    <w:p w14:paraId="7A2788BC" w14:textId="2E32EF5E" w:rsidR="00956934" w:rsidRDefault="005F3F0E" w:rsidP="00660610">
      <w:pPr>
        <w:rPr>
          <w:rFonts w:cs="Arial"/>
          <w:szCs w:val="22"/>
        </w:rPr>
      </w:pPr>
      <w:r>
        <w:rPr>
          <w:rFonts w:cs="Arial"/>
          <w:szCs w:val="22"/>
        </w:rPr>
        <w:t>Average Demand</w:t>
      </w:r>
      <w:r w:rsidR="00956934">
        <w:rPr>
          <w:rFonts w:cs="Arial"/>
          <w:szCs w:val="22"/>
        </w:rPr>
        <w:t xml:space="preserve"> = </w:t>
      </w:r>
      <w:r w:rsidR="003F7631">
        <w:rPr>
          <w:rFonts w:cs="Arial"/>
          <w:szCs w:val="22"/>
        </w:rPr>
        <w:t xml:space="preserve">EDAY </w:t>
      </w:r>
      <w:r w:rsidR="00A732C2" w:rsidRPr="00587A22">
        <w:rPr>
          <w:rFonts w:cstheme="minorHAnsi"/>
          <w:szCs w:val="22"/>
        </w:rPr>
        <w:t>÷</w:t>
      </w:r>
      <w:r w:rsidR="00A732C2">
        <w:rPr>
          <w:rFonts w:cstheme="minorHAnsi"/>
          <w:szCs w:val="22"/>
        </w:rPr>
        <w:t xml:space="preserve"> </w:t>
      </w:r>
      <w:r w:rsidR="003F7631">
        <w:rPr>
          <w:rFonts w:cs="Arial"/>
          <w:szCs w:val="22"/>
        </w:rPr>
        <w:t>TON</w:t>
      </w:r>
    </w:p>
    <w:p w14:paraId="313328BE" w14:textId="77777777" w:rsidR="003F7631" w:rsidRPr="00664EC8" w:rsidRDefault="003F7631" w:rsidP="003F7631">
      <w:pPr>
        <w:spacing w:before="120" w:after="120"/>
        <w:rPr>
          <w:rFonts w:cstheme="minorHAnsi"/>
          <w:szCs w:val="22"/>
        </w:rPr>
      </w:pPr>
      <w:r w:rsidRPr="00664EC8">
        <w:rPr>
          <w:rFonts w:cstheme="minorHAnsi"/>
          <w:szCs w:val="22"/>
        </w:rPr>
        <w:t>Where:</w:t>
      </w:r>
    </w:p>
    <w:tbl>
      <w:tblPr>
        <w:tblW w:w="4598" w:type="pct"/>
        <w:jc w:val="center"/>
        <w:tblLook w:val="01E0" w:firstRow="1" w:lastRow="1" w:firstColumn="1" w:lastColumn="1" w:noHBand="0" w:noVBand="0"/>
      </w:tblPr>
      <w:tblGrid>
        <w:gridCol w:w="1408"/>
        <w:gridCol w:w="7199"/>
      </w:tblGrid>
      <w:tr w:rsidR="003F7631" w:rsidRPr="00664EC8" w14:paraId="28EEFACC" w14:textId="77777777" w:rsidTr="00226F90">
        <w:trPr>
          <w:trHeight w:val="144"/>
          <w:jc w:val="center"/>
        </w:trPr>
        <w:tc>
          <w:tcPr>
            <w:tcW w:w="818" w:type="pct"/>
          </w:tcPr>
          <w:p w14:paraId="12AED46C" w14:textId="77777777" w:rsidR="003F7631" w:rsidRPr="00664EC8" w:rsidRDefault="003F7631" w:rsidP="00226F90">
            <w:pPr>
              <w:rPr>
                <w:rFonts w:cstheme="minorHAnsi"/>
                <w:szCs w:val="22"/>
              </w:rPr>
            </w:pPr>
            <w:r w:rsidRPr="00664EC8">
              <w:rPr>
                <w:rFonts w:cstheme="minorHAnsi"/>
                <w:szCs w:val="22"/>
              </w:rPr>
              <w:t>EDAY =</w:t>
            </w:r>
          </w:p>
        </w:tc>
        <w:tc>
          <w:tcPr>
            <w:tcW w:w="4182" w:type="pct"/>
          </w:tcPr>
          <w:p w14:paraId="5817ED14" w14:textId="77777777" w:rsidR="003F7631" w:rsidRPr="00DD20AA" w:rsidRDefault="003F7631" w:rsidP="00226F90">
            <w:pPr>
              <w:rPr>
                <w:rFonts w:cstheme="minorHAnsi"/>
                <w:szCs w:val="22"/>
              </w:rPr>
            </w:pPr>
            <w:r w:rsidRPr="00DD20AA">
              <w:rPr>
                <w:rFonts w:cstheme="minorHAnsi"/>
                <w:szCs w:val="22"/>
              </w:rPr>
              <w:t>Calculated Daily Energy Consumption (kWh/day)</w:t>
            </w:r>
          </w:p>
        </w:tc>
      </w:tr>
      <w:tr w:rsidR="003F7631" w:rsidRPr="00664EC8" w14:paraId="6254BE0A" w14:textId="77777777" w:rsidTr="00226F90">
        <w:trPr>
          <w:trHeight w:val="144"/>
          <w:jc w:val="center"/>
        </w:trPr>
        <w:tc>
          <w:tcPr>
            <w:tcW w:w="818" w:type="pct"/>
          </w:tcPr>
          <w:p w14:paraId="1ED265BA" w14:textId="164B1004" w:rsidR="003F7631" w:rsidRPr="00664EC8" w:rsidRDefault="003F7631" w:rsidP="00226F90">
            <w:pPr>
              <w:rPr>
                <w:rFonts w:cstheme="minorHAnsi"/>
                <w:szCs w:val="22"/>
              </w:rPr>
            </w:pPr>
            <w:r>
              <w:rPr>
                <w:rFonts w:cstheme="minorHAnsi"/>
                <w:szCs w:val="22"/>
              </w:rPr>
              <w:t xml:space="preserve">TON = </w:t>
            </w:r>
          </w:p>
        </w:tc>
        <w:tc>
          <w:tcPr>
            <w:tcW w:w="4182" w:type="pct"/>
          </w:tcPr>
          <w:p w14:paraId="08954A6C" w14:textId="46E6C749" w:rsidR="003F7631" w:rsidRPr="00DD20AA" w:rsidRDefault="003F7631" w:rsidP="00226F90">
            <w:pPr>
              <w:rPr>
                <w:rFonts w:cstheme="minorHAnsi"/>
                <w:szCs w:val="22"/>
              </w:rPr>
            </w:pPr>
            <w:r w:rsidRPr="00DD20AA">
              <w:rPr>
                <w:rFonts w:cstheme="minorHAnsi"/>
                <w:szCs w:val="22"/>
              </w:rPr>
              <w:t>Estimated Operating Hours/Day</w:t>
            </w:r>
          </w:p>
        </w:tc>
      </w:tr>
    </w:tbl>
    <w:p w14:paraId="301C65C1" w14:textId="2BB75EBB" w:rsidR="003F7631" w:rsidRDefault="003F7631" w:rsidP="00660610">
      <w:pPr>
        <w:rPr>
          <w:rFonts w:cs="Arial"/>
          <w:szCs w:val="22"/>
        </w:rPr>
      </w:pPr>
    </w:p>
    <w:p w14:paraId="55823A6F" w14:textId="77777777" w:rsidR="003F7631" w:rsidRDefault="003F7631" w:rsidP="003F7631">
      <w:pPr>
        <w:rPr>
          <w:rFonts w:cstheme="minorHAnsi"/>
          <w:b/>
          <w:szCs w:val="22"/>
        </w:rPr>
      </w:pPr>
    </w:p>
    <w:p w14:paraId="00089FB3" w14:textId="1F7E9914" w:rsidR="003F7631" w:rsidRDefault="003F7631" w:rsidP="00CB146C">
      <w:pPr>
        <w:spacing w:after="200" w:line="276" w:lineRule="auto"/>
        <w:rPr>
          <w:rFonts w:cs="Arial"/>
          <w:szCs w:val="22"/>
        </w:rPr>
      </w:pPr>
      <w:r w:rsidRPr="003F7631">
        <w:rPr>
          <w:rFonts w:cs="Arial"/>
          <w:szCs w:val="22"/>
        </w:rPr>
        <w:t>Estimated Demand Reduction</w:t>
      </w:r>
      <w:r>
        <w:rPr>
          <w:rFonts w:cs="Arial"/>
          <w:szCs w:val="22"/>
        </w:rPr>
        <w:t xml:space="preserve"> = (Average Demand)</w:t>
      </w:r>
      <w:r w:rsidR="0004265B">
        <w:rPr>
          <w:rFonts w:cs="Arial"/>
          <w:szCs w:val="22"/>
          <w:vertAlign w:val="subscript"/>
        </w:rPr>
        <w:t>BL</w:t>
      </w:r>
      <w:r>
        <w:rPr>
          <w:rFonts w:cs="Arial"/>
          <w:szCs w:val="22"/>
          <w:vertAlign w:val="subscript"/>
        </w:rPr>
        <w:t xml:space="preserve"> </w:t>
      </w:r>
      <w:r>
        <w:rPr>
          <w:rFonts w:cs="Arial"/>
          <w:szCs w:val="22"/>
        </w:rPr>
        <w:t>– (Average Demand)</w:t>
      </w:r>
      <w:r w:rsidR="0004265B">
        <w:rPr>
          <w:rFonts w:cs="Arial"/>
          <w:szCs w:val="22"/>
          <w:vertAlign w:val="subscript"/>
        </w:rPr>
        <w:t>M</w:t>
      </w:r>
    </w:p>
    <w:p w14:paraId="65E354AA" w14:textId="77777777" w:rsidR="003F7631" w:rsidRDefault="003F7631" w:rsidP="003F7631">
      <w:pPr>
        <w:rPr>
          <w:rFonts w:cs="Arial"/>
          <w:szCs w:val="22"/>
        </w:rPr>
      </w:pPr>
    </w:p>
    <w:p w14:paraId="5D33F844" w14:textId="7BCEC52D" w:rsidR="003F7631" w:rsidRDefault="003F7631" w:rsidP="003F7631">
      <w:pPr>
        <w:rPr>
          <w:rFonts w:cstheme="minorHAnsi"/>
          <w:szCs w:val="20"/>
        </w:rPr>
      </w:pPr>
      <w:r>
        <w:rPr>
          <w:rFonts w:cs="Arial"/>
          <w:szCs w:val="22"/>
        </w:rPr>
        <w:t xml:space="preserve">DEER Peak Demand Reduction = </w:t>
      </w:r>
      <w:r w:rsidRPr="003F7631">
        <w:rPr>
          <w:rFonts w:cs="Arial"/>
          <w:szCs w:val="22"/>
        </w:rPr>
        <w:t>Estimated Demand Reduction</w:t>
      </w:r>
      <w:r>
        <w:rPr>
          <w:rFonts w:cs="Arial"/>
          <w:szCs w:val="22"/>
        </w:rPr>
        <w:t xml:space="preserve"> x </w:t>
      </w:r>
      <w:r>
        <w:rPr>
          <w:rFonts w:cstheme="minorHAnsi"/>
          <w:szCs w:val="20"/>
        </w:rPr>
        <w:t>DEER Coincidence Factor</w:t>
      </w:r>
    </w:p>
    <w:p w14:paraId="466F4309" w14:textId="77777777" w:rsidR="003F7631" w:rsidRPr="00587A22" w:rsidRDefault="003F7631" w:rsidP="003F7631">
      <w:pPr>
        <w:rPr>
          <w:rFonts w:cs="Arial"/>
          <w:szCs w:val="22"/>
        </w:rPr>
      </w:pPr>
    </w:p>
    <w:p w14:paraId="6285C83B" w14:textId="118279AA" w:rsidR="003F7631" w:rsidRPr="00587A22" w:rsidRDefault="003F7631" w:rsidP="003F7631">
      <w:pPr>
        <w:rPr>
          <w:rFonts w:cstheme="minorHAnsi"/>
          <w:b/>
          <w:szCs w:val="22"/>
        </w:rPr>
      </w:pPr>
      <w:r w:rsidRPr="00587A22">
        <w:rPr>
          <w:rFonts w:cstheme="minorHAnsi"/>
          <w:b/>
          <w:szCs w:val="22"/>
        </w:rPr>
        <w:t>Baseline Model Calculations: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7560"/>
      </w:tblGrid>
      <w:tr w:rsidR="003F7631" w14:paraId="63C59514" w14:textId="77777777" w:rsidTr="00CB146C">
        <w:tc>
          <w:tcPr>
            <w:tcW w:w="1800" w:type="dxa"/>
          </w:tcPr>
          <w:p w14:paraId="415F71C6" w14:textId="1E1FEAE0" w:rsidR="003F7631" w:rsidRDefault="003F7631" w:rsidP="00226F90">
            <w:pPr>
              <w:rPr>
                <w:rFonts w:cstheme="minorHAnsi"/>
                <w:szCs w:val="22"/>
              </w:rPr>
            </w:pPr>
            <w:r>
              <w:rPr>
                <w:rFonts w:cstheme="minorHAnsi"/>
                <w:szCs w:val="22"/>
              </w:rPr>
              <w:t>Average Demand</w:t>
            </w:r>
            <w:r w:rsidR="0004265B" w:rsidRPr="00CB146C">
              <w:rPr>
                <w:rFonts w:cstheme="minorHAnsi"/>
                <w:szCs w:val="22"/>
                <w:vertAlign w:val="subscript"/>
              </w:rPr>
              <w:t>BL</w:t>
            </w:r>
            <w:r>
              <w:rPr>
                <w:rFonts w:cstheme="minorHAnsi"/>
                <w:szCs w:val="22"/>
              </w:rPr>
              <w:t xml:space="preserve"> </w:t>
            </w:r>
          </w:p>
        </w:tc>
        <w:tc>
          <w:tcPr>
            <w:tcW w:w="7560" w:type="dxa"/>
          </w:tcPr>
          <w:p w14:paraId="059C99D1" w14:textId="3EFB42FB" w:rsidR="003F7631" w:rsidRDefault="003F7631" w:rsidP="00226F90">
            <w:pPr>
              <w:rPr>
                <w:rFonts w:cstheme="minorHAnsi"/>
                <w:szCs w:val="22"/>
              </w:rPr>
            </w:pPr>
            <w:r>
              <w:rPr>
                <w:rFonts w:cstheme="minorHAnsi"/>
                <w:szCs w:val="22"/>
              </w:rPr>
              <w:t xml:space="preserve">= </w:t>
            </w:r>
            <w:r w:rsidR="00A732C2">
              <w:rPr>
                <w:rFonts w:cstheme="minorHAnsi"/>
                <w:szCs w:val="22"/>
              </w:rPr>
              <w:t xml:space="preserve">58.62 </w:t>
            </w:r>
            <w:r w:rsidR="00A732C2" w:rsidRPr="00587A22">
              <w:rPr>
                <w:rFonts w:cstheme="minorHAnsi"/>
                <w:szCs w:val="22"/>
              </w:rPr>
              <w:t>÷</w:t>
            </w:r>
            <w:r w:rsidR="00A732C2">
              <w:rPr>
                <w:rFonts w:cstheme="minorHAnsi"/>
                <w:szCs w:val="22"/>
              </w:rPr>
              <w:t xml:space="preserve"> </w:t>
            </w:r>
            <w:r>
              <w:rPr>
                <w:rFonts w:cstheme="minorHAnsi"/>
                <w:szCs w:val="22"/>
              </w:rPr>
              <w:t>12</w:t>
            </w:r>
            <w:r w:rsidR="00885830">
              <w:rPr>
                <w:rFonts w:cstheme="minorHAnsi"/>
                <w:szCs w:val="22"/>
              </w:rPr>
              <w:t xml:space="preserve"> </w:t>
            </w:r>
          </w:p>
        </w:tc>
      </w:tr>
      <w:tr w:rsidR="003F7631" w14:paraId="56647937" w14:textId="77777777" w:rsidTr="00CB146C">
        <w:tc>
          <w:tcPr>
            <w:tcW w:w="1800" w:type="dxa"/>
          </w:tcPr>
          <w:p w14:paraId="2DF51C46" w14:textId="77777777" w:rsidR="003F7631" w:rsidRDefault="003F7631" w:rsidP="00226F90">
            <w:pPr>
              <w:rPr>
                <w:rFonts w:cstheme="minorHAnsi"/>
                <w:szCs w:val="22"/>
              </w:rPr>
            </w:pPr>
          </w:p>
        </w:tc>
        <w:tc>
          <w:tcPr>
            <w:tcW w:w="7560" w:type="dxa"/>
          </w:tcPr>
          <w:p w14:paraId="2F4A7482" w14:textId="58F5ED1C" w:rsidR="003F7631" w:rsidRDefault="003F7631" w:rsidP="00226F90">
            <w:pPr>
              <w:rPr>
                <w:rFonts w:cstheme="minorHAnsi"/>
                <w:szCs w:val="22"/>
              </w:rPr>
            </w:pPr>
            <w:r>
              <w:rPr>
                <w:rFonts w:cstheme="minorHAnsi"/>
                <w:szCs w:val="22"/>
              </w:rPr>
              <w:t>= 4.88472 kW</w:t>
            </w:r>
          </w:p>
        </w:tc>
      </w:tr>
    </w:tbl>
    <w:p w14:paraId="678B1296" w14:textId="77777777" w:rsidR="003F7631" w:rsidRPr="00587A22" w:rsidRDefault="003F7631" w:rsidP="003F7631">
      <w:pPr>
        <w:rPr>
          <w:rFonts w:cstheme="minorHAnsi"/>
          <w:szCs w:val="22"/>
        </w:rPr>
      </w:pPr>
      <w:r>
        <w:rPr>
          <w:rFonts w:cstheme="minorHAnsi"/>
          <w:szCs w:val="22"/>
        </w:rPr>
        <w:tab/>
      </w:r>
    </w:p>
    <w:p w14:paraId="5D54FC00" w14:textId="77777777" w:rsidR="003F7631" w:rsidRDefault="003F7631" w:rsidP="003F7631">
      <w:pPr>
        <w:rPr>
          <w:rFonts w:cstheme="minorHAnsi"/>
          <w:b/>
          <w:szCs w:val="22"/>
        </w:rPr>
      </w:pPr>
      <w:r>
        <w:rPr>
          <w:rFonts w:cstheme="minorHAnsi"/>
          <w:b/>
          <w:szCs w:val="22"/>
        </w:rPr>
        <w:t>Efficient</w:t>
      </w:r>
      <w:r w:rsidRPr="00587A22">
        <w:rPr>
          <w:rFonts w:cstheme="minorHAnsi"/>
          <w:b/>
          <w:szCs w:val="22"/>
        </w:rPr>
        <w:t xml:space="preserve"> Model Calculations: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7560"/>
      </w:tblGrid>
      <w:tr w:rsidR="003F7631" w14:paraId="38841628" w14:textId="77777777" w:rsidTr="00226F90">
        <w:tc>
          <w:tcPr>
            <w:tcW w:w="1800" w:type="dxa"/>
          </w:tcPr>
          <w:p w14:paraId="1D0F6C8B" w14:textId="49824FC4" w:rsidR="003F7631" w:rsidRDefault="003F7631" w:rsidP="00226F90">
            <w:pPr>
              <w:rPr>
                <w:rFonts w:cstheme="minorHAnsi"/>
                <w:szCs w:val="22"/>
              </w:rPr>
            </w:pPr>
            <w:r>
              <w:rPr>
                <w:rFonts w:cstheme="minorHAnsi"/>
                <w:szCs w:val="22"/>
              </w:rPr>
              <w:t>Average Demand</w:t>
            </w:r>
            <w:r w:rsidR="0004265B">
              <w:rPr>
                <w:rFonts w:cstheme="minorHAnsi"/>
                <w:szCs w:val="22"/>
                <w:vertAlign w:val="subscript"/>
              </w:rPr>
              <w:t>M</w:t>
            </w:r>
            <w:r>
              <w:rPr>
                <w:rFonts w:cstheme="minorHAnsi"/>
                <w:szCs w:val="22"/>
              </w:rPr>
              <w:t xml:space="preserve"> </w:t>
            </w:r>
          </w:p>
        </w:tc>
        <w:tc>
          <w:tcPr>
            <w:tcW w:w="7560" w:type="dxa"/>
          </w:tcPr>
          <w:p w14:paraId="73C3C5B1" w14:textId="1B72A3ED" w:rsidR="003F7631" w:rsidRDefault="00A732C2" w:rsidP="00226F90">
            <w:pPr>
              <w:rPr>
                <w:rFonts w:cstheme="minorHAnsi"/>
                <w:szCs w:val="22"/>
              </w:rPr>
            </w:pPr>
            <w:r>
              <w:rPr>
                <w:rFonts w:cstheme="minorHAnsi"/>
                <w:szCs w:val="22"/>
              </w:rPr>
              <w:t xml:space="preserve">= 38.02 </w:t>
            </w:r>
            <w:r w:rsidRPr="00587A22">
              <w:rPr>
                <w:rFonts w:cstheme="minorHAnsi"/>
                <w:szCs w:val="22"/>
              </w:rPr>
              <w:t>÷</w:t>
            </w:r>
            <w:r>
              <w:rPr>
                <w:rFonts w:cstheme="minorHAnsi"/>
                <w:szCs w:val="22"/>
              </w:rPr>
              <w:t xml:space="preserve"> </w:t>
            </w:r>
            <w:r w:rsidR="003F7631">
              <w:rPr>
                <w:rFonts w:cstheme="minorHAnsi"/>
                <w:szCs w:val="22"/>
              </w:rPr>
              <w:t>12</w:t>
            </w:r>
          </w:p>
        </w:tc>
      </w:tr>
      <w:tr w:rsidR="003F7631" w14:paraId="415A3F5C" w14:textId="77777777" w:rsidTr="00226F90">
        <w:tc>
          <w:tcPr>
            <w:tcW w:w="1800" w:type="dxa"/>
          </w:tcPr>
          <w:p w14:paraId="3E52C3F0" w14:textId="77777777" w:rsidR="003F7631" w:rsidRDefault="003F7631" w:rsidP="00226F90">
            <w:pPr>
              <w:rPr>
                <w:rFonts w:cstheme="minorHAnsi"/>
                <w:szCs w:val="22"/>
              </w:rPr>
            </w:pPr>
          </w:p>
        </w:tc>
        <w:tc>
          <w:tcPr>
            <w:tcW w:w="7560" w:type="dxa"/>
          </w:tcPr>
          <w:p w14:paraId="0833AC00" w14:textId="01525FC8" w:rsidR="003F7631" w:rsidRDefault="003F7631" w:rsidP="00226F90">
            <w:pPr>
              <w:rPr>
                <w:rFonts w:cstheme="minorHAnsi"/>
                <w:szCs w:val="22"/>
              </w:rPr>
            </w:pPr>
            <w:r>
              <w:rPr>
                <w:rFonts w:cstheme="minorHAnsi"/>
                <w:szCs w:val="22"/>
              </w:rPr>
              <w:t>= 3.16806 kW</w:t>
            </w:r>
          </w:p>
        </w:tc>
      </w:tr>
    </w:tbl>
    <w:p w14:paraId="7E234FBF" w14:textId="77777777" w:rsidR="003F7631" w:rsidRPr="00664EC8" w:rsidRDefault="003F7631" w:rsidP="00660610">
      <w:pPr>
        <w:rPr>
          <w:rFonts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6210"/>
      </w:tblGrid>
      <w:tr w:rsidR="003F7631" w14:paraId="0CBC0F3C" w14:textId="77777777" w:rsidTr="00CB146C">
        <w:tc>
          <w:tcPr>
            <w:tcW w:w="3150" w:type="dxa"/>
          </w:tcPr>
          <w:p w14:paraId="6FABC2C7" w14:textId="30B8C4D8" w:rsidR="003F7631" w:rsidRDefault="003F7631" w:rsidP="00226F90">
            <w:pPr>
              <w:rPr>
                <w:rFonts w:cstheme="minorHAnsi"/>
                <w:szCs w:val="22"/>
              </w:rPr>
            </w:pPr>
            <w:r w:rsidRPr="003F7631">
              <w:rPr>
                <w:rFonts w:cs="Arial"/>
                <w:szCs w:val="22"/>
              </w:rPr>
              <w:t>Estimated Demand Reduction</w:t>
            </w:r>
          </w:p>
        </w:tc>
        <w:tc>
          <w:tcPr>
            <w:tcW w:w="6210" w:type="dxa"/>
          </w:tcPr>
          <w:p w14:paraId="2B5C3DD0" w14:textId="49DE5606" w:rsidR="003F7631" w:rsidRDefault="003F7631" w:rsidP="00226F90">
            <w:pPr>
              <w:rPr>
                <w:rFonts w:cstheme="minorHAnsi"/>
                <w:szCs w:val="22"/>
              </w:rPr>
            </w:pPr>
            <w:r>
              <w:rPr>
                <w:rFonts w:cstheme="minorHAnsi"/>
                <w:szCs w:val="22"/>
              </w:rPr>
              <w:t>= 4.88472 – 3.16806</w:t>
            </w:r>
          </w:p>
        </w:tc>
      </w:tr>
      <w:tr w:rsidR="003F7631" w14:paraId="50FD4743" w14:textId="77777777" w:rsidTr="00CB146C">
        <w:tc>
          <w:tcPr>
            <w:tcW w:w="3150" w:type="dxa"/>
          </w:tcPr>
          <w:p w14:paraId="25A12CE4" w14:textId="77777777" w:rsidR="003F7631" w:rsidRDefault="003F7631" w:rsidP="00226F90">
            <w:pPr>
              <w:rPr>
                <w:rFonts w:cstheme="minorHAnsi"/>
                <w:szCs w:val="22"/>
              </w:rPr>
            </w:pPr>
          </w:p>
        </w:tc>
        <w:tc>
          <w:tcPr>
            <w:tcW w:w="6210" w:type="dxa"/>
          </w:tcPr>
          <w:p w14:paraId="3343F43B" w14:textId="4FD50F9F" w:rsidR="003F7631" w:rsidRDefault="003F7631" w:rsidP="00226F90">
            <w:pPr>
              <w:rPr>
                <w:rFonts w:cstheme="minorHAnsi"/>
                <w:szCs w:val="22"/>
              </w:rPr>
            </w:pPr>
            <w:r>
              <w:rPr>
                <w:rFonts w:cstheme="minorHAnsi"/>
                <w:szCs w:val="22"/>
              </w:rPr>
              <w:t>= 1.71667 kW</w:t>
            </w:r>
          </w:p>
        </w:tc>
      </w:tr>
      <w:tr w:rsidR="003F7631" w14:paraId="06250014" w14:textId="77777777" w:rsidTr="00CB146C">
        <w:tc>
          <w:tcPr>
            <w:tcW w:w="3150" w:type="dxa"/>
          </w:tcPr>
          <w:p w14:paraId="4E4A3E1D" w14:textId="5C076C5A" w:rsidR="003F7631" w:rsidRDefault="003F7631" w:rsidP="00226F90">
            <w:pPr>
              <w:rPr>
                <w:rFonts w:cstheme="minorHAnsi"/>
                <w:szCs w:val="22"/>
              </w:rPr>
            </w:pPr>
            <w:r>
              <w:rPr>
                <w:rFonts w:cs="Arial"/>
                <w:szCs w:val="22"/>
              </w:rPr>
              <w:t>DEER Peak Demand Reduction</w:t>
            </w:r>
          </w:p>
        </w:tc>
        <w:tc>
          <w:tcPr>
            <w:tcW w:w="6210" w:type="dxa"/>
          </w:tcPr>
          <w:p w14:paraId="113DAD10" w14:textId="0E8C5937" w:rsidR="003F7631" w:rsidRDefault="003F7631" w:rsidP="00226F90">
            <w:pPr>
              <w:rPr>
                <w:rFonts w:cstheme="minorHAnsi"/>
                <w:szCs w:val="22"/>
              </w:rPr>
            </w:pPr>
            <w:r>
              <w:rPr>
                <w:rFonts w:cstheme="minorHAnsi"/>
                <w:szCs w:val="22"/>
              </w:rPr>
              <w:t>= 1.71667 x 0.9</w:t>
            </w:r>
          </w:p>
        </w:tc>
      </w:tr>
      <w:tr w:rsidR="003F7631" w14:paraId="15B003BE" w14:textId="77777777" w:rsidTr="003F7631">
        <w:tc>
          <w:tcPr>
            <w:tcW w:w="3150" w:type="dxa"/>
          </w:tcPr>
          <w:p w14:paraId="6DB28A3B" w14:textId="77777777" w:rsidR="003F7631" w:rsidRDefault="003F7631" w:rsidP="00226F90">
            <w:pPr>
              <w:rPr>
                <w:rFonts w:cs="Arial"/>
                <w:szCs w:val="22"/>
              </w:rPr>
            </w:pPr>
          </w:p>
        </w:tc>
        <w:tc>
          <w:tcPr>
            <w:tcW w:w="6210" w:type="dxa"/>
          </w:tcPr>
          <w:p w14:paraId="756DF07E" w14:textId="28455DE4" w:rsidR="003F7631" w:rsidRDefault="00885830" w:rsidP="00226F90">
            <w:pPr>
              <w:rPr>
                <w:rFonts w:cstheme="minorHAnsi"/>
                <w:szCs w:val="22"/>
              </w:rPr>
            </w:pPr>
            <w:r>
              <w:rPr>
                <w:rFonts w:cstheme="minorHAnsi"/>
                <w:szCs w:val="22"/>
              </w:rPr>
              <w:t>= 1.54500 kW</w:t>
            </w:r>
          </w:p>
        </w:tc>
      </w:tr>
    </w:tbl>
    <w:p w14:paraId="274145A2" w14:textId="273AFB7B" w:rsidR="00977645" w:rsidRDefault="00977645" w:rsidP="00660610">
      <w:pPr>
        <w:rPr>
          <w:rFonts w:cs="Arial"/>
          <w:szCs w:val="22"/>
        </w:rPr>
      </w:pPr>
    </w:p>
    <w:p w14:paraId="1CCE5907" w14:textId="76ADA88C" w:rsidR="0004265B" w:rsidRPr="00664EC8" w:rsidRDefault="0004265B" w:rsidP="00660610">
      <w:pPr>
        <w:rPr>
          <w:rFonts w:cs="Arial"/>
          <w:szCs w:val="22"/>
        </w:rPr>
      </w:pPr>
      <w:r>
        <w:rPr>
          <w:rFonts w:cs="Arial"/>
          <w:szCs w:val="22"/>
        </w:rPr>
        <w:t xml:space="preserve">Similar to the energy savings, the peak demand reduction is not estimated to vary by climate zone or building type. </w:t>
      </w:r>
    </w:p>
    <w:p w14:paraId="58DAEA8A" w14:textId="56C34C50" w:rsidR="004C1256" w:rsidRDefault="004C1256">
      <w:pPr>
        <w:spacing w:after="200" w:line="276" w:lineRule="auto"/>
        <w:rPr>
          <w:rFonts w:cstheme="minorHAnsi"/>
          <w:b/>
          <w:bCs/>
          <w:smallCaps/>
          <w:kern w:val="32"/>
          <w:sz w:val="36"/>
          <w:szCs w:val="32"/>
        </w:rPr>
      </w:pPr>
      <w:bookmarkStart w:id="24" w:name="_Toc214003093"/>
    </w:p>
    <w:p w14:paraId="0F5A61D4" w14:textId="77777777" w:rsidR="00A86529" w:rsidRDefault="00A86529">
      <w:pPr>
        <w:spacing w:after="200" w:line="276" w:lineRule="auto"/>
        <w:rPr>
          <w:rFonts w:cstheme="minorHAnsi"/>
          <w:b/>
          <w:bCs/>
          <w:smallCaps/>
          <w:kern w:val="32"/>
          <w:sz w:val="36"/>
          <w:szCs w:val="32"/>
        </w:rPr>
      </w:pPr>
      <w:r>
        <w:rPr>
          <w:rFonts w:cstheme="minorHAnsi"/>
        </w:rPr>
        <w:br w:type="page"/>
      </w:r>
    </w:p>
    <w:p w14:paraId="6C7EC920" w14:textId="238A653C"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4"/>
      <w:r w:rsidRPr="00500C4E">
        <w:rPr>
          <w:rFonts w:cstheme="minorHAnsi"/>
        </w:rPr>
        <w:t>s</w:t>
      </w:r>
    </w:p>
    <w:p w14:paraId="7449CD6E" w14:textId="2BD7C937"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98280E">
        <w:rPr>
          <w:rFonts w:cstheme="minorHAnsi"/>
          <w:szCs w:val="22"/>
        </w:rPr>
        <w:t xml:space="preserve">A specific load shape for this food service measure could not be found in the READI v2.4.8 tool.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 xml:space="preserve">listed in </w:t>
      </w:r>
      <w:r w:rsidR="0029517A">
        <w:rPr>
          <w:rFonts w:cstheme="minorHAnsi"/>
          <w:szCs w:val="22"/>
        </w:rPr>
        <w:t>the table below</w:t>
      </w:r>
      <w:r w:rsidR="00DB68DA">
        <w:rPr>
          <w:rFonts w:cstheme="minorHAnsi"/>
          <w:szCs w:val="22"/>
        </w:rPr>
        <w:fldChar w:fldCharType="begin"/>
      </w:r>
      <w:r w:rsidR="00DB68DA">
        <w:rPr>
          <w:rFonts w:cstheme="minorHAnsi"/>
          <w:szCs w:val="22"/>
        </w:rPr>
        <w:instrText xml:space="preserve"> REF _Ref464148530 \h </w:instrText>
      </w:r>
      <w:r w:rsidR="00DB68DA">
        <w:rPr>
          <w:rFonts w:cstheme="minorHAnsi"/>
          <w:szCs w:val="22"/>
        </w:rPr>
      </w:r>
      <w:r w:rsidR="00DB68DA">
        <w:rPr>
          <w:rFonts w:cstheme="minorHAnsi"/>
          <w:szCs w:val="22"/>
        </w:rPr>
        <w:fldChar w:fldCharType="end"/>
      </w:r>
      <w:r w:rsidR="000173BF" w:rsidRPr="00500C4E">
        <w:rPr>
          <w:rFonts w:cstheme="minorHAnsi"/>
          <w:szCs w:val="22"/>
        </w:rPr>
        <w:t>.</w:t>
      </w:r>
    </w:p>
    <w:p w14:paraId="759345E8" w14:textId="77777777" w:rsidR="00DB68DA" w:rsidRPr="00500C4E" w:rsidRDefault="00DB68DA" w:rsidP="00E16609">
      <w:pPr>
        <w:rPr>
          <w:rFonts w:cstheme="minorHAnsi"/>
          <w:szCs w:val="22"/>
        </w:rPr>
      </w:pPr>
    </w:p>
    <w:p w14:paraId="4E5AEDD2" w14:textId="4D4F80DA" w:rsidR="00E16609" w:rsidRDefault="002A3D26" w:rsidP="00B4002B">
      <w:pPr>
        <w:pStyle w:val="Caption"/>
        <w:rPr>
          <w:rFonts w:cstheme="minorHAnsi"/>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4A0" w:firstRow="1" w:lastRow="0" w:firstColumn="1" w:lastColumn="0" w:noHBand="0" w:noVBand="1"/>
      </w:tblPr>
      <w:tblGrid>
        <w:gridCol w:w="3153"/>
        <w:gridCol w:w="3327"/>
        <w:gridCol w:w="2870"/>
      </w:tblGrid>
      <w:tr w:rsidR="00224FA6" w:rsidRPr="00500C4E" w14:paraId="56291727" w14:textId="77777777" w:rsidTr="00CB146C">
        <w:tc>
          <w:tcPr>
            <w:tcW w:w="1686" w:type="pct"/>
            <w:shd w:val="clear" w:color="auto" w:fill="D9D9D9" w:themeFill="background1" w:themeFillShade="D9"/>
          </w:tcPr>
          <w:p w14:paraId="2282ED76" w14:textId="77777777" w:rsidR="00224FA6" w:rsidRPr="00920905" w:rsidRDefault="00224FA6" w:rsidP="00226F90">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13DC79D9" w14:textId="77777777" w:rsidR="00224FA6" w:rsidRPr="00920905" w:rsidRDefault="00224FA6" w:rsidP="00226F90">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0C3B333B" w14:textId="77777777" w:rsidR="00224FA6" w:rsidRPr="00920905" w:rsidRDefault="00224FA6" w:rsidP="00226F90">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224FA6" w:rsidRPr="00500C4E" w14:paraId="57AB9C37" w14:textId="77777777" w:rsidTr="00224FA6">
        <w:tc>
          <w:tcPr>
            <w:tcW w:w="1686" w:type="pct"/>
          </w:tcPr>
          <w:p w14:paraId="016A2045" w14:textId="77777777" w:rsidR="00224FA6" w:rsidRPr="00920905" w:rsidRDefault="00224FA6" w:rsidP="00226F90">
            <w:pPr>
              <w:rPr>
                <w:rFonts w:cstheme="minorHAnsi"/>
                <w:color w:val="FF0000"/>
                <w:szCs w:val="20"/>
              </w:rPr>
            </w:pPr>
            <w:r w:rsidRPr="00664EC8">
              <w:rPr>
                <w:rFonts w:cs="Arial"/>
                <w:color w:val="000000"/>
                <w:szCs w:val="20"/>
              </w:rPr>
              <w:t>Assembly</w:t>
            </w:r>
          </w:p>
        </w:tc>
        <w:tc>
          <w:tcPr>
            <w:tcW w:w="1779" w:type="pct"/>
          </w:tcPr>
          <w:p w14:paraId="5F649629"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30E18B59"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55842D56" w14:textId="77777777" w:rsidTr="00224FA6">
        <w:tc>
          <w:tcPr>
            <w:tcW w:w="1686" w:type="pct"/>
          </w:tcPr>
          <w:p w14:paraId="6D94BD60" w14:textId="77777777" w:rsidR="00224FA6" w:rsidRPr="00920905" w:rsidRDefault="00224FA6" w:rsidP="00226F90">
            <w:pPr>
              <w:rPr>
                <w:rFonts w:cstheme="minorHAnsi"/>
                <w:color w:val="FF0000"/>
                <w:szCs w:val="20"/>
              </w:rPr>
            </w:pPr>
            <w:r w:rsidRPr="00664EC8">
              <w:rPr>
                <w:rFonts w:cs="Arial"/>
                <w:color w:val="000000"/>
                <w:szCs w:val="20"/>
              </w:rPr>
              <w:t>Education - Community College</w:t>
            </w:r>
          </w:p>
        </w:tc>
        <w:tc>
          <w:tcPr>
            <w:tcW w:w="1779" w:type="pct"/>
          </w:tcPr>
          <w:p w14:paraId="7E31EC14"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5C3AC429"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19EECB9E" w14:textId="77777777" w:rsidTr="00224FA6">
        <w:tc>
          <w:tcPr>
            <w:tcW w:w="1686" w:type="pct"/>
          </w:tcPr>
          <w:p w14:paraId="4ACC3148" w14:textId="77777777" w:rsidR="00224FA6" w:rsidRPr="00920905" w:rsidRDefault="00224FA6" w:rsidP="00226F90">
            <w:pPr>
              <w:rPr>
                <w:rFonts w:cstheme="minorHAnsi"/>
                <w:color w:val="FF0000"/>
                <w:szCs w:val="20"/>
              </w:rPr>
            </w:pPr>
            <w:r w:rsidRPr="00664EC8">
              <w:rPr>
                <w:rFonts w:cs="Arial"/>
                <w:color w:val="000000"/>
                <w:szCs w:val="20"/>
              </w:rPr>
              <w:t>Education - Primary School</w:t>
            </w:r>
          </w:p>
        </w:tc>
        <w:tc>
          <w:tcPr>
            <w:tcW w:w="1779" w:type="pct"/>
          </w:tcPr>
          <w:p w14:paraId="168B665C"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7CE28AAB"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518ABB3C" w14:textId="77777777" w:rsidTr="00224FA6">
        <w:tc>
          <w:tcPr>
            <w:tcW w:w="1686" w:type="pct"/>
          </w:tcPr>
          <w:p w14:paraId="79062BDC" w14:textId="77777777" w:rsidR="00224FA6" w:rsidRPr="00920905" w:rsidRDefault="00224FA6" w:rsidP="00226F90">
            <w:pPr>
              <w:rPr>
                <w:rFonts w:cstheme="minorHAnsi"/>
                <w:color w:val="FF0000"/>
                <w:szCs w:val="20"/>
              </w:rPr>
            </w:pPr>
            <w:r w:rsidRPr="00664EC8">
              <w:rPr>
                <w:rFonts w:cs="Arial"/>
                <w:color w:val="000000"/>
                <w:szCs w:val="20"/>
              </w:rPr>
              <w:t>Education - Secondary School</w:t>
            </w:r>
          </w:p>
        </w:tc>
        <w:tc>
          <w:tcPr>
            <w:tcW w:w="1779" w:type="pct"/>
          </w:tcPr>
          <w:p w14:paraId="7CCD915A"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754E2267"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7FCCABDC" w14:textId="77777777" w:rsidTr="00224FA6">
        <w:tc>
          <w:tcPr>
            <w:tcW w:w="1686" w:type="pct"/>
          </w:tcPr>
          <w:p w14:paraId="523DC357" w14:textId="77777777" w:rsidR="00224FA6" w:rsidRPr="00920905" w:rsidRDefault="00224FA6" w:rsidP="00226F90">
            <w:pPr>
              <w:rPr>
                <w:rFonts w:cstheme="minorHAnsi"/>
                <w:color w:val="FF0000"/>
                <w:szCs w:val="20"/>
              </w:rPr>
            </w:pPr>
            <w:r w:rsidRPr="00664EC8">
              <w:rPr>
                <w:rFonts w:cs="Arial"/>
                <w:color w:val="000000"/>
                <w:szCs w:val="20"/>
              </w:rPr>
              <w:t>Education - University</w:t>
            </w:r>
          </w:p>
        </w:tc>
        <w:tc>
          <w:tcPr>
            <w:tcW w:w="1779" w:type="pct"/>
          </w:tcPr>
          <w:p w14:paraId="267BB294"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727EA6AA"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1D62770E" w14:textId="77777777" w:rsidTr="00224FA6">
        <w:tc>
          <w:tcPr>
            <w:tcW w:w="1686" w:type="pct"/>
          </w:tcPr>
          <w:p w14:paraId="69EA0A89" w14:textId="77777777" w:rsidR="00224FA6" w:rsidRPr="00920905" w:rsidRDefault="00224FA6" w:rsidP="00226F90">
            <w:pPr>
              <w:rPr>
                <w:rFonts w:cstheme="minorHAnsi"/>
                <w:color w:val="FF0000"/>
                <w:szCs w:val="20"/>
              </w:rPr>
            </w:pPr>
            <w:r w:rsidRPr="00664EC8">
              <w:rPr>
                <w:rFonts w:cs="Arial"/>
                <w:color w:val="000000"/>
                <w:szCs w:val="20"/>
              </w:rPr>
              <w:t>Grocery</w:t>
            </w:r>
          </w:p>
        </w:tc>
        <w:tc>
          <w:tcPr>
            <w:tcW w:w="1779" w:type="pct"/>
          </w:tcPr>
          <w:p w14:paraId="52A30E19"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5460B73D"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3012381B" w14:textId="77777777" w:rsidTr="00224FA6">
        <w:tc>
          <w:tcPr>
            <w:tcW w:w="1686" w:type="pct"/>
          </w:tcPr>
          <w:p w14:paraId="657E0A08" w14:textId="77777777" w:rsidR="00224FA6" w:rsidRPr="00920905" w:rsidRDefault="00224FA6" w:rsidP="00226F90">
            <w:pPr>
              <w:rPr>
                <w:rFonts w:cstheme="minorHAnsi"/>
                <w:color w:val="FF0000"/>
                <w:szCs w:val="20"/>
              </w:rPr>
            </w:pPr>
            <w:r w:rsidRPr="00664EC8">
              <w:rPr>
                <w:rFonts w:cs="Arial"/>
                <w:color w:val="000000"/>
                <w:szCs w:val="20"/>
              </w:rPr>
              <w:t>Health/Medical - Hospital</w:t>
            </w:r>
          </w:p>
        </w:tc>
        <w:tc>
          <w:tcPr>
            <w:tcW w:w="1779" w:type="pct"/>
          </w:tcPr>
          <w:p w14:paraId="2F53CCB8"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3CE17354"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16A186AF" w14:textId="77777777" w:rsidTr="00224FA6">
        <w:tc>
          <w:tcPr>
            <w:tcW w:w="1686" w:type="pct"/>
          </w:tcPr>
          <w:p w14:paraId="45FF2E70" w14:textId="77777777" w:rsidR="00224FA6" w:rsidRPr="00920905" w:rsidRDefault="00224FA6" w:rsidP="00226F90">
            <w:pPr>
              <w:rPr>
                <w:rFonts w:cstheme="minorHAnsi"/>
                <w:color w:val="FF0000"/>
                <w:szCs w:val="20"/>
              </w:rPr>
            </w:pPr>
            <w:r w:rsidRPr="00664EC8">
              <w:rPr>
                <w:rFonts w:cs="Arial"/>
                <w:color w:val="000000"/>
                <w:szCs w:val="20"/>
              </w:rPr>
              <w:t>Health/Medical - Nursing Home</w:t>
            </w:r>
          </w:p>
        </w:tc>
        <w:tc>
          <w:tcPr>
            <w:tcW w:w="1779" w:type="pct"/>
          </w:tcPr>
          <w:p w14:paraId="69A5553A"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06C38A69"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3F7856A2" w14:textId="77777777" w:rsidTr="00224FA6">
        <w:tc>
          <w:tcPr>
            <w:tcW w:w="1686" w:type="pct"/>
          </w:tcPr>
          <w:p w14:paraId="4DB8A551" w14:textId="77777777" w:rsidR="00224FA6" w:rsidRPr="00920905" w:rsidRDefault="00224FA6" w:rsidP="00226F90">
            <w:pPr>
              <w:rPr>
                <w:rFonts w:cstheme="minorHAnsi"/>
                <w:color w:val="FF0000"/>
                <w:szCs w:val="20"/>
              </w:rPr>
            </w:pPr>
            <w:r w:rsidRPr="00664EC8">
              <w:rPr>
                <w:rFonts w:cs="Arial"/>
                <w:color w:val="000000"/>
                <w:szCs w:val="20"/>
              </w:rPr>
              <w:t>Lodging - Hotel</w:t>
            </w:r>
          </w:p>
        </w:tc>
        <w:tc>
          <w:tcPr>
            <w:tcW w:w="1779" w:type="pct"/>
          </w:tcPr>
          <w:p w14:paraId="3FAAE1AD"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19A08E1B"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78D172EF" w14:textId="77777777" w:rsidTr="00224FA6">
        <w:tc>
          <w:tcPr>
            <w:tcW w:w="1686" w:type="pct"/>
          </w:tcPr>
          <w:p w14:paraId="06A060DE" w14:textId="77777777" w:rsidR="00224FA6" w:rsidRPr="00920905" w:rsidRDefault="00224FA6" w:rsidP="00226F90">
            <w:pPr>
              <w:rPr>
                <w:rFonts w:cstheme="minorHAnsi"/>
                <w:color w:val="FF0000"/>
                <w:szCs w:val="20"/>
              </w:rPr>
            </w:pPr>
            <w:r w:rsidRPr="00664EC8">
              <w:rPr>
                <w:rFonts w:cs="Arial"/>
                <w:color w:val="000000"/>
                <w:szCs w:val="20"/>
              </w:rPr>
              <w:t>Lodging - Motel</w:t>
            </w:r>
          </w:p>
        </w:tc>
        <w:tc>
          <w:tcPr>
            <w:tcW w:w="1779" w:type="pct"/>
          </w:tcPr>
          <w:p w14:paraId="51B0DA39"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08B091AE"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35C23CCF" w14:textId="77777777" w:rsidTr="00224FA6">
        <w:tc>
          <w:tcPr>
            <w:tcW w:w="1686" w:type="pct"/>
          </w:tcPr>
          <w:p w14:paraId="0F0E54F0" w14:textId="77777777" w:rsidR="00224FA6" w:rsidRPr="00920905" w:rsidRDefault="00224FA6" w:rsidP="00226F90">
            <w:pPr>
              <w:rPr>
                <w:rFonts w:cstheme="minorHAnsi"/>
                <w:color w:val="FF0000"/>
                <w:szCs w:val="20"/>
              </w:rPr>
            </w:pPr>
            <w:r w:rsidRPr="00664EC8">
              <w:rPr>
                <w:rFonts w:cs="Arial"/>
                <w:color w:val="000000"/>
                <w:szCs w:val="20"/>
              </w:rPr>
              <w:t>Office - Large</w:t>
            </w:r>
          </w:p>
        </w:tc>
        <w:tc>
          <w:tcPr>
            <w:tcW w:w="1779" w:type="pct"/>
          </w:tcPr>
          <w:p w14:paraId="33DD33D6"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481A5882"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55408181" w14:textId="77777777" w:rsidTr="00224FA6">
        <w:tc>
          <w:tcPr>
            <w:tcW w:w="1686" w:type="pct"/>
          </w:tcPr>
          <w:p w14:paraId="77A392E9" w14:textId="77777777" w:rsidR="00224FA6" w:rsidRPr="00920905" w:rsidRDefault="00224FA6" w:rsidP="00226F90">
            <w:pPr>
              <w:rPr>
                <w:rFonts w:cstheme="minorHAnsi"/>
                <w:color w:val="FF0000"/>
                <w:szCs w:val="20"/>
              </w:rPr>
            </w:pPr>
            <w:r w:rsidRPr="00664EC8">
              <w:rPr>
                <w:rFonts w:cs="Arial"/>
                <w:color w:val="000000"/>
                <w:szCs w:val="20"/>
              </w:rPr>
              <w:t>Office - Small</w:t>
            </w:r>
          </w:p>
        </w:tc>
        <w:tc>
          <w:tcPr>
            <w:tcW w:w="1779" w:type="pct"/>
          </w:tcPr>
          <w:p w14:paraId="5947D9F2"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348108EF"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616DC9FC" w14:textId="77777777" w:rsidTr="00224FA6">
        <w:tc>
          <w:tcPr>
            <w:tcW w:w="1686" w:type="pct"/>
          </w:tcPr>
          <w:p w14:paraId="26B5130C" w14:textId="77777777" w:rsidR="00224FA6" w:rsidRPr="00920905" w:rsidRDefault="00224FA6" w:rsidP="00226F90">
            <w:pPr>
              <w:rPr>
                <w:rFonts w:cstheme="minorHAnsi"/>
                <w:color w:val="FF0000"/>
                <w:szCs w:val="20"/>
              </w:rPr>
            </w:pPr>
            <w:r w:rsidRPr="00664EC8">
              <w:rPr>
                <w:rFonts w:cs="Arial"/>
                <w:color w:val="000000"/>
                <w:szCs w:val="20"/>
              </w:rPr>
              <w:t>Restaurant - Fast-Food</w:t>
            </w:r>
          </w:p>
        </w:tc>
        <w:tc>
          <w:tcPr>
            <w:tcW w:w="1779" w:type="pct"/>
          </w:tcPr>
          <w:p w14:paraId="0BA87D64"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59DF2A7C" w14:textId="77777777" w:rsidR="00224FA6" w:rsidRPr="006E5138" w:rsidRDefault="00224FA6" w:rsidP="00226F90">
            <w:pPr>
              <w:rPr>
                <w:rFonts w:cstheme="minorHAnsi"/>
                <w:szCs w:val="20"/>
              </w:rPr>
            </w:pPr>
            <w:r>
              <w:rPr>
                <w:rFonts w:cstheme="minorHAnsi"/>
                <w:szCs w:val="20"/>
              </w:rPr>
              <w:t>N</w:t>
            </w:r>
            <w:r w:rsidRPr="006E5138">
              <w:rPr>
                <w:rFonts w:cstheme="minorHAnsi"/>
                <w:szCs w:val="20"/>
              </w:rPr>
              <w:t>ON_RES</w:t>
            </w:r>
          </w:p>
        </w:tc>
      </w:tr>
      <w:tr w:rsidR="00224FA6" w:rsidRPr="00500C4E" w14:paraId="4F66E1A3" w14:textId="77777777" w:rsidTr="00224FA6">
        <w:tc>
          <w:tcPr>
            <w:tcW w:w="1686" w:type="pct"/>
          </w:tcPr>
          <w:p w14:paraId="4BEABAD0" w14:textId="77777777" w:rsidR="00224FA6" w:rsidRPr="00920905" w:rsidRDefault="00224FA6" w:rsidP="00226F90">
            <w:pPr>
              <w:rPr>
                <w:rFonts w:cstheme="minorHAnsi"/>
                <w:color w:val="FF0000"/>
                <w:szCs w:val="20"/>
              </w:rPr>
            </w:pPr>
            <w:r w:rsidRPr="00664EC8">
              <w:rPr>
                <w:rFonts w:cs="Arial"/>
                <w:color w:val="000000"/>
                <w:szCs w:val="20"/>
              </w:rPr>
              <w:t>Restaurant - Sit-Down</w:t>
            </w:r>
          </w:p>
        </w:tc>
        <w:tc>
          <w:tcPr>
            <w:tcW w:w="1779" w:type="pct"/>
          </w:tcPr>
          <w:p w14:paraId="070D977B"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2F78FBF6"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1EC24176" w14:textId="77777777" w:rsidTr="00224FA6">
        <w:tc>
          <w:tcPr>
            <w:tcW w:w="1686" w:type="pct"/>
          </w:tcPr>
          <w:p w14:paraId="38EAF8D1" w14:textId="77777777" w:rsidR="00224FA6" w:rsidRPr="00920905" w:rsidRDefault="00224FA6" w:rsidP="00226F90">
            <w:pPr>
              <w:rPr>
                <w:rFonts w:cstheme="minorHAnsi"/>
                <w:color w:val="FF0000"/>
                <w:szCs w:val="20"/>
              </w:rPr>
            </w:pPr>
            <w:r w:rsidRPr="00664EC8">
              <w:rPr>
                <w:rFonts w:cs="Arial"/>
                <w:color w:val="000000"/>
                <w:szCs w:val="20"/>
              </w:rPr>
              <w:t>Retail - Multistory Large</w:t>
            </w:r>
          </w:p>
        </w:tc>
        <w:tc>
          <w:tcPr>
            <w:tcW w:w="1779" w:type="pct"/>
          </w:tcPr>
          <w:p w14:paraId="29583229"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37890644" w14:textId="77777777" w:rsidR="00224FA6" w:rsidRPr="006E5138" w:rsidRDefault="00224FA6" w:rsidP="00226F90">
            <w:pPr>
              <w:rPr>
                <w:rFonts w:cstheme="minorHAnsi"/>
                <w:szCs w:val="20"/>
              </w:rPr>
            </w:pPr>
            <w:r w:rsidRPr="006E5138">
              <w:rPr>
                <w:rFonts w:cstheme="minorHAnsi"/>
                <w:szCs w:val="20"/>
              </w:rPr>
              <w:t>NON_RES</w:t>
            </w:r>
          </w:p>
        </w:tc>
      </w:tr>
      <w:tr w:rsidR="00224FA6" w:rsidRPr="00500C4E" w14:paraId="55488216" w14:textId="77777777" w:rsidTr="00224FA6">
        <w:tc>
          <w:tcPr>
            <w:tcW w:w="1686" w:type="pct"/>
          </w:tcPr>
          <w:p w14:paraId="1D560EC8" w14:textId="77777777" w:rsidR="00224FA6" w:rsidRPr="00920905" w:rsidRDefault="00224FA6" w:rsidP="00226F90">
            <w:pPr>
              <w:rPr>
                <w:rFonts w:cstheme="minorHAnsi"/>
                <w:color w:val="FF0000"/>
                <w:szCs w:val="20"/>
              </w:rPr>
            </w:pPr>
            <w:r w:rsidRPr="00664EC8">
              <w:rPr>
                <w:rFonts w:cs="Arial"/>
                <w:color w:val="000000"/>
                <w:szCs w:val="20"/>
              </w:rPr>
              <w:t>Retail - Small</w:t>
            </w:r>
          </w:p>
        </w:tc>
        <w:tc>
          <w:tcPr>
            <w:tcW w:w="1779" w:type="pct"/>
          </w:tcPr>
          <w:p w14:paraId="0981CA01" w14:textId="77777777" w:rsidR="00224FA6" w:rsidRPr="006E5138" w:rsidRDefault="00224FA6" w:rsidP="00226F90">
            <w:pPr>
              <w:rPr>
                <w:rFonts w:cstheme="minorHAnsi"/>
                <w:szCs w:val="20"/>
              </w:rPr>
            </w:pPr>
            <w:r w:rsidRPr="006E5138">
              <w:rPr>
                <w:rFonts w:cstheme="minorHAnsi"/>
                <w:szCs w:val="20"/>
              </w:rPr>
              <w:t>DEER:Indoor_Non-CFL_Ltg</w:t>
            </w:r>
          </w:p>
        </w:tc>
        <w:tc>
          <w:tcPr>
            <w:tcW w:w="1535" w:type="pct"/>
          </w:tcPr>
          <w:p w14:paraId="532F3671" w14:textId="77777777" w:rsidR="00224FA6" w:rsidRPr="006E5138" w:rsidRDefault="00224FA6" w:rsidP="00226F90">
            <w:pPr>
              <w:rPr>
                <w:rFonts w:cstheme="minorHAnsi"/>
                <w:szCs w:val="20"/>
              </w:rPr>
            </w:pPr>
            <w:r w:rsidRPr="006E5138">
              <w:rPr>
                <w:rFonts w:cstheme="minorHAnsi"/>
                <w:szCs w:val="20"/>
              </w:rPr>
              <w:t>NON_RES</w:t>
            </w:r>
          </w:p>
        </w:tc>
      </w:tr>
    </w:tbl>
    <w:p w14:paraId="38ECE87E" w14:textId="77777777" w:rsidR="00A86529" w:rsidRDefault="00A86529" w:rsidP="00920905">
      <w:pPr>
        <w:pStyle w:val="Heading1"/>
      </w:pPr>
    </w:p>
    <w:p w14:paraId="5AA3A7A2" w14:textId="77777777" w:rsidR="00A86529" w:rsidRDefault="00A86529">
      <w:pPr>
        <w:spacing w:after="200" w:line="276" w:lineRule="auto"/>
        <w:rPr>
          <w:rFonts w:cs="Arial"/>
          <w:b/>
          <w:bCs/>
          <w:smallCaps/>
          <w:kern w:val="32"/>
          <w:sz w:val="36"/>
          <w:szCs w:val="32"/>
        </w:rPr>
      </w:pPr>
      <w:r>
        <w:br w:type="page"/>
      </w:r>
    </w:p>
    <w:p w14:paraId="52C9214C" w14:textId="739FF5BF" w:rsidR="005552C3" w:rsidRPr="004123DC" w:rsidRDefault="00F95E2F" w:rsidP="00920905">
      <w:pPr>
        <w:pStyle w:val="Heading1"/>
      </w:pPr>
      <w:r w:rsidRPr="004123DC">
        <w:t>Section 4. Costs</w:t>
      </w:r>
    </w:p>
    <w:p w14:paraId="23083C67" w14:textId="77777777" w:rsidR="00EE28A2" w:rsidRPr="00664EC8" w:rsidRDefault="00EE28A2" w:rsidP="00EE28A2">
      <w:pPr>
        <w:autoSpaceDE w:val="0"/>
        <w:autoSpaceDN w:val="0"/>
        <w:adjustRightInd w:val="0"/>
        <w:rPr>
          <w:rFonts w:cstheme="minorHAnsi"/>
          <w:szCs w:val="22"/>
        </w:rPr>
      </w:pPr>
      <w:r w:rsidRPr="004123DC">
        <w:rPr>
          <w:rFonts w:cstheme="minorHAnsi"/>
          <w:szCs w:val="22"/>
        </w:rPr>
        <w:t>High-efficiency deck ovens typically have a higher list price than standard efficiency deck ovens. However, high-efficiency designs are often bundled with other features such as all stainless steel construction and high quality components and controls. In addition to lower operating costs, high-efficiency deck ovens exhibit better uniformity and higher production rates that increase their cost-effectiveness.</w:t>
      </w:r>
    </w:p>
    <w:p w14:paraId="4696E137" w14:textId="77777777" w:rsidR="00E16609" w:rsidRPr="009D5098" w:rsidRDefault="00E16609" w:rsidP="00824F1C">
      <w:pPr>
        <w:pStyle w:val="Heading2"/>
        <w:rPr>
          <w:rFonts w:asciiTheme="minorHAnsi" w:hAnsiTheme="minorHAnsi" w:cstheme="minorHAnsi"/>
        </w:rPr>
      </w:pPr>
      <w:bookmarkStart w:id="25" w:name="_MON_1399297811"/>
      <w:bookmarkStart w:id="26" w:name="_Toc214003097"/>
      <w:bookmarkEnd w:id="25"/>
      <w:r w:rsidRPr="009D5098">
        <w:rPr>
          <w:rFonts w:asciiTheme="minorHAnsi" w:hAnsiTheme="minorHAnsi" w:cstheme="minorHAnsi"/>
        </w:rPr>
        <w:t>4.1 Base Case Cost</w:t>
      </w:r>
      <w:bookmarkEnd w:id="26"/>
    </w:p>
    <w:p w14:paraId="70F018F4" w14:textId="54260758" w:rsidR="00615A3A" w:rsidRDefault="00867B48" w:rsidP="00920905">
      <w:pPr>
        <w:rPr>
          <w:rFonts w:cstheme="minorHAnsi"/>
          <w:szCs w:val="22"/>
        </w:rPr>
      </w:pPr>
      <w:r>
        <w:rPr>
          <w:rFonts w:cstheme="minorHAnsi"/>
          <w:szCs w:val="22"/>
        </w:rPr>
        <w:t xml:space="preserve">The base costs were obtained through online </w:t>
      </w:r>
      <w:r w:rsidR="00D64359">
        <w:rPr>
          <w:rFonts w:cstheme="minorHAnsi"/>
          <w:szCs w:val="22"/>
        </w:rPr>
        <w:t xml:space="preserve">quotes </w:t>
      </w:r>
      <w:r w:rsidR="00F343E8">
        <w:rPr>
          <w:rFonts w:cstheme="minorHAnsi"/>
          <w:szCs w:val="22"/>
        </w:rPr>
        <w:t xml:space="preserve">during </w:t>
      </w:r>
      <w:r w:rsidR="0071373E">
        <w:rPr>
          <w:rFonts w:cstheme="minorHAnsi"/>
          <w:szCs w:val="22"/>
        </w:rPr>
        <w:t>the</w:t>
      </w:r>
      <w:r>
        <w:rPr>
          <w:rFonts w:cstheme="minorHAnsi"/>
          <w:szCs w:val="22"/>
        </w:rPr>
        <w:t xml:space="preserve"> 4</w:t>
      </w:r>
      <w:r w:rsidRPr="00867B48">
        <w:rPr>
          <w:rFonts w:cstheme="minorHAnsi"/>
          <w:szCs w:val="22"/>
          <w:vertAlign w:val="superscript"/>
        </w:rPr>
        <w:t>th</w:t>
      </w:r>
      <w:r>
        <w:rPr>
          <w:rFonts w:cstheme="minorHAnsi"/>
          <w:szCs w:val="22"/>
        </w:rPr>
        <w:t xml:space="preserve"> quarter </w:t>
      </w:r>
      <w:r w:rsidR="0071373E">
        <w:rPr>
          <w:rFonts w:cstheme="minorHAnsi"/>
          <w:szCs w:val="22"/>
        </w:rPr>
        <w:t xml:space="preserve">of </w:t>
      </w:r>
      <w:r>
        <w:rPr>
          <w:rFonts w:cstheme="minorHAnsi"/>
          <w:szCs w:val="22"/>
        </w:rPr>
        <w:t>2016.</w:t>
      </w:r>
      <w:r w:rsidR="004123DC" w:rsidRPr="00B4002B">
        <w:rPr>
          <w:rFonts w:cstheme="minorHAnsi"/>
          <w:szCs w:val="22"/>
        </w:rPr>
        <w:t xml:space="preserve"> </w:t>
      </w:r>
      <w:r w:rsidR="004409F6" w:rsidRPr="004409F6">
        <w:rPr>
          <w:rFonts w:cstheme="minorHAnsi"/>
          <w:szCs w:val="22"/>
        </w:rPr>
        <w:t>Base case costs are calculated by applying an industry-standard 50% discount to manufacturer published list prices</w:t>
      </w:r>
      <w:r w:rsidR="004409F6">
        <w:rPr>
          <w:rFonts w:cstheme="minorHAnsi"/>
          <w:szCs w:val="22"/>
        </w:rPr>
        <w:t xml:space="preserve">. </w:t>
      </w:r>
      <w:r w:rsidR="001A352C">
        <w:rPr>
          <w:rFonts w:cstheme="minorHAnsi"/>
          <w:szCs w:val="22"/>
        </w:rPr>
        <w:t>The base costs were verified in the 3</w:t>
      </w:r>
      <w:r w:rsidR="001A352C" w:rsidRPr="00636D73">
        <w:rPr>
          <w:rFonts w:cstheme="minorHAnsi"/>
          <w:szCs w:val="22"/>
          <w:vertAlign w:val="superscript"/>
        </w:rPr>
        <w:t>rd</w:t>
      </w:r>
      <w:r w:rsidR="001A352C">
        <w:rPr>
          <w:rFonts w:cstheme="minorHAnsi"/>
          <w:szCs w:val="22"/>
        </w:rPr>
        <w:t xml:space="preserve"> </w:t>
      </w:r>
      <w:r w:rsidR="001A352C" w:rsidRPr="00170EAF">
        <w:rPr>
          <w:rFonts w:cstheme="minorHAnsi"/>
          <w:szCs w:val="22"/>
        </w:rPr>
        <w:t>quarter of 2018 and no major cost updates were observed.</w:t>
      </w:r>
      <w:r w:rsidR="001A352C">
        <w:rPr>
          <w:rFonts w:cstheme="minorHAnsi"/>
          <w:szCs w:val="22"/>
        </w:rPr>
        <w:t xml:space="preserve"> </w:t>
      </w:r>
      <w:r w:rsidR="00D64359" w:rsidRPr="00D64359">
        <w:rPr>
          <w:rFonts w:cstheme="minorHAnsi"/>
          <w:szCs w:val="22"/>
        </w:rPr>
        <w:t>Since equipment pricing in food service is closely held information and prices vary widely according to buying volume and other factors, the sources for prices cannot be listed explicitly</w:t>
      </w:r>
      <w:r w:rsidR="00D64359">
        <w:rPr>
          <w:rFonts w:cstheme="minorHAnsi"/>
          <w:szCs w:val="22"/>
        </w:rPr>
        <w:t>.</w:t>
      </w:r>
      <w:r w:rsidR="00D64359" w:rsidRPr="00D64359">
        <w:rPr>
          <w:rFonts w:cstheme="minorHAnsi"/>
          <w:szCs w:val="22"/>
        </w:rPr>
        <w:t xml:space="preserve"> </w:t>
      </w:r>
      <w:r w:rsidR="00F343E8">
        <w:rPr>
          <w:rFonts w:cstheme="minorHAnsi"/>
          <w:szCs w:val="22"/>
        </w:rPr>
        <w:t>E</w:t>
      </w:r>
      <w:r w:rsidR="00615A3A" w:rsidRPr="009D5098">
        <w:rPr>
          <w:rFonts w:cstheme="minorHAnsi"/>
          <w:szCs w:val="22"/>
        </w:rPr>
        <w:t xml:space="preserve">quipment costs are presented </w:t>
      </w:r>
      <w:r w:rsidR="004123DC" w:rsidRPr="00B4002B">
        <w:rPr>
          <w:rFonts w:cstheme="minorHAnsi"/>
          <w:szCs w:val="22"/>
        </w:rPr>
        <w:t>with a</w:t>
      </w:r>
      <w:r w:rsidR="009D5098" w:rsidRPr="00B4002B">
        <w:rPr>
          <w:rFonts w:cstheme="minorHAnsi"/>
          <w:szCs w:val="22"/>
        </w:rPr>
        <w:t>n associated</w:t>
      </w:r>
      <w:r w:rsidR="004123DC" w:rsidRPr="00B4002B">
        <w:rPr>
          <w:rFonts w:cstheme="minorHAnsi"/>
          <w:szCs w:val="22"/>
        </w:rPr>
        <w:t xml:space="preserve"> tax rate of 8.75%</w:t>
      </w:r>
      <w:r w:rsidR="00615A3A" w:rsidRPr="009D5098">
        <w:rPr>
          <w:rFonts w:cstheme="minorHAnsi"/>
          <w:szCs w:val="22"/>
        </w:rPr>
        <w:t>.</w:t>
      </w:r>
      <w:r w:rsidR="0071373E">
        <w:rPr>
          <w:rFonts w:cstheme="minorHAnsi"/>
          <w:szCs w:val="22"/>
        </w:rPr>
        <w:t xml:space="preserve"> </w:t>
      </w:r>
      <w:r w:rsidR="0071373E" w:rsidRPr="009D5098">
        <w:rPr>
          <w:rFonts w:cstheme="minorHAnsi"/>
          <w:szCs w:val="22"/>
        </w:rPr>
        <w:t xml:space="preserve">It is assumed that the labor cost is the same </w:t>
      </w:r>
      <w:r w:rsidR="0071373E">
        <w:rPr>
          <w:rFonts w:cstheme="minorHAnsi"/>
          <w:szCs w:val="22"/>
        </w:rPr>
        <w:t>for the base and measure cases. Installation is assumed to take no more than 30 minutes at a rate of $67.88 based on the Miscellaneous Labor Rate (NR-MISC) from the DEER READI Tool v.2.4.</w:t>
      </w:r>
      <w:r w:rsidR="005123D3">
        <w:rPr>
          <w:rFonts w:cstheme="minorHAnsi"/>
          <w:szCs w:val="22"/>
        </w:rPr>
        <w:t>8</w:t>
      </w:r>
      <w:r w:rsidR="0071373E">
        <w:rPr>
          <w:rFonts w:cstheme="minorHAnsi"/>
          <w:szCs w:val="22"/>
        </w:rPr>
        <w:t>. As such, the effective installation cost is $33.94.</w:t>
      </w:r>
      <w:r w:rsidR="00D47BB9">
        <w:rPr>
          <w:rFonts w:cstheme="minorHAnsi"/>
          <w:szCs w:val="22"/>
        </w:rPr>
        <w:t xml:space="preserve"> The table below lists the average </w:t>
      </w:r>
      <w:r w:rsidR="00D92B9E">
        <w:rPr>
          <w:rFonts w:cstheme="minorHAnsi"/>
          <w:szCs w:val="22"/>
        </w:rPr>
        <w:t>material cost,</w:t>
      </w:r>
      <w:r w:rsidR="00D47BB9">
        <w:rPr>
          <w:rFonts w:cstheme="minorHAnsi"/>
          <w:szCs w:val="22"/>
        </w:rPr>
        <w:t xml:space="preserve"> labor cost</w:t>
      </w:r>
      <w:r w:rsidR="00D92B9E">
        <w:rPr>
          <w:rFonts w:cstheme="minorHAnsi"/>
          <w:szCs w:val="22"/>
        </w:rPr>
        <w:t xml:space="preserve"> and full cost</w:t>
      </w:r>
      <w:r w:rsidR="00D47BB9">
        <w:rPr>
          <w:rFonts w:cstheme="minorHAnsi"/>
          <w:szCs w:val="22"/>
        </w:rPr>
        <w:t>:</w:t>
      </w:r>
    </w:p>
    <w:p w14:paraId="36F0EE9A" w14:textId="53FE56BF" w:rsidR="00D92B9E" w:rsidRDefault="00D92B9E" w:rsidP="00920905">
      <w:pPr>
        <w:rPr>
          <w:rFonts w:cstheme="minorHAnsi"/>
          <w:szCs w:val="22"/>
        </w:rPr>
      </w:pPr>
    </w:p>
    <w:p w14:paraId="3937E912" w14:textId="3319B6DE" w:rsidR="00D92B9E" w:rsidRPr="004123DC" w:rsidRDefault="009B4090" w:rsidP="00D92B9E">
      <w:pPr>
        <w:pStyle w:val="Caption"/>
        <w:rPr>
          <w:rFonts w:cstheme="minorHAnsi"/>
          <w:szCs w:val="22"/>
        </w:rPr>
      </w:pPr>
      <w:r>
        <w:rPr>
          <w:rFonts w:cstheme="minorHAnsi"/>
          <w:bCs w:val="0"/>
          <w:szCs w:val="22"/>
        </w:rPr>
        <w:t xml:space="preserve">Base Case: </w:t>
      </w:r>
      <w:r w:rsidR="00D92B9E">
        <w:rPr>
          <w:rFonts w:cstheme="minorHAnsi"/>
          <w:bCs w:val="0"/>
          <w:szCs w:val="22"/>
        </w:rPr>
        <w:t>Material, Labor</w:t>
      </w:r>
      <w:r w:rsidR="00D92B9E" w:rsidRPr="004123DC">
        <w:rPr>
          <w:rFonts w:cstheme="minorHAnsi"/>
          <w:bCs w:val="0"/>
          <w:szCs w:val="22"/>
        </w:rPr>
        <w:t xml:space="preserve"> and </w:t>
      </w:r>
      <w:r w:rsidR="00D92B9E">
        <w:rPr>
          <w:rFonts w:cstheme="minorHAnsi"/>
          <w:bCs w:val="0"/>
          <w:szCs w:val="22"/>
        </w:rPr>
        <w:t>Full</w:t>
      </w:r>
      <w:r w:rsidR="00D92B9E" w:rsidRPr="004123DC">
        <w:rPr>
          <w:rFonts w:cstheme="minorHAnsi"/>
          <w:bCs w:val="0"/>
          <w:szCs w:val="22"/>
        </w:rPr>
        <w:t xml:space="preserve"> Cost</w:t>
      </w:r>
    </w:p>
    <w:tbl>
      <w:tblPr>
        <w:tblStyle w:val="TableGrid1"/>
        <w:tblW w:w="5000" w:type="pct"/>
        <w:tblLook w:val="04A0" w:firstRow="1" w:lastRow="0" w:firstColumn="1" w:lastColumn="0" w:noHBand="0" w:noVBand="1"/>
      </w:tblPr>
      <w:tblGrid>
        <w:gridCol w:w="2989"/>
        <w:gridCol w:w="1896"/>
        <w:gridCol w:w="2169"/>
        <w:gridCol w:w="2296"/>
      </w:tblGrid>
      <w:tr w:rsidR="00987E22" w:rsidRPr="004123DC" w14:paraId="54863C7A" w14:textId="77777777" w:rsidTr="00226F90">
        <w:trPr>
          <w:trHeight w:val="503"/>
        </w:trPr>
        <w:tc>
          <w:tcPr>
            <w:tcW w:w="1598" w:type="pct"/>
            <w:shd w:val="clear" w:color="auto" w:fill="D9D9D9" w:themeFill="background1" w:themeFillShade="D9"/>
          </w:tcPr>
          <w:p w14:paraId="6D6B72E0" w14:textId="6255A60D" w:rsidR="00987E22" w:rsidRPr="004123DC" w:rsidRDefault="00B44975" w:rsidP="00226F90">
            <w:pPr>
              <w:rPr>
                <w:rFonts w:cs="Arial"/>
                <w:b/>
                <w:bCs/>
                <w:color w:val="000000"/>
                <w:szCs w:val="20"/>
              </w:rPr>
            </w:pPr>
            <w:r>
              <w:rPr>
                <w:rFonts w:cs="Arial"/>
                <w:b/>
                <w:color w:val="000000"/>
                <w:szCs w:val="20"/>
              </w:rPr>
              <w:t xml:space="preserve">Equipment </w:t>
            </w:r>
          </w:p>
        </w:tc>
        <w:tc>
          <w:tcPr>
            <w:tcW w:w="1014" w:type="pct"/>
            <w:shd w:val="clear" w:color="auto" w:fill="D9D9D9" w:themeFill="background1" w:themeFillShade="D9"/>
          </w:tcPr>
          <w:p w14:paraId="4E22DAAF" w14:textId="52436B79" w:rsidR="00987E22" w:rsidRPr="004123DC" w:rsidRDefault="009B4090" w:rsidP="00226F90">
            <w:pPr>
              <w:rPr>
                <w:rFonts w:cs="Arial"/>
                <w:b/>
                <w:bCs/>
                <w:color w:val="000000"/>
                <w:szCs w:val="20"/>
              </w:rPr>
            </w:pPr>
            <w:r>
              <w:rPr>
                <w:rFonts w:cs="Arial"/>
                <w:b/>
                <w:color w:val="000000"/>
                <w:szCs w:val="20"/>
              </w:rPr>
              <w:t>Base Case</w:t>
            </w:r>
            <w:r w:rsidR="00987E22" w:rsidRPr="004123DC">
              <w:rPr>
                <w:rFonts w:cs="Arial"/>
                <w:b/>
                <w:color w:val="000000"/>
                <w:szCs w:val="20"/>
              </w:rPr>
              <w:t xml:space="preserve"> </w:t>
            </w:r>
            <w:r w:rsidR="00987E22">
              <w:rPr>
                <w:rFonts w:cs="Arial"/>
                <w:b/>
                <w:color w:val="000000"/>
                <w:szCs w:val="20"/>
              </w:rPr>
              <w:t>Material</w:t>
            </w:r>
            <w:r w:rsidR="00987E22" w:rsidRPr="004123DC">
              <w:rPr>
                <w:rFonts w:cs="Arial"/>
                <w:b/>
                <w:color w:val="000000"/>
                <w:szCs w:val="20"/>
              </w:rPr>
              <w:t xml:space="preserve"> Price</w:t>
            </w:r>
          </w:p>
        </w:tc>
        <w:tc>
          <w:tcPr>
            <w:tcW w:w="1160" w:type="pct"/>
            <w:shd w:val="clear" w:color="auto" w:fill="D9D9D9" w:themeFill="background1" w:themeFillShade="D9"/>
          </w:tcPr>
          <w:p w14:paraId="2A2C4737" w14:textId="7508332E" w:rsidR="00987E22" w:rsidRPr="004123DC" w:rsidRDefault="009B4090" w:rsidP="00226F90">
            <w:pPr>
              <w:rPr>
                <w:rFonts w:cs="Arial"/>
                <w:b/>
                <w:bCs/>
                <w:color w:val="000000"/>
                <w:szCs w:val="20"/>
              </w:rPr>
            </w:pPr>
            <w:r>
              <w:rPr>
                <w:rFonts w:cs="Arial"/>
                <w:b/>
                <w:color w:val="000000"/>
                <w:szCs w:val="20"/>
              </w:rPr>
              <w:t>Base Case</w:t>
            </w:r>
            <w:r w:rsidR="00987E22">
              <w:rPr>
                <w:rFonts w:cs="Arial"/>
                <w:b/>
                <w:color w:val="000000"/>
                <w:szCs w:val="20"/>
              </w:rPr>
              <w:t xml:space="preserve"> Labor</w:t>
            </w:r>
            <w:r w:rsidR="00987E22" w:rsidRPr="004123DC">
              <w:rPr>
                <w:rFonts w:cs="Arial"/>
                <w:b/>
                <w:color w:val="000000"/>
                <w:szCs w:val="20"/>
              </w:rPr>
              <w:t xml:space="preserve"> Price</w:t>
            </w:r>
          </w:p>
        </w:tc>
        <w:tc>
          <w:tcPr>
            <w:tcW w:w="1228" w:type="pct"/>
            <w:shd w:val="clear" w:color="auto" w:fill="D9D9D9" w:themeFill="background1" w:themeFillShade="D9"/>
          </w:tcPr>
          <w:p w14:paraId="7FB4C213" w14:textId="2C7EDE0B" w:rsidR="00987E22" w:rsidRPr="004123DC" w:rsidRDefault="009B4090" w:rsidP="00226F90">
            <w:pPr>
              <w:rPr>
                <w:rFonts w:cs="Arial"/>
                <w:b/>
                <w:bCs/>
                <w:color w:val="000000"/>
                <w:szCs w:val="20"/>
              </w:rPr>
            </w:pPr>
            <w:r>
              <w:rPr>
                <w:rFonts w:cs="Arial"/>
                <w:b/>
                <w:color w:val="000000"/>
                <w:szCs w:val="20"/>
              </w:rPr>
              <w:t>Base Case</w:t>
            </w:r>
            <w:r w:rsidR="00987E22">
              <w:rPr>
                <w:rFonts w:cs="Arial"/>
                <w:b/>
                <w:color w:val="000000"/>
                <w:szCs w:val="20"/>
              </w:rPr>
              <w:t xml:space="preserve"> Total</w:t>
            </w:r>
            <w:r w:rsidR="00987E22" w:rsidRPr="004123DC">
              <w:rPr>
                <w:rFonts w:cs="Arial"/>
                <w:b/>
                <w:color w:val="000000"/>
                <w:szCs w:val="20"/>
              </w:rPr>
              <w:t xml:space="preserve"> Price</w:t>
            </w:r>
          </w:p>
        </w:tc>
      </w:tr>
      <w:tr w:rsidR="009B4090" w:rsidRPr="00664EC8" w14:paraId="3816A2A0" w14:textId="77777777" w:rsidTr="00226F90">
        <w:trPr>
          <w:trHeight w:val="300"/>
        </w:trPr>
        <w:tc>
          <w:tcPr>
            <w:tcW w:w="1598" w:type="pct"/>
          </w:tcPr>
          <w:p w14:paraId="3CCAEB9D" w14:textId="1CC36B50" w:rsidR="009B4090" w:rsidRPr="004123DC" w:rsidRDefault="00FB6308" w:rsidP="009B4090">
            <w:pPr>
              <w:rPr>
                <w:rFonts w:cs="Arial"/>
                <w:color w:val="000000"/>
                <w:szCs w:val="20"/>
              </w:rPr>
            </w:pPr>
            <w:r w:rsidRPr="00FB6308">
              <w:rPr>
                <w:rFonts w:cstheme="minorHAnsi"/>
                <w:color w:val="000000"/>
                <w:szCs w:val="20"/>
              </w:rPr>
              <w:t>Standard-efficiency commercial electric deck oven</w:t>
            </w:r>
          </w:p>
        </w:tc>
        <w:tc>
          <w:tcPr>
            <w:tcW w:w="1014" w:type="pct"/>
            <w:noWrap/>
          </w:tcPr>
          <w:p w14:paraId="4FBDB0F6" w14:textId="089047C0" w:rsidR="009B4090" w:rsidRPr="004123DC" w:rsidRDefault="009B4090" w:rsidP="009B4090">
            <w:pPr>
              <w:rPr>
                <w:rFonts w:cstheme="minorHAnsi"/>
                <w:color w:val="000000"/>
                <w:szCs w:val="20"/>
              </w:rPr>
            </w:pPr>
            <w:r w:rsidRPr="004123DC">
              <w:rPr>
                <w:rFonts w:cstheme="minorHAnsi"/>
                <w:color w:val="000000"/>
                <w:szCs w:val="20"/>
              </w:rPr>
              <w:t xml:space="preserve">$ </w:t>
            </w:r>
            <w:r w:rsidR="008F05BC">
              <w:rPr>
                <w:rFonts w:cstheme="minorHAnsi"/>
                <w:color w:val="000000"/>
                <w:szCs w:val="20"/>
              </w:rPr>
              <w:t>3,917.13</w:t>
            </w:r>
          </w:p>
        </w:tc>
        <w:tc>
          <w:tcPr>
            <w:tcW w:w="1160" w:type="pct"/>
            <w:noWrap/>
          </w:tcPr>
          <w:p w14:paraId="3B3ABFC9" w14:textId="38450F67" w:rsidR="009B4090" w:rsidRPr="004123DC" w:rsidRDefault="009B4090" w:rsidP="009B4090">
            <w:pPr>
              <w:rPr>
                <w:rFonts w:cstheme="minorHAnsi"/>
                <w:color w:val="000000"/>
                <w:szCs w:val="20"/>
              </w:rPr>
            </w:pPr>
            <w:r w:rsidRPr="004123DC">
              <w:rPr>
                <w:rFonts w:cstheme="minorHAnsi"/>
                <w:color w:val="000000"/>
                <w:szCs w:val="20"/>
              </w:rPr>
              <w:t xml:space="preserve">$ </w:t>
            </w:r>
            <w:r>
              <w:rPr>
                <w:rFonts w:cstheme="minorHAnsi"/>
                <w:color w:val="000000"/>
                <w:szCs w:val="20"/>
              </w:rPr>
              <w:t>33.94</w:t>
            </w:r>
          </w:p>
        </w:tc>
        <w:tc>
          <w:tcPr>
            <w:tcW w:w="1228" w:type="pct"/>
            <w:noWrap/>
          </w:tcPr>
          <w:p w14:paraId="57DC4381" w14:textId="0715DADC" w:rsidR="009B4090" w:rsidRPr="00664EC8" w:rsidRDefault="009B4090" w:rsidP="009B4090">
            <w:pPr>
              <w:rPr>
                <w:rFonts w:cstheme="minorHAnsi"/>
                <w:color w:val="000000"/>
                <w:szCs w:val="20"/>
              </w:rPr>
            </w:pPr>
            <w:r w:rsidRPr="004123DC">
              <w:rPr>
                <w:rFonts w:cstheme="minorHAnsi"/>
                <w:color w:val="000000"/>
                <w:szCs w:val="20"/>
              </w:rPr>
              <w:t xml:space="preserve">$ </w:t>
            </w:r>
            <w:r w:rsidR="008F05BC">
              <w:rPr>
                <w:rFonts w:cstheme="minorHAnsi"/>
                <w:color w:val="000000"/>
                <w:szCs w:val="20"/>
              </w:rPr>
              <w:t>3,951.07</w:t>
            </w:r>
          </w:p>
        </w:tc>
      </w:tr>
    </w:tbl>
    <w:p w14:paraId="5F52BE31" w14:textId="641F2192" w:rsidR="00D92B9E" w:rsidRPr="00CB146C" w:rsidRDefault="00A842C3" w:rsidP="00920905">
      <w:pPr>
        <w:rPr>
          <w:rFonts w:cstheme="minorHAnsi"/>
          <w:sz w:val="20"/>
          <w:szCs w:val="22"/>
        </w:rPr>
      </w:pPr>
      <w:r w:rsidRPr="00CB146C">
        <w:rPr>
          <w:rFonts w:cstheme="minorHAnsi"/>
          <w:sz w:val="20"/>
          <w:szCs w:val="22"/>
        </w:rPr>
        <w:t>See Attachment 2, Cost tab for more details.</w:t>
      </w:r>
    </w:p>
    <w:p w14:paraId="44713B57" w14:textId="77777777" w:rsidR="005A0E53" w:rsidRPr="009D5098" w:rsidRDefault="005A0E53" w:rsidP="005A0E53">
      <w:pPr>
        <w:pStyle w:val="Heading2"/>
        <w:rPr>
          <w:rFonts w:asciiTheme="minorHAnsi" w:hAnsiTheme="minorHAnsi" w:cstheme="minorHAnsi"/>
        </w:rPr>
      </w:pPr>
      <w:bookmarkStart w:id="27" w:name="_Toc214003098"/>
      <w:r w:rsidRPr="009D5098">
        <w:rPr>
          <w:rFonts w:asciiTheme="minorHAnsi" w:hAnsiTheme="minorHAnsi" w:cstheme="minorHAnsi"/>
        </w:rPr>
        <w:t>4.2 Measure Case Cost</w:t>
      </w:r>
    </w:p>
    <w:p w14:paraId="144CC4CD" w14:textId="432029AD" w:rsidR="009B4090" w:rsidRDefault="00615A3A" w:rsidP="009B4090">
      <w:pPr>
        <w:rPr>
          <w:rFonts w:cstheme="minorHAnsi"/>
          <w:szCs w:val="22"/>
        </w:rPr>
      </w:pPr>
      <w:r w:rsidRPr="00F343E8">
        <w:rPr>
          <w:rFonts w:cstheme="minorHAnsi"/>
          <w:szCs w:val="22"/>
        </w:rPr>
        <w:t xml:space="preserve">Measure case costs are </w:t>
      </w:r>
      <w:r w:rsidR="004123DC" w:rsidRPr="00F343E8">
        <w:rPr>
          <w:rFonts w:cstheme="minorHAnsi"/>
          <w:szCs w:val="22"/>
        </w:rPr>
        <w:t xml:space="preserve">costs obtained from </w:t>
      </w:r>
      <w:r w:rsidR="00D64359">
        <w:rPr>
          <w:rFonts w:cstheme="minorHAnsi"/>
          <w:szCs w:val="22"/>
        </w:rPr>
        <w:t xml:space="preserve">online quotes and </w:t>
      </w:r>
      <w:r w:rsidR="004123DC" w:rsidRPr="00F343E8">
        <w:rPr>
          <w:rFonts w:cstheme="minorHAnsi"/>
          <w:szCs w:val="22"/>
        </w:rPr>
        <w:t>a price list of an authorized di</w:t>
      </w:r>
      <w:r w:rsidR="008F72A9" w:rsidRPr="00F343E8">
        <w:rPr>
          <w:rFonts w:cstheme="minorHAnsi"/>
          <w:szCs w:val="22"/>
        </w:rPr>
        <w:t>stributor</w:t>
      </w:r>
      <w:r w:rsidR="004123DC" w:rsidRPr="00F343E8">
        <w:rPr>
          <w:rFonts w:cstheme="minorHAnsi"/>
          <w:szCs w:val="22"/>
        </w:rPr>
        <w:t xml:space="preserve"> of the </w:t>
      </w:r>
      <w:r w:rsidR="008F72A9" w:rsidRPr="00F343E8">
        <w:rPr>
          <w:rFonts w:cstheme="minorHAnsi"/>
          <w:szCs w:val="22"/>
        </w:rPr>
        <w:t>manufacturer</w:t>
      </w:r>
      <w:r w:rsidR="004123DC" w:rsidRPr="00F343E8">
        <w:rPr>
          <w:rFonts w:cstheme="minorHAnsi"/>
          <w:szCs w:val="22"/>
        </w:rPr>
        <w:t xml:space="preserve"> </w:t>
      </w:r>
      <w:r w:rsidR="004123DC" w:rsidRPr="00B44975">
        <w:rPr>
          <w:rFonts w:cstheme="minorHAnsi"/>
          <w:szCs w:val="22"/>
        </w:rPr>
        <w:t xml:space="preserve">for each </w:t>
      </w:r>
      <w:r w:rsidR="008F72A9" w:rsidRPr="00B44975">
        <w:rPr>
          <w:rFonts w:cstheme="minorHAnsi"/>
          <w:szCs w:val="22"/>
        </w:rPr>
        <w:t>make and model</w:t>
      </w:r>
      <w:r w:rsidR="004123DC" w:rsidRPr="00B44975">
        <w:rPr>
          <w:rFonts w:cstheme="minorHAnsi"/>
          <w:szCs w:val="22"/>
        </w:rPr>
        <w:t xml:space="preserve"> of the </w:t>
      </w:r>
      <w:r w:rsidR="009D5098" w:rsidRPr="00B44975">
        <w:rPr>
          <w:rFonts w:cstheme="minorHAnsi"/>
          <w:szCs w:val="22"/>
        </w:rPr>
        <w:t>high-efficiency deck ovens</w:t>
      </w:r>
      <w:r w:rsidR="00BD64D3" w:rsidRPr="00B44975">
        <w:rPr>
          <w:rFonts w:cstheme="minorHAnsi"/>
          <w:szCs w:val="22"/>
        </w:rPr>
        <w:t xml:space="preserve"> </w:t>
      </w:r>
      <w:r w:rsidR="00B44975">
        <w:rPr>
          <w:rFonts w:cstheme="minorHAnsi"/>
          <w:szCs w:val="22"/>
        </w:rPr>
        <w:t>in the 3</w:t>
      </w:r>
      <w:r w:rsidR="00B44975" w:rsidRPr="00B279AB">
        <w:rPr>
          <w:rFonts w:cstheme="minorHAnsi"/>
          <w:szCs w:val="22"/>
          <w:vertAlign w:val="superscript"/>
        </w:rPr>
        <w:t>rd</w:t>
      </w:r>
      <w:r w:rsidR="00B44975">
        <w:rPr>
          <w:rFonts w:cstheme="minorHAnsi"/>
          <w:szCs w:val="22"/>
        </w:rPr>
        <w:t xml:space="preserve"> quarter of 2018</w:t>
      </w:r>
      <w:r w:rsidR="0071373E" w:rsidRPr="00B44975">
        <w:rPr>
          <w:rFonts w:cstheme="minorHAnsi"/>
          <w:szCs w:val="22"/>
        </w:rPr>
        <w:t>.</w:t>
      </w:r>
      <w:r w:rsidR="0071373E" w:rsidRPr="0071373E">
        <w:rPr>
          <w:rFonts w:cstheme="minorHAnsi"/>
          <w:szCs w:val="22"/>
        </w:rPr>
        <w:t xml:space="preserve"> </w:t>
      </w:r>
      <w:r w:rsidR="000354BA">
        <w:rPr>
          <w:rFonts w:cstheme="minorHAnsi"/>
          <w:szCs w:val="22"/>
        </w:rPr>
        <w:t xml:space="preserve">Measure case </w:t>
      </w:r>
      <w:r w:rsidR="000354BA" w:rsidRPr="000354BA">
        <w:rPr>
          <w:rFonts w:cstheme="minorHAnsi"/>
          <w:szCs w:val="22"/>
        </w:rPr>
        <w:t>costs are calculated by applying an industry-standard 50% discount to manufacturer published list prices</w:t>
      </w:r>
      <w:r w:rsidR="000354BA">
        <w:rPr>
          <w:rFonts w:cstheme="minorHAnsi"/>
          <w:szCs w:val="22"/>
        </w:rPr>
        <w:t>.</w:t>
      </w:r>
      <w:r w:rsidR="000354BA" w:rsidRPr="000354BA">
        <w:rPr>
          <w:rFonts w:cstheme="minorHAnsi"/>
          <w:szCs w:val="22"/>
        </w:rPr>
        <w:t xml:space="preserve"> </w:t>
      </w:r>
      <w:r w:rsidR="00D64359">
        <w:rPr>
          <w:rFonts w:cstheme="minorHAnsi"/>
          <w:szCs w:val="22"/>
        </w:rPr>
        <w:t xml:space="preserve">As noted in the base case costs, the </w:t>
      </w:r>
      <w:r w:rsidR="00D64359" w:rsidRPr="00D64359">
        <w:rPr>
          <w:rFonts w:cstheme="minorHAnsi"/>
          <w:szCs w:val="22"/>
        </w:rPr>
        <w:t>prices vary widely according to buying volume and other factors</w:t>
      </w:r>
      <w:r w:rsidR="00D64359">
        <w:rPr>
          <w:rFonts w:cstheme="minorHAnsi"/>
          <w:szCs w:val="22"/>
        </w:rPr>
        <w:t xml:space="preserve"> and</w:t>
      </w:r>
      <w:r w:rsidR="00D64359" w:rsidRPr="00D64359">
        <w:rPr>
          <w:rFonts w:cstheme="minorHAnsi"/>
          <w:szCs w:val="22"/>
        </w:rPr>
        <w:t xml:space="preserve"> the sources for prices cannot be listed explicitly</w:t>
      </w:r>
      <w:r w:rsidR="00D64359">
        <w:rPr>
          <w:rFonts w:cstheme="minorHAnsi"/>
          <w:szCs w:val="22"/>
        </w:rPr>
        <w:t>.</w:t>
      </w:r>
      <w:r w:rsidR="00D64359" w:rsidRPr="00D64359">
        <w:rPr>
          <w:rFonts w:cstheme="minorHAnsi"/>
          <w:szCs w:val="22"/>
        </w:rPr>
        <w:t xml:space="preserve"> </w:t>
      </w:r>
      <w:r w:rsidR="00EE782F">
        <w:rPr>
          <w:rFonts w:cstheme="minorHAnsi"/>
          <w:szCs w:val="22"/>
        </w:rPr>
        <w:t>E</w:t>
      </w:r>
      <w:r w:rsidR="00EE782F" w:rsidRPr="009D5098">
        <w:rPr>
          <w:rFonts w:cstheme="minorHAnsi"/>
          <w:szCs w:val="22"/>
        </w:rPr>
        <w:t xml:space="preserve">quipment costs are presented </w:t>
      </w:r>
      <w:r w:rsidR="00EE782F" w:rsidRPr="00B4002B">
        <w:rPr>
          <w:rFonts w:cstheme="minorHAnsi"/>
          <w:szCs w:val="22"/>
        </w:rPr>
        <w:t>with an associated tax rate of 8.75%</w:t>
      </w:r>
      <w:r w:rsidR="00EE782F" w:rsidRPr="009D5098">
        <w:rPr>
          <w:rFonts w:cstheme="minorHAnsi"/>
          <w:szCs w:val="22"/>
        </w:rPr>
        <w:t>.</w:t>
      </w:r>
      <w:r w:rsidR="00EE782F">
        <w:rPr>
          <w:rFonts w:cstheme="minorHAnsi"/>
          <w:szCs w:val="22"/>
        </w:rPr>
        <w:t xml:space="preserve"> </w:t>
      </w:r>
      <w:r w:rsidR="0071373E" w:rsidRPr="009D5098">
        <w:rPr>
          <w:rFonts w:cstheme="minorHAnsi"/>
          <w:szCs w:val="22"/>
        </w:rPr>
        <w:t xml:space="preserve">It is assumed that the labor cost is the same </w:t>
      </w:r>
      <w:r w:rsidR="0071373E">
        <w:rPr>
          <w:rFonts w:cstheme="minorHAnsi"/>
          <w:szCs w:val="22"/>
        </w:rPr>
        <w:t>for the base and measure cases. Installation is assumed to take no more than 30 minutes at a rate of $67.88 based on the Miscellaneous Labor Rate (NR-MISC) from the DEER READI Tool v.2.4.</w:t>
      </w:r>
      <w:r w:rsidR="001A352C">
        <w:rPr>
          <w:rFonts w:cstheme="minorHAnsi"/>
          <w:szCs w:val="22"/>
        </w:rPr>
        <w:t>8</w:t>
      </w:r>
      <w:r w:rsidR="0071373E">
        <w:rPr>
          <w:rFonts w:cstheme="minorHAnsi"/>
          <w:szCs w:val="22"/>
        </w:rPr>
        <w:t>. As such, the effective installation cost is $33.94.</w:t>
      </w:r>
      <w:r w:rsidR="009B4090">
        <w:rPr>
          <w:rFonts w:cstheme="minorHAnsi"/>
          <w:szCs w:val="22"/>
        </w:rPr>
        <w:t xml:space="preserve"> The table below lists the average material cost, labor cost and full cost:</w:t>
      </w:r>
    </w:p>
    <w:p w14:paraId="60269C0D" w14:textId="77777777" w:rsidR="009B4090" w:rsidRDefault="009B4090" w:rsidP="009B4090">
      <w:pPr>
        <w:rPr>
          <w:rFonts w:cstheme="minorHAnsi"/>
          <w:szCs w:val="22"/>
        </w:rPr>
      </w:pPr>
    </w:p>
    <w:p w14:paraId="443D85AD" w14:textId="156E61F6" w:rsidR="009B4090" w:rsidRPr="004123DC" w:rsidRDefault="009B4090" w:rsidP="009B4090">
      <w:pPr>
        <w:pStyle w:val="Caption"/>
        <w:rPr>
          <w:rFonts w:cstheme="minorHAnsi"/>
          <w:szCs w:val="22"/>
        </w:rPr>
      </w:pPr>
      <w:r>
        <w:rPr>
          <w:rFonts w:cstheme="minorHAnsi"/>
          <w:bCs w:val="0"/>
          <w:szCs w:val="22"/>
        </w:rPr>
        <w:t>Measure Case: Material, Labor</w:t>
      </w:r>
      <w:r w:rsidRPr="004123DC">
        <w:rPr>
          <w:rFonts w:cstheme="minorHAnsi"/>
          <w:bCs w:val="0"/>
          <w:szCs w:val="22"/>
        </w:rPr>
        <w:t xml:space="preserve"> and </w:t>
      </w:r>
      <w:r>
        <w:rPr>
          <w:rFonts w:cstheme="minorHAnsi"/>
          <w:bCs w:val="0"/>
          <w:szCs w:val="22"/>
        </w:rPr>
        <w:t>Full</w:t>
      </w:r>
      <w:r w:rsidRPr="004123DC">
        <w:rPr>
          <w:rFonts w:cstheme="minorHAnsi"/>
          <w:bCs w:val="0"/>
          <w:szCs w:val="22"/>
        </w:rPr>
        <w:t xml:space="preserve"> Cost</w:t>
      </w:r>
    </w:p>
    <w:tbl>
      <w:tblPr>
        <w:tblStyle w:val="TableGrid1"/>
        <w:tblW w:w="5000" w:type="pct"/>
        <w:tblLook w:val="04A0" w:firstRow="1" w:lastRow="0" w:firstColumn="1" w:lastColumn="0" w:noHBand="0" w:noVBand="1"/>
      </w:tblPr>
      <w:tblGrid>
        <w:gridCol w:w="2989"/>
        <w:gridCol w:w="1896"/>
        <w:gridCol w:w="2169"/>
        <w:gridCol w:w="2296"/>
      </w:tblGrid>
      <w:tr w:rsidR="009B4090" w:rsidRPr="004123DC" w14:paraId="2E98EED1" w14:textId="77777777" w:rsidTr="00226F90">
        <w:trPr>
          <w:trHeight w:val="503"/>
        </w:trPr>
        <w:tc>
          <w:tcPr>
            <w:tcW w:w="1598" w:type="pct"/>
            <w:shd w:val="clear" w:color="auto" w:fill="D9D9D9" w:themeFill="background1" w:themeFillShade="D9"/>
          </w:tcPr>
          <w:p w14:paraId="073E075B" w14:textId="1F6D2D10" w:rsidR="009B4090" w:rsidRPr="004123DC" w:rsidRDefault="00B44975" w:rsidP="00226F90">
            <w:pPr>
              <w:rPr>
                <w:rFonts w:cs="Arial"/>
                <w:b/>
                <w:bCs/>
                <w:color w:val="000000"/>
                <w:szCs w:val="20"/>
              </w:rPr>
            </w:pPr>
            <w:r w:rsidRPr="00B279AB">
              <w:rPr>
                <w:rFonts w:cs="Arial"/>
                <w:b/>
                <w:color w:val="000000"/>
                <w:szCs w:val="20"/>
              </w:rPr>
              <w:t>Equipment</w:t>
            </w:r>
          </w:p>
        </w:tc>
        <w:tc>
          <w:tcPr>
            <w:tcW w:w="1014" w:type="pct"/>
            <w:shd w:val="clear" w:color="auto" w:fill="D9D9D9" w:themeFill="background1" w:themeFillShade="D9"/>
          </w:tcPr>
          <w:p w14:paraId="71ACE8CD" w14:textId="24D6B1B9" w:rsidR="009B4090" w:rsidRPr="004123DC" w:rsidRDefault="009B4090" w:rsidP="00226F90">
            <w:pPr>
              <w:rPr>
                <w:rFonts w:cs="Arial"/>
                <w:b/>
                <w:bCs/>
                <w:color w:val="000000"/>
                <w:szCs w:val="20"/>
              </w:rPr>
            </w:pPr>
            <w:r w:rsidRPr="009B4090">
              <w:rPr>
                <w:rFonts w:cs="Arial"/>
                <w:b/>
                <w:color w:val="000000"/>
                <w:szCs w:val="20"/>
              </w:rPr>
              <w:t>Measure</w:t>
            </w:r>
            <w:r w:rsidRPr="004123DC">
              <w:rPr>
                <w:rFonts w:cs="Arial"/>
                <w:b/>
                <w:color w:val="000000"/>
                <w:szCs w:val="20"/>
              </w:rPr>
              <w:t xml:space="preserve"> </w:t>
            </w:r>
            <w:r>
              <w:rPr>
                <w:rFonts w:cs="Arial"/>
                <w:b/>
                <w:color w:val="000000"/>
                <w:szCs w:val="20"/>
              </w:rPr>
              <w:t>Case Material</w:t>
            </w:r>
            <w:r w:rsidRPr="004123DC">
              <w:rPr>
                <w:rFonts w:cs="Arial"/>
                <w:b/>
                <w:color w:val="000000"/>
                <w:szCs w:val="20"/>
              </w:rPr>
              <w:t xml:space="preserve"> Price</w:t>
            </w:r>
          </w:p>
        </w:tc>
        <w:tc>
          <w:tcPr>
            <w:tcW w:w="1160" w:type="pct"/>
            <w:shd w:val="clear" w:color="auto" w:fill="D9D9D9" w:themeFill="background1" w:themeFillShade="D9"/>
          </w:tcPr>
          <w:p w14:paraId="116BE9E6" w14:textId="392A0FA9" w:rsidR="009B4090" w:rsidRPr="004123DC" w:rsidRDefault="009B4090" w:rsidP="00226F90">
            <w:pPr>
              <w:rPr>
                <w:rFonts w:cs="Arial"/>
                <w:b/>
                <w:bCs/>
                <w:color w:val="000000"/>
                <w:szCs w:val="20"/>
              </w:rPr>
            </w:pPr>
            <w:r w:rsidRPr="009B4090">
              <w:rPr>
                <w:rFonts w:cs="Arial"/>
                <w:b/>
                <w:color w:val="000000"/>
                <w:szCs w:val="20"/>
              </w:rPr>
              <w:t>Measure</w:t>
            </w:r>
            <w:r>
              <w:rPr>
                <w:rFonts w:cs="Arial"/>
                <w:b/>
                <w:color w:val="000000"/>
                <w:szCs w:val="20"/>
              </w:rPr>
              <w:t xml:space="preserve"> Case</w:t>
            </w:r>
            <w:r w:rsidRPr="009B4090">
              <w:rPr>
                <w:rFonts w:cs="Arial"/>
                <w:b/>
                <w:color w:val="000000"/>
                <w:szCs w:val="20"/>
              </w:rPr>
              <w:t xml:space="preserve"> </w:t>
            </w:r>
            <w:r>
              <w:rPr>
                <w:rFonts w:cs="Arial"/>
                <w:b/>
                <w:color w:val="000000"/>
                <w:szCs w:val="20"/>
              </w:rPr>
              <w:t>Labor</w:t>
            </w:r>
            <w:r w:rsidRPr="004123DC">
              <w:rPr>
                <w:rFonts w:cs="Arial"/>
                <w:b/>
                <w:color w:val="000000"/>
                <w:szCs w:val="20"/>
              </w:rPr>
              <w:t xml:space="preserve"> Price</w:t>
            </w:r>
          </w:p>
        </w:tc>
        <w:tc>
          <w:tcPr>
            <w:tcW w:w="1228" w:type="pct"/>
            <w:shd w:val="clear" w:color="auto" w:fill="D9D9D9" w:themeFill="background1" w:themeFillShade="D9"/>
          </w:tcPr>
          <w:p w14:paraId="73F8E5E8" w14:textId="2A067B88" w:rsidR="009B4090" w:rsidRPr="004123DC" w:rsidRDefault="009B4090" w:rsidP="00226F90">
            <w:pPr>
              <w:rPr>
                <w:rFonts w:cs="Arial"/>
                <w:b/>
                <w:bCs/>
                <w:color w:val="000000"/>
                <w:szCs w:val="20"/>
              </w:rPr>
            </w:pPr>
            <w:r w:rsidRPr="009B4090">
              <w:rPr>
                <w:rFonts w:cs="Arial"/>
                <w:b/>
                <w:color w:val="000000"/>
                <w:szCs w:val="20"/>
              </w:rPr>
              <w:t>Measure</w:t>
            </w:r>
            <w:r>
              <w:rPr>
                <w:rFonts w:cs="Arial"/>
                <w:b/>
                <w:color w:val="000000"/>
                <w:szCs w:val="20"/>
              </w:rPr>
              <w:t xml:space="preserve"> Case Total</w:t>
            </w:r>
            <w:r w:rsidRPr="004123DC">
              <w:rPr>
                <w:rFonts w:cs="Arial"/>
                <w:b/>
                <w:color w:val="000000"/>
                <w:szCs w:val="20"/>
              </w:rPr>
              <w:t xml:space="preserve"> Price</w:t>
            </w:r>
          </w:p>
        </w:tc>
      </w:tr>
      <w:tr w:rsidR="009B4090" w:rsidRPr="00664EC8" w14:paraId="0D3AB4DF" w14:textId="77777777" w:rsidTr="00226F90">
        <w:trPr>
          <w:trHeight w:val="300"/>
        </w:trPr>
        <w:tc>
          <w:tcPr>
            <w:tcW w:w="1598" w:type="pct"/>
          </w:tcPr>
          <w:p w14:paraId="3C0E9361" w14:textId="05AA50CD" w:rsidR="009B4090" w:rsidRPr="004123DC" w:rsidRDefault="00FB6308" w:rsidP="00226F90">
            <w:pPr>
              <w:rPr>
                <w:rFonts w:cs="Arial"/>
                <w:color w:val="000000"/>
                <w:szCs w:val="20"/>
              </w:rPr>
            </w:pPr>
            <w:r w:rsidRPr="00FB6308">
              <w:rPr>
                <w:rFonts w:cstheme="minorHAnsi"/>
                <w:color w:val="000000"/>
                <w:szCs w:val="20"/>
              </w:rPr>
              <w:t>Energy-efficient commercial electric deck oven</w:t>
            </w:r>
          </w:p>
        </w:tc>
        <w:tc>
          <w:tcPr>
            <w:tcW w:w="1014" w:type="pct"/>
            <w:noWrap/>
          </w:tcPr>
          <w:p w14:paraId="1638C6B5" w14:textId="0D45CC26" w:rsidR="009B4090" w:rsidRPr="004123DC" w:rsidRDefault="009B4090" w:rsidP="00226F90">
            <w:pPr>
              <w:rPr>
                <w:rFonts w:cstheme="minorHAnsi"/>
                <w:color w:val="000000"/>
                <w:szCs w:val="20"/>
              </w:rPr>
            </w:pPr>
            <w:r w:rsidRPr="004123DC">
              <w:rPr>
                <w:rFonts w:cstheme="minorHAnsi"/>
                <w:color w:val="000000"/>
                <w:szCs w:val="20"/>
              </w:rPr>
              <w:t xml:space="preserve">$ </w:t>
            </w:r>
            <w:r w:rsidR="008F05BC">
              <w:rPr>
                <w:rFonts w:cstheme="minorHAnsi"/>
                <w:color w:val="000000"/>
                <w:szCs w:val="20"/>
              </w:rPr>
              <w:t>7,475.38</w:t>
            </w:r>
          </w:p>
        </w:tc>
        <w:tc>
          <w:tcPr>
            <w:tcW w:w="1160" w:type="pct"/>
            <w:noWrap/>
          </w:tcPr>
          <w:p w14:paraId="1B2BD8C2" w14:textId="74D3CE87" w:rsidR="009B4090" w:rsidRPr="004123DC" w:rsidRDefault="009B4090" w:rsidP="00226F90">
            <w:pPr>
              <w:rPr>
                <w:rFonts w:cstheme="minorHAnsi"/>
                <w:color w:val="000000"/>
                <w:szCs w:val="20"/>
              </w:rPr>
            </w:pPr>
            <w:r w:rsidRPr="004123DC">
              <w:rPr>
                <w:rFonts w:cstheme="minorHAnsi"/>
                <w:color w:val="000000"/>
                <w:szCs w:val="20"/>
              </w:rPr>
              <w:t xml:space="preserve">$ </w:t>
            </w:r>
            <w:r>
              <w:rPr>
                <w:rFonts w:cstheme="minorHAnsi"/>
                <w:color w:val="000000"/>
                <w:szCs w:val="20"/>
              </w:rPr>
              <w:t>33.94</w:t>
            </w:r>
          </w:p>
        </w:tc>
        <w:tc>
          <w:tcPr>
            <w:tcW w:w="1228" w:type="pct"/>
            <w:noWrap/>
          </w:tcPr>
          <w:p w14:paraId="7C275D7E" w14:textId="18D4AF6D" w:rsidR="009B4090" w:rsidRPr="00664EC8" w:rsidRDefault="009B4090" w:rsidP="00226F90">
            <w:pPr>
              <w:rPr>
                <w:rFonts w:cstheme="minorHAnsi"/>
                <w:color w:val="000000"/>
                <w:szCs w:val="20"/>
              </w:rPr>
            </w:pPr>
            <w:r w:rsidRPr="004123DC">
              <w:rPr>
                <w:rFonts w:cstheme="minorHAnsi"/>
                <w:color w:val="000000"/>
                <w:szCs w:val="20"/>
              </w:rPr>
              <w:t xml:space="preserve">$ </w:t>
            </w:r>
            <w:r w:rsidR="008F05BC">
              <w:rPr>
                <w:rFonts w:cstheme="minorHAnsi"/>
                <w:color w:val="000000"/>
                <w:szCs w:val="20"/>
              </w:rPr>
              <w:t>7,509.32</w:t>
            </w:r>
          </w:p>
        </w:tc>
      </w:tr>
    </w:tbl>
    <w:p w14:paraId="72C7C160" w14:textId="77777777" w:rsidR="00A842C3" w:rsidRPr="00F02338" w:rsidRDefault="00A842C3" w:rsidP="00A842C3">
      <w:pPr>
        <w:rPr>
          <w:rFonts w:cstheme="minorHAnsi"/>
          <w:sz w:val="20"/>
          <w:szCs w:val="22"/>
        </w:rPr>
      </w:pPr>
      <w:r w:rsidRPr="00F02338">
        <w:rPr>
          <w:rFonts w:cstheme="minorHAnsi"/>
          <w:sz w:val="20"/>
          <w:szCs w:val="22"/>
        </w:rPr>
        <w:t>See Attachment 2, Cost tab for more details.</w:t>
      </w:r>
    </w:p>
    <w:p w14:paraId="2C4AE83F" w14:textId="7CAD02AE" w:rsidR="0071373E" w:rsidRPr="009D5098" w:rsidRDefault="0071373E" w:rsidP="0071373E">
      <w:pPr>
        <w:rPr>
          <w:color w:val="FF0000"/>
        </w:rPr>
      </w:pPr>
    </w:p>
    <w:p w14:paraId="4B90ABBA" w14:textId="6BC71871" w:rsidR="00FB6308" w:rsidRDefault="00F25D34" w:rsidP="0070004C">
      <w:pPr>
        <w:rPr>
          <w:rFonts w:cstheme="minorHAnsi"/>
          <w:b/>
          <w:bCs/>
          <w:iCs/>
          <w:smallCaps/>
          <w:sz w:val="28"/>
          <w:szCs w:val="28"/>
        </w:rPr>
      </w:pPr>
      <w:r>
        <w:rPr>
          <w:rFonts w:cstheme="minorHAnsi"/>
          <w:szCs w:val="22"/>
        </w:rPr>
        <w:t xml:space="preserve">SCE notes that the standard cost deviation across the sampled equipment is high. However, </w:t>
      </w:r>
      <w:r w:rsidR="00A45349">
        <w:rPr>
          <w:rFonts w:cstheme="minorHAnsi"/>
          <w:szCs w:val="22"/>
        </w:rPr>
        <w:t xml:space="preserve">when </w:t>
      </w:r>
      <w:r>
        <w:rPr>
          <w:rFonts w:cstheme="minorHAnsi"/>
          <w:szCs w:val="22"/>
        </w:rPr>
        <w:t xml:space="preserve">normalizing the equipment cost per deck, and calculating </w:t>
      </w:r>
      <w:r w:rsidR="00A45349">
        <w:rPr>
          <w:rFonts w:cstheme="minorHAnsi"/>
          <w:szCs w:val="22"/>
        </w:rPr>
        <w:t xml:space="preserve">costs </w:t>
      </w:r>
      <w:r>
        <w:rPr>
          <w:rFonts w:cstheme="minorHAnsi"/>
          <w:szCs w:val="22"/>
        </w:rPr>
        <w:t xml:space="preserve">for a standard two deck oven, the cost deviation between the normalized cost and average cost was minimal. Thus, the average cost calculated above was used. </w:t>
      </w:r>
    </w:p>
    <w:p w14:paraId="22EA90E7" w14:textId="71EA7B7F" w:rsidR="00E16609" w:rsidRPr="009D5098" w:rsidRDefault="005A0E53" w:rsidP="00E16609">
      <w:pPr>
        <w:pStyle w:val="Heading2"/>
        <w:keepNext w:val="0"/>
        <w:rPr>
          <w:rFonts w:asciiTheme="minorHAnsi" w:hAnsiTheme="minorHAnsi" w:cstheme="minorHAnsi"/>
        </w:rPr>
      </w:pPr>
      <w:r w:rsidRPr="009D5098">
        <w:rPr>
          <w:rFonts w:asciiTheme="minorHAnsi" w:hAnsiTheme="minorHAnsi" w:cstheme="minorHAnsi"/>
        </w:rPr>
        <w:t>4.3</w:t>
      </w:r>
      <w:r w:rsidR="00E16609" w:rsidRPr="009D5098">
        <w:rPr>
          <w:rFonts w:asciiTheme="minorHAnsi" w:hAnsiTheme="minorHAnsi" w:cstheme="minorHAnsi"/>
        </w:rPr>
        <w:t xml:space="preserve"> </w:t>
      </w:r>
      <w:r w:rsidR="002469DD" w:rsidRPr="009D5098">
        <w:rPr>
          <w:rFonts w:asciiTheme="minorHAnsi" w:hAnsiTheme="minorHAnsi" w:cstheme="minorHAnsi"/>
        </w:rPr>
        <w:t xml:space="preserve">Full </w:t>
      </w:r>
      <w:r w:rsidRPr="009D5098">
        <w:rPr>
          <w:rFonts w:asciiTheme="minorHAnsi" w:hAnsiTheme="minorHAnsi" w:cstheme="minorHAnsi"/>
        </w:rPr>
        <w:t>and Incremental</w:t>
      </w:r>
      <w:r w:rsidR="00E16609" w:rsidRPr="009D5098">
        <w:rPr>
          <w:rFonts w:asciiTheme="minorHAnsi" w:hAnsiTheme="minorHAnsi" w:cstheme="minorHAnsi"/>
        </w:rPr>
        <w:t xml:space="preserve"> Measure Cost</w:t>
      </w:r>
      <w:bookmarkEnd w:id="27"/>
    </w:p>
    <w:p w14:paraId="46947BE5" w14:textId="25ED9AC2" w:rsidR="008033AE" w:rsidRPr="009D5098" w:rsidRDefault="00E4776A" w:rsidP="008033AE">
      <w:pPr>
        <w:keepNext/>
        <w:rPr>
          <w:rFonts w:cstheme="minorHAnsi"/>
          <w:szCs w:val="22"/>
        </w:rPr>
      </w:pPr>
      <w:r>
        <w:rPr>
          <w:rFonts w:cstheme="minorHAnsi"/>
          <w:szCs w:val="22"/>
        </w:rPr>
        <w:t>The table</w:t>
      </w:r>
      <w:r w:rsidR="00B279AB">
        <w:rPr>
          <w:rFonts w:cstheme="minorHAnsi"/>
          <w:szCs w:val="22"/>
        </w:rPr>
        <w:t>s</w:t>
      </w:r>
      <w:r>
        <w:rPr>
          <w:rFonts w:cstheme="minorHAnsi"/>
          <w:szCs w:val="22"/>
        </w:rPr>
        <w:t xml:space="preserve"> below </w:t>
      </w:r>
      <w:r w:rsidR="008033AE" w:rsidRPr="009D5098">
        <w:rPr>
          <w:rFonts w:cstheme="minorHAnsi"/>
          <w:szCs w:val="22"/>
        </w:rPr>
        <w:t xml:space="preserve">show the calculation of </w:t>
      </w:r>
      <w:r w:rsidR="00755173">
        <w:rPr>
          <w:rFonts w:cstheme="minorHAnsi"/>
          <w:szCs w:val="22"/>
        </w:rPr>
        <w:t xml:space="preserve">the </w:t>
      </w:r>
      <w:r w:rsidR="008033AE" w:rsidRPr="009D5098">
        <w:rPr>
          <w:rFonts w:cstheme="minorHAnsi"/>
          <w:szCs w:val="22"/>
        </w:rPr>
        <w:t xml:space="preserve">full </w:t>
      </w:r>
      <w:r w:rsidR="00A90627">
        <w:rPr>
          <w:rFonts w:cstheme="minorHAnsi"/>
          <w:szCs w:val="22"/>
        </w:rPr>
        <w:t xml:space="preserve">and incremental </w:t>
      </w:r>
      <w:r w:rsidR="008033AE" w:rsidRPr="009D5098">
        <w:rPr>
          <w:rFonts w:cstheme="minorHAnsi"/>
          <w:szCs w:val="22"/>
        </w:rPr>
        <w:t>measure cost</w:t>
      </w:r>
      <w:r w:rsidR="00A90627">
        <w:rPr>
          <w:rFonts w:cstheme="minorHAnsi"/>
          <w:szCs w:val="22"/>
        </w:rPr>
        <w:t>s</w:t>
      </w:r>
      <w:r w:rsidR="008033AE" w:rsidRPr="009D5098">
        <w:rPr>
          <w:rFonts w:cstheme="minorHAnsi"/>
          <w:szCs w:val="22"/>
        </w:rPr>
        <w:t>:</w:t>
      </w:r>
    </w:p>
    <w:p w14:paraId="0402FB1A" w14:textId="10E39385" w:rsidR="00A80270" w:rsidRPr="005F25D0" w:rsidRDefault="004673A2" w:rsidP="00B4002B">
      <w:pPr>
        <w:pStyle w:val="Caption"/>
      </w:pPr>
      <w:r w:rsidRPr="00D36B3F">
        <w:t xml:space="preserve">Full and </w:t>
      </w:r>
      <w:r w:rsidR="006B0F11" w:rsidRPr="00D36B3F">
        <w:t xml:space="preserve">Incremental </w:t>
      </w:r>
      <w:r w:rsidRPr="00D36B3F">
        <w:t>Measure</w:t>
      </w:r>
      <w:r w:rsidR="006B0F11" w:rsidRPr="005F25D0">
        <w:t xml:space="preserve"> Cost </w:t>
      </w:r>
      <w:r w:rsidR="00FF73B4" w:rsidRPr="005F25D0">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0CA36824" w:rsidR="00FF73B4" w:rsidRDefault="00931E45" w:rsidP="00B4002B">
      <w:pPr>
        <w:pStyle w:val="Caption"/>
      </w:pPr>
      <w:r w:rsidRPr="00D36B3F">
        <w:t xml:space="preserve">Full and </w:t>
      </w:r>
      <w:r w:rsidR="00FF73B4" w:rsidRPr="00D36B3F">
        <w:t>Incremental Costs</w:t>
      </w:r>
    </w:p>
    <w:tbl>
      <w:tblPr>
        <w:tblStyle w:val="TableGrid1"/>
        <w:tblW w:w="4422" w:type="pct"/>
        <w:tblLayout w:type="fixed"/>
        <w:tblLook w:val="01E0" w:firstRow="1" w:lastRow="1" w:firstColumn="1" w:lastColumn="1" w:noHBand="0" w:noVBand="0"/>
      </w:tblPr>
      <w:tblGrid>
        <w:gridCol w:w="2424"/>
        <w:gridCol w:w="1260"/>
        <w:gridCol w:w="1530"/>
        <w:gridCol w:w="1350"/>
        <w:gridCol w:w="1705"/>
      </w:tblGrid>
      <w:tr w:rsidR="00B44975" w:rsidRPr="00500C4E" w14:paraId="7122FF83" w14:textId="77777777" w:rsidTr="00B279AB">
        <w:tc>
          <w:tcPr>
            <w:tcW w:w="1466" w:type="pct"/>
            <w:vMerge w:val="restart"/>
            <w:shd w:val="clear" w:color="auto" w:fill="D9D9D9" w:themeFill="background1" w:themeFillShade="D9"/>
          </w:tcPr>
          <w:p w14:paraId="1B2725EC" w14:textId="589C410F" w:rsidR="00B44975" w:rsidRDefault="00B44975" w:rsidP="00E96DA3">
            <w:pPr>
              <w:rPr>
                <w:rFonts w:cstheme="minorHAnsi"/>
                <w:b/>
                <w:szCs w:val="20"/>
              </w:rPr>
            </w:pPr>
            <w:r>
              <w:rPr>
                <w:rFonts w:cstheme="minorHAnsi"/>
                <w:b/>
                <w:szCs w:val="20"/>
              </w:rPr>
              <w:t>Measure</w:t>
            </w:r>
          </w:p>
        </w:tc>
        <w:tc>
          <w:tcPr>
            <w:tcW w:w="762" w:type="pct"/>
            <w:vMerge w:val="restart"/>
            <w:shd w:val="clear" w:color="auto" w:fill="D9D9D9" w:themeFill="background1" w:themeFillShade="D9"/>
          </w:tcPr>
          <w:p w14:paraId="51D383F5" w14:textId="27DC60AF" w:rsidR="00B44975" w:rsidRPr="00DE77D0" w:rsidRDefault="00B44975" w:rsidP="00E96DA3">
            <w:pPr>
              <w:rPr>
                <w:rFonts w:cstheme="minorHAnsi"/>
                <w:b/>
                <w:szCs w:val="20"/>
                <w:highlight w:val="yellow"/>
              </w:rPr>
            </w:pPr>
            <w:r>
              <w:rPr>
                <w:rFonts w:cstheme="minorHAnsi"/>
                <w:b/>
                <w:szCs w:val="20"/>
              </w:rPr>
              <w:t>Installation Type</w:t>
            </w:r>
          </w:p>
        </w:tc>
        <w:tc>
          <w:tcPr>
            <w:tcW w:w="925" w:type="pct"/>
            <w:vMerge w:val="restart"/>
            <w:shd w:val="clear" w:color="auto" w:fill="D9D9D9" w:themeFill="background1" w:themeFillShade="D9"/>
          </w:tcPr>
          <w:p w14:paraId="3A7A2512" w14:textId="77777777" w:rsidR="00B44975" w:rsidRPr="00DE77D0" w:rsidRDefault="00B44975" w:rsidP="00E96DA3">
            <w:pPr>
              <w:rPr>
                <w:rFonts w:cstheme="minorHAnsi"/>
                <w:b/>
                <w:szCs w:val="20"/>
              </w:rPr>
            </w:pPr>
            <w:r>
              <w:rPr>
                <w:rFonts w:cstheme="minorHAnsi"/>
                <w:b/>
                <w:szCs w:val="20"/>
              </w:rPr>
              <w:t>Incremental Measure Cost</w:t>
            </w:r>
          </w:p>
        </w:tc>
        <w:tc>
          <w:tcPr>
            <w:tcW w:w="1847" w:type="pct"/>
            <w:gridSpan w:val="2"/>
            <w:shd w:val="clear" w:color="auto" w:fill="D9D9D9" w:themeFill="background1" w:themeFillShade="D9"/>
          </w:tcPr>
          <w:p w14:paraId="7AECFFEC" w14:textId="77777777" w:rsidR="00B44975" w:rsidRPr="00DE77D0" w:rsidRDefault="00B44975" w:rsidP="00E96DA3">
            <w:pPr>
              <w:rPr>
                <w:rFonts w:cstheme="minorHAnsi"/>
                <w:b/>
                <w:szCs w:val="20"/>
                <w:highlight w:val="yellow"/>
              </w:rPr>
            </w:pPr>
            <w:r>
              <w:rPr>
                <w:rFonts w:cstheme="minorHAnsi"/>
                <w:b/>
                <w:szCs w:val="20"/>
              </w:rPr>
              <w:t>Full Measure Cost</w:t>
            </w:r>
          </w:p>
        </w:tc>
      </w:tr>
      <w:tr w:rsidR="00B44975" w:rsidRPr="00500C4E" w14:paraId="06496C2D" w14:textId="77777777" w:rsidTr="00B279AB">
        <w:tc>
          <w:tcPr>
            <w:tcW w:w="1466" w:type="pct"/>
            <w:vMerge/>
            <w:shd w:val="clear" w:color="auto" w:fill="D9D9D9" w:themeFill="background1" w:themeFillShade="D9"/>
          </w:tcPr>
          <w:p w14:paraId="756DF1A0" w14:textId="77777777" w:rsidR="00B44975" w:rsidRPr="00DE77D0" w:rsidRDefault="00B44975" w:rsidP="00E96DA3">
            <w:pPr>
              <w:rPr>
                <w:rFonts w:cstheme="minorHAnsi"/>
                <w:b/>
                <w:szCs w:val="20"/>
              </w:rPr>
            </w:pPr>
          </w:p>
        </w:tc>
        <w:tc>
          <w:tcPr>
            <w:tcW w:w="762" w:type="pct"/>
            <w:vMerge/>
            <w:shd w:val="clear" w:color="auto" w:fill="D9D9D9" w:themeFill="background1" w:themeFillShade="D9"/>
          </w:tcPr>
          <w:p w14:paraId="66B12B51" w14:textId="63A07FD5" w:rsidR="00B44975" w:rsidRPr="00DE77D0" w:rsidRDefault="00B44975" w:rsidP="00E96DA3">
            <w:pPr>
              <w:rPr>
                <w:rFonts w:cstheme="minorHAnsi"/>
                <w:b/>
                <w:szCs w:val="20"/>
              </w:rPr>
            </w:pPr>
          </w:p>
        </w:tc>
        <w:tc>
          <w:tcPr>
            <w:tcW w:w="925" w:type="pct"/>
            <w:vMerge/>
            <w:shd w:val="clear" w:color="auto" w:fill="D9D9D9" w:themeFill="background1" w:themeFillShade="D9"/>
          </w:tcPr>
          <w:p w14:paraId="35D79D77" w14:textId="77777777" w:rsidR="00B44975" w:rsidRPr="00DE77D0" w:rsidRDefault="00B44975" w:rsidP="00E96DA3">
            <w:pPr>
              <w:rPr>
                <w:rFonts w:cstheme="minorHAnsi"/>
                <w:b/>
                <w:szCs w:val="20"/>
              </w:rPr>
            </w:pPr>
          </w:p>
        </w:tc>
        <w:tc>
          <w:tcPr>
            <w:tcW w:w="816" w:type="pct"/>
            <w:shd w:val="clear" w:color="auto" w:fill="F2F2F2" w:themeFill="background1" w:themeFillShade="F2"/>
          </w:tcPr>
          <w:p w14:paraId="2BC0AC4F" w14:textId="77777777" w:rsidR="00B44975" w:rsidRPr="00DE77D0" w:rsidRDefault="00B44975" w:rsidP="00E96DA3">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030" w:type="pct"/>
            <w:shd w:val="clear" w:color="auto" w:fill="F2F2F2" w:themeFill="background1" w:themeFillShade="F2"/>
          </w:tcPr>
          <w:p w14:paraId="199F1085" w14:textId="77777777" w:rsidR="00B44975" w:rsidRPr="00DE77D0" w:rsidRDefault="00B44975" w:rsidP="00E96DA3">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B44975" w:rsidRPr="00500C4E" w14:paraId="31204A9D" w14:textId="77777777" w:rsidTr="00B279AB">
        <w:tc>
          <w:tcPr>
            <w:tcW w:w="1466" w:type="pct"/>
          </w:tcPr>
          <w:p w14:paraId="20624498" w14:textId="7B750C80" w:rsidR="00B44975" w:rsidRPr="00920905" w:rsidRDefault="00B44975" w:rsidP="00E96DA3">
            <w:pPr>
              <w:rPr>
                <w:rFonts w:cstheme="minorHAnsi"/>
                <w:color w:val="FF0000"/>
                <w:szCs w:val="20"/>
              </w:rPr>
            </w:pPr>
            <w:r w:rsidRPr="00B44975">
              <w:rPr>
                <w:rFonts w:cstheme="minorHAnsi"/>
                <w:color w:val="000000"/>
                <w:szCs w:val="20"/>
              </w:rPr>
              <w:t>FS-70944</w:t>
            </w:r>
          </w:p>
        </w:tc>
        <w:tc>
          <w:tcPr>
            <w:tcW w:w="762" w:type="pct"/>
          </w:tcPr>
          <w:p w14:paraId="1B8D4FEE" w14:textId="1C488560" w:rsidR="00B44975" w:rsidRPr="00920905" w:rsidRDefault="00B44975" w:rsidP="00E96DA3">
            <w:pPr>
              <w:rPr>
                <w:rFonts w:cstheme="minorHAnsi"/>
                <w:color w:val="FF0000"/>
                <w:szCs w:val="20"/>
              </w:rPr>
            </w:pPr>
            <w:r w:rsidRPr="00690879">
              <w:rPr>
                <w:rFonts w:cstheme="minorHAnsi"/>
                <w:szCs w:val="20"/>
              </w:rPr>
              <w:t>ROB</w:t>
            </w:r>
            <w:r>
              <w:rPr>
                <w:rFonts w:cstheme="minorHAnsi"/>
                <w:szCs w:val="20"/>
              </w:rPr>
              <w:t>/NEW</w:t>
            </w:r>
          </w:p>
        </w:tc>
        <w:tc>
          <w:tcPr>
            <w:tcW w:w="925" w:type="pct"/>
          </w:tcPr>
          <w:p w14:paraId="17400ED7" w14:textId="065590D6" w:rsidR="00B44975" w:rsidRPr="004123DC" w:rsidRDefault="00B44975" w:rsidP="00E96DA3">
            <w:pPr>
              <w:rPr>
                <w:rFonts w:cstheme="minorHAnsi"/>
                <w:color w:val="FF0000"/>
                <w:szCs w:val="20"/>
              </w:rPr>
            </w:pPr>
            <w:r w:rsidRPr="004123DC">
              <w:rPr>
                <w:rFonts w:cstheme="minorHAnsi"/>
                <w:color w:val="000000"/>
                <w:szCs w:val="20"/>
              </w:rPr>
              <w:t>$</w:t>
            </w:r>
            <w:r w:rsidR="008F05BC">
              <w:rPr>
                <w:rFonts w:cstheme="minorHAnsi"/>
                <w:color w:val="000000"/>
                <w:szCs w:val="20"/>
              </w:rPr>
              <w:t xml:space="preserve"> 3,558.25</w:t>
            </w:r>
          </w:p>
        </w:tc>
        <w:tc>
          <w:tcPr>
            <w:tcW w:w="816" w:type="pct"/>
          </w:tcPr>
          <w:p w14:paraId="0F861C7C" w14:textId="1BA20E41" w:rsidR="00B44975" w:rsidRPr="004123DC" w:rsidRDefault="00B44975" w:rsidP="00E96DA3">
            <w:pPr>
              <w:rPr>
                <w:rFonts w:cstheme="minorHAnsi"/>
                <w:color w:val="FF0000"/>
                <w:szCs w:val="20"/>
              </w:rPr>
            </w:pPr>
            <w:r w:rsidRPr="004123DC">
              <w:rPr>
                <w:rFonts w:cstheme="minorHAnsi"/>
                <w:color w:val="000000"/>
                <w:szCs w:val="20"/>
              </w:rPr>
              <w:t xml:space="preserve">$ </w:t>
            </w:r>
            <w:r w:rsidR="008F05BC">
              <w:rPr>
                <w:rFonts w:cstheme="minorHAnsi"/>
                <w:color w:val="000000"/>
                <w:szCs w:val="20"/>
              </w:rPr>
              <w:t>3,558.25</w:t>
            </w:r>
          </w:p>
        </w:tc>
        <w:tc>
          <w:tcPr>
            <w:tcW w:w="1030" w:type="pct"/>
          </w:tcPr>
          <w:p w14:paraId="26FF7460" w14:textId="77777777" w:rsidR="00B44975" w:rsidRPr="00920905" w:rsidRDefault="00B44975" w:rsidP="00E96DA3">
            <w:pPr>
              <w:rPr>
                <w:rFonts w:cstheme="minorHAnsi"/>
                <w:color w:val="FF0000"/>
                <w:szCs w:val="20"/>
              </w:rPr>
            </w:pPr>
            <w:r w:rsidRPr="00690879">
              <w:rPr>
                <w:rFonts w:cstheme="minorHAnsi"/>
                <w:szCs w:val="20"/>
              </w:rPr>
              <w:t>N/A</w:t>
            </w:r>
          </w:p>
        </w:tc>
      </w:tr>
    </w:tbl>
    <w:p w14:paraId="37E9FBDB" w14:textId="754E7BBE" w:rsidR="00E16609" w:rsidRPr="00920905" w:rsidRDefault="00E16609">
      <w:pPr>
        <w:rPr>
          <w:rFonts w:cstheme="minorHAnsi"/>
          <w:sz w:val="20"/>
          <w:szCs w:val="20"/>
        </w:rPr>
      </w:pPr>
      <w:bookmarkStart w:id="28" w:name="_Toc214003099"/>
      <w:r w:rsidRPr="00920905">
        <w:rPr>
          <w:rFonts w:cstheme="minorHAnsi"/>
          <w:sz w:val="20"/>
          <w:szCs w:val="20"/>
        </w:rPr>
        <w:br w:type="page"/>
      </w:r>
    </w:p>
    <w:bookmarkEnd w:id="28"/>
    <w:p w14:paraId="160B51FD" w14:textId="61D56704" w:rsidR="0080796D" w:rsidRDefault="0080796D" w:rsidP="0080796D">
      <w:pPr>
        <w:pStyle w:val="Heading1"/>
        <w:rPr>
          <w:rFonts w:cstheme="minorHAnsi"/>
        </w:rPr>
      </w:pPr>
      <w:r w:rsidRPr="00500C4E">
        <w:rPr>
          <w:rFonts w:cstheme="minorHAnsi"/>
        </w:rPr>
        <w:t>Attachments</w:t>
      </w:r>
    </w:p>
    <w:p w14:paraId="52DDEAE1" w14:textId="77777777" w:rsidR="00BF3845" w:rsidRPr="00D92B9E" w:rsidRDefault="00BF3845" w:rsidP="00B279AB"/>
    <w:p w14:paraId="0CD06900" w14:textId="00C2EC1B" w:rsidR="0080796D" w:rsidRPr="00B279AB" w:rsidRDefault="0080796D" w:rsidP="00B279AB">
      <w:pPr>
        <w:pStyle w:val="ListParagraph"/>
        <w:numPr>
          <w:ilvl w:val="0"/>
          <w:numId w:val="48"/>
        </w:numPr>
        <w:spacing w:after="200" w:line="276" w:lineRule="auto"/>
        <w:rPr>
          <w:rFonts w:cstheme="minorHAnsi"/>
          <w:b/>
          <w:bCs/>
          <w:smallCaps/>
          <w:kern w:val="32"/>
          <w:sz w:val="36"/>
          <w:szCs w:val="32"/>
        </w:rPr>
      </w:pPr>
      <w:r w:rsidRPr="00D92B9E">
        <w:rPr>
          <w:rFonts w:cstheme="minorHAnsi"/>
        </w:rPr>
        <w:t>S</w:t>
      </w:r>
      <w:r w:rsidR="008F05BC">
        <w:rPr>
          <w:rFonts w:cstheme="minorHAnsi"/>
        </w:rPr>
        <w:t>CE17HC012</w:t>
      </w:r>
      <w:r w:rsidRPr="00D92B9E">
        <w:rPr>
          <w:rFonts w:cstheme="minorHAnsi"/>
        </w:rPr>
        <w:t xml:space="preserve">.1 A1 </w:t>
      </w:r>
      <w:r w:rsidR="007B5E4A">
        <w:rPr>
          <w:rFonts w:cstheme="minorHAnsi"/>
        </w:rPr>
        <w:t>–</w:t>
      </w:r>
      <w:r w:rsidRPr="00D92B9E">
        <w:rPr>
          <w:rFonts w:cstheme="minorHAnsi"/>
        </w:rPr>
        <w:t xml:space="preserve"> Calculation</w:t>
      </w:r>
      <w:r w:rsidR="007B5E4A">
        <w:rPr>
          <w:rFonts w:cstheme="minorHAnsi"/>
        </w:rPr>
        <w:t xml:space="preserve"> </w:t>
      </w:r>
      <w:r w:rsidRPr="00D92B9E">
        <w:rPr>
          <w:rFonts w:cstheme="minorHAnsi"/>
        </w:rPr>
        <w:t>Template.xlsm</w:t>
      </w:r>
    </w:p>
    <w:p w14:paraId="17BD17BE" w14:textId="5B907A23" w:rsidR="0080796D" w:rsidRPr="00B279AB" w:rsidRDefault="008F05BC" w:rsidP="00B279AB">
      <w:pPr>
        <w:pStyle w:val="ListParagraph"/>
        <w:numPr>
          <w:ilvl w:val="0"/>
          <w:numId w:val="48"/>
        </w:numPr>
        <w:spacing w:after="200" w:line="276" w:lineRule="auto"/>
        <w:rPr>
          <w:rFonts w:cstheme="minorHAnsi"/>
          <w:b/>
          <w:bCs/>
          <w:smallCaps/>
          <w:kern w:val="32"/>
          <w:sz w:val="36"/>
          <w:szCs w:val="32"/>
        </w:rPr>
      </w:pPr>
      <w:r>
        <w:rPr>
          <w:rFonts w:cstheme="minorHAnsi"/>
        </w:rPr>
        <w:t>SCE17HC012</w:t>
      </w:r>
      <w:r w:rsidR="001336D5">
        <w:rPr>
          <w:rFonts w:cstheme="minorHAnsi"/>
        </w:rPr>
        <w:t>.1 A2</w:t>
      </w:r>
      <w:r w:rsidR="0080796D">
        <w:rPr>
          <w:rFonts w:cstheme="minorHAnsi"/>
        </w:rPr>
        <w:t xml:space="preserve"> – Cost &amp; Savings Calculations.xlsm</w:t>
      </w:r>
    </w:p>
    <w:p w14:paraId="7195B16F" w14:textId="77777777" w:rsidR="00B7351D" w:rsidRPr="00B7351D" w:rsidRDefault="008F05BC" w:rsidP="00B279AB">
      <w:pPr>
        <w:pStyle w:val="ListParagraph"/>
        <w:numPr>
          <w:ilvl w:val="0"/>
          <w:numId w:val="48"/>
        </w:numPr>
        <w:spacing w:after="200" w:line="276" w:lineRule="auto"/>
        <w:rPr>
          <w:rFonts w:cstheme="minorHAnsi"/>
          <w:b/>
          <w:bCs/>
          <w:smallCaps/>
          <w:kern w:val="32"/>
          <w:sz w:val="36"/>
          <w:szCs w:val="32"/>
        </w:rPr>
      </w:pPr>
      <w:r>
        <w:rPr>
          <w:rFonts w:cstheme="minorHAnsi"/>
        </w:rPr>
        <w:t>SCE17HC012</w:t>
      </w:r>
      <w:r w:rsidR="001336D5">
        <w:rPr>
          <w:rFonts w:cstheme="minorHAnsi"/>
        </w:rPr>
        <w:t>.1 A3</w:t>
      </w:r>
      <w:r w:rsidR="0080796D">
        <w:rPr>
          <w:rFonts w:cstheme="minorHAnsi"/>
        </w:rPr>
        <w:t xml:space="preserve"> – Equipment Cost Data.pdf</w:t>
      </w:r>
      <w:r w:rsidR="00B7351D" w:rsidRPr="00B7351D">
        <w:rPr>
          <w:rFonts w:cstheme="minorHAnsi"/>
        </w:rPr>
        <w:t xml:space="preserve"> </w:t>
      </w:r>
    </w:p>
    <w:p w14:paraId="25EF04A1" w14:textId="43CF1886" w:rsidR="00B7351D" w:rsidRPr="00B279AB" w:rsidRDefault="00B7351D" w:rsidP="00B7351D">
      <w:pPr>
        <w:pStyle w:val="ListParagraph"/>
        <w:numPr>
          <w:ilvl w:val="0"/>
          <w:numId w:val="48"/>
        </w:numPr>
        <w:spacing w:after="200" w:line="276" w:lineRule="auto"/>
        <w:rPr>
          <w:rFonts w:cstheme="minorHAnsi"/>
          <w:b/>
          <w:bCs/>
          <w:smallCaps/>
          <w:kern w:val="32"/>
          <w:sz w:val="36"/>
          <w:szCs w:val="32"/>
        </w:rPr>
      </w:pPr>
      <w:r w:rsidRPr="00D92B9E">
        <w:rPr>
          <w:rFonts w:cstheme="minorHAnsi"/>
        </w:rPr>
        <w:t>S</w:t>
      </w:r>
      <w:r>
        <w:rPr>
          <w:rFonts w:cstheme="minorHAnsi"/>
        </w:rPr>
        <w:t>CE17HC012</w:t>
      </w:r>
      <w:r w:rsidRPr="00D92B9E">
        <w:rPr>
          <w:rFonts w:cstheme="minorHAnsi"/>
        </w:rPr>
        <w:t>.1 A</w:t>
      </w:r>
      <w:r>
        <w:rPr>
          <w:rFonts w:cstheme="minorHAnsi"/>
        </w:rPr>
        <w:t>4</w:t>
      </w:r>
      <w:r w:rsidRPr="00D92B9E">
        <w:rPr>
          <w:rFonts w:cstheme="minorHAnsi"/>
        </w:rPr>
        <w:t xml:space="preserve"> </w:t>
      </w:r>
      <w:r>
        <w:rPr>
          <w:rFonts w:cstheme="minorHAnsi"/>
        </w:rPr>
        <w:t>–</w:t>
      </w:r>
      <w:r w:rsidRPr="00D92B9E">
        <w:rPr>
          <w:rFonts w:cstheme="minorHAnsi"/>
        </w:rPr>
        <w:t xml:space="preserve"> </w:t>
      </w:r>
      <w:r>
        <w:rPr>
          <w:rFonts w:cstheme="minorHAnsi"/>
        </w:rPr>
        <w:t xml:space="preserve">SCE </w:t>
      </w:r>
      <w:r w:rsidRPr="00B7351D">
        <w:rPr>
          <w:rFonts w:cstheme="minorHAnsi"/>
        </w:rPr>
        <w:t>ISP Study Correspondence</w:t>
      </w:r>
      <w:r>
        <w:rPr>
          <w:rFonts w:cstheme="minorHAnsi"/>
        </w:rPr>
        <w:t>.xlsx</w:t>
      </w:r>
    </w:p>
    <w:p w14:paraId="529B8E2A" w14:textId="4D15F60D" w:rsidR="00A842C3" w:rsidRPr="00A842C3" w:rsidRDefault="00B7351D" w:rsidP="00B279AB">
      <w:pPr>
        <w:pStyle w:val="ListParagraph"/>
        <w:numPr>
          <w:ilvl w:val="0"/>
          <w:numId w:val="48"/>
        </w:numPr>
        <w:spacing w:after="200" w:line="276" w:lineRule="auto"/>
        <w:rPr>
          <w:rFonts w:cstheme="minorHAnsi"/>
        </w:rPr>
      </w:pPr>
      <w:r>
        <w:rPr>
          <w:rFonts w:cstheme="minorHAnsi"/>
        </w:rPr>
        <w:t xml:space="preserve">SCE17HC012.1 A5 – </w:t>
      </w:r>
      <w:r w:rsidRPr="00B7351D">
        <w:rPr>
          <w:rFonts w:cstheme="minorHAnsi"/>
        </w:rPr>
        <w:t>CEC Study - Oct 2014</w:t>
      </w:r>
      <w:r>
        <w:rPr>
          <w:rFonts w:cstheme="minorHAnsi"/>
        </w:rPr>
        <w:t>.pdf</w:t>
      </w:r>
    </w:p>
    <w:p w14:paraId="2A6E55CD" w14:textId="2840633A" w:rsidR="00B7351D" w:rsidRPr="00B7351D" w:rsidRDefault="00B7351D" w:rsidP="00B279AB">
      <w:pPr>
        <w:pStyle w:val="ListParagraph"/>
        <w:spacing w:after="200" w:line="276" w:lineRule="auto"/>
        <w:rPr>
          <w:rFonts w:cstheme="minorHAnsi"/>
          <w:b/>
          <w:bCs/>
          <w:smallCaps/>
          <w:kern w:val="32"/>
          <w:sz w:val="36"/>
          <w:szCs w:val="32"/>
        </w:rPr>
      </w:pPr>
    </w:p>
    <w:p w14:paraId="25560CC1" w14:textId="65DE53D7" w:rsidR="00B7351D" w:rsidRPr="00B7351D" w:rsidRDefault="00B7351D" w:rsidP="00B279AB">
      <w:pPr>
        <w:spacing w:after="200" w:line="276" w:lineRule="auto"/>
        <w:ind w:left="720"/>
        <w:rPr>
          <w:rFonts w:cstheme="minorHAnsi"/>
          <w:b/>
          <w:bCs/>
          <w:smallCaps/>
          <w:kern w:val="32"/>
          <w:sz w:val="36"/>
          <w:szCs w:val="32"/>
        </w:rPr>
      </w:pPr>
    </w:p>
    <w:p w14:paraId="38089577" w14:textId="4CBA6233" w:rsidR="0080796D" w:rsidRPr="00B279AB" w:rsidRDefault="0080796D" w:rsidP="00B7351D">
      <w:pPr>
        <w:rPr>
          <w:rFonts w:cstheme="minorHAnsi"/>
          <w:kern w:val="32"/>
          <w:sz w:val="36"/>
          <w:szCs w:val="32"/>
        </w:rPr>
      </w:pPr>
    </w:p>
    <w:p w14:paraId="7DE9BD33" w14:textId="58032C89" w:rsidR="0080796D" w:rsidRPr="00D92B9E" w:rsidRDefault="0080796D" w:rsidP="00B279AB">
      <w:pPr>
        <w:pStyle w:val="ListParagraph"/>
        <w:numPr>
          <w:ilvl w:val="0"/>
          <w:numId w:val="48"/>
        </w:numPr>
        <w:spacing w:after="200" w:line="276" w:lineRule="auto"/>
        <w:rPr>
          <w:rFonts w:cstheme="minorHAnsi"/>
          <w:b/>
          <w:bCs/>
          <w:smallCaps/>
          <w:kern w:val="32"/>
          <w:sz w:val="36"/>
          <w:szCs w:val="32"/>
        </w:rPr>
      </w:pPr>
      <w:r w:rsidRPr="00D92B9E">
        <w:rPr>
          <w:rFonts w:cstheme="minorHAnsi"/>
        </w:rPr>
        <w:br w:type="page"/>
      </w:r>
    </w:p>
    <w:p w14:paraId="7493B6B6" w14:textId="64597CA1" w:rsidR="00BF3845" w:rsidRPr="00B279AB" w:rsidRDefault="00C24889">
      <w:pPr>
        <w:pStyle w:val="Heading1"/>
      </w:pPr>
      <w:r>
        <w:t>Reference</w:t>
      </w:r>
    </w:p>
    <w:p w14:paraId="7AC4D21C" w14:textId="274CBF24" w:rsidR="00704EF2" w:rsidRDefault="00214F0B" w:rsidP="0070004C">
      <w:r w:rsidRPr="00506049">
        <w:t>References_</w:t>
      </w:r>
      <w:r w:rsidR="003B1FB8">
        <w:t>07112018_101102</w:t>
      </w:r>
      <w:r w:rsidRPr="00506049">
        <w:t>.xlsx</w:t>
      </w:r>
    </w:p>
    <w:p w14:paraId="77036583" w14:textId="77777777" w:rsidR="00BF3845" w:rsidRPr="00B279AB" w:rsidRDefault="00BF3845">
      <w:pPr>
        <w:rPr>
          <w:rStyle w:val="ReminderChar"/>
          <w:rFonts w:asciiTheme="minorHAnsi" w:hAnsiTheme="minorHAnsi"/>
          <w:i w:val="0"/>
          <w:color w:val="auto"/>
          <w:sz w:val="22"/>
        </w:rPr>
      </w:pPr>
    </w:p>
    <w:tbl>
      <w:tblPr>
        <w:tblW w:w="9073" w:type="dxa"/>
        <w:tblInd w:w="93" w:type="dxa"/>
        <w:tblLook w:val="04A0" w:firstRow="1" w:lastRow="0" w:firstColumn="1" w:lastColumn="0" w:noHBand="0" w:noVBand="1"/>
      </w:tblPr>
      <w:tblGrid>
        <w:gridCol w:w="909"/>
        <w:gridCol w:w="8164"/>
      </w:tblGrid>
      <w:tr w:rsidR="00704EF2" w:rsidRPr="00DD20AA" w14:paraId="203E6134" w14:textId="77777777" w:rsidTr="00B21F5B">
        <w:trPr>
          <w:trHeight w:val="300"/>
        </w:trPr>
        <w:tc>
          <w:tcPr>
            <w:tcW w:w="909" w:type="dxa"/>
            <w:tcBorders>
              <w:top w:val="nil"/>
              <w:left w:val="nil"/>
              <w:bottom w:val="nil"/>
              <w:right w:val="nil"/>
            </w:tcBorders>
            <w:shd w:val="clear" w:color="auto" w:fill="auto"/>
            <w:noWrap/>
            <w:hideMark/>
          </w:tcPr>
          <w:p w14:paraId="6075D3E4" w14:textId="77777777" w:rsidR="00704EF2" w:rsidRPr="00DD20AA" w:rsidRDefault="00704EF2" w:rsidP="0045669C">
            <w:pPr>
              <w:rPr>
                <w:rFonts w:ascii="Calibri" w:hAnsi="Calibri"/>
                <w:color w:val="000000"/>
                <w:szCs w:val="22"/>
              </w:rPr>
            </w:pPr>
            <w:r w:rsidRPr="00DD20AA">
              <w:rPr>
                <w:rFonts w:ascii="Calibri" w:hAnsi="Calibri"/>
                <w:color w:val="000000"/>
                <w:szCs w:val="22"/>
              </w:rPr>
              <w:t>[26]</w:t>
            </w:r>
          </w:p>
        </w:tc>
        <w:tc>
          <w:tcPr>
            <w:tcW w:w="8164" w:type="dxa"/>
            <w:tcBorders>
              <w:top w:val="nil"/>
              <w:left w:val="nil"/>
              <w:bottom w:val="nil"/>
              <w:right w:val="nil"/>
            </w:tcBorders>
            <w:shd w:val="clear" w:color="auto" w:fill="auto"/>
            <w:noWrap/>
            <w:hideMark/>
          </w:tcPr>
          <w:p w14:paraId="234EC73E" w14:textId="51328A92" w:rsidR="00704EF2" w:rsidRPr="00DD20AA" w:rsidRDefault="00704EF2" w:rsidP="0045669C">
            <w:pPr>
              <w:rPr>
                <w:rFonts w:ascii="Calibri" w:hAnsi="Calibri"/>
                <w:color w:val="000000"/>
                <w:szCs w:val="22"/>
              </w:rPr>
            </w:pPr>
          </w:p>
        </w:tc>
      </w:tr>
      <w:tr w:rsidR="00704EF2" w:rsidRPr="00DD20AA" w14:paraId="256C5AF4" w14:textId="77777777" w:rsidTr="00B21F5B">
        <w:trPr>
          <w:trHeight w:val="300"/>
        </w:trPr>
        <w:tc>
          <w:tcPr>
            <w:tcW w:w="909" w:type="dxa"/>
            <w:tcBorders>
              <w:top w:val="nil"/>
              <w:left w:val="nil"/>
              <w:bottom w:val="nil"/>
              <w:right w:val="nil"/>
            </w:tcBorders>
            <w:shd w:val="clear" w:color="auto" w:fill="auto"/>
            <w:noWrap/>
            <w:hideMark/>
          </w:tcPr>
          <w:p w14:paraId="7F7CA3E1" w14:textId="77777777" w:rsidR="00704EF2" w:rsidRPr="00DD20AA" w:rsidRDefault="00704EF2" w:rsidP="0045669C">
            <w:pPr>
              <w:rPr>
                <w:rFonts w:ascii="Calibri" w:hAnsi="Calibri"/>
                <w:color w:val="000000"/>
                <w:szCs w:val="22"/>
              </w:rPr>
            </w:pPr>
            <w:r w:rsidRPr="00DD20AA">
              <w:rPr>
                <w:rFonts w:ascii="Calibri" w:hAnsi="Calibri"/>
                <w:color w:val="000000"/>
                <w:szCs w:val="22"/>
              </w:rPr>
              <w:t>[289]</w:t>
            </w:r>
          </w:p>
        </w:tc>
        <w:tc>
          <w:tcPr>
            <w:tcW w:w="8164" w:type="dxa"/>
            <w:tcBorders>
              <w:top w:val="nil"/>
              <w:left w:val="nil"/>
              <w:bottom w:val="nil"/>
              <w:right w:val="nil"/>
            </w:tcBorders>
            <w:shd w:val="clear" w:color="auto" w:fill="auto"/>
            <w:noWrap/>
            <w:hideMark/>
          </w:tcPr>
          <w:p w14:paraId="6BA7F4EF" w14:textId="1AFAE0A1" w:rsidR="00704EF2" w:rsidRPr="00DD20AA" w:rsidRDefault="00704EF2" w:rsidP="0045669C">
            <w:pPr>
              <w:rPr>
                <w:rFonts w:ascii="Calibri" w:hAnsi="Calibri"/>
                <w:color w:val="000000"/>
                <w:szCs w:val="22"/>
              </w:rPr>
            </w:pPr>
          </w:p>
        </w:tc>
      </w:tr>
      <w:tr w:rsidR="00704EF2" w:rsidRPr="00DD20AA" w14:paraId="4B543316" w14:textId="77777777" w:rsidTr="00B21F5B">
        <w:trPr>
          <w:trHeight w:val="300"/>
        </w:trPr>
        <w:tc>
          <w:tcPr>
            <w:tcW w:w="909" w:type="dxa"/>
            <w:tcBorders>
              <w:top w:val="nil"/>
              <w:left w:val="nil"/>
              <w:bottom w:val="nil"/>
              <w:right w:val="nil"/>
            </w:tcBorders>
            <w:shd w:val="clear" w:color="auto" w:fill="auto"/>
            <w:noWrap/>
            <w:hideMark/>
          </w:tcPr>
          <w:p w14:paraId="12C99947" w14:textId="747DC510" w:rsidR="00704EF2" w:rsidRDefault="00704EF2">
            <w:pPr>
              <w:rPr>
                <w:rFonts w:ascii="Calibri" w:hAnsi="Calibri"/>
                <w:color w:val="000000"/>
                <w:szCs w:val="22"/>
              </w:rPr>
            </w:pPr>
            <w:r w:rsidRPr="00DD20AA">
              <w:rPr>
                <w:rFonts w:ascii="Calibri" w:hAnsi="Calibri"/>
                <w:color w:val="000000"/>
                <w:szCs w:val="22"/>
              </w:rPr>
              <w:t>[</w:t>
            </w:r>
            <w:r w:rsidR="00D47BB9">
              <w:rPr>
                <w:rFonts w:ascii="Calibri" w:hAnsi="Calibri"/>
                <w:color w:val="000000"/>
                <w:szCs w:val="22"/>
              </w:rPr>
              <w:t>496</w:t>
            </w:r>
            <w:r w:rsidRPr="00DD20AA">
              <w:rPr>
                <w:rFonts w:ascii="Calibri" w:hAnsi="Calibri"/>
                <w:color w:val="000000"/>
                <w:szCs w:val="22"/>
              </w:rPr>
              <w:t>]</w:t>
            </w:r>
          </w:p>
          <w:p w14:paraId="1DFD3635" w14:textId="17FDFE23" w:rsidR="00B21F5B" w:rsidRPr="00DD20AA" w:rsidRDefault="00B21F5B">
            <w:pPr>
              <w:rPr>
                <w:rFonts w:ascii="Calibri" w:hAnsi="Calibri"/>
                <w:color w:val="000000"/>
                <w:szCs w:val="22"/>
              </w:rPr>
            </w:pPr>
            <w:r>
              <w:rPr>
                <w:rFonts w:ascii="Calibri" w:hAnsi="Calibri"/>
                <w:color w:val="000000"/>
                <w:szCs w:val="22"/>
              </w:rPr>
              <w:t>[</w:t>
            </w:r>
            <w:r w:rsidR="00D47BB9">
              <w:rPr>
                <w:rFonts w:ascii="Calibri" w:hAnsi="Calibri"/>
                <w:color w:val="000000"/>
                <w:szCs w:val="22"/>
              </w:rPr>
              <w:t>515</w:t>
            </w:r>
            <w:r>
              <w:rPr>
                <w:rFonts w:ascii="Calibri" w:hAnsi="Calibri"/>
                <w:color w:val="000000"/>
                <w:szCs w:val="22"/>
              </w:rPr>
              <w:t>]</w:t>
            </w:r>
          </w:p>
        </w:tc>
        <w:tc>
          <w:tcPr>
            <w:tcW w:w="8164" w:type="dxa"/>
            <w:tcBorders>
              <w:top w:val="nil"/>
              <w:left w:val="nil"/>
              <w:bottom w:val="nil"/>
              <w:right w:val="nil"/>
            </w:tcBorders>
            <w:shd w:val="clear" w:color="auto" w:fill="auto"/>
            <w:noWrap/>
            <w:hideMark/>
          </w:tcPr>
          <w:p w14:paraId="35ED693C" w14:textId="23D62180" w:rsidR="00704EF2" w:rsidRDefault="00704EF2" w:rsidP="0045669C">
            <w:pPr>
              <w:rPr>
                <w:rFonts w:ascii="Calibri" w:hAnsi="Calibri"/>
                <w:color w:val="000000"/>
                <w:szCs w:val="22"/>
              </w:rPr>
            </w:pPr>
          </w:p>
          <w:p w14:paraId="1615546A" w14:textId="77777777" w:rsidR="00B21F5B" w:rsidRPr="00DD20AA" w:rsidRDefault="00B21F5B" w:rsidP="00D92B9E">
            <w:pPr>
              <w:rPr>
                <w:rFonts w:ascii="Calibri" w:hAnsi="Calibri"/>
                <w:color w:val="000000"/>
                <w:szCs w:val="22"/>
              </w:rPr>
            </w:pPr>
          </w:p>
        </w:tc>
      </w:tr>
    </w:tbl>
    <w:p w14:paraId="6BBD83CA" w14:textId="5FB82196" w:rsidR="00704EF2" w:rsidRPr="00704EF2" w:rsidRDefault="00704EF2" w:rsidP="00704EF2"/>
    <w:sectPr w:rsidR="00704EF2" w:rsidRPr="00704EF2" w:rsidSect="009634B1">
      <w:footerReference w:type="default" r:id="rId13"/>
      <w:pgSz w:w="12240" w:h="15840"/>
      <w:pgMar w:top="1440" w:right="1440" w:bottom="1557" w:left="1440" w:header="720" w:footer="720" w:gutter="0"/>
      <w:pgNumType w:fmt="lowerRoman"/>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0D89C1" w16cid:durableId="1F24FF00"/>
  <w16cid:commentId w16cid:paraId="26B56AF1" w16cid:durableId="1F2513CC"/>
  <w16cid:commentId w16cid:paraId="27531CBF" w16cid:durableId="1F24FF01"/>
  <w16cid:commentId w16cid:paraId="64F334FD" w16cid:durableId="1F2513CB"/>
  <w16cid:commentId w16cid:paraId="505C4EE9" w16cid:durableId="1F24FF02"/>
  <w16cid:commentId w16cid:paraId="2A47D7DC" w16cid:durableId="1F251465"/>
  <w16cid:commentId w16cid:paraId="75A8A3D8" w16cid:durableId="1F25252D"/>
  <w16cid:commentId w16cid:paraId="61A29884" w16cid:durableId="1F25252C"/>
  <w16cid:commentId w16cid:paraId="0D20A16C" w16cid:durableId="1F24FF03"/>
  <w16cid:commentId w16cid:paraId="31392EEC" w16cid:durableId="1F2514EE"/>
  <w16cid:commentId w16cid:paraId="4BA5B4C9" w16cid:durableId="1F24FF04"/>
  <w16cid:commentId w16cid:paraId="6EE716EF" w16cid:durableId="1F24FF05"/>
  <w16cid:commentId w16cid:paraId="241212C1" w16cid:durableId="1F24FF06"/>
  <w16cid:commentId w16cid:paraId="6FA222B2" w16cid:durableId="1F251543"/>
  <w16cid:commentId w16cid:paraId="2D450EAA" w16cid:durableId="1F252BBF"/>
  <w16cid:commentId w16cid:paraId="4ED206DF" w16cid:durableId="1F2544B2"/>
  <w16cid:commentId w16cid:paraId="2AE7120C" w16cid:durableId="1F25465C"/>
  <w16cid:commentId w16cid:paraId="2AA84FDB" w16cid:durableId="1F252D30"/>
  <w16cid:commentId w16cid:paraId="63188B57" w16cid:durableId="1F24FF07"/>
  <w16cid:commentId w16cid:paraId="748C799F" w16cid:durableId="1F251595"/>
  <w16cid:commentId w16cid:paraId="116E9712" w16cid:durableId="1F25276A"/>
  <w16cid:commentId w16cid:paraId="47530714" w16cid:durableId="1F252E34"/>
  <w16cid:commentId w16cid:paraId="2CE5C8D5" w16cid:durableId="1F314724"/>
  <w16cid:commentId w16cid:paraId="40934E09" w16cid:durableId="1F252404"/>
  <w16cid:commentId w16cid:paraId="558AB819" w16cid:durableId="1F25115E"/>
  <w16cid:commentId w16cid:paraId="771F40E7" w16cid:durableId="1F24FF08"/>
  <w16cid:commentId w16cid:paraId="04D0B533" w16cid:durableId="1F24FFAF"/>
  <w16cid:commentId w16cid:paraId="7AA68A29" w16cid:durableId="1F24FF09"/>
  <w16cid:commentId w16cid:paraId="3B1AE573" w16cid:durableId="1F24FF0A"/>
  <w16cid:commentId w16cid:paraId="26B72FEE" w16cid:durableId="1F24FF0B"/>
  <w16cid:commentId w16cid:paraId="156D91F3" w16cid:durableId="1F2515FE"/>
  <w16cid:commentId w16cid:paraId="6F01B6F6" w16cid:durableId="1F2540D7"/>
  <w16cid:commentId w16cid:paraId="1E0AF164" w16cid:durableId="1F24FF0C"/>
  <w16cid:commentId w16cid:paraId="634BF605" w16cid:durableId="1F254462"/>
  <w16cid:commentId w16cid:paraId="2A3438A7" w16cid:durableId="1F24FF0D"/>
  <w16cid:commentId w16cid:paraId="69235737" w16cid:durableId="1F2544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A3B0F1" w14:textId="77777777" w:rsidR="00934704" w:rsidRDefault="00934704" w:rsidP="00447D6E">
      <w:r>
        <w:separator/>
      </w:r>
    </w:p>
    <w:p w14:paraId="58C7D1CF" w14:textId="77777777" w:rsidR="00934704" w:rsidRDefault="00934704"/>
  </w:endnote>
  <w:endnote w:type="continuationSeparator" w:id="0">
    <w:p w14:paraId="2902EDE1" w14:textId="77777777" w:rsidR="00934704" w:rsidRDefault="00934704" w:rsidP="00447D6E">
      <w:r>
        <w:continuationSeparator/>
      </w:r>
    </w:p>
    <w:p w14:paraId="706CA627" w14:textId="77777777" w:rsidR="00934704" w:rsidRDefault="009347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6CF077D4" w:rsidR="00934704" w:rsidRDefault="0070004C"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08-30T00:00:00Z">
          <w:dateFormat w:val="MMMM d, yyyy"/>
          <w:lid w:val="en-US"/>
          <w:storeMappedDataAs w:val="dateTime"/>
          <w:calendar w:val="gregorian"/>
        </w:date>
      </w:sdtPr>
      <w:sdtEndPr/>
      <w:sdtContent>
        <w:r w:rsidR="00200DDF">
          <w:rPr>
            <w:rFonts w:cstheme="minorHAnsi"/>
            <w:b/>
            <w:sz w:val="36"/>
            <w:szCs w:val="36"/>
          </w:rPr>
          <w:t>August 30, 2018</w:t>
        </w:r>
      </w:sdtContent>
    </w:sdt>
  </w:p>
  <w:p w14:paraId="650DB54B" w14:textId="670C7D5C" w:rsidR="00934704" w:rsidRPr="009500DC" w:rsidRDefault="00934704"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350FA3BF" w:rsidR="00934704" w:rsidRPr="009500DC" w:rsidRDefault="0070004C"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934704">
          <w:rPr>
            <w:rFonts w:cstheme="minorHAnsi"/>
            <w:b/>
            <w:sz w:val="20"/>
            <w:szCs w:val="20"/>
          </w:rPr>
          <w:t>SCE17CC012</w:t>
        </w:r>
      </w:sdtContent>
    </w:sdt>
    <w:r w:rsidR="00934704">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34704">
          <w:rPr>
            <w:rFonts w:cstheme="minorHAnsi"/>
            <w:b/>
            <w:sz w:val="20"/>
            <w:szCs w:val="20"/>
          </w:rPr>
          <w:t>Revision 1</w:t>
        </w:r>
      </w:sdtContent>
    </w:sdt>
    <w:r w:rsidR="00934704" w:rsidRPr="009500DC">
      <w:rPr>
        <w:rFonts w:cstheme="minorHAnsi"/>
        <w:b/>
        <w:sz w:val="20"/>
        <w:szCs w:val="20"/>
      </w:rPr>
      <w:tab/>
    </w:r>
    <w:r w:rsidR="00934704" w:rsidRPr="009500DC">
      <w:rPr>
        <w:rFonts w:cstheme="minorHAnsi"/>
        <w:b/>
        <w:sz w:val="20"/>
        <w:szCs w:val="20"/>
      </w:rPr>
      <w:fldChar w:fldCharType="begin"/>
    </w:r>
    <w:r w:rsidR="00934704" w:rsidRPr="009500DC">
      <w:rPr>
        <w:rFonts w:cstheme="minorHAnsi"/>
        <w:b/>
        <w:sz w:val="20"/>
        <w:szCs w:val="20"/>
      </w:rPr>
      <w:instrText xml:space="preserve"> PAGE   \* MERGEFORMAT </w:instrText>
    </w:r>
    <w:r w:rsidR="00934704" w:rsidRPr="009500DC">
      <w:rPr>
        <w:rFonts w:cstheme="minorHAnsi"/>
        <w:b/>
        <w:sz w:val="20"/>
        <w:szCs w:val="20"/>
      </w:rPr>
      <w:fldChar w:fldCharType="separate"/>
    </w:r>
    <w:r>
      <w:rPr>
        <w:rFonts w:cstheme="minorHAnsi"/>
        <w:b/>
        <w:noProof/>
        <w:sz w:val="20"/>
        <w:szCs w:val="20"/>
      </w:rPr>
      <w:t>ii</w:t>
    </w:r>
    <w:r w:rsidR="00934704" w:rsidRPr="009500DC">
      <w:rPr>
        <w:rFonts w:cstheme="minorHAnsi"/>
        <w:b/>
        <w:noProof/>
        <w:sz w:val="20"/>
        <w:szCs w:val="20"/>
      </w:rPr>
      <w:fldChar w:fldCharType="end"/>
    </w:r>
    <w:r w:rsidR="00934704"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8-30T00:00:00Z">
          <w:dateFormat w:val="MMMM d, yyyy"/>
          <w:lid w:val="en-US"/>
          <w:storeMappedDataAs w:val="dateTime"/>
          <w:calendar w:val="gregorian"/>
        </w:date>
      </w:sdtPr>
      <w:sdtEndPr/>
      <w:sdtContent>
        <w:r w:rsidR="00200DDF">
          <w:rPr>
            <w:rFonts w:cstheme="minorHAnsi"/>
            <w:b/>
            <w:sz w:val="20"/>
            <w:szCs w:val="20"/>
          </w:rPr>
          <w:t>August 30, 2018</w:t>
        </w:r>
      </w:sdtContent>
    </w:sdt>
  </w:p>
  <w:p w14:paraId="43C07EA5" w14:textId="544E4323" w:rsidR="00934704" w:rsidRPr="009500DC" w:rsidRDefault="0070004C"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934704">
          <w:rPr>
            <w:rFonts w:cstheme="minorHAnsi"/>
            <w:b/>
            <w:sz w:val="20"/>
            <w:szCs w:val="20"/>
          </w:rPr>
          <w:t>Southern California Edison</w:t>
        </w:r>
      </w:sdtContent>
    </w:sdt>
  </w:p>
  <w:p w14:paraId="4AC7586E" w14:textId="77777777" w:rsidR="00934704" w:rsidRDefault="00934704"/>
  <w:p w14:paraId="5C9861A8" w14:textId="77777777" w:rsidR="00934704" w:rsidRDefault="0093470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3F242F" w14:textId="77777777" w:rsidR="00934704" w:rsidRDefault="00934704" w:rsidP="00447D6E">
      <w:r>
        <w:separator/>
      </w:r>
    </w:p>
    <w:p w14:paraId="775BD026" w14:textId="77777777" w:rsidR="00934704" w:rsidRDefault="00934704"/>
  </w:footnote>
  <w:footnote w:type="continuationSeparator" w:id="0">
    <w:p w14:paraId="66C4BA3A" w14:textId="77777777" w:rsidR="00934704" w:rsidRDefault="00934704" w:rsidP="00447D6E">
      <w:r>
        <w:continuationSeparator/>
      </w:r>
    </w:p>
    <w:p w14:paraId="2429399C" w14:textId="77777777" w:rsidR="00934704" w:rsidRDefault="0093470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53F7F55"/>
    <w:multiLevelType w:val="hybridMultilevel"/>
    <w:tmpl w:val="506A5D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B95F0E"/>
    <w:multiLevelType w:val="hybridMultilevel"/>
    <w:tmpl w:val="C47EB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0E67CC"/>
    <w:multiLevelType w:val="hybridMultilevel"/>
    <w:tmpl w:val="F03E417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D4C74"/>
    <w:multiLevelType w:val="hybridMultilevel"/>
    <w:tmpl w:val="CB588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1218A3"/>
    <w:multiLevelType w:val="hybridMultilevel"/>
    <w:tmpl w:val="C26AD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683647"/>
    <w:multiLevelType w:val="hybridMultilevel"/>
    <w:tmpl w:val="F0DC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1"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2" w15:restartNumberingAfterBreak="0">
    <w:nsid w:val="1AE86262"/>
    <w:multiLevelType w:val="hybridMultilevel"/>
    <w:tmpl w:val="4154AD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7F1509"/>
    <w:multiLevelType w:val="hybridMultilevel"/>
    <w:tmpl w:val="5086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6" w15:restartNumberingAfterBreak="0">
    <w:nsid w:val="303E7542"/>
    <w:multiLevelType w:val="hybridMultilevel"/>
    <w:tmpl w:val="7E04CD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D3AC6"/>
    <w:multiLevelType w:val="hybridMultilevel"/>
    <w:tmpl w:val="E8BABB7A"/>
    <w:lvl w:ilvl="0" w:tplc="3FBED7AE">
      <w:start w:val="2017"/>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1B2D57"/>
    <w:multiLevelType w:val="hybridMultilevel"/>
    <w:tmpl w:val="381024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DC46CB"/>
    <w:multiLevelType w:val="hybridMultilevel"/>
    <w:tmpl w:val="41745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5B09CE"/>
    <w:multiLevelType w:val="hybridMultilevel"/>
    <w:tmpl w:val="68085A86"/>
    <w:lvl w:ilvl="0" w:tplc="1E5C09C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47837C3"/>
    <w:multiLevelType w:val="hybridMultilevel"/>
    <w:tmpl w:val="6CA20CC6"/>
    <w:lvl w:ilvl="0" w:tplc="5238948C">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081C3C"/>
    <w:multiLevelType w:val="hybridMultilevel"/>
    <w:tmpl w:val="99F86178"/>
    <w:lvl w:ilvl="0" w:tplc="C008AC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2B02A1"/>
    <w:multiLevelType w:val="hybridMultilevel"/>
    <w:tmpl w:val="4202C2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F95BA2"/>
    <w:multiLevelType w:val="hybridMultilevel"/>
    <w:tmpl w:val="B8E8219A"/>
    <w:lvl w:ilvl="0" w:tplc="D0F83DE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0052ED"/>
    <w:multiLevelType w:val="hybridMultilevel"/>
    <w:tmpl w:val="B9325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F730AB"/>
    <w:multiLevelType w:val="hybridMultilevel"/>
    <w:tmpl w:val="AB544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0"/>
  </w:num>
  <w:num w:numId="3">
    <w:abstractNumId w:val="27"/>
  </w:num>
  <w:num w:numId="4">
    <w:abstractNumId w:val="24"/>
  </w:num>
  <w:num w:numId="5">
    <w:abstractNumId w:val="24"/>
  </w:num>
  <w:num w:numId="6">
    <w:abstractNumId w:val="2"/>
  </w:num>
  <w:num w:numId="7">
    <w:abstractNumId w:val="31"/>
  </w:num>
  <w:num w:numId="8">
    <w:abstractNumId w:val="25"/>
  </w:num>
  <w:num w:numId="9">
    <w:abstractNumId w:val="17"/>
  </w:num>
  <w:num w:numId="10">
    <w:abstractNumId w:val="11"/>
  </w:num>
  <w:num w:numId="11">
    <w:abstractNumId w:val="32"/>
  </w:num>
  <w:num w:numId="12">
    <w:abstractNumId w:val="23"/>
  </w:num>
  <w:num w:numId="13">
    <w:abstractNumId w:val="16"/>
  </w:num>
  <w:num w:numId="14">
    <w:abstractNumId w:val="47"/>
  </w:num>
  <w:num w:numId="15">
    <w:abstractNumId w:val="14"/>
  </w:num>
  <w:num w:numId="16">
    <w:abstractNumId w:val="18"/>
  </w:num>
  <w:num w:numId="17">
    <w:abstractNumId w:val="9"/>
  </w:num>
  <w:num w:numId="18">
    <w:abstractNumId w:val="0"/>
  </w:num>
  <w:num w:numId="19">
    <w:abstractNumId w:val="45"/>
  </w:num>
  <w:num w:numId="20">
    <w:abstractNumId w:val="7"/>
  </w:num>
  <w:num w:numId="21">
    <w:abstractNumId w:val="36"/>
  </w:num>
  <w:num w:numId="22">
    <w:abstractNumId w:val="37"/>
  </w:num>
  <w:num w:numId="23">
    <w:abstractNumId w:val="48"/>
  </w:num>
  <w:num w:numId="24">
    <w:abstractNumId w:val="43"/>
  </w:num>
  <w:num w:numId="25">
    <w:abstractNumId w:val="19"/>
  </w:num>
  <w:num w:numId="26">
    <w:abstractNumId w:val="21"/>
  </w:num>
  <w:num w:numId="27">
    <w:abstractNumId w:val="39"/>
  </w:num>
  <w:num w:numId="28">
    <w:abstractNumId w:val="20"/>
  </w:num>
  <w:num w:numId="29">
    <w:abstractNumId w:val="13"/>
  </w:num>
  <w:num w:numId="30">
    <w:abstractNumId w:val="1"/>
  </w:num>
  <w:num w:numId="31">
    <w:abstractNumId w:val="49"/>
  </w:num>
  <w:num w:numId="32">
    <w:abstractNumId w:val="34"/>
  </w:num>
  <w:num w:numId="33">
    <w:abstractNumId w:val="42"/>
  </w:num>
  <w:num w:numId="34">
    <w:abstractNumId w:val="15"/>
  </w:num>
  <w:num w:numId="35">
    <w:abstractNumId w:val="10"/>
  </w:num>
  <w:num w:numId="36">
    <w:abstractNumId w:val="3"/>
  </w:num>
  <w:num w:numId="37">
    <w:abstractNumId w:val="4"/>
  </w:num>
  <w:num w:numId="38">
    <w:abstractNumId w:val="6"/>
  </w:num>
  <w:num w:numId="39">
    <w:abstractNumId w:val="5"/>
  </w:num>
  <w:num w:numId="40">
    <w:abstractNumId w:val="44"/>
  </w:num>
  <w:num w:numId="41">
    <w:abstractNumId w:val="28"/>
  </w:num>
  <w:num w:numId="42">
    <w:abstractNumId w:val="22"/>
  </w:num>
  <w:num w:numId="43">
    <w:abstractNumId w:val="41"/>
  </w:num>
  <w:num w:numId="44">
    <w:abstractNumId w:val="26"/>
  </w:num>
  <w:num w:numId="45">
    <w:abstractNumId w:val="29"/>
  </w:num>
  <w:num w:numId="46">
    <w:abstractNumId w:val="33"/>
  </w:num>
  <w:num w:numId="47">
    <w:abstractNumId w:val="8"/>
  </w:num>
  <w:num w:numId="48">
    <w:abstractNumId w:val="38"/>
  </w:num>
  <w:num w:numId="49">
    <w:abstractNumId w:val="46"/>
  </w:num>
  <w:num w:numId="50">
    <w:abstractNumId w:val="35"/>
  </w:num>
  <w:num w:numId="51">
    <w:abstractNumId w:val="12"/>
  </w:num>
  <w:num w:numId="52">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4816"/>
    <w:rsid w:val="00005902"/>
    <w:rsid w:val="0001002B"/>
    <w:rsid w:val="00010806"/>
    <w:rsid w:val="00013F71"/>
    <w:rsid w:val="000173BF"/>
    <w:rsid w:val="00021420"/>
    <w:rsid w:val="0002332D"/>
    <w:rsid w:val="00024252"/>
    <w:rsid w:val="000245B5"/>
    <w:rsid w:val="000257A1"/>
    <w:rsid w:val="00027183"/>
    <w:rsid w:val="00033EA1"/>
    <w:rsid w:val="000354BA"/>
    <w:rsid w:val="0003746D"/>
    <w:rsid w:val="0004020F"/>
    <w:rsid w:val="0004265B"/>
    <w:rsid w:val="000436CB"/>
    <w:rsid w:val="00050D1C"/>
    <w:rsid w:val="00052E17"/>
    <w:rsid w:val="00056947"/>
    <w:rsid w:val="000575EC"/>
    <w:rsid w:val="00061A8E"/>
    <w:rsid w:val="00064CB3"/>
    <w:rsid w:val="00070BEE"/>
    <w:rsid w:val="00072040"/>
    <w:rsid w:val="00076DF4"/>
    <w:rsid w:val="00076F51"/>
    <w:rsid w:val="000850D9"/>
    <w:rsid w:val="0008524C"/>
    <w:rsid w:val="00086F7F"/>
    <w:rsid w:val="00090649"/>
    <w:rsid w:val="0009074D"/>
    <w:rsid w:val="00090DE5"/>
    <w:rsid w:val="000944D5"/>
    <w:rsid w:val="0009592B"/>
    <w:rsid w:val="000968C6"/>
    <w:rsid w:val="000A63C9"/>
    <w:rsid w:val="000B2ACE"/>
    <w:rsid w:val="000B3765"/>
    <w:rsid w:val="000B655B"/>
    <w:rsid w:val="000B7A32"/>
    <w:rsid w:val="000C0000"/>
    <w:rsid w:val="000C18CC"/>
    <w:rsid w:val="000C420F"/>
    <w:rsid w:val="000C5BD7"/>
    <w:rsid w:val="000C687D"/>
    <w:rsid w:val="000C75BC"/>
    <w:rsid w:val="000C7854"/>
    <w:rsid w:val="000C7ED1"/>
    <w:rsid w:val="000D789A"/>
    <w:rsid w:val="000E0A1F"/>
    <w:rsid w:val="000E4B5F"/>
    <w:rsid w:val="000E706D"/>
    <w:rsid w:val="000F130A"/>
    <w:rsid w:val="000F4FD8"/>
    <w:rsid w:val="000F5F27"/>
    <w:rsid w:val="00105987"/>
    <w:rsid w:val="00107242"/>
    <w:rsid w:val="00107535"/>
    <w:rsid w:val="001107DF"/>
    <w:rsid w:val="00111CC5"/>
    <w:rsid w:val="00112F37"/>
    <w:rsid w:val="001206F7"/>
    <w:rsid w:val="001236C1"/>
    <w:rsid w:val="00123AAC"/>
    <w:rsid w:val="001336D5"/>
    <w:rsid w:val="00133EE8"/>
    <w:rsid w:val="0013407F"/>
    <w:rsid w:val="00135F0B"/>
    <w:rsid w:val="00140B30"/>
    <w:rsid w:val="00146031"/>
    <w:rsid w:val="00147155"/>
    <w:rsid w:val="00153CB3"/>
    <w:rsid w:val="00154C3B"/>
    <w:rsid w:val="001566A4"/>
    <w:rsid w:val="00156E77"/>
    <w:rsid w:val="00160158"/>
    <w:rsid w:val="00160EFA"/>
    <w:rsid w:val="001617F4"/>
    <w:rsid w:val="00165357"/>
    <w:rsid w:val="00167BDD"/>
    <w:rsid w:val="00170EAF"/>
    <w:rsid w:val="001722B7"/>
    <w:rsid w:val="001727D9"/>
    <w:rsid w:val="001748BA"/>
    <w:rsid w:val="00174BB4"/>
    <w:rsid w:val="00175927"/>
    <w:rsid w:val="00175D14"/>
    <w:rsid w:val="001811EE"/>
    <w:rsid w:val="00185AD4"/>
    <w:rsid w:val="001979AF"/>
    <w:rsid w:val="001A0EB4"/>
    <w:rsid w:val="001A1A86"/>
    <w:rsid w:val="001A352C"/>
    <w:rsid w:val="001A3580"/>
    <w:rsid w:val="001A5F62"/>
    <w:rsid w:val="001B015E"/>
    <w:rsid w:val="001B2301"/>
    <w:rsid w:val="001B618B"/>
    <w:rsid w:val="001C1338"/>
    <w:rsid w:val="001C388B"/>
    <w:rsid w:val="001C4140"/>
    <w:rsid w:val="001C5A94"/>
    <w:rsid w:val="001D1326"/>
    <w:rsid w:val="001D2317"/>
    <w:rsid w:val="001D3223"/>
    <w:rsid w:val="001D33EF"/>
    <w:rsid w:val="001D3E56"/>
    <w:rsid w:val="001D5AB3"/>
    <w:rsid w:val="001E0519"/>
    <w:rsid w:val="001E0829"/>
    <w:rsid w:val="001E1320"/>
    <w:rsid w:val="001E556A"/>
    <w:rsid w:val="001F05CE"/>
    <w:rsid w:val="001F0E13"/>
    <w:rsid w:val="001F1905"/>
    <w:rsid w:val="001F4A65"/>
    <w:rsid w:val="001F7227"/>
    <w:rsid w:val="001F7DD2"/>
    <w:rsid w:val="00200DDF"/>
    <w:rsid w:val="002033BF"/>
    <w:rsid w:val="00205C45"/>
    <w:rsid w:val="002069BC"/>
    <w:rsid w:val="0021035B"/>
    <w:rsid w:val="00211153"/>
    <w:rsid w:val="0021307E"/>
    <w:rsid w:val="00214F0B"/>
    <w:rsid w:val="00223A2B"/>
    <w:rsid w:val="00224FA6"/>
    <w:rsid w:val="00226F90"/>
    <w:rsid w:val="0023254A"/>
    <w:rsid w:val="00233A17"/>
    <w:rsid w:val="002344FB"/>
    <w:rsid w:val="00236216"/>
    <w:rsid w:val="002405CD"/>
    <w:rsid w:val="00240B74"/>
    <w:rsid w:val="002420B3"/>
    <w:rsid w:val="00243B62"/>
    <w:rsid w:val="0024675B"/>
    <w:rsid w:val="002469DD"/>
    <w:rsid w:val="00247180"/>
    <w:rsid w:val="00254671"/>
    <w:rsid w:val="00257D36"/>
    <w:rsid w:val="00263C1C"/>
    <w:rsid w:val="00271415"/>
    <w:rsid w:val="00274FBE"/>
    <w:rsid w:val="002762E1"/>
    <w:rsid w:val="002771AC"/>
    <w:rsid w:val="002811BC"/>
    <w:rsid w:val="00283DE8"/>
    <w:rsid w:val="00285552"/>
    <w:rsid w:val="00285966"/>
    <w:rsid w:val="00285A0D"/>
    <w:rsid w:val="00290ED8"/>
    <w:rsid w:val="002933F8"/>
    <w:rsid w:val="0029517A"/>
    <w:rsid w:val="00296B49"/>
    <w:rsid w:val="002A03FC"/>
    <w:rsid w:val="002A1843"/>
    <w:rsid w:val="002A3D26"/>
    <w:rsid w:val="002A523E"/>
    <w:rsid w:val="002B1ADF"/>
    <w:rsid w:val="002B502E"/>
    <w:rsid w:val="002B657B"/>
    <w:rsid w:val="002B7ACA"/>
    <w:rsid w:val="002C0452"/>
    <w:rsid w:val="002C1796"/>
    <w:rsid w:val="002C2853"/>
    <w:rsid w:val="002C3E99"/>
    <w:rsid w:val="002C444C"/>
    <w:rsid w:val="002C458F"/>
    <w:rsid w:val="002C6C20"/>
    <w:rsid w:val="002C6C7A"/>
    <w:rsid w:val="002C7F78"/>
    <w:rsid w:val="002D5277"/>
    <w:rsid w:val="002D71FA"/>
    <w:rsid w:val="002D73AF"/>
    <w:rsid w:val="002E4FD9"/>
    <w:rsid w:val="002E5B58"/>
    <w:rsid w:val="002F0138"/>
    <w:rsid w:val="002F0995"/>
    <w:rsid w:val="002F0CA7"/>
    <w:rsid w:val="002F1437"/>
    <w:rsid w:val="002F3943"/>
    <w:rsid w:val="002F409A"/>
    <w:rsid w:val="002F4E34"/>
    <w:rsid w:val="002F6A42"/>
    <w:rsid w:val="002F79E7"/>
    <w:rsid w:val="003003EC"/>
    <w:rsid w:val="003035E3"/>
    <w:rsid w:val="0030363A"/>
    <w:rsid w:val="00307706"/>
    <w:rsid w:val="00307DD9"/>
    <w:rsid w:val="00312354"/>
    <w:rsid w:val="00317240"/>
    <w:rsid w:val="00317970"/>
    <w:rsid w:val="00317EB0"/>
    <w:rsid w:val="00320436"/>
    <w:rsid w:val="003224A4"/>
    <w:rsid w:val="00323945"/>
    <w:rsid w:val="00332700"/>
    <w:rsid w:val="00334176"/>
    <w:rsid w:val="003358BD"/>
    <w:rsid w:val="00344E88"/>
    <w:rsid w:val="00345D80"/>
    <w:rsid w:val="00346706"/>
    <w:rsid w:val="003471D4"/>
    <w:rsid w:val="00350BF1"/>
    <w:rsid w:val="00351BFB"/>
    <w:rsid w:val="00352CA3"/>
    <w:rsid w:val="00353C49"/>
    <w:rsid w:val="003540B1"/>
    <w:rsid w:val="003557E9"/>
    <w:rsid w:val="003560BA"/>
    <w:rsid w:val="00357B5B"/>
    <w:rsid w:val="00364CC6"/>
    <w:rsid w:val="003650F6"/>
    <w:rsid w:val="0036726C"/>
    <w:rsid w:val="003702B9"/>
    <w:rsid w:val="003737CE"/>
    <w:rsid w:val="00377F5E"/>
    <w:rsid w:val="00381913"/>
    <w:rsid w:val="003832D2"/>
    <w:rsid w:val="003845E5"/>
    <w:rsid w:val="00387057"/>
    <w:rsid w:val="003913BB"/>
    <w:rsid w:val="00393137"/>
    <w:rsid w:val="00394236"/>
    <w:rsid w:val="0039615F"/>
    <w:rsid w:val="00397406"/>
    <w:rsid w:val="003A3170"/>
    <w:rsid w:val="003A360E"/>
    <w:rsid w:val="003B1FB8"/>
    <w:rsid w:val="003B6ABC"/>
    <w:rsid w:val="003C428B"/>
    <w:rsid w:val="003C62FD"/>
    <w:rsid w:val="003C7D47"/>
    <w:rsid w:val="003D17FF"/>
    <w:rsid w:val="003D2871"/>
    <w:rsid w:val="003D2981"/>
    <w:rsid w:val="003D2F51"/>
    <w:rsid w:val="003D5B83"/>
    <w:rsid w:val="003E3706"/>
    <w:rsid w:val="003E6E47"/>
    <w:rsid w:val="003F0623"/>
    <w:rsid w:val="003F2A77"/>
    <w:rsid w:val="003F33DE"/>
    <w:rsid w:val="003F3A41"/>
    <w:rsid w:val="003F67E9"/>
    <w:rsid w:val="003F7631"/>
    <w:rsid w:val="0040086A"/>
    <w:rsid w:val="00401031"/>
    <w:rsid w:val="004023B7"/>
    <w:rsid w:val="004045A0"/>
    <w:rsid w:val="004123DC"/>
    <w:rsid w:val="00413CDB"/>
    <w:rsid w:val="004200FE"/>
    <w:rsid w:val="00421183"/>
    <w:rsid w:val="00421BA6"/>
    <w:rsid w:val="00421C17"/>
    <w:rsid w:val="00426CDE"/>
    <w:rsid w:val="004309D1"/>
    <w:rsid w:val="00433EA1"/>
    <w:rsid w:val="0043789E"/>
    <w:rsid w:val="004409F6"/>
    <w:rsid w:val="00441957"/>
    <w:rsid w:val="00443D32"/>
    <w:rsid w:val="00445FF9"/>
    <w:rsid w:val="0044671E"/>
    <w:rsid w:val="004469DD"/>
    <w:rsid w:val="004476B2"/>
    <w:rsid w:val="00447CE5"/>
    <w:rsid w:val="00447D6E"/>
    <w:rsid w:val="0045048F"/>
    <w:rsid w:val="0045181B"/>
    <w:rsid w:val="00452133"/>
    <w:rsid w:val="00452C7A"/>
    <w:rsid w:val="00454D4F"/>
    <w:rsid w:val="0045669C"/>
    <w:rsid w:val="00456B53"/>
    <w:rsid w:val="0046286E"/>
    <w:rsid w:val="004673A2"/>
    <w:rsid w:val="00471234"/>
    <w:rsid w:val="00472250"/>
    <w:rsid w:val="0047437C"/>
    <w:rsid w:val="00477522"/>
    <w:rsid w:val="00480E7B"/>
    <w:rsid w:val="00481DF7"/>
    <w:rsid w:val="004824EB"/>
    <w:rsid w:val="004843E5"/>
    <w:rsid w:val="00484BF6"/>
    <w:rsid w:val="0049052C"/>
    <w:rsid w:val="00493457"/>
    <w:rsid w:val="00494628"/>
    <w:rsid w:val="0049566B"/>
    <w:rsid w:val="004959FD"/>
    <w:rsid w:val="00497338"/>
    <w:rsid w:val="004A1650"/>
    <w:rsid w:val="004B1184"/>
    <w:rsid w:val="004B1750"/>
    <w:rsid w:val="004B26A0"/>
    <w:rsid w:val="004B4A3A"/>
    <w:rsid w:val="004B4C9D"/>
    <w:rsid w:val="004B5CE5"/>
    <w:rsid w:val="004B750E"/>
    <w:rsid w:val="004C1256"/>
    <w:rsid w:val="004C2244"/>
    <w:rsid w:val="004C23F1"/>
    <w:rsid w:val="004C2735"/>
    <w:rsid w:val="004C3264"/>
    <w:rsid w:val="004C4DCD"/>
    <w:rsid w:val="004C6C3A"/>
    <w:rsid w:val="004C71F4"/>
    <w:rsid w:val="004D069A"/>
    <w:rsid w:val="004D2E39"/>
    <w:rsid w:val="004D5C40"/>
    <w:rsid w:val="004D648D"/>
    <w:rsid w:val="004E01F5"/>
    <w:rsid w:val="004E297E"/>
    <w:rsid w:val="004E3CB5"/>
    <w:rsid w:val="004E407F"/>
    <w:rsid w:val="004E76CA"/>
    <w:rsid w:val="004F1698"/>
    <w:rsid w:val="00500C4E"/>
    <w:rsid w:val="00505CEC"/>
    <w:rsid w:val="0051020F"/>
    <w:rsid w:val="005123D3"/>
    <w:rsid w:val="00513CAB"/>
    <w:rsid w:val="00515B06"/>
    <w:rsid w:val="00516CF5"/>
    <w:rsid w:val="00521D5D"/>
    <w:rsid w:val="00523597"/>
    <w:rsid w:val="00523736"/>
    <w:rsid w:val="00526781"/>
    <w:rsid w:val="00532530"/>
    <w:rsid w:val="00535CA4"/>
    <w:rsid w:val="00542B2C"/>
    <w:rsid w:val="00543125"/>
    <w:rsid w:val="005476F6"/>
    <w:rsid w:val="00551D72"/>
    <w:rsid w:val="005540B6"/>
    <w:rsid w:val="005552C3"/>
    <w:rsid w:val="00560934"/>
    <w:rsid w:val="00563E58"/>
    <w:rsid w:val="00564960"/>
    <w:rsid w:val="00567063"/>
    <w:rsid w:val="00567E66"/>
    <w:rsid w:val="00570654"/>
    <w:rsid w:val="00570F38"/>
    <w:rsid w:val="005720F2"/>
    <w:rsid w:val="005729C8"/>
    <w:rsid w:val="00572D2F"/>
    <w:rsid w:val="005734A4"/>
    <w:rsid w:val="00583B5B"/>
    <w:rsid w:val="0059028D"/>
    <w:rsid w:val="00594EF5"/>
    <w:rsid w:val="005A0E53"/>
    <w:rsid w:val="005A1078"/>
    <w:rsid w:val="005A4658"/>
    <w:rsid w:val="005A496B"/>
    <w:rsid w:val="005B28C1"/>
    <w:rsid w:val="005B6344"/>
    <w:rsid w:val="005C0F38"/>
    <w:rsid w:val="005C162D"/>
    <w:rsid w:val="005C1C74"/>
    <w:rsid w:val="005C2E48"/>
    <w:rsid w:val="005C3F23"/>
    <w:rsid w:val="005D07A4"/>
    <w:rsid w:val="005D3ED2"/>
    <w:rsid w:val="005D4DD7"/>
    <w:rsid w:val="005E12A9"/>
    <w:rsid w:val="005E475B"/>
    <w:rsid w:val="005E57F5"/>
    <w:rsid w:val="005E673D"/>
    <w:rsid w:val="005E6C7E"/>
    <w:rsid w:val="005E74FE"/>
    <w:rsid w:val="005F139E"/>
    <w:rsid w:val="005F25D0"/>
    <w:rsid w:val="005F3F0E"/>
    <w:rsid w:val="005F457F"/>
    <w:rsid w:val="005F69D5"/>
    <w:rsid w:val="00602799"/>
    <w:rsid w:val="00602F18"/>
    <w:rsid w:val="00607C30"/>
    <w:rsid w:val="006110F3"/>
    <w:rsid w:val="00612041"/>
    <w:rsid w:val="0061430B"/>
    <w:rsid w:val="00614AFF"/>
    <w:rsid w:val="00615A3A"/>
    <w:rsid w:val="00616371"/>
    <w:rsid w:val="00616973"/>
    <w:rsid w:val="006171DA"/>
    <w:rsid w:val="00620081"/>
    <w:rsid w:val="00621ABA"/>
    <w:rsid w:val="0062322A"/>
    <w:rsid w:val="00624052"/>
    <w:rsid w:val="00631157"/>
    <w:rsid w:val="006404E6"/>
    <w:rsid w:val="0064680F"/>
    <w:rsid w:val="0064729D"/>
    <w:rsid w:val="00647ABE"/>
    <w:rsid w:val="006516BA"/>
    <w:rsid w:val="00654F3F"/>
    <w:rsid w:val="00656BF5"/>
    <w:rsid w:val="0066018B"/>
    <w:rsid w:val="00660610"/>
    <w:rsid w:val="00664B05"/>
    <w:rsid w:val="00665C04"/>
    <w:rsid w:val="0066682D"/>
    <w:rsid w:val="00667B57"/>
    <w:rsid w:val="006731A2"/>
    <w:rsid w:val="00674314"/>
    <w:rsid w:val="006746FE"/>
    <w:rsid w:val="00676E9F"/>
    <w:rsid w:val="006808CB"/>
    <w:rsid w:val="00680934"/>
    <w:rsid w:val="00680E70"/>
    <w:rsid w:val="00685D5C"/>
    <w:rsid w:val="00690879"/>
    <w:rsid w:val="0069264D"/>
    <w:rsid w:val="006951AB"/>
    <w:rsid w:val="0069578B"/>
    <w:rsid w:val="00697868"/>
    <w:rsid w:val="006A055F"/>
    <w:rsid w:val="006A126F"/>
    <w:rsid w:val="006A14E9"/>
    <w:rsid w:val="006A2A65"/>
    <w:rsid w:val="006A5293"/>
    <w:rsid w:val="006A5367"/>
    <w:rsid w:val="006A5852"/>
    <w:rsid w:val="006A67E4"/>
    <w:rsid w:val="006A6D15"/>
    <w:rsid w:val="006B0DF3"/>
    <w:rsid w:val="006B0F11"/>
    <w:rsid w:val="006B18B4"/>
    <w:rsid w:val="006B1EEC"/>
    <w:rsid w:val="006B27FA"/>
    <w:rsid w:val="006B4059"/>
    <w:rsid w:val="006B4A48"/>
    <w:rsid w:val="006C11C5"/>
    <w:rsid w:val="006C2C55"/>
    <w:rsid w:val="006C430A"/>
    <w:rsid w:val="006D14C6"/>
    <w:rsid w:val="006D2809"/>
    <w:rsid w:val="006D4BE7"/>
    <w:rsid w:val="006D69B3"/>
    <w:rsid w:val="006E1054"/>
    <w:rsid w:val="006E27A3"/>
    <w:rsid w:val="006E3342"/>
    <w:rsid w:val="006E4B12"/>
    <w:rsid w:val="006E5138"/>
    <w:rsid w:val="006E65D0"/>
    <w:rsid w:val="006F1B21"/>
    <w:rsid w:val="006F21E8"/>
    <w:rsid w:val="006F498B"/>
    <w:rsid w:val="006F78D5"/>
    <w:rsid w:val="0070004C"/>
    <w:rsid w:val="0070091B"/>
    <w:rsid w:val="007048AC"/>
    <w:rsid w:val="00704EF2"/>
    <w:rsid w:val="0071109B"/>
    <w:rsid w:val="0071373E"/>
    <w:rsid w:val="00716779"/>
    <w:rsid w:val="00720470"/>
    <w:rsid w:val="00726338"/>
    <w:rsid w:val="00726AD5"/>
    <w:rsid w:val="00733C7D"/>
    <w:rsid w:val="00740761"/>
    <w:rsid w:val="00745F77"/>
    <w:rsid w:val="007464DE"/>
    <w:rsid w:val="00751050"/>
    <w:rsid w:val="007529EA"/>
    <w:rsid w:val="00755173"/>
    <w:rsid w:val="00755A45"/>
    <w:rsid w:val="00756072"/>
    <w:rsid w:val="00756898"/>
    <w:rsid w:val="00760CDC"/>
    <w:rsid w:val="00764D0D"/>
    <w:rsid w:val="00770880"/>
    <w:rsid w:val="00777C53"/>
    <w:rsid w:val="00786E92"/>
    <w:rsid w:val="007933F1"/>
    <w:rsid w:val="007A03E4"/>
    <w:rsid w:val="007A5F52"/>
    <w:rsid w:val="007B090A"/>
    <w:rsid w:val="007B5E4A"/>
    <w:rsid w:val="007E43F8"/>
    <w:rsid w:val="007E4600"/>
    <w:rsid w:val="007E5076"/>
    <w:rsid w:val="007E656B"/>
    <w:rsid w:val="007F2997"/>
    <w:rsid w:val="007F50E8"/>
    <w:rsid w:val="007F54E2"/>
    <w:rsid w:val="007F7FBA"/>
    <w:rsid w:val="00800319"/>
    <w:rsid w:val="0080044E"/>
    <w:rsid w:val="00800706"/>
    <w:rsid w:val="008010AD"/>
    <w:rsid w:val="0080130B"/>
    <w:rsid w:val="0080189A"/>
    <w:rsid w:val="00801F7F"/>
    <w:rsid w:val="008033AE"/>
    <w:rsid w:val="00803C2B"/>
    <w:rsid w:val="00804B85"/>
    <w:rsid w:val="0080796D"/>
    <w:rsid w:val="00811945"/>
    <w:rsid w:val="00824F1C"/>
    <w:rsid w:val="00825596"/>
    <w:rsid w:val="00826688"/>
    <w:rsid w:val="00826E1F"/>
    <w:rsid w:val="008315D0"/>
    <w:rsid w:val="00832253"/>
    <w:rsid w:val="0083369B"/>
    <w:rsid w:val="00835D38"/>
    <w:rsid w:val="00843763"/>
    <w:rsid w:val="008456B1"/>
    <w:rsid w:val="00847A4E"/>
    <w:rsid w:val="008531AF"/>
    <w:rsid w:val="0085711C"/>
    <w:rsid w:val="00863260"/>
    <w:rsid w:val="00864A7A"/>
    <w:rsid w:val="00867B48"/>
    <w:rsid w:val="00871D79"/>
    <w:rsid w:val="0087393E"/>
    <w:rsid w:val="00881A42"/>
    <w:rsid w:val="00882386"/>
    <w:rsid w:val="0088361D"/>
    <w:rsid w:val="00885830"/>
    <w:rsid w:val="00885E0A"/>
    <w:rsid w:val="0088603B"/>
    <w:rsid w:val="008877AF"/>
    <w:rsid w:val="008878B8"/>
    <w:rsid w:val="00890413"/>
    <w:rsid w:val="00893FC3"/>
    <w:rsid w:val="0089577B"/>
    <w:rsid w:val="00895D99"/>
    <w:rsid w:val="008A243C"/>
    <w:rsid w:val="008A6F8B"/>
    <w:rsid w:val="008B1024"/>
    <w:rsid w:val="008B1357"/>
    <w:rsid w:val="008B2DF3"/>
    <w:rsid w:val="008B44F5"/>
    <w:rsid w:val="008C2E0E"/>
    <w:rsid w:val="008C4DE0"/>
    <w:rsid w:val="008D3930"/>
    <w:rsid w:val="008D67F9"/>
    <w:rsid w:val="008E1654"/>
    <w:rsid w:val="008E17CC"/>
    <w:rsid w:val="008E25B1"/>
    <w:rsid w:val="008E4A84"/>
    <w:rsid w:val="008E56FB"/>
    <w:rsid w:val="008E5FC4"/>
    <w:rsid w:val="008F05BC"/>
    <w:rsid w:val="008F2167"/>
    <w:rsid w:val="008F33B4"/>
    <w:rsid w:val="008F6298"/>
    <w:rsid w:val="008F72A9"/>
    <w:rsid w:val="0090077A"/>
    <w:rsid w:val="00900F47"/>
    <w:rsid w:val="00903BC1"/>
    <w:rsid w:val="00904ADA"/>
    <w:rsid w:val="009051B5"/>
    <w:rsid w:val="00905C64"/>
    <w:rsid w:val="00907697"/>
    <w:rsid w:val="00910A69"/>
    <w:rsid w:val="0091256B"/>
    <w:rsid w:val="00912CC8"/>
    <w:rsid w:val="009138A0"/>
    <w:rsid w:val="0091424C"/>
    <w:rsid w:val="00914562"/>
    <w:rsid w:val="00915D0F"/>
    <w:rsid w:val="0091609D"/>
    <w:rsid w:val="009168D9"/>
    <w:rsid w:val="00917DE4"/>
    <w:rsid w:val="00920905"/>
    <w:rsid w:val="00922B85"/>
    <w:rsid w:val="00930CDC"/>
    <w:rsid w:val="00931E45"/>
    <w:rsid w:val="00933188"/>
    <w:rsid w:val="00934704"/>
    <w:rsid w:val="00935AF9"/>
    <w:rsid w:val="009403A5"/>
    <w:rsid w:val="0094527F"/>
    <w:rsid w:val="00946B44"/>
    <w:rsid w:val="009500DC"/>
    <w:rsid w:val="009517FB"/>
    <w:rsid w:val="00951923"/>
    <w:rsid w:val="00956934"/>
    <w:rsid w:val="00962548"/>
    <w:rsid w:val="009634B1"/>
    <w:rsid w:val="00963B5D"/>
    <w:rsid w:val="00972C81"/>
    <w:rsid w:val="009731D1"/>
    <w:rsid w:val="009756A2"/>
    <w:rsid w:val="00977645"/>
    <w:rsid w:val="009818CC"/>
    <w:rsid w:val="00981CE3"/>
    <w:rsid w:val="009824E9"/>
    <w:rsid w:val="009826E5"/>
    <w:rsid w:val="0098280E"/>
    <w:rsid w:val="009844A1"/>
    <w:rsid w:val="00986E20"/>
    <w:rsid w:val="00987E22"/>
    <w:rsid w:val="00993ACD"/>
    <w:rsid w:val="00995479"/>
    <w:rsid w:val="0099593F"/>
    <w:rsid w:val="00995CB0"/>
    <w:rsid w:val="00997E77"/>
    <w:rsid w:val="009A2734"/>
    <w:rsid w:val="009B2A02"/>
    <w:rsid w:val="009B2B61"/>
    <w:rsid w:val="009B3D34"/>
    <w:rsid w:val="009B4090"/>
    <w:rsid w:val="009B5B7B"/>
    <w:rsid w:val="009C1777"/>
    <w:rsid w:val="009C2C86"/>
    <w:rsid w:val="009C2CCA"/>
    <w:rsid w:val="009C6FE0"/>
    <w:rsid w:val="009D0753"/>
    <w:rsid w:val="009D10A4"/>
    <w:rsid w:val="009D1862"/>
    <w:rsid w:val="009D5098"/>
    <w:rsid w:val="009D5131"/>
    <w:rsid w:val="009D6F71"/>
    <w:rsid w:val="009E1802"/>
    <w:rsid w:val="009E1CDE"/>
    <w:rsid w:val="009E2B06"/>
    <w:rsid w:val="009E3829"/>
    <w:rsid w:val="009E51E2"/>
    <w:rsid w:val="009F47FE"/>
    <w:rsid w:val="009F7A61"/>
    <w:rsid w:val="00A07CF2"/>
    <w:rsid w:val="00A11800"/>
    <w:rsid w:val="00A11C16"/>
    <w:rsid w:val="00A1423E"/>
    <w:rsid w:val="00A17664"/>
    <w:rsid w:val="00A201FD"/>
    <w:rsid w:val="00A20FAF"/>
    <w:rsid w:val="00A24520"/>
    <w:rsid w:val="00A24BA2"/>
    <w:rsid w:val="00A303CA"/>
    <w:rsid w:val="00A30A1B"/>
    <w:rsid w:val="00A3164A"/>
    <w:rsid w:val="00A37F42"/>
    <w:rsid w:val="00A4411F"/>
    <w:rsid w:val="00A45349"/>
    <w:rsid w:val="00A500D6"/>
    <w:rsid w:val="00A523FF"/>
    <w:rsid w:val="00A54756"/>
    <w:rsid w:val="00A54C66"/>
    <w:rsid w:val="00A55377"/>
    <w:rsid w:val="00A57D36"/>
    <w:rsid w:val="00A61BB6"/>
    <w:rsid w:val="00A61D29"/>
    <w:rsid w:val="00A63D8A"/>
    <w:rsid w:val="00A65734"/>
    <w:rsid w:val="00A6687F"/>
    <w:rsid w:val="00A67907"/>
    <w:rsid w:val="00A7109C"/>
    <w:rsid w:val="00A71F45"/>
    <w:rsid w:val="00A72C6F"/>
    <w:rsid w:val="00A732C2"/>
    <w:rsid w:val="00A738B5"/>
    <w:rsid w:val="00A73CC1"/>
    <w:rsid w:val="00A80270"/>
    <w:rsid w:val="00A821C2"/>
    <w:rsid w:val="00A82DB1"/>
    <w:rsid w:val="00A84127"/>
    <w:rsid w:val="00A842C3"/>
    <w:rsid w:val="00A84BF9"/>
    <w:rsid w:val="00A84D53"/>
    <w:rsid w:val="00A86529"/>
    <w:rsid w:val="00A86DA2"/>
    <w:rsid w:val="00A87D83"/>
    <w:rsid w:val="00A90627"/>
    <w:rsid w:val="00A90DFC"/>
    <w:rsid w:val="00A90F1A"/>
    <w:rsid w:val="00A91BF3"/>
    <w:rsid w:val="00A949BA"/>
    <w:rsid w:val="00AA0A9C"/>
    <w:rsid w:val="00AA12C9"/>
    <w:rsid w:val="00AA16C0"/>
    <w:rsid w:val="00AA35C9"/>
    <w:rsid w:val="00AA4CDC"/>
    <w:rsid w:val="00AB21D4"/>
    <w:rsid w:val="00AB21F5"/>
    <w:rsid w:val="00AB3068"/>
    <w:rsid w:val="00AB3386"/>
    <w:rsid w:val="00AB36DB"/>
    <w:rsid w:val="00AC0B1D"/>
    <w:rsid w:val="00AC2F5B"/>
    <w:rsid w:val="00AC3DAD"/>
    <w:rsid w:val="00AC5309"/>
    <w:rsid w:val="00AC59D2"/>
    <w:rsid w:val="00AC5B97"/>
    <w:rsid w:val="00AD4DD0"/>
    <w:rsid w:val="00AE0A8D"/>
    <w:rsid w:val="00AF1236"/>
    <w:rsid w:val="00AF28C9"/>
    <w:rsid w:val="00AF3F7F"/>
    <w:rsid w:val="00AF6342"/>
    <w:rsid w:val="00B00FC6"/>
    <w:rsid w:val="00B04EF8"/>
    <w:rsid w:val="00B053FB"/>
    <w:rsid w:val="00B05647"/>
    <w:rsid w:val="00B061F4"/>
    <w:rsid w:val="00B076CA"/>
    <w:rsid w:val="00B07EE5"/>
    <w:rsid w:val="00B21CC5"/>
    <w:rsid w:val="00B21F5B"/>
    <w:rsid w:val="00B26778"/>
    <w:rsid w:val="00B26B83"/>
    <w:rsid w:val="00B279AB"/>
    <w:rsid w:val="00B32479"/>
    <w:rsid w:val="00B325A4"/>
    <w:rsid w:val="00B33FE2"/>
    <w:rsid w:val="00B4002B"/>
    <w:rsid w:val="00B403ED"/>
    <w:rsid w:val="00B4065F"/>
    <w:rsid w:val="00B44975"/>
    <w:rsid w:val="00B45091"/>
    <w:rsid w:val="00B45447"/>
    <w:rsid w:val="00B47AE1"/>
    <w:rsid w:val="00B614F1"/>
    <w:rsid w:val="00B66EE1"/>
    <w:rsid w:val="00B7351D"/>
    <w:rsid w:val="00B848AE"/>
    <w:rsid w:val="00B866B4"/>
    <w:rsid w:val="00B916CA"/>
    <w:rsid w:val="00B94226"/>
    <w:rsid w:val="00B9535C"/>
    <w:rsid w:val="00BA0A8C"/>
    <w:rsid w:val="00BA0CEB"/>
    <w:rsid w:val="00BA2383"/>
    <w:rsid w:val="00BA23D6"/>
    <w:rsid w:val="00BA2E7E"/>
    <w:rsid w:val="00BA590A"/>
    <w:rsid w:val="00BA5FE4"/>
    <w:rsid w:val="00BB0682"/>
    <w:rsid w:val="00BB0B39"/>
    <w:rsid w:val="00BB30D1"/>
    <w:rsid w:val="00BB39D8"/>
    <w:rsid w:val="00BB5F75"/>
    <w:rsid w:val="00BC252F"/>
    <w:rsid w:val="00BC6524"/>
    <w:rsid w:val="00BD3931"/>
    <w:rsid w:val="00BD5B88"/>
    <w:rsid w:val="00BD5F58"/>
    <w:rsid w:val="00BD64D3"/>
    <w:rsid w:val="00BE0AEB"/>
    <w:rsid w:val="00BE17B9"/>
    <w:rsid w:val="00BE56F6"/>
    <w:rsid w:val="00BE7224"/>
    <w:rsid w:val="00BF3845"/>
    <w:rsid w:val="00BF6C6E"/>
    <w:rsid w:val="00C018E0"/>
    <w:rsid w:val="00C05AAF"/>
    <w:rsid w:val="00C118C7"/>
    <w:rsid w:val="00C17CAC"/>
    <w:rsid w:val="00C20877"/>
    <w:rsid w:val="00C20E7B"/>
    <w:rsid w:val="00C21456"/>
    <w:rsid w:val="00C24889"/>
    <w:rsid w:val="00C24D03"/>
    <w:rsid w:val="00C25E61"/>
    <w:rsid w:val="00C3448B"/>
    <w:rsid w:val="00C35A1B"/>
    <w:rsid w:val="00C413F3"/>
    <w:rsid w:val="00C51BB1"/>
    <w:rsid w:val="00C54EFF"/>
    <w:rsid w:val="00C55D03"/>
    <w:rsid w:val="00C5632C"/>
    <w:rsid w:val="00C63548"/>
    <w:rsid w:val="00C63CCF"/>
    <w:rsid w:val="00C63F96"/>
    <w:rsid w:val="00C65450"/>
    <w:rsid w:val="00C677AF"/>
    <w:rsid w:val="00C67E59"/>
    <w:rsid w:val="00C72B8B"/>
    <w:rsid w:val="00C72CB5"/>
    <w:rsid w:val="00C7618D"/>
    <w:rsid w:val="00C76D4F"/>
    <w:rsid w:val="00C805BC"/>
    <w:rsid w:val="00C876F7"/>
    <w:rsid w:val="00C905A6"/>
    <w:rsid w:val="00C90E57"/>
    <w:rsid w:val="00C959CA"/>
    <w:rsid w:val="00C95D16"/>
    <w:rsid w:val="00CA2AB4"/>
    <w:rsid w:val="00CA3DDF"/>
    <w:rsid w:val="00CA3EB8"/>
    <w:rsid w:val="00CB0100"/>
    <w:rsid w:val="00CB04D2"/>
    <w:rsid w:val="00CB146C"/>
    <w:rsid w:val="00CC16AC"/>
    <w:rsid w:val="00CC20E7"/>
    <w:rsid w:val="00CC22BF"/>
    <w:rsid w:val="00CC41BC"/>
    <w:rsid w:val="00CC4EC8"/>
    <w:rsid w:val="00CD016D"/>
    <w:rsid w:val="00CD7EFE"/>
    <w:rsid w:val="00CE0C66"/>
    <w:rsid w:val="00CE28CF"/>
    <w:rsid w:val="00CE4386"/>
    <w:rsid w:val="00CE4CDC"/>
    <w:rsid w:val="00CE5BEB"/>
    <w:rsid w:val="00CE69E9"/>
    <w:rsid w:val="00CE71F2"/>
    <w:rsid w:val="00CF0879"/>
    <w:rsid w:val="00CF3F65"/>
    <w:rsid w:val="00CF464D"/>
    <w:rsid w:val="00CF67F4"/>
    <w:rsid w:val="00D17EF4"/>
    <w:rsid w:val="00D23770"/>
    <w:rsid w:val="00D25074"/>
    <w:rsid w:val="00D276C1"/>
    <w:rsid w:val="00D307E3"/>
    <w:rsid w:val="00D34517"/>
    <w:rsid w:val="00D36798"/>
    <w:rsid w:val="00D36B3F"/>
    <w:rsid w:val="00D44C26"/>
    <w:rsid w:val="00D4502F"/>
    <w:rsid w:val="00D468AD"/>
    <w:rsid w:val="00D47BB9"/>
    <w:rsid w:val="00D47E80"/>
    <w:rsid w:val="00D5433D"/>
    <w:rsid w:val="00D54386"/>
    <w:rsid w:val="00D569AF"/>
    <w:rsid w:val="00D64359"/>
    <w:rsid w:val="00D70563"/>
    <w:rsid w:val="00D70D89"/>
    <w:rsid w:val="00D72051"/>
    <w:rsid w:val="00D7380B"/>
    <w:rsid w:val="00D75D77"/>
    <w:rsid w:val="00D7639E"/>
    <w:rsid w:val="00D835EF"/>
    <w:rsid w:val="00D85F09"/>
    <w:rsid w:val="00D86A9D"/>
    <w:rsid w:val="00D90CAC"/>
    <w:rsid w:val="00D92B9E"/>
    <w:rsid w:val="00DA089A"/>
    <w:rsid w:val="00DA11A0"/>
    <w:rsid w:val="00DA2822"/>
    <w:rsid w:val="00DA36EB"/>
    <w:rsid w:val="00DA3D8A"/>
    <w:rsid w:val="00DA690B"/>
    <w:rsid w:val="00DA7225"/>
    <w:rsid w:val="00DB44E9"/>
    <w:rsid w:val="00DB68DA"/>
    <w:rsid w:val="00DC1966"/>
    <w:rsid w:val="00DC3259"/>
    <w:rsid w:val="00DC40CA"/>
    <w:rsid w:val="00DD0523"/>
    <w:rsid w:val="00DE152F"/>
    <w:rsid w:val="00DE1638"/>
    <w:rsid w:val="00DE1AFD"/>
    <w:rsid w:val="00DE5758"/>
    <w:rsid w:val="00DE5FCF"/>
    <w:rsid w:val="00DE7658"/>
    <w:rsid w:val="00DF0D19"/>
    <w:rsid w:val="00DF2EE9"/>
    <w:rsid w:val="00DF3F7F"/>
    <w:rsid w:val="00DF4C3C"/>
    <w:rsid w:val="00DF6FD8"/>
    <w:rsid w:val="00E02AA0"/>
    <w:rsid w:val="00E03CD6"/>
    <w:rsid w:val="00E04289"/>
    <w:rsid w:val="00E05A80"/>
    <w:rsid w:val="00E06A37"/>
    <w:rsid w:val="00E071A5"/>
    <w:rsid w:val="00E07752"/>
    <w:rsid w:val="00E07BD7"/>
    <w:rsid w:val="00E1250B"/>
    <w:rsid w:val="00E13DD6"/>
    <w:rsid w:val="00E14CEE"/>
    <w:rsid w:val="00E16609"/>
    <w:rsid w:val="00E16E63"/>
    <w:rsid w:val="00E16F08"/>
    <w:rsid w:val="00E17E93"/>
    <w:rsid w:val="00E233F3"/>
    <w:rsid w:val="00E26B34"/>
    <w:rsid w:val="00E314BA"/>
    <w:rsid w:val="00E325BE"/>
    <w:rsid w:val="00E326BA"/>
    <w:rsid w:val="00E34202"/>
    <w:rsid w:val="00E37F72"/>
    <w:rsid w:val="00E404C4"/>
    <w:rsid w:val="00E408EA"/>
    <w:rsid w:val="00E40BE5"/>
    <w:rsid w:val="00E40CF9"/>
    <w:rsid w:val="00E428FD"/>
    <w:rsid w:val="00E42A30"/>
    <w:rsid w:val="00E46129"/>
    <w:rsid w:val="00E4776A"/>
    <w:rsid w:val="00E5324B"/>
    <w:rsid w:val="00E5625D"/>
    <w:rsid w:val="00E566EF"/>
    <w:rsid w:val="00E648BB"/>
    <w:rsid w:val="00E67413"/>
    <w:rsid w:val="00E67ACA"/>
    <w:rsid w:val="00E70E52"/>
    <w:rsid w:val="00E7651E"/>
    <w:rsid w:val="00E76B31"/>
    <w:rsid w:val="00E81F3E"/>
    <w:rsid w:val="00E844BB"/>
    <w:rsid w:val="00E84C48"/>
    <w:rsid w:val="00E859BD"/>
    <w:rsid w:val="00E86B70"/>
    <w:rsid w:val="00E87C8F"/>
    <w:rsid w:val="00E924C3"/>
    <w:rsid w:val="00E954EE"/>
    <w:rsid w:val="00E95AAC"/>
    <w:rsid w:val="00E96759"/>
    <w:rsid w:val="00E96DA3"/>
    <w:rsid w:val="00EA4437"/>
    <w:rsid w:val="00EA4D87"/>
    <w:rsid w:val="00EA75F0"/>
    <w:rsid w:val="00EB34FC"/>
    <w:rsid w:val="00EB63C2"/>
    <w:rsid w:val="00EB76E1"/>
    <w:rsid w:val="00EC2499"/>
    <w:rsid w:val="00ED1A3D"/>
    <w:rsid w:val="00ED2300"/>
    <w:rsid w:val="00EE28A2"/>
    <w:rsid w:val="00EE29DF"/>
    <w:rsid w:val="00EE39C1"/>
    <w:rsid w:val="00EE4120"/>
    <w:rsid w:val="00EE782F"/>
    <w:rsid w:val="00EF2E8A"/>
    <w:rsid w:val="00EF4C67"/>
    <w:rsid w:val="00EF4E6B"/>
    <w:rsid w:val="00EF5416"/>
    <w:rsid w:val="00F00BDC"/>
    <w:rsid w:val="00F01E66"/>
    <w:rsid w:val="00F06CCF"/>
    <w:rsid w:val="00F1053D"/>
    <w:rsid w:val="00F110D5"/>
    <w:rsid w:val="00F11E63"/>
    <w:rsid w:val="00F12733"/>
    <w:rsid w:val="00F139BF"/>
    <w:rsid w:val="00F14471"/>
    <w:rsid w:val="00F15955"/>
    <w:rsid w:val="00F171E1"/>
    <w:rsid w:val="00F20B42"/>
    <w:rsid w:val="00F20DCF"/>
    <w:rsid w:val="00F25B36"/>
    <w:rsid w:val="00F25BD7"/>
    <w:rsid w:val="00F25D34"/>
    <w:rsid w:val="00F3052A"/>
    <w:rsid w:val="00F341E3"/>
    <w:rsid w:val="00F343E8"/>
    <w:rsid w:val="00F35D09"/>
    <w:rsid w:val="00F4304D"/>
    <w:rsid w:val="00F431E2"/>
    <w:rsid w:val="00F4540A"/>
    <w:rsid w:val="00F46612"/>
    <w:rsid w:val="00F47024"/>
    <w:rsid w:val="00F474EF"/>
    <w:rsid w:val="00F4752B"/>
    <w:rsid w:val="00F476E8"/>
    <w:rsid w:val="00F53E04"/>
    <w:rsid w:val="00F541AE"/>
    <w:rsid w:val="00F56792"/>
    <w:rsid w:val="00F571A6"/>
    <w:rsid w:val="00F6018B"/>
    <w:rsid w:val="00F60265"/>
    <w:rsid w:val="00F60E32"/>
    <w:rsid w:val="00F644FF"/>
    <w:rsid w:val="00F64AF8"/>
    <w:rsid w:val="00F65ABA"/>
    <w:rsid w:val="00F65E15"/>
    <w:rsid w:val="00F7242E"/>
    <w:rsid w:val="00F74B33"/>
    <w:rsid w:val="00F810DD"/>
    <w:rsid w:val="00F95E2F"/>
    <w:rsid w:val="00F96DEB"/>
    <w:rsid w:val="00FA1872"/>
    <w:rsid w:val="00FA2332"/>
    <w:rsid w:val="00FA4F34"/>
    <w:rsid w:val="00FB1D2A"/>
    <w:rsid w:val="00FB2590"/>
    <w:rsid w:val="00FB3AC7"/>
    <w:rsid w:val="00FB6308"/>
    <w:rsid w:val="00FB7FF2"/>
    <w:rsid w:val="00FD5A8C"/>
    <w:rsid w:val="00FE286E"/>
    <w:rsid w:val="00FE3233"/>
    <w:rsid w:val="00FE4C68"/>
    <w:rsid w:val="00FE4C9D"/>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5F77E0EA"/>
  <w15:docId w15:val="{078F9E97-7FF2-435F-8D39-0E0B5993A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4">
    <w:name w:val="heading 4"/>
    <w:basedOn w:val="Heading3"/>
    <w:next w:val="Normal"/>
    <w:link w:val="Heading4Char"/>
    <w:uiPriority w:val="9"/>
    <w:unhideWhenUsed/>
    <w:qFormat/>
    <w:rsid w:val="00756072"/>
    <w:pPr>
      <w:keepLines/>
      <w:outlineLvl w:val="3"/>
    </w:pPr>
    <w:rPr>
      <w:rFonts w:asciiTheme="minorHAnsi" w:eastAsiaTheme="majorEastAsia" w:hAnsiTheme="minorHAnsi" w:cstheme="majorBid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Table Contemporary Black Header"/>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BodyText">
    <w:name w:val="Body Text"/>
    <w:basedOn w:val="Normal"/>
    <w:link w:val="BodyTextChar"/>
    <w:semiHidden/>
    <w:rsid w:val="00660610"/>
    <w:rPr>
      <w:rFonts w:ascii="Times New Roman" w:hAnsi="Times New Roman"/>
      <w:sz w:val="18"/>
      <w:szCs w:val="18"/>
    </w:rPr>
  </w:style>
  <w:style w:type="character" w:customStyle="1" w:styleId="BodyTextChar">
    <w:name w:val="Body Text Char"/>
    <w:basedOn w:val="DefaultParagraphFont"/>
    <w:link w:val="BodyText"/>
    <w:semiHidden/>
    <w:rsid w:val="00660610"/>
    <w:rPr>
      <w:rFonts w:ascii="Times New Roman" w:eastAsia="Times New Roman" w:hAnsi="Times New Roman" w:cs="Times New Roman"/>
      <w:sz w:val="18"/>
      <w:szCs w:val="18"/>
    </w:rPr>
  </w:style>
  <w:style w:type="paragraph" w:styleId="Revision">
    <w:name w:val="Revision"/>
    <w:hidden/>
    <w:uiPriority w:val="99"/>
    <w:semiHidden/>
    <w:rsid w:val="00A55377"/>
    <w:pPr>
      <w:spacing w:after="0" w:line="240" w:lineRule="auto"/>
    </w:pPr>
    <w:rPr>
      <w:rFonts w:eastAsia="Times New Roman" w:cs="Times New Roman"/>
      <w:szCs w:val="24"/>
    </w:rPr>
  </w:style>
  <w:style w:type="character" w:customStyle="1" w:styleId="Heading4Char">
    <w:name w:val="Heading 4 Char"/>
    <w:basedOn w:val="DefaultParagraphFont"/>
    <w:link w:val="Heading4"/>
    <w:uiPriority w:val="9"/>
    <w:rsid w:val="00756072"/>
    <w:rPr>
      <w:rFonts w:eastAsiaTheme="majorEastAsia" w:cstheme="majorBidi"/>
      <w:b/>
      <w:bCs/>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848314">
      <w:bodyDiv w:val="1"/>
      <w:marLeft w:val="0"/>
      <w:marRight w:val="0"/>
      <w:marTop w:val="0"/>
      <w:marBottom w:val="0"/>
      <w:divBdr>
        <w:top w:val="none" w:sz="0" w:space="0" w:color="auto"/>
        <w:left w:val="none" w:sz="0" w:space="0" w:color="auto"/>
        <w:bottom w:val="none" w:sz="0" w:space="0" w:color="auto"/>
        <w:right w:val="none" w:sz="0" w:space="0" w:color="auto"/>
      </w:divBdr>
    </w:div>
    <w:div w:id="63166847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31946588">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18993996">
      <w:bodyDiv w:val="1"/>
      <w:marLeft w:val="0"/>
      <w:marRight w:val="0"/>
      <w:marTop w:val="0"/>
      <w:marBottom w:val="0"/>
      <w:divBdr>
        <w:top w:val="none" w:sz="0" w:space="0" w:color="auto"/>
        <w:left w:val="none" w:sz="0" w:space="0" w:color="auto"/>
        <w:bottom w:val="none" w:sz="0" w:space="0" w:color="auto"/>
        <w:right w:val="none" w:sz="0" w:space="0" w:color="auto"/>
      </w:divBdr>
    </w:div>
    <w:div w:id="1705907068">
      <w:bodyDiv w:val="1"/>
      <w:marLeft w:val="0"/>
      <w:marRight w:val="0"/>
      <w:marTop w:val="0"/>
      <w:marBottom w:val="0"/>
      <w:divBdr>
        <w:top w:val="none" w:sz="0" w:space="0" w:color="auto"/>
        <w:left w:val="none" w:sz="0" w:space="0" w:color="auto"/>
        <w:bottom w:val="none" w:sz="0" w:space="0" w:color="auto"/>
        <w:right w:val="none" w:sz="0" w:space="0" w:color="auto"/>
      </w:divBdr>
    </w:div>
    <w:div w:id="1716545111">
      <w:bodyDiv w:val="1"/>
      <w:marLeft w:val="0"/>
      <w:marRight w:val="0"/>
      <w:marTop w:val="0"/>
      <w:marBottom w:val="0"/>
      <w:divBdr>
        <w:top w:val="none" w:sz="0" w:space="0" w:color="auto"/>
        <w:left w:val="none" w:sz="0" w:space="0" w:color="auto"/>
        <w:bottom w:val="none" w:sz="0" w:space="0" w:color="auto"/>
        <w:right w:val="none" w:sz="0" w:space="0" w:color="auto"/>
      </w:divBdr>
    </w:div>
    <w:div w:id="209527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aenergywise.com/rebate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caltf.org/" TargetMode="Externa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103DD"/>
    <w:rsid w:val="000862B5"/>
    <w:rsid w:val="000A4661"/>
    <w:rsid w:val="00146151"/>
    <w:rsid w:val="00186413"/>
    <w:rsid w:val="00204A7F"/>
    <w:rsid w:val="002078A1"/>
    <w:rsid w:val="00261409"/>
    <w:rsid w:val="002926DF"/>
    <w:rsid w:val="002B514B"/>
    <w:rsid w:val="002C0C03"/>
    <w:rsid w:val="002F1347"/>
    <w:rsid w:val="00311B0D"/>
    <w:rsid w:val="00327AE5"/>
    <w:rsid w:val="003A131F"/>
    <w:rsid w:val="003B36F3"/>
    <w:rsid w:val="004311FC"/>
    <w:rsid w:val="00477478"/>
    <w:rsid w:val="005558FE"/>
    <w:rsid w:val="00560392"/>
    <w:rsid w:val="005D1550"/>
    <w:rsid w:val="005E73B8"/>
    <w:rsid w:val="0068661A"/>
    <w:rsid w:val="006A6F0F"/>
    <w:rsid w:val="006B7FA8"/>
    <w:rsid w:val="00784484"/>
    <w:rsid w:val="007B4BE7"/>
    <w:rsid w:val="007F5F20"/>
    <w:rsid w:val="008211B5"/>
    <w:rsid w:val="00874653"/>
    <w:rsid w:val="008A3868"/>
    <w:rsid w:val="008C5B97"/>
    <w:rsid w:val="00933D51"/>
    <w:rsid w:val="009D7CF3"/>
    <w:rsid w:val="009E16BE"/>
    <w:rsid w:val="00A021EE"/>
    <w:rsid w:val="00A5022A"/>
    <w:rsid w:val="00AE4C28"/>
    <w:rsid w:val="00AF2C4B"/>
    <w:rsid w:val="00B73964"/>
    <w:rsid w:val="00B74704"/>
    <w:rsid w:val="00B93480"/>
    <w:rsid w:val="00BA0273"/>
    <w:rsid w:val="00BD3D5D"/>
    <w:rsid w:val="00BF0911"/>
    <w:rsid w:val="00C15B47"/>
    <w:rsid w:val="00C570D4"/>
    <w:rsid w:val="00C62840"/>
    <w:rsid w:val="00C74ECB"/>
    <w:rsid w:val="00C9405D"/>
    <w:rsid w:val="00C947B8"/>
    <w:rsid w:val="00CB0066"/>
    <w:rsid w:val="00CE5AD1"/>
    <w:rsid w:val="00CE5FE0"/>
    <w:rsid w:val="00CF6CFA"/>
    <w:rsid w:val="00D0496D"/>
    <w:rsid w:val="00D051F5"/>
    <w:rsid w:val="00D263FB"/>
    <w:rsid w:val="00D34994"/>
    <w:rsid w:val="00D55408"/>
    <w:rsid w:val="00D66681"/>
    <w:rsid w:val="00DD2E5E"/>
    <w:rsid w:val="00DE2794"/>
    <w:rsid w:val="00EA686F"/>
    <w:rsid w:val="00EC1782"/>
    <w:rsid w:val="00EC59D9"/>
    <w:rsid w:val="00F020DD"/>
    <w:rsid w:val="00F27F3D"/>
    <w:rsid w:val="00F7350A"/>
    <w:rsid w:val="00FB6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2018-08-30T00:00:00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8354AA-1F21-41CC-AB01-27ADABDF9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3482</Words>
  <Characters>19853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SCE17CC012</vt:lpstr>
    </vt:vector>
  </TitlesOfParts>
  <Company>Southern California Edison</Company>
  <LinksUpToDate>false</LinksUpToDate>
  <CharactersWithSpaces>23289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SCE17CC012</dc:title>
  <dc:creator>Jim Wyatt (PG&amp;E);Jason Wang (SCE)</dc:creator>
  <cp:lastModifiedBy>Jay Bhakta</cp:lastModifiedBy>
  <cp:revision>2</cp:revision>
  <dcterms:created xsi:type="dcterms:W3CDTF">2018-09-04T13:30:00Z</dcterms:created>
  <dcterms:modified xsi:type="dcterms:W3CDTF">2018-09-04T13:30:00Z</dcterms:modified>
  <cp:contentStatus>Revision 1</cp:contentStatus>
</cp:coreProperties>
</file>