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48B9C8" w14:textId="77777777" w:rsidR="004E2B7C" w:rsidRDefault="004E2B7C" w:rsidP="00A57D36">
      <w:pPr>
        <w:pStyle w:val="WPnumber"/>
      </w:pPr>
      <w:bookmarkStart w:id="0" w:name="_Toc153189647"/>
      <w:bookmarkStart w:id="1" w:name="_Toc214003082"/>
    </w:p>
    <w:p w14:paraId="4D9C0893" w14:textId="1F6D9A7C" w:rsidR="003F3A41" w:rsidRPr="00500C4E" w:rsidRDefault="00A57D36" w:rsidP="00A57D36">
      <w:pPr>
        <w:pStyle w:val="WPnumber"/>
      </w:pPr>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DE6483" w:rsidRPr="00A238A3">
            <w:t>SCE1</w:t>
          </w:r>
          <w:r w:rsidR="00DE6483">
            <w:t>7</w:t>
          </w:r>
          <w:r w:rsidR="00DE6483" w:rsidRPr="00A238A3">
            <w:t>CC008</w:t>
          </w:r>
        </w:sdtContent>
      </w:sdt>
    </w:p>
    <w:bookmarkEnd w:id="0"/>
    <w:p w14:paraId="7601CE2F" w14:textId="7D167749" w:rsidR="00DA690B" w:rsidRPr="00500C4E" w:rsidRDefault="005C7320"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DE6483" w:rsidRPr="00500C4E">
            <w:rPr>
              <w:rStyle w:val="CaptionChar"/>
              <w:rFonts w:asciiTheme="minorHAnsi" w:hAnsiTheme="minorHAnsi" w:cstheme="minorHAnsi"/>
              <w:b/>
              <w:bCs w:val="0"/>
              <w:sz w:val="48"/>
              <w:szCs w:val="48"/>
            </w:rPr>
            <w:t xml:space="preserve">Revision </w:t>
          </w:r>
          <w:r w:rsidR="00DE6483">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5C7320"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45B14922" w:rsidR="00DA690B" w:rsidRPr="00500C4E" w:rsidRDefault="006B32D6" w:rsidP="00DA690B">
      <w:pPr>
        <w:rPr>
          <w:rFonts w:cstheme="minorHAnsi"/>
          <w:b/>
          <w:sz w:val="72"/>
          <w:szCs w:val="72"/>
        </w:rPr>
      </w:pPr>
      <w:r w:rsidRPr="005328DA">
        <w:rPr>
          <w:b/>
          <w:sz w:val="72"/>
        </w:rPr>
        <w:t>Commercial Kitchen Exhaust Hoods Demand Controlled Ventilation</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B02D4D" w:rsidRPr="00500C4E" w14:paraId="4D3A4AB5" w14:textId="77777777" w:rsidTr="00920905">
        <w:trPr>
          <w:trHeight w:val="465"/>
        </w:trPr>
        <w:tc>
          <w:tcPr>
            <w:tcW w:w="1875" w:type="pct"/>
          </w:tcPr>
          <w:p w14:paraId="4D8DADAE" w14:textId="129EB9BE" w:rsidR="00B02D4D" w:rsidRPr="00920905" w:rsidRDefault="00B02D4D" w:rsidP="00B02D4D">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0F8E5B68" w:rsidR="00B02D4D" w:rsidRPr="00500C4E" w:rsidRDefault="004976F6">
            <w:pPr>
              <w:rPr>
                <w:rFonts w:cs="Arial"/>
                <w:bCs/>
                <w:color w:val="FF0000"/>
                <w:szCs w:val="20"/>
              </w:rPr>
            </w:pPr>
            <w:r>
              <w:rPr>
                <w:rFonts w:cstheme="minorBidi"/>
              </w:rPr>
              <w:t>FS-</w:t>
            </w:r>
            <w:r w:rsidR="00836A35">
              <w:rPr>
                <w:rFonts w:cstheme="minorBidi"/>
              </w:rPr>
              <w:t>20154</w:t>
            </w:r>
            <w:r w:rsidR="00CC03BA">
              <w:rPr>
                <w:rFonts w:cstheme="minorBidi"/>
              </w:rPr>
              <w:t xml:space="preserve">, </w:t>
            </w:r>
            <w:r w:rsidR="00CC03BA" w:rsidRPr="00E53EDA">
              <w:rPr>
                <w:rFonts w:cstheme="minorBidi"/>
              </w:rPr>
              <w:t>FS-17337</w:t>
            </w:r>
          </w:p>
        </w:tc>
      </w:tr>
      <w:tr w:rsidR="00B02D4D" w:rsidRPr="00500C4E" w14:paraId="63B310F0" w14:textId="77777777" w:rsidTr="00920905">
        <w:trPr>
          <w:trHeight w:val="465"/>
        </w:trPr>
        <w:tc>
          <w:tcPr>
            <w:tcW w:w="1875" w:type="pct"/>
          </w:tcPr>
          <w:p w14:paraId="5050E2A3" w14:textId="2CBF1387" w:rsidR="00B02D4D" w:rsidRPr="00500C4E" w:rsidRDefault="00B02D4D" w:rsidP="00B02D4D">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37FAEC17" w:rsidR="00B02D4D" w:rsidRPr="00500C4E" w:rsidRDefault="00B02D4D" w:rsidP="00B02D4D">
            <w:pPr>
              <w:rPr>
                <w:rFonts w:cs="Arial"/>
                <w:color w:val="FF0000"/>
                <w:szCs w:val="20"/>
              </w:rPr>
            </w:pPr>
            <w:r w:rsidRPr="00E53EDA">
              <w:rPr>
                <w:rFonts w:cstheme="minorBidi"/>
              </w:rPr>
              <w:t>Commercial Kitchen Exhaust Hoods Demand Controlled Ventilation</w:t>
            </w:r>
          </w:p>
        </w:tc>
      </w:tr>
      <w:tr w:rsidR="00B02D4D" w:rsidRPr="00500C4E" w14:paraId="085771EF" w14:textId="77777777" w:rsidTr="00920905">
        <w:trPr>
          <w:trHeight w:val="465"/>
        </w:trPr>
        <w:tc>
          <w:tcPr>
            <w:tcW w:w="1875" w:type="pct"/>
          </w:tcPr>
          <w:p w14:paraId="679DB8A0" w14:textId="3D691398" w:rsidR="00B02D4D" w:rsidRPr="00500C4E" w:rsidRDefault="00B02D4D" w:rsidP="00B02D4D">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3B8AA50E" w:rsidR="00B02D4D" w:rsidRPr="00500C4E" w:rsidRDefault="00B02D4D" w:rsidP="00B02D4D">
            <w:pPr>
              <w:rPr>
                <w:rFonts w:cs="Arial"/>
                <w:color w:val="FF0000"/>
                <w:szCs w:val="20"/>
              </w:rPr>
            </w:pPr>
            <w:r w:rsidRPr="00E53EDA">
              <w:rPr>
                <w:rFonts w:cstheme="minorBidi"/>
              </w:rPr>
              <w:t>Commercial kitchen hood with “on” or “off” control strategy</w:t>
            </w:r>
          </w:p>
        </w:tc>
      </w:tr>
      <w:tr w:rsidR="00B02D4D" w:rsidRPr="00500C4E" w14:paraId="5C218003" w14:textId="77777777" w:rsidTr="00920905">
        <w:trPr>
          <w:trHeight w:val="465"/>
        </w:trPr>
        <w:tc>
          <w:tcPr>
            <w:tcW w:w="1875" w:type="pct"/>
          </w:tcPr>
          <w:p w14:paraId="1DBA889C" w14:textId="71413F38" w:rsidR="00B02D4D" w:rsidRPr="00500C4E" w:rsidRDefault="005C7320" w:rsidP="00B02D4D">
            <w:pPr>
              <w:rPr>
                <w:rStyle w:val="Strong"/>
                <w:rFonts w:asciiTheme="minorHAnsi" w:hAnsiTheme="minorHAnsi"/>
                <w:sz w:val="20"/>
                <w:szCs w:val="20"/>
              </w:rPr>
            </w:pPr>
            <w:r>
              <w:rPr>
                <w:rStyle w:val="Strong"/>
                <w:rFonts w:asciiTheme="minorHAnsi" w:hAnsiTheme="minorHAnsi"/>
                <w:sz w:val="20"/>
                <w:szCs w:val="20"/>
              </w:rPr>
              <w:t xml:space="preserve">Norm </w:t>
            </w:r>
            <w:r w:rsidR="00B02D4D" w:rsidRPr="00500C4E">
              <w:rPr>
                <w:rStyle w:val="Strong"/>
                <w:rFonts w:asciiTheme="minorHAnsi" w:hAnsiTheme="minorHAnsi"/>
                <w:sz w:val="20"/>
                <w:szCs w:val="20"/>
              </w:rPr>
              <w:t>Units</w:t>
            </w:r>
          </w:p>
        </w:tc>
        <w:tc>
          <w:tcPr>
            <w:tcW w:w="3125" w:type="pct"/>
          </w:tcPr>
          <w:p w14:paraId="181797A6" w14:textId="0A72E45E" w:rsidR="00B02D4D" w:rsidRPr="00500C4E" w:rsidRDefault="005C7320" w:rsidP="00B02D4D">
            <w:pPr>
              <w:rPr>
                <w:rFonts w:cs="Arial"/>
                <w:color w:val="FF0000"/>
                <w:szCs w:val="20"/>
              </w:rPr>
            </w:pPr>
            <w:r>
              <w:rPr>
                <w:rFonts w:cstheme="minorBidi"/>
              </w:rPr>
              <w:t>Each</w:t>
            </w:r>
            <w:r w:rsidR="00B02D4D" w:rsidRPr="00E53EDA">
              <w:rPr>
                <w:rFonts w:cstheme="minorBidi"/>
              </w:rPr>
              <w:t xml:space="preserve"> </w:t>
            </w:r>
          </w:p>
        </w:tc>
      </w:tr>
      <w:tr w:rsidR="00B02D4D" w:rsidRPr="00500C4E" w14:paraId="66C8B424" w14:textId="77777777" w:rsidTr="00920905">
        <w:trPr>
          <w:trHeight w:val="465"/>
        </w:trPr>
        <w:tc>
          <w:tcPr>
            <w:tcW w:w="1875" w:type="pct"/>
          </w:tcPr>
          <w:p w14:paraId="0C38E296" w14:textId="625EE0BE" w:rsidR="00B02D4D" w:rsidRPr="00920905" w:rsidRDefault="00B02D4D" w:rsidP="00B02D4D">
            <w:pPr>
              <w:rPr>
                <w:rStyle w:val="Strong1"/>
                <w:szCs w:val="20"/>
              </w:rPr>
            </w:pPr>
            <w:r w:rsidRPr="00500C4E">
              <w:rPr>
                <w:rStyle w:val="Strong"/>
                <w:rFonts w:asciiTheme="minorHAnsi" w:hAnsiTheme="minorHAnsi"/>
                <w:sz w:val="20"/>
                <w:szCs w:val="20"/>
              </w:rPr>
              <w:t>Energy Savings</w:t>
            </w:r>
          </w:p>
        </w:tc>
        <w:tc>
          <w:tcPr>
            <w:tcW w:w="3125" w:type="pct"/>
          </w:tcPr>
          <w:p w14:paraId="7D5952C1" w14:textId="59DB3E24" w:rsidR="00B02D4D" w:rsidRPr="00500C4E" w:rsidRDefault="00B02D4D" w:rsidP="00B02D4D">
            <w:pPr>
              <w:rPr>
                <w:rFonts w:cs="Arial"/>
                <w:szCs w:val="20"/>
              </w:rPr>
            </w:pPr>
            <w:r w:rsidRPr="00E53EDA">
              <w:rPr>
                <w:rFonts w:cstheme="minorBidi"/>
              </w:rPr>
              <w:t>Refer to Excel Calculation Attachment</w:t>
            </w:r>
          </w:p>
        </w:tc>
      </w:tr>
      <w:tr w:rsidR="00B02D4D" w:rsidRPr="00500C4E" w14:paraId="3432D116" w14:textId="77777777" w:rsidTr="00920905">
        <w:trPr>
          <w:trHeight w:val="465"/>
        </w:trPr>
        <w:tc>
          <w:tcPr>
            <w:tcW w:w="1875" w:type="pct"/>
          </w:tcPr>
          <w:p w14:paraId="3CB3B700" w14:textId="30D3563F" w:rsidR="00B02D4D" w:rsidRPr="00500C4E" w:rsidRDefault="00B02D4D" w:rsidP="00B02D4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536C8BD7" w:rsidR="00B02D4D" w:rsidRPr="00500C4E" w:rsidRDefault="00B02D4D" w:rsidP="00B02D4D">
            <w:pPr>
              <w:rPr>
                <w:rFonts w:cs="Arial"/>
                <w:szCs w:val="20"/>
              </w:rPr>
            </w:pPr>
            <w:r w:rsidRPr="00E53EDA">
              <w:rPr>
                <w:rFonts w:cstheme="minorBidi"/>
              </w:rPr>
              <w:t>Refer to Excel Calculation Attachment</w:t>
            </w:r>
          </w:p>
        </w:tc>
      </w:tr>
      <w:tr w:rsidR="00B02D4D" w:rsidRPr="00500C4E" w14:paraId="2D16677E" w14:textId="77777777" w:rsidTr="00920905">
        <w:trPr>
          <w:trHeight w:val="465"/>
        </w:trPr>
        <w:tc>
          <w:tcPr>
            <w:tcW w:w="1875" w:type="pct"/>
          </w:tcPr>
          <w:p w14:paraId="1C8BF889" w14:textId="6745F31A" w:rsidR="00B02D4D" w:rsidRPr="00500C4E" w:rsidRDefault="00B02D4D" w:rsidP="00B02D4D">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06F65729" w:rsidR="00B02D4D" w:rsidRPr="00500C4E" w:rsidRDefault="00B02D4D" w:rsidP="00B02D4D">
            <w:pPr>
              <w:rPr>
                <w:rFonts w:cs="Arial"/>
                <w:szCs w:val="20"/>
              </w:rPr>
            </w:pPr>
            <w:r w:rsidRPr="00E53EDA">
              <w:rPr>
                <w:rFonts w:cstheme="minorBidi"/>
              </w:rPr>
              <w:t>Refer to Excel Calculation Attachment</w:t>
            </w:r>
          </w:p>
        </w:tc>
      </w:tr>
      <w:tr w:rsidR="00B02D4D" w:rsidRPr="00500C4E" w14:paraId="466E1409" w14:textId="77777777" w:rsidTr="00920905">
        <w:trPr>
          <w:trHeight w:val="465"/>
        </w:trPr>
        <w:tc>
          <w:tcPr>
            <w:tcW w:w="1875" w:type="pct"/>
          </w:tcPr>
          <w:p w14:paraId="4F8D0A97" w14:textId="25FD4E84" w:rsidR="00B02D4D" w:rsidRPr="00500C4E" w:rsidRDefault="00B02D4D" w:rsidP="00B02D4D">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09940E4C" w14:textId="5F50883D" w:rsidR="00B02D4D" w:rsidRDefault="005B094C" w:rsidP="00B02D4D">
            <w:pPr>
              <w:rPr>
                <w:rFonts w:cstheme="minorBidi"/>
              </w:rPr>
            </w:pPr>
            <w:r>
              <w:rPr>
                <w:rFonts w:cstheme="minorBidi"/>
              </w:rPr>
              <w:t xml:space="preserve">NEW: </w:t>
            </w:r>
            <w:r w:rsidR="00B02D4D" w:rsidRPr="00E53EDA">
              <w:rPr>
                <w:rFonts w:cstheme="minorBidi"/>
              </w:rPr>
              <w:t>15</w:t>
            </w:r>
            <w:r w:rsidR="008A6E97">
              <w:rPr>
                <w:rFonts w:cstheme="minorBidi"/>
              </w:rPr>
              <w:t xml:space="preserve"> years</w:t>
            </w:r>
            <w:r w:rsidR="00B02D4D" w:rsidRPr="00E53EDA">
              <w:rPr>
                <w:rFonts w:cstheme="minorBidi"/>
              </w:rPr>
              <w:t xml:space="preserve"> (HVAC-EMS)</w:t>
            </w:r>
          </w:p>
          <w:p w14:paraId="70DC1712" w14:textId="652B467F" w:rsidR="005B094C" w:rsidRPr="00DF694F" w:rsidRDefault="005B094C" w:rsidP="001A4CE6">
            <w:pPr>
              <w:rPr>
                <w:rFonts w:cstheme="minorBidi"/>
              </w:rPr>
            </w:pPr>
            <w:r>
              <w:rPr>
                <w:rFonts w:cstheme="minorBidi"/>
              </w:rPr>
              <w:t xml:space="preserve">REA: 5 </w:t>
            </w:r>
            <w:r w:rsidR="000F292A">
              <w:rPr>
                <w:rFonts w:cstheme="minorBidi"/>
              </w:rPr>
              <w:t>y</w:t>
            </w:r>
            <w:r w:rsidR="008A6E97">
              <w:rPr>
                <w:rFonts w:cstheme="minorBidi"/>
              </w:rPr>
              <w:t xml:space="preserve">ears </w:t>
            </w:r>
            <w:r>
              <w:rPr>
                <w:rFonts w:cstheme="minorBidi"/>
              </w:rPr>
              <w:t>(</w:t>
            </w:r>
            <w:r w:rsidRPr="00D8419D">
              <w:rPr>
                <w:rFonts w:cstheme="minorBidi"/>
              </w:rPr>
              <w:t>Motors-fan</w:t>
            </w:r>
            <w:r>
              <w:rPr>
                <w:rFonts w:cstheme="minorBidi"/>
              </w:rPr>
              <w:t>)</w:t>
            </w:r>
          </w:p>
        </w:tc>
      </w:tr>
      <w:tr w:rsidR="00B02D4D" w:rsidRPr="00500C4E" w14:paraId="6FFAAB3B" w14:textId="77777777" w:rsidTr="00920905">
        <w:trPr>
          <w:trHeight w:val="465"/>
        </w:trPr>
        <w:tc>
          <w:tcPr>
            <w:tcW w:w="1875" w:type="pct"/>
          </w:tcPr>
          <w:p w14:paraId="080378E9" w14:textId="52D7A149" w:rsidR="00B02D4D" w:rsidRPr="00500C4E" w:rsidRDefault="00B02D4D" w:rsidP="00B02D4D">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5C16856D" w:rsidR="00B02D4D" w:rsidRPr="00500C4E" w:rsidRDefault="00B02D4D" w:rsidP="00B02D4D">
            <w:pPr>
              <w:rPr>
                <w:rFonts w:cs="Arial"/>
                <w:color w:val="FF0000"/>
                <w:szCs w:val="20"/>
              </w:rPr>
            </w:pPr>
            <w:r w:rsidRPr="00E53EDA">
              <w:rPr>
                <w:rFonts w:cstheme="minorBidi"/>
              </w:rPr>
              <w:t>Retrofit – Add-On (REA)</w:t>
            </w:r>
            <w:r w:rsidR="005B094C">
              <w:rPr>
                <w:rFonts w:cstheme="minorBidi"/>
              </w:rPr>
              <w:t>, New Construction (NEW)</w:t>
            </w:r>
          </w:p>
        </w:tc>
      </w:tr>
      <w:tr w:rsidR="00B02D4D" w:rsidRPr="00500C4E" w14:paraId="2EA80FC2" w14:textId="77777777" w:rsidTr="00920905">
        <w:trPr>
          <w:trHeight w:val="465"/>
        </w:trPr>
        <w:tc>
          <w:tcPr>
            <w:tcW w:w="1875" w:type="pct"/>
          </w:tcPr>
          <w:p w14:paraId="7E87F403" w14:textId="5683C17E" w:rsidR="00B02D4D" w:rsidRPr="00500C4E" w:rsidRDefault="00B02D4D" w:rsidP="00B02D4D">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70A1383F" w:rsidR="00B02D4D" w:rsidRPr="00500C4E" w:rsidRDefault="00B02D4D" w:rsidP="00B02D4D">
            <w:pPr>
              <w:rPr>
                <w:rFonts w:cs="Arial"/>
                <w:color w:val="FF0000"/>
                <w:szCs w:val="20"/>
              </w:rPr>
            </w:pPr>
            <w:r w:rsidRPr="00E53EDA">
              <w:rPr>
                <w:rFonts w:cstheme="minorBidi"/>
              </w:rPr>
              <w:t>0.6 (Com-Default&gt;2yrs)</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bookmarkStart w:id="7" w:name="_GoBack"/>
      <w:bookmarkEnd w:id="7"/>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7"/>
        <w:gridCol w:w="1210"/>
        <w:gridCol w:w="2026"/>
        <w:gridCol w:w="5803"/>
      </w:tblGrid>
      <w:tr w:rsidR="003845E5" w:rsidRPr="00500C4E" w14:paraId="5AFD7FBC" w14:textId="77777777" w:rsidTr="00375997">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58"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030"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BB637E" w:rsidRPr="00500C4E" w14:paraId="7EC62303" w14:textId="77777777" w:rsidTr="00375997">
        <w:trPr>
          <w:trHeight w:val="20"/>
        </w:trPr>
        <w:tc>
          <w:tcPr>
            <w:tcW w:w="280" w:type="pct"/>
          </w:tcPr>
          <w:p w14:paraId="6AD11FF5" w14:textId="7F64F68B" w:rsidR="00BB637E" w:rsidDel="00BB637E" w:rsidRDefault="00BB637E" w:rsidP="005729C8">
            <w:pPr>
              <w:rPr>
                <w:rFonts w:cstheme="minorHAnsi"/>
                <w:szCs w:val="20"/>
              </w:rPr>
            </w:pPr>
            <w:r>
              <w:rPr>
                <w:rFonts w:cstheme="minorHAnsi"/>
                <w:szCs w:val="20"/>
              </w:rPr>
              <w:t>0</w:t>
            </w:r>
          </w:p>
        </w:tc>
        <w:tc>
          <w:tcPr>
            <w:tcW w:w="632" w:type="pct"/>
          </w:tcPr>
          <w:p w14:paraId="73C3F542" w14:textId="58E496F1" w:rsidR="00BB637E" w:rsidDel="00BB637E" w:rsidRDefault="00460BF6" w:rsidP="005729C8">
            <w:pPr>
              <w:rPr>
                <w:rFonts w:cstheme="minorHAnsi"/>
                <w:szCs w:val="20"/>
              </w:rPr>
            </w:pPr>
            <w:r>
              <w:rPr>
                <w:rFonts w:cstheme="minorHAnsi"/>
                <w:szCs w:val="20"/>
              </w:rPr>
              <w:t>11/28</w:t>
            </w:r>
            <w:r w:rsidR="00BB637E">
              <w:rPr>
                <w:rFonts w:cstheme="minorHAnsi"/>
                <w:szCs w:val="20"/>
              </w:rPr>
              <w:t>/2017</w:t>
            </w:r>
          </w:p>
        </w:tc>
        <w:tc>
          <w:tcPr>
            <w:tcW w:w="1058" w:type="pct"/>
          </w:tcPr>
          <w:p w14:paraId="3FA4DD89" w14:textId="13A4E79C" w:rsidR="00BB637E" w:rsidDel="00BB637E" w:rsidRDefault="00BB637E" w:rsidP="005729C8">
            <w:pPr>
              <w:rPr>
                <w:rFonts w:cstheme="minorHAnsi"/>
                <w:szCs w:val="20"/>
              </w:rPr>
            </w:pPr>
            <w:r>
              <w:rPr>
                <w:rFonts w:cstheme="minorHAnsi"/>
                <w:szCs w:val="20"/>
              </w:rPr>
              <w:t>Lake Casco (TRC)</w:t>
            </w:r>
          </w:p>
        </w:tc>
        <w:tc>
          <w:tcPr>
            <w:tcW w:w="3030" w:type="pct"/>
          </w:tcPr>
          <w:p w14:paraId="4224E1EB" w14:textId="528AC87E" w:rsidR="00BB637E" w:rsidRPr="00BB637E" w:rsidRDefault="00BB637E" w:rsidP="00DF694F">
            <w:pPr>
              <w:pStyle w:val="ListParagraph"/>
              <w:numPr>
                <w:ilvl w:val="0"/>
                <w:numId w:val="41"/>
              </w:numPr>
              <w:ind w:left="433"/>
            </w:pPr>
            <w:r w:rsidRPr="008C3D64">
              <w:t>New calculation template for 2017 program year</w:t>
            </w:r>
          </w:p>
          <w:p w14:paraId="424AD8C2" w14:textId="2A211762" w:rsidR="00BB637E" w:rsidRDefault="00BB637E" w:rsidP="00DF694F">
            <w:pPr>
              <w:pStyle w:val="ListParagraph"/>
              <w:numPr>
                <w:ilvl w:val="0"/>
                <w:numId w:val="41"/>
              </w:numPr>
              <w:ind w:left="433"/>
            </w:pPr>
            <w:r w:rsidRPr="00BB637E">
              <w:t>This work paper is an update of SCE13CC008.2</w:t>
            </w:r>
          </w:p>
          <w:p w14:paraId="40A60A1E" w14:textId="3DC14245" w:rsidR="00BB637E" w:rsidRDefault="00BB637E" w:rsidP="00DF694F">
            <w:pPr>
              <w:pStyle w:val="ListParagraph"/>
              <w:numPr>
                <w:ilvl w:val="0"/>
                <w:numId w:val="41"/>
              </w:numPr>
              <w:ind w:left="433"/>
            </w:pPr>
            <w:r>
              <w:t xml:space="preserve">Added solution code </w:t>
            </w:r>
            <w:r w:rsidR="00836A35">
              <w:rPr>
                <w:rFonts w:cstheme="minorBidi"/>
              </w:rPr>
              <w:t xml:space="preserve">FS-20154 </w:t>
            </w:r>
            <w:r>
              <w:t>with NEW program type for systems 5,000 CFM or less, with applicable EUL, and code considerations</w:t>
            </w:r>
          </w:p>
          <w:p w14:paraId="29FD9616" w14:textId="0C3925A2" w:rsidR="00BB637E" w:rsidRDefault="00BB637E" w:rsidP="00DF694F">
            <w:pPr>
              <w:pStyle w:val="ListParagraph"/>
              <w:numPr>
                <w:ilvl w:val="0"/>
                <w:numId w:val="41"/>
              </w:numPr>
              <w:ind w:left="433"/>
            </w:pPr>
            <w:r>
              <w:t>Included additional eligibility requirements for REA measure based on installed dates to account for Title 24 code applicable</w:t>
            </w:r>
            <w:r w:rsidR="00460BF6">
              <w:t xml:space="preserve"> at</w:t>
            </w:r>
            <w:r>
              <w:t xml:space="preserve"> the time. </w:t>
            </w:r>
          </w:p>
          <w:p w14:paraId="32D3B4A6" w14:textId="343909FE" w:rsidR="00BB637E" w:rsidDel="00BB637E" w:rsidRDefault="00836A35" w:rsidP="005636AD">
            <w:pPr>
              <w:pStyle w:val="ListParagraph"/>
              <w:numPr>
                <w:ilvl w:val="0"/>
                <w:numId w:val="41"/>
              </w:numPr>
              <w:ind w:left="433"/>
            </w:pPr>
            <w:r>
              <w:t xml:space="preserve">Updated installed costs. Measure costs </w:t>
            </w:r>
            <w:r w:rsidR="003C1A2A">
              <w:t>are taken</w:t>
            </w:r>
            <w:r>
              <w:t xml:space="preserve"> from SCE program data and baseline costs for NEW measure </w:t>
            </w:r>
            <w:r w:rsidR="003C1A2A">
              <w:t xml:space="preserve">are </w:t>
            </w:r>
            <w:proofErr w:type="gramStart"/>
            <w:r w:rsidR="003C1A2A">
              <w:t xml:space="preserve">taken </w:t>
            </w:r>
            <w:r>
              <w:t xml:space="preserve"> from</w:t>
            </w:r>
            <w:proofErr w:type="gramEnd"/>
            <w:r>
              <w:t xml:space="preserve"> </w:t>
            </w:r>
            <w:proofErr w:type="spellStart"/>
            <w:r>
              <w:t>RSMeans</w:t>
            </w:r>
            <w:proofErr w:type="spellEnd"/>
            <w:r w:rsidR="00460BF6">
              <w:t xml:space="preserve"> 2017</w:t>
            </w:r>
            <w:r>
              <w:t xml:space="preserve">. </w:t>
            </w:r>
          </w:p>
        </w:tc>
      </w:tr>
    </w:tbl>
    <w:p w14:paraId="0167732E" w14:textId="6A51A995" w:rsidR="00BA77B7" w:rsidRDefault="00BA77B7" w:rsidP="00E325BE">
      <w:pPr>
        <w:pStyle w:val="Heading1"/>
      </w:pPr>
    </w:p>
    <w:p w14:paraId="656E2232" w14:textId="50A044F9"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1A862FD7" w:rsidR="008877AF" w:rsidRPr="00EE4120" w:rsidRDefault="008877AF" w:rsidP="00A84BF9">
            <w:pPr>
              <w:rPr>
                <w:bCs/>
                <w:color w:val="FF0000"/>
              </w:rPr>
            </w:pPr>
          </w:p>
        </w:tc>
        <w:tc>
          <w:tcPr>
            <w:tcW w:w="351" w:type="pct"/>
          </w:tcPr>
          <w:p w14:paraId="23988046" w14:textId="6544C6A9" w:rsidR="008877AF" w:rsidRPr="00EE4120" w:rsidRDefault="008877AF" w:rsidP="00A84BF9">
            <w:pPr>
              <w:rPr>
                <w:bCs/>
                <w:color w:val="FF0000"/>
                <w:szCs w:val="20"/>
              </w:rPr>
            </w:pPr>
          </w:p>
        </w:tc>
        <w:tc>
          <w:tcPr>
            <w:tcW w:w="548" w:type="pct"/>
          </w:tcPr>
          <w:p w14:paraId="4AB37DB0" w14:textId="48725572" w:rsidR="008877AF" w:rsidRPr="00EE4120" w:rsidRDefault="008877AF" w:rsidP="00A84BF9">
            <w:pPr>
              <w:rPr>
                <w:bCs/>
                <w:color w:val="FF0000"/>
                <w:szCs w:val="20"/>
              </w:rPr>
            </w:pPr>
          </w:p>
        </w:tc>
        <w:tc>
          <w:tcPr>
            <w:tcW w:w="552" w:type="pct"/>
          </w:tcPr>
          <w:p w14:paraId="62E998F6" w14:textId="55F2389A" w:rsidR="008877AF" w:rsidRPr="00EE4120" w:rsidRDefault="008877AF" w:rsidP="00A84BF9">
            <w:pPr>
              <w:rPr>
                <w:bCs/>
                <w:color w:val="FF0000"/>
                <w:szCs w:val="20"/>
              </w:rPr>
            </w:pPr>
          </w:p>
        </w:tc>
        <w:tc>
          <w:tcPr>
            <w:tcW w:w="1634" w:type="pct"/>
          </w:tcPr>
          <w:p w14:paraId="369DEEE8" w14:textId="10CE507B" w:rsidR="008877AF" w:rsidRPr="00B729BB" w:rsidRDefault="008877AF" w:rsidP="00F25B36">
            <w:pPr>
              <w:pStyle w:val="ListParagraph"/>
              <w:numPr>
                <w:ilvl w:val="0"/>
                <w:numId w:val="33"/>
              </w:numPr>
              <w:rPr>
                <w:bCs/>
                <w:szCs w:val="20"/>
              </w:rPr>
            </w:pPr>
          </w:p>
        </w:tc>
        <w:tc>
          <w:tcPr>
            <w:tcW w:w="1634" w:type="pct"/>
          </w:tcPr>
          <w:p w14:paraId="1ECCFDB6" w14:textId="1CC6C708" w:rsidR="008877AF" w:rsidRPr="00B729BB" w:rsidRDefault="008877AF" w:rsidP="00F25B36">
            <w:pPr>
              <w:pStyle w:val="ListParagraph"/>
              <w:numPr>
                <w:ilvl w:val="0"/>
                <w:numId w:val="33"/>
              </w:numPr>
              <w:rPr>
                <w:bCs/>
                <w:szCs w:val="20"/>
              </w:rPr>
            </w:pPr>
          </w:p>
        </w:tc>
      </w:tr>
      <w:tr w:rsidR="008877AF" w:rsidRPr="00500C4E" w14:paraId="69D073CD" w14:textId="392DFDA5" w:rsidTr="00BA5FE4">
        <w:trPr>
          <w:trHeight w:val="20"/>
        </w:trPr>
        <w:tc>
          <w:tcPr>
            <w:tcW w:w="280" w:type="pct"/>
          </w:tcPr>
          <w:p w14:paraId="19E0D6ED" w14:textId="66889B52" w:rsidR="008877AF" w:rsidRPr="00EE4120" w:rsidRDefault="008877AF" w:rsidP="00A84BF9">
            <w:pPr>
              <w:rPr>
                <w:color w:val="FF0000"/>
              </w:rPr>
            </w:pPr>
          </w:p>
        </w:tc>
        <w:tc>
          <w:tcPr>
            <w:tcW w:w="351" w:type="pct"/>
          </w:tcPr>
          <w:p w14:paraId="71879172" w14:textId="6C251AF8" w:rsidR="008877AF" w:rsidRPr="00EE4120" w:rsidRDefault="008877AF" w:rsidP="00A84BF9">
            <w:pPr>
              <w:autoSpaceDE w:val="0"/>
              <w:autoSpaceDN w:val="0"/>
              <w:adjustRightInd w:val="0"/>
              <w:rPr>
                <w:color w:val="FF0000"/>
                <w:szCs w:val="20"/>
              </w:rPr>
            </w:pPr>
          </w:p>
        </w:tc>
        <w:tc>
          <w:tcPr>
            <w:tcW w:w="548" w:type="pct"/>
          </w:tcPr>
          <w:p w14:paraId="61A20ED3" w14:textId="010D0929" w:rsidR="008877AF" w:rsidRPr="00EE4120" w:rsidRDefault="008877AF" w:rsidP="00A84BF9">
            <w:pPr>
              <w:autoSpaceDE w:val="0"/>
              <w:autoSpaceDN w:val="0"/>
              <w:adjustRightInd w:val="0"/>
              <w:rPr>
                <w:color w:val="FF0000"/>
                <w:szCs w:val="20"/>
              </w:rPr>
            </w:pPr>
          </w:p>
        </w:tc>
        <w:tc>
          <w:tcPr>
            <w:tcW w:w="552" w:type="pct"/>
          </w:tcPr>
          <w:p w14:paraId="211F8E7E" w14:textId="6D80CB88" w:rsidR="008877AF" w:rsidRPr="00EE4120" w:rsidRDefault="008877AF" w:rsidP="00A84BF9">
            <w:pPr>
              <w:rPr>
                <w:color w:val="FF0000"/>
                <w:szCs w:val="20"/>
              </w:rPr>
            </w:pPr>
          </w:p>
        </w:tc>
        <w:tc>
          <w:tcPr>
            <w:tcW w:w="1634" w:type="pct"/>
          </w:tcPr>
          <w:p w14:paraId="52AA4972" w14:textId="1EA2FAEB" w:rsidR="008877AF" w:rsidRPr="00B729BB" w:rsidRDefault="008877AF" w:rsidP="00F25B36">
            <w:pPr>
              <w:pStyle w:val="ListParagraph"/>
              <w:numPr>
                <w:ilvl w:val="0"/>
                <w:numId w:val="34"/>
              </w:numPr>
              <w:rPr>
                <w:bCs/>
                <w:szCs w:val="20"/>
              </w:rPr>
            </w:pPr>
          </w:p>
        </w:tc>
        <w:tc>
          <w:tcPr>
            <w:tcW w:w="1634" w:type="pct"/>
          </w:tcPr>
          <w:p w14:paraId="34686434" w14:textId="28E61AE8" w:rsidR="008877AF" w:rsidRPr="00B729BB" w:rsidRDefault="008877AF" w:rsidP="008877AF">
            <w:pPr>
              <w:pStyle w:val="ListParagraph"/>
              <w:numPr>
                <w:ilvl w:val="0"/>
                <w:numId w:val="34"/>
              </w:numPr>
              <w:rPr>
                <w:bCs/>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21BB8E81"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41FBCC2D" w14:textId="7F9DBB39" w:rsidR="00B729BB" w:rsidRPr="005328DA" w:rsidRDefault="00B729BB" w:rsidP="00B729BB">
      <w:r w:rsidRPr="005328DA">
        <w:t>This work paper details the replacement of a manual on/off switch and magnetic relay or motor starter ventilation control for commercial kitchen exhaust hoods with a control system that varies the exhaust rate based on the energy and effluent output from the cooking appliances. The measure requires the installation of temperature sensor</w:t>
      </w:r>
      <w:r>
        <w:rPr>
          <w:rFonts w:cstheme="minorHAnsi"/>
        </w:rPr>
        <w:t>(s)</w:t>
      </w:r>
      <w:r w:rsidRPr="005328DA">
        <w:t xml:space="preserve"> in the hood exhaust collar</w:t>
      </w:r>
      <w:r>
        <w:rPr>
          <w:rFonts w:cstheme="minorHAnsi"/>
        </w:rPr>
        <w:t xml:space="preserve"> or within the hood, </w:t>
      </w:r>
      <w:r w:rsidRPr="005328DA">
        <w:t>and/or an optic sensor on the end of</w:t>
      </w:r>
      <w:r>
        <w:rPr>
          <w:rFonts w:cstheme="minorHAnsi"/>
        </w:rPr>
        <w:t xml:space="preserve"> the hood or within</w:t>
      </w:r>
      <w:r w:rsidRPr="005328DA">
        <w:t xml:space="preserve"> the hood that senses cooking conditions and allows the system to automatically vary the rate of exhaust and make-up (ventilation) air by adjusting unit fan speeds accordingly.</w:t>
      </w:r>
    </w:p>
    <w:p w14:paraId="73D4A067" w14:textId="77777777" w:rsidR="00B729BB" w:rsidRDefault="00B729BB" w:rsidP="00920905">
      <w:pPr>
        <w:rPr>
          <w:rFonts w:cstheme="minorHAnsi"/>
          <w:color w:val="FF0000"/>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76E58BBE" w:rsidR="00D85F09" w:rsidRPr="00B729BB" w:rsidRDefault="00B729BB" w:rsidP="00920905">
            <w:pPr>
              <w:rPr>
                <w:szCs w:val="20"/>
              </w:rPr>
            </w:pPr>
            <w:r w:rsidRPr="00B729BB">
              <w:t>A control system that varies the exhaust rate based on the energy and effluent output from the cooking appliances</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79D407B7" w:rsidR="00D85F09" w:rsidRPr="00B729BB" w:rsidRDefault="00B729BB" w:rsidP="00920905">
            <w:pPr>
              <w:rPr>
                <w:i/>
                <w:szCs w:val="20"/>
              </w:rPr>
            </w:pPr>
            <w:r w:rsidRPr="00B729BB">
              <w:rPr>
                <w:szCs w:val="20"/>
              </w:rPr>
              <w:t xml:space="preserve">Manual on/off switch and magnetic relay or motor starter for commercial kitchen hood  </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3FB24233" w14:textId="612483CC" w:rsidR="002344FB" w:rsidRDefault="004976F6">
            <w:r>
              <w:rPr>
                <w:szCs w:val="20"/>
              </w:rPr>
              <w:t xml:space="preserve">NEW: </w:t>
            </w:r>
            <w:r w:rsidR="006C2397">
              <w:rPr>
                <w:szCs w:val="20"/>
              </w:rPr>
              <w:t xml:space="preserve">2016 Title 24, </w:t>
            </w:r>
            <w:r w:rsidR="006C2397" w:rsidRPr="005328DA">
              <w:t>Section 140.9(b)2B</w:t>
            </w:r>
            <w:r w:rsidR="006C2397">
              <w:t xml:space="preserve"> (DCV Kitchen hood for systems 5,000 CFM or greater)</w:t>
            </w:r>
          </w:p>
          <w:p w14:paraId="64BED101" w14:textId="77777777" w:rsidR="004976F6" w:rsidRDefault="004976F6" w:rsidP="008C3D64">
            <w:r>
              <w:t xml:space="preserve">REA: </w:t>
            </w:r>
            <w:r>
              <w:rPr>
                <w:szCs w:val="20"/>
              </w:rPr>
              <w:t xml:space="preserve">2013 Title 24, </w:t>
            </w:r>
            <w:r w:rsidRPr="005328DA">
              <w:t>Section 140.9(b)2B</w:t>
            </w:r>
            <w:r>
              <w:t xml:space="preserve"> (DCV Kitchen hood for systems 5,000 CFM or greater)</w:t>
            </w:r>
            <w:r w:rsidR="00460BF6">
              <w:t xml:space="preserve"> if existing system installed after 7/1/2014</w:t>
            </w:r>
          </w:p>
          <w:p w14:paraId="421D7A92" w14:textId="076501D0" w:rsidR="008823EC" w:rsidRPr="00B729BB" w:rsidRDefault="008823EC" w:rsidP="008C3D64">
            <w:pPr>
              <w:rPr>
                <w:szCs w:val="20"/>
              </w:rPr>
            </w:pPr>
            <w:r>
              <w:t>See Section 1.4.2 for more details.</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2AA0CDBB" w:rsidR="00D85F09" w:rsidRPr="00B729BB" w:rsidRDefault="00B729BB" w:rsidP="00920905">
            <w:pPr>
              <w:rPr>
                <w:i/>
                <w:szCs w:val="20"/>
              </w:rPr>
            </w:pPr>
            <w:r w:rsidRPr="00B729BB">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E56E39" w:rsidRPr="00800706" w14:paraId="7EEDCAEB" w14:textId="77777777" w:rsidTr="00460BF6">
        <w:trPr>
          <w:trHeight w:val="243"/>
        </w:trPr>
        <w:tc>
          <w:tcPr>
            <w:tcW w:w="539" w:type="pct"/>
          </w:tcPr>
          <w:p w14:paraId="39670636" w14:textId="77777777" w:rsidR="00E56E39" w:rsidRPr="00B729BB" w:rsidRDefault="00E56E39" w:rsidP="00460BF6">
            <w:pPr>
              <w:rPr>
                <w:rFonts w:cstheme="minorHAnsi"/>
                <w:szCs w:val="20"/>
              </w:rPr>
            </w:pPr>
            <w:r w:rsidRPr="00B729BB">
              <w:rPr>
                <w:rFonts w:cstheme="minorHAnsi"/>
                <w:szCs w:val="20"/>
              </w:rPr>
              <w:t>N/A</w:t>
            </w:r>
          </w:p>
        </w:tc>
        <w:tc>
          <w:tcPr>
            <w:tcW w:w="539" w:type="pct"/>
          </w:tcPr>
          <w:p w14:paraId="40661B56" w14:textId="77777777" w:rsidR="00E56E39" w:rsidRPr="00B729BB" w:rsidRDefault="00E56E39" w:rsidP="00460BF6">
            <w:pPr>
              <w:rPr>
                <w:rFonts w:cstheme="minorHAnsi"/>
                <w:szCs w:val="20"/>
              </w:rPr>
            </w:pPr>
            <w:r w:rsidRPr="00B729BB">
              <w:rPr>
                <w:rFonts w:cstheme="minorHAnsi"/>
                <w:szCs w:val="20"/>
              </w:rPr>
              <w:t>N/A</w:t>
            </w:r>
          </w:p>
        </w:tc>
        <w:tc>
          <w:tcPr>
            <w:tcW w:w="605" w:type="pct"/>
          </w:tcPr>
          <w:p w14:paraId="2833844A" w14:textId="77777777" w:rsidR="00E56E39" w:rsidRPr="00CE671D" w:rsidRDefault="00E56E39" w:rsidP="00460BF6">
            <w:pPr>
              <w:rPr>
                <w:rFonts w:cstheme="minorBidi"/>
              </w:rPr>
            </w:pPr>
            <w:r>
              <w:rPr>
                <w:rFonts w:cstheme="minorBidi"/>
              </w:rPr>
              <w:t>FS-20154</w:t>
            </w:r>
          </w:p>
        </w:tc>
        <w:tc>
          <w:tcPr>
            <w:tcW w:w="673" w:type="pct"/>
          </w:tcPr>
          <w:p w14:paraId="5B66E0C0" w14:textId="77777777" w:rsidR="00E56E39" w:rsidRPr="00B729BB" w:rsidRDefault="00E56E39" w:rsidP="00460BF6">
            <w:pPr>
              <w:rPr>
                <w:rFonts w:cstheme="minorHAnsi"/>
                <w:szCs w:val="20"/>
              </w:rPr>
            </w:pPr>
            <w:r w:rsidRPr="00B729BB">
              <w:rPr>
                <w:rFonts w:cstheme="minorHAnsi"/>
                <w:szCs w:val="20"/>
              </w:rPr>
              <w:t>N/A</w:t>
            </w:r>
          </w:p>
        </w:tc>
        <w:tc>
          <w:tcPr>
            <w:tcW w:w="2644" w:type="pct"/>
          </w:tcPr>
          <w:p w14:paraId="14C905BC" w14:textId="77777777" w:rsidR="00E56E39" w:rsidRPr="00CE671D" w:rsidRDefault="00E56E39" w:rsidP="00460BF6">
            <w:pPr>
              <w:rPr>
                <w:rFonts w:cstheme="minorBidi"/>
              </w:rPr>
            </w:pPr>
            <w:r w:rsidRPr="00CE671D">
              <w:rPr>
                <w:rFonts w:cstheme="minorBidi"/>
              </w:rPr>
              <w:t>Demand Control Ventilation Hood Control</w:t>
            </w:r>
            <w:r>
              <w:rPr>
                <w:rFonts w:cstheme="minorBidi"/>
              </w:rPr>
              <w:t xml:space="preserve"> (NEW)</w:t>
            </w:r>
          </w:p>
        </w:tc>
      </w:tr>
      <w:tr w:rsidR="00B729BB" w:rsidRPr="00800706" w14:paraId="0290ADBE" w14:textId="77777777" w:rsidTr="00920905">
        <w:trPr>
          <w:trHeight w:val="243"/>
        </w:trPr>
        <w:tc>
          <w:tcPr>
            <w:tcW w:w="539" w:type="pct"/>
          </w:tcPr>
          <w:p w14:paraId="1CE709CC" w14:textId="11D8EE51" w:rsidR="00B729BB" w:rsidRPr="00B729BB" w:rsidRDefault="00B729BB" w:rsidP="00B729BB">
            <w:pPr>
              <w:rPr>
                <w:rFonts w:cstheme="minorHAnsi"/>
                <w:szCs w:val="20"/>
              </w:rPr>
            </w:pPr>
            <w:r w:rsidRPr="00B729BB">
              <w:rPr>
                <w:rFonts w:cstheme="minorHAnsi"/>
                <w:szCs w:val="20"/>
              </w:rPr>
              <w:t>N/A</w:t>
            </w:r>
          </w:p>
        </w:tc>
        <w:tc>
          <w:tcPr>
            <w:tcW w:w="539" w:type="pct"/>
          </w:tcPr>
          <w:p w14:paraId="666F9F6A" w14:textId="4A3B433C" w:rsidR="00B729BB" w:rsidRPr="00B729BB" w:rsidRDefault="00B729BB" w:rsidP="00B729BB">
            <w:pPr>
              <w:rPr>
                <w:rFonts w:cstheme="minorHAnsi"/>
                <w:szCs w:val="20"/>
              </w:rPr>
            </w:pPr>
            <w:r w:rsidRPr="00B729BB">
              <w:rPr>
                <w:rFonts w:cstheme="minorHAnsi"/>
                <w:szCs w:val="20"/>
              </w:rPr>
              <w:t>N/A</w:t>
            </w:r>
          </w:p>
        </w:tc>
        <w:tc>
          <w:tcPr>
            <w:tcW w:w="605" w:type="pct"/>
          </w:tcPr>
          <w:p w14:paraId="63438A36" w14:textId="716D0C71" w:rsidR="00B729BB" w:rsidRPr="00920905" w:rsidRDefault="00B729BB" w:rsidP="00B729BB">
            <w:pPr>
              <w:rPr>
                <w:rFonts w:cstheme="minorHAnsi"/>
                <w:color w:val="FF0000"/>
                <w:szCs w:val="20"/>
              </w:rPr>
            </w:pPr>
            <w:r w:rsidRPr="00CE671D">
              <w:rPr>
                <w:rFonts w:cstheme="minorBidi"/>
              </w:rPr>
              <w:t>FS-17337</w:t>
            </w:r>
          </w:p>
        </w:tc>
        <w:tc>
          <w:tcPr>
            <w:tcW w:w="673" w:type="pct"/>
          </w:tcPr>
          <w:p w14:paraId="311A1841" w14:textId="134BA743" w:rsidR="00B729BB" w:rsidRPr="00920905" w:rsidRDefault="00B729BB" w:rsidP="00B729BB">
            <w:pPr>
              <w:rPr>
                <w:rFonts w:cstheme="minorHAnsi"/>
                <w:color w:val="FF0000"/>
                <w:szCs w:val="20"/>
              </w:rPr>
            </w:pPr>
            <w:r w:rsidRPr="00B729BB">
              <w:rPr>
                <w:rFonts w:cstheme="minorHAnsi"/>
                <w:szCs w:val="20"/>
              </w:rPr>
              <w:t>N/A</w:t>
            </w:r>
          </w:p>
        </w:tc>
        <w:tc>
          <w:tcPr>
            <w:tcW w:w="2644" w:type="pct"/>
          </w:tcPr>
          <w:p w14:paraId="512138E6" w14:textId="27D4D54F" w:rsidR="00B729BB" w:rsidRPr="00920905" w:rsidRDefault="00B729BB" w:rsidP="00B729BB">
            <w:pPr>
              <w:rPr>
                <w:color w:val="FF0000"/>
              </w:rPr>
            </w:pPr>
            <w:r w:rsidRPr="00CE671D">
              <w:rPr>
                <w:rFonts w:cstheme="minorBidi"/>
              </w:rPr>
              <w:t>Demand Control Ventilation Hood Control</w:t>
            </w:r>
            <w:r w:rsidR="006C2397">
              <w:rPr>
                <w:rFonts w:cstheme="minorBidi"/>
              </w:rPr>
              <w:t xml:space="preserve"> (REA)</w:t>
            </w:r>
          </w:p>
        </w:tc>
      </w:tr>
    </w:tbl>
    <w:p w14:paraId="3AF714EF" w14:textId="77777777" w:rsidR="00760CDC" w:rsidRDefault="00760CDC" w:rsidP="00697868">
      <w:pPr>
        <w:pStyle w:val="Reminders"/>
        <w:rPr>
          <w:rFonts w:asciiTheme="minorHAnsi" w:hAnsiTheme="minorHAnsi" w:cstheme="minorHAnsi"/>
          <w:i w:val="0"/>
          <w:szCs w:val="22"/>
        </w:rPr>
      </w:pPr>
    </w:p>
    <w:p w14:paraId="57BA898A" w14:textId="79A1413D" w:rsidR="004E5BEF" w:rsidRPr="00DF694F" w:rsidRDefault="004E5BEF" w:rsidP="00697868">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Eligibility Requirements</w:t>
      </w:r>
    </w:p>
    <w:p w14:paraId="13F88E5F" w14:textId="77777777" w:rsidR="00B729BB" w:rsidRPr="005328DA" w:rsidRDefault="00B729BB" w:rsidP="00B729BB">
      <w:r w:rsidRPr="005328DA">
        <w:t xml:space="preserve">When installing a control system for their kitchen exhaust hood, customers must use a </w:t>
      </w:r>
      <w:r>
        <w:t>Demand Control Kitchen Ventilation System (</w:t>
      </w:r>
      <w:r>
        <w:rPr>
          <w:rFonts w:cstheme="minorHAnsi"/>
        </w:rPr>
        <w:t>DCKV</w:t>
      </w:r>
      <w:r w:rsidRPr="005328DA">
        <w:t>)</w:t>
      </w:r>
      <w:r>
        <w:t xml:space="preserve"> </w:t>
      </w:r>
      <w:r w:rsidRPr="005328DA">
        <w:t xml:space="preserve">system and also either a temperature or optic sensor that senses cooking conditions.  The </w:t>
      </w:r>
      <w:r>
        <w:rPr>
          <w:rFonts w:cstheme="minorHAnsi"/>
        </w:rPr>
        <w:t>DCKV</w:t>
      </w:r>
      <w:r w:rsidRPr="005328DA">
        <w:t xml:space="preserve"> system must be used in conjunction with a variable-speed drive (VSD) on the fan motor. </w:t>
      </w:r>
    </w:p>
    <w:p w14:paraId="417A8E9B" w14:textId="77777777" w:rsidR="00B729BB" w:rsidRPr="005328DA" w:rsidRDefault="00B729BB" w:rsidP="00B729BB"/>
    <w:p w14:paraId="15BD9DB6" w14:textId="1AA273EA" w:rsidR="00B729BB" w:rsidRPr="005328DA" w:rsidRDefault="00B729BB" w:rsidP="00B729BB">
      <w:r w:rsidRPr="005328DA">
        <w:t xml:space="preserve">The incentive applies towards the purchase and installation of a new commercial kitchen exhaust hood control system installed in an existing or new dedicated commercial kitchen exhaust hood and makeup air system. </w:t>
      </w:r>
      <w:r w:rsidR="006C2397">
        <w:t xml:space="preserve">See the table below for specific eligibility requirements by solution code, program type and system size. </w:t>
      </w:r>
    </w:p>
    <w:p w14:paraId="26581AF2" w14:textId="77777777" w:rsidR="00B729BB" w:rsidRDefault="00B729BB" w:rsidP="00B729BB"/>
    <w:tbl>
      <w:tblPr>
        <w:tblStyle w:val="TableGrid"/>
        <w:tblW w:w="9921" w:type="dxa"/>
        <w:tblLook w:val="04A0" w:firstRow="1" w:lastRow="0" w:firstColumn="1" w:lastColumn="0" w:noHBand="0" w:noVBand="1"/>
      </w:tblPr>
      <w:tblGrid>
        <w:gridCol w:w="1255"/>
        <w:gridCol w:w="1260"/>
        <w:gridCol w:w="1530"/>
        <w:gridCol w:w="5876"/>
      </w:tblGrid>
      <w:tr w:rsidR="00B25D6E" w14:paraId="3FB3F4D2" w14:textId="77777777" w:rsidTr="00DF694F">
        <w:trPr>
          <w:trHeight w:val="480"/>
        </w:trPr>
        <w:tc>
          <w:tcPr>
            <w:tcW w:w="1255" w:type="dxa"/>
            <w:vAlign w:val="center"/>
          </w:tcPr>
          <w:p w14:paraId="5D824E7A" w14:textId="635E18C0" w:rsidR="00B25D6E" w:rsidRPr="00DF694F" w:rsidRDefault="00B25D6E" w:rsidP="00DF694F">
            <w:pPr>
              <w:jc w:val="center"/>
              <w:rPr>
                <w:b/>
              </w:rPr>
            </w:pPr>
            <w:r w:rsidRPr="00DF694F">
              <w:rPr>
                <w:b/>
              </w:rPr>
              <w:t>Solution Code</w:t>
            </w:r>
          </w:p>
        </w:tc>
        <w:tc>
          <w:tcPr>
            <w:tcW w:w="1260" w:type="dxa"/>
            <w:vAlign w:val="center"/>
          </w:tcPr>
          <w:p w14:paraId="6B098F76" w14:textId="3AB8DCA6" w:rsidR="00B25D6E" w:rsidRPr="00DF694F" w:rsidRDefault="00B25D6E" w:rsidP="00DF694F">
            <w:pPr>
              <w:jc w:val="center"/>
              <w:rPr>
                <w:b/>
              </w:rPr>
            </w:pPr>
            <w:r w:rsidRPr="00DF694F">
              <w:rPr>
                <w:b/>
              </w:rPr>
              <w:t>Program Type</w:t>
            </w:r>
          </w:p>
        </w:tc>
        <w:tc>
          <w:tcPr>
            <w:tcW w:w="1530" w:type="dxa"/>
            <w:vAlign w:val="center"/>
          </w:tcPr>
          <w:p w14:paraId="68D18658" w14:textId="3EBF1BBF" w:rsidR="00B25D6E" w:rsidRPr="00DF694F" w:rsidRDefault="00B25D6E" w:rsidP="00DF694F">
            <w:pPr>
              <w:jc w:val="center"/>
              <w:rPr>
                <w:b/>
              </w:rPr>
            </w:pPr>
            <w:r w:rsidRPr="00DF694F">
              <w:rPr>
                <w:b/>
              </w:rPr>
              <w:t>Total Hood Exhaust (CFM)</w:t>
            </w:r>
          </w:p>
        </w:tc>
        <w:tc>
          <w:tcPr>
            <w:tcW w:w="5876" w:type="dxa"/>
            <w:vAlign w:val="center"/>
          </w:tcPr>
          <w:p w14:paraId="491BCE23" w14:textId="4D3F7685" w:rsidR="00B25D6E" w:rsidRPr="00DF694F" w:rsidRDefault="00B25D6E" w:rsidP="00DF694F">
            <w:pPr>
              <w:jc w:val="center"/>
              <w:rPr>
                <w:b/>
              </w:rPr>
            </w:pPr>
            <w:r w:rsidRPr="00DF694F">
              <w:rPr>
                <w:b/>
              </w:rPr>
              <w:t>Eligibility Requirements</w:t>
            </w:r>
          </w:p>
        </w:tc>
      </w:tr>
      <w:tr w:rsidR="00B25D6E" w14:paraId="467DD9EC" w14:textId="77777777" w:rsidTr="00DF694F">
        <w:trPr>
          <w:trHeight w:val="209"/>
        </w:trPr>
        <w:tc>
          <w:tcPr>
            <w:tcW w:w="1255" w:type="dxa"/>
            <w:vMerge w:val="restart"/>
            <w:vAlign w:val="center"/>
          </w:tcPr>
          <w:p w14:paraId="13EC2CFC" w14:textId="3C611909" w:rsidR="00B25D6E" w:rsidRDefault="00836A35" w:rsidP="00DF694F">
            <w:pPr>
              <w:jc w:val="center"/>
            </w:pPr>
            <w:r>
              <w:rPr>
                <w:rFonts w:cstheme="minorBidi"/>
              </w:rPr>
              <w:t>FS-20154</w:t>
            </w:r>
          </w:p>
        </w:tc>
        <w:tc>
          <w:tcPr>
            <w:tcW w:w="1260" w:type="dxa"/>
            <w:vMerge w:val="restart"/>
            <w:vAlign w:val="center"/>
          </w:tcPr>
          <w:p w14:paraId="66867B6A" w14:textId="2223297E" w:rsidR="00B25D6E" w:rsidRDefault="00B25D6E" w:rsidP="00DF694F">
            <w:pPr>
              <w:jc w:val="center"/>
            </w:pPr>
            <w:r>
              <w:t>NEW</w:t>
            </w:r>
          </w:p>
        </w:tc>
        <w:tc>
          <w:tcPr>
            <w:tcW w:w="1530" w:type="dxa"/>
            <w:vAlign w:val="center"/>
          </w:tcPr>
          <w:p w14:paraId="5039705E" w14:textId="3F9BA4E7" w:rsidR="00B25D6E" w:rsidRDefault="004976F6" w:rsidP="00DF694F">
            <w:pPr>
              <w:jc w:val="center"/>
            </w:pPr>
            <w:r>
              <w:rPr>
                <w:rFonts w:ascii="Calibri" w:hAnsi="Calibri"/>
              </w:rPr>
              <w:t>≤</w:t>
            </w:r>
            <w:r w:rsidR="00B25D6E">
              <w:t>5,000</w:t>
            </w:r>
          </w:p>
        </w:tc>
        <w:tc>
          <w:tcPr>
            <w:tcW w:w="5876" w:type="dxa"/>
            <w:vAlign w:val="center"/>
          </w:tcPr>
          <w:p w14:paraId="46989E57" w14:textId="05213E90" w:rsidR="00B25D6E" w:rsidRDefault="004976F6" w:rsidP="00DF694F">
            <w:pPr>
              <w:jc w:val="center"/>
            </w:pPr>
            <w:r>
              <w:t>Eligible</w:t>
            </w:r>
          </w:p>
        </w:tc>
      </w:tr>
      <w:tr w:rsidR="00B25D6E" w14:paraId="44FE1AFC" w14:textId="77777777" w:rsidTr="00DF694F">
        <w:trPr>
          <w:trHeight w:val="209"/>
        </w:trPr>
        <w:tc>
          <w:tcPr>
            <w:tcW w:w="1255" w:type="dxa"/>
            <w:vMerge/>
            <w:vAlign w:val="center"/>
          </w:tcPr>
          <w:p w14:paraId="651E1F14" w14:textId="77777777" w:rsidR="00B25D6E" w:rsidRDefault="00B25D6E" w:rsidP="00DF694F">
            <w:pPr>
              <w:jc w:val="center"/>
            </w:pPr>
          </w:p>
        </w:tc>
        <w:tc>
          <w:tcPr>
            <w:tcW w:w="1260" w:type="dxa"/>
            <w:vMerge/>
            <w:vAlign w:val="center"/>
          </w:tcPr>
          <w:p w14:paraId="4F9B3521" w14:textId="77777777" w:rsidR="00B25D6E" w:rsidRDefault="00B25D6E" w:rsidP="00DF694F">
            <w:pPr>
              <w:jc w:val="center"/>
            </w:pPr>
          </w:p>
        </w:tc>
        <w:tc>
          <w:tcPr>
            <w:tcW w:w="1530" w:type="dxa"/>
            <w:vAlign w:val="center"/>
          </w:tcPr>
          <w:p w14:paraId="10521E4A" w14:textId="3CFDBBC7" w:rsidR="00B25D6E" w:rsidRDefault="004976F6" w:rsidP="00DF694F">
            <w:pPr>
              <w:jc w:val="center"/>
            </w:pPr>
            <w:r>
              <w:t>&gt;</w:t>
            </w:r>
            <w:r w:rsidR="00B25D6E">
              <w:t>5,000</w:t>
            </w:r>
          </w:p>
        </w:tc>
        <w:tc>
          <w:tcPr>
            <w:tcW w:w="5876" w:type="dxa"/>
            <w:vAlign w:val="center"/>
          </w:tcPr>
          <w:p w14:paraId="3960B48E" w14:textId="1EAD156F" w:rsidR="00B25D6E" w:rsidRDefault="00B25D6E" w:rsidP="00DF694F">
            <w:pPr>
              <w:jc w:val="center"/>
            </w:pPr>
            <w:r>
              <w:t>Not Eligible</w:t>
            </w:r>
          </w:p>
        </w:tc>
      </w:tr>
      <w:tr w:rsidR="004976F6" w14:paraId="46A48ED0" w14:textId="77777777" w:rsidTr="00DF694F">
        <w:trPr>
          <w:trHeight w:val="209"/>
        </w:trPr>
        <w:tc>
          <w:tcPr>
            <w:tcW w:w="1255" w:type="dxa"/>
            <w:vMerge w:val="restart"/>
          </w:tcPr>
          <w:p w14:paraId="2369D8CE" w14:textId="77777777" w:rsidR="004976F6" w:rsidRDefault="004976F6" w:rsidP="004976F6">
            <w:pPr>
              <w:jc w:val="center"/>
            </w:pPr>
            <w:r>
              <w:t>FS-17337</w:t>
            </w:r>
          </w:p>
        </w:tc>
        <w:tc>
          <w:tcPr>
            <w:tcW w:w="1260" w:type="dxa"/>
            <w:vMerge w:val="restart"/>
          </w:tcPr>
          <w:p w14:paraId="2EAF1BEC" w14:textId="77777777" w:rsidR="004976F6" w:rsidRDefault="004976F6" w:rsidP="004976F6">
            <w:pPr>
              <w:jc w:val="center"/>
            </w:pPr>
            <w:r>
              <w:t>REA</w:t>
            </w:r>
          </w:p>
        </w:tc>
        <w:tc>
          <w:tcPr>
            <w:tcW w:w="1530" w:type="dxa"/>
            <w:vAlign w:val="center"/>
          </w:tcPr>
          <w:p w14:paraId="0ECEF259" w14:textId="75F5D642" w:rsidR="004976F6" w:rsidRDefault="004976F6" w:rsidP="004976F6">
            <w:pPr>
              <w:jc w:val="center"/>
            </w:pPr>
            <w:r>
              <w:rPr>
                <w:rFonts w:ascii="Calibri" w:hAnsi="Calibri"/>
              </w:rPr>
              <w:t>≤</w:t>
            </w:r>
            <w:r>
              <w:t>5,000</w:t>
            </w:r>
          </w:p>
        </w:tc>
        <w:tc>
          <w:tcPr>
            <w:tcW w:w="5876" w:type="dxa"/>
          </w:tcPr>
          <w:p w14:paraId="3433E9FE" w14:textId="3850F472" w:rsidR="004976F6" w:rsidRDefault="004976F6" w:rsidP="004976F6">
            <w:pPr>
              <w:jc w:val="center"/>
            </w:pPr>
            <w:r>
              <w:t xml:space="preserve">Eligible </w:t>
            </w:r>
          </w:p>
        </w:tc>
      </w:tr>
      <w:tr w:rsidR="004976F6" w14:paraId="1DEAB33B" w14:textId="77777777" w:rsidTr="00DF694F">
        <w:trPr>
          <w:trHeight w:val="209"/>
        </w:trPr>
        <w:tc>
          <w:tcPr>
            <w:tcW w:w="1255" w:type="dxa"/>
            <w:vMerge/>
          </w:tcPr>
          <w:p w14:paraId="32079DBA" w14:textId="77777777" w:rsidR="004976F6" w:rsidRDefault="004976F6" w:rsidP="004976F6">
            <w:pPr>
              <w:jc w:val="center"/>
            </w:pPr>
          </w:p>
        </w:tc>
        <w:tc>
          <w:tcPr>
            <w:tcW w:w="1260" w:type="dxa"/>
            <w:vMerge/>
          </w:tcPr>
          <w:p w14:paraId="693AAC14" w14:textId="77777777" w:rsidR="004976F6" w:rsidRDefault="004976F6" w:rsidP="004976F6">
            <w:pPr>
              <w:jc w:val="center"/>
            </w:pPr>
          </w:p>
        </w:tc>
        <w:tc>
          <w:tcPr>
            <w:tcW w:w="1530" w:type="dxa"/>
            <w:vAlign w:val="center"/>
          </w:tcPr>
          <w:p w14:paraId="0AE86E5C" w14:textId="1F762E14" w:rsidR="004976F6" w:rsidRDefault="004976F6" w:rsidP="004976F6">
            <w:pPr>
              <w:jc w:val="center"/>
            </w:pPr>
            <w:r>
              <w:t>&gt;5,000</w:t>
            </w:r>
          </w:p>
        </w:tc>
        <w:tc>
          <w:tcPr>
            <w:tcW w:w="5876" w:type="dxa"/>
          </w:tcPr>
          <w:p w14:paraId="11DE72E7" w14:textId="6B2045EE" w:rsidR="004976F6" w:rsidRDefault="004976F6" w:rsidP="004976F6">
            <w:pPr>
              <w:jc w:val="center"/>
            </w:pPr>
            <w:r>
              <w:t>Existing s</w:t>
            </w:r>
            <w:r w:rsidRPr="00B25D6E">
              <w:t>ystems must have been installed before 2013 Title</w:t>
            </w:r>
            <w:r>
              <w:t xml:space="preserve"> 24 went into effect on 7/1/2014</w:t>
            </w:r>
            <w:r w:rsidRPr="00B25D6E">
              <w:t>. Please see Section 1.4.2 for more details on code requirements.</w:t>
            </w:r>
          </w:p>
        </w:tc>
      </w:tr>
    </w:tbl>
    <w:p w14:paraId="0D032403" w14:textId="77777777" w:rsidR="004E5BEF" w:rsidRDefault="004E5BEF"/>
    <w:p w14:paraId="2C3FB054" w14:textId="77777777" w:rsidR="004E5BEF" w:rsidRPr="005328DA" w:rsidRDefault="004E5BEF" w:rsidP="00B729BB"/>
    <w:p w14:paraId="7AADEBC1" w14:textId="342E15D5" w:rsidR="006C2397" w:rsidRDefault="006C2397" w:rsidP="00B729BB">
      <w:pPr>
        <w:pStyle w:val="NoSpacing"/>
      </w:pPr>
      <w:r>
        <w:t xml:space="preserve">The measures in this </w:t>
      </w:r>
      <w:proofErr w:type="spellStart"/>
      <w:r>
        <w:t>workpaper</w:t>
      </w:r>
      <w:proofErr w:type="spellEnd"/>
      <w:r>
        <w:t xml:space="preserve"> are </w:t>
      </w:r>
      <w:r w:rsidR="00584D6A">
        <w:t xml:space="preserve">eligible for all 16 Climate zones, for </w:t>
      </w:r>
      <w:r>
        <w:t xml:space="preserve">the building types listed below: </w:t>
      </w:r>
    </w:p>
    <w:p w14:paraId="3D1B1A32" w14:textId="77777777" w:rsidR="006C2397" w:rsidRDefault="006C2397" w:rsidP="00B729BB">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4130"/>
      </w:tblGrid>
      <w:tr w:rsidR="006C2397" w14:paraId="67AE239C" w14:textId="77777777" w:rsidTr="00DF694F">
        <w:tc>
          <w:tcPr>
            <w:tcW w:w="5220" w:type="dxa"/>
          </w:tcPr>
          <w:p w14:paraId="04721C6E" w14:textId="70191669" w:rsidR="006C2397" w:rsidRDefault="006C2397" w:rsidP="00DF694F">
            <w:pPr>
              <w:pStyle w:val="NoSpacing"/>
              <w:numPr>
                <w:ilvl w:val="0"/>
                <w:numId w:val="34"/>
              </w:numPr>
            </w:pPr>
            <w:r w:rsidRPr="00C41021">
              <w:rPr>
                <w:rFonts w:eastAsia="Times New Roman" w:cstheme="minorHAnsi"/>
              </w:rPr>
              <w:t>Education - Primary School</w:t>
            </w:r>
          </w:p>
        </w:tc>
        <w:tc>
          <w:tcPr>
            <w:tcW w:w="4130" w:type="dxa"/>
          </w:tcPr>
          <w:p w14:paraId="28B94C3A" w14:textId="125DBBE3" w:rsidR="006C2397" w:rsidRDefault="006C2397" w:rsidP="00DF694F">
            <w:pPr>
              <w:pStyle w:val="NoSpacing"/>
              <w:numPr>
                <w:ilvl w:val="0"/>
                <w:numId w:val="34"/>
              </w:numPr>
            </w:pPr>
            <w:r w:rsidRPr="00C41021">
              <w:rPr>
                <w:rFonts w:eastAsia="Times New Roman" w:cstheme="minorHAnsi"/>
              </w:rPr>
              <w:t>Health/Medical - Nursing Home</w:t>
            </w:r>
          </w:p>
        </w:tc>
      </w:tr>
      <w:tr w:rsidR="006C2397" w14:paraId="57E73D3A" w14:textId="77777777" w:rsidTr="00DF694F">
        <w:tc>
          <w:tcPr>
            <w:tcW w:w="5220" w:type="dxa"/>
          </w:tcPr>
          <w:p w14:paraId="1E991002" w14:textId="2B71195C" w:rsidR="006C2397" w:rsidRDefault="006C2397" w:rsidP="00DF694F">
            <w:pPr>
              <w:pStyle w:val="NoSpacing"/>
              <w:numPr>
                <w:ilvl w:val="0"/>
                <w:numId w:val="34"/>
              </w:numPr>
            </w:pPr>
            <w:r w:rsidRPr="00C41021">
              <w:rPr>
                <w:rFonts w:eastAsia="Times New Roman" w:cstheme="minorHAnsi"/>
              </w:rPr>
              <w:t>Education - Secondary School</w:t>
            </w:r>
          </w:p>
        </w:tc>
        <w:tc>
          <w:tcPr>
            <w:tcW w:w="4130" w:type="dxa"/>
          </w:tcPr>
          <w:p w14:paraId="7107EBA0" w14:textId="0C92ED64" w:rsidR="006C2397" w:rsidRDefault="006C2397" w:rsidP="00DF694F">
            <w:pPr>
              <w:pStyle w:val="NoSpacing"/>
              <w:numPr>
                <w:ilvl w:val="0"/>
                <w:numId w:val="34"/>
              </w:numPr>
            </w:pPr>
            <w:r w:rsidRPr="003A2FD5">
              <w:rPr>
                <w:rFonts w:eastAsia="Times New Roman" w:cstheme="minorHAnsi"/>
              </w:rPr>
              <w:t>Lodging – Hotel</w:t>
            </w:r>
          </w:p>
        </w:tc>
      </w:tr>
      <w:tr w:rsidR="006C2397" w14:paraId="06EE1E35" w14:textId="77777777" w:rsidTr="00DF694F">
        <w:tc>
          <w:tcPr>
            <w:tcW w:w="5220" w:type="dxa"/>
          </w:tcPr>
          <w:p w14:paraId="5D24CDAF" w14:textId="270FF85B" w:rsidR="006C2397" w:rsidRDefault="006C2397" w:rsidP="00DF694F">
            <w:pPr>
              <w:pStyle w:val="NoSpacing"/>
              <w:numPr>
                <w:ilvl w:val="0"/>
                <w:numId w:val="34"/>
              </w:numPr>
            </w:pPr>
            <w:r w:rsidRPr="00C41021">
              <w:rPr>
                <w:rFonts w:eastAsia="Times New Roman" w:cstheme="minorHAnsi"/>
              </w:rPr>
              <w:t>Education - Relocatable Classroom</w:t>
            </w:r>
          </w:p>
        </w:tc>
        <w:tc>
          <w:tcPr>
            <w:tcW w:w="4130" w:type="dxa"/>
          </w:tcPr>
          <w:p w14:paraId="67F396D3" w14:textId="3DED9CF6" w:rsidR="006C2397" w:rsidRDefault="006C2397" w:rsidP="00DF694F">
            <w:pPr>
              <w:pStyle w:val="NoSpacing"/>
              <w:numPr>
                <w:ilvl w:val="0"/>
                <w:numId w:val="34"/>
              </w:numPr>
            </w:pPr>
            <w:r w:rsidRPr="003A2FD5">
              <w:rPr>
                <w:rFonts w:eastAsia="Times New Roman" w:cstheme="minorHAnsi"/>
              </w:rPr>
              <w:t>Office – Large</w:t>
            </w:r>
          </w:p>
        </w:tc>
      </w:tr>
      <w:tr w:rsidR="006C2397" w14:paraId="473D879A" w14:textId="77777777" w:rsidTr="00DF694F">
        <w:trPr>
          <w:trHeight w:val="360"/>
        </w:trPr>
        <w:tc>
          <w:tcPr>
            <w:tcW w:w="5220" w:type="dxa"/>
          </w:tcPr>
          <w:p w14:paraId="78098CE6" w14:textId="5B1823EE" w:rsidR="006C2397" w:rsidRDefault="006C2397" w:rsidP="00DF694F">
            <w:pPr>
              <w:pStyle w:val="NoSpacing"/>
              <w:numPr>
                <w:ilvl w:val="0"/>
                <w:numId w:val="34"/>
              </w:numPr>
            </w:pPr>
            <w:r w:rsidRPr="00C41021">
              <w:rPr>
                <w:rFonts w:eastAsia="Times New Roman" w:cstheme="minorHAnsi"/>
              </w:rPr>
              <w:t>Education - Community College</w:t>
            </w:r>
          </w:p>
        </w:tc>
        <w:tc>
          <w:tcPr>
            <w:tcW w:w="4130" w:type="dxa"/>
          </w:tcPr>
          <w:p w14:paraId="216F55DB" w14:textId="4DAAB2AF" w:rsidR="006C2397" w:rsidRDefault="006C2397" w:rsidP="00DF694F">
            <w:pPr>
              <w:pStyle w:val="NoSpacing"/>
              <w:numPr>
                <w:ilvl w:val="0"/>
                <w:numId w:val="34"/>
              </w:numPr>
            </w:pPr>
            <w:r w:rsidRPr="003A2FD5">
              <w:rPr>
                <w:rFonts w:eastAsia="Times New Roman" w:cstheme="minorHAnsi"/>
              </w:rPr>
              <w:t>Office – Small</w:t>
            </w:r>
          </w:p>
        </w:tc>
      </w:tr>
      <w:tr w:rsidR="006C2397" w14:paraId="7D0E9C9D" w14:textId="77777777" w:rsidTr="00DF694F">
        <w:tc>
          <w:tcPr>
            <w:tcW w:w="5220" w:type="dxa"/>
          </w:tcPr>
          <w:p w14:paraId="1E87FF01" w14:textId="26904E53" w:rsidR="006C2397" w:rsidRDefault="006C2397" w:rsidP="00DF694F">
            <w:pPr>
              <w:pStyle w:val="NoSpacing"/>
              <w:numPr>
                <w:ilvl w:val="0"/>
                <w:numId w:val="34"/>
              </w:numPr>
            </w:pPr>
            <w:r w:rsidRPr="00C41021">
              <w:rPr>
                <w:rFonts w:eastAsia="Times New Roman" w:cstheme="minorHAnsi"/>
              </w:rPr>
              <w:t>Education – University</w:t>
            </w:r>
          </w:p>
        </w:tc>
        <w:tc>
          <w:tcPr>
            <w:tcW w:w="4130" w:type="dxa"/>
          </w:tcPr>
          <w:p w14:paraId="624E9DF5" w14:textId="13681EFE" w:rsidR="006C2397" w:rsidRDefault="006C2397" w:rsidP="00DF694F">
            <w:pPr>
              <w:pStyle w:val="NoSpacing"/>
              <w:numPr>
                <w:ilvl w:val="0"/>
                <w:numId w:val="34"/>
              </w:numPr>
            </w:pPr>
            <w:r w:rsidRPr="003A2FD5">
              <w:rPr>
                <w:rFonts w:eastAsia="Times New Roman" w:cstheme="minorHAnsi"/>
              </w:rPr>
              <w:t>Restaurant - Fast-Food</w:t>
            </w:r>
          </w:p>
        </w:tc>
      </w:tr>
      <w:tr w:rsidR="006C2397" w14:paraId="16B97432" w14:textId="77777777" w:rsidTr="00DF694F">
        <w:tc>
          <w:tcPr>
            <w:tcW w:w="5220" w:type="dxa"/>
          </w:tcPr>
          <w:p w14:paraId="349B205B" w14:textId="34052883" w:rsidR="006C2397" w:rsidRDefault="006C2397" w:rsidP="00DF694F">
            <w:pPr>
              <w:pStyle w:val="NoSpacing"/>
              <w:numPr>
                <w:ilvl w:val="0"/>
                <w:numId w:val="34"/>
              </w:numPr>
            </w:pPr>
            <w:r w:rsidRPr="00C41021">
              <w:rPr>
                <w:rFonts w:eastAsia="Times New Roman" w:cstheme="minorHAnsi"/>
              </w:rPr>
              <w:t>Grocery</w:t>
            </w:r>
          </w:p>
        </w:tc>
        <w:tc>
          <w:tcPr>
            <w:tcW w:w="4130" w:type="dxa"/>
          </w:tcPr>
          <w:p w14:paraId="3E351D7F" w14:textId="05465BD6" w:rsidR="006C2397" w:rsidRDefault="006C2397" w:rsidP="00DF694F">
            <w:pPr>
              <w:pStyle w:val="NoSpacing"/>
              <w:numPr>
                <w:ilvl w:val="0"/>
                <w:numId w:val="34"/>
              </w:numPr>
            </w:pPr>
            <w:r w:rsidRPr="003A2FD5">
              <w:rPr>
                <w:rFonts w:eastAsia="Times New Roman" w:cstheme="minorHAnsi"/>
              </w:rPr>
              <w:t>Restaurant - Sit-Down</w:t>
            </w:r>
          </w:p>
        </w:tc>
      </w:tr>
      <w:tr w:rsidR="006C2397" w14:paraId="1D182B6D" w14:textId="77777777" w:rsidTr="00DF694F">
        <w:tc>
          <w:tcPr>
            <w:tcW w:w="5220" w:type="dxa"/>
          </w:tcPr>
          <w:p w14:paraId="63AB5A95" w14:textId="440BA3CD" w:rsidR="006C2397" w:rsidRDefault="006C2397" w:rsidP="00DF694F">
            <w:pPr>
              <w:pStyle w:val="NoSpacing"/>
              <w:numPr>
                <w:ilvl w:val="0"/>
                <w:numId w:val="34"/>
              </w:numPr>
            </w:pPr>
            <w:r w:rsidRPr="00C41021">
              <w:rPr>
                <w:rFonts w:eastAsia="Times New Roman" w:cstheme="minorHAnsi"/>
              </w:rPr>
              <w:t>Health/Medical – Hospital</w:t>
            </w:r>
          </w:p>
        </w:tc>
        <w:tc>
          <w:tcPr>
            <w:tcW w:w="4130" w:type="dxa"/>
          </w:tcPr>
          <w:p w14:paraId="3FBEFDB7" w14:textId="5C85D0A9" w:rsidR="006C2397" w:rsidRDefault="006C2397" w:rsidP="006C2397">
            <w:pPr>
              <w:pStyle w:val="NoSpacing"/>
            </w:pPr>
          </w:p>
        </w:tc>
      </w:tr>
    </w:tbl>
    <w:p w14:paraId="6551EB4A" w14:textId="2C00E63D" w:rsidR="006C2397" w:rsidRDefault="006C2397" w:rsidP="00B729BB">
      <w:pPr>
        <w:pStyle w:val="NoSpacing"/>
        <w:rPr>
          <w:rFonts w:eastAsia="Times New Roman" w:cstheme="minorHAnsi"/>
        </w:rPr>
      </w:pPr>
    </w:p>
    <w:p w14:paraId="3215D9D3" w14:textId="0B5241A8" w:rsidR="004E5BEF" w:rsidRDefault="004E5BEF" w:rsidP="00B729BB">
      <w:pPr>
        <w:pStyle w:val="NoSpacing"/>
        <w:rPr>
          <w:rFonts w:eastAsia="Times New Roman" w:cstheme="minorHAnsi"/>
          <w:b/>
        </w:rPr>
      </w:pPr>
      <w:r>
        <w:rPr>
          <w:rFonts w:eastAsia="Times New Roman" w:cstheme="minorHAnsi"/>
          <w:b/>
        </w:rPr>
        <w:t>Implementation Requirements</w:t>
      </w:r>
    </w:p>
    <w:p w14:paraId="526D7BD0" w14:textId="01CA2249" w:rsidR="004976F6" w:rsidRPr="00DF694F" w:rsidRDefault="004976F6" w:rsidP="00DF694F">
      <w:pPr>
        <w:pStyle w:val="NoSpacing"/>
        <w:numPr>
          <w:ilvl w:val="0"/>
          <w:numId w:val="34"/>
        </w:numPr>
      </w:pPr>
      <w:r w:rsidRPr="00DF694F">
        <w:t>A Project Installation Worksheet must be submitted with the rebate application.</w:t>
      </w:r>
    </w:p>
    <w:p w14:paraId="7C9C9B55" w14:textId="7506CD17" w:rsidR="004976F6" w:rsidRDefault="004976F6" w:rsidP="00DF694F">
      <w:pPr>
        <w:pStyle w:val="NoSpacing"/>
        <w:numPr>
          <w:ilvl w:val="0"/>
          <w:numId w:val="34"/>
        </w:numPr>
      </w:pPr>
      <w:r w:rsidRPr="00DF694F">
        <w:t>Only pre-approved control systems will qualify for an incentive.</w:t>
      </w:r>
    </w:p>
    <w:p w14:paraId="2F5EC91C" w14:textId="728DB6BA" w:rsidR="00B9697E" w:rsidRPr="005636AD" w:rsidRDefault="00B9697E" w:rsidP="00DF694F">
      <w:pPr>
        <w:pStyle w:val="NoSpacing"/>
        <w:numPr>
          <w:ilvl w:val="0"/>
          <w:numId w:val="34"/>
        </w:numPr>
      </w:pPr>
      <w:r>
        <w:t xml:space="preserve">The customer must provide verification of total exhaust CFM controlled by the new or existing </w:t>
      </w:r>
      <w:r w:rsidR="00E638C3">
        <w:t xml:space="preserve">kitchen </w:t>
      </w:r>
      <w:r>
        <w:t>hood in order to ve</w:t>
      </w:r>
      <w:r w:rsidR="00836A35">
        <w:t xml:space="preserve">rify eligibility of the measure, based on the eligibility table above. </w:t>
      </w:r>
    </w:p>
    <w:p w14:paraId="20F6CF76" w14:textId="5608C7E1" w:rsidR="004976F6" w:rsidRPr="005636AD" w:rsidRDefault="00B9697E" w:rsidP="00DF694F">
      <w:pPr>
        <w:pStyle w:val="NoSpacing"/>
        <w:numPr>
          <w:ilvl w:val="0"/>
          <w:numId w:val="34"/>
        </w:numPr>
        <w:rPr>
          <w:b/>
        </w:rPr>
      </w:pPr>
      <w:r>
        <w:t>For REA measures, customer must provide verification of the installation date that the existing systems kitchen hood system to ver</w:t>
      </w:r>
      <w:r w:rsidR="00836A35">
        <w:t>ify eligibility of the measure, based on the eligibility table above.</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61A6DCA" w14:textId="2E6FD64E" w:rsidR="00CE5DEF" w:rsidRPr="005328DA" w:rsidRDefault="00CE5DEF" w:rsidP="00CE5DEF">
      <w:r w:rsidRPr="005328DA">
        <w:t>Modern commercial kitchen ventilation has advanced beyond basic heat and smoke removal at the lowest first cost</w:t>
      </w:r>
      <w:r w:rsidR="00460BF6">
        <w:t>,</w:t>
      </w:r>
      <w:r w:rsidRPr="005328DA">
        <w:t xml:space="preserve"> to systems that are more energy efficient and require less maintenance. In addition, there is a greater emphasis on comfort, kitchen indoor air quality, reduced noise levels and improved fire safety. </w:t>
      </w:r>
    </w:p>
    <w:p w14:paraId="6EF2D42B" w14:textId="77777777" w:rsidR="00CE5DEF" w:rsidRPr="005328DA" w:rsidRDefault="00CE5DEF" w:rsidP="00CE5DEF"/>
    <w:p w14:paraId="74C26423" w14:textId="77777777" w:rsidR="00CE5DEF" w:rsidRPr="005328DA" w:rsidRDefault="00CE5DEF" w:rsidP="00CE5DEF">
      <w:r w:rsidRPr="005328DA">
        <w:t xml:space="preserve">Conventional kitchen ventilation controls mainly consist of a manual on/off switch and a magnetic relay or motor starter for each fan. Exhaust and makeup air fans operate either at 100% speed or not at all. Occasionally, two-speed motor systems have been employed, which rely on cooks to manually switch from low to high-speed and vice versa, which is an improvement but not a global solution for the lack of control over kitchen exhaust. Today’s state-of-the-art commercial kitchen demand controlled </w:t>
      </w:r>
      <w:r>
        <w:rPr>
          <w:rFonts w:cstheme="minorHAnsi"/>
        </w:rPr>
        <w:t xml:space="preserve">kitchen </w:t>
      </w:r>
      <w:r w:rsidRPr="005328DA">
        <w:t>ventilation (</w:t>
      </w:r>
      <w:r>
        <w:rPr>
          <w:rFonts w:cstheme="minorHAnsi"/>
        </w:rPr>
        <w:t>D</w:t>
      </w:r>
      <w:r w:rsidRPr="00D77D89">
        <w:rPr>
          <w:rFonts w:cstheme="minorHAnsi"/>
        </w:rPr>
        <w:t>C</w:t>
      </w:r>
      <w:r>
        <w:rPr>
          <w:rFonts w:cstheme="minorHAnsi"/>
        </w:rPr>
        <w:t>KV</w:t>
      </w:r>
      <w:r w:rsidRPr="005328DA">
        <w:t>) system is essentially a demand-ventilation-based energy management system for commercial kitchen exhaust hoods that minimizes fan energy use by reducing the exhaust and makeup air fan speed and associated energy consumption when little or no cooking is occurring. Furthermore, as a function of the exhaust fan speed and associated airflow reduction, outdoor makeup air heating and cooling energy is also reduced. In addition, the kitchen ambient noise level is significantly decreased.</w:t>
      </w:r>
    </w:p>
    <w:p w14:paraId="60888FEB" w14:textId="77777777" w:rsidR="00CE5DEF" w:rsidRPr="005328DA" w:rsidRDefault="00CE5DEF" w:rsidP="00CE5DEF"/>
    <w:p w14:paraId="7206184A" w14:textId="77777777" w:rsidR="00CE5DEF" w:rsidRPr="005328DA" w:rsidRDefault="00CE5DEF" w:rsidP="00CE5DEF">
      <w:r w:rsidRPr="005328DA">
        <w:t xml:space="preserve">The </w:t>
      </w:r>
      <w:r w:rsidRPr="00D95980">
        <w:rPr>
          <w:rFonts w:cstheme="minorHAnsi"/>
        </w:rPr>
        <w:t>DC</w:t>
      </w:r>
      <w:r>
        <w:rPr>
          <w:rFonts w:cstheme="minorHAnsi"/>
        </w:rPr>
        <w:t>K</w:t>
      </w:r>
      <w:r w:rsidRPr="00D95980">
        <w:rPr>
          <w:rFonts w:cstheme="minorHAnsi"/>
        </w:rPr>
        <w:t>V</w:t>
      </w:r>
      <w:r w:rsidRPr="005328DA">
        <w:t xml:space="preserve"> system is equipped with sensors and a microprocessor-based controller used in conjunction with variable speed drives for the fan motors, automatically modulating fan speed based on cooking load and/or time of day. The minimum ventilation rate is based on the energy and effluent output from the cooking appliances (i.e., the more heat and smoke/vapor generated, the more ventilation needed). Determining this involves installing temperature sensor</w:t>
      </w:r>
      <w:r>
        <w:rPr>
          <w:rFonts w:cstheme="minorHAnsi"/>
        </w:rPr>
        <w:t>(s)</w:t>
      </w:r>
      <w:r w:rsidRPr="005328DA">
        <w:t xml:space="preserve"> in the hood exhaust collar </w:t>
      </w:r>
      <w:r>
        <w:rPr>
          <w:rFonts w:cstheme="minorHAnsi"/>
        </w:rPr>
        <w:t xml:space="preserve">or within the hood, </w:t>
      </w:r>
      <w:r w:rsidRPr="005328DA">
        <w:lastRenderedPageBreak/>
        <w:t>and/or an optic sensor</w:t>
      </w:r>
      <w:r>
        <w:rPr>
          <w:rFonts w:cstheme="minorHAnsi"/>
        </w:rPr>
        <w:t>(s)</w:t>
      </w:r>
      <w:r w:rsidRPr="005328DA">
        <w:t xml:space="preserve"> within the hood that senses cooking conditions, allowing the control system to automatically vary the rate of exhaust to what is needed by adjusting the fan speed accordingly. Effective controller programming, performed during system commissioning, that is tailored for each equipment line and accompanying hood achieves optimal performance and savings. Cost-effectiveness for a particular facility increases proportionally with the ventilation system airflow rate, applied fan power and operating time.</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2AA97817" w14:textId="35D4E40D" w:rsidR="00CE5DEF" w:rsidRPr="005328DA" w:rsidRDefault="00CE5DEF" w:rsidP="00CE5DEF">
      <w:r w:rsidRPr="005328DA">
        <w:t xml:space="preserve">The delivery method is Financial Support – </w:t>
      </w:r>
      <w:r w:rsidR="007A30B8">
        <w:t>Down-stream Incentive – Deemed and Midstream Incentive.</w:t>
      </w:r>
    </w:p>
    <w:p w14:paraId="4270E3BF" w14:textId="77777777" w:rsidR="00CE5DEF" w:rsidRPr="005328DA" w:rsidRDefault="00CE5DEF" w:rsidP="00CE5DEF"/>
    <w:p w14:paraId="21A0A367" w14:textId="0E4ED916" w:rsidR="00CE5DEF" w:rsidRDefault="00CE5DEF" w:rsidP="00CE5DEF">
      <w:pPr>
        <w:pStyle w:val="Reminders"/>
        <w:tabs>
          <w:tab w:val="num" w:pos="360"/>
        </w:tabs>
        <w:rPr>
          <w:rFonts w:asciiTheme="minorHAnsi" w:hAnsiTheme="minorHAnsi"/>
          <w:i w:val="0"/>
          <w:color w:val="auto"/>
        </w:rPr>
      </w:pPr>
      <w:r w:rsidRPr="00CE5DEF">
        <w:rPr>
          <w:rFonts w:asciiTheme="minorHAnsi" w:hAnsiTheme="minorHAnsi"/>
          <w:i w:val="0"/>
          <w:color w:val="auto"/>
        </w:rPr>
        <w:t>The install type</w:t>
      </w:r>
      <w:r w:rsidR="00B9697E">
        <w:rPr>
          <w:rFonts w:asciiTheme="minorHAnsi" w:hAnsiTheme="minorHAnsi"/>
          <w:i w:val="0"/>
          <w:color w:val="auto"/>
        </w:rPr>
        <w:t xml:space="preserve">s available for this </w:t>
      </w:r>
      <w:proofErr w:type="spellStart"/>
      <w:r w:rsidR="00B9697E">
        <w:rPr>
          <w:rFonts w:asciiTheme="minorHAnsi" w:hAnsiTheme="minorHAnsi"/>
          <w:i w:val="0"/>
          <w:color w:val="auto"/>
        </w:rPr>
        <w:t>workpaper</w:t>
      </w:r>
      <w:proofErr w:type="spellEnd"/>
      <w:r w:rsidR="00B9697E">
        <w:rPr>
          <w:rFonts w:asciiTheme="minorHAnsi" w:hAnsiTheme="minorHAnsi"/>
          <w:i w:val="0"/>
          <w:color w:val="auto"/>
        </w:rPr>
        <w:t xml:space="preserve"> are New Construction (NEW) and</w:t>
      </w:r>
      <w:r w:rsidRPr="00CE5DEF">
        <w:rPr>
          <w:rFonts w:asciiTheme="minorHAnsi" w:hAnsiTheme="minorHAnsi"/>
          <w:i w:val="0"/>
          <w:color w:val="auto"/>
        </w:rPr>
        <w:t xml:space="preserve"> Retrofit Add-on (REA)</w:t>
      </w:r>
      <w:r w:rsidR="00B9697E">
        <w:rPr>
          <w:rFonts w:asciiTheme="minorHAnsi" w:hAnsiTheme="minorHAnsi"/>
          <w:i w:val="0"/>
          <w:color w:val="auto"/>
        </w:rPr>
        <w:t>. See Section 1.1 for information on eligibility requ</w:t>
      </w:r>
      <w:r w:rsidR="00E56E39">
        <w:rPr>
          <w:rFonts w:asciiTheme="minorHAnsi" w:hAnsiTheme="minorHAnsi"/>
          <w:i w:val="0"/>
          <w:color w:val="auto"/>
        </w:rPr>
        <w:t>irements for each install type.</w:t>
      </w:r>
      <w:r w:rsidR="00B9697E">
        <w:rPr>
          <w:rFonts w:asciiTheme="minorHAnsi" w:hAnsiTheme="minorHAnsi"/>
          <w:i w:val="0"/>
          <w:color w:val="auto"/>
        </w:rPr>
        <w:t xml:space="preserve"> </w:t>
      </w:r>
    </w:p>
    <w:p w14:paraId="71CC8D3F" w14:textId="77777777" w:rsidR="00CE5DEF" w:rsidRPr="00CE5DEF" w:rsidRDefault="00CE5DEF" w:rsidP="00CE5DEF">
      <w:pPr>
        <w:pStyle w:val="Reminders"/>
        <w:tabs>
          <w:tab w:val="num" w:pos="360"/>
        </w:tabs>
        <w:rPr>
          <w:rFonts w:asciiTheme="minorHAnsi" w:hAnsiTheme="minorHAnsi"/>
          <w:i w:val="0"/>
          <w:color w:val="auto"/>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4976F6" w:rsidRPr="00500C4E" w14:paraId="52538A14" w14:textId="77777777" w:rsidTr="006F1B21">
        <w:trPr>
          <w:trHeight w:val="20"/>
        </w:trPr>
        <w:tc>
          <w:tcPr>
            <w:tcW w:w="1778" w:type="pct"/>
          </w:tcPr>
          <w:p w14:paraId="249B41EA" w14:textId="01EADAC4" w:rsidR="004976F6" w:rsidRPr="00500C4E" w:rsidRDefault="004976F6" w:rsidP="004976F6">
            <w:pPr>
              <w:rPr>
                <w:sz w:val="18"/>
                <w:szCs w:val="18"/>
              </w:rPr>
            </w:pPr>
            <w:r w:rsidRPr="00500C4E">
              <w:rPr>
                <w:sz w:val="18"/>
                <w:szCs w:val="18"/>
              </w:rPr>
              <w:t>New Construction (NEW</w:t>
            </w:r>
            <w:r>
              <w:rPr>
                <w:sz w:val="18"/>
                <w:szCs w:val="18"/>
              </w:rPr>
              <w:t>/NC</w:t>
            </w:r>
            <w:r w:rsidRPr="00500C4E">
              <w:rPr>
                <w:sz w:val="18"/>
                <w:szCs w:val="18"/>
              </w:rPr>
              <w:t>)</w:t>
            </w:r>
          </w:p>
        </w:tc>
        <w:tc>
          <w:tcPr>
            <w:tcW w:w="1107" w:type="pct"/>
          </w:tcPr>
          <w:p w14:paraId="733C7F74" w14:textId="29D74667" w:rsidR="004976F6" w:rsidRPr="00500C4E" w:rsidRDefault="004976F6" w:rsidP="004976F6">
            <w:r w:rsidRPr="00500C4E">
              <w:rPr>
                <w:sz w:val="18"/>
                <w:szCs w:val="18"/>
              </w:rPr>
              <w:t>Above Code or Standard</w:t>
            </w:r>
          </w:p>
        </w:tc>
        <w:tc>
          <w:tcPr>
            <w:tcW w:w="1108" w:type="pct"/>
          </w:tcPr>
          <w:p w14:paraId="72F26FFC" w14:textId="42B4B5E9" w:rsidR="004976F6" w:rsidRPr="00500C4E" w:rsidRDefault="004976F6" w:rsidP="004976F6">
            <w:pPr>
              <w:rPr>
                <w:sz w:val="18"/>
                <w:szCs w:val="18"/>
              </w:rPr>
            </w:pPr>
            <w:r w:rsidRPr="00500C4E">
              <w:rPr>
                <w:sz w:val="18"/>
                <w:szCs w:val="18"/>
              </w:rPr>
              <w:t>N/A</w:t>
            </w:r>
          </w:p>
        </w:tc>
        <w:tc>
          <w:tcPr>
            <w:tcW w:w="481" w:type="pct"/>
          </w:tcPr>
          <w:p w14:paraId="4539002F" w14:textId="29B389FB" w:rsidR="004976F6" w:rsidRPr="00500C4E" w:rsidRDefault="004976F6" w:rsidP="004976F6">
            <w:pPr>
              <w:rPr>
                <w:sz w:val="18"/>
                <w:szCs w:val="18"/>
              </w:rPr>
            </w:pPr>
            <w:r w:rsidRPr="00500C4E">
              <w:rPr>
                <w:sz w:val="18"/>
                <w:szCs w:val="18"/>
              </w:rPr>
              <w:t>EUL</w:t>
            </w:r>
          </w:p>
        </w:tc>
        <w:tc>
          <w:tcPr>
            <w:tcW w:w="526" w:type="pct"/>
          </w:tcPr>
          <w:p w14:paraId="36C8D9AD" w14:textId="7959B8AB" w:rsidR="004976F6" w:rsidRPr="00500C4E" w:rsidRDefault="004976F6" w:rsidP="004976F6">
            <w:pPr>
              <w:rPr>
                <w:sz w:val="18"/>
                <w:szCs w:val="18"/>
              </w:rPr>
            </w:pPr>
            <w:r w:rsidRPr="00500C4E">
              <w:rPr>
                <w:sz w:val="18"/>
                <w:szCs w:val="18"/>
              </w:rPr>
              <w:t>N/A</w:t>
            </w:r>
          </w:p>
        </w:tc>
      </w:tr>
      <w:tr w:rsidR="004976F6" w:rsidRPr="00500C4E" w14:paraId="0B873CD8" w14:textId="77777777" w:rsidTr="006F1B21">
        <w:trPr>
          <w:trHeight w:val="20"/>
        </w:trPr>
        <w:tc>
          <w:tcPr>
            <w:tcW w:w="1778" w:type="pct"/>
          </w:tcPr>
          <w:p w14:paraId="6AB9F932" w14:textId="1AE27A7A" w:rsidR="004976F6" w:rsidRPr="00500C4E" w:rsidRDefault="004976F6" w:rsidP="004976F6">
            <w:pPr>
              <w:rPr>
                <w:sz w:val="18"/>
                <w:szCs w:val="18"/>
              </w:rPr>
            </w:pPr>
            <w:r w:rsidRPr="00500C4E">
              <w:rPr>
                <w:sz w:val="18"/>
                <w:szCs w:val="18"/>
              </w:rPr>
              <w:t>Retrofit Add-on (REA)</w:t>
            </w:r>
          </w:p>
        </w:tc>
        <w:tc>
          <w:tcPr>
            <w:tcW w:w="1107" w:type="pct"/>
          </w:tcPr>
          <w:p w14:paraId="7B99D59E" w14:textId="7D815D01" w:rsidR="004976F6" w:rsidRPr="00500C4E" w:rsidRDefault="004976F6" w:rsidP="004976F6">
            <w:pPr>
              <w:rPr>
                <w:sz w:val="18"/>
                <w:szCs w:val="18"/>
              </w:rPr>
            </w:pPr>
            <w:r w:rsidRPr="00500C4E">
              <w:rPr>
                <w:sz w:val="18"/>
                <w:szCs w:val="18"/>
              </w:rPr>
              <w:t>Above Customer Existing</w:t>
            </w:r>
          </w:p>
        </w:tc>
        <w:tc>
          <w:tcPr>
            <w:tcW w:w="1108" w:type="pct"/>
          </w:tcPr>
          <w:p w14:paraId="57A50229" w14:textId="66D9E287" w:rsidR="004976F6" w:rsidRPr="00500C4E" w:rsidRDefault="004976F6" w:rsidP="004976F6">
            <w:pPr>
              <w:rPr>
                <w:sz w:val="18"/>
                <w:szCs w:val="18"/>
              </w:rPr>
            </w:pPr>
            <w:r w:rsidRPr="00500C4E">
              <w:rPr>
                <w:sz w:val="18"/>
                <w:szCs w:val="18"/>
              </w:rPr>
              <w:t>N/A</w:t>
            </w:r>
          </w:p>
        </w:tc>
        <w:tc>
          <w:tcPr>
            <w:tcW w:w="481" w:type="pct"/>
          </w:tcPr>
          <w:p w14:paraId="7050D128" w14:textId="4FD435ED" w:rsidR="004976F6" w:rsidRPr="00500C4E" w:rsidRDefault="004976F6" w:rsidP="004976F6">
            <w:pPr>
              <w:rPr>
                <w:sz w:val="18"/>
                <w:szCs w:val="18"/>
              </w:rPr>
            </w:pPr>
            <w:r w:rsidRPr="00500C4E">
              <w:rPr>
                <w:sz w:val="18"/>
                <w:szCs w:val="18"/>
              </w:rPr>
              <w:t>EUL</w:t>
            </w:r>
          </w:p>
        </w:tc>
        <w:tc>
          <w:tcPr>
            <w:tcW w:w="526" w:type="pct"/>
          </w:tcPr>
          <w:p w14:paraId="6774EBCE" w14:textId="0C83180C" w:rsidR="004976F6" w:rsidRPr="00500C4E" w:rsidRDefault="004976F6" w:rsidP="004976F6">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7A30B8" w:rsidRPr="003D2981" w14:paraId="558318A5" w14:textId="77777777" w:rsidTr="007A30B8">
        <w:tc>
          <w:tcPr>
            <w:tcW w:w="1297" w:type="pct"/>
          </w:tcPr>
          <w:p w14:paraId="64AF6FF9" w14:textId="77777777" w:rsidR="007A30B8" w:rsidRPr="00920905" w:rsidRDefault="007A30B8" w:rsidP="002C1DDF">
            <w:pPr>
              <w:pStyle w:val="NoSpacing"/>
              <w:rPr>
                <w:sz w:val="18"/>
                <w:szCs w:val="18"/>
              </w:rPr>
            </w:pPr>
            <w:r>
              <w:rPr>
                <w:rFonts w:eastAsiaTheme="minorHAnsi" w:cstheme="minorBidi"/>
                <w:sz w:val="18"/>
                <w:szCs w:val="18"/>
              </w:rPr>
              <w:t>Mid-Stream Programs</w:t>
            </w:r>
          </w:p>
        </w:tc>
        <w:tc>
          <w:tcPr>
            <w:tcW w:w="3703" w:type="pct"/>
          </w:tcPr>
          <w:p w14:paraId="3967931A" w14:textId="77777777" w:rsidR="007A30B8" w:rsidRPr="003D2981" w:rsidRDefault="007A30B8" w:rsidP="002C1DDF">
            <w:pPr>
              <w:pStyle w:val="NoSpacing"/>
              <w:rPr>
                <w:i/>
                <w:sz w:val="18"/>
                <w:szCs w:val="18"/>
              </w:rPr>
            </w:pPr>
            <w:r w:rsidRPr="003D2981">
              <w:rPr>
                <w:rFonts w:cs="Helv"/>
                <w:i/>
                <w:sz w:val="18"/>
                <w:szCs w:val="18"/>
              </w:rPr>
              <w:t xml:space="preserve">See Mid-Stream Incentive in the </w:t>
            </w:r>
            <w:r w:rsidRPr="003D2981">
              <w:rPr>
                <w:i/>
                <w:sz w:val="18"/>
                <w:szCs w:val="18"/>
              </w:rPr>
              <w:t>Incentive Method Descriptions table.</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7A30B8" w:rsidRPr="00920905" w14:paraId="7BE852DC" w14:textId="77777777" w:rsidTr="007A30B8">
        <w:tc>
          <w:tcPr>
            <w:tcW w:w="1297" w:type="pct"/>
          </w:tcPr>
          <w:p w14:paraId="4EDDE877" w14:textId="77777777" w:rsidR="007A30B8" w:rsidRDefault="007A30B8" w:rsidP="002C1DDF">
            <w:pPr>
              <w:autoSpaceDE w:val="0"/>
              <w:autoSpaceDN w:val="0"/>
              <w:adjustRightInd w:val="0"/>
              <w:spacing w:line="240" w:lineRule="atLeast"/>
              <w:rPr>
                <w:rFonts w:cs="Helv"/>
                <w:sz w:val="18"/>
                <w:szCs w:val="18"/>
              </w:rPr>
            </w:pPr>
            <w:bookmarkStart w:id="9" w:name="_Toc214003084"/>
            <w:r w:rsidRPr="00920905">
              <w:rPr>
                <w:rFonts w:cs="Helv"/>
                <w:sz w:val="18"/>
                <w:szCs w:val="18"/>
              </w:rPr>
              <w:t>Mid-Stream Incentive</w:t>
            </w:r>
          </w:p>
          <w:p w14:paraId="322BF100" w14:textId="77777777" w:rsidR="007A30B8" w:rsidRPr="00920905" w:rsidRDefault="007A30B8" w:rsidP="002C1DDF">
            <w:pPr>
              <w:autoSpaceDE w:val="0"/>
              <w:autoSpaceDN w:val="0"/>
              <w:adjustRightInd w:val="0"/>
              <w:spacing w:line="240" w:lineRule="atLeast"/>
              <w:rPr>
                <w:sz w:val="18"/>
                <w:szCs w:val="18"/>
              </w:rPr>
            </w:pPr>
            <w:r w:rsidRPr="00920905">
              <w:rPr>
                <w:rFonts w:cs="Helv"/>
                <w:sz w:val="18"/>
                <w:szCs w:val="18"/>
              </w:rPr>
              <w:t xml:space="preserve">Mid-Stream </w:t>
            </w:r>
            <w:r>
              <w:rPr>
                <w:rFonts w:cs="Helv"/>
                <w:sz w:val="18"/>
                <w:szCs w:val="18"/>
              </w:rPr>
              <w:t>Buy Down</w:t>
            </w:r>
          </w:p>
        </w:tc>
        <w:tc>
          <w:tcPr>
            <w:tcW w:w="3703" w:type="pct"/>
          </w:tcPr>
          <w:p w14:paraId="5AC969AF" w14:textId="77777777" w:rsidR="007A30B8" w:rsidRPr="00920905" w:rsidRDefault="007A30B8" w:rsidP="002C1DDF">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Pr>
                <w:rFonts w:cs="Helv"/>
                <w:sz w:val="18"/>
                <w:szCs w:val="18"/>
              </w:rPr>
              <w:t xml:space="preserve"> (distributor,</w:t>
            </w:r>
            <w:r w:rsidRPr="00920905">
              <w:rPr>
                <w:rFonts w:cs="Helv"/>
                <w:sz w:val="18"/>
                <w:szCs w:val="18"/>
              </w:rPr>
              <w:t xml:space="preserve"> </w:t>
            </w:r>
            <w:r>
              <w:rPr>
                <w:rFonts w:cs="Helv"/>
                <w:sz w:val="18"/>
                <w:szCs w:val="18"/>
              </w:rPr>
              <w:t>vendor, or retailer)</w:t>
            </w:r>
            <w:r w:rsidRPr="00920905">
              <w:rPr>
                <w:rFonts w:cs="Helv"/>
                <w:sz w:val="18"/>
                <w:szCs w:val="18"/>
              </w:rPr>
              <w:t xml:space="preserve"> to encourage the p</w:t>
            </w:r>
            <w:r>
              <w:rPr>
                <w:rFonts w:cs="Helv"/>
                <w:sz w:val="18"/>
                <w:szCs w:val="18"/>
              </w:rPr>
              <w:t>romotion of efficient measures.</w:t>
            </w:r>
            <w:r w:rsidRPr="00920905">
              <w:rPr>
                <w:rFonts w:cs="Helv"/>
                <w:sz w:val="18"/>
                <w:szCs w:val="18"/>
              </w:rPr>
              <w:t xml:space="preserve"> </w:t>
            </w:r>
            <w:r>
              <w:rPr>
                <w:rFonts w:cs="Helv"/>
                <w:sz w:val="18"/>
                <w:szCs w:val="18"/>
              </w:rPr>
              <w:t>B</w:t>
            </w:r>
            <w:r w:rsidRPr="00920905">
              <w:rPr>
                <w:rFonts w:cs="Helv"/>
                <w:sz w:val="18"/>
                <w:szCs w:val="18"/>
              </w:rPr>
              <w:t>uy</w:t>
            </w:r>
            <w:r>
              <w:rPr>
                <w:rFonts w:cs="Helv"/>
                <w:sz w:val="18"/>
                <w:szCs w:val="18"/>
              </w:rPr>
              <w:t xml:space="preserve"> D</w:t>
            </w:r>
            <w:r w:rsidRPr="00920905">
              <w:rPr>
                <w:rFonts w:cs="Helv"/>
                <w:sz w:val="18"/>
                <w:szCs w:val="18"/>
              </w:rPr>
              <w:t>own</w:t>
            </w:r>
            <w:r>
              <w:rPr>
                <w:rFonts w:cs="Helv"/>
                <w:sz w:val="18"/>
                <w:szCs w:val="18"/>
              </w:rPr>
              <w:t xml:space="preserve"> means that the incentive is required to be passed down to the</w:t>
            </w:r>
            <w:r w:rsidRPr="00920905">
              <w:rPr>
                <w:rFonts w:cs="Helv"/>
                <w:sz w:val="18"/>
                <w:szCs w:val="18"/>
              </w:rPr>
              <w:t xml:space="preserve"> end-use customer.</w:t>
            </w:r>
          </w:p>
        </w:tc>
      </w:tr>
    </w:tbl>
    <w:p w14:paraId="72E47250" w14:textId="2EE5B775" w:rsidR="00E16609" w:rsidRPr="00500C4E" w:rsidRDefault="00824F1C" w:rsidP="00824F1C">
      <w:pPr>
        <w:pStyle w:val="Heading2"/>
        <w:rPr>
          <w:rFonts w:asciiTheme="minorHAnsi" w:hAnsiTheme="minorHAnsi" w:cstheme="minorHAnsi"/>
        </w:rPr>
      </w:pPr>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4650DF68" w14:textId="020E8331" w:rsidR="00CE5DEF" w:rsidRDefault="00CE5DEF" w:rsidP="00920905">
      <w:pPr>
        <w:pStyle w:val="Reminder"/>
        <w:rPr>
          <w:rFonts w:asciiTheme="minorHAnsi" w:hAnsiTheme="minorHAnsi"/>
          <w:i w:val="0"/>
          <w:color w:val="auto"/>
        </w:rPr>
      </w:pPr>
      <w:r w:rsidRPr="00CE5DEF">
        <w:rPr>
          <w:rFonts w:asciiTheme="minorHAnsi" w:hAnsiTheme="minorHAnsi"/>
          <w:i w:val="0"/>
          <w:color w:val="auto"/>
        </w:rPr>
        <w:t xml:space="preserve">The </w:t>
      </w:r>
      <w:r w:rsidR="00BB1AAD" w:rsidRPr="00CE5DEF">
        <w:rPr>
          <w:rFonts w:asciiTheme="minorHAnsi" w:hAnsiTheme="minorHAnsi"/>
          <w:i w:val="0"/>
          <w:color w:val="auto"/>
        </w:rPr>
        <w:t>201</w:t>
      </w:r>
      <w:r w:rsidR="00BB1AAD">
        <w:rPr>
          <w:rFonts w:asciiTheme="minorHAnsi" w:hAnsiTheme="minorHAnsi"/>
          <w:i w:val="0"/>
          <w:color w:val="auto"/>
        </w:rPr>
        <w:t>7</w:t>
      </w:r>
      <w:r w:rsidR="00BB1AAD" w:rsidRPr="00CE5DEF">
        <w:rPr>
          <w:rFonts w:asciiTheme="minorHAnsi" w:hAnsiTheme="minorHAnsi"/>
          <w:i w:val="0"/>
          <w:color w:val="auto"/>
        </w:rPr>
        <w:t xml:space="preserve"> </w:t>
      </w:r>
      <w:r w:rsidRPr="00CE5DEF">
        <w:rPr>
          <w:rFonts w:asciiTheme="minorHAnsi" w:hAnsiTheme="minorHAnsi"/>
          <w:i w:val="0"/>
          <w:color w:val="auto"/>
        </w:rPr>
        <w:t xml:space="preserve">Database for Energy Efficient Resources (DEER) does not contain </w:t>
      </w:r>
      <w:r w:rsidRPr="00CE5DEF">
        <w:rPr>
          <w:rFonts w:asciiTheme="minorHAnsi" w:hAnsiTheme="minorHAnsi" w:cstheme="minorHAnsi"/>
          <w:i w:val="0"/>
          <w:color w:val="auto"/>
        </w:rPr>
        <w:t>demand</w:t>
      </w:r>
      <w:r w:rsidRPr="00CE5DEF">
        <w:rPr>
          <w:rFonts w:asciiTheme="minorHAnsi" w:hAnsiTheme="minorHAnsi"/>
          <w:i w:val="0"/>
          <w:color w:val="auto"/>
        </w:rPr>
        <w:t xml:space="preserve"> control ventilation for exhaust hood measures. The only kitchen equipment measures contained in DEER are dishwashers, freezers, refrigerators, and technologies for cooking and food-holding equipment. DEER does contain measures for reducing over-ventilation as well as adding VSDs to supply fan motors on damper-controlled VAV systems, however both of these measures pertain to space conditioning systems that do not operate in the same manner as kitchen hood exhaust systems.</w:t>
      </w:r>
    </w:p>
    <w:p w14:paraId="3528A205" w14:textId="77777777" w:rsidR="00CE5DEF" w:rsidRPr="00CE5DEF" w:rsidRDefault="00CE5DEF" w:rsidP="00920905">
      <w:pPr>
        <w:pStyle w:val="Reminder"/>
        <w:rPr>
          <w:rFonts w:asciiTheme="minorHAnsi" w:hAnsiTheme="minorHAnsi" w:cstheme="minorHAnsi"/>
          <w:i w:val="0"/>
          <w:color w:val="auto"/>
          <w:szCs w:val="22"/>
        </w:rPr>
      </w:pPr>
    </w:p>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lastRenderedPageBreak/>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72DC7B72" w:rsidR="00E326BA" w:rsidRPr="00CE5DEF" w:rsidRDefault="00E326BA" w:rsidP="00920905">
            <w:pPr>
              <w:rPr>
                <w:rFonts w:cs="Arial"/>
                <w:b/>
                <w:szCs w:val="20"/>
              </w:rPr>
            </w:pPr>
            <w:r w:rsidRPr="00CE5DEF">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0F78B842" w:rsidR="00E326BA" w:rsidRPr="00CE5DEF" w:rsidRDefault="00E326BA" w:rsidP="00920905">
            <w:pPr>
              <w:rPr>
                <w:rFonts w:cs="Arial"/>
                <w:szCs w:val="20"/>
              </w:rPr>
            </w:pPr>
            <w:r w:rsidRPr="00CE5DEF">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25416890" w:rsidR="00E326BA" w:rsidRPr="00CE5DEF" w:rsidRDefault="00E326BA" w:rsidP="00920905">
            <w:pPr>
              <w:rPr>
                <w:rFonts w:cs="Arial"/>
                <w:szCs w:val="20"/>
              </w:rPr>
            </w:pPr>
            <w:r w:rsidRPr="00CE5DEF">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595512B6" w:rsidR="00E326BA" w:rsidRPr="00CE5DEF" w:rsidRDefault="00E326BA" w:rsidP="00920905">
            <w:pPr>
              <w:rPr>
                <w:rFonts w:cs="Arial"/>
                <w:szCs w:val="20"/>
              </w:rPr>
            </w:pPr>
            <w:r w:rsidRPr="00CE5DEF">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01CBA713" w:rsidR="00E326BA" w:rsidRPr="00CE5DEF" w:rsidRDefault="00B9697E" w:rsidP="00920905">
            <w:pPr>
              <w:rPr>
                <w:rFonts w:cs="Arial"/>
                <w:szCs w:val="20"/>
              </w:rPr>
            </w:pPr>
            <w:r>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4CB63636" w:rsidR="00E326BA" w:rsidRPr="00CE5DEF" w:rsidRDefault="00254671" w:rsidP="00920905">
            <w:pPr>
              <w:rPr>
                <w:rFonts w:cs="Arial"/>
                <w:szCs w:val="20"/>
              </w:rPr>
            </w:pPr>
            <w:r w:rsidRPr="00CE5DEF">
              <w:rPr>
                <w:rFonts w:cs="Arial"/>
                <w:szCs w:val="20"/>
              </w:rPr>
              <w:t>No</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054A9275" w:rsidR="00505CEC" w:rsidRPr="00CE5DEF" w:rsidDel="00505CEC" w:rsidRDefault="00505CEC" w:rsidP="00920905">
            <w:pPr>
              <w:rPr>
                <w:rFonts w:cs="Arial"/>
                <w:szCs w:val="20"/>
              </w:rPr>
            </w:pPr>
            <w:r w:rsidRPr="00CE5DEF">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1C2D26FB" w:rsidR="00D86A9D" w:rsidRPr="00CE5DEF" w:rsidRDefault="00CE5DEF" w:rsidP="00175D14">
            <w:pPr>
              <w:rPr>
                <w:rFonts w:cs="Arial"/>
                <w:szCs w:val="20"/>
              </w:rPr>
            </w:pPr>
            <w:r w:rsidRPr="00CE5DEF">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0776ED20" w:rsidR="00E326BA" w:rsidRPr="00CE5DEF" w:rsidRDefault="00CE5DEF" w:rsidP="00CE5DEF">
            <w:pPr>
              <w:rPr>
                <w:rFonts w:cs="Arial"/>
                <w:szCs w:val="20"/>
              </w:rPr>
            </w:pPr>
            <w:r w:rsidRPr="00CE5DEF">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7DFD6341" w:rsidR="00E326BA" w:rsidRPr="00CE5DEF" w:rsidRDefault="00CE5DEF" w:rsidP="00920905">
            <w:pPr>
              <w:rPr>
                <w:rFonts w:cs="Arial"/>
                <w:szCs w:val="20"/>
              </w:rPr>
            </w:pPr>
            <w:r w:rsidRPr="00CE5DEF">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27FB9D5E"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 xml:space="preserve">DEER READI </w:t>
      </w:r>
      <w:r w:rsidR="00DE6483">
        <w:t xml:space="preserve">v.2.4.7 </w:t>
      </w:r>
      <w:r w:rsidR="00BC6524" w:rsidRPr="004D069A">
        <w:t>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4A5E1950" w14:textId="77777777" w:rsidTr="00920905">
        <w:tc>
          <w:tcPr>
            <w:tcW w:w="673" w:type="pct"/>
          </w:tcPr>
          <w:p w14:paraId="00952921" w14:textId="77777777" w:rsidR="00907697" w:rsidRPr="007B2A04" w:rsidRDefault="00907697" w:rsidP="005729C8">
            <w:pPr>
              <w:rPr>
                <w:szCs w:val="20"/>
              </w:rPr>
            </w:pPr>
            <w:r w:rsidRPr="007B2A04">
              <w:rPr>
                <w:szCs w:val="20"/>
              </w:rPr>
              <w:t>Com-Default&gt;2yrs</w:t>
            </w:r>
          </w:p>
        </w:tc>
        <w:tc>
          <w:tcPr>
            <w:tcW w:w="2019" w:type="pct"/>
          </w:tcPr>
          <w:p w14:paraId="755799BF" w14:textId="77777777" w:rsidR="00907697" w:rsidRPr="007B2A04" w:rsidRDefault="00907697" w:rsidP="005729C8">
            <w:pPr>
              <w:rPr>
                <w:szCs w:val="20"/>
              </w:rPr>
            </w:pPr>
            <w:r w:rsidRPr="007B2A04">
              <w:rPr>
                <w:szCs w:val="20"/>
              </w:rPr>
              <w:t>All other EEMs with no evaluated NTGR; existing EEM in programs with same delivery mechanism for more than 2 years</w:t>
            </w:r>
          </w:p>
        </w:tc>
        <w:tc>
          <w:tcPr>
            <w:tcW w:w="434" w:type="pct"/>
          </w:tcPr>
          <w:p w14:paraId="3CB22E86" w14:textId="77777777" w:rsidR="00907697" w:rsidRPr="007B2A04" w:rsidRDefault="00907697" w:rsidP="005729C8">
            <w:pPr>
              <w:rPr>
                <w:szCs w:val="20"/>
              </w:rPr>
            </w:pPr>
            <w:r w:rsidRPr="007B2A04">
              <w:rPr>
                <w:szCs w:val="20"/>
              </w:rPr>
              <w:t>Com</w:t>
            </w:r>
          </w:p>
        </w:tc>
        <w:tc>
          <w:tcPr>
            <w:tcW w:w="529" w:type="pct"/>
          </w:tcPr>
          <w:p w14:paraId="1AAF8C8B" w14:textId="77777777" w:rsidR="00907697" w:rsidRPr="007B2A04" w:rsidRDefault="00907697" w:rsidP="005729C8">
            <w:pPr>
              <w:rPr>
                <w:szCs w:val="20"/>
              </w:rPr>
            </w:pPr>
            <w:r w:rsidRPr="007B2A04">
              <w:rPr>
                <w:szCs w:val="20"/>
              </w:rPr>
              <w:t>Any</w:t>
            </w:r>
          </w:p>
        </w:tc>
        <w:tc>
          <w:tcPr>
            <w:tcW w:w="915" w:type="pct"/>
          </w:tcPr>
          <w:p w14:paraId="5BAF7D5F" w14:textId="77777777" w:rsidR="00907697" w:rsidRPr="007B2A04" w:rsidRDefault="00907697" w:rsidP="005729C8">
            <w:pPr>
              <w:rPr>
                <w:szCs w:val="20"/>
              </w:rPr>
            </w:pPr>
            <w:r w:rsidRPr="007B2A04">
              <w:rPr>
                <w:szCs w:val="20"/>
              </w:rPr>
              <w:t>Any</w:t>
            </w:r>
          </w:p>
        </w:tc>
        <w:tc>
          <w:tcPr>
            <w:tcW w:w="430" w:type="pct"/>
          </w:tcPr>
          <w:p w14:paraId="76698D49" w14:textId="77777777" w:rsidR="00907697" w:rsidRPr="007B2A04" w:rsidRDefault="00907697" w:rsidP="005729C8">
            <w:pPr>
              <w:rPr>
                <w:szCs w:val="20"/>
              </w:rPr>
            </w:pPr>
            <w:r w:rsidRPr="007B2A04">
              <w:rPr>
                <w:szCs w:val="20"/>
              </w:rPr>
              <w:t>0.6</w:t>
            </w:r>
          </w:p>
        </w:tc>
      </w:tr>
    </w:tbl>
    <w:p w14:paraId="0E13CC18" w14:textId="77777777" w:rsidR="00C018E0" w:rsidRDefault="00C018E0" w:rsidP="000968C6">
      <w:pPr>
        <w:pStyle w:val="Reminders"/>
        <w:rPr>
          <w:rFonts w:asciiTheme="minorHAnsi" w:hAnsiTheme="minorHAnsi" w:cstheme="minorHAnsi"/>
          <w:i w:val="0"/>
          <w:szCs w:val="22"/>
        </w:rPr>
      </w:pPr>
    </w:p>
    <w:p w14:paraId="53DB0B91" w14:textId="77777777" w:rsidR="00BB637E" w:rsidRPr="00DF694F" w:rsidRDefault="00BB637E" w:rsidP="00BB637E">
      <w:pPr>
        <w:pStyle w:val="Reminders"/>
        <w:rPr>
          <w:rFonts w:asciiTheme="minorHAnsi" w:hAnsiTheme="minorHAnsi" w:cstheme="minorHAnsi"/>
          <w:i w:val="0"/>
          <w:color w:val="auto"/>
          <w:szCs w:val="22"/>
        </w:rPr>
      </w:pPr>
      <w:r w:rsidRPr="00DF694F">
        <w:rPr>
          <w:rFonts w:asciiTheme="minorHAnsi" w:hAnsiTheme="minorHAnsi" w:cstheme="minorHAnsi"/>
          <w:i w:val="0"/>
          <w:color w:val="auto"/>
          <w:szCs w:val="22"/>
        </w:rPr>
        <w:t>The SCE Savings by Design Program offers incentives on a wide variety of energy-saving design and technologies that encourages design teams and building owners/managers to integrate a higher level of energy efficiency for their new construction and major building renovation projects.  As a way to streamline incentivizing energy efficient lighting technologies, SBD offers an “express” way to participate in this opportunity using deemed equipment measures.</w:t>
      </w:r>
    </w:p>
    <w:p w14:paraId="155789A1" w14:textId="77777777" w:rsidR="00BB637E" w:rsidRPr="00DF694F" w:rsidRDefault="00BB637E" w:rsidP="00BB637E">
      <w:pPr>
        <w:pStyle w:val="Reminders"/>
        <w:rPr>
          <w:rFonts w:asciiTheme="minorHAnsi" w:hAnsiTheme="minorHAnsi" w:cstheme="minorHAnsi"/>
          <w:i w:val="0"/>
          <w:color w:val="auto"/>
          <w:szCs w:val="22"/>
        </w:rPr>
      </w:pPr>
    </w:p>
    <w:p w14:paraId="5A4791B2" w14:textId="77777777" w:rsidR="00BB637E" w:rsidRPr="00DF694F" w:rsidRDefault="00BB637E" w:rsidP="00BB637E">
      <w:pPr>
        <w:pStyle w:val="Reminders"/>
        <w:rPr>
          <w:rFonts w:asciiTheme="minorHAnsi" w:hAnsiTheme="minorHAnsi" w:cstheme="minorHAnsi"/>
          <w:i w:val="0"/>
          <w:color w:val="auto"/>
          <w:szCs w:val="22"/>
        </w:rPr>
      </w:pPr>
      <w:r w:rsidRPr="00DF694F">
        <w:rPr>
          <w:rFonts w:asciiTheme="minorHAnsi" w:hAnsiTheme="minorHAnsi" w:cstheme="minorHAnsi"/>
          <w:i w:val="0"/>
          <w:color w:val="auto"/>
          <w:szCs w:val="22"/>
        </w:rPr>
        <w:t xml:space="preserve">The process will direct the customer or their designated representative (customer) to work with an SCE New Construction Representative (NCR).  The NCR will determine if the Whole Building Approach (WBA) or Deemed System Approach (DSA) will provide the most benefit to the project.  </w:t>
      </w:r>
    </w:p>
    <w:p w14:paraId="06AD39F3" w14:textId="77777777" w:rsidR="00BB637E" w:rsidRPr="00DF694F" w:rsidRDefault="00BB637E" w:rsidP="00BB637E">
      <w:pPr>
        <w:pStyle w:val="Reminders"/>
        <w:rPr>
          <w:rFonts w:asciiTheme="minorHAnsi" w:hAnsiTheme="minorHAnsi" w:cstheme="minorHAnsi"/>
          <w:i w:val="0"/>
          <w:color w:val="auto"/>
          <w:szCs w:val="22"/>
        </w:rPr>
      </w:pPr>
    </w:p>
    <w:p w14:paraId="3E94E26A" w14:textId="77777777" w:rsidR="00BB637E" w:rsidRPr="00DF694F" w:rsidRDefault="00BB637E" w:rsidP="00BB637E">
      <w:pPr>
        <w:pStyle w:val="Reminders"/>
        <w:rPr>
          <w:rFonts w:asciiTheme="minorHAnsi" w:hAnsiTheme="minorHAnsi" w:cstheme="minorHAnsi"/>
          <w:i w:val="0"/>
          <w:color w:val="auto"/>
          <w:szCs w:val="22"/>
        </w:rPr>
      </w:pPr>
      <w:r w:rsidRPr="00DF694F">
        <w:rPr>
          <w:rFonts w:asciiTheme="minorHAnsi" w:hAnsiTheme="minorHAnsi" w:cstheme="minorHAnsi"/>
          <w:i w:val="0"/>
          <w:color w:val="auto"/>
          <w:szCs w:val="22"/>
        </w:rPr>
        <w:t>If the project qualifies for DSA Food Technology measures, the NCR will provide the customer with a coded coupon, which the customer will use when ordering construction or renovation materials for their facility.  The customer will receive the rebate incentive by presenting the coupon when applying for the rebate.</w:t>
      </w:r>
    </w:p>
    <w:p w14:paraId="70BECCC1" w14:textId="77777777" w:rsidR="00BB637E" w:rsidRPr="00DF694F" w:rsidRDefault="00BB637E" w:rsidP="00BB637E">
      <w:pPr>
        <w:pStyle w:val="Reminders"/>
        <w:rPr>
          <w:rFonts w:asciiTheme="minorHAnsi" w:hAnsiTheme="minorHAnsi" w:cstheme="minorHAnsi"/>
          <w:i w:val="0"/>
          <w:color w:val="auto"/>
          <w:szCs w:val="22"/>
        </w:rPr>
      </w:pPr>
    </w:p>
    <w:p w14:paraId="068F4FD1" w14:textId="62C1F68E" w:rsidR="00BB637E" w:rsidRPr="00DF694F" w:rsidRDefault="00BB637E" w:rsidP="00BB637E">
      <w:pPr>
        <w:pStyle w:val="Reminders"/>
        <w:rPr>
          <w:rFonts w:asciiTheme="minorHAnsi" w:hAnsiTheme="minorHAnsi" w:cstheme="minorHAnsi"/>
          <w:i w:val="0"/>
          <w:color w:val="auto"/>
          <w:szCs w:val="22"/>
        </w:rPr>
      </w:pPr>
      <w:r w:rsidRPr="00DF694F">
        <w:rPr>
          <w:rFonts w:asciiTheme="minorHAnsi" w:hAnsiTheme="minorHAnsi" w:cstheme="minorHAnsi"/>
          <w:i w:val="0"/>
          <w:color w:val="auto"/>
          <w:szCs w:val="22"/>
        </w:rPr>
        <w:t>The pre-inspection and post-inspection process will follow the process used by SCE’s EE program via which this product is offered.  It should be noted, DSA measures apply to new construction and major renovations.</w:t>
      </w:r>
    </w:p>
    <w:p w14:paraId="42F5C0F2" w14:textId="77777777" w:rsidR="00BB637E" w:rsidRPr="00920905" w:rsidRDefault="00BB637E"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7CD54730" w:rsidR="00240B74" w:rsidRDefault="000968C6" w:rsidP="00920905">
      <w:pPr>
        <w:pStyle w:val="NoSpacing"/>
      </w:pPr>
      <w:r w:rsidRPr="00920905">
        <w:lastRenderedPageBreak/>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w:t>
      </w:r>
      <w:r w:rsidR="00DE6483" w:rsidRPr="004D069A">
        <w:t xml:space="preserve"> </w:t>
      </w:r>
      <w:r w:rsidR="00DE6483">
        <w:t xml:space="preserve">v.2.4.7 </w:t>
      </w:r>
      <w:r w:rsidR="00BC6524" w:rsidRPr="00920905">
        <w:t>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5A89B61A" w14:textId="77777777" w:rsidR="007B2A04" w:rsidRPr="00920905" w:rsidRDefault="007B2A04" w:rsidP="00920905">
      <w:pPr>
        <w:pStyle w:val="NoSpacing"/>
      </w:pP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7B2A04" w:rsidRDefault="002F4E34" w:rsidP="005729C8">
            <w:pPr>
              <w:rPr>
                <w:szCs w:val="20"/>
              </w:rPr>
            </w:pPr>
            <w:r w:rsidRPr="007B2A04">
              <w:rPr>
                <w:szCs w:val="20"/>
              </w:rPr>
              <w:t>Def-GSIA</w:t>
            </w:r>
          </w:p>
        </w:tc>
        <w:tc>
          <w:tcPr>
            <w:tcW w:w="1404" w:type="pct"/>
          </w:tcPr>
          <w:p w14:paraId="2BFFF598" w14:textId="77777777" w:rsidR="002F4E34" w:rsidRPr="007B2A04" w:rsidRDefault="002F4E34" w:rsidP="005729C8">
            <w:pPr>
              <w:rPr>
                <w:szCs w:val="20"/>
              </w:rPr>
            </w:pPr>
            <w:r w:rsidRPr="007B2A04">
              <w:rPr>
                <w:szCs w:val="20"/>
              </w:rPr>
              <w:t>Default GSIA values</w:t>
            </w:r>
          </w:p>
        </w:tc>
        <w:tc>
          <w:tcPr>
            <w:tcW w:w="688" w:type="pct"/>
          </w:tcPr>
          <w:p w14:paraId="157D8A62" w14:textId="77777777" w:rsidR="002F4E34" w:rsidRPr="007B2A04" w:rsidRDefault="002F4E34" w:rsidP="005729C8">
            <w:pPr>
              <w:rPr>
                <w:szCs w:val="20"/>
              </w:rPr>
            </w:pPr>
            <w:r w:rsidRPr="007B2A04">
              <w:rPr>
                <w:szCs w:val="20"/>
              </w:rPr>
              <w:t>Any</w:t>
            </w:r>
          </w:p>
        </w:tc>
        <w:tc>
          <w:tcPr>
            <w:tcW w:w="858" w:type="pct"/>
          </w:tcPr>
          <w:p w14:paraId="0C3293FE" w14:textId="77777777" w:rsidR="002F4E34" w:rsidRPr="007B2A04" w:rsidRDefault="002F4E34" w:rsidP="005729C8">
            <w:pPr>
              <w:rPr>
                <w:szCs w:val="20"/>
              </w:rPr>
            </w:pPr>
            <w:r w:rsidRPr="007B2A04">
              <w:rPr>
                <w:szCs w:val="20"/>
              </w:rPr>
              <w:t>Any</w:t>
            </w:r>
          </w:p>
        </w:tc>
        <w:tc>
          <w:tcPr>
            <w:tcW w:w="693" w:type="pct"/>
          </w:tcPr>
          <w:p w14:paraId="0B642835" w14:textId="77777777" w:rsidR="002F4E34" w:rsidRPr="007B2A04" w:rsidRDefault="002F4E34" w:rsidP="005729C8">
            <w:pPr>
              <w:rPr>
                <w:szCs w:val="20"/>
              </w:rPr>
            </w:pPr>
            <w:r w:rsidRPr="007B2A04">
              <w:rPr>
                <w:szCs w:val="20"/>
              </w:rPr>
              <w:t>Any</w:t>
            </w:r>
          </w:p>
        </w:tc>
        <w:tc>
          <w:tcPr>
            <w:tcW w:w="634" w:type="pct"/>
          </w:tcPr>
          <w:p w14:paraId="1C671DD2" w14:textId="77777777" w:rsidR="002F4E34" w:rsidRPr="007B2A04" w:rsidRDefault="002F4E34" w:rsidP="005729C8">
            <w:pPr>
              <w:rPr>
                <w:szCs w:val="20"/>
              </w:rPr>
            </w:pPr>
            <w:r w:rsidRPr="007B2A04">
              <w:rPr>
                <w:szCs w:val="20"/>
              </w:rPr>
              <w:t>1</w:t>
            </w:r>
          </w:p>
        </w:tc>
      </w:tr>
    </w:tbl>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7E7C84EB" w:rsidR="008B1357" w:rsidRDefault="006A6D15" w:rsidP="00920905">
      <w:pPr>
        <w:pStyle w:val="NoSpacing"/>
      </w:pPr>
      <w:r w:rsidRPr="0087393E">
        <w:t xml:space="preserve">The EUL and RUL values were obtained </w:t>
      </w:r>
      <w:r w:rsidR="00BC6524" w:rsidRPr="0087393E">
        <w:t>using the DEER READI</w:t>
      </w:r>
      <w:r w:rsidR="00DE6483" w:rsidRPr="004D069A">
        <w:t xml:space="preserve"> </w:t>
      </w:r>
      <w:r w:rsidR="00DE6483">
        <w:t>v.2.4.7</w:t>
      </w:r>
      <w:r w:rsidR="00BC6524" w:rsidRPr="0087393E">
        <w:t xml:space="preserve"> tool</w:t>
      </w:r>
      <w:r w:rsidRPr="0087393E">
        <w:t>. DEER defines the RUL as 1/3 of the EUL value. The relevant EUL and RUL values for the measures in this work paper are in the table below.</w:t>
      </w:r>
    </w:p>
    <w:p w14:paraId="1F3A178C" w14:textId="77777777" w:rsidR="00CC06D7" w:rsidRPr="00920905" w:rsidRDefault="00CC06D7" w:rsidP="00920905">
      <w:pPr>
        <w:pStyle w:val="NoSpacing"/>
      </w:pPr>
    </w:p>
    <w:tbl>
      <w:tblPr>
        <w:tblStyle w:val="TableGrid1"/>
        <w:tblW w:w="5000" w:type="pct"/>
        <w:tblLook w:val="04A0" w:firstRow="1" w:lastRow="0" w:firstColumn="1" w:lastColumn="0" w:noHBand="0" w:noVBand="1"/>
      </w:tblPr>
      <w:tblGrid>
        <w:gridCol w:w="1184"/>
        <w:gridCol w:w="839"/>
        <w:gridCol w:w="1821"/>
        <w:gridCol w:w="1697"/>
        <w:gridCol w:w="1708"/>
        <w:gridCol w:w="1193"/>
        <w:gridCol w:w="1134"/>
      </w:tblGrid>
      <w:tr w:rsidR="00836A35" w:rsidRPr="00500C4E" w14:paraId="5A9EC2BE" w14:textId="77777777" w:rsidTr="00DF694F">
        <w:tc>
          <w:tcPr>
            <w:tcW w:w="618" w:type="pct"/>
            <w:shd w:val="clear" w:color="auto" w:fill="D9D9D9" w:themeFill="background1" w:themeFillShade="D9"/>
          </w:tcPr>
          <w:p w14:paraId="17686FBF" w14:textId="77777777" w:rsidR="00836A35" w:rsidRPr="00920905" w:rsidRDefault="00836A35" w:rsidP="00BA2E7E">
            <w:pPr>
              <w:rPr>
                <w:rFonts w:cstheme="minorHAnsi"/>
                <w:b/>
                <w:szCs w:val="20"/>
              </w:rPr>
            </w:pPr>
            <w:r w:rsidRPr="00920905">
              <w:rPr>
                <w:rFonts w:cstheme="minorHAnsi"/>
                <w:b/>
                <w:szCs w:val="20"/>
              </w:rPr>
              <w:t>EUL ID</w:t>
            </w:r>
          </w:p>
        </w:tc>
        <w:tc>
          <w:tcPr>
            <w:tcW w:w="438" w:type="pct"/>
            <w:shd w:val="clear" w:color="auto" w:fill="D9D9D9" w:themeFill="background1" w:themeFillShade="D9"/>
          </w:tcPr>
          <w:p w14:paraId="185C78F6" w14:textId="2249A1B8" w:rsidR="00836A35" w:rsidRPr="00920905" w:rsidRDefault="00836A35" w:rsidP="00BA2E7E">
            <w:pPr>
              <w:rPr>
                <w:rFonts w:cstheme="minorHAnsi"/>
                <w:b/>
                <w:szCs w:val="20"/>
              </w:rPr>
            </w:pPr>
            <w:r>
              <w:rPr>
                <w:rFonts w:cstheme="minorHAnsi"/>
                <w:b/>
                <w:szCs w:val="20"/>
              </w:rPr>
              <w:t>Install Type</w:t>
            </w:r>
          </w:p>
        </w:tc>
        <w:tc>
          <w:tcPr>
            <w:tcW w:w="951" w:type="pct"/>
            <w:shd w:val="clear" w:color="auto" w:fill="D9D9D9" w:themeFill="background1" w:themeFillShade="D9"/>
          </w:tcPr>
          <w:p w14:paraId="1C93AC29" w14:textId="34400DC1" w:rsidR="00836A35" w:rsidRPr="00920905" w:rsidRDefault="00836A35" w:rsidP="00BA2E7E">
            <w:pPr>
              <w:rPr>
                <w:rFonts w:cstheme="minorHAnsi"/>
                <w:b/>
                <w:szCs w:val="20"/>
              </w:rPr>
            </w:pPr>
            <w:r w:rsidRPr="00920905">
              <w:rPr>
                <w:rFonts w:cstheme="minorHAnsi"/>
                <w:b/>
                <w:szCs w:val="20"/>
              </w:rPr>
              <w:t>Description</w:t>
            </w:r>
          </w:p>
        </w:tc>
        <w:tc>
          <w:tcPr>
            <w:tcW w:w="886" w:type="pct"/>
            <w:shd w:val="clear" w:color="auto" w:fill="D9D9D9" w:themeFill="background1" w:themeFillShade="D9"/>
          </w:tcPr>
          <w:p w14:paraId="68405617" w14:textId="77777777" w:rsidR="00836A35" w:rsidRPr="00920905" w:rsidRDefault="00836A35" w:rsidP="00BA2E7E">
            <w:pPr>
              <w:rPr>
                <w:rFonts w:cstheme="minorHAnsi"/>
                <w:b/>
                <w:szCs w:val="20"/>
              </w:rPr>
            </w:pPr>
            <w:r w:rsidRPr="00920905">
              <w:rPr>
                <w:rFonts w:cstheme="minorHAnsi"/>
                <w:b/>
                <w:szCs w:val="20"/>
              </w:rPr>
              <w:t>Sector</w:t>
            </w:r>
          </w:p>
        </w:tc>
        <w:tc>
          <w:tcPr>
            <w:tcW w:w="892" w:type="pct"/>
            <w:shd w:val="clear" w:color="auto" w:fill="D9D9D9" w:themeFill="background1" w:themeFillShade="D9"/>
          </w:tcPr>
          <w:p w14:paraId="0733AF36" w14:textId="77777777" w:rsidR="00836A35" w:rsidRPr="00920905" w:rsidRDefault="00836A35" w:rsidP="00BA2E7E">
            <w:pPr>
              <w:rPr>
                <w:rFonts w:cstheme="minorHAnsi"/>
                <w:b/>
                <w:szCs w:val="20"/>
              </w:rPr>
            </w:pPr>
            <w:proofErr w:type="spellStart"/>
            <w:r w:rsidRPr="00920905">
              <w:rPr>
                <w:rFonts w:cstheme="minorHAnsi"/>
                <w:b/>
                <w:szCs w:val="20"/>
              </w:rPr>
              <w:t>UseCategory</w:t>
            </w:r>
            <w:proofErr w:type="spellEnd"/>
          </w:p>
        </w:tc>
        <w:tc>
          <w:tcPr>
            <w:tcW w:w="623" w:type="pct"/>
            <w:shd w:val="clear" w:color="auto" w:fill="D9D9D9" w:themeFill="background1" w:themeFillShade="D9"/>
          </w:tcPr>
          <w:p w14:paraId="64D571F2" w14:textId="77777777" w:rsidR="00836A35" w:rsidRPr="00920905" w:rsidRDefault="00836A35" w:rsidP="00BA2E7E">
            <w:pPr>
              <w:rPr>
                <w:rFonts w:cstheme="minorHAnsi"/>
                <w:b/>
                <w:szCs w:val="20"/>
              </w:rPr>
            </w:pPr>
            <w:r w:rsidRPr="00920905">
              <w:rPr>
                <w:rFonts w:cstheme="minorHAnsi"/>
                <w:b/>
                <w:szCs w:val="20"/>
              </w:rPr>
              <w:t>EUL (Years)</w:t>
            </w:r>
          </w:p>
        </w:tc>
        <w:tc>
          <w:tcPr>
            <w:tcW w:w="592" w:type="pct"/>
            <w:shd w:val="clear" w:color="auto" w:fill="D9D9D9" w:themeFill="background1" w:themeFillShade="D9"/>
          </w:tcPr>
          <w:p w14:paraId="6B814E1E" w14:textId="77777777" w:rsidR="00836A35" w:rsidRPr="00920905" w:rsidRDefault="00836A35" w:rsidP="00BA2E7E">
            <w:pPr>
              <w:rPr>
                <w:rFonts w:cstheme="minorHAnsi"/>
                <w:b/>
                <w:szCs w:val="20"/>
              </w:rPr>
            </w:pPr>
            <w:r w:rsidRPr="00920905">
              <w:rPr>
                <w:rFonts w:cstheme="minorHAnsi"/>
                <w:b/>
                <w:szCs w:val="20"/>
              </w:rPr>
              <w:t>RUL (Years)</w:t>
            </w:r>
          </w:p>
        </w:tc>
      </w:tr>
      <w:tr w:rsidR="00836A35" w:rsidRPr="00500C4E" w14:paraId="23E3B0B0" w14:textId="77777777" w:rsidTr="00DF694F">
        <w:trPr>
          <w:trHeight w:val="243"/>
        </w:trPr>
        <w:tc>
          <w:tcPr>
            <w:tcW w:w="618" w:type="pct"/>
          </w:tcPr>
          <w:p w14:paraId="17A1D7F4" w14:textId="373578A1" w:rsidR="00836A35" w:rsidRPr="00DF694F" w:rsidRDefault="00836A35" w:rsidP="001B07AD">
            <w:pPr>
              <w:rPr>
                <w:rFonts w:cstheme="minorBidi"/>
              </w:rPr>
            </w:pPr>
            <w:r w:rsidRPr="00A7045D">
              <w:rPr>
                <w:rFonts w:cstheme="minorBidi"/>
              </w:rPr>
              <w:t>HVAC-EMS</w:t>
            </w:r>
          </w:p>
        </w:tc>
        <w:tc>
          <w:tcPr>
            <w:tcW w:w="438" w:type="pct"/>
          </w:tcPr>
          <w:p w14:paraId="46394733" w14:textId="7DCDD9A5" w:rsidR="00836A35" w:rsidRPr="00CF4684" w:rsidRDefault="00836A35" w:rsidP="001B07AD">
            <w:pPr>
              <w:rPr>
                <w:rFonts w:cstheme="minorBidi"/>
              </w:rPr>
            </w:pPr>
            <w:r>
              <w:rPr>
                <w:rFonts w:cstheme="minorBidi"/>
              </w:rPr>
              <w:t>NEW</w:t>
            </w:r>
          </w:p>
        </w:tc>
        <w:tc>
          <w:tcPr>
            <w:tcW w:w="951" w:type="pct"/>
          </w:tcPr>
          <w:p w14:paraId="36E678D1" w14:textId="2E9932A9" w:rsidR="00836A35" w:rsidRPr="00500C4E" w:rsidRDefault="00836A35" w:rsidP="001B07AD">
            <w:pPr>
              <w:rPr>
                <w:color w:val="FF0000"/>
                <w:szCs w:val="20"/>
              </w:rPr>
            </w:pPr>
            <w:r w:rsidRPr="00CF4684">
              <w:rPr>
                <w:rFonts w:cstheme="minorBidi"/>
              </w:rPr>
              <w:t>Energy Management System</w:t>
            </w:r>
          </w:p>
        </w:tc>
        <w:tc>
          <w:tcPr>
            <w:tcW w:w="886" w:type="pct"/>
          </w:tcPr>
          <w:p w14:paraId="42B5C736" w14:textId="37FB630E" w:rsidR="00836A35" w:rsidRPr="00500C4E" w:rsidRDefault="00836A35" w:rsidP="001B07AD">
            <w:pPr>
              <w:rPr>
                <w:color w:val="FF0000"/>
                <w:szCs w:val="20"/>
              </w:rPr>
            </w:pPr>
            <w:r>
              <w:rPr>
                <w:rFonts w:cstheme="minorBidi"/>
              </w:rPr>
              <w:t>Com</w:t>
            </w:r>
          </w:p>
        </w:tc>
        <w:tc>
          <w:tcPr>
            <w:tcW w:w="892" w:type="pct"/>
          </w:tcPr>
          <w:p w14:paraId="52A841ED" w14:textId="00F94852" w:rsidR="00836A35" w:rsidRPr="00500C4E" w:rsidRDefault="00836A35" w:rsidP="001B07AD">
            <w:pPr>
              <w:rPr>
                <w:color w:val="FF0000"/>
                <w:szCs w:val="20"/>
              </w:rPr>
            </w:pPr>
            <w:r>
              <w:rPr>
                <w:rFonts w:cstheme="minorBidi"/>
              </w:rPr>
              <w:t>HVAC</w:t>
            </w:r>
          </w:p>
        </w:tc>
        <w:tc>
          <w:tcPr>
            <w:tcW w:w="623" w:type="pct"/>
          </w:tcPr>
          <w:p w14:paraId="1BF5FCBD" w14:textId="1FFA62FF" w:rsidR="00836A35" w:rsidRPr="00500C4E" w:rsidRDefault="00836A35" w:rsidP="001B07AD">
            <w:pPr>
              <w:rPr>
                <w:color w:val="FF0000"/>
                <w:szCs w:val="20"/>
              </w:rPr>
            </w:pPr>
            <w:r w:rsidRPr="00A7045D">
              <w:rPr>
                <w:rFonts w:cstheme="minorBidi"/>
              </w:rPr>
              <w:t>15</w:t>
            </w:r>
          </w:p>
        </w:tc>
        <w:tc>
          <w:tcPr>
            <w:tcW w:w="592" w:type="pct"/>
          </w:tcPr>
          <w:p w14:paraId="46ED97C1" w14:textId="274951CC" w:rsidR="00836A35" w:rsidRPr="00500C4E" w:rsidRDefault="00836A35" w:rsidP="001B07AD">
            <w:pPr>
              <w:rPr>
                <w:color w:val="FF0000"/>
                <w:szCs w:val="20"/>
              </w:rPr>
            </w:pPr>
            <w:r w:rsidRPr="00A7045D">
              <w:rPr>
                <w:rFonts w:cstheme="minorBidi"/>
              </w:rPr>
              <w:t>5</w:t>
            </w:r>
          </w:p>
        </w:tc>
      </w:tr>
      <w:tr w:rsidR="00836A35" w:rsidRPr="00500C4E" w14:paraId="78156E27" w14:textId="77777777" w:rsidTr="00DF694F">
        <w:trPr>
          <w:trHeight w:val="243"/>
        </w:trPr>
        <w:tc>
          <w:tcPr>
            <w:tcW w:w="618" w:type="pct"/>
          </w:tcPr>
          <w:p w14:paraId="07E59204" w14:textId="4B0FE20A" w:rsidR="00836A35" w:rsidRPr="00A7045D" w:rsidRDefault="00836A35" w:rsidP="001B07AD">
            <w:pPr>
              <w:rPr>
                <w:rFonts w:cstheme="minorBidi"/>
              </w:rPr>
            </w:pPr>
            <w:r w:rsidRPr="00D8419D">
              <w:rPr>
                <w:rFonts w:cstheme="minorBidi"/>
              </w:rPr>
              <w:t>Motors-fan</w:t>
            </w:r>
          </w:p>
        </w:tc>
        <w:tc>
          <w:tcPr>
            <w:tcW w:w="438" w:type="pct"/>
          </w:tcPr>
          <w:p w14:paraId="6128D261" w14:textId="5D238BEC" w:rsidR="00836A35" w:rsidRPr="00D8419D" w:rsidRDefault="00836A35" w:rsidP="001B07AD">
            <w:pPr>
              <w:rPr>
                <w:rFonts w:cstheme="minorBidi"/>
              </w:rPr>
            </w:pPr>
            <w:r>
              <w:rPr>
                <w:rFonts w:cstheme="minorBidi"/>
              </w:rPr>
              <w:t>REA</w:t>
            </w:r>
          </w:p>
        </w:tc>
        <w:tc>
          <w:tcPr>
            <w:tcW w:w="951" w:type="pct"/>
          </w:tcPr>
          <w:p w14:paraId="0D1F63E5" w14:textId="1E6D4626" w:rsidR="00836A35" w:rsidRPr="00CF4684" w:rsidRDefault="00836A35" w:rsidP="001B07AD">
            <w:pPr>
              <w:rPr>
                <w:rFonts w:cstheme="minorBidi"/>
              </w:rPr>
            </w:pPr>
            <w:r w:rsidRPr="00D8419D">
              <w:rPr>
                <w:rFonts w:cstheme="minorBidi"/>
              </w:rPr>
              <w:t>HVAC Fan Motors</w:t>
            </w:r>
          </w:p>
        </w:tc>
        <w:tc>
          <w:tcPr>
            <w:tcW w:w="886" w:type="pct"/>
          </w:tcPr>
          <w:p w14:paraId="084803C3" w14:textId="6564290E" w:rsidR="00836A35" w:rsidRDefault="00836A35" w:rsidP="001B07AD">
            <w:pPr>
              <w:rPr>
                <w:rFonts w:cstheme="minorBidi"/>
              </w:rPr>
            </w:pPr>
            <w:r>
              <w:rPr>
                <w:rFonts w:cstheme="minorBidi"/>
              </w:rPr>
              <w:t>Com</w:t>
            </w:r>
          </w:p>
        </w:tc>
        <w:tc>
          <w:tcPr>
            <w:tcW w:w="892" w:type="pct"/>
          </w:tcPr>
          <w:p w14:paraId="4DC512D3" w14:textId="4E87E0FE" w:rsidR="00836A35" w:rsidRDefault="00836A35" w:rsidP="001B07AD">
            <w:pPr>
              <w:rPr>
                <w:rFonts w:cstheme="minorBidi"/>
              </w:rPr>
            </w:pPr>
            <w:r>
              <w:rPr>
                <w:rFonts w:cstheme="minorBidi"/>
              </w:rPr>
              <w:t>HVAC</w:t>
            </w:r>
          </w:p>
        </w:tc>
        <w:tc>
          <w:tcPr>
            <w:tcW w:w="623" w:type="pct"/>
          </w:tcPr>
          <w:p w14:paraId="1C701154" w14:textId="0DBAC181" w:rsidR="00836A35" w:rsidRPr="00A7045D" w:rsidRDefault="00836A35" w:rsidP="001B07AD">
            <w:pPr>
              <w:rPr>
                <w:rFonts w:cstheme="minorBidi"/>
              </w:rPr>
            </w:pPr>
            <w:r>
              <w:rPr>
                <w:rFonts w:cstheme="minorBidi"/>
              </w:rPr>
              <w:t>5</w:t>
            </w:r>
          </w:p>
        </w:tc>
        <w:tc>
          <w:tcPr>
            <w:tcW w:w="592" w:type="pct"/>
          </w:tcPr>
          <w:p w14:paraId="125593D8" w14:textId="198E6591" w:rsidR="00836A35" w:rsidRPr="00A7045D" w:rsidRDefault="00836A35" w:rsidP="001B07AD">
            <w:pPr>
              <w:rPr>
                <w:rFonts w:cstheme="minorBidi"/>
              </w:rPr>
            </w:pPr>
            <w:r>
              <w:rPr>
                <w:rFonts w:cstheme="minorBidi"/>
              </w:rPr>
              <w:t>N/A</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78D32359" w14:textId="57000D4F" w:rsidR="00667C97" w:rsidRPr="00DF694F" w:rsidRDefault="00667C97" w:rsidP="00CC06D7">
      <w:pPr>
        <w:rPr>
          <w:b/>
          <w:sz w:val="24"/>
        </w:rPr>
      </w:pPr>
      <w:r w:rsidRPr="00DF694F">
        <w:rPr>
          <w:b/>
          <w:sz w:val="24"/>
        </w:rPr>
        <w:t>Current Codes</w:t>
      </w:r>
    </w:p>
    <w:p w14:paraId="568D95DD" w14:textId="10BB3454" w:rsidR="00667C97" w:rsidRPr="00DF694F" w:rsidRDefault="00667C97" w:rsidP="00CC06D7">
      <w:pPr>
        <w:rPr>
          <w:b/>
        </w:rPr>
      </w:pPr>
      <w:r w:rsidRPr="00DF694F">
        <w:rPr>
          <w:b/>
        </w:rPr>
        <w:t>2016 Title 24 Code</w:t>
      </w:r>
    </w:p>
    <w:p w14:paraId="6C5C5380" w14:textId="61B78015" w:rsidR="00CC06D7" w:rsidRPr="005328DA" w:rsidRDefault="00CC06D7" w:rsidP="00CC06D7">
      <w:r w:rsidRPr="005328DA">
        <w:t xml:space="preserve">Current relevant requirements for commercial kitchen ventilation are contained in Title 24 </w:t>
      </w:r>
      <w:r w:rsidR="00F11DC7" w:rsidRPr="005328DA">
        <w:t>201</w:t>
      </w:r>
      <w:r w:rsidR="00F11DC7">
        <w:t>6</w:t>
      </w:r>
      <w:r w:rsidR="00F11DC7" w:rsidRPr="005328DA">
        <w:t xml:space="preserve"> </w:t>
      </w:r>
      <w:r w:rsidRPr="005328DA">
        <w:t>[</w:t>
      </w:r>
      <w:r w:rsidR="00F11DC7">
        <w:t>496</w:t>
      </w:r>
      <w:r w:rsidRPr="005328DA">
        <w:t>], Section 140.9(b</w:t>
      </w:r>
      <w:proofErr w:type="gramStart"/>
      <w:r w:rsidRPr="005328DA">
        <w:t>)2B</w:t>
      </w:r>
      <w:proofErr w:type="gramEnd"/>
      <w:r w:rsidRPr="005328DA">
        <w:t>. Section 140.9(b</w:t>
      </w:r>
      <w:proofErr w:type="gramStart"/>
      <w:r w:rsidRPr="005328DA">
        <w:t>)2B</w:t>
      </w:r>
      <w:proofErr w:type="gramEnd"/>
      <w:r w:rsidRPr="005328DA">
        <w:t xml:space="preserve"> gives requirements for kitchens that have greater than 5,000 cfm total Type I and Type II kitchen hood exhaust and lists four compliance options, one of which is installing demand controlled ventilation on 75% of exhaust air. </w:t>
      </w:r>
      <w:r w:rsidR="007C75C1" w:rsidRPr="007C75C1">
        <w:t>Type I Hoods are designed to remove heat, smoke, condensation, and othe</w:t>
      </w:r>
      <w:r w:rsidR="007C75C1">
        <w:t xml:space="preserve">r greasy by-products of cooking, whereas, </w:t>
      </w:r>
      <w:r w:rsidR="007C75C1" w:rsidRPr="007C75C1">
        <w:t xml:space="preserve">Type II Hoods are equipped to handle heat, steam, vapor, odors and moisture from appliances that do not produce grease. </w:t>
      </w:r>
      <w:r w:rsidR="007C75C1">
        <w:t xml:space="preserve">  </w:t>
      </w:r>
      <w:r w:rsidRPr="005328DA">
        <w:t>The exact code language is shown below:</w:t>
      </w:r>
    </w:p>
    <w:p w14:paraId="2CFC44C5" w14:textId="77777777" w:rsidR="00CC06D7" w:rsidRPr="005328DA" w:rsidRDefault="00CC06D7" w:rsidP="00CC06D7"/>
    <w:p w14:paraId="64E7095D" w14:textId="77777777" w:rsidR="00CC06D7" w:rsidRPr="005328DA" w:rsidRDefault="00CC06D7" w:rsidP="00CC06D7">
      <w:r w:rsidRPr="00F84453">
        <w:rPr>
          <w:noProof/>
        </w:rPr>
        <w:lastRenderedPageBreak/>
        <w:drawing>
          <wp:inline distT="0" distB="0" distL="0" distR="0" wp14:anchorId="356BB7D2" wp14:editId="0077CED1">
            <wp:extent cx="5943600" cy="2257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rotWithShape="1">
                    <a:blip r:embed="rId12">
                      <a:extLst>
                        <a:ext uri="{28A0092B-C50C-407E-A947-70E740481C1C}">
                          <a14:useLocalDpi xmlns:a14="http://schemas.microsoft.com/office/drawing/2010/main" val="0"/>
                        </a:ext>
                      </a:extLst>
                    </a:blip>
                    <a:srcRect b="61958"/>
                    <a:stretch/>
                  </pic:blipFill>
                  <pic:spPr bwMode="auto">
                    <a:xfrm>
                      <a:off x="0" y="0"/>
                      <a:ext cx="5943600" cy="2257425"/>
                    </a:xfrm>
                    <a:prstGeom prst="rect">
                      <a:avLst/>
                    </a:prstGeom>
                    <a:noFill/>
                    <a:ln>
                      <a:noFill/>
                    </a:ln>
                    <a:extLst>
                      <a:ext uri="{53640926-AAD7-44D8-BBD7-CCE9431645EC}">
                        <a14:shadowObscured xmlns:a14="http://schemas.microsoft.com/office/drawing/2010/main"/>
                      </a:ext>
                    </a:extLst>
                  </pic:spPr>
                </pic:pic>
              </a:graphicData>
            </a:graphic>
          </wp:inline>
        </w:drawing>
      </w:r>
      <w:r w:rsidRPr="00F84453">
        <w:rPr>
          <w:noProof/>
        </w:rPr>
        <w:drawing>
          <wp:inline distT="0" distB="0" distL="0" distR="0" wp14:anchorId="0F45E9B7" wp14:editId="0823D765">
            <wp:extent cx="5648325" cy="18859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rotWithShape="1">
                    <a:blip r:embed="rId12">
                      <a:extLst>
                        <a:ext uri="{28A0092B-C50C-407E-A947-70E740481C1C}">
                          <a14:useLocalDpi xmlns:a14="http://schemas.microsoft.com/office/drawing/2010/main" val="0"/>
                        </a:ext>
                      </a:extLst>
                    </a:blip>
                    <a:srcRect l="4968" t="68058" b="161"/>
                    <a:stretch/>
                  </pic:blipFill>
                  <pic:spPr bwMode="auto">
                    <a:xfrm>
                      <a:off x="0" y="0"/>
                      <a:ext cx="5648325" cy="1885950"/>
                    </a:xfrm>
                    <a:prstGeom prst="rect">
                      <a:avLst/>
                    </a:prstGeom>
                    <a:noFill/>
                    <a:ln>
                      <a:noFill/>
                    </a:ln>
                    <a:extLst>
                      <a:ext uri="{53640926-AAD7-44D8-BBD7-CCE9431645EC}">
                        <a14:shadowObscured xmlns:a14="http://schemas.microsoft.com/office/drawing/2010/main"/>
                      </a:ext>
                    </a:extLst>
                  </pic:spPr>
                </pic:pic>
              </a:graphicData>
            </a:graphic>
          </wp:inline>
        </w:drawing>
      </w:r>
    </w:p>
    <w:p w14:paraId="0E5F1FC9" w14:textId="77777777" w:rsidR="00CC06D7" w:rsidRPr="005328DA" w:rsidRDefault="00CC06D7" w:rsidP="00CC06D7"/>
    <w:p w14:paraId="57810F7D" w14:textId="77777777" w:rsidR="00CC06D7" w:rsidRDefault="00CC06D7" w:rsidP="00CC06D7">
      <w:r>
        <w:t>These requirements apply to new kitchen exhaust hood installations, while existing hoods are exempt from these requirements.</w:t>
      </w:r>
    </w:p>
    <w:p w14:paraId="1CB77328" w14:textId="77777777" w:rsidR="00F11DC7" w:rsidRDefault="00F11DC7" w:rsidP="00CC06D7"/>
    <w:p w14:paraId="6299434F" w14:textId="0D3C0C86" w:rsidR="00CC06D7" w:rsidRPr="005328DA" w:rsidRDefault="00CC06D7" w:rsidP="00CC06D7">
      <w:r w:rsidRPr="005328DA">
        <w:t xml:space="preserve">For </w:t>
      </w:r>
      <w:r>
        <w:t xml:space="preserve">new hoods installed in </w:t>
      </w:r>
      <w:r w:rsidRPr="005328DA">
        <w:t xml:space="preserve">kitchens that have more than 5,000 cfm of total hood exhaust, if a </w:t>
      </w:r>
      <w:r>
        <w:rPr>
          <w:rFonts w:cstheme="minorHAnsi"/>
        </w:rPr>
        <w:t>DCKV</w:t>
      </w:r>
      <w:r w:rsidRPr="005328DA">
        <w:t xml:space="preserve"> system is installed and none of the other compliance options are met, the </w:t>
      </w:r>
      <w:r>
        <w:rPr>
          <w:rFonts w:cstheme="minorHAnsi"/>
        </w:rPr>
        <w:t>DCKV</w:t>
      </w:r>
      <w:r w:rsidRPr="005328DA">
        <w:t xml:space="preserve"> system would be considered to be required by code. </w:t>
      </w:r>
      <w:r>
        <w:t>This measure would therefore be at code level and would have no savings beyond code.</w:t>
      </w:r>
    </w:p>
    <w:p w14:paraId="6DAD80E0" w14:textId="77777777" w:rsidR="004E5BEF" w:rsidRDefault="004E5BEF" w:rsidP="00CC06D7"/>
    <w:p w14:paraId="2AE38C5C" w14:textId="77777777" w:rsidR="00CC06D7" w:rsidRPr="005328DA" w:rsidRDefault="00CC06D7" w:rsidP="00CC06D7">
      <w:r w:rsidRPr="005328DA">
        <w:t xml:space="preserve">In addition to installing </w:t>
      </w:r>
      <w:r>
        <w:rPr>
          <w:rFonts w:cstheme="minorHAnsi"/>
        </w:rPr>
        <w:t>DCKV</w:t>
      </w:r>
      <w:r w:rsidRPr="005328DA">
        <w:t xml:space="preserve">, </w:t>
      </w:r>
      <w:r>
        <w:t xml:space="preserve">new </w:t>
      </w:r>
      <w:r w:rsidRPr="005328DA">
        <w:t xml:space="preserve">kitchens may also comply with code if at least 50% of replacement air is transfer air, energy recovery devices with a minimum sensible effectiveness of 40% are installed on at least 50% of the total exhaust, or at least 75% of makeup air is unheated or heated to a maximum of 60 degrees and uncooled or cooled without mechanical cooling. If one of these alternate compliance options is met, demand controlled </w:t>
      </w:r>
      <w:r>
        <w:t xml:space="preserve">kitchen </w:t>
      </w:r>
      <w:r w:rsidRPr="005328DA">
        <w:t xml:space="preserve">ventilation would not be required by code. However, in these situations the </w:t>
      </w:r>
      <w:r>
        <w:rPr>
          <w:rFonts w:cstheme="minorHAnsi"/>
        </w:rPr>
        <w:t>DCKV</w:t>
      </w:r>
      <w:r w:rsidRPr="005328DA">
        <w:t xml:space="preserve"> system would be considered redundant and the energy savings are expected to be reduced.</w:t>
      </w:r>
    </w:p>
    <w:p w14:paraId="768C6389" w14:textId="700E3F83" w:rsidR="00CC06D7" w:rsidRDefault="00CC06D7" w:rsidP="00CC06D7"/>
    <w:p w14:paraId="380B72D5" w14:textId="668EF470" w:rsidR="00667C97" w:rsidRPr="00DF694F" w:rsidRDefault="00667C97" w:rsidP="00CC06D7">
      <w:pPr>
        <w:rPr>
          <w:b/>
        </w:rPr>
      </w:pPr>
      <w:r w:rsidRPr="00DF694F">
        <w:rPr>
          <w:b/>
        </w:rPr>
        <w:t xml:space="preserve">Other Current Codes </w:t>
      </w:r>
    </w:p>
    <w:p w14:paraId="1544501F" w14:textId="3A68F3AE" w:rsidR="00667C97" w:rsidRDefault="00667C97" w:rsidP="00CC06D7">
      <w:r>
        <w:t xml:space="preserve">2016 </w:t>
      </w:r>
      <w:r w:rsidRPr="005328DA">
        <w:t>Title 20 [</w:t>
      </w:r>
      <w:r w:rsidR="008C3D64">
        <w:t>508</w:t>
      </w:r>
      <w:r w:rsidRPr="005328DA">
        <w:t>] do</w:t>
      </w:r>
      <w:r w:rsidR="000723C0">
        <w:t>es</w:t>
      </w:r>
      <w:r w:rsidRPr="005328DA">
        <w:t xml:space="preserve"> not contain any relevant language</w:t>
      </w:r>
      <w:r w:rsidR="008C3D64">
        <w:t xml:space="preserve"> for DCKV requirements, nor do these </w:t>
      </w:r>
      <w:r w:rsidRPr="00667C97">
        <w:t>measures fall under Federal DOE or EPA Energy Regulations.</w:t>
      </w:r>
    </w:p>
    <w:p w14:paraId="5878852A" w14:textId="77777777" w:rsidR="00667C97" w:rsidRDefault="00667C97" w:rsidP="00CC06D7"/>
    <w:p w14:paraId="42156B67" w14:textId="4AC6270F" w:rsidR="00667C97" w:rsidRPr="004A2251" w:rsidRDefault="00667C97" w:rsidP="00CC06D7">
      <w:pPr>
        <w:rPr>
          <w:b/>
          <w:sz w:val="24"/>
        </w:rPr>
      </w:pPr>
      <w:r w:rsidRPr="00DF694F">
        <w:rPr>
          <w:b/>
          <w:sz w:val="24"/>
        </w:rPr>
        <w:t>Previous Code Impacts (For REA only)</w:t>
      </w:r>
    </w:p>
    <w:p w14:paraId="02D36EDE" w14:textId="403E2635" w:rsidR="00CC06D7" w:rsidRPr="005328DA" w:rsidRDefault="00CC06D7" w:rsidP="00CC06D7">
      <w:r w:rsidRPr="005328DA">
        <w:lastRenderedPageBreak/>
        <w:t xml:space="preserve">For new kitchens that have less than 5,000 cfm of total hood exhaust, the code requirements do not apply and </w:t>
      </w:r>
      <w:r>
        <w:rPr>
          <w:rFonts w:cstheme="minorHAnsi"/>
        </w:rPr>
        <w:t>DCKV</w:t>
      </w:r>
      <w:r w:rsidRPr="005328DA">
        <w:t xml:space="preserve"> is an applicable measure.</w:t>
      </w:r>
    </w:p>
    <w:p w14:paraId="0450E3F0" w14:textId="77777777" w:rsidR="00CC06D7" w:rsidRPr="005328DA" w:rsidRDefault="00CC06D7" w:rsidP="00CC06D7"/>
    <w:p w14:paraId="14411381" w14:textId="33B78428" w:rsidR="00CD6D5E" w:rsidRDefault="00667C97" w:rsidP="00CC06D7">
      <w:r>
        <w:t>E</w:t>
      </w:r>
      <w:r w:rsidR="00CC06D7" w:rsidRPr="005328DA">
        <w:t>xisting hoods are exempt from the Title 24 201</w:t>
      </w:r>
      <w:r w:rsidR="00F11DC7">
        <w:t>6</w:t>
      </w:r>
      <w:r w:rsidR="00CC06D7" w:rsidRPr="005328DA">
        <w:t xml:space="preserve"> [</w:t>
      </w:r>
      <w:r w:rsidR="00F11DC7">
        <w:t>496</w:t>
      </w:r>
      <w:r w:rsidR="00CC06D7" w:rsidRPr="005328DA">
        <w:t xml:space="preserve">] requirements, thus </w:t>
      </w:r>
      <w:r w:rsidR="008C3D64">
        <w:t>DCKV measures</w:t>
      </w:r>
      <w:r w:rsidR="00CC06D7" w:rsidRPr="005328DA">
        <w:t xml:space="preserve"> </w:t>
      </w:r>
      <w:r>
        <w:t xml:space="preserve">are </w:t>
      </w:r>
      <w:r w:rsidR="00CC06D7" w:rsidRPr="005328DA">
        <w:t xml:space="preserve">applicable </w:t>
      </w:r>
      <w:r w:rsidR="008C3D64">
        <w:t xml:space="preserve">as </w:t>
      </w:r>
      <w:r w:rsidR="00CC06D7" w:rsidRPr="005328DA">
        <w:t>REA measure</w:t>
      </w:r>
      <w:r w:rsidR="008C3D64">
        <w:t>s</w:t>
      </w:r>
      <w:r w:rsidR="00CC06D7" w:rsidRPr="005328DA">
        <w:t xml:space="preserve"> for existing exhaust hood systems installed under previous code requirements.</w:t>
      </w:r>
      <w:r w:rsidR="009E7A35">
        <w:t xml:space="preserve"> 2013 Title 24 code [</w:t>
      </w:r>
      <w:r w:rsidR="00BB1AAD">
        <w:t>355</w:t>
      </w:r>
      <w:r w:rsidR="009E7A35">
        <w:t>] included identical requirement</w:t>
      </w:r>
      <w:r>
        <w:t>s</w:t>
      </w:r>
      <w:r w:rsidR="009E7A35">
        <w:t xml:space="preserve"> for DCKV as 2016 Title 24</w:t>
      </w:r>
      <w:r w:rsidR="00BB1AAD">
        <w:t xml:space="preserve">, thus existing systems installed after the implementation of 2013 Title 24 (7/1/2014) which are greater than 5,000 CFM were required to have DCKV. Title 24 versions prior to 2013 Title 24 do not require DCKV. </w:t>
      </w:r>
      <w:r w:rsidR="008C3D64">
        <w:t>Therefore</w:t>
      </w:r>
      <w:r w:rsidR="00BB1AAD">
        <w:t xml:space="preserve">, systems installed prior to 7/1/2014 were not required to </w:t>
      </w:r>
      <w:r w:rsidR="008C3D64">
        <w:t xml:space="preserve">have DCKV, so </w:t>
      </w:r>
      <w:r w:rsidR="00BB1AAD">
        <w:t xml:space="preserve">all sizes are eligible for the Retrofit Add-on (REA) measure. </w:t>
      </w:r>
    </w:p>
    <w:p w14:paraId="58A97025" w14:textId="77777777" w:rsidR="00CD6D5E" w:rsidRDefault="00CD6D5E" w:rsidP="00CC06D7"/>
    <w:p w14:paraId="2E4524E4" w14:textId="577A08CF" w:rsidR="00CC06D7" w:rsidRPr="005328DA" w:rsidRDefault="00667C97" w:rsidP="00CC06D7">
      <w:r>
        <w:t xml:space="preserve">To summarize, existing hoods 5,000 CFM or less which were installed after to 7/1/2014 and all sized hoods installed prior to 7/1/2014 are not required to </w:t>
      </w:r>
      <w:r w:rsidR="008C3D64">
        <w:t>have DCKV and are eligible for</w:t>
      </w:r>
      <w:r>
        <w:t xml:space="preserve"> REA measure</w:t>
      </w:r>
      <w:r w:rsidR="008C3D64">
        <w:t>s</w:t>
      </w:r>
      <w:r>
        <w:t xml:space="preserve">. </w:t>
      </w:r>
    </w:p>
    <w:p w14:paraId="7688509B" w14:textId="3E713E0B" w:rsidR="00F25C55" w:rsidRPr="00F25C55" w:rsidRDefault="00F25C55" w:rsidP="00CC06D7">
      <w:pPr>
        <w:pStyle w:val="Reminders"/>
        <w:rPr>
          <w:rFonts w:asciiTheme="minorHAnsi" w:hAnsiTheme="minorHAnsi" w:cstheme="minorHAnsi"/>
          <w:i w:val="0"/>
          <w:color w:val="auto"/>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F25C55" w:rsidRPr="00500C4E" w14:paraId="41E6B4DA" w14:textId="77777777" w:rsidTr="00D2588D">
        <w:trPr>
          <w:trHeight w:val="243"/>
        </w:trPr>
        <w:tc>
          <w:tcPr>
            <w:tcW w:w="1155" w:type="pct"/>
            <w:vAlign w:val="center"/>
          </w:tcPr>
          <w:p w14:paraId="16A44F28" w14:textId="504EED07" w:rsidR="00F25C55" w:rsidRPr="00500C4E" w:rsidRDefault="00F25C55">
            <w:pPr>
              <w:rPr>
                <w:rFonts w:cstheme="minorHAnsi"/>
                <w:szCs w:val="20"/>
              </w:rPr>
            </w:pPr>
            <w:r w:rsidRPr="00721148">
              <w:rPr>
                <w:rFonts w:cstheme="minorBidi"/>
              </w:rPr>
              <w:t>Title 24 (201</w:t>
            </w:r>
            <w:r w:rsidR="00F11DC7">
              <w:rPr>
                <w:rFonts w:cstheme="minorBidi"/>
              </w:rPr>
              <w:t>6</w:t>
            </w:r>
            <w:r w:rsidRPr="00721148">
              <w:rPr>
                <w:rFonts w:cstheme="minorBidi"/>
              </w:rPr>
              <w:t>)</w:t>
            </w:r>
          </w:p>
        </w:tc>
        <w:tc>
          <w:tcPr>
            <w:tcW w:w="2711" w:type="pct"/>
            <w:vAlign w:val="center"/>
          </w:tcPr>
          <w:p w14:paraId="1333254B" w14:textId="7EE80CDE" w:rsidR="00F25C55" w:rsidRPr="00721148" w:rsidRDefault="00F25C55" w:rsidP="00F25C55">
            <w:r w:rsidRPr="00721148">
              <w:rPr>
                <w:rFonts w:cstheme="minorBidi"/>
              </w:rPr>
              <w:t>201</w:t>
            </w:r>
            <w:r w:rsidR="00F11DC7">
              <w:rPr>
                <w:rFonts w:cstheme="minorBidi"/>
              </w:rPr>
              <w:t>6</w:t>
            </w:r>
            <w:r w:rsidRPr="00721148">
              <w:rPr>
                <w:rFonts w:cstheme="minorBidi"/>
              </w:rPr>
              <w:t xml:space="preserve"> Building Energy Efficiency Standards for Residential and Nonresidential Buildings,</w:t>
            </w:r>
          </w:p>
          <w:p w14:paraId="387D6828" w14:textId="27428CFF" w:rsidR="00F25C55" w:rsidRPr="00500C4E" w:rsidRDefault="00F25C55">
            <w:pPr>
              <w:rPr>
                <w:rFonts w:cstheme="minorHAnsi"/>
                <w:color w:val="FF0000"/>
                <w:szCs w:val="20"/>
              </w:rPr>
            </w:pPr>
            <w:r w:rsidRPr="00721148">
              <w:rPr>
                <w:rFonts w:cstheme="minorBidi"/>
              </w:rPr>
              <w:t>Section 140.9(b)2</w:t>
            </w:r>
            <w:r w:rsidR="00F11DC7">
              <w:rPr>
                <w:rFonts w:cstheme="minorBidi"/>
              </w:rPr>
              <w:t>B</w:t>
            </w:r>
            <w:r w:rsidRPr="00721148">
              <w:rPr>
                <w:rFonts w:cstheme="minorBidi"/>
              </w:rPr>
              <w:t xml:space="preserve">, pg. </w:t>
            </w:r>
            <w:r w:rsidR="00F11DC7">
              <w:rPr>
                <w:rFonts w:cstheme="minorBidi"/>
              </w:rPr>
              <w:t>218-219</w:t>
            </w:r>
          </w:p>
        </w:tc>
        <w:tc>
          <w:tcPr>
            <w:tcW w:w="1134" w:type="pct"/>
            <w:vAlign w:val="center"/>
          </w:tcPr>
          <w:p w14:paraId="3E1189F8" w14:textId="3F27DF24" w:rsidR="00F25C55" w:rsidRPr="00500C4E" w:rsidRDefault="00F11DC7" w:rsidP="00F25C55">
            <w:pPr>
              <w:rPr>
                <w:rFonts w:cstheme="minorHAnsi"/>
                <w:color w:val="FF0000"/>
                <w:szCs w:val="20"/>
              </w:rPr>
            </w:pPr>
            <w:r>
              <w:rPr>
                <w:rFonts w:cstheme="minorBidi"/>
              </w:rPr>
              <w:t>January 1, 2017</w:t>
            </w:r>
          </w:p>
        </w:tc>
      </w:tr>
      <w:tr w:rsidR="00CD6D5E" w:rsidRPr="00500C4E" w14:paraId="4201009B" w14:textId="77777777" w:rsidTr="00D2588D">
        <w:trPr>
          <w:trHeight w:val="243"/>
        </w:trPr>
        <w:tc>
          <w:tcPr>
            <w:tcW w:w="1155" w:type="pct"/>
            <w:vAlign w:val="center"/>
          </w:tcPr>
          <w:p w14:paraId="448819F5" w14:textId="77777777" w:rsidR="00CD6D5E" w:rsidRDefault="00CD6D5E">
            <w:pPr>
              <w:rPr>
                <w:rFonts w:cstheme="minorBidi"/>
              </w:rPr>
            </w:pPr>
            <w:r w:rsidRPr="00721148">
              <w:rPr>
                <w:rFonts w:cstheme="minorBidi"/>
              </w:rPr>
              <w:t>Title 24 (</w:t>
            </w:r>
            <w:r>
              <w:rPr>
                <w:rFonts w:cstheme="minorBidi"/>
              </w:rPr>
              <w:t>2013</w:t>
            </w:r>
            <w:r w:rsidRPr="00721148">
              <w:rPr>
                <w:rFonts w:cstheme="minorBidi"/>
              </w:rPr>
              <w:t>)</w:t>
            </w:r>
          </w:p>
          <w:p w14:paraId="602631B1" w14:textId="3458A5D8" w:rsidR="00CD6D5E" w:rsidRPr="00721148" w:rsidRDefault="00CD6D5E">
            <w:pPr>
              <w:rPr>
                <w:rFonts w:cstheme="minorBidi"/>
              </w:rPr>
            </w:pPr>
            <w:r>
              <w:rPr>
                <w:rFonts w:cstheme="minorBidi"/>
              </w:rPr>
              <w:t>(REA only)</w:t>
            </w:r>
          </w:p>
        </w:tc>
        <w:tc>
          <w:tcPr>
            <w:tcW w:w="2711" w:type="pct"/>
            <w:vAlign w:val="center"/>
          </w:tcPr>
          <w:p w14:paraId="5A57A4AE" w14:textId="77A82D02" w:rsidR="00CD6D5E" w:rsidRPr="00721148" w:rsidRDefault="00CD6D5E" w:rsidP="00CD6D5E">
            <w:r w:rsidRPr="00721148">
              <w:rPr>
                <w:rFonts w:cstheme="minorBidi"/>
              </w:rPr>
              <w:t>201</w:t>
            </w:r>
            <w:r w:rsidR="00144965">
              <w:rPr>
                <w:rFonts w:cstheme="minorBidi"/>
              </w:rPr>
              <w:t>3</w:t>
            </w:r>
            <w:r w:rsidRPr="00721148">
              <w:rPr>
                <w:rFonts w:cstheme="minorBidi"/>
              </w:rPr>
              <w:t xml:space="preserve"> Building Energy Efficiency Standards for Residential and Nonresidential Buildings,</w:t>
            </w:r>
          </w:p>
          <w:p w14:paraId="344D457E" w14:textId="6F5586AB" w:rsidR="00CD6D5E" w:rsidRPr="00721148" w:rsidRDefault="00CD6D5E" w:rsidP="00CD6D5E">
            <w:pPr>
              <w:rPr>
                <w:rFonts w:cstheme="minorBidi"/>
              </w:rPr>
            </w:pPr>
            <w:r w:rsidRPr="00721148">
              <w:rPr>
                <w:rFonts w:cstheme="minorBidi"/>
              </w:rPr>
              <w:t>Section 140.9(b)2</w:t>
            </w:r>
            <w:r>
              <w:rPr>
                <w:rFonts w:cstheme="minorBidi"/>
              </w:rPr>
              <w:t>B</w:t>
            </w:r>
            <w:r w:rsidRPr="00721148">
              <w:rPr>
                <w:rFonts w:cstheme="minorBidi"/>
              </w:rPr>
              <w:t xml:space="preserve">, pg. </w:t>
            </w:r>
            <w:r>
              <w:rPr>
                <w:rFonts w:cstheme="minorBidi"/>
              </w:rPr>
              <w:t>218-219</w:t>
            </w:r>
          </w:p>
        </w:tc>
        <w:tc>
          <w:tcPr>
            <w:tcW w:w="1134" w:type="pct"/>
            <w:vAlign w:val="center"/>
          </w:tcPr>
          <w:p w14:paraId="136FC5B9" w14:textId="2687D877" w:rsidR="00CD6D5E" w:rsidRPr="00721148" w:rsidDel="00F11DC7" w:rsidRDefault="00CD6D5E" w:rsidP="00CD6D5E">
            <w:pPr>
              <w:rPr>
                <w:rFonts w:cstheme="minorBidi"/>
              </w:rPr>
            </w:pPr>
            <w:r>
              <w:rPr>
                <w:rFonts w:cstheme="minorBidi"/>
              </w:rPr>
              <w:t>July 1, 2014</w:t>
            </w:r>
          </w:p>
        </w:tc>
      </w:tr>
    </w:tbl>
    <w:p w14:paraId="658749F7" w14:textId="6B8A7A0D"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5513BE5" w14:textId="68737DA1" w:rsidR="000278BF" w:rsidRPr="004A2251" w:rsidRDefault="00572D2F">
      <w:pPr>
        <w:pStyle w:val="Heading3"/>
        <w:rPr>
          <w:rFonts w:asciiTheme="minorHAnsi" w:hAnsiTheme="minorHAnsi"/>
        </w:rPr>
      </w:pPr>
      <w:r w:rsidRPr="00920905">
        <w:rPr>
          <w:rFonts w:asciiTheme="minorHAnsi" w:hAnsiTheme="minorHAnsi"/>
        </w:rPr>
        <w:t>1.</w:t>
      </w:r>
      <w:r w:rsidR="00A4411F" w:rsidRPr="00920905">
        <w:rPr>
          <w:rFonts w:asciiTheme="minorHAnsi" w:hAnsiTheme="minorHAnsi"/>
        </w:rPr>
        <w:t>5.1</w:t>
      </w:r>
      <w:r w:rsidR="00CA5536">
        <w:rPr>
          <w:rFonts w:asciiTheme="minorHAnsi" w:hAnsiTheme="minorHAnsi"/>
        </w:rPr>
        <w:t xml:space="preserve"> Non-DEER Study Review</w:t>
      </w:r>
    </w:p>
    <w:p w14:paraId="2B37F014" w14:textId="73135E7E" w:rsidR="00CA5536" w:rsidRDefault="00CA5536" w:rsidP="00CA5536">
      <w:pPr>
        <w:rPr>
          <w:color w:val="000000"/>
        </w:rPr>
      </w:pPr>
      <w:r w:rsidRPr="005328DA">
        <w:rPr>
          <w:color w:val="000000"/>
        </w:rPr>
        <w:t>The base case and measure case data used in this work paper were collected from field-monitored case studies conducted by the PG&amp;E Food Service Technology Center (PG&amp;E FSTC)</w:t>
      </w:r>
      <w:r w:rsidR="00837869">
        <w:rPr>
          <w:color w:val="000000"/>
        </w:rPr>
        <w:t xml:space="preserve">, </w:t>
      </w:r>
      <w:r w:rsidRPr="005328DA">
        <w:rPr>
          <w:color w:val="000000"/>
        </w:rPr>
        <w:t xml:space="preserve">Southern California Edison </w:t>
      </w:r>
      <w:r w:rsidRPr="00CB35CE">
        <w:rPr>
          <w:rFonts w:cstheme="minorHAnsi"/>
          <w:color w:val="000000"/>
        </w:rPr>
        <w:t>Food</w:t>
      </w:r>
      <w:r>
        <w:rPr>
          <w:rFonts w:cstheme="minorHAnsi"/>
          <w:color w:val="000000"/>
        </w:rPr>
        <w:t>s</w:t>
      </w:r>
      <w:r w:rsidRPr="005328DA">
        <w:rPr>
          <w:color w:val="000000"/>
        </w:rPr>
        <w:t xml:space="preserve">ervice Technology Center (SCE FTC) </w:t>
      </w:r>
      <w:r w:rsidR="00837869">
        <w:rPr>
          <w:color w:val="000000"/>
        </w:rPr>
        <w:t xml:space="preserve">and ASHRAE </w:t>
      </w:r>
      <w:r w:rsidR="005B4CAC">
        <w:rPr>
          <w:color w:val="000000"/>
        </w:rPr>
        <w:t>(Attachment 3 and 4)</w:t>
      </w:r>
      <w:r w:rsidRPr="005328DA">
        <w:rPr>
          <w:color w:val="000000"/>
        </w:rPr>
        <w:t xml:space="preserve"> at a total of eleven sites that represent a range of demand controlled ventilation installations. </w:t>
      </w:r>
      <w:r>
        <w:rPr>
          <w:color w:val="000000"/>
        </w:rPr>
        <w:t xml:space="preserve">Table below </w:t>
      </w:r>
      <w:r w:rsidRPr="005328DA">
        <w:rPr>
          <w:color w:val="000000"/>
        </w:rPr>
        <w:t>shows the nameplate rated exhaust fan horsepower, the Base Case and Measure Case average fan power and fan energy consumption, and the estimated exhaust fan speed (airflow rate) reduction percentage</w:t>
      </w:r>
      <w:r>
        <w:rPr>
          <w:color w:val="000000"/>
        </w:rPr>
        <w:t xml:space="preserve"> (calculated using the fan affinity laws relating the fan power to the fan speed)</w:t>
      </w:r>
      <w:r w:rsidRPr="005328DA">
        <w:rPr>
          <w:color w:val="000000"/>
        </w:rPr>
        <w:t xml:space="preserve"> for each facility. </w:t>
      </w:r>
      <w:r>
        <w:rPr>
          <w:color w:val="000000"/>
        </w:rPr>
        <w:t xml:space="preserve">The daily energy savings for each site were multiplied by 360 days/year to determine the annual energy savings. </w:t>
      </w:r>
      <w:r w:rsidRPr="005328DA">
        <w:rPr>
          <w:color w:val="000000"/>
        </w:rPr>
        <w:t>The averages of these values are used in this work paper to determine the energy savings for this measure.</w:t>
      </w:r>
    </w:p>
    <w:p w14:paraId="5B43632C" w14:textId="77777777" w:rsidR="00D101C7" w:rsidRPr="005328DA" w:rsidRDefault="00D101C7" w:rsidP="00CA5536">
      <w:pPr>
        <w:rPr>
          <w:color w:val="000000"/>
        </w:rPr>
      </w:pPr>
    </w:p>
    <w:p w14:paraId="31BAB1A5" w14:textId="7CF03AAD" w:rsidR="00CA5536" w:rsidRPr="00F84453" w:rsidRDefault="00CA5536" w:rsidP="00CA5536">
      <w:pPr>
        <w:keepNext/>
      </w:pPr>
      <w:r w:rsidRPr="00F84453">
        <w:rPr>
          <w:b/>
        </w:rPr>
        <w:t>Summary of Demand Controlled Ventilation Case Studies</w:t>
      </w:r>
    </w:p>
    <w:tbl>
      <w:tblPr>
        <w:tblStyle w:val="TableGrid1"/>
        <w:tblW w:w="5000" w:type="pct"/>
        <w:tblLayout w:type="fixed"/>
        <w:tblLook w:val="00A0" w:firstRow="1" w:lastRow="0" w:firstColumn="1" w:lastColumn="0" w:noHBand="0" w:noVBand="0"/>
      </w:tblPr>
      <w:tblGrid>
        <w:gridCol w:w="1100"/>
        <w:gridCol w:w="631"/>
        <w:gridCol w:w="719"/>
        <w:gridCol w:w="721"/>
        <w:gridCol w:w="629"/>
        <w:gridCol w:w="631"/>
        <w:gridCol w:w="629"/>
        <w:gridCol w:w="721"/>
        <w:gridCol w:w="719"/>
        <w:gridCol w:w="721"/>
        <w:gridCol w:w="720"/>
        <w:gridCol w:w="718"/>
        <w:gridCol w:w="917"/>
      </w:tblGrid>
      <w:tr w:rsidR="00CA5536" w:rsidRPr="001845DC" w14:paraId="4537EE41" w14:textId="77777777" w:rsidTr="00BD6415">
        <w:trPr>
          <w:trHeight w:val="1134"/>
        </w:trPr>
        <w:tc>
          <w:tcPr>
            <w:tcW w:w="573" w:type="pct"/>
            <w:shd w:val="clear" w:color="auto" w:fill="D9D9D9" w:themeFill="background1" w:themeFillShade="D9"/>
          </w:tcPr>
          <w:p w14:paraId="623DD218" w14:textId="77777777" w:rsidR="00CA5536" w:rsidRPr="00CA5536" w:rsidRDefault="00CA5536" w:rsidP="00BD6415">
            <w:pPr>
              <w:rPr>
                <w:b/>
              </w:rPr>
            </w:pPr>
          </w:p>
        </w:tc>
        <w:tc>
          <w:tcPr>
            <w:tcW w:w="329" w:type="pct"/>
            <w:shd w:val="clear" w:color="auto" w:fill="D9D9D9" w:themeFill="background1" w:themeFillShade="D9"/>
            <w:textDirection w:val="btLr"/>
          </w:tcPr>
          <w:p w14:paraId="78B1C3AC" w14:textId="77777777" w:rsidR="00CA5536" w:rsidRPr="00CA5536" w:rsidRDefault="00CA5536" w:rsidP="00BD6415">
            <w:pPr>
              <w:ind w:left="113" w:right="113"/>
              <w:rPr>
                <w:b/>
                <w:sz w:val="16"/>
              </w:rPr>
            </w:pPr>
            <w:r w:rsidRPr="00CA5536">
              <w:rPr>
                <w:rFonts w:cstheme="minorBidi"/>
                <w:b/>
                <w:sz w:val="16"/>
                <w:szCs w:val="22"/>
              </w:rPr>
              <w:t>Institutional Cafeteria</w:t>
            </w:r>
          </w:p>
        </w:tc>
        <w:tc>
          <w:tcPr>
            <w:tcW w:w="375" w:type="pct"/>
            <w:shd w:val="clear" w:color="auto" w:fill="D9D9D9" w:themeFill="background1" w:themeFillShade="D9"/>
            <w:textDirection w:val="btLr"/>
          </w:tcPr>
          <w:p w14:paraId="56AC9F56" w14:textId="77777777" w:rsidR="00CA5536" w:rsidRPr="00CA5536" w:rsidRDefault="00CA5536" w:rsidP="00BD6415">
            <w:pPr>
              <w:ind w:left="113" w:right="113"/>
              <w:rPr>
                <w:b/>
                <w:sz w:val="16"/>
              </w:rPr>
            </w:pPr>
            <w:r w:rsidRPr="00CA5536">
              <w:rPr>
                <w:rFonts w:cstheme="minorBidi"/>
                <w:b/>
                <w:sz w:val="16"/>
                <w:szCs w:val="22"/>
              </w:rPr>
              <w:t>Casual Dining Restaurant</w:t>
            </w:r>
          </w:p>
        </w:tc>
        <w:tc>
          <w:tcPr>
            <w:tcW w:w="376" w:type="pct"/>
            <w:shd w:val="clear" w:color="auto" w:fill="D9D9D9" w:themeFill="background1" w:themeFillShade="D9"/>
            <w:textDirection w:val="btLr"/>
          </w:tcPr>
          <w:p w14:paraId="376977D7" w14:textId="77777777" w:rsidR="00CA5536" w:rsidRPr="00CA5536" w:rsidRDefault="00CA5536" w:rsidP="00BD6415">
            <w:pPr>
              <w:ind w:left="113" w:right="113"/>
              <w:rPr>
                <w:b/>
                <w:sz w:val="16"/>
              </w:rPr>
            </w:pPr>
            <w:r w:rsidRPr="00CA5536">
              <w:rPr>
                <w:rFonts w:cstheme="minorBidi"/>
                <w:b/>
                <w:sz w:val="16"/>
                <w:szCs w:val="22"/>
              </w:rPr>
              <w:t>Hotel Main Kitchen</w:t>
            </w:r>
          </w:p>
        </w:tc>
        <w:tc>
          <w:tcPr>
            <w:tcW w:w="328" w:type="pct"/>
            <w:shd w:val="clear" w:color="auto" w:fill="D9D9D9" w:themeFill="background1" w:themeFillShade="D9"/>
            <w:textDirection w:val="btLr"/>
          </w:tcPr>
          <w:p w14:paraId="64274586" w14:textId="77777777" w:rsidR="00CA5536" w:rsidRPr="00CA5536" w:rsidRDefault="00CA5536" w:rsidP="00BD6415">
            <w:pPr>
              <w:ind w:left="113" w:right="113"/>
              <w:rPr>
                <w:b/>
                <w:sz w:val="16"/>
              </w:rPr>
            </w:pPr>
            <w:r w:rsidRPr="00CA5536">
              <w:rPr>
                <w:rFonts w:cstheme="minorBidi"/>
                <w:b/>
                <w:sz w:val="16"/>
                <w:szCs w:val="22"/>
              </w:rPr>
              <w:t>Supermarket</w:t>
            </w:r>
          </w:p>
        </w:tc>
        <w:tc>
          <w:tcPr>
            <w:tcW w:w="329" w:type="pct"/>
            <w:shd w:val="clear" w:color="auto" w:fill="D9D9D9" w:themeFill="background1" w:themeFillShade="D9"/>
            <w:textDirection w:val="btLr"/>
          </w:tcPr>
          <w:p w14:paraId="51A31E63" w14:textId="77777777" w:rsidR="00CA5536" w:rsidRPr="00CA5536" w:rsidRDefault="00CA5536" w:rsidP="00BD6415">
            <w:pPr>
              <w:ind w:left="113" w:right="113"/>
              <w:rPr>
                <w:b/>
                <w:sz w:val="16"/>
              </w:rPr>
            </w:pPr>
            <w:r w:rsidRPr="00CA5536">
              <w:rPr>
                <w:rFonts w:cstheme="minorBidi"/>
                <w:b/>
                <w:sz w:val="16"/>
                <w:szCs w:val="22"/>
              </w:rPr>
              <w:t>University Dining</w:t>
            </w:r>
          </w:p>
        </w:tc>
        <w:tc>
          <w:tcPr>
            <w:tcW w:w="328" w:type="pct"/>
            <w:shd w:val="clear" w:color="auto" w:fill="D9D9D9" w:themeFill="background1" w:themeFillShade="D9"/>
            <w:textDirection w:val="btLr"/>
          </w:tcPr>
          <w:p w14:paraId="79D1ADB4" w14:textId="77777777" w:rsidR="00CA5536" w:rsidRPr="00CA5536" w:rsidRDefault="00CA5536" w:rsidP="00BD6415">
            <w:pPr>
              <w:ind w:left="113" w:right="113"/>
              <w:rPr>
                <w:b/>
                <w:sz w:val="16"/>
              </w:rPr>
            </w:pPr>
            <w:r w:rsidRPr="00CA5536">
              <w:rPr>
                <w:rFonts w:cstheme="minorBidi"/>
                <w:b/>
                <w:sz w:val="16"/>
                <w:szCs w:val="22"/>
              </w:rPr>
              <w:t>University Dining</w:t>
            </w:r>
          </w:p>
        </w:tc>
        <w:tc>
          <w:tcPr>
            <w:tcW w:w="376" w:type="pct"/>
            <w:shd w:val="clear" w:color="auto" w:fill="D9D9D9" w:themeFill="background1" w:themeFillShade="D9"/>
            <w:textDirection w:val="btLr"/>
          </w:tcPr>
          <w:p w14:paraId="7C01C840" w14:textId="77777777" w:rsidR="00CA5536" w:rsidRPr="00CA5536" w:rsidRDefault="00CA5536" w:rsidP="00BD6415">
            <w:pPr>
              <w:ind w:left="113" w:right="113"/>
              <w:rPr>
                <w:b/>
                <w:sz w:val="16"/>
              </w:rPr>
            </w:pPr>
            <w:r w:rsidRPr="00CA5536">
              <w:rPr>
                <w:rFonts w:cstheme="minorBidi"/>
                <w:b/>
                <w:sz w:val="16"/>
                <w:szCs w:val="22"/>
              </w:rPr>
              <w:t>Hotel Main Kitchen</w:t>
            </w:r>
          </w:p>
        </w:tc>
        <w:tc>
          <w:tcPr>
            <w:tcW w:w="375" w:type="pct"/>
            <w:shd w:val="clear" w:color="auto" w:fill="D9D9D9" w:themeFill="background1" w:themeFillShade="D9"/>
            <w:textDirection w:val="btLr"/>
          </w:tcPr>
          <w:p w14:paraId="6B6C34CF" w14:textId="77777777" w:rsidR="00CA5536" w:rsidRPr="00CA5536" w:rsidRDefault="00CA5536" w:rsidP="00BD6415">
            <w:pPr>
              <w:ind w:left="113" w:right="113"/>
              <w:rPr>
                <w:b/>
                <w:sz w:val="16"/>
              </w:rPr>
            </w:pPr>
            <w:r w:rsidRPr="00CA5536">
              <w:rPr>
                <w:rFonts w:cstheme="minorBidi"/>
                <w:b/>
                <w:sz w:val="16"/>
                <w:szCs w:val="22"/>
              </w:rPr>
              <w:t>Hotel Main Kitchen</w:t>
            </w:r>
          </w:p>
        </w:tc>
        <w:tc>
          <w:tcPr>
            <w:tcW w:w="376" w:type="pct"/>
            <w:shd w:val="clear" w:color="auto" w:fill="D9D9D9" w:themeFill="background1" w:themeFillShade="D9"/>
            <w:textDirection w:val="btLr"/>
          </w:tcPr>
          <w:p w14:paraId="3132E941" w14:textId="77777777" w:rsidR="00CA5536" w:rsidRPr="00CA5536" w:rsidRDefault="00CA5536" w:rsidP="00BD6415">
            <w:pPr>
              <w:ind w:left="113" w:right="113"/>
              <w:rPr>
                <w:b/>
                <w:sz w:val="16"/>
              </w:rPr>
            </w:pPr>
            <w:r w:rsidRPr="00CA5536">
              <w:rPr>
                <w:rFonts w:cstheme="minorBidi"/>
                <w:b/>
                <w:sz w:val="16"/>
                <w:szCs w:val="22"/>
              </w:rPr>
              <w:t>Quick Service Restaurant</w:t>
            </w:r>
          </w:p>
        </w:tc>
        <w:tc>
          <w:tcPr>
            <w:tcW w:w="376" w:type="pct"/>
            <w:shd w:val="clear" w:color="auto" w:fill="D9D9D9" w:themeFill="background1" w:themeFillShade="D9"/>
            <w:textDirection w:val="btLr"/>
          </w:tcPr>
          <w:p w14:paraId="092B266D" w14:textId="77777777" w:rsidR="00CA5536" w:rsidRPr="00CA5536" w:rsidRDefault="00CA5536" w:rsidP="00BD6415">
            <w:pPr>
              <w:ind w:left="113" w:right="113"/>
              <w:rPr>
                <w:b/>
                <w:sz w:val="16"/>
              </w:rPr>
            </w:pPr>
            <w:r w:rsidRPr="00CA5536">
              <w:rPr>
                <w:rFonts w:cstheme="minorBidi"/>
                <w:b/>
                <w:sz w:val="16"/>
                <w:szCs w:val="22"/>
              </w:rPr>
              <w:t>Quick Service Restaurant</w:t>
            </w:r>
          </w:p>
        </w:tc>
        <w:tc>
          <w:tcPr>
            <w:tcW w:w="375" w:type="pct"/>
            <w:shd w:val="clear" w:color="auto" w:fill="D9D9D9" w:themeFill="background1" w:themeFillShade="D9"/>
            <w:textDirection w:val="btLr"/>
          </w:tcPr>
          <w:p w14:paraId="576DE5D5" w14:textId="77777777" w:rsidR="00CA5536" w:rsidRPr="00CA5536" w:rsidRDefault="00CA5536" w:rsidP="00BD6415">
            <w:pPr>
              <w:ind w:left="113" w:right="113"/>
              <w:rPr>
                <w:b/>
                <w:sz w:val="16"/>
              </w:rPr>
            </w:pPr>
            <w:r w:rsidRPr="00CA5536">
              <w:rPr>
                <w:rFonts w:cstheme="minorBidi"/>
                <w:b/>
                <w:sz w:val="16"/>
                <w:szCs w:val="22"/>
              </w:rPr>
              <w:t>Quick Service Restaurant</w:t>
            </w:r>
          </w:p>
        </w:tc>
        <w:tc>
          <w:tcPr>
            <w:tcW w:w="479" w:type="pct"/>
            <w:shd w:val="clear" w:color="auto" w:fill="D9D9D9" w:themeFill="background1" w:themeFillShade="D9"/>
            <w:textDirection w:val="btLr"/>
          </w:tcPr>
          <w:p w14:paraId="2E170C19" w14:textId="77777777" w:rsidR="00CA5536" w:rsidRPr="00CA5536" w:rsidRDefault="00CA5536" w:rsidP="00BD6415">
            <w:pPr>
              <w:ind w:left="113" w:right="113"/>
              <w:rPr>
                <w:b/>
                <w:sz w:val="16"/>
              </w:rPr>
            </w:pPr>
            <w:r w:rsidRPr="00CA5536">
              <w:rPr>
                <w:rFonts w:cstheme="minorBidi"/>
                <w:b/>
                <w:sz w:val="16"/>
                <w:szCs w:val="22"/>
              </w:rPr>
              <w:t>Average</w:t>
            </w:r>
          </w:p>
        </w:tc>
      </w:tr>
      <w:tr w:rsidR="00CA5536" w:rsidRPr="001845DC" w14:paraId="2C3A551C" w14:textId="77777777" w:rsidTr="00BD6415">
        <w:trPr>
          <w:trHeight w:val="255"/>
        </w:trPr>
        <w:tc>
          <w:tcPr>
            <w:tcW w:w="573" w:type="pct"/>
          </w:tcPr>
          <w:p w14:paraId="0DBBFEEB" w14:textId="77777777" w:rsidR="00CA5536" w:rsidRPr="006B740C" w:rsidRDefault="00CA5536" w:rsidP="00BD6415">
            <w:pPr>
              <w:rPr>
                <w:sz w:val="16"/>
              </w:rPr>
            </w:pPr>
            <w:r w:rsidRPr="006B740C">
              <w:rPr>
                <w:rFonts w:cstheme="minorBidi"/>
                <w:sz w:val="16"/>
                <w:szCs w:val="22"/>
              </w:rPr>
              <w:t>Rated Exhaust Fan Horsepower (HP)</w:t>
            </w:r>
          </w:p>
        </w:tc>
        <w:tc>
          <w:tcPr>
            <w:tcW w:w="329" w:type="pct"/>
          </w:tcPr>
          <w:p w14:paraId="002F45E8"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6</w:t>
            </w:r>
          </w:p>
        </w:tc>
        <w:tc>
          <w:tcPr>
            <w:tcW w:w="375" w:type="pct"/>
          </w:tcPr>
          <w:p w14:paraId="3099822A"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3</w:t>
            </w:r>
          </w:p>
        </w:tc>
        <w:tc>
          <w:tcPr>
            <w:tcW w:w="376" w:type="pct"/>
          </w:tcPr>
          <w:p w14:paraId="0C235789"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15</w:t>
            </w:r>
          </w:p>
        </w:tc>
        <w:tc>
          <w:tcPr>
            <w:tcW w:w="328" w:type="pct"/>
          </w:tcPr>
          <w:p w14:paraId="42E1CF34"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NA</w:t>
            </w:r>
          </w:p>
        </w:tc>
        <w:tc>
          <w:tcPr>
            <w:tcW w:w="329" w:type="pct"/>
          </w:tcPr>
          <w:p w14:paraId="6BD6CCB6"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8</w:t>
            </w:r>
          </w:p>
        </w:tc>
        <w:tc>
          <w:tcPr>
            <w:tcW w:w="328" w:type="pct"/>
          </w:tcPr>
          <w:p w14:paraId="2A78659E"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20</w:t>
            </w:r>
          </w:p>
        </w:tc>
        <w:tc>
          <w:tcPr>
            <w:tcW w:w="376" w:type="pct"/>
            <w:noWrap/>
          </w:tcPr>
          <w:p w14:paraId="67DF2FD8"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21</w:t>
            </w:r>
          </w:p>
        </w:tc>
        <w:tc>
          <w:tcPr>
            <w:tcW w:w="375" w:type="pct"/>
            <w:noWrap/>
          </w:tcPr>
          <w:p w14:paraId="783B5C50"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14</w:t>
            </w:r>
          </w:p>
        </w:tc>
        <w:tc>
          <w:tcPr>
            <w:tcW w:w="376" w:type="pct"/>
            <w:noWrap/>
          </w:tcPr>
          <w:p w14:paraId="18516A04"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3</w:t>
            </w:r>
          </w:p>
        </w:tc>
        <w:tc>
          <w:tcPr>
            <w:tcW w:w="376" w:type="pct"/>
            <w:noWrap/>
          </w:tcPr>
          <w:p w14:paraId="065CE629"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4</w:t>
            </w:r>
          </w:p>
        </w:tc>
        <w:tc>
          <w:tcPr>
            <w:tcW w:w="375" w:type="pct"/>
            <w:noWrap/>
          </w:tcPr>
          <w:p w14:paraId="34F66A0B"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2.5</w:t>
            </w:r>
          </w:p>
        </w:tc>
        <w:tc>
          <w:tcPr>
            <w:tcW w:w="479" w:type="pct"/>
            <w:noWrap/>
          </w:tcPr>
          <w:p w14:paraId="6C4EF5D8" w14:textId="77777777" w:rsidR="00CA5536" w:rsidRPr="003E52A0" w:rsidRDefault="00CA5536" w:rsidP="00BD6415">
            <w:pPr>
              <w:rPr>
                <w:rFonts w:ascii="Calibri" w:hAnsi="Calibri" w:cs="Calibri"/>
                <w:b/>
                <w:color w:val="000000"/>
                <w:sz w:val="18"/>
                <w:szCs w:val="16"/>
              </w:rPr>
            </w:pPr>
            <w:r w:rsidRPr="003E52A0">
              <w:rPr>
                <w:rFonts w:ascii="Calibri" w:hAnsi="Calibri" w:cs="Calibri"/>
                <w:b/>
                <w:color w:val="000000"/>
                <w:sz w:val="18"/>
                <w:szCs w:val="16"/>
              </w:rPr>
              <w:t>9.65</w:t>
            </w:r>
          </w:p>
        </w:tc>
      </w:tr>
      <w:tr w:rsidR="00CA5536" w:rsidRPr="001845DC" w14:paraId="418C0372" w14:textId="77777777" w:rsidTr="00BD6415">
        <w:trPr>
          <w:trHeight w:val="255"/>
        </w:trPr>
        <w:tc>
          <w:tcPr>
            <w:tcW w:w="573" w:type="pct"/>
          </w:tcPr>
          <w:p w14:paraId="54DFCD8A" w14:textId="77777777" w:rsidR="00CA5536" w:rsidRPr="00F84453" w:rsidRDefault="00CA5536" w:rsidP="00BD6415">
            <w:pPr>
              <w:rPr>
                <w:sz w:val="16"/>
              </w:rPr>
            </w:pPr>
            <w:r w:rsidRPr="00F84453">
              <w:rPr>
                <w:rFonts w:cstheme="minorBidi"/>
                <w:sz w:val="16"/>
                <w:szCs w:val="22"/>
              </w:rPr>
              <w:lastRenderedPageBreak/>
              <w:t>Base Case Total Fan Power (kW)</w:t>
            </w:r>
          </w:p>
        </w:tc>
        <w:tc>
          <w:tcPr>
            <w:tcW w:w="329" w:type="pct"/>
          </w:tcPr>
          <w:p w14:paraId="28DD1415"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7.3</w:t>
            </w:r>
          </w:p>
        </w:tc>
        <w:tc>
          <w:tcPr>
            <w:tcW w:w="375" w:type="pct"/>
          </w:tcPr>
          <w:p w14:paraId="44582127"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3.9</w:t>
            </w:r>
          </w:p>
        </w:tc>
        <w:tc>
          <w:tcPr>
            <w:tcW w:w="376" w:type="pct"/>
          </w:tcPr>
          <w:p w14:paraId="03FC9F80"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14.0</w:t>
            </w:r>
          </w:p>
        </w:tc>
        <w:tc>
          <w:tcPr>
            <w:tcW w:w="328" w:type="pct"/>
          </w:tcPr>
          <w:p w14:paraId="0D7FAC2C"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8.49</w:t>
            </w:r>
          </w:p>
        </w:tc>
        <w:tc>
          <w:tcPr>
            <w:tcW w:w="329" w:type="pct"/>
          </w:tcPr>
          <w:p w14:paraId="75FCD013"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12.7</w:t>
            </w:r>
          </w:p>
        </w:tc>
        <w:tc>
          <w:tcPr>
            <w:tcW w:w="328" w:type="pct"/>
          </w:tcPr>
          <w:p w14:paraId="7EC75CAA"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12.0</w:t>
            </w:r>
          </w:p>
        </w:tc>
        <w:tc>
          <w:tcPr>
            <w:tcW w:w="376" w:type="pct"/>
            <w:noWrap/>
          </w:tcPr>
          <w:p w14:paraId="413AD806"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27.9</w:t>
            </w:r>
          </w:p>
        </w:tc>
        <w:tc>
          <w:tcPr>
            <w:tcW w:w="375" w:type="pct"/>
            <w:noWrap/>
          </w:tcPr>
          <w:p w14:paraId="097E382C"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12.1</w:t>
            </w:r>
          </w:p>
        </w:tc>
        <w:tc>
          <w:tcPr>
            <w:tcW w:w="376" w:type="pct"/>
            <w:noWrap/>
          </w:tcPr>
          <w:p w14:paraId="4A3DA93B"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4.7</w:t>
            </w:r>
          </w:p>
        </w:tc>
        <w:tc>
          <w:tcPr>
            <w:tcW w:w="376" w:type="pct"/>
            <w:noWrap/>
          </w:tcPr>
          <w:p w14:paraId="3A920D95"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5.2</w:t>
            </w:r>
          </w:p>
        </w:tc>
        <w:tc>
          <w:tcPr>
            <w:tcW w:w="375" w:type="pct"/>
            <w:noWrap/>
          </w:tcPr>
          <w:p w14:paraId="101FDC1B"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2.9</w:t>
            </w:r>
          </w:p>
        </w:tc>
        <w:tc>
          <w:tcPr>
            <w:tcW w:w="479" w:type="pct"/>
            <w:noWrap/>
          </w:tcPr>
          <w:p w14:paraId="314BBC85" w14:textId="77777777" w:rsidR="00CA5536" w:rsidRPr="003E52A0" w:rsidRDefault="00CA5536" w:rsidP="00BD6415">
            <w:pPr>
              <w:rPr>
                <w:rFonts w:ascii="Calibri" w:hAnsi="Calibri" w:cs="Calibri"/>
                <w:b/>
                <w:color w:val="000000"/>
                <w:sz w:val="18"/>
                <w:szCs w:val="16"/>
              </w:rPr>
            </w:pPr>
            <w:r w:rsidRPr="003E52A0">
              <w:rPr>
                <w:rFonts w:ascii="Calibri" w:hAnsi="Calibri" w:cs="Calibri"/>
                <w:b/>
                <w:color w:val="000000"/>
                <w:sz w:val="18"/>
                <w:szCs w:val="16"/>
              </w:rPr>
              <w:t>10.11</w:t>
            </w:r>
          </w:p>
        </w:tc>
      </w:tr>
      <w:tr w:rsidR="00CA5536" w:rsidRPr="001845DC" w14:paraId="7608551E" w14:textId="77777777" w:rsidTr="00BD6415">
        <w:trPr>
          <w:trHeight w:val="255"/>
        </w:trPr>
        <w:tc>
          <w:tcPr>
            <w:tcW w:w="573" w:type="pct"/>
          </w:tcPr>
          <w:p w14:paraId="336D110B" w14:textId="77777777" w:rsidR="00CA5536" w:rsidRPr="00F84453" w:rsidRDefault="00CA5536" w:rsidP="00BD6415">
            <w:pPr>
              <w:rPr>
                <w:sz w:val="16"/>
              </w:rPr>
            </w:pPr>
            <w:r w:rsidRPr="00F84453">
              <w:rPr>
                <w:rFonts w:cstheme="minorBidi"/>
                <w:sz w:val="16"/>
                <w:szCs w:val="22"/>
              </w:rPr>
              <w:t>Measure Case Total Fan Power (kW)</w:t>
            </w:r>
          </w:p>
        </w:tc>
        <w:tc>
          <w:tcPr>
            <w:tcW w:w="329" w:type="pct"/>
          </w:tcPr>
          <w:p w14:paraId="7A33AAA9"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1.9</w:t>
            </w:r>
          </w:p>
        </w:tc>
        <w:tc>
          <w:tcPr>
            <w:tcW w:w="375" w:type="pct"/>
          </w:tcPr>
          <w:p w14:paraId="2B27032B"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2.1</w:t>
            </w:r>
          </w:p>
        </w:tc>
        <w:tc>
          <w:tcPr>
            <w:tcW w:w="376" w:type="pct"/>
          </w:tcPr>
          <w:p w14:paraId="12B14025"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5.3</w:t>
            </w:r>
          </w:p>
        </w:tc>
        <w:tc>
          <w:tcPr>
            <w:tcW w:w="328" w:type="pct"/>
          </w:tcPr>
          <w:p w14:paraId="34F695C5"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2.33</w:t>
            </w:r>
          </w:p>
        </w:tc>
        <w:tc>
          <w:tcPr>
            <w:tcW w:w="329" w:type="pct"/>
          </w:tcPr>
          <w:p w14:paraId="72DC8799"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5.8</w:t>
            </w:r>
          </w:p>
        </w:tc>
        <w:tc>
          <w:tcPr>
            <w:tcW w:w="328" w:type="pct"/>
          </w:tcPr>
          <w:p w14:paraId="114ADB0A"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6.6</w:t>
            </w:r>
          </w:p>
        </w:tc>
        <w:tc>
          <w:tcPr>
            <w:tcW w:w="376" w:type="pct"/>
            <w:noWrap/>
          </w:tcPr>
          <w:p w14:paraId="7FC1DC2E"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10.7</w:t>
            </w:r>
          </w:p>
        </w:tc>
        <w:tc>
          <w:tcPr>
            <w:tcW w:w="375" w:type="pct"/>
            <w:noWrap/>
          </w:tcPr>
          <w:p w14:paraId="4B28D0D7"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5.2</w:t>
            </w:r>
          </w:p>
        </w:tc>
        <w:tc>
          <w:tcPr>
            <w:tcW w:w="376" w:type="pct"/>
            <w:noWrap/>
          </w:tcPr>
          <w:p w14:paraId="77E092F5"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2.9</w:t>
            </w:r>
          </w:p>
        </w:tc>
        <w:tc>
          <w:tcPr>
            <w:tcW w:w="376" w:type="pct"/>
            <w:noWrap/>
          </w:tcPr>
          <w:p w14:paraId="7D72AC73"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2.0</w:t>
            </w:r>
          </w:p>
        </w:tc>
        <w:tc>
          <w:tcPr>
            <w:tcW w:w="375" w:type="pct"/>
            <w:noWrap/>
          </w:tcPr>
          <w:p w14:paraId="334EA3E6"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1.4</w:t>
            </w:r>
          </w:p>
        </w:tc>
        <w:tc>
          <w:tcPr>
            <w:tcW w:w="479" w:type="pct"/>
            <w:noWrap/>
          </w:tcPr>
          <w:p w14:paraId="6AF28C96" w14:textId="77777777" w:rsidR="00CA5536" w:rsidRPr="003E52A0" w:rsidRDefault="00CA5536" w:rsidP="00BD6415">
            <w:pPr>
              <w:rPr>
                <w:rFonts w:ascii="Calibri" w:hAnsi="Calibri" w:cs="Calibri"/>
                <w:b/>
                <w:color w:val="000000"/>
                <w:sz w:val="18"/>
                <w:szCs w:val="16"/>
              </w:rPr>
            </w:pPr>
            <w:r w:rsidRPr="003E52A0">
              <w:rPr>
                <w:rFonts w:ascii="Calibri" w:hAnsi="Calibri" w:cs="Calibri"/>
                <w:b/>
                <w:color w:val="000000"/>
                <w:sz w:val="18"/>
                <w:szCs w:val="16"/>
              </w:rPr>
              <w:t>4.20</w:t>
            </w:r>
          </w:p>
        </w:tc>
      </w:tr>
      <w:tr w:rsidR="00CA5536" w:rsidRPr="001845DC" w14:paraId="7937A8A2" w14:textId="77777777" w:rsidTr="00BD6415">
        <w:trPr>
          <w:trHeight w:val="255"/>
        </w:trPr>
        <w:tc>
          <w:tcPr>
            <w:tcW w:w="573" w:type="pct"/>
          </w:tcPr>
          <w:p w14:paraId="38B65F34" w14:textId="77777777" w:rsidR="00CA5536" w:rsidRPr="00F84453" w:rsidRDefault="00CA5536" w:rsidP="00BD6415">
            <w:pPr>
              <w:rPr>
                <w:b/>
                <w:sz w:val="16"/>
              </w:rPr>
            </w:pPr>
            <w:r w:rsidRPr="00F84453">
              <w:rPr>
                <w:rFonts w:cstheme="minorBidi"/>
                <w:b/>
                <w:sz w:val="16"/>
                <w:szCs w:val="22"/>
              </w:rPr>
              <w:t>Fan Power Reduction (kW)</w:t>
            </w:r>
          </w:p>
        </w:tc>
        <w:tc>
          <w:tcPr>
            <w:tcW w:w="329" w:type="pct"/>
          </w:tcPr>
          <w:p w14:paraId="476F18BE" w14:textId="77777777" w:rsidR="00CA5536" w:rsidRPr="007B6BC7" w:rsidRDefault="00CA5536" w:rsidP="00BD6415">
            <w:pPr>
              <w:rPr>
                <w:rFonts w:ascii="Calibri" w:hAnsi="Calibri" w:cs="Calibri"/>
                <w:b/>
                <w:color w:val="000000"/>
                <w:sz w:val="14"/>
                <w:szCs w:val="14"/>
              </w:rPr>
            </w:pPr>
            <w:r w:rsidRPr="007B6BC7">
              <w:rPr>
                <w:rFonts w:ascii="Calibri" w:hAnsi="Calibri" w:cs="Calibri"/>
                <w:b/>
                <w:color w:val="000000"/>
                <w:sz w:val="14"/>
                <w:szCs w:val="14"/>
              </w:rPr>
              <w:t>5.4</w:t>
            </w:r>
          </w:p>
        </w:tc>
        <w:tc>
          <w:tcPr>
            <w:tcW w:w="375" w:type="pct"/>
          </w:tcPr>
          <w:p w14:paraId="0C151C79" w14:textId="77777777" w:rsidR="00CA5536" w:rsidRPr="005123DA" w:rsidRDefault="00CA5536" w:rsidP="00BD6415">
            <w:pPr>
              <w:rPr>
                <w:rFonts w:ascii="Calibri" w:hAnsi="Calibri" w:cs="Calibri"/>
                <w:b/>
                <w:color w:val="000000"/>
                <w:sz w:val="14"/>
                <w:szCs w:val="14"/>
              </w:rPr>
            </w:pPr>
            <w:r w:rsidRPr="005123DA">
              <w:rPr>
                <w:rFonts w:ascii="Calibri" w:hAnsi="Calibri" w:cs="Calibri"/>
                <w:b/>
                <w:color w:val="000000"/>
                <w:sz w:val="14"/>
                <w:szCs w:val="14"/>
              </w:rPr>
              <w:t>1.8</w:t>
            </w:r>
          </w:p>
        </w:tc>
        <w:tc>
          <w:tcPr>
            <w:tcW w:w="376" w:type="pct"/>
          </w:tcPr>
          <w:p w14:paraId="20F21391" w14:textId="77777777" w:rsidR="00CA5536" w:rsidRPr="005123DA" w:rsidRDefault="00CA5536" w:rsidP="00BD6415">
            <w:pPr>
              <w:rPr>
                <w:rFonts w:ascii="Calibri" w:hAnsi="Calibri" w:cs="Calibri"/>
                <w:b/>
                <w:color w:val="000000"/>
                <w:sz w:val="14"/>
                <w:szCs w:val="14"/>
              </w:rPr>
            </w:pPr>
            <w:r w:rsidRPr="005123DA">
              <w:rPr>
                <w:rFonts w:ascii="Calibri" w:hAnsi="Calibri" w:cs="Calibri"/>
                <w:b/>
                <w:color w:val="000000"/>
                <w:sz w:val="14"/>
                <w:szCs w:val="14"/>
              </w:rPr>
              <w:t>8.7</w:t>
            </w:r>
          </w:p>
        </w:tc>
        <w:tc>
          <w:tcPr>
            <w:tcW w:w="328" w:type="pct"/>
          </w:tcPr>
          <w:p w14:paraId="01E571B4" w14:textId="77777777" w:rsidR="00CA5536" w:rsidRPr="005123DA" w:rsidRDefault="00CA5536" w:rsidP="00BD6415">
            <w:pPr>
              <w:rPr>
                <w:rFonts w:ascii="Calibri" w:hAnsi="Calibri" w:cs="Calibri"/>
                <w:b/>
                <w:color w:val="000000"/>
                <w:sz w:val="14"/>
                <w:szCs w:val="14"/>
              </w:rPr>
            </w:pPr>
            <w:r w:rsidRPr="005123DA">
              <w:rPr>
                <w:rFonts w:ascii="Calibri" w:hAnsi="Calibri" w:cs="Calibri"/>
                <w:b/>
                <w:color w:val="000000"/>
                <w:sz w:val="14"/>
                <w:szCs w:val="14"/>
              </w:rPr>
              <w:t>6.16</w:t>
            </w:r>
          </w:p>
        </w:tc>
        <w:tc>
          <w:tcPr>
            <w:tcW w:w="329" w:type="pct"/>
          </w:tcPr>
          <w:p w14:paraId="5A47B991" w14:textId="77777777" w:rsidR="00CA5536" w:rsidRPr="005123DA" w:rsidRDefault="00CA5536" w:rsidP="00BD6415">
            <w:pPr>
              <w:rPr>
                <w:rFonts w:ascii="Calibri" w:hAnsi="Calibri" w:cs="Calibri"/>
                <w:b/>
                <w:color w:val="000000"/>
                <w:sz w:val="14"/>
                <w:szCs w:val="14"/>
              </w:rPr>
            </w:pPr>
            <w:r w:rsidRPr="005123DA">
              <w:rPr>
                <w:rFonts w:ascii="Calibri" w:hAnsi="Calibri" w:cs="Calibri"/>
                <w:b/>
                <w:color w:val="000000"/>
                <w:sz w:val="14"/>
                <w:szCs w:val="14"/>
              </w:rPr>
              <w:t>6.9</w:t>
            </w:r>
          </w:p>
        </w:tc>
        <w:tc>
          <w:tcPr>
            <w:tcW w:w="328" w:type="pct"/>
          </w:tcPr>
          <w:p w14:paraId="0CA6CBD8" w14:textId="77777777" w:rsidR="00CA5536" w:rsidRPr="005123DA" w:rsidRDefault="00CA5536" w:rsidP="00BD6415">
            <w:pPr>
              <w:rPr>
                <w:rFonts w:ascii="Calibri" w:hAnsi="Calibri" w:cs="Calibri"/>
                <w:b/>
                <w:color w:val="000000"/>
                <w:sz w:val="14"/>
                <w:szCs w:val="14"/>
              </w:rPr>
            </w:pPr>
            <w:r w:rsidRPr="005123DA">
              <w:rPr>
                <w:rFonts w:ascii="Calibri" w:hAnsi="Calibri" w:cs="Calibri"/>
                <w:b/>
                <w:color w:val="000000"/>
                <w:sz w:val="14"/>
                <w:szCs w:val="14"/>
              </w:rPr>
              <w:t>5.4</w:t>
            </w:r>
          </w:p>
        </w:tc>
        <w:tc>
          <w:tcPr>
            <w:tcW w:w="376" w:type="pct"/>
            <w:noWrap/>
          </w:tcPr>
          <w:p w14:paraId="75E6D19E" w14:textId="77777777" w:rsidR="00CA5536" w:rsidRPr="005123DA" w:rsidRDefault="00CA5536" w:rsidP="00BD6415">
            <w:pPr>
              <w:rPr>
                <w:rFonts w:ascii="Calibri" w:hAnsi="Calibri" w:cs="Calibri"/>
                <w:b/>
                <w:color w:val="000000"/>
                <w:sz w:val="14"/>
                <w:szCs w:val="14"/>
              </w:rPr>
            </w:pPr>
            <w:r w:rsidRPr="005123DA">
              <w:rPr>
                <w:rFonts w:ascii="Calibri" w:hAnsi="Calibri" w:cs="Calibri"/>
                <w:b/>
                <w:color w:val="000000"/>
                <w:sz w:val="14"/>
                <w:szCs w:val="14"/>
              </w:rPr>
              <w:t>17.2</w:t>
            </w:r>
          </w:p>
        </w:tc>
        <w:tc>
          <w:tcPr>
            <w:tcW w:w="375" w:type="pct"/>
            <w:noWrap/>
          </w:tcPr>
          <w:p w14:paraId="3304846C" w14:textId="77777777" w:rsidR="00CA5536" w:rsidRPr="005123DA" w:rsidRDefault="00CA5536" w:rsidP="00BD6415">
            <w:pPr>
              <w:rPr>
                <w:rFonts w:ascii="Calibri" w:hAnsi="Calibri" w:cs="Calibri"/>
                <w:b/>
                <w:color w:val="000000"/>
                <w:sz w:val="14"/>
                <w:szCs w:val="14"/>
              </w:rPr>
            </w:pPr>
            <w:r w:rsidRPr="005123DA">
              <w:rPr>
                <w:rFonts w:ascii="Calibri" w:hAnsi="Calibri" w:cs="Calibri"/>
                <w:b/>
                <w:color w:val="000000"/>
                <w:sz w:val="14"/>
                <w:szCs w:val="14"/>
              </w:rPr>
              <w:t>6.9</w:t>
            </w:r>
          </w:p>
        </w:tc>
        <w:tc>
          <w:tcPr>
            <w:tcW w:w="376" w:type="pct"/>
            <w:noWrap/>
          </w:tcPr>
          <w:p w14:paraId="4F58FDF9" w14:textId="77777777" w:rsidR="00CA5536" w:rsidRPr="005123DA" w:rsidRDefault="00CA5536" w:rsidP="00BD6415">
            <w:pPr>
              <w:rPr>
                <w:rFonts w:ascii="Calibri" w:hAnsi="Calibri" w:cs="Calibri"/>
                <w:b/>
                <w:color w:val="000000"/>
                <w:sz w:val="14"/>
                <w:szCs w:val="14"/>
              </w:rPr>
            </w:pPr>
            <w:r w:rsidRPr="005123DA">
              <w:rPr>
                <w:rFonts w:ascii="Calibri" w:hAnsi="Calibri" w:cs="Calibri"/>
                <w:b/>
                <w:color w:val="000000"/>
                <w:sz w:val="14"/>
                <w:szCs w:val="14"/>
              </w:rPr>
              <w:t>1.8</w:t>
            </w:r>
          </w:p>
        </w:tc>
        <w:tc>
          <w:tcPr>
            <w:tcW w:w="376" w:type="pct"/>
            <w:noWrap/>
          </w:tcPr>
          <w:p w14:paraId="24141206" w14:textId="77777777" w:rsidR="00CA5536" w:rsidRPr="005123DA" w:rsidRDefault="00CA5536" w:rsidP="00BD6415">
            <w:pPr>
              <w:rPr>
                <w:rFonts w:ascii="Calibri" w:hAnsi="Calibri" w:cs="Calibri"/>
                <w:b/>
                <w:color w:val="000000"/>
                <w:sz w:val="14"/>
                <w:szCs w:val="14"/>
              </w:rPr>
            </w:pPr>
            <w:r w:rsidRPr="005123DA">
              <w:rPr>
                <w:rFonts w:ascii="Calibri" w:hAnsi="Calibri" w:cs="Calibri"/>
                <w:b/>
                <w:color w:val="000000"/>
                <w:sz w:val="14"/>
                <w:szCs w:val="14"/>
              </w:rPr>
              <w:t>3.2</w:t>
            </w:r>
          </w:p>
        </w:tc>
        <w:tc>
          <w:tcPr>
            <w:tcW w:w="375" w:type="pct"/>
            <w:noWrap/>
          </w:tcPr>
          <w:p w14:paraId="31043E7B" w14:textId="77777777" w:rsidR="00CA5536" w:rsidRPr="005123DA" w:rsidRDefault="00CA5536" w:rsidP="00BD6415">
            <w:pPr>
              <w:rPr>
                <w:rFonts w:ascii="Calibri" w:hAnsi="Calibri" w:cs="Calibri"/>
                <w:b/>
                <w:color w:val="000000"/>
                <w:sz w:val="14"/>
                <w:szCs w:val="14"/>
              </w:rPr>
            </w:pPr>
            <w:r w:rsidRPr="005123DA">
              <w:rPr>
                <w:rFonts w:ascii="Calibri" w:hAnsi="Calibri" w:cs="Calibri"/>
                <w:b/>
                <w:color w:val="000000"/>
                <w:sz w:val="14"/>
                <w:szCs w:val="14"/>
              </w:rPr>
              <w:t>1.5</w:t>
            </w:r>
          </w:p>
        </w:tc>
        <w:tc>
          <w:tcPr>
            <w:tcW w:w="479" w:type="pct"/>
            <w:noWrap/>
          </w:tcPr>
          <w:p w14:paraId="0ADDC768" w14:textId="77777777" w:rsidR="00CA5536" w:rsidRPr="003E52A0" w:rsidRDefault="00CA5536" w:rsidP="00BD6415">
            <w:pPr>
              <w:rPr>
                <w:rFonts w:ascii="Calibri" w:hAnsi="Calibri" w:cs="Calibri"/>
                <w:b/>
                <w:color w:val="000000"/>
                <w:sz w:val="18"/>
                <w:szCs w:val="16"/>
              </w:rPr>
            </w:pPr>
            <w:r w:rsidRPr="003E52A0">
              <w:rPr>
                <w:rFonts w:ascii="Calibri" w:hAnsi="Calibri" w:cs="Calibri"/>
                <w:b/>
                <w:color w:val="000000"/>
                <w:sz w:val="18"/>
                <w:szCs w:val="16"/>
              </w:rPr>
              <w:t>5.91</w:t>
            </w:r>
          </w:p>
        </w:tc>
      </w:tr>
      <w:tr w:rsidR="00CA5536" w:rsidRPr="001845DC" w14:paraId="3FEBCC0E" w14:textId="77777777" w:rsidTr="00BD6415">
        <w:trPr>
          <w:trHeight w:val="255"/>
        </w:trPr>
        <w:tc>
          <w:tcPr>
            <w:tcW w:w="573" w:type="pct"/>
          </w:tcPr>
          <w:p w14:paraId="674D5678" w14:textId="77777777" w:rsidR="00CA5536" w:rsidRPr="006B740C" w:rsidRDefault="00CA5536" w:rsidP="00BD6415">
            <w:pPr>
              <w:rPr>
                <w:sz w:val="16"/>
              </w:rPr>
            </w:pPr>
            <w:r w:rsidRPr="006B740C">
              <w:rPr>
                <w:rFonts w:cstheme="minorBidi"/>
                <w:sz w:val="16"/>
                <w:szCs w:val="22"/>
              </w:rPr>
              <w:t>Estimate Exhaust Fan Speed Reduction (%)</w:t>
            </w:r>
          </w:p>
        </w:tc>
        <w:tc>
          <w:tcPr>
            <w:tcW w:w="329" w:type="pct"/>
          </w:tcPr>
          <w:p w14:paraId="1CFB311B"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36</w:t>
            </w:r>
          </w:p>
        </w:tc>
        <w:tc>
          <w:tcPr>
            <w:tcW w:w="375" w:type="pct"/>
          </w:tcPr>
          <w:p w14:paraId="6B97A7C8"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19</w:t>
            </w:r>
          </w:p>
        </w:tc>
        <w:tc>
          <w:tcPr>
            <w:tcW w:w="376" w:type="pct"/>
          </w:tcPr>
          <w:p w14:paraId="340C8EBB"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28</w:t>
            </w:r>
          </w:p>
        </w:tc>
        <w:tc>
          <w:tcPr>
            <w:tcW w:w="328" w:type="pct"/>
          </w:tcPr>
          <w:p w14:paraId="60CC6523"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35</w:t>
            </w:r>
          </w:p>
        </w:tc>
        <w:tc>
          <w:tcPr>
            <w:tcW w:w="329" w:type="pct"/>
          </w:tcPr>
          <w:p w14:paraId="1C50DB50"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23</w:t>
            </w:r>
          </w:p>
        </w:tc>
        <w:tc>
          <w:tcPr>
            <w:tcW w:w="328" w:type="pct"/>
          </w:tcPr>
          <w:p w14:paraId="64FA5F9B"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18</w:t>
            </w:r>
          </w:p>
        </w:tc>
        <w:tc>
          <w:tcPr>
            <w:tcW w:w="376" w:type="pct"/>
            <w:noWrap/>
          </w:tcPr>
          <w:p w14:paraId="7432AB73"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27</w:t>
            </w:r>
          </w:p>
        </w:tc>
        <w:tc>
          <w:tcPr>
            <w:tcW w:w="375" w:type="pct"/>
            <w:noWrap/>
          </w:tcPr>
          <w:p w14:paraId="56E85B6E"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25</w:t>
            </w:r>
          </w:p>
        </w:tc>
        <w:tc>
          <w:tcPr>
            <w:tcW w:w="376" w:type="pct"/>
            <w:noWrap/>
          </w:tcPr>
          <w:p w14:paraId="2B086028"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15</w:t>
            </w:r>
          </w:p>
        </w:tc>
        <w:tc>
          <w:tcPr>
            <w:tcW w:w="376" w:type="pct"/>
            <w:noWrap/>
          </w:tcPr>
          <w:p w14:paraId="7B5DA629"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27</w:t>
            </w:r>
          </w:p>
        </w:tc>
        <w:tc>
          <w:tcPr>
            <w:tcW w:w="375" w:type="pct"/>
            <w:noWrap/>
          </w:tcPr>
          <w:p w14:paraId="52BC659C"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22</w:t>
            </w:r>
          </w:p>
        </w:tc>
        <w:tc>
          <w:tcPr>
            <w:tcW w:w="479" w:type="pct"/>
            <w:noWrap/>
          </w:tcPr>
          <w:p w14:paraId="2092EF1C" w14:textId="77777777" w:rsidR="00CA5536" w:rsidRPr="003E52A0" w:rsidRDefault="00CA5536" w:rsidP="00BD6415">
            <w:pPr>
              <w:rPr>
                <w:rFonts w:ascii="Calibri" w:hAnsi="Calibri" w:cs="Calibri"/>
                <w:b/>
                <w:color w:val="000000"/>
                <w:sz w:val="18"/>
                <w:szCs w:val="16"/>
              </w:rPr>
            </w:pPr>
            <w:r w:rsidRPr="003E52A0">
              <w:rPr>
                <w:rFonts w:ascii="Calibri" w:hAnsi="Calibri" w:cs="Calibri"/>
                <w:b/>
                <w:color w:val="000000"/>
                <w:sz w:val="18"/>
                <w:szCs w:val="16"/>
              </w:rPr>
              <w:t>25</w:t>
            </w:r>
          </w:p>
        </w:tc>
      </w:tr>
      <w:tr w:rsidR="00CA5536" w:rsidRPr="001845DC" w14:paraId="2B2DC36A" w14:textId="77777777" w:rsidTr="00BD6415">
        <w:trPr>
          <w:trHeight w:val="510"/>
        </w:trPr>
        <w:tc>
          <w:tcPr>
            <w:tcW w:w="573" w:type="pct"/>
          </w:tcPr>
          <w:p w14:paraId="5400087B" w14:textId="77777777" w:rsidR="00CA5536" w:rsidRPr="00694A41" w:rsidRDefault="00CA5536" w:rsidP="00BD6415">
            <w:pPr>
              <w:rPr>
                <w:rFonts w:cstheme="minorBidi"/>
                <w:sz w:val="16"/>
                <w:szCs w:val="22"/>
              </w:rPr>
            </w:pPr>
            <w:r w:rsidRPr="00694A41">
              <w:rPr>
                <w:rFonts w:cstheme="minorBidi"/>
                <w:sz w:val="16"/>
                <w:szCs w:val="22"/>
              </w:rPr>
              <w:t>Base Case Daily Fan Energy Consumption (kWh/day)</w:t>
            </w:r>
          </w:p>
        </w:tc>
        <w:tc>
          <w:tcPr>
            <w:tcW w:w="329" w:type="pct"/>
          </w:tcPr>
          <w:p w14:paraId="205236E5"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137.90</w:t>
            </w:r>
          </w:p>
        </w:tc>
        <w:tc>
          <w:tcPr>
            <w:tcW w:w="375" w:type="pct"/>
          </w:tcPr>
          <w:p w14:paraId="0D10AB5D"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58.90</w:t>
            </w:r>
          </w:p>
        </w:tc>
        <w:tc>
          <w:tcPr>
            <w:tcW w:w="376" w:type="pct"/>
          </w:tcPr>
          <w:p w14:paraId="538ABCCA"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336.00</w:t>
            </w:r>
          </w:p>
        </w:tc>
        <w:tc>
          <w:tcPr>
            <w:tcW w:w="328" w:type="pct"/>
          </w:tcPr>
          <w:p w14:paraId="0C797F75"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117.90</w:t>
            </w:r>
          </w:p>
        </w:tc>
        <w:tc>
          <w:tcPr>
            <w:tcW w:w="329" w:type="pct"/>
          </w:tcPr>
          <w:p w14:paraId="2C1B5876"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216.60</w:t>
            </w:r>
          </w:p>
        </w:tc>
        <w:tc>
          <w:tcPr>
            <w:tcW w:w="328" w:type="pct"/>
          </w:tcPr>
          <w:p w14:paraId="301D801C"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168.00</w:t>
            </w:r>
          </w:p>
        </w:tc>
        <w:tc>
          <w:tcPr>
            <w:tcW w:w="376" w:type="pct"/>
            <w:noWrap/>
          </w:tcPr>
          <w:p w14:paraId="76C87275"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670.00</w:t>
            </w:r>
          </w:p>
        </w:tc>
        <w:tc>
          <w:tcPr>
            <w:tcW w:w="375" w:type="pct"/>
            <w:noWrap/>
          </w:tcPr>
          <w:p w14:paraId="02DBECDE"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291.00</w:t>
            </w:r>
          </w:p>
        </w:tc>
        <w:tc>
          <w:tcPr>
            <w:tcW w:w="376" w:type="pct"/>
            <w:noWrap/>
          </w:tcPr>
          <w:p w14:paraId="4A1AA596"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72.00</w:t>
            </w:r>
          </w:p>
        </w:tc>
        <w:tc>
          <w:tcPr>
            <w:tcW w:w="376" w:type="pct"/>
            <w:noWrap/>
          </w:tcPr>
          <w:p w14:paraId="7B4F5A63"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67.00</w:t>
            </w:r>
          </w:p>
        </w:tc>
        <w:tc>
          <w:tcPr>
            <w:tcW w:w="375" w:type="pct"/>
            <w:noWrap/>
          </w:tcPr>
          <w:p w14:paraId="2E4B7237"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44.00</w:t>
            </w:r>
          </w:p>
        </w:tc>
        <w:tc>
          <w:tcPr>
            <w:tcW w:w="479" w:type="pct"/>
            <w:noWrap/>
          </w:tcPr>
          <w:p w14:paraId="1F697156" w14:textId="77777777" w:rsidR="00CA5536" w:rsidRPr="003E52A0" w:rsidRDefault="00CA5536" w:rsidP="00BD6415">
            <w:pPr>
              <w:rPr>
                <w:rFonts w:ascii="Calibri" w:hAnsi="Calibri" w:cs="Calibri"/>
                <w:b/>
                <w:color w:val="000000"/>
                <w:sz w:val="18"/>
                <w:szCs w:val="16"/>
              </w:rPr>
            </w:pPr>
            <w:r w:rsidRPr="003E52A0">
              <w:rPr>
                <w:rFonts w:ascii="Calibri" w:hAnsi="Calibri" w:cs="Calibri"/>
                <w:b/>
                <w:color w:val="000000"/>
                <w:sz w:val="18"/>
                <w:szCs w:val="16"/>
              </w:rPr>
              <w:t>198.12</w:t>
            </w:r>
          </w:p>
        </w:tc>
      </w:tr>
      <w:tr w:rsidR="00CA5536" w:rsidRPr="001845DC" w14:paraId="69C68319" w14:textId="77777777" w:rsidTr="00BD6415">
        <w:trPr>
          <w:trHeight w:val="510"/>
        </w:trPr>
        <w:tc>
          <w:tcPr>
            <w:tcW w:w="573" w:type="pct"/>
          </w:tcPr>
          <w:p w14:paraId="15AE84D0" w14:textId="77777777" w:rsidR="00CA5536" w:rsidRPr="00694A41" w:rsidRDefault="00CA5536" w:rsidP="00BD6415">
            <w:pPr>
              <w:rPr>
                <w:rFonts w:cstheme="minorBidi"/>
                <w:sz w:val="16"/>
                <w:szCs w:val="22"/>
              </w:rPr>
            </w:pPr>
            <w:r w:rsidRPr="00694A41">
              <w:rPr>
                <w:rFonts w:cstheme="minorBidi"/>
                <w:sz w:val="16"/>
                <w:szCs w:val="22"/>
              </w:rPr>
              <w:t>Measure Case Daily Fan Energy Consumption (kWh/day)</w:t>
            </w:r>
          </w:p>
        </w:tc>
        <w:tc>
          <w:tcPr>
            <w:tcW w:w="329" w:type="pct"/>
          </w:tcPr>
          <w:p w14:paraId="6329E817"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34.80</w:t>
            </w:r>
          </w:p>
        </w:tc>
        <w:tc>
          <w:tcPr>
            <w:tcW w:w="375" w:type="pct"/>
          </w:tcPr>
          <w:p w14:paraId="59B9B3F6"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31.60</w:t>
            </w:r>
          </w:p>
        </w:tc>
        <w:tc>
          <w:tcPr>
            <w:tcW w:w="376" w:type="pct"/>
          </w:tcPr>
          <w:p w14:paraId="4439DD00"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127.00</w:t>
            </w:r>
          </w:p>
        </w:tc>
        <w:tc>
          <w:tcPr>
            <w:tcW w:w="328" w:type="pct"/>
          </w:tcPr>
          <w:p w14:paraId="7AE033C5"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30.70</w:t>
            </w:r>
          </w:p>
        </w:tc>
        <w:tc>
          <w:tcPr>
            <w:tcW w:w="329" w:type="pct"/>
          </w:tcPr>
          <w:p w14:paraId="062F068E"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97.90</w:t>
            </w:r>
          </w:p>
        </w:tc>
        <w:tc>
          <w:tcPr>
            <w:tcW w:w="328" w:type="pct"/>
          </w:tcPr>
          <w:p w14:paraId="551B1DF9"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77.00</w:t>
            </w:r>
          </w:p>
        </w:tc>
        <w:tc>
          <w:tcPr>
            <w:tcW w:w="376" w:type="pct"/>
            <w:noWrap/>
          </w:tcPr>
          <w:p w14:paraId="0C59AFA1"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257.00</w:t>
            </w:r>
          </w:p>
        </w:tc>
        <w:tc>
          <w:tcPr>
            <w:tcW w:w="375" w:type="pct"/>
            <w:noWrap/>
          </w:tcPr>
          <w:p w14:paraId="67B3629E"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125.00</w:t>
            </w:r>
          </w:p>
        </w:tc>
        <w:tc>
          <w:tcPr>
            <w:tcW w:w="376" w:type="pct"/>
            <w:noWrap/>
          </w:tcPr>
          <w:p w14:paraId="67DB2AE7"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45.00</w:t>
            </w:r>
          </w:p>
        </w:tc>
        <w:tc>
          <w:tcPr>
            <w:tcW w:w="376" w:type="pct"/>
            <w:noWrap/>
          </w:tcPr>
          <w:p w14:paraId="5E09C226"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26.00</w:t>
            </w:r>
          </w:p>
        </w:tc>
        <w:tc>
          <w:tcPr>
            <w:tcW w:w="375" w:type="pct"/>
            <w:noWrap/>
          </w:tcPr>
          <w:p w14:paraId="376A0AAA"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23.00</w:t>
            </w:r>
          </w:p>
        </w:tc>
        <w:tc>
          <w:tcPr>
            <w:tcW w:w="479" w:type="pct"/>
            <w:noWrap/>
          </w:tcPr>
          <w:p w14:paraId="7A27F3F2" w14:textId="77777777" w:rsidR="00CA5536" w:rsidRPr="003E52A0" w:rsidRDefault="00CA5536" w:rsidP="00BD6415">
            <w:pPr>
              <w:rPr>
                <w:rFonts w:ascii="Calibri" w:hAnsi="Calibri" w:cs="Calibri"/>
                <w:b/>
                <w:color w:val="000000"/>
                <w:sz w:val="18"/>
                <w:szCs w:val="16"/>
              </w:rPr>
            </w:pPr>
            <w:r w:rsidRPr="003E52A0">
              <w:rPr>
                <w:rFonts w:ascii="Calibri" w:hAnsi="Calibri" w:cs="Calibri"/>
                <w:b/>
                <w:color w:val="000000"/>
                <w:sz w:val="18"/>
                <w:szCs w:val="16"/>
              </w:rPr>
              <w:t>79.55</w:t>
            </w:r>
          </w:p>
        </w:tc>
      </w:tr>
      <w:tr w:rsidR="00CA5536" w:rsidRPr="001845DC" w14:paraId="23ACC20B" w14:textId="77777777" w:rsidTr="00BD6415">
        <w:trPr>
          <w:trHeight w:val="510"/>
        </w:trPr>
        <w:tc>
          <w:tcPr>
            <w:tcW w:w="573" w:type="pct"/>
          </w:tcPr>
          <w:p w14:paraId="7FA03D68" w14:textId="77777777" w:rsidR="00CA5536" w:rsidRPr="00694A41" w:rsidRDefault="00CA5536" w:rsidP="00BD6415">
            <w:pPr>
              <w:rPr>
                <w:rFonts w:cstheme="minorBidi"/>
                <w:sz w:val="16"/>
                <w:szCs w:val="22"/>
              </w:rPr>
            </w:pPr>
            <w:r w:rsidRPr="00694A41">
              <w:rPr>
                <w:rFonts w:cstheme="minorBidi"/>
                <w:sz w:val="16"/>
                <w:szCs w:val="22"/>
              </w:rPr>
              <w:t>Base Case Annual Fan Energy Consumption (kWh/</w:t>
            </w:r>
            <w:proofErr w:type="spellStart"/>
            <w:r w:rsidRPr="00694A41">
              <w:rPr>
                <w:rFonts w:cstheme="minorBidi"/>
                <w:sz w:val="16"/>
                <w:szCs w:val="22"/>
              </w:rPr>
              <w:t>yr</w:t>
            </w:r>
            <w:proofErr w:type="spellEnd"/>
            <w:r w:rsidRPr="00694A41">
              <w:rPr>
                <w:rFonts w:cstheme="minorBidi"/>
                <w:sz w:val="16"/>
                <w:szCs w:val="22"/>
              </w:rPr>
              <w:t>)</w:t>
            </w:r>
          </w:p>
        </w:tc>
        <w:tc>
          <w:tcPr>
            <w:tcW w:w="329" w:type="pct"/>
          </w:tcPr>
          <w:p w14:paraId="4160AB21"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49,644</w:t>
            </w:r>
          </w:p>
        </w:tc>
        <w:tc>
          <w:tcPr>
            <w:tcW w:w="375" w:type="pct"/>
          </w:tcPr>
          <w:p w14:paraId="3491DDA4"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21,204</w:t>
            </w:r>
          </w:p>
        </w:tc>
        <w:tc>
          <w:tcPr>
            <w:tcW w:w="376" w:type="pct"/>
          </w:tcPr>
          <w:p w14:paraId="5AF0AF73"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120,960</w:t>
            </w:r>
          </w:p>
        </w:tc>
        <w:tc>
          <w:tcPr>
            <w:tcW w:w="328" w:type="pct"/>
          </w:tcPr>
          <w:p w14:paraId="5E87A492"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42,444</w:t>
            </w:r>
          </w:p>
        </w:tc>
        <w:tc>
          <w:tcPr>
            <w:tcW w:w="329" w:type="pct"/>
          </w:tcPr>
          <w:p w14:paraId="14C14E0F"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77,976</w:t>
            </w:r>
          </w:p>
        </w:tc>
        <w:tc>
          <w:tcPr>
            <w:tcW w:w="328" w:type="pct"/>
          </w:tcPr>
          <w:p w14:paraId="56DC40D5"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60,480</w:t>
            </w:r>
          </w:p>
        </w:tc>
        <w:tc>
          <w:tcPr>
            <w:tcW w:w="376" w:type="pct"/>
            <w:noWrap/>
          </w:tcPr>
          <w:p w14:paraId="5AB00BBC"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241,200</w:t>
            </w:r>
          </w:p>
        </w:tc>
        <w:tc>
          <w:tcPr>
            <w:tcW w:w="375" w:type="pct"/>
            <w:noWrap/>
          </w:tcPr>
          <w:p w14:paraId="2EBF1BC4"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104,760</w:t>
            </w:r>
          </w:p>
        </w:tc>
        <w:tc>
          <w:tcPr>
            <w:tcW w:w="376" w:type="pct"/>
            <w:noWrap/>
          </w:tcPr>
          <w:p w14:paraId="7498FA54"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25,920</w:t>
            </w:r>
          </w:p>
        </w:tc>
        <w:tc>
          <w:tcPr>
            <w:tcW w:w="376" w:type="pct"/>
            <w:noWrap/>
          </w:tcPr>
          <w:p w14:paraId="2BC85756"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24,120</w:t>
            </w:r>
          </w:p>
        </w:tc>
        <w:tc>
          <w:tcPr>
            <w:tcW w:w="375" w:type="pct"/>
            <w:noWrap/>
          </w:tcPr>
          <w:p w14:paraId="3FCB4A98" w14:textId="77777777" w:rsidR="00CA5536" w:rsidRPr="005123DA" w:rsidRDefault="00CA5536" w:rsidP="00BD6415">
            <w:pPr>
              <w:rPr>
                <w:rFonts w:ascii="Calibri" w:hAnsi="Calibri" w:cs="Calibri"/>
                <w:color w:val="000000"/>
                <w:sz w:val="14"/>
                <w:szCs w:val="14"/>
              </w:rPr>
            </w:pPr>
            <w:r w:rsidRPr="005123DA">
              <w:rPr>
                <w:rFonts w:ascii="Calibri" w:hAnsi="Calibri" w:cs="Calibri"/>
                <w:color w:val="000000"/>
                <w:sz w:val="14"/>
                <w:szCs w:val="14"/>
              </w:rPr>
              <w:t>15,840</w:t>
            </w:r>
          </w:p>
        </w:tc>
        <w:tc>
          <w:tcPr>
            <w:tcW w:w="479" w:type="pct"/>
            <w:noWrap/>
          </w:tcPr>
          <w:p w14:paraId="74F98694" w14:textId="77777777" w:rsidR="00CA5536" w:rsidRPr="003E52A0" w:rsidRDefault="00CA5536" w:rsidP="00BD6415">
            <w:pPr>
              <w:rPr>
                <w:rFonts w:ascii="Calibri" w:hAnsi="Calibri" w:cs="Calibri"/>
                <w:b/>
                <w:color w:val="000000"/>
                <w:sz w:val="18"/>
                <w:szCs w:val="16"/>
              </w:rPr>
            </w:pPr>
            <w:r w:rsidRPr="003E52A0">
              <w:rPr>
                <w:rFonts w:ascii="Calibri" w:hAnsi="Calibri" w:cs="Calibri"/>
                <w:b/>
                <w:color w:val="000000"/>
                <w:sz w:val="18"/>
                <w:szCs w:val="16"/>
              </w:rPr>
              <w:t>71,323</w:t>
            </w:r>
          </w:p>
        </w:tc>
      </w:tr>
      <w:tr w:rsidR="00CA5536" w:rsidRPr="001845DC" w14:paraId="0B2018F4" w14:textId="77777777" w:rsidTr="00BD6415">
        <w:trPr>
          <w:trHeight w:val="510"/>
        </w:trPr>
        <w:tc>
          <w:tcPr>
            <w:tcW w:w="573" w:type="pct"/>
          </w:tcPr>
          <w:p w14:paraId="359CF797" w14:textId="77777777" w:rsidR="00CA5536" w:rsidRPr="00694A41" w:rsidRDefault="00CA5536" w:rsidP="00BD6415">
            <w:pPr>
              <w:rPr>
                <w:rFonts w:cstheme="minorBidi"/>
                <w:sz w:val="16"/>
                <w:szCs w:val="22"/>
              </w:rPr>
            </w:pPr>
            <w:r w:rsidRPr="00694A41">
              <w:rPr>
                <w:rFonts w:cstheme="minorBidi"/>
                <w:sz w:val="16"/>
                <w:szCs w:val="22"/>
              </w:rPr>
              <w:t>Measure Case Annual Fan Energy Consumption (kWh/</w:t>
            </w:r>
            <w:proofErr w:type="spellStart"/>
            <w:r w:rsidRPr="00694A41">
              <w:rPr>
                <w:rFonts w:cstheme="minorBidi"/>
                <w:sz w:val="16"/>
                <w:szCs w:val="22"/>
              </w:rPr>
              <w:t>yr</w:t>
            </w:r>
            <w:proofErr w:type="spellEnd"/>
            <w:r w:rsidRPr="00694A41">
              <w:rPr>
                <w:rFonts w:cstheme="minorBidi"/>
                <w:sz w:val="16"/>
                <w:szCs w:val="22"/>
              </w:rPr>
              <w:t>)</w:t>
            </w:r>
          </w:p>
        </w:tc>
        <w:tc>
          <w:tcPr>
            <w:tcW w:w="329" w:type="pct"/>
          </w:tcPr>
          <w:p w14:paraId="61D31C4B"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12,528</w:t>
            </w:r>
          </w:p>
        </w:tc>
        <w:tc>
          <w:tcPr>
            <w:tcW w:w="375" w:type="pct"/>
          </w:tcPr>
          <w:p w14:paraId="7AF14B2D"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11,376</w:t>
            </w:r>
          </w:p>
        </w:tc>
        <w:tc>
          <w:tcPr>
            <w:tcW w:w="376" w:type="pct"/>
          </w:tcPr>
          <w:p w14:paraId="15DDE6B3"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45,720</w:t>
            </w:r>
          </w:p>
        </w:tc>
        <w:tc>
          <w:tcPr>
            <w:tcW w:w="328" w:type="pct"/>
          </w:tcPr>
          <w:p w14:paraId="7CE8237C"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11,052</w:t>
            </w:r>
          </w:p>
        </w:tc>
        <w:tc>
          <w:tcPr>
            <w:tcW w:w="329" w:type="pct"/>
          </w:tcPr>
          <w:p w14:paraId="70A650AB"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35,244</w:t>
            </w:r>
          </w:p>
        </w:tc>
        <w:tc>
          <w:tcPr>
            <w:tcW w:w="328" w:type="pct"/>
          </w:tcPr>
          <w:p w14:paraId="37719D71"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27,720</w:t>
            </w:r>
          </w:p>
        </w:tc>
        <w:tc>
          <w:tcPr>
            <w:tcW w:w="376" w:type="pct"/>
            <w:noWrap/>
          </w:tcPr>
          <w:p w14:paraId="1CB1D27E"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92,520</w:t>
            </w:r>
          </w:p>
        </w:tc>
        <w:tc>
          <w:tcPr>
            <w:tcW w:w="375" w:type="pct"/>
            <w:noWrap/>
          </w:tcPr>
          <w:p w14:paraId="6CE4E877"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45,000</w:t>
            </w:r>
          </w:p>
        </w:tc>
        <w:tc>
          <w:tcPr>
            <w:tcW w:w="376" w:type="pct"/>
            <w:noWrap/>
          </w:tcPr>
          <w:p w14:paraId="24B6FC04"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16,200</w:t>
            </w:r>
          </w:p>
        </w:tc>
        <w:tc>
          <w:tcPr>
            <w:tcW w:w="376" w:type="pct"/>
            <w:noWrap/>
          </w:tcPr>
          <w:p w14:paraId="1AEEF6C1"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9,360</w:t>
            </w:r>
          </w:p>
        </w:tc>
        <w:tc>
          <w:tcPr>
            <w:tcW w:w="375" w:type="pct"/>
            <w:noWrap/>
          </w:tcPr>
          <w:p w14:paraId="5C7D00A9" w14:textId="77777777" w:rsidR="00CA5536" w:rsidRPr="007B6BC7" w:rsidRDefault="00CA5536" w:rsidP="00BD6415">
            <w:pPr>
              <w:rPr>
                <w:rFonts w:ascii="Calibri" w:hAnsi="Calibri" w:cs="Calibri"/>
                <w:color w:val="000000"/>
                <w:sz w:val="14"/>
                <w:szCs w:val="14"/>
              </w:rPr>
            </w:pPr>
            <w:r w:rsidRPr="007B6BC7">
              <w:rPr>
                <w:rFonts w:ascii="Calibri" w:hAnsi="Calibri" w:cs="Calibri"/>
                <w:color w:val="000000"/>
                <w:sz w:val="14"/>
                <w:szCs w:val="14"/>
              </w:rPr>
              <w:t>8,280</w:t>
            </w:r>
          </w:p>
        </w:tc>
        <w:tc>
          <w:tcPr>
            <w:tcW w:w="479" w:type="pct"/>
            <w:noWrap/>
          </w:tcPr>
          <w:p w14:paraId="428F363A" w14:textId="77777777" w:rsidR="00CA5536" w:rsidRPr="003E52A0" w:rsidRDefault="00CA5536" w:rsidP="00BD6415">
            <w:pPr>
              <w:rPr>
                <w:rFonts w:ascii="Calibri" w:hAnsi="Calibri" w:cs="Calibri"/>
                <w:b/>
                <w:color w:val="000000"/>
                <w:sz w:val="18"/>
                <w:szCs w:val="16"/>
              </w:rPr>
            </w:pPr>
            <w:r w:rsidRPr="003E52A0">
              <w:rPr>
                <w:rFonts w:ascii="Calibri" w:hAnsi="Calibri" w:cs="Calibri"/>
                <w:b/>
                <w:color w:val="000000"/>
                <w:sz w:val="18"/>
                <w:szCs w:val="16"/>
              </w:rPr>
              <w:t>28,636</w:t>
            </w:r>
          </w:p>
        </w:tc>
      </w:tr>
      <w:tr w:rsidR="00CA5536" w:rsidRPr="001845DC" w14:paraId="0D595ACC" w14:textId="77777777" w:rsidTr="00BD6415">
        <w:trPr>
          <w:trHeight w:val="510"/>
        </w:trPr>
        <w:tc>
          <w:tcPr>
            <w:tcW w:w="573" w:type="pct"/>
          </w:tcPr>
          <w:p w14:paraId="6969FFDC" w14:textId="77777777" w:rsidR="00CA5536" w:rsidRPr="00F84453" w:rsidRDefault="00CA5536" w:rsidP="00BD6415">
            <w:pPr>
              <w:rPr>
                <w:b/>
                <w:sz w:val="16"/>
              </w:rPr>
            </w:pPr>
            <w:r>
              <w:rPr>
                <w:rFonts w:cstheme="minorBidi"/>
                <w:b/>
                <w:sz w:val="16"/>
                <w:szCs w:val="22"/>
              </w:rPr>
              <w:t xml:space="preserve">Annual </w:t>
            </w:r>
            <w:r w:rsidRPr="00F84453">
              <w:rPr>
                <w:rFonts w:cstheme="minorBidi"/>
                <w:b/>
                <w:sz w:val="16"/>
                <w:szCs w:val="22"/>
              </w:rPr>
              <w:t>Fan Energy Savings (kWh/</w:t>
            </w:r>
            <w:proofErr w:type="spellStart"/>
            <w:r w:rsidRPr="00F84453">
              <w:rPr>
                <w:rFonts w:cstheme="minorBidi"/>
                <w:b/>
                <w:sz w:val="16"/>
                <w:szCs w:val="22"/>
              </w:rPr>
              <w:t>yr</w:t>
            </w:r>
            <w:proofErr w:type="spellEnd"/>
            <w:r w:rsidRPr="00F84453">
              <w:rPr>
                <w:rFonts w:cstheme="minorBidi"/>
                <w:b/>
                <w:sz w:val="16"/>
                <w:szCs w:val="22"/>
              </w:rPr>
              <w:t>)</w:t>
            </w:r>
          </w:p>
        </w:tc>
        <w:tc>
          <w:tcPr>
            <w:tcW w:w="329" w:type="pct"/>
          </w:tcPr>
          <w:p w14:paraId="2289961B" w14:textId="77777777" w:rsidR="00CA5536" w:rsidRPr="007B6BC7" w:rsidRDefault="00CA5536" w:rsidP="00BD6415">
            <w:pPr>
              <w:rPr>
                <w:rFonts w:ascii="Calibri" w:hAnsi="Calibri" w:cs="Calibri"/>
                <w:b/>
                <w:color w:val="000000"/>
                <w:sz w:val="14"/>
                <w:szCs w:val="14"/>
              </w:rPr>
            </w:pPr>
            <w:r w:rsidRPr="007B6BC7">
              <w:rPr>
                <w:rFonts w:ascii="Calibri" w:hAnsi="Calibri" w:cs="Calibri"/>
                <w:b/>
                <w:color w:val="000000"/>
                <w:sz w:val="14"/>
                <w:szCs w:val="14"/>
              </w:rPr>
              <w:t>37,116</w:t>
            </w:r>
          </w:p>
        </w:tc>
        <w:tc>
          <w:tcPr>
            <w:tcW w:w="375" w:type="pct"/>
          </w:tcPr>
          <w:p w14:paraId="135054F7" w14:textId="77777777" w:rsidR="00CA5536" w:rsidRPr="007B6BC7" w:rsidRDefault="00CA5536" w:rsidP="00BD6415">
            <w:pPr>
              <w:rPr>
                <w:rFonts w:ascii="Calibri" w:hAnsi="Calibri" w:cs="Calibri"/>
                <w:b/>
                <w:color w:val="000000"/>
                <w:sz w:val="14"/>
                <w:szCs w:val="14"/>
              </w:rPr>
            </w:pPr>
            <w:r w:rsidRPr="007B6BC7">
              <w:rPr>
                <w:rFonts w:ascii="Calibri" w:hAnsi="Calibri" w:cs="Calibri"/>
                <w:b/>
                <w:color w:val="000000"/>
                <w:sz w:val="14"/>
                <w:szCs w:val="14"/>
              </w:rPr>
              <w:t>9,828</w:t>
            </w:r>
          </w:p>
        </w:tc>
        <w:tc>
          <w:tcPr>
            <w:tcW w:w="376" w:type="pct"/>
          </w:tcPr>
          <w:p w14:paraId="0BD84254" w14:textId="77777777" w:rsidR="00CA5536" w:rsidRPr="007B6BC7" w:rsidRDefault="00CA5536" w:rsidP="00BD6415">
            <w:pPr>
              <w:rPr>
                <w:rFonts w:ascii="Calibri" w:hAnsi="Calibri" w:cs="Calibri"/>
                <w:b/>
                <w:color w:val="000000"/>
                <w:sz w:val="14"/>
                <w:szCs w:val="14"/>
              </w:rPr>
            </w:pPr>
            <w:r w:rsidRPr="007B6BC7">
              <w:rPr>
                <w:rFonts w:ascii="Calibri" w:hAnsi="Calibri" w:cs="Calibri"/>
                <w:b/>
                <w:color w:val="000000"/>
                <w:sz w:val="14"/>
                <w:szCs w:val="14"/>
              </w:rPr>
              <w:t>75,240</w:t>
            </w:r>
          </w:p>
        </w:tc>
        <w:tc>
          <w:tcPr>
            <w:tcW w:w="328" w:type="pct"/>
          </w:tcPr>
          <w:p w14:paraId="027545A5" w14:textId="77777777" w:rsidR="00CA5536" w:rsidRPr="007B6BC7" w:rsidRDefault="00CA5536" w:rsidP="00BD6415">
            <w:pPr>
              <w:rPr>
                <w:rFonts w:ascii="Calibri" w:hAnsi="Calibri" w:cs="Calibri"/>
                <w:b/>
                <w:color w:val="000000"/>
                <w:sz w:val="14"/>
                <w:szCs w:val="14"/>
              </w:rPr>
            </w:pPr>
            <w:r w:rsidRPr="007B6BC7">
              <w:rPr>
                <w:rFonts w:ascii="Calibri" w:hAnsi="Calibri" w:cs="Calibri"/>
                <w:b/>
                <w:color w:val="000000"/>
                <w:sz w:val="14"/>
                <w:szCs w:val="14"/>
              </w:rPr>
              <w:t>31,392</w:t>
            </w:r>
          </w:p>
        </w:tc>
        <w:tc>
          <w:tcPr>
            <w:tcW w:w="329" w:type="pct"/>
          </w:tcPr>
          <w:p w14:paraId="67FD7619" w14:textId="77777777" w:rsidR="00CA5536" w:rsidRPr="007B6BC7" w:rsidRDefault="00CA5536" w:rsidP="00BD6415">
            <w:pPr>
              <w:rPr>
                <w:rFonts w:ascii="Calibri" w:hAnsi="Calibri" w:cs="Calibri"/>
                <w:b/>
                <w:color w:val="000000"/>
                <w:sz w:val="14"/>
                <w:szCs w:val="14"/>
              </w:rPr>
            </w:pPr>
            <w:r w:rsidRPr="007B6BC7">
              <w:rPr>
                <w:rFonts w:ascii="Calibri" w:hAnsi="Calibri" w:cs="Calibri"/>
                <w:b/>
                <w:color w:val="000000"/>
                <w:sz w:val="14"/>
                <w:szCs w:val="14"/>
              </w:rPr>
              <w:t>42,732</w:t>
            </w:r>
          </w:p>
        </w:tc>
        <w:tc>
          <w:tcPr>
            <w:tcW w:w="328" w:type="pct"/>
          </w:tcPr>
          <w:p w14:paraId="01A88EE8" w14:textId="77777777" w:rsidR="00CA5536" w:rsidRPr="007B6BC7" w:rsidRDefault="00CA5536" w:rsidP="00BD6415">
            <w:pPr>
              <w:rPr>
                <w:rFonts w:ascii="Calibri" w:hAnsi="Calibri" w:cs="Calibri"/>
                <w:b/>
                <w:color w:val="000000"/>
                <w:sz w:val="14"/>
                <w:szCs w:val="14"/>
              </w:rPr>
            </w:pPr>
            <w:r w:rsidRPr="007B6BC7">
              <w:rPr>
                <w:rFonts w:ascii="Calibri" w:hAnsi="Calibri" w:cs="Calibri"/>
                <w:b/>
                <w:color w:val="000000"/>
                <w:sz w:val="14"/>
                <w:szCs w:val="14"/>
              </w:rPr>
              <w:t>32,760</w:t>
            </w:r>
          </w:p>
        </w:tc>
        <w:tc>
          <w:tcPr>
            <w:tcW w:w="376" w:type="pct"/>
            <w:noWrap/>
          </w:tcPr>
          <w:p w14:paraId="3A7EFB07" w14:textId="77777777" w:rsidR="00CA5536" w:rsidRPr="007B6BC7" w:rsidRDefault="00CA5536" w:rsidP="00BD6415">
            <w:pPr>
              <w:rPr>
                <w:rFonts w:ascii="Calibri" w:hAnsi="Calibri" w:cs="Calibri"/>
                <w:b/>
                <w:color w:val="000000"/>
                <w:sz w:val="14"/>
                <w:szCs w:val="14"/>
              </w:rPr>
            </w:pPr>
            <w:r w:rsidRPr="007B6BC7">
              <w:rPr>
                <w:rFonts w:ascii="Calibri" w:hAnsi="Calibri" w:cs="Calibri"/>
                <w:b/>
                <w:color w:val="000000"/>
                <w:sz w:val="14"/>
                <w:szCs w:val="14"/>
              </w:rPr>
              <w:t>148,680</w:t>
            </w:r>
          </w:p>
        </w:tc>
        <w:tc>
          <w:tcPr>
            <w:tcW w:w="375" w:type="pct"/>
            <w:noWrap/>
          </w:tcPr>
          <w:p w14:paraId="3470FD7B" w14:textId="77777777" w:rsidR="00CA5536" w:rsidRPr="007B6BC7" w:rsidRDefault="00CA5536" w:rsidP="00BD6415">
            <w:pPr>
              <w:rPr>
                <w:rFonts w:ascii="Calibri" w:hAnsi="Calibri" w:cs="Calibri"/>
                <w:b/>
                <w:color w:val="000000"/>
                <w:sz w:val="14"/>
                <w:szCs w:val="14"/>
              </w:rPr>
            </w:pPr>
            <w:r w:rsidRPr="007B6BC7">
              <w:rPr>
                <w:rFonts w:ascii="Calibri" w:hAnsi="Calibri" w:cs="Calibri"/>
                <w:b/>
                <w:color w:val="000000"/>
                <w:sz w:val="14"/>
                <w:szCs w:val="14"/>
              </w:rPr>
              <w:t>59,760</w:t>
            </w:r>
          </w:p>
        </w:tc>
        <w:tc>
          <w:tcPr>
            <w:tcW w:w="376" w:type="pct"/>
            <w:noWrap/>
          </w:tcPr>
          <w:p w14:paraId="6DB936FD" w14:textId="77777777" w:rsidR="00CA5536" w:rsidRPr="007B6BC7" w:rsidRDefault="00CA5536" w:rsidP="00BD6415">
            <w:pPr>
              <w:rPr>
                <w:rFonts w:ascii="Calibri" w:hAnsi="Calibri" w:cs="Calibri"/>
                <w:b/>
                <w:color w:val="000000"/>
                <w:sz w:val="14"/>
                <w:szCs w:val="14"/>
              </w:rPr>
            </w:pPr>
            <w:r w:rsidRPr="007B6BC7">
              <w:rPr>
                <w:rFonts w:ascii="Calibri" w:hAnsi="Calibri" w:cs="Calibri"/>
                <w:b/>
                <w:color w:val="000000"/>
                <w:sz w:val="14"/>
                <w:szCs w:val="14"/>
              </w:rPr>
              <w:t>9,720</w:t>
            </w:r>
          </w:p>
        </w:tc>
        <w:tc>
          <w:tcPr>
            <w:tcW w:w="376" w:type="pct"/>
            <w:noWrap/>
          </w:tcPr>
          <w:p w14:paraId="757F89E8" w14:textId="77777777" w:rsidR="00CA5536" w:rsidRPr="007B6BC7" w:rsidRDefault="00CA5536" w:rsidP="00BD6415">
            <w:pPr>
              <w:rPr>
                <w:rFonts w:ascii="Calibri" w:hAnsi="Calibri" w:cs="Calibri"/>
                <w:b/>
                <w:color w:val="000000"/>
                <w:sz w:val="14"/>
                <w:szCs w:val="14"/>
              </w:rPr>
            </w:pPr>
            <w:r w:rsidRPr="007B6BC7">
              <w:rPr>
                <w:rFonts w:ascii="Calibri" w:hAnsi="Calibri" w:cs="Calibri"/>
                <w:b/>
                <w:color w:val="000000"/>
                <w:sz w:val="14"/>
                <w:szCs w:val="14"/>
              </w:rPr>
              <w:t>14,760</w:t>
            </w:r>
          </w:p>
        </w:tc>
        <w:tc>
          <w:tcPr>
            <w:tcW w:w="375" w:type="pct"/>
            <w:noWrap/>
          </w:tcPr>
          <w:p w14:paraId="38DA8F2E" w14:textId="77777777" w:rsidR="00CA5536" w:rsidRPr="007B6BC7" w:rsidRDefault="00CA5536" w:rsidP="00BD6415">
            <w:pPr>
              <w:rPr>
                <w:rFonts w:ascii="Calibri" w:hAnsi="Calibri" w:cs="Calibri"/>
                <w:b/>
                <w:color w:val="000000"/>
                <w:sz w:val="14"/>
                <w:szCs w:val="14"/>
              </w:rPr>
            </w:pPr>
            <w:r w:rsidRPr="007B6BC7">
              <w:rPr>
                <w:rFonts w:ascii="Calibri" w:hAnsi="Calibri" w:cs="Calibri"/>
                <w:b/>
                <w:color w:val="000000"/>
                <w:sz w:val="14"/>
                <w:szCs w:val="14"/>
              </w:rPr>
              <w:t>7,560</w:t>
            </w:r>
          </w:p>
        </w:tc>
        <w:tc>
          <w:tcPr>
            <w:tcW w:w="479" w:type="pct"/>
            <w:noWrap/>
          </w:tcPr>
          <w:p w14:paraId="33B3A1F7" w14:textId="77777777" w:rsidR="00CA5536" w:rsidRPr="003E52A0" w:rsidRDefault="00CA5536" w:rsidP="00BD6415">
            <w:pPr>
              <w:rPr>
                <w:rFonts w:ascii="Calibri" w:hAnsi="Calibri" w:cs="Calibri"/>
                <w:b/>
                <w:color w:val="000000"/>
                <w:sz w:val="18"/>
                <w:szCs w:val="16"/>
              </w:rPr>
            </w:pPr>
            <w:r w:rsidRPr="003E52A0">
              <w:rPr>
                <w:rFonts w:ascii="Calibri" w:hAnsi="Calibri" w:cs="Calibri"/>
                <w:b/>
                <w:color w:val="000000"/>
                <w:sz w:val="18"/>
                <w:szCs w:val="16"/>
              </w:rPr>
              <w:t>42,686</w:t>
            </w:r>
          </w:p>
        </w:tc>
      </w:tr>
    </w:tbl>
    <w:p w14:paraId="37FD0453" w14:textId="77777777" w:rsidR="00CA5536" w:rsidRPr="005328DA" w:rsidRDefault="00CA5536" w:rsidP="00CA5536">
      <w:pPr>
        <w:rPr>
          <w:color w:val="000000"/>
        </w:rPr>
      </w:pPr>
    </w:p>
    <w:p w14:paraId="009BB12F" w14:textId="5146E0B4" w:rsidR="00CA5536" w:rsidRPr="005328DA" w:rsidRDefault="00CA5536" w:rsidP="00CA5536">
      <w:pPr>
        <w:rPr>
          <w:color w:val="000000"/>
        </w:rPr>
      </w:pPr>
      <w:r w:rsidRPr="005328DA">
        <w:rPr>
          <w:color w:val="000000"/>
        </w:rPr>
        <w:t>To better characterize the commercial kitchen exhaust hood market, SCE FTC, PG&amp;E FSTC, and Honeywell/</w:t>
      </w:r>
      <w:proofErr w:type="spellStart"/>
      <w:r w:rsidRPr="005328DA">
        <w:rPr>
          <w:color w:val="000000"/>
        </w:rPr>
        <w:t>Melink</w:t>
      </w:r>
      <w:proofErr w:type="spellEnd"/>
      <w:r w:rsidRPr="005328DA">
        <w:rPr>
          <w:color w:val="000000"/>
        </w:rPr>
        <w:t xml:space="preserve"> (a manufacturer of kitchen hood </w:t>
      </w:r>
      <w:r>
        <w:rPr>
          <w:rFonts w:cstheme="minorHAnsi"/>
          <w:color w:val="000000"/>
        </w:rPr>
        <w:t>DCKV</w:t>
      </w:r>
      <w:r w:rsidRPr="005328DA">
        <w:rPr>
          <w:color w:val="000000"/>
        </w:rPr>
        <w:t xml:space="preserve"> systems) gathered data from a number of additional commercial kitchen sites with exhaust hood </w:t>
      </w:r>
      <w:r>
        <w:rPr>
          <w:rFonts w:cstheme="minorHAnsi"/>
          <w:color w:val="000000"/>
        </w:rPr>
        <w:t>DCKV</w:t>
      </w:r>
      <w:r w:rsidRPr="005328DA">
        <w:rPr>
          <w:color w:val="000000"/>
        </w:rPr>
        <w:t xml:space="preserve"> systems. Exhaust fan horsepower, exhaust cfm, operating hours, and </w:t>
      </w:r>
      <w:r>
        <w:rPr>
          <w:rFonts w:cstheme="minorHAnsi"/>
          <w:color w:val="000000"/>
        </w:rPr>
        <w:t>DCKV</w:t>
      </w:r>
      <w:r w:rsidRPr="005328DA">
        <w:rPr>
          <w:color w:val="000000"/>
        </w:rPr>
        <w:t xml:space="preserve"> system cost were documented for a total of 72 sites. This data is summarized in </w:t>
      </w:r>
      <w:r w:rsidR="00867DBF">
        <w:rPr>
          <w:color w:val="000000"/>
        </w:rPr>
        <w:t>Attachment 5</w:t>
      </w:r>
      <w:r w:rsidRPr="005328DA">
        <w:rPr>
          <w:color w:val="000000"/>
        </w:rPr>
        <w:t>. The averages of these values are used in this work paper to determine the gas savings and cost for this measure.</w:t>
      </w:r>
    </w:p>
    <w:p w14:paraId="6FE9010F" w14:textId="77777777" w:rsidR="00CA5536" w:rsidRDefault="00CA5536" w:rsidP="00CA5536">
      <w:pPr>
        <w:rPr>
          <w:color w:val="000000"/>
        </w:rPr>
      </w:pPr>
    </w:p>
    <w:p w14:paraId="1CF7B949" w14:textId="2F68D235" w:rsidR="00572D2F" w:rsidRDefault="00CA5536" w:rsidP="00CA5536">
      <w:pPr>
        <w:rPr>
          <w:color w:val="000000"/>
        </w:rPr>
      </w:pPr>
      <w:r w:rsidRPr="00CA5536">
        <w:rPr>
          <w:color w:val="000000"/>
        </w:rPr>
        <w:t xml:space="preserve">The total data set used for this </w:t>
      </w:r>
      <w:proofErr w:type="spellStart"/>
      <w:r w:rsidRPr="00CA5536">
        <w:rPr>
          <w:color w:val="000000"/>
        </w:rPr>
        <w:t>workpaper</w:t>
      </w:r>
      <w:proofErr w:type="spellEnd"/>
      <w:r w:rsidRPr="00CA5536">
        <w:rPr>
          <w:color w:val="000000"/>
        </w:rPr>
        <w:t xml:space="preserve"> includes the eleven case study sites </w:t>
      </w:r>
      <w:r w:rsidR="005B4CAC">
        <w:rPr>
          <w:color w:val="000000"/>
        </w:rPr>
        <w:t>(Attachment 3 and 4)</w:t>
      </w:r>
      <w:r w:rsidR="005B4CAC" w:rsidRPr="00CA5536" w:rsidDel="005B4CAC">
        <w:rPr>
          <w:color w:val="000000"/>
        </w:rPr>
        <w:t xml:space="preserve"> </w:t>
      </w:r>
      <w:r w:rsidRPr="00CA5536">
        <w:rPr>
          <w:color w:val="000000"/>
        </w:rPr>
        <w:t xml:space="preserve">at which energy consumption was measured for the base and measure cases, and the 72 field sites </w:t>
      </w:r>
      <w:r w:rsidR="00867DBF">
        <w:rPr>
          <w:color w:val="000000"/>
        </w:rPr>
        <w:t>(Attachment 5)</w:t>
      </w:r>
      <w:r w:rsidRPr="00CA5536">
        <w:rPr>
          <w:color w:val="000000"/>
        </w:rPr>
        <w:t xml:space="preserve"> for which </w:t>
      </w:r>
      <w:r w:rsidRPr="00CA5536">
        <w:rPr>
          <w:rFonts w:cstheme="minorHAnsi"/>
          <w:color w:val="000000"/>
        </w:rPr>
        <w:t>DCKV</w:t>
      </w:r>
      <w:r w:rsidRPr="00CA5536">
        <w:rPr>
          <w:color w:val="000000"/>
        </w:rPr>
        <w:t xml:space="preserve"> system specifications were documented. Data from both sets was used to inform the savings </w:t>
      </w:r>
      <w:r w:rsidR="005B4CAC">
        <w:rPr>
          <w:color w:val="000000"/>
        </w:rPr>
        <w:t>c</w:t>
      </w:r>
      <w:r w:rsidRPr="00CA5536">
        <w:rPr>
          <w:color w:val="000000"/>
        </w:rPr>
        <w:t>alculations.</w:t>
      </w:r>
    </w:p>
    <w:p w14:paraId="45AD8DE8" w14:textId="77777777" w:rsidR="000278BF" w:rsidRDefault="000278BF" w:rsidP="00CA5536">
      <w:pPr>
        <w:rPr>
          <w:color w:val="000000"/>
        </w:rPr>
      </w:pPr>
    </w:p>
    <w:p w14:paraId="2E29D15A" w14:textId="10589C64" w:rsidR="000278BF" w:rsidRDefault="000723C0" w:rsidP="00CA5536">
      <w:pPr>
        <w:rPr>
          <w:rFonts w:cs="Arial"/>
          <w:b/>
          <w:szCs w:val="22"/>
        </w:rPr>
      </w:pPr>
      <w:r>
        <w:rPr>
          <w:rFonts w:cs="Arial"/>
          <w:b/>
          <w:szCs w:val="22"/>
        </w:rPr>
        <w:t>Support of Savings from 2014</w:t>
      </w:r>
      <w:r w:rsidR="000278BF" w:rsidRPr="004A2251">
        <w:rPr>
          <w:rFonts w:cs="Arial"/>
          <w:b/>
          <w:szCs w:val="22"/>
        </w:rPr>
        <w:t xml:space="preserve"> PG&amp;E ET Study</w:t>
      </w:r>
    </w:p>
    <w:p w14:paraId="02EC158E" w14:textId="77777777" w:rsidR="00F93398" w:rsidRPr="004A2251" w:rsidRDefault="00F93398" w:rsidP="00CA5536">
      <w:pPr>
        <w:rPr>
          <w:rFonts w:cs="Arial"/>
          <w:b/>
          <w:szCs w:val="22"/>
        </w:rPr>
      </w:pPr>
    </w:p>
    <w:p w14:paraId="7E2590C8" w14:textId="0EE52895" w:rsidR="000278BF" w:rsidRPr="004A2251" w:rsidRDefault="000278BF" w:rsidP="00CA5536">
      <w:pPr>
        <w:rPr>
          <w:rFonts w:cs="Arial"/>
          <w:szCs w:val="22"/>
        </w:rPr>
      </w:pPr>
      <w:r w:rsidRPr="004A2251">
        <w:rPr>
          <w:rFonts w:cs="Arial"/>
          <w:szCs w:val="22"/>
        </w:rPr>
        <w:t>A more recent study completed in late 2014 by PG&amp;E’s Emerging Technologies Program detailed savings from Energy Management Systems (EMS) and DCKV systems in casual and quick service restaurants</w:t>
      </w:r>
      <w:r w:rsidR="00F93398">
        <w:rPr>
          <w:rFonts w:cs="Arial"/>
          <w:szCs w:val="22"/>
        </w:rPr>
        <w:t xml:space="preserve"> (Attachment </w:t>
      </w:r>
      <w:r w:rsidR="006D0A35">
        <w:rPr>
          <w:rFonts w:cs="Arial"/>
          <w:szCs w:val="22"/>
        </w:rPr>
        <w:t xml:space="preserve">4, </w:t>
      </w:r>
      <w:r w:rsidR="00AD5607">
        <w:rPr>
          <w:rFonts w:cs="Arial"/>
          <w:szCs w:val="22"/>
        </w:rPr>
        <w:t xml:space="preserve">g - </w:t>
      </w:r>
      <w:r w:rsidR="006D0A35">
        <w:rPr>
          <w:rFonts w:cs="Arial"/>
          <w:szCs w:val="22"/>
        </w:rPr>
        <w:t>PGE ET13PGE8151 Study</w:t>
      </w:r>
      <w:r w:rsidR="00F93398">
        <w:rPr>
          <w:rFonts w:cs="Arial"/>
          <w:szCs w:val="22"/>
        </w:rPr>
        <w:t>)</w:t>
      </w:r>
      <w:r w:rsidRPr="004A2251">
        <w:rPr>
          <w:rFonts w:cs="Arial"/>
          <w:szCs w:val="22"/>
        </w:rPr>
        <w:t xml:space="preserve">. The findings for the DCKV study were compared with the </w:t>
      </w:r>
      <w:r w:rsidRPr="004A2251">
        <w:rPr>
          <w:rFonts w:cs="Arial"/>
          <w:szCs w:val="22"/>
        </w:rPr>
        <w:lastRenderedPageBreak/>
        <w:t xml:space="preserve">savings approved with this </w:t>
      </w:r>
      <w:proofErr w:type="spellStart"/>
      <w:r w:rsidRPr="004A2251">
        <w:rPr>
          <w:rFonts w:cs="Arial"/>
          <w:szCs w:val="22"/>
        </w:rPr>
        <w:t>workpaper</w:t>
      </w:r>
      <w:proofErr w:type="spellEnd"/>
      <w:r w:rsidRPr="004A2251">
        <w:rPr>
          <w:rFonts w:cs="Arial"/>
          <w:szCs w:val="22"/>
        </w:rPr>
        <w:t xml:space="preserve"> for like sites. </w:t>
      </w:r>
      <w:r w:rsidR="00F93398" w:rsidRPr="004A2251">
        <w:rPr>
          <w:rFonts w:cs="Arial"/>
          <w:szCs w:val="22"/>
        </w:rPr>
        <w:t xml:space="preserve">The findings </w:t>
      </w:r>
      <w:r w:rsidR="006D0A35">
        <w:rPr>
          <w:rFonts w:cs="Arial"/>
          <w:szCs w:val="22"/>
        </w:rPr>
        <w:t xml:space="preserve">from the study </w:t>
      </w:r>
      <w:r w:rsidR="00F93398" w:rsidRPr="004A2251">
        <w:rPr>
          <w:rFonts w:cs="Arial"/>
          <w:szCs w:val="22"/>
        </w:rPr>
        <w:t>show that the</w:t>
      </w:r>
      <w:r w:rsidR="006D0A35">
        <w:rPr>
          <w:rFonts w:cs="Arial"/>
          <w:szCs w:val="22"/>
        </w:rPr>
        <w:t xml:space="preserve"> reduction in energy (kWh) and </w:t>
      </w:r>
      <w:proofErr w:type="spellStart"/>
      <w:r w:rsidR="006D0A35">
        <w:rPr>
          <w:rFonts w:cs="Arial"/>
          <w:szCs w:val="22"/>
        </w:rPr>
        <w:t>therms</w:t>
      </w:r>
      <w:proofErr w:type="spellEnd"/>
      <w:r w:rsidR="006D0A35">
        <w:rPr>
          <w:rFonts w:cs="Arial"/>
          <w:szCs w:val="22"/>
        </w:rPr>
        <w:t xml:space="preserve"> support the saving included in this </w:t>
      </w:r>
      <w:proofErr w:type="spellStart"/>
      <w:r w:rsidR="006D0A35">
        <w:rPr>
          <w:rFonts w:cs="Arial"/>
          <w:szCs w:val="22"/>
        </w:rPr>
        <w:t>workpaper</w:t>
      </w:r>
      <w:proofErr w:type="spellEnd"/>
      <w:r w:rsidR="006D0A35">
        <w:rPr>
          <w:rFonts w:cs="Arial"/>
          <w:szCs w:val="22"/>
        </w:rPr>
        <w:t xml:space="preserve">. </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221687EE" w14:textId="6354FC84" w:rsidR="00D45F38" w:rsidRDefault="00CA5536" w:rsidP="004A2251">
      <w:r>
        <w:t>N/A</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2EC0C732" w14:textId="77777777" w:rsidR="00AA134A" w:rsidRPr="00F84453" w:rsidRDefault="00AA134A" w:rsidP="00AA134A">
      <w:pPr>
        <w:keepNext/>
        <w:spacing w:before="240" w:after="60"/>
        <w:outlineLvl w:val="2"/>
        <w:rPr>
          <w:smallCaps/>
          <w:sz w:val="28"/>
        </w:rPr>
      </w:pPr>
      <w:r w:rsidRPr="00F84453">
        <w:rPr>
          <w:b/>
          <w:smallCaps/>
          <w:sz w:val="28"/>
        </w:rPr>
        <w:t>2.1 Electric Energy Savings Calculation</w:t>
      </w:r>
    </w:p>
    <w:p w14:paraId="34A6A600" w14:textId="1F74CF20" w:rsidR="00AA134A" w:rsidRPr="005328DA" w:rsidRDefault="00AA134A" w:rsidP="00AA134A">
      <w:r w:rsidRPr="005328DA">
        <w:t>The electric energy savings for this measure were based on the eleven case studies conducted by PG&amp;E FSTC and SCE FST</w:t>
      </w:r>
      <w:r w:rsidR="005B4CAC">
        <w:t xml:space="preserve"> </w:t>
      </w:r>
      <w:r w:rsidR="005B4CAC">
        <w:rPr>
          <w:color w:val="000000"/>
        </w:rPr>
        <w:t>(Attachments 3 and 4)</w:t>
      </w:r>
      <w:r w:rsidRPr="005328DA">
        <w:t xml:space="preserve">. The sites were power-meter-monitored with and without the Demand-Controlled </w:t>
      </w:r>
      <w:r>
        <w:rPr>
          <w:rFonts w:cstheme="minorHAnsi"/>
        </w:rPr>
        <w:t xml:space="preserve">Kitchen </w:t>
      </w:r>
      <w:r w:rsidRPr="005328DA">
        <w:t>Ventilation System enabled to obtain Base Case and Measure Case data. The results from the eleven case studies were averaged to obtain the average power reduction values (and estimated average fan speed reduction values to be used later for gas saving calculations). The energy reduction values were divided by the respective rated exhaust fan horsepower values from each site and then averaged to yield a single normalized and unitized savings estimate for incentive simplicity.</w:t>
      </w:r>
    </w:p>
    <w:p w14:paraId="783B29DC" w14:textId="77777777" w:rsidR="00AA134A" w:rsidRPr="005328DA" w:rsidRDefault="00AA134A" w:rsidP="00AA134A"/>
    <w:p w14:paraId="10C1D14A" w14:textId="77777777" w:rsidR="00AA134A" w:rsidRPr="005328DA" w:rsidRDefault="00AA134A" w:rsidP="00AA134A">
      <w:r w:rsidRPr="005328DA">
        <w:t xml:space="preserve">The rated exhaust fan horsepower was selected as the single, standard unit of measure because of the larger degree of variance in makeup air system size, type and complexity (e.g., some facilities do not have dedicated make up air units, some have a high percentage of transfer air from rooftop equipment serving areas outside the kitchen, some </w:t>
      </w:r>
      <w:r>
        <w:rPr>
          <w:rFonts w:cstheme="minorHAnsi"/>
        </w:rPr>
        <w:t>D</w:t>
      </w:r>
      <w:r w:rsidRPr="00A96E3B">
        <w:rPr>
          <w:rFonts w:cstheme="minorHAnsi"/>
        </w:rPr>
        <w:t>C</w:t>
      </w:r>
      <w:r>
        <w:rPr>
          <w:rFonts w:cstheme="minorHAnsi"/>
        </w:rPr>
        <w:t>KV</w:t>
      </w:r>
      <w:r w:rsidRPr="005328DA">
        <w:t xml:space="preserve"> systems are installed as exhaust-only controls, etc.) It is important to note that although the energy savings have been normalized to the rated exhaust fan horsepower, the estimated energy savings include both the exhaust fan and the makeup air fan energy of the average system. Note that the electric savings do not account for any coincidental cooling savings due to reduced makeup airflow in the Measure Case.</w:t>
      </w:r>
    </w:p>
    <w:p w14:paraId="7686BACD" w14:textId="77777777" w:rsidR="00AA134A" w:rsidRPr="005328DA" w:rsidRDefault="00AA134A" w:rsidP="00AA134A"/>
    <w:p w14:paraId="29B95025" w14:textId="77777777" w:rsidR="00AA134A" w:rsidRPr="005328DA" w:rsidRDefault="00AA134A" w:rsidP="00AA134A">
      <w:r w:rsidRPr="005328DA">
        <w:t>Fan energy consumption for each case was calculated according to Equation 1.</w:t>
      </w:r>
    </w:p>
    <w:p w14:paraId="45447714" w14:textId="77777777" w:rsidR="00AA134A" w:rsidRPr="005328DA" w:rsidRDefault="00AA134A" w:rsidP="00AA134A"/>
    <w:p w14:paraId="05A34AF4" w14:textId="77777777" w:rsidR="00AA134A" w:rsidRPr="005328DA" w:rsidRDefault="00AA134A" w:rsidP="006E18B4">
      <w:pPr>
        <w:jc w:val="center"/>
        <w:rPr>
          <w:b/>
        </w:rPr>
      </w:pPr>
      <w:r w:rsidRPr="005328DA">
        <w:rPr>
          <w:b/>
        </w:rPr>
        <w:t xml:space="preserve">Equation </w:t>
      </w:r>
      <w:proofErr w:type="gramStart"/>
      <w:r w:rsidRPr="005328DA">
        <w:rPr>
          <w:b/>
        </w:rPr>
        <w:t>1 Annual Energy Consumption</w:t>
      </w:r>
      <w:proofErr w:type="gramEnd"/>
    </w:p>
    <w:p w14:paraId="647F1735" w14:textId="77777777" w:rsidR="00AA134A" w:rsidRPr="005328DA" w:rsidRDefault="00AA134A" w:rsidP="00AA134A">
      <w:pPr>
        <w:jc w:val="center"/>
        <w:rPr>
          <w:i/>
        </w:rPr>
      </w:pPr>
    </w:p>
    <w:p w14:paraId="7AAA2F4C" w14:textId="77777777" w:rsidR="00AA134A" w:rsidRPr="005328DA" w:rsidRDefault="00AA134A" w:rsidP="00AA134A">
      <w:pPr>
        <w:jc w:val="center"/>
        <w:rPr>
          <w:i/>
        </w:rPr>
      </w:pPr>
      <w:r w:rsidRPr="005328DA">
        <w:rPr>
          <w:i/>
        </w:rPr>
        <w:t>Annual Energy Consumption (kWh/</w:t>
      </w:r>
      <w:proofErr w:type="spellStart"/>
      <w:r w:rsidRPr="005328DA">
        <w:rPr>
          <w:i/>
        </w:rPr>
        <w:t>yr</w:t>
      </w:r>
      <w:proofErr w:type="spellEnd"/>
      <w:r w:rsidRPr="005328DA">
        <w:rPr>
          <w:i/>
        </w:rPr>
        <w:t xml:space="preserve">) = Power (kW) × Daily Operating Hours × Days </w:t>
      </w:r>
      <w:proofErr w:type="gramStart"/>
      <w:r w:rsidRPr="005328DA">
        <w:rPr>
          <w:i/>
        </w:rPr>
        <w:t>Per</w:t>
      </w:r>
      <w:proofErr w:type="gramEnd"/>
      <w:r w:rsidRPr="005328DA">
        <w:rPr>
          <w:i/>
        </w:rPr>
        <w:t xml:space="preserve"> Year</w:t>
      </w:r>
    </w:p>
    <w:p w14:paraId="6DE56C78" w14:textId="77777777" w:rsidR="00AA134A" w:rsidRPr="005328DA" w:rsidRDefault="00AA134A" w:rsidP="00AA134A"/>
    <w:p w14:paraId="157F2D29" w14:textId="49D5BB63" w:rsidR="00AA134A" w:rsidRDefault="00AA134A" w:rsidP="00AA134A">
      <w:r>
        <w:t>Energy consumption was calculated for each of the 11 case study sites assuming 360 days per year</w:t>
      </w:r>
      <w:r>
        <w:rPr>
          <w:color w:val="000000"/>
        </w:rPr>
        <w:t>. The individual and average savings results for the case studies are listed in section 1.5.1.</w:t>
      </w:r>
    </w:p>
    <w:p w14:paraId="4AF43138" w14:textId="77777777" w:rsidR="00AA134A" w:rsidRDefault="00AA134A" w:rsidP="00AA134A"/>
    <w:p w14:paraId="15111B72" w14:textId="655FC3FD" w:rsidR="00AA134A" w:rsidRPr="005328DA" w:rsidRDefault="00AA134A" w:rsidP="00AA134A">
      <w:r w:rsidRPr="005328DA">
        <w:t xml:space="preserve">The normalized fan energy savings estimate is </w:t>
      </w:r>
      <w:proofErr w:type="gramStart"/>
      <w:r w:rsidRPr="005328DA">
        <w:t>4,</w:t>
      </w:r>
      <w:r>
        <w:t>423</w:t>
      </w:r>
      <w:r w:rsidRPr="005328DA">
        <w:t xml:space="preserve"> kWh/</w:t>
      </w:r>
      <w:proofErr w:type="spellStart"/>
      <w:r w:rsidRPr="005328DA">
        <w:t>yr</w:t>
      </w:r>
      <w:proofErr w:type="spellEnd"/>
      <w:r w:rsidRPr="005328DA">
        <w:t>/</w:t>
      </w:r>
      <w:proofErr w:type="spellStart"/>
      <w:r w:rsidRPr="005328DA">
        <w:t>Exh</w:t>
      </w:r>
      <w:proofErr w:type="spellEnd"/>
      <w:r w:rsidRPr="005328DA">
        <w:t xml:space="preserve"> HP,</w:t>
      </w:r>
      <w:proofErr w:type="gramEnd"/>
      <w:r w:rsidRPr="005328DA">
        <w:t xml:space="preserve"> and the normalized fan energy cost savings estimate is $5</w:t>
      </w:r>
      <w:r>
        <w:t>75</w:t>
      </w:r>
      <w:r w:rsidRPr="005328DA">
        <w:t>/</w:t>
      </w:r>
      <w:proofErr w:type="spellStart"/>
      <w:r w:rsidRPr="005328DA">
        <w:t>yr</w:t>
      </w:r>
      <w:proofErr w:type="spellEnd"/>
      <w:r w:rsidRPr="005328DA">
        <w:t>/</w:t>
      </w:r>
      <w:proofErr w:type="spellStart"/>
      <w:r w:rsidRPr="005328DA">
        <w:t>Exh</w:t>
      </w:r>
      <w:proofErr w:type="spellEnd"/>
      <w:r w:rsidRPr="005328DA">
        <w:t xml:space="preserve"> HP. The prescriptive normalized energy reduction and energy cost reduction are summarized in</w:t>
      </w:r>
      <w:r w:rsidR="00BD6415">
        <w:rPr>
          <w:rFonts w:cstheme="minorHAnsi"/>
        </w:rPr>
        <w:t xml:space="preserve"> t</w:t>
      </w:r>
      <w:r>
        <w:rPr>
          <w:rFonts w:cstheme="minorHAnsi"/>
        </w:rPr>
        <w:t>able shown below.</w:t>
      </w:r>
      <w:r w:rsidR="004C0471">
        <w:rPr>
          <w:rFonts w:cstheme="minorHAnsi"/>
        </w:rPr>
        <w:t xml:space="preserve"> See Attachments 3 and 4 for more details. </w:t>
      </w:r>
    </w:p>
    <w:p w14:paraId="4C569FAF" w14:textId="77777777" w:rsidR="00AA134A" w:rsidRPr="005328DA" w:rsidRDefault="00AA134A" w:rsidP="00AA134A"/>
    <w:p w14:paraId="3238CA0D" w14:textId="35FEA2E3" w:rsidR="00AA134A" w:rsidRPr="00F84453" w:rsidRDefault="00AA134A" w:rsidP="00AA134A">
      <w:pPr>
        <w:keepNext/>
      </w:pPr>
      <w:r w:rsidRPr="00F84453">
        <w:rPr>
          <w:b/>
        </w:rPr>
        <w:t>Summary of Demand Controlled</w:t>
      </w:r>
      <w:r w:rsidRPr="00B31630">
        <w:rPr>
          <w:b/>
        </w:rPr>
        <w:t xml:space="preserve"> Kitchen</w:t>
      </w:r>
      <w:r w:rsidRPr="00F84453">
        <w:rPr>
          <w:b/>
        </w:rPr>
        <w:t xml:space="preserve"> Ventilation Fan Energy Savings*</w:t>
      </w:r>
    </w:p>
    <w:tbl>
      <w:tblPr>
        <w:tblStyle w:val="TableGrid1"/>
        <w:tblW w:w="6952" w:type="dxa"/>
        <w:tblLook w:val="00A0" w:firstRow="1" w:lastRow="0" w:firstColumn="1" w:lastColumn="0" w:noHBand="0" w:noVBand="0"/>
      </w:tblPr>
      <w:tblGrid>
        <w:gridCol w:w="5636"/>
        <w:gridCol w:w="1316"/>
      </w:tblGrid>
      <w:tr w:rsidR="00AA134A" w:rsidRPr="001845DC" w14:paraId="49FA8A37" w14:textId="77777777" w:rsidTr="00BD6415">
        <w:trPr>
          <w:trHeight w:val="255"/>
        </w:trPr>
        <w:tc>
          <w:tcPr>
            <w:tcW w:w="5636" w:type="dxa"/>
            <w:shd w:val="clear" w:color="auto" w:fill="D9D9D9" w:themeFill="background1" w:themeFillShade="D9"/>
            <w:noWrap/>
          </w:tcPr>
          <w:p w14:paraId="47AC2785" w14:textId="77777777" w:rsidR="00AA134A" w:rsidRPr="00AA134A" w:rsidRDefault="00AA134A" w:rsidP="00BD6415">
            <w:pPr>
              <w:rPr>
                <w:b/>
              </w:rPr>
            </w:pPr>
            <w:r w:rsidRPr="00AA134A">
              <w:rPr>
                <w:rFonts w:cstheme="minorBidi"/>
                <w:b/>
              </w:rPr>
              <w:t>Average Rated Exhaust Fan Power (HP)</w:t>
            </w:r>
          </w:p>
        </w:tc>
        <w:tc>
          <w:tcPr>
            <w:tcW w:w="1316" w:type="dxa"/>
            <w:shd w:val="clear" w:color="auto" w:fill="D9D9D9" w:themeFill="background1" w:themeFillShade="D9"/>
            <w:noWrap/>
          </w:tcPr>
          <w:p w14:paraId="3274E824" w14:textId="77777777" w:rsidR="00AA134A" w:rsidRPr="00AA134A" w:rsidRDefault="00AA134A" w:rsidP="00BD6415">
            <w:pPr>
              <w:rPr>
                <w:b/>
              </w:rPr>
            </w:pPr>
            <w:r w:rsidRPr="00AA134A">
              <w:rPr>
                <w:rFonts w:cstheme="minorBidi"/>
                <w:b/>
              </w:rPr>
              <w:t>9.65</w:t>
            </w:r>
          </w:p>
        </w:tc>
      </w:tr>
      <w:tr w:rsidR="00AA134A" w:rsidRPr="001845DC" w14:paraId="4A483F1D" w14:textId="77777777" w:rsidTr="00BD6415">
        <w:trPr>
          <w:trHeight w:val="255"/>
        </w:trPr>
        <w:tc>
          <w:tcPr>
            <w:tcW w:w="5636" w:type="dxa"/>
            <w:noWrap/>
          </w:tcPr>
          <w:p w14:paraId="2B95315B" w14:textId="77777777" w:rsidR="00AA134A" w:rsidRPr="00D7783C" w:rsidRDefault="00AA134A" w:rsidP="00BD6415">
            <w:r w:rsidRPr="00D7783C">
              <w:rPr>
                <w:rFonts w:cstheme="minorBidi"/>
              </w:rPr>
              <w:t>Average Base Case Total Fan Power (kW)</w:t>
            </w:r>
          </w:p>
        </w:tc>
        <w:tc>
          <w:tcPr>
            <w:tcW w:w="1316" w:type="dxa"/>
            <w:noWrap/>
          </w:tcPr>
          <w:p w14:paraId="15932D94" w14:textId="77777777" w:rsidR="00AA134A" w:rsidRPr="00D7783C" w:rsidRDefault="00AA134A" w:rsidP="00BD6415">
            <w:r w:rsidRPr="00D7783C">
              <w:t>10.11</w:t>
            </w:r>
          </w:p>
        </w:tc>
      </w:tr>
      <w:tr w:rsidR="00AA134A" w:rsidRPr="001845DC" w14:paraId="76912BFD" w14:textId="77777777" w:rsidTr="00BD6415">
        <w:trPr>
          <w:trHeight w:val="255"/>
        </w:trPr>
        <w:tc>
          <w:tcPr>
            <w:tcW w:w="5636" w:type="dxa"/>
            <w:noWrap/>
          </w:tcPr>
          <w:p w14:paraId="50AA05CA" w14:textId="77777777" w:rsidR="00AA134A" w:rsidRPr="00D7783C" w:rsidRDefault="00AA134A" w:rsidP="00BD6415">
            <w:r w:rsidRPr="00D7783C">
              <w:rPr>
                <w:rFonts w:cstheme="minorBidi"/>
              </w:rPr>
              <w:t>Average Measure Case Total Fan Power (kW)</w:t>
            </w:r>
          </w:p>
        </w:tc>
        <w:tc>
          <w:tcPr>
            <w:tcW w:w="1316" w:type="dxa"/>
            <w:noWrap/>
          </w:tcPr>
          <w:p w14:paraId="25ACF073" w14:textId="77777777" w:rsidR="00AA134A" w:rsidRPr="00D7783C" w:rsidRDefault="00AA134A" w:rsidP="00BD6415">
            <w:r w:rsidRPr="00D7783C">
              <w:t>4.20</w:t>
            </w:r>
          </w:p>
        </w:tc>
      </w:tr>
      <w:tr w:rsidR="00AA134A" w:rsidRPr="001845DC" w14:paraId="06ADE258" w14:textId="77777777" w:rsidTr="00BD6415">
        <w:trPr>
          <w:trHeight w:val="255"/>
        </w:trPr>
        <w:tc>
          <w:tcPr>
            <w:tcW w:w="5636" w:type="dxa"/>
            <w:noWrap/>
          </w:tcPr>
          <w:p w14:paraId="3A517C4D" w14:textId="77777777" w:rsidR="00AA134A" w:rsidRPr="00D7783C" w:rsidRDefault="00AA134A" w:rsidP="00BD6415">
            <w:r w:rsidRPr="00D7783C">
              <w:rPr>
                <w:rFonts w:cstheme="minorBidi"/>
              </w:rPr>
              <w:t>Average Base Case Annual Fan Energy Consumption (kWh/</w:t>
            </w:r>
            <w:proofErr w:type="spellStart"/>
            <w:r w:rsidRPr="00D7783C">
              <w:rPr>
                <w:rFonts w:cstheme="minorBidi"/>
              </w:rPr>
              <w:t>yr</w:t>
            </w:r>
            <w:proofErr w:type="spellEnd"/>
            <w:r w:rsidRPr="00D7783C">
              <w:rPr>
                <w:rFonts w:cstheme="minorBidi"/>
              </w:rPr>
              <w:t>)</w:t>
            </w:r>
          </w:p>
        </w:tc>
        <w:tc>
          <w:tcPr>
            <w:tcW w:w="1316" w:type="dxa"/>
            <w:noWrap/>
          </w:tcPr>
          <w:p w14:paraId="631A6552" w14:textId="77777777" w:rsidR="00AA134A" w:rsidRPr="00D7783C" w:rsidRDefault="00AA134A" w:rsidP="00BD6415">
            <w:r w:rsidRPr="00D7783C">
              <w:rPr>
                <w:color w:val="000000"/>
              </w:rPr>
              <w:t>71,323</w:t>
            </w:r>
          </w:p>
        </w:tc>
      </w:tr>
      <w:tr w:rsidR="00AA134A" w:rsidRPr="001845DC" w14:paraId="6DF07FD9" w14:textId="77777777" w:rsidTr="00BD6415">
        <w:trPr>
          <w:trHeight w:val="255"/>
        </w:trPr>
        <w:tc>
          <w:tcPr>
            <w:tcW w:w="5636" w:type="dxa"/>
            <w:noWrap/>
          </w:tcPr>
          <w:p w14:paraId="57D0FE7E" w14:textId="77777777" w:rsidR="00AA134A" w:rsidRPr="00D7783C" w:rsidRDefault="00AA134A" w:rsidP="00BD6415">
            <w:r w:rsidRPr="00D7783C">
              <w:rPr>
                <w:rFonts w:cstheme="minorBidi"/>
              </w:rPr>
              <w:t>Average Measure Case Annual Fan Energy Consumption (kWh/</w:t>
            </w:r>
            <w:proofErr w:type="spellStart"/>
            <w:r w:rsidRPr="00D7783C">
              <w:rPr>
                <w:rFonts w:cstheme="minorBidi"/>
              </w:rPr>
              <w:t>yr</w:t>
            </w:r>
            <w:proofErr w:type="spellEnd"/>
            <w:r w:rsidRPr="00D7783C">
              <w:rPr>
                <w:rFonts w:cstheme="minorBidi"/>
              </w:rPr>
              <w:t>)</w:t>
            </w:r>
          </w:p>
        </w:tc>
        <w:tc>
          <w:tcPr>
            <w:tcW w:w="1316" w:type="dxa"/>
            <w:noWrap/>
          </w:tcPr>
          <w:p w14:paraId="07C00E47" w14:textId="77777777" w:rsidR="00AA134A" w:rsidRPr="00D7783C" w:rsidRDefault="00AA134A" w:rsidP="00BD6415">
            <w:r w:rsidRPr="00D7783C">
              <w:rPr>
                <w:color w:val="000000"/>
              </w:rPr>
              <w:t>28,636</w:t>
            </w:r>
          </w:p>
        </w:tc>
      </w:tr>
      <w:tr w:rsidR="00AA134A" w:rsidRPr="001845DC" w14:paraId="4F0FB7FA" w14:textId="77777777" w:rsidTr="00BD6415">
        <w:trPr>
          <w:trHeight w:val="255"/>
        </w:trPr>
        <w:tc>
          <w:tcPr>
            <w:tcW w:w="5636" w:type="dxa"/>
            <w:noWrap/>
          </w:tcPr>
          <w:p w14:paraId="3E65A1AA" w14:textId="77777777" w:rsidR="00AA134A" w:rsidRPr="00D7783C" w:rsidRDefault="00AA134A" w:rsidP="00BD6415">
            <w:r w:rsidRPr="00D7783C">
              <w:rPr>
                <w:rFonts w:cstheme="minorBidi"/>
              </w:rPr>
              <w:lastRenderedPageBreak/>
              <w:t>Average Annual Fan Energy Savings (kWh/</w:t>
            </w:r>
            <w:proofErr w:type="spellStart"/>
            <w:r w:rsidRPr="00D7783C">
              <w:rPr>
                <w:rFonts w:cstheme="minorBidi"/>
              </w:rPr>
              <w:t>yr</w:t>
            </w:r>
            <w:proofErr w:type="spellEnd"/>
            <w:r w:rsidRPr="00D7783C">
              <w:rPr>
                <w:rFonts w:cstheme="minorBidi"/>
              </w:rPr>
              <w:t>)</w:t>
            </w:r>
          </w:p>
        </w:tc>
        <w:tc>
          <w:tcPr>
            <w:tcW w:w="1316" w:type="dxa"/>
            <w:noWrap/>
          </w:tcPr>
          <w:p w14:paraId="5BF7DE15" w14:textId="77777777" w:rsidR="00AA134A" w:rsidRPr="00D7783C" w:rsidRDefault="00AA134A" w:rsidP="00BD6415">
            <w:r w:rsidRPr="00D7783C">
              <w:rPr>
                <w:color w:val="000000"/>
              </w:rPr>
              <w:t>42,686</w:t>
            </w:r>
          </w:p>
        </w:tc>
      </w:tr>
      <w:tr w:rsidR="00AA134A" w:rsidRPr="001845DC" w14:paraId="4B4A9907" w14:textId="77777777" w:rsidTr="00BD6415">
        <w:trPr>
          <w:trHeight w:val="255"/>
        </w:trPr>
        <w:tc>
          <w:tcPr>
            <w:tcW w:w="5636" w:type="dxa"/>
            <w:noWrap/>
          </w:tcPr>
          <w:p w14:paraId="2911BE53" w14:textId="77777777" w:rsidR="00AA134A" w:rsidRPr="00D7783C" w:rsidRDefault="00AA134A" w:rsidP="00BD6415">
            <w:r w:rsidRPr="00D7783C">
              <w:rPr>
                <w:rFonts w:cstheme="minorBidi"/>
              </w:rPr>
              <w:t>Normalized Base Case Fan Energy Consumption (kWh/</w:t>
            </w:r>
            <w:proofErr w:type="spellStart"/>
            <w:r w:rsidRPr="00D7783C">
              <w:rPr>
                <w:rFonts w:cstheme="minorBidi"/>
              </w:rPr>
              <w:t>yr</w:t>
            </w:r>
            <w:proofErr w:type="spellEnd"/>
            <w:r w:rsidRPr="00D7783C">
              <w:rPr>
                <w:rFonts w:cstheme="minorBidi"/>
              </w:rPr>
              <w:t>/</w:t>
            </w:r>
            <w:proofErr w:type="spellStart"/>
            <w:r w:rsidRPr="00D7783C">
              <w:rPr>
                <w:rFonts w:cstheme="minorBidi"/>
              </w:rPr>
              <w:t>Exh</w:t>
            </w:r>
            <w:proofErr w:type="spellEnd"/>
            <w:r w:rsidRPr="00D7783C">
              <w:rPr>
                <w:rFonts w:cstheme="minorBidi"/>
              </w:rPr>
              <w:t xml:space="preserve"> HP)</w:t>
            </w:r>
          </w:p>
        </w:tc>
        <w:tc>
          <w:tcPr>
            <w:tcW w:w="1316" w:type="dxa"/>
            <w:noWrap/>
          </w:tcPr>
          <w:p w14:paraId="28BF3B17" w14:textId="77777777" w:rsidR="00AA134A" w:rsidRPr="00D7783C" w:rsidRDefault="00AA134A" w:rsidP="00BD6415">
            <w:r w:rsidRPr="00D7783C">
              <w:rPr>
                <w:color w:val="000000"/>
              </w:rPr>
              <w:t>7,391</w:t>
            </w:r>
          </w:p>
        </w:tc>
      </w:tr>
      <w:tr w:rsidR="00AA134A" w:rsidRPr="001845DC" w14:paraId="7329171D" w14:textId="77777777" w:rsidTr="00BD6415">
        <w:trPr>
          <w:trHeight w:val="255"/>
        </w:trPr>
        <w:tc>
          <w:tcPr>
            <w:tcW w:w="5636" w:type="dxa"/>
            <w:noWrap/>
          </w:tcPr>
          <w:p w14:paraId="07DD79D0" w14:textId="77777777" w:rsidR="00AA134A" w:rsidRPr="00D7783C" w:rsidRDefault="00AA134A" w:rsidP="00BD6415">
            <w:r w:rsidRPr="00D7783C">
              <w:rPr>
                <w:rFonts w:cstheme="minorBidi"/>
              </w:rPr>
              <w:t>Normalized Measure Case Fan Energy Consumption (kWh/</w:t>
            </w:r>
            <w:proofErr w:type="spellStart"/>
            <w:r w:rsidRPr="00D7783C">
              <w:rPr>
                <w:rFonts w:cstheme="minorBidi"/>
              </w:rPr>
              <w:t>yr</w:t>
            </w:r>
            <w:proofErr w:type="spellEnd"/>
            <w:r w:rsidRPr="00D7783C">
              <w:rPr>
                <w:rFonts w:cstheme="minorBidi"/>
              </w:rPr>
              <w:t>/</w:t>
            </w:r>
            <w:proofErr w:type="spellStart"/>
            <w:r w:rsidRPr="00D7783C">
              <w:rPr>
                <w:rFonts w:cstheme="minorBidi"/>
              </w:rPr>
              <w:t>Exh</w:t>
            </w:r>
            <w:proofErr w:type="spellEnd"/>
            <w:r w:rsidRPr="00D7783C">
              <w:rPr>
                <w:rFonts w:cstheme="minorBidi"/>
              </w:rPr>
              <w:t xml:space="preserve"> HP)</w:t>
            </w:r>
          </w:p>
        </w:tc>
        <w:tc>
          <w:tcPr>
            <w:tcW w:w="1316" w:type="dxa"/>
            <w:noWrap/>
          </w:tcPr>
          <w:p w14:paraId="5696D2FD" w14:textId="77777777" w:rsidR="00AA134A" w:rsidRPr="00D7783C" w:rsidRDefault="00AA134A" w:rsidP="00BD6415">
            <w:r w:rsidRPr="00D7783C">
              <w:rPr>
                <w:color w:val="000000"/>
              </w:rPr>
              <w:t>2,968</w:t>
            </w:r>
          </w:p>
        </w:tc>
      </w:tr>
      <w:tr w:rsidR="00AA134A" w:rsidRPr="001845DC" w14:paraId="1A3E8992" w14:textId="77777777" w:rsidTr="00BD6415">
        <w:trPr>
          <w:trHeight w:val="255"/>
        </w:trPr>
        <w:tc>
          <w:tcPr>
            <w:tcW w:w="5636" w:type="dxa"/>
            <w:noWrap/>
          </w:tcPr>
          <w:p w14:paraId="0A68A042" w14:textId="77777777" w:rsidR="00AA134A" w:rsidRPr="00D7783C" w:rsidRDefault="00AA134A" w:rsidP="00BD6415">
            <w:r w:rsidRPr="00D7783C">
              <w:rPr>
                <w:rFonts w:cstheme="minorBidi"/>
              </w:rPr>
              <w:t>Normalized Fan Energy Savings (kWh/</w:t>
            </w:r>
            <w:proofErr w:type="spellStart"/>
            <w:r w:rsidRPr="00D7783C">
              <w:rPr>
                <w:rFonts w:cstheme="minorBidi"/>
              </w:rPr>
              <w:t>yr</w:t>
            </w:r>
            <w:proofErr w:type="spellEnd"/>
            <w:r w:rsidRPr="00D7783C">
              <w:rPr>
                <w:rFonts w:cstheme="minorBidi"/>
              </w:rPr>
              <w:t>/</w:t>
            </w:r>
            <w:proofErr w:type="spellStart"/>
            <w:r w:rsidRPr="00D7783C">
              <w:rPr>
                <w:rFonts w:cstheme="minorBidi"/>
              </w:rPr>
              <w:t>Exh</w:t>
            </w:r>
            <w:proofErr w:type="spellEnd"/>
            <w:r w:rsidRPr="00D7783C">
              <w:rPr>
                <w:rFonts w:cstheme="minorBidi"/>
              </w:rPr>
              <w:t xml:space="preserve"> HP)</w:t>
            </w:r>
          </w:p>
        </w:tc>
        <w:tc>
          <w:tcPr>
            <w:tcW w:w="1316" w:type="dxa"/>
            <w:noWrap/>
          </w:tcPr>
          <w:p w14:paraId="6AD8CD08" w14:textId="77777777" w:rsidR="00AA134A" w:rsidRPr="00D7783C" w:rsidRDefault="00AA134A" w:rsidP="00BD6415">
            <w:r w:rsidRPr="00D7783C">
              <w:rPr>
                <w:b/>
                <w:color w:val="000000"/>
              </w:rPr>
              <w:t>4,423</w:t>
            </w:r>
          </w:p>
        </w:tc>
      </w:tr>
      <w:tr w:rsidR="00AA134A" w:rsidRPr="001845DC" w14:paraId="6710DE9A" w14:textId="77777777" w:rsidTr="00BD6415">
        <w:trPr>
          <w:trHeight w:val="255"/>
        </w:trPr>
        <w:tc>
          <w:tcPr>
            <w:tcW w:w="5636" w:type="dxa"/>
            <w:noWrap/>
          </w:tcPr>
          <w:p w14:paraId="6C305B9C" w14:textId="77777777" w:rsidR="00AA134A" w:rsidRPr="00D7783C" w:rsidRDefault="00AA134A" w:rsidP="00BD6415">
            <w:r w:rsidRPr="00D7783C">
              <w:rPr>
                <w:rFonts w:cstheme="minorBidi"/>
              </w:rPr>
              <w:t>Applied Electric Rate ($/kWh)</w:t>
            </w:r>
          </w:p>
        </w:tc>
        <w:tc>
          <w:tcPr>
            <w:tcW w:w="1316" w:type="dxa"/>
            <w:noWrap/>
          </w:tcPr>
          <w:p w14:paraId="16376B02" w14:textId="77777777" w:rsidR="00AA134A" w:rsidRPr="00D7783C" w:rsidRDefault="00AA134A" w:rsidP="00BD6415">
            <w:r w:rsidRPr="00D7783C">
              <w:rPr>
                <w:color w:val="000000"/>
              </w:rPr>
              <w:t>$0.13</w:t>
            </w:r>
          </w:p>
        </w:tc>
      </w:tr>
      <w:tr w:rsidR="00AA134A" w:rsidRPr="001845DC" w14:paraId="555BB5FE" w14:textId="77777777" w:rsidTr="00BD6415">
        <w:trPr>
          <w:trHeight w:val="255"/>
        </w:trPr>
        <w:tc>
          <w:tcPr>
            <w:tcW w:w="5636" w:type="dxa"/>
            <w:noWrap/>
          </w:tcPr>
          <w:p w14:paraId="0D38A09A" w14:textId="77777777" w:rsidR="00AA134A" w:rsidRPr="00D7783C" w:rsidRDefault="00AA134A" w:rsidP="00BD6415">
            <w:r w:rsidRPr="00D7783C">
              <w:rPr>
                <w:rFonts w:cstheme="minorBidi"/>
              </w:rPr>
              <w:t>Average Base Case Annual Fan Energy Cost ($/</w:t>
            </w:r>
            <w:proofErr w:type="spellStart"/>
            <w:r w:rsidRPr="00D7783C">
              <w:rPr>
                <w:rFonts w:cstheme="minorBidi"/>
              </w:rPr>
              <w:t>yr</w:t>
            </w:r>
            <w:proofErr w:type="spellEnd"/>
            <w:r w:rsidRPr="00D7783C">
              <w:rPr>
                <w:rFonts w:cstheme="minorBidi"/>
              </w:rPr>
              <w:t>)</w:t>
            </w:r>
          </w:p>
        </w:tc>
        <w:tc>
          <w:tcPr>
            <w:tcW w:w="1316" w:type="dxa"/>
            <w:noWrap/>
          </w:tcPr>
          <w:p w14:paraId="5075E193" w14:textId="77777777" w:rsidR="00AA134A" w:rsidRPr="00D7783C" w:rsidRDefault="00AA134A" w:rsidP="00BD6415">
            <w:r w:rsidRPr="00D7783C">
              <w:rPr>
                <w:color w:val="000000"/>
              </w:rPr>
              <w:t>$9,272</w:t>
            </w:r>
          </w:p>
        </w:tc>
      </w:tr>
      <w:tr w:rsidR="00AA134A" w:rsidRPr="001845DC" w14:paraId="7F311316" w14:textId="77777777" w:rsidTr="00BD6415">
        <w:trPr>
          <w:trHeight w:val="255"/>
        </w:trPr>
        <w:tc>
          <w:tcPr>
            <w:tcW w:w="5636" w:type="dxa"/>
            <w:noWrap/>
          </w:tcPr>
          <w:p w14:paraId="3A61B933" w14:textId="77777777" w:rsidR="00AA134A" w:rsidRPr="00D7783C" w:rsidRDefault="00AA134A" w:rsidP="00BD6415">
            <w:r w:rsidRPr="00D7783C">
              <w:rPr>
                <w:rFonts w:cstheme="minorBidi"/>
              </w:rPr>
              <w:t>Average Measure Case Annual Fan Energy Cost ($/</w:t>
            </w:r>
            <w:proofErr w:type="spellStart"/>
            <w:r w:rsidRPr="00D7783C">
              <w:rPr>
                <w:rFonts w:cstheme="minorBidi"/>
              </w:rPr>
              <w:t>yr</w:t>
            </w:r>
            <w:proofErr w:type="spellEnd"/>
            <w:r w:rsidRPr="00D7783C">
              <w:rPr>
                <w:rFonts w:cstheme="minorBidi"/>
              </w:rPr>
              <w:t>)</w:t>
            </w:r>
          </w:p>
        </w:tc>
        <w:tc>
          <w:tcPr>
            <w:tcW w:w="1316" w:type="dxa"/>
            <w:noWrap/>
          </w:tcPr>
          <w:p w14:paraId="520AB0E5" w14:textId="77777777" w:rsidR="00AA134A" w:rsidRPr="00D7783C" w:rsidRDefault="00AA134A" w:rsidP="00BD6415">
            <w:r w:rsidRPr="00D7783C">
              <w:rPr>
                <w:color w:val="000000"/>
              </w:rPr>
              <w:t>$3,723</w:t>
            </w:r>
          </w:p>
        </w:tc>
      </w:tr>
      <w:tr w:rsidR="00AA134A" w:rsidRPr="001845DC" w14:paraId="793FCD43" w14:textId="77777777" w:rsidTr="00BD6415">
        <w:trPr>
          <w:trHeight w:val="255"/>
        </w:trPr>
        <w:tc>
          <w:tcPr>
            <w:tcW w:w="5636" w:type="dxa"/>
            <w:noWrap/>
          </w:tcPr>
          <w:p w14:paraId="18B6214A" w14:textId="77777777" w:rsidR="00AA134A" w:rsidRPr="00D7783C" w:rsidRDefault="00AA134A" w:rsidP="00BD6415">
            <w:r w:rsidRPr="00D7783C">
              <w:rPr>
                <w:rFonts w:cstheme="minorBidi"/>
              </w:rPr>
              <w:t>Average Annual Fan Energy Cost Savings ($/</w:t>
            </w:r>
            <w:proofErr w:type="spellStart"/>
            <w:r w:rsidRPr="00D7783C">
              <w:rPr>
                <w:rFonts w:cstheme="minorBidi"/>
              </w:rPr>
              <w:t>yr</w:t>
            </w:r>
            <w:proofErr w:type="spellEnd"/>
            <w:r w:rsidRPr="00D7783C">
              <w:rPr>
                <w:rFonts w:cstheme="minorBidi"/>
              </w:rPr>
              <w:t>)</w:t>
            </w:r>
          </w:p>
        </w:tc>
        <w:tc>
          <w:tcPr>
            <w:tcW w:w="1316" w:type="dxa"/>
            <w:noWrap/>
          </w:tcPr>
          <w:p w14:paraId="1E27D5BF" w14:textId="77777777" w:rsidR="00AA134A" w:rsidRPr="00D7783C" w:rsidRDefault="00AA134A" w:rsidP="00BD6415">
            <w:r w:rsidRPr="00D7783C">
              <w:rPr>
                <w:color w:val="000000"/>
              </w:rPr>
              <w:t>$5,549</w:t>
            </w:r>
          </w:p>
        </w:tc>
      </w:tr>
      <w:tr w:rsidR="00AA134A" w:rsidRPr="001845DC" w14:paraId="72287B86" w14:textId="77777777" w:rsidTr="00BD6415">
        <w:trPr>
          <w:trHeight w:val="255"/>
        </w:trPr>
        <w:tc>
          <w:tcPr>
            <w:tcW w:w="5636" w:type="dxa"/>
            <w:noWrap/>
          </w:tcPr>
          <w:p w14:paraId="1FB26B1E" w14:textId="77777777" w:rsidR="00AA134A" w:rsidRPr="00D7783C" w:rsidRDefault="00AA134A" w:rsidP="00BD6415">
            <w:r w:rsidRPr="00D7783C">
              <w:rPr>
                <w:rFonts w:cstheme="minorBidi"/>
              </w:rPr>
              <w:t>Normalized Fan Energy Cost Savings ($/</w:t>
            </w:r>
            <w:proofErr w:type="spellStart"/>
            <w:r w:rsidRPr="00D7783C">
              <w:rPr>
                <w:rFonts w:cstheme="minorBidi"/>
              </w:rPr>
              <w:t>yr</w:t>
            </w:r>
            <w:proofErr w:type="spellEnd"/>
            <w:r w:rsidRPr="00D7783C">
              <w:rPr>
                <w:rFonts w:cstheme="minorBidi"/>
              </w:rPr>
              <w:t>/</w:t>
            </w:r>
            <w:proofErr w:type="spellStart"/>
            <w:r w:rsidRPr="00D7783C">
              <w:rPr>
                <w:rFonts w:cstheme="minorBidi"/>
              </w:rPr>
              <w:t>Exh</w:t>
            </w:r>
            <w:proofErr w:type="spellEnd"/>
            <w:r w:rsidRPr="00D7783C">
              <w:rPr>
                <w:rFonts w:cstheme="minorBidi"/>
              </w:rPr>
              <w:t xml:space="preserve"> HP)</w:t>
            </w:r>
          </w:p>
        </w:tc>
        <w:tc>
          <w:tcPr>
            <w:tcW w:w="1316" w:type="dxa"/>
            <w:noWrap/>
          </w:tcPr>
          <w:p w14:paraId="1AC42768" w14:textId="77777777" w:rsidR="00AA134A" w:rsidRPr="00D7783C" w:rsidRDefault="00AA134A" w:rsidP="00BD6415">
            <w:r w:rsidRPr="00D7783C">
              <w:rPr>
                <w:b/>
                <w:color w:val="000000"/>
              </w:rPr>
              <w:t>$575</w:t>
            </w:r>
          </w:p>
        </w:tc>
      </w:tr>
    </w:tbl>
    <w:p w14:paraId="1617AD1B" w14:textId="5E04F29E" w:rsidR="00AA134A" w:rsidRPr="005328DA" w:rsidRDefault="00AA134A" w:rsidP="00AA134A">
      <w:pPr>
        <w:rPr>
          <w:sz w:val="20"/>
        </w:rPr>
      </w:pPr>
      <w:r w:rsidRPr="005328DA">
        <w:rPr>
          <w:sz w:val="20"/>
        </w:rPr>
        <w:t>*Based on the average results from eleven case studies</w:t>
      </w:r>
    </w:p>
    <w:p w14:paraId="2558AE2A" w14:textId="77777777" w:rsidR="00AA134A" w:rsidRPr="00F84453" w:rsidRDefault="00AA134A" w:rsidP="00AA134A">
      <w:pPr>
        <w:keepNext/>
        <w:spacing w:before="240" w:after="60"/>
        <w:outlineLvl w:val="2"/>
        <w:rPr>
          <w:smallCaps/>
          <w:sz w:val="28"/>
        </w:rPr>
      </w:pPr>
      <w:r w:rsidRPr="00F84453">
        <w:rPr>
          <w:b/>
          <w:smallCaps/>
          <w:sz w:val="28"/>
        </w:rPr>
        <w:t>2.2 Demand Reduction Calculation</w:t>
      </w:r>
    </w:p>
    <w:p w14:paraId="561E546D" w14:textId="58E6AFF2" w:rsidR="00AA134A" w:rsidRPr="005328DA" w:rsidRDefault="00AA134A" w:rsidP="00AA134A">
      <w:r w:rsidRPr="005328DA">
        <w:t xml:space="preserve">The demand reduction estimation is based on Base Case and Measure Case monitored power data from the eleven PG&amp;E FSTC and SCE FST </w:t>
      </w:r>
      <w:r w:rsidR="005B4CAC">
        <w:rPr>
          <w:color w:val="000000"/>
        </w:rPr>
        <w:t>(Attachments 3 and 4)</w:t>
      </w:r>
      <w:r w:rsidR="005B4CAC" w:rsidRPr="005328DA" w:rsidDel="005B4CAC">
        <w:t xml:space="preserve"> </w:t>
      </w:r>
      <w:r w:rsidRPr="005328DA">
        <w:t>case study sites. The normalized demand (kW/</w:t>
      </w:r>
      <w:proofErr w:type="spellStart"/>
      <w:r w:rsidRPr="005328DA">
        <w:t>Exh</w:t>
      </w:r>
      <w:proofErr w:type="spellEnd"/>
      <w:r w:rsidRPr="005328DA">
        <w:t xml:space="preserve"> HP) is based on the average rated exhaust fan horsepower of the eleven case study sites. It is important to note that although the demand reduction has been normalized per rated exhaust fan horsepower, the total system demand reduction reflects the total fan power reduction of the exhaust and makeup air fans of an average system. The normalized demand reduction for the eleven sites was 0.6</w:t>
      </w:r>
      <w:r>
        <w:t>12</w:t>
      </w:r>
      <w:r w:rsidRPr="005328DA">
        <w:t xml:space="preserve"> kW per rated exhaust fan horsepower. Applying a Coincidence Factor of 0.9 per the DEER methodology [26] yields a Coincident Demand Reduction of 0.5</w:t>
      </w:r>
      <w:r>
        <w:t>51</w:t>
      </w:r>
      <w:r w:rsidRPr="005328DA">
        <w:t xml:space="preserve"> kW. </w:t>
      </w:r>
      <w:proofErr w:type="gramStart"/>
      <w:r w:rsidR="00C81E79">
        <w:t xml:space="preserve">Table below </w:t>
      </w:r>
      <w:r w:rsidRPr="005328DA">
        <w:t>shows the Base Case and Measure Case demand, and average and normalized demand reduction.</w:t>
      </w:r>
      <w:proofErr w:type="gramEnd"/>
      <w:r w:rsidR="004C0471">
        <w:t xml:space="preserve"> </w:t>
      </w:r>
      <w:r w:rsidR="004C0471">
        <w:rPr>
          <w:rFonts w:cstheme="minorHAnsi"/>
        </w:rPr>
        <w:t>See Attachments 3 and 4 for more details.</w:t>
      </w:r>
    </w:p>
    <w:p w14:paraId="6499CB43" w14:textId="77777777" w:rsidR="00AA134A" w:rsidRDefault="00AA134A" w:rsidP="00AA134A">
      <w:pPr>
        <w:jc w:val="center"/>
      </w:pPr>
    </w:p>
    <w:p w14:paraId="22DAD9D5" w14:textId="1587B2FA" w:rsidR="00AA134A" w:rsidRPr="00F84453" w:rsidRDefault="00AA134A" w:rsidP="00C81E79">
      <w:pPr>
        <w:keepNext/>
      </w:pPr>
      <w:r w:rsidRPr="00F84453">
        <w:rPr>
          <w:b/>
        </w:rPr>
        <w:t>Summary of Demand Controlled</w:t>
      </w:r>
      <w:r w:rsidRPr="006460C2">
        <w:rPr>
          <w:b/>
        </w:rPr>
        <w:t xml:space="preserve"> Kitchen</w:t>
      </w:r>
      <w:r w:rsidRPr="00F84453">
        <w:rPr>
          <w:b/>
        </w:rPr>
        <w:t xml:space="preserve"> Ventilation Fan Demand Savings*</w:t>
      </w:r>
    </w:p>
    <w:tbl>
      <w:tblPr>
        <w:tblStyle w:val="TableGrid1"/>
        <w:tblW w:w="6511" w:type="dxa"/>
        <w:tblLook w:val="00A0" w:firstRow="1" w:lastRow="0" w:firstColumn="1" w:lastColumn="0" w:noHBand="0" w:noVBand="0"/>
      </w:tblPr>
      <w:tblGrid>
        <w:gridCol w:w="5636"/>
        <w:gridCol w:w="875"/>
      </w:tblGrid>
      <w:tr w:rsidR="00AA134A" w:rsidRPr="001845DC" w14:paraId="4E1D3E5E" w14:textId="77777777" w:rsidTr="00BD6415">
        <w:trPr>
          <w:trHeight w:val="255"/>
        </w:trPr>
        <w:tc>
          <w:tcPr>
            <w:tcW w:w="5636" w:type="dxa"/>
            <w:shd w:val="clear" w:color="auto" w:fill="D9D9D9" w:themeFill="background1" w:themeFillShade="D9"/>
            <w:noWrap/>
          </w:tcPr>
          <w:p w14:paraId="40E38F94" w14:textId="77777777" w:rsidR="00AA134A" w:rsidRPr="00C81E79" w:rsidRDefault="00AA134A" w:rsidP="00BD6415">
            <w:pPr>
              <w:rPr>
                <w:b/>
              </w:rPr>
            </w:pPr>
            <w:r w:rsidRPr="00C81E79">
              <w:rPr>
                <w:rFonts w:cstheme="minorBidi"/>
                <w:b/>
              </w:rPr>
              <w:t>Average Rated Exhaust Fan Power (HP)</w:t>
            </w:r>
          </w:p>
        </w:tc>
        <w:tc>
          <w:tcPr>
            <w:tcW w:w="875" w:type="dxa"/>
            <w:shd w:val="clear" w:color="auto" w:fill="D9D9D9" w:themeFill="background1" w:themeFillShade="D9"/>
            <w:noWrap/>
          </w:tcPr>
          <w:p w14:paraId="7507FA60" w14:textId="77777777" w:rsidR="00AA134A" w:rsidRPr="00C81E79" w:rsidRDefault="00AA134A" w:rsidP="00BD6415">
            <w:pPr>
              <w:rPr>
                <w:b/>
              </w:rPr>
            </w:pPr>
            <w:r w:rsidRPr="00C81E79">
              <w:rPr>
                <w:rFonts w:cstheme="minorBidi"/>
                <w:b/>
              </w:rPr>
              <w:t>9.65</w:t>
            </w:r>
          </w:p>
        </w:tc>
      </w:tr>
      <w:tr w:rsidR="00AA134A" w:rsidRPr="001845DC" w14:paraId="64F02806" w14:textId="77777777" w:rsidTr="00BD6415">
        <w:trPr>
          <w:trHeight w:val="255"/>
        </w:trPr>
        <w:tc>
          <w:tcPr>
            <w:tcW w:w="5636" w:type="dxa"/>
            <w:noWrap/>
          </w:tcPr>
          <w:p w14:paraId="52EE81FA" w14:textId="77777777" w:rsidR="00AA134A" w:rsidRPr="00D7783C" w:rsidRDefault="00AA134A" w:rsidP="00BD6415">
            <w:r w:rsidRPr="00D7783C">
              <w:rPr>
                <w:rFonts w:cstheme="minorBidi"/>
              </w:rPr>
              <w:t>Average Base Case Total Fan Power (kW)</w:t>
            </w:r>
          </w:p>
        </w:tc>
        <w:tc>
          <w:tcPr>
            <w:tcW w:w="875" w:type="dxa"/>
            <w:noWrap/>
          </w:tcPr>
          <w:p w14:paraId="22FD27E4" w14:textId="77777777" w:rsidR="00AA134A" w:rsidRPr="00D7783C" w:rsidRDefault="00AA134A" w:rsidP="00BD6415">
            <w:r w:rsidRPr="00D7783C">
              <w:rPr>
                <w:rFonts w:cstheme="minorBidi"/>
              </w:rPr>
              <w:t>10.11</w:t>
            </w:r>
          </w:p>
        </w:tc>
      </w:tr>
      <w:tr w:rsidR="00AA134A" w:rsidRPr="001845DC" w14:paraId="71A4CD54" w14:textId="77777777" w:rsidTr="00BD6415">
        <w:trPr>
          <w:trHeight w:val="255"/>
        </w:trPr>
        <w:tc>
          <w:tcPr>
            <w:tcW w:w="5636" w:type="dxa"/>
            <w:noWrap/>
          </w:tcPr>
          <w:p w14:paraId="6C3C51FB" w14:textId="77777777" w:rsidR="00AA134A" w:rsidRPr="00D7783C" w:rsidRDefault="00AA134A" w:rsidP="00BD6415">
            <w:r w:rsidRPr="00D7783C">
              <w:rPr>
                <w:rFonts w:cstheme="minorBidi"/>
              </w:rPr>
              <w:t>Average Measure Case Total Fan Power (kW)</w:t>
            </w:r>
          </w:p>
        </w:tc>
        <w:tc>
          <w:tcPr>
            <w:tcW w:w="875" w:type="dxa"/>
            <w:noWrap/>
          </w:tcPr>
          <w:p w14:paraId="61220849" w14:textId="77777777" w:rsidR="00AA134A" w:rsidRPr="00D7783C" w:rsidRDefault="00AA134A" w:rsidP="00BD6415">
            <w:r w:rsidRPr="00D7783C">
              <w:rPr>
                <w:rFonts w:cstheme="minorBidi"/>
              </w:rPr>
              <w:t>4.20</w:t>
            </w:r>
          </w:p>
        </w:tc>
      </w:tr>
      <w:tr w:rsidR="00AA134A" w:rsidRPr="001845DC" w14:paraId="2EE72023" w14:textId="77777777" w:rsidTr="00BD6415">
        <w:trPr>
          <w:trHeight w:val="255"/>
        </w:trPr>
        <w:tc>
          <w:tcPr>
            <w:tcW w:w="5636" w:type="dxa"/>
            <w:noWrap/>
          </w:tcPr>
          <w:p w14:paraId="5A661689" w14:textId="77777777" w:rsidR="00AA134A" w:rsidRPr="00D7783C" w:rsidRDefault="00AA134A" w:rsidP="00BD6415">
            <w:r w:rsidRPr="00D7783C">
              <w:rPr>
                <w:rFonts w:cstheme="minorBidi"/>
              </w:rPr>
              <w:t>Average Demand Reduction (kW)</w:t>
            </w:r>
          </w:p>
        </w:tc>
        <w:tc>
          <w:tcPr>
            <w:tcW w:w="875" w:type="dxa"/>
            <w:noWrap/>
          </w:tcPr>
          <w:p w14:paraId="197B6BE6" w14:textId="77777777" w:rsidR="00AA134A" w:rsidRPr="00D7783C" w:rsidRDefault="00AA134A" w:rsidP="00BD6415">
            <w:r w:rsidRPr="00D7783C">
              <w:rPr>
                <w:rFonts w:cstheme="minorBidi"/>
              </w:rPr>
              <w:t>5.91</w:t>
            </w:r>
          </w:p>
        </w:tc>
      </w:tr>
      <w:tr w:rsidR="00AA134A" w:rsidRPr="001845DC" w14:paraId="320F1993" w14:textId="77777777" w:rsidTr="00BD6415">
        <w:trPr>
          <w:trHeight w:val="255"/>
        </w:trPr>
        <w:tc>
          <w:tcPr>
            <w:tcW w:w="5636" w:type="dxa"/>
            <w:noWrap/>
          </w:tcPr>
          <w:p w14:paraId="73C8A06D" w14:textId="77777777" w:rsidR="00AA134A" w:rsidRPr="00D7783C" w:rsidRDefault="00AA134A" w:rsidP="00BD6415">
            <w:r w:rsidRPr="00D7783C">
              <w:rPr>
                <w:rFonts w:cstheme="minorBidi"/>
              </w:rPr>
              <w:t>Normalized Demand Reduction (kW/</w:t>
            </w:r>
            <w:proofErr w:type="spellStart"/>
            <w:r w:rsidRPr="00D7783C">
              <w:rPr>
                <w:rFonts w:cstheme="minorBidi"/>
              </w:rPr>
              <w:t>Exh</w:t>
            </w:r>
            <w:proofErr w:type="spellEnd"/>
            <w:r w:rsidRPr="00D7783C">
              <w:rPr>
                <w:rFonts w:cstheme="minorBidi"/>
              </w:rPr>
              <w:t xml:space="preserve"> HP)</w:t>
            </w:r>
          </w:p>
        </w:tc>
        <w:tc>
          <w:tcPr>
            <w:tcW w:w="875" w:type="dxa"/>
            <w:noWrap/>
          </w:tcPr>
          <w:p w14:paraId="72BF5AE6" w14:textId="77777777" w:rsidR="00AA134A" w:rsidRPr="00D7783C" w:rsidRDefault="00AA134A" w:rsidP="00BD6415">
            <w:r w:rsidRPr="00D7783C">
              <w:rPr>
                <w:rFonts w:cstheme="minorBidi"/>
              </w:rPr>
              <w:t>0.612</w:t>
            </w:r>
          </w:p>
        </w:tc>
      </w:tr>
      <w:tr w:rsidR="00AA134A" w:rsidRPr="001845DC" w14:paraId="51E15A7B" w14:textId="77777777" w:rsidTr="00BD6415">
        <w:trPr>
          <w:trHeight w:val="255"/>
        </w:trPr>
        <w:tc>
          <w:tcPr>
            <w:tcW w:w="5636" w:type="dxa"/>
            <w:noWrap/>
          </w:tcPr>
          <w:p w14:paraId="0854E529" w14:textId="77777777" w:rsidR="00AA134A" w:rsidRPr="00D7783C" w:rsidRDefault="00AA134A" w:rsidP="00BD6415">
            <w:r w:rsidRPr="00D7783C">
              <w:rPr>
                <w:rFonts w:cstheme="minorBidi"/>
              </w:rPr>
              <w:t>Coincident Demand Reduction (kWh/</w:t>
            </w:r>
            <w:proofErr w:type="spellStart"/>
            <w:r w:rsidRPr="00D7783C">
              <w:rPr>
                <w:rFonts w:cstheme="minorBidi"/>
              </w:rPr>
              <w:t>Exh</w:t>
            </w:r>
            <w:proofErr w:type="spellEnd"/>
            <w:r w:rsidRPr="00D7783C">
              <w:rPr>
                <w:rFonts w:cstheme="minorBidi"/>
              </w:rPr>
              <w:t xml:space="preserve"> HP)</w:t>
            </w:r>
          </w:p>
        </w:tc>
        <w:tc>
          <w:tcPr>
            <w:tcW w:w="875" w:type="dxa"/>
            <w:noWrap/>
          </w:tcPr>
          <w:p w14:paraId="3BE817AF" w14:textId="77777777" w:rsidR="00AA134A" w:rsidRPr="00D7783C" w:rsidRDefault="00AA134A" w:rsidP="00BD6415">
            <w:r w:rsidRPr="00D7783C">
              <w:rPr>
                <w:rFonts w:cstheme="minorBidi"/>
                <w:b/>
              </w:rPr>
              <w:t>0.551</w:t>
            </w:r>
          </w:p>
        </w:tc>
      </w:tr>
    </w:tbl>
    <w:p w14:paraId="4D590C94" w14:textId="11E9D56C" w:rsidR="00AA134A" w:rsidRPr="005328DA" w:rsidRDefault="00AA134A" w:rsidP="00C81E79">
      <w:pPr>
        <w:rPr>
          <w:sz w:val="20"/>
        </w:rPr>
      </w:pPr>
      <w:r w:rsidRPr="005328DA">
        <w:rPr>
          <w:sz w:val="20"/>
        </w:rPr>
        <w:t>*Based on the average results from eleven case studies</w:t>
      </w:r>
    </w:p>
    <w:p w14:paraId="19E9DDBD" w14:textId="77777777" w:rsidR="00AA134A" w:rsidRPr="00F84453" w:rsidRDefault="00AA134A" w:rsidP="00AA134A">
      <w:pPr>
        <w:keepNext/>
        <w:spacing w:before="240" w:after="60"/>
        <w:outlineLvl w:val="2"/>
        <w:rPr>
          <w:smallCaps/>
          <w:sz w:val="28"/>
        </w:rPr>
      </w:pPr>
      <w:r w:rsidRPr="00F84453">
        <w:rPr>
          <w:b/>
          <w:smallCaps/>
          <w:sz w:val="28"/>
        </w:rPr>
        <w:t>2.3 Gas Energy Savings Calculation</w:t>
      </w:r>
    </w:p>
    <w:p w14:paraId="3BEC513C" w14:textId="3635E581" w:rsidR="00AA134A" w:rsidRPr="005328DA" w:rsidRDefault="00AA134A" w:rsidP="00AA134A">
      <w:r w:rsidRPr="005328DA">
        <w:t xml:space="preserve">Gas energy savings were determined using data from both the eleven case study sites </w:t>
      </w:r>
      <w:r w:rsidR="005B4CAC">
        <w:rPr>
          <w:color w:val="000000"/>
        </w:rPr>
        <w:t xml:space="preserve">(Attachments 3 and 4) </w:t>
      </w:r>
      <w:r w:rsidRPr="005328DA">
        <w:t>and the 72 field sites</w:t>
      </w:r>
      <w:r w:rsidR="00867DBF">
        <w:t xml:space="preserve"> (</w:t>
      </w:r>
      <w:r w:rsidR="00867DBF">
        <w:rPr>
          <w:color w:val="000000"/>
        </w:rPr>
        <w:t>Attachment 5)</w:t>
      </w:r>
      <w:r w:rsidRPr="005328DA">
        <w:t xml:space="preserve">. </w:t>
      </w:r>
    </w:p>
    <w:p w14:paraId="73F53FC3" w14:textId="77777777" w:rsidR="00AA134A" w:rsidRPr="005328DA" w:rsidRDefault="00AA134A" w:rsidP="00AA134A"/>
    <w:p w14:paraId="229C1B4C" w14:textId="09C0F19B" w:rsidR="00AA134A" w:rsidRPr="005328DA" w:rsidRDefault="00AA134A" w:rsidP="00AA134A">
      <w:r w:rsidRPr="005328DA">
        <w:t xml:space="preserve">The average base case outdoor air load thermal requirements determined by using the </w:t>
      </w:r>
      <w:r w:rsidR="00B42A8C">
        <w:t xml:space="preserve">Food Service Technology Center (FSTC) </w:t>
      </w:r>
      <w:r w:rsidRPr="005328DA">
        <w:t xml:space="preserve">Outdoor </w:t>
      </w:r>
      <w:proofErr w:type="spellStart"/>
      <w:r w:rsidRPr="005328DA">
        <w:t>Airload</w:t>
      </w:r>
      <w:proofErr w:type="spellEnd"/>
      <w:r w:rsidRPr="005328DA">
        <w:t xml:space="preserve"> Calculator (OAC) for the 16 climate zones in California and inputting the average airflow rate and operating time values from the 72 field sites documented by PG&amp;E FSTC, SCE FTC and Honeywell/</w:t>
      </w:r>
      <w:proofErr w:type="spellStart"/>
      <w:r w:rsidRPr="005328DA">
        <w:t>Melink</w:t>
      </w:r>
      <w:proofErr w:type="spellEnd"/>
      <w:r w:rsidRPr="005328DA">
        <w:t xml:space="preserve"> </w:t>
      </w:r>
      <w:r w:rsidR="00867DBF">
        <w:t>(</w:t>
      </w:r>
      <w:r w:rsidR="00867DBF">
        <w:rPr>
          <w:color w:val="000000"/>
        </w:rPr>
        <w:t>Attachment 5)</w:t>
      </w:r>
      <w:r w:rsidRPr="005328DA">
        <w:t xml:space="preserve">. The average values used from the field data included a 14,000 cfm exhaust airflow rate and 17 hours of operation (input time: 7:00 AM to 12 midnight). The outdoor makeup airflow rate was taken to be 11,200 cfm or 80% of the exhaust airflow rate (specification typical rule of thumb). The inputs also assumed a heating </w:t>
      </w:r>
      <w:proofErr w:type="spellStart"/>
      <w:r w:rsidRPr="005328DA">
        <w:t>setpoint</w:t>
      </w:r>
      <w:proofErr w:type="spellEnd"/>
      <w:r w:rsidRPr="005328DA">
        <w:t xml:space="preserve"> of 65°F, no dehumidification and no lock-out months. The output is summarized in Attachment </w:t>
      </w:r>
      <w:r w:rsidR="00867DBF">
        <w:t>6.</w:t>
      </w:r>
    </w:p>
    <w:p w14:paraId="59CFE509" w14:textId="77777777" w:rsidR="00AA134A" w:rsidRPr="005328DA" w:rsidRDefault="00AA134A" w:rsidP="00AA134A"/>
    <w:p w14:paraId="17926D7A" w14:textId="1711CBAC" w:rsidR="00AA134A" w:rsidRPr="005328DA" w:rsidRDefault="00AA134A" w:rsidP="00AA134A">
      <w:r w:rsidRPr="005328DA">
        <w:lastRenderedPageBreak/>
        <w:t>The gas energy savings were based on an assumed heating system efficiency of 80%, and a 2</w:t>
      </w:r>
      <w:r>
        <w:t>5</w:t>
      </w:r>
      <w:r w:rsidRPr="005328DA">
        <w:t xml:space="preserve">% average reduction in fan speed (and thus airflow rate) as determined from the eleven SCE FTC and PG&amp;E FSTC </w:t>
      </w:r>
      <w:r w:rsidR="005B4CAC">
        <w:rPr>
          <w:color w:val="000000"/>
        </w:rPr>
        <w:t>(Attachments 3 and 4)</w:t>
      </w:r>
      <w:r w:rsidR="005B4CAC" w:rsidRPr="005328DA" w:rsidDel="005B4CAC">
        <w:t xml:space="preserve"> </w:t>
      </w:r>
      <w:r w:rsidRPr="005328DA">
        <w:t>case study sites.</w:t>
      </w:r>
    </w:p>
    <w:p w14:paraId="677EA7AD" w14:textId="77777777" w:rsidR="00AA134A" w:rsidRPr="005328DA" w:rsidRDefault="00AA134A" w:rsidP="00AA134A"/>
    <w:p w14:paraId="535CEF80" w14:textId="77777777" w:rsidR="00BD6415" w:rsidRDefault="00BD6415" w:rsidP="00AA134A">
      <w:pPr>
        <w:jc w:val="center"/>
        <w:rPr>
          <w:b/>
        </w:rPr>
      </w:pPr>
    </w:p>
    <w:p w14:paraId="00F38732" w14:textId="77777777" w:rsidR="00AA134A" w:rsidRPr="005328DA" w:rsidRDefault="00AA134A" w:rsidP="00BD6415">
      <w:pPr>
        <w:rPr>
          <w:b/>
        </w:rPr>
      </w:pPr>
      <w:r w:rsidRPr="005328DA">
        <w:rPr>
          <w:b/>
        </w:rPr>
        <w:t>Equation 2 Annual Gas Savings</w:t>
      </w:r>
    </w:p>
    <w:p w14:paraId="1996397F" w14:textId="77777777" w:rsidR="00AA134A" w:rsidRPr="005328DA" w:rsidRDefault="00AA134A" w:rsidP="00AA134A">
      <w:pPr>
        <w:jc w:val="center"/>
      </w:pPr>
      <m:oMathPara>
        <m:oMathParaPr>
          <m:jc m:val="center"/>
        </m:oMathParaPr>
        <m:oMath>
          <m:r>
            <m:rPr>
              <m:sty m:val="p"/>
            </m:rPr>
            <w:rPr>
              <w:rFonts w:ascii="Cambria Math" w:hAnsi="Cambria Math"/>
              <w:sz w:val="20"/>
              <w:szCs w:val="20"/>
            </w:rPr>
            <w:br/>
          </m:r>
        </m:oMath>
        <m:oMath>
          <m:r>
            <w:rPr>
              <w:rFonts w:ascii="Cambria Math" w:hAnsi="Cambria Math"/>
              <w:sz w:val="20"/>
              <w:szCs w:val="20"/>
            </w:rPr>
            <m:t>Annual Gas Savings (therm)=</m:t>
          </m:r>
          <m:f>
            <m:fPr>
              <m:ctrlPr>
                <w:rPr>
                  <w:rFonts w:ascii="Cambria Math" w:hAnsi="Cambria Math"/>
                  <w:i/>
                  <w:sz w:val="20"/>
                  <w:szCs w:val="20"/>
                </w:rPr>
              </m:ctrlPr>
            </m:fPr>
            <m:num>
              <m:r>
                <w:rPr>
                  <w:rFonts w:ascii="Cambria Math" w:hAnsi="Cambria Math"/>
                  <w:sz w:val="20"/>
                  <w:szCs w:val="20"/>
                </w:rPr>
                <m:t>O.A.C. Heating Output (kBtu)×Average Fan Speed Reduction %</m:t>
              </m:r>
            </m:num>
            <m:den>
              <m:r>
                <w:rPr>
                  <w:rFonts w:ascii="Cambria Math" w:hAnsi="Cambria Math"/>
                  <w:sz w:val="20"/>
                  <w:szCs w:val="20"/>
                </w:rPr>
                <m:t>Heating System Efficiency×100</m:t>
              </m:r>
              <m:f>
                <m:fPr>
                  <m:type m:val="lin"/>
                  <m:ctrlPr>
                    <w:rPr>
                      <w:rFonts w:ascii="Cambria Math" w:hAnsi="Cambria Math"/>
                      <w:i/>
                      <w:sz w:val="20"/>
                      <w:szCs w:val="20"/>
                    </w:rPr>
                  </m:ctrlPr>
                </m:fPr>
                <m:num>
                  <m:r>
                    <w:rPr>
                      <w:rFonts w:ascii="Cambria Math" w:hAnsi="Cambria Math"/>
                      <w:sz w:val="20"/>
                      <w:szCs w:val="20"/>
                    </w:rPr>
                    <m:t>(kBtu</m:t>
                  </m:r>
                </m:num>
                <m:den>
                  <m:r>
                    <w:rPr>
                      <w:rFonts w:ascii="Cambria Math" w:hAnsi="Cambria Math"/>
                      <w:sz w:val="20"/>
                      <w:szCs w:val="20"/>
                    </w:rPr>
                    <m:t>therm)</m:t>
                  </m:r>
                </m:den>
              </m:f>
            </m:den>
          </m:f>
        </m:oMath>
      </m:oMathPara>
    </w:p>
    <w:p w14:paraId="332876AF" w14:textId="77777777" w:rsidR="00AA134A" w:rsidRPr="005328DA" w:rsidRDefault="00AA134A" w:rsidP="00AA134A">
      <w:pPr>
        <w:rPr>
          <w:sz w:val="20"/>
        </w:rPr>
      </w:pPr>
    </w:p>
    <w:p w14:paraId="325DE9BC" w14:textId="5DEF8031" w:rsidR="00AA134A" w:rsidRPr="005328DA" w:rsidRDefault="00AA134A" w:rsidP="00AA134A">
      <w:r w:rsidRPr="005328DA">
        <w:t>The normalized natural gas savings are based on savings per rated exhaust fan horsepower (correlating average airflow rate cfm to average rated exhaust fan horsepower). The 72-site average was 14.3 rated exhaust fan horsepower. For incentive simplicity, the facility types and the climate zones were averaged to generate a single normalized gas savings value. The normalized natural gas savings for 16 climate zones averaged 10</w:t>
      </w:r>
      <w:r>
        <w:t>1</w:t>
      </w:r>
      <w:r w:rsidRPr="005328DA">
        <w:t xml:space="preserve"> </w:t>
      </w:r>
      <w:proofErr w:type="spellStart"/>
      <w:r w:rsidRPr="005328DA">
        <w:t>therms</w:t>
      </w:r>
      <w:proofErr w:type="spellEnd"/>
      <w:r w:rsidRPr="005328DA">
        <w:t xml:space="preserve"> per rated exhaust fan horsepower and ranged between a minimum of 38 and a maximum of 219 </w:t>
      </w:r>
      <w:proofErr w:type="spellStart"/>
      <w:r w:rsidRPr="005328DA">
        <w:t>therms</w:t>
      </w:r>
      <w:proofErr w:type="spellEnd"/>
      <w:r w:rsidRPr="005328DA">
        <w:t xml:space="preserve"> per rated exhaust fan horsepower. The normalized gas savings summary is shown in</w:t>
      </w:r>
      <w:r w:rsidR="00864A0D">
        <w:rPr>
          <w:rFonts w:cstheme="minorHAnsi"/>
        </w:rPr>
        <w:t xml:space="preserve"> Table below</w:t>
      </w:r>
      <w:r w:rsidRPr="005328DA">
        <w:t>.</w:t>
      </w:r>
      <w:r w:rsidR="004C0471">
        <w:t xml:space="preserve"> </w:t>
      </w:r>
      <w:r w:rsidR="004C0471">
        <w:rPr>
          <w:rFonts w:cstheme="minorHAnsi"/>
        </w:rPr>
        <w:t>See Attachments 3 and 4 for more details.</w:t>
      </w:r>
    </w:p>
    <w:p w14:paraId="57DC9E6F" w14:textId="77777777" w:rsidR="00AA134A" w:rsidRPr="00A317DD" w:rsidRDefault="00AA134A" w:rsidP="00AA134A">
      <w:pPr>
        <w:jc w:val="center"/>
      </w:pPr>
    </w:p>
    <w:p w14:paraId="490EF3DE" w14:textId="3DBFA766" w:rsidR="00AA134A" w:rsidRPr="005328DA" w:rsidRDefault="00AA134A" w:rsidP="00864A0D">
      <w:pPr>
        <w:keepNext/>
      </w:pPr>
      <w:r w:rsidRPr="00F84453">
        <w:rPr>
          <w:b/>
        </w:rPr>
        <w:t>Summary of Gas Savings by Climate Zone</w:t>
      </w:r>
    </w:p>
    <w:tbl>
      <w:tblPr>
        <w:tblStyle w:val="TableGrid1"/>
        <w:tblW w:w="4906" w:type="pct"/>
        <w:tblLook w:val="01E0" w:firstRow="1" w:lastRow="1" w:firstColumn="1" w:lastColumn="1" w:noHBand="0" w:noVBand="0"/>
      </w:tblPr>
      <w:tblGrid>
        <w:gridCol w:w="1618"/>
        <w:gridCol w:w="1573"/>
        <w:gridCol w:w="1879"/>
        <w:gridCol w:w="1573"/>
        <w:gridCol w:w="1212"/>
        <w:gridCol w:w="1541"/>
      </w:tblGrid>
      <w:tr w:rsidR="00864A0D" w:rsidRPr="000F130A" w14:paraId="37804D7D" w14:textId="77777777" w:rsidTr="005636AD">
        <w:tc>
          <w:tcPr>
            <w:tcW w:w="861" w:type="pct"/>
            <w:shd w:val="clear" w:color="auto" w:fill="D9D9D9" w:themeFill="background1" w:themeFillShade="D9"/>
          </w:tcPr>
          <w:p w14:paraId="5DAE602B" w14:textId="77777777" w:rsidR="00AA134A" w:rsidRPr="00864A0D" w:rsidRDefault="00AA134A" w:rsidP="00BD6415">
            <w:pPr>
              <w:rPr>
                <w:b/>
                <w:highlight w:val="yellow"/>
              </w:rPr>
            </w:pPr>
            <w:r w:rsidRPr="00864A0D">
              <w:rPr>
                <w:rFonts w:cstheme="minorBidi"/>
                <w:b/>
              </w:rPr>
              <w:t>Climate Zone</w:t>
            </w:r>
          </w:p>
        </w:tc>
        <w:tc>
          <w:tcPr>
            <w:tcW w:w="837" w:type="pct"/>
            <w:shd w:val="clear" w:color="auto" w:fill="D9D9D9" w:themeFill="background1" w:themeFillShade="D9"/>
          </w:tcPr>
          <w:p w14:paraId="05AC2745" w14:textId="77777777" w:rsidR="00AA134A" w:rsidRPr="00864A0D" w:rsidRDefault="00AA134A" w:rsidP="00BD6415">
            <w:pPr>
              <w:rPr>
                <w:b/>
                <w:highlight w:val="yellow"/>
              </w:rPr>
            </w:pPr>
            <w:r w:rsidRPr="00864A0D">
              <w:rPr>
                <w:rFonts w:cstheme="minorBidi"/>
                <w:b/>
              </w:rPr>
              <w:t>OAC Output (</w:t>
            </w:r>
            <w:proofErr w:type="spellStart"/>
            <w:r w:rsidRPr="00864A0D">
              <w:rPr>
                <w:rFonts w:cstheme="minorBidi"/>
                <w:b/>
              </w:rPr>
              <w:t>kBtu</w:t>
            </w:r>
            <w:proofErr w:type="spellEnd"/>
            <w:r w:rsidRPr="00864A0D">
              <w:rPr>
                <w:rFonts w:cstheme="minorBidi"/>
                <w:b/>
              </w:rPr>
              <w:t>/</w:t>
            </w:r>
            <w:proofErr w:type="spellStart"/>
            <w:r w:rsidRPr="00864A0D">
              <w:rPr>
                <w:rFonts w:cstheme="minorBidi"/>
                <w:b/>
              </w:rPr>
              <w:t>yr</w:t>
            </w:r>
            <w:proofErr w:type="spellEnd"/>
            <w:r w:rsidRPr="00864A0D">
              <w:rPr>
                <w:rFonts w:cstheme="minorBidi"/>
                <w:b/>
              </w:rPr>
              <w:t>)</w:t>
            </w:r>
          </w:p>
        </w:tc>
        <w:tc>
          <w:tcPr>
            <w:tcW w:w="1000" w:type="pct"/>
            <w:shd w:val="clear" w:color="auto" w:fill="D9D9D9" w:themeFill="background1" w:themeFillShade="D9"/>
          </w:tcPr>
          <w:p w14:paraId="386B26C8" w14:textId="77777777" w:rsidR="00AA134A" w:rsidRPr="00864A0D" w:rsidRDefault="00AA134A" w:rsidP="00BD6415">
            <w:pPr>
              <w:rPr>
                <w:b/>
              </w:rPr>
            </w:pPr>
            <w:r w:rsidRPr="00864A0D">
              <w:rPr>
                <w:rFonts w:cstheme="minorBidi"/>
                <w:b/>
              </w:rPr>
              <w:t>Base Case Heating Energy (</w:t>
            </w:r>
            <w:proofErr w:type="spellStart"/>
            <w:r w:rsidRPr="00864A0D">
              <w:rPr>
                <w:rFonts w:cstheme="minorBidi"/>
                <w:b/>
              </w:rPr>
              <w:t>kBtu</w:t>
            </w:r>
            <w:proofErr w:type="spellEnd"/>
            <w:r w:rsidRPr="00864A0D">
              <w:rPr>
                <w:rFonts w:cstheme="minorBidi"/>
                <w:b/>
              </w:rPr>
              <w:t>/</w:t>
            </w:r>
            <w:proofErr w:type="spellStart"/>
            <w:r w:rsidRPr="00864A0D">
              <w:rPr>
                <w:rFonts w:cstheme="minorBidi"/>
                <w:b/>
              </w:rPr>
              <w:t>yr</w:t>
            </w:r>
            <w:proofErr w:type="spellEnd"/>
            <w:r w:rsidRPr="00864A0D">
              <w:rPr>
                <w:rFonts w:cstheme="minorBidi"/>
                <w:b/>
              </w:rPr>
              <w:t>)</w:t>
            </w:r>
          </w:p>
        </w:tc>
        <w:tc>
          <w:tcPr>
            <w:tcW w:w="837" w:type="pct"/>
            <w:shd w:val="clear" w:color="auto" w:fill="D9D9D9" w:themeFill="background1" w:themeFillShade="D9"/>
          </w:tcPr>
          <w:p w14:paraId="01BBA0A6" w14:textId="77777777" w:rsidR="00AA134A" w:rsidRPr="00864A0D" w:rsidRDefault="00AA134A" w:rsidP="00BD6415">
            <w:pPr>
              <w:rPr>
                <w:b/>
              </w:rPr>
            </w:pPr>
            <w:r w:rsidRPr="00864A0D">
              <w:rPr>
                <w:rFonts w:cstheme="minorBidi"/>
                <w:b/>
              </w:rPr>
              <w:t>Measure Case Heating energy (</w:t>
            </w:r>
            <w:proofErr w:type="spellStart"/>
            <w:r w:rsidRPr="00864A0D">
              <w:rPr>
                <w:rFonts w:cstheme="minorBidi"/>
                <w:b/>
              </w:rPr>
              <w:t>kBtu</w:t>
            </w:r>
            <w:proofErr w:type="spellEnd"/>
            <w:r w:rsidRPr="00864A0D">
              <w:rPr>
                <w:rFonts w:cstheme="minorBidi"/>
                <w:b/>
              </w:rPr>
              <w:t>/</w:t>
            </w:r>
            <w:proofErr w:type="spellStart"/>
            <w:r w:rsidRPr="00864A0D">
              <w:rPr>
                <w:rFonts w:cstheme="minorBidi"/>
                <w:b/>
              </w:rPr>
              <w:t>yr</w:t>
            </w:r>
            <w:proofErr w:type="spellEnd"/>
            <w:r w:rsidRPr="00864A0D">
              <w:rPr>
                <w:rFonts w:cstheme="minorBidi"/>
                <w:b/>
              </w:rPr>
              <w:t>)</w:t>
            </w:r>
          </w:p>
        </w:tc>
        <w:tc>
          <w:tcPr>
            <w:tcW w:w="645" w:type="pct"/>
            <w:shd w:val="clear" w:color="auto" w:fill="D9D9D9" w:themeFill="background1" w:themeFillShade="D9"/>
          </w:tcPr>
          <w:p w14:paraId="160EB98E" w14:textId="77777777" w:rsidR="00AA134A" w:rsidRPr="00864A0D" w:rsidRDefault="00AA134A" w:rsidP="00BD6415">
            <w:pPr>
              <w:rPr>
                <w:b/>
              </w:rPr>
            </w:pPr>
            <w:r w:rsidRPr="00864A0D">
              <w:rPr>
                <w:rFonts w:cstheme="minorBidi"/>
                <w:b/>
              </w:rPr>
              <w:t>Natural Gas Savings (</w:t>
            </w:r>
            <w:proofErr w:type="spellStart"/>
            <w:r w:rsidRPr="00864A0D">
              <w:rPr>
                <w:rFonts w:cstheme="minorBidi"/>
                <w:b/>
              </w:rPr>
              <w:t>therms</w:t>
            </w:r>
            <w:proofErr w:type="spellEnd"/>
            <w:r w:rsidRPr="00864A0D">
              <w:rPr>
                <w:rFonts w:cstheme="minorBidi"/>
                <w:b/>
              </w:rPr>
              <w:t>/</w:t>
            </w:r>
            <w:proofErr w:type="spellStart"/>
            <w:r w:rsidRPr="00864A0D">
              <w:rPr>
                <w:rFonts w:cstheme="minorBidi"/>
                <w:b/>
              </w:rPr>
              <w:t>yr</w:t>
            </w:r>
            <w:proofErr w:type="spellEnd"/>
            <w:r w:rsidRPr="00864A0D">
              <w:rPr>
                <w:rFonts w:cstheme="minorBidi"/>
                <w:b/>
              </w:rPr>
              <w:t>)</w:t>
            </w:r>
          </w:p>
        </w:tc>
        <w:tc>
          <w:tcPr>
            <w:tcW w:w="820" w:type="pct"/>
            <w:shd w:val="clear" w:color="auto" w:fill="D9D9D9" w:themeFill="background1" w:themeFillShade="D9"/>
          </w:tcPr>
          <w:p w14:paraId="4DF1275F" w14:textId="77777777" w:rsidR="00AA134A" w:rsidRPr="00864A0D" w:rsidRDefault="00AA134A" w:rsidP="00BD6415">
            <w:pPr>
              <w:rPr>
                <w:b/>
              </w:rPr>
            </w:pPr>
            <w:r w:rsidRPr="00864A0D">
              <w:rPr>
                <w:rFonts w:cstheme="minorBidi"/>
                <w:b/>
              </w:rPr>
              <w:t>Natural Gas Savings (</w:t>
            </w:r>
            <w:proofErr w:type="spellStart"/>
            <w:r w:rsidRPr="00864A0D">
              <w:rPr>
                <w:rFonts w:cstheme="minorBidi"/>
                <w:b/>
              </w:rPr>
              <w:t>therms</w:t>
            </w:r>
            <w:proofErr w:type="spellEnd"/>
            <w:r w:rsidRPr="00864A0D">
              <w:rPr>
                <w:rFonts w:cstheme="minorBidi"/>
                <w:b/>
              </w:rPr>
              <w:t>/</w:t>
            </w:r>
            <w:proofErr w:type="spellStart"/>
            <w:r w:rsidRPr="00864A0D">
              <w:rPr>
                <w:rFonts w:cstheme="minorBidi"/>
                <w:b/>
              </w:rPr>
              <w:t>yr</w:t>
            </w:r>
            <w:proofErr w:type="spellEnd"/>
            <w:r w:rsidRPr="00864A0D">
              <w:rPr>
                <w:rFonts w:cstheme="minorBidi"/>
                <w:b/>
              </w:rPr>
              <w:t>/</w:t>
            </w:r>
            <w:proofErr w:type="spellStart"/>
            <w:r w:rsidRPr="00864A0D">
              <w:rPr>
                <w:rFonts w:cstheme="minorBidi"/>
                <w:b/>
              </w:rPr>
              <w:t>Exh</w:t>
            </w:r>
            <w:proofErr w:type="spellEnd"/>
            <w:r w:rsidRPr="00864A0D">
              <w:rPr>
                <w:rFonts w:cstheme="minorBidi"/>
                <w:b/>
              </w:rPr>
              <w:t xml:space="preserve"> HP)</w:t>
            </w:r>
          </w:p>
        </w:tc>
      </w:tr>
      <w:tr w:rsidR="004C0471" w:rsidRPr="000F130A" w14:paraId="128BBD56" w14:textId="77777777" w:rsidTr="005636AD">
        <w:trPr>
          <w:trHeight w:val="152"/>
        </w:trPr>
        <w:tc>
          <w:tcPr>
            <w:tcW w:w="861" w:type="pct"/>
          </w:tcPr>
          <w:p w14:paraId="5029966A" w14:textId="20BF39C9" w:rsidR="004C0471" w:rsidRPr="00D7783C" w:rsidRDefault="004C0471" w:rsidP="004C0471">
            <w:r w:rsidRPr="00FF3A63">
              <w:t>1</w:t>
            </w:r>
          </w:p>
        </w:tc>
        <w:tc>
          <w:tcPr>
            <w:tcW w:w="837" w:type="pct"/>
          </w:tcPr>
          <w:p w14:paraId="667C50D3" w14:textId="6318A59D" w:rsidR="004C0471" w:rsidRPr="00D7783C" w:rsidRDefault="004C0471" w:rsidP="004C0471">
            <w:r w:rsidRPr="00FF3A63">
              <w:t>777,247</w:t>
            </w:r>
          </w:p>
        </w:tc>
        <w:tc>
          <w:tcPr>
            <w:tcW w:w="1000" w:type="pct"/>
          </w:tcPr>
          <w:p w14:paraId="4A359335" w14:textId="439670D2" w:rsidR="004C0471" w:rsidRPr="00D7783C" w:rsidRDefault="004C0471" w:rsidP="004C0471">
            <w:r w:rsidRPr="00FF3A63">
              <w:t>971,559</w:t>
            </w:r>
          </w:p>
        </w:tc>
        <w:tc>
          <w:tcPr>
            <w:tcW w:w="837" w:type="pct"/>
          </w:tcPr>
          <w:p w14:paraId="045D28F5" w14:textId="7D72FAA2" w:rsidR="004C0471" w:rsidRPr="00D7783C" w:rsidRDefault="004C0471" w:rsidP="004C0471">
            <w:r w:rsidRPr="00FF3A63">
              <w:t>728,669</w:t>
            </w:r>
          </w:p>
        </w:tc>
        <w:tc>
          <w:tcPr>
            <w:tcW w:w="645" w:type="pct"/>
          </w:tcPr>
          <w:p w14:paraId="04F8E42C" w14:textId="3F060A98" w:rsidR="004C0471" w:rsidRPr="00D7783C" w:rsidRDefault="004C0471" w:rsidP="004C0471">
            <w:r w:rsidRPr="00FF3A63">
              <w:t>2,429</w:t>
            </w:r>
          </w:p>
        </w:tc>
        <w:tc>
          <w:tcPr>
            <w:tcW w:w="820" w:type="pct"/>
          </w:tcPr>
          <w:p w14:paraId="5B56230E" w14:textId="65D138B7" w:rsidR="004C0471" w:rsidRPr="00D7783C" w:rsidRDefault="004C0471" w:rsidP="004C0471">
            <w:r w:rsidRPr="00FF3A63">
              <w:t>170</w:t>
            </w:r>
          </w:p>
        </w:tc>
      </w:tr>
      <w:tr w:rsidR="004C0471" w:rsidRPr="000F130A" w14:paraId="587D8422" w14:textId="77777777" w:rsidTr="005636AD">
        <w:tc>
          <w:tcPr>
            <w:tcW w:w="861" w:type="pct"/>
          </w:tcPr>
          <w:p w14:paraId="15EB3947" w14:textId="2679B9F8" w:rsidR="004C0471" w:rsidRPr="00D7783C" w:rsidRDefault="004C0471" w:rsidP="004C0471">
            <w:r w:rsidRPr="00FF3A63">
              <w:t>2</w:t>
            </w:r>
          </w:p>
        </w:tc>
        <w:tc>
          <w:tcPr>
            <w:tcW w:w="837" w:type="pct"/>
          </w:tcPr>
          <w:p w14:paraId="7C0112A2" w14:textId="26E031BE" w:rsidR="004C0471" w:rsidRPr="00D7783C" w:rsidRDefault="004C0471" w:rsidP="004C0471">
            <w:r w:rsidRPr="00FF3A63">
              <w:t>609,224</w:t>
            </w:r>
          </w:p>
        </w:tc>
        <w:tc>
          <w:tcPr>
            <w:tcW w:w="1000" w:type="pct"/>
          </w:tcPr>
          <w:p w14:paraId="5034D9BF" w14:textId="01E106EA" w:rsidR="004C0471" w:rsidRPr="00D7783C" w:rsidRDefault="004C0471" w:rsidP="004C0471">
            <w:r w:rsidRPr="00FF3A63">
              <w:t>761,530</w:t>
            </w:r>
          </w:p>
        </w:tc>
        <w:tc>
          <w:tcPr>
            <w:tcW w:w="837" w:type="pct"/>
          </w:tcPr>
          <w:p w14:paraId="169248D5" w14:textId="30D2FE06" w:rsidR="004C0471" w:rsidRPr="00D7783C" w:rsidRDefault="004C0471" w:rsidP="004C0471">
            <w:r w:rsidRPr="00FF3A63">
              <w:t>571,148</w:t>
            </w:r>
          </w:p>
        </w:tc>
        <w:tc>
          <w:tcPr>
            <w:tcW w:w="645" w:type="pct"/>
          </w:tcPr>
          <w:p w14:paraId="0500E20F" w14:textId="2967FCCE" w:rsidR="004C0471" w:rsidRPr="00D7783C" w:rsidRDefault="004C0471" w:rsidP="004C0471">
            <w:r w:rsidRPr="00FF3A63">
              <w:t>1,904</w:t>
            </w:r>
          </w:p>
        </w:tc>
        <w:tc>
          <w:tcPr>
            <w:tcW w:w="820" w:type="pct"/>
          </w:tcPr>
          <w:p w14:paraId="0DED024A" w14:textId="155A4667" w:rsidR="004C0471" w:rsidRPr="00D7783C" w:rsidRDefault="004C0471" w:rsidP="004C0471">
            <w:r w:rsidRPr="00FF3A63">
              <w:t>133</w:t>
            </w:r>
          </w:p>
        </w:tc>
      </w:tr>
      <w:tr w:rsidR="004C0471" w:rsidRPr="002A3D26" w14:paraId="60E56655" w14:textId="77777777" w:rsidTr="005636AD">
        <w:tc>
          <w:tcPr>
            <w:tcW w:w="861" w:type="pct"/>
          </w:tcPr>
          <w:p w14:paraId="6242EF7B" w14:textId="434B8F8C" w:rsidR="004C0471" w:rsidRPr="00D7783C" w:rsidRDefault="004C0471" w:rsidP="004C0471">
            <w:r w:rsidRPr="00FF3A63">
              <w:t>3</w:t>
            </w:r>
          </w:p>
        </w:tc>
        <w:tc>
          <w:tcPr>
            <w:tcW w:w="837" w:type="pct"/>
          </w:tcPr>
          <w:p w14:paraId="3CEA2770" w14:textId="44CEB531" w:rsidR="004C0471" w:rsidRPr="00D7783C" w:rsidRDefault="004C0471" w:rsidP="004C0471">
            <w:pPr>
              <w:rPr>
                <w:color w:val="000000"/>
              </w:rPr>
            </w:pPr>
            <w:r w:rsidRPr="00FF3A63">
              <w:t>510,934</w:t>
            </w:r>
          </w:p>
        </w:tc>
        <w:tc>
          <w:tcPr>
            <w:tcW w:w="1000" w:type="pct"/>
          </w:tcPr>
          <w:p w14:paraId="7DF7C0C9" w14:textId="4909EFA4" w:rsidR="004C0471" w:rsidRPr="00D7783C" w:rsidRDefault="004C0471" w:rsidP="004C0471">
            <w:pPr>
              <w:rPr>
                <w:color w:val="000000"/>
              </w:rPr>
            </w:pPr>
            <w:r w:rsidRPr="00FF3A63">
              <w:t>638,668</w:t>
            </w:r>
          </w:p>
        </w:tc>
        <w:tc>
          <w:tcPr>
            <w:tcW w:w="837" w:type="pct"/>
          </w:tcPr>
          <w:p w14:paraId="24ABDBB4" w14:textId="1D3B546D" w:rsidR="004C0471" w:rsidRPr="00D7783C" w:rsidRDefault="004C0471" w:rsidP="004C0471">
            <w:r w:rsidRPr="00FF3A63">
              <w:t>479,001</w:t>
            </w:r>
          </w:p>
        </w:tc>
        <w:tc>
          <w:tcPr>
            <w:tcW w:w="645" w:type="pct"/>
          </w:tcPr>
          <w:p w14:paraId="70184574" w14:textId="08229804" w:rsidR="004C0471" w:rsidRPr="00D7783C" w:rsidRDefault="004C0471" w:rsidP="004C0471">
            <w:r w:rsidRPr="00FF3A63">
              <w:t>1,597</w:t>
            </w:r>
          </w:p>
        </w:tc>
        <w:tc>
          <w:tcPr>
            <w:tcW w:w="820" w:type="pct"/>
          </w:tcPr>
          <w:p w14:paraId="6E2D74C4" w14:textId="322E90B2" w:rsidR="004C0471" w:rsidRPr="00D7783C" w:rsidRDefault="004C0471" w:rsidP="004C0471">
            <w:r w:rsidRPr="00FF3A63">
              <w:t>112</w:t>
            </w:r>
          </w:p>
        </w:tc>
      </w:tr>
      <w:tr w:rsidR="004C0471" w:rsidRPr="000F130A" w14:paraId="33A696CD" w14:textId="77777777" w:rsidTr="005636AD">
        <w:tc>
          <w:tcPr>
            <w:tcW w:w="861" w:type="pct"/>
          </w:tcPr>
          <w:p w14:paraId="5B93B0B5" w14:textId="3F71BBD4" w:rsidR="004C0471" w:rsidRPr="00D7783C" w:rsidRDefault="004C0471" w:rsidP="004C0471">
            <w:r w:rsidRPr="00FF3A63">
              <w:t>4</w:t>
            </w:r>
          </w:p>
        </w:tc>
        <w:tc>
          <w:tcPr>
            <w:tcW w:w="837" w:type="pct"/>
          </w:tcPr>
          <w:p w14:paraId="4BEEE3D3" w14:textId="093F9294" w:rsidR="004C0471" w:rsidRPr="00D7783C" w:rsidRDefault="004C0471" w:rsidP="004C0471">
            <w:pPr>
              <w:rPr>
                <w:color w:val="000000"/>
              </w:rPr>
            </w:pPr>
            <w:r w:rsidRPr="00FF3A63">
              <w:t>466,873</w:t>
            </w:r>
          </w:p>
        </w:tc>
        <w:tc>
          <w:tcPr>
            <w:tcW w:w="1000" w:type="pct"/>
          </w:tcPr>
          <w:p w14:paraId="26A6E7DA" w14:textId="66E6F415" w:rsidR="004C0471" w:rsidRPr="00D7783C" w:rsidRDefault="004C0471" w:rsidP="004C0471">
            <w:pPr>
              <w:rPr>
                <w:color w:val="000000"/>
              </w:rPr>
            </w:pPr>
            <w:r w:rsidRPr="00FF3A63">
              <w:t>583,591</w:t>
            </w:r>
          </w:p>
        </w:tc>
        <w:tc>
          <w:tcPr>
            <w:tcW w:w="837" w:type="pct"/>
          </w:tcPr>
          <w:p w14:paraId="6C1953A2" w14:textId="452EABEF" w:rsidR="004C0471" w:rsidRPr="00D7783C" w:rsidRDefault="004C0471" w:rsidP="004C0471">
            <w:r w:rsidRPr="00FF3A63">
              <w:t>437,693</w:t>
            </w:r>
          </w:p>
        </w:tc>
        <w:tc>
          <w:tcPr>
            <w:tcW w:w="645" w:type="pct"/>
          </w:tcPr>
          <w:p w14:paraId="22AA6BF5" w14:textId="2A86D5A7" w:rsidR="004C0471" w:rsidRPr="00D7783C" w:rsidRDefault="004C0471" w:rsidP="004C0471">
            <w:r w:rsidRPr="00FF3A63">
              <w:t>1,459</w:t>
            </w:r>
          </w:p>
        </w:tc>
        <w:tc>
          <w:tcPr>
            <w:tcW w:w="820" w:type="pct"/>
          </w:tcPr>
          <w:p w14:paraId="7EFC6473" w14:textId="11BF3BBE" w:rsidR="004C0471" w:rsidRPr="00D7783C" w:rsidRDefault="004C0471" w:rsidP="004C0471">
            <w:r w:rsidRPr="00FF3A63">
              <w:t>102</w:t>
            </w:r>
          </w:p>
        </w:tc>
      </w:tr>
      <w:tr w:rsidR="004C0471" w:rsidRPr="000F130A" w14:paraId="52446A4E" w14:textId="77777777" w:rsidTr="005636AD">
        <w:tc>
          <w:tcPr>
            <w:tcW w:w="861" w:type="pct"/>
          </w:tcPr>
          <w:p w14:paraId="18F3F63D" w14:textId="706393DB" w:rsidR="004C0471" w:rsidRPr="00D7783C" w:rsidRDefault="004C0471" w:rsidP="004C0471">
            <w:r w:rsidRPr="00FF3A63">
              <w:t>5</w:t>
            </w:r>
          </w:p>
        </w:tc>
        <w:tc>
          <w:tcPr>
            <w:tcW w:w="837" w:type="pct"/>
          </w:tcPr>
          <w:p w14:paraId="623A4BBD" w14:textId="372C1C5D" w:rsidR="004C0471" w:rsidRPr="00D7783C" w:rsidRDefault="004C0471" w:rsidP="004C0471">
            <w:pPr>
              <w:rPr>
                <w:color w:val="000000"/>
              </w:rPr>
            </w:pPr>
            <w:r w:rsidRPr="00FF3A63">
              <w:t>486,129</w:t>
            </w:r>
          </w:p>
        </w:tc>
        <w:tc>
          <w:tcPr>
            <w:tcW w:w="1000" w:type="pct"/>
          </w:tcPr>
          <w:p w14:paraId="717879BC" w14:textId="3248F387" w:rsidR="004C0471" w:rsidRPr="00D7783C" w:rsidRDefault="004C0471" w:rsidP="004C0471">
            <w:pPr>
              <w:rPr>
                <w:color w:val="000000"/>
              </w:rPr>
            </w:pPr>
            <w:r w:rsidRPr="00FF3A63">
              <w:t>607,661</w:t>
            </w:r>
          </w:p>
        </w:tc>
        <w:tc>
          <w:tcPr>
            <w:tcW w:w="837" w:type="pct"/>
          </w:tcPr>
          <w:p w14:paraId="35E3069A" w14:textId="33B3506B" w:rsidR="004C0471" w:rsidRPr="00D7783C" w:rsidRDefault="004C0471" w:rsidP="004C0471">
            <w:r w:rsidRPr="00FF3A63">
              <w:t>455,746</w:t>
            </w:r>
          </w:p>
        </w:tc>
        <w:tc>
          <w:tcPr>
            <w:tcW w:w="645" w:type="pct"/>
          </w:tcPr>
          <w:p w14:paraId="61810B99" w14:textId="0120F290" w:rsidR="004C0471" w:rsidRPr="00D7783C" w:rsidRDefault="004C0471" w:rsidP="004C0471">
            <w:r w:rsidRPr="00FF3A63">
              <w:t>1,519</w:t>
            </w:r>
          </w:p>
        </w:tc>
        <w:tc>
          <w:tcPr>
            <w:tcW w:w="820" w:type="pct"/>
          </w:tcPr>
          <w:p w14:paraId="2EA6DBA1" w14:textId="6806420C" w:rsidR="004C0471" w:rsidRPr="00D7783C" w:rsidRDefault="004C0471" w:rsidP="004C0471">
            <w:r w:rsidRPr="00FF3A63">
              <w:t>106</w:t>
            </w:r>
          </w:p>
        </w:tc>
      </w:tr>
      <w:tr w:rsidR="004C0471" w:rsidRPr="000F130A" w14:paraId="7A96B734" w14:textId="77777777" w:rsidTr="005636AD">
        <w:tc>
          <w:tcPr>
            <w:tcW w:w="861" w:type="pct"/>
          </w:tcPr>
          <w:p w14:paraId="25AF22BB" w14:textId="5320A7FE" w:rsidR="004C0471" w:rsidRPr="00D7783C" w:rsidRDefault="004C0471" w:rsidP="004C0471">
            <w:r w:rsidRPr="00FF3A63">
              <w:t>6</w:t>
            </w:r>
          </w:p>
        </w:tc>
        <w:tc>
          <w:tcPr>
            <w:tcW w:w="837" w:type="pct"/>
          </w:tcPr>
          <w:p w14:paraId="4AD42518" w14:textId="26D99437" w:rsidR="004C0471" w:rsidRPr="00D7783C" w:rsidRDefault="004C0471" w:rsidP="004C0471">
            <w:pPr>
              <w:rPr>
                <w:color w:val="000000"/>
              </w:rPr>
            </w:pPr>
            <w:r w:rsidRPr="00FF3A63">
              <w:t>296,319</w:t>
            </w:r>
          </w:p>
        </w:tc>
        <w:tc>
          <w:tcPr>
            <w:tcW w:w="1000" w:type="pct"/>
          </w:tcPr>
          <w:p w14:paraId="479FD64C" w14:textId="0417CCC3" w:rsidR="004C0471" w:rsidRPr="00D7783C" w:rsidRDefault="004C0471" w:rsidP="004C0471">
            <w:pPr>
              <w:rPr>
                <w:color w:val="000000"/>
              </w:rPr>
            </w:pPr>
            <w:r w:rsidRPr="00FF3A63">
              <w:t>370,399</w:t>
            </w:r>
          </w:p>
        </w:tc>
        <w:tc>
          <w:tcPr>
            <w:tcW w:w="837" w:type="pct"/>
          </w:tcPr>
          <w:p w14:paraId="59ECED83" w14:textId="201712F5" w:rsidR="004C0471" w:rsidRPr="00D7783C" w:rsidRDefault="004C0471" w:rsidP="004C0471">
            <w:r w:rsidRPr="00FF3A63">
              <w:t>277,799</w:t>
            </w:r>
          </w:p>
        </w:tc>
        <w:tc>
          <w:tcPr>
            <w:tcW w:w="645" w:type="pct"/>
          </w:tcPr>
          <w:p w14:paraId="71609480" w14:textId="303F0ABC" w:rsidR="004C0471" w:rsidRPr="00D7783C" w:rsidRDefault="004C0471" w:rsidP="004C0471">
            <w:r w:rsidRPr="00FF3A63">
              <w:t>926</w:t>
            </w:r>
          </w:p>
        </w:tc>
        <w:tc>
          <w:tcPr>
            <w:tcW w:w="820" w:type="pct"/>
          </w:tcPr>
          <w:p w14:paraId="212DF181" w14:textId="7D8B9DF1" w:rsidR="004C0471" w:rsidRPr="00D7783C" w:rsidRDefault="004C0471" w:rsidP="004C0471">
            <w:r w:rsidRPr="00FF3A63">
              <w:t>65</w:t>
            </w:r>
          </w:p>
        </w:tc>
      </w:tr>
      <w:tr w:rsidR="004C0471" w:rsidRPr="000F130A" w14:paraId="07DE4BDA" w14:textId="77777777" w:rsidTr="005636AD">
        <w:tc>
          <w:tcPr>
            <w:tcW w:w="861" w:type="pct"/>
          </w:tcPr>
          <w:p w14:paraId="02FF41D3" w14:textId="703729F9" w:rsidR="004C0471" w:rsidRPr="00D7783C" w:rsidRDefault="004C0471" w:rsidP="004C0471">
            <w:r w:rsidRPr="00FF3A63">
              <w:t>7</w:t>
            </w:r>
          </w:p>
        </w:tc>
        <w:tc>
          <w:tcPr>
            <w:tcW w:w="837" w:type="pct"/>
          </w:tcPr>
          <w:p w14:paraId="158CFFEA" w14:textId="0F52263A" w:rsidR="004C0471" w:rsidRPr="00D7783C" w:rsidRDefault="004C0471" w:rsidP="004C0471">
            <w:pPr>
              <w:rPr>
                <w:color w:val="000000"/>
              </w:rPr>
            </w:pPr>
            <w:r w:rsidRPr="00FF3A63">
              <w:t>245,283</w:t>
            </w:r>
          </w:p>
        </w:tc>
        <w:tc>
          <w:tcPr>
            <w:tcW w:w="1000" w:type="pct"/>
          </w:tcPr>
          <w:p w14:paraId="5D4279B1" w14:textId="5D9140C8" w:rsidR="004C0471" w:rsidRPr="00D7783C" w:rsidRDefault="004C0471" w:rsidP="004C0471">
            <w:pPr>
              <w:rPr>
                <w:color w:val="000000"/>
              </w:rPr>
            </w:pPr>
            <w:r w:rsidRPr="00FF3A63">
              <w:t>306,604</w:t>
            </w:r>
          </w:p>
        </w:tc>
        <w:tc>
          <w:tcPr>
            <w:tcW w:w="837" w:type="pct"/>
          </w:tcPr>
          <w:p w14:paraId="5A43694B" w14:textId="286F1DF6" w:rsidR="004C0471" w:rsidRPr="00D7783C" w:rsidRDefault="004C0471" w:rsidP="004C0471">
            <w:r w:rsidRPr="00FF3A63">
              <w:t>229,953</w:t>
            </w:r>
          </w:p>
        </w:tc>
        <w:tc>
          <w:tcPr>
            <w:tcW w:w="645" w:type="pct"/>
          </w:tcPr>
          <w:p w14:paraId="672B54F6" w14:textId="49DD3005" w:rsidR="004C0471" w:rsidRPr="00D7783C" w:rsidRDefault="004C0471" w:rsidP="004C0471">
            <w:r w:rsidRPr="00FF3A63">
              <w:t>767</w:t>
            </w:r>
          </w:p>
        </w:tc>
        <w:tc>
          <w:tcPr>
            <w:tcW w:w="820" w:type="pct"/>
          </w:tcPr>
          <w:p w14:paraId="04673EBB" w14:textId="45881EDC" w:rsidR="004C0471" w:rsidRPr="00D7783C" w:rsidRDefault="004C0471" w:rsidP="004C0471">
            <w:r w:rsidRPr="00FF3A63">
              <w:t>54</w:t>
            </w:r>
          </w:p>
        </w:tc>
      </w:tr>
      <w:tr w:rsidR="004C0471" w:rsidRPr="000F130A" w14:paraId="3E9A7ADE" w14:textId="77777777" w:rsidTr="005636AD">
        <w:tc>
          <w:tcPr>
            <w:tcW w:w="861" w:type="pct"/>
          </w:tcPr>
          <w:p w14:paraId="76109B58" w14:textId="1214BF1B" w:rsidR="004C0471" w:rsidRPr="00D7783C" w:rsidRDefault="004C0471" w:rsidP="004C0471">
            <w:r w:rsidRPr="00FF3A63">
              <w:t>8</w:t>
            </w:r>
          </w:p>
        </w:tc>
        <w:tc>
          <w:tcPr>
            <w:tcW w:w="837" w:type="pct"/>
          </w:tcPr>
          <w:p w14:paraId="7624852A" w14:textId="40F438D7" w:rsidR="004C0471" w:rsidRPr="00D7783C" w:rsidRDefault="004C0471" w:rsidP="004C0471">
            <w:pPr>
              <w:rPr>
                <w:color w:val="000000"/>
              </w:rPr>
            </w:pPr>
            <w:r w:rsidRPr="00FF3A63">
              <w:t>291,176</w:t>
            </w:r>
          </w:p>
        </w:tc>
        <w:tc>
          <w:tcPr>
            <w:tcW w:w="1000" w:type="pct"/>
          </w:tcPr>
          <w:p w14:paraId="72158262" w14:textId="74355543" w:rsidR="004C0471" w:rsidRPr="00D7783C" w:rsidRDefault="004C0471" w:rsidP="004C0471">
            <w:pPr>
              <w:rPr>
                <w:color w:val="000000"/>
              </w:rPr>
            </w:pPr>
            <w:r w:rsidRPr="00FF3A63">
              <w:t>363,970</w:t>
            </w:r>
          </w:p>
        </w:tc>
        <w:tc>
          <w:tcPr>
            <w:tcW w:w="837" w:type="pct"/>
          </w:tcPr>
          <w:p w14:paraId="3E37D99F" w14:textId="3D14DE48" w:rsidR="004C0471" w:rsidRPr="00D7783C" w:rsidRDefault="004C0471" w:rsidP="004C0471">
            <w:r w:rsidRPr="00FF3A63">
              <w:t>272,978</w:t>
            </w:r>
          </w:p>
        </w:tc>
        <w:tc>
          <w:tcPr>
            <w:tcW w:w="645" w:type="pct"/>
          </w:tcPr>
          <w:p w14:paraId="7FA47183" w14:textId="64A03C0F" w:rsidR="004C0471" w:rsidRPr="00D7783C" w:rsidRDefault="004C0471" w:rsidP="004C0471">
            <w:r w:rsidRPr="00FF3A63">
              <w:t>910</w:t>
            </w:r>
          </w:p>
        </w:tc>
        <w:tc>
          <w:tcPr>
            <w:tcW w:w="820" w:type="pct"/>
          </w:tcPr>
          <w:p w14:paraId="62A3BD1A" w14:textId="722CE55C" w:rsidR="004C0471" w:rsidRPr="00D7783C" w:rsidRDefault="004C0471" w:rsidP="004C0471">
            <w:r w:rsidRPr="00FF3A63">
              <w:t>64</w:t>
            </w:r>
          </w:p>
        </w:tc>
      </w:tr>
      <w:tr w:rsidR="004C0471" w:rsidRPr="000F130A" w14:paraId="2F78C753" w14:textId="77777777" w:rsidTr="005636AD">
        <w:tc>
          <w:tcPr>
            <w:tcW w:w="861" w:type="pct"/>
          </w:tcPr>
          <w:p w14:paraId="47686A1E" w14:textId="3F67F96D" w:rsidR="004C0471" w:rsidRPr="00D7783C" w:rsidRDefault="004C0471" w:rsidP="004C0471">
            <w:r w:rsidRPr="00FF3A63">
              <w:t>9</w:t>
            </w:r>
          </w:p>
        </w:tc>
        <w:tc>
          <w:tcPr>
            <w:tcW w:w="837" w:type="pct"/>
          </w:tcPr>
          <w:p w14:paraId="0BBBE814" w14:textId="12D89FF2" w:rsidR="004C0471" w:rsidRPr="00D7783C" w:rsidRDefault="004C0471" w:rsidP="004C0471">
            <w:pPr>
              <w:rPr>
                <w:color w:val="000000"/>
              </w:rPr>
            </w:pPr>
            <w:r w:rsidRPr="00FF3A63">
              <w:t>260,834</w:t>
            </w:r>
          </w:p>
        </w:tc>
        <w:tc>
          <w:tcPr>
            <w:tcW w:w="1000" w:type="pct"/>
          </w:tcPr>
          <w:p w14:paraId="42C2FF50" w14:textId="1B7CB61F" w:rsidR="004C0471" w:rsidRPr="00D7783C" w:rsidRDefault="004C0471" w:rsidP="004C0471">
            <w:pPr>
              <w:rPr>
                <w:color w:val="000000"/>
              </w:rPr>
            </w:pPr>
            <w:r w:rsidRPr="00FF3A63">
              <w:t>326,043</w:t>
            </w:r>
          </w:p>
        </w:tc>
        <w:tc>
          <w:tcPr>
            <w:tcW w:w="837" w:type="pct"/>
          </w:tcPr>
          <w:p w14:paraId="4DC974CE" w14:textId="1A638760" w:rsidR="004C0471" w:rsidRPr="00D7783C" w:rsidRDefault="004C0471" w:rsidP="004C0471">
            <w:r w:rsidRPr="00FF3A63">
              <w:t>244,532</w:t>
            </w:r>
          </w:p>
        </w:tc>
        <w:tc>
          <w:tcPr>
            <w:tcW w:w="645" w:type="pct"/>
          </w:tcPr>
          <w:p w14:paraId="4492ED62" w14:textId="774D259E" w:rsidR="004C0471" w:rsidRPr="00D7783C" w:rsidRDefault="004C0471" w:rsidP="004C0471">
            <w:r w:rsidRPr="00FF3A63">
              <w:t>815</w:t>
            </w:r>
          </w:p>
        </w:tc>
        <w:tc>
          <w:tcPr>
            <w:tcW w:w="820" w:type="pct"/>
          </w:tcPr>
          <w:p w14:paraId="53A9ADAE" w14:textId="65A923FE" w:rsidR="004C0471" w:rsidRPr="00D7783C" w:rsidRDefault="004C0471" w:rsidP="004C0471">
            <w:r w:rsidRPr="00FF3A63">
              <w:t>57</w:t>
            </w:r>
          </w:p>
        </w:tc>
      </w:tr>
      <w:tr w:rsidR="004C0471" w:rsidRPr="000F130A" w14:paraId="1B80EB2B" w14:textId="77777777" w:rsidTr="005636AD">
        <w:tc>
          <w:tcPr>
            <w:tcW w:w="861" w:type="pct"/>
          </w:tcPr>
          <w:p w14:paraId="47839032" w14:textId="24D6C262" w:rsidR="004C0471" w:rsidRPr="00D7783C" w:rsidRDefault="004C0471" w:rsidP="004C0471">
            <w:r w:rsidRPr="00FF3A63">
              <w:t>10</w:t>
            </w:r>
          </w:p>
        </w:tc>
        <w:tc>
          <w:tcPr>
            <w:tcW w:w="837" w:type="pct"/>
          </w:tcPr>
          <w:p w14:paraId="1D3FAE39" w14:textId="5DEBEDC9" w:rsidR="004C0471" w:rsidRPr="00D7783C" w:rsidRDefault="004C0471" w:rsidP="004C0471">
            <w:pPr>
              <w:rPr>
                <w:color w:val="000000"/>
              </w:rPr>
            </w:pPr>
            <w:r w:rsidRPr="00FF3A63">
              <w:t>312,989</w:t>
            </w:r>
          </w:p>
        </w:tc>
        <w:tc>
          <w:tcPr>
            <w:tcW w:w="1000" w:type="pct"/>
          </w:tcPr>
          <w:p w14:paraId="2F0B954D" w14:textId="3F0E1D19" w:rsidR="004C0471" w:rsidRPr="00D7783C" w:rsidRDefault="004C0471" w:rsidP="004C0471">
            <w:pPr>
              <w:rPr>
                <w:color w:val="000000"/>
              </w:rPr>
            </w:pPr>
            <w:r w:rsidRPr="00FF3A63">
              <w:t>391,236</w:t>
            </w:r>
          </w:p>
        </w:tc>
        <w:tc>
          <w:tcPr>
            <w:tcW w:w="837" w:type="pct"/>
          </w:tcPr>
          <w:p w14:paraId="6A6B8795" w14:textId="1B7F2333" w:rsidR="004C0471" w:rsidRPr="00D7783C" w:rsidRDefault="004C0471" w:rsidP="004C0471">
            <w:r w:rsidRPr="00FF3A63">
              <w:t>293,427</w:t>
            </w:r>
          </w:p>
        </w:tc>
        <w:tc>
          <w:tcPr>
            <w:tcW w:w="645" w:type="pct"/>
          </w:tcPr>
          <w:p w14:paraId="3A3D4C73" w14:textId="77760A34" w:rsidR="004C0471" w:rsidRPr="00D7783C" w:rsidRDefault="004C0471" w:rsidP="004C0471">
            <w:r w:rsidRPr="00FF3A63">
              <w:t>978</w:t>
            </w:r>
          </w:p>
        </w:tc>
        <w:tc>
          <w:tcPr>
            <w:tcW w:w="820" w:type="pct"/>
          </w:tcPr>
          <w:p w14:paraId="5CAAB224" w14:textId="06727351" w:rsidR="004C0471" w:rsidRPr="00D7783C" w:rsidRDefault="004C0471" w:rsidP="004C0471">
            <w:r w:rsidRPr="00FF3A63">
              <w:t>68</w:t>
            </w:r>
          </w:p>
        </w:tc>
      </w:tr>
      <w:tr w:rsidR="004C0471" w:rsidRPr="000F130A" w14:paraId="36007B45" w14:textId="77777777" w:rsidTr="005636AD">
        <w:tc>
          <w:tcPr>
            <w:tcW w:w="861" w:type="pct"/>
          </w:tcPr>
          <w:p w14:paraId="3BCA8D2A" w14:textId="6FBE98A7" w:rsidR="004C0471" w:rsidRPr="00D7783C" w:rsidRDefault="004C0471" w:rsidP="004C0471">
            <w:r w:rsidRPr="00FF3A63">
              <w:t>11</w:t>
            </w:r>
          </w:p>
        </w:tc>
        <w:tc>
          <w:tcPr>
            <w:tcW w:w="837" w:type="pct"/>
          </w:tcPr>
          <w:p w14:paraId="6496551B" w14:textId="7DF341A4" w:rsidR="004C0471" w:rsidRPr="00D7783C" w:rsidRDefault="004C0471" w:rsidP="004C0471">
            <w:pPr>
              <w:rPr>
                <w:color w:val="000000"/>
              </w:rPr>
            </w:pPr>
            <w:r w:rsidRPr="00FF3A63">
              <w:t>533,354</w:t>
            </w:r>
          </w:p>
        </w:tc>
        <w:tc>
          <w:tcPr>
            <w:tcW w:w="1000" w:type="pct"/>
          </w:tcPr>
          <w:p w14:paraId="764BC645" w14:textId="782A1DE5" w:rsidR="004C0471" w:rsidRPr="00D7783C" w:rsidRDefault="004C0471" w:rsidP="004C0471">
            <w:pPr>
              <w:rPr>
                <w:color w:val="000000"/>
              </w:rPr>
            </w:pPr>
            <w:r w:rsidRPr="00FF3A63">
              <w:t>666,693</w:t>
            </w:r>
          </w:p>
        </w:tc>
        <w:tc>
          <w:tcPr>
            <w:tcW w:w="837" w:type="pct"/>
          </w:tcPr>
          <w:p w14:paraId="5402409F" w14:textId="02C9DAFF" w:rsidR="004C0471" w:rsidRPr="00D7783C" w:rsidRDefault="004C0471" w:rsidP="004C0471">
            <w:r w:rsidRPr="00FF3A63">
              <w:t>500,019</w:t>
            </w:r>
          </w:p>
        </w:tc>
        <w:tc>
          <w:tcPr>
            <w:tcW w:w="645" w:type="pct"/>
          </w:tcPr>
          <w:p w14:paraId="757601D4" w14:textId="14E32568" w:rsidR="004C0471" w:rsidRPr="00D7783C" w:rsidRDefault="004C0471" w:rsidP="004C0471">
            <w:r w:rsidRPr="00FF3A63">
              <w:t>1,667</w:t>
            </w:r>
          </w:p>
        </w:tc>
        <w:tc>
          <w:tcPr>
            <w:tcW w:w="820" w:type="pct"/>
          </w:tcPr>
          <w:p w14:paraId="4B311BB3" w14:textId="691EC62C" w:rsidR="004C0471" w:rsidRPr="00D7783C" w:rsidRDefault="004C0471" w:rsidP="004C0471">
            <w:r w:rsidRPr="00FF3A63">
              <w:t>117</w:t>
            </w:r>
          </w:p>
        </w:tc>
      </w:tr>
      <w:tr w:rsidR="004C0471" w:rsidRPr="000F130A" w14:paraId="12BC30FB" w14:textId="77777777" w:rsidTr="005636AD">
        <w:tc>
          <w:tcPr>
            <w:tcW w:w="861" w:type="pct"/>
          </w:tcPr>
          <w:p w14:paraId="4B85C65B" w14:textId="5CA56A16" w:rsidR="004C0471" w:rsidRPr="00D7783C" w:rsidRDefault="004C0471" w:rsidP="004C0471">
            <w:r w:rsidRPr="00FF3A63">
              <w:t>12</w:t>
            </w:r>
          </w:p>
        </w:tc>
        <w:tc>
          <w:tcPr>
            <w:tcW w:w="837" w:type="pct"/>
          </w:tcPr>
          <w:p w14:paraId="6617650D" w14:textId="50E3C19B" w:rsidR="004C0471" w:rsidRPr="00D7783C" w:rsidRDefault="004C0471" w:rsidP="004C0471">
            <w:pPr>
              <w:rPr>
                <w:color w:val="000000"/>
              </w:rPr>
            </w:pPr>
            <w:r w:rsidRPr="00FF3A63">
              <w:t>539,166</w:t>
            </w:r>
          </w:p>
        </w:tc>
        <w:tc>
          <w:tcPr>
            <w:tcW w:w="1000" w:type="pct"/>
          </w:tcPr>
          <w:p w14:paraId="2A8C9551" w14:textId="4C873B90" w:rsidR="004C0471" w:rsidRPr="00D7783C" w:rsidRDefault="004C0471" w:rsidP="004C0471">
            <w:pPr>
              <w:rPr>
                <w:color w:val="000000"/>
              </w:rPr>
            </w:pPr>
            <w:r w:rsidRPr="00FF3A63">
              <w:t>673,958</w:t>
            </w:r>
          </w:p>
        </w:tc>
        <w:tc>
          <w:tcPr>
            <w:tcW w:w="837" w:type="pct"/>
          </w:tcPr>
          <w:p w14:paraId="6E4905FC" w14:textId="7B04DE7F" w:rsidR="004C0471" w:rsidRPr="00D7783C" w:rsidRDefault="004C0471" w:rsidP="004C0471">
            <w:r w:rsidRPr="00FF3A63">
              <w:t>505,468</w:t>
            </w:r>
          </w:p>
        </w:tc>
        <w:tc>
          <w:tcPr>
            <w:tcW w:w="645" w:type="pct"/>
          </w:tcPr>
          <w:p w14:paraId="02779248" w14:textId="04D8B084" w:rsidR="004C0471" w:rsidRPr="00D7783C" w:rsidRDefault="004C0471" w:rsidP="004C0471">
            <w:r w:rsidRPr="00FF3A63">
              <w:t>1,685</w:t>
            </w:r>
          </w:p>
        </w:tc>
        <w:tc>
          <w:tcPr>
            <w:tcW w:w="820" w:type="pct"/>
          </w:tcPr>
          <w:p w14:paraId="40337FD7" w14:textId="07F86D88" w:rsidR="004C0471" w:rsidRPr="00D7783C" w:rsidRDefault="004C0471" w:rsidP="004C0471">
            <w:r w:rsidRPr="00FF3A63">
              <w:t>118</w:t>
            </w:r>
          </w:p>
        </w:tc>
      </w:tr>
      <w:tr w:rsidR="004C0471" w:rsidRPr="000F130A" w14:paraId="425AECC1" w14:textId="77777777" w:rsidTr="005636AD">
        <w:tc>
          <w:tcPr>
            <w:tcW w:w="861" w:type="pct"/>
          </w:tcPr>
          <w:p w14:paraId="58AFB771" w14:textId="608EA903" w:rsidR="004C0471" w:rsidRPr="00D7783C" w:rsidRDefault="004C0471" w:rsidP="004C0471">
            <w:r w:rsidRPr="00FF3A63">
              <w:t>13</w:t>
            </w:r>
          </w:p>
        </w:tc>
        <w:tc>
          <w:tcPr>
            <w:tcW w:w="837" w:type="pct"/>
          </w:tcPr>
          <w:p w14:paraId="681D54F9" w14:textId="5BF6B12E" w:rsidR="004C0471" w:rsidRPr="00D7783C" w:rsidRDefault="004C0471" w:rsidP="004C0471">
            <w:pPr>
              <w:rPr>
                <w:color w:val="000000"/>
              </w:rPr>
            </w:pPr>
            <w:r w:rsidRPr="00FF3A63">
              <w:t>427,560</w:t>
            </w:r>
          </w:p>
        </w:tc>
        <w:tc>
          <w:tcPr>
            <w:tcW w:w="1000" w:type="pct"/>
          </w:tcPr>
          <w:p w14:paraId="4851B603" w14:textId="21F80A6E" w:rsidR="004C0471" w:rsidRPr="00D7783C" w:rsidRDefault="004C0471" w:rsidP="004C0471">
            <w:pPr>
              <w:rPr>
                <w:color w:val="000000"/>
              </w:rPr>
            </w:pPr>
            <w:r w:rsidRPr="00FF3A63">
              <w:t>534,450</w:t>
            </w:r>
          </w:p>
        </w:tc>
        <w:tc>
          <w:tcPr>
            <w:tcW w:w="837" w:type="pct"/>
          </w:tcPr>
          <w:p w14:paraId="01C07DF7" w14:textId="43B4D3D6" w:rsidR="004C0471" w:rsidRPr="00D7783C" w:rsidRDefault="004C0471" w:rsidP="004C0471">
            <w:r w:rsidRPr="00FF3A63">
              <w:t>400,838</w:t>
            </w:r>
          </w:p>
        </w:tc>
        <w:tc>
          <w:tcPr>
            <w:tcW w:w="645" w:type="pct"/>
          </w:tcPr>
          <w:p w14:paraId="50AD1D49" w14:textId="0B2F8339" w:rsidR="004C0471" w:rsidRPr="00D7783C" w:rsidRDefault="004C0471" w:rsidP="004C0471">
            <w:r w:rsidRPr="00FF3A63">
              <w:t>1,336</w:t>
            </w:r>
          </w:p>
        </w:tc>
        <w:tc>
          <w:tcPr>
            <w:tcW w:w="820" w:type="pct"/>
          </w:tcPr>
          <w:p w14:paraId="1C4947F9" w14:textId="38C9EA50" w:rsidR="004C0471" w:rsidRPr="00D7783C" w:rsidRDefault="004C0471" w:rsidP="004C0471">
            <w:r w:rsidRPr="00FF3A63">
              <w:t>93</w:t>
            </w:r>
          </w:p>
        </w:tc>
      </w:tr>
      <w:tr w:rsidR="004C0471" w:rsidRPr="000F130A" w14:paraId="36FCC9B4" w14:textId="77777777" w:rsidTr="005636AD">
        <w:tc>
          <w:tcPr>
            <w:tcW w:w="861" w:type="pct"/>
          </w:tcPr>
          <w:p w14:paraId="35398506" w14:textId="352ED947" w:rsidR="004C0471" w:rsidRPr="00D7783C" w:rsidRDefault="004C0471" w:rsidP="004C0471">
            <w:r w:rsidRPr="00FF3A63">
              <w:t>14</w:t>
            </w:r>
          </w:p>
        </w:tc>
        <w:tc>
          <w:tcPr>
            <w:tcW w:w="837" w:type="pct"/>
          </w:tcPr>
          <w:p w14:paraId="7AB11A02" w14:textId="615246F1" w:rsidR="004C0471" w:rsidRPr="00D7783C" w:rsidRDefault="004C0471" w:rsidP="004C0471">
            <w:pPr>
              <w:rPr>
                <w:color w:val="000000"/>
              </w:rPr>
            </w:pPr>
            <w:r w:rsidRPr="00FF3A63">
              <w:t>505,617</w:t>
            </w:r>
          </w:p>
        </w:tc>
        <w:tc>
          <w:tcPr>
            <w:tcW w:w="1000" w:type="pct"/>
          </w:tcPr>
          <w:p w14:paraId="773FAEF7" w14:textId="2C7876B3" w:rsidR="004C0471" w:rsidRPr="00D7783C" w:rsidRDefault="004C0471" w:rsidP="004C0471">
            <w:pPr>
              <w:rPr>
                <w:color w:val="000000"/>
              </w:rPr>
            </w:pPr>
            <w:r w:rsidRPr="00FF3A63">
              <w:t>632,021</w:t>
            </w:r>
          </w:p>
        </w:tc>
        <w:tc>
          <w:tcPr>
            <w:tcW w:w="837" w:type="pct"/>
          </w:tcPr>
          <w:p w14:paraId="61283DD4" w14:textId="246E8121" w:rsidR="004C0471" w:rsidRPr="00D7783C" w:rsidRDefault="004C0471" w:rsidP="004C0471">
            <w:r w:rsidRPr="00FF3A63">
              <w:t>474,016</w:t>
            </w:r>
          </w:p>
        </w:tc>
        <w:tc>
          <w:tcPr>
            <w:tcW w:w="645" w:type="pct"/>
          </w:tcPr>
          <w:p w14:paraId="5FD8D0D8" w14:textId="3E5C8922" w:rsidR="004C0471" w:rsidRPr="00D7783C" w:rsidRDefault="004C0471" w:rsidP="004C0471">
            <w:r w:rsidRPr="00FF3A63">
              <w:t>1,580</w:t>
            </w:r>
          </w:p>
        </w:tc>
        <w:tc>
          <w:tcPr>
            <w:tcW w:w="820" w:type="pct"/>
          </w:tcPr>
          <w:p w14:paraId="1BD0DEB7" w14:textId="7F05B564" w:rsidR="004C0471" w:rsidRPr="00D7783C" w:rsidRDefault="004C0471" w:rsidP="004C0471">
            <w:r w:rsidRPr="00FF3A63">
              <w:t>110</w:t>
            </w:r>
          </w:p>
        </w:tc>
      </w:tr>
      <w:tr w:rsidR="004C0471" w:rsidRPr="000F130A" w14:paraId="3E52CBA9" w14:textId="77777777" w:rsidTr="005636AD">
        <w:tc>
          <w:tcPr>
            <w:tcW w:w="861" w:type="pct"/>
          </w:tcPr>
          <w:p w14:paraId="1AD2D336" w14:textId="190CA794" w:rsidR="004C0471" w:rsidRPr="00D7783C" w:rsidRDefault="004C0471" w:rsidP="004C0471">
            <w:r w:rsidRPr="00FF3A63">
              <w:t>15</w:t>
            </w:r>
          </w:p>
        </w:tc>
        <w:tc>
          <w:tcPr>
            <w:tcW w:w="837" w:type="pct"/>
          </w:tcPr>
          <w:p w14:paraId="24FD89C6" w14:textId="1585A1F9" w:rsidR="004C0471" w:rsidRPr="00D7783C" w:rsidRDefault="004C0471" w:rsidP="004C0471">
            <w:pPr>
              <w:rPr>
                <w:color w:val="000000"/>
              </w:rPr>
            </w:pPr>
            <w:r w:rsidRPr="00FF3A63">
              <w:t>165,481</w:t>
            </w:r>
          </w:p>
        </w:tc>
        <w:tc>
          <w:tcPr>
            <w:tcW w:w="1000" w:type="pct"/>
          </w:tcPr>
          <w:p w14:paraId="2D9B2B86" w14:textId="42A392B1" w:rsidR="004C0471" w:rsidRPr="00D7783C" w:rsidRDefault="004C0471" w:rsidP="004C0471">
            <w:pPr>
              <w:rPr>
                <w:color w:val="000000"/>
              </w:rPr>
            </w:pPr>
            <w:r w:rsidRPr="00FF3A63">
              <w:t>206,851</w:t>
            </w:r>
          </w:p>
        </w:tc>
        <w:tc>
          <w:tcPr>
            <w:tcW w:w="837" w:type="pct"/>
          </w:tcPr>
          <w:p w14:paraId="34E18F2B" w14:textId="183F63D9" w:rsidR="004C0471" w:rsidRPr="00D7783C" w:rsidRDefault="004C0471" w:rsidP="004C0471">
            <w:r w:rsidRPr="00FF3A63">
              <w:t>155,138</w:t>
            </w:r>
          </w:p>
        </w:tc>
        <w:tc>
          <w:tcPr>
            <w:tcW w:w="645" w:type="pct"/>
          </w:tcPr>
          <w:p w14:paraId="4C3E3625" w14:textId="52E6439D" w:rsidR="004C0471" w:rsidRPr="00D7783C" w:rsidRDefault="004C0471" w:rsidP="004C0471">
            <w:r w:rsidRPr="00FF3A63">
              <w:t>517</w:t>
            </w:r>
          </w:p>
        </w:tc>
        <w:tc>
          <w:tcPr>
            <w:tcW w:w="820" w:type="pct"/>
          </w:tcPr>
          <w:p w14:paraId="09AFF4E6" w14:textId="66BCB852" w:rsidR="004C0471" w:rsidRPr="00D7783C" w:rsidRDefault="004C0471" w:rsidP="004C0471">
            <w:r w:rsidRPr="00FF3A63">
              <w:t>36</w:t>
            </w:r>
          </w:p>
        </w:tc>
      </w:tr>
      <w:tr w:rsidR="004C0471" w:rsidRPr="000F130A" w14:paraId="1EDD3B86" w14:textId="77777777" w:rsidTr="005636AD">
        <w:tc>
          <w:tcPr>
            <w:tcW w:w="861" w:type="pct"/>
          </w:tcPr>
          <w:p w14:paraId="095BDD67" w14:textId="70F81D45" w:rsidR="004C0471" w:rsidRPr="00D7783C" w:rsidRDefault="004C0471" w:rsidP="004C0471">
            <w:r w:rsidRPr="00FF3A63">
              <w:t>16</w:t>
            </w:r>
          </w:p>
        </w:tc>
        <w:tc>
          <w:tcPr>
            <w:tcW w:w="837" w:type="pct"/>
          </w:tcPr>
          <w:p w14:paraId="24496514" w14:textId="7987C717" w:rsidR="004C0471" w:rsidRPr="00D7783C" w:rsidRDefault="004C0471" w:rsidP="004C0471">
            <w:pPr>
              <w:rPr>
                <w:color w:val="000000"/>
              </w:rPr>
            </w:pPr>
            <w:r w:rsidRPr="00FF3A63">
              <w:t>964,179</w:t>
            </w:r>
          </w:p>
        </w:tc>
        <w:tc>
          <w:tcPr>
            <w:tcW w:w="1000" w:type="pct"/>
          </w:tcPr>
          <w:p w14:paraId="2EB76DA2" w14:textId="68EDB444" w:rsidR="004C0471" w:rsidRPr="00D7783C" w:rsidRDefault="004C0471" w:rsidP="004C0471">
            <w:pPr>
              <w:rPr>
                <w:color w:val="000000"/>
              </w:rPr>
            </w:pPr>
            <w:r w:rsidRPr="00FF3A63">
              <w:t>1,205,224</w:t>
            </w:r>
          </w:p>
        </w:tc>
        <w:tc>
          <w:tcPr>
            <w:tcW w:w="837" w:type="pct"/>
          </w:tcPr>
          <w:p w14:paraId="4DF5B0A0" w14:textId="022978BD" w:rsidR="004C0471" w:rsidRPr="00D7783C" w:rsidRDefault="004C0471" w:rsidP="004C0471">
            <w:r w:rsidRPr="00FF3A63">
              <w:t>903,918</w:t>
            </w:r>
          </w:p>
        </w:tc>
        <w:tc>
          <w:tcPr>
            <w:tcW w:w="645" w:type="pct"/>
          </w:tcPr>
          <w:p w14:paraId="6585BC9E" w14:textId="0C098A95" w:rsidR="004C0471" w:rsidRPr="00D7783C" w:rsidRDefault="004C0471" w:rsidP="004C0471">
            <w:r w:rsidRPr="00FF3A63">
              <w:t>3,013</w:t>
            </w:r>
          </w:p>
        </w:tc>
        <w:tc>
          <w:tcPr>
            <w:tcW w:w="820" w:type="pct"/>
          </w:tcPr>
          <w:p w14:paraId="56A1F913" w14:textId="65163824" w:rsidR="004C0471" w:rsidRPr="00D7783C" w:rsidRDefault="004C0471" w:rsidP="004C0471">
            <w:r w:rsidRPr="00FF3A63">
              <w:t>211</w:t>
            </w:r>
          </w:p>
        </w:tc>
      </w:tr>
      <w:tr w:rsidR="004C0471" w:rsidRPr="000F130A" w14:paraId="568265B1" w14:textId="77777777" w:rsidTr="005636AD">
        <w:tc>
          <w:tcPr>
            <w:tcW w:w="861" w:type="pct"/>
          </w:tcPr>
          <w:p w14:paraId="2841538E" w14:textId="2074AEE3" w:rsidR="004C0471" w:rsidRPr="004C0471" w:rsidRDefault="004C0471" w:rsidP="004C0471">
            <w:pPr>
              <w:rPr>
                <w:b/>
              </w:rPr>
            </w:pPr>
            <w:r w:rsidRPr="005636AD">
              <w:rPr>
                <w:b/>
              </w:rPr>
              <w:t>Average</w:t>
            </w:r>
          </w:p>
        </w:tc>
        <w:tc>
          <w:tcPr>
            <w:tcW w:w="837" w:type="pct"/>
          </w:tcPr>
          <w:p w14:paraId="6D2F3A30" w14:textId="376601A6" w:rsidR="004C0471" w:rsidRPr="004C0471" w:rsidRDefault="004C0471" w:rsidP="004C0471">
            <w:pPr>
              <w:rPr>
                <w:b/>
                <w:color w:val="000000"/>
              </w:rPr>
            </w:pPr>
            <w:r w:rsidRPr="005636AD">
              <w:rPr>
                <w:b/>
              </w:rPr>
              <w:t>462,023</w:t>
            </w:r>
          </w:p>
        </w:tc>
        <w:tc>
          <w:tcPr>
            <w:tcW w:w="1000" w:type="pct"/>
          </w:tcPr>
          <w:p w14:paraId="47D827D7" w14:textId="5F5A0635" w:rsidR="004C0471" w:rsidRPr="004C0471" w:rsidRDefault="004C0471" w:rsidP="004C0471">
            <w:pPr>
              <w:rPr>
                <w:b/>
              </w:rPr>
            </w:pPr>
            <w:r w:rsidRPr="005636AD">
              <w:rPr>
                <w:b/>
              </w:rPr>
              <w:t>577,529</w:t>
            </w:r>
          </w:p>
        </w:tc>
        <w:tc>
          <w:tcPr>
            <w:tcW w:w="837" w:type="pct"/>
          </w:tcPr>
          <w:p w14:paraId="4A7D4C3B" w14:textId="1BAD1558" w:rsidR="004C0471" w:rsidRPr="004C0471" w:rsidRDefault="004C0471" w:rsidP="004C0471">
            <w:pPr>
              <w:rPr>
                <w:b/>
              </w:rPr>
            </w:pPr>
            <w:r w:rsidRPr="005636AD">
              <w:rPr>
                <w:b/>
              </w:rPr>
              <w:t>433,146</w:t>
            </w:r>
          </w:p>
        </w:tc>
        <w:tc>
          <w:tcPr>
            <w:tcW w:w="645" w:type="pct"/>
          </w:tcPr>
          <w:p w14:paraId="43E24734" w14:textId="5A188EA2" w:rsidR="004C0471" w:rsidRPr="004C0471" w:rsidRDefault="004C0471" w:rsidP="004C0471">
            <w:pPr>
              <w:rPr>
                <w:b/>
              </w:rPr>
            </w:pPr>
            <w:r w:rsidRPr="005636AD">
              <w:rPr>
                <w:b/>
              </w:rPr>
              <w:t>1,444</w:t>
            </w:r>
          </w:p>
        </w:tc>
        <w:tc>
          <w:tcPr>
            <w:tcW w:w="820" w:type="pct"/>
          </w:tcPr>
          <w:p w14:paraId="5AD27293" w14:textId="7B24C97F" w:rsidR="004C0471" w:rsidRPr="004C0471" w:rsidRDefault="004C0471" w:rsidP="004C0471">
            <w:pPr>
              <w:rPr>
                <w:b/>
              </w:rPr>
            </w:pPr>
            <w:r w:rsidRPr="005636AD">
              <w:rPr>
                <w:b/>
              </w:rPr>
              <w:t>101</w:t>
            </w:r>
          </w:p>
        </w:tc>
      </w:tr>
    </w:tbl>
    <w:p w14:paraId="447DF22F" w14:textId="77777777" w:rsidR="00AA134A" w:rsidRPr="00500C4E" w:rsidRDefault="00AA134A" w:rsidP="00E16609">
      <w:pPr>
        <w:pStyle w:val="Reminder"/>
        <w:rPr>
          <w:rFonts w:asciiTheme="minorHAnsi" w:hAnsiTheme="minorHAnsi" w:cstheme="minorHAnsi"/>
          <w:i w:val="0"/>
          <w:color w:val="auto"/>
          <w:szCs w:val="22"/>
        </w:rPr>
      </w:pPr>
    </w:p>
    <w:p w14:paraId="6C7EC920" w14:textId="49C926A2" w:rsidR="00E16609" w:rsidRPr="00500C4E" w:rsidRDefault="00E16609" w:rsidP="00E16609">
      <w:pPr>
        <w:pStyle w:val="Heading1"/>
        <w:keepNext w:val="0"/>
        <w:rPr>
          <w:rFonts w:cstheme="minorHAnsi"/>
        </w:rPr>
      </w:pPr>
      <w:bookmarkStart w:id="17" w:name="_Toc214003093"/>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7"/>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53EB76DE" w14:textId="77777777" w:rsidR="00B83577" w:rsidRDefault="00B83577" w:rsidP="003F0623">
      <w:pPr>
        <w:pStyle w:val="Caption"/>
        <w:jc w:val="center"/>
        <w:rPr>
          <w:rFonts w:cstheme="minorHAnsi"/>
          <w:szCs w:val="22"/>
        </w:rPr>
      </w:pP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lastRenderedPageBreak/>
        <w:t>Building Types</w:t>
      </w:r>
      <w:r w:rsidR="00E16609" w:rsidRPr="00500C4E">
        <w:rPr>
          <w:rFonts w:cstheme="minorHAnsi"/>
          <w:szCs w:val="22"/>
        </w:rPr>
        <w:t xml:space="preserve"> and Load Shapes</w:t>
      </w:r>
    </w:p>
    <w:tbl>
      <w:tblPr>
        <w:tblStyle w:val="TableGrid1"/>
        <w:tblW w:w="5000" w:type="pct"/>
        <w:tblLayout w:type="fixed"/>
        <w:tblLook w:val="01E0" w:firstRow="1" w:lastRow="1" w:firstColumn="1" w:lastColumn="1" w:noHBand="0" w:noVBand="0"/>
      </w:tblPr>
      <w:tblGrid>
        <w:gridCol w:w="3221"/>
        <w:gridCol w:w="3595"/>
        <w:gridCol w:w="2760"/>
      </w:tblGrid>
      <w:tr w:rsidR="00263C1C" w:rsidRPr="00500C4E" w14:paraId="55343A07" w14:textId="77777777" w:rsidTr="00664C37">
        <w:tc>
          <w:tcPr>
            <w:tcW w:w="1682"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877"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441"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01769" w:rsidRPr="00500C4E" w14:paraId="3D341893" w14:textId="77777777" w:rsidTr="00664C37">
        <w:tc>
          <w:tcPr>
            <w:tcW w:w="1682" w:type="pct"/>
            <w:vAlign w:val="bottom"/>
          </w:tcPr>
          <w:p w14:paraId="4FA2FF6D" w14:textId="53C9A652" w:rsidR="00201769" w:rsidRPr="00920905" w:rsidRDefault="00201769" w:rsidP="00201769">
            <w:pPr>
              <w:rPr>
                <w:rFonts w:cstheme="minorHAnsi"/>
                <w:color w:val="FF0000"/>
                <w:szCs w:val="20"/>
              </w:rPr>
            </w:pPr>
            <w:r w:rsidRPr="00D7783C">
              <w:rPr>
                <w:color w:val="000000"/>
              </w:rPr>
              <w:t>Education - Primary School</w:t>
            </w:r>
          </w:p>
        </w:tc>
        <w:tc>
          <w:tcPr>
            <w:tcW w:w="1877" w:type="pct"/>
            <w:vAlign w:val="bottom"/>
          </w:tcPr>
          <w:p w14:paraId="3B2DCD1E" w14:textId="1B1679D3" w:rsidR="00201769" w:rsidRPr="00920905" w:rsidRDefault="00201769" w:rsidP="00201769">
            <w:pPr>
              <w:rPr>
                <w:rFonts w:cstheme="minorHAnsi"/>
                <w:color w:val="FF0000"/>
                <w:szCs w:val="20"/>
              </w:rPr>
            </w:pPr>
            <w:proofErr w:type="spellStart"/>
            <w:r w:rsidRPr="00D7783C">
              <w:rPr>
                <w:color w:val="000000"/>
              </w:rPr>
              <w:t>Economy_cycle</w:t>
            </w:r>
            <w:proofErr w:type="spellEnd"/>
            <w:r w:rsidRPr="00D7783C">
              <w:rPr>
                <w:color w:val="000000"/>
              </w:rPr>
              <w:t>-Ret</w:t>
            </w:r>
          </w:p>
        </w:tc>
        <w:tc>
          <w:tcPr>
            <w:tcW w:w="1441" w:type="pct"/>
            <w:vAlign w:val="bottom"/>
          </w:tcPr>
          <w:p w14:paraId="6722CD8A" w14:textId="125E81EA" w:rsidR="00201769" w:rsidRPr="00920905" w:rsidRDefault="00201769" w:rsidP="00201769">
            <w:pPr>
              <w:rPr>
                <w:rFonts w:cstheme="minorHAnsi"/>
                <w:color w:val="FF0000"/>
                <w:szCs w:val="20"/>
              </w:rPr>
            </w:pPr>
            <w:proofErr w:type="spellStart"/>
            <w:r w:rsidRPr="00D7783C">
              <w:rPr>
                <w:color w:val="000000"/>
              </w:rPr>
              <w:t>Small_Office</w:t>
            </w:r>
            <w:proofErr w:type="spellEnd"/>
          </w:p>
        </w:tc>
      </w:tr>
      <w:tr w:rsidR="00201769" w:rsidRPr="00500C4E" w14:paraId="1FB64A38" w14:textId="77777777" w:rsidTr="00664C37">
        <w:tc>
          <w:tcPr>
            <w:tcW w:w="1682" w:type="pct"/>
            <w:vAlign w:val="bottom"/>
          </w:tcPr>
          <w:p w14:paraId="129F9965" w14:textId="2FC79144" w:rsidR="00201769" w:rsidRPr="00920905" w:rsidRDefault="00201769" w:rsidP="00201769">
            <w:pPr>
              <w:rPr>
                <w:rFonts w:cstheme="minorHAnsi"/>
                <w:color w:val="FF0000"/>
                <w:szCs w:val="20"/>
              </w:rPr>
            </w:pPr>
            <w:r w:rsidRPr="00D7783C">
              <w:rPr>
                <w:color w:val="000000"/>
              </w:rPr>
              <w:t>Education - Secondary School</w:t>
            </w:r>
          </w:p>
        </w:tc>
        <w:tc>
          <w:tcPr>
            <w:tcW w:w="1877" w:type="pct"/>
            <w:vAlign w:val="bottom"/>
          </w:tcPr>
          <w:p w14:paraId="0FCC70F1" w14:textId="328AE091" w:rsidR="00201769" w:rsidRPr="00920905" w:rsidRDefault="00201769" w:rsidP="00201769">
            <w:pPr>
              <w:rPr>
                <w:rFonts w:cstheme="minorHAnsi"/>
                <w:color w:val="FF0000"/>
                <w:szCs w:val="20"/>
              </w:rPr>
            </w:pPr>
            <w:proofErr w:type="spellStart"/>
            <w:r w:rsidRPr="00D7783C">
              <w:rPr>
                <w:color w:val="000000"/>
              </w:rPr>
              <w:t>Economy_cycle</w:t>
            </w:r>
            <w:proofErr w:type="spellEnd"/>
            <w:r w:rsidRPr="00D7783C">
              <w:rPr>
                <w:color w:val="000000"/>
              </w:rPr>
              <w:t>-Ret</w:t>
            </w:r>
          </w:p>
        </w:tc>
        <w:tc>
          <w:tcPr>
            <w:tcW w:w="1441" w:type="pct"/>
            <w:vAlign w:val="bottom"/>
          </w:tcPr>
          <w:p w14:paraId="31157856" w14:textId="03F9189A" w:rsidR="00201769" w:rsidRPr="00920905" w:rsidRDefault="00201769" w:rsidP="00201769">
            <w:pPr>
              <w:rPr>
                <w:rFonts w:cstheme="minorHAnsi"/>
                <w:color w:val="FF0000"/>
                <w:szCs w:val="20"/>
              </w:rPr>
            </w:pPr>
            <w:proofErr w:type="spellStart"/>
            <w:r w:rsidRPr="00D7783C">
              <w:rPr>
                <w:color w:val="000000"/>
              </w:rPr>
              <w:t>Small_Office</w:t>
            </w:r>
            <w:proofErr w:type="spellEnd"/>
          </w:p>
        </w:tc>
      </w:tr>
      <w:tr w:rsidR="00201769" w:rsidRPr="00500C4E" w14:paraId="6319AE7D" w14:textId="77777777" w:rsidTr="00664C37">
        <w:tc>
          <w:tcPr>
            <w:tcW w:w="1682" w:type="pct"/>
            <w:vAlign w:val="bottom"/>
          </w:tcPr>
          <w:p w14:paraId="134F1484" w14:textId="161CB8BE" w:rsidR="00201769" w:rsidRPr="00920905" w:rsidRDefault="00201769" w:rsidP="00201769">
            <w:pPr>
              <w:rPr>
                <w:rFonts w:cstheme="minorHAnsi"/>
                <w:color w:val="FF0000"/>
                <w:szCs w:val="20"/>
              </w:rPr>
            </w:pPr>
            <w:r w:rsidRPr="00D7783C">
              <w:rPr>
                <w:color w:val="000000"/>
              </w:rPr>
              <w:t>Education - Relocatable Classroom</w:t>
            </w:r>
          </w:p>
        </w:tc>
        <w:tc>
          <w:tcPr>
            <w:tcW w:w="1877" w:type="pct"/>
            <w:vAlign w:val="bottom"/>
          </w:tcPr>
          <w:p w14:paraId="5BD2C0A0" w14:textId="14D5D8DF" w:rsidR="00201769" w:rsidRPr="00920905" w:rsidRDefault="00201769" w:rsidP="00201769">
            <w:pPr>
              <w:rPr>
                <w:rFonts w:cstheme="minorHAnsi"/>
                <w:color w:val="FF0000"/>
                <w:szCs w:val="20"/>
              </w:rPr>
            </w:pPr>
            <w:proofErr w:type="spellStart"/>
            <w:r w:rsidRPr="00D7783C">
              <w:rPr>
                <w:color w:val="000000"/>
              </w:rPr>
              <w:t>Economy_cycle</w:t>
            </w:r>
            <w:proofErr w:type="spellEnd"/>
            <w:r w:rsidRPr="00D7783C">
              <w:rPr>
                <w:color w:val="000000"/>
              </w:rPr>
              <w:t>-Ret</w:t>
            </w:r>
          </w:p>
        </w:tc>
        <w:tc>
          <w:tcPr>
            <w:tcW w:w="1441" w:type="pct"/>
            <w:vAlign w:val="bottom"/>
          </w:tcPr>
          <w:p w14:paraId="3F34AE90" w14:textId="063175D6" w:rsidR="00201769" w:rsidRPr="00920905" w:rsidRDefault="00201769" w:rsidP="00201769">
            <w:pPr>
              <w:rPr>
                <w:rFonts w:cstheme="minorHAnsi"/>
                <w:color w:val="FF0000"/>
                <w:szCs w:val="20"/>
              </w:rPr>
            </w:pPr>
            <w:proofErr w:type="spellStart"/>
            <w:r w:rsidRPr="00D7783C">
              <w:rPr>
                <w:color w:val="000000"/>
              </w:rPr>
              <w:t>Small_Office</w:t>
            </w:r>
            <w:proofErr w:type="spellEnd"/>
          </w:p>
        </w:tc>
      </w:tr>
      <w:tr w:rsidR="00201769" w:rsidRPr="00500C4E" w14:paraId="2C65FC55" w14:textId="77777777" w:rsidTr="00664C37">
        <w:tc>
          <w:tcPr>
            <w:tcW w:w="1682" w:type="pct"/>
            <w:vAlign w:val="bottom"/>
          </w:tcPr>
          <w:p w14:paraId="6B47EBFE" w14:textId="66E81F19" w:rsidR="00201769" w:rsidRPr="00920905" w:rsidRDefault="00201769" w:rsidP="00201769">
            <w:pPr>
              <w:rPr>
                <w:rFonts w:cstheme="minorHAnsi"/>
                <w:color w:val="FF0000"/>
                <w:szCs w:val="20"/>
              </w:rPr>
            </w:pPr>
            <w:r w:rsidRPr="00D7783C">
              <w:rPr>
                <w:color w:val="000000"/>
              </w:rPr>
              <w:t>Education - Community College</w:t>
            </w:r>
          </w:p>
        </w:tc>
        <w:tc>
          <w:tcPr>
            <w:tcW w:w="1877" w:type="pct"/>
            <w:vAlign w:val="bottom"/>
          </w:tcPr>
          <w:p w14:paraId="41354F68" w14:textId="6AED8D58" w:rsidR="00201769" w:rsidRPr="00920905" w:rsidRDefault="00201769" w:rsidP="00201769">
            <w:pPr>
              <w:rPr>
                <w:rFonts w:cstheme="minorHAnsi"/>
                <w:color w:val="FF0000"/>
                <w:szCs w:val="20"/>
              </w:rPr>
            </w:pPr>
            <w:proofErr w:type="spellStart"/>
            <w:r w:rsidRPr="00D7783C">
              <w:rPr>
                <w:color w:val="000000"/>
              </w:rPr>
              <w:t>Economy_cycle</w:t>
            </w:r>
            <w:proofErr w:type="spellEnd"/>
            <w:r w:rsidRPr="00D7783C">
              <w:rPr>
                <w:color w:val="000000"/>
              </w:rPr>
              <w:t>-Ret</w:t>
            </w:r>
          </w:p>
        </w:tc>
        <w:tc>
          <w:tcPr>
            <w:tcW w:w="1441" w:type="pct"/>
            <w:vAlign w:val="bottom"/>
          </w:tcPr>
          <w:p w14:paraId="3534246B" w14:textId="32823476" w:rsidR="00201769" w:rsidRPr="00920905" w:rsidRDefault="00201769" w:rsidP="00201769">
            <w:pPr>
              <w:rPr>
                <w:rFonts w:cstheme="minorHAnsi"/>
                <w:color w:val="FF0000"/>
                <w:szCs w:val="20"/>
              </w:rPr>
            </w:pPr>
            <w:proofErr w:type="spellStart"/>
            <w:r w:rsidRPr="00D7783C">
              <w:rPr>
                <w:color w:val="000000"/>
              </w:rPr>
              <w:t>College_University</w:t>
            </w:r>
            <w:proofErr w:type="spellEnd"/>
          </w:p>
        </w:tc>
      </w:tr>
      <w:tr w:rsidR="00201769" w:rsidRPr="00500C4E" w14:paraId="74073D91" w14:textId="77777777" w:rsidTr="00664C37">
        <w:tc>
          <w:tcPr>
            <w:tcW w:w="1682" w:type="pct"/>
            <w:vAlign w:val="bottom"/>
          </w:tcPr>
          <w:p w14:paraId="18B50BF6" w14:textId="71FDE642" w:rsidR="00201769" w:rsidRPr="00920905" w:rsidRDefault="00201769" w:rsidP="00201769">
            <w:pPr>
              <w:rPr>
                <w:rFonts w:cstheme="minorHAnsi"/>
                <w:color w:val="FF0000"/>
                <w:szCs w:val="20"/>
              </w:rPr>
            </w:pPr>
            <w:r w:rsidRPr="00D7783C">
              <w:rPr>
                <w:color w:val="000000"/>
              </w:rPr>
              <w:t xml:space="preserve">Education </w:t>
            </w:r>
            <w:r>
              <w:rPr>
                <w:color w:val="000000"/>
              </w:rPr>
              <w:t>–</w:t>
            </w:r>
            <w:r w:rsidRPr="00D7783C">
              <w:rPr>
                <w:color w:val="000000"/>
              </w:rPr>
              <w:t xml:space="preserve"> University</w:t>
            </w:r>
          </w:p>
        </w:tc>
        <w:tc>
          <w:tcPr>
            <w:tcW w:w="1877" w:type="pct"/>
            <w:vAlign w:val="bottom"/>
          </w:tcPr>
          <w:p w14:paraId="74989D7A" w14:textId="36545ADC" w:rsidR="00201769" w:rsidRPr="00920905" w:rsidRDefault="00201769" w:rsidP="00201769">
            <w:pPr>
              <w:rPr>
                <w:rFonts w:cstheme="minorHAnsi"/>
                <w:color w:val="FF0000"/>
                <w:szCs w:val="20"/>
              </w:rPr>
            </w:pPr>
            <w:proofErr w:type="spellStart"/>
            <w:r w:rsidRPr="00D7783C">
              <w:rPr>
                <w:color w:val="000000"/>
              </w:rPr>
              <w:t>Economy_cycle</w:t>
            </w:r>
            <w:proofErr w:type="spellEnd"/>
            <w:r w:rsidRPr="00D7783C">
              <w:rPr>
                <w:color w:val="000000"/>
              </w:rPr>
              <w:t>-Ret</w:t>
            </w:r>
          </w:p>
        </w:tc>
        <w:tc>
          <w:tcPr>
            <w:tcW w:w="1441" w:type="pct"/>
            <w:vAlign w:val="bottom"/>
          </w:tcPr>
          <w:p w14:paraId="1DDE4B9B" w14:textId="482362AA" w:rsidR="00201769" w:rsidRPr="00920905" w:rsidRDefault="00201769" w:rsidP="00201769">
            <w:pPr>
              <w:rPr>
                <w:rFonts w:cstheme="minorHAnsi"/>
                <w:color w:val="FF0000"/>
                <w:szCs w:val="20"/>
              </w:rPr>
            </w:pPr>
            <w:proofErr w:type="spellStart"/>
            <w:r w:rsidRPr="00D7783C">
              <w:rPr>
                <w:color w:val="000000"/>
              </w:rPr>
              <w:t>College_University</w:t>
            </w:r>
            <w:proofErr w:type="spellEnd"/>
          </w:p>
        </w:tc>
      </w:tr>
      <w:tr w:rsidR="00201769" w:rsidRPr="00500C4E" w14:paraId="3C1E043B" w14:textId="77777777" w:rsidTr="00664C37">
        <w:tc>
          <w:tcPr>
            <w:tcW w:w="1682" w:type="pct"/>
            <w:vAlign w:val="bottom"/>
          </w:tcPr>
          <w:p w14:paraId="54D1CFB9" w14:textId="34776C8F" w:rsidR="00201769" w:rsidRPr="00920905" w:rsidRDefault="00201769" w:rsidP="00201769">
            <w:pPr>
              <w:rPr>
                <w:rFonts w:cstheme="minorHAnsi"/>
                <w:color w:val="FF0000"/>
                <w:szCs w:val="20"/>
              </w:rPr>
            </w:pPr>
            <w:r w:rsidRPr="00D7783C">
              <w:rPr>
                <w:color w:val="000000"/>
              </w:rPr>
              <w:t>Grocery</w:t>
            </w:r>
          </w:p>
        </w:tc>
        <w:tc>
          <w:tcPr>
            <w:tcW w:w="1877" w:type="pct"/>
            <w:vAlign w:val="bottom"/>
          </w:tcPr>
          <w:p w14:paraId="101AC35A" w14:textId="5D2E875B" w:rsidR="00201769" w:rsidRPr="00920905" w:rsidRDefault="00201769" w:rsidP="00201769">
            <w:pPr>
              <w:rPr>
                <w:rFonts w:cstheme="minorHAnsi"/>
                <w:color w:val="FF0000"/>
                <w:szCs w:val="20"/>
              </w:rPr>
            </w:pPr>
            <w:proofErr w:type="spellStart"/>
            <w:r w:rsidRPr="00D7783C">
              <w:rPr>
                <w:color w:val="000000"/>
              </w:rPr>
              <w:t>Economy_cycle</w:t>
            </w:r>
            <w:proofErr w:type="spellEnd"/>
            <w:r w:rsidRPr="00D7783C">
              <w:rPr>
                <w:color w:val="000000"/>
              </w:rPr>
              <w:t>-Ret</w:t>
            </w:r>
          </w:p>
        </w:tc>
        <w:tc>
          <w:tcPr>
            <w:tcW w:w="1441" w:type="pct"/>
            <w:vAlign w:val="bottom"/>
          </w:tcPr>
          <w:p w14:paraId="6DC510AF" w14:textId="108CFEC2" w:rsidR="00201769" w:rsidRPr="00920905" w:rsidRDefault="00201769" w:rsidP="00201769">
            <w:pPr>
              <w:rPr>
                <w:rFonts w:cstheme="minorHAnsi"/>
                <w:color w:val="FF0000"/>
                <w:szCs w:val="20"/>
              </w:rPr>
            </w:pPr>
            <w:proofErr w:type="spellStart"/>
            <w:r w:rsidRPr="00D7783C">
              <w:rPr>
                <w:color w:val="000000"/>
              </w:rPr>
              <w:t>Small_Office</w:t>
            </w:r>
            <w:proofErr w:type="spellEnd"/>
          </w:p>
        </w:tc>
      </w:tr>
      <w:tr w:rsidR="00AD43E7" w:rsidRPr="00500C4E" w14:paraId="54931276" w14:textId="77777777" w:rsidTr="00664C37">
        <w:tc>
          <w:tcPr>
            <w:tcW w:w="1682" w:type="pct"/>
            <w:vAlign w:val="bottom"/>
          </w:tcPr>
          <w:p w14:paraId="59ACA687" w14:textId="7E9A2330" w:rsidR="00AD43E7" w:rsidRPr="00920905" w:rsidRDefault="00AD43E7" w:rsidP="00AD43E7">
            <w:pPr>
              <w:rPr>
                <w:rFonts w:cstheme="minorHAnsi"/>
                <w:color w:val="FF0000"/>
                <w:szCs w:val="20"/>
              </w:rPr>
            </w:pPr>
            <w:r w:rsidRPr="00D7783C">
              <w:rPr>
                <w:color w:val="000000"/>
              </w:rPr>
              <w:t xml:space="preserve">Health/Medical </w:t>
            </w:r>
            <w:r>
              <w:rPr>
                <w:color w:val="000000"/>
              </w:rPr>
              <w:t>–</w:t>
            </w:r>
            <w:r w:rsidRPr="00D7783C">
              <w:rPr>
                <w:color w:val="000000"/>
              </w:rPr>
              <w:t xml:space="preserve"> Hospital</w:t>
            </w:r>
          </w:p>
        </w:tc>
        <w:tc>
          <w:tcPr>
            <w:tcW w:w="1877" w:type="pct"/>
            <w:vAlign w:val="bottom"/>
          </w:tcPr>
          <w:p w14:paraId="4F7D6428" w14:textId="2151D2BC" w:rsidR="00AD43E7" w:rsidRPr="00920905" w:rsidRDefault="00AD43E7" w:rsidP="00AD43E7">
            <w:pPr>
              <w:rPr>
                <w:rFonts w:cstheme="minorHAnsi"/>
                <w:color w:val="FF0000"/>
                <w:szCs w:val="20"/>
              </w:rPr>
            </w:pPr>
            <w:proofErr w:type="spellStart"/>
            <w:r w:rsidRPr="00D7783C">
              <w:rPr>
                <w:color w:val="000000"/>
              </w:rPr>
              <w:t>Economy_cycle</w:t>
            </w:r>
            <w:proofErr w:type="spellEnd"/>
            <w:r w:rsidRPr="00D7783C">
              <w:rPr>
                <w:color w:val="000000"/>
              </w:rPr>
              <w:t>-Ret</w:t>
            </w:r>
          </w:p>
        </w:tc>
        <w:tc>
          <w:tcPr>
            <w:tcW w:w="1441" w:type="pct"/>
            <w:vAlign w:val="bottom"/>
          </w:tcPr>
          <w:p w14:paraId="18782794" w14:textId="076565F0" w:rsidR="00AD43E7" w:rsidRPr="00920905" w:rsidRDefault="00AD43E7" w:rsidP="00AD43E7">
            <w:pPr>
              <w:rPr>
                <w:rFonts w:cstheme="minorHAnsi"/>
                <w:color w:val="FF0000"/>
                <w:szCs w:val="20"/>
              </w:rPr>
            </w:pPr>
            <w:proofErr w:type="spellStart"/>
            <w:r w:rsidRPr="00D7783C">
              <w:rPr>
                <w:color w:val="000000"/>
              </w:rPr>
              <w:t>Small_Office</w:t>
            </w:r>
            <w:proofErr w:type="spellEnd"/>
          </w:p>
        </w:tc>
      </w:tr>
      <w:tr w:rsidR="00201769" w:rsidRPr="00500C4E" w14:paraId="6A6C14C2" w14:textId="77777777" w:rsidTr="00664C37">
        <w:tc>
          <w:tcPr>
            <w:tcW w:w="1682" w:type="pct"/>
            <w:vAlign w:val="bottom"/>
          </w:tcPr>
          <w:p w14:paraId="733412F0" w14:textId="7A44E74A" w:rsidR="00201769" w:rsidRPr="00920905" w:rsidRDefault="00201769" w:rsidP="00201769">
            <w:pPr>
              <w:rPr>
                <w:rFonts w:cstheme="minorHAnsi"/>
                <w:color w:val="FF0000"/>
                <w:szCs w:val="20"/>
              </w:rPr>
            </w:pPr>
            <w:r w:rsidRPr="00D7783C">
              <w:rPr>
                <w:color w:val="000000"/>
              </w:rPr>
              <w:t>Health/Medical - Nursing Home</w:t>
            </w:r>
          </w:p>
        </w:tc>
        <w:tc>
          <w:tcPr>
            <w:tcW w:w="1877" w:type="pct"/>
            <w:vAlign w:val="bottom"/>
          </w:tcPr>
          <w:p w14:paraId="2FC783CA" w14:textId="5B0E3024" w:rsidR="00201769" w:rsidRPr="00920905" w:rsidRDefault="00201769" w:rsidP="00201769">
            <w:pPr>
              <w:rPr>
                <w:rFonts w:cstheme="minorHAnsi"/>
                <w:color w:val="FF0000"/>
                <w:szCs w:val="20"/>
              </w:rPr>
            </w:pPr>
            <w:proofErr w:type="spellStart"/>
            <w:r w:rsidRPr="00D7783C">
              <w:rPr>
                <w:color w:val="000000"/>
              </w:rPr>
              <w:t>Economy_cycle</w:t>
            </w:r>
            <w:proofErr w:type="spellEnd"/>
            <w:r w:rsidRPr="00D7783C">
              <w:rPr>
                <w:color w:val="000000"/>
              </w:rPr>
              <w:t>-Ret</w:t>
            </w:r>
          </w:p>
        </w:tc>
        <w:tc>
          <w:tcPr>
            <w:tcW w:w="1441" w:type="pct"/>
            <w:vAlign w:val="bottom"/>
          </w:tcPr>
          <w:p w14:paraId="1417A6F1" w14:textId="36EC2606" w:rsidR="00201769" w:rsidRPr="00920905" w:rsidRDefault="00201769" w:rsidP="00201769">
            <w:pPr>
              <w:rPr>
                <w:rFonts w:cstheme="minorHAnsi"/>
                <w:color w:val="FF0000"/>
                <w:szCs w:val="20"/>
              </w:rPr>
            </w:pPr>
            <w:proofErr w:type="spellStart"/>
            <w:r w:rsidRPr="00D7783C">
              <w:rPr>
                <w:color w:val="000000"/>
              </w:rPr>
              <w:t>Small_Office</w:t>
            </w:r>
            <w:proofErr w:type="spellEnd"/>
          </w:p>
        </w:tc>
      </w:tr>
      <w:tr w:rsidR="00201769" w:rsidRPr="00500C4E" w14:paraId="036232F0" w14:textId="77777777" w:rsidTr="00664C37">
        <w:tc>
          <w:tcPr>
            <w:tcW w:w="1682" w:type="pct"/>
            <w:vAlign w:val="bottom"/>
          </w:tcPr>
          <w:p w14:paraId="4F6552EF" w14:textId="4069EFA7" w:rsidR="00201769" w:rsidRPr="00920905" w:rsidRDefault="00201769" w:rsidP="00201769">
            <w:pPr>
              <w:rPr>
                <w:rFonts w:cstheme="minorHAnsi"/>
                <w:color w:val="FF0000"/>
                <w:szCs w:val="20"/>
              </w:rPr>
            </w:pPr>
            <w:r w:rsidRPr="00D7783C">
              <w:rPr>
                <w:color w:val="000000"/>
              </w:rPr>
              <w:t xml:space="preserve">Lodging </w:t>
            </w:r>
            <w:r>
              <w:rPr>
                <w:color w:val="000000"/>
              </w:rPr>
              <w:t>–</w:t>
            </w:r>
            <w:r w:rsidRPr="00D7783C">
              <w:rPr>
                <w:color w:val="000000"/>
              </w:rPr>
              <w:t xml:space="preserve"> Hotel</w:t>
            </w:r>
          </w:p>
        </w:tc>
        <w:tc>
          <w:tcPr>
            <w:tcW w:w="1877" w:type="pct"/>
            <w:vAlign w:val="bottom"/>
          </w:tcPr>
          <w:p w14:paraId="7D2B6958" w14:textId="4A59B79C" w:rsidR="00201769" w:rsidRPr="00920905" w:rsidRDefault="00201769" w:rsidP="00201769">
            <w:pPr>
              <w:rPr>
                <w:rFonts w:cstheme="minorHAnsi"/>
                <w:color w:val="FF0000"/>
                <w:szCs w:val="20"/>
              </w:rPr>
            </w:pPr>
            <w:proofErr w:type="spellStart"/>
            <w:r w:rsidRPr="00D7783C">
              <w:rPr>
                <w:color w:val="000000"/>
              </w:rPr>
              <w:t>Economy_cycle</w:t>
            </w:r>
            <w:proofErr w:type="spellEnd"/>
            <w:r w:rsidRPr="00D7783C">
              <w:rPr>
                <w:color w:val="000000"/>
              </w:rPr>
              <w:t>-Ret</w:t>
            </w:r>
          </w:p>
        </w:tc>
        <w:tc>
          <w:tcPr>
            <w:tcW w:w="1441" w:type="pct"/>
            <w:vAlign w:val="bottom"/>
          </w:tcPr>
          <w:p w14:paraId="057562F6" w14:textId="1C7B7F1C" w:rsidR="00201769" w:rsidRPr="00920905" w:rsidRDefault="00201769" w:rsidP="00201769">
            <w:pPr>
              <w:rPr>
                <w:rFonts w:cstheme="minorHAnsi"/>
                <w:color w:val="FF0000"/>
                <w:szCs w:val="20"/>
              </w:rPr>
            </w:pPr>
            <w:proofErr w:type="spellStart"/>
            <w:r w:rsidRPr="00D7783C">
              <w:rPr>
                <w:color w:val="000000"/>
              </w:rPr>
              <w:t>Small_Office</w:t>
            </w:r>
            <w:proofErr w:type="spellEnd"/>
          </w:p>
        </w:tc>
      </w:tr>
      <w:tr w:rsidR="00201769" w:rsidRPr="00500C4E" w14:paraId="3A8338A3" w14:textId="77777777" w:rsidTr="00664C37">
        <w:tc>
          <w:tcPr>
            <w:tcW w:w="1682" w:type="pct"/>
            <w:vAlign w:val="bottom"/>
          </w:tcPr>
          <w:p w14:paraId="18A878F2" w14:textId="315D8CEB" w:rsidR="00201769" w:rsidRPr="00920905" w:rsidRDefault="00201769" w:rsidP="00201769">
            <w:pPr>
              <w:rPr>
                <w:rFonts w:cstheme="minorHAnsi"/>
                <w:color w:val="FF0000"/>
                <w:szCs w:val="20"/>
              </w:rPr>
            </w:pPr>
            <w:r w:rsidRPr="00D7783C">
              <w:rPr>
                <w:color w:val="000000"/>
              </w:rPr>
              <w:t xml:space="preserve">Office </w:t>
            </w:r>
            <w:r>
              <w:rPr>
                <w:color w:val="000000"/>
              </w:rPr>
              <w:t>–</w:t>
            </w:r>
            <w:r w:rsidRPr="00D7783C">
              <w:rPr>
                <w:color w:val="000000"/>
              </w:rPr>
              <w:t xml:space="preserve"> Large</w:t>
            </w:r>
          </w:p>
        </w:tc>
        <w:tc>
          <w:tcPr>
            <w:tcW w:w="1877" w:type="pct"/>
            <w:vAlign w:val="bottom"/>
          </w:tcPr>
          <w:p w14:paraId="1234A7E5" w14:textId="7C9F5DB3" w:rsidR="00201769" w:rsidRPr="00920905" w:rsidRDefault="00201769" w:rsidP="00201769">
            <w:pPr>
              <w:rPr>
                <w:rFonts w:cstheme="minorHAnsi"/>
                <w:color w:val="FF0000"/>
                <w:szCs w:val="20"/>
              </w:rPr>
            </w:pPr>
            <w:proofErr w:type="spellStart"/>
            <w:r w:rsidRPr="00D7783C">
              <w:rPr>
                <w:color w:val="000000"/>
              </w:rPr>
              <w:t>Economy_cycle</w:t>
            </w:r>
            <w:proofErr w:type="spellEnd"/>
            <w:r w:rsidRPr="00D7783C">
              <w:rPr>
                <w:color w:val="000000"/>
              </w:rPr>
              <w:t>-Ret</w:t>
            </w:r>
          </w:p>
        </w:tc>
        <w:tc>
          <w:tcPr>
            <w:tcW w:w="1441" w:type="pct"/>
            <w:vAlign w:val="bottom"/>
          </w:tcPr>
          <w:p w14:paraId="0919B6B7" w14:textId="40AF6F8F" w:rsidR="00201769" w:rsidRPr="00920905" w:rsidRDefault="00201769" w:rsidP="00201769">
            <w:pPr>
              <w:rPr>
                <w:rFonts w:cstheme="minorHAnsi"/>
                <w:color w:val="FF0000"/>
                <w:szCs w:val="20"/>
              </w:rPr>
            </w:pPr>
            <w:proofErr w:type="spellStart"/>
            <w:r w:rsidRPr="00D7783C">
              <w:rPr>
                <w:color w:val="000000"/>
              </w:rPr>
              <w:t>Large_Office</w:t>
            </w:r>
            <w:proofErr w:type="spellEnd"/>
          </w:p>
        </w:tc>
      </w:tr>
      <w:tr w:rsidR="00201769" w:rsidRPr="00500C4E" w14:paraId="0DEBBB86" w14:textId="77777777" w:rsidTr="00664C37">
        <w:tc>
          <w:tcPr>
            <w:tcW w:w="1682" w:type="pct"/>
            <w:vAlign w:val="bottom"/>
          </w:tcPr>
          <w:p w14:paraId="57209ADB" w14:textId="6CF3CE0A" w:rsidR="00201769" w:rsidRPr="00920905" w:rsidRDefault="00201769" w:rsidP="00201769">
            <w:pPr>
              <w:rPr>
                <w:rFonts w:cstheme="minorHAnsi"/>
                <w:color w:val="FF0000"/>
                <w:szCs w:val="20"/>
              </w:rPr>
            </w:pPr>
            <w:r w:rsidRPr="00D7783C">
              <w:rPr>
                <w:color w:val="000000"/>
              </w:rPr>
              <w:t xml:space="preserve">Office </w:t>
            </w:r>
            <w:r>
              <w:rPr>
                <w:color w:val="000000"/>
              </w:rPr>
              <w:t>–</w:t>
            </w:r>
            <w:r w:rsidRPr="00D7783C">
              <w:rPr>
                <w:color w:val="000000"/>
              </w:rPr>
              <w:t xml:space="preserve"> Small</w:t>
            </w:r>
          </w:p>
        </w:tc>
        <w:tc>
          <w:tcPr>
            <w:tcW w:w="1877" w:type="pct"/>
            <w:vAlign w:val="bottom"/>
          </w:tcPr>
          <w:p w14:paraId="18E1B501" w14:textId="08DA95CA" w:rsidR="00201769" w:rsidRPr="00920905" w:rsidRDefault="00201769" w:rsidP="00201769">
            <w:pPr>
              <w:rPr>
                <w:rFonts w:cstheme="minorHAnsi"/>
                <w:color w:val="FF0000"/>
                <w:szCs w:val="20"/>
              </w:rPr>
            </w:pPr>
            <w:proofErr w:type="spellStart"/>
            <w:r w:rsidRPr="00D7783C">
              <w:rPr>
                <w:color w:val="000000"/>
              </w:rPr>
              <w:t>Economy_cycle</w:t>
            </w:r>
            <w:proofErr w:type="spellEnd"/>
            <w:r w:rsidRPr="00D7783C">
              <w:rPr>
                <w:color w:val="000000"/>
              </w:rPr>
              <w:t>-Ret</w:t>
            </w:r>
          </w:p>
        </w:tc>
        <w:tc>
          <w:tcPr>
            <w:tcW w:w="1441" w:type="pct"/>
            <w:vAlign w:val="bottom"/>
          </w:tcPr>
          <w:p w14:paraId="25E99AFE" w14:textId="25579159" w:rsidR="00201769" w:rsidRPr="00920905" w:rsidRDefault="00201769" w:rsidP="00201769">
            <w:pPr>
              <w:rPr>
                <w:rFonts w:cstheme="minorHAnsi"/>
                <w:color w:val="FF0000"/>
                <w:szCs w:val="20"/>
              </w:rPr>
            </w:pPr>
            <w:proofErr w:type="spellStart"/>
            <w:r w:rsidRPr="00D7783C">
              <w:rPr>
                <w:color w:val="000000"/>
              </w:rPr>
              <w:t>Small_Office</w:t>
            </w:r>
            <w:proofErr w:type="spellEnd"/>
          </w:p>
        </w:tc>
      </w:tr>
      <w:tr w:rsidR="00201769" w:rsidRPr="00500C4E" w14:paraId="6A44B7DC" w14:textId="77777777" w:rsidTr="00664C37">
        <w:tc>
          <w:tcPr>
            <w:tcW w:w="1682" w:type="pct"/>
            <w:vAlign w:val="bottom"/>
          </w:tcPr>
          <w:p w14:paraId="2785AE77" w14:textId="60343816" w:rsidR="00201769" w:rsidRPr="00920905" w:rsidRDefault="00201769" w:rsidP="00201769">
            <w:pPr>
              <w:rPr>
                <w:rFonts w:cstheme="minorHAnsi"/>
                <w:color w:val="FF0000"/>
                <w:szCs w:val="20"/>
              </w:rPr>
            </w:pPr>
            <w:r w:rsidRPr="00D7783C">
              <w:rPr>
                <w:color w:val="000000"/>
              </w:rPr>
              <w:t>Restaurant - Fast-Food</w:t>
            </w:r>
          </w:p>
        </w:tc>
        <w:tc>
          <w:tcPr>
            <w:tcW w:w="1877" w:type="pct"/>
            <w:vAlign w:val="bottom"/>
          </w:tcPr>
          <w:p w14:paraId="4E82DA34" w14:textId="44B1204D" w:rsidR="00201769" w:rsidRPr="00920905" w:rsidRDefault="00201769" w:rsidP="00201769">
            <w:pPr>
              <w:rPr>
                <w:rFonts w:cstheme="minorHAnsi"/>
                <w:color w:val="FF0000"/>
                <w:szCs w:val="20"/>
              </w:rPr>
            </w:pPr>
            <w:proofErr w:type="spellStart"/>
            <w:r w:rsidRPr="00D7783C">
              <w:rPr>
                <w:color w:val="000000"/>
              </w:rPr>
              <w:t>Economy_cycle</w:t>
            </w:r>
            <w:proofErr w:type="spellEnd"/>
            <w:r w:rsidRPr="00D7783C">
              <w:rPr>
                <w:color w:val="000000"/>
              </w:rPr>
              <w:t>-Ret</w:t>
            </w:r>
          </w:p>
        </w:tc>
        <w:tc>
          <w:tcPr>
            <w:tcW w:w="1441" w:type="pct"/>
            <w:vAlign w:val="bottom"/>
          </w:tcPr>
          <w:p w14:paraId="0CF9E7F7" w14:textId="2B6FD95A" w:rsidR="00201769" w:rsidRPr="00920905" w:rsidRDefault="00201769" w:rsidP="00201769">
            <w:pPr>
              <w:rPr>
                <w:rFonts w:cstheme="minorHAnsi"/>
                <w:color w:val="FF0000"/>
                <w:szCs w:val="20"/>
              </w:rPr>
            </w:pPr>
            <w:r w:rsidRPr="00D7783C">
              <w:rPr>
                <w:color w:val="000000"/>
              </w:rPr>
              <w:t>Restaurant</w:t>
            </w:r>
          </w:p>
        </w:tc>
      </w:tr>
      <w:tr w:rsidR="00201769" w:rsidRPr="00500C4E" w14:paraId="545330AE" w14:textId="77777777" w:rsidTr="00664C37">
        <w:tc>
          <w:tcPr>
            <w:tcW w:w="1682" w:type="pct"/>
            <w:vAlign w:val="bottom"/>
          </w:tcPr>
          <w:p w14:paraId="694E578C" w14:textId="4E5897E8" w:rsidR="00201769" w:rsidRPr="00920905" w:rsidRDefault="00201769" w:rsidP="00201769">
            <w:pPr>
              <w:rPr>
                <w:rFonts w:cstheme="minorHAnsi"/>
                <w:color w:val="FF0000"/>
                <w:szCs w:val="20"/>
              </w:rPr>
            </w:pPr>
            <w:r w:rsidRPr="00D7783C">
              <w:rPr>
                <w:color w:val="000000"/>
              </w:rPr>
              <w:t>Restaurant - Sit-Down</w:t>
            </w:r>
          </w:p>
        </w:tc>
        <w:tc>
          <w:tcPr>
            <w:tcW w:w="1877" w:type="pct"/>
          </w:tcPr>
          <w:p w14:paraId="7D8193E3" w14:textId="5A311378" w:rsidR="00201769" w:rsidRPr="00920905" w:rsidRDefault="00201769" w:rsidP="00201769">
            <w:pPr>
              <w:rPr>
                <w:rFonts w:cstheme="minorHAnsi"/>
                <w:color w:val="FF0000"/>
                <w:szCs w:val="20"/>
              </w:rPr>
            </w:pPr>
            <w:proofErr w:type="spellStart"/>
            <w:r w:rsidRPr="00D7783C">
              <w:rPr>
                <w:color w:val="000000"/>
              </w:rPr>
              <w:t>Economy_cycle</w:t>
            </w:r>
            <w:proofErr w:type="spellEnd"/>
            <w:r w:rsidRPr="00D7783C">
              <w:rPr>
                <w:color w:val="000000"/>
              </w:rPr>
              <w:t>-Ret</w:t>
            </w:r>
          </w:p>
        </w:tc>
        <w:tc>
          <w:tcPr>
            <w:tcW w:w="1441" w:type="pct"/>
            <w:vAlign w:val="bottom"/>
          </w:tcPr>
          <w:p w14:paraId="6F13593B" w14:textId="7CF21940" w:rsidR="00201769" w:rsidRPr="00920905" w:rsidRDefault="00201769" w:rsidP="00201769">
            <w:pPr>
              <w:rPr>
                <w:rFonts w:cstheme="minorHAnsi"/>
                <w:color w:val="FF0000"/>
                <w:szCs w:val="20"/>
              </w:rPr>
            </w:pPr>
            <w:r w:rsidRPr="00D7783C">
              <w:rPr>
                <w:color w:val="000000"/>
              </w:rPr>
              <w:t>Restaurant</w:t>
            </w:r>
          </w:p>
        </w:tc>
      </w:tr>
    </w:tbl>
    <w:p w14:paraId="52C9214C" w14:textId="5A04C955" w:rsidR="005552C3" w:rsidRDefault="00F95E2F" w:rsidP="00920905">
      <w:pPr>
        <w:pStyle w:val="Heading1"/>
      </w:pPr>
      <w:proofErr w:type="gramStart"/>
      <w:r>
        <w:t>Section 4.</w:t>
      </w:r>
      <w:proofErr w:type="gramEnd"/>
      <w:r>
        <w:t xml:space="preserve"> Costs</w:t>
      </w:r>
    </w:p>
    <w:p w14:paraId="4696E137"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5FB401AD" w14:textId="698C03D8" w:rsidR="005A2937" w:rsidRDefault="005A2937" w:rsidP="00920905">
      <w:r w:rsidRPr="005328DA">
        <w:t>The Base Case is a standard commercial kitchen ventilation system with single speed exhaust and makeup air fans</w:t>
      </w:r>
      <w:r w:rsidR="00A32006">
        <w:t>,</w:t>
      </w:r>
      <w:r w:rsidRPr="005328DA">
        <w:t xml:space="preserve"> and a simple on/off control. Since the commercial kitchen ventilation system is required for both standard systems and demand controlled ventilation systems, the Base Case cost for </w:t>
      </w:r>
      <w:r w:rsidR="00836A35">
        <w:t>the REA measure</w:t>
      </w:r>
      <w:r w:rsidR="00836A35" w:rsidRPr="005328DA">
        <w:t xml:space="preserve"> </w:t>
      </w:r>
      <w:r w:rsidRPr="005328DA">
        <w:t xml:space="preserve">is zero. </w:t>
      </w:r>
      <w:r w:rsidR="00836A35">
        <w:t>For the NEW measure th</w:t>
      </w:r>
      <w:r w:rsidR="00300401">
        <w:t xml:space="preserve">e </w:t>
      </w:r>
      <w:r w:rsidR="00B42A8C">
        <w:t xml:space="preserve">baseline </w:t>
      </w:r>
      <w:r w:rsidR="00300401">
        <w:t xml:space="preserve">costs were estimated using </w:t>
      </w:r>
      <w:proofErr w:type="spellStart"/>
      <w:r w:rsidR="00300401">
        <w:t>RS</w:t>
      </w:r>
      <w:r w:rsidR="00836A35">
        <w:t>Means</w:t>
      </w:r>
      <w:proofErr w:type="spellEnd"/>
      <w:r w:rsidR="00836A35">
        <w:t xml:space="preserve"> </w:t>
      </w:r>
      <w:r w:rsidR="00B42A8C">
        <w:t>online (2017)</w:t>
      </w:r>
      <w:r w:rsidR="00300401">
        <w:t xml:space="preserve"> using the </w:t>
      </w:r>
      <w:r w:rsidR="00837869">
        <w:t xml:space="preserve">cost breakdown as found </w:t>
      </w:r>
      <w:proofErr w:type="gramStart"/>
      <w:r w:rsidR="00837869">
        <w:t>below.</w:t>
      </w:r>
      <w:proofErr w:type="gramEnd"/>
    </w:p>
    <w:p w14:paraId="5BDBF515" w14:textId="77777777" w:rsidR="00300401" w:rsidRDefault="00300401" w:rsidP="00920905"/>
    <w:tbl>
      <w:tblPr>
        <w:tblStyle w:val="TableGrid1"/>
        <w:tblW w:w="4985" w:type="pct"/>
        <w:tblLook w:val="01E0" w:firstRow="1" w:lastRow="1" w:firstColumn="1" w:lastColumn="1" w:noHBand="0" w:noVBand="0"/>
      </w:tblPr>
      <w:tblGrid>
        <w:gridCol w:w="2715"/>
        <w:gridCol w:w="2583"/>
        <w:gridCol w:w="2179"/>
        <w:gridCol w:w="2070"/>
      </w:tblGrid>
      <w:tr w:rsidR="00DC370E" w:rsidRPr="000F130A" w14:paraId="506AEC7F" w14:textId="77777777" w:rsidTr="00664C37">
        <w:trPr>
          <w:trHeight w:val="225"/>
        </w:trPr>
        <w:tc>
          <w:tcPr>
            <w:tcW w:w="1422" w:type="pct"/>
            <w:shd w:val="clear" w:color="auto" w:fill="D9D9D9" w:themeFill="background1" w:themeFillShade="D9"/>
          </w:tcPr>
          <w:p w14:paraId="205609C3" w14:textId="398EBD7C" w:rsidR="00DC370E" w:rsidRPr="00864A0D" w:rsidRDefault="00DC370E" w:rsidP="00460BF6">
            <w:pPr>
              <w:rPr>
                <w:b/>
                <w:highlight w:val="yellow"/>
              </w:rPr>
            </w:pPr>
            <w:r>
              <w:rPr>
                <w:rFonts w:cstheme="minorBidi"/>
                <w:b/>
              </w:rPr>
              <w:t>Component</w:t>
            </w:r>
          </w:p>
        </w:tc>
        <w:tc>
          <w:tcPr>
            <w:tcW w:w="1353" w:type="pct"/>
            <w:shd w:val="clear" w:color="auto" w:fill="D9D9D9" w:themeFill="background1" w:themeFillShade="D9"/>
          </w:tcPr>
          <w:p w14:paraId="5356CD89" w14:textId="5106FE77" w:rsidR="00DC370E" w:rsidRPr="00864A0D" w:rsidRDefault="00DC370E" w:rsidP="00460BF6">
            <w:pPr>
              <w:rPr>
                <w:b/>
              </w:rPr>
            </w:pPr>
            <w:r>
              <w:rPr>
                <w:rFonts w:cstheme="minorBidi"/>
                <w:b/>
              </w:rPr>
              <w:t>Material Cost ($)</w:t>
            </w:r>
          </w:p>
        </w:tc>
        <w:tc>
          <w:tcPr>
            <w:tcW w:w="1141" w:type="pct"/>
            <w:shd w:val="clear" w:color="auto" w:fill="D9D9D9" w:themeFill="background1" w:themeFillShade="D9"/>
          </w:tcPr>
          <w:p w14:paraId="4417D716" w14:textId="71CB6EBF" w:rsidR="00DC370E" w:rsidRPr="00864A0D" w:rsidRDefault="00DC370E" w:rsidP="00460BF6">
            <w:pPr>
              <w:rPr>
                <w:b/>
              </w:rPr>
            </w:pPr>
            <w:r>
              <w:rPr>
                <w:rFonts w:cstheme="minorBidi"/>
                <w:b/>
              </w:rPr>
              <w:t>Labor Cost ($)</w:t>
            </w:r>
          </w:p>
        </w:tc>
        <w:tc>
          <w:tcPr>
            <w:tcW w:w="1084" w:type="pct"/>
            <w:shd w:val="clear" w:color="auto" w:fill="D9D9D9" w:themeFill="background1" w:themeFillShade="D9"/>
          </w:tcPr>
          <w:p w14:paraId="61A34A6C" w14:textId="7CB79805" w:rsidR="00DC370E" w:rsidRPr="00864A0D" w:rsidRDefault="00DC370E" w:rsidP="00460BF6">
            <w:pPr>
              <w:rPr>
                <w:b/>
              </w:rPr>
            </w:pPr>
            <w:r>
              <w:rPr>
                <w:rFonts w:cstheme="minorBidi"/>
                <w:b/>
              </w:rPr>
              <w:t>Total Cost ($)</w:t>
            </w:r>
          </w:p>
        </w:tc>
      </w:tr>
      <w:tr w:rsidR="006B6480" w:rsidRPr="000F130A" w14:paraId="4CACB01C" w14:textId="77777777" w:rsidTr="00664C37">
        <w:trPr>
          <w:trHeight w:val="93"/>
        </w:trPr>
        <w:tc>
          <w:tcPr>
            <w:tcW w:w="1422" w:type="pct"/>
          </w:tcPr>
          <w:p w14:paraId="30FFA71E" w14:textId="1BDC2EF4" w:rsidR="006B6480" w:rsidRPr="00D7783C" w:rsidRDefault="006B6480" w:rsidP="006B6480">
            <w:r w:rsidRPr="00F753A3">
              <w:t xml:space="preserve">Fans, </w:t>
            </w:r>
            <w:r>
              <w:t>R</w:t>
            </w:r>
            <w:r w:rsidRPr="00F753A3">
              <w:t xml:space="preserve">oof </w:t>
            </w:r>
            <w:r>
              <w:t>M</w:t>
            </w:r>
            <w:r w:rsidRPr="00F753A3">
              <w:t xml:space="preserve">ounted </w:t>
            </w:r>
            <w:r>
              <w:t>Kitchen</w:t>
            </w:r>
            <w:r w:rsidRPr="00F753A3">
              <w:t xml:space="preserve"> </w:t>
            </w:r>
            <w:r>
              <w:t>E</w:t>
            </w:r>
            <w:r w:rsidRPr="00F753A3">
              <w:t>xhaust</w:t>
            </w:r>
            <w:r>
              <w:t>*</w:t>
            </w:r>
          </w:p>
        </w:tc>
        <w:tc>
          <w:tcPr>
            <w:tcW w:w="1353" w:type="pct"/>
            <w:vAlign w:val="center"/>
          </w:tcPr>
          <w:p w14:paraId="533D9ED3" w14:textId="176231E2" w:rsidR="006B6480" w:rsidRPr="00D7783C" w:rsidRDefault="006B6480" w:rsidP="006B6480">
            <w:r>
              <w:rPr>
                <w:rFonts w:ascii="Calibri" w:hAnsi="Calibri"/>
                <w:color w:val="000000"/>
                <w:szCs w:val="20"/>
              </w:rPr>
              <w:t>$1,126.28</w:t>
            </w:r>
          </w:p>
        </w:tc>
        <w:tc>
          <w:tcPr>
            <w:tcW w:w="1141" w:type="pct"/>
            <w:vAlign w:val="center"/>
          </w:tcPr>
          <w:p w14:paraId="7E02DA38" w14:textId="4EC1FAF6" w:rsidR="006B6480" w:rsidRPr="00D7783C" w:rsidRDefault="006B6480" w:rsidP="006B6480">
            <w:r>
              <w:rPr>
                <w:rFonts w:ascii="Calibri" w:hAnsi="Calibri"/>
                <w:color w:val="000000"/>
                <w:szCs w:val="20"/>
              </w:rPr>
              <w:t>$185.00</w:t>
            </w:r>
          </w:p>
        </w:tc>
        <w:tc>
          <w:tcPr>
            <w:tcW w:w="1084" w:type="pct"/>
            <w:vAlign w:val="center"/>
          </w:tcPr>
          <w:p w14:paraId="4E7A80D1" w14:textId="70D414EA" w:rsidR="006B6480" w:rsidRPr="00D7783C" w:rsidRDefault="006B6480" w:rsidP="006B6480">
            <w:r>
              <w:rPr>
                <w:rFonts w:ascii="Calibri" w:hAnsi="Calibri"/>
                <w:color w:val="000000"/>
                <w:szCs w:val="20"/>
              </w:rPr>
              <w:t>$1,311.28</w:t>
            </w:r>
          </w:p>
        </w:tc>
      </w:tr>
      <w:tr w:rsidR="006B6480" w:rsidRPr="000F130A" w14:paraId="20536B47" w14:textId="77777777" w:rsidTr="00664C37">
        <w:trPr>
          <w:trHeight w:val="133"/>
        </w:trPr>
        <w:tc>
          <w:tcPr>
            <w:tcW w:w="1422" w:type="pct"/>
          </w:tcPr>
          <w:p w14:paraId="17ED0860" w14:textId="61FC467D" w:rsidR="006B6480" w:rsidRPr="00D7783C" w:rsidRDefault="006B6480" w:rsidP="006B6480">
            <w:r>
              <w:t>Kitchen Exhaust</w:t>
            </w:r>
            <w:r w:rsidRPr="00F753A3">
              <w:t xml:space="preserve"> Hood</w:t>
            </w:r>
          </w:p>
        </w:tc>
        <w:tc>
          <w:tcPr>
            <w:tcW w:w="1353" w:type="pct"/>
            <w:vAlign w:val="center"/>
          </w:tcPr>
          <w:p w14:paraId="3D93E230" w14:textId="2EBB7685" w:rsidR="006B6480" w:rsidRPr="00D7783C" w:rsidRDefault="006B6480" w:rsidP="006B6480">
            <w:r>
              <w:rPr>
                <w:rFonts w:ascii="Calibri" w:hAnsi="Calibri"/>
                <w:color w:val="000000"/>
                <w:szCs w:val="20"/>
              </w:rPr>
              <w:t>$4,950.00</w:t>
            </w:r>
          </w:p>
        </w:tc>
        <w:tc>
          <w:tcPr>
            <w:tcW w:w="1141" w:type="pct"/>
            <w:vAlign w:val="center"/>
          </w:tcPr>
          <w:p w14:paraId="6D593143" w14:textId="7574B8A4" w:rsidR="006B6480" w:rsidRPr="00D7783C" w:rsidRDefault="006B6480" w:rsidP="006B6480">
            <w:r>
              <w:rPr>
                <w:rFonts w:ascii="Calibri" w:hAnsi="Calibri"/>
                <w:color w:val="000000"/>
                <w:szCs w:val="20"/>
              </w:rPr>
              <w:t>$168.00</w:t>
            </w:r>
          </w:p>
        </w:tc>
        <w:tc>
          <w:tcPr>
            <w:tcW w:w="1084" w:type="pct"/>
            <w:vAlign w:val="center"/>
          </w:tcPr>
          <w:p w14:paraId="11C3D1C7" w14:textId="347F331A" w:rsidR="006B6480" w:rsidRPr="00D7783C" w:rsidRDefault="006B6480" w:rsidP="006B6480">
            <w:r>
              <w:rPr>
                <w:rFonts w:ascii="Calibri" w:hAnsi="Calibri"/>
                <w:color w:val="000000"/>
                <w:szCs w:val="20"/>
              </w:rPr>
              <w:t>$5,118.00</w:t>
            </w:r>
          </w:p>
        </w:tc>
      </w:tr>
      <w:tr w:rsidR="006B6480" w:rsidRPr="000F130A" w14:paraId="0E3E3F35" w14:textId="77777777" w:rsidTr="00664C37">
        <w:trPr>
          <w:trHeight w:val="133"/>
        </w:trPr>
        <w:tc>
          <w:tcPr>
            <w:tcW w:w="1422" w:type="pct"/>
          </w:tcPr>
          <w:p w14:paraId="77C72789" w14:textId="216C38AD" w:rsidR="006B6480" w:rsidRPr="00D7783C" w:rsidRDefault="006B6480" w:rsidP="006B6480">
            <w:r w:rsidRPr="00F753A3">
              <w:t>Controller</w:t>
            </w:r>
          </w:p>
        </w:tc>
        <w:tc>
          <w:tcPr>
            <w:tcW w:w="1353" w:type="pct"/>
            <w:vAlign w:val="center"/>
          </w:tcPr>
          <w:p w14:paraId="18CCF7A9" w14:textId="183E6504" w:rsidR="006B6480" w:rsidRPr="00D7783C" w:rsidRDefault="006B6480" w:rsidP="006B6480">
            <w:r>
              <w:rPr>
                <w:rFonts w:ascii="Calibri" w:hAnsi="Calibri"/>
                <w:color w:val="000000"/>
                <w:szCs w:val="20"/>
              </w:rPr>
              <w:t>$248.00</w:t>
            </w:r>
          </w:p>
        </w:tc>
        <w:tc>
          <w:tcPr>
            <w:tcW w:w="1141" w:type="pct"/>
            <w:vAlign w:val="center"/>
          </w:tcPr>
          <w:p w14:paraId="0A45CBFD" w14:textId="5E7C3261" w:rsidR="006B6480" w:rsidRPr="00D7783C" w:rsidRDefault="006B6480" w:rsidP="006B6480">
            <w:r>
              <w:rPr>
                <w:rFonts w:ascii="Calibri" w:hAnsi="Calibri"/>
                <w:color w:val="000000"/>
                <w:szCs w:val="20"/>
              </w:rPr>
              <w:t>$221.00</w:t>
            </w:r>
          </w:p>
        </w:tc>
        <w:tc>
          <w:tcPr>
            <w:tcW w:w="1084" w:type="pct"/>
            <w:vAlign w:val="center"/>
          </w:tcPr>
          <w:p w14:paraId="32AF683A" w14:textId="35808EA7" w:rsidR="006B6480" w:rsidRPr="00D7783C" w:rsidRDefault="006B6480" w:rsidP="006B6480">
            <w:r>
              <w:rPr>
                <w:rFonts w:ascii="Calibri" w:hAnsi="Calibri"/>
                <w:color w:val="000000"/>
                <w:szCs w:val="20"/>
              </w:rPr>
              <w:t>$469.00</w:t>
            </w:r>
          </w:p>
        </w:tc>
      </w:tr>
      <w:tr w:rsidR="006B6480" w:rsidRPr="000F130A" w14:paraId="3BE1FACF" w14:textId="77777777" w:rsidTr="00664C37">
        <w:trPr>
          <w:trHeight w:val="133"/>
        </w:trPr>
        <w:tc>
          <w:tcPr>
            <w:tcW w:w="1422" w:type="pct"/>
          </w:tcPr>
          <w:p w14:paraId="20751896" w14:textId="4FC6FE18" w:rsidR="006B6480" w:rsidRPr="00D7783C" w:rsidRDefault="006B6480" w:rsidP="006B6480">
            <w:r w:rsidRPr="00F753A3">
              <w:t>Wiring</w:t>
            </w:r>
          </w:p>
        </w:tc>
        <w:tc>
          <w:tcPr>
            <w:tcW w:w="1353" w:type="pct"/>
            <w:vAlign w:val="center"/>
          </w:tcPr>
          <w:p w14:paraId="0682EA71" w14:textId="7002B7C6" w:rsidR="006B6480" w:rsidRPr="00D7783C" w:rsidRDefault="006B6480" w:rsidP="006B6480">
            <w:r>
              <w:rPr>
                <w:rFonts w:ascii="Calibri" w:hAnsi="Calibri"/>
                <w:color w:val="000000"/>
                <w:szCs w:val="20"/>
              </w:rPr>
              <w:t>$348.00</w:t>
            </w:r>
          </w:p>
        </w:tc>
        <w:tc>
          <w:tcPr>
            <w:tcW w:w="1141" w:type="pct"/>
            <w:vAlign w:val="center"/>
          </w:tcPr>
          <w:p w14:paraId="6768A69F" w14:textId="471B65EE" w:rsidR="006B6480" w:rsidRPr="00D7783C" w:rsidRDefault="006B6480" w:rsidP="006B6480">
            <w:r>
              <w:rPr>
                <w:rFonts w:ascii="Calibri" w:hAnsi="Calibri"/>
                <w:color w:val="000000"/>
                <w:szCs w:val="20"/>
              </w:rPr>
              <w:t>$442.00</w:t>
            </w:r>
          </w:p>
        </w:tc>
        <w:tc>
          <w:tcPr>
            <w:tcW w:w="1084" w:type="pct"/>
            <w:vAlign w:val="center"/>
          </w:tcPr>
          <w:p w14:paraId="34CD1D18" w14:textId="154F65C1" w:rsidR="006B6480" w:rsidRPr="00D7783C" w:rsidRDefault="006B6480" w:rsidP="006B6480">
            <w:r>
              <w:rPr>
                <w:rFonts w:ascii="Calibri" w:hAnsi="Calibri"/>
                <w:color w:val="000000"/>
                <w:szCs w:val="20"/>
              </w:rPr>
              <w:t>$790.00</w:t>
            </w:r>
          </w:p>
        </w:tc>
      </w:tr>
      <w:tr w:rsidR="006B6480" w:rsidRPr="000F130A" w14:paraId="000A0E15" w14:textId="77777777" w:rsidTr="00664C37">
        <w:trPr>
          <w:trHeight w:val="125"/>
        </w:trPr>
        <w:tc>
          <w:tcPr>
            <w:tcW w:w="1422" w:type="pct"/>
          </w:tcPr>
          <w:p w14:paraId="075385BF" w14:textId="7C903BA9" w:rsidR="006B6480" w:rsidRPr="00664C37" w:rsidRDefault="006B6480" w:rsidP="006B6480">
            <w:pPr>
              <w:rPr>
                <w:b/>
              </w:rPr>
            </w:pPr>
            <w:r w:rsidRPr="00664C37">
              <w:rPr>
                <w:b/>
              </w:rPr>
              <w:t>Total</w:t>
            </w:r>
            <w:r>
              <w:rPr>
                <w:b/>
              </w:rPr>
              <w:t xml:space="preserve"> Cost ($)</w:t>
            </w:r>
          </w:p>
        </w:tc>
        <w:tc>
          <w:tcPr>
            <w:tcW w:w="1353" w:type="pct"/>
            <w:vAlign w:val="center"/>
          </w:tcPr>
          <w:p w14:paraId="4251ADBD" w14:textId="5C2C424C" w:rsidR="006B6480" w:rsidRPr="00664C37" w:rsidRDefault="006B6480" w:rsidP="006B6480">
            <w:pPr>
              <w:rPr>
                <w:b/>
              </w:rPr>
            </w:pPr>
            <w:r w:rsidRPr="00664C37">
              <w:rPr>
                <w:rFonts w:ascii="Calibri" w:hAnsi="Calibri"/>
                <w:b/>
                <w:color w:val="000000"/>
                <w:szCs w:val="20"/>
              </w:rPr>
              <w:t>$6,672.28</w:t>
            </w:r>
          </w:p>
        </w:tc>
        <w:tc>
          <w:tcPr>
            <w:tcW w:w="1141" w:type="pct"/>
            <w:vAlign w:val="center"/>
          </w:tcPr>
          <w:p w14:paraId="52830712" w14:textId="557E1808" w:rsidR="006B6480" w:rsidRPr="00664C37" w:rsidRDefault="006B6480" w:rsidP="006B6480">
            <w:pPr>
              <w:rPr>
                <w:b/>
              </w:rPr>
            </w:pPr>
            <w:r w:rsidRPr="00664C37">
              <w:rPr>
                <w:rFonts w:ascii="Calibri" w:hAnsi="Calibri"/>
                <w:b/>
                <w:color w:val="000000"/>
                <w:szCs w:val="20"/>
              </w:rPr>
              <w:t>$1,016.00</w:t>
            </w:r>
          </w:p>
        </w:tc>
        <w:tc>
          <w:tcPr>
            <w:tcW w:w="1084" w:type="pct"/>
            <w:vAlign w:val="center"/>
          </w:tcPr>
          <w:p w14:paraId="07B32E76" w14:textId="28CF7681" w:rsidR="006B6480" w:rsidRPr="00664C37" w:rsidRDefault="006B6480" w:rsidP="006B6480">
            <w:pPr>
              <w:rPr>
                <w:b/>
              </w:rPr>
            </w:pPr>
            <w:r w:rsidRPr="00664C37">
              <w:rPr>
                <w:rFonts w:ascii="Calibri" w:hAnsi="Calibri"/>
                <w:b/>
                <w:color w:val="000000"/>
                <w:szCs w:val="20"/>
              </w:rPr>
              <w:t>$7,688.28</w:t>
            </w:r>
          </w:p>
        </w:tc>
      </w:tr>
      <w:tr w:rsidR="006B6480" w:rsidRPr="000F130A" w14:paraId="52721425" w14:textId="77777777" w:rsidTr="00664C37">
        <w:trPr>
          <w:trHeight w:val="125"/>
        </w:trPr>
        <w:tc>
          <w:tcPr>
            <w:tcW w:w="1422" w:type="pct"/>
          </w:tcPr>
          <w:p w14:paraId="2A3B183E" w14:textId="37EBC065" w:rsidR="006B6480" w:rsidRPr="003738C4" w:rsidRDefault="006B6480" w:rsidP="006B6480">
            <w:pPr>
              <w:rPr>
                <w:b/>
              </w:rPr>
            </w:pPr>
            <w:r>
              <w:rPr>
                <w:b/>
              </w:rPr>
              <w:t>Normalized Cost ($/HP)</w:t>
            </w:r>
          </w:p>
        </w:tc>
        <w:tc>
          <w:tcPr>
            <w:tcW w:w="1353" w:type="pct"/>
            <w:vAlign w:val="center"/>
          </w:tcPr>
          <w:p w14:paraId="381DB9E5" w14:textId="77C01453" w:rsidR="006B6480" w:rsidRPr="006B6480" w:rsidRDefault="006B6480" w:rsidP="006B6480">
            <w:pPr>
              <w:rPr>
                <w:b/>
              </w:rPr>
            </w:pPr>
            <w:r w:rsidRPr="006B6480">
              <w:rPr>
                <w:rFonts w:ascii="Calibri" w:hAnsi="Calibri"/>
                <w:b/>
                <w:bCs/>
                <w:color w:val="000000"/>
                <w:szCs w:val="20"/>
              </w:rPr>
              <w:t>$5,337.82</w:t>
            </w:r>
          </w:p>
        </w:tc>
        <w:tc>
          <w:tcPr>
            <w:tcW w:w="1141" w:type="pct"/>
            <w:vAlign w:val="center"/>
          </w:tcPr>
          <w:p w14:paraId="677168F2" w14:textId="782A7438" w:rsidR="006B6480" w:rsidRPr="006B6480" w:rsidRDefault="006B6480" w:rsidP="006B6480">
            <w:pPr>
              <w:rPr>
                <w:b/>
              </w:rPr>
            </w:pPr>
            <w:r w:rsidRPr="006B6480">
              <w:rPr>
                <w:rFonts w:ascii="Calibri" w:hAnsi="Calibri"/>
                <w:b/>
                <w:bCs/>
                <w:color w:val="000000"/>
                <w:szCs w:val="20"/>
              </w:rPr>
              <w:t>$812.80</w:t>
            </w:r>
          </w:p>
        </w:tc>
        <w:tc>
          <w:tcPr>
            <w:tcW w:w="1084" w:type="pct"/>
            <w:vAlign w:val="center"/>
          </w:tcPr>
          <w:p w14:paraId="04D3F531" w14:textId="5B64D86E" w:rsidR="006B6480" w:rsidRPr="006B6480" w:rsidRDefault="006B6480" w:rsidP="006B6480">
            <w:pPr>
              <w:rPr>
                <w:b/>
              </w:rPr>
            </w:pPr>
            <w:r w:rsidRPr="006B6480">
              <w:rPr>
                <w:rFonts w:ascii="Calibri" w:hAnsi="Calibri"/>
                <w:b/>
                <w:bCs/>
                <w:color w:val="000000"/>
                <w:szCs w:val="20"/>
              </w:rPr>
              <w:t>$6,150.62</w:t>
            </w:r>
          </w:p>
        </w:tc>
      </w:tr>
    </w:tbl>
    <w:p w14:paraId="3B594501" w14:textId="77777777" w:rsidR="00DC370E" w:rsidRDefault="00DC370E" w:rsidP="00920905"/>
    <w:p w14:paraId="5B8699DB" w14:textId="3B224A59" w:rsidR="00DC370E" w:rsidRDefault="00B42A8C" w:rsidP="00DC370E">
      <w:r>
        <w:t>*</w:t>
      </w:r>
      <w:r w:rsidR="001C33ED">
        <w:t>Since the NEW measure is only applicable to systems 5,000 CFM and under, c</w:t>
      </w:r>
      <w:r w:rsidR="00DC370E">
        <w:t xml:space="preserve">osts for five kitchen exhaust fans under 5,000 CFM found in </w:t>
      </w:r>
      <w:proofErr w:type="spellStart"/>
      <w:r>
        <w:t>RSMeans</w:t>
      </w:r>
      <w:proofErr w:type="spellEnd"/>
      <w:r>
        <w:t xml:space="preserve"> online (2017)</w:t>
      </w:r>
      <w:r w:rsidR="00E638C3">
        <w:t xml:space="preserve"> were used to</w:t>
      </w:r>
      <w:r w:rsidR="001C33ED">
        <w:t xml:space="preserve"> </w:t>
      </w:r>
      <w:r w:rsidR="00DC370E">
        <w:t xml:space="preserve">create a linear fit line for both labor and material costs based on horsepower. The </w:t>
      </w:r>
      <w:r w:rsidR="003C0070">
        <w:t xml:space="preserve">linear </w:t>
      </w:r>
      <w:r w:rsidR="00DC370E">
        <w:t>best fit line</w:t>
      </w:r>
      <w:r w:rsidR="00E638C3">
        <w:t xml:space="preserve"> (R</w:t>
      </w:r>
      <w:r w:rsidR="00E638C3">
        <w:rPr>
          <w:vertAlign w:val="superscript"/>
        </w:rPr>
        <w:t>2</w:t>
      </w:r>
      <w:r w:rsidR="00E638C3">
        <w:t>=0.9382)</w:t>
      </w:r>
      <w:r w:rsidR="001C33ED">
        <w:t xml:space="preserve"> </w:t>
      </w:r>
      <w:r w:rsidR="00DC370E">
        <w:t xml:space="preserve">was used to extrapolate the labor and material costs based on the average horsepower of </w:t>
      </w:r>
      <w:r w:rsidR="00FC0FA4">
        <w:t>1.25</w:t>
      </w:r>
      <w:r w:rsidR="00DC370E">
        <w:t xml:space="preserve"> HP, found from the SCE program data for measure costs</w:t>
      </w:r>
      <w:r w:rsidR="00FC0FA4">
        <w:t xml:space="preserve"> of measures under 1.5 HP</w:t>
      </w:r>
      <w:r w:rsidR="00DC370E">
        <w:t xml:space="preserve">. Please see Attachment </w:t>
      </w:r>
      <w:r w:rsidR="00CC03BA">
        <w:t>2</w:t>
      </w:r>
      <w:r w:rsidR="00E638C3">
        <w:t xml:space="preserve">, “Base Cost” tab </w:t>
      </w:r>
      <w:r w:rsidR="00DC370E">
        <w:t>for more details.</w:t>
      </w:r>
    </w:p>
    <w:p w14:paraId="5A261A6E" w14:textId="3B8AEBD8" w:rsidR="00DC370E" w:rsidRDefault="00DC370E" w:rsidP="00920905"/>
    <w:p w14:paraId="3880AD73" w14:textId="5FFFDB97" w:rsidR="00DC370E" w:rsidRDefault="00B42A8C" w:rsidP="00920905">
      <w:r>
        <w:t xml:space="preserve">No costs were included in the base case for the makeup air units due the variability found in the system type, size and existence. </w:t>
      </w:r>
    </w:p>
    <w:p w14:paraId="3DCB4893" w14:textId="77777777" w:rsidR="00B42A8C" w:rsidRDefault="00B42A8C" w:rsidP="00920905"/>
    <w:p w14:paraId="3144800A" w14:textId="40965D61" w:rsidR="00300401" w:rsidRDefault="00300401" w:rsidP="00920905">
      <w:r>
        <w:t xml:space="preserve">The total base costs for this measure are found in the table below. </w:t>
      </w:r>
    </w:p>
    <w:p w14:paraId="3CA27CB1" w14:textId="77777777" w:rsidR="00300401" w:rsidRDefault="00300401" w:rsidP="00920905"/>
    <w:tbl>
      <w:tblPr>
        <w:tblStyle w:val="TableGrid1"/>
        <w:tblW w:w="5000" w:type="pct"/>
        <w:tblLook w:val="01E0" w:firstRow="1" w:lastRow="1" w:firstColumn="1" w:lastColumn="1" w:noHBand="0" w:noVBand="0"/>
      </w:tblPr>
      <w:tblGrid>
        <w:gridCol w:w="1286"/>
        <w:gridCol w:w="1094"/>
        <w:gridCol w:w="2023"/>
        <w:gridCol w:w="1562"/>
        <w:gridCol w:w="1563"/>
        <w:gridCol w:w="2048"/>
      </w:tblGrid>
      <w:tr w:rsidR="003C0070" w:rsidRPr="000F130A" w14:paraId="4FBB46A7" w14:textId="596B085C" w:rsidTr="00664C37">
        <w:trPr>
          <w:trHeight w:val="224"/>
        </w:trPr>
        <w:tc>
          <w:tcPr>
            <w:tcW w:w="674" w:type="pct"/>
            <w:shd w:val="clear" w:color="auto" w:fill="D9D9D9" w:themeFill="background1" w:themeFillShade="D9"/>
          </w:tcPr>
          <w:p w14:paraId="2EFFA596" w14:textId="00559D9A" w:rsidR="008350E7" w:rsidRPr="00864A0D" w:rsidRDefault="008350E7" w:rsidP="00664C37">
            <w:pPr>
              <w:jc w:val="center"/>
              <w:rPr>
                <w:b/>
                <w:highlight w:val="yellow"/>
              </w:rPr>
            </w:pPr>
            <w:r>
              <w:rPr>
                <w:rFonts w:cstheme="minorBidi"/>
                <w:b/>
              </w:rPr>
              <w:t xml:space="preserve">Solution </w:t>
            </w:r>
            <w:r>
              <w:rPr>
                <w:rFonts w:cstheme="minorBidi"/>
                <w:b/>
              </w:rPr>
              <w:lastRenderedPageBreak/>
              <w:t>Code</w:t>
            </w:r>
          </w:p>
        </w:tc>
        <w:tc>
          <w:tcPr>
            <w:tcW w:w="574" w:type="pct"/>
            <w:shd w:val="clear" w:color="auto" w:fill="D9D9D9" w:themeFill="background1" w:themeFillShade="D9"/>
          </w:tcPr>
          <w:p w14:paraId="20803D64" w14:textId="6082BF85" w:rsidR="008350E7" w:rsidRPr="00864A0D" w:rsidRDefault="008350E7" w:rsidP="00664C37">
            <w:pPr>
              <w:jc w:val="center"/>
              <w:rPr>
                <w:b/>
                <w:highlight w:val="yellow"/>
              </w:rPr>
            </w:pPr>
            <w:r>
              <w:rPr>
                <w:rFonts w:cstheme="minorBidi"/>
                <w:b/>
              </w:rPr>
              <w:lastRenderedPageBreak/>
              <w:t xml:space="preserve">Install </w:t>
            </w:r>
            <w:r>
              <w:rPr>
                <w:rFonts w:cstheme="minorBidi"/>
                <w:b/>
              </w:rPr>
              <w:lastRenderedPageBreak/>
              <w:t>type</w:t>
            </w:r>
          </w:p>
        </w:tc>
        <w:tc>
          <w:tcPr>
            <w:tcW w:w="1059" w:type="pct"/>
            <w:shd w:val="clear" w:color="auto" w:fill="D9D9D9" w:themeFill="background1" w:themeFillShade="D9"/>
          </w:tcPr>
          <w:p w14:paraId="72BFED42" w14:textId="15659AF2" w:rsidR="008350E7" w:rsidRPr="00864A0D" w:rsidRDefault="008350E7" w:rsidP="00664C37">
            <w:pPr>
              <w:jc w:val="center"/>
              <w:rPr>
                <w:b/>
              </w:rPr>
            </w:pPr>
            <w:r>
              <w:rPr>
                <w:rFonts w:cstheme="minorBidi"/>
                <w:b/>
              </w:rPr>
              <w:lastRenderedPageBreak/>
              <w:t xml:space="preserve">Base Material Cost </w:t>
            </w:r>
            <w:r>
              <w:rPr>
                <w:rFonts w:cstheme="minorBidi"/>
                <w:b/>
              </w:rPr>
              <w:lastRenderedPageBreak/>
              <w:t>($/HP)</w:t>
            </w:r>
          </w:p>
        </w:tc>
        <w:tc>
          <w:tcPr>
            <w:tcW w:w="818" w:type="pct"/>
            <w:shd w:val="clear" w:color="auto" w:fill="D9D9D9" w:themeFill="background1" w:themeFillShade="D9"/>
          </w:tcPr>
          <w:p w14:paraId="47FDE534" w14:textId="75F5FBE5" w:rsidR="008350E7" w:rsidRPr="00864A0D" w:rsidRDefault="008350E7" w:rsidP="00664C37">
            <w:pPr>
              <w:jc w:val="center"/>
              <w:rPr>
                <w:b/>
              </w:rPr>
            </w:pPr>
            <w:r>
              <w:rPr>
                <w:rFonts w:cstheme="minorBidi"/>
                <w:b/>
              </w:rPr>
              <w:lastRenderedPageBreak/>
              <w:t xml:space="preserve">Base Labor Cost </w:t>
            </w:r>
            <w:r>
              <w:rPr>
                <w:rFonts w:cstheme="minorBidi"/>
                <w:b/>
              </w:rPr>
              <w:lastRenderedPageBreak/>
              <w:t>($/HP)</w:t>
            </w:r>
          </w:p>
        </w:tc>
        <w:tc>
          <w:tcPr>
            <w:tcW w:w="818" w:type="pct"/>
            <w:shd w:val="clear" w:color="auto" w:fill="D9D9D9" w:themeFill="background1" w:themeFillShade="D9"/>
          </w:tcPr>
          <w:p w14:paraId="724EC8D7" w14:textId="78CD730E" w:rsidR="008350E7" w:rsidRPr="00864A0D" w:rsidRDefault="008350E7" w:rsidP="00664C37">
            <w:pPr>
              <w:jc w:val="center"/>
              <w:rPr>
                <w:b/>
              </w:rPr>
            </w:pPr>
            <w:r>
              <w:rPr>
                <w:rFonts w:cstheme="minorBidi"/>
                <w:b/>
              </w:rPr>
              <w:lastRenderedPageBreak/>
              <w:t xml:space="preserve">Total Base Cost </w:t>
            </w:r>
            <w:r>
              <w:rPr>
                <w:rFonts w:cstheme="minorBidi"/>
                <w:b/>
              </w:rPr>
              <w:lastRenderedPageBreak/>
              <w:t>($/HP)</w:t>
            </w:r>
          </w:p>
        </w:tc>
        <w:tc>
          <w:tcPr>
            <w:tcW w:w="1056" w:type="pct"/>
            <w:shd w:val="clear" w:color="auto" w:fill="D9D9D9" w:themeFill="background1" w:themeFillShade="D9"/>
          </w:tcPr>
          <w:p w14:paraId="7A2CA8DB" w14:textId="160F1AFB" w:rsidR="008350E7" w:rsidRDefault="008350E7" w:rsidP="00664C37">
            <w:pPr>
              <w:jc w:val="center"/>
              <w:rPr>
                <w:rFonts w:cstheme="minorBidi"/>
                <w:b/>
              </w:rPr>
            </w:pPr>
            <w:r>
              <w:rPr>
                <w:rFonts w:cstheme="minorBidi"/>
                <w:b/>
              </w:rPr>
              <w:lastRenderedPageBreak/>
              <w:t>Cost ID</w:t>
            </w:r>
          </w:p>
        </w:tc>
      </w:tr>
      <w:tr w:rsidR="006B6480" w:rsidRPr="000F130A" w14:paraId="6A3EB10F" w14:textId="1E56C7EE" w:rsidTr="00664C37">
        <w:trPr>
          <w:trHeight w:val="92"/>
        </w:trPr>
        <w:tc>
          <w:tcPr>
            <w:tcW w:w="674" w:type="pct"/>
          </w:tcPr>
          <w:p w14:paraId="5E925D1E" w14:textId="3B6F72E8" w:rsidR="006B6480" w:rsidRPr="00D7783C" w:rsidRDefault="006B6480" w:rsidP="00664C37">
            <w:pPr>
              <w:jc w:val="center"/>
            </w:pPr>
            <w:r w:rsidRPr="007557FF">
              <w:lastRenderedPageBreak/>
              <w:t>FS-20154</w:t>
            </w:r>
          </w:p>
        </w:tc>
        <w:tc>
          <w:tcPr>
            <w:tcW w:w="574" w:type="pct"/>
          </w:tcPr>
          <w:p w14:paraId="300B29AE" w14:textId="0B209A0D" w:rsidR="006B6480" w:rsidRPr="00D7783C" w:rsidRDefault="006B6480" w:rsidP="00664C37">
            <w:pPr>
              <w:jc w:val="center"/>
            </w:pPr>
            <w:r w:rsidRPr="007557FF">
              <w:t>NEW</w:t>
            </w:r>
          </w:p>
        </w:tc>
        <w:tc>
          <w:tcPr>
            <w:tcW w:w="1059" w:type="pct"/>
            <w:vAlign w:val="center"/>
          </w:tcPr>
          <w:p w14:paraId="374AD3A0" w14:textId="2718C6E1" w:rsidR="006B6480" w:rsidRPr="00DC370E" w:rsidRDefault="006B6480" w:rsidP="00664C37">
            <w:pPr>
              <w:jc w:val="center"/>
            </w:pPr>
            <w:r>
              <w:rPr>
                <w:rFonts w:ascii="Calibri" w:hAnsi="Calibri"/>
                <w:color w:val="000000"/>
                <w:szCs w:val="20"/>
              </w:rPr>
              <w:t xml:space="preserve">$5,337.82 </w:t>
            </w:r>
          </w:p>
        </w:tc>
        <w:tc>
          <w:tcPr>
            <w:tcW w:w="818" w:type="pct"/>
            <w:vAlign w:val="center"/>
          </w:tcPr>
          <w:p w14:paraId="4CA56BAE" w14:textId="1801E74C" w:rsidR="006B6480" w:rsidRPr="00DC370E" w:rsidRDefault="006B6480" w:rsidP="00664C37">
            <w:pPr>
              <w:jc w:val="center"/>
            </w:pPr>
            <w:r>
              <w:rPr>
                <w:rFonts w:ascii="Calibri" w:hAnsi="Calibri"/>
                <w:color w:val="000000"/>
                <w:szCs w:val="20"/>
              </w:rPr>
              <w:t xml:space="preserve">$812.80 </w:t>
            </w:r>
          </w:p>
        </w:tc>
        <w:tc>
          <w:tcPr>
            <w:tcW w:w="818" w:type="pct"/>
            <w:vAlign w:val="center"/>
          </w:tcPr>
          <w:p w14:paraId="0120C1CA" w14:textId="23BEEF93" w:rsidR="006B6480" w:rsidRPr="00DC370E" w:rsidRDefault="006B6480" w:rsidP="00664C37">
            <w:pPr>
              <w:jc w:val="center"/>
            </w:pPr>
            <w:r>
              <w:rPr>
                <w:rFonts w:ascii="Calibri" w:hAnsi="Calibri"/>
                <w:color w:val="000000"/>
                <w:szCs w:val="20"/>
              </w:rPr>
              <w:t xml:space="preserve">$6,150.62 </w:t>
            </w:r>
          </w:p>
        </w:tc>
        <w:tc>
          <w:tcPr>
            <w:tcW w:w="1056" w:type="pct"/>
          </w:tcPr>
          <w:p w14:paraId="0240BE5F" w14:textId="1F61259D" w:rsidR="006B6480" w:rsidRPr="00CD22B2" w:rsidRDefault="006B6480" w:rsidP="00664C37">
            <w:pPr>
              <w:jc w:val="center"/>
            </w:pPr>
            <w:r w:rsidRPr="007557FF">
              <w:t>SCE17CC008_</w:t>
            </w:r>
            <w:r w:rsidR="00CB4618">
              <w:t>0</w:t>
            </w:r>
            <w:r w:rsidRPr="007557FF">
              <w:t>0_B001</w:t>
            </w:r>
          </w:p>
        </w:tc>
      </w:tr>
      <w:tr w:rsidR="006B6480" w:rsidRPr="000F130A" w14:paraId="3E2F980D" w14:textId="08D3EBE0" w:rsidTr="00664C37">
        <w:trPr>
          <w:trHeight w:val="132"/>
        </w:trPr>
        <w:tc>
          <w:tcPr>
            <w:tcW w:w="674" w:type="pct"/>
          </w:tcPr>
          <w:p w14:paraId="021B7F8B" w14:textId="2557496D" w:rsidR="006B6480" w:rsidRPr="00D7783C" w:rsidRDefault="006B6480" w:rsidP="00664C37">
            <w:pPr>
              <w:jc w:val="center"/>
            </w:pPr>
            <w:r w:rsidRPr="007557FF">
              <w:t>FS-17337</w:t>
            </w:r>
          </w:p>
        </w:tc>
        <w:tc>
          <w:tcPr>
            <w:tcW w:w="574" w:type="pct"/>
          </w:tcPr>
          <w:p w14:paraId="73F8AAF8" w14:textId="7D5C60B3" w:rsidR="006B6480" w:rsidRPr="00D7783C" w:rsidRDefault="006B6480" w:rsidP="00664C37">
            <w:pPr>
              <w:jc w:val="center"/>
            </w:pPr>
            <w:r w:rsidRPr="007557FF">
              <w:t>REA</w:t>
            </w:r>
          </w:p>
        </w:tc>
        <w:tc>
          <w:tcPr>
            <w:tcW w:w="1059" w:type="pct"/>
            <w:vAlign w:val="center"/>
          </w:tcPr>
          <w:p w14:paraId="25C3E422" w14:textId="7AB894E2" w:rsidR="006B6480" w:rsidRPr="00D7783C" w:rsidRDefault="006B6480" w:rsidP="00664C37">
            <w:pPr>
              <w:jc w:val="center"/>
            </w:pPr>
            <w:r>
              <w:rPr>
                <w:rFonts w:ascii="Calibri" w:hAnsi="Calibri"/>
                <w:color w:val="000000"/>
                <w:szCs w:val="20"/>
              </w:rPr>
              <w:t xml:space="preserve">$0.00 </w:t>
            </w:r>
          </w:p>
        </w:tc>
        <w:tc>
          <w:tcPr>
            <w:tcW w:w="818" w:type="pct"/>
            <w:vAlign w:val="center"/>
          </w:tcPr>
          <w:p w14:paraId="6713B674" w14:textId="7D4BD02E" w:rsidR="006B6480" w:rsidRPr="00D7783C" w:rsidRDefault="006B6480" w:rsidP="00664C37">
            <w:pPr>
              <w:jc w:val="center"/>
            </w:pPr>
            <w:r>
              <w:rPr>
                <w:rFonts w:ascii="Calibri" w:hAnsi="Calibri"/>
                <w:color w:val="000000"/>
                <w:szCs w:val="20"/>
              </w:rPr>
              <w:t xml:space="preserve">$0.00 </w:t>
            </w:r>
          </w:p>
        </w:tc>
        <w:tc>
          <w:tcPr>
            <w:tcW w:w="818" w:type="pct"/>
            <w:vAlign w:val="center"/>
          </w:tcPr>
          <w:p w14:paraId="7A4B72A1" w14:textId="6FFE93D1" w:rsidR="006B6480" w:rsidRPr="00D7783C" w:rsidRDefault="006B6480" w:rsidP="00664C37">
            <w:pPr>
              <w:jc w:val="center"/>
            </w:pPr>
            <w:r>
              <w:rPr>
                <w:rFonts w:ascii="Calibri" w:hAnsi="Calibri"/>
                <w:color w:val="000000"/>
                <w:szCs w:val="20"/>
              </w:rPr>
              <w:t xml:space="preserve">$0.00 </w:t>
            </w:r>
          </w:p>
        </w:tc>
        <w:tc>
          <w:tcPr>
            <w:tcW w:w="1056" w:type="pct"/>
          </w:tcPr>
          <w:p w14:paraId="450CAE0B" w14:textId="6CECC01D" w:rsidR="006B6480" w:rsidRDefault="006B6480" w:rsidP="00664C37">
            <w:pPr>
              <w:jc w:val="center"/>
            </w:pPr>
            <w:r w:rsidRPr="007557FF">
              <w:t>SCE17CC008_0</w:t>
            </w:r>
            <w:r w:rsidR="00CB4618">
              <w:t>0</w:t>
            </w:r>
            <w:r w:rsidRPr="007557FF">
              <w:t>_B002</w:t>
            </w:r>
          </w:p>
        </w:tc>
      </w:tr>
    </w:tbl>
    <w:p w14:paraId="63892C3A" w14:textId="77777777" w:rsidR="00300401" w:rsidRDefault="00300401" w:rsidP="00920905"/>
    <w:p w14:paraId="44713B57" w14:textId="77777777" w:rsidR="005A0E53" w:rsidRPr="00500C4E" w:rsidRDefault="005A0E53" w:rsidP="005A0E53">
      <w:pPr>
        <w:pStyle w:val="Heading2"/>
        <w:rPr>
          <w:rFonts w:asciiTheme="minorHAnsi" w:hAnsiTheme="minorHAnsi" w:cstheme="minorHAnsi"/>
        </w:rPr>
      </w:pPr>
      <w:bookmarkStart w:id="20" w:name="_Toc214003098"/>
      <w:r w:rsidRPr="00500C4E">
        <w:rPr>
          <w:rFonts w:asciiTheme="minorHAnsi" w:hAnsiTheme="minorHAnsi" w:cstheme="minorHAnsi"/>
        </w:rPr>
        <w:t>4.2 Measure Case Cost</w:t>
      </w:r>
    </w:p>
    <w:p w14:paraId="4443F4DF" w14:textId="50B9A0C1" w:rsidR="005A5FB3" w:rsidRDefault="005A5FB3">
      <w:r>
        <w:t>The measure co</w:t>
      </w:r>
      <w:r w:rsidR="00507148">
        <w:t>s</w:t>
      </w:r>
      <w:r>
        <w:t xml:space="preserve">ts were obtained using SCE program data for </w:t>
      </w:r>
      <w:r w:rsidR="008350E7">
        <w:t xml:space="preserve">(33) </w:t>
      </w:r>
      <w:r>
        <w:t xml:space="preserve">previous installations of the REA </w:t>
      </w:r>
      <w:r w:rsidR="00E638C3">
        <w:t>measures</w:t>
      </w:r>
      <w:r>
        <w:t xml:space="preserve"> of exhaust kitchen </w:t>
      </w:r>
      <w:r w:rsidR="003C0070">
        <w:t xml:space="preserve">hood </w:t>
      </w:r>
      <w:r>
        <w:t>DCV system</w:t>
      </w:r>
      <w:r w:rsidR="00507148">
        <w:t>s from years 201</w:t>
      </w:r>
      <w:r w:rsidR="008350E7">
        <w:t>3 to 2017</w:t>
      </w:r>
      <w:r w:rsidR="000B2916">
        <w:t>. Based on the data the normalized cost for the DCV kitchen hood controls addition was found to be $3,311.4</w:t>
      </w:r>
      <w:r w:rsidR="00327AFB">
        <w:t>3</w:t>
      </w:r>
      <w:r w:rsidR="000B2916">
        <w:t xml:space="preserve"> per HP (Attachment 2, “SCE Program Data” tab)</w:t>
      </w:r>
    </w:p>
    <w:p w14:paraId="16519F10" w14:textId="77777777" w:rsidR="000B2916" w:rsidRDefault="000B2916"/>
    <w:p w14:paraId="2B1113AB" w14:textId="34598B0D" w:rsidR="005A5FB3" w:rsidRDefault="0004506B" w:rsidP="005A2937">
      <w:r>
        <w:t xml:space="preserve">For the REA measure, the full measure costs include only the new controls costs for the DCV </w:t>
      </w:r>
      <w:r w:rsidR="00A32006">
        <w:t xml:space="preserve">kitchen hood </w:t>
      </w:r>
      <w:r>
        <w:t xml:space="preserve">system. </w:t>
      </w:r>
      <w:r w:rsidR="005A5FB3">
        <w:t>For the</w:t>
      </w:r>
      <w:r w:rsidR="00B42A8C">
        <w:t xml:space="preserve"> new construction measure</w:t>
      </w:r>
      <w:r w:rsidR="005A5FB3">
        <w:t xml:space="preserve"> (NEW), the </w:t>
      </w:r>
      <w:r w:rsidR="00E638C3">
        <w:t>full</w:t>
      </w:r>
      <w:r w:rsidR="005A5FB3">
        <w:t xml:space="preserve"> measure costs were assumed to include </w:t>
      </w:r>
      <w:r w:rsidR="00B42A8C">
        <w:t>both</w:t>
      </w:r>
      <w:r w:rsidR="005A5FB3">
        <w:t xml:space="preserve"> the installation of the entire </w:t>
      </w:r>
      <w:r w:rsidR="003C0070">
        <w:t xml:space="preserve">kitchen </w:t>
      </w:r>
      <w:r w:rsidR="005A5FB3">
        <w:t xml:space="preserve">hood system used </w:t>
      </w:r>
      <w:r w:rsidR="001C33ED">
        <w:t>in</w:t>
      </w:r>
      <w:r w:rsidR="005A5FB3">
        <w:t xml:space="preserve"> the base case costs, and the incremental costs of adding the DCV system. </w:t>
      </w:r>
      <w:r w:rsidR="00E638C3">
        <w:t>T</w:t>
      </w:r>
      <w:r w:rsidR="005A5FB3">
        <w:t xml:space="preserve">he </w:t>
      </w:r>
      <w:r w:rsidR="00062273">
        <w:t>total measure case cost for both</w:t>
      </w:r>
      <w:r w:rsidR="005A5FB3">
        <w:t xml:space="preserve"> measure</w:t>
      </w:r>
      <w:r w:rsidR="00062273">
        <w:t>s</w:t>
      </w:r>
      <w:r w:rsidR="005A5FB3">
        <w:t xml:space="preserve"> can be found below: </w:t>
      </w:r>
    </w:p>
    <w:p w14:paraId="155BBA17" w14:textId="77777777" w:rsidR="00FC0FA4" w:rsidRDefault="00FC0FA4" w:rsidP="005A2937"/>
    <w:tbl>
      <w:tblPr>
        <w:tblStyle w:val="TableGrid1"/>
        <w:tblW w:w="4682" w:type="pct"/>
        <w:tblLook w:val="01E0" w:firstRow="1" w:lastRow="1" w:firstColumn="1" w:lastColumn="1" w:noHBand="0" w:noVBand="0"/>
      </w:tblPr>
      <w:tblGrid>
        <w:gridCol w:w="1233"/>
        <w:gridCol w:w="924"/>
        <w:gridCol w:w="1493"/>
        <w:gridCol w:w="1188"/>
        <w:gridCol w:w="2019"/>
        <w:gridCol w:w="2110"/>
      </w:tblGrid>
      <w:tr w:rsidR="000B2916" w:rsidRPr="000F130A" w14:paraId="03735192" w14:textId="77777777" w:rsidTr="00664C37">
        <w:trPr>
          <w:trHeight w:val="236"/>
        </w:trPr>
        <w:tc>
          <w:tcPr>
            <w:tcW w:w="693" w:type="pct"/>
            <w:shd w:val="clear" w:color="auto" w:fill="D9D9D9" w:themeFill="background1" w:themeFillShade="D9"/>
          </w:tcPr>
          <w:p w14:paraId="58709838" w14:textId="248059BB" w:rsidR="000B2916" w:rsidRPr="003738C4" w:rsidRDefault="000B2916" w:rsidP="000B2916">
            <w:pPr>
              <w:jc w:val="center"/>
              <w:rPr>
                <w:b/>
                <w:highlight w:val="yellow"/>
              </w:rPr>
            </w:pPr>
            <w:r w:rsidRPr="00664C37">
              <w:rPr>
                <w:b/>
              </w:rPr>
              <w:t>Solution Code</w:t>
            </w:r>
          </w:p>
        </w:tc>
        <w:tc>
          <w:tcPr>
            <w:tcW w:w="521" w:type="pct"/>
            <w:shd w:val="clear" w:color="auto" w:fill="D9D9D9" w:themeFill="background1" w:themeFillShade="D9"/>
          </w:tcPr>
          <w:p w14:paraId="728C8F22" w14:textId="56BBB999" w:rsidR="000B2916" w:rsidRPr="003738C4" w:rsidRDefault="000B2916" w:rsidP="000B2916">
            <w:pPr>
              <w:jc w:val="center"/>
              <w:rPr>
                <w:b/>
                <w:highlight w:val="yellow"/>
              </w:rPr>
            </w:pPr>
            <w:r w:rsidRPr="00664C37">
              <w:rPr>
                <w:b/>
              </w:rPr>
              <w:t>Install type</w:t>
            </w:r>
          </w:p>
        </w:tc>
        <w:tc>
          <w:tcPr>
            <w:tcW w:w="838" w:type="pct"/>
            <w:shd w:val="clear" w:color="auto" w:fill="D9D9D9" w:themeFill="background1" w:themeFillShade="D9"/>
            <w:vAlign w:val="center"/>
          </w:tcPr>
          <w:p w14:paraId="031CB4A3" w14:textId="53892C30" w:rsidR="000B2916" w:rsidRPr="003738C4" w:rsidRDefault="003E3FB0" w:rsidP="000B2916">
            <w:pPr>
              <w:jc w:val="center"/>
              <w:rPr>
                <w:b/>
              </w:rPr>
            </w:pPr>
            <w:r w:rsidRPr="003E3FB0">
              <w:rPr>
                <w:rFonts w:ascii="Calibri" w:hAnsi="Calibri"/>
                <w:b/>
                <w:bCs/>
                <w:color w:val="000000"/>
                <w:szCs w:val="20"/>
              </w:rPr>
              <w:t xml:space="preserve">Normalized Measure Cost  </w:t>
            </w:r>
            <w:r w:rsidR="000B2916">
              <w:rPr>
                <w:rFonts w:ascii="Calibri" w:hAnsi="Calibri"/>
                <w:b/>
                <w:bCs/>
                <w:color w:val="000000"/>
                <w:szCs w:val="20"/>
              </w:rPr>
              <w:t>($/HP)</w:t>
            </w:r>
          </w:p>
        </w:tc>
        <w:tc>
          <w:tcPr>
            <w:tcW w:w="668" w:type="pct"/>
            <w:shd w:val="clear" w:color="auto" w:fill="D9D9D9" w:themeFill="background1" w:themeFillShade="D9"/>
            <w:vAlign w:val="center"/>
          </w:tcPr>
          <w:p w14:paraId="6BDE621B" w14:textId="5AD70D47" w:rsidR="000B2916" w:rsidRPr="003738C4" w:rsidRDefault="000B2916" w:rsidP="000B2916">
            <w:pPr>
              <w:jc w:val="center"/>
              <w:rPr>
                <w:b/>
              </w:rPr>
            </w:pPr>
            <w:r>
              <w:rPr>
                <w:rFonts w:ascii="Calibri" w:hAnsi="Calibri"/>
                <w:b/>
                <w:bCs/>
                <w:color w:val="000000"/>
                <w:szCs w:val="20"/>
              </w:rPr>
              <w:t>Total Hood Cost ($/HP)</w:t>
            </w:r>
          </w:p>
        </w:tc>
        <w:tc>
          <w:tcPr>
            <w:tcW w:w="1131" w:type="pct"/>
            <w:shd w:val="clear" w:color="auto" w:fill="D9D9D9" w:themeFill="background1" w:themeFillShade="D9"/>
            <w:vAlign w:val="center"/>
          </w:tcPr>
          <w:p w14:paraId="364475E9" w14:textId="306D7CA6" w:rsidR="000B2916" w:rsidRPr="003738C4" w:rsidRDefault="003E3FB0" w:rsidP="007C75C1">
            <w:pPr>
              <w:jc w:val="center"/>
              <w:rPr>
                <w:b/>
              </w:rPr>
            </w:pPr>
            <w:r>
              <w:rPr>
                <w:rFonts w:ascii="Calibri" w:hAnsi="Calibri"/>
                <w:b/>
                <w:bCs/>
                <w:color w:val="000000"/>
                <w:szCs w:val="20"/>
              </w:rPr>
              <w:t>Total Project</w:t>
            </w:r>
            <w:r w:rsidR="000B2916">
              <w:rPr>
                <w:rFonts w:ascii="Calibri" w:hAnsi="Calibri"/>
                <w:b/>
                <w:bCs/>
                <w:color w:val="000000"/>
                <w:szCs w:val="20"/>
              </w:rPr>
              <w:t xml:space="preserve"> </w:t>
            </w:r>
            <w:r>
              <w:rPr>
                <w:rFonts w:ascii="Calibri" w:hAnsi="Calibri"/>
                <w:b/>
                <w:bCs/>
                <w:color w:val="000000"/>
                <w:szCs w:val="20"/>
              </w:rPr>
              <w:t>Cost</w:t>
            </w:r>
            <w:r w:rsidR="000B2916">
              <w:rPr>
                <w:rFonts w:ascii="Calibri" w:hAnsi="Calibri"/>
                <w:b/>
                <w:bCs/>
                <w:color w:val="000000"/>
                <w:szCs w:val="20"/>
              </w:rPr>
              <w:t xml:space="preserve"> ($/HP)</w:t>
            </w:r>
          </w:p>
        </w:tc>
        <w:tc>
          <w:tcPr>
            <w:tcW w:w="1148" w:type="pct"/>
            <w:shd w:val="clear" w:color="auto" w:fill="D9D9D9" w:themeFill="background1" w:themeFillShade="D9"/>
            <w:vAlign w:val="center"/>
          </w:tcPr>
          <w:p w14:paraId="7B6C43D6" w14:textId="233DAD84" w:rsidR="000B2916" w:rsidRPr="003738C4" w:rsidRDefault="000B2916" w:rsidP="000B2916">
            <w:pPr>
              <w:jc w:val="center"/>
              <w:rPr>
                <w:rFonts w:cstheme="minorBidi"/>
                <w:b/>
              </w:rPr>
            </w:pPr>
            <w:r>
              <w:rPr>
                <w:rFonts w:ascii="Calibri" w:hAnsi="Calibri"/>
                <w:b/>
                <w:bCs/>
                <w:color w:val="000000"/>
                <w:szCs w:val="20"/>
              </w:rPr>
              <w:t>Cost ID</w:t>
            </w:r>
          </w:p>
        </w:tc>
      </w:tr>
      <w:tr w:rsidR="000B2916" w:rsidRPr="000F130A" w14:paraId="08062625" w14:textId="77777777" w:rsidTr="00664C37">
        <w:trPr>
          <w:trHeight w:val="97"/>
        </w:trPr>
        <w:tc>
          <w:tcPr>
            <w:tcW w:w="693" w:type="pct"/>
          </w:tcPr>
          <w:p w14:paraId="7A0D0602" w14:textId="253CCB03" w:rsidR="000B2916" w:rsidRPr="00D7783C" w:rsidRDefault="000B2916" w:rsidP="00664C37">
            <w:pPr>
              <w:jc w:val="center"/>
            </w:pPr>
            <w:r w:rsidRPr="004B7082">
              <w:t>FS-20154</w:t>
            </w:r>
          </w:p>
        </w:tc>
        <w:tc>
          <w:tcPr>
            <w:tcW w:w="521" w:type="pct"/>
          </w:tcPr>
          <w:p w14:paraId="60AC6EDD" w14:textId="7B43B981" w:rsidR="000B2916" w:rsidRPr="00D7783C" w:rsidRDefault="000B2916" w:rsidP="00664C37">
            <w:pPr>
              <w:jc w:val="center"/>
            </w:pPr>
            <w:r w:rsidRPr="004B7082">
              <w:t>NEW</w:t>
            </w:r>
          </w:p>
        </w:tc>
        <w:tc>
          <w:tcPr>
            <w:tcW w:w="838" w:type="pct"/>
            <w:vAlign w:val="center"/>
          </w:tcPr>
          <w:p w14:paraId="67AC192A" w14:textId="104EC641" w:rsidR="000B2916" w:rsidRPr="004B7082" w:rsidRDefault="000B2916" w:rsidP="000B2916">
            <w:pPr>
              <w:jc w:val="center"/>
            </w:pPr>
            <w:r>
              <w:rPr>
                <w:rFonts w:ascii="Calibri" w:hAnsi="Calibri"/>
                <w:color w:val="000000"/>
                <w:szCs w:val="20"/>
              </w:rPr>
              <w:t xml:space="preserve">$3,311.43 </w:t>
            </w:r>
          </w:p>
        </w:tc>
        <w:tc>
          <w:tcPr>
            <w:tcW w:w="668" w:type="pct"/>
            <w:vAlign w:val="center"/>
          </w:tcPr>
          <w:p w14:paraId="72389E15" w14:textId="7A186397" w:rsidR="000B2916" w:rsidRPr="004B7082" w:rsidRDefault="000B2916" w:rsidP="000B2916">
            <w:pPr>
              <w:jc w:val="center"/>
            </w:pPr>
            <w:r>
              <w:rPr>
                <w:rFonts w:ascii="Calibri" w:hAnsi="Calibri"/>
                <w:color w:val="000000"/>
                <w:szCs w:val="20"/>
              </w:rPr>
              <w:t xml:space="preserve">$6,150.62 </w:t>
            </w:r>
          </w:p>
        </w:tc>
        <w:tc>
          <w:tcPr>
            <w:tcW w:w="1131" w:type="pct"/>
            <w:vAlign w:val="center"/>
          </w:tcPr>
          <w:p w14:paraId="3D4DF563" w14:textId="7993E6AE" w:rsidR="000B2916" w:rsidRPr="00DC370E" w:rsidRDefault="000B2916" w:rsidP="00664C37">
            <w:pPr>
              <w:jc w:val="center"/>
            </w:pPr>
            <w:r>
              <w:rPr>
                <w:rFonts w:ascii="Calibri" w:hAnsi="Calibri"/>
                <w:color w:val="000000"/>
                <w:szCs w:val="20"/>
              </w:rPr>
              <w:t xml:space="preserve">$9,462.05 </w:t>
            </w:r>
          </w:p>
        </w:tc>
        <w:tc>
          <w:tcPr>
            <w:tcW w:w="1148" w:type="pct"/>
            <w:vAlign w:val="center"/>
          </w:tcPr>
          <w:p w14:paraId="72CB9AFF" w14:textId="51930EB2" w:rsidR="000B2916" w:rsidRPr="00CD22B2" w:rsidRDefault="000B2916" w:rsidP="00664C37">
            <w:pPr>
              <w:jc w:val="center"/>
            </w:pPr>
            <w:r>
              <w:rPr>
                <w:rFonts w:ascii="Calibri" w:hAnsi="Calibri"/>
                <w:color w:val="000000"/>
                <w:szCs w:val="20"/>
              </w:rPr>
              <w:t>SCE17CC008_0</w:t>
            </w:r>
            <w:r w:rsidR="00CB4618">
              <w:rPr>
                <w:rFonts w:ascii="Calibri" w:hAnsi="Calibri"/>
                <w:color w:val="000000"/>
                <w:szCs w:val="20"/>
              </w:rPr>
              <w:t>0</w:t>
            </w:r>
            <w:r>
              <w:rPr>
                <w:rFonts w:ascii="Calibri" w:hAnsi="Calibri"/>
                <w:color w:val="000000"/>
                <w:szCs w:val="20"/>
              </w:rPr>
              <w:t>_M001</w:t>
            </w:r>
          </w:p>
        </w:tc>
      </w:tr>
      <w:tr w:rsidR="000B2916" w:rsidRPr="000F130A" w14:paraId="41207600" w14:textId="77777777" w:rsidTr="00664C37">
        <w:trPr>
          <w:trHeight w:val="139"/>
        </w:trPr>
        <w:tc>
          <w:tcPr>
            <w:tcW w:w="693" w:type="pct"/>
          </w:tcPr>
          <w:p w14:paraId="6EF21681" w14:textId="6706B529" w:rsidR="000B2916" w:rsidRPr="00D7783C" w:rsidRDefault="000B2916" w:rsidP="00664C37">
            <w:pPr>
              <w:jc w:val="center"/>
            </w:pPr>
            <w:r w:rsidRPr="004B7082">
              <w:t>FS-17337</w:t>
            </w:r>
          </w:p>
        </w:tc>
        <w:tc>
          <w:tcPr>
            <w:tcW w:w="521" w:type="pct"/>
          </w:tcPr>
          <w:p w14:paraId="5856547D" w14:textId="283AA35B" w:rsidR="000B2916" w:rsidRPr="00D7783C" w:rsidRDefault="000B2916" w:rsidP="00664C37">
            <w:pPr>
              <w:jc w:val="center"/>
            </w:pPr>
            <w:r w:rsidRPr="004B7082">
              <w:t>REA</w:t>
            </w:r>
          </w:p>
        </w:tc>
        <w:tc>
          <w:tcPr>
            <w:tcW w:w="838" w:type="pct"/>
            <w:vAlign w:val="center"/>
          </w:tcPr>
          <w:p w14:paraId="673C7E8A" w14:textId="02BCD361" w:rsidR="000B2916" w:rsidRPr="004B7082" w:rsidRDefault="000B2916" w:rsidP="000B2916">
            <w:pPr>
              <w:jc w:val="center"/>
            </w:pPr>
            <w:r>
              <w:rPr>
                <w:rFonts w:ascii="Calibri" w:hAnsi="Calibri"/>
                <w:color w:val="000000"/>
                <w:szCs w:val="20"/>
              </w:rPr>
              <w:t xml:space="preserve">$3,311.43 </w:t>
            </w:r>
          </w:p>
        </w:tc>
        <w:tc>
          <w:tcPr>
            <w:tcW w:w="668" w:type="pct"/>
            <w:vAlign w:val="center"/>
          </w:tcPr>
          <w:p w14:paraId="327CDDE2" w14:textId="7AC0D060" w:rsidR="000B2916" w:rsidRPr="004B7082" w:rsidRDefault="000B2916" w:rsidP="000B2916">
            <w:pPr>
              <w:jc w:val="center"/>
            </w:pPr>
            <w:r>
              <w:rPr>
                <w:rFonts w:ascii="Calibri" w:hAnsi="Calibri"/>
                <w:color w:val="000000"/>
                <w:szCs w:val="20"/>
              </w:rPr>
              <w:t xml:space="preserve">$0.00 </w:t>
            </w:r>
          </w:p>
        </w:tc>
        <w:tc>
          <w:tcPr>
            <w:tcW w:w="1131" w:type="pct"/>
            <w:vAlign w:val="center"/>
          </w:tcPr>
          <w:p w14:paraId="5EFBEA91" w14:textId="6C553E4A" w:rsidR="000B2916" w:rsidRPr="00D7783C" w:rsidRDefault="000B2916" w:rsidP="00664C37">
            <w:pPr>
              <w:jc w:val="center"/>
            </w:pPr>
            <w:r>
              <w:rPr>
                <w:rFonts w:ascii="Calibri" w:hAnsi="Calibri"/>
                <w:color w:val="000000"/>
                <w:szCs w:val="20"/>
              </w:rPr>
              <w:t xml:space="preserve">$3,311.43 </w:t>
            </w:r>
          </w:p>
        </w:tc>
        <w:tc>
          <w:tcPr>
            <w:tcW w:w="1148" w:type="pct"/>
            <w:vAlign w:val="center"/>
          </w:tcPr>
          <w:p w14:paraId="0162AA00" w14:textId="11A7ADBD" w:rsidR="000B2916" w:rsidRDefault="000B2916" w:rsidP="00664C37">
            <w:pPr>
              <w:jc w:val="center"/>
            </w:pPr>
            <w:r>
              <w:rPr>
                <w:rFonts w:ascii="Calibri" w:hAnsi="Calibri"/>
                <w:color w:val="000000"/>
                <w:szCs w:val="20"/>
              </w:rPr>
              <w:t>SCE17CC008_0</w:t>
            </w:r>
            <w:r w:rsidR="00CB4618">
              <w:rPr>
                <w:rFonts w:ascii="Calibri" w:hAnsi="Calibri"/>
                <w:color w:val="000000"/>
                <w:szCs w:val="20"/>
              </w:rPr>
              <w:t>0</w:t>
            </w:r>
            <w:r>
              <w:rPr>
                <w:rFonts w:ascii="Calibri" w:hAnsi="Calibri"/>
                <w:color w:val="000000"/>
                <w:szCs w:val="20"/>
              </w:rPr>
              <w:t>_M002</w:t>
            </w:r>
          </w:p>
        </w:tc>
      </w:tr>
    </w:tbl>
    <w:p w14:paraId="72D29172" w14:textId="49BA564B" w:rsidR="005A5FB3" w:rsidRDefault="00E638C3" w:rsidP="005A2937">
      <w:r>
        <w:t xml:space="preserve">Please see Attachment 2, “Measure Cost” and “SCE Program Data” tabs for more details. </w:t>
      </w:r>
      <w:r w:rsidR="003E3FB0">
        <w:t xml:space="preserve"> </w:t>
      </w:r>
    </w:p>
    <w:p w14:paraId="0A5881A8" w14:textId="5C795640" w:rsidR="00B42A8C" w:rsidRDefault="00B42A8C" w:rsidP="004539DB">
      <w:pPr>
        <w:pStyle w:val="Heading2"/>
        <w:keepNext w:val="0"/>
        <w:rPr>
          <w:rFonts w:asciiTheme="minorHAnsi" w:hAnsiTheme="minorHAnsi" w:cs="Times New Roman"/>
          <w:b w:val="0"/>
          <w:bCs w:val="0"/>
          <w:iCs w:val="0"/>
          <w:smallCaps w:val="0"/>
          <w:sz w:val="22"/>
          <w:szCs w:val="24"/>
        </w:rPr>
      </w:pPr>
      <w:r w:rsidRPr="00B42A8C">
        <w:rPr>
          <w:rFonts w:asciiTheme="minorHAnsi" w:hAnsiTheme="minorHAnsi" w:cs="Times New Roman"/>
          <w:b w:val="0"/>
          <w:bCs w:val="0"/>
          <w:iCs w:val="0"/>
          <w:smallCaps w:val="0"/>
          <w:sz w:val="22"/>
          <w:szCs w:val="24"/>
        </w:rPr>
        <w:t xml:space="preserve">Measure costs are adjusted for each climate zone using 2008 DEER cost adjustments for </w:t>
      </w:r>
      <w:r>
        <w:rPr>
          <w:rFonts w:asciiTheme="minorHAnsi" w:hAnsiTheme="minorHAnsi" w:cs="Times New Roman"/>
          <w:b w:val="0"/>
          <w:bCs w:val="0"/>
          <w:iCs w:val="0"/>
          <w:smallCaps w:val="0"/>
          <w:sz w:val="22"/>
          <w:szCs w:val="24"/>
        </w:rPr>
        <w:t>HVAC measures (HVAC</w:t>
      </w:r>
      <w:r w:rsidRPr="00B42A8C">
        <w:rPr>
          <w:rFonts w:asciiTheme="minorHAnsi" w:hAnsiTheme="minorHAnsi" w:cs="Times New Roman"/>
          <w:b w:val="0"/>
          <w:bCs w:val="0"/>
          <w:iCs w:val="0"/>
          <w:smallCaps w:val="0"/>
          <w:sz w:val="22"/>
          <w:szCs w:val="24"/>
        </w:rPr>
        <w:t xml:space="preserve">50) in Attachment 1. </w:t>
      </w:r>
    </w:p>
    <w:p w14:paraId="7F80FCC9" w14:textId="77777777" w:rsidR="004539DB" w:rsidRDefault="005A0E53" w:rsidP="004539DB">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7C0D67C8" w14:textId="0C05BF51" w:rsidR="004539DB" w:rsidRPr="004539DB" w:rsidRDefault="004539DB" w:rsidP="004539DB">
      <w:pPr>
        <w:pStyle w:val="Heading2"/>
        <w:keepNext w:val="0"/>
        <w:rPr>
          <w:rFonts w:asciiTheme="minorHAnsi" w:hAnsiTheme="minorHAnsi" w:cstheme="minorHAnsi"/>
        </w:rPr>
      </w:pPr>
      <w:r>
        <w:rPr>
          <w:rFonts w:asciiTheme="minorHAnsi" w:hAnsiTheme="minorHAnsi" w:cs="Times New Roman"/>
          <w:b w:val="0"/>
          <w:bCs w:val="0"/>
          <w:iCs w:val="0"/>
          <w:smallCaps w:val="0"/>
          <w:sz w:val="22"/>
          <w:szCs w:val="24"/>
        </w:rPr>
        <w:t>The F</w:t>
      </w:r>
      <w:r w:rsidRPr="0014433F">
        <w:rPr>
          <w:rFonts w:asciiTheme="minorHAnsi" w:hAnsiTheme="minorHAnsi" w:cs="Times New Roman"/>
          <w:b w:val="0"/>
          <w:bCs w:val="0"/>
          <w:iCs w:val="0"/>
          <w:smallCaps w:val="0"/>
          <w:sz w:val="22"/>
          <w:szCs w:val="24"/>
        </w:rPr>
        <w:t>MC includes both materials and labor</w:t>
      </w:r>
      <w:bookmarkStart w:id="21" w:name="_Ref344284359"/>
      <w:r w:rsidRPr="0014433F">
        <w:rPr>
          <w:rFonts w:asciiTheme="minorHAnsi" w:hAnsiTheme="minorHAnsi" w:cs="Times New Roman"/>
          <w:b w:val="0"/>
          <w:bCs w:val="0"/>
          <w:iCs w:val="0"/>
          <w:smallCaps w:val="0"/>
          <w:sz w:val="22"/>
          <w:szCs w:val="24"/>
        </w:rPr>
        <w:t xml:space="preserve">. See </w:t>
      </w:r>
      <w:r w:rsidR="002C56B2">
        <w:rPr>
          <w:rFonts w:asciiTheme="minorHAnsi" w:hAnsiTheme="minorHAnsi" w:cs="Times New Roman"/>
          <w:b w:val="0"/>
          <w:bCs w:val="0"/>
          <w:iCs w:val="0"/>
          <w:smallCaps w:val="0"/>
          <w:sz w:val="22"/>
          <w:szCs w:val="24"/>
        </w:rPr>
        <w:t>section 4.2</w:t>
      </w:r>
      <w:r>
        <w:rPr>
          <w:rFonts w:asciiTheme="minorHAnsi" w:hAnsiTheme="minorHAnsi" w:cs="Times New Roman"/>
          <w:b w:val="0"/>
          <w:bCs w:val="0"/>
          <w:iCs w:val="0"/>
          <w:smallCaps w:val="0"/>
          <w:sz w:val="22"/>
          <w:szCs w:val="24"/>
        </w:rPr>
        <w:t xml:space="preserve"> for the calculated F</w:t>
      </w:r>
      <w:r w:rsidRPr="0014433F">
        <w:rPr>
          <w:rFonts w:asciiTheme="minorHAnsi" w:hAnsiTheme="minorHAnsi" w:cs="Times New Roman"/>
          <w:b w:val="0"/>
          <w:bCs w:val="0"/>
          <w:iCs w:val="0"/>
          <w:smallCaps w:val="0"/>
          <w:sz w:val="22"/>
          <w:szCs w:val="24"/>
        </w:rPr>
        <w:t>MC.</w:t>
      </w:r>
      <w:bookmarkEnd w:id="21"/>
    </w:p>
    <w:p w14:paraId="78134791" w14:textId="77777777" w:rsidR="00880975" w:rsidRPr="00880975" w:rsidRDefault="00880975" w:rsidP="00880975"/>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4976F6" w:rsidRPr="00500C4E" w14:paraId="1797C3C8" w14:textId="77777777" w:rsidTr="00920905">
        <w:tc>
          <w:tcPr>
            <w:tcW w:w="672" w:type="pct"/>
          </w:tcPr>
          <w:p w14:paraId="0C8F88A4" w14:textId="7ADF6285" w:rsidR="004976F6" w:rsidRDefault="004976F6" w:rsidP="004976F6">
            <w:pPr>
              <w:rPr>
                <w:rFonts w:cstheme="minorHAnsi"/>
                <w:szCs w:val="20"/>
              </w:rPr>
            </w:pPr>
            <w:r>
              <w:rPr>
                <w:rFonts w:cstheme="minorHAnsi"/>
                <w:szCs w:val="20"/>
              </w:rPr>
              <w:t>NEW</w:t>
            </w:r>
          </w:p>
        </w:tc>
        <w:tc>
          <w:tcPr>
            <w:tcW w:w="1443" w:type="pct"/>
          </w:tcPr>
          <w:p w14:paraId="7979C59B" w14:textId="1BD7DAC4" w:rsidR="004976F6" w:rsidRDefault="004976F6" w:rsidP="004976F6">
            <w:pPr>
              <w:rPr>
                <w:rFonts w:cstheme="minorHAnsi"/>
                <w:szCs w:val="20"/>
              </w:rPr>
            </w:pPr>
            <w:r>
              <w:rPr>
                <w:rFonts w:cstheme="minorHAnsi"/>
                <w:szCs w:val="20"/>
              </w:rPr>
              <w:t>(MEC + MLC) – (BEC + BLC)</w:t>
            </w:r>
          </w:p>
        </w:tc>
        <w:tc>
          <w:tcPr>
            <w:tcW w:w="1396" w:type="pct"/>
          </w:tcPr>
          <w:p w14:paraId="4F9EB6D4" w14:textId="42F03F82" w:rsidR="004976F6" w:rsidRDefault="004976F6" w:rsidP="004976F6">
            <w:pPr>
              <w:rPr>
                <w:rFonts w:cstheme="minorHAnsi"/>
                <w:szCs w:val="20"/>
              </w:rPr>
            </w:pPr>
            <w:r>
              <w:rPr>
                <w:rFonts w:cstheme="minorHAnsi"/>
                <w:szCs w:val="20"/>
              </w:rPr>
              <w:t>(MEC + MLC) – (BEC + BLC)</w:t>
            </w:r>
          </w:p>
        </w:tc>
        <w:tc>
          <w:tcPr>
            <w:tcW w:w="1489" w:type="pct"/>
          </w:tcPr>
          <w:p w14:paraId="16D8D609" w14:textId="15C141CF" w:rsidR="004976F6" w:rsidRDefault="004976F6" w:rsidP="004976F6">
            <w:pPr>
              <w:rPr>
                <w:rFonts w:cstheme="minorHAnsi"/>
                <w:szCs w:val="20"/>
              </w:rPr>
            </w:pPr>
            <w:r>
              <w:rPr>
                <w:rFonts w:cstheme="minorHAnsi"/>
                <w:szCs w:val="20"/>
              </w:rPr>
              <w:t>N/A</w:t>
            </w:r>
          </w:p>
        </w:tc>
      </w:tr>
      <w:tr w:rsidR="004976F6" w:rsidRPr="00500C4E" w14:paraId="25E11B20" w14:textId="77777777" w:rsidTr="00920905">
        <w:tc>
          <w:tcPr>
            <w:tcW w:w="672" w:type="pct"/>
          </w:tcPr>
          <w:p w14:paraId="2CA2DC9A" w14:textId="0BC8C71B" w:rsidR="004976F6" w:rsidRDefault="004976F6" w:rsidP="004976F6">
            <w:pPr>
              <w:rPr>
                <w:rFonts w:cstheme="minorHAnsi"/>
                <w:szCs w:val="20"/>
              </w:rPr>
            </w:pPr>
            <w:r>
              <w:rPr>
                <w:rFonts w:cstheme="minorHAnsi"/>
                <w:szCs w:val="20"/>
              </w:rPr>
              <w:t>REA</w:t>
            </w:r>
          </w:p>
        </w:tc>
        <w:tc>
          <w:tcPr>
            <w:tcW w:w="1443" w:type="pct"/>
          </w:tcPr>
          <w:p w14:paraId="7EF5BEA8" w14:textId="308B057D" w:rsidR="004976F6" w:rsidRDefault="004976F6" w:rsidP="004976F6">
            <w:pPr>
              <w:rPr>
                <w:rFonts w:cstheme="minorHAnsi"/>
                <w:szCs w:val="20"/>
              </w:rPr>
            </w:pPr>
            <w:r>
              <w:rPr>
                <w:rFonts w:cstheme="minorHAnsi"/>
                <w:szCs w:val="20"/>
              </w:rPr>
              <w:t>MEC + MLC</w:t>
            </w:r>
          </w:p>
        </w:tc>
        <w:tc>
          <w:tcPr>
            <w:tcW w:w="1396" w:type="pct"/>
          </w:tcPr>
          <w:p w14:paraId="34A03482" w14:textId="605E6C77" w:rsidR="004976F6" w:rsidRDefault="004976F6" w:rsidP="004976F6">
            <w:pPr>
              <w:rPr>
                <w:rFonts w:cstheme="minorHAnsi"/>
                <w:szCs w:val="20"/>
              </w:rPr>
            </w:pPr>
            <w:r>
              <w:rPr>
                <w:rFonts w:cstheme="minorHAnsi"/>
                <w:szCs w:val="20"/>
              </w:rPr>
              <w:t>MEC + MLC</w:t>
            </w:r>
          </w:p>
        </w:tc>
        <w:tc>
          <w:tcPr>
            <w:tcW w:w="1489" w:type="pct"/>
          </w:tcPr>
          <w:p w14:paraId="010B3446" w14:textId="21740C31" w:rsidR="004976F6" w:rsidRDefault="004976F6" w:rsidP="004976F6">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2391"/>
        <w:gridCol w:w="1291"/>
        <w:gridCol w:w="2672"/>
        <w:gridCol w:w="1569"/>
        <w:gridCol w:w="1653"/>
      </w:tblGrid>
      <w:tr w:rsidR="00F474EF" w:rsidRPr="00500C4E" w14:paraId="7122FF83" w14:textId="77777777" w:rsidTr="00A9562B">
        <w:tc>
          <w:tcPr>
            <w:tcW w:w="1249"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74"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395" w:type="pct"/>
            <w:vMerge w:val="restart"/>
            <w:shd w:val="clear" w:color="auto" w:fill="D9D9D9" w:themeFill="background1" w:themeFillShade="D9"/>
          </w:tcPr>
          <w:p w14:paraId="3A7A2512" w14:textId="7C1ACEF1" w:rsidR="00F474EF" w:rsidRPr="00DE77D0" w:rsidRDefault="00F474EF" w:rsidP="00175D14">
            <w:pPr>
              <w:rPr>
                <w:rFonts w:cstheme="minorHAnsi"/>
                <w:b/>
                <w:szCs w:val="20"/>
              </w:rPr>
            </w:pPr>
            <w:r>
              <w:rPr>
                <w:rFonts w:cstheme="minorHAnsi"/>
                <w:b/>
                <w:szCs w:val="20"/>
              </w:rPr>
              <w:t>Incremental Measure Cost</w:t>
            </w:r>
            <w:r w:rsidR="00A9562B">
              <w:rPr>
                <w:rFonts w:cstheme="minorHAnsi"/>
                <w:b/>
                <w:szCs w:val="20"/>
              </w:rPr>
              <w:t xml:space="preserve"> ($/HP)</w:t>
            </w:r>
          </w:p>
        </w:tc>
        <w:tc>
          <w:tcPr>
            <w:tcW w:w="1682"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A9562B">
        <w:tc>
          <w:tcPr>
            <w:tcW w:w="1249"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74"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395"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819"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863"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0B2916" w:rsidRPr="00500C4E" w14:paraId="388A73D5" w14:textId="77777777" w:rsidTr="00664C37">
        <w:tc>
          <w:tcPr>
            <w:tcW w:w="1249" w:type="pct"/>
          </w:tcPr>
          <w:p w14:paraId="709BE985" w14:textId="708F9048" w:rsidR="000B2916" w:rsidRPr="00CE671D" w:rsidDel="004976F6" w:rsidRDefault="000B2916" w:rsidP="000B2916">
            <w:pPr>
              <w:rPr>
                <w:rFonts w:cstheme="minorBidi"/>
              </w:rPr>
            </w:pPr>
            <w:r w:rsidRPr="00300401">
              <w:rPr>
                <w:rFonts w:cstheme="minorBidi"/>
              </w:rPr>
              <w:t>FS-20154</w:t>
            </w:r>
          </w:p>
        </w:tc>
        <w:tc>
          <w:tcPr>
            <w:tcW w:w="674" w:type="pct"/>
          </w:tcPr>
          <w:p w14:paraId="285A7C71" w14:textId="0D4214EE" w:rsidR="000B2916" w:rsidRPr="00A9562B" w:rsidRDefault="000B2916" w:rsidP="000B2916">
            <w:pPr>
              <w:rPr>
                <w:rFonts w:cstheme="minorHAnsi"/>
                <w:szCs w:val="20"/>
              </w:rPr>
            </w:pPr>
            <w:r>
              <w:rPr>
                <w:rFonts w:cstheme="minorHAnsi"/>
                <w:szCs w:val="20"/>
              </w:rPr>
              <w:t>NEW</w:t>
            </w:r>
          </w:p>
        </w:tc>
        <w:tc>
          <w:tcPr>
            <w:tcW w:w="1395" w:type="pct"/>
            <w:vAlign w:val="center"/>
          </w:tcPr>
          <w:p w14:paraId="3264CEE6" w14:textId="4454EAEF" w:rsidR="000B2916" w:rsidRPr="00A9562B" w:rsidRDefault="000B2916" w:rsidP="000B2916">
            <w:pPr>
              <w:rPr>
                <w:rFonts w:cstheme="minorHAnsi"/>
                <w:szCs w:val="20"/>
              </w:rPr>
            </w:pPr>
            <w:r>
              <w:rPr>
                <w:rFonts w:ascii="Calibri" w:hAnsi="Calibri"/>
                <w:color w:val="000000"/>
                <w:szCs w:val="20"/>
              </w:rPr>
              <w:t>$3,311.43</w:t>
            </w:r>
          </w:p>
        </w:tc>
        <w:tc>
          <w:tcPr>
            <w:tcW w:w="819" w:type="pct"/>
            <w:vAlign w:val="center"/>
          </w:tcPr>
          <w:p w14:paraId="60620AD8" w14:textId="206CDF3A" w:rsidR="000B2916" w:rsidRPr="00A9562B" w:rsidRDefault="000B2916" w:rsidP="000B2916">
            <w:pPr>
              <w:rPr>
                <w:rFonts w:cstheme="minorHAnsi"/>
                <w:szCs w:val="20"/>
              </w:rPr>
            </w:pPr>
            <w:r>
              <w:rPr>
                <w:rFonts w:ascii="Calibri" w:hAnsi="Calibri"/>
                <w:color w:val="000000"/>
                <w:szCs w:val="20"/>
              </w:rPr>
              <w:t>$3,311.43</w:t>
            </w:r>
          </w:p>
        </w:tc>
        <w:tc>
          <w:tcPr>
            <w:tcW w:w="863" w:type="pct"/>
          </w:tcPr>
          <w:p w14:paraId="2C46F0A3" w14:textId="6DFE27C1" w:rsidR="000B2916" w:rsidRPr="00A9562B" w:rsidRDefault="000B2916" w:rsidP="000B2916">
            <w:pPr>
              <w:rPr>
                <w:rFonts w:cstheme="minorHAnsi"/>
                <w:szCs w:val="20"/>
              </w:rPr>
            </w:pPr>
            <w:r>
              <w:rPr>
                <w:rFonts w:cstheme="minorHAnsi"/>
                <w:szCs w:val="20"/>
              </w:rPr>
              <w:t>N/A</w:t>
            </w:r>
          </w:p>
        </w:tc>
      </w:tr>
      <w:tr w:rsidR="000B2916" w:rsidRPr="00500C4E" w14:paraId="23FF1E82" w14:textId="77777777" w:rsidTr="00664C37">
        <w:tc>
          <w:tcPr>
            <w:tcW w:w="1249" w:type="pct"/>
          </w:tcPr>
          <w:p w14:paraId="276245D3" w14:textId="77777777" w:rsidR="000B2916" w:rsidRPr="00920905" w:rsidRDefault="000B2916" w:rsidP="000B2916">
            <w:pPr>
              <w:rPr>
                <w:rFonts w:cstheme="minorHAnsi"/>
                <w:color w:val="FF0000"/>
                <w:szCs w:val="20"/>
              </w:rPr>
            </w:pPr>
            <w:r w:rsidRPr="00CE671D">
              <w:rPr>
                <w:rFonts w:cstheme="minorBidi"/>
              </w:rPr>
              <w:t>FS-17337</w:t>
            </w:r>
          </w:p>
        </w:tc>
        <w:tc>
          <w:tcPr>
            <w:tcW w:w="674" w:type="pct"/>
          </w:tcPr>
          <w:p w14:paraId="001D6ED2" w14:textId="77777777" w:rsidR="000B2916" w:rsidRPr="00A9562B" w:rsidRDefault="000B2916" w:rsidP="000B2916">
            <w:pPr>
              <w:rPr>
                <w:rFonts w:cstheme="minorHAnsi"/>
                <w:szCs w:val="20"/>
              </w:rPr>
            </w:pPr>
            <w:r w:rsidRPr="00A9562B">
              <w:rPr>
                <w:rFonts w:cstheme="minorHAnsi"/>
                <w:szCs w:val="20"/>
              </w:rPr>
              <w:t>REA</w:t>
            </w:r>
          </w:p>
        </w:tc>
        <w:tc>
          <w:tcPr>
            <w:tcW w:w="1395" w:type="pct"/>
            <w:vAlign w:val="center"/>
          </w:tcPr>
          <w:p w14:paraId="0431267D" w14:textId="5A32C59C" w:rsidR="000B2916" w:rsidRPr="00A9562B" w:rsidRDefault="000B2916" w:rsidP="000B2916">
            <w:pPr>
              <w:rPr>
                <w:rFonts w:cstheme="minorHAnsi"/>
                <w:szCs w:val="20"/>
              </w:rPr>
            </w:pPr>
            <w:r>
              <w:rPr>
                <w:rFonts w:ascii="Calibri" w:hAnsi="Calibri"/>
                <w:color w:val="000000"/>
                <w:szCs w:val="20"/>
              </w:rPr>
              <w:t>$3,311.43</w:t>
            </w:r>
          </w:p>
        </w:tc>
        <w:tc>
          <w:tcPr>
            <w:tcW w:w="819" w:type="pct"/>
            <w:vAlign w:val="center"/>
          </w:tcPr>
          <w:p w14:paraId="6C9E45BA" w14:textId="23358F9B" w:rsidR="000B2916" w:rsidRPr="00A9562B" w:rsidRDefault="000B2916" w:rsidP="000B2916">
            <w:pPr>
              <w:rPr>
                <w:rFonts w:cstheme="minorHAnsi"/>
                <w:szCs w:val="20"/>
              </w:rPr>
            </w:pPr>
            <w:r>
              <w:rPr>
                <w:rFonts w:ascii="Calibri" w:hAnsi="Calibri"/>
                <w:color w:val="000000"/>
                <w:szCs w:val="20"/>
              </w:rPr>
              <w:t>$3,311.43</w:t>
            </w:r>
          </w:p>
        </w:tc>
        <w:tc>
          <w:tcPr>
            <w:tcW w:w="863" w:type="pct"/>
          </w:tcPr>
          <w:p w14:paraId="0EE5E140" w14:textId="491EEFE0" w:rsidR="000B2916" w:rsidRPr="00A9562B" w:rsidRDefault="000B2916" w:rsidP="000B2916">
            <w:pPr>
              <w:rPr>
                <w:rFonts w:cstheme="minorHAnsi"/>
                <w:szCs w:val="20"/>
              </w:rPr>
            </w:pPr>
            <w:r>
              <w:rPr>
                <w:rFonts w:cstheme="minorHAnsi"/>
                <w:szCs w:val="20"/>
              </w:rPr>
              <w:t>N/A</w:t>
            </w:r>
          </w:p>
        </w:tc>
      </w:tr>
    </w:tbl>
    <w:p w14:paraId="37E9FBDB" w14:textId="754E7BBE" w:rsidR="00E16609" w:rsidRPr="00920905" w:rsidRDefault="00E16609">
      <w:pPr>
        <w:rPr>
          <w:rFonts w:cstheme="minorHAnsi"/>
          <w:sz w:val="20"/>
          <w:szCs w:val="20"/>
        </w:rPr>
      </w:pPr>
      <w:bookmarkStart w:id="22" w:name="_Toc214003099"/>
      <w:r w:rsidRPr="00920905">
        <w:rPr>
          <w:rFonts w:cstheme="minorHAnsi"/>
          <w:sz w:val="20"/>
          <w:szCs w:val="20"/>
        </w:rPr>
        <w:br w:type="page"/>
      </w:r>
    </w:p>
    <w:bookmarkEnd w:id="22"/>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0EE419A5" w14:textId="47BB1D35" w:rsidR="00867DBF" w:rsidRDefault="00867DBF" w:rsidP="00867DBF">
      <w:pPr>
        <w:pStyle w:val="ListParagraph"/>
        <w:numPr>
          <w:ilvl w:val="0"/>
          <w:numId w:val="37"/>
        </w:numPr>
        <w:rPr>
          <w:rFonts w:cstheme="minorHAnsi"/>
        </w:rPr>
      </w:pPr>
      <w:r w:rsidRPr="00867DBF">
        <w:rPr>
          <w:rFonts w:cstheme="minorHAnsi"/>
        </w:rPr>
        <w:t>SCE17CC00</w:t>
      </w:r>
      <w:r>
        <w:rPr>
          <w:rFonts w:cstheme="minorHAnsi"/>
        </w:rPr>
        <w:t>8.0 A1 Calculation Templates</w:t>
      </w:r>
    </w:p>
    <w:p w14:paraId="2BAE5D1F" w14:textId="2820DC4E" w:rsidR="009C193E" w:rsidRPr="009C193E" w:rsidRDefault="00867DBF">
      <w:pPr>
        <w:pStyle w:val="ListParagraph"/>
        <w:numPr>
          <w:ilvl w:val="0"/>
          <w:numId w:val="37"/>
        </w:numPr>
      </w:pPr>
      <w:r w:rsidRPr="00867DBF">
        <w:rPr>
          <w:rFonts w:cstheme="minorHAnsi"/>
        </w:rPr>
        <w:t>SCE17CC008.0 A2 Cost Calculations</w:t>
      </w:r>
    </w:p>
    <w:p w14:paraId="3D33D9DD" w14:textId="0254436C" w:rsidR="009C193E" w:rsidRPr="00867DBF" w:rsidRDefault="00867DBF" w:rsidP="00664C37">
      <w:pPr>
        <w:pStyle w:val="ListParagraph"/>
        <w:numPr>
          <w:ilvl w:val="0"/>
          <w:numId w:val="37"/>
        </w:numPr>
        <w:rPr>
          <w:rFonts w:cstheme="minorHAnsi"/>
        </w:rPr>
      </w:pPr>
      <w:r w:rsidRPr="00867DBF">
        <w:rPr>
          <w:rFonts w:cstheme="minorHAnsi"/>
        </w:rPr>
        <w:t xml:space="preserve">SCE17CC008.0 A3 </w:t>
      </w:r>
      <w:r w:rsidR="004C0471" w:rsidRPr="004C0471">
        <w:rPr>
          <w:rFonts w:cstheme="minorHAnsi"/>
        </w:rPr>
        <w:t>Savings Studies</w:t>
      </w:r>
    </w:p>
    <w:p w14:paraId="6D0D3457" w14:textId="45DD20C4" w:rsidR="009C193E" w:rsidRDefault="004C0471" w:rsidP="009C193E">
      <w:pPr>
        <w:pStyle w:val="ListParagraph"/>
        <w:numPr>
          <w:ilvl w:val="0"/>
          <w:numId w:val="37"/>
        </w:numPr>
        <w:rPr>
          <w:rFonts w:cstheme="minorHAnsi"/>
        </w:rPr>
      </w:pPr>
      <w:r w:rsidRPr="004C0471">
        <w:rPr>
          <w:rFonts w:cstheme="minorHAnsi"/>
        </w:rPr>
        <w:t>SCE17CC008.0 A4 Savings Summaries and Calculations</w:t>
      </w:r>
    </w:p>
    <w:p w14:paraId="078817BD" w14:textId="5DF5E008" w:rsidR="009C193E" w:rsidRDefault="00867DBF" w:rsidP="009C193E">
      <w:pPr>
        <w:pStyle w:val="ListParagraph"/>
        <w:numPr>
          <w:ilvl w:val="0"/>
          <w:numId w:val="37"/>
        </w:numPr>
        <w:rPr>
          <w:rFonts w:cstheme="minorHAnsi"/>
        </w:rPr>
      </w:pPr>
      <w:r w:rsidRPr="00867DBF">
        <w:rPr>
          <w:rFonts w:cstheme="minorHAnsi"/>
        </w:rPr>
        <w:t xml:space="preserve">SCE17CC008.0 A5 </w:t>
      </w:r>
      <w:r>
        <w:rPr>
          <w:rFonts w:cstheme="minorHAnsi"/>
        </w:rPr>
        <w:t>Field System</w:t>
      </w:r>
      <w:r w:rsidRPr="00867DBF">
        <w:rPr>
          <w:rFonts w:cstheme="minorHAnsi"/>
        </w:rPr>
        <w:t xml:space="preserve"> Data</w:t>
      </w:r>
    </w:p>
    <w:p w14:paraId="233B2C31" w14:textId="75538A80" w:rsidR="00867DBF" w:rsidRDefault="00867DBF" w:rsidP="00664C37">
      <w:pPr>
        <w:pStyle w:val="ListParagraph"/>
        <w:numPr>
          <w:ilvl w:val="0"/>
          <w:numId w:val="37"/>
        </w:numPr>
        <w:rPr>
          <w:rFonts w:cstheme="minorHAnsi"/>
        </w:rPr>
      </w:pPr>
      <w:r w:rsidRPr="00867DBF">
        <w:rPr>
          <w:rFonts w:cstheme="minorHAnsi"/>
        </w:rPr>
        <w:t>SCE17CC008.0 A6 OLC Results</w:t>
      </w:r>
    </w:p>
    <w:p w14:paraId="2ED4FFF5" w14:textId="2DACED3B" w:rsidR="00C54EFF" w:rsidRPr="00500C4E" w:rsidRDefault="00C54EFF">
      <w:pPr>
        <w:spacing w:after="200" w:line="276" w:lineRule="auto"/>
        <w:rPr>
          <w:rFonts w:cstheme="minorHAnsi"/>
        </w:rPr>
      </w:pPr>
      <w:r w:rsidRPr="00500C4E">
        <w:rPr>
          <w:rFonts w:cstheme="minorHAnsi"/>
        </w:rPr>
        <w:br w:type="page"/>
      </w:r>
    </w:p>
    <w:p w14:paraId="798EA301" w14:textId="6F307683" w:rsidR="009C193E" w:rsidRPr="00197D65" w:rsidRDefault="00C54EFF" w:rsidP="00197D65">
      <w:pPr>
        <w:pStyle w:val="Heading1"/>
        <w:rPr>
          <w:rFonts w:cstheme="minorHAnsi"/>
        </w:rPr>
      </w:pPr>
      <w:r w:rsidRPr="00500C4E">
        <w:rPr>
          <w:rFonts w:cstheme="minorHAnsi"/>
        </w:rPr>
        <w:lastRenderedPageBreak/>
        <w:t>References</w:t>
      </w:r>
    </w:p>
    <w:p w14:paraId="70106608" w14:textId="44DE4B15" w:rsidR="009C193E" w:rsidRPr="00664C37" w:rsidRDefault="00867DBF" w:rsidP="009C193E">
      <w:pPr>
        <w:rPr>
          <w:rFonts w:cstheme="minorHAnsi"/>
          <w:i/>
        </w:rPr>
      </w:pPr>
      <w:r w:rsidRPr="00664C37">
        <w:rPr>
          <w:rFonts w:cstheme="minorHAnsi"/>
          <w:i/>
        </w:rPr>
        <w:t>References_11152017_131456</w:t>
      </w:r>
    </w:p>
    <w:p w14:paraId="3B2F634A" w14:textId="77777777" w:rsidR="009C193E" w:rsidRDefault="009C193E" w:rsidP="009C193E">
      <w:pPr>
        <w:rPr>
          <w:rFonts w:cstheme="minorHAnsi"/>
        </w:rPr>
      </w:pPr>
    </w:p>
    <w:p w14:paraId="6110A8F8" w14:textId="2F6E4926" w:rsidR="009C193E" w:rsidRDefault="009C193E" w:rsidP="009C193E">
      <w:pPr>
        <w:rPr>
          <w:rFonts w:cstheme="minorHAnsi"/>
        </w:rPr>
      </w:pPr>
      <w:r>
        <w:rPr>
          <w:rFonts w:cstheme="minorHAnsi"/>
        </w:rPr>
        <w:t>[26]</w:t>
      </w:r>
    </w:p>
    <w:p w14:paraId="313A84E4" w14:textId="77777777" w:rsidR="009C193E" w:rsidRDefault="009C193E" w:rsidP="009C193E">
      <w:pPr>
        <w:rPr>
          <w:rFonts w:cstheme="minorHAnsi"/>
        </w:rPr>
      </w:pPr>
      <w:r>
        <w:rPr>
          <w:rFonts w:cstheme="minorHAnsi"/>
        </w:rPr>
        <w:t>[355]</w:t>
      </w:r>
    </w:p>
    <w:p w14:paraId="1488157B" w14:textId="566E8610" w:rsidR="00867DBF" w:rsidRDefault="00867DBF" w:rsidP="00867DBF">
      <w:pPr>
        <w:rPr>
          <w:rFonts w:cstheme="minorHAnsi"/>
        </w:rPr>
      </w:pPr>
      <w:r>
        <w:rPr>
          <w:rFonts w:cstheme="minorHAnsi"/>
        </w:rPr>
        <w:t>[496]</w:t>
      </w:r>
    </w:p>
    <w:p w14:paraId="691A0AB9" w14:textId="34F5ED93" w:rsidR="00867DBF" w:rsidRDefault="00867DBF" w:rsidP="00867DBF">
      <w:pPr>
        <w:rPr>
          <w:rFonts w:cstheme="minorHAnsi"/>
        </w:rPr>
      </w:pPr>
      <w:r>
        <w:rPr>
          <w:rFonts w:cstheme="minorHAnsi"/>
        </w:rPr>
        <w:t>[508]</w:t>
      </w:r>
    </w:p>
    <w:p w14:paraId="5D3EE4E3" w14:textId="77777777" w:rsidR="009C193E" w:rsidRDefault="009C193E" w:rsidP="009C193E">
      <w:pPr>
        <w:rPr>
          <w:rFonts w:cstheme="minorHAnsi"/>
        </w:rPr>
      </w:pPr>
    </w:p>
    <w:p w14:paraId="2400E421" w14:textId="77777777" w:rsidR="009C193E" w:rsidRPr="009C193E" w:rsidRDefault="009C193E" w:rsidP="009C193E"/>
    <w:sectPr w:rsidR="009C193E" w:rsidRPr="009C193E" w:rsidSect="00DF694F">
      <w:footerReference w:type="default" r:id="rId13"/>
      <w:pgSz w:w="12240" w:h="15840"/>
      <w:pgMar w:top="1440" w:right="1440" w:bottom="1557" w:left="1440" w:header="720" w:footer="720" w:gutter="0"/>
      <w:pgNumType w:fmt="lowerRoman"/>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2252F9" w15:done="0"/>
  <w15:commentEx w15:paraId="76B0EB04" w15:paraIdParent="4F2252F9" w15:done="0"/>
  <w15:commentEx w15:paraId="35EE367A" w15:done="0"/>
  <w15:commentEx w15:paraId="33E678E6" w15:paraIdParent="35EE367A" w15:done="0"/>
  <w15:commentEx w15:paraId="2CA530EC" w15:done="0"/>
  <w15:commentEx w15:paraId="2321CABF" w15:done="0"/>
  <w15:commentEx w15:paraId="42D3C53E" w15:paraIdParent="2321CABF" w15:done="0"/>
  <w15:commentEx w15:paraId="4411BB2D" w15:done="0"/>
  <w15:commentEx w15:paraId="595FFD18" w15:done="0"/>
  <w15:commentEx w15:paraId="038EA079" w15:done="0"/>
  <w15:commentEx w15:paraId="0D027685" w15:done="0"/>
  <w15:commentEx w15:paraId="6B661D5F" w15:done="0"/>
  <w15:commentEx w15:paraId="08930B75" w15:done="0"/>
  <w15:commentEx w15:paraId="07613C74" w15:done="0"/>
  <w15:commentEx w15:paraId="644AF0E2" w15:done="0"/>
  <w15:commentEx w15:paraId="106303BB" w15:paraIdParent="644AF0E2" w15:done="0"/>
  <w15:commentEx w15:paraId="537E3D8C" w15:paraIdParent="644AF0E2" w15:done="0"/>
  <w15:commentEx w15:paraId="04A70464" w15:done="0"/>
  <w15:commentEx w15:paraId="2464ACE8" w15:done="0"/>
  <w15:commentEx w15:paraId="5785667F" w15:done="0"/>
  <w15:commentEx w15:paraId="72C38B99" w15:done="0"/>
  <w15:commentEx w15:paraId="7339B349" w15:done="0"/>
  <w15:commentEx w15:paraId="2CBF27E8" w15:done="0"/>
  <w15:commentEx w15:paraId="7A7A3937" w15:done="0"/>
  <w15:commentEx w15:paraId="1A79EFC4" w15:done="0"/>
  <w15:commentEx w15:paraId="07E54DD6" w15:done="0"/>
  <w15:commentEx w15:paraId="34137765" w15:done="0"/>
  <w15:commentEx w15:paraId="6085D5FE" w15:done="0"/>
  <w15:commentEx w15:paraId="56CBB167" w15:done="0"/>
  <w15:commentEx w15:paraId="7E857E5B" w15:done="0"/>
  <w15:commentEx w15:paraId="7C86C017" w15:done="0"/>
  <w15:commentEx w15:paraId="2BF95EBF" w15:done="0"/>
  <w15:commentEx w15:paraId="3388D973" w15:paraIdParent="2BF95EBF" w15:done="0"/>
  <w15:commentEx w15:paraId="1E6578D0" w15:done="0"/>
  <w15:commentEx w15:paraId="10792F06" w15:paraIdParent="1E6578D0" w15:done="0"/>
  <w15:commentEx w15:paraId="6AF627CA" w15:done="0"/>
  <w15:commentEx w15:paraId="0D50A9CA" w15:paraIdParent="6AF627CA" w15:done="0"/>
  <w15:commentEx w15:paraId="05B1D2F8" w15:done="0"/>
  <w15:commentEx w15:paraId="62865551" w15:paraIdParent="05B1D2F8" w15:done="0"/>
  <w15:commentEx w15:paraId="654EABE3" w15:done="0"/>
  <w15:commentEx w15:paraId="1630BE4E" w15:paraIdParent="654EABE3" w15:done="0"/>
  <w15:commentEx w15:paraId="0891108D" w15:done="0"/>
  <w15:commentEx w15:paraId="6BB48B69" w15:done="0"/>
  <w15:commentEx w15:paraId="121EEDF1" w15:done="0"/>
  <w15:commentEx w15:paraId="4723412C" w15:paraIdParent="121EEDF1" w15:done="0"/>
  <w15:commentEx w15:paraId="04134A64" w15:done="0"/>
  <w15:commentEx w15:paraId="6E753F6D" w15:done="0"/>
  <w15:commentEx w15:paraId="473F94CA" w15:done="0"/>
  <w15:commentEx w15:paraId="6CA850EB" w15:done="0"/>
  <w15:commentEx w15:paraId="58462771" w15:done="0"/>
  <w15:commentEx w15:paraId="74A47137" w15:done="0"/>
  <w15:commentEx w15:paraId="546A149C" w15:done="0"/>
  <w15:commentEx w15:paraId="130353A2" w15:done="0"/>
  <w15:commentEx w15:paraId="525F161F" w15:done="0"/>
  <w15:commentEx w15:paraId="5806D619" w15:done="0"/>
  <w15:commentEx w15:paraId="4C4B34B6" w15:paraIdParent="5806D619" w15:done="0"/>
  <w15:commentEx w15:paraId="34B611B7" w15:done="0"/>
  <w15:commentEx w15:paraId="2A8A7C7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2252F9" w16cid:durableId="1DDBBCA6"/>
  <w16cid:commentId w16cid:paraId="35EE367A" w16cid:durableId="1DDA2F92"/>
  <w16cid:commentId w16cid:paraId="33E678E6" w16cid:durableId="1DDA2F93"/>
  <w16cid:commentId w16cid:paraId="2CA530EC" w16cid:durableId="1DDA2F94"/>
  <w16cid:commentId w16cid:paraId="2321CABF" w16cid:durableId="1DDBA425"/>
  <w16cid:commentId w16cid:paraId="4411BB2D" w16cid:durableId="1DDA2F95"/>
  <w16cid:commentId w16cid:paraId="595FFD18" w16cid:durableId="1DDA2F96"/>
  <w16cid:commentId w16cid:paraId="038EA079" w16cid:durableId="1DDA2F97"/>
  <w16cid:commentId w16cid:paraId="0D027685" w16cid:durableId="1DDA2F98"/>
  <w16cid:commentId w16cid:paraId="6B661D5F" w16cid:durableId="1DDA2F99"/>
  <w16cid:commentId w16cid:paraId="08930B75" w16cid:durableId="1DDA555E"/>
  <w16cid:commentId w16cid:paraId="07613C74" w16cid:durableId="1DDA8AA2"/>
  <w16cid:commentId w16cid:paraId="644AF0E2" w16cid:durableId="1DDA2F9A"/>
  <w16cid:commentId w16cid:paraId="106303BB" w16cid:durableId="1DDA2F9B"/>
  <w16cid:commentId w16cid:paraId="537E3D8C" w16cid:durableId="1DDA2F9C"/>
  <w16cid:commentId w16cid:paraId="04A70464" w16cid:durableId="1DDA2F9D"/>
  <w16cid:commentId w16cid:paraId="2464ACE8" w16cid:durableId="1DDA2F9E"/>
  <w16cid:commentId w16cid:paraId="5785667F" w16cid:durableId="1DDA2F9F"/>
  <w16cid:commentId w16cid:paraId="72C38B99" w16cid:durableId="1DDA2FA0"/>
  <w16cid:commentId w16cid:paraId="7339B349" w16cid:durableId="1DDA2FA1"/>
  <w16cid:commentId w16cid:paraId="2CBF27E8" w16cid:durableId="1DDBAC6A"/>
  <w16cid:commentId w16cid:paraId="7A7A3937" w16cid:durableId="1DDA2FA2"/>
  <w16cid:commentId w16cid:paraId="1A79EFC4" w16cid:durableId="1DDBAF0C"/>
  <w16cid:commentId w16cid:paraId="07E54DD6" w16cid:durableId="1DDA2FA3"/>
  <w16cid:commentId w16cid:paraId="34137765" w16cid:durableId="1DDA2FA4"/>
  <w16cid:commentId w16cid:paraId="6085D5FE" w16cid:durableId="1DDA2FA5"/>
  <w16cid:commentId w16cid:paraId="56CBB167" w16cid:durableId="1DDA2FA6"/>
  <w16cid:commentId w16cid:paraId="7E857E5B" w16cid:durableId="1DDA2FA7"/>
  <w16cid:commentId w16cid:paraId="7C86C017" w16cid:durableId="1DDA2FA8"/>
  <w16cid:commentId w16cid:paraId="2BF95EBF" w16cid:durableId="1DDBAFB2"/>
  <w16cid:commentId w16cid:paraId="1E6578D0" w16cid:durableId="1DDBB055"/>
  <w16cid:commentId w16cid:paraId="6AF627CA" w16cid:durableId="1DDA2FA9"/>
  <w16cid:commentId w16cid:paraId="0D50A9CA" w16cid:durableId="1DDA2FAA"/>
  <w16cid:commentId w16cid:paraId="05B1D2F8" w16cid:durableId="1DDA5843"/>
  <w16cid:commentId w16cid:paraId="654EABE3" w16cid:durableId="1DDBB0FA"/>
  <w16cid:commentId w16cid:paraId="0891108D" w16cid:durableId="1DDA2FAB"/>
  <w16cid:commentId w16cid:paraId="6BB48B69" w16cid:durableId="1DDA2FAC"/>
  <w16cid:commentId w16cid:paraId="121EEDF1" w16cid:durableId="1DDA2FAD"/>
  <w16cid:commentId w16cid:paraId="4723412C" w16cid:durableId="1DDA2FAE"/>
  <w16cid:commentId w16cid:paraId="6E753F6D" w16cid:durableId="1DDA2FAF"/>
  <w16cid:commentId w16cid:paraId="473F94CA" w16cid:durableId="1DDA2FB0"/>
  <w16cid:commentId w16cid:paraId="6CA850EB" w16cid:durableId="1DDA2FB1"/>
  <w16cid:commentId w16cid:paraId="58462771" w16cid:durableId="1DDA2FB2"/>
  <w16cid:commentId w16cid:paraId="74A47137" w16cid:durableId="1DDA2FB3"/>
  <w16cid:commentId w16cid:paraId="546A149C" w16cid:durableId="1DDBB212"/>
  <w16cid:commentId w16cid:paraId="130353A2" w16cid:durableId="1DDA2FB4"/>
  <w16cid:commentId w16cid:paraId="525F161F" w16cid:durableId="1DDA2FB5"/>
  <w16cid:commentId w16cid:paraId="5806D619" w16cid:durableId="1DDBB631"/>
  <w16cid:commentId w16cid:paraId="34B611B7" w16cid:durableId="1DDBB801"/>
  <w16cid:commentId w16cid:paraId="2A8A7C74" w16cid:durableId="1DDA2FB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AC8D36" w14:textId="77777777" w:rsidR="001A4CE6" w:rsidRDefault="001A4CE6" w:rsidP="00447D6E">
      <w:r>
        <w:separator/>
      </w:r>
    </w:p>
    <w:p w14:paraId="01B21122" w14:textId="77777777" w:rsidR="001A4CE6" w:rsidRDefault="001A4CE6"/>
  </w:endnote>
  <w:endnote w:type="continuationSeparator" w:id="0">
    <w:p w14:paraId="116374B3" w14:textId="77777777" w:rsidR="001A4CE6" w:rsidRDefault="001A4CE6" w:rsidP="00447D6E">
      <w:r>
        <w:continuationSeparator/>
      </w:r>
    </w:p>
    <w:p w14:paraId="2F80AA5B" w14:textId="77777777" w:rsidR="001A4CE6" w:rsidRDefault="001A4C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52CA3" w14:textId="25905221" w:rsidR="001A4CE6" w:rsidRPr="009500DC" w:rsidRDefault="005C7320" w:rsidP="008823EC">
    <w:pPr>
      <w:pStyle w:val="Footer"/>
      <w:pBdr>
        <w:top w:val="single" w:sz="4" w:space="1" w:color="auto"/>
      </w:pBdr>
      <w:rPr>
        <w:rFonts w:cstheme="minorHAnsi"/>
        <w:b/>
        <w:sz w:val="20"/>
        <w:szCs w:val="20"/>
      </w:rPr>
    </w:pPr>
    <w:sdt>
      <w:sdtPr>
        <w:rPr>
          <w:rFonts w:cstheme="minorHAnsi"/>
          <w:b/>
          <w:sz w:val="20"/>
          <w:szCs w:val="20"/>
        </w:rPr>
        <w:alias w:val="Title"/>
        <w:tag w:val=""/>
        <w:id w:val="-2139936326"/>
        <w:dataBinding w:prefixMappings="xmlns:ns0='http://purl.org/dc/elements/1.1/' xmlns:ns1='http://schemas.openxmlformats.org/package/2006/metadata/core-properties' " w:xpath="/ns1:coreProperties[1]/ns0:title[1]" w:storeItemID="{6C3C8BC8-F283-45AE-878A-BAB7291924A1}"/>
        <w:text/>
      </w:sdtPr>
      <w:sdtEndPr/>
      <w:sdtContent>
        <w:r w:rsidR="001A4CE6">
          <w:rPr>
            <w:rFonts w:cstheme="minorHAnsi"/>
            <w:b/>
            <w:sz w:val="20"/>
            <w:szCs w:val="20"/>
          </w:rPr>
          <w:t>SCE17CC008</w:t>
        </w:r>
      </w:sdtContent>
    </w:sdt>
    <w:r w:rsidR="001A4CE6">
      <w:rPr>
        <w:rFonts w:cstheme="minorHAnsi"/>
        <w:b/>
        <w:sz w:val="20"/>
        <w:szCs w:val="20"/>
      </w:rPr>
      <w:t xml:space="preserve">, </w:t>
    </w:r>
    <w:sdt>
      <w:sdtPr>
        <w:rPr>
          <w:rFonts w:cstheme="minorHAnsi"/>
          <w:b/>
          <w:sz w:val="20"/>
          <w:szCs w:val="20"/>
        </w:rPr>
        <w:alias w:val="Revision"/>
        <w:tag w:val=""/>
        <w:id w:val="314150882"/>
        <w:dataBinding w:prefixMappings="xmlns:ns0='http://purl.org/dc/elements/1.1/' xmlns:ns1='http://schemas.openxmlformats.org/package/2006/metadata/core-properties' " w:xpath="/ns1:coreProperties[1]/ns1:contentStatus[1]" w:storeItemID="{6C3C8BC8-F283-45AE-878A-BAB7291924A1}"/>
        <w:text/>
      </w:sdtPr>
      <w:sdtEndPr/>
      <w:sdtContent>
        <w:r w:rsidR="001A4CE6">
          <w:rPr>
            <w:rFonts w:cstheme="minorHAnsi"/>
            <w:b/>
            <w:sz w:val="20"/>
            <w:szCs w:val="20"/>
          </w:rPr>
          <w:t>Revision 0</w:t>
        </w:r>
      </w:sdtContent>
    </w:sdt>
    <w:r w:rsidR="001A4CE6" w:rsidRPr="009500DC">
      <w:rPr>
        <w:rFonts w:cstheme="minorHAnsi"/>
        <w:b/>
        <w:sz w:val="20"/>
        <w:szCs w:val="20"/>
      </w:rPr>
      <w:tab/>
    </w:r>
    <w:r w:rsidR="001A4CE6" w:rsidRPr="009500DC">
      <w:rPr>
        <w:rFonts w:cstheme="minorHAnsi"/>
        <w:b/>
        <w:sz w:val="20"/>
        <w:szCs w:val="20"/>
      </w:rPr>
      <w:fldChar w:fldCharType="begin"/>
    </w:r>
    <w:r w:rsidR="001A4CE6" w:rsidRPr="009500DC">
      <w:rPr>
        <w:rFonts w:cstheme="minorHAnsi"/>
        <w:b/>
        <w:sz w:val="20"/>
        <w:szCs w:val="20"/>
      </w:rPr>
      <w:instrText xml:space="preserve"> PAGE   \* MERGEFORMAT </w:instrText>
    </w:r>
    <w:r w:rsidR="001A4CE6" w:rsidRPr="009500DC">
      <w:rPr>
        <w:rFonts w:cstheme="minorHAnsi"/>
        <w:b/>
        <w:sz w:val="20"/>
        <w:szCs w:val="20"/>
      </w:rPr>
      <w:fldChar w:fldCharType="separate"/>
    </w:r>
    <w:r>
      <w:rPr>
        <w:rFonts w:cstheme="minorHAnsi"/>
        <w:b/>
        <w:noProof/>
        <w:sz w:val="20"/>
        <w:szCs w:val="20"/>
      </w:rPr>
      <w:t>1</w:t>
    </w:r>
    <w:r w:rsidR="001A4CE6" w:rsidRPr="009500DC">
      <w:rPr>
        <w:rFonts w:cstheme="minorHAnsi"/>
        <w:b/>
        <w:noProof/>
        <w:sz w:val="20"/>
        <w:szCs w:val="20"/>
      </w:rPr>
      <w:fldChar w:fldCharType="end"/>
    </w:r>
    <w:r w:rsidR="001A4CE6" w:rsidRPr="009500DC">
      <w:rPr>
        <w:rFonts w:cstheme="minorHAnsi"/>
        <w:b/>
        <w:sz w:val="20"/>
        <w:szCs w:val="20"/>
      </w:rPr>
      <w:tab/>
    </w:r>
    <w:sdt>
      <w:sdtPr>
        <w:rPr>
          <w:rFonts w:cstheme="minorHAnsi"/>
          <w:b/>
          <w:sz w:val="20"/>
          <w:szCs w:val="20"/>
        </w:rPr>
        <w:alias w:val="Date"/>
        <w:tag w:val=""/>
        <w:id w:val="1090588778"/>
        <w:dataBinding w:prefixMappings="xmlns:ns0='http://schemas.microsoft.com/office/2006/coverPageProps' " w:xpath="/ns0:CoverPageProperties[1]/ns0:PublishDate[1]" w:storeItemID="{55AF091B-3C7A-41E3-B477-F2FDAA23CFDA}"/>
        <w:date w:fullDate="2017-11-28T00:00:00Z">
          <w:dateFormat w:val="MMMM d, yyyy"/>
          <w:lid w:val="en-US"/>
          <w:storeMappedDataAs w:val="dateTime"/>
          <w:calendar w:val="gregorian"/>
        </w:date>
      </w:sdtPr>
      <w:sdtEndPr/>
      <w:sdtContent>
        <w:r w:rsidR="001A4CE6">
          <w:rPr>
            <w:rFonts w:cstheme="minorHAnsi"/>
            <w:b/>
            <w:sz w:val="20"/>
            <w:szCs w:val="20"/>
          </w:rPr>
          <w:t>November 28, 2017</w:t>
        </w:r>
      </w:sdtContent>
    </w:sdt>
  </w:p>
  <w:p w14:paraId="768E23F5" w14:textId="77777777" w:rsidR="001A4CE6" w:rsidRPr="009500DC" w:rsidRDefault="005C7320" w:rsidP="008823EC">
    <w:pPr>
      <w:pStyle w:val="Footer"/>
      <w:pBdr>
        <w:top w:val="single" w:sz="4" w:space="1" w:color="auto"/>
      </w:pBdr>
      <w:rPr>
        <w:rFonts w:cstheme="minorHAnsi"/>
      </w:rPr>
    </w:pPr>
    <w:sdt>
      <w:sdtPr>
        <w:rPr>
          <w:rFonts w:cstheme="minorHAnsi"/>
          <w:b/>
          <w:sz w:val="20"/>
          <w:szCs w:val="20"/>
        </w:rPr>
        <w:alias w:val="Company"/>
        <w:tag w:val=""/>
        <w:id w:val="-141123946"/>
        <w:dataBinding w:prefixMappings="xmlns:ns0='http://schemas.openxmlformats.org/officeDocument/2006/extended-properties' " w:xpath="/ns0:Properties[1]/ns0:Company[1]" w:storeItemID="{6668398D-A668-4E3E-A5EB-62B293D839F1}"/>
        <w:text/>
      </w:sdtPr>
      <w:sdtEndPr/>
      <w:sdtContent>
        <w:r w:rsidR="001A4CE6">
          <w:rPr>
            <w:rFonts w:cstheme="minorHAnsi"/>
            <w:b/>
            <w:sz w:val="20"/>
            <w:szCs w:val="20"/>
          </w:rPr>
          <w:t>Southern California Edison</w:t>
        </w:r>
      </w:sdtContent>
    </w:sdt>
  </w:p>
  <w:p w14:paraId="650DB54B" w14:textId="21C8CA3E" w:rsidR="001A4CE6" w:rsidRPr="009500DC" w:rsidRDefault="001A4CE6" w:rsidP="00DF694F">
    <w:pPr>
      <w:pStyle w:val="Footer"/>
      <w:rPr>
        <w:rFonts w:cstheme="minorHAnsi"/>
      </w:rPr>
    </w:pPr>
    <w:r w:rsidDel="008823EC">
      <w:rPr>
        <w:rFonts w:cstheme="minorHAnsi"/>
        <w:b/>
        <w:sz w:val="36"/>
        <w:szCs w:val="3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47CB4095" w:rsidR="001A4CE6" w:rsidRPr="009500DC" w:rsidRDefault="005C7320"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1A4CE6">
          <w:rPr>
            <w:rFonts w:cstheme="minorHAnsi"/>
            <w:b/>
            <w:sz w:val="20"/>
            <w:szCs w:val="20"/>
          </w:rPr>
          <w:t>SCE17CC008</w:t>
        </w:r>
      </w:sdtContent>
    </w:sdt>
    <w:r w:rsidR="001A4CE6">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1A4CE6">
          <w:rPr>
            <w:rFonts w:cstheme="minorHAnsi"/>
            <w:b/>
            <w:sz w:val="20"/>
            <w:szCs w:val="20"/>
          </w:rPr>
          <w:t>Revision 0</w:t>
        </w:r>
      </w:sdtContent>
    </w:sdt>
    <w:r w:rsidR="001A4CE6" w:rsidRPr="009500DC">
      <w:rPr>
        <w:rFonts w:cstheme="minorHAnsi"/>
        <w:b/>
        <w:sz w:val="20"/>
        <w:szCs w:val="20"/>
      </w:rPr>
      <w:tab/>
    </w:r>
    <w:r w:rsidR="001A4CE6" w:rsidRPr="009500DC">
      <w:rPr>
        <w:rFonts w:cstheme="minorHAnsi"/>
        <w:b/>
        <w:sz w:val="20"/>
        <w:szCs w:val="20"/>
      </w:rPr>
      <w:fldChar w:fldCharType="begin"/>
    </w:r>
    <w:r w:rsidR="001A4CE6" w:rsidRPr="009500DC">
      <w:rPr>
        <w:rFonts w:cstheme="minorHAnsi"/>
        <w:b/>
        <w:sz w:val="20"/>
        <w:szCs w:val="20"/>
      </w:rPr>
      <w:instrText xml:space="preserve"> PAGE   \* MERGEFORMAT </w:instrText>
    </w:r>
    <w:r w:rsidR="001A4CE6" w:rsidRPr="009500DC">
      <w:rPr>
        <w:rFonts w:cstheme="minorHAnsi"/>
        <w:b/>
        <w:sz w:val="20"/>
        <w:szCs w:val="20"/>
      </w:rPr>
      <w:fldChar w:fldCharType="separate"/>
    </w:r>
    <w:r>
      <w:rPr>
        <w:rFonts w:cstheme="minorHAnsi"/>
        <w:b/>
        <w:noProof/>
        <w:sz w:val="20"/>
        <w:szCs w:val="20"/>
      </w:rPr>
      <w:t>ii</w:t>
    </w:r>
    <w:r w:rsidR="001A4CE6" w:rsidRPr="009500DC">
      <w:rPr>
        <w:rFonts w:cstheme="minorHAnsi"/>
        <w:b/>
        <w:noProof/>
        <w:sz w:val="20"/>
        <w:szCs w:val="20"/>
      </w:rPr>
      <w:fldChar w:fldCharType="end"/>
    </w:r>
    <w:r w:rsidR="001A4CE6"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1-28T00:00:00Z">
          <w:dateFormat w:val="MMMM d, yyyy"/>
          <w:lid w:val="en-US"/>
          <w:storeMappedDataAs w:val="dateTime"/>
          <w:calendar w:val="gregorian"/>
        </w:date>
      </w:sdtPr>
      <w:sdtEndPr/>
      <w:sdtContent>
        <w:r w:rsidR="001A4CE6">
          <w:rPr>
            <w:rFonts w:cstheme="minorHAnsi"/>
            <w:b/>
            <w:sz w:val="20"/>
            <w:szCs w:val="20"/>
          </w:rPr>
          <w:t>November 28, 2017</w:t>
        </w:r>
      </w:sdtContent>
    </w:sdt>
  </w:p>
  <w:p w14:paraId="43C07EA5" w14:textId="544E4323" w:rsidR="001A4CE6" w:rsidRPr="009500DC" w:rsidRDefault="005C7320"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1A4CE6">
          <w:rPr>
            <w:rFonts w:cstheme="minorHAnsi"/>
            <w:b/>
            <w:sz w:val="20"/>
            <w:szCs w:val="20"/>
          </w:rPr>
          <w:t>Southern California Edison</w:t>
        </w:r>
      </w:sdtContent>
    </w:sdt>
  </w:p>
  <w:p w14:paraId="4AC7586E" w14:textId="77777777" w:rsidR="001A4CE6" w:rsidRDefault="001A4CE6"/>
  <w:p w14:paraId="5C9861A8" w14:textId="77777777" w:rsidR="001A4CE6" w:rsidRDefault="001A4C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A7078" w14:textId="77777777" w:rsidR="001A4CE6" w:rsidRDefault="001A4CE6" w:rsidP="00447D6E">
      <w:r>
        <w:separator/>
      </w:r>
    </w:p>
    <w:p w14:paraId="1E896EA8" w14:textId="77777777" w:rsidR="001A4CE6" w:rsidRDefault="001A4CE6"/>
  </w:footnote>
  <w:footnote w:type="continuationSeparator" w:id="0">
    <w:p w14:paraId="1C848544" w14:textId="77777777" w:rsidR="001A4CE6" w:rsidRDefault="001A4CE6" w:rsidP="00447D6E">
      <w:r>
        <w:continuationSeparator/>
      </w:r>
    </w:p>
    <w:p w14:paraId="22F95121" w14:textId="77777777" w:rsidR="001A4CE6" w:rsidRDefault="001A4CE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683647"/>
    <w:multiLevelType w:val="hybridMultilevel"/>
    <w:tmpl w:val="F0DC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6">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B862A7"/>
    <w:multiLevelType w:val="hybridMultilevel"/>
    <w:tmpl w:val="7AF6A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5B48BB"/>
    <w:multiLevelType w:val="hybridMultilevel"/>
    <w:tmpl w:val="E02222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13A283F"/>
    <w:multiLevelType w:val="hybridMultilevel"/>
    <w:tmpl w:val="789A3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213AB2"/>
    <w:multiLevelType w:val="hybridMultilevel"/>
    <w:tmpl w:val="58AADB1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660150"/>
    <w:multiLevelType w:val="hybridMultilevel"/>
    <w:tmpl w:val="DA822D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EC4BFA"/>
    <w:multiLevelType w:val="hybridMultilevel"/>
    <w:tmpl w:val="5FAE240C"/>
    <w:lvl w:ilvl="0" w:tplc="32BA5AE4">
      <w:start w:val="12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60B5984"/>
    <w:multiLevelType w:val="hybridMultilevel"/>
    <w:tmpl w:val="C46E3DA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0"/>
  </w:num>
  <w:num w:numId="4">
    <w:abstractNumId w:val="18"/>
  </w:num>
  <w:num w:numId="5">
    <w:abstractNumId w:val="18"/>
  </w:num>
  <w:num w:numId="6">
    <w:abstractNumId w:val="2"/>
  </w:num>
  <w:num w:numId="7">
    <w:abstractNumId w:val="23"/>
  </w:num>
  <w:num w:numId="8">
    <w:abstractNumId w:val="19"/>
  </w:num>
  <w:num w:numId="9">
    <w:abstractNumId w:val="11"/>
  </w:num>
  <w:num w:numId="10">
    <w:abstractNumId w:val="6"/>
  </w:num>
  <w:num w:numId="11">
    <w:abstractNumId w:val="24"/>
  </w:num>
  <w:num w:numId="12">
    <w:abstractNumId w:val="17"/>
  </w:num>
  <w:num w:numId="13">
    <w:abstractNumId w:val="10"/>
  </w:num>
  <w:num w:numId="14">
    <w:abstractNumId w:val="36"/>
  </w:num>
  <w:num w:numId="15">
    <w:abstractNumId w:val="8"/>
  </w:num>
  <w:num w:numId="16">
    <w:abstractNumId w:val="12"/>
  </w:num>
  <w:num w:numId="17">
    <w:abstractNumId w:val="4"/>
  </w:num>
  <w:num w:numId="18">
    <w:abstractNumId w:val="0"/>
  </w:num>
  <w:num w:numId="19">
    <w:abstractNumId w:val="34"/>
  </w:num>
  <w:num w:numId="20">
    <w:abstractNumId w:val="3"/>
  </w:num>
  <w:num w:numId="21">
    <w:abstractNumId w:val="26"/>
  </w:num>
  <w:num w:numId="22">
    <w:abstractNumId w:val="28"/>
  </w:num>
  <w:num w:numId="23">
    <w:abstractNumId w:val="37"/>
  </w:num>
  <w:num w:numId="24">
    <w:abstractNumId w:val="32"/>
  </w:num>
  <w:num w:numId="25">
    <w:abstractNumId w:val="14"/>
  </w:num>
  <w:num w:numId="26">
    <w:abstractNumId w:val="16"/>
  </w:num>
  <w:num w:numId="27">
    <w:abstractNumId w:val="30"/>
  </w:num>
  <w:num w:numId="28">
    <w:abstractNumId w:val="15"/>
  </w:num>
  <w:num w:numId="29">
    <w:abstractNumId w:val="7"/>
  </w:num>
  <w:num w:numId="30">
    <w:abstractNumId w:val="1"/>
  </w:num>
  <w:num w:numId="31">
    <w:abstractNumId w:val="38"/>
  </w:num>
  <w:num w:numId="32">
    <w:abstractNumId w:val="25"/>
  </w:num>
  <w:num w:numId="33">
    <w:abstractNumId w:val="31"/>
  </w:num>
  <w:num w:numId="34">
    <w:abstractNumId w:val="9"/>
  </w:num>
  <w:num w:numId="35">
    <w:abstractNumId w:val="5"/>
  </w:num>
  <w:num w:numId="36">
    <w:abstractNumId w:val="29"/>
  </w:num>
  <w:num w:numId="37">
    <w:abstractNumId w:val="27"/>
  </w:num>
  <w:num w:numId="38">
    <w:abstractNumId w:val="35"/>
  </w:num>
  <w:num w:numId="39">
    <w:abstractNumId w:val="33"/>
  </w:num>
  <w:num w:numId="40">
    <w:abstractNumId w:val="13"/>
  </w:num>
  <w:num w:numId="41">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sco, Lake">
    <w15:presenceInfo w15:providerId="AD" w15:userId="S-1-5-21-1786704334-1080620903-3496478664-62351"/>
  </w15:person>
  <w15:person w15:author="Ramanathan Dharmarajan">
    <w15:presenceInfo w15:providerId="AD" w15:userId="S-1-5-21-4100918431-2988746053-1427904620-1179"/>
  </w15:person>
  <w15:person w15:author="Jay Bhakta">
    <w15:presenceInfo w15:providerId="AD" w15:userId="S-1-5-21-2559334742-469970549-2024990295-191131"/>
  </w15:person>
  <w15:person w15:author="Mangalekar, Dhananjay">
    <w15:presenceInfo w15:providerId="AD" w15:userId="S-1-5-21-1786704334-1080620903-3496478664-518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073F3"/>
    <w:rsid w:val="0001002B"/>
    <w:rsid w:val="000105EA"/>
    <w:rsid w:val="00010806"/>
    <w:rsid w:val="00013F71"/>
    <w:rsid w:val="0001640D"/>
    <w:rsid w:val="000173BF"/>
    <w:rsid w:val="00024252"/>
    <w:rsid w:val="000245B5"/>
    <w:rsid w:val="00025487"/>
    <w:rsid w:val="00027183"/>
    <w:rsid w:val="000278BF"/>
    <w:rsid w:val="00033EA1"/>
    <w:rsid w:val="0003746D"/>
    <w:rsid w:val="0004020F"/>
    <w:rsid w:val="000436CB"/>
    <w:rsid w:val="0004506B"/>
    <w:rsid w:val="00052E17"/>
    <w:rsid w:val="00056947"/>
    <w:rsid w:val="00061A8E"/>
    <w:rsid w:val="00062273"/>
    <w:rsid w:val="00064CB3"/>
    <w:rsid w:val="00066CD4"/>
    <w:rsid w:val="00070BEE"/>
    <w:rsid w:val="00072040"/>
    <w:rsid w:val="000723C0"/>
    <w:rsid w:val="0007556E"/>
    <w:rsid w:val="00076DF4"/>
    <w:rsid w:val="00076F51"/>
    <w:rsid w:val="0008524C"/>
    <w:rsid w:val="00086F7F"/>
    <w:rsid w:val="0009074D"/>
    <w:rsid w:val="00094D08"/>
    <w:rsid w:val="0009592B"/>
    <w:rsid w:val="000968C6"/>
    <w:rsid w:val="000A63C9"/>
    <w:rsid w:val="000B2916"/>
    <w:rsid w:val="000B3765"/>
    <w:rsid w:val="000B655B"/>
    <w:rsid w:val="000C0000"/>
    <w:rsid w:val="000C18CC"/>
    <w:rsid w:val="000C687D"/>
    <w:rsid w:val="000C7854"/>
    <w:rsid w:val="000C7ED1"/>
    <w:rsid w:val="000D789A"/>
    <w:rsid w:val="000E4AD3"/>
    <w:rsid w:val="000E4B5F"/>
    <w:rsid w:val="000E706D"/>
    <w:rsid w:val="000F130A"/>
    <w:rsid w:val="000F292A"/>
    <w:rsid w:val="000F4FD8"/>
    <w:rsid w:val="00100E62"/>
    <w:rsid w:val="00107242"/>
    <w:rsid w:val="00111CC5"/>
    <w:rsid w:val="001206F7"/>
    <w:rsid w:val="001236C1"/>
    <w:rsid w:val="00133EE8"/>
    <w:rsid w:val="0013455D"/>
    <w:rsid w:val="0014028F"/>
    <w:rsid w:val="00140B30"/>
    <w:rsid w:val="00144220"/>
    <w:rsid w:val="0014433F"/>
    <w:rsid w:val="00144965"/>
    <w:rsid w:val="00147155"/>
    <w:rsid w:val="00147BDF"/>
    <w:rsid w:val="00153CB3"/>
    <w:rsid w:val="00154C3B"/>
    <w:rsid w:val="001578CC"/>
    <w:rsid w:val="00160158"/>
    <w:rsid w:val="00165357"/>
    <w:rsid w:val="001722B7"/>
    <w:rsid w:val="001727D9"/>
    <w:rsid w:val="00174BB4"/>
    <w:rsid w:val="00175D14"/>
    <w:rsid w:val="00177493"/>
    <w:rsid w:val="001811EE"/>
    <w:rsid w:val="00185AD4"/>
    <w:rsid w:val="001979AF"/>
    <w:rsid w:val="00197D65"/>
    <w:rsid w:val="001A0EB4"/>
    <w:rsid w:val="001A1A86"/>
    <w:rsid w:val="001A4CE6"/>
    <w:rsid w:val="001A5F62"/>
    <w:rsid w:val="001B015E"/>
    <w:rsid w:val="001B07AD"/>
    <w:rsid w:val="001B2301"/>
    <w:rsid w:val="001B618B"/>
    <w:rsid w:val="001C1338"/>
    <w:rsid w:val="001C33ED"/>
    <w:rsid w:val="001C4140"/>
    <w:rsid w:val="001C5A94"/>
    <w:rsid w:val="001D2317"/>
    <w:rsid w:val="001D3223"/>
    <w:rsid w:val="001D33EF"/>
    <w:rsid w:val="001D5AB3"/>
    <w:rsid w:val="001E0519"/>
    <w:rsid w:val="001E0829"/>
    <w:rsid w:val="001E1320"/>
    <w:rsid w:val="001E556A"/>
    <w:rsid w:val="001F05CE"/>
    <w:rsid w:val="001F1905"/>
    <w:rsid w:val="001F4A65"/>
    <w:rsid w:val="00201769"/>
    <w:rsid w:val="00205C45"/>
    <w:rsid w:val="0021035B"/>
    <w:rsid w:val="00211153"/>
    <w:rsid w:val="00225166"/>
    <w:rsid w:val="002253A5"/>
    <w:rsid w:val="0023254A"/>
    <w:rsid w:val="002344FB"/>
    <w:rsid w:val="00236216"/>
    <w:rsid w:val="002405CD"/>
    <w:rsid w:val="002405E8"/>
    <w:rsid w:val="00240B74"/>
    <w:rsid w:val="00243B62"/>
    <w:rsid w:val="0024675B"/>
    <w:rsid w:val="002469DD"/>
    <w:rsid w:val="00247180"/>
    <w:rsid w:val="00250294"/>
    <w:rsid w:val="00254671"/>
    <w:rsid w:val="00257D36"/>
    <w:rsid w:val="00263C1C"/>
    <w:rsid w:val="00271415"/>
    <w:rsid w:val="00274FBE"/>
    <w:rsid w:val="002762E1"/>
    <w:rsid w:val="002811BC"/>
    <w:rsid w:val="00283DE8"/>
    <w:rsid w:val="00285552"/>
    <w:rsid w:val="00285966"/>
    <w:rsid w:val="00285A0D"/>
    <w:rsid w:val="00290B8F"/>
    <w:rsid w:val="00290ED8"/>
    <w:rsid w:val="00296B49"/>
    <w:rsid w:val="00296E8A"/>
    <w:rsid w:val="002A03FC"/>
    <w:rsid w:val="002A1843"/>
    <w:rsid w:val="002A3D26"/>
    <w:rsid w:val="002A523E"/>
    <w:rsid w:val="002B0319"/>
    <w:rsid w:val="002B1ADF"/>
    <w:rsid w:val="002B502E"/>
    <w:rsid w:val="002B657B"/>
    <w:rsid w:val="002C2853"/>
    <w:rsid w:val="002C444C"/>
    <w:rsid w:val="002C458F"/>
    <w:rsid w:val="002C56B2"/>
    <w:rsid w:val="002C6343"/>
    <w:rsid w:val="002C6C20"/>
    <w:rsid w:val="002C6C7A"/>
    <w:rsid w:val="002C7F78"/>
    <w:rsid w:val="002D5277"/>
    <w:rsid w:val="002D71FA"/>
    <w:rsid w:val="002D73AF"/>
    <w:rsid w:val="002E4FD9"/>
    <w:rsid w:val="002E5052"/>
    <w:rsid w:val="002E5B58"/>
    <w:rsid w:val="002F1437"/>
    <w:rsid w:val="002F2ACC"/>
    <w:rsid w:val="002F3943"/>
    <w:rsid w:val="002F4E34"/>
    <w:rsid w:val="002F6A42"/>
    <w:rsid w:val="002F79E7"/>
    <w:rsid w:val="003003EC"/>
    <w:rsid w:val="00300401"/>
    <w:rsid w:val="003035E3"/>
    <w:rsid w:val="0030363A"/>
    <w:rsid w:val="00317970"/>
    <w:rsid w:val="00317EB0"/>
    <w:rsid w:val="00327AFB"/>
    <w:rsid w:val="00332700"/>
    <w:rsid w:val="003358BD"/>
    <w:rsid w:val="0034167E"/>
    <w:rsid w:val="00344E88"/>
    <w:rsid w:val="00345D80"/>
    <w:rsid w:val="003471D4"/>
    <w:rsid w:val="00350BF1"/>
    <w:rsid w:val="00353C49"/>
    <w:rsid w:val="003540B1"/>
    <w:rsid w:val="003557E9"/>
    <w:rsid w:val="003560BA"/>
    <w:rsid w:val="00364CC6"/>
    <w:rsid w:val="003650F6"/>
    <w:rsid w:val="0036726C"/>
    <w:rsid w:val="003738C4"/>
    <w:rsid w:val="00375997"/>
    <w:rsid w:val="003832D2"/>
    <w:rsid w:val="003845E5"/>
    <w:rsid w:val="00387DAC"/>
    <w:rsid w:val="00393137"/>
    <w:rsid w:val="0039615F"/>
    <w:rsid w:val="00397406"/>
    <w:rsid w:val="003A0598"/>
    <w:rsid w:val="003A3170"/>
    <w:rsid w:val="003A360E"/>
    <w:rsid w:val="003C0070"/>
    <w:rsid w:val="003C1A2A"/>
    <w:rsid w:val="003D17FF"/>
    <w:rsid w:val="003D2871"/>
    <w:rsid w:val="003D2981"/>
    <w:rsid w:val="003D3046"/>
    <w:rsid w:val="003D5B83"/>
    <w:rsid w:val="003E047B"/>
    <w:rsid w:val="003E3D48"/>
    <w:rsid w:val="003E3FB0"/>
    <w:rsid w:val="003E6E47"/>
    <w:rsid w:val="003F0623"/>
    <w:rsid w:val="003F33DE"/>
    <w:rsid w:val="003F3A41"/>
    <w:rsid w:val="003F67E9"/>
    <w:rsid w:val="00401031"/>
    <w:rsid w:val="004023B7"/>
    <w:rsid w:val="004045A0"/>
    <w:rsid w:val="00413CDB"/>
    <w:rsid w:val="004200FE"/>
    <w:rsid w:val="00421139"/>
    <w:rsid w:val="00421183"/>
    <w:rsid w:val="00421BA6"/>
    <w:rsid w:val="00421C17"/>
    <w:rsid w:val="00426CDE"/>
    <w:rsid w:val="00430AAB"/>
    <w:rsid w:val="00432A99"/>
    <w:rsid w:val="00433EA1"/>
    <w:rsid w:val="0044141A"/>
    <w:rsid w:val="00441957"/>
    <w:rsid w:val="00441B25"/>
    <w:rsid w:val="00443D32"/>
    <w:rsid w:val="004469DD"/>
    <w:rsid w:val="004476B2"/>
    <w:rsid w:val="00447CE5"/>
    <w:rsid w:val="00447D6E"/>
    <w:rsid w:val="0045048F"/>
    <w:rsid w:val="0045181B"/>
    <w:rsid w:val="00452133"/>
    <w:rsid w:val="00452C7A"/>
    <w:rsid w:val="004539DB"/>
    <w:rsid w:val="00456B53"/>
    <w:rsid w:val="004576A4"/>
    <w:rsid w:val="00460BF6"/>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976F6"/>
    <w:rsid w:val="004A1650"/>
    <w:rsid w:val="004A2251"/>
    <w:rsid w:val="004A4C5A"/>
    <w:rsid w:val="004B00B7"/>
    <w:rsid w:val="004B1184"/>
    <w:rsid w:val="004B4A3A"/>
    <w:rsid w:val="004B5CE5"/>
    <w:rsid w:val="004B750E"/>
    <w:rsid w:val="004C0471"/>
    <w:rsid w:val="004C2244"/>
    <w:rsid w:val="004C23F1"/>
    <w:rsid w:val="004C31EB"/>
    <w:rsid w:val="004C79F2"/>
    <w:rsid w:val="004D069A"/>
    <w:rsid w:val="004E01F5"/>
    <w:rsid w:val="004E297E"/>
    <w:rsid w:val="004E2B7C"/>
    <w:rsid w:val="004E407F"/>
    <w:rsid w:val="004E5BEF"/>
    <w:rsid w:val="004E76CA"/>
    <w:rsid w:val="004F1698"/>
    <w:rsid w:val="004F707E"/>
    <w:rsid w:val="00500C4E"/>
    <w:rsid w:val="00505CEC"/>
    <w:rsid w:val="00507148"/>
    <w:rsid w:val="0051020F"/>
    <w:rsid w:val="00513CAB"/>
    <w:rsid w:val="00516CF5"/>
    <w:rsid w:val="00523597"/>
    <w:rsid w:val="00523736"/>
    <w:rsid w:val="005317B4"/>
    <w:rsid w:val="00532530"/>
    <w:rsid w:val="00535CA4"/>
    <w:rsid w:val="005476F6"/>
    <w:rsid w:val="00551D72"/>
    <w:rsid w:val="005540B6"/>
    <w:rsid w:val="005552C3"/>
    <w:rsid w:val="00560934"/>
    <w:rsid w:val="005636AD"/>
    <w:rsid w:val="00563E58"/>
    <w:rsid w:val="00564960"/>
    <w:rsid w:val="00566502"/>
    <w:rsid w:val="00570654"/>
    <w:rsid w:val="00570F38"/>
    <w:rsid w:val="005720F2"/>
    <w:rsid w:val="005729C8"/>
    <w:rsid w:val="00572D2F"/>
    <w:rsid w:val="005734A4"/>
    <w:rsid w:val="00584D6A"/>
    <w:rsid w:val="00586536"/>
    <w:rsid w:val="00594EF5"/>
    <w:rsid w:val="00595189"/>
    <w:rsid w:val="005A0E53"/>
    <w:rsid w:val="005A1078"/>
    <w:rsid w:val="005A2937"/>
    <w:rsid w:val="005A4658"/>
    <w:rsid w:val="005A496B"/>
    <w:rsid w:val="005A5FB3"/>
    <w:rsid w:val="005B094C"/>
    <w:rsid w:val="005B28C1"/>
    <w:rsid w:val="005B4CAC"/>
    <w:rsid w:val="005B6344"/>
    <w:rsid w:val="005C1C74"/>
    <w:rsid w:val="005C2E48"/>
    <w:rsid w:val="005C3F23"/>
    <w:rsid w:val="005C7320"/>
    <w:rsid w:val="005D4DD7"/>
    <w:rsid w:val="005E12A9"/>
    <w:rsid w:val="005F139E"/>
    <w:rsid w:val="005F69D5"/>
    <w:rsid w:val="00602799"/>
    <w:rsid w:val="00602F18"/>
    <w:rsid w:val="00604E6D"/>
    <w:rsid w:val="00607C30"/>
    <w:rsid w:val="006110F3"/>
    <w:rsid w:val="00612041"/>
    <w:rsid w:val="00614AFF"/>
    <w:rsid w:val="00621ABA"/>
    <w:rsid w:val="0062322A"/>
    <w:rsid w:val="00631157"/>
    <w:rsid w:val="00634D01"/>
    <w:rsid w:val="006404E6"/>
    <w:rsid w:val="0064680F"/>
    <w:rsid w:val="0064729D"/>
    <w:rsid w:val="00647ABE"/>
    <w:rsid w:val="006516BA"/>
    <w:rsid w:val="00664B05"/>
    <w:rsid w:val="00664C37"/>
    <w:rsid w:val="00665C04"/>
    <w:rsid w:val="0066682D"/>
    <w:rsid w:val="00667C97"/>
    <w:rsid w:val="0067405C"/>
    <w:rsid w:val="006746FE"/>
    <w:rsid w:val="00676E9F"/>
    <w:rsid w:val="00680934"/>
    <w:rsid w:val="00685D5C"/>
    <w:rsid w:val="0069264D"/>
    <w:rsid w:val="0069578B"/>
    <w:rsid w:val="00695CE6"/>
    <w:rsid w:val="00697868"/>
    <w:rsid w:val="006A055F"/>
    <w:rsid w:val="006A126F"/>
    <w:rsid w:val="006A14E9"/>
    <w:rsid w:val="006A2A65"/>
    <w:rsid w:val="006A5293"/>
    <w:rsid w:val="006A67E4"/>
    <w:rsid w:val="006A6D15"/>
    <w:rsid w:val="006B0DF3"/>
    <w:rsid w:val="006B0F11"/>
    <w:rsid w:val="006B27FA"/>
    <w:rsid w:val="006B32D6"/>
    <w:rsid w:val="006B4A48"/>
    <w:rsid w:val="006B6480"/>
    <w:rsid w:val="006C2397"/>
    <w:rsid w:val="006C2C55"/>
    <w:rsid w:val="006C430A"/>
    <w:rsid w:val="006C7FD7"/>
    <w:rsid w:val="006D0A35"/>
    <w:rsid w:val="006D2809"/>
    <w:rsid w:val="006E18B4"/>
    <w:rsid w:val="006E27A3"/>
    <w:rsid w:val="006E3342"/>
    <w:rsid w:val="006E4B12"/>
    <w:rsid w:val="006E5FFE"/>
    <w:rsid w:val="006E65D0"/>
    <w:rsid w:val="006F1B21"/>
    <w:rsid w:val="006F21E8"/>
    <w:rsid w:val="006F78D5"/>
    <w:rsid w:val="0070091B"/>
    <w:rsid w:val="007048AC"/>
    <w:rsid w:val="00722EAA"/>
    <w:rsid w:val="00726338"/>
    <w:rsid w:val="00726AD5"/>
    <w:rsid w:val="00731672"/>
    <w:rsid w:val="00733C7D"/>
    <w:rsid w:val="00737188"/>
    <w:rsid w:val="00740761"/>
    <w:rsid w:val="00745F77"/>
    <w:rsid w:val="007464DE"/>
    <w:rsid w:val="007529EA"/>
    <w:rsid w:val="007550DF"/>
    <w:rsid w:val="00755A45"/>
    <w:rsid w:val="00760CDC"/>
    <w:rsid w:val="00764D0D"/>
    <w:rsid w:val="00777C53"/>
    <w:rsid w:val="007860A0"/>
    <w:rsid w:val="00786E92"/>
    <w:rsid w:val="0079154A"/>
    <w:rsid w:val="007933F1"/>
    <w:rsid w:val="007A30B8"/>
    <w:rsid w:val="007A49DF"/>
    <w:rsid w:val="007A5F52"/>
    <w:rsid w:val="007B090A"/>
    <w:rsid w:val="007B2A04"/>
    <w:rsid w:val="007C75C1"/>
    <w:rsid w:val="007D5ED6"/>
    <w:rsid w:val="007E1EE3"/>
    <w:rsid w:val="007E43F8"/>
    <w:rsid w:val="007E5076"/>
    <w:rsid w:val="007E656B"/>
    <w:rsid w:val="007E6880"/>
    <w:rsid w:val="007E702B"/>
    <w:rsid w:val="007F11A8"/>
    <w:rsid w:val="007F2997"/>
    <w:rsid w:val="007F50E8"/>
    <w:rsid w:val="007F54E2"/>
    <w:rsid w:val="007F7FBA"/>
    <w:rsid w:val="00800123"/>
    <w:rsid w:val="00800319"/>
    <w:rsid w:val="0080044E"/>
    <w:rsid w:val="00800706"/>
    <w:rsid w:val="0080189A"/>
    <w:rsid w:val="00801F7F"/>
    <w:rsid w:val="00803C2B"/>
    <w:rsid w:val="008059D0"/>
    <w:rsid w:val="00811945"/>
    <w:rsid w:val="00824F1C"/>
    <w:rsid w:val="00826688"/>
    <w:rsid w:val="0083369B"/>
    <w:rsid w:val="008350E7"/>
    <w:rsid w:val="00835D38"/>
    <w:rsid w:val="00836A35"/>
    <w:rsid w:val="00837869"/>
    <w:rsid w:val="00842AC8"/>
    <w:rsid w:val="00843763"/>
    <w:rsid w:val="00847A4E"/>
    <w:rsid w:val="00850D51"/>
    <w:rsid w:val="00855956"/>
    <w:rsid w:val="00864A0D"/>
    <w:rsid w:val="00867DBF"/>
    <w:rsid w:val="00871D79"/>
    <w:rsid w:val="0087393E"/>
    <w:rsid w:val="00880975"/>
    <w:rsid w:val="00880A9E"/>
    <w:rsid w:val="00881A42"/>
    <w:rsid w:val="00882386"/>
    <w:rsid w:val="008823EC"/>
    <w:rsid w:val="0088361D"/>
    <w:rsid w:val="00885E0A"/>
    <w:rsid w:val="0088603B"/>
    <w:rsid w:val="008877AF"/>
    <w:rsid w:val="00893FC3"/>
    <w:rsid w:val="0089577B"/>
    <w:rsid w:val="008A6E97"/>
    <w:rsid w:val="008B1024"/>
    <w:rsid w:val="008B1357"/>
    <w:rsid w:val="008B2DF3"/>
    <w:rsid w:val="008C2E0E"/>
    <w:rsid w:val="008C3D64"/>
    <w:rsid w:val="008C4DE0"/>
    <w:rsid w:val="008D3930"/>
    <w:rsid w:val="008D67F9"/>
    <w:rsid w:val="008E17CC"/>
    <w:rsid w:val="008E25B1"/>
    <w:rsid w:val="008E56FB"/>
    <w:rsid w:val="008F2167"/>
    <w:rsid w:val="008F33B4"/>
    <w:rsid w:val="008F6298"/>
    <w:rsid w:val="008F63DD"/>
    <w:rsid w:val="0090077A"/>
    <w:rsid w:val="00900F47"/>
    <w:rsid w:val="00904ADA"/>
    <w:rsid w:val="00907697"/>
    <w:rsid w:val="00910A69"/>
    <w:rsid w:val="009138A0"/>
    <w:rsid w:val="0091424C"/>
    <w:rsid w:val="00917DE4"/>
    <w:rsid w:val="00920905"/>
    <w:rsid w:val="00922097"/>
    <w:rsid w:val="00922B85"/>
    <w:rsid w:val="009274A0"/>
    <w:rsid w:val="00930CDC"/>
    <w:rsid w:val="00931E45"/>
    <w:rsid w:val="00933188"/>
    <w:rsid w:val="00935AF9"/>
    <w:rsid w:val="009403A5"/>
    <w:rsid w:val="009500DC"/>
    <w:rsid w:val="00951923"/>
    <w:rsid w:val="00963E24"/>
    <w:rsid w:val="00970E7C"/>
    <w:rsid w:val="00972C81"/>
    <w:rsid w:val="00976EBC"/>
    <w:rsid w:val="009824E9"/>
    <w:rsid w:val="009826E5"/>
    <w:rsid w:val="009844A1"/>
    <w:rsid w:val="00986E20"/>
    <w:rsid w:val="00995479"/>
    <w:rsid w:val="00995CB0"/>
    <w:rsid w:val="00997E77"/>
    <w:rsid w:val="009A2734"/>
    <w:rsid w:val="009B2A02"/>
    <w:rsid w:val="009B2B61"/>
    <w:rsid w:val="009B4809"/>
    <w:rsid w:val="009B5B7B"/>
    <w:rsid w:val="009C1777"/>
    <w:rsid w:val="009C193E"/>
    <w:rsid w:val="009C2C86"/>
    <w:rsid w:val="009C6FE0"/>
    <w:rsid w:val="009D0753"/>
    <w:rsid w:val="009D10A4"/>
    <w:rsid w:val="009D5131"/>
    <w:rsid w:val="009D6F71"/>
    <w:rsid w:val="009E1802"/>
    <w:rsid w:val="009E1CDE"/>
    <w:rsid w:val="009E2B06"/>
    <w:rsid w:val="009E3829"/>
    <w:rsid w:val="009E51E2"/>
    <w:rsid w:val="009E7A35"/>
    <w:rsid w:val="009F3E4A"/>
    <w:rsid w:val="009F7A61"/>
    <w:rsid w:val="00A1117D"/>
    <w:rsid w:val="00A11800"/>
    <w:rsid w:val="00A11C16"/>
    <w:rsid w:val="00A1423E"/>
    <w:rsid w:val="00A17664"/>
    <w:rsid w:val="00A20FAF"/>
    <w:rsid w:val="00A24520"/>
    <w:rsid w:val="00A3164A"/>
    <w:rsid w:val="00A32006"/>
    <w:rsid w:val="00A37F42"/>
    <w:rsid w:val="00A4411F"/>
    <w:rsid w:val="00A4565C"/>
    <w:rsid w:val="00A500D6"/>
    <w:rsid w:val="00A523FF"/>
    <w:rsid w:val="00A54756"/>
    <w:rsid w:val="00A54C66"/>
    <w:rsid w:val="00A54E1D"/>
    <w:rsid w:val="00A57D36"/>
    <w:rsid w:val="00A616AB"/>
    <w:rsid w:val="00A61BB6"/>
    <w:rsid w:val="00A65734"/>
    <w:rsid w:val="00A6687F"/>
    <w:rsid w:val="00A67907"/>
    <w:rsid w:val="00A73CC1"/>
    <w:rsid w:val="00A80270"/>
    <w:rsid w:val="00A82DB1"/>
    <w:rsid w:val="00A84127"/>
    <w:rsid w:val="00A84BF9"/>
    <w:rsid w:val="00A86DA2"/>
    <w:rsid w:val="00A90DFC"/>
    <w:rsid w:val="00A90F1A"/>
    <w:rsid w:val="00A91BF3"/>
    <w:rsid w:val="00A9562B"/>
    <w:rsid w:val="00AA0A9C"/>
    <w:rsid w:val="00AA134A"/>
    <w:rsid w:val="00AA16C0"/>
    <w:rsid w:val="00AA4CDC"/>
    <w:rsid w:val="00AA7F15"/>
    <w:rsid w:val="00AB21D4"/>
    <w:rsid w:val="00AB21F5"/>
    <w:rsid w:val="00AB3386"/>
    <w:rsid w:val="00AB36DB"/>
    <w:rsid w:val="00AC0B1D"/>
    <w:rsid w:val="00AC2F5B"/>
    <w:rsid w:val="00AC3DAD"/>
    <w:rsid w:val="00AC5309"/>
    <w:rsid w:val="00AC5B97"/>
    <w:rsid w:val="00AC6D67"/>
    <w:rsid w:val="00AD43E7"/>
    <w:rsid w:val="00AD4DD0"/>
    <w:rsid w:val="00AD5607"/>
    <w:rsid w:val="00AE0A8D"/>
    <w:rsid w:val="00AE24D7"/>
    <w:rsid w:val="00AE58C6"/>
    <w:rsid w:val="00AF18BA"/>
    <w:rsid w:val="00AF6342"/>
    <w:rsid w:val="00B02D4D"/>
    <w:rsid w:val="00B04C85"/>
    <w:rsid w:val="00B04EE2"/>
    <w:rsid w:val="00B053FB"/>
    <w:rsid w:val="00B05647"/>
    <w:rsid w:val="00B07EE5"/>
    <w:rsid w:val="00B21CC5"/>
    <w:rsid w:val="00B25D6E"/>
    <w:rsid w:val="00B26778"/>
    <w:rsid w:val="00B26B83"/>
    <w:rsid w:val="00B274B0"/>
    <w:rsid w:val="00B31630"/>
    <w:rsid w:val="00B32479"/>
    <w:rsid w:val="00B33FE2"/>
    <w:rsid w:val="00B35AAF"/>
    <w:rsid w:val="00B403ED"/>
    <w:rsid w:val="00B4065F"/>
    <w:rsid w:val="00B42A8C"/>
    <w:rsid w:val="00B45091"/>
    <w:rsid w:val="00B45447"/>
    <w:rsid w:val="00B614F1"/>
    <w:rsid w:val="00B66EE1"/>
    <w:rsid w:val="00B729BB"/>
    <w:rsid w:val="00B803E4"/>
    <w:rsid w:val="00B83577"/>
    <w:rsid w:val="00B866B4"/>
    <w:rsid w:val="00B94226"/>
    <w:rsid w:val="00B9697E"/>
    <w:rsid w:val="00BA0A8C"/>
    <w:rsid w:val="00BA0CEB"/>
    <w:rsid w:val="00BA2383"/>
    <w:rsid w:val="00BA2E7E"/>
    <w:rsid w:val="00BA3F00"/>
    <w:rsid w:val="00BA590A"/>
    <w:rsid w:val="00BA5FE4"/>
    <w:rsid w:val="00BA6281"/>
    <w:rsid w:val="00BA77B7"/>
    <w:rsid w:val="00BB0B39"/>
    <w:rsid w:val="00BB1AAD"/>
    <w:rsid w:val="00BB30D1"/>
    <w:rsid w:val="00BB39D8"/>
    <w:rsid w:val="00BB5F75"/>
    <w:rsid w:val="00BB637E"/>
    <w:rsid w:val="00BC5140"/>
    <w:rsid w:val="00BC6524"/>
    <w:rsid w:val="00BD3931"/>
    <w:rsid w:val="00BD5B88"/>
    <w:rsid w:val="00BD5F58"/>
    <w:rsid w:val="00BD6415"/>
    <w:rsid w:val="00BE0AEB"/>
    <w:rsid w:val="00C018E0"/>
    <w:rsid w:val="00C05AAF"/>
    <w:rsid w:val="00C118C7"/>
    <w:rsid w:val="00C20877"/>
    <w:rsid w:val="00C20E7B"/>
    <w:rsid w:val="00C21456"/>
    <w:rsid w:val="00C24D03"/>
    <w:rsid w:val="00C25E61"/>
    <w:rsid w:val="00C34C0D"/>
    <w:rsid w:val="00C35A1B"/>
    <w:rsid w:val="00C413F3"/>
    <w:rsid w:val="00C54EFF"/>
    <w:rsid w:val="00C55D03"/>
    <w:rsid w:val="00C63548"/>
    <w:rsid w:val="00C63F96"/>
    <w:rsid w:val="00C65450"/>
    <w:rsid w:val="00C677AF"/>
    <w:rsid w:val="00C67E59"/>
    <w:rsid w:val="00C72B8B"/>
    <w:rsid w:val="00C72CB5"/>
    <w:rsid w:val="00C76D4F"/>
    <w:rsid w:val="00C805BC"/>
    <w:rsid w:val="00C81E79"/>
    <w:rsid w:val="00C87BB6"/>
    <w:rsid w:val="00C905A6"/>
    <w:rsid w:val="00C959CA"/>
    <w:rsid w:val="00C95D16"/>
    <w:rsid w:val="00CA2AB4"/>
    <w:rsid w:val="00CA5536"/>
    <w:rsid w:val="00CA77F1"/>
    <w:rsid w:val="00CB0100"/>
    <w:rsid w:val="00CB04D2"/>
    <w:rsid w:val="00CB3219"/>
    <w:rsid w:val="00CB4618"/>
    <w:rsid w:val="00CB464C"/>
    <w:rsid w:val="00CC03BA"/>
    <w:rsid w:val="00CC06D7"/>
    <w:rsid w:val="00CD46B0"/>
    <w:rsid w:val="00CD6D5E"/>
    <w:rsid w:val="00CD7EFE"/>
    <w:rsid w:val="00CE0C66"/>
    <w:rsid w:val="00CE28CF"/>
    <w:rsid w:val="00CE4386"/>
    <w:rsid w:val="00CE4CDC"/>
    <w:rsid w:val="00CE5BEB"/>
    <w:rsid w:val="00CE5DEF"/>
    <w:rsid w:val="00CE69E9"/>
    <w:rsid w:val="00CE71F2"/>
    <w:rsid w:val="00CF3F65"/>
    <w:rsid w:val="00CF464D"/>
    <w:rsid w:val="00CF4684"/>
    <w:rsid w:val="00D101C7"/>
    <w:rsid w:val="00D17EF4"/>
    <w:rsid w:val="00D23770"/>
    <w:rsid w:val="00D24A19"/>
    <w:rsid w:val="00D25074"/>
    <w:rsid w:val="00D2588D"/>
    <w:rsid w:val="00D30073"/>
    <w:rsid w:val="00D34517"/>
    <w:rsid w:val="00D36798"/>
    <w:rsid w:val="00D45F38"/>
    <w:rsid w:val="00D47CF8"/>
    <w:rsid w:val="00D47E80"/>
    <w:rsid w:val="00D47FA5"/>
    <w:rsid w:val="00D50039"/>
    <w:rsid w:val="00D6272E"/>
    <w:rsid w:val="00D70563"/>
    <w:rsid w:val="00D70D89"/>
    <w:rsid w:val="00D72051"/>
    <w:rsid w:val="00D7380B"/>
    <w:rsid w:val="00D75D77"/>
    <w:rsid w:val="00D7639E"/>
    <w:rsid w:val="00D835EF"/>
    <w:rsid w:val="00D8419D"/>
    <w:rsid w:val="00D85A14"/>
    <w:rsid w:val="00D85F09"/>
    <w:rsid w:val="00D86A9D"/>
    <w:rsid w:val="00DA089A"/>
    <w:rsid w:val="00DA11A0"/>
    <w:rsid w:val="00DA2822"/>
    <w:rsid w:val="00DA690B"/>
    <w:rsid w:val="00DA7225"/>
    <w:rsid w:val="00DB44E9"/>
    <w:rsid w:val="00DC1966"/>
    <w:rsid w:val="00DC3259"/>
    <w:rsid w:val="00DC370E"/>
    <w:rsid w:val="00DD0523"/>
    <w:rsid w:val="00DE5758"/>
    <w:rsid w:val="00DE5FCF"/>
    <w:rsid w:val="00DE6483"/>
    <w:rsid w:val="00DF0D19"/>
    <w:rsid w:val="00DF2EE9"/>
    <w:rsid w:val="00DF694F"/>
    <w:rsid w:val="00DF6FD8"/>
    <w:rsid w:val="00E043FE"/>
    <w:rsid w:val="00E05A80"/>
    <w:rsid w:val="00E06A37"/>
    <w:rsid w:val="00E071A5"/>
    <w:rsid w:val="00E07752"/>
    <w:rsid w:val="00E112EE"/>
    <w:rsid w:val="00E16609"/>
    <w:rsid w:val="00E16F08"/>
    <w:rsid w:val="00E233F3"/>
    <w:rsid w:val="00E26B34"/>
    <w:rsid w:val="00E314BA"/>
    <w:rsid w:val="00E325BE"/>
    <w:rsid w:val="00E326BA"/>
    <w:rsid w:val="00E34202"/>
    <w:rsid w:val="00E37F72"/>
    <w:rsid w:val="00E40BE5"/>
    <w:rsid w:val="00E40CF9"/>
    <w:rsid w:val="00E42A30"/>
    <w:rsid w:val="00E5625D"/>
    <w:rsid w:val="00E56E39"/>
    <w:rsid w:val="00E57B54"/>
    <w:rsid w:val="00E638C3"/>
    <w:rsid w:val="00E648BB"/>
    <w:rsid w:val="00E65B15"/>
    <w:rsid w:val="00E67ACA"/>
    <w:rsid w:val="00E76B31"/>
    <w:rsid w:val="00E81F3E"/>
    <w:rsid w:val="00E844BB"/>
    <w:rsid w:val="00E84C48"/>
    <w:rsid w:val="00E859BD"/>
    <w:rsid w:val="00E86B70"/>
    <w:rsid w:val="00E87C8F"/>
    <w:rsid w:val="00E924C3"/>
    <w:rsid w:val="00E93DCB"/>
    <w:rsid w:val="00E954EE"/>
    <w:rsid w:val="00E96759"/>
    <w:rsid w:val="00EA4437"/>
    <w:rsid w:val="00EA4D87"/>
    <w:rsid w:val="00EB34FC"/>
    <w:rsid w:val="00EB76E1"/>
    <w:rsid w:val="00EC2499"/>
    <w:rsid w:val="00EC295B"/>
    <w:rsid w:val="00ED6CBE"/>
    <w:rsid w:val="00EE29DF"/>
    <w:rsid w:val="00EE4120"/>
    <w:rsid w:val="00EE53A6"/>
    <w:rsid w:val="00EE77D3"/>
    <w:rsid w:val="00EF2E8A"/>
    <w:rsid w:val="00EF4E6B"/>
    <w:rsid w:val="00EF5416"/>
    <w:rsid w:val="00F04F16"/>
    <w:rsid w:val="00F06CCF"/>
    <w:rsid w:val="00F1053D"/>
    <w:rsid w:val="00F110D5"/>
    <w:rsid w:val="00F11DC7"/>
    <w:rsid w:val="00F11E63"/>
    <w:rsid w:val="00F12733"/>
    <w:rsid w:val="00F171E1"/>
    <w:rsid w:val="00F17CAE"/>
    <w:rsid w:val="00F20DCF"/>
    <w:rsid w:val="00F2281C"/>
    <w:rsid w:val="00F25B36"/>
    <w:rsid w:val="00F25C55"/>
    <w:rsid w:val="00F3052A"/>
    <w:rsid w:val="00F341E3"/>
    <w:rsid w:val="00F35D09"/>
    <w:rsid w:val="00F363B3"/>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3398"/>
    <w:rsid w:val="00F95E2F"/>
    <w:rsid w:val="00F96DEB"/>
    <w:rsid w:val="00FA1872"/>
    <w:rsid w:val="00FA3792"/>
    <w:rsid w:val="00FA4F34"/>
    <w:rsid w:val="00FB2590"/>
    <w:rsid w:val="00FC0FA4"/>
    <w:rsid w:val="00FD5345"/>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Table Contemporary Black Header"/>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Table Contemporary Black Header"/>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793785990">
      <w:bodyDiv w:val="1"/>
      <w:marLeft w:val="0"/>
      <w:marRight w:val="0"/>
      <w:marTop w:val="0"/>
      <w:marBottom w:val="0"/>
      <w:divBdr>
        <w:top w:val="none" w:sz="0" w:space="0" w:color="auto"/>
        <w:left w:val="none" w:sz="0" w:space="0" w:color="auto"/>
        <w:bottom w:val="none" w:sz="0" w:space="0" w:color="auto"/>
        <w:right w:val="none" w:sz="0" w:space="0" w:color="auto"/>
      </w:divBdr>
    </w:div>
    <w:div w:id="1879200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42"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glossaryDocument" Target="glossary/document.xml"/><Relationship Id="rId10" Type="http://schemas.openxmlformats.org/officeDocument/2006/relationships/footer" Target="footer1.xml"/><Relationship Id="rId44" Type="http://schemas.microsoft.com/office/2016/09/relationships/commentsIds" Target="commentsIds.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21AA1"/>
    <w:rsid w:val="000D6966"/>
    <w:rsid w:val="00146151"/>
    <w:rsid w:val="00146BA6"/>
    <w:rsid w:val="001B58EE"/>
    <w:rsid w:val="00204A7F"/>
    <w:rsid w:val="002B46BB"/>
    <w:rsid w:val="002B514B"/>
    <w:rsid w:val="002C0C03"/>
    <w:rsid w:val="002E67EC"/>
    <w:rsid w:val="00311B0D"/>
    <w:rsid w:val="003212D2"/>
    <w:rsid w:val="003A131F"/>
    <w:rsid w:val="003B36F3"/>
    <w:rsid w:val="003B5238"/>
    <w:rsid w:val="004A09FE"/>
    <w:rsid w:val="00560392"/>
    <w:rsid w:val="006059E9"/>
    <w:rsid w:val="006A178B"/>
    <w:rsid w:val="006B7FA8"/>
    <w:rsid w:val="007628A2"/>
    <w:rsid w:val="007D46EA"/>
    <w:rsid w:val="007F70D9"/>
    <w:rsid w:val="008211B5"/>
    <w:rsid w:val="00874653"/>
    <w:rsid w:val="008805CC"/>
    <w:rsid w:val="0088091D"/>
    <w:rsid w:val="00A021EE"/>
    <w:rsid w:val="00A304AA"/>
    <w:rsid w:val="00A5022A"/>
    <w:rsid w:val="00AE4C28"/>
    <w:rsid w:val="00AF2C4B"/>
    <w:rsid w:val="00B73964"/>
    <w:rsid w:val="00B74704"/>
    <w:rsid w:val="00B802C6"/>
    <w:rsid w:val="00BF4DB3"/>
    <w:rsid w:val="00BF7FC3"/>
    <w:rsid w:val="00C947B8"/>
    <w:rsid w:val="00D0496D"/>
    <w:rsid w:val="00D051F5"/>
    <w:rsid w:val="00D42AAE"/>
    <w:rsid w:val="00E05927"/>
    <w:rsid w:val="00EA111F"/>
    <w:rsid w:val="00EC59D9"/>
    <w:rsid w:val="00F463CB"/>
    <w:rsid w:val="00F7350A"/>
    <w:rsid w:val="00FB6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94595D-157E-4D0A-936B-EEC95B520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18</Pages>
  <Words>4815</Words>
  <Characters>27451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SCE17CC008</vt:lpstr>
    </vt:vector>
  </TitlesOfParts>
  <Company>Southern California Edison</Company>
  <LinksUpToDate>false</LinksUpToDate>
  <CharactersWithSpaces>32202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SCE17CC008</dc:title>
  <dc:creator>Jim Wyatt (PG&amp;E);Jason Wang (SCE)</dc:creator>
  <cp:lastModifiedBy>Ajay Wadhera</cp:lastModifiedBy>
  <cp:revision>9</cp:revision>
  <dcterms:created xsi:type="dcterms:W3CDTF">2017-12-15T21:14:00Z</dcterms:created>
  <dcterms:modified xsi:type="dcterms:W3CDTF">2017-12-29T21:05:00Z</dcterms:modified>
  <cp:contentStatus>Revision 0</cp:contentStatus>
</cp:coreProperties>
</file>