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37EE0330"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9A2332">
            <w:t>17</w:t>
          </w:r>
          <w:r w:rsidR="0028592C">
            <w:t>CC007</w:t>
          </w:r>
        </w:sdtContent>
      </w:sdt>
    </w:p>
    <w:bookmarkEnd w:id="0"/>
    <w:p w14:paraId="7601CE2F" w14:textId="38125995" w:rsidR="00DA690B" w:rsidRPr="00500C4E" w:rsidRDefault="00045177"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28592C">
            <w:rPr>
              <w:rStyle w:val="CaptionChar"/>
              <w:rFonts w:asciiTheme="minorHAnsi" w:hAnsiTheme="minorHAnsi" w:cstheme="minorHAnsi"/>
              <w:b/>
              <w:bCs w:val="0"/>
              <w:sz w:val="48"/>
              <w:szCs w:val="48"/>
            </w:rPr>
            <w:t>0</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045177"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52CEB214" w:rsidR="00E76B31" w:rsidRPr="00500C4E" w:rsidRDefault="0028592C" w:rsidP="00E76B31">
      <w:pPr>
        <w:pStyle w:val="Reminders"/>
        <w:rPr>
          <w:rFonts w:asciiTheme="minorHAnsi" w:hAnsiTheme="minorHAnsi" w:cstheme="minorHAnsi"/>
          <w:i w:val="0"/>
          <w:szCs w:val="22"/>
        </w:rPr>
      </w:pPr>
      <w:r w:rsidRPr="0028592C">
        <w:rPr>
          <w:rFonts w:asciiTheme="minorHAnsi" w:hAnsiTheme="minorHAnsi" w:cstheme="minorHAnsi"/>
          <w:b/>
          <w:i w:val="0"/>
          <w:color w:val="auto"/>
          <w:sz w:val="72"/>
          <w:szCs w:val="72"/>
        </w:rPr>
        <w:t>Commercial Ice Machines</w:t>
      </w: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1EF24682" w:rsidR="00F30167" w:rsidRDefault="00F30167" w:rsidP="00F30167">
      <w:pPr>
        <w:pStyle w:val="Reminders"/>
        <w:rPr>
          <w:rFonts w:asciiTheme="minorHAnsi" w:hAnsiTheme="minorHAnsi" w:cstheme="minorHAnsi"/>
          <w:i w:val="0"/>
          <w:color w:val="auto"/>
          <w:sz w:val="24"/>
        </w:rPr>
      </w:pPr>
      <w:r w:rsidRPr="0028592C">
        <w:rPr>
          <w:rFonts w:asciiTheme="minorHAnsi" w:hAnsiTheme="minorHAnsi" w:cstheme="minorHAnsi"/>
          <w:i w:val="0"/>
          <w:color w:val="auto"/>
          <w:sz w:val="24"/>
        </w:rPr>
        <w:t xml:space="preserve">This short form </w:t>
      </w:r>
      <w:proofErr w:type="spellStart"/>
      <w:r w:rsidRPr="0028592C">
        <w:rPr>
          <w:rFonts w:asciiTheme="minorHAnsi" w:hAnsiTheme="minorHAnsi" w:cstheme="minorHAnsi"/>
          <w:i w:val="0"/>
          <w:color w:val="auto"/>
          <w:sz w:val="24"/>
        </w:rPr>
        <w:t>workpaper</w:t>
      </w:r>
      <w:proofErr w:type="spellEnd"/>
      <w:r w:rsidRPr="0028592C">
        <w:rPr>
          <w:rFonts w:asciiTheme="minorHAnsi" w:hAnsiTheme="minorHAnsi" w:cstheme="minorHAnsi"/>
          <w:i w:val="0"/>
          <w:color w:val="auto"/>
          <w:sz w:val="24"/>
        </w:rPr>
        <w:t xml:space="preserve"> documents (WP) the values adopted from PGE’s WP entitled “</w:t>
      </w:r>
      <w:r w:rsidR="0028592C" w:rsidRPr="0028592C">
        <w:rPr>
          <w:rFonts w:asciiTheme="minorHAnsi" w:hAnsiTheme="minorHAnsi" w:cstheme="minorHAnsi"/>
          <w:i w:val="0"/>
          <w:color w:val="auto"/>
          <w:sz w:val="24"/>
        </w:rPr>
        <w:t>Commercial Ice Machines</w:t>
      </w:r>
      <w:r w:rsidRPr="0028592C">
        <w:rPr>
          <w:rFonts w:asciiTheme="minorHAnsi" w:hAnsiTheme="minorHAnsi" w:cstheme="minorHAnsi"/>
          <w:i w:val="0"/>
          <w:color w:val="auto"/>
          <w:sz w:val="24"/>
        </w:rPr>
        <w:t>” (</w:t>
      </w:r>
      <w:r w:rsidR="0028592C" w:rsidRPr="0028592C">
        <w:rPr>
          <w:rFonts w:asciiTheme="minorHAnsi" w:hAnsiTheme="minorHAnsi" w:cstheme="minorHAnsi"/>
          <w:i w:val="0"/>
          <w:color w:val="auto"/>
          <w:sz w:val="24"/>
        </w:rPr>
        <w:t>PGECOFST108 Rev6</w:t>
      </w:r>
      <w:r w:rsidRPr="0028592C">
        <w:rPr>
          <w:rFonts w:asciiTheme="minorHAnsi" w:hAnsiTheme="minorHAnsi" w:cstheme="minorHAnsi"/>
          <w:i w:val="0"/>
          <w:color w:val="auto"/>
          <w:sz w:val="24"/>
        </w:rPr>
        <w:t xml:space="preserve">). SCE adopts all the values in </w:t>
      </w:r>
      <w:r w:rsidR="0028592C" w:rsidRPr="0028592C">
        <w:rPr>
          <w:rFonts w:asciiTheme="minorHAnsi" w:hAnsiTheme="minorHAnsi" w:cstheme="minorHAnsi"/>
          <w:i w:val="0"/>
          <w:color w:val="auto"/>
          <w:sz w:val="24"/>
        </w:rPr>
        <w:t>PGECOFST108 Rev6</w:t>
      </w:r>
      <w:r w:rsidRPr="0028592C">
        <w:rPr>
          <w:rFonts w:asciiTheme="minorHAnsi" w:hAnsiTheme="minorHAnsi" w:cstheme="minorHAnsi"/>
          <w:i w:val="0"/>
          <w:color w:val="auto"/>
          <w:sz w:val="24"/>
        </w:rPr>
        <w:t xml:space="preserve"> – “</w:t>
      </w:r>
      <w:r w:rsidR="0028592C" w:rsidRPr="0028592C">
        <w:rPr>
          <w:rFonts w:asciiTheme="minorHAnsi" w:hAnsiTheme="minorHAnsi" w:cstheme="minorHAnsi"/>
          <w:i w:val="0"/>
          <w:color w:val="auto"/>
          <w:sz w:val="24"/>
        </w:rPr>
        <w:t>Commercial Ice Machines</w:t>
      </w:r>
      <w:r w:rsidRPr="0028592C">
        <w:rPr>
          <w:rFonts w:asciiTheme="minorHAnsi" w:hAnsiTheme="minorHAnsi" w:cstheme="minorHAnsi"/>
          <w:i w:val="0"/>
          <w:color w:val="auto"/>
          <w:sz w:val="24"/>
        </w:rPr>
        <w:t xml:space="preserve">”, with </w:t>
      </w:r>
      <w:r w:rsidR="0005221C">
        <w:rPr>
          <w:rFonts w:asciiTheme="minorHAnsi" w:hAnsiTheme="minorHAnsi" w:cstheme="minorHAnsi"/>
          <w:i w:val="0"/>
          <w:color w:val="auto"/>
          <w:sz w:val="24"/>
        </w:rPr>
        <w:t>the following</w:t>
      </w:r>
      <w:r w:rsidR="0028592C" w:rsidRPr="0028592C">
        <w:rPr>
          <w:rFonts w:asciiTheme="minorHAnsi" w:hAnsiTheme="minorHAnsi" w:cstheme="minorHAnsi"/>
          <w:i w:val="0"/>
          <w:color w:val="auto"/>
          <w:sz w:val="24"/>
        </w:rPr>
        <w:t xml:space="preserve"> changes</w:t>
      </w:r>
      <w:r w:rsidR="0005221C">
        <w:rPr>
          <w:rFonts w:asciiTheme="minorHAnsi" w:hAnsiTheme="minorHAnsi" w:cstheme="minorHAnsi"/>
          <w:i w:val="0"/>
          <w:color w:val="auto"/>
          <w:sz w:val="24"/>
        </w:rPr>
        <w:t>:</w:t>
      </w:r>
      <w:r w:rsidR="0028592C" w:rsidRPr="0028592C">
        <w:rPr>
          <w:rFonts w:asciiTheme="minorHAnsi" w:hAnsiTheme="minorHAnsi" w:cstheme="minorHAnsi"/>
          <w:i w:val="0"/>
          <w:color w:val="auto"/>
          <w:sz w:val="24"/>
        </w:rPr>
        <w:t xml:space="preserve"> </w:t>
      </w:r>
    </w:p>
    <w:p w14:paraId="281052C4" w14:textId="51775CD0" w:rsidR="0005221C" w:rsidRPr="0005221C" w:rsidRDefault="0005221C" w:rsidP="0005221C">
      <w:pPr>
        <w:pStyle w:val="ListParagraph"/>
        <w:numPr>
          <w:ilvl w:val="0"/>
          <w:numId w:val="38"/>
        </w:numPr>
        <w:rPr>
          <w:rFonts w:cstheme="minorHAnsi"/>
          <w:sz w:val="24"/>
        </w:rPr>
      </w:pPr>
      <w:r w:rsidRPr="0005221C">
        <w:rPr>
          <w:rFonts w:cstheme="minorHAnsi"/>
          <w:sz w:val="24"/>
        </w:rPr>
        <w:t xml:space="preserve">Mid-stream incentive method was added in this revision of the </w:t>
      </w:r>
      <w:proofErr w:type="spellStart"/>
      <w:r w:rsidRPr="0005221C">
        <w:rPr>
          <w:rFonts w:cstheme="minorHAnsi"/>
          <w:sz w:val="24"/>
        </w:rPr>
        <w:t>workpaper</w:t>
      </w:r>
      <w:proofErr w:type="spellEnd"/>
      <w:r w:rsidRPr="0005221C">
        <w:rPr>
          <w:rFonts w:cstheme="minorHAnsi"/>
          <w:sz w:val="24"/>
        </w:rPr>
        <w:t>.</w:t>
      </w:r>
    </w:p>
    <w:p w14:paraId="1E815EA8" w14:textId="0AE2336F" w:rsidR="00546CC5" w:rsidRDefault="0005221C" w:rsidP="0005221C">
      <w:pPr>
        <w:pStyle w:val="Reminders"/>
        <w:numPr>
          <w:ilvl w:val="0"/>
          <w:numId w:val="38"/>
        </w:numPr>
        <w:rPr>
          <w:rFonts w:asciiTheme="minorHAnsi" w:hAnsiTheme="minorHAnsi" w:cstheme="minorHAnsi"/>
          <w:i w:val="0"/>
          <w:color w:val="auto"/>
          <w:sz w:val="24"/>
        </w:rPr>
      </w:pPr>
      <w:r>
        <w:rPr>
          <w:rFonts w:asciiTheme="minorHAnsi" w:hAnsiTheme="minorHAnsi" w:cstheme="minorHAnsi"/>
          <w:i w:val="0"/>
          <w:color w:val="auto"/>
          <w:sz w:val="24"/>
        </w:rPr>
        <w:t>SCE uses load</w:t>
      </w:r>
      <w:r w:rsidR="00AA599B">
        <w:rPr>
          <w:rFonts w:asciiTheme="minorHAnsi" w:hAnsiTheme="minorHAnsi" w:cstheme="minorHAnsi"/>
          <w:i w:val="0"/>
          <w:color w:val="auto"/>
          <w:sz w:val="24"/>
        </w:rPr>
        <w:t xml:space="preserve"> </w:t>
      </w:r>
      <w:r>
        <w:rPr>
          <w:rFonts w:asciiTheme="minorHAnsi" w:hAnsiTheme="minorHAnsi" w:cstheme="minorHAnsi"/>
          <w:i w:val="0"/>
          <w:color w:val="auto"/>
          <w:sz w:val="24"/>
        </w:rPr>
        <w:t xml:space="preserve">shape </w:t>
      </w:r>
      <w:proofErr w:type="spellStart"/>
      <w:r w:rsidRPr="0005221C">
        <w:rPr>
          <w:rFonts w:asciiTheme="minorHAnsi" w:hAnsiTheme="minorHAnsi" w:cstheme="minorHAnsi"/>
          <w:i w:val="0"/>
          <w:color w:val="auto"/>
          <w:sz w:val="24"/>
        </w:rPr>
        <w:t>DEER:Indoor_Non-CFL_Ltg</w:t>
      </w:r>
      <w:proofErr w:type="spellEnd"/>
    </w:p>
    <w:p w14:paraId="009DE328" w14:textId="37ADE2A7" w:rsidR="0005221C" w:rsidRPr="0028592C" w:rsidRDefault="00AA599B" w:rsidP="0005221C">
      <w:pPr>
        <w:pStyle w:val="Reminders"/>
        <w:numPr>
          <w:ilvl w:val="0"/>
          <w:numId w:val="38"/>
        </w:numPr>
        <w:rPr>
          <w:rFonts w:asciiTheme="minorHAnsi" w:hAnsiTheme="minorHAnsi" w:cstheme="minorHAnsi"/>
          <w:i w:val="0"/>
          <w:color w:val="auto"/>
          <w:sz w:val="24"/>
        </w:rPr>
      </w:pPr>
      <w:r>
        <w:rPr>
          <w:rFonts w:asciiTheme="minorHAnsi" w:hAnsiTheme="minorHAnsi" w:cstheme="minorHAnsi"/>
          <w:i w:val="0"/>
          <w:color w:val="auto"/>
          <w:sz w:val="24"/>
        </w:rPr>
        <w:t>PGE calculations are based on COM building type. SCE calculations were updated to r</w:t>
      </w:r>
      <w:r w:rsidR="0005221C">
        <w:rPr>
          <w:rFonts w:asciiTheme="minorHAnsi" w:hAnsiTheme="minorHAnsi" w:cstheme="minorHAnsi"/>
          <w:i w:val="0"/>
          <w:color w:val="auto"/>
          <w:sz w:val="24"/>
        </w:rPr>
        <w:t xml:space="preserve">eflect SCE Building types </w:t>
      </w:r>
    </w:p>
    <w:p w14:paraId="78940EFD" w14:textId="77777777" w:rsidR="00F30167" w:rsidRDefault="00F30167" w:rsidP="00F30167">
      <w:pPr>
        <w:pStyle w:val="Reminders"/>
        <w:rPr>
          <w:rFonts w:asciiTheme="minorHAnsi" w:hAnsiTheme="minorHAnsi" w:cstheme="minorHAnsi"/>
          <w:i w:val="0"/>
          <w:color w:val="auto"/>
          <w:sz w:val="28"/>
          <w:szCs w:val="22"/>
        </w:rPr>
      </w:pP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40"/>
        <w:gridCol w:w="979"/>
        <w:gridCol w:w="1425"/>
        <w:gridCol w:w="6632"/>
      </w:tblGrid>
      <w:tr w:rsidR="003845E5" w:rsidRPr="00500C4E" w14:paraId="5AFD7FBC" w14:textId="77777777" w:rsidTr="00045177">
        <w:trPr>
          <w:trHeight w:val="20"/>
        </w:trPr>
        <w:tc>
          <w:tcPr>
            <w:tcW w:w="282"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1"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045177">
        <w:trPr>
          <w:trHeight w:val="20"/>
        </w:trPr>
        <w:tc>
          <w:tcPr>
            <w:tcW w:w="282" w:type="pct"/>
          </w:tcPr>
          <w:p w14:paraId="4A1A2996" w14:textId="1F1315BE" w:rsidR="00933188" w:rsidRPr="0028592C" w:rsidRDefault="0028592C" w:rsidP="005729C8">
            <w:pPr>
              <w:rPr>
                <w:rFonts w:cstheme="minorHAnsi"/>
                <w:szCs w:val="20"/>
              </w:rPr>
            </w:pPr>
            <w:r w:rsidRPr="0028592C">
              <w:rPr>
                <w:rFonts w:cstheme="minorHAnsi"/>
                <w:szCs w:val="20"/>
              </w:rPr>
              <w:t>0</w:t>
            </w:r>
          </w:p>
        </w:tc>
        <w:tc>
          <w:tcPr>
            <w:tcW w:w="511" w:type="pct"/>
          </w:tcPr>
          <w:p w14:paraId="68BA349C" w14:textId="409243F4" w:rsidR="00933188" w:rsidRPr="0028592C" w:rsidRDefault="00776C5F" w:rsidP="005729C8">
            <w:pPr>
              <w:rPr>
                <w:rFonts w:cstheme="minorHAnsi"/>
                <w:szCs w:val="20"/>
              </w:rPr>
            </w:pPr>
            <w:r>
              <w:rPr>
                <w:rFonts w:cstheme="minorHAnsi"/>
                <w:szCs w:val="20"/>
              </w:rPr>
              <w:t>12/15/17</w:t>
            </w:r>
          </w:p>
        </w:tc>
        <w:tc>
          <w:tcPr>
            <w:tcW w:w="744" w:type="pct"/>
          </w:tcPr>
          <w:p w14:paraId="4A812BB3" w14:textId="3ED70520" w:rsidR="00933188" w:rsidRPr="0028592C" w:rsidRDefault="0028592C" w:rsidP="001B2301">
            <w:pPr>
              <w:rPr>
                <w:rFonts w:cstheme="minorHAnsi"/>
                <w:szCs w:val="20"/>
              </w:rPr>
            </w:pPr>
            <w:r w:rsidRPr="0028592C">
              <w:rPr>
                <w:rFonts w:cstheme="minorHAnsi"/>
                <w:szCs w:val="20"/>
              </w:rPr>
              <w:t>Kara Vega (TRC)</w:t>
            </w:r>
          </w:p>
        </w:tc>
        <w:tc>
          <w:tcPr>
            <w:tcW w:w="3463" w:type="pct"/>
          </w:tcPr>
          <w:p w14:paraId="7C81C233" w14:textId="77777777" w:rsidR="0028592C" w:rsidRPr="0028592C" w:rsidRDefault="0028592C" w:rsidP="0028592C">
            <w:pPr>
              <w:pStyle w:val="ListParagraph"/>
              <w:numPr>
                <w:ilvl w:val="0"/>
                <w:numId w:val="35"/>
              </w:numPr>
              <w:rPr>
                <w:rFonts w:cstheme="minorHAnsi"/>
                <w:bCs/>
                <w:szCs w:val="20"/>
              </w:rPr>
            </w:pPr>
            <w:r w:rsidRPr="0028592C">
              <w:rPr>
                <w:rFonts w:cstheme="minorHAnsi"/>
                <w:bCs/>
                <w:szCs w:val="20"/>
              </w:rPr>
              <w:t xml:space="preserve">Transferred savings values to SCE Calculation template for the 2017 program year. </w:t>
            </w:r>
          </w:p>
          <w:p w14:paraId="190407A8" w14:textId="77777777" w:rsidR="0028592C" w:rsidRPr="0028592C" w:rsidRDefault="0028592C" w:rsidP="0028592C">
            <w:pPr>
              <w:pStyle w:val="ListParagraph"/>
              <w:numPr>
                <w:ilvl w:val="0"/>
                <w:numId w:val="35"/>
              </w:numPr>
              <w:rPr>
                <w:rFonts w:cstheme="minorHAnsi"/>
                <w:bCs/>
                <w:szCs w:val="20"/>
              </w:rPr>
            </w:pPr>
            <w:r w:rsidRPr="0028592C">
              <w:rPr>
                <w:rFonts w:cstheme="minorHAnsi"/>
                <w:bCs/>
                <w:szCs w:val="20"/>
              </w:rPr>
              <w:t xml:space="preserve">Mid-stream incentive method was added in this revision of the </w:t>
            </w:r>
            <w:proofErr w:type="spellStart"/>
            <w:r w:rsidRPr="0028592C">
              <w:rPr>
                <w:rFonts w:cstheme="minorHAnsi"/>
                <w:bCs/>
                <w:szCs w:val="20"/>
              </w:rPr>
              <w:t>workpaper</w:t>
            </w:r>
            <w:proofErr w:type="spellEnd"/>
            <w:r w:rsidRPr="0028592C">
              <w:rPr>
                <w:rFonts w:cstheme="minorHAnsi"/>
                <w:bCs/>
                <w:szCs w:val="20"/>
              </w:rPr>
              <w:t>.</w:t>
            </w:r>
          </w:p>
          <w:p w14:paraId="1CC07D86" w14:textId="77777777" w:rsidR="0036726C" w:rsidRPr="00974052" w:rsidRDefault="0028592C" w:rsidP="0028592C">
            <w:pPr>
              <w:pStyle w:val="ListParagraph"/>
              <w:numPr>
                <w:ilvl w:val="0"/>
                <w:numId w:val="35"/>
              </w:numPr>
            </w:pPr>
            <w:r w:rsidRPr="0028592C">
              <w:rPr>
                <w:rFonts w:cstheme="minorHAnsi"/>
                <w:bCs/>
                <w:szCs w:val="20"/>
              </w:rPr>
              <w:t xml:space="preserve">All 16 climate zones were used in this version. </w:t>
            </w:r>
          </w:p>
          <w:p w14:paraId="34F0A8ED" w14:textId="0EDCE96A" w:rsidR="00974052" w:rsidRPr="0028592C" w:rsidRDefault="00974052" w:rsidP="00E1040A">
            <w:pPr>
              <w:pStyle w:val="ListParagraph"/>
              <w:numPr>
                <w:ilvl w:val="0"/>
                <w:numId w:val="35"/>
              </w:numPr>
            </w:pPr>
            <w:r>
              <w:t>The previously identified SCE solution codes were retired and new SCE solution codes were added to account for the new measure</w:t>
            </w:r>
            <w:r w:rsidR="00E1040A">
              <w:t xml:space="preserve"> definitions</w:t>
            </w:r>
            <w:r>
              <w:t xml:space="preserve"> identified in PGECOFST108 Rev6.  </w:t>
            </w: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bookmarkStart w:id="3" w:name="_GoBack"/>
      <w:bookmarkEnd w:id="3"/>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fldSimple w:instr=" SEQ Table \* ARABIC ">
        <w:r>
          <w:rPr>
            <w:noProof/>
          </w:rPr>
          <w:t>1</w:t>
        </w:r>
      </w:fldSimple>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4675"/>
        <w:gridCol w:w="4675"/>
      </w:tblGrid>
      <w:tr w:rsidR="009A2332" w14:paraId="3F9CA93E" w14:textId="77777777" w:rsidTr="009A2332">
        <w:trPr>
          <w:trHeight w:val="576"/>
          <w:tblHeader/>
        </w:trPr>
        <w:tc>
          <w:tcPr>
            <w:tcW w:w="467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467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9A2332">
        <w:trPr>
          <w:trHeight w:val="576"/>
        </w:trPr>
        <w:tc>
          <w:tcPr>
            <w:tcW w:w="4675" w:type="dxa"/>
          </w:tcPr>
          <w:p w14:paraId="7815901A" w14:textId="49098287" w:rsidR="009A2332" w:rsidRDefault="009A2332" w:rsidP="009A2332">
            <w:r>
              <w:rPr>
                <w:rStyle w:val="Strong"/>
                <w:rFonts w:asciiTheme="minorHAnsi" w:hAnsiTheme="minorHAnsi"/>
                <w:szCs w:val="22"/>
              </w:rPr>
              <w:t>Summary &amp; Purpose</w:t>
            </w:r>
          </w:p>
        </w:tc>
        <w:tc>
          <w:tcPr>
            <w:tcW w:w="4675" w:type="dxa"/>
          </w:tcPr>
          <w:p w14:paraId="6E463AD1" w14:textId="4BF34F97" w:rsidR="009A2332" w:rsidRDefault="0028592C" w:rsidP="000D3F09">
            <w:r w:rsidRPr="002C01E3">
              <w:rPr>
                <w:rFonts w:cstheme="minorHAnsi"/>
                <w:szCs w:val="22"/>
              </w:rPr>
              <w:t xml:space="preserve">This </w:t>
            </w:r>
            <w:r>
              <w:rPr>
                <w:rFonts w:cstheme="minorHAnsi"/>
                <w:szCs w:val="22"/>
              </w:rPr>
              <w:t xml:space="preserve">short form </w:t>
            </w:r>
            <w:r w:rsidRPr="002C01E3">
              <w:rPr>
                <w:rFonts w:cstheme="minorHAnsi"/>
                <w:szCs w:val="22"/>
              </w:rPr>
              <w:t xml:space="preserve">work paper documents the inputs for </w:t>
            </w:r>
            <w:r w:rsidR="00E1040A">
              <w:rPr>
                <w:rFonts w:cstheme="minorHAnsi"/>
                <w:szCs w:val="22"/>
              </w:rPr>
              <w:t xml:space="preserve">a </w:t>
            </w:r>
            <w:r w:rsidR="00042B8E">
              <w:rPr>
                <w:rFonts w:cstheme="minorHAnsi"/>
                <w:szCs w:val="22"/>
              </w:rPr>
              <w:t>Commercial Ice Machine</w:t>
            </w:r>
            <w:r w:rsidRPr="002C01E3">
              <w:rPr>
                <w:rFonts w:cstheme="minorHAnsi"/>
                <w:szCs w:val="22"/>
              </w:rPr>
              <w:t xml:space="preserve"> measure.  </w:t>
            </w:r>
            <w:r>
              <w:t xml:space="preserve">The savings values are from PG&amp;E’s </w:t>
            </w:r>
            <w:proofErr w:type="spellStart"/>
            <w:r>
              <w:t>workpaper</w:t>
            </w:r>
            <w:proofErr w:type="spellEnd"/>
            <w:r>
              <w:t xml:space="preserve"> </w:t>
            </w:r>
            <w:r w:rsidR="00042B8E">
              <w:rPr>
                <w:rFonts w:cstheme="minorHAnsi"/>
                <w:szCs w:val="22"/>
              </w:rPr>
              <w:t>PGECOFST108 R6</w:t>
            </w:r>
            <w:r>
              <w:rPr>
                <w:rFonts w:cstheme="minorHAnsi"/>
                <w:szCs w:val="22"/>
              </w:rPr>
              <w:t xml:space="preserve"> –</w:t>
            </w:r>
            <w:r w:rsidR="00042B8E">
              <w:t xml:space="preserve"> </w:t>
            </w:r>
            <w:r w:rsidR="00042B8E" w:rsidRPr="00042B8E">
              <w:rPr>
                <w:rFonts w:cstheme="minorHAnsi"/>
                <w:szCs w:val="22"/>
              </w:rPr>
              <w:t>Commercial Ice Machines</w:t>
            </w:r>
            <w:r w:rsidR="00042B8E">
              <w:rPr>
                <w:rFonts w:cstheme="minorHAnsi"/>
                <w:szCs w:val="22"/>
              </w:rPr>
              <w:t xml:space="preserve"> document</w:t>
            </w:r>
            <w:r>
              <w:t xml:space="preserve">. </w:t>
            </w:r>
            <w:r w:rsidR="000D3F09" w:rsidRPr="000D3F09">
              <w:t>Ice machines are installed and operated in a variety commercial building types, including office buildings, restaurants and bars, grocery and retail, laboratories and health care, lodging, schools, and amusement parks. Ranging from cube, to nugget and flake-type machines, together this installed base represents one of the largest classifications of commercial foodservice equipment.</w:t>
            </w:r>
            <w:r w:rsidR="000D3F09">
              <w:t xml:space="preserve"> </w:t>
            </w:r>
            <w:r w:rsidR="006A5EA0">
              <w:t xml:space="preserve">This </w:t>
            </w:r>
            <w:proofErr w:type="spellStart"/>
            <w:r w:rsidR="006A5EA0">
              <w:t>workpaper</w:t>
            </w:r>
            <w:proofErr w:type="spellEnd"/>
            <w:r w:rsidR="006A5EA0">
              <w:t xml:space="preserve"> addresses </w:t>
            </w:r>
            <w:r w:rsidR="000D3F09" w:rsidRPr="000D3F09">
              <w:t>both cube type ice machines generating ice that weighs less than 60 grams (2 oz.) per piece, as well as flaked, crushed, or fragmented air-cooled ice machines.</w:t>
            </w:r>
          </w:p>
        </w:tc>
      </w:tr>
      <w:tr w:rsidR="009A2332" w14:paraId="369C5B93" w14:textId="77777777" w:rsidTr="009A2332">
        <w:trPr>
          <w:trHeight w:val="576"/>
        </w:trPr>
        <w:tc>
          <w:tcPr>
            <w:tcW w:w="4675" w:type="dxa"/>
          </w:tcPr>
          <w:p w14:paraId="3E64C4BE" w14:textId="0CE1557B" w:rsidR="009A2332" w:rsidRDefault="009A2332" w:rsidP="009A2332">
            <w:r>
              <w:rPr>
                <w:rStyle w:val="Strong"/>
                <w:rFonts w:asciiTheme="minorHAnsi" w:hAnsiTheme="minorHAnsi"/>
                <w:szCs w:val="22"/>
              </w:rPr>
              <w:t>1.1 Measure &amp; Baseline</w:t>
            </w:r>
          </w:p>
        </w:tc>
        <w:tc>
          <w:tcPr>
            <w:tcW w:w="4675" w:type="dxa"/>
          </w:tcPr>
          <w:p w14:paraId="3ADC75B4" w14:textId="5C6092E0" w:rsidR="009A2332" w:rsidRDefault="0028592C" w:rsidP="009A2332">
            <w:r>
              <w:t>Please refer to Attachment #1 Calculation Templates for the list of measure solution codes and baseline condition.</w:t>
            </w:r>
          </w:p>
        </w:tc>
      </w:tr>
      <w:tr w:rsidR="009A2332" w14:paraId="7CE0AC9F" w14:textId="77777777" w:rsidTr="009A2332">
        <w:trPr>
          <w:trHeight w:val="576"/>
        </w:trPr>
        <w:tc>
          <w:tcPr>
            <w:tcW w:w="4675" w:type="dxa"/>
          </w:tcPr>
          <w:p w14:paraId="2771E06F" w14:textId="3B991165" w:rsidR="009A2332" w:rsidRDefault="009A2332" w:rsidP="009A2332">
            <w:r>
              <w:rPr>
                <w:rStyle w:val="Strong"/>
                <w:rFonts w:asciiTheme="minorHAnsi" w:hAnsiTheme="minorHAnsi"/>
                <w:szCs w:val="22"/>
              </w:rPr>
              <w:t>1.2 Technical Description</w:t>
            </w:r>
          </w:p>
        </w:tc>
        <w:tc>
          <w:tcPr>
            <w:tcW w:w="4675" w:type="dxa"/>
          </w:tcPr>
          <w:p w14:paraId="56BBC77B" w14:textId="77777777" w:rsidR="009A2332" w:rsidRDefault="009A2332" w:rsidP="009A2332"/>
        </w:tc>
      </w:tr>
      <w:tr w:rsidR="009A2332" w14:paraId="6A22A103" w14:textId="77777777" w:rsidTr="009A2332">
        <w:trPr>
          <w:trHeight w:val="576"/>
        </w:trPr>
        <w:tc>
          <w:tcPr>
            <w:tcW w:w="4675" w:type="dxa"/>
          </w:tcPr>
          <w:p w14:paraId="524B4207" w14:textId="7A3D34FE" w:rsidR="009A2332" w:rsidRDefault="009A2332" w:rsidP="009A2332">
            <w:r w:rsidRPr="009A2332">
              <w:rPr>
                <w:rStyle w:val="Strong"/>
                <w:rFonts w:asciiTheme="minorHAnsi" w:hAnsiTheme="minorHAnsi"/>
                <w:b w:val="0"/>
                <w:szCs w:val="22"/>
              </w:rPr>
              <w:t>Measures</w:t>
            </w:r>
          </w:p>
        </w:tc>
        <w:tc>
          <w:tcPr>
            <w:tcW w:w="4675" w:type="dxa"/>
          </w:tcPr>
          <w:p w14:paraId="623B418A" w14:textId="12F5625B" w:rsidR="005050FB" w:rsidRDefault="00776C5F" w:rsidP="0028592C">
            <w:r w:rsidRPr="005C3B0C">
              <w:t xml:space="preserve">FS-20160: Commercial Ice Machines SCU &lt;110 </w:t>
            </w:r>
            <w:proofErr w:type="spellStart"/>
            <w:r w:rsidRPr="005C3B0C">
              <w:t>lbs</w:t>
            </w:r>
            <w:proofErr w:type="spellEnd"/>
            <w:r w:rsidRPr="005C3B0C">
              <w:t xml:space="preserve">/day     </w:t>
            </w:r>
            <w:r w:rsidR="005C3B0C">
              <w:t>(PGE ID – FS014)</w:t>
            </w:r>
          </w:p>
          <w:p w14:paraId="0F9E2D17" w14:textId="77777777" w:rsidR="005C3B0C" w:rsidRDefault="005C3B0C" w:rsidP="0028592C"/>
          <w:p w14:paraId="5A798075" w14:textId="4B8F9784" w:rsidR="00776C5F" w:rsidRDefault="00776C5F" w:rsidP="0028592C">
            <w:r w:rsidRPr="00776C5F">
              <w:t>FS-20161</w:t>
            </w:r>
            <w:r>
              <w:t xml:space="preserve">: </w:t>
            </w:r>
            <w:r w:rsidRPr="00776C5F">
              <w:t xml:space="preserve">Commercial Ice Machines SCU 110-200 </w:t>
            </w:r>
            <w:proofErr w:type="spellStart"/>
            <w:r w:rsidRPr="00776C5F">
              <w:t>lbs</w:t>
            </w:r>
            <w:proofErr w:type="spellEnd"/>
            <w:r w:rsidRPr="00776C5F">
              <w:t>/day</w:t>
            </w:r>
            <w:r w:rsidR="005C3B0C">
              <w:t xml:space="preserve">     (PGE ID – FS015)</w:t>
            </w:r>
          </w:p>
          <w:p w14:paraId="04E3860A" w14:textId="0241E199" w:rsidR="00776C5F" w:rsidRDefault="00776C5F" w:rsidP="0028592C">
            <w:r w:rsidRPr="00776C5F">
              <w:t xml:space="preserve">                   </w:t>
            </w:r>
          </w:p>
          <w:p w14:paraId="34785CEF" w14:textId="3A22E663" w:rsidR="00776C5F" w:rsidRDefault="00776C5F" w:rsidP="0028592C">
            <w:r>
              <w:t xml:space="preserve">FS-20162: </w:t>
            </w:r>
            <w:r w:rsidRPr="00776C5F">
              <w:t xml:space="preserve">Commercial Ice Machines SCU &gt;200 </w:t>
            </w:r>
            <w:proofErr w:type="spellStart"/>
            <w:r w:rsidRPr="00776C5F">
              <w:t>lbs</w:t>
            </w:r>
            <w:proofErr w:type="spellEnd"/>
            <w:r w:rsidRPr="00776C5F">
              <w:t xml:space="preserve">/day   </w:t>
            </w:r>
            <w:r w:rsidR="005C3B0C">
              <w:t xml:space="preserve">  (PGE ID – FS016)</w:t>
            </w:r>
          </w:p>
          <w:p w14:paraId="584B53CC" w14:textId="08921911" w:rsidR="00776C5F" w:rsidRDefault="00776C5F" w:rsidP="0028592C">
            <w:r w:rsidRPr="00776C5F">
              <w:t xml:space="preserve">                      </w:t>
            </w:r>
          </w:p>
          <w:p w14:paraId="67D85C4B" w14:textId="489D91B3" w:rsidR="00776C5F" w:rsidRDefault="00776C5F" w:rsidP="0028592C">
            <w:r>
              <w:t xml:space="preserve">FS-20163: </w:t>
            </w:r>
            <w:r w:rsidRPr="00776C5F">
              <w:t xml:space="preserve">Commercial Ice </w:t>
            </w:r>
            <w:r w:rsidR="005C3B0C">
              <w:t xml:space="preserve">Machines IMH &lt;300 </w:t>
            </w:r>
            <w:proofErr w:type="spellStart"/>
            <w:r w:rsidR="005C3B0C">
              <w:t>lbs</w:t>
            </w:r>
            <w:proofErr w:type="spellEnd"/>
            <w:r w:rsidR="005C3B0C">
              <w:t>/day     (PGE ID – FS017)</w:t>
            </w:r>
          </w:p>
          <w:p w14:paraId="35305070" w14:textId="72598F25" w:rsidR="00776C5F" w:rsidRDefault="00776C5F" w:rsidP="0028592C">
            <w:r w:rsidRPr="00776C5F">
              <w:t xml:space="preserve">                  </w:t>
            </w:r>
          </w:p>
          <w:p w14:paraId="70D57FD7" w14:textId="7544863E" w:rsidR="00776C5F" w:rsidRDefault="00776C5F" w:rsidP="0028592C">
            <w:r>
              <w:t xml:space="preserve">FS-20164: </w:t>
            </w:r>
            <w:r w:rsidRPr="00776C5F">
              <w:t>Commercial Ice Mach</w:t>
            </w:r>
            <w:r w:rsidR="005C3B0C">
              <w:t>ines IMH 300-</w:t>
            </w:r>
            <w:r w:rsidR="002110F9">
              <w:t>800</w:t>
            </w:r>
            <w:r w:rsidR="005C3B0C">
              <w:t xml:space="preserve"> </w:t>
            </w:r>
            <w:proofErr w:type="spellStart"/>
            <w:r w:rsidR="005C3B0C">
              <w:t>lbs</w:t>
            </w:r>
            <w:proofErr w:type="spellEnd"/>
            <w:r w:rsidR="005C3B0C">
              <w:t>/day     (PGE ID – FS018)</w:t>
            </w:r>
          </w:p>
          <w:p w14:paraId="682A5D3F" w14:textId="49964F9E" w:rsidR="00776C5F" w:rsidRDefault="00776C5F" w:rsidP="0028592C">
            <w:r w:rsidRPr="00776C5F">
              <w:t xml:space="preserve">           </w:t>
            </w:r>
          </w:p>
          <w:p w14:paraId="26794B9F" w14:textId="5868055C" w:rsidR="00776C5F" w:rsidRDefault="00776C5F" w:rsidP="0028592C">
            <w:r>
              <w:t xml:space="preserve">FS-20165: </w:t>
            </w:r>
            <w:r w:rsidR="002110F9">
              <w:t>Commercial Ice Machines IMH 801-1500</w:t>
            </w:r>
            <w:r w:rsidRPr="00776C5F">
              <w:t xml:space="preserve"> </w:t>
            </w:r>
            <w:proofErr w:type="spellStart"/>
            <w:r w:rsidRPr="00776C5F">
              <w:t>lbs</w:t>
            </w:r>
            <w:proofErr w:type="spellEnd"/>
            <w:r w:rsidRPr="00776C5F">
              <w:t xml:space="preserve">/day </w:t>
            </w:r>
            <w:r w:rsidR="005C3B0C">
              <w:t xml:space="preserve">  (PGE ID – FS019)</w:t>
            </w:r>
          </w:p>
          <w:p w14:paraId="5F822AC6" w14:textId="1656E9D5" w:rsidR="00776C5F" w:rsidRDefault="00776C5F" w:rsidP="0028592C">
            <w:r w:rsidRPr="00776C5F">
              <w:t xml:space="preserve">              </w:t>
            </w:r>
          </w:p>
          <w:p w14:paraId="31DCA9FB" w14:textId="2CAE4B24" w:rsidR="00776C5F" w:rsidRDefault="00776C5F" w:rsidP="0028592C">
            <w:r>
              <w:t xml:space="preserve">FS-20166: </w:t>
            </w:r>
            <w:r w:rsidRPr="00776C5F">
              <w:t xml:space="preserve">Commercial Ice Machines IMH </w:t>
            </w:r>
            <w:r w:rsidR="002110F9">
              <w:t>&gt;</w:t>
            </w:r>
            <w:r w:rsidR="005C3B0C">
              <w:t xml:space="preserve"> </w:t>
            </w:r>
            <w:r w:rsidRPr="00776C5F">
              <w:t xml:space="preserve">1500 </w:t>
            </w:r>
            <w:proofErr w:type="spellStart"/>
            <w:r w:rsidRPr="00776C5F">
              <w:t>lbs</w:t>
            </w:r>
            <w:proofErr w:type="spellEnd"/>
            <w:r w:rsidRPr="00776C5F">
              <w:t xml:space="preserve">/day      </w:t>
            </w:r>
            <w:r w:rsidR="005C3B0C">
              <w:t>(PGE ID – FS020)</w:t>
            </w:r>
            <w:r w:rsidRPr="00776C5F">
              <w:t xml:space="preserve">               </w:t>
            </w:r>
          </w:p>
          <w:p w14:paraId="1F554668" w14:textId="754600D4" w:rsidR="00776C5F" w:rsidRDefault="00776C5F" w:rsidP="0028592C">
            <w:r>
              <w:lastRenderedPageBreak/>
              <w:t xml:space="preserve">FS-20167: </w:t>
            </w:r>
            <w:r w:rsidRPr="00776C5F">
              <w:t xml:space="preserve">Commercial Ice Machines RCU &lt;988 </w:t>
            </w:r>
            <w:proofErr w:type="spellStart"/>
            <w:r w:rsidRPr="00776C5F">
              <w:t>lbs</w:t>
            </w:r>
            <w:proofErr w:type="spellEnd"/>
            <w:r w:rsidRPr="00776C5F">
              <w:t xml:space="preserve">/day   </w:t>
            </w:r>
            <w:r w:rsidR="005C3B0C">
              <w:t>(PGE ID – FS021)</w:t>
            </w:r>
            <w:r w:rsidRPr="00776C5F">
              <w:t xml:space="preserve">   </w:t>
            </w:r>
          </w:p>
          <w:p w14:paraId="21027838" w14:textId="257AB5D6" w:rsidR="00776C5F" w:rsidRDefault="00776C5F" w:rsidP="0028592C">
            <w:r w:rsidRPr="00776C5F">
              <w:t xml:space="preserve">                   </w:t>
            </w:r>
          </w:p>
          <w:p w14:paraId="0387DD2E" w14:textId="68635B4B" w:rsidR="00776C5F" w:rsidRDefault="00776C5F" w:rsidP="0028592C">
            <w:r>
              <w:t xml:space="preserve">FS-20168: </w:t>
            </w:r>
            <w:r w:rsidRPr="00776C5F">
              <w:t xml:space="preserve">Commercial Ice Machines RCU </w:t>
            </w:r>
            <w:r w:rsidR="005C3B0C">
              <w:t xml:space="preserve">≥ </w:t>
            </w:r>
            <w:r w:rsidRPr="00776C5F">
              <w:t xml:space="preserve">988 </w:t>
            </w:r>
            <w:proofErr w:type="spellStart"/>
            <w:r w:rsidRPr="00776C5F">
              <w:t>lbs</w:t>
            </w:r>
            <w:proofErr w:type="spellEnd"/>
            <w:r w:rsidRPr="00776C5F">
              <w:t xml:space="preserve">/day    </w:t>
            </w:r>
            <w:r w:rsidR="005C3B0C">
              <w:t>(PGE ID – FS022)</w:t>
            </w:r>
            <w:r w:rsidRPr="00776C5F">
              <w:t xml:space="preserve">                  </w:t>
            </w:r>
          </w:p>
          <w:p w14:paraId="2C30E089" w14:textId="77777777" w:rsidR="00776C5F" w:rsidRDefault="00776C5F" w:rsidP="009A2332"/>
        </w:tc>
      </w:tr>
      <w:tr w:rsidR="009A2332" w14:paraId="59049B71" w14:textId="77777777" w:rsidTr="009A2332">
        <w:trPr>
          <w:trHeight w:val="576"/>
        </w:trPr>
        <w:tc>
          <w:tcPr>
            <w:tcW w:w="4675" w:type="dxa"/>
          </w:tcPr>
          <w:p w14:paraId="4D87E79A" w14:textId="0E3CE34A" w:rsidR="009A2332" w:rsidRDefault="009A2332" w:rsidP="009A2332">
            <w:r w:rsidRPr="009A2332">
              <w:rPr>
                <w:rStyle w:val="Strong"/>
                <w:rFonts w:asciiTheme="minorHAnsi" w:hAnsiTheme="minorHAnsi"/>
                <w:b w:val="0"/>
                <w:szCs w:val="22"/>
              </w:rPr>
              <w:lastRenderedPageBreak/>
              <w:t>Code for All Measures</w:t>
            </w:r>
          </w:p>
        </w:tc>
        <w:tc>
          <w:tcPr>
            <w:tcW w:w="4675" w:type="dxa"/>
          </w:tcPr>
          <w:p w14:paraId="799FF00B" w14:textId="0CB4F6E7" w:rsidR="000D3D94" w:rsidRDefault="000D3D94" w:rsidP="001B372B">
            <w:r>
              <w:t xml:space="preserve">No changes from PG&amp;E </w:t>
            </w:r>
            <w:proofErr w:type="spellStart"/>
            <w:r>
              <w:t>workpaper</w:t>
            </w:r>
            <w:proofErr w:type="spellEnd"/>
            <w:r>
              <w:t xml:space="preserve">. </w:t>
            </w:r>
          </w:p>
          <w:p w14:paraId="1570B697" w14:textId="77777777" w:rsidR="000D3D94" w:rsidRDefault="000D3D94" w:rsidP="001B372B"/>
          <w:p w14:paraId="75F0301B" w14:textId="51572BB8" w:rsidR="001B372B" w:rsidRDefault="001B372B" w:rsidP="001B372B">
            <w:pPr>
              <w:rPr>
                <w:rFonts w:cstheme="minorHAnsi"/>
                <w:szCs w:val="22"/>
              </w:rPr>
            </w:pPr>
            <w:r w:rsidRPr="001B372B">
              <w:t xml:space="preserve">This measure falls under Title 20 of the California Energy Regulations. Under this regulation, the following is required: all commercial ice machines manufactured on or after January 28, 2018 are required to meet the specifications outlined in the Tables 6 and 7 </w:t>
            </w:r>
            <w:r>
              <w:t xml:space="preserve">of </w:t>
            </w:r>
            <w:r>
              <w:rPr>
                <w:rFonts w:cstheme="minorHAnsi"/>
                <w:szCs w:val="22"/>
              </w:rPr>
              <w:t xml:space="preserve">PGECOFST108 R6. </w:t>
            </w:r>
          </w:p>
          <w:p w14:paraId="183520BE" w14:textId="77777777" w:rsidR="001B372B" w:rsidRDefault="001B372B" w:rsidP="001B372B">
            <w:pPr>
              <w:rPr>
                <w:rFonts w:cstheme="minorHAnsi"/>
                <w:szCs w:val="22"/>
              </w:rPr>
            </w:pPr>
          </w:p>
          <w:p w14:paraId="4935C5E8" w14:textId="77777777" w:rsidR="001B372B" w:rsidRDefault="001B372B" w:rsidP="001B372B">
            <w:pPr>
              <w:rPr>
                <w:rFonts w:cstheme="minorHAnsi"/>
                <w:szCs w:val="22"/>
              </w:rPr>
            </w:pPr>
            <w:r>
              <w:rPr>
                <w:rFonts w:cstheme="minorHAnsi"/>
                <w:szCs w:val="22"/>
              </w:rPr>
              <w:t xml:space="preserve">This measure does not fall under Title 24 of the California Energy Regulations. </w:t>
            </w:r>
          </w:p>
          <w:p w14:paraId="7799F326" w14:textId="77777777" w:rsidR="001B372B" w:rsidRDefault="001B372B" w:rsidP="001B372B">
            <w:pPr>
              <w:rPr>
                <w:rFonts w:cstheme="minorHAnsi"/>
                <w:szCs w:val="22"/>
              </w:rPr>
            </w:pPr>
          </w:p>
          <w:p w14:paraId="681202AC" w14:textId="103A44A5" w:rsidR="001B372B" w:rsidRDefault="001B372B" w:rsidP="001B372B">
            <w:pPr>
              <w:rPr>
                <w:rFonts w:cstheme="minorHAnsi"/>
                <w:szCs w:val="22"/>
              </w:rPr>
            </w:pPr>
            <w:r w:rsidRPr="001B372B">
              <w:rPr>
                <w:rFonts w:cstheme="minorHAnsi"/>
                <w:szCs w:val="22"/>
              </w:rPr>
              <w:t>DOE has updated federal commercial ice machine regulations in January 2018 which align with California Title 20.</w:t>
            </w:r>
          </w:p>
          <w:p w14:paraId="4DDF3BB9" w14:textId="77777777" w:rsidR="000D3F09" w:rsidRDefault="000D3F09" w:rsidP="0028592C"/>
          <w:p w14:paraId="71CCCDEB" w14:textId="2E23DCC6" w:rsidR="009A2332" w:rsidRDefault="001B372B" w:rsidP="0028592C">
            <w:r w:rsidRPr="001B372B">
              <w:rPr>
                <w:rFonts w:cstheme="minorHAnsi"/>
                <w:szCs w:val="22"/>
              </w:rPr>
              <w:t>AHRI Standard 810, Performance Rating of Automatic Commercial Ice-Makers, is considered the industry standard for estimating commercial ice machine energy use.  The AHRI test data was used to estimate the energy consumption of the base case and measure equipment. AHRI 810 references ASHRAE 29 Standard for test condition details.</w:t>
            </w:r>
          </w:p>
        </w:tc>
      </w:tr>
      <w:tr w:rsidR="009A2332" w14:paraId="7696972E" w14:textId="77777777" w:rsidTr="009A2332">
        <w:trPr>
          <w:trHeight w:val="576"/>
        </w:trPr>
        <w:tc>
          <w:tcPr>
            <w:tcW w:w="4675" w:type="dxa"/>
          </w:tcPr>
          <w:p w14:paraId="20CC2D9F" w14:textId="20197AF3" w:rsidR="009A2332" w:rsidRDefault="009A2332" w:rsidP="009A2332">
            <w:r w:rsidRPr="009A2332">
              <w:rPr>
                <w:rStyle w:val="Strong"/>
                <w:rFonts w:asciiTheme="minorHAnsi" w:hAnsiTheme="minorHAnsi"/>
                <w:b w:val="0"/>
                <w:szCs w:val="22"/>
              </w:rPr>
              <w:t>Requirements</w:t>
            </w:r>
          </w:p>
        </w:tc>
        <w:tc>
          <w:tcPr>
            <w:tcW w:w="4675" w:type="dxa"/>
          </w:tcPr>
          <w:p w14:paraId="76C3B1C6" w14:textId="77777777" w:rsidR="000D3D94" w:rsidRDefault="000D3D94" w:rsidP="000D3D94">
            <w:r>
              <w:t xml:space="preserve">No changes from PG&amp;E </w:t>
            </w:r>
            <w:proofErr w:type="spellStart"/>
            <w:r>
              <w:t>workpaper</w:t>
            </w:r>
            <w:proofErr w:type="spellEnd"/>
            <w:r>
              <w:t xml:space="preserve">. </w:t>
            </w:r>
          </w:p>
          <w:p w14:paraId="797B9886" w14:textId="77777777" w:rsidR="000D3D94" w:rsidRDefault="000D3D94" w:rsidP="000D3D94"/>
          <w:p w14:paraId="2DDF9103" w14:textId="47F294F7" w:rsidR="006A5EA0" w:rsidRDefault="006A5EA0" w:rsidP="001B372B">
            <w:pPr>
              <w:pStyle w:val="ListParagraph"/>
              <w:numPr>
                <w:ilvl w:val="0"/>
                <w:numId w:val="37"/>
              </w:numPr>
              <w:ind w:left="342"/>
            </w:pPr>
            <w:r w:rsidRPr="006A5EA0">
              <w:t>Only air-cooled machines (self-contained, icemaker heads, or remote condensing) are eligible; water-cooled ice machines are excluded.</w:t>
            </w:r>
            <w:r w:rsidR="001B372B">
              <w:t xml:space="preserve"> </w:t>
            </w:r>
            <w:r w:rsidR="001B372B" w:rsidRPr="001B372B">
              <w:t>To qualify, the entire AHRI tested Ice Making system must be purchased. Remote machines must be purchased with qualifying remote condenser or remote condenser/compressor unit.</w:t>
            </w:r>
          </w:p>
          <w:p w14:paraId="17F986C6" w14:textId="3C324172" w:rsidR="0028592C" w:rsidRDefault="0028592C" w:rsidP="0028592C">
            <w:pPr>
              <w:pStyle w:val="ListParagraph"/>
              <w:numPr>
                <w:ilvl w:val="0"/>
                <w:numId w:val="37"/>
              </w:numPr>
              <w:ind w:left="342"/>
            </w:pPr>
            <w:r w:rsidRPr="002C01E3">
              <w:t xml:space="preserve">This measure includes new commercial </w:t>
            </w:r>
            <w:r w:rsidR="006A5EA0">
              <w:t>ice machines</w:t>
            </w:r>
            <w:r w:rsidRPr="002C01E3">
              <w:t xml:space="preserve"> that meet the </w:t>
            </w:r>
            <w:r w:rsidR="006A5EA0">
              <w:t xml:space="preserve">requirements listed in Table 1 (batch machines) and Table 2 (continuous machines) of PGECOFST108 </w:t>
            </w:r>
            <w:r w:rsidR="006A5EA0">
              <w:lastRenderedPageBreak/>
              <w:t xml:space="preserve">Rev6. </w:t>
            </w:r>
          </w:p>
          <w:p w14:paraId="5AB40C0E" w14:textId="77777777" w:rsidR="0028592C" w:rsidRDefault="0028592C" w:rsidP="0028592C">
            <w:pPr>
              <w:pStyle w:val="NoSpacing"/>
              <w:numPr>
                <w:ilvl w:val="0"/>
                <w:numId w:val="37"/>
              </w:numPr>
              <w:ind w:left="342"/>
            </w:pPr>
            <w:r w:rsidRPr="002C01E3">
              <w:t>Used or rebuilt equipment is not eligible.</w:t>
            </w:r>
          </w:p>
          <w:p w14:paraId="53FEF1FF" w14:textId="3575C18D" w:rsidR="006A5EA0" w:rsidRDefault="0028592C" w:rsidP="006A5EA0">
            <w:pPr>
              <w:pStyle w:val="NoSpacing"/>
              <w:numPr>
                <w:ilvl w:val="0"/>
                <w:numId w:val="37"/>
              </w:numPr>
              <w:ind w:left="342"/>
            </w:pPr>
            <w:r w:rsidRPr="002C01E3">
              <w:t xml:space="preserve">Customers must provide proof that the appliance </w:t>
            </w:r>
            <w:r w:rsidR="006A5EA0">
              <w:t>meets the energy efficiency specifications listed in Table 1 (batch machines) and Table 2 (continuous machines) of PGECOFST108 Rev6.</w:t>
            </w:r>
          </w:p>
        </w:tc>
      </w:tr>
      <w:tr w:rsidR="009A2332" w14:paraId="40AF0DB1" w14:textId="77777777" w:rsidTr="009A2332">
        <w:trPr>
          <w:trHeight w:val="576"/>
        </w:trPr>
        <w:tc>
          <w:tcPr>
            <w:tcW w:w="4675" w:type="dxa"/>
          </w:tcPr>
          <w:p w14:paraId="0A32ADDC" w14:textId="15881A27" w:rsidR="009A2332" w:rsidRDefault="009A2332" w:rsidP="009A2332">
            <w:r>
              <w:rPr>
                <w:rStyle w:val="Strong"/>
                <w:rFonts w:asciiTheme="minorHAnsi" w:hAnsiTheme="minorHAnsi"/>
                <w:szCs w:val="22"/>
              </w:rPr>
              <w:lastRenderedPageBreak/>
              <w:t>1.3 Installation Type and Delivery Mechanisms</w:t>
            </w:r>
          </w:p>
        </w:tc>
        <w:tc>
          <w:tcPr>
            <w:tcW w:w="4675" w:type="dxa"/>
          </w:tcPr>
          <w:p w14:paraId="554484FF" w14:textId="77777777" w:rsidR="009A2332" w:rsidRDefault="009A2332" w:rsidP="009A2332"/>
        </w:tc>
      </w:tr>
      <w:tr w:rsidR="009A2332" w14:paraId="5D5B8844" w14:textId="77777777" w:rsidTr="009A2332">
        <w:trPr>
          <w:trHeight w:val="576"/>
        </w:trPr>
        <w:tc>
          <w:tcPr>
            <w:tcW w:w="467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4675" w:type="dxa"/>
          </w:tcPr>
          <w:p w14:paraId="15D6A15D" w14:textId="77777777" w:rsidR="000D3D94" w:rsidRDefault="000D3D94" w:rsidP="000D3D94">
            <w:r>
              <w:t xml:space="preserve">No changes from PG&amp;E </w:t>
            </w:r>
            <w:proofErr w:type="spellStart"/>
            <w:r>
              <w:t>workpaper</w:t>
            </w:r>
            <w:proofErr w:type="spellEnd"/>
            <w:r>
              <w:t xml:space="preserve">. </w:t>
            </w:r>
          </w:p>
          <w:p w14:paraId="4C87EE87" w14:textId="77777777" w:rsidR="000D3D94" w:rsidRDefault="000D3D94" w:rsidP="0028592C"/>
          <w:p w14:paraId="5E04A036" w14:textId="77777777" w:rsidR="0028592C" w:rsidRDefault="0028592C" w:rsidP="0028592C">
            <w:r>
              <w:t>Replace on Burnout (ROB)</w:t>
            </w:r>
          </w:p>
          <w:p w14:paraId="2B32F7DC" w14:textId="72831AAC" w:rsidR="009A2332" w:rsidRDefault="0028592C" w:rsidP="0028592C">
            <w:r>
              <w:t>New Construction (NEW/NC)</w:t>
            </w:r>
          </w:p>
        </w:tc>
      </w:tr>
      <w:tr w:rsidR="009A2332" w14:paraId="3CF006A0" w14:textId="77777777" w:rsidTr="009A2332">
        <w:trPr>
          <w:trHeight w:val="576"/>
        </w:trPr>
        <w:tc>
          <w:tcPr>
            <w:tcW w:w="4675" w:type="dxa"/>
          </w:tcPr>
          <w:p w14:paraId="548E0861" w14:textId="7D5594CC" w:rsidR="009A2332" w:rsidRDefault="009A2332" w:rsidP="009A2332">
            <w:r w:rsidRPr="009A2332">
              <w:rPr>
                <w:rStyle w:val="Strong"/>
                <w:rFonts w:asciiTheme="minorHAnsi" w:hAnsiTheme="minorHAnsi"/>
                <w:b w:val="0"/>
                <w:szCs w:val="22"/>
              </w:rPr>
              <w:t>Delivery Mechanisms</w:t>
            </w:r>
          </w:p>
        </w:tc>
        <w:tc>
          <w:tcPr>
            <w:tcW w:w="4675" w:type="dxa"/>
          </w:tcPr>
          <w:p w14:paraId="700F7618" w14:textId="5780C33D" w:rsidR="0028592C" w:rsidRDefault="00355810" w:rsidP="0028592C">
            <w:r>
              <w:t xml:space="preserve">Financial Support: </w:t>
            </w:r>
            <w:r w:rsidR="0028592C">
              <w:t>Down-Stream Incentive</w:t>
            </w:r>
            <w:r>
              <w:t xml:space="preserve"> - Deemed</w:t>
            </w:r>
          </w:p>
          <w:p w14:paraId="67E45078" w14:textId="01CED4C7" w:rsidR="009A2332" w:rsidRDefault="0028592C" w:rsidP="006A5EA0">
            <w:r>
              <w:t>Mid-Stream</w:t>
            </w:r>
            <w:r w:rsidR="00355810">
              <w:t xml:space="preserve"> Programs: Mid-Stream</w:t>
            </w:r>
            <w:r>
              <w:t xml:space="preserve"> Incentive</w:t>
            </w:r>
          </w:p>
        </w:tc>
      </w:tr>
      <w:tr w:rsidR="009A2332" w14:paraId="09F7817D" w14:textId="77777777" w:rsidTr="009A2332">
        <w:trPr>
          <w:trHeight w:val="576"/>
        </w:trPr>
        <w:tc>
          <w:tcPr>
            <w:tcW w:w="4675" w:type="dxa"/>
          </w:tcPr>
          <w:p w14:paraId="68DCF28E" w14:textId="573A4587" w:rsidR="009A2332" w:rsidRDefault="009A2332" w:rsidP="009A2332">
            <w:r>
              <w:rPr>
                <w:rStyle w:val="Strong"/>
                <w:rFonts w:asciiTheme="minorHAnsi" w:hAnsiTheme="minorHAnsi"/>
                <w:szCs w:val="22"/>
              </w:rPr>
              <w:t>1.4.1 DEER Data</w:t>
            </w:r>
          </w:p>
        </w:tc>
        <w:tc>
          <w:tcPr>
            <w:tcW w:w="4675" w:type="dxa"/>
          </w:tcPr>
          <w:p w14:paraId="65F92AF9" w14:textId="77777777" w:rsidR="000D3D94" w:rsidRDefault="000D3D94" w:rsidP="000D3D94">
            <w:r>
              <w:t xml:space="preserve">No changes from PG&amp;E </w:t>
            </w:r>
            <w:proofErr w:type="spellStart"/>
            <w:r>
              <w:t>workpaper</w:t>
            </w:r>
            <w:proofErr w:type="spellEnd"/>
            <w:r>
              <w:t xml:space="preserve">. </w:t>
            </w:r>
          </w:p>
          <w:p w14:paraId="7F520E32" w14:textId="77777777" w:rsidR="009A2332" w:rsidRDefault="009A2332" w:rsidP="009A2332"/>
        </w:tc>
      </w:tr>
      <w:tr w:rsidR="009A2332" w14:paraId="51073860" w14:textId="77777777" w:rsidTr="009A2332">
        <w:trPr>
          <w:trHeight w:val="576"/>
        </w:trPr>
        <w:tc>
          <w:tcPr>
            <w:tcW w:w="4675" w:type="dxa"/>
          </w:tcPr>
          <w:p w14:paraId="07705888" w14:textId="718A29C7" w:rsidR="009A2332" w:rsidRDefault="009A2332" w:rsidP="009A2332">
            <w:r w:rsidRPr="009A2332">
              <w:rPr>
                <w:rStyle w:val="Strong"/>
                <w:rFonts w:asciiTheme="minorHAnsi" w:hAnsiTheme="minorHAnsi"/>
                <w:b w:val="0"/>
                <w:szCs w:val="22"/>
              </w:rPr>
              <w:t>Net-Gross-Ratio</w:t>
            </w:r>
          </w:p>
        </w:tc>
        <w:tc>
          <w:tcPr>
            <w:tcW w:w="4675" w:type="dxa"/>
          </w:tcPr>
          <w:p w14:paraId="7C01181E" w14:textId="6E01A8AA" w:rsidR="009A2332" w:rsidRDefault="00E1040A" w:rsidP="009A2332">
            <w:r>
              <w:rPr>
                <w:rFonts w:cs="Arial"/>
                <w:sz w:val="20"/>
                <w:szCs w:val="20"/>
              </w:rPr>
              <w:t xml:space="preserve">Com Default&gt;2 </w:t>
            </w:r>
            <w:proofErr w:type="spellStart"/>
            <w:r>
              <w:rPr>
                <w:rFonts w:cs="Arial"/>
                <w:sz w:val="20"/>
                <w:szCs w:val="20"/>
              </w:rPr>
              <w:t>yrs</w:t>
            </w:r>
            <w:proofErr w:type="spellEnd"/>
          </w:p>
        </w:tc>
      </w:tr>
      <w:tr w:rsidR="009A2332" w14:paraId="7A4E17C4" w14:textId="77777777" w:rsidTr="009A2332">
        <w:trPr>
          <w:trHeight w:val="576"/>
        </w:trPr>
        <w:tc>
          <w:tcPr>
            <w:tcW w:w="4675" w:type="dxa"/>
          </w:tcPr>
          <w:p w14:paraId="08063215" w14:textId="5C719A0C" w:rsidR="009A2332" w:rsidRDefault="009A2332" w:rsidP="009A2332">
            <w:r w:rsidRPr="009A2332">
              <w:rPr>
                <w:rStyle w:val="Strong"/>
                <w:rFonts w:asciiTheme="minorHAnsi" w:hAnsiTheme="minorHAnsi"/>
                <w:b w:val="0"/>
                <w:szCs w:val="22"/>
              </w:rPr>
              <w:t>Effective and Remaining Useful Life</w:t>
            </w:r>
          </w:p>
        </w:tc>
        <w:tc>
          <w:tcPr>
            <w:tcW w:w="4675" w:type="dxa"/>
          </w:tcPr>
          <w:p w14:paraId="70BC13BC" w14:textId="58222B6A" w:rsidR="009A2332" w:rsidRDefault="00FF1C5E" w:rsidP="007C0F3C">
            <w:r w:rsidRPr="00FF1C5E">
              <w:rPr>
                <w:rFonts w:cs="Arial"/>
                <w:sz w:val="20"/>
                <w:szCs w:val="20"/>
              </w:rPr>
              <w:t>Cook-</w:t>
            </w:r>
            <w:proofErr w:type="spellStart"/>
            <w:r w:rsidRPr="00FF1C5E">
              <w:rPr>
                <w:rFonts w:cs="Arial"/>
                <w:sz w:val="20"/>
                <w:szCs w:val="20"/>
              </w:rPr>
              <w:t>IceMach</w:t>
            </w:r>
            <w:proofErr w:type="spellEnd"/>
            <w:r w:rsidRPr="00FF1C5E">
              <w:rPr>
                <w:rFonts w:cs="Arial"/>
                <w:sz w:val="20"/>
                <w:szCs w:val="20"/>
              </w:rPr>
              <w:t>, EUL=10</w:t>
            </w:r>
            <w:r w:rsidR="0028592C" w:rsidRPr="00FF1C5E">
              <w:rPr>
                <w:rFonts w:cs="Arial"/>
                <w:sz w:val="20"/>
                <w:szCs w:val="20"/>
              </w:rPr>
              <w:t xml:space="preserve"> years, RUL = </w:t>
            </w:r>
            <w:r w:rsidR="007C0F3C">
              <w:rPr>
                <w:rFonts w:cs="Arial"/>
                <w:sz w:val="20"/>
                <w:szCs w:val="20"/>
              </w:rPr>
              <w:t>3.3</w:t>
            </w:r>
            <w:r w:rsidR="0028592C" w:rsidRPr="00FF1C5E">
              <w:rPr>
                <w:rFonts w:cs="Arial"/>
                <w:sz w:val="20"/>
                <w:szCs w:val="20"/>
              </w:rPr>
              <w:t xml:space="preserve"> Years</w:t>
            </w:r>
          </w:p>
        </w:tc>
      </w:tr>
      <w:tr w:rsidR="009A2332" w14:paraId="7C928286" w14:textId="77777777" w:rsidTr="009A2332">
        <w:trPr>
          <w:trHeight w:val="576"/>
        </w:trPr>
        <w:tc>
          <w:tcPr>
            <w:tcW w:w="4675" w:type="dxa"/>
          </w:tcPr>
          <w:p w14:paraId="6ECE75DB" w14:textId="0D2FA7C9" w:rsidR="009A2332" w:rsidRDefault="009A2332" w:rsidP="009A2332">
            <w:r>
              <w:rPr>
                <w:rStyle w:val="Strong"/>
                <w:rFonts w:asciiTheme="minorHAnsi" w:hAnsiTheme="minorHAnsi"/>
                <w:szCs w:val="22"/>
              </w:rPr>
              <w:t>Section 2. Calculation Methodology</w:t>
            </w:r>
          </w:p>
        </w:tc>
        <w:tc>
          <w:tcPr>
            <w:tcW w:w="4675" w:type="dxa"/>
          </w:tcPr>
          <w:p w14:paraId="22F28985" w14:textId="77777777" w:rsidR="000D3D94" w:rsidRDefault="000D3D94" w:rsidP="000D3D94">
            <w:r>
              <w:t xml:space="preserve">No changes from PG&amp;E </w:t>
            </w:r>
            <w:proofErr w:type="spellStart"/>
            <w:r>
              <w:t>workpaper</w:t>
            </w:r>
            <w:proofErr w:type="spellEnd"/>
            <w:r>
              <w:t xml:space="preserve">. </w:t>
            </w:r>
          </w:p>
          <w:p w14:paraId="018C407C" w14:textId="77777777" w:rsidR="009A2332" w:rsidRDefault="009A2332" w:rsidP="009A2332"/>
        </w:tc>
      </w:tr>
      <w:tr w:rsidR="009A2332" w14:paraId="2060FD54" w14:textId="77777777" w:rsidTr="009A2332">
        <w:trPr>
          <w:trHeight w:val="576"/>
        </w:trPr>
        <w:tc>
          <w:tcPr>
            <w:tcW w:w="467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4675" w:type="dxa"/>
          </w:tcPr>
          <w:p w14:paraId="0E25B5FF" w14:textId="3EB86D68" w:rsidR="00FA762F" w:rsidRDefault="001B372B" w:rsidP="00FA762F">
            <w:r>
              <w:t>The b</w:t>
            </w:r>
            <w:r w:rsidRPr="001B372B">
              <w:t xml:space="preserve">ase case </w:t>
            </w:r>
            <w:r>
              <w:t xml:space="preserve">is based on </w:t>
            </w:r>
            <w:r w:rsidRPr="001B372B">
              <w:t>the California Energy Commission (CEC) Title 20 regulations for commercial ice machines. Measure case requirements were taken from ENERGY STAR V3.0 Program Requirements for Automatic Commercial Ice Makers which became effective on January 28, 2018 to reflect concurrent DOE regulations.</w:t>
            </w:r>
            <w:r>
              <w:t xml:space="preserve"> </w:t>
            </w:r>
          </w:p>
          <w:p w14:paraId="4603E982" w14:textId="28FF36C7" w:rsidR="0028592C" w:rsidRDefault="0028592C" w:rsidP="001B372B"/>
          <w:p w14:paraId="4449F836" w14:textId="351BE71A" w:rsidR="00FA762F" w:rsidRDefault="00EC0CF1" w:rsidP="0028592C">
            <w:r w:rsidRPr="00EC0CF1">
              <w:t xml:space="preserve">The demand reduction estimation is based on AHRI reported data for standard efficiency ice machines and for high-efficiency ice machines. The measured data are derived from tests conducted under AHRI Standard 810. The estimated demand reduction was based on the average demand for baseline and energy efficient model ice machines. </w:t>
            </w:r>
          </w:p>
          <w:p w14:paraId="0A7DA1D2" w14:textId="77777777" w:rsidR="00EC0CF1" w:rsidRDefault="00EC0CF1" w:rsidP="0028592C"/>
          <w:p w14:paraId="64C409C1" w14:textId="61E9ADF2" w:rsidR="00FA762F" w:rsidRDefault="00FA762F" w:rsidP="0028592C">
            <w:r>
              <w:t xml:space="preserve">Energy savings and demand reduction are based </w:t>
            </w:r>
            <w:r>
              <w:lastRenderedPageBreak/>
              <w:t>on the difference between baseline ice machines of the same size that meet Title 20 code and energy efficient machines that meet ENERGY STAR V3.0 program requirements.</w:t>
            </w:r>
          </w:p>
          <w:p w14:paraId="2599678C" w14:textId="77777777" w:rsidR="00EC0CF1" w:rsidRDefault="00EC0CF1" w:rsidP="0028592C"/>
          <w:p w14:paraId="48A295FE" w14:textId="73752F01" w:rsidR="00FA762F" w:rsidRDefault="00EC0CF1" w:rsidP="00974052">
            <w:r w:rsidRPr="00EC0CF1">
              <w:t xml:space="preserve">Ice machines are divided into batch and continuous categories. The ENERGY STAR category thresholds differ for each type. </w:t>
            </w:r>
            <w:proofErr w:type="gramStart"/>
            <w:r w:rsidRPr="00EC0CF1">
              <w:t>Table 10</w:t>
            </w:r>
            <w:r>
              <w:t xml:space="preserve"> of PGECOFST108 Rev6 show</w:t>
            </w:r>
            <w:proofErr w:type="gramEnd"/>
            <w:r w:rsidRPr="00EC0CF1">
              <w:t xml:space="preserve"> which size categories for continuous ice machines match the size categories for batch ice machines. The energy savings for each measure code were averaged for the batch energy savings and corresponding continuous ice machine savings.</w:t>
            </w:r>
            <w:r>
              <w:t xml:space="preserve"> </w:t>
            </w:r>
            <w:r w:rsidR="00974052">
              <w:t xml:space="preserve">A similar approach was used for the demand reduction. Please refer to Table 11 of PGECOFST108 Rev6 for the weighted average demand reduction per measure code. </w:t>
            </w:r>
          </w:p>
        </w:tc>
      </w:tr>
      <w:tr w:rsidR="009A2332" w14:paraId="79416F6B" w14:textId="77777777" w:rsidTr="009A2332">
        <w:trPr>
          <w:trHeight w:val="576"/>
        </w:trPr>
        <w:tc>
          <w:tcPr>
            <w:tcW w:w="4675" w:type="dxa"/>
          </w:tcPr>
          <w:p w14:paraId="63B2A37F" w14:textId="79D3BD2C" w:rsidR="009A2332" w:rsidRDefault="009A2332" w:rsidP="009A2332">
            <w:r>
              <w:rPr>
                <w:rStyle w:val="Strong"/>
                <w:rFonts w:asciiTheme="minorHAnsi" w:hAnsiTheme="minorHAnsi"/>
                <w:szCs w:val="22"/>
              </w:rPr>
              <w:lastRenderedPageBreak/>
              <w:t>Section 3. Load Shapes</w:t>
            </w:r>
          </w:p>
        </w:tc>
        <w:tc>
          <w:tcPr>
            <w:tcW w:w="4675" w:type="dxa"/>
          </w:tcPr>
          <w:p w14:paraId="1BFD8951" w14:textId="7F9A70FC" w:rsidR="0028592C" w:rsidRDefault="00974052" w:rsidP="0028592C">
            <w:pPr>
              <w:rPr>
                <w:rFonts w:ascii="Calibri" w:hAnsi="Calibri"/>
                <w:color w:val="000000"/>
                <w:szCs w:val="22"/>
              </w:rPr>
            </w:pPr>
            <w:proofErr w:type="spellStart"/>
            <w:r w:rsidRPr="00974052">
              <w:rPr>
                <w:rFonts w:ascii="Calibri" w:hAnsi="Calibri"/>
                <w:color w:val="000000"/>
                <w:szCs w:val="22"/>
              </w:rPr>
              <w:t>DEER:Indoor_Non-CFL_Ltg</w:t>
            </w:r>
            <w:proofErr w:type="spellEnd"/>
            <w:r w:rsidRPr="00974052">
              <w:rPr>
                <w:rFonts w:ascii="Calibri" w:hAnsi="Calibri"/>
                <w:color w:val="000000"/>
                <w:szCs w:val="22"/>
              </w:rPr>
              <w:t xml:space="preserve"> </w:t>
            </w:r>
          </w:p>
          <w:p w14:paraId="62ED6D87" w14:textId="77777777" w:rsidR="00974052" w:rsidRDefault="00974052" w:rsidP="0028592C"/>
          <w:p w14:paraId="573722DD" w14:textId="5957A356" w:rsidR="009A2332" w:rsidRDefault="0028592C" w:rsidP="00974052">
            <w:r>
              <w:t xml:space="preserve">The load </w:t>
            </w:r>
            <w:proofErr w:type="gramStart"/>
            <w:r>
              <w:t xml:space="preserve">shape for commercial </w:t>
            </w:r>
            <w:r w:rsidR="00974052">
              <w:t>ice machines</w:t>
            </w:r>
            <w:r>
              <w:t xml:space="preserve"> differ</w:t>
            </w:r>
            <w:proofErr w:type="gramEnd"/>
            <w:r>
              <w:t xml:space="preserve"> among food service facilities. </w:t>
            </w:r>
            <w:r w:rsidR="00974052" w:rsidRPr="00974052">
              <w:t xml:space="preserve">The measure load shape for this measure is determined by CET based on the applicable nonresidential market sector and the foodservice end-use. </w:t>
            </w:r>
            <w:r>
              <w:t xml:space="preserve">Please see Section 3 of </w:t>
            </w:r>
            <w:r w:rsidR="00974052">
              <w:t xml:space="preserve">PGECOFST108 Rev6 </w:t>
            </w:r>
            <w:r>
              <w:t xml:space="preserve">for </w:t>
            </w:r>
            <w:r w:rsidR="00974052">
              <w:t xml:space="preserve">additional </w:t>
            </w:r>
            <w:r>
              <w:t>details.</w:t>
            </w:r>
          </w:p>
        </w:tc>
      </w:tr>
      <w:tr w:rsidR="009A2332" w14:paraId="0E2DA162" w14:textId="77777777" w:rsidTr="009A2332">
        <w:trPr>
          <w:trHeight w:val="576"/>
        </w:trPr>
        <w:tc>
          <w:tcPr>
            <w:tcW w:w="4675" w:type="dxa"/>
          </w:tcPr>
          <w:p w14:paraId="17E265C7" w14:textId="4B0D36D9" w:rsidR="009A2332" w:rsidRDefault="009A2332" w:rsidP="009A2332">
            <w:r>
              <w:rPr>
                <w:rStyle w:val="Strong"/>
                <w:rFonts w:asciiTheme="minorHAnsi" w:hAnsiTheme="minorHAnsi"/>
                <w:szCs w:val="22"/>
              </w:rPr>
              <w:t>Section 4. Costs</w:t>
            </w:r>
          </w:p>
        </w:tc>
        <w:tc>
          <w:tcPr>
            <w:tcW w:w="4675" w:type="dxa"/>
          </w:tcPr>
          <w:p w14:paraId="4D927ED8" w14:textId="77777777" w:rsidR="000D3D94" w:rsidRDefault="000D3D94" w:rsidP="000D3D94">
            <w:r>
              <w:t xml:space="preserve">No changes from PG&amp;E </w:t>
            </w:r>
            <w:proofErr w:type="spellStart"/>
            <w:r>
              <w:t>workpaper</w:t>
            </w:r>
            <w:proofErr w:type="spellEnd"/>
            <w:r>
              <w:t xml:space="preserve">. </w:t>
            </w:r>
          </w:p>
          <w:p w14:paraId="636754D0" w14:textId="77777777" w:rsidR="009A2332" w:rsidRDefault="009A2332" w:rsidP="009A2332"/>
        </w:tc>
      </w:tr>
      <w:tr w:rsidR="009A2332" w14:paraId="00EA9279" w14:textId="77777777" w:rsidTr="009A2332">
        <w:trPr>
          <w:trHeight w:val="576"/>
        </w:trPr>
        <w:tc>
          <w:tcPr>
            <w:tcW w:w="4675" w:type="dxa"/>
          </w:tcPr>
          <w:p w14:paraId="448F5A7F" w14:textId="54FDF208" w:rsidR="009A2332" w:rsidRDefault="009A2332" w:rsidP="009A2332">
            <w:r>
              <w:rPr>
                <w:rStyle w:val="Strong"/>
                <w:rFonts w:asciiTheme="minorHAnsi" w:hAnsiTheme="minorHAnsi"/>
                <w:szCs w:val="22"/>
              </w:rPr>
              <w:t>Section 4.1 Base and Measure Costs</w:t>
            </w:r>
          </w:p>
        </w:tc>
        <w:tc>
          <w:tcPr>
            <w:tcW w:w="4675" w:type="dxa"/>
          </w:tcPr>
          <w:p w14:paraId="4A8F9241" w14:textId="57AA190C" w:rsidR="009A2332" w:rsidRDefault="0028592C" w:rsidP="009A2332">
            <w:r w:rsidRPr="009D727D">
              <w:t>Please refer to Attachment #1 Calculation Templates for detailed baseline and measure costs.</w:t>
            </w:r>
          </w:p>
        </w:tc>
      </w:tr>
    </w:tbl>
    <w:p w14:paraId="31A3A294" w14:textId="77777777" w:rsidR="009A2332" w:rsidRPr="009A2332" w:rsidRDefault="009A2332" w:rsidP="009A2332"/>
    <w:p w14:paraId="105BB5CF" w14:textId="7A878DE5" w:rsidR="0028592C" w:rsidRPr="00EE365D" w:rsidRDefault="0028592C" w:rsidP="0028592C">
      <w:pPr>
        <w:spacing w:after="200" w:line="276" w:lineRule="auto"/>
        <w:rPr>
          <w:i/>
          <w:szCs w:val="20"/>
        </w:rPr>
      </w:pPr>
      <w:r w:rsidRPr="00EE365D">
        <w:rPr>
          <w:i/>
          <w:szCs w:val="20"/>
        </w:rPr>
        <w:t>No</w:t>
      </w:r>
      <w:r w:rsidR="000D3D94">
        <w:rPr>
          <w:i/>
          <w:szCs w:val="20"/>
        </w:rPr>
        <w:t xml:space="preserve"> savings c</w:t>
      </w:r>
      <w:r w:rsidRPr="00EE365D">
        <w:rPr>
          <w:i/>
          <w:szCs w:val="20"/>
        </w:rPr>
        <w:t xml:space="preserve">hanges were required for this short form. The savings were simply transferred to SCE’s 2017 Calculation Template. </w:t>
      </w:r>
    </w:p>
    <w:p w14:paraId="6C4EC6D2" w14:textId="77777777" w:rsidR="0005221C" w:rsidRDefault="0005221C" w:rsidP="0005221C">
      <w:pPr>
        <w:spacing w:after="200" w:line="276" w:lineRule="auto"/>
        <w:rPr>
          <w:b/>
          <w:szCs w:val="20"/>
        </w:rPr>
      </w:pPr>
    </w:p>
    <w:p w14:paraId="7D101050" w14:textId="23AC7ABC" w:rsidR="0005221C" w:rsidRDefault="0005221C" w:rsidP="0005221C">
      <w:pPr>
        <w:spacing w:after="200" w:line="276" w:lineRule="auto"/>
        <w:rPr>
          <w:b/>
          <w:szCs w:val="20"/>
        </w:rPr>
      </w:pPr>
      <w:r>
        <w:rPr>
          <w:b/>
          <w:szCs w:val="20"/>
        </w:rPr>
        <w:t>Attachments</w:t>
      </w:r>
    </w:p>
    <w:p w14:paraId="77917E70" w14:textId="11DF07C8" w:rsidR="0005221C" w:rsidRPr="0005221C" w:rsidRDefault="0005221C" w:rsidP="0005221C">
      <w:pPr>
        <w:pStyle w:val="ListParagraph"/>
        <w:numPr>
          <w:ilvl w:val="0"/>
          <w:numId w:val="39"/>
        </w:numPr>
        <w:spacing w:after="200" w:line="276" w:lineRule="auto"/>
        <w:rPr>
          <w:szCs w:val="20"/>
        </w:rPr>
      </w:pPr>
      <w:r w:rsidRPr="0005221C">
        <w:rPr>
          <w:szCs w:val="20"/>
        </w:rPr>
        <w:t>SCE17</w:t>
      </w:r>
      <w:r>
        <w:rPr>
          <w:szCs w:val="20"/>
        </w:rPr>
        <w:t>CC007.0 A1 Calculation Template</w:t>
      </w:r>
    </w:p>
    <w:bookmarkEnd w:id="1"/>
    <w:p w14:paraId="31DBEFB5" w14:textId="77777777" w:rsidR="009A2332" w:rsidRPr="009A2332" w:rsidRDefault="009A2332" w:rsidP="009A2332">
      <w:pPr>
        <w:spacing w:after="200" w:line="276" w:lineRule="auto"/>
        <w:rPr>
          <w:b/>
          <w:szCs w:val="20"/>
        </w:rPr>
      </w:pPr>
    </w:p>
    <w:sectPr w:rsidR="009A2332" w:rsidRPr="009A2332" w:rsidSect="0013086D">
      <w:footerReference w:type="default" r:id="rId10"/>
      <w:pgSz w:w="12240" w:h="15840"/>
      <w:pgMar w:top="1440" w:right="1440" w:bottom="1557" w:left="1440" w:header="720" w:footer="720" w:gutter="0"/>
      <w:pgNumType w:fmt="lowerRoman"/>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DCECF2" w15:done="0"/>
  <w15:commentEx w15:paraId="636D8076" w15:paraIdParent="24DCECF2" w15:done="0"/>
  <w15:commentEx w15:paraId="0CCECD53" w15:done="0"/>
  <w15:commentEx w15:paraId="1AE06E01" w15:paraIdParent="0CCECD53" w15:done="0"/>
  <w15:commentEx w15:paraId="546AA313" w15:done="0"/>
  <w15:commentEx w15:paraId="16E45BB2" w15:paraIdParent="546AA313" w15:done="0"/>
  <w15:commentEx w15:paraId="5BFEE236" w15:done="0"/>
  <w15:commentEx w15:paraId="04EB2B1A" w15:paraIdParent="5BFEE236" w15:done="0"/>
  <w15:commentEx w15:paraId="54CD16A4" w15:done="0"/>
  <w15:commentEx w15:paraId="27D87663" w15:paraIdParent="54CD16A4" w15:done="0"/>
  <w15:commentEx w15:paraId="4C42FF8F" w15:done="0"/>
  <w15:commentEx w15:paraId="7B56389C" w15:done="0"/>
  <w15:commentEx w15:paraId="02725F66" w15:paraIdParent="7B56389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C04F7" w14:textId="77777777" w:rsidR="008C1978" w:rsidRDefault="008C1978" w:rsidP="00447D6E">
      <w:r>
        <w:separator/>
      </w:r>
    </w:p>
    <w:p w14:paraId="72C7480D" w14:textId="77777777" w:rsidR="008C1978" w:rsidRDefault="008C1978"/>
  </w:endnote>
  <w:endnote w:type="continuationSeparator" w:id="0">
    <w:p w14:paraId="1C8BDA78" w14:textId="77777777" w:rsidR="008C1978" w:rsidRDefault="008C1978" w:rsidP="00447D6E">
      <w:r>
        <w:continuationSeparator/>
      </w:r>
    </w:p>
    <w:p w14:paraId="3C48F992" w14:textId="77777777" w:rsidR="008C1978" w:rsidRDefault="008C1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745F2D74" w:rsidR="00F30167" w:rsidRPr="009500DC" w:rsidRDefault="00045177"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28592C">
          <w:rPr>
            <w:rFonts w:cstheme="minorHAnsi"/>
            <w:b/>
            <w:sz w:val="20"/>
            <w:szCs w:val="20"/>
          </w:rPr>
          <w:t>SCE17CC007</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28592C">
          <w:rPr>
            <w:rFonts w:cstheme="minorHAnsi"/>
            <w:b/>
            <w:sz w:val="20"/>
            <w:szCs w:val="20"/>
          </w:rPr>
          <w:t>Revision 0</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Pr>
        <w:rFonts w:cstheme="minorHAnsi"/>
        <w:b/>
        <w:noProof/>
        <w:sz w:val="20"/>
        <w:szCs w:val="20"/>
      </w:rPr>
      <w:t>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2-05T00:00:00Z">
          <w:dateFormat w:val="MMMM d, yyyy"/>
          <w:lid w:val="en-US"/>
          <w:storeMappedDataAs w:val="dateTime"/>
          <w:calendar w:val="gregorian"/>
        </w:date>
      </w:sdtPr>
      <w:sdtEndPr/>
      <w:sdtContent>
        <w:r w:rsidR="00E1040A">
          <w:rPr>
            <w:rFonts w:cstheme="minorHAnsi"/>
            <w:b/>
            <w:sz w:val="20"/>
            <w:szCs w:val="20"/>
          </w:rPr>
          <w:t>February 5, 2018</w:t>
        </w:r>
      </w:sdtContent>
    </w:sdt>
  </w:p>
  <w:p w14:paraId="43C07EA5" w14:textId="544E4323" w:rsidR="00F30167" w:rsidRPr="009500DC" w:rsidRDefault="00045177"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61A23" w14:textId="77777777" w:rsidR="008C1978" w:rsidRDefault="008C1978" w:rsidP="00447D6E">
      <w:r>
        <w:separator/>
      </w:r>
    </w:p>
    <w:p w14:paraId="1085962C" w14:textId="77777777" w:rsidR="008C1978" w:rsidRDefault="008C1978"/>
  </w:footnote>
  <w:footnote w:type="continuationSeparator" w:id="0">
    <w:p w14:paraId="508D496B" w14:textId="77777777" w:rsidR="008C1978" w:rsidRDefault="008C1978" w:rsidP="00447D6E">
      <w:r>
        <w:continuationSeparator/>
      </w:r>
    </w:p>
    <w:p w14:paraId="57466FCD" w14:textId="77777777" w:rsidR="008C1978" w:rsidRDefault="008C197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0F27161"/>
    <w:multiLevelType w:val="hybridMultilevel"/>
    <w:tmpl w:val="D390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766BC8"/>
    <w:multiLevelType w:val="hybridMultilevel"/>
    <w:tmpl w:val="2E5A8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F4713B"/>
    <w:multiLevelType w:val="hybridMultilevel"/>
    <w:tmpl w:val="46CC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0"/>
  </w:num>
  <w:num w:numId="4">
    <w:abstractNumId w:val="18"/>
  </w:num>
  <w:num w:numId="5">
    <w:abstractNumId w:val="18"/>
  </w:num>
  <w:num w:numId="6">
    <w:abstractNumId w:val="2"/>
  </w:num>
  <w:num w:numId="7">
    <w:abstractNumId w:val="24"/>
  </w:num>
  <w:num w:numId="8">
    <w:abstractNumId w:val="19"/>
  </w:num>
  <w:num w:numId="9">
    <w:abstractNumId w:val="11"/>
  </w:num>
  <w:num w:numId="10">
    <w:abstractNumId w:val="5"/>
  </w:num>
  <w:num w:numId="11">
    <w:abstractNumId w:val="25"/>
  </w:num>
  <w:num w:numId="12">
    <w:abstractNumId w:val="17"/>
  </w:num>
  <w:num w:numId="13">
    <w:abstractNumId w:val="10"/>
  </w:num>
  <w:num w:numId="14">
    <w:abstractNumId w:val="33"/>
  </w:num>
  <w:num w:numId="15">
    <w:abstractNumId w:val="8"/>
  </w:num>
  <w:num w:numId="16">
    <w:abstractNumId w:val="12"/>
  </w:num>
  <w:num w:numId="17">
    <w:abstractNumId w:val="4"/>
  </w:num>
  <w:num w:numId="18">
    <w:abstractNumId w:val="0"/>
  </w:num>
  <w:num w:numId="19">
    <w:abstractNumId w:val="32"/>
  </w:num>
  <w:num w:numId="20">
    <w:abstractNumId w:val="3"/>
  </w:num>
  <w:num w:numId="21">
    <w:abstractNumId w:val="27"/>
  </w:num>
  <w:num w:numId="22">
    <w:abstractNumId w:val="28"/>
  </w:num>
  <w:num w:numId="23">
    <w:abstractNumId w:val="34"/>
  </w:num>
  <w:num w:numId="24">
    <w:abstractNumId w:val="31"/>
  </w:num>
  <w:num w:numId="25">
    <w:abstractNumId w:val="13"/>
  </w:num>
  <w:num w:numId="26">
    <w:abstractNumId w:val="16"/>
  </w:num>
  <w:num w:numId="27">
    <w:abstractNumId w:val="29"/>
  </w:num>
  <w:num w:numId="28">
    <w:abstractNumId w:val="15"/>
  </w:num>
  <w:num w:numId="29">
    <w:abstractNumId w:val="7"/>
  </w:num>
  <w:num w:numId="30">
    <w:abstractNumId w:val="1"/>
  </w:num>
  <w:num w:numId="31">
    <w:abstractNumId w:val="36"/>
  </w:num>
  <w:num w:numId="32">
    <w:abstractNumId w:val="26"/>
  </w:num>
  <w:num w:numId="33">
    <w:abstractNumId w:val="30"/>
  </w:num>
  <w:num w:numId="34">
    <w:abstractNumId w:val="9"/>
  </w:num>
  <w:num w:numId="35">
    <w:abstractNumId w:val="14"/>
  </w:num>
  <w:num w:numId="36">
    <w:abstractNumId w:val="6"/>
  </w:num>
  <w:num w:numId="37">
    <w:abstractNumId w:val="35"/>
  </w:num>
  <w:num w:numId="38">
    <w:abstractNumId w:val="21"/>
  </w:num>
  <w:num w:numId="39">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a Vega">
    <w15:presenceInfo w15:providerId="AD" w15:userId="S-1-5-21-1786704334-1080620903-3496478664-3333"/>
  </w15:person>
  <w15:person w15:author="Jay Bhakta">
    <w15:presenceInfo w15:providerId="AD" w15:userId="S-1-5-21-2559334742-469970549-2024990295-1911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0DC"/>
    <w:rsid w:val="00033EA1"/>
    <w:rsid w:val="0003746D"/>
    <w:rsid w:val="0004020F"/>
    <w:rsid w:val="00042B8E"/>
    <w:rsid w:val="000436CB"/>
    <w:rsid w:val="00045177"/>
    <w:rsid w:val="0005221C"/>
    <w:rsid w:val="00052E17"/>
    <w:rsid w:val="00056490"/>
    <w:rsid w:val="00056947"/>
    <w:rsid w:val="00061A8E"/>
    <w:rsid w:val="00064CB3"/>
    <w:rsid w:val="00070BEE"/>
    <w:rsid w:val="00072040"/>
    <w:rsid w:val="00076DF4"/>
    <w:rsid w:val="00076F51"/>
    <w:rsid w:val="0008524C"/>
    <w:rsid w:val="00086F7F"/>
    <w:rsid w:val="0009074D"/>
    <w:rsid w:val="0009592B"/>
    <w:rsid w:val="000968C6"/>
    <w:rsid w:val="000A63C9"/>
    <w:rsid w:val="000B3765"/>
    <w:rsid w:val="000B655B"/>
    <w:rsid w:val="000C0000"/>
    <w:rsid w:val="000C18CC"/>
    <w:rsid w:val="000C687D"/>
    <w:rsid w:val="000C7ED1"/>
    <w:rsid w:val="000D3D94"/>
    <w:rsid w:val="000D3F09"/>
    <w:rsid w:val="000D789A"/>
    <w:rsid w:val="000E4B5F"/>
    <w:rsid w:val="000E706D"/>
    <w:rsid w:val="000F130A"/>
    <w:rsid w:val="000F4FD8"/>
    <w:rsid w:val="00107242"/>
    <w:rsid w:val="00111CC5"/>
    <w:rsid w:val="001206F7"/>
    <w:rsid w:val="001236C1"/>
    <w:rsid w:val="0013086D"/>
    <w:rsid w:val="00133EE8"/>
    <w:rsid w:val="00140B30"/>
    <w:rsid w:val="00147155"/>
    <w:rsid w:val="00153CB3"/>
    <w:rsid w:val="00154C3B"/>
    <w:rsid w:val="00160158"/>
    <w:rsid w:val="00165357"/>
    <w:rsid w:val="001722B7"/>
    <w:rsid w:val="001727D9"/>
    <w:rsid w:val="00174BB4"/>
    <w:rsid w:val="00175D14"/>
    <w:rsid w:val="001811EE"/>
    <w:rsid w:val="00185AD4"/>
    <w:rsid w:val="001979AF"/>
    <w:rsid w:val="001A0EB4"/>
    <w:rsid w:val="001A1A86"/>
    <w:rsid w:val="001A5F62"/>
    <w:rsid w:val="001B015E"/>
    <w:rsid w:val="001B2301"/>
    <w:rsid w:val="001B372B"/>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0F9"/>
    <w:rsid w:val="00211153"/>
    <w:rsid w:val="00217C20"/>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2C"/>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656"/>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5810"/>
    <w:rsid w:val="003560BA"/>
    <w:rsid w:val="00364CC6"/>
    <w:rsid w:val="003650F6"/>
    <w:rsid w:val="0036726C"/>
    <w:rsid w:val="003832D2"/>
    <w:rsid w:val="003845E5"/>
    <w:rsid w:val="00393137"/>
    <w:rsid w:val="0039615F"/>
    <w:rsid w:val="00397406"/>
    <w:rsid w:val="003A3170"/>
    <w:rsid w:val="003A360E"/>
    <w:rsid w:val="003D17FF"/>
    <w:rsid w:val="003D2871"/>
    <w:rsid w:val="003D2981"/>
    <w:rsid w:val="003D5B83"/>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1893"/>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50FB"/>
    <w:rsid w:val="00505CEC"/>
    <w:rsid w:val="0051020F"/>
    <w:rsid w:val="00513CAB"/>
    <w:rsid w:val="00516CF5"/>
    <w:rsid w:val="00523597"/>
    <w:rsid w:val="00523736"/>
    <w:rsid w:val="00532530"/>
    <w:rsid w:val="005354B2"/>
    <w:rsid w:val="00535CA4"/>
    <w:rsid w:val="00546CC5"/>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6344"/>
    <w:rsid w:val="005C1C74"/>
    <w:rsid w:val="005C2E48"/>
    <w:rsid w:val="005C3B0C"/>
    <w:rsid w:val="005C3F23"/>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2524"/>
    <w:rsid w:val="006746FE"/>
    <w:rsid w:val="00676E9F"/>
    <w:rsid w:val="00680934"/>
    <w:rsid w:val="00685D5C"/>
    <w:rsid w:val="0069264D"/>
    <w:rsid w:val="0069578B"/>
    <w:rsid w:val="00697868"/>
    <w:rsid w:val="006A055F"/>
    <w:rsid w:val="006A126F"/>
    <w:rsid w:val="006A14E9"/>
    <w:rsid w:val="006A2A65"/>
    <w:rsid w:val="006A5293"/>
    <w:rsid w:val="006A5EA0"/>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26338"/>
    <w:rsid w:val="00726AD5"/>
    <w:rsid w:val="00733C7D"/>
    <w:rsid w:val="00740761"/>
    <w:rsid w:val="00745F77"/>
    <w:rsid w:val="007464DE"/>
    <w:rsid w:val="007529EA"/>
    <w:rsid w:val="00755A45"/>
    <w:rsid w:val="00760CDC"/>
    <w:rsid w:val="00764D0D"/>
    <w:rsid w:val="00776C5F"/>
    <w:rsid w:val="00777C53"/>
    <w:rsid w:val="00786E92"/>
    <w:rsid w:val="007933F1"/>
    <w:rsid w:val="007A5F52"/>
    <w:rsid w:val="007B090A"/>
    <w:rsid w:val="007C0F3C"/>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43763"/>
    <w:rsid w:val="00847A4E"/>
    <w:rsid w:val="00871D79"/>
    <w:rsid w:val="0087393E"/>
    <w:rsid w:val="00881A42"/>
    <w:rsid w:val="00882386"/>
    <w:rsid w:val="0088361D"/>
    <w:rsid w:val="00885E0A"/>
    <w:rsid w:val="0088603B"/>
    <w:rsid w:val="008877AF"/>
    <w:rsid w:val="00893FC3"/>
    <w:rsid w:val="0089577B"/>
    <w:rsid w:val="008B1024"/>
    <w:rsid w:val="008B1357"/>
    <w:rsid w:val="008B2DF3"/>
    <w:rsid w:val="008C1978"/>
    <w:rsid w:val="008C2E0E"/>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74052"/>
    <w:rsid w:val="009824E9"/>
    <w:rsid w:val="009826E5"/>
    <w:rsid w:val="009844A1"/>
    <w:rsid w:val="00986E20"/>
    <w:rsid w:val="00995479"/>
    <w:rsid w:val="00995CB0"/>
    <w:rsid w:val="00997E77"/>
    <w:rsid w:val="009A2332"/>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A599B"/>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614F1"/>
    <w:rsid w:val="00B866B4"/>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BE2E2E"/>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15A7"/>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2808"/>
    <w:rsid w:val="00DC3259"/>
    <w:rsid w:val="00DD0523"/>
    <w:rsid w:val="00DE5758"/>
    <w:rsid w:val="00DE5FCF"/>
    <w:rsid w:val="00DF0D19"/>
    <w:rsid w:val="00DF2EE9"/>
    <w:rsid w:val="00DF6FD8"/>
    <w:rsid w:val="00E05A80"/>
    <w:rsid w:val="00E06A37"/>
    <w:rsid w:val="00E071A5"/>
    <w:rsid w:val="00E07752"/>
    <w:rsid w:val="00E1040A"/>
    <w:rsid w:val="00E16609"/>
    <w:rsid w:val="00E16F08"/>
    <w:rsid w:val="00E233F3"/>
    <w:rsid w:val="00E26B34"/>
    <w:rsid w:val="00E314BA"/>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0E3C"/>
    <w:rsid w:val="00EB34FC"/>
    <w:rsid w:val="00EB76E1"/>
    <w:rsid w:val="00EC0CF1"/>
    <w:rsid w:val="00EC2499"/>
    <w:rsid w:val="00EE29DF"/>
    <w:rsid w:val="00EE4120"/>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A762F"/>
    <w:rsid w:val="00FB2590"/>
    <w:rsid w:val="00FD5A8C"/>
    <w:rsid w:val="00FE286E"/>
    <w:rsid w:val="00FE3233"/>
    <w:rsid w:val="00FE4C68"/>
    <w:rsid w:val="00FE5FAF"/>
    <w:rsid w:val="00FE6D74"/>
    <w:rsid w:val="00FF1C5E"/>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D94"/>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D94"/>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6B7FA8"/>
    <w:rsid w:val="008211B5"/>
    <w:rsid w:val="00874653"/>
    <w:rsid w:val="009603C0"/>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28F715-48C1-4B53-BAE7-81B8A0C76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1071</Words>
  <Characters>6110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SCE17CC007</vt:lpstr>
    </vt:vector>
  </TitlesOfParts>
  <Company>Southern California Edison</Company>
  <LinksUpToDate>false</LinksUpToDate>
  <CharactersWithSpaces>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SCE17CC007</dc:title>
  <dc:creator>Jim Wyatt (PG&amp;E);Jason Wang (SCE)</dc:creator>
  <cp:lastModifiedBy>Ajay Wadhera</cp:lastModifiedBy>
  <cp:revision>2</cp:revision>
  <dcterms:created xsi:type="dcterms:W3CDTF">2018-02-05T23:40:00Z</dcterms:created>
  <dcterms:modified xsi:type="dcterms:W3CDTF">2018-02-05T23:40:00Z</dcterms:modified>
  <cp:contentStatus>Revision 0</cp:contentStatus>
</cp:coreProperties>
</file>