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0AAFE57F"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9A2332">
            <w:t>17</w:t>
          </w:r>
          <w:r w:rsidR="00600B63">
            <w:t>CC006</w:t>
          </w:r>
        </w:sdtContent>
      </w:sdt>
    </w:p>
    <w:bookmarkEnd w:id="0"/>
    <w:p w14:paraId="7601CE2F" w14:textId="532516D3" w:rsidR="00DA690B" w:rsidRPr="00500C4E" w:rsidRDefault="000B6A5D"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600B63">
            <w:rPr>
              <w:rStyle w:val="CaptionChar"/>
              <w:rFonts w:asciiTheme="minorHAnsi" w:hAnsiTheme="minorHAnsi" w:cstheme="minorHAnsi"/>
              <w:b/>
              <w:bCs w:val="0"/>
              <w:sz w:val="48"/>
              <w:szCs w:val="48"/>
            </w:rPr>
            <w:t>0</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0B6A5D"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198A23FF" w:rsidR="00E76B31" w:rsidRPr="00500C4E" w:rsidRDefault="00600B63" w:rsidP="00E76B31">
      <w:pPr>
        <w:pStyle w:val="Reminders"/>
        <w:rPr>
          <w:rFonts w:asciiTheme="minorHAnsi" w:hAnsiTheme="minorHAnsi" w:cstheme="minorHAnsi"/>
          <w:i w:val="0"/>
          <w:szCs w:val="22"/>
        </w:rPr>
      </w:pPr>
      <w:r w:rsidRPr="00600B63">
        <w:rPr>
          <w:rFonts w:asciiTheme="minorHAnsi" w:hAnsiTheme="minorHAnsi" w:cstheme="minorHAnsi"/>
          <w:b/>
          <w:i w:val="0"/>
          <w:color w:val="auto"/>
          <w:sz w:val="72"/>
          <w:szCs w:val="72"/>
        </w:rPr>
        <w:t>Commercial Electric Combination Ovens</w:t>
      </w: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78940EFD" w14:textId="459662C0" w:rsidR="00F30167" w:rsidRPr="00493951" w:rsidRDefault="008349C8" w:rsidP="00F30167">
      <w:pPr>
        <w:pStyle w:val="Reminders"/>
        <w:rPr>
          <w:rFonts w:asciiTheme="minorHAnsi" w:hAnsiTheme="minorHAnsi" w:cstheme="minorHAnsi"/>
          <w:i w:val="0"/>
          <w:color w:val="auto"/>
          <w:sz w:val="24"/>
        </w:rPr>
      </w:pPr>
      <w:r w:rsidRPr="00493951">
        <w:rPr>
          <w:rFonts w:asciiTheme="minorHAnsi" w:hAnsiTheme="minorHAnsi" w:cstheme="minorHAnsi"/>
          <w:i w:val="0"/>
          <w:color w:val="auto"/>
          <w:sz w:val="24"/>
        </w:rPr>
        <w:t xml:space="preserve">This short form </w:t>
      </w:r>
      <w:proofErr w:type="spellStart"/>
      <w:r w:rsidRPr="00493951">
        <w:rPr>
          <w:rFonts w:asciiTheme="minorHAnsi" w:hAnsiTheme="minorHAnsi" w:cstheme="minorHAnsi"/>
          <w:i w:val="0"/>
          <w:color w:val="auto"/>
          <w:sz w:val="24"/>
        </w:rPr>
        <w:t>workpaper</w:t>
      </w:r>
      <w:proofErr w:type="spellEnd"/>
      <w:r w:rsidRPr="00493951">
        <w:rPr>
          <w:rFonts w:asciiTheme="minorHAnsi" w:hAnsiTheme="minorHAnsi" w:cstheme="minorHAnsi"/>
          <w:i w:val="0"/>
          <w:color w:val="auto"/>
          <w:sz w:val="24"/>
        </w:rPr>
        <w:t xml:space="preserve"> documents the values adopted from PGE’s WP entitled “Commercial Combination Ovens/Steamer-Electric and Gas” (PGECOFST100 R6). SCE adopts all the values in PGECOFST100 R6 with no changes</w:t>
      </w: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36"/>
        <w:gridCol w:w="1004"/>
        <w:gridCol w:w="2695"/>
        <w:gridCol w:w="5341"/>
      </w:tblGrid>
      <w:tr w:rsidR="003845E5" w:rsidRPr="00500C4E" w14:paraId="5AFD7FBC" w14:textId="77777777" w:rsidTr="008349C8">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40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789"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8349C8">
        <w:trPr>
          <w:trHeight w:val="20"/>
        </w:trPr>
        <w:tc>
          <w:tcPr>
            <w:tcW w:w="280" w:type="pct"/>
          </w:tcPr>
          <w:p w14:paraId="4A1A2996" w14:textId="5C1D6F5A" w:rsidR="00933188" w:rsidRPr="008349C8" w:rsidRDefault="008349C8" w:rsidP="005729C8">
            <w:pPr>
              <w:rPr>
                <w:rFonts w:cstheme="minorHAnsi"/>
                <w:szCs w:val="20"/>
              </w:rPr>
            </w:pPr>
            <w:r w:rsidRPr="008349C8">
              <w:rPr>
                <w:rFonts w:cstheme="minorHAnsi"/>
                <w:szCs w:val="20"/>
              </w:rPr>
              <w:t>0</w:t>
            </w:r>
          </w:p>
        </w:tc>
        <w:tc>
          <w:tcPr>
            <w:tcW w:w="524" w:type="pct"/>
          </w:tcPr>
          <w:p w14:paraId="68BA349C" w14:textId="6B9DE59E" w:rsidR="00933188" w:rsidRPr="008349C8" w:rsidRDefault="0004749C" w:rsidP="005729C8">
            <w:pPr>
              <w:rPr>
                <w:rFonts w:cstheme="minorHAnsi"/>
                <w:szCs w:val="20"/>
              </w:rPr>
            </w:pPr>
            <w:r>
              <w:rPr>
                <w:rFonts w:cstheme="minorHAnsi"/>
                <w:szCs w:val="20"/>
              </w:rPr>
              <w:t>11/28</w:t>
            </w:r>
            <w:r w:rsidR="008349C8" w:rsidRPr="008349C8">
              <w:rPr>
                <w:rFonts w:cstheme="minorHAnsi"/>
                <w:szCs w:val="20"/>
              </w:rPr>
              <w:t>/17</w:t>
            </w:r>
          </w:p>
        </w:tc>
        <w:tc>
          <w:tcPr>
            <w:tcW w:w="1407" w:type="pct"/>
          </w:tcPr>
          <w:p w14:paraId="4A812BB3" w14:textId="7602E389" w:rsidR="00933188" w:rsidRPr="008349C8" w:rsidRDefault="008349C8" w:rsidP="008349C8">
            <w:pPr>
              <w:rPr>
                <w:rFonts w:cstheme="minorHAnsi"/>
                <w:szCs w:val="20"/>
              </w:rPr>
            </w:pPr>
            <w:r w:rsidRPr="008349C8">
              <w:rPr>
                <w:rFonts w:cstheme="minorHAnsi"/>
                <w:szCs w:val="20"/>
              </w:rPr>
              <w:t>Kara Vega</w:t>
            </w:r>
            <w:r>
              <w:rPr>
                <w:rFonts w:cstheme="minorHAnsi"/>
                <w:szCs w:val="20"/>
              </w:rPr>
              <w:t xml:space="preserve"> (TRC)</w:t>
            </w:r>
          </w:p>
        </w:tc>
        <w:tc>
          <w:tcPr>
            <w:tcW w:w="2789" w:type="pct"/>
          </w:tcPr>
          <w:p w14:paraId="5B8355B3" w14:textId="77777777" w:rsidR="008349C8" w:rsidRDefault="008349C8" w:rsidP="008349C8">
            <w:pPr>
              <w:pStyle w:val="ListParagraph"/>
              <w:numPr>
                <w:ilvl w:val="0"/>
                <w:numId w:val="35"/>
              </w:numPr>
              <w:rPr>
                <w:rFonts w:cstheme="minorHAnsi"/>
                <w:bCs/>
                <w:szCs w:val="20"/>
              </w:rPr>
            </w:pPr>
            <w:r w:rsidRPr="008349C8">
              <w:rPr>
                <w:rFonts w:cstheme="minorHAnsi"/>
                <w:bCs/>
                <w:szCs w:val="20"/>
              </w:rPr>
              <w:t xml:space="preserve">Transferred savings values to SCE Calculation template for the 2017 program year. </w:t>
            </w:r>
          </w:p>
          <w:p w14:paraId="4A730E52" w14:textId="7E35C973" w:rsidR="0004749C" w:rsidRDefault="0004749C" w:rsidP="0004749C">
            <w:pPr>
              <w:pStyle w:val="ListParagraph"/>
              <w:numPr>
                <w:ilvl w:val="0"/>
                <w:numId w:val="35"/>
              </w:numPr>
              <w:rPr>
                <w:rFonts w:cstheme="minorHAnsi"/>
                <w:bCs/>
                <w:szCs w:val="20"/>
              </w:rPr>
            </w:pPr>
            <w:r w:rsidRPr="0004749C">
              <w:rPr>
                <w:rFonts w:cstheme="minorHAnsi"/>
                <w:bCs/>
                <w:szCs w:val="20"/>
              </w:rPr>
              <w:t xml:space="preserve">Mid-stream </w:t>
            </w:r>
            <w:r w:rsidR="00CF4EBD">
              <w:rPr>
                <w:rFonts w:cstheme="minorHAnsi"/>
                <w:bCs/>
                <w:szCs w:val="20"/>
              </w:rPr>
              <w:t>incentive method</w:t>
            </w:r>
            <w:r w:rsidRPr="0004749C">
              <w:rPr>
                <w:rFonts w:cstheme="minorHAnsi"/>
                <w:bCs/>
                <w:szCs w:val="20"/>
              </w:rPr>
              <w:t xml:space="preserve"> was added in this revision of the </w:t>
            </w:r>
            <w:proofErr w:type="spellStart"/>
            <w:r w:rsidRPr="0004749C">
              <w:rPr>
                <w:rFonts w:cstheme="minorHAnsi"/>
                <w:bCs/>
                <w:szCs w:val="20"/>
              </w:rPr>
              <w:t>workpaper</w:t>
            </w:r>
            <w:proofErr w:type="spellEnd"/>
            <w:r w:rsidRPr="0004749C">
              <w:rPr>
                <w:rFonts w:cstheme="minorHAnsi"/>
                <w:bCs/>
                <w:szCs w:val="20"/>
              </w:rPr>
              <w:t>.</w:t>
            </w:r>
          </w:p>
          <w:p w14:paraId="34B77B86" w14:textId="77777777" w:rsidR="0036726C" w:rsidRPr="008D20C9" w:rsidRDefault="001924D8" w:rsidP="001924D8">
            <w:pPr>
              <w:pStyle w:val="ListParagraph"/>
              <w:numPr>
                <w:ilvl w:val="0"/>
                <w:numId w:val="35"/>
              </w:numPr>
            </w:pPr>
            <w:r w:rsidRPr="001924D8">
              <w:rPr>
                <w:rFonts w:cstheme="minorHAnsi"/>
                <w:bCs/>
                <w:szCs w:val="20"/>
              </w:rPr>
              <w:t>All 16 climate zones were used in this version.</w:t>
            </w:r>
          </w:p>
          <w:p w14:paraId="34F0A8ED" w14:textId="2A161C69" w:rsidR="008D20C9" w:rsidRPr="008349C8" w:rsidRDefault="008D20C9" w:rsidP="001924D8">
            <w:pPr>
              <w:pStyle w:val="ListParagraph"/>
              <w:numPr>
                <w:ilvl w:val="0"/>
                <w:numId w:val="35"/>
              </w:numPr>
            </w:pPr>
            <w:r>
              <w:rPr>
                <w:rFonts w:cstheme="minorHAnsi"/>
                <w:bCs/>
                <w:szCs w:val="20"/>
              </w:rPr>
              <w:t xml:space="preserve">Only electric measures from </w:t>
            </w:r>
            <w:r w:rsidRPr="008D20C9">
              <w:rPr>
                <w:rFonts w:cstheme="minorHAnsi"/>
                <w:bCs/>
                <w:szCs w:val="20"/>
              </w:rPr>
              <w:t>PGECOFST100 R6</w:t>
            </w:r>
            <w:r>
              <w:rPr>
                <w:rFonts w:cstheme="minorHAnsi"/>
                <w:bCs/>
                <w:szCs w:val="20"/>
              </w:rPr>
              <w:t xml:space="preserve"> are included in this version. </w:t>
            </w:r>
          </w:p>
        </w:tc>
      </w:tr>
      <w:tr w:rsidR="00F30167" w:rsidRPr="00500C4E" w14:paraId="38E2A981" w14:textId="77777777" w:rsidTr="008349C8">
        <w:trPr>
          <w:trHeight w:val="20"/>
        </w:trPr>
        <w:tc>
          <w:tcPr>
            <w:tcW w:w="280" w:type="pct"/>
            <w:tcBorders>
              <w:bottom w:val="single" w:sz="4" w:space="0" w:color="auto"/>
            </w:tcBorders>
          </w:tcPr>
          <w:p w14:paraId="400134FF" w14:textId="77777777" w:rsidR="00F30167" w:rsidRPr="00920905" w:rsidRDefault="00F30167" w:rsidP="005729C8">
            <w:pPr>
              <w:rPr>
                <w:rFonts w:cstheme="minorHAnsi"/>
                <w:color w:val="FF0000"/>
                <w:szCs w:val="20"/>
              </w:rPr>
            </w:pPr>
          </w:p>
        </w:tc>
        <w:tc>
          <w:tcPr>
            <w:tcW w:w="524" w:type="pct"/>
            <w:tcBorders>
              <w:bottom w:val="single" w:sz="4" w:space="0" w:color="auto"/>
            </w:tcBorders>
          </w:tcPr>
          <w:p w14:paraId="095AE57E" w14:textId="77777777" w:rsidR="00F30167" w:rsidRPr="00920905" w:rsidRDefault="00F30167" w:rsidP="005729C8">
            <w:pPr>
              <w:rPr>
                <w:rFonts w:cstheme="minorHAnsi"/>
                <w:color w:val="FF0000"/>
                <w:szCs w:val="20"/>
              </w:rPr>
            </w:pPr>
          </w:p>
        </w:tc>
        <w:tc>
          <w:tcPr>
            <w:tcW w:w="1407" w:type="pct"/>
            <w:tcBorders>
              <w:bottom w:val="single" w:sz="4" w:space="0" w:color="auto"/>
            </w:tcBorders>
          </w:tcPr>
          <w:p w14:paraId="7F22D7DB" w14:textId="77777777" w:rsidR="00F30167" w:rsidRPr="00920905" w:rsidRDefault="00F30167" w:rsidP="001B2301">
            <w:pPr>
              <w:rPr>
                <w:rFonts w:cstheme="minorHAnsi"/>
                <w:color w:val="FF0000"/>
                <w:szCs w:val="20"/>
              </w:rPr>
            </w:pPr>
          </w:p>
        </w:tc>
        <w:tc>
          <w:tcPr>
            <w:tcW w:w="2789" w:type="pct"/>
            <w:tcBorders>
              <w:bottom w:val="single" w:sz="4" w:space="0" w:color="auto"/>
            </w:tcBorders>
          </w:tcPr>
          <w:p w14:paraId="76BFD887" w14:textId="77777777" w:rsidR="00F30167" w:rsidRPr="00920905" w:rsidRDefault="00F30167" w:rsidP="00920905">
            <w:pPr>
              <w:pStyle w:val="NoSpacing"/>
              <w:rPr>
                <w:color w:val="FF0000"/>
              </w:rPr>
            </w:pPr>
          </w:p>
        </w:tc>
      </w:tr>
      <w:tr w:rsidR="003845E5" w:rsidRPr="00500C4E" w14:paraId="62DC1728" w14:textId="77777777" w:rsidTr="008349C8">
        <w:trPr>
          <w:trHeight w:val="20"/>
        </w:trPr>
        <w:tc>
          <w:tcPr>
            <w:tcW w:w="280" w:type="pct"/>
            <w:tcBorders>
              <w:bottom w:val="single" w:sz="4" w:space="0" w:color="auto"/>
            </w:tcBorders>
          </w:tcPr>
          <w:p w14:paraId="3E501C93" w14:textId="5277E1C7" w:rsidR="0036726C" w:rsidRPr="00500C4E" w:rsidRDefault="0036726C" w:rsidP="005729C8">
            <w:pPr>
              <w:rPr>
                <w:rFonts w:cstheme="minorHAnsi"/>
                <w:szCs w:val="20"/>
              </w:rPr>
            </w:pPr>
          </w:p>
        </w:tc>
        <w:tc>
          <w:tcPr>
            <w:tcW w:w="524" w:type="pct"/>
            <w:tcBorders>
              <w:bottom w:val="single" w:sz="4" w:space="0" w:color="auto"/>
            </w:tcBorders>
          </w:tcPr>
          <w:p w14:paraId="2265169C" w14:textId="18AD7BED" w:rsidR="0036726C" w:rsidRPr="00500C4E" w:rsidRDefault="0036726C" w:rsidP="005729C8">
            <w:pPr>
              <w:rPr>
                <w:rFonts w:cstheme="minorHAnsi"/>
                <w:szCs w:val="20"/>
              </w:rPr>
            </w:pPr>
          </w:p>
        </w:tc>
        <w:tc>
          <w:tcPr>
            <w:tcW w:w="1407" w:type="pct"/>
            <w:tcBorders>
              <w:bottom w:val="single" w:sz="4" w:space="0" w:color="auto"/>
            </w:tcBorders>
          </w:tcPr>
          <w:p w14:paraId="1B212508" w14:textId="587B991B" w:rsidR="0036726C" w:rsidRPr="00500C4E" w:rsidRDefault="0036726C" w:rsidP="005729C8">
            <w:pPr>
              <w:rPr>
                <w:rFonts w:cstheme="minorHAnsi"/>
                <w:szCs w:val="20"/>
              </w:rPr>
            </w:pPr>
          </w:p>
        </w:tc>
        <w:tc>
          <w:tcPr>
            <w:tcW w:w="2789" w:type="pct"/>
            <w:tcBorders>
              <w:bottom w:val="single" w:sz="4" w:space="0" w:color="auto"/>
            </w:tcBorders>
          </w:tcPr>
          <w:p w14:paraId="61966CE2" w14:textId="0F300EF1" w:rsidR="00F30167" w:rsidRPr="00500C4E" w:rsidRDefault="00F30167" w:rsidP="005729C8">
            <w:pPr>
              <w:rPr>
                <w:rFonts w:cstheme="minorHAnsi"/>
                <w:bCs/>
                <w:szCs w:val="20"/>
              </w:rPr>
            </w:pP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fldSimple w:instr=" SEQ Table \* ARABIC ">
        <w:r>
          <w:rPr>
            <w:noProof/>
          </w:rPr>
          <w:t>1</w:t>
        </w:r>
      </w:fldSimple>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4675"/>
        <w:gridCol w:w="4675"/>
      </w:tblGrid>
      <w:tr w:rsidR="009A2332" w14:paraId="3F9CA93E" w14:textId="77777777" w:rsidTr="009A2332">
        <w:trPr>
          <w:trHeight w:val="576"/>
          <w:tblHeader/>
        </w:trPr>
        <w:tc>
          <w:tcPr>
            <w:tcW w:w="467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467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9A2332">
        <w:trPr>
          <w:trHeight w:val="576"/>
        </w:trPr>
        <w:tc>
          <w:tcPr>
            <w:tcW w:w="4675" w:type="dxa"/>
          </w:tcPr>
          <w:p w14:paraId="7815901A" w14:textId="49098287" w:rsidR="009A2332" w:rsidRDefault="009A2332" w:rsidP="009A2332">
            <w:r>
              <w:rPr>
                <w:rStyle w:val="Strong"/>
                <w:rFonts w:asciiTheme="minorHAnsi" w:hAnsiTheme="minorHAnsi"/>
                <w:szCs w:val="22"/>
              </w:rPr>
              <w:t>Summary &amp; Purpose</w:t>
            </w:r>
          </w:p>
        </w:tc>
        <w:tc>
          <w:tcPr>
            <w:tcW w:w="4675" w:type="dxa"/>
          </w:tcPr>
          <w:p w14:paraId="6E463AD1" w14:textId="2F48AE08" w:rsidR="009A2332" w:rsidRDefault="008349C8" w:rsidP="000806F5">
            <w:r w:rsidRPr="008349C8">
              <w:t xml:space="preserve">This short form work paper documents the inputs for the </w:t>
            </w:r>
            <w:r>
              <w:t>e</w:t>
            </w:r>
            <w:r w:rsidRPr="008349C8">
              <w:t>nergy</w:t>
            </w:r>
            <w:r>
              <w:t xml:space="preserve"> e</w:t>
            </w:r>
            <w:r w:rsidRPr="008349C8">
              <w:t xml:space="preserve">fficient commercial electric combination oven measure.  The savings values are from </w:t>
            </w:r>
            <w:r w:rsidR="00616FA0">
              <w:t xml:space="preserve">PG&amp;E’s </w:t>
            </w:r>
            <w:proofErr w:type="spellStart"/>
            <w:r w:rsidR="00616FA0">
              <w:t>workpaper</w:t>
            </w:r>
            <w:proofErr w:type="spellEnd"/>
            <w:r w:rsidR="00616FA0">
              <w:t xml:space="preserve"> PG</w:t>
            </w:r>
            <w:r>
              <w:t>ECOFST100 R6</w:t>
            </w:r>
            <w:r w:rsidRPr="008349C8">
              <w:t xml:space="preserve"> –</w:t>
            </w:r>
            <w:r>
              <w:t xml:space="preserve"> </w:t>
            </w:r>
            <w:r w:rsidRPr="008349C8">
              <w:t xml:space="preserve">Commercial Combination Ovens/Steamer-Electric and Gas. </w:t>
            </w:r>
            <w:r w:rsidR="000806F5" w:rsidRPr="000806F5">
              <w:t>The electric combination oven/steamer must have a tested steam mode cooking energy efficiency of ≥50% and convection mode cooking energy efficiency of ≥70% utilizing American Society for Testing and Materials (ASTM) Standard F2861 and meet the idle rate requirements.</w:t>
            </w:r>
            <w:r w:rsidR="000806F5">
              <w:t xml:space="preserve"> </w:t>
            </w:r>
          </w:p>
        </w:tc>
      </w:tr>
      <w:tr w:rsidR="009A2332" w14:paraId="369C5B93" w14:textId="77777777" w:rsidTr="009A2332">
        <w:trPr>
          <w:trHeight w:val="576"/>
        </w:trPr>
        <w:tc>
          <w:tcPr>
            <w:tcW w:w="4675" w:type="dxa"/>
          </w:tcPr>
          <w:p w14:paraId="3E64C4BE" w14:textId="0CE1557B" w:rsidR="009A2332" w:rsidRDefault="009A2332" w:rsidP="009A2332">
            <w:r>
              <w:rPr>
                <w:rStyle w:val="Strong"/>
                <w:rFonts w:asciiTheme="minorHAnsi" w:hAnsiTheme="minorHAnsi"/>
                <w:szCs w:val="22"/>
              </w:rPr>
              <w:t>1.1 Measure &amp; Baseline</w:t>
            </w:r>
          </w:p>
        </w:tc>
        <w:tc>
          <w:tcPr>
            <w:tcW w:w="4675" w:type="dxa"/>
          </w:tcPr>
          <w:p w14:paraId="3ADC75B4" w14:textId="3252721D" w:rsidR="009A2332" w:rsidRDefault="008349C8" w:rsidP="009A2332">
            <w:r>
              <w:t>Please refer to Attachment #1 Calculation Templates for the list of measure solution codes and baseline condition.</w:t>
            </w:r>
          </w:p>
        </w:tc>
      </w:tr>
      <w:tr w:rsidR="009A2332" w14:paraId="7CE0AC9F" w14:textId="77777777" w:rsidTr="009A2332">
        <w:trPr>
          <w:trHeight w:val="576"/>
        </w:trPr>
        <w:tc>
          <w:tcPr>
            <w:tcW w:w="4675" w:type="dxa"/>
          </w:tcPr>
          <w:p w14:paraId="2771E06F" w14:textId="3B991165" w:rsidR="009A2332" w:rsidRDefault="009A2332" w:rsidP="009A2332">
            <w:r>
              <w:rPr>
                <w:rStyle w:val="Strong"/>
                <w:rFonts w:asciiTheme="minorHAnsi" w:hAnsiTheme="minorHAnsi"/>
                <w:szCs w:val="22"/>
              </w:rPr>
              <w:t>1.2 Technical Description</w:t>
            </w:r>
          </w:p>
        </w:tc>
        <w:tc>
          <w:tcPr>
            <w:tcW w:w="4675" w:type="dxa"/>
          </w:tcPr>
          <w:p w14:paraId="56BBC77B" w14:textId="77777777" w:rsidR="009A2332" w:rsidRDefault="009A2332" w:rsidP="009A2332"/>
        </w:tc>
      </w:tr>
      <w:tr w:rsidR="009A2332" w14:paraId="6A22A103" w14:textId="77777777" w:rsidTr="009A2332">
        <w:trPr>
          <w:trHeight w:val="576"/>
        </w:trPr>
        <w:tc>
          <w:tcPr>
            <w:tcW w:w="4675" w:type="dxa"/>
          </w:tcPr>
          <w:p w14:paraId="524B4207" w14:textId="7A3D34FE" w:rsidR="009A2332" w:rsidRDefault="009A2332" w:rsidP="009A2332">
            <w:r w:rsidRPr="009A2332">
              <w:rPr>
                <w:rStyle w:val="Strong"/>
                <w:rFonts w:asciiTheme="minorHAnsi" w:hAnsiTheme="minorHAnsi"/>
                <w:b w:val="0"/>
                <w:szCs w:val="22"/>
              </w:rPr>
              <w:t>Measures</w:t>
            </w:r>
          </w:p>
        </w:tc>
        <w:tc>
          <w:tcPr>
            <w:tcW w:w="4675" w:type="dxa"/>
          </w:tcPr>
          <w:p w14:paraId="7FBFF53A" w14:textId="66167C93" w:rsidR="00B05473" w:rsidRDefault="008349C8" w:rsidP="008349C8">
            <w:r>
              <w:t xml:space="preserve">FS-14121: </w:t>
            </w:r>
            <w:r w:rsidR="00B05473">
              <w:t xml:space="preserve"> </w:t>
            </w:r>
            <w:r w:rsidR="008D20C9" w:rsidRPr="008D20C9">
              <w:t xml:space="preserve">Electric </w:t>
            </w:r>
            <w:proofErr w:type="spellStart"/>
            <w:r w:rsidR="008D20C9" w:rsidRPr="008D20C9">
              <w:t>Combi</w:t>
            </w:r>
            <w:proofErr w:type="spellEnd"/>
            <w:r w:rsidR="008D20C9" w:rsidRPr="008D20C9">
              <w:t xml:space="preserve"> Oven &lt;15 pan capacity </w:t>
            </w:r>
            <w:r w:rsidR="00B05473">
              <w:t>(PGE</w:t>
            </w:r>
            <w:r w:rsidR="008D20C9">
              <w:t xml:space="preserve"> ID – HA16</w:t>
            </w:r>
            <w:r w:rsidR="00B05473">
              <w:t>)</w:t>
            </w:r>
          </w:p>
          <w:p w14:paraId="19B5E8F8" w14:textId="022FBC3E" w:rsidR="008349C8" w:rsidRDefault="000806F5" w:rsidP="008349C8">
            <w:r>
              <w:t>Energy Efficiency Commercial Electric Combination Oven (&lt; 15 pan capacity) with steam mode idle energy rate ≤ 5.0 kW and convention mode idle energy rate ≤ 2.0 kW</w:t>
            </w:r>
          </w:p>
          <w:p w14:paraId="057BEE37" w14:textId="77777777" w:rsidR="000806F5" w:rsidRDefault="000806F5" w:rsidP="008349C8"/>
          <w:p w14:paraId="7C5547E6" w14:textId="3B4F21F4" w:rsidR="00B05473" w:rsidRDefault="000806F5" w:rsidP="000806F5">
            <w:r>
              <w:t xml:space="preserve">FS-30956: </w:t>
            </w:r>
            <w:r w:rsidR="008D20C9" w:rsidRPr="008D20C9">
              <w:t xml:space="preserve">Electric </w:t>
            </w:r>
            <w:proofErr w:type="spellStart"/>
            <w:r w:rsidR="008D20C9" w:rsidRPr="008D20C9">
              <w:t>Combi</w:t>
            </w:r>
            <w:proofErr w:type="spellEnd"/>
            <w:r w:rsidR="008D20C9" w:rsidRPr="008D20C9">
              <w:t xml:space="preserve"> Oven 15−28 pan capacity </w:t>
            </w:r>
            <w:r w:rsidR="008D20C9">
              <w:t>(PGE ID – F100)</w:t>
            </w:r>
          </w:p>
          <w:p w14:paraId="6AB21A20" w14:textId="6EB4374B" w:rsidR="000806F5" w:rsidRDefault="000806F5" w:rsidP="000806F5">
            <w:r>
              <w:t>Energy Efficiency Commercial Electric Combination Oven (15-28 pan capacity) with steam mode idle energy rate ≤ 6.0 kW and convention mode idle energy rate ≤ 2.5 kW</w:t>
            </w:r>
          </w:p>
          <w:p w14:paraId="7E6E5B50" w14:textId="77777777" w:rsidR="000806F5" w:rsidRDefault="000806F5" w:rsidP="008349C8"/>
          <w:p w14:paraId="12BA2904" w14:textId="6E502C73" w:rsidR="00B05473" w:rsidRDefault="000806F5" w:rsidP="009A2332">
            <w:r>
              <w:t xml:space="preserve">FS-30956: </w:t>
            </w:r>
            <w:r w:rsidR="008D20C9" w:rsidRPr="008D20C9">
              <w:t xml:space="preserve">Electric </w:t>
            </w:r>
            <w:proofErr w:type="spellStart"/>
            <w:r w:rsidR="008D20C9" w:rsidRPr="008D20C9">
              <w:t>Combi</w:t>
            </w:r>
            <w:proofErr w:type="spellEnd"/>
            <w:r w:rsidR="008D20C9" w:rsidRPr="008D20C9">
              <w:t xml:space="preserve"> Oven &gt;28 pan capacity </w:t>
            </w:r>
            <w:r w:rsidR="008D20C9">
              <w:t>(PGE ID – HA19)</w:t>
            </w:r>
          </w:p>
          <w:p w14:paraId="325B601D" w14:textId="0AC4402B" w:rsidR="009A2332" w:rsidRDefault="000806F5" w:rsidP="009A2332">
            <w:r>
              <w:t>Energy Efficiency Commercial Electric Combination Oven (&gt; 28 pan capacity) with steam mode idle energy rate ≤ 9.0 kW and convention mode idle energy rate ≤ 4.0 kW</w:t>
            </w:r>
          </w:p>
          <w:p w14:paraId="2C30E089" w14:textId="77777777" w:rsidR="008349C8" w:rsidRDefault="008349C8" w:rsidP="009A2332"/>
        </w:tc>
      </w:tr>
      <w:tr w:rsidR="009A2332" w14:paraId="59049B71" w14:textId="77777777" w:rsidTr="009A2332">
        <w:trPr>
          <w:trHeight w:val="576"/>
        </w:trPr>
        <w:tc>
          <w:tcPr>
            <w:tcW w:w="4675" w:type="dxa"/>
          </w:tcPr>
          <w:p w14:paraId="4D87E79A" w14:textId="1926E44B" w:rsidR="009A2332" w:rsidRDefault="009A2332" w:rsidP="009A2332">
            <w:r w:rsidRPr="009A2332">
              <w:rPr>
                <w:rStyle w:val="Strong"/>
                <w:rFonts w:asciiTheme="minorHAnsi" w:hAnsiTheme="minorHAnsi"/>
                <w:b w:val="0"/>
                <w:szCs w:val="22"/>
              </w:rPr>
              <w:t>Code for All Measures</w:t>
            </w:r>
          </w:p>
        </w:tc>
        <w:tc>
          <w:tcPr>
            <w:tcW w:w="4675" w:type="dxa"/>
          </w:tcPr>
          <w:p w14:paraId="557B7096" w14:textId="77777777" w:rsidR="000806F5" w:rsidRDefault="000806F5" w:rsidP="000806F5">
            <w:r>
              <w:t xml:space="preserve">This measure is not governed by either state or federal codes and standards.  </w:t>
            </w:r>
          </w:p>
          <w:p w14:paraId="7B9B1A95" w14:textId="77777777" w:rsidR="000806F5" w:rsidRDefault="000806F5" w:rsidP="000806F5"/>
          <w:p w14:paraId="71CCCDEB" w14:textId="0D0D31A1" w:rsidR="009A2332" w:rsidRDefault="000806F5" w:rsidP="0004749C">
            <w:r>
              <w:lastRenderedPageBreak/>
              <w:t>The Energy S</w:t>
            </w:r>
            <w:r w:rsidR="0004749C">
              <w:t>tar Test Method for Commercial Electric Combination Oven</w:t>
            </w:r>
            <w:r>
              <w:t xml:space="preserve"> uses the ASTM </w:t>
            </w:r>
            <w:r w:rsidR="0018147E">
              <w:t>F2861-10</w:t>
            </w:r>
            <w:r>
              <w:t xml:space="preserve"> </w:t>
            </w:r>
            <w:r w:rsidR="0018147E" w:rsidRPr="0018147E">
              <w:t>Standard Test Method for Enhanced Performance of Combination Oven in Various Modes</w:t>
            </w:r>
            <w:r w:rsidR="0018147E">
              <w:t xml:space="preserve"> </w:t>
            </w:r>
            <w:r>
              <w:t>to estimate the energy consumption of both the base and measure case.</w:t>
            </w:r>
          </w:p>
        </w:tc>
      </w:tr>
      <w:tr w:rsidR="009A2332" w14:paraId="7696972E" w14:textId="77777777" w:rsidTr="009A2332">
        <w:trPr>
          <w:trHeight w:val="576"/>
        </w:trPr>
        <w:tc>
          <w:tcPr>
            <w:tcW w:w="4675" w:type="dxa"/>
          </w:tcPr>
          <w:p w14:paraId="20CC2D9F" w14:textId="0410DA01" w:rsidR="009A2332" w:rsidRDefault="009A2332" w:rsidP="009A2332">
            <w:r w:rsidRPr="009A2332">
              <w:rPr>
                <w:rStyle w:val="Strong"/>
                <w:rFonts w:asciiTheme="minorHAnsi" w:hAnsiTheme="minorHAnsi"/>
                <w:b w:val="0"/>
                <w:szCs w:val="22"/>
              </w:rPr>
              <w:lastRenderedPageBreak/>
              <w:t>Requirements</w:t>
            </w:r>
          </w:p>
        </w:tc>
        <w:tc>
          <w:tcPr>
            <w:tcW w:w="4675" w:type="dxa"/>
          </w:tcPr>
          <w:p w14:paraId="785A3FE4" w14:textId="2D5A7764" w:rsidR="00FF4A57" w:rsidRDefault="00FF4A57" w:rsidP="00FF4A57">
            <w:pPr>
              <w:pStyle w:val="ListParagraph"/>
              <w:numPr>
                <w:ilvl w:val="0"/>
                <w:numId w:val="37"/>
              </w:numPr>
              <w:ind w:left="342"/>
            </w:pPr>
            <w:r w:rsidRPr="002C01E3">
              <w:t xml:space="preserve">This measure includes new commercial </w:t>
            </w:r>
            <w:r>
              <w:t>electric combination ovens/steamers</w:t>
            </w:r>
            <w:r w:rsidRPr="002C01E3">
              <w:t xml:space="preserve"> that meet the qu</w:t>
            </w:r>
            <w:r>
              <w:t>alifications listed in Table 1 of PGECOFST100 Rev6.</w:t>
            </w:r>
          </w:p>
          <w:p w14:paraId="3951F8C0" w14:textId="77777777" w:rsidR="00FF4A57" w:rsidRDefault="00FF4A57" w:rsidP="00FF4A57">
            <w:pPr>
              <w:pStyle w:val="NoSpacing"/>
              <w:numPr>
                <w:ilvl w:val="0"/>
                <w:numId w:val="37"/>
              </w:numPr>
              <w:ind w:left="342"/>
            </w:pPr>
            <w:r w:rsidRPr="002C01E3">
              <w:t>Used or rebuilt equipment is not eligible.</w:t>
            </w:r>
          </w:p>
          <w:p w14:paraId="53FEF1FF" w14:textId="57C5FE11" w:rsidR="009A2332" w:rsidRDefault="00FF4A57" w:rsidP="00FF4A57">
            <w:pPr>
              <w:pStyle w:val="NoSpacing"/>
              <w:numPr>
                <w:ilvl w:val="0"/>
                <w:numId w:val="37"/>
              </w:numPr>
              <w:ind w:left="342"/>
            </w:pPr>
            <w:r w:rsidRPr="002C01E3">
              <w:t>Customers must provide proof that the appliance has the idle energy rate that meets the requirements.</w:t>
            </w:r>
          </w:p>
        </w:tc>
      </w:tr>
      <w:tr w:rsidR="009A2332" w14:paraId="40AF0DB1" w14:textId="77777777" w:rsidTr="009A2332">
        <w:trPr>
          <w:trHeight w:val="576"/>
        </w:trPr>
        <w:tc>
          <w:tcPr>
            <w:tcW w:w="4675" w:type="dxa"/>
          </w:tcPr>
          <w:p w14:paraId="0A32ADDC" w14:textId="15881A27" w:rsidR="009A2332" w:rsidRDefault="009A2332" w:rsidP="009A2332">
            <w:r>
              <w:rPr>
                <w:rStyle w:val="Strong"/>
                <w:rFonts w:asciiTheme="minorHAnsi" w:hAnsiTheme="minorHAnsi"/>
                <w:szCs w:val="22"/>
              </w:rPr>
              <w:t>1.3 Installation Type and Delivery Mechanisms</w:t>
            </w:r>
          </w:p>
        </w:tc>
        <w:tc>
          <w:tcPr>
            <w:tcW w:w="4675" w:type="dxa"/>
          </w:tcPr>
          <w:p w14:paraId="554484FF" w14:textId="77777777" w:rsidR="009A2332" w:rsidRDefault="009A2332" w:rsidP="009A2332"/>
        </w:tc>
      </w:tr>
      <w:tr w:rsidR="009A2332" w14:paraId="5D5B8844" w14:textId="77777777" w:rsidTr="009A2332">
        <w:trPr>
          <w:trHeight w:val="576"/>
        </w:trPr>
        <w:tc>
          <w:tcPr>
            <w:tcW w:w="4675" w:type="dxa"/>
          </w:tcPr>
          <w:p w14:paraId="75A73897" w14:textId="21601014" w:rsidR="009A2332" w:rsidRPr="00E43B71" w:rsidRDefault="009A2332" w:rsidP="009A2332">
            <w:r w:rsidRPr="00E43B71">
              <w:rPr>
                <w:rStyle w:val="Strong"/>
                <w:rFonts w:asciiTheme="minorHAnsi" w:hAnsiTheme="minorHAnsi"/>
                <w:b w:val="0"/>
                <w:szCs w:val="22"/>
              </w:rPr>
              <w:t>Installation Type</w:t>
            </w:r>
          </w:p>
        </w:tc>
        <w:tc>
          <w:tcPr>
            <w:tcW w:w="4675" w:type="dxa"/>
          </w:tcPr>
          <w:p w14:paraId="0F44FF3E" w14:textId="77777777" w:rsidR="009D2FBB" w:rsidRPr="00E43B71" w:rsidRDefault="009D2FBB" w:rsidP="009D2FBB">
            <w:r w:rsidRPr="00E43B71">
              <w:t>Replace on Burnout (ROB)</w:t>
            </w:r>
          </w:p>
          <w:p w14:paraId="2B32F7DC" w14:textId="213719EB" w:rsidR="009A2332" w:rsidRPr="00E43B71" w:rsidRDefault="00E43B71" w:rsidP="009D2FBB">
            <w:r w:rsidRPr="00E43B71">
              <w:t>New Construction (NEW/NC)</w:t>
            </w:r>
          </w:p>
        </w:tc>
      </w:tr>
      <w:tr w:rsidR="009A2332" w14:paraId="3CF006A0" w14:textId="77777777" w:rsidTr="00E43B71">
        <w:trPr>
          <w:trHeight w:val="576"/>
        </w:trPr>
        <w:tc>
          <w:tcPr>
            <w:tcW w:w="4675" w:type="dxa"/>
          </w:tcPr>
          <w:p w14:paraId="548E0861" w14:textId="7D5594CC" w:rsidR="009A2332" w:rsidRPr="00E43B71" w:rsidRDefault="009A2332" w:rsidP="009A2332">
            <w:r w:rsidRPr="00E43B71">
              <w:rPr>
                <w:rStyle w:val="Strong"/>
                <w:rFonts w:asciiTheme="minorHAnsi" w:hAnsiTheme="minorHAnsi"/>
                <w:b w:val="0"/>
                <w:szCs w:val="22"/>
              </w:rPr>
              <w:t>Delivery Mechanisms</w:t>
            </w:r>
          </w:p>
        </w:tc>
        <w:tc>
          <w:tcPr>
            <w:tcW w:w="4675" w:type="dxa"/>
            <w:shd w:val="clear" w:color="auto" w:fill="auto"/>
          </w:tcPr>
          <w:p w14:paraId="005E62EC" w14:textId="77777777" w:rsidR="009D2FBB" w:rsidRPr="00E43B71" w:rsidRDefault="009D2FBB" w:rsidP="009D2FBB">
            <w:r w:rsidRPr="00E43B71">
              <w:t>Down-Stream Incentive</w:t>
            </w:r>
          </w:p>
          <w:p w14:paraId="67E45078" w14:textId="5E9A0658" w:rsidR="009A2332" w:rsidRPr="00E43B71" w:rsidRDefault="009D2FBB" w:rsidP="009D2FBB">
            <w:r w:rsidRPr="00E43B71">
              <w:t>Mid-Stream Incentive</w:t>
            </w:r>
          </w:p>
        </w:tc>
      </w:tr>
      <w:tr w:rsidR="009A2332" w14:paraId="09F7817D" w14:textId="77777777" w:rsidTr="009A2332">
        <w:trPr>
          <w:trHeight w:val="576"/>
        </w:trPr>
        <w:tc>
          <w:tcPr>
            <w:tcW w:w="4675" w:type="dxa"/>
          </w:tcPr>
          <w:p w14:paraId="68DCF28E" w14:textId="573A4587" w:rsidR="009A2332" w:rsidRDefault="009A2332" w:rsidP="009A2332">
            <w:r>
              <w:rPr>
                <w:rStyle w:val="Strong"/>
                <w:rFonts w:asciiTheme="minorHAnsi" w:hAnsiTheme="minorHAnsi"/>
                <w:szCs w:val="22"/>
              </w:rPr>
              <w:t>1.4.1 DEER Data</w:t>
            </w:r>
          </w:p>
        </w:tc>
        <w:tc>
          <w:tcPr>
            <w:tcW w:w="4675" w:type="dxa"/>
          </w:tcPr>
          <w:p w14:paraId="7F520E32" w14:textId="77777777" w:rsidR="009A2332" w:rsidRDefault="009A2332" w:rsidP="009A2332"/>
        </w:tc>
      </w:tr>
      <w:tr w:rsidR="00E8495E" w14:paraId="51073860" w14:textId="77777777" w:rsidTr="009A2332">
        <w:trPr>
          <w:trHeight w:val="576"/>
        </w:trPr>
        <w:tc>
          <w:tcPr>
            <w:tcW w:w="4675" w:type="dxa"/>
          </w:tcPr>
          <w:p w14:paraId="07705888" w14:textId="718A29C7" w:rsidR="00E8495E" w:rsidRDefault="00E8495E" w:rsidP="00E8495E">
            <w:r w:rsidRPr="009A2332">
              <w:rPr>
                <w:rStyle w:val="Strong"/>
                <w:rFonts w:asciiTheme="minorHAnsi" w:hAnsiTheme="minorHAnsi"/>
                <w:b w:val="0"/>
                <w:szCs w:val="22"/>
              </w:rPr>
              <w:t>Net-Gross-Ratio</w:t>
            </w:r>
          </w:p>
        </w:tc>
        <w:tc>
          <w:tcPr>
            <w:tcW w:w="4675" w:type="dxa"/>
          </w:tcPr>
          <w:p w14:paraId="21648A82" w14:textId="77777777" w:rsidR="008D20C9" w:rsidRDefault="00E8495E" w:rsidP="00E8495E">
            <w:pPr>
              <w:rPr>
                <w:szCs w:val="20"/>
              </w:rPr>
            </w:pPr>
            <w:r w:rsidRPr="00E8495E">
              <w:rPr>
                <w:szCs w:val="20"/>
              </w:rPr>
              <w:t>Com-Default&gt;2yrs</w:t>
            </w:r>
          </w:p>
          <w:p w14:paraId="7C01181E" w14:textId="3F4420EB" w:rsidR="00E8495E" w:rsidRDefault="008D20C9" w:rsidP="00E8495E">
            <w:r>
              <w:t xml:space="preserve"> </w:t>
            </w:r>
            <w:proofErr w:type="spellStart"/>
            <w:r w:rsidRPr="008D20C9">
              <w:t>Ind</w:t>
            </w:r>
            <w:proofErr w:type="spellEnd"/>
            <w:r w:rsidRPr="008D20C9">
              <w:t>-Default&gt;2yrs</w:t>
            </w:r>
          </w:p>
        </w:tc>
      </w:tr>
      <w:tr w:rsidR="00E8495E" w14:paraId="7A4E17C4" w14:textId="77777777" w:rsidTr="009A2332">
        <w:trPr>
          <w:trHeight w:val="576"/>
        </w:trPr>
        <w:tc>
          <w:tcPr>
            <w:tcW w:w="4675" w:type="dxa"/>
          </w:tcPr>
          <w:p w14:paraId="08063215" w14:textId="5C719A0C" w:rsidR="00E8495E" w:rsidRDefault="00E8495E" w:rsidP="00E8495E">
            <w:r w:rsidRPr="009A2332">
              <w:rPr>
                <w:rStyle w:val="Strong"/>
                <w:rFonts w:asciiTheme="minorHAnsi" w:hAnsiTheme="minorHAnsi"/>
                <w:b w:val="0"/>
                <w:szCs w:val="22"/>
              </w:rPr>
              <w:t>Effective and Remaining Useful Life</w:t>
            </w:r>
          </w:p>
        </w:tc>
        <w:tc>
          <w:tcPr>
            <w:tcW w:w="4675" w:type="dxa"/>
          </w:tcPr>
          <w:p w14:paraId="70BC13BC" w14:textId="576F4A35" w:rsidR="00E8495E" w:rsidRDefault="00E8495E" w:rsidP="00E8495E">
            <w:r w:rsidRPr="00E8495E">
              <w:t>Cook-</w:t>
            </w:r>
            <w:proofErr w:type="spellStart"/>
            <w:r w:rsidRPr="00E8495E">
              <w:t>ElecCombOven</w:t>
            </w:r>
            <w:proofErr w:type="spellEnd"/>
            <w:r>
              <w:t>, EUL=12 years, RUL =4 years</w:t>
            </w:r>
          </w:p>
        </w:tc>
      </w:tr>
      <w:tr w:rsidR="00E8495E" w14:paraId="7C928286" w14:textId="77777777" w:rsidTr="009A2332">
        <w:trPr>
          <w:trHeight w:val="576"/>
        </w:trPr>
        <w:tc>
          <w:tcPr>
            <w:tcW w:w="4675" w:type="dxa"/>
          </w:tcPr>
          <w:p w14:paraId="6ECE75DB" w14:textId="0D2FA7C9" w:rsidR="00E8495E" w:rsidRDefault="00E8495E" w:rsidP="00E8495E">
            <w:r>
              <w:rPr>
                <w:rStyle w:val="Strong"/>
                <w:rFonts w:asciiTheme="minorHAnsi" w:hAnsiTheme="minorHAnsi"/>
                <w:szCs w:val="22"/>
              </w:rPr>
              <w:t>Section 2. Calculation Methodology</w:t>
            </w:r>
          </w:p>
        </w:tc>
        <w:tc>
          <w:tcPr>
            <w:tcW w:w="4675" w:type="dxa"/>
          </w:tcPr>
          <w:p w14:paraId="018C407C" w14:textId="77777777" w:rsidR="00E8495E" w:rsidRDefault="00E8495E" w:rsidP="00E8495E"/>
        </w:tc>
      </w:tr>
      <w:tr w:rsidR="00E8495E" w14:paraId="2060FD54" w14:textId="77777777" w:rsidTr="009A2332">
        <w:trPr>
          <w:trHeight w:val="576"/>
        </w:trPr>
        <w:tc>
          <w:tcPr>
            <w:tcW w:w="4675" w:type="dxa"/>
          </w:tcPr>
          <w:p w14:paraId="768E3560" w14:textId="7844934C" w:rsidR="00E8495E" w:rsidRDefault="00E8495E" w:rsidP="00E8495E">
            <w:r w:rsidRPr="009A2332">
              <w:rPr>
                <w:rStyle w:val="Strong"/>
                <w:rFonts w:asciiTheme="minorHAnsi" w:hAnsiTheme="minorHAnsi"/>
                <w:b w:val="0"/>
                <w:szCs w:val="22"/>
              </w:rPr>
              <w:t>Energy savings/Peak Demand Reduction – All Measures</w:t>
            </w:r>
          </w:p>
        </w:tc>
        <w:tc>
          <w:tcPr>
            <w:tcW w:w="4675" w:type="dxa"/>
          </w:tcPr>
          <w:p w14:paraId="4A442F28" w14:textId="114E780D" w:rsidR="00923F9B" w:rsidRPr="00923F9B" w:rsidRDefault="00923F9B" w:rsidP="00923F9B">
            <w:r w:rsidRPr="00923F9B">
              <w:t>Energy savings were developed using actual test data based on the calculation methods in ASTM Standard Test Method for the Performance of Combination Ovens in Various Modes (F2861) which use measured data under preheat, idle, and heavy-load cooking conditions.</w:t>
            </w:r>
            <w:r>
              <w:t xml:space="preserve"> The</w:t>
            </w:r>
            <w:r w:rsidRPr="00923F9B">
              <w:t xml:space="preserve"> ASTM performance parameters for </w:t>
            </w:r>
            <w:r>
              <w:t>base case</w:t>
            </w:r>
            <w:r w:rsidRPr="00923F9B">
              <w:t xml:space="preserve"> equipment were drawn from a sample of economy grade equipment tested by the Food Service Technology Center, on the Heavy-load potato test in ASTM F2861.  </w:t>
            </w:r>
            <w:r>
              <w:t xml:space="preserve">The Base Case ASTM Test Results for Commercial Combination Ovens are provided within Section 2.1 of PGECOFST100 Rev6. </w:t>
            </w:r>
            <w:r w:rsidRPr="00923F9B">
              <w:t xml:space="preserve">The measure case data was drawn from data generated by The PG&amp;E Food Service Technology Center in San Ramon, the Southern California Gas Company Foodservice Equipment Center in Downey, and the Southern California Edison Foodservice Technology Center in Irwindale. The lab-based test data was used to establish a measure case level that effectively differentiated between standard-efficiency models and energy-efficient models. The performance parameters used to determine the energy consumption for the measure case are summarized in </w:t>
            </w:r>
            <w:r>
              <w:t xml:space="preserve">the </w:t>
            </w:r>
            <w:r w:rsidRPr="00923F9B">
              <w:rPr>
                <w:rFonts w:cstheme="minorHAnsi"/>
                <w:i/>
                <w:szCs w:val="22"/>
              </w:rPr>
              <w:t>Measure Case ASTM Test Results for Commercial Combination Ovens</w:t>
            </w:r>
            <w:r>
              <w:rPr>
                <w:rFonts w:cstheme="minorHAnsi"/>
                <w:i/>
                <w:szCs w:val="22"/>
              </w:rPr>
              <w:t xml:space="preserve"> </w:t>
            </w:r>
            <w:r>
              <w:rPr>
                <w:rFonts w:cstheme="minorHAnsi"/>
                <w:szCs w:val="22"/>
              </w:rPr>
              <w:t xml:space="preserve">table within Section 2.1 </w:t>
            </w:r>
            <w:r>
              <w:t>of PGECOFST100 Rev6.</w:t>
            </w:r>
          </w:p>
          <w:p w14:paraId="1BD51D76" w14:textId="77777777" w:rsidR="00E8495E" w:rsidRDefault="00E8495E" w:rsidP="00E8495E"/>
          <w:p w14:paraId="2D794853" w14:textId="77777777" w:rsidR="00E8495E" w:rsidRDefault="00923F9B" w:rsidP="00923F9B">
            <w:r>
              <w:t>The demand reduction estimation is based on measured data for standard efficiency electric combination ovens and for high-efficiency combination ovens. The measured data are derived from tests conducted under ASTM Standard Test Method for the</w:t>
            </w:r>
            <w:r>
              <w:rPr>
                <w:rFonts w:ascii="Arial" w:hAnsi="Arial" w:cs="Arial"/>
                <w:i/>
                <w:iCs/>
              </w:rPr>
              <w:t xml:space="preserve"> </w:t>
            </w:r>
            <w:r>
              <w:t>Performance of Combination ovens (F2861).</w:t>
            </w:r>
          </w:p>
          <w:p w14:paraId="20D86DB9" w14:textId="77777777" w:rsidR="004930A7" w:rsidRDefault="004930A7" w:rsidP="00923F9B"/>
          <w:p w14:paraId="48A295FE" w14:textId="76EBC13E" w:rsidR="004930A7" w:rsidRDefault="004930A7" w:rsidP="00923F9B">
            <w:r>
              <w:t xml:space="preserve">Please refer to Section 2 of PGECOFST100 Rev6 for additional details and examples. </w:t>
            </w:r>
          </w:p>
        </w:tc>
      </w:tr>
      <w:tr w:rsidR="00E8495E" w14:paraId="79416F6B" w14:textId="77777777" w:rsidTr="009A2332">
        <w:trPr>
          <w:trHeight w:val="576"/>
        </w:trPr>
        <w:tc>
          <w:tcPr>
            <w:tcW w:w="4675" w:type="dxa"/>
          </w:tcPr>
          <w:p w14:paraId="63B2A37F" w14:textId="79D3BD2C" w:rsidR="00E8495E" w:rsidRDefault="00E8495E" w:rsidP="00E8495E">
            <w:r>
              <w:rPr>
                <w:rStyle w:val="Strong"/>
                <w:rFonts w:asciiTheme="minorHAnsi" w:hAnsiTheme="minorHAnsi"/>
                <w:szCs w:val="22"/>
              </w:rPr>
              <w:t>Section 3. Load Shapes</w:t>
            </w:r>
          </w:p>
        </w:tc>
        <w:tc>
          <w:tcPr>
            <w:tcW w:w="4675" w:type="dxa"/>
          </w:tcPr>
          <w:p w14:paraId="148ED8FE" w14:textId="2C220395" w:rsidR="00E8495E" w:rsidRDefault="00361410" w:rsidP="00E8495E">
            <w:proofErr w:type="spellStart"/>
            <w:r w:rsidRPr="00361410">
              <w:t>DEER:Indoor_Non-CFL_Ltg</w:t>
            </w:r>
            <w:proofErr w:type="spellEnd"/>
          </w:p>
          <w:p w14:paraId="2FF02E7E" w14:textId="77777777" w:rsidR="00361410" w:rsidRDefault="00361410" w:rsidP="00E8495E"/>
          <w:p w14:paraId="573722DD" w14:textId="25912135" w:rsidR="00E8495E" w:rsidRDefault="00E8495E" w:rsidP="0004749C">
            <w:r>
              <w:t xml:space="preserve">The load shape for commercial </w:t>
            </w:r>
            <w:r w:rsidR="004930A7">
              <w:t>electric combination ovens</w:t>
            </w:r>
            <w:r>
              <w:t xml:space="preserve"> differ</w:t>
            </w:r>
            <w:r w:rsidR="004930A7">
              <w:t xml:space="preserve"> among food service facilities depending </w:t>
            </w:r>
            <w:r w:rsidR="004930A7" w:rsidRPr="004930A7">
              <w:t>on daily menu variations, hours of operation, serving periods, day</w:t>
            </w:r>
            <w:r w:rsidR="004930A7">
              <w:t xml:space="preserve">-of-week, and facility location. </w:t>
            </w:r>
          </w:p>
        </w:tc>
      </w:tr>
      <w:tr w:rsidR="00E8495E" w14:paraId="0E2DA162" w14:textId="77777777" w:rsidTr="009A2332">
        <w:trPr>
          <w:trHeight w:val="576"/>
        </w:trPr>
        <w:tc>
          <w:tcPr>
            <w:tcW w:w="4675" w:type="dxa"/>
          </w:tcPr>
          <w:p w14:paraId="17E265C7" w14:textId="4B0D36D9" w:rsidR="00E8495E" w:rsidRDefault="00E8495E" w:rsidP="00E8495E">
            <w:r>
              <w:rPr>
                <w:rStyle w:val="Strong"/>
                <w:rFonts w:asciiTheme="minorHAnsi" w:hAnsiTheme="minorHAnsi"/>
                <w:szCs w:val="22"/>
              </w:rPr>
              <w:t>Section 4. Costs</w:t>
            </w:r>
          </w:p>
        </w:tc>
        <w:tc>
          <w:tcPr>
            <w:tcW w:w="4675" w:type="dxa"/>
          </w:tcPr>
          <w:p w14:paraId="636754D0" w14:textId="77777777" w:rsidR="00E8495E" w:rsidRDefault="00E8495E" w:rsidP="00E8495E"/>
        </w:tc>
      </w:tr>
      <w:tr w:rsidR="00E8495E" w14:paraId="00EA9279" w14:textId="77777777" w:rsidTr="009A2332">
        <w:trPr>
          <w:trHeight w:val="576"/>
        </w:trPr>
        <w:tc>
          <w:tcPr>
            <w:tcW w:w="4675" w:type="dxa"/>
          </w:tcPr>
          <w:p w14:paraId="448F5A7F" w14:textId="54FDF208" w:rsidR="00E8495E" w:rsidRDefault="00E8495E" w:rsidP="00E8495E">
            <w:r>
              <w:rPr>
                <w:rStyle w:val="Strong"/>
                <w:rFonts w:asciiTheme="minorHAnsi" w:hAnsiTheme="minorHAnsi"/>
                <w:szCs w:val="22"/>
              </w:rPr>
              <w:t>Section 4.1 Base and Measure Costs</w:t>
            </w:r>
          </w:p>
        </w:tc>
        <w:tc>
          <w:tcPr>
            <w:tcW w:w="4675" w:type="dxa"/>
          </w:tcPr>
          <w:p w14:paraId="4A8F9241" w14:textId="4AC99CC7" w:rsidR="00E8495E" w:rsidRDefault="00E8495E" w:rsidP="00E8495E">
            <w:r w:rsidRPr="009D727D">
              <w:t>Please refer to Attachment #1 Calculation Templates for detailed baseline and measure costs.</w:t>
            </w:r>
          </w:p>
        </w:tc>
      </w:tr>
    </w:tbl>
    <w:p w14:paraId="31A3A294" w14:textId="77777777" w:rsidR="009A2332" w:rsidRPr="009A2332" w:rsidRDefault="009A2332" w:rsidP="009A2332"/>
    <w:p w14:paraId="31DBEFB5" w14:textId="77777777" w:rsidR="009A2332" w:rsidRPr="009A2332" w:rsidRDefault="009A2332" w:rsidP="009A2332">
      <w:pPr>
        <w:spacing w:after="200" w:line="276" w:lineRule="auto"/>
        <w:rPr>
          <w:b/>
          <w:szCs w:val="20"/>
        </w:rPr>
      </w:pPr>
    </w:p>
    <w:p w14:paraId="554FD578" w14:textId="77777777" w:rsidR="00E8495E" w:rsidRPr="00EE365D" w:rsidRDefault="00E8495E" w:rsidP="00E8495E">
      <w:pPr>
        <w:spacing w:after="200" w:line="276" w:lineRule="auto"/>
        <w:rPr>
          <w:i/>
          <w:szCs w:val="20"/>
        </w:rPr>
      </w:pPr>
      <w:bookmarkStart w:id="3" w:name="_Toc214003099"/>
      <w:bookmarkEnd w:id="1"/>
      <w:r w:rsidRPr="00EE365D">
        <w:rPr>
          <w:i/>
          <w:szCs w:val="20"/>
        </w:rPr>
        <w:t xml:space="preserve">No Changes were required for this short form. The savings were simply transferred to SCE’s 2017 Calculation Template. </w:t>
      </w:r>
    </w:p>
    <w:p w14:paraId="37E9FBDB" w14:textId="6C5CDF3B" w:rsidR="00E16609" w:rsidRPr="000B6A5D" w:rsidRDefault="000B6A5D" w:rsidP="00EE5BD3">
      <w:pPr>
        <w:spacing w:after="200" w:line="276" w:lineRule="auto"/>
        <w:rPr>
          <w:b/>
          <w:sz w:val="36"/>
          <w:szCs w:val="36"/>
        </w:rPr>
      </w:pPr>
      <w:r w:rsidRPr="000B6A5D">
        <w:rPr>
          <w:b/>
          <w:sz w:val="36"/>
          <w:szCs w:val="36"/>
        </w:rPr>
        <w:t>Attachments:</w:t>
      </w:r>
    </w:p>
    <w:p w14:paraId="6A557B02" w14:textId="414FEA5C" w:rsidR="000B6A5D" w:rsidRPr="000B6A5D" w:rsidRDefault="000B6A5D" w:rsidP="000B6A5D">
      <w:pPr>
        <w:pStyle w:val="ListParagraph"/>
        <w:numPr>
          <w:ilvl w:val="0"/>
          <w:numId w:val="38"/>
        </w:numPr>
        <w:spacing w:after="200" w:line="276" w:lineRule="auto"/>
        <w:rPr>
          <w:szCs w:val="20"/>
        </w:rPr>
      </w:pPr>
      <w:r w:rsidRPr="000B6A5D">
        <w:rPr>
          <w:szCs w:val="20"/>
        </w:rPr>
        <w:t>A1 SCE17CC006.0 Calculat</w:t>
      </w:r>
      <w:bookmarkStart w:id="4" w:name="_GoBack"/>
      <w:bookmarkEnd w:id="4"/>
      <w:r w:rsidRPr="000B6A5D">
        <w:rPr>
          <w:szCs w:val="20"/>
        </w:rPr>
        <w:t>ion Template</w:t>
      </w:r>
    </w:p>
    <w:bookmarkEnd w:id="3"/>
    <w:sectPr w:rsidR="000B6A5D" w:rsidRPr="000B6A5D" w:rsidSect="00600B63">
      <w:footerReference w:type="default" r:id="rId10"/>
      <w:pgSz w:w="12240" w:h="15840"/>
      <w:pgMar w:top="1440" w:right="1440" w:bottom="1557" w:left="1440" w:header="720" w:footer="720" w:gutter="0"/>
      <w:pgNumType w:fmt="lowerRoman"/>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41468C" w15:done="0"/>
  <w15:commentEx w15:paraId="14C62480" w15:done="0"/>
  <w15:commentEx w15:paraId="06E38F53" w15:done="0"/>
  <w15:commentEx w15:paraId="73EC7048" w15:done="0"/>
  <w15:commentEx w15:paraId="215E8A0F" w15:done="0"/>
  <w15:commentEx w15:paraId="22D069BA" w15:paraIdParent="215E8A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74C38" w14:textId="77777777" w:rsidR="00F30167" w:rsidRDefault="00F30167" w:rsidP="00447D6E">
      <w:r>
        <w:separator/>
      </w:r>
    </w:p>
    <w:p w14:paraId="3993C521" w14:textId="77777777" w:rsidR="00F30167" w:rsidRDefault="00F30167"/>
  </w:endnote>
  <w:endnote w:type="continuationSeparator" w:id="0">
    <w:p w14:paraId="5BC65380" w14:textId="77777777" w:rsidR="00F30167" w:rsidRDefault="00F30167" w:rsidP="00447D6E">
      <w:r>
        <w:continuationSeparator/>
      </w:r>
    </w:p>
    <w:p w14:paraId="627E2D8A" w14:textId="77777777" w:rsidR="00F30167" w:rsidRDefault="00F30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5FAF2B10" w:rsidR="00F30167" w:rsidRPr="009500DC" w:rsidRDefault="000B6A5D"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600B63">
          <w:rPr>
            <w:rFonts w:cstheme="minorHAnsi"/>
            <w:b/>
            <w:sz w:val="20"/>
            <w:szCs w:val="20"/>
          </w:rPr>
          <w:t>SCE17CC006</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600B63">
          <w:rPr>
            <w:rFonts w:cstheme="minorHAnsi"/>
            <w:b/>
            <w:sz w:val="20"/>
            <w:szCs w:val="20"/>
          </w:rPr>
          <w:t>Revision 0</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Pr>
        <w:rFonts w:cstheme="minorHAnsi"/>
        <w:b/>
        <w:noProof/>
        <w:sz w:val="20"/>
        <w:szCs w:val="20"/>
      </w:rPr>
      <w:t>vi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1-28T00:00:00Z">
          <w:dateFormat w:val="MMMM d, yyyy"/>
          <w:lid w:val="en-US"/>
          <w:storeMappedDataAs w:val="dateTime"/>
          <w:calendar w:val="gregorian"/>
        </w:date>
      </w:sdtPr>
      <w:sdtEndPr/>
      <w:sdtContent>
        <w:r w:rsidR="00600B63">
          <w:rPr>
            <w:rFonts w:cstheme="minorHAnsi"/>
            <w:b/>
            <w:sz w:val="20"/>
            <w:szCs w:val="20"/>
          </w:rPr>
          <w:t>November 28, 2017</w:t>
        </w:r>
      </w:sdtContent>
    </w:sdt>
  </w:p>
  <w:p w14:paraId="43C07EA5" w14:textId="544E4323" w:rsidR="00F30167" w:rsidRPr="009500DC" w:rsidRDefault="000B6A5D"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4A6E4" w14:textId="77777777" w:rsidR="00F30167" w:rsidRDefault="00F30167" w:rsidP="00447D6E">
      <w:r>
        <w:separator/>
      </w:r>
    </w:p>
    <w:p w14:paraId="32B34063" w14:textId="77777777" w:rsidR="00F30167" w:rsidRDefault="00F30167"/>
  </w:footnote>
  <w:footnote w:type="continuationSeparator" w:id="0">
    <w:p w14:paraId="7220C6D0" w14:textId="77777777" w:rsidR="00F30167" w:rsidRDefault="00F30167" w:rsidP="00447D6E">
      <w:r>
        <w:continuationSeparator/>
      </w:r>
    </w:p>
    <w:p w14:paraId="6E77FF76" w14:textId="77777777" w:rsidR="00F30167" w:rsidRDefault="00F301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1DE45D5"/>
    <w:multiLevelType w:val="hybridMultilevel"/>
    <w:tmpl w:val="B0646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F4713B"/>
    <w:multiLevelType w:val="hybridMultilevel"/>
    <w:tmpl w:val="46CC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0"/>
  </w:num>
  <w:num w:numId="4">
    <w:abstractNumId w:val="18"/>
  </w:num>
  <w:num w:numId="5">
    <w:abstractNumId w:val="18"/>
  </w:num>
  <w:num w:numId="6">
    <w:abstractNumId w:val="2"/>
  </w:num>
  <w:num w:numId="7">
    <w:abstractNumId w:val="23"/>
  </w:num>
  <w:num w:numId="8">
    <w:abstractNumId w:val="19"/>
  </w:num>
  <w:num w:numId="9">
    <w:abstractNumId w:val="11"/>
  </w:num>
  <w:num w:numId="10">
    <w:abstractNumId w:val="5"/>
  </w:num>
  <w:num w:numId="11">
    <w:abstractNumId w:val="24"/>
  </w:num>
  <w:num w:numId="12">
    <w:abstractNumId w:val="17"/>
  </w:num>
  <w:num w:numId="13">
    <w:abstractNumId w:val="10"/>
  </w:num>
  <w:num w:numId="14">
    <w:abstractNumId w:val="32"/>
  </w:num>
  <w:num w:numId="15">
    <w:abstractNumId w:val="8"/>
  </w:num>
  <w:num w:numId="16">
    <w:abstractNumId w:val="12"/>
  </w:num>
  <w:num w:numId="17">
    <w:abstractNumId w:val="4"/>
  </w:num>
  <w:num w:numId="18">
    <w:abstractNumId w:val="0"/>
  </w:num>
  <w:num w:numId="19">
    <w:abstractNumId w:val="31"/>
  </w:num>
  <w:num w:numId="20">
    <w:abstractNumId w:val="3"/>
  </w:num>
  <w:num w:numId="21">
    <w:abstractNumId w:val="26"/>
  </w:num>
  <w:num w:numId="22">
    <w:abstractNumId w:val="27"/>
  </w:num>
  <w:num w:numId="23">
    <w:abstractNumId w:val="33"/>
  </w:num>
  <w:num w:numId="24">
    <w:abstractNumId w:val="30"/>
  </w:num>
  <w:num w:numId="25">
    <w:abstractNumId w:val="13"/>
  </w:num>
  <w:num w:numId="26">
    <w:abstractNumId w:val="16"/>
  </w:num>
  <w:num w:numId="27">
    <w:abstractNumId w:val="28"/>
  </w:num>
  <w:num w:numId="28">
    <w:abstractNumId w:val="15"/>
  </w:num>
  <w:num w:numId="29">
    <w:abstractNumId w:val="7"/>
  </w:num>
  <w:num w:numId="30">
    <w:abstractNumId w:val="1"/>
  </w:num>
  <w:num w:numId="31">
    <w:abstractNumId w:val="35"/>
  </w:num>
  <w:num w:numId="32">
    <w:abstractNumId w:val="25"/>
  </w:num>
  <w:num w:numId="33">
    <w:abstractNumId w:val="29"/>
  </w:num>
  <w:num w:numId="34">
    <w:abstractNumId w:val="9"/>
  </w:num>
  <w:num w:numId="35">
    <w:abstractNumId w:val="14"/>
  </w:num>
  <w:num w:numId="36">
    <w:abstractNumId w:val="6"/>
  </w:num>
  <w:num w:numId="37">
    <w:abstractNumId w:val="34"/>
  </w:num>
  <w:num w:numId="38">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ga, Kara">
    <w15:presenceInfo w15:providerId="AD" w15:userId="S-1-5-21-1786704334-1080620903-3496478664-3333"/>
  </w15:person>
  <w15:person w15:author="Jay Bhakta">
    <w15:presenceInfo w15:providerId="AD" w15:userId="S-1-5-21-2559334742-469970549-2024990295-1911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4749C"/>
    <w:rsid w:val="00050731"/>
    <w:rsid w:val="00052E17"/>
    <w:rsid w:val="00056947"/>
    <w:rsid w:val="00061A8E"/>
    <w:rsid w:val="00064CB3"/>
    <w:rsid w:val="00070BEE"/>
    <w:rsid w:val="00072040"/>
    <w:rsid w:val="00076DF4"/>
    <w:rsid w:val="00076F51"/>
    <w:rsid w:val="000806F5"/>
    <w:rsid w:val="0008524C"/>
    <w:rsid w:val="00086F7F"/>
    <w:rsid w:val="0009074D"/>
    <w:rsid w:val="0009592B"/>
    <w:rsid w:val="000968C6"/>
    <w:rsid w:val="000A63C9"/>
    <w:rsid w:val="000B3765"/>
    <w:rsid w:val="000B655B"/>
    <w:rsid w:val="000B6A5D"/>
    <w:rsid w:val="000C0000"/>
    <w:rsid w:val="000C18CC"/>
    <w:rsid w:val="000C687D"/>
    <w:rsid w:val="000C7ED1"/>
    <w:rsid w:val="000D789A"/>
    <w:rsid w:val="000E4B5F"/>
    <w:rsid w:val="000E706D"/>
    <w:rsid w:val="000F130A"/>
    <w:rsid w:val="000F4FD8"/>
    <w:rsid w:val="00107242"/>
    <w:rsid w:val="00111CC5"/>
    <w:rsid w:val="001206F7"/>
    <w:rsid w:val="001236C1"/>
    <w:rsid w:val="00133EE8"/>
    <w:rsid w:val="00140B30"/>
    <w:rsid w:val="00147155"/>
    <w:rsid w:val="00153CB3"/>
    <w:rsid w:val="00154C3B"/>
    <w:rsid w:val="00160158"/>
    <w:rsid w:val="00165357"/>
    <w:rsid w:val="001722B7"/>
    <w:rsid w:val="001727D9"/>
    <w:rsid w:val="00174BB4"/>
    <w:rsid w:val="00175D14"/>
    <w:rsid w:val="001811EE"/>
    <w:rsid w:val="0018147E"/>
    <w:rsid w:val="00185AD4"/>
    <w:rsid w:val="001924D8"/>
    <w:rsid w:val="00192E5D"/>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1410"/>
    <w:rsid w:val="00364CC6"/>
    <w:rsid w:val="003650F6"/>
    <w:rsid w:val="0036726C"/>
    <w:rsid w:val="003832D2"/>
    <w:rsid w:val="003845E5"/>
    <w:rsid w:val="00393137"/>
    <w:rsid w:val="0039615F"/>
    <w:rsid w:val="00397406"/>
    <w:rsid w:val="003A3170"/>
    <w:rsid w:val="003A360E"/>
    <w:rsid w:val="003D17FF"/>
    <w:rsid w:val="003D2871"/>
    <w:rsid w:val="003D2981"/>
    <w:rsid w:val="003D5B83"/>
    <w:rsid w:val="003E6E47"/>
    <w:rsid w:val="003F0623"/>
    <w:rsid w:val="003F0B91"/>
    <w:rsid w:val="003F33DE"/>
    <w:rsid w:val="003F3A41"/>
    <w:rsid w:val="003F67E9"/>
    <w:rsid w:val="00401031"/>
    <w:rsid w:val="004023B7"/>
    <w:rsid w:val="004045A0"/>
    <w:rsid w:val="00413CDB"/>
    <w:rsid w:val="00416E34"/>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0A7"/>
    <w:rsid w:val="00493457"/>
    <w:rsid w:val="00493951"/>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5CEC"/>
    <w:rsid w:val="0051020F"/>
    <w:rsid w:val="00513CAB"/>
    <w:rsid w:val="00516CF5"/>
    <w:rsid w:val="00523597"/>
    <w:rsid w:val="00523736"/>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76C0F"/>
    <w:rsid w:val="00585A47"/>
    <w:rsid w:val="00594EF5"/>
    <w:rsid w:val="005A0E53"/>
    <w:rsid w:val="005A1078"/>
    <w:rsid w:val="005A4658"/>
    <w:rsid w:val="005A496B"/>
    <w:rsid w:val="005B28C1"/>
    <w:rsid w:val="005B6344"/>
    <w:rsid w:val="005C1C74"/>
    <w:rsid w:val="005C2E48"/>
    <w:rsid w:val="005C3F23"/>
    <w:rsid w:val="005D4DD7"/>
    <w:rsid w:val="005E12A9"/>
    <w:rsid w:val="005F139E"/>
    <w:rsid w:val="005F69D5"/>
    <w:rsid w:val="00600B63"/>
    <w:rsid w:val="00602799"/>
    <w:rsid w:val="00602F18"/>
    <w:rsid w:val="00607C30"/>
    <w:rsid w:val="006110F3"/>
    <w:rsid w:val="00612041"/>
    <w:rsid w:val="00614AFF"/>
    <w:rsid w:val="00616FA0"/>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61FA"/>
    <w:rsid w:val="006F78D5"/>
    <w:rsid w:val="0070091B"/>
    <w:rsid w:val="007048AC"/>
    <w:rsid w:val="00726338"/>
    <w:rsid w:val="00726AD5"/>
    <w:rsid w:val="00733C7D"/>
    <w:rsid w:val="00740761"/>
    <w:rsid w:val="00745F77"/>
    <w:rsid w:val="007464DE"/>
    <w:rsid w:val="007529EA"/>
    <w:rsid w:val="00755A45"/>
    <w:rsid w:val="00760CDC"/>
    <w:rsid w:val="00764D0D"/>
    <w:rsid w:val="00777C53"/>
    <w:rsid w:val="00786E92"/>
    <w:rsid w:val="007933F1"/>
    <w:rsid w:val="007A5F52"/>
    <w:rsid w:val="007B090A"/>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49C8"/>
    <w:rsid w:val="00835D38"/>
    <w:rsid w:val="00843763"/>
    <w:rsid w:val="00847A4E"/>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D20C9"/>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23F9B"/>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332"/>
    <w:rsid w:val="009A2734"/>
    <w:rsid w:val="009B2A02"/>
    <w:rsid w:val="009B2B61"/>
    <w:rsid w:val="009B54DF"/>
    <w:rsid w:val="009B5B7B"/>
    <w:rsid w:val="009C1777"/>
    <w:rsid w:val="009C2C86"/>
    <w:rsid w:val="009C6FE0"/>
    <w:rsid w:val="009D0753"/>
    <w:rsid w:val="009D10A4"/>
    <w:rsid w:val="009D2FBB"/>
    <w:rsid w:val="009D38EB"/>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D4DD0"/>
    <w:rsid w:val="00AE0A8D"/>
    <w:rsid w:val="00AF6342"/>
    <w:rsid w:val="00B01437"/>
    <w:rsid w:val="00B053FB"/>
    <w:rsid w:val="00B05473"/>
    <w:rsid w:val="00B05647"/>
    <w:rsid w:val="00B07EE5"/>
    <w:rsid w:val="00B21CC5"/>
    <w:rsid w:val="00B26778"/>
    <w:rsid w:val="00B26B83"/>
    <w:rsid w:val="00B32479"/>
    <w:rsid w:val="00B33FE2"/>
    <w:rsid w:val="00B403ED"/>
    <w:rsid w:val="00B4065F"/>
    <w:rsid w:val="00B45091"/>
    <w:rsid w:val="00B45447"/>
    <w:rsid w:val="00B614F1"/>
    <w:rsid w:val="00B866B4"/>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3F65"/>
    <w:rsid w:val="00CF464D"/>
    <w:rsid w:val="00CF4EB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E5758"/>
    <w:rsid w:val="00DE57AB"/>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43B71"/>
    <w:rsid w:val="00E5625D"/>
    <w:rsid w:val="00E648BB"/>
    <w:rsid w:val="00E67ACA"/>
    <w:rsid w:val="00E76B31"/>
    <w:rsid w:val="00E81F3E"/>
    <w:rsid w:val="00E844BB"/>
    <w:rsid w:val="00E8495E"/>
    <w:rsid w:val="00E84C48"/>
    <w:rsid w:val="00E859BD"/>
    <w:rsid w:val="00E86B70"/>
    <w:rsid w:val="00E87C8F"/>
    <w:rsid w:val="00E924C3"/>
    <w:rsid w:val="00E954EE"/>
    <w:rsid w:val="00E96759"/>
    <w:rsid w:val="00EA4437"/>
    <w:rsid w:val="00EA4D87"/>
    <w:rsid w:val="00EB34FC"/>
    <w:rsid w:val="00EB76E1"/>
    <w:rsid w:val="00EC2499"/>
    <w:rsid w:val="00EE29DF"/>
    <w:rsid w:val="00EE4120"/>
    <w:rsid w:val="00EE5BD3"/>
    <w:rsid w:val="00EF2E8A"/>
    <w:rsid w:val="00EF4E6B"/>
    <w:rsid w:val="00EF5416"/>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D5A8C"/>
    <w:rsid w:val="00FE286E"/>
    <w:rsid w:val="00FE3233"/>
    <w:rsid w:val="00FE4C68"/>
    <w:rsid w:val="00FE5FAF"/>
    <w:rsid w:val="00FE6D74"/>
    <w:rsid w:val="00FF4A57"/>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560392"/>
    <w:rsid w:val="006B7FA8"/>
    <w:rsid w:val="008211B5"/>
    <w:rsid w:val="0087465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29978A-ED33-4475-98CE-8F6A3BF14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6</Pages>
  <Words>813</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SCE17CC006</vt:lpstr>
    </vt:vector>
  </TitlesOfParts>
  <Company>Southern California Edison</Company>
  <LinksUpToDate>false</LinksUpToDate>
  <CharactersWithSpaces>5439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SCE17CC006</dc:title>
  <dc:creator>Jim Wyatt (PG&amp;E);Jason Wang (SCE)</dc:creator>
  <cp:lastModifiedBy>Ajay Wadhera</cp:lastModifiedBy>
  <cp:revision>34</cp:revision>
  <dcterms:created xsi:type="dcterms:W3CDTF">2015-07-21T23:33:00Z</dcterms:created>
  <dcterms:modified xsi:type="dcterms:W3CDTF">2017-12-18T22:31:00Z</dcterms:modified>
  <cp:contentStatus>Revision 0</cp:contentStatus>
</cp:coreProperties>
</file>