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522CFB71"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A2332">
            <w:t>17</w:t>
          </w:r>
          <w:r w:rsidR="00F12BF2">
            <w:t>CC004</w:t>
          </w:r>
        </w:sdtContent>
      </w:sdt>
    </w:p>
    <w:bookmarkEnd w:id="0"/>
    <w:p w14:paraId="7601CE2F" w14:textId="2DCC6337" w:rsidR="00DA690B" w:rsidRPr="00500C4E" w:rsidRDefault="00AA777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12BF2">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AA777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7C2F58E7" w:rsidR="00E76B31" w:rsidRPr="00500C4E" w:rsidRDefault="00F12BF2" w:rsidP="00E76B31">
      <w:pPr>
        <w:pStyle w:val="Reminders"/>
        <w:rPr>
          <w:rFonts w:asciiTheme="minorHAnsi" w:hAnsiTheme="minorHAnsi" w:cstheme="minorHAnsi"/>
          <w:i w:val="0"/>
          <w:szCs w:val="22"/>
        </w:rPr>
      </w:pPr>
      <w:r w:rsidRPr="00F12BF2">
        <w:rPr>
          <w:rFonts w:asciiTheme="minorHAnsi" w:hAnsiTheme="minorHAnsi" w:cstheme="minorHAnsi"/>
          <w:b/>
          <w:i w:val="0"/>
          <w:color w:val="auto"/>
          <w:sz w:val="72"/>
          <w:szCs w:val="72"/>
        </w:rPr>
        <w:t xml:space="preserve">Commercial </w:t>
      </w:r>
      <w:r>
        <w:rPr>
          <w:rFonts w:asciiTheme="minorHAnsi" w:hAnsiTheme="minorHAnsi" w:cstheme="minorHAnsi"/>
          <w:b/>
          <w:i w:val="0"/>
          <w:color w:val="auto"/>
          <w:sz w:val="72"/>
          <w:szCs w:val="72"/>
        </w:rPr>
        <w:t>Electric Fryers</w:t>
      </w:r>
      <w:r w:rsidRPr="00F12BF2">
        <w:rPr>
          <w:rFonts w:asciiTheme="minorHAnsi" w:hAnsiTheme="minorHAnsi" w:cstheme="minorHAnsi"/>
          <w:b/>
          <w:i w:val="0"/>
          <w:color w:val="auto"/>
          <w:sz w:val="72"/>
          <w:szCs w:val="72"/>
        </w:rPr>
        <w:t xml:space="preserve"> </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78940EFD" w14:textId="3A57FC13" w:rsidR="00F30167" w:rsidRPr="00F12BF2" w:rsidRDefault="00F12BF2" w:rsidP="00F30167">
      <w:pPr>
        <w:pStyle w:val="Reminders"/>
        <w:rPr>
          <w:rFonts w:asciiTheme="minorHAnsi" w:hAnsiTheme="minorHAnsi" w:cstheme="minorHAnsi"/>
          <w:i w:val="0"/>
          <w:color w:val="auto"/>
          <w:sz w:val="24"/>
        </w:rPr>
      </w:pPr>
      <w:r w:rsidRPr="00F12BF2">
        <w:rPr>
          <w:rFonts w:asciiTheme="minorHAnsi" w:hAnsiTheme="minorHAnsi" w:cstheme="minorHAnsi"/>
          <w:i w:val="0"/>
          <w:color w:val="auto"/>
          <w:sz w:val="24"/>
        </w:rPr>
        <w:t>This short form workpaper documents the values adopted from PGE’s WP entitled “Commercial Fryer-Electric and Gas” (PGECOFST</w:t>
      </w:r>
      <w:r>
        <w:rPr>
          <w:rFonts w:asciiTheme="minorHAnsi" w:hAnsiTheme="minorHAnsi" w:cstheme="minorHAnsi"/>
          <w:i w:val="0"/>
          <w:color w:val="auto"/>
          <w:sz w:val="24"/>
        </w:rPr>
        <w:t>102 R6</w:t>
      </w:r>
      <w:r w:rsidRPr="00F12BF2">
        <w:rPr>
          <w:rFonts w:asciiTheme="minorHAnsi" w:hAnsiTheme="minorHAnsi" w:cstheme="minorHAnsi"/>
          <w:i w:val="0"/>
          <w:color w:val="auto"/>
          <w:sz w:val="24"/>
        </w:rPr>
        <w:t>). SCE adopts all the values in PGECOFST</w:t>
      </w:r>
      <w:r>
        <w:rPr>
          <w:rFonts w:asciiTheme="minorHAnsi" w:hAnsiTheme="minorHAnsi" w:cstheme="minorHAnsi"/>
          <w:i w:val="0"/>
          <w:color w:val="auto"/>
          <w:sz w:val="24"/>
        </w:rPr>
        <w:t xml:space="preserve">102 </w:t>
      </w:r>
      <w:r w:rsidRPr="00F12BF2">
        <w:rPr>
          <w:rFonts w:asciiTheme="minorHAnsi" w:hAnsiTheme="minorHAnsi" w:cstheme="minorHAnsi"/>
          <w:i w:val="0"/>
          <w:color w:val="auto"/>
          <w:sz w:val="24"/>
        </w:rPr>
        <w:t>R</w:t>
      </w:r>
      <w:r>
        <w:rPr>
          <w:rFonts w:asciiTheme="minorHAnsi" w:hAnsiTheme="minorHAnsi" w:cstheme="minorHAnsi"/>
          <w:i w:val="0"/>
          <w:color w:val="auto"/>
          <w:sz w:val="24"/>
        </w:rPr>
        <w:t>6</w:t>
      </w:r>
      <w:r w:rsidRPr="00F12BF2">
        <w:rPr>
          <w:rFonts w:asciiTheme="minorHAnsi" w:hAnsiTheme="minorHAnsi" w:cstheme="minorHAnsi"/>
          <w:i w:val="0"/>
          <w:color w:val="auto"/>
          <w:sz w:val="24"/>
        </w:rPr>
        <w:t xml:space="preserve"> with no changes</w:t>
      </w:r>
      <w:r>
        <w:rPr>
          <w:rFonts w:asciiTheme="minorHAnsi" w:hAnsiTheme="minorHAnsi" w:cstheme="minorHAnsi"/>
          <w:i w:val="0"/>
          <w:color w:val="auto"/>
          <w:sz w:val="24"/>
        </w:rPr>
        <w:t xml:space="preserve">. </w:t>
      </w:r>
    </w:p>
    <w:p w14:paraId="1A0C60DA" w14:textId="77777777" w:rsidR="00F30167" w:rsidRPr="00F30167" w:rsidRDefault="00F30167" w:rsidP="00F30167">
      <w:pPr>
        <w:pStyle w:val="Reminders"/>
        <w:rPr>
          <w:rFonts w:asciiTheme="minorHAnsi" w:hAnsiTheme="minorHAnsi" w:cstheme="minorHAnsi"/>
          <w:i w:val="0"/>
          <w:color w:val="auto"/>
          <w:sz w:val="28"/>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41"/>
        <w:gridCol w:w="979"/>
        <w:gridCol w:w="1424"/>
        <w:gridCol w:w="6632"/>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5C6E409D" w:rsidR="00933188" w:rsidRPr="00F12BF2" w:rsidRDefault="00F12BF2" w:rsidP="005729C8">
            <w:pPr>
              <w:rPr>
                <w:rFonts w:cstheme="minorHAnsi"/>
                <w:szCs w:val="20"/>
              </w:rPr>
            </w:pPr>
            <w:r w:rsidRPr="00F12BF2">
              <w:rPr>
                <w:rFonts w:cstheme="minorHAnsi"/>
                <w:szCs w:val="20"/>
              </w:rPr>
              <w:t>0</w:t>
            </w:r>
          </w:p>
        </w:tc>
        <w:tc>
          <w:tcPr>
            <w:tcW w:w="510" w:type="pct"/>
          </w:tcPr>
          <w:p w14:paraId="68BA349C" w14:textId="24284986" w:rsidR="00933188" w:rsidRPr="00F12BF2" w:rsidRDefault="00721E5A" w:rsidP="005729C8">
            <w:pPr>
              <w:rPr>
                <w:rFonts w:cstheme="minorHAnsi"/>
                <w:szCs w:val="20"/>
              </w:rPr>
            </w:pPr>
            <w:r>
              <w:rPr>
                <w:rFonts w:cstheme="minorHAnsi"/>
                <w:szCs w:val="20"/>
              </w:rPr>
              <w:t>11/29</w:t>
            </w:r>
            <w:r w:rsidR="00F12BF2" w:rsidRPr="00F12BF2">
              <w:rPr>
                <w:rFonts w:cstheme="minorHAnsi"/>
                <w:szCs w:val="20"/>
              </w:rPr>
              <w:t>/17</w:t>
            </w:r>
          </w:p>
        </w:tc>
        <w:tc>
          <w:tcPr>
            <w:tcW w:w="744" w:type="pct"/>
          </w:tcPr>
          <w:p w14:paraId="4A812BB3" w14:textId="17586D53" w:rsidR="00933188" w:rsidRPr="00F12BF2" w:rsidRDefault="00F12BF2" w:rsidP="001B2301">
            <w:pPr>
              <w:rPr>
                <w:rFonts w:cstheme="minorHAnsi"/>
                <w:szCs w:val="20"/>
              </w:rPr>
            </w:pPr>
            <w:r w:rsidRPr="00F12BF2">
              <w:rPr>
                <w:rFonts w:cstheme="minorHAnsi"/>
                <w:szCs w:val="20"/>
              </w:rPr>
              <w:t>Kara Vega (TRC)</w:t>
            </w:r>
          </w:p>
        </w:tc>
        <w:tc>
          <w:tcPr>
            <w:tcW w:w="3463" w:type="pct"/>
          </w:tcPr>
          <w:p w14:paraId="035ED949" w14:textId="77777777" w:rsidR="00F12BF2" w:rsidRDefault="00F12BF2" w:rsidP="00F12BF2">
            <w:pPr>
              <w:pStyle w:val="ListParagraph"/>
              <w:numPr>
                <w:ilvl w:val="0"/>
                <w:numId w:val="35"/>
              </w:numPr>
              <w:rPr>
                <w:rFonts w:cstheme="minorHAnsi"/>
                <w:bCs/>
                <w:szCs w:val="20"/>
              </w:rPr>
            </w:pPr>
            <w:r w:rsidRPr="00F12BF2">
              <w:rPr>
                <w:rFonts w:cstheme="minorHAnsi"/>
                <w:bCs/>
                <w:szCs w:val="20"/>
              </w:rPr>
              <w:t xml:space="preserve">Transferred savings values to SCE Calculation template for the 2017 program year. </w:t>
            </w:r>
          </w:p>
          <w:p w14:paraId="523D11EB" w14:textId="40295464" w:rsidR="00F12BF2" w:rsidRDefault="00F12BF2" w:rsidP="0036371A">
            <w:pPr>
              <w:pStyle w:val="ListParagraph"/>
              <w:numPr>
                <w:ilvl w:val="0"/>
                <w:numId w:val="35"/>
              </w:numPr>
              <w:rPr>
                <w:rFonts w:cstheme="minorHAnsi"/>
                <w:bCs/>
                <w:szCs w:val="20"/>
              </w:rPr>
            </w:pPr>
            <w:r w:rsidRPr="00F12BF2">
              <w:rPr>
                <w:rFonts w:cstheme="minorHAnsi"/>
                <w:bCs/>
                <w:szCs w:val="20"/>
              </w:rPr>
              <w:t>Mid-stream incentive method was added in this revision of the workpaper.</w:t>
            </w:r>
          </w:p>
          <w:p w14:paraId="38994CEE" w14:textId="77777777" w:rsidR="0036726C" w:rsidRPr="00721E5A" w:rsidRDefault="005A73CC" w:rsidP="005A73CC">
            <w:pPr>
              <w:pStyle w:val="ListParagraph"/>
              <w:numPr>
                <w:ilvl w:val="0"/>
                <w:numId w:val="35"/>
              </w:numPr>
            </w:pPr>
            <w:r w:rsidRPr="005A73CC">
              <w:rPr>
                <w:rFonts w:cstheme="minorHAnsi"/>
                <w:bCs/>
                <w:szCs w:val="20"/>
              </w:rPr>
              <w:t>All 16 climate zones were used in this version.</w:t>
            </w:r>
          </w:p>
          <w:p w14:paraId="34F0A8ED" w14:textId="6BC31562" w:rsidR="00721E5A" w:rsidRPr="00F12BF2" w:rsidRDefault="00721E5A" w:rsidP="00721E5A">
            <w:pPr>
              <w:pStyle w:val="ListParagraph"/>
              <w:numPr>
                <w:ilvl w:val="0"/>
                <w:numId w:val="35"/>
              </w:numPr>
            </w:pPr>
            <w:r w:rsidRPr="00721E5A">
              <w:t>Only el</w:t>
            </w:r>
            <w:r>
              <w:t>ectric measures from PGECOFST102</w:t>
            </w:r>
            <w:r w:rsidRPr="00721E5A">
              <w:t xml:space="preserve"> R6 are included in this version.</w:t>
            </w:r>
          </w:p>
        </w:tc>
      </w:tr>
      <w:tr w:rsidR="00F30167" w:rsidRPr="00500C4E" w14:paraId="38E2A981" w14:textId="77777777" w:rsidTr="00F30167">
        <w:trPr>
          <w:trHeight w:val="20"/>
        </w:trPr>
        <w:tc>
          <w:tcPr>
            <w:tcW w:w="283" w:type="pct"/>
            <w:tcBorders>
              <w:bottom w:val="single" w:sz="4" w:space="0" w:color="auto"/>
            </w:tcBorders>
          </w:tcPr>
          <w:p w14:paraId="400134FF" w14:textId="77777777" w:rsidR="00F30167" w:rsidRPr="00920905" w:rsidRDefault="00F30167" w:rsidP="005729C8">
            <w:pPr>
              <w:rPr>
                <w:rFonts w:cstheme="minorHAnsi"/>
                <w:color w:val="FF0000"/>
                <w:szCs w:val="20"/>
              </w:rPr>
            </w:pPr>
          </w:p>
        </w:tc>
        <w:tc>
          <w:tcPr>
            <w:tcW w:w="510" w:type="pct"/>
            <w:tcBorders>
              <w:bottom w:val="single" w:sz="4" w:space="0" w:color="auto"/>
            </w:tcBorders>
          </w:tcPr>
          <w:p w14:paraId="095AE57E" w14:textId="77777777" w:rsidR="00F30167" w:rsidRPr="00920905" w:rsidRDefault="00F30167" w:rsidP="005729C8">
            <w:pPr>
              <w:rPr>
                <w:rFonts w:cstheme="minorHAnsi"/>
                <w:color w:val="FF0000"/>
                <w:szCs w:val="20"/>
              </w:rPr>
            </w:pPr>
          </w:p>
        </w:tc>
        <w:tc>
          <w:tcPr>
            <w:tcW w:w="744" w:type="pct"/>
            <w:tcBorders>
              <w:bottom w:val="single" w:sz="4" w:space="0" w:color="auto"/>
            </w:tcBorders>
          </w:tcPr>
          <w:p w14:paraId="7F22D7DB" w14:textId="77777777" w:rsidR="00F30167" w:rsidRPr="00920905" w:rsidRDefault="00F30167" w:rsidP="001B2301">
            <w:pPr>
              <w:rPr>
                <w:rFonts w:cstheme="minorHAnsi"/>
                <w:color w:val="FF0000"/>
                <w:szCs w:val="20"/>
              </w:rPr>
            </w:pPr>
          </w:p>
        </w:tc>
        <w:tc>
          <w:tcPr>
            <w:tcW w:w="3463" w:type="pct"/>
            <w:tcBorders>
              <w:bottom w:val="single" w:sz="4" w:space="0" w:color="auto"/>
            </w:tcBorders>
          </w:tcPr>
          <w:p w14:paraId="76BFD887" w14:textId="77777777" w:rsidR="00F30167" w:rsidRPr="00920905" w:rsidRDefault="00F30167" w:rsidP="00920905">
            <w:pPr>
              <w:pStyle w:val="NoSpacing"/>
              <w:rPr>
                <w:color w:val="FF0000"/>
              </w:rPr>
            </w:pPr>
          </w:p>
        </w:tc>
      </w:tr>
      <w:tr w:rsidR="003845E5" w:rsidRPr="00500C4E" w14:paraId="62DC1728" w14:textId="77777777" w:rsidTr="00F30167">
        <w:trPr>
          <w:trHeight w:val="20"/>
        </w:trPr>
        <w:tc>
          <w:tcPr>
            <w:tcW w:w="283" w:type="pct"/>
            <w:tcBorders>
              <w:bottom w:val="single" w:sz="4" w:space="0" w:color="auto"/>
            </w:tcBorders>
          </w:tcPr>
          <w:p w14:paraId="3E501C93" w14:textId="5AA01B90" w:rsidR="0036726C" w:rsidRPr="00500C4E" w:rsidRDefault="0036726C" w:rsidP="005729C8">
            <w:pPr>
              <w:rPr>
                <w:rFonts w:cstheme="minorHAnsi"/>
                <w:szCs w:val="20"/>
              </w:rPr>
            </w:pPr>
          </w:p>
        </w:tc>
        <w:tc>
          <w:tcPr>
            <w:tcW w:w="510" w:type="pct"/>
            <w:tcBorders>
              <w:bottom w:val="single" w:sz="4" w:space="0" w:color="auto"/>
            </w:tcBorders>
          </w:tcPr>
          <w:p w14:paraId="2265169C" w14:textId="1E09020B" w:rsidR="0036726C" w:rsidRPr="00500C4E" w:rsidRDefault="0036726C" w:rsidP="005729C8">
            <w:pPr>
              <w:rPr>
                <w:rFonts w:cstheme="minorHAnsi"/>
                <w:szCs w:val="20"/>
              </w:rPr>
            </w:pPr>
          </w:p>
        </w:tc>
        <w:tc>
          <w:tcPr>
            <w:tcW w:w="744" w:type="pct"/>
            <w:tcBorders>
              <w:bottom w:val="single" w:sz="4" w:space="0" w:color="auto"/>
            </w:tcBorders>
          </w:tcPr>
          <w:p w14:paraId="1B212508" w14:textId="3666BA62" w:rsidR="0036726C" w:rsidRPr="00500C4E" w:rsidRDefault="0036726C" w:rsidP="005729C8">
            <w:pPr>
              <w:rPr>
                <w:rFonts w:cstheme="minorHAnsi"/>
                <w:szCs w:val="20"/>
              </w:rPr>
            </w:pPr>
          </w:p>
        </w:tc>
        <w:tc>
          <w:tcPr>
            <w:tcW w:w="3463" w:type="pct"/>
            <w:tcBorders>
              <w:bottom w:val="single" w:sz="4" w:space="0" w:color="auto"/>
            </w:tcBorders>
          </w:tcPr>
          <w:p w14:paraId="61966CE2" w14:textId="0F300EF1" w:rsidR="00F30167" w:rsidRPr="00500C4E" w:rsidRDefault="00F30167" w:rsidP="005729C8">
            <w:pPr>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fldSimple w:instr=" SEQ Table \* ARABIC ">
        <w:r>
          <w:rPr>
            <w:noProof/>
          </w:rPr>
          <w:t>1</w:t>
        </w:r>
      </w:fldSimple>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A2332">
        <w:trPr>
          <w:trHeight w:val="576"/>
        </w:trPr>
        <w:tc>
          <w:tcPr>
            <w:tcW w:w="4675" w:type="dxa"/>
          </w:tcPr>
          <w:p w14:paraId="7815901A" w14:textId="49098287" w:rsidR="009A2332" w:rsidRDefault="009A2332" w:rsidP="009A2332">
            <w:r>
              <w:rPr>
                <w:rStyle w:val="Strong"/>
                <w:rFonts w:asciiTheme="minorHAnsi" w:hAnsiTheme="minorHAnsi"/>
                <w:szCs w:val="22"/>
              </w:rPr>
              <w:t>Summary &amp; Purpose</w:t>
            </w:r>
          </w:p>
        </w:tc>
        <w:tc>
          <w:tcPr>
            <w:tcW w:w="4675" w:type="dxa"/>
          </w:tcPr>
          <w:p w14:paraId="6E463AD1" w14:textId="2756C7E9" w:rsidR="00110198" w:rsidRDefault="00F12BF2" w:rsidP="00110198">
            <w:r w:rsidRPr="00F12BF2">
              <w:t xml:space="preserve">This short form work paper documents the inputs for the </w:t>
            </w:r>
            <w:r>
              <w:t>high efficiency commercial electric f</w:t>
            </w:r>
            <w:r w:rsidRPr="00F12BF2">
              <w:t>ryers measure.  The savings values are from PG&amp;E’s workpaper PFECOFST</w:t>
            </w:r>
            <w:r>
              <w:t>102</w:t>
            </w:r>
            <w:r w:rsidRPr="00F12BF2">
              <w:t xml:space="preserve"> R</w:t>
            </w:r>
            <w:r>
              <w:t xml:space="preserve">6 </w:t>
            </w:r>
            <w:r w:rsidRPr="00F12BF2">
              <w:t>–</w:t>
            </w:r>
            <w:r>
              <w:t xml:space="preserve"> </w:t>
            </w:r>
            <w:r w:rsidRPr="00F12BF2">
              <w:t>Commercial Fryer-Electric and Gas</w:t>
            </w:r>
            <w:r>
              <w:t xml:space="preserve"> document</w:t>
            </w:r>
            <w:r w:rsidRPr="00F12BF2">
              <w:t xml:space="preserve">. </w:t>
            </w:r>
            <w:r w:rsidR="00110198" w:rsidRPr="00110198">
              <w:t>Commercial fryers are among the most common pieces of cooking equipment in commercial food service facilities. Recent advances in equipment design have produced fryers that operate more efficiently, quickly, safely and conveniently.</w:t>
            </w:r>
            <w:r w:rsidR="00110198">
              <w:t xml:space="preserve"> </w:t>
            </w:r>
            <w:r w:rsidR="00110198" w:rsidRPr="00110198">
              <w:t>Energy efficient fryers that have earned the ENERGY STAR® qualification offer shorter cook times and higher production rates.</w:t>
            </w:r>
          </w:p>
        </w:tc>
      </w:tr>
      <w:tr w:rsidR="009A2332" w14:paraId="369C5B93" w14:textId="77777777" w:rsidTr="009A2332">
        <w:trPr>
          <w:trHeight w:val="576"/>
        </w:trPr>
        <w:tc>
          <w:tcPr>
            <w:tcW w:w="4675" w:type="dxa"/>
          </w:tcPr>
          <w:p w14:paraId="3E64C4BE" w14:textId="0CE1557B" w:rsidR="009A2332" w:rsidRDefault="009A2332" w:rsidP="009A2332">
            <w:r>
              <w:rPr>
                <w:rStyle w:val="Strong"/>
                <w:rFonts w:asciiTheme="minorHAnsi" w:hAnsiTheme="minorHAnsi"/>
                <w:szCs w:val="22"/>
              </w:rPr>
              <w:t>1.1 Measure &amp; Baseline</w:t>
            </w:r>
          </w:p>
        </w:tc>
        <w:tc>
          <w:tcPr>
            <w:tcW w:w="4675" w:type="dxa"/>
          </w:tcPr>
          <w:p w14:paraId="3ADC75B4" w14:textId="16A7A45C" w:rsidR="009A2332" w:rsidRDefault="00F12BF2" w:rsidP="009A2332">
            <w:r w:rsidRPr="00F12BF2">
              <w:t>Please refer to Attachment #1 Calculation Templates for the list of measure solution codes and baseline condition.</w:t>
            </w:r>
          </w:p>
        </w:tc>
      </w:tr>
      <w:tr w:rsidR="009A2332" w14:paraId="7CE0AC9F" w14:textId="77777777" w:rsidTr="009A2332">
        <w:trPr>
          <w:trHeight w:val="576"/>
        </w:trPr>
        <w:tc>
          <w:tcPr>
            <w:tcW w:w="4675" w:type="dxa"/>
          </w:tcPr>
          <w:p w14:paraId="2771E06F" w14:textId="3B991165" w:rsidR="009A2332" w:rsidRDefault="009A2332" w:rsidP="009A2332">
            <w:r>
              <w:rPr>
                <w:rStyle w:val="Strong"/>
                <w:rFonts w:asciiTheme="minorHAnsi" w:hAnsiTheme="minorHAnsi"/>
                <w:szCs w:val="22"/>
              </w:rPr>
              <w:t>1.2 Technical Description</w:t>
            </w:r>
          </w:p>
        </w:tc>
        <w:tc>
          <w:tcPr>
            <w:tcW w:w="4675" w:type="dxa"/>
          </w:tcPr>
          <w:p w14:paraId="56BBC77B" w14:textId="77777777" w:rsidR="009A2332" w:rsidRDefault="009A2332" w:rsidP="009A2332"/>
        </w:tc>
      </w:tr>
      <w:tr w:rsidR="009A2332" w14:paraId="6A22A103" w14:textId="77777777" w:rsidTr="009A2332">
        <w:trPr>
          <w:trHeight w:val="576"/>
        </w:trPr>
        <w:tc>
          <w:tcPr>
            <w:tcW w:w="4675" w:type="dxa"/>
          </w:tcPr>
          <w:p w14:paraId="524B4207" w14:textId="7A3D34FE" w:rsidR="009A2332" w:rsidRDefault="009A2332" w:rsidP="009A2332">
            <w:r w:rsidRPr="009A2332">
              <w:rPr>
                <w:rStyle w:val="Strong"/>
                <w:rFonts w:asciiTheme="minorHAnsi" w:hAnsiTheme="minorHAnsi"/>
                <w:b w:val="0"/>
                <w:szCs w:val="22"/>
              </w:rPr>
              <w:t>Measures</w:t>
            </w:r>
          </w:p>
        </w:tc>
        <w:tc>
          <w:tcPr>
            <w:tcW w:w="4675" w:type="dxa"/>
          </w:tcPr>
          <w:p w14:paraId="34F38EA7" w14:textId="6034BCA0" w:rsidR="00396C40" w:rsidRPr="00396C40" w:rsidRDefault="00F12BF2" w:rsidP="00F12BF2">
            <w:r w:rsidRPr="00396C40">
              <w:rPr>
                <w:b/>
              </w:rPr>
              <w:t xml:space="preserve">FS-57892: </w:t>
            </w:r>
            <w:r w:rsidR="005D797E" w:rsidRPr="005D797E">
              <w:rPr>
                <w:b/>
              </w:rPr>
              <w:t xml:space="preserve">Commercial Electric </w:t>
            </w:r>
            <w:r w:rsidR="005D797E">
              <w:rPr>
                <w:b/>
              </w:rPr>
              <w:t xml:space="preserve">Fryer: Cooking Efficiency ≥ 80% </w:t>
            </w:r>
            <w:r w:rsidR="00396C40">
              <w:t>(PGE ID F205)</w:t>
            </w:r>
          </w:p>
          <w:p w14:paraId="7227F328" w14:textId="2519F717" w:rsidR="00F12BF2" w:rsidRDefault="00F12BF2" w:rsidP="00F12BF2">
            <w:r>
              <w:rPr>
                <w:rFonts w:cstheme="minorHAnsi"/>
                <w:szCs w:val="20"/>
              </w:rPr>
              <w:t>Commercial Electric Fryer</w:t>
            </w:r>
            <w:r w:rsidR="004859FD">
              <w:rPr>
                <w:rFonts w:cstheme="minorHAnsi"/>
                <w:szCs w:val="20"/>
              </w:rPr>
              <w:t xml:space="preserve"> </w:t>
            </w:r>
            <w:r w:rsidR="00396C40">
              <w:rPr>
                <w:rFonts w:cstheme="minorHAnsi"/>
                <w:szCs w:val="20"/>
              </w:rPr>
              <w:t xml:space="preserve">that are </w:t>
            </w:r>
            <w:r w:rsidR="00396C40" w:rsidRPr="004859FD">
              <w:t xml:space="preserve">ENERGY STAR® qualified </w:t>
            </w:r>
            <w:r w:rsidR="00396C40">
              <w:t xml:space="preserve">or have a </w:t>
            </w:r>
            <w:r>
              <w:rPr>
                <w:rFonts w:cstheme="minorHAnsi"/>
                <w:szCs w:val="20"/>
              </w:rPr>
              <w:t>Cooking Efficiency ≥ 80%</w:t>
            </w:r>
            <w:r w:rsidR="00880164">
              <w:rPr>
                <w:rFonts w:cstheme="minorHAnsi"/>
                <w:szCs w:val="20"/>
              </w:rPr>
              <w:t xml:space="preserve"> </w:t>
            </w:r>
          </w:p>
          <w:p w14:paraId="2C30E089" w14:textId="77777777" w:rsidR="009A2332" w:rsidRDefault="009A2332" w:rsidP="009A2332"/>
        </w:tc>
      </w:tr>
      <w:tr w:rsidR="009A2332" w14:paraId="59049B71" w14:textId="77777777" w:rsidTr="009A2332">
        <w:trPr>
          <w:trHeight w:val="576"/>
        </w:trPr>
        <w:tc>
          <w:tcPr>
            <w:tcW w:w="467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4675" w:type="dxa"/>
          </w:tcPr>
          <w:p w14:paraId="220FD721" w14:textId="77777777" w:rsidR="004859FD" w:rsidRDefault="004859FD" w:rsidP="004859FD">
            <w:r>
              <w:t xml:space="preserve">This measure is not governed by either state or federal codes and standards.  </w:t>
            </w:r>
          </w:p>
          <w:p w14:paraId="54BCDC43" w14:textId="77777777" w:rsidR="004859FD" w:rsidRDefault="004859FD" w:rsidP="004859FD"/>
          <w:p w14:paraId="71CCCDEB" w14:textId="437FFD14" w:rsidR="009A2332" w:rsidRDefault="004859FD" w:rsidP="004859FD">
            <w:r>
              <w:t>ASTM Standard Test Method for the Performance of Open Deep Fat Fryers (F1361) and Large Vat Fryers (F2144) were used estimate the energy consumption of both the base and measure case.</w:t>
            </w:r>
          </w:p>
        </w:tc>
      </w:tr>
      <w:tr w:rsidR="009A2332" w14:paraId="7696972E" w14:textId="77777777" w:rsidTr="009A2332">
        <w:trPr>
          <w:trHeight w:val="576"/>
        </w:trPr>
        <w:tc>
          <w:tcPr>
            <w:tcW w:w="4675" w:type="dxa"/>
          </w:tcPr>
          <w:p w14:paraId="20CC2D9F" w14:textId="0410DA01" w:rsidR="009A2332" w:rsidRDefault="009A2332" w:rsidP="009A2332">
            <w:r w:rsidRPr="009A2332">
              <w:rPr>
                <w:rStyle w:val="Strong"/>
                <w:rFonts w:asciiTheme="minorHAnsi" w:hAnsiTheme="minorHAnsi"/>
                <w:b w:val="0"/>
                <w:szCs w:val="22"/>
              </w:rPr>
              <w:t>Requirements</w:t>
            </w:r>
          </w:p>
        </w:tc>
        <w:tc>
          <w:tcPr>
            <w:tcW w:w="4675" w:type="dxa"/>
          </w:tcPr>
          <w:p w14:paraId="14EE9E1C" w14:textId="0F296E4B" w:rsidR="004859FD" w:rsidRDefault="004859FD" w:rsidP="00880164">
            <w:pPr>
              <w:pStyle w:val="ListParagraph"/>
              <w:numPr>
                <w:ilvl w:val="0"/>
                <w:numId w:val="37"/>
              </w:numPr>
              <w:ind w:left="342"/>
            </w:pPr>
            <w:r w:rsidRPr="002C01E3">
              <w:t xml:space="preserve">This measure includes new </w:t>
            </w:r>
            <w:r w:rsidRPr="004859FD">
              <w:t>commercial fryers that are ENERGY STAR® qualified or</w:t>
            </w:r>
            <w:r w:rsidR="00880164">
              <w:t xml:space="preserve"> meet the qualifications listed in Table 1 of PGECOFST102 Rev6.</w:t>
            </w:r>
          </w:p>
          <w:p w14:paraId="47541825" w14:textId="77777777" w:rsidR="004859FD" w:rsidRDefault="004859FD" w:rsidP="004859FD">
            <w:pPr>
              <w:pStyle w:val="ListParagraph"/>
              <w:numPr>
                <w:ilvl w:val="0"/>
                <w:numId w:val="37"/>
              </w:numPr>
              <w:ind w:left="342"/>
            </w:pPr>
            <w:r w:rsidRPr="002C01E3">
              <w:t>Used or rebuilt equipment is not eligible.</w:t>
            </w:r>
          </w:p>
          <w:p w14:paraId="53FEF1FF" w14:textId="2D7128FF" w:rsidR="004859FD" w:rsidRDefault="004859FD" w:rsidP="00ED7EC3">
            <w:pPr>
              <w:pStyle w:val="ListParagraph"/>
              <w:numPr>
                <w:ilvl w:val="0"/>
                <w:numId w:val="37"/>
              </w:numPr>
              <w:ind w:left="342"/>
            </w:pPr>
            <w:r w:rsidRPr="002C01E3">
              <w:t xml:space="preserve">Customers must provide proof that the appliance </w:t>
            </w:r>
            <w:r w:rsidR="00ED7EC3">
              <w:t xml:space="preserve">is </w:t>
            </w:r>
            <w:r w:rsidR="00ED7EC3" w:rsidRPr="004859FD">
              <w:t>ENERGY STAR® qualified or</w:t>
            </w:r>
            <w:r w:rsidR="00ED7EC3">
              <w:t xml:space="preserve"> meet the qualifications listed in Table 1 of PGECOFST102 Rev6.</w:t>
            </w:r>
          </w:p>
        </w:tc>
      </w:tr>
      <w:tr w:rsidR="009A2332" w14:paraId="40AF0DB1" w14:textId="77777777" w:rsidTr="009A2332">
        <w:trPr>
          <w:trHeight w:val="576"/>
        </w:trPr>
        <w:tc>
          <w:tcPr>
            <w:tcW w:w="467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4675" w:type="dxa"/>
          </w:tcPr>
          <w:p w14:paraId="554484FF" w14:textId="77777777" w:rsidR="009A2332" w:rsidRDefault="009A2332" w:rsidP="009A2332"/>
        </w:tc>
      </w:tr>
      <w:tr w:rsidR="009A2332" w14:paraId="5D5B8844" w14:textId="77777777" w:rsidTr="009A2332">
        <w:trPr>
          <w:trHeight w:val="576"/>
        </w:trPr>
        <w:tc>
          <w:tcPr>
            <w:tcW w:w="467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4675" w:type="dxa"/>
          </w:tcPr>
          <w:p w14:paraId="6081E2B5" w14:textId="77777777" w:rsidR="00880164" w:rsidRDefault="00880164" w:rsidP="00880164">
            <w:r>
              <w:t>Replace on Burnout (ROB)</w:t>
            </w:r>
          </w:p>
          <w:p w14:paraId="2B32F7DC" w14:textId="71E31337" w:rsidR="009A2332" w:rsidRDefault="00880164" w:rsidP="00880164">
            <w:r>
              <w:t>New Construction (NEW/NC)</w:t>
            </w:r>
          </w:p>
        </w:tc>
      </w:tr>
      <w:tr w:rsidR="009A2332" w14:paraId="3CF006A0" w14:textId="77777777" w:rsidTr="009A2332">
        <w:trPr>
          <w:trHeight w:val="576"/>
        </w:trPr>
        <w:tc>
          <w:tcPr>
            <w:tcW w:w="467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4675" w:type="dxa"/>
          </w:tcPr>
          <w:p w14:paraId="1195BA66" w14:textId="77777777" w:rsidR="00880164" w:rsidRDefault="00880164" w:rsidP="00880164">
            <w:r>
              <w:t>Down-Stream Incentive</w:t>
            </w:r>
          </w:p>
          <w:p w14:paraId="67E45078" w14:textId="16EDD472" w:rsidR="009A2332" w:rsidRDefault="00880164" w:rsidP="00880164">
            <w:r>
              <w:t>Mid-Stream Incentive</w:t>
            </w:r>
          </w:p>
        </w:tc>
      </w:tr>
      <w:tr w:rsidR="009A2332" w14:paraId="09F7817D" w14:textId="77777777" w:rsidTr="009A2332">
        <w:trPr>
          <w:trHeight w:val="576"/>
        </w:trPr>
        <w:tc>
          <w:tcPr>
            <w:tcW w:w="4675" w:type="dxa"/>
          </w:tcPr>
          <w:p w14:paraId="68DCF28E" w14:textId="573A4587" w:rsidR="009A2332" w:rsidRDefault="009A2332" w:rsidP="009A2332">
            <w:r>
              <w:rPr>
                <w:rStyle w:val="Strong"/>
                <w:rFonts w:asciiTheme="minorHAnsi" w:hAnsiTheme="minorHAnsi"/>
                <w:szCs w:val="22"/>
              </w:rPr>
              <w:t>1.4.1 DEER Data</w:t>
            </w:r>
          </w:p>
        </w:tc>
        <w:tc>
          <w:tcPr>
            <w:tcW w:w="4675" w:type="dxa"/>
          </w:tcPr>
          <w:p w14:paraId="7F520E32" w14:textId="77777777" w:rsidR="009A2332" w:rsidRDefault="009A2332" w:rsidP="009A2332"/>
        </w:tc>
      </w:tr>
      <w:tr w:rsidR="009A2332" w14:paraId="51073860" w14:textId="77777777" w:rsidTr="009A2332">
        <w:trPr>
          <w:trHeight w:val="576"/>
        </w:trPr>
        <w:tc>
          <w:tcPr>
            <w:tcW w:w="4675" w:type="dxa"/>
          </w:tcPr>
          <w:p w14:paraId="07705888" w14:textId="718A29C7" w:rsidR="009A2332" w:rsidRDefault="009A2332" w:rsidP="009A2332">
            <w:r w:rsidRPr="009A2332">
              <w:rPr>
                <w:rStyle w:val="Strong"/>
                <w:rFonts w:asciiTheme="minorHAnsi" w:hAnsiTheme="minorHAnsi"/>
                <w:b w:val="0"/>
                <w:szCs w:val="22"/>
              </w:rPr>
              <w:t>Net-Gross-Ratio</w:t>
            </w:r>
          </w:p>
        </w:tc>
        <w:tc>
          <w:tcPr>
            <w:tcW w:w="4675" w:type="dxa"/>
          </w:tcPr>
          <w:p w14:paraId="7C01181E" w14:textId="7E7B900E" w:rsidR="009A2332" w:rsidRDefault="006558B3" w:rsidP="009A2332">
            <w:r w:rsidRPr="006558B3">
              <w:t>Com-Default&gt;2yrs</w:t>
            </w:r>
          </w:p>
        </w:tc>
      </w:tr>
      <w:tr w:rsidR="009A2332" w14:paraId="7A4E17C4" w14:textId="77777777" w:rsidTr="009A2332">
        <w:trPr>
          <w:trHeight w:val="576"/>
        </w:trPr>
        <w:tc>
          <w:tcPr>
            <w:tcW w:w="467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4675" w:type="dxa"/>
          </w:tcPr>
          <w:p w14:paraId="70BC13BC" w14:textId="21B90501" w:rsidR="009A2332" w:rsidRDefault="006558B3" w:rsidP="009A2332">
            <w:r w:rsidRPr="006558B3">
              <w:t xml:space="preserve">Cook- </w:t>
            </w:r>
            <w:proofErr w:type="spellStart"/>
            <w:r w:rsidRPr="006558B3">
              <w:t>ElecFryer</w:t>
            </w:r>
            <w:proofErr w:type="spellEnd"/>
            <w:r>
              <w:t>, EUL=12 years, RUL=4 years</w:t>
            </w:r>
          </w:p>
        </w:tc>
      </w:tr>
      <w:tr w:rsidR="009A2332" w14:paraId="7C928286" w14:textId="77777777" w:rsidTr="009A2332">
        <w:trPr>
          <w:trHeight w:val="576"/>
        </w:trPr>
        <w:tc>
          <w:tcPr>
            <w:tcW w:w="4675" w:type="dxa"/>
          </w:tcPr>
          <w:p w14:paraId="6ECE75DB" w14:textId="0D2FA7C9" w:rsidR="009A2332" w:rsidRDefault="009A2332" w:rsidP="009A2332">
            <w:r>
              <w:rPr>
                <w:rStyle w:val="Strong"/>
                <w:rFonts w:asciiTheme="minorHAnsi" w:hAnsiTheme="minorHAnsi"/>
                <w:szCs w:val="22"/>
              </w:rPr>
              <w:t>Section 2. Calculation Methodology</w:t>
            </w:r>
          </w:p>
        </w:tc>
        <w:tc>
          <w:tcPr>
            <w:tcW w:w="4675" w:type="dxa"/>
          </w:tcPr>
          <w:p w14:paraId="018C407C" w14:textId="77777777" w:rsidR="009A2332" w:rsidRDefault="009A2332" w:rsidP="009A2332"/>
        </w:tc>
      </w:tr>
      <w:tr w:rsidR="009A2332" w14:paraId="2060FD54" w14:textId="77777777" w:rsidTr="009A2332">
        <w:trPr>
          <w:trHeight w:val="576"/>
        </w:trPr>
        <w:tc>
          <w:tcPr>
            <w:tcW w:w="467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4675" w:type="dxa"/>
          </w:tcPr>
          <w:p w14:paraId="45EA0347" w14:textId="0E9AEFE5" w:rsidR="00A94FE4" w:rsidRDefault="00A94FE4" w:rsidP="00A94FE4">
            <w:r w:rsidRPr="00923F9B">
              <w:t xml:space="preserve">Energy savings were developed using actual test data based on the calculation methods in ASTM Standard Test Method for the </w:t>
            </w:r>
            <w:r w:rsidRPr="00A94FE4">
              <w:t>Performance of Open Deep Fat Fryers (F1361) and ASTM Standard Test Method for the Performance of Large Vat Fryers (F2144)</w:t>
            </w:r>
            <w:r>
              <w:t xml:space="preserve">. </w:t>
            </w:r>
            <w:r w:rsidRPr="00A94FE4">
              <w:t xml:space="preserve">Table 10 </w:t>
            </w:r>
            <w:r>
              <w:t>of PGECOFST102 Rev6 provides</w:t>
            </w:r>
            <w:r w:rsidRPr="00A94FE4">
              <w:t xml:space="preserve"> an example of the calculation results for electric fryers based on ASTM test results.</w:t>
            </w:r>
          </w:p>
          <w:p w14:paraId="1AF77BF5" w14:textId="77777777" w:rsidR="00A94FE4" w:rsidRDefault="00A94FE4" w:rsidP="00A94FE4"/>
          <w:p w14:paraId="235B1A15" w14:textId="34D58EDC" w:rsidR="00A94FE4" w:rsidRDefault="00A94FE4" w:rsidP="00A94FE4">
            <w:r w:rsidRPr="00A94FE4">
              <w:t xml:space="preserve">The UES (Unit Energy Savings) savings </w:t>
            </w:r>
            <w:r>
              <w:t>were</w:t>
            </w:r>
            <w:r w:rsidRPr="00A94FE4">
              <w:t xml:space="preserve"> adjusted based on Decision 11-07-030</w:t>
            </w:r>
            <w:r>
              <w:t xml:space="preserve"> and the</w:t>
            </w:r>
            <w:r w:rsidRPr="00A94FE4">
              <w:t xml:space="preserve"> final claimable UES numbers</w:t>
            </w:r>
            <w:r>
              <w:t xml:space="preserve"> are provided in Table 9 of PGECOFST102 Rev6. </w:t>
            </w:r>
          </w:p>
          <w:p w14:paraId="55AA76F6" w14:textId="77777777" w:rsidR="00A94FE4" w:rsidRDefault="00A94FE4" w:rsidP="00A94FE4"/>
          <w:p w14:paraId="48A295FE" w14:textId="46BD3A11" w:rsidR="009A2332" w:rsidRDefault="00A25C24" w:rsidP="006558B3">
            <w:r w:rsidRPr="00A25C24">
              <w:t>The demand reduction estimation is based on measured data for standard efficiency electric fryers (no fry pot insulation and mechanical or simple electronic controls) and for high efficiency fryers that meet Energy Star requirements (greater than 80% cooking efficiency, fry pot insulation, and advanced electronic controls). The measured data are derived from tests conducted under ASTM Standard Test Method for the Performance of Open Deep Fat Fryers (F1361) and ASTM Standard Test Method for the Performance of Large Vat Fryers (F2144).</w:t>
            </w:r>
          </w:p>
        </w:tc>
      </w:tr>
      <w:tr w:rsidR="009A2332" w14:paraId="79416F6B" w14:textId="77777777" w:rsidTr="009A2332">
        <w:trPr>
          <w:trHeight w:val="576"/>
        </w:trPr>
        <w:tc>
          <w:tcPr>
            <w:tcW w:w="4675" w:type="dxa"/>
          </w:tcPr>
          <w:p w14:paraId="63B2A37F" w14:textId="79D3BD2C" w:rsidR="009A2332" w:rsidRDefault="009A2332" w:rsidP="009A2332">
            <w:r>
              <w:rPr>
                <w:rStyle w:val="Strong"/>
                <w:rFonts w:asciiTheme="minorHAnsi" w:hAnsiTheme="minorHAnsi"/>
                <w:szCs w:val="22"/>
              </w:rPr>
              <w:t>Section 3. Load Shapes</w:t>
            </w:r>
          </w:p>
        </w:tc>
        <w:tc>
          <w:tcPr>
            <w:tcW w:w="4675" w:type="dxa"/>
          </w:tcPr>
          <w:p w14:paraId="05E21BE0" w14:textId="7677A421" w:rsidR="00B5084F" w:rsidRDefault="00110198" w:rsidP="009A2332">
            <w:proofErr w:type="spellStart"/>
            <w:r w:rsidRPr="00110198">
              <w:t>DEER:Indoor_Non-CFL_Ltg</w:t>
            </w:r>
            <w:proofErr w:type="spellEnd"/>
          </w:p>
          <w:p w14:paraId="518AC14D" w14:textId="77777777" w:rsidR="00110198" w:rsidRDefault="00110198" w:rsidP="009A2332"/>
          <w:p w14:paraId="573722DD" w14:textId="518807F1" w:rsidR="009A2332" w:rsidRDefault="00B5084F" w:rsidP="00B5084F">
            <w:r>
              <w:t>The load shape for commercial fryers</w:t>
            </w:r>
            <w:r w:rsidRPr="00B5084F">
              <w:t xml:space="preserve"> differ among food service facilities. The measure load shape for this measure is determined by the E3 calculator based on the applicable non-residential market sector and the foodservice end-use.</w:t>
            </w:r>
            <w:r>
              <w:t xml:space="preserve"> Please refer to Section 3 of PGECOFST102 R6 for additional details. </w:t>
            </w:r>
          </w:p>
        </w:tc>
      </w:tr>
      <w:tr w:rsidR="009A2332" w14:paraId="0E2DA162" w14:textId="77777777" w:rsidTr="009A2332">
        <w:trPr>
          <w:trHeight w:val="576"/>
        </w:trPr>
        <w:tc>
          <w:tcPr>
            <w:tcW w:w="4675" w:type="dxa"/>
          </w:tcPr>
          <w:p w14:paraId="17E265C7" w14:textId="4B0D36D9" w:rsidR="009A2332" w:rsidRDefault="009A2332" w:rsidP="009A2332">
            <w:r>
              <w:rPr>
                <w:rStyle w:val="Strong"/>
                <w:rFonts w:asciiTheme="minorHAnsi" w:hAnsiTheme="minorHAnsi"/>
                <w:szCs w:val="22"/>
              </w:rPr>
              <w:t>Section 4. Costs</w:t>
            </w:r>
          </w:p>
        </w:tc>
        <w:tc>
          <w:tcPr>
            <w:tcW w:w="4675" w:type="dxa"/>
          </w:tcPr>
          <w:p w14:paraId="636754D0" w14:textId="77777777" w:rsidR="009A2332" w:rsidRDefault="009A2332" w:rsidP="009A2332"/>
        </w:tc>
      </w:tr>
      <w:tr w:rsidR="009A2332" w14:paraId="00EA9279" w14:textId="77777777" w:rsidTr="009A2332">
        <w:trPr>
          <w:trHeight w:val="576"/>
        </w:trPr>
        <w:tc>
          <w:tcPr>
            <w:tcW w:w="4675" w:type="dxa"/>
          </w:tcPr>
          <w:p w14:paraId="448F5A7F" w14:textId="54FDF208" w:rsidR="009A2332" w:rsidRDefault="009A2332" w:rsidP="009A2332">
            <w:r>
              <w:rPr>
                <w:rStyle w:val="Strong"/>
                <w:rFonts w:asciiTheme="minorHAnsi" w:hAnsiTheme="minorHAnsi"/>
                <w:szCs w:val="22"/>
              </w:rPr>
              <w:t>Section 4.1 Base and Measure Costs</w:t>
            </w:r>
          </w:p>
        </w:tc>
        <w:tc>
          <w:tcPr>
            <w:tcW w:w="4675" w:type="dxa"/>
          </w:tcPr>
          <w:p w14:paraId="4A8F9241" w14:textId="46C0E77B" w:rsidR="009A2332" w:rsidRDefault="00880164" w:rsidP="009A2332">
            <w:r w:rsidRPr="009D727D">
              <w:t>Please refer to Attachment #1 Calculation Templates for detailed baseline and measure costs.</w:t>
            </w:r>
          </w:p>
        </w:tc>
      </w:tr>
    </w:tbl>
    <w:p w14:paraId="31A3A294" w14:textId="77777777" w:rsidR="009A2332" w:rsidRPr="009A2332" w:rsidRDefault="009A2332" w:rsidP="009A2332"/>
    <w:p w14:paraId="31DBEFB5" w14:textId="77777777" w:rsidR="009A2332" w:rsidRPr="009A2332" w:rsidRDefault="009A2332" w:rsidP="009A2332">
      <w:pPr>
        <w:spacing w:after="200" w:line="276" w:lineRule="auto"/>
        <w:rPr>
          <w:b/>
          <w:szCs w:val="20"/>
        </w:rPr>
      </w:pPr>
    </w:p>
    <w:p w14:paraId="6122ECFA" w14:textId="77777777" w:rsidR="00880164" w:rsidRPr="00EE365D" w:rsidRDefault="00880164" w:rsidP="00880164">
      <w:pPr>
        <w:spacing w:after="200" w:line="276" w:lineRule="auto"/>
        <w:rPr>
          <w:i/>
          <w:szCs w:val="20"/>
        </w:rPr>
      </w:pPr>
      <w:bookmarkStart w:id="3" w:name="_Toc214003099"/>
      <w:bookmarkEnd w:id="1"/>
      <w:r w:rsidRPr="00EE365D">
        <w:rPr>
          <w:i/>
          <w:szCs w:val="20"/>
        </w:rPr>
        <w:t xml:space="preserve">No Changes were required for this short form. The savings were simply transferred to SCE’s 2017 Calculation Template. </w:t>
      </w:r>
    </w:p>
    <w:p w14:paraId="13EA289D" w14:textId="77777777" w:rsidR="00880164" w:rsidRPr="009A2332" w:rsidRDefault="00880164" w:rsidP="00880164"/>
    <w:p w14:paraId="1924BC4B" w14:textId="5432BC93" w:rsidR="00880164" w:rsidRPr="00AA7773" w:rsidRDefault="00AA7773" w:rsidP="00880164">
      <w:pPr>
        <w:spacing w:after="200" w:line="276" w:lineRule="auto"/>
        <w:rPr>
          <w:b/>
          <w:sz w:val="36"/>
          <w:szCs w:val="36"/>
        </w:rPr>
      </w:pPr>
      <w:r w:rsidRPr="00AA7773">
        <w:rPr>
          <w:b/>
          <w:sz w:val="36"/>
          <w:szCs w:val="36"/>
        </w:rPr>
        <w:t>Attachments:</w:t>
      </w:r>
    </w:p>
    <w:p w14:paraId="2534A7CE" w14:textId="53F3F021" w:rsidR="00880164" w:rsidRDefault="00AA7773" w:rsidP="00880164">
      <w:pPr>
        <w:spacing w:after="200" w:line="276" w:lineRule="auto"/>
        <w:rPr>
          <w:b/>
          <w:szCs w:val="20"/>
        </w:rPr>
      </w:pPr>
      <w:r w:rsidRPr="00AA7773">
        <w:rPr>
          <w:b/>
          <w:szCs w:val="20"/>
        </w:rPr>
        <w:t>A1 SCE17CC004.0 Calculation Template</w:t>
      </w:r>
    </w:p>
    <w:p w14:paraId="37E9FBDB" w14:textId="5F6C9582" w:rsidR="00E16609" w:rsidRPr="009A2332" w:rsidRDefault="00E16609">
      <w:pPr>
        <w:rPr>
          <w:b/>
          <w:szCs w:val="20"/>
        </w:rPr>
      </w:pPr>
      <w:bookmarkStart w:id="4" w:name="_GoBack"/>
      <w:bookmarkEnd w:id="4"/>
    </w:p>
    <w:bookmarkEnd w:id="3"/>
    <w:sectPr w:rsidR="00E16609" w:rsidRPr="009A2332" w:rsidSect="00423118">
      <w:footerReference w:type="default" r:id="rId10"/>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F7F74C" w15:done="0"/>
  <w15:commentEx w15:paraId="4D420CB7" w15:done="0"/>
  <w15:commentEx w15:paraId="3F3114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F30167" w:rsidRDefault="00F30167" w:rsidP="00447D6E">
      <w:r>
        <w:separator/>
      </w:r>
    </w:p>
    <w:p w14:paraId="3993C521" w14:textId="77777777" w:rsidR="00F30167" w:rsidRDefault="00F30167"/>
  </w:endnote>
  <w:endnote w:type="continuationSeparator" w:id="0">
    <w:p w14:paraId="5BC65380" w14:textId="77777777" w:rsidR="00F30167" w:rsidRDefault="00F30167" w:rsidP="00447D6E">
      <w:r>
        <w:continuationSeparator/>
      </w:r>
    </w:p>
    <w:p w14:paraId="627E2D8A" w14:textId="77777777" w:rsidR="00F30167" w:rsidRDefault="00F30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EB35052" w:rsidR="00F30167" w:rsidRPr="009500DC" w:rsidRDefault="00AA777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12BF2">
          <w:rPr>
            <w:rFonts w:cstheme="minorHAnsi"/>
            <w:b/>
            <w:sz w:val="20"/>
            <w:szCs w:val="20"/>
          </w:rPr>
          <w:t>SCE17CC004</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12BF2">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v</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29T00:00:00Z">
          <w:dateFormat w:val="MMMM d, yyyy"/>
          <w:lid w:val="en-US"/>
          <w:storeMappedDataAs w:val="dateTime"/>
          <w:calendar w:val="gregorian"/>
        </w:date>
      </w:sdtPr>
      <w:sdtEndPr/>
      <w:sdtContent>
        <w:r w:rsidR="00F12BF2">
          <w:rPr>
            <w:rFonts w:cstheme="minorHAnsi"/>
            <w:b/>
            <w:sz w:val="20"/>
            <w:szCs w:val="20"/>
          </w:rPr>
          <w:t xml:space="preserve">November </w:t>
        </w:r>
        <w:r w:rsidR="00423118">
          <w:rPr>
            <w:rFonts w:cstheme="minorHAnsi"/>
            <w:b/>
            <w:sz w:val="20"/>
            <w:szCs w:val="20"/>
          </w:rPr>
          <w:t>29</w:t>
        </w:r>
        <w:r w:rsidR="00F12BF2">
          <w:rPr>
            <w:rFonts w:cstheme="minorHAnsi"/>
            <w:b/>
            <w:sz w:val="20"/>
            <w:szCs w:val="20"/>
          </w:rPr>
          <w:t>, 2017</w:t>
        </w:r>
      </w:sdtContent>
    </w:sdt>
  </w:p>
  <w:p w14:paraId="43C07EA5" w14:textId="544E4323" w:rsidR="00F30167" w:rsidRPr="009500DC" w:rsidRDefault="00AA777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F30167" w:rsidRDefault="00F30167" w:rsidP="00447D6E">
      <w:r>
        <w:separator/>
      </w:r>
    </w:p>
    <w:p w14:paraId="32B34063" w14:textId="77777777" w:rsidR="00F30167" w:rsidRDefault="00F30167"/>
  </w:footnote>
  <w:footnote w:type="continuationSeparator" w:id="0">
    <w:p w14:paraId="7220C6D0" w14:textId="77777777" w:rsidR="00F30167" w:rsidRDefault="00F30167" w:rsidP="00447D6E">
      <w:r>
        <w:continuationSeparator/>
      </w:r>
    </w:p>
    <w:p w14:paraId="6E77FF76" w14:textId="77777777" w:rsidR="00F30167" w:rsidRDefault="00F301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F4713B"/>
    <w:multiLevelType w:val="hybridMultilevel"/>
    <w:tmpl w:val="46C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1"/>
  </w:num>
  <w:num w:numId="10">
    <w:abstractNumId w:val="5"/>
  </w:num>
  <w:num w:numId="11">
    <w:abstractNumId w:val="23"/>
  </w:num>
  <w:num w:numId="12">
    <w:abstractNumId w:val="17"/>
  </w:num>
  <w:num w:numId="13">
    <w:abstractNumId w:val="10"/>
  </w:num>
  <w:num w:numId="14">
    <w:abstractNumId w:val="31"/>
  </w:num>
  <w:num w:numId="15">
    <w:abstractNumId w:val="8"/>
  </w:num>
  <w:num w:numId="16">
    <w:abstractNumId w:val="12"/>
  </w:num>
  <w:num w:numId="17">
    <w:abstractNumId w:val="4"/>
  </w:num>
  <w:num w:numId="18">
    <w:abstractNumId w:val="0"/>
  </w:num>
  <w:num w:numId="19">
    <w:abstractNumId w:val="30"/>
  </w:num>
  <w:num w:numId="20">
    <w:abstractNumId w:val="3"/>
  </w:num>
  <w:num w:numId="21">
    <w:abstractNumId w:val="25"/>
  </w:num>
  <w:num w:numId="22">
    <w:abstractNumId w:val="26"/>
  </w:num>
  <w:num w:numId="23">
    <w:abstractNumId w:val="32"/>
  </w:num>
  <w:num w:numId="24">
    <w:abstractNumId w:val="29"/>
  </w:num>
  <w:num w:numId="25">
    <w:abstractNumId w:val="13"/>
  </w:num>
  <w:num w:numId="26">
    <w:abstractNumId w:val="16"/>
  </w:num>
  <w:num w:numId="27">
    <w:abstractNumId w:val="27"/>
  </w:num>
  <w:num w:numId="28">
    <w:abstractNumId w:val="15"/>
  </w:num>
  <w:num w:numId="29">
    <w:abstractNumId w:val="7"/>
  </w:num>
  <w:num w:numId="30">
    <w:abstractNumId w:val="1"/>
  </w:num>
  <w:num w:numId="31">
    <w:abstractNumId w:val="34"/>
  </w:num>
  <w:num w:numId="32">
    <w:abstractNumId w:val="24"/>
  </w:num>
  <w:num w:numId="33">
    <w:abstractNumId w:val="28"/>
  </w:num>
  <w:num w:numId="34">
    <w:abstractNumId w:val="9"/>
  </w:num>
  <w:num w:numId="35">
    <w:abstractNumId w:val="14"/>
  </w:num>
  <w:num w:numId="36">
    <w:abstractNumId w:val="6"/>
  </w:num>
  <w:num w:numId="37">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ga, Kara">
    <w15:presenceInfo w15:providerId="AD" w15:userId="S-1-5-21-1786704334-1080620903-3496478664-3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0198"/>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5CCA"/>
    <w:rsid w:val="00296B49"/>
    <w:rsid w:val="002A017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4FEA"/>
    <w:rsid w:val="0039615F"/>
    <w:rsid w:val="00396C40"/>
    <w:rsid w:val="00397406"/>
    <w:rsid w:val="003A3170"/>
    <w:rsid w:val="003A360E"/>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3118"/>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859FD"/>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84F9C"/>
    <w:rsid w:val="00594EF5"/>
    <w:rsid w:val="005A0E53"/>
    <w:rsid w:val="005A1078"/>
    <w:rsid w:val="005A4658"/>
    <w:rsid w:val="005A496B"/>
    <w:rsid w:val="005A73CC"/>
    <w:rsid w:val="005B28C1"/>
    <w:rsid w:val="005B6344"/>
    <w:rsid w:val="005C1C74"/>
    <w:rsid w:val="005C2E48"/>
    <w:rsid w:val="005C3F23"/>
    <w:rsid w:val="005D4DD7"/>
    <w:rsid w:val="005D797E"/>
    <w:rsid w:val="005E12A9"/>
    <w:rsid w:val="005F139E"/>
    <w:rsid w:val="005F69D5"/>
    <w:rsid w:val="00602799"/>
    <w:rsid w:val="00602F18"/>
    <w:rsid w:val="00607C30"/>
    <w:rsid w:val="006110F3"/>
    <w:rsid w:val="00612041"/>
    <w:rsid w:val="00614AFF"/>
    <w:rsid w:val="00621ABA"/>
    <w:rsid w:val="0062322A"/>
    <w:rsid w:val="00631157"/>
    <w:rsid w:val="006347EE"/>
    <w:rsid w:val="006404E6"/>
    <w:rsid w:val="0064680F"/>
    <w:rsid w:val="0064729D"/>
    <w:rsid w:val="00647ABE"/>
    <w:rsid w:val="006516BA"/>
    <w:rsid w:val="006558B3"/>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21E5A"/>
    <w:rsid w:val="00726338"/>
    <w:rsid w:val="00726AD5"/>
    <w:rsid w:val="00733C7D"/>
    <w:rsid w:val="00740761"/>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71D79"/>
    <w:rsid w:val="0087393E"/>
    <w:rsid w:val="00880164"/>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25C24"/>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94FE4"/>
    <w:rsid w:val="00AA0A9C"/>
    <w:rsid w:val="00AA16C0"/>
    <w:rsid w:val="00AA4CDC"/>
    <w:rsid w:val="00AA7773"/>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5084F"/>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D7EC3"/>
    <w:rsid w:val="00EE29DF"/>
    <w:rsid w:val="00EE4120"/>
    <w:rsid w:val="00EF2E8A"/>
    <w:rsid w:val="00EF4E6B"/>
    <w:rsid w:val="00EF5416"/>
    <w:rsid w:val="00F06CCF"/>
    <w:rsid w:val="00F1053D"/>
    <w:rsid w:val="00F110D5"/>
    <w:rsid w:val="00F11E63"/>
    <w:rsid w:val="00F12733"/>
    <w:rsid w:val="00F12BF2"/>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1896"/>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2B9ED0-2ECB-4896-8753-E6680819D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SCE17CC004</vt:lpstr>
    </vt:vector>
  </TitlesOfParts>
  <Company>Southern California Edison</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SCE17CC004</dc:title>
  <dc:creator>Jim Wyatt (PG&amp;E);Jason Wang (SCE)</dc:creator>
  <cp:lastModifiedBy>Ajay Wadhera</cp:lastModifiedBy>
  <cp:revision>30</cp:revision>
  <dcterms:created xsi:type="dcterms:W3CDTF">2015-07-21T23:33:00Z</dcterms:created>
  <dcterms:modified xsi:type="dcterms:W3CDTF">2017-12-19T00:26:00Z</dcterms:modified>
  <cp:contentStatus>Revision 0</cp:contentStatus>
</cp:coreProperties>
</file>