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64F097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B54CF5">
            <w:t>SCE17CC003</w:t>
          </w:r>
        </w:sdtContent>
      </w:sdt>
    </w:p>
    <w:bookmarkEnd w:id="0"/>
    <w:p w14:paraId="7601CE2F" w14:textId="793BDBDC" w:rsidR="00DA690B" w:rsidRPr="00500C4E" w:rsidRDefault="004C3F3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B54CF5">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4C3F3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747C004" w:rsidR="00DA690B" w:rsidRPr="00500C4E" w:rsidRDefault="00B54CF5" w:rsidP="00DA690B">
      <w:pPr>
        <w:rPr>
          <w:rFonts w:cstheme="minorHAnsi"/>
          <w:b/>
          <w:sz w:val="72"/>
          <w:szCs w:val="72"/>
        </w:rPr>
      </w:pPr>
      <w:r w:rsidRPr="00B54CF5">
        <w:rPr>
          <w:rFonts w:cstheme="minorHAnsi"/>
          <w:b/>
          <w:sz w:val="72"/>
          <w:szCs w:val="72"/>
        </w:rPr>
        <w:t>Insulated Hot Food Holding Cabinets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63E82C82" w:rsidR="00F30167" w:rsidRPr="00B54CF5" w:rsidRDefault="00F30167" w:rsidP="00F30167">
      <w:pPr>
        <w:pStyle w:val="Reminders"/>
        <w:rPr>
          <w:rFonts w:asciiTheme="minorHAnsi" w:hAnsiTheme="minorHAnsi" w:cstheme="minorHAnsi"/>
          <w:i w:val="0"/>
          <w:color w:val="auto"/>
          <w:szCs w:val="22"/>
        </w:rPr>
      </w:pPr>
      <w:r w:rsidRPr="00B54CF5">
        <w:rPr>
          <w:rFonts w:asciiTheme="minorHAnsi" w:hAnsiTheme="minorHAnsi" w:cstheme="minorHAnsi"/>
          <w:i w:val="0"/>
          <w:color w:val="auto"/>
          <w:szCs w:val="22"/>
        </w:rPr>
        <w:t>This short form workpaper documents (WP) the values adopted from PGE’s WP entitled “</w:t>
      </w:r>
      <w:r w:rsidR="003C46B2" w:rsidRPr="003C46B2">
        <w:rPr>
          <w:rFonts w:asciiTheme="minorHAnsi" w:hAnsiTheme="minorHAnsi" w:cstheme="minorHAnsi"/>
          <w:i w:val="0"/>
          <w:color w:val="auto"/>
          <w:szCs w:val="22"/>
        </w:rPr>
        <w:t>Insulated Holding Cabinet-Electric</w:t>
      </w:r>
      <w:r w:rsidRPr="00B54CF5">
        <w:rPr>
          <w:rFonts w:asciiTheme="minorHAnsi" w:hAnsiTheme="minorHAnsi" w:cstheme="minorHAnsi"/>
          <w:i w:val="0"/>
          <w:color w:val="auto"/>
          <w:szCs w:val="22"/>
        </w:rPr>
        <w:t>” (</w:t>
      </w:r>
      <w:r w:rsidR="00B54CF5" w:rsidRPr="00B54CF5">
        <w:rPr>
          <w:rFonts w:asciiTheme="minorHAnsi" w:hAnsiTheme="minorHAnsi" w:cstheme="minorHAnsi"/>
          <w:i w:val="0"/>
          <w:color w:val="auto"/>
          <w:szCs w:val="22"/>
        </w:rPr>
        <w:t>PGECOFST105 R5</w:t>
      </w:r>
      <w:r w:rsidRPr="00B54CF5">
        <w:rPr>
          <w:rFonts w:asciiTheme="minorHAnsi" w:hAnsiTheme="minorHAnsi" w:cstheme="minorHAnsi"/>
          <w:i w:val="0"/>
          <w:color w:val="auto"/>
          <w:szCs w:val="22"/>
        </w:rPr>
        <w:t xml:space="preserve">). SCE adopts all the values in </w:t>
      </w:r>
      <w:r w:rsidR="00B54CF5" w:rsidRPr="00B54CF5">
        <w:rPr>
          <w:rFonts w:asciiTheme="minorHAnsi" w:hAnsiTheme="minorHAnsi" w:cstheme="minorHAnsi"/>
          <w:i w:val="0"/>
          <w:color w:val="auto"/>
          <w:szCs w:val="22"/>
        </w:rPr>
        <w:t xml:space="preserve">PGECOFST105 R5 </w:t>
      </w:r>
      <w:r w:rsidRPr="00B54CF5">
        <w:rPr>
          <w:rFonts w:asciiTheme="minorHAnsi" w:hAnsiTheme="minorHAnsi" w:cstheme="minorHAnsi"/>
          <w:i w:val="0"/>
          <w:color w:val="auto"/>
          <w:szCs w:val="22"/>
        </w:rPr>
        <w:t>– “</w:t>
      </w:r>
      <w:r w:rsidR="00B54CF5" w:rsidRPr="00B54CF5">
        <w:rPr>
          <w:rFonts w:asciiTheme="minorHAnsi" w:hAnsiTheme="minorHAnsi" w:cstheme="minorHAnsi"/>
          <w:i w:val="0"/>
          <w:color w:val="auto"/>
          <w:szCs w:val="22"/>
        </w:rPr>
        <w:t>Insulated Holding Cabinet MD</w:t>
      </w:r>
      <w:r w:rsidR="003C46B2">
        <w:rPr>
          <w:rFonts w:asciiTheme="minorHAnsi" w:hAnsiTheme="minorHAnsi" w:cstheme="minorHAnsi"/>
          <w:i w:val="0"/>
          <w:color w:val="auto"/>
          <w:szCs w:val="22"/>
        </w:rPr>
        <w:t xml:space="preserve">” with no changes. </w:t>
      </w:r>
    </w:p>
    <w:p w14:paraId="78940EFD" w14:textId="77777777" w:rsidR="00F30167" w:rsidRPr="00B54CF5" w:rsidRDefault="00F30167" w:rsidP="00F30167">
      <w:pPr>
        <w:pStyle w:val="Reminders"/>
        <w:rPr>
          <w:rFonts w:asciiTheme="minorHAnsi" w:hAnsiTheme="minorHAnsi" w:cstheme="minorHAnsi"/>
          <w:i w:val="0"/>
          <w:color w:val="auto"/>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305"/>
        <w:gridCol w:w="6565"/>
      </w:tblGrid>
      <w:tr w:rsidR="003845E5" w:rsidRPr="00500C4E" w14:paraId="5AFD7FBC" w14:textId="77777777" w:rsidTr="00B54CF5">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0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62DC1728" w14:textId="77777777" w:rsidTr="00B54CF5">
        <w:trPr>
          <w:trHeight w:val="20"/>
        </w:trPr>
        <w:tc>
          <w:tcPr>
            <w:tcW w:w="280" w:type="pct"/>
            <w:tcBorders>
              <w:bottom w:val="single" w:sz="4" w:space="0" w:color="auto"/>
            </w:tcBorders>
          </w:tcPr>
          <w:p w14:paraId="3E501C93" w14:textId="38F4E864" w:rsidR="0036726C" w:rsidRPr="00500C4E" w:rsidRDefault="00B54CF5" w:rsidP="005729C8">
            <w:pPr>
              <w:rPr>
                <w:rFonts w:cstheme="minorHAnsi"/>
                <w:szCs w:val="20"/>
              </w:rPr>
            </w:pPr>
            <w:r>
              <w:rPr>
                <w:rFonts w:cstheme="minorHAnsi"/>
                <w:szCs w:val="20"/>
              </w:rPr>
              <w:t>0</w:t>
            </w:r>
          </w:p>
        </w:tc>
        <w:tc>
          <w:tcPr>
            <w:tcW w:w="578" w:type="pct"/>
            <w:tcBorders>
              <w:bottom w:val="single" w:sz="4" w:space="0" w:color="auto"/>
            </w:tcBorders>
          </w:tcPr>
          <w:p w14:paraId="2265169C" w14:textId="135F42D2" w:rsidR="0036726C" w:rsidRPr="00500C4E" w:rsidRDefault="00B54CF5" w:rsidP="003C46B2">
            <w:pPr>
              <w:rPr>
                <w:rFonts w:cstheme="minorHAnsi"/>
                <w:szCs w:val="20"/>
              </w:rPr>
            </w:pPr>
            <w:r>
              <w:rPr>
                <w:rFonts w:cstheme="minorHAnsi"/>
                <w:szCs w:val="20"/>
              </w:rPr>
              <w:t>11</w:t>
            </w:r>
            <w:r w:rsidR="00F30167">
              <w:rPr>
                <w:rFonts w:cstheme="minorHAnsi"/>
                <w:szCs w:val="20"/>
              </w:rPr>
              <w:t>/</w:t>
            </w:r>
            <w:r>
              <w:rPr>
                <w:rFonts w:cstheme="minorHAnsi"/>
                <w:szCs w:val="20"/>
              </w:rPr>
              <w:t>2</w:t>
            </w:r>
            <w:r w:rsidR="003C46B2">
              <w:rPr>
                <w:rFonts w:cstheme="minorHAnsi"/>
                <w:szCs w:val="20"/>
              </w:rPr>
              <w:t>9</w:t>
            </w:r>
            <w:r w:rsidR="00F30167">
              <w:rPr>
                <w:rFonts w:cstheme="minorHAnsi"/>
                <w:szCs w:val="20"/>
              </w:rPr>
              <w:t>/201</w:t>
            </w:r>
            <w:r>
              <w:rPr>
                <w:rFonts w:cstheme="minorHAnsi"/>
                <w:szCs w:val="20"/>
              </w:rPr>
              <w:t>7</w:t>
            </w:r>
          </w:p>
        </w:tc>
        <w:tc>
          <w:tcPr>
            <w:tcW w:w="701" w:type="pct"/>
            <w:tcBorders>
              <w:bottom w:val="single" w:sz="4" w:space="0" w:color="auto"/>
            </w:tcBorders>
          </w:tcPr>
          <w:p w14:paraId="1B212508" w14:textId="24AE4205" w:rsidR="0036726C" w:rsidRPr="00500C4E" w:rsidRDefault="00B54CF5" w:rsidP="005729C8">
            <w:pPr>
              <w:rPr>
                <w:rFonts w:cstheme="minorHAnsi"/>
                <w:szCs w:val="20"/>
              </w:rPr>
            </w:pPr>
            <w:r>
              <w:rPr>
                <w:rFonts w:cstheme="minorHAnsi"/>
                <w:szCs w:val="20"/>
              </w:rPr>
              <w:t>Arvind Subramanya (TRC)</w:t>
            </w:r>
          </w:p>
        </w:tc>
        <w:tc>
          <w:tcPr>
            <w:tcW w:w="3441" w:type="pct"/>
            <w:tcBorders>
              <w:bottom w:val="single" w:sz="4" w:space="0" w:color="auto"/>
            </w:tcBorders>
          </w:tcPr>
          <w:p w14:paraId="1594D386" w14:textId="77777777" w:rsidR="003C46B2" w:rsidRPr="000F5D61" w:rsidRDefault="003C46B2" w:rsidP="003C46B2">
            <w:pPr>
              <w:pStyle w:val="ListParagraph"/>
              <w:numPr>
                <w:ilvl w:val="0"/>
                <w:numId w:val="41"/>
              </w:numPr>
            </w:pPr>
            <w:r w:rsidRPr="000F5D61">
              <w:t xml:space="preserve">Transferred savings values to SCE Calculation template for the 2017 program year. </w:t>
            </w:r>
          </w:p>
          <w:p w14:paraId="149968B2" w14:textId="77777777" w:rsidR="003C46B2" w:rsidRDefault="003C46B2" w:rsidP="003C46B2">
            <w:pPr>
              <w:pStyle w:val="ListParagraph"/>
              <w:numPr>
                <w:ilvl w:val="0"/>
                <w:numId w:val="41"/>
              </w:numPr>
            </w:pPr>
            <w:r w:rsidRPr="007C62CE">
              <w:t>Mid-stream program was added in this revision of the workpaper.</w:t>
            </w:r>
          </w:p>
          <w:p w14:paraId="61966CE2" w14:textId="4E279CFF" w:rsidR="00F30167" w:rsidRPr="00500C4E" w:rsidRDefault="003C46B2" w:rsidP="003C46B2">
            <w:pPr>
              <w:pStyle w:val="ListParagraph"/>
              <w:numPr>
                <w:ilvl w:val="0"/>
                <w:numId w:val="41"/>
              </w:numPr>
              <w:rPr>
                <w:rFonts w:cstheme="minorHAnsi"/>
                <w:bCs/>
                <w:szCs w:val="20"/>
              </w:rPr>
            </w:pPr>
            <w:r>
              <w:t xml:space="preserve">All 16 climate zones were used in this version. </w:t>
            </w: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fldSimple w:instr=" SEQ Table \* ARABIC ">
        <w:r>
          <w:rPr>
            <w:noProof/>
          </w:rPr>
          <w:t>1</w:t>
        </w:r>
      </w:fldSimple>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A2332">
        <w:trPr>
          <w:trHeight w:val="576"/>
        </w:trPr>
        <w:tc>
          <w:tcPr>
            <w:tcW w:w="4675" w:type="dxa"/>
          </w:tcPr>
          <w:p w14:paraId="7815901A" w14:textId="49098287" w:rsidR="009A2332" w:rsidRDefault="009A2332" w:rsidP="009A2332">
            <w:r>
              <w:rPr>
                <w:rStyle w:val="Strong"/>
                <w:rFonts w:asciiTheme="minorHAnsi" w:hAnsiTheme="minorHAnsi"/>
                <w:szCs w:val="22"/>
              </w:rPr>
              <w:t>Summary &amp; Purpose</w:t>
            </w:r>
          </w:p>
        </w:tc>
        <w:tc>
          <w:tcPr>
            <w:tcW w:w="4675" w:type="dxa"/>
          </w:tcPr>
          <w:p w14:paraId="334844BB" w14:textId="77777777" w:rsidR="005E64E8" w:rsidRDefault="005E64E8" w:rsidP="005E64E8">
            <w:r>
              <w:t xml:space="preserve">This short form workpaper documents ex-ante load impacts and cost-effectiveness values for </w:t>
            </w:r>
            <w:r w:rsidRPr="005E64E8">
              <w:t>Insulated Holding Cabinet</w:t>
            </w:r>
            <w:r>
              <w:t>s. The scope includes two measure categories:</w:t>
            </w:r>
          </w:p>
          <w:p w14:paraId="0D5DC4F8" w14:textId="5AA25CE9" w:rsidR="005E64E8" w:rsidRDefault="002D2250" w:rsidP="005E64E8">
            <w:r w:rsidRPr="002D2250">
              <w:rPr>
                <w:b/>
              </w:rPr>
              <w:t>FS-20224</w:t>
            </w:r>
            <w:r w:rsidR="005E64E8" w:rsidRPr="005E64E8">
              <w:rPr>
                <w:b/>
              </w:rPr>
              <w:t>:</w:t>
            </w:r>
            <w:r w:rsidR="005E64E8">
              <w:t xml:space="preserve"> Full-size holding cabinets are defined as any holding cabinet with an internal measured volume of greater than or equal to 15 cubic feet (≥15 ft.3). </w:t>
            </w:r>
          </w:p>
          <w:p w14:paraId="409924D2" w14:textId="158B1B5F" w:rsidR="005E64E8" w:rsidRDefault="002D2250" w:rsidP="005E64E8">
            <w:r w:rsidRPr="002D2250">
              <w:rPr>
                <w:b/>
              </w:rPr>
              <w:t>FS-31559</w:t>
            </w:r>
            <w:r w:rsidR="005E64E8" w:rsidRPr="005E64E8">
              <w:rPr>
                <w:b/>
              </w:rPr>
              <w:t>:</w:t>
            </w:r>
            <w:r w:rsidR="005E64E8">
              <w:t xml:space="preserve"> Half-size holding cabinets are defined as any holding cabinet with an internal measured volume of less than 15 cubic feet (&lt;15 ft.3). </w:t>
            </w:r>
          </w:p>
          <w:p w14:paraId="64391789" w14:textId="77777777" w:rsidR="005E64E8" w:rsidRDefault="005E64E8" w:rsidP="005E64E8"/>
          <w:p w14:paraId="3F4C30E1" w14:textId="533B9A99" w:rsidR="009A2332" w:rsidRDefault="005E64E8" w:rsidP="005E64E8">
            <w:r w:rsidRPr="005E64E8">
              <w:t>The DEER database for the program years does not contain information on energy use, savings, or equipment costs for an energy-efficient electric hot food holding cabinet measure. The only reference in DEER for Commercial cooking equipment is for Estimated Useful Life (EUL).  This Work Paper is based on the measured energy consumption rate as determined using the ASTM Standard Test Method for the Performance of Hot Food Holding Cabinets (F2140).</w:t>
            </w:r>
          </w:p>
          <w:p w14:paraId="6E463AD1" w14:textId="43AF8348" w:rsidR="005E64E8" w:rsidRDefault="005E64E8" w:rsidP="005E64E8"/>
        </w:tc>
      </w:tr>
      <w:tr w:rsidR="009A2332" w14:paraId="369C5B93" w14:textId="77777777" w:rsidTr="009A2332">
        <w:trPr>
          <w:trHeight w:val="576"/>
        </w:trPr>
        <w:tc>
          <w:tcPr>
            <w:tcW w:w="4675" w:type="dxa"/>
          </w:tcPr>
          <w:p w14:paraId="3E64C4BE" w14:textId="768176D9" w:rsidR="009A2332" w:rsidRDefault="009A2332" w:rsidP="009A2332">
            <w:r>
              <w:rPr>
                <w:rStyle w:val="Strong"/>
                <w:rFonts w:asciiTheme="minorHAnsi" w:hAnsiTheme="minorHAnsi"/>
                <w:szCs w:val="22"/>
              </w:rPr>
              <w:t>1.1 Measure &amp; Baseline</w:t>
            </w:r>
          </w:p>
        </w:tc>
        <w:tc>
          <w:tcPr>
            <w:tcW w:w="4675" w:type="dxa"/>
          </w:tcPr>
          <w:p w14:paraId="3ADC75B4" w14:textId="37814535" w:rsidR="009A2332" w:rsidRDefault="00C01354" w:rsidP="009A2332">
            <w:r>
              <w:t>Please refer to Attachment #1 Calculation Templates for the list of measure solution codes and baseline condition.</w:t>
            </w:r>
          </w:p>
        </w:tc>
      </w:tr>
      <w:tr w:rsidR="009A2332" w14:paraId="7CE0AC9F" w14:textId="77777777" w:rsidTr="009A2332">
        <w:trPr>
          <w:trHeight w:val="576"/>
        </w:trPr>
        <w:tc>
          <w:tcPr>
            <w:tcW w:w="4675" w:type="dxa"/>
          </w:tcPr>
          <w:p w14:paraId="2771E06F" w14:textId="3B991165" w:rsidR="009A2332" w:rsidRDefault="009A2332" w:rsidP="009A2332">
            <w:r>
              <w:rPr>
                <w:rStyle w:val="Strong"/>
                <w:rFonts w:asciiTheme="minorHAnsi" w:hAnsiTheme="minorHAnsi"/>
                <w:szCs w:val="22"/>
              </w:rPr>
              <w:t>1.2 Technical Description</w:t>
            </w:r>
          </w:p>
        </w:tc>
        <w:tc>
          <w:tcPr>
            <w:tcW w:w="4675" w:type="dxa"/>
          </w:tcPr>
          <w:p w14:paraId="56BBC77B" w14:textId="77777777" w:rsidR="009A2332" w:rsidRDefault="009A2332" w:rsidP="009A2332"/>
        </w:tc>
      </w:tr>
      <w:tr w:rsidR="009A2332" w14:paraId="6A22A103" w14:textId="77777777" w:rsidTr="009A2332">
        <w:trPr>
          <w:trHeight w:val="576"/>
        </w:trPr>
        <w:tc>
          <w:tcPr>
            <w:tcW w:w="4675" w:type="dxa"/>
          </w:tcPr>
          <w:p w14:paraId="524B4207" w14:textId="7A3D34FE" w:rsidR="009A2332" w:rsidRDefault="009A2332" w:rsidP="009A2332">
            <w:r w:rsidRPr="009A2332">
              <w:rPr>
                <w:rStyle w:val="Strong"/>
                <w:rFonts w:asciiTheme="minorHAnsi" w:hAnsiTheme="minorHAnsi"/>
                <w:b w:val="0"/>
                <w:szCs w:val="22"/>
              </w:rPr>
              <w:t>Measures</w:t>
            </w:r>
          </w:p>
        </w:tc>
        <w:tc>
          <w:tcPr>
            <w:tcW w:w="4675" w:type="dxa"/>
          </w:tcPr>
          <w:p w14:paraId="4C491EBE" w14:textId="6225FF67" w:rsidR="00B80903" w:rsidRDefault="00B80903" w:rsidP="00B80903">
            <w:r w:rsidRPr="002D2250">
              <w:rPr>
                <w:b/>
              </w:rPr>
              <w:t>FS-20224</w:t>
            </w:r>
            <w:r w:rsidRPr="005E64E8">
              <w:rPr>
                <w:b/>
              </w:rPr>
              <w:t>:</w:t>
            </w:r>
            <w:r>
              <w:t xml:space="preserve"> </w:t>
            </w:r>
            <w:r w:rsidR="003C0675" w:rsidRPr="003C0675">
              <w:rPr>
                <w:b/>
              </w:rPr>
              <w:t xml:space="preserve">Full Size (≥ 15 cu. </w:t>
            </w:r>
            <w:proofErr w:type="spellStart"/>
            <w:r w:rsidR="003C0675" w:rsidRPr="003C0675">
              <w:rPr>
                <w:b/>
              </w:rPr>
              <w:t>ft</w:t>
            </w:r>
            <w:proofErr w:type="spellEnd"/>
            <w:r w:rsidR="003C0675" w:rsidRPr="003C0675">
              <w:rPr>
                <w:b/>
              </w:rPr>
              <w:t xml:space="preserve">), ≤ 20 W/cu. </w:t>
            </w:r>
            <w:proofErr w:type="spellStart"/>
            <w:r w:rsidR="003C0675" w:rsidRPr="003C0675">
              <w:rPr>
                <w:b/>
              </w:rPr>
              <w:t>ft</w:t>
            </w:r>
            <w:proofErr w:type="spellEnd"/>
            <w:r w:rsidR="003C0675" w:rsidRPr="003C0675">
              <w:rPr>
                <w:b/>
              </w:rPr>
              <w:t xml:space="preserve"> Insulated Holding Cabinet</w:t>
            </w:r>
            <w:r w:rsidR="001C0CD1">
              <w:rPr>
                <w:b/>
              </w:rPr>
              <w:t xml:space="preserve"> </w:t>
            </w:r>
            <w:r w:rsidR="001C0CD1" w:rsidRPr="001C0CD1">
              <w:t>(PGE ID: F110)</w:t>
            </w:r>
          </w:p>
          <w:p w14:paraId="0CE00438" w14:textId="2C2D41DB" w:rsidR="00B80903" w:rsidRDefault="00B80903" w:rsidP="00B80903">
            <w:r>
              <w:t xml:space="preserve">Full-size holding cabinets are defined as any holding cabinet with an internal measured volume of greater than or equal to 15 cubic feet (≥15 ft.3). </w:t>
            </w:r>
          </w:p>
          <w:p w14:paraId="0EB4E1DA" w14:textId="77777777" w:rsidR="00B80903" w:rsidRDefault="00B80903" w:rsidP="00B80903"/>
          <w:p w14:paraId="5F443870" w14:textId="12DC737A" w:rsidR="00B80903" w:rsidRDefault="00B80903" w:rsidP="00B80903">
            <w:r w:rsidRPr="002D2250">
              <w:rPr>
                <w:b/>
              </w:rPr>
              <w:t>FS-31559</w:t>
            </w:r>
            <w:r w:rsidRPr="005E64E8">
              <w:rPr>
                <w:b/>
              </w:rPr>
              <w:t>:</w:t>
            </w:r>
            <w:r>
              <w:t xml:space="preserve"> </w:t>
            </w:r>
            <w:r w:rsidR="003C0675" w:rsidRPr="003C0675">
              <w:rPr>
                <w:rFonts w:cstheme="minorHAnsi"/>
                <w:b/>
                <w:color w:val="000000"/>
                <w:szCs w:val="20"/>
              </w:rPr>
              <w:t xml:space="preserve">Half Size (&lt; 15 cu. </w:t>
            </w:r>
            <w:proofErr w:type="spellStart"/>
            <w:r w:rsidR="003C0675" w:rsidRPr="003C0675">
              <w:rPr>
                <w:rFonts w:cstheme="minorHAnsi"/>
                <w:b/>
                <w:color w:val="000000"/>
                <w:szCs w:val="20"/>
              </w:rPr>
              <w:t>ft</w:t>
            </w:r>
            <w:proofErr w:type="spellEnd"/>
            <w:r w:rsidR="003C0675" w:rsidRPr="003C0675">
              <w:rPr>
                <w:rFonts w:cstheme="minorHAnsi"/>
                <w:b/>
                <w:color w:val="000000"/>
                <w:szCs w:val="20"/>
              </w:rPr>
              <w:t xml:space="preserve">), </w:t>
            </w:r>
            <w:r w:rsidR="003C0675" w:rsidRPr="003C0675">
              <w:rPr>
                <w:rFonts w:ascii="Calibri" w:hAnsi="Calibri" w:cstheme="minorHAnsi"/>
                <w:b/>
                <w:color w:val="000000"/>
                <w:szCs w:val="20"/>
              </w:rPr>
              <w:t>≤</w:t>
            </w:r>
            <w:r w:rsidR="003C0675" w:rsidRPr="003C0675">
              <w:rPr>
                <w:rFonts w:cstheme="minorHAnsi"/>
                <w:b/>
                <w:color w:val="000000"/>
                <w:szCs w:val="20"/>
              </w:rPr>
              <w:t xml:space="preserve"> 20 W/cu. </w:t>
            </w:r>
            <w:proofErr w:type="spellStart"/>
            <w:r w:rsidR="003C0675" w:rsidRPr="003C0675">
              <w:rPr>
                <w:rFonts w:cstheme="minorHAnsi"/>
                <w:b/>
                <w:color w:val="000000"/>
                <w:szCs w:val="20"/>
              </w:rPr>
              <w:t>ft</w:t>
            </w:r>
            <w:proofErr w:type="spellEnd"/>
            <w:r w:rsidR="003C0675" w:rsidRPr="003C0675">
              <w:rPr>
                <w:rFonts w:cstheme="minorHAnsi"/>
                <w:b/>
                <w:color w:val="000000"/>
                <w:szCs w:val="20"/>
              </w:rPr>
              <w:t xml:space="preserve"> Insulated Holding Cabinet</w:t>
            </w:r>
            <w:r w:rsidR="001C0CD1">
              <w:rPr>
                <w:rFonts w:cstheme="minorHAnsi"/>
                <w:b/>
                <w:color w:val="000000"/>
                <w:szCs w:val="20"/>
              </w:rPr>
              <w:t xml:space="preserve"> </w:t>
            </w:r>
            <w:r w:rsidR="001C0CD1">
              <w:t>(PGE ID: F111</w:t>
            </w:r>
            <w:r w:rsidR="001C0CD1" w:rsidRPr="001C0CD1">
              <w:t>)</w:t>
            </w:r>
          </w:p>
          <w:p w14:paraId="090E8FF2" w14:textId="5735FE46" w:rsidR="00B80903" w:rsidRDefault="00B80903" w:rsidP="00B80903">
            <w:r>
              <w:t xml:space="preserve">Half-size holding cabinets are defined as any holding cabinet with an internal measured volume of less than 15 cubic feet (&lt;15 ft.3). </w:t>
            </w:r>
          </w:p>
          <w:p w14:paraId="2C30E089" w14:textId="1FEAC6F9" w:rsidR="009A2332" w:rsidRDefault="009A2332" w:rsidP="009A2332"/>
        </w:tc>
      </w:tr>
      <w:tr w:rsidR="009A2332" w14:paraId="59049B71" w14:textId="77777777" w:rsidTr="009A2332">
        <w:trPr>
          <w:trHeight w:val="576"/>
        </w:trPr>
        <w:tc>
          <w:tcPr>
            <w:tcW w:w="4675" w:type="dxa"/>
          </w:tcPr>
          <w:p w14:paraId="4D87E79A" w14:textId="1926E44B" w:rsidR="009A2332" w:rsidRDefault="009A2332" w:rsidP="009A2332">
            <w:r w:rsidRPr="009A2332">
              <w:rPr>
                <w:rStyle w:val="Strong"/>
                <w:rFonts w:asciiTheme="minorHAnsi" w:hAnsiTheme="minorHAnsi"/>
                <w:b w:val="0"/>
                <w:szCs w:val="22"/>
              </w:rPr>
              <w:lastRenderedPageBreak/>
              <w:t>Code for All Measures</w:t>
            </w:r>
          </w:p>
        </w:tc>
        <w:tc>
          <w:tcPr>
            <w:tcW w:w="4675" w:type="dxa"/>
          </w:tcPr>
          <w:p w14:paraId="4D00D823" w14:textId="686C34F0" w:rsidR="00C01354" w:rsidRDefault="00C01354" w:rsidP="00C01354">
            <w:r w:rsidRPr="00C01354">
              <w:rPr>
                <w:b/>
              </w:rPr>
              <w:t xml:space="preserve">California Title 20: </w:t>
            </w:r>
            <w:r>
              <w:t>California Title 20 Appliance Efficiency Standards does require reporting the insulated holding cabinet idle energy rate per ASTM F2140 for the CEC Appliance Database, but the standard contains no minimum performance requirement.</w:t>
            </w:r>
          </w:p>
          <w:p w14:paraId="1A37C5D0" w14:textId="77777777" w:rsidR="00C01354" w:rsidRDefault="00C01354" w:rsidP="00C01354"/>
          <w:p w14:paraId="78008B19" w14:textId="35666E3B" w:rsidR="00C01354" w:rsidRDefault="00C01354" w:rsidP="00C01354">
            <w:r w:rsidRPr="00C01354">
              <w:rPr>
                <w:b/>
              </w:rPr>
              <w:t>California Title 24:</w:t>
            </w:r>
            <w:r>
              <w:t xml:space="preserve"> There are no State of California Title 24 Efficiency Regulation requirements for commercial holding cabinets.</w:t>
            </w:r>
          </w:p>
          <w:p w14:paraId="68AC823E" w14:textId="77777777" w:rsidR="00C01354" w:rsidRDefault="00C01354" w:rsidP="00C01354"/>
          <w:p w14:paraId="71CCCDEB" w14:textId="476E2AC9" w:rsidR="009A2332" w:rsidRDefault="00C01354" w:rsidP="00C01354">
            <w:r w:rsidRPr="00C01354">
              <w:rPr>
                <w:b/>
              </w:rPr>
              <w:t>Federal:</w:t>
            </w:r>
            <w:r>
              <w:t xml:space="preserve"> There are no Federal energy efficiency requirements for commercial holding cabinets.</w:t>
            </w:r>
          </w:p>
        </w:tc>
      </w:tr>
      <w:tr w:rsidR="009A2332" w14:paraId="7696972E" w14:textId="77777777" w:rsidTr="009A2332">
        <w:trPr>
          <w:trHeight w:val="576"/>
        </w:trPr>
        <w:tc>
          <w:tcPr>
            <w:tcW w:w="4675" w:type="dxa"/>
          </w:tcPr>
          <w:p w14:paraId="20CC2D9F" w14:textId="0410DA01" w:rsidR="009A2332" w:rsidRDefault="009A2332" w:rsidP="009A2332">
            <w:r w:rsidRPr="009A2332">
              <w:rPr>
                <w:rStyle w:val="Strong"/>
                <w:rFonts w:asciiTheme="minorHAnsi" w:hAnsiTheme="minorHAnsi"/>
                <w:b w:val="0"/>
                <w:szCs w:val="22"/>
              </w:rPr>
              <w:t>Requirements</w:t>
            </w:r>
          </w:p>
        </w:tc>
        <w:tc>
          <w:tcPr>
            <w:tcW w:w="4675" w:type="dxa"/>
          </w:tcPr>
          <w:p w14:paraId="33884BEA" w14:textId="77777777" w:rsidR="00B3249A" w:rsidRDefault="00B3249A" w:rsidP="00B3249A">
            <w:pPr>
              <w:pStyle w:val="ListParagraph"/>
              <w:numPr>
                <w:ilvl w:val="0"/>
                <w:numId w:val="42"/>
              </w:numPr>
            </w:pPr>
            <w:r w:rsidRPr="00B3249A">
              <w:t xml:space="preserve">All measures must be electric hot food holding cabinets that are fully insulated and have doors. </w:t>
            </w:r>
          </w:p>
          <w:p w14:paraId="7640CD28" w14:textId="77777777" w:rsidR="009A2332" w:rsidRDefault="00C01354" w:rsidP="00B3249A">
            <w:pPr>
              <w:pStyle w:val="ListParagraph"/>
              <w:numPr>
                <w:ilvl w:val="0"/>
                <w:numId w:val="42"/>
              </w:numPr>
            </w:pPr>
            <w:r w:rsidRPr="00C01354">
              <w:t xml:space="preserve">This measure </w:t>
            </w:r>
            <w:r>
              <w:t>must include</w:t>
            </w:r>
            <w:r w:rsidRPr="00C01354">
              <w:t xml:space="preserve"> new insulated holding cabinets that have a demonstrated idle energy rate of less than or equal to 20 Watts per cubic foot of internal volume, as determined by applying The ASTM Standard Test Method for the Performance of Hot Food Holding Cabinets (F2140).</w:t>
            </w:r>
          </w:p>
          <w:p w14:paraId="53FEF1FF" w14:textId="6845177A" w:rsidR="00B3249A" w:rsidRDefault="00B3249A" w:rsidP="00B3249A">
            <w:pPr>
              <w:pStyle w:val="ListParagraph"/>
              <w:numPr>
                <w:ilvl w:val="0"/>
                <w:numId w:val="42"/>
              </w:numPr>
            </w:pPr>
            <w:r>
              <w:t>C</w:t>
            </w:r>
            <w:r w:rsidRPr="00B3249A">
              <w:t>oo</w:t>
            </w:r>
            <w:r>
              <w:t xml:space="preserve">k-and-hold or </w:t>
            </w:r>
            <w:proofErr w:type="spellStart"/>
            <w:r>
              <w:t>retherm</w:t>
            </w:r>
            <w:proofErr w:type="spellEnd"/>
            <w:r>
              <w:t xml:space="preserve"> equipment is not eligible. </w:t>
            </w:r>
          </w:p>
        </w:tc>
      </w:tr>
      <w:tr w:rsidR="009A2332" w14:paraId="40AF0DB1" w14:textId="77777777" w:rsidTr="009A2332">
        <w:trPr>
          <w:trHeight w:val="576"/>
        </w:trPr>
        <w:tc>
          <w:tcPr>
            <w:tcW w:w="4675" w:type="dxa"/>
          </w:tcPr>
          <w:p w14:paraId="0A32ADDC" w14:textId="4085CE38" w:rsidR="009A2332" w:rsidRDefault="009A2332" w:rsidP="009A2332">
            <w:r>
              <w:rPr>
                <w:rStyle w:val="Strong"/>
                <w:rFonts w:asciiTheme="minorHAnsi" w:hAnsiTheme="minorHAnsi"/>
                <w:szCs w:val="22"/>
              </w:rPr>
              <w:t>1.3 Installation Type and Delivery Mechanisms</w:t>
            </w:r>
          </w:p>
        </w:tc>
        <w:tc>
          <w:tcPr>
            <w:tcW w:w="4675" w:type="dxa"/>
          </w:tcPr>
          <w:p w14:paraId="554484FF" w14:textId="77777777" w:rsidR="009A2332" w:rsidRDefault="009A2332" w:rsidP="009A2332"/>
        </w:tc>
      </w:tr>
      <w:tr w:rsidR="009A2332" w14:paraId="5D5B8844" w14:textId="77777777" w:rsidTr="009A2332">
        <w:trPr>
          <w:trHeight w:val="576"/>
        </w:trPr>
        <w:tc>
          <w:tcPr>
            <w:tcW w:w="467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4675" w:type="dxa"/>
          </w:tcPr>
          <w:p w14:paraId="0972861F" w14:textId="77777777" w:rsidR="009A2332" w:rsidRDefault="00A30BBB" w:rsidP="009A2332">
            <w:r w:rsidRPr="00A30BBB">
              <w:t>Replace on Burnout</w:t>
            </w:r>
            <w:r>
              <w:t xml:space="preserve"> (ROB)</w:t>
            </w:r>
          </w:p>
          <w:p w14:paraId="2B32F7DC" w14:textId="38A7A867" w:rsidR="00A30BBB" w:rsidRDefault="00B3249A" w:rsidP="009A2332">
            <w:r w:rsidRPr="00E43B71">
              <w:t>New Construction (NEW/NC)</w:t>
            </w:r>
          </w:p>
        </w:tc>
      </w:tr>
      <w:tr w:rsidR="009A2332" w14:paraId="3CF006A0" w14:textId="77777777" w:rsidTr="009A2332">
        <w:trPr>
          <w:trHeight w:val="576"/>
        </w:trPr>
        <w:tc>
          <w:tcPr>
            <w:tcW w:w="4675" w:type="dxa"/>
          </w:tcPr>
          <w:p w14:paraId="548E0861" w14:textId="09900E89" w:rsidR="009A2332" w:rsidRDefault="009A2332" w:rsidP="009A2332">
            <w:r w:rsidRPr="009A2332">
              <w:rPr>
                <w:rStyle w:val="Strong"/>
                <w:rFonts w:asciiTheme="minorHAnsi" w:hAnsiTheme="minorHAnsi"/>
                <w:b w:val="0"/>
                <w:szCs w:val="22"/>
              </w:rPr>
              <w:t>Delivery Mechanisms</w:t>
            </w:r>
          </w:p>
        </w:tc>
        <w:tc>
          <w:tcPr>
            <w:tcW w:w="4675" w:type="dxa"/>
          </w:tcPr>
          <w:p w14:paraId="0FFED9E6" w14:textId="3DE13C8B" w:rsidR="00A017C8" w:rsidRDefault="00A017C8" w:rsidP="00A017C8">
            <w:r>
              <w:t>Financial Support: Down-Stream Incentive – Deemed</w:t>
            </w:r>
          </w:p>
          <w:p w14:paraId="67E45078" w14:textId="1976451B" w:rsidR="00A30BBB" w:rsidRDefault="00A017C8" w:rsidP="00A017C8">
            <w:r>
              <w:t>Mid-Stream Programs: Mid-Stream Incentive</w:t>
            </w:r>
          </w:p>
        </w:tc>
      </w:tr>
      <w:tr w:rsidR="009A2332" w14:paraId="09F7817D" w14:textId="77777777" w:rsidTr="009A2332">
        <w:trPr>
          <w:trHeight w:val="576"/>
        </w:trPr>
        <w:tc>
          <w:tcPr>
            <w:tcW w:w="4675" w:type="dxa"/>
          </w:tcPr>
          <w:p w14:paraId="68DCF28E" w14:textId="61DEE361" w:rsidR="009A2332" w:rsidRDefault="009A2332" w:rsidP="009A2332">
            <w:r>
              <w:rPr>
                <w:rStyle w:val="Strong"/>
                <w:rFonts w:asciiTheme="minorHAnsi" w:hAnsiTheme="minorHAnsi"/>
                <w:szCs w:val="22"/>
              </w:rPr>
              <w:t>1.4.1 DEER Data</w:t>
            </w:r>
          </w:p>
        </w:tc>
        <w:tc>
          <w:tcPr>
            <w:tcW w:w="4675" w:type="dxa"/>
          </w:tcPr>
          <w:p w14:paraId="7F520E32" w14:textId="77777777" w:rsidR="009A2332" w:rsidRDefault="009A2332" w:rsidP="009A2332"/>
        </w:tc>
      </w:tr>
      <w:tr w:rsidR="009A2332" w14:paraId="51073860" w14:textId="77777777" w:rsidTr="009A2332">
        <w:trPr>
          <w:trHeight w:val="576"/>
        </w:trPr>
        <w:tc>
          <w:tcPr>
            <w:tcW w:w="4675" w:type="dxa"/>
          </w:tcPr>
          <w:p w14:paraId="07705888" w14:textId="718A29C7" w:rsidR="009A2332" w:rsidRDefault="009A2332" w:rsidP="009A2332">
            <w:r w:rsidRPr="009A2332">
              <w:rPr>
                <w:rStyle w:val="Strong"/>
                <w:rFonts w:asciiTheme="minorHAnsi" w:hAnsiTheme="minorHAnsi"/>
                <w:b w:val="0"/>
                <w:szCs w:val="22"/>
              </w:rPr>
              <w:t>Net-Gross-Ratio</w:t>
            </w:r>
          </w:p>
        </w:tc>
        <w:tc>
          <w:tcPr>
            <w:tcW w:w="4675" w:type="dxa"/>
          </w:tcPr>
          <w:p w14:paraId="0889228A" w14:textId="396D6CFC" w:rsidR="00A30BBB" w:rsidRDefault="00A30BBB" w:rsidP="009A2332">
            <w:r>
              <w:t xml:space="preserve">NTD ID: </w:t>
            </w:r>
            <w:r w:rsidRPr="00A30BBB">
              <w:t>Com-Default&gt;2yrs</w:t>
            </w:r>
            <w:r>
              <w:t xml:space="preserve"> </w:t>
            </w:r>
          </w:p>
          <w:p w14:paraId="7C01181E" w14:textId="35FACC33" w:rsidR="009A2332" w:rsidRDefault="00A30BBB" w:rsidP="009A2332">
            <w:r>
              <w:t>NTG Value: 0.6</w:t>
            </w:r>
          </w:p>
        </w:tc>
      </w:tr>
      <w:tr w:rsidR="009A2332" w14:paraId="7A4E17C4" w14:textId="77777777" w:rsidTr="009A2332">
        <w:trPr>
          <w:trHeight w:val="576"/>
        </w:trPr>
        <w:tc>
          <w:tcPr>
            <w:tcW w:w="467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4675" w:type="dxa"/>
          </w:tcPr>
          <w:p w14:paraId="07131647" w14:textId="77777777" w:rsidR="009A2332" w:rsidRDefault="00A30BBB" w:rsidP="009A2332">
            <w:r>
              <w:t xml:space="preserve">EUL ID: </w:t>
            </w:r>
            <w:r w:rsidRPr="00A30BBB">
              <w:t xml:space="preserve">Cook- </w:t>
            </w:r>
            <w:proofErr w:type="spellStart"/>
            <w:r w:rsidRPr="00A30BBB">
              <w:t>HoldCab</w:t>
            </w:r>
            <w:proofErr w:type="spellEnd"/>
          </w:p>
          <w:p w14:paraId="024A653C" w14:textId="77777777" w:rsidR="00A30BBB" w:rsidRDefault="00A30BBB" w:rsidP="009A2332">
            <w:r>
              <w:t>Source: DEER 2016</w:t>
            </w:r>
          </w:p>
          <w:p w14:paraId="70BC13BC" w14:textId="6945E2DD" w:rsidR="00A30BBB" w:rsidRDefault="00A30BBB" w:rsidP="009A2332">
            <w:r>
              <w:t>EUL: 12 Years</w:t>
            </w:r>
            <w:r w:rsidR="00B3249A">
              <w:t>, RUL: 4 Years</w:t>
            </w:r>
          </w:p>
        </w:tc>
      </w:tr>
      <w:tr w:rsidR="009A2332" w14:paraId="7C928286" w14:textId="77777777" w:rsidTr="009A2332">
        <w:trPr>
          <w:trHeight w:val="576"/>
        </w:trPr>
        <w:tc>
          <w:tcPr>
            <w:tcW w:w="4675" w:type="dxa"/>
          </w:tcPr>
          <w:p w14:paraId="6ECE75DB" w14:textId="7B1A4E30" w:rsidR="009A2332" w:rsidRDefault="009A2332" w:rsidP="009A2332">
            <w:r>
              <w:rPr>
                <w:rStyle w:val="Strong"/>
                <w:rFonts w:asciiTheme="minorHAnsi" w:hAnsiTheme="minorHAnsi"/>
                <w:szCs w:val="22"/>
              </w:rPr>
              <w:t>Section 2. Calculation Methodology</w:t>
            </w:r>
          </w:p>
        </w:tc>
        <w:tc>
          <w:tcPr>
            <w:tcW w:w="4675" w:type="dxa"/>
          </w:tcPr>
          <w:p w14:paraId="018C407C" w14:textId="77777777" w:rsidR="009A2332" w:rsidRDefault="009A2332" w:rsidP="009A2332"/>
        </w:tc>
      </w:tr>
      <w:tr w:rsidR="009A2332" w14:paraId="2060FD54" w14:textId="77777777" w:rsidTr="009A2332">
        <w:trPr>
          <w:trHeight w:val="576"/>
        </w:trPr>
        <w:tc>
          <w:tcPr>
            <w:tcW w:w="467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4675" w:type="dxa"/>
          </w:tcPr>
          <w:p w14:paraId="1AA7C027" w14:textId="77777777" w:rsidR="0001211E" w:rsidRDefault="00162189" w:rsidP="009A2332">
            <w:r w:rsidRPr="005E64E8">
              <w:t xml:space="preserve">The DEER database for the program years does not contain information on energy use, savings, </w:t>
            </w:r>
            <w:r w:rsidRPr="005E64E8">
              <w:lastRenderedPageBreak/>
              <w:t xml:space="preserve">or equipment costs for an energy-efficient electric hot food holding cabinet measure. The only reference in DEER for Commercial cooking equipment is for Estimated Useful Life (EUL).  </w:t>
            </w:r>
          </w:p>
          <w:p w14:paraId="3783EFEB" w14:textId="77777777" w:rsidR="0001211E" w:rsidRDefault="0001211E" w:rsidP="009A2332"/>
          <w:p w14:paraId="1D08BC7B" w14:textId="5FF239CD" w:rsidR="0001211E" w:rsidRDefault="0001211E" w:rsidP="0001211E">
            <w:r w:rsidRPr="0001211E">
              <w:t>The base case for both half and full size hot food holding cabinets in this work paper was the California Energy Commission (CEC) Title 20 regulations , requiring all new commercial hot food holding cabinets to have a maximum normalized idle energy rate of 40 W/ft³ based on ASTM F2140.</w:t>
            </w:r>
            <w:r>
              <w:t xml:space="preserve"> Refer to Table 6 of </w:t>
            </w:r>
            <w:r w:rsidRPr="00B54CF5">
              <w:rPr>
                <w:rFonts w:cstheme="minorHAnsi"/>
                <w:szCs w:val="22"/>
              </w:rPr>
              <w:t>PGECOFST105 R5</w:t>
            </w:r>
            <w:r>
              <w:rPr>
                <w:rFonts w:cstheme="minorHAnsi"/>
                <w:szCs w:val="22"/>
              </w:rPr>
              <w:t xml:space="preserve"> for base ASTM test results. </w:t>
            </w:r>
            <w:r w:rsidRPr="0001211E">
              <w:t>The measure case data was drawn from the CEC Appliance database that met the specified idle energy rate of 20W/ft³ or less. The complete list of qualifying holding cabinets is summarized in Appendix A</w:t>
            </w:r>
            <w:r>
              <w:t xml:space="preserve"> of </w:t>
            </w:r>
            <w:r w:rsidRPr="00B54CF5">
              <w:rPr>
                <w:rFonts w:cstheme="minorHAnsi"/>
                <w:szCs w:val="22"/>
              </w:rPr>
              <w:t>PGECOFST105 R5</w:t>
            </w:r>
            <w:r w:rsidRPr="0001211E">
              <w:t xml:space="preserve">. Table 7 </w:t>
            </w:r>
            <w:r>
              <w:t xml:space="preserve">of </w:t>
            </w:r>
            <w:r w:rsidRPr="00B54CF5">
              <w:rPr>
                <w:rFonts w:cstheme="minorHAnsi"/>
                <w:szCs w:val="22"/>
              </w:rPr>
              <w:t>PGECOFST105 R5</w:t>
            </w:r>
            <w:r>
              <w:rPr>
                <w:rFonts w:cstheme="minorHAnsi"/>
                <w:szCs w:val="22"/>
              </w:rPr>
              <w:t xml:space="preserve"> </w:t>
            </w:r>
            <w:r w:rsidRPr="0001211E">
              <w:t xml:space="preserve">summarizes the average measure holding cabinet specifications. </w:t>
            </w:r>
          </w:p>
          <w:p w14:paraId="5B72D2DA" w14:textId="77777777" w:rsidR="0001211E" w:rsidRDefault="0001211E" w:rsidP="0001211E"/>
          <w:p w14:paraId="00ADEE18" w14:textId="77777777" w:rsidR="0001211E" w:rsidRPr="00DD4482" w:rsidRDefault="0001211E" w:rsidP="0001211E">
            <w:pPr>
              <w:rPr>
                <w:rFonts w:cs="Arial"/>
                <w:szCs w:val="22"/>
              </w:rPr>
            </w:pPr>
            <w:r w:rsidRPr="00DD4482">
              <w:rPr>
                <w:rFonts w:cs="Arial"/>
                <w:szCs w:val="22"/>
              </w:rPr>
              <w:t>The demand reduction estimation is based on measured data for standard efficie</w:t>
            </w:r>
            <w:r>
              <w:rPr>
                <w:rFonts w:cs="Arial"/>
                <w:szCs w:val="22"/>
              </w:rPr>
              <w:t xml:space="preserve">ncy insulated holding cabinets </w:t>
            </w:r>
            <w:r w:rsidRPr="00DD4482">
              <w:rPr>
                <w:rFonts w:cs="Arial"/>
                <w:szCs w:val="22"/>
              </w:rPr>
              <w:t>and for high-efficiency insulated holding cabinets. The measured data are derived from tests conducted under ASTM Standard Test Method for the</w:t>
            </w:r>
            <w:r w:rsidRPr="00DD4482">
              <w:rPr>
                <w:rFonts w:cs="Arial"/>
                <w:i/>
                <w:iCs/>
                <w:szCs w:val="22"/>
              </w:rPr>
              <w:t xml:space="preserve"> </w:t>
            </w:r>
            <w:r w:rsidRPr="00DD4482">
              <w:rPr>
                <w:rFonts w:cs="Arial"/>
                <w:szCs w:val="22"/>
              </w:rPr>
              <w:t>Performance of Hot Food Holding Cabinets (F2140).</w:t>
            </w:r>
          </w:p>
          <w:p w14:paraId="5F0FEAC2" w14:textId="77777777" w:rsidR="0001211E" w:rsidRPr="0001211E" w:rsidRDefault="0001211E" w:rsidP="0001211E"/>
          <w:p w14:paraId="30189013" w14:textId="6AA04613" w:rsidR="00B3249A" w:rsidRDefault="0001211E" w:rsidP="009A2332">
            <w:r>
              <w:t xml:space="preserve">Please refer to Section 2 of PGECOFST105 R5 for additional details and examples. </w:t>
            </w:r>
          </w:p>
          <w:p w14:paraId="48A295FE" w14:textId="3E24D1D9" w:rsidR="00B3249A" w:rsidRDefault="00B3249A" w:rsidP="009A2332"/>
        </w:tc>
      </w:tr>
      <w:tr w:rsidR="009A2332" w14:paraId="79416F6B" w14:textId="77777777" w:rsidTr="009A2332">
        <w:trPr>
          <w:trHeight w:val="576"/>
        </w:trPr>
        <w:tc>
          <w:tcPr>
            <w:tcW w:w="4675" w:type="dxa"/>
          </w:tcPr>
          <w:p w14:paraId="63B2A37F" w14:textId="79D3BD2C" w:rsidR="009A2332" w:rsidRDefault="009A2332" w:rsidP="009A2332">
            <w:r>
              <w:rPr>
                <w:rStyle w:val="Strong"/>
                <w:rFonts w:asciiTheme="minorHAnsi" w:hAnsiTheme="minorHAnsi"/>
                <w:szCs w:val="22"/>
              </w:rPr>
              <w:lastRenderedPageBreak/>
              <w:t>Section 3. Load Shapes</w:t>
            </w:r>
          </w:p>
        </w:tc>
        <w:tc>
          <w:tcPr>
            <w:tcW w:w="4675" w:type="dxa"/>
          </w:tcPr>
          <w:p w14:paraId="55A23562" w14:textId="77777777" w:rsidR="009A2332" w:rsidRDefault="00162189" w:rsidP="009A2332">
            <w:proofErr w:type="spellStart"/>
            <w:r w:rsidRPr="00162189">
              <w:t>DEER:Indoor_Non-CFL_Ltg</w:t>
            </w:r>
            <w:proofErr w:type="spellEnd"/>
          </w:p>
          <w:p w14:paraId="4AE6D5AE" w14:textId="77777777" w:rsidR="00B3249A" w:rsidRDefault="00B3249A" w:rsidP="009A2332"/>
          <w:p w14:paraId="573722DD" w14:textId="720BDE82" w:rsidR="00B3249A" w:rsidRDefault="00B3249A" w:rsidP="00B3249A">
            <w:r>
              <w:t xml:space="preserve">The load shape for </w:t>
            </w:r>
            <w:r w:rsidRPr="00B3249A">
              <w:t>Commercial holding cabinet</w:t>
            </w:r>
            <w:r>
              <w:t xml:space="preserve">s </w:t>
            </w:r>
            <w:r w:rsidRPr="002216A9">
              <w:t>differ among food service facilities depending on daily menu variations, hours of operation, serving periods, day-of-week, and facility location.</w:t>
            </w:r>
            <w:r w:rsidR="00715313">
              <w:t xml:space="preserve"> </w:t>
            </w:r>
            <w:r w:rsidR="00715313" w:rsidRPr="00715313">
              <w:t>The measure load shape for this measure is determined by the E3 calculator based on the applicable non-residential market sector and the foodservice end-use.</w:t>
            </w:r>
          </w:p>
        </w:tc>
      </w:tr>
      <w:tr w:rsidR="009A2332" w14:paraId="0E2DA162" w14:textId="77777777" w:rsidTr="009A2332">
        <w:trPr>
          <w:trHeight w:val="576"/>
        </w:trPr>
        <w:tc>
          <w:tcPr>
            <w:tcW w:w="4675" w:type="dxa"/>
          </w:tcPr>
          <w:p w14:paraId="17E265C7" w14:textId="4B0D36D9" w:rsidR="009A2332" w:rsidRDefault="009A2332" w:rsidP="009A2332">
            <w:r>
              <w:rPr>
                <w:rStyle w:val="Strong"/>
                <w:rFonts w:asciiTheme="minorHAnsi" w:hAnsiTheme="minorHAnsi"/>
                <w:szCs w:val="22"/>
              </w:rPr>
              <w:t>Section 4. Costs</w:t>
            </w:r>
          </w:p>
        </w:tc>
        <w:tc>
          <w:tcPr>
            <w:tcW w:w="4675" w:type="dxa"/>
          </w:tcPr>
          <w:p w14:paraId="636754D0" w14:textId="23AA035C" w:rsidR="009A2332" w:rsidRDefault="00162189" w:rsidP="009A2332">
            <w:r w:rsidRPr="00162189">
              <w:t xml:space="preserve">Please refer to Attachment #1 Calculation Templates for detailed baseline and measure </w:t>
            </w:r>
            <w:r w:rsidRPr="00162189">
              <w:lastRenderedPageBreak/>
              <w:t>costs.</w:t>
            </w:r>
          </w:p>
        </w:tc>
      </w:tr>
      <w:tr w:rsidR="009A2332" w14:paraId="00EA9279" w14:textId="77777777" w:rsidTr="009A2332">
        <w:trPr>
          <w:trHeight w:val="576"/>
        </w:trPr>
        <w:tc>
          <w:tcPr>
            <w:tcW w:w="4675" w:type="dxa"/>
          </w:tcPr>
          <w:p w14:paraId="448F5A7F" w14:textId="54FDF208" w:rsidR="009A2332" w:rsidRDefault="009A2332" w:rsidP="009A2332">
            <w:r>
              <w:rPr>
                <w:rStyle w:val="Strong"/>
                <w:rFonts w:asciiTheme="minorHAnsi" w:hAnsiTheme="minorHAnsi"/>
                <w:szCs w:val="22"/>
              </w:rPr>
              <w:lastRenderedPageBreak/>
              <w:t>Section 4.1 Base and Measure Costs</w:t>
            </w:r>
          </w:p>
        </w:tc>
        <w:tc>
          <w:tcPr>
            <w:tcW w:w="4675" w:type="dxa"/>
          </w:tcPr>
          <w:p w14:paraId="4A8F9241" w14:textId="77777777" w:rsidR="009A2332" w:rsidRDefault="009A2332" w:rsidP="009A2332"/>
        </w:tc>
      </w:tr>
    </w:tbl>
    <w:p w14:paraId="31A3A294" w14:textId="77777777" w:rsidR="009A2332" w:rsidRPr="009A2332" w:rsidRDefault="009A2332" w:rsidP="009A2332"/>
    <w:p w14:paraId="105F0FE3" w14:textId="77777777" w:rsidR="00C73477" w:rsidRPr="00EE365D" w:rsidRDefault="00C73477" w:rsidP="00C73477">
      <w:pPr>
        <w:spacing w:after="200" w:line="276" w:lineRule="auto"/>
        <w:rPr>
          <w:i/>
          <w:szCs w:val="20"/>
        </w:rPr>
      </w:pPr>
      <w:r w:rsidRPr="00EE365D">
        <w:rPr>
          <w:i/>
          <w:szCs w:val="20"/>
        </w:rPr>
        <w:t xml:space="preserve">No Changes were required for this short form. The savings were simply transferred to SCE’s 2017 Calculation Template. </w:t>
      </w:r>
    </w:p>
    <w:p w14:paraId="16D6A260" w14:textId="17A118A6" w:rsidR="00083EDC" w:rsidRDefault="004C3F3B" w:rsidP="00083EDC">
      <w:pPr>
        <w:rPr>
          <w:b/>
          <w:sz w:val="36"/>
          <w:szCs w:val="36"/>
        </w:rPr>
      </w:pPr>
      <w:r w:rsidRPr="004C3F3B">
        <w:rPr>
          <w:b/>
          <w:sz w:val="36"/>
          <w:szCs w:val="36"/>
        </w:rPr>
        <w:t>Attachments:</w:t>
      </w:r>
    </w:p>
    <w:p w14:paraId="7808FA3A" w14:textId="77777777" w:rsidR="004C3F3B" w:rsidRDefault="004C3F3B" w:rsidP="00083EDC">
      <w:pPr>
        <w:rPr>
          <w:b/>
          <w:sz w:val="36"/>
          <w:szCs w:val="36"/>
        </w:rPr>
      </w:pPr>
    </w:p>
    <w:p w14:paraId="0B748021" w14:textId="4DD2A175" w:rsidR="004C3F3B" w:rsidRPr="004C3F3B" w:rsidRDefault="004C3F3B" w:rsidP="004C3F3B">
      <w:pPr>
        <w:pStyle w:val="ListParagraph"/>
        <w:numPr>
          <w:ilvl w:val="0"/>
          <w:numId w:val="43"/>
        </w:numPr>
        <w:rPr>
          <w:szCs w:val="22"/>
        </w:rPr>
      </w:pPr>
      <w:bookmarkStart w:id="3" w:name="_GoBack"/>
      <w:r w:rsidRPr="004C3F3B">
        <w:rPr>
          <w:szCs w:val="22"/>
        </w:rPr>
        <w:t>A1 SCE17CC003.0 - Calculation Template</w:t>
      </w:r>
    </w:p>
    <w:bookmarkEnd w:id="3"/>
    <w:p w14:paraId="4790C34C" w14:textId="77777777" w:rsidR="004C3F3B" w:rsidRPr="00083EDC" w:rsidRDefault="004C3F3B" w:rsidP="00083EDC">
      <w:pPr>
        <w:rPr>
          <w:vanish/>
          <w:szCs w:val="22"/>
        </w:rPr>
      </w:pPr>
    </w:p>
    <w:p w14:paraId="43200AA7" w14:textId="77777777" w:rsidR="00083EDC" w:rsidRPr="00083EDC" w:rsidRDefault="00083EDC" w:rsidP="00083EDC">
      <w:pPr>
        <w:pStyle w:val="Caption"/>
        <w:rPr>
          <w:szCs w:val="22"/>
        </w:rPr>
      </w:pPr>
    </w:p>
    <w:bookmarkEnd w:id="1"/>
    <w:p w14:paraId="14781C8D" w14:textId="4D68983F" w:rsidR="00083EDC" w:rsidRPr="00CE5522" w:rsidRDefault="00083EDC" w:rsidP="00B80903">
      <w:pPr>
        <w:pStyle w:val="ListParagraph"/>
        <w:rPr>
          <w:b/>
          <w:szCs w:val="20"/>
        </w:rPr>
      </w:pPr>
    </w:p>
    <w:sectPr w:rsidR="00083EDC" w:rsidRPr="00CE5522" w:rsidSect="00A85B92">
      <w:footerReference w:type="default" r:id="rId10"/>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F437A2" w15:done="0"/>
  <w15:commentEx w15:paraId="06E6622D" w15:paraIdParent="12F437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5806E" w14:textId="77777777" w:rsidR="00C82DB8" w:rsidRDefault="00C82DB8" w:rsidP="00447D6E">
      <w:r>
        <w:separator/>
      </w:r>
    </w:p>
    <w:p w14:paraId="47ECB3EF" w14:textId="77777777" w:rsidR="00C82DB8" w:rsidRDefault="00C82DB8"/>
  </w:endnote>
  <w:endnote w:type="continuationSeparator" w:id="0">
    <w:p w14:paraId="7940CD3F" w14:textId="77777777" w:rsidR="00C82DB8" w:rsidRDefault="00C82DB8" w:rsidP="00447D6E">
      <w:r>
        <w:continuationSeparator/>
      </w:r>
    </w:p>
    <w:p w14:paraId="460EF4F4" w14:textId="77777777" w:rsidR="00C82DB8" w:rsidRDefault="00C82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3BEBEBD" w:rsidR="00F30167" w:rsidRPr="009500DC" w:rsidRDefault="004C3F3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B54CF5">
          <w:rPr>
            <w:rFonts w:cstheme="minorHAnsi"/>
            <w:b/>
            <w:sz w:val="20"/>
            <w:szCs w:val="20"/>
          </w:rPr>
          <w:t>SCE17CC003</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B54CF5">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vi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29T00:00:00Z">
          <w:dateFormat w:val="MMMM d, yyyy"/>
          <w:lid w:val="en-US"/>
          <w:storeMappedDataAs w:val="dateTime"/>
          <w:calendar w:val="gregorian"/>
        </w:date>
      </w:sdtPr>
      <w:sdtEndPr/>
      <w:sdtContent>
        <w:r w:rsidR="00B54CF5">
          <w:rPr>
            <w:rFonts w:cstheme="minorHAnsi"/>
            <w:b/>
            <w:sz w:val="20"/>
            <w:szCs w:val="20"/>
          </w:rPr>
          <w:t>November 2</w:t>
        </w:r>
        <w:r w:rsidR="003C46B2">
          <w:rPr>
            <w:rFonts w:cstheme="minorHAnsi"/>
            <w:b/>
            <w:sz w:val="20"/>
            <w:szCs w:val="20"/>
          </w:rPr>
          <w:t>9</w:t>
        </w:r>
        <w:r w:rsidR="00B54CF5">
          <w:rPr>
            <w:rFonts w:cstheme="minorHAnsi"/>
            <w:b/>
            <w:sz w:val="20"/>
            <w:szCs w:val="20"/>
          </w:rPr>
          <w:t>, 2017</w:t>
        </w:r>
      </w:sdtContent>
    </w:sdt>
  </w:p>
  <w:p w14:paraId="43C07EA5" w14:textId="544E4323" w:rsidR="00F30167" w:rsidRPr="009500DC" w:rsidRDefault="004C3F3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B13C5" w14:textId="77777777" w:rsidR="00C82DB8" w:rsidRDefault="00C82DB8" w:rsidP="00447D6E">
      <w:r>
        <w:separator/>
      </w:r>
    </w:p>
    <w:p w14:paraId="7952219D" w14:textId="77777777" w:rsidR="00C82DB8" w:rsidRDefault="00C82DB8"/>
  </w:footnote>
  <w:footnote w:type="continuationSeparator" w:id="0">
    <w:p w14:paraId="63F3844A" w14:textId="77777777" w:rsidR="00C82DB8" w:rsidRDefault="00C82DB8" w:rsidP="00447D6E">
      <w:r>
        <w:continuationSeparator/>
      </w:r>
    </w:p>
    <w:p w14:paraId="1026E7F2" w14:textId="77777777" w:rsidR="00C82DB8" w:rsidRDefault="00C82DB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C6F2384"/>
    <w:multiLevelType w:val="hybridMultilevel"/>
    <w:tmpl w:val="7D3CF5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1A7F63"/>
    <w:multiLevelType w:val="hybridMultilevel"/>
    <w:tmpl w:val="7A5ED8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3A48DD"/>
    <w:multiLevelType w:val="hybridMultilevel"/>
    <w:tmpl w:val="F4365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CC6884"/>
    <w:multiLevelType w:val="hybridMultilevel"/>
    <w:tmpl w:val="C6B6D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70793C"/>
    <w:multiLevelType w:val="hybridMultilevel"/>
    <w:tmpl w:val="3DB221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FB3AB7"/>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7463EC"/>
    <w:multiLevelType w:val="hybridMultilevel"/>
    <w:tmpl w:val="8506B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2"/>
  </w:num>
  <w:num w:numId="10">
    <w:abstractNumId w:val="6"/>
  </w:num>
  <w:num w:numId="11">
    <w:abstractNumId w:val="24"/>
  </w:num>
  <w:num w:numId="12">
    <w:abstractNumId w:val="18"/>
  </w:num>
  <w:num w:numId="13">
    <w:abstractNumId w:val="11"/>
  </w:num>
  <w:num w:numId="14">
    <w:abstractNumId w:val="38"/>
  </w:num>
  <w:num w:numId="15">
    <w:abstractNumId w:val="9"/>
  </w:num>
  <w:num w:numId="16">
    <w:abstractNumId w:val="13"/>
  </w:num>
  <w:num w:numId="17">
    <w:abstractNumId w:val="5"/>
  </w:num>
  <w:num w:numId="18">
    <w:abstractNumId w:val="0"/>
  </w:num>
  <w:num w:numId="19">
    <w:abstractNumId w:val="35"/>
  </w:num>
  <w:num w:numId="20">
    <w:abstractNumId w:val="4"/>
  </w:num>
  <w:num w:numId="21">
    <w:abstractNumId w:val="26"/>
  </w:num>
  <w:num w:numId="22">
    <w:abstractNumId w:val="28"/>
  </w:num>
  <w:num w:numId="23">
    <w:abstractNumId w:val="39"/>
  </w:num>
  <w:num w:numId="24">
    <w:abstractNumId w:val="33"/>
  </w:num>
  <w:num w:numId="25">
    <w:abstractNumId w:val="14"/>
  </w:num>
  <w:num w:numId="26">
    <w:abstractNumId w:val="17"/>
  </w:num>
  <w:num w:numId="27">
    <w:abstractNumId w:val="31"/>
  </w:num>
  <w:num w:numId="28">
    <w:abstractNumId w:val="16"/>
  </w:num>
  <w:num w:numId="29">
    <w:abstractNumId w:val="8"/>
  </w:num>
  <w:num w:numId="30">
    <w:abstractNumId w:val="1"/>
  </w:num>
  <w:num w:numId="31">
    <w:abstractNumId w:val="40"/>
  </w:num>
  <w:num w:numId="32">
    <w:abstractNumId w:val="25"/>
  </w:num>
  <w:num w:numId="33">
    <w:abstractNumId w:val="32"/>
  </w:num>
  <w:num w:numId="34">
    <w:abstractNumId w:val="10"/>
  </w:num>
  <w:num w:numId="35">
    <w:abstractNumId w:val="15"/>
  </w:num>
  <w:num w:numId="36">
    <w:abstractNumId w:val="7"/>
  </w:num>
  <w:num w:numId="37">
    <w:abstractNumId w:val="36"/>
  </w:num>
  <w:num w:numId="38">
    <w:abstractNumId w:val="30"/>
  </w:num>
  <w:num w:numId="39">
    <w:abstractNumId w:val="27"/>
  </w:num>
  <w:num w:numId="40">
    <w:abstractNumId w:val="29"/>
  </w:num>
  <w:num w:numId="41">
    <w:abstractNumId w:val="3"/>
  </w:num>
  <w:num w:numId="42">
    <w:abstractNumId w:val="34"/>
  </w:num>
  <w:num w:numId="43">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ega, Kara">
    <w15:presenceInfo w15:providerId="AD" w15:userId="S-1-5-21-1786704334-1080620903-3496478664-3333"/>
  </w15:person>
  <w15:person w15:author="Jay Bhakta">
    <w15:presenceInfo w15:providerId="AD" w15:userId="S-1-5-21-2559334742-469970549-2024990295-19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211E"/>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3EDC"/>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2189"/>
    <w:rsid w:val="00165357"/>
    <w:rsid w:val="001722B7"/>
    <w:rsid w:val="001727D9"/>
    <w:rsid w:val="00174BB4"/>
    <w:rsid w:val="00175D14"/>
    <w:rsid w:val="001811EE"/>
    <w:rsid w:val="00185AD4"/>
    <w:rsid w:val="00192C2A"/>
    <w:rsid w:val="001979AF"/>
    <w:rsid w:val="001A0EB4"/>
    <w:rsid w:val="001A1A86"/>
    <w:rsid w:val="001A5F62"/>
    <w:rsid w:val="001B015E"/>
    <w:rsid w:val="001B2301"/>
    <w:rsid w:val="001B618B"/>
    <w:rsid w:val="001C0CD1"/>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2250"/>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C0675"/>
    <w:rsid w:val="003C46B2"/>
    <w:rsid w:val="003D17FF"/>
    <w:rsid w:val="003D2871"/>
    <w:rsid w:val="003D2981"/>
    <w:rsid w:val="003D5234"/>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1390"/>
    <w:rsid w:val="004C2244"/>
    <w:rsid w:val="004C23F1"/>
    <w:rsid w:val="004C3F3B"/>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E64E8"/>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15313"/>
    <w:rsid w:val="00726338"/>
    <w:rsid w:val="00726AD5"/>
    <w:rsid w:val="00733C7D"/>
    <w:rsid w:val="00740761"/>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3C98"/>
    <w:rsid w:val="00824F1C"/>
    <w:rsid w:val="00826688"/>
    <w:rsid w:val="0083369B"/>
    <w:rsid w:val="00835D38"/>
    <w:rsid w:val="00843763"/>
    <w:rsid w:val="00847A4E"/>
    <w:rsid w:val="00871D79"/>
    <w:rsid w:val="0087393E"/>
    <w:rsid w:val="00881A42"/>
    <w:rsid w:val="00882386"/>
    <w:rsid w:val="0088361D"/>
    <w:rsid w:val="00885E0A"/>
    <w:rsid w:val="0088603B"/>
    <w:rsid w:val="00886147"/>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E6B43"/>
    <w:rsid w:val="009F7A61"/>
    <w:rsid w:val="00A017C8"/>
    <w:rsid w:val="00A11800"/>
    <w:rsid w:val="00A11C16"/>
    <w:rsid w:val="00A1423E"/>
    <w:rsid w:val="00A17664"/>
    <w:rsid w:val="00A20FAF"/>
    <w:rsid w:val="00A24520"/>
    <w:rsid w:val="00A30BBB"/>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5B92"/>
    <w:rsid w:val="00A86DA2"/>
    <w:rsid w:val="00A90DFC"/>
    <w:rsid w:val="00A90F1A"/>
    <w:rsid w:val="00A91BF3"/>
    <w:rsid w:val="00AA0A9C"/>
    <w:rsid w:val="00AA16C0"/>
    <w:rsid w:val="00AA4CDC"/>
    <w:rsid w:val="00AB21D4"/>
    <w:rsid w:val="00AB21F5"/>
    <w:rsid w:val="00AB3386"/>
    <w:rsid w:val="00AB36DB"/>
    <w:rsid w:val="00AC0B1D"/>
    <w:rsid w:val="00AC2F5B"/>
    <w:rsid w:val="00AC37A3"/>
    <w:rsid w:val="00AC3DAD"/>
    <w:rsid w:val="00AC5309"/>
    <w:rsid w:val="00AC5B97"/>
    <w:rsid w:val="00AD4DD0"/>
    <w:rsid w:val="00AE0A8D"/>
    <w:rsid w:val="00AF6342"/>
    <w:rsid w:val="00B053FB"/>
    <w:rsid w:val="00B05647"/>
    <w:rsid w:val="00B07EE5"/>
    <w:rsid w:val="00B21CC5"/>
    <w:rsid w:val="00B231C2"/>
    <w:rsid w:val="00B26778"/>
    <w:rsid w:val="00B26B83"/>
    <w:rsid w:val="00B32479"/>
    <w:rsid w:val="00B3249A"/>
    <w:rsid w:val="00B32952"/>
    <w:rsid w:val="00B33FE2"/>
    <w:rsid w:val="00B403ED"/>
    <w:rsid w:val="00B4065F"/>
    <w:rsid w:val="00B45091"/>
    <w:rsid w:val="00B45447"/>
    <w:rsid w:val="00B54CF5"/>
    <w:rsid w:val="00B55B0A"/>
    <w:rsid w:val="00B614F1"/>
    <w:rsid w:val="00B80903"/>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354"/>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3477"/>
    <w:rsid w:val="00C76D4F"/>
    <w:rsid w:val="00C805BC"/>
    <w:rsid w:val="00C82DB8"/>
    <w:rsid w:val="00C959CA"/>
    <w:rsid w:val="00C95D16"/>
    <w:rsid w:val="00CA2AB4"/>
    <w:rsid w:val="00CB0100"/>
    <w:rsid w:val="00CB04D2"/>
    <w:rsid w:val="00CD7EFE"/>
    <w:rsid w:val="00CE0C66"/>
    <w:rsid w:val="00CE28CF"/>
    <w:rsid w:val="00CE4386"/>
    <w:rsid w:val="00CE4CDC"/>
    <w:rsid w:val="00CE5522"/>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0169"/>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B3E2B"/>
    <w:rsid w:val="00146151"/>
    <w:rsid w:val="00204A7F"/>
    <w:rsid w:val="002B514B"/>
    <w:rsid w:val="002C0C03"/>
    <w:rsid w:val="00311B0D"/>
    <w:rsid w:val="003A131F"/>
    <w:rsid w:val="004817CD"/>
    <w:rsid w:val="00560392"/>
    <w:rsid w:val="00673E87"/>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76EDE7-9A23-4D83-85BA-E2AFC54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SCE17CC003</vt:lpstr>
    </vt:vector>
  </TitlesOfParts>
  <Company>Southern California Edison</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SCE17CC003</dc:title>
  <dc:creator>Jim Wyatt (PG&amp;E);Jason Wang (SCE)</dc:creator>
  <cp:lastModifiedBy>Ajay Wadhera</cp:lastModifiedBy>
  <cp:revision>6</cp:revision>
  <dcterms:created xsi:type="dcterms:W3CDTF">2017-12-04T18:02:00Z</dcterms:created>
  <dcterms:modified xsi:type="dcterms:W3CDTF">2017-12-18T22:27:00Z</dcterms:modified>
  <cp:contentStatus>Revision 0</cp:contentStatus>
</cp:coreProperties>
</file>