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750AE56D"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2328E4">
            <w:t>CC001</w:t>
          </w:r>
        </w:sdtContent>
      </w:sdt>
    </w:p>
    <w:bookmarkEnd w:id="0"/>
    <w:p w14:paraId="7601CE2F" w14:textId="00258B60" w:rsidR="00DA690B" w:rsidRPr="00500C4E" w:rsidRDefault="00FA41B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2328E4">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2" w:name="SCE"/>
    <w:p w14:paraId="1837A157" w14:textId="79948BB8" w:rsidR="00DA690B" w:rsidRPr="00500C4E" w:rsidRDefault="00FA41B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29CC4055" w14:textId="0923D333" w:rsidR="00E76B31" w:rsidRPr="00500C4E" w:rsidRDefault="002328E4" w:rsidP="00E76B31">
      <w:pPr>
        <w:pStyle w:val="Reminders"/>
        <w:rPr>
          <w:rFonts w:asciiTheme="minorHAnsi" w:hAnsiTheme="minorHAnsi" w:cstheme="minorHAnsi"/>
          <w:i w:val="0"/>
          <w:szCs w:val="22"/>
        </w:rPr>
      </w:pPr>
      <w:r w:rsidRPr="002328E4">
        <w:rPr>
          <w:rFonts w:asciiTheme="minorHAnsi" w:hAnsiTheme="minorHAnsi" w:cstheme="minorHAnsi"/>
          <w:b/>
          <w:i w:val="0"/>
          <w:color w:val="auto"/>
          <w:sz w:val="72"/>
          <w:szCs w:val="72"/>
        </w:rPr>
        <w:t>Reach In Refrigerators and Freezers - Commercial</w:t>
      </w:r>
    </w:p>
    <w:p w14:paraId="60C5441A" w14:textId="0AD285A5" w:rsidR="00F30167" w:rsidRDefault="00F30167">
      <w:pPr>
        <w:spacing w:after="200" w:line="276" w:lineRule="auto"/>
        <w:rPr>
          <w:rFonts w:cstheme="minorHAnsi"/>
          <w:b/>
          <w:color w:val="FF0000"/>
          <w:sz w:val="32"/>
          <w:szCs w:val="22"/>
        </w:rPr>
      </w:pPr>
      <w:r>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36DF0D49" w14:textId="5EA321B6" w:rsidR="00F30167" w:rsidRPr="001F54D2" w:rsidRDefault="00F30167" w:rsidP="00F30167">
      <w:pPr>
        <w:pStyle w:val="Reminders"/>
        <w:rPr>
          <w:rFonts w:asciiTheme="minorHAnsi" w:hAnsiTheme="minorHAnsi" w:cstheme="minorHAnsi"/>
          <w:i w:val="0"/>
          <w:color w:val="auto"/>
          <w:szCs w:val="22"/>
        </w:rPr>
      </w:pPr>
      <w:r w:rsidRPr="001F54D2">
        <w:rPr>
          <w:rFonts w:asciiTheme="minorHAnsi" w:hAnsiTheme="minorHAnsi" w:cstheme="minorHAnsi"/>
          <w:i w:val="0"/>
          <w:color w:val="auto"/>
          <w:szCs w:val="22"/>
        </w:rPr>
        <w:t xml:space="preserve">This short form </w:t>
      </w:r>
      <w:proofErr w:type="spellStart"/>
      <w:r w:rsidRPr="001F54D2">
        <w:rPr>
          <w:rFonts w:asciiTheme="minorHAnsi" w:hAnsiTheme="minorHAnsi" w:cstheme="minorHAnsi"/>
          <w:i w:val="0"/>
          <w:color w:val="auto"/>
          <w:szCs w:val="22"/>
        </w:rPr>
        <w:t>workpaper</w:t>
      </w:r>
      <w:proofErr w:type="spellEnd"/>
      <w:r w:rsidR="004E00D7">
        <w:rPr>
          <w:rFonts w:asciiTheme="minorHAnsi" w:hAnsiTheme="minorHAnsi" w:cstheme="minorHAnsi"/>
          <w:i w:val="0"/>
          <w:color w:val="auto"/>
          <w:szCs w:val="22"/>
        </w:rPr>
        <w:t xml:space="preserve"> documents</w:t>
      </w:r>
      <w:r w:rsidRPr="001F54D2">
        <w:rPr>
          <w:rFonts w:asciiTheme="minorHAnsi" w:hAnsiTheme="minorHAnsi" w:cstheme="minorHAnsi"/>
          <w:i w:val="0"/>
          <w:color w:val="auto"/>
          <w:szCs w:val="22"/>
        </w:rPr>
        <w:t xml:space="preserve"> the values adopted from PGE’s WP entitled “</w:t>
      </w:r>
      <w:r w:rsidR="002328E4" w:rsidRPr="001F54D2">
        <w:rPr>
          <w:rFonts w:asciiTheme="minorHAnsi" w:hAnsiTheme="minorHAnsi" w:cstheme="minorHAnsi"/>
          <w:i w:val="0"/>
          <w:color w:val="auto"/>
          <w:szCs w:val="22"/>
        </w:rPr>
        <w:t>Reach In Refrigerators and Freezers - Commercial</w:t>
      </w:r>
      <w:r w:rsidRPr="001F54D2">
        <w:rPr>
          <w:rFonts w:asciiTheme="minorHAnsi" w:hAnsiTheme="minorHAnsi" w:cstheme="minorHAnsi"/>
          <w:i w:val="0"/>
          <w:color w:val="auto"/>
          <w:szCs w:val="22"/>
        </w:rPr>
        <w:t>” (</w:t>
      </w:r>
      <w:r w:rsidR="002328E4" w:rsidRPr="001F54D2">
        <w:rPr>
          <w:rFonts w:asciiTheme="minorHAnsi" w:hAnsiTheme="minorHAnsi" w:cstheme="minorHAnsi"/>
          <w:i w:val="0"/>
          <w:color w:val="auto"/>
          <w:szCs w:val="22"/>
        </w:rPr>
        <w:t>PGECOFST123 R3</w:t>
      </w:r>
      <w:r w:rsidRPr="001F54D2">
        <w:rPr>
          <w:rFonts w:asciiTheme="minorHAnsi" w:hAnsiTheme="minorHAnsi" w:cstheme="minorHAnsi"/>
          <w:i w:val="0"/>
          <w:color w:val="auto"/>
          <w:szCs w:val="22"/>
        </w:rPr>
        <w:t xml:space="preserve">). SCE adopts all the values in </w:t>
      </w:r>
      <w:r w:rsidR="00EE365D" w:rsidRPr="001F54D2">
        <w:rPr>
          <w:rFonts w:asciiTheme="minorHAnsi" w:hAnsiTheme="minorHAnsi" w:cstheme="minorHAnsi"/>
          <w:i w:val="0"/>
          <w:color w:val="auto"/>
          <w:szCs w:val="22"/>
        </w:rPr>
        <w:t xml:space="preserve">PGECOFST123 R3 </w:t>
      </w:r>
      <w:r w:rsidRPr="001F54D2">
        <w:rPr>
          <w:rFonts w:asciiTheme="minorHAnsi" w:hAnsiTheme="minorHAnsi" w:cstheme="minorHAnsi"/>
          <w:i w:val="0"/>
          <w:color w:val="auto"/>
          <w:szCs w:val="22"/>
        </w:rPr>
        <w:t xml:space="preserve">with </w:t>
      </w:r>
      <w:r w:rsidR="002328E4" w:rsidRPr="001F54D2">
        <w:rPr>
          <w:rFonts w:asciiTheme="minorHAnsi" w:hAnsiTheme="minorHAnsi" w:cstheme="minorHAnsi"/>
          <w:i w:val="0"/>
          <w:color w:val="auto"/>
          <w:szCs w:val="22"/>
        </w:rPr>
        <w:t>no changes</w:t>
      </w:r>
      <w:r w:rsidRPr="001F54D2">
        <w:rPr>
          <w:rFonts w:asciiTheme="minorHAnsi" w:hAnsiTheme="minorHAnsi" w:cstheme="minorHAnsi"/>
          <w:i w:val="0"/>
          <w:color w:val="auto"/>
          <w:szCs w:val="22"/>
        </w:rPr>
        <w:t xml:space="preserve"> </w:t>
      </w:r>
    </w:p>
    <w:p w14:paraId="1A0C60DA" w14:textId="77777777" w:rsidR="00F30167" w:rsidRPr="00F30167" w:rsidRDefault="00F30167" w:rsidP="00F30167">
      <w:pPr>
        <w:pStyle w:val="Reminders"/>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36"/>
        <w:gridCol w:w="1107"/>
        <w:gridCol w:w="1343"/>
        <w:gridCol w:w="6590"/>
      </w:tblGrid>
      <w:tr w:rsidR="003845E5" w:rsidRPr="00500C4E" w14:paraId="5AFD7FBC" w14:textId="77777777" w:rsidTr="001F54D2">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1F54D2">
        <w:trPr>
          <w:trHeight w:val="20"/>
        </w:trPr>
        <w:tc>
          <w:tcPr>
            <w:tcW w:w="280" w:type="pct"/>
          </w:tcPr>
          <w:p w14:paraId="4A1A2996" w14:textId="1BFA27BC" w:rsidR="00933188" w:rsidRPr="001F54D2" w:rsidRDefault="002328E4" w:rsidP="005729C8">
            <w:pPr>
              <w:rPr>
                <w:rFonts w:cstheme="minorHAnsi"/>
                <w:szCs w:val="20"/>
              </w:rPr>
            </w:pPr>
            <w:r w:rsidRPr="001F54D2">
              <w:rPr>
                <w:rFonts w:cstheme="minorHAnsi"/>
                <w:szCs w:val="20"/>
              </w:rPr>
              <w:t>0</w:t>
            </w:r>
          </w:p>
        </w:tc>
        <w:tc>
          <w:tcPr>
            <w:tcW w:w="578" w:type="pct"/>
          </w:tcPr>
          <w:p w14:paraId="68BA349C" w14:textId="6D8C4981" w:rsidR="00933188" w:rsidRPr="001F54D2" w:rsidRDefault="00FA41B7" w:rsidP="005729C8">
            <w:pPr>
              <w:rPr>
                <w:rFonts w:cstheme="minorHAnsi"/>
                <w:szCs w:val="20"/>
              </w:rPr>
            </w:pPr>
            <w:r>
              <w:rPr>
                <w:rFonts w:cstheme="minorHAnsi"/>
                <w:szCs w:val="20"/>
              </w:rPr>
              <w:t>6/01/2018</w:t>
            </w:r>
          </w:p>
        </w:tc>
        <w:tc>
          <w:tcPr>
            <w:tcW w:w="701" w:type="pct"/>
          </w:tcPr>
          <w:p w14:paraId="4A812BB3" w14:textId="047A8E37" w:rsidR="00933188" w:rsidRPr="001F54D2" w:rsidRDefault="00FA41B7" w:rsidP="001B2301">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/SCE</w:t>
            </w:r>
          </w:p>
        </w:tc>
        <w:tc>
          <w:tcPr>
            <w:tcW w:w="3441" w:type="pct"/>
          </w:tcPr>
          <w:p w14:paraId="1FCBF7AE" w14:textId="0D05CD58" w:rsidR="002328E4" w:rsidRPr="002328E4" w:rsidRDefault="002328E4" w:rsidP="002328E4">
            <w:pPr>
              <w:pStyle w:val="ListParagraph"/>
              <w:numPr>
                <w:ilvl w:val="0"/>
                <w:numId w:val="37"/>
              </w:numPr>
            </w:pPr>
            <w:r w:rsidRPr="002328E4">
              <w:t>Transferred savings values to SCE C</w:t>
            </w:r>
            <w:r w:rsidR="00FA41B7">
              <w:t>alculation template for the 2018</w:t>
            </w:r>
            <w:r w:rsidRPr="002328E4">
              <w:t xml:space="preserve"> program year. </w:t>
            </w:r>
          </w:p>
          <w:p w14:paraId="1399ABC9" w14:textId="5B974F69" w:rsidR="002328E4" w:rsidRDefault="002328E4" w:rsidP="001F54D2">
            <w:pPr>
              <w:pStyle w:val="ListParagraph"/>
              <w:numPr>
                <w:ilvl w:val="0"/>
                <w:numId w:val="37"/>
              </w:numPr>
            </w:pPr>
            <w:r>
              <w:t>Calculation templates were developed based on PGE’s template “</w:t>
            </w:r>
            <w:r w:rsidR="001F54D2" w:rsidRPr="001F54D2">
              <w:t xml:space="preserve">PGECOFST123 R3 Reach </w:t>
            </w:r>
            <w:proofErr w:type="gramStart"/>
            <w:r w:rsidR="001F54D2" w:rsidRPr="001F54D2">
              <w:t>In</w:t>
            </w:r>
            <w:proofErr w:type="gramEnd"/>
            <w:r w:rsidR="001F54D2" w:rsidRPr="001F54D2">
              <w:t xml:space="preserve"> Ref and Freezer-Statewide</w:t>
            </w:r>
            <w:r>
              <w:t>”.</w:t>
            </w:r>
          </w:p>
          <w:p w14:paraId="34F0A8ED" w14:textId="66415C32" w:rsidR="0036726C" w:rsidRPr="00AD16D7" w:rsidRDefault="001F54D2" w:rsidP="00AD16D7">
            <w:pPr>
              <w:pStyle w:val="ListParagraph"/>
              <w:numPr>
                <w:ilvl w:val="0"/>
                <w:numId w:val="37"/>
              </w:numPr>
            </w:pPr>
            <w:r w:rsidRPr="001F54D2">
              <w:t xml:space="preserve">All 16 climate zones were used in this </w:t>
            </w:r>
            <w:r>
              <w:t>version</w:t>
            </w:r>
            <w:r w:rsidRPr="001F54D2">
              <w:t>.</w:t>
            </w: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fldSimple w:instr=" SEQ Table \* ARABIC ">
        <w:r>
          <w:rPr>
            <w:noProof/>
          </w:rPr>
          <w:t>1</w:t>
        </w:r>
      </w:fldSimple>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3505"/>
        <w:gridCol w:w="5845"/>
      </w:tblGrid>
      <w:tr w:rsidR="009A2332" w14:paraId="3F9CA93E" w14:textId="77777777" w:rsidTr="00EE365D">
        <w:trPr>
          <w:trHeight w:val="576"/>
          <w:tblHeader/>
        </w:trPr>
        <w:tc>
          <w:tcPr>
            <w:tcW w:w="350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5845" w:type="dxa"/>
          </w:tcPr>
          <w:p w14:paraId="27CEB258" w14:textId="408F314E" w:rsidR="009A2332" w:rsidRPr="009A2332" w:rsidRDefault="009A2332" w:rsidP="009A2332">
            <w:pPr>
              <w:rPr>
                <w:sz w:val="28"/>
              </w:rPr>
            </w:pPr>
            <w:r w:rsidRPr="009A2332">
              <w:rPr>
                <w:rFonts w:cs="Arial"/>
                <w:b/>
                <w:sz w:val="28"/>
                <w:szCs w:val="20"/>
              </w:rPr>
              <w:t>Value</w:t>
            </w:r>
          </w:p>
        </w:tc>
      </w:tr>
      <w:tr w:rsidR="009A2332" w14:paraId="174B4A0E" w14:textId="77777777" w:rsidTr="00EE365D">
        <w:trPr>
          <w:trHeight w:val="576"/>
        </w:trPr>
        <w:tc>
          <w:tcPr>
            <w:tcW w:w="3505" w:type="dxa"/>
          </w:tcPr>
          <w:p w14:paraId="7815901A" w14:textId="49098287" w:rsidR="009A2332" w:rsidRDefault="009A2332" w:rsidP="009A2332">
            <w:r>
              <w:rPr>
                <w:rStyle w:val="Strong"/>
                <w:rFonts w:asciiTheme="minorHAnsi" w:hAnsiTheme="minorHAnsi"/>
                <w:szCs w:val="22"/>
              </w:rPr>
              <w:t>Summary &amp; Purpose</w:t>
            </w:r>
          </w:p>
        </w:tc>
        <w:tc>
          <w:tcPr>
            <w:tcW w:w="5845" w:type="dxa"/>
          </w:tcPr>
          <w:p w14:paraId="55D3988B" w14:textId="5BC2C258" w:rsidR="00AD16D7" w:rsidRPr="00B9617D" w:rsidRDefault="00AD16D7" w:rsidP="00AD16D7">
            <w:pPr>
              <w:spacing w:before="40" w:after="40"/>
              <w:rPr>
                <w:rFonts w:cstheme="minorHAnsi"/>
                <w:szCs w:val="22"/>
              </w:rPr>
            </w:pPr>
            <w:r>
              <w:t xml:space="preserve">This short form </w:t>
            </w:r>
            <w:proofErr w:type="spellStart"/>
            <w:r>
              <w:t>workpaper</w:t>
            </w:r>
            <w:proofErr w:type="spellEnd"/>
            <w:r>
              <w:t xml:space="preserve"> documents ex-ante load impacts and cost-effectiveness values for Commercial Reach-in Refrigerators and Freezers. The savings values are from PG&amp;E’s </w:t>
            </w:r>
            <w:proofErr w:type="spellStart"/>
            <w:r>
              <w:t>workpaper</w:t>
            </w:r>
            <w:proofErr w:type="spellEnd"/>
            <w:r>
              <w:t xml:space="preserve"> </w:t>
            </w:r>
            <w:r>
              <w:rPr>
                <w:rFonts w:cstheme="minorHAnsi"/>
                <w:szCs w:val="22"/>
              </w:rPr>
              <w:t>PFECOFST123</w:t>
            </w:r>
            <w:r w:rsidRPr="00C0626B">
              <w:rPr>
                <w:rFonts w:cstheme="minorHAnsi"/>
                <w:szCs w:val="22"/>
              </w:rPr>
              <w:t xml:space="preserve"> </w:t>
            </w:r>
            <w:r>
              <w:rPr>
                <w:rFonts w:cstheme="minorHAnsi"/>
                <w:szCs w:val="22"/>
              </w:rPr>
              <w:t>R3</w:t>
            </w:r>
            <w:r w:rsidRPr="00C0626B">
              <w:rPr>
                <w:rFonts w:cstheme="minorHAnsi"/>
                <w:szCs w:val="22"/>
              </w:rPr>
              <w:t>-</w:t>
            </w:r>
            <w:r>
              <w:rPr>
                <w:rFonts w:cstheme="minorHAnsi"/>
                <w:szCs w:val="22"/>
              </w:rPr>
              <w:t xml:space="preserve">Reach in </w:t>
            </w:r>
            <w:proofErr w:type="spellStart"/>
            <w:r>
              <w:rPr>
                <w:rFonts w:cstheme="minorHAnsi"/>
                <w:szCs w:val="22"/>
              </w:rPr>
              <w:t>RefFreez</w:t>
            </w:r>
            <w:proofErr w:type="spellEnd"/>
            <w:r w:rsidR="00807D22">
              <w:rPr>
                <w:rFonts w:cstheme="minorHAnsi"/>
                <w:szCs w:val="22"/>
              </w:rPr>
              <w:t xml:space="preserve"> document</w:t>
            </w:r>
            <w:r>
              <w:t xml:space="preserve">. </w:t>
            </w:r>
            <w:r w:rsidRPr="00B9617D">
              <w:rPr>
                <w:rFonts w:cstheme="minorHAnsi"/>
                <w:szCs w:val="22"/>
              </w:rPr>
              <w:t xml:space="preserve">This work paper details the purchase of new or replacement energy efficient commercial reach-in solid and glass door refrigerators and freezers, in both vertical and chest configurations.  </w:t>
            </w:r>
          </w:p>
          <w:p w14:paraId="6E463AD1" w14:textId="6F48C5A7" w:rsidR="009A2332" w:rsidRDefault="009A2332" w:rsidP="009A2332"/>
        </w:tc>
      </w:tr>
      <w:tr w:rsidR="00EB201C" w14:paraId="369C5B93" w14:textId="77777777" w:rsidTr="00EE365D">
        <w:trPr>
          <w:trHeight w:val="576"/>
        </w:trPr>
        <w:tc>
          <w:tcPr>
            <w:tcW w:w="3505" w:type="dxa"/>
          </w:tcPr>
          <w:p w14:paraId="3E64C4BE" w14:textId="0CE1557B" w:rsidR="00EB201C" w:rsidRDefault="00EB201C" w:rsidP="00EB201C">
            <w:r>
              <w:rPr>
                <w:rStyle w:val="Strong"/>
                <w:rFonts w:asciiTheme="minorHAnsi" w:hAnsiTheme="minorHAnsi"/>
                <w:szCs w:val="22"/>
              </w:rPr>
              <w:t>1.1 Measure &amp; Baseline</w:t>
            </w:r>
          </w:p>
        </w:tc>
        <w:tc>
          <w:tcPr>
            <w:tcW w:w="5845" w:type="dxa"/>
          </w:tcPr>
          <w:p w14:paraId="3ADC75B4" w14:textId="47E188C3" w:rsidR="00EB201C" w:rsidRDefault="00EB201C" w:rsidP="00EB201C">
            <w:r>
              <w:t>Please refer to Attachment #1 Calculation Templates for the list of measure solution codes and baseline condition.</w:t>
            </w:r>
          </w:p>
        </w:tc>
      </w:tr>
      <w:tr w:rsidR="00EB201C" w14:paraId="7CE0AC9F" w14:textId="77777777" w:rsidTr="00EE365D">
        <w:trPr>
          <w:trHeight w:val="576"/>
        </w:trPr>
        <w:tc>
          <w:tcPr>
            <w:tcW w:w="3505" w:type="dxa"/>
          </w:tcPr>
          <w:p w14:paraId="2771E06F" w14:textId="3B991165" w:rsidR="00EB201C" w:rsidRDefault="00EB201C" w:rsidP="00EB201C">
            <w:r>
              <w:rPr>
                <w:rStyle w:val="Strong"/>
                <w:rFonts w:asciiTheme="minorHAnsi" w:hAnsiTheme="minorHAnsi"/>
                <w:szCs w:val="22"/>
              </w:rPr>
              <w:t>1.2 Technical Description</w:t>
            </w:r>
          </w:p>
        </w:tc>
        <w:tc>
          <w:tcPr>
            <w:tcW w:w="5845" w:type="dxa"/>
          </w:tcPr>
          <w:p w14:paraId="56BBC77B" w14:textId="77777777" w:rsidR="00EB201C" w:rsidRDefault="00EB201C" w:rsidP="00EB201C"/>
        </w:tc>
      </w:tr>
      <w:tr w:rsidR="00EB201C" w14:paraId="6A22A103" w14:textId="77777777" w:rsidTr="00EE365D">
        <w:trPr>
          <w:trHeight w:val="576"/>
        </w:trPr>
        <w:tc>
          <w:tcPr>
            <w:tcW w:w="3505" w:type="dxa"/>
          </w:tcPr>
          <w:p w14:paraId="524B4207" w14:textId="7A3D34FE" w:rsidR="00EB201C" w:rsidRDefault="00EB201C" w:rsidP="00EB201C">
            <w:r w:rsidRPr="009A2332">
              <w:rPr>
                <w:rStyle w:val="Strong"/>
                <w:rFonts w:asciiTheme="minorHAnsi" w:hAnsiTheme="minorHAnsi"/>
                <w:b w:val="0"/>
                <w:szCs w:val="22"/>
              </w:rPr>
              <w:t>Measures</w:t>
            </w:r>
          </w:p>
        </w:tc>
        <w:tc>
          <w:tcPr>
            <w:tcW w:w="5845" w:type="dxa"/>
          </w:tcPr>
          <w:p w14:paraId="677ACB77" w14:textId="77777777" w:rsidR="00EE365D" w:rsidRDefault="00EE365D" w:rsidP="00EE365D">
            <w:r>
              <w:t>FS-13121: &lt; 15 cubic feet Solid-Door Reach-In Refrigerator</w:t>
            </w:r>
          </w:p>
          <w:p w14:paraId="6CDC7B2E" w14:textId="77777777" w:rsidR="00EE365D" w:rsidRDefault="00EE365D" w:rsidP="00EE365D">
            <w:r>
              <w:t>FS-42962: 15 – 29 cubic feet Solid-Door Reach-In Refrigerator</w:t>
            </w:r>
          </w:p>
          <w:p w14:paraId="616E8394" w14:textId="77777777" w:rsidR="00EE365D" w:rsidRDefault="00EE365D" w:rsidP="00EE365D">
            <w:r>
              <w:t>FS-93044: 30 – 49 cubic feet Solid-Door Reach-In Refrigerator</w:t>
            </w:r>
          </w:p>
          <w:p w14:paraId="67BAA5F2" w14:textId="77777777" w:rsidR="00EE365D" w:rsidRDefault="00EE365D" w:rsidP="00EE365D">
            <w:r>
              <w:t>FS-31425: ≥ 50 cubic feet Solid-Door Reach-In Refrigerator</w:t>
            </w:r>
          </w:p>
          <w:p w14:paraId="7E7D254E" w14:textId="77777777" w:rsidR="00EE365D" w:rsidRDefault="00EE365D" w:rsidP="00EE365D">
            <w:r>
              <w:t>FS-21276: &lt; 15 cubic feet Solid-Door Reach-In Freezer</w:t>
            </w:r>
          </w:p>
          <w:p w14:paraId="220D0CDC" w14:textId="77777777" w:rsidR="00EE365D" w:rsidRDefault="00EE365D" w:rsidP="00EE365D">
            <w:r>
              <w:t>FS-61432: 15 – 29 cubic feet Solid-Door Reach-In Freezer</w:t>
            </w:r>
          </w:p>
          <w:p w14:paraId="69B32092" w14:textId="77777777" w:rsidR="00EE365D" w:rsidRDefault="00EE365D" w:rsidP="00EE365D">
            <w:r>
              <w:t>FS-86848: 30 – 49 cubic feet Solid-Door Reach-In Freezer</w:t>
            </w:r>
          </w:p>
          <w:p w14:paraId="17F57A47" w14:textId="77777777" w:rsidR="00EE365D" w:rsidRDefault="00EE365D" w:rsidP="00EE365D">
            <w:r>
              <w:t>FS-54809: ≥ 50 cubic feet Solid-Door Reach-In Freezer</w:t>
            </w:r>
          </w:p>
          <w:p w14:paraId="3F60A539" w14:textId="77777777" w:rsidR="00EE365D" w:rsidRDefault="00EE365D" w:rsidP="00EE365D">
            <w:r>
              <w:t>FS-77373: &lt; 15 cubic feet Glass-Door Reach-In Refrigerator</w:t>
            </w:r>
          </w:p>
          <w:p w14:paraId="79AF54B8" w14:textId="77777777" w:rsidR="00EE365D" w:rsidRDefault="00EE365D" w:rsidP="00EE365D">
            <w:r>
              <w:t>FS-28291: 15 – 29 cubic feet Glass-Door Reach-In Refrigerator</w:t>
            </w:r>
          </w:p>
          <w:p w14:paraId="56520EF4" w14:textId="77777777" w:rsidR="00EE365D" w:rsidRDefault="00EE365D" w:rsidP="00EE365D">
            <w:r>
              <w:t>FS-68882: 30 – 49 cubic feet Glass-Door Reach-In Refrigerator</w:t>
            </w:r>
          </w:p>
          <w:p w14:paraId="25148713" w14:textId="77777777" w:rsidR="00EE365D" w:rsidRDefault="00EE365D" w:rsidP="00EE365D">
            <w:r>
              <w:t>FS-44686: ≥ 50 cubic feet Glass-Door Reach-In Refrigerator</w:t>
            </w:r>
          </w:p>
          <w:p w14:paraId="1F8EB4FA" w14:textId="77777777" w:rsidR="00EE365D" w:rsidRDefault="00EE365D" w:rsidP="00EE365D">
            <w:r>
              <w:t>FS-16170: &lt; 15 cubic feet Glass-Door Reach-In Freezer</w:t>
            </w:r>
          </w:p>
          <w:p w14:paraId="40C1A2D4" w14:textId="77777777" w:rsidR="00EE365D" w:rsidRDefault="00EE365D" w:rsidP="00EE365D">
            <w:r>
              <w:t>FS-38598: 15 – 29 cubic feet Glass-Door Reach-In Freezer</w:t>
            </w:r>
          </w:p>
          <w:p w14:paraId="5F9067D8" w14:textId="77777777" w:rsidR="00EE365D" w:rsidRDefault="00EE365D" w:rsidP="00EE365D">
            <w:r>
              <w:t>FS-58112: 30 – 49 cubic feet Glass-Door Reach-In Freezer</w:t>
            </w:r>
          </w:p>
          <w:p w14:paraId="2C30E089" w14:textId="41ECB896" w:rsidR="009D727D" w:rsidRDefault="00EE365D" w:rsidP="00EE365D">
            <w:r>
              <w:t>FS-30794: ≥ 50 cubic feet Glass-Door Reach-In Freezer</w:t>
            </w:r>
          </w:p>
        </w:tc>
      </w:tr>
      <w:tr w:rsidR="009A2332" w14:paraId="59049B71" w14:textId="77777777" w:rsidTr="00EE365D">
        <w:trPr>
          <w:trHeight w:val="576"/>
        </w:trPr>
        <w:tc>
          <w:tcPr>
            <w:tcW w:w="3505" w:type="dxa"/>
          </w:tcPr>
          <w:p w14:paraId="4D87E79A" w14:textId="1926E44B" w:rsidR="009A2332" w:rsidRDefault="009A2332" w:rsidP="009A2332">
            <w:r w:rsidRPr="009A2332">
              <w:rPr>
                <w:rStyle w:val="Strong"/>
                <w:rFonts w:asciiTheme="minorHAnsi" w:hAnsiTheme="minorHAnsi"/>
                <w:b w:val="0"/>
                <w:szCs w:val="22"/>
              </w:rPr>
              <w:t>Code for All Measures</w:t>
            </w:r>
          </w:p>
        </w:tc>
        <w:tc>
          <w:tcPr>
            <w:tcW w:w="5845" w:type="dxa"/>
          </w:tcPr>
          <w:p w14:paraId="57AF29C1" w14:textId="297C5748" w:rsidR="00296601" w:rsidRPr="00296601" w:rsidRDefault="00296601" w:rsidP="00296601">
            <w:pPr>
              <w:rPr>
                <w:szCs w:val="22"/>
              </w:rPr>
            </w:pPr>
            <w:r w:rsidRPr="00296601">
              <w:rPr>
                <w:szCs w:val="22"/>
              </w:rPr>
              <w:t xml:space="preserve">2016 Title 24 code does not apply in this case because solid door reach-in refrigerators, solid door reach-in freezers, glass door reach-in refrigerators, and glass door reach-in freezers do not fall under the CEC Title 24, Building Energy Efficiency Standards or the Department of Energy (DOE) energy regulations. </w:t>
            </w:r>
          </w:p>
          <w:p w14:paraId="75E1B48A" w14:textId="77777777" w:rsidR="00296601" w:rsidRPr="00296601" w:rsidRDefault="00296601" w:rsidP="00296601">
            <w:pPr>
              <w:rPr>
                <w:szCs w:val="22"/>
              </w:rPr>
            </w:pPr>
            <w:r w:rsidRPr="00296601">
              <w:rPr>
                <w:szCs w:val="22"/>
              </w:rPr>
              <w:t xml:space="preserve"> </w:t>
            </w:r>
          </w:p>
          <w:p w14:paraId="5D958FD2" w14:textId="59B35EF8" w:rsidR="00296601" w:rsidRDefault="00296601" w:rsidP="00296601">
            <w:pPr>
              <w:rPr>
                <w:szCs w:val="22"/>
              </w:rPr>
            </w:pPr>
            <w:r w:rsidRPr="00296601">
              <w:rPr>
                <w:szCs w:val="22"/>
              </w:rPr>
              <w:t xml:space="preserve">The 2016 Title 20 code does not apply to the measures within this work paper. As such, Federal Code, 10 CFR 431.66 </w:t>
            </w:r>
            <w:r w:rsidR="000257A2" w:rsidRPr="00296601">
              <w:rPr>
                <w:szCs w:val="22"/>
              </w:rPr>
              <w:t>iv,</w:t>
            </w:r>
            <w:r w:rsidRPr="00296601">
              <w:rPr>
                <w:szCs w:val="22"/>
              </w:rPr>
              <w:t xml:space="preserve"> would cover these measures. As Per the Federal Code #10 CFR 431.66, each commercial refrigerator, freezer, and </w:t>
            </w:r>
            <w:r w:rsidRPr="00296601">
              <w:rPr>
                <w:szCs w:val="22"/>
              </w:rPr>
              <w:lastRenderedPageBreak/>
              <w:t>refrigerator-freezer with a self-contained condensing unit designed for holding temperature applications manufactured on or after March, 2017, shall have a daily energy consumption (in kilowatt hours</w:t>
            </w:r>
            <w:r>
              <w:rPr>
                <w:szCs w:val="22"/>
              </w:rPr>
              <w:t xml:space="preserve"> per day) that does not exceed the base case table shown in PGECOFST123 R3. </w:t>
            </w:r>
          </w:p>
          <w:p w14:paraId="25B0C525" w14:textId="77777777" w:rsidR="00296601" w:rsidRDefault="00296601" w:rsidP="00296601">
            <w:pPr>
              <w:rPr>
                <w:szCs w:val="22"/>
              </w:rPr>
            </w:pPr>
          </w:p>
          <w:p w14:paraId="27DC8D55" w14:textId="203AAFAF" w:rsidR="00296601" w:rsidRDefault="00296601" w:rsidP="00296601">
            <w:pPr>
              <w:rPr>
                <w:szCs w:val="22"/>
              </w:rPr>
            </w:pPr>
            <w:r w:rsidRPr="00296601">
              <w:rPr>
                <w:szCs w:val="22"/>
              </w:rPr>
              <w:t>As of March 2</w:t>
            </w:r>
            <w:r>
              <w:rPr>
                <w:szCs w:val="22"/>
              </w:rPr>
              <w:t xml:space="preserve">8, 2017, the new ENERGY STAR ® </w:t>
            </w:r>
            <w:r w:rsidRPr="00296601">
              <w:rPr>
                <w:szCs w:val="22"/>
              </w:rPr>
              <w:t>Ve</w:t>
            </w:r>
            <w:r>
              <w:rPr>
                <w:szCs w:val="22"/>
              </w:rPr>
              <w:t xml:space="preserve">rsion 4.0 specification </w:t>
            </w:r>
            <w:r w:rsidRPr="00296601">
              <w:rPr>
                <w:szCs w:val="22"/>
              </w:rPr>
              <w:t>is effective, establishing the measure case equipment efficiencies.</w:t>
            </w:r>
            <w:r>
              <w:rPr>
                <w:szCs w:val="22"/>
              </w:rPr>
              <w:t xml:space="preserve"> Please see the measure case table in PGECOFST123 R3 for more details. </w:t>
            </w:r>
          </w:p>
          <w:p w14:paraId="71CCCDEB" w14:textId="559390BB" w:rsidR="009A2332" w:rsidRDefault="00EB201C" w:rsidP="00296601">
            <w:r>
              <w:rPr>
                <w:szCs w:val="22"/>
              </w:rPr>
              <w:t xml:space="preserve"> </w:t>
            </w:r>
          </w:p>
        </w:tc>
      </w:tr>
      <w:tr w:rsidR="009A2332" w14:paraId="7696972E" w14:textId="77777777" w:rsidTr="00EE365D">
        <w:trPr>
          <w:trHeight w:val="576"/>
        </w:trPr>
        <w:tc>
          <w:tcPr>
            <w:tcW w:w="3505" w:type="dxa"/>
          </w:tcPr>
          <w:p w14:paraId="20CC2D9F" w14:textId="4DBB4E1E" w:rsidR="009A2332" w:rsidRDefault="009A2332" w:rsidP="009A2332">
            <w:r w:rsidRPr="009A2332">
              <w:rPr>
                <w:rStyle w:val="Strong"/>
                <w:rFonts w:asciiTheme="minorHAnsi" w:hAnsiTheme="minorHAnsi"/>
                <w:b w:val="0"/>
                <w:szCs w:val="22"/>
              </w:rPr>
              <w:lastRenderedPageBreak/>
              <w:t>Requirements</w:t>
            </w:r>
          </w:p>
        </w:tc>
        <w:tc>
          <w:tcPr>
            <w:tcW w:w="5845" w:type="dxa"/>
          </w:tcPr>
          <w:p w14:paraId="12F722C3" w14:textId="77777777" w:rsidR="00EE365D" w:rsidRDefault="00EE365D" w:rsidP="00EE365D">
            <w:pPr>
              <w:pStyle w:val="ListParagraph"/>
              <w:numPr>
                <w:ilvl w:val="0"/>
                <w:numId w:val="39"/>
              </w:numPr>
              <w:ind w:left="342"/>
            </w:pPr>
            <w:r w:rsidRPr="009D727D">
              <w:t>In all categories, the refrigeration system shall be built-in (packaged).</w:t>
            </w:r>
            <w:r>
              <w:t xml:space="preserve"> </w:t>
            </w:r>
            <w:r w:rsidRPr="009D727D">
              <w:t xml:space="preserve">Units with remote refrigeration systems do not qualify. </w:t>
            </w:r>
          </w:p>
          <w:p w14:paraId="2DFD4797" w14:textId="77777777" w:rsidR="00EE365D" w:rsidRDefault="00EE365D" w:rsidP="00EE365D">
            <w:pPr>
              <w:pStyle w:val="ListParagraph"/>
              <w:numPr>
                <w:ilvl w:val="0"/>
                <w:numId w:val="39"/>
              </w:numPr>
              <w:ind w:left="342"/>
            </w:pPr>
            <w:r w:rsidRPr="009D727D">
              <w:t xml:space="preserve">Used or rebuilt equipment is not eligible. </w:t>
            </w:r>
          </w:p>
          <w:p w14:paraId="68B040E6" w14:textId="77777777" w:rsidR="00EE365D" w:rsidRDefault="00EE365D" w:rsidP="00EE365D">
            <w:pPr>
              <w:pStyle w:val="ListParagraph"/>
              <w:numPr>
                <w:ilvl w:val="0"/>
                <w:numId w:val="39"/>
              </w:numPr>
              <w:ind w:left="342"/>
            </w:pPr>
            <w:r w:rsidRPr="009D727D">
              <w:t>Each instal</w:t>
            </w:r>
            <w:bookmarkStart w:id="3" w:name="_GoBack"/>
            <w:bookmarkEnd w:id="3"/>
            <w:r w:rsidRPr="009D727D">
              <w:t xml:space="preserve">led equipment must meet minimum prescriptive criteria to qualify for a per unit rebate. </w:t>
            </w:r>
          </w:p>
          <w:p w14:paraId="4CB6979D" w14:textId="77777777" w:rsidR="00EE365D" w:rsidRDefault="00EE365D" w:rsidP="00EE365D">
            <w:pPr>
              <w:pStyle w:val="ListParagraph"/>
              <w:numPr>
                <w:ilvl w:val="0"/>
                <w:numId w:val="39"/>
              </w:numPr>
              <w:ind w:left="342"/>
            </w:pPr>
            <w:r w:rsidRPr="009D727D">
              <w:t xml:space="preserve">This measure is only applicable to Non-residential building types. This measure is not approved for installation in Residential Single Family, Residential Multi-Family, or Residential Mobile Home – Double Wide building types. </w:t>
            </w:r>
          </w:p>
          <w:p w14:paraId="332678C8" w14:textId="77777777" w:rsidR="00EE365D" w:rsidRDefault="00EE365D" w:rsidP="00EE365D">
            <w:pPr>
              <w:pStyle w:val="ListParagraph"/>
              <w:numPr>
                <w:ilvl w:val="0"/>
                <w:numId w:val="39"/>
              </w:numPr>
              <w:ind w:left="342"/>
            </w:pPr>
            <w:r w:rsidRPr="009D727D">
              <w:t>This measure is eligible in all SCE climate zones.</w:t>
            </w:r>
          </w:p>
          <w:p w14:paraId="53FEF1FF" w14:textId="169C79BF" w:rsidR="009A2332" w:rsidRDefault="00EE365D" w:rsidP="00EE365D">
            <w:pPr>
              <w:pStyle w:val="ListParagraph"/>
              <w:numPr>
                <w:ilvl w:val="0"/>
                <w:numId w:val="39"/>
              </w:numPr>
              <w:ind w:left="342"/>
            </w:pPr>
            <w:r>
              <w:t xml:space="preserve">Must meet new </w:t>
            </w:r>
            <w:r w:rsidRPr="00B9617D">
              <w:rPr>
                <w:szCs w:val="22"/>
              </w:rPr>
              <w:t xml:space="preserve">ENERGY </w:t>
            </w:r>
            <w:smartTag w:uri="urn:schemas-microsoft-com:office:smarttags" w:element="stockticker">
              <w:r w:rsidRPr="00B9617D">
                <w:rPr>
                  <w:szCs w:val="22"/>
                </w:rPr>
                <w:t>STAR</w:t>
              </w:r>
            </w:smartTag>
            <w:r w:rsidRPr="00B9617D">
              <w:rPr>
                <w:szCs w:val="22"/>
                <w:vertAlign w:val="superscript"/>
              </w:rPr>
              <w:t>®</w:t>
            </w:r>
            <w:r w:rsidRPr="00B9617D">
              <w:rPr>
                <w:szCs w:val="22"/>
              </w:rPr>
              <w:t xml:space="preserve"> Version </w:t>
            </w:r>
            <w:r w:rsidR="003579A8">
              <w:rPr>
                <w:szCs w:val="22"/>
              </w:rPr>
              <w:t>4</w:t>
            </w:r>
            <w:r w:rsidRPr="00B9617D">
              <w:rPr>
                <w:szCs w:val="22"/>
              </w:rPr>
              <w:t>.0 specification</w:t>
            </w:r>
            <w:r>
              <w:rPr>
                <w:szCs w:val="22"/>
              </w:rPr>
              <w:t>s to qualify.</w:t>
            </w:r>
          </w:p>
        </w:tc>
      </w:tr>
      <w:tr w:rsidR="009A2332" w14:paraId="40AF0DB1" w14:textId="77777777" w:rsidTr="00EE365D">
        <w:trPr>
          <w:trHeight w:val="576"/>
        </w:trPr>
        <w:tc>
          <w:tcPr>
            <w:tcW w:w="3505" w:type="dxa"/>
          </w:tcPr>
          <w:p w14:paraId="0A32ADDC" w14:textId="15881A27" w:rsidR="009A2332" w:rsidRDefault="009A2332" w:rsidP="009A2332">
            <w:r>
              <w:rPr>
                <w:rStyle w:val="Strong"/>
                <w:rFonts w:asciiTheme="minorHAnsi" w:hAnsiTheme="minorHAnsi"/>
                <w:szCs w:val="22"/>
              </w:rPr>
              <w:t>1.3 Installation Type and Delivery Mechanisms</w:t>
            </w:r>
          </w:p>
        </w:tc>
        <w:tc>
          <w:tcPr>
            <w:tcW w:w="5845" w:type="dxa"/>
          </w:tcPr>
          <w:p w14:paraId="554484FF" w14:textId="77777777" w:rsidR="009A2332" w:rsidRDefault="009A2332" w:rsidP="009A2332"/>
        </w:tc>
      </w:tr>
      <w:tr w:rsidR="009A2332" w14:paraId="5D5B8844" w14:textId="77777777" w:rsidTr="00EE365D">
        <w:trPr>
          <w:trHeight w:val="576"/>
        </w:trPr>
        <w:tc>
          <w:tcPr>
            <w:tcW w:w="3505" w:type="dxa"/>
          </w:tcPr>
          <w:p w14:paraId="75A73897" w14:textId="21601014" w:rsidR="009A2332" w:rsidRDefault="009A2332" w:rsidP="009A2332">
            <w:r w:rsidRPr="009A2332">
              <w:rPr>
                <w:rStyle w:val="Strong"/>
                <w:rFonts w:asciiTheme="minorHAnsi" w:hAnsiTheme="minorHAnsi"/>
                <w:b w:val="0"/>
                <w:szCs w:val="22"/>
              </w:rPr>
              <w:t>Installation Type</w:t>
            </w:r>
          </w:p>
        </w:tc>
        <w:tc>
          <w:tcPr>
            <w:tcW w:w="5845" w:type="dxa"/>
          </w:tcPr>
          <w:p w14:paraId="2B32F7DC" w14:textId="3EE50CAF" w:rsidR="009D727D" w:rsidRDefault="009D727D" w:rsidP="009A2332">
            <w:r w:rsidRPr="009D727D">
              <w:t>Replace on Burn-out (ROB)</w:t>
            </w:r>
          </w:p>
        </w:tc>
      </w:tr>
      <w:tr w:rsidR="009A2332" w14:paraId="3CF006A0" w14:textId="77777777" w:rsidTr="00EE365D">
        <w:trPr>
          <w:trHeight w:val="576"/>
        </w:trPr>
        <w:tc>
          <w:tcPr>
            <w:tcW w:w="3505" w:type="dxa"/>
          </w:tcPr>
          <w:p w14:paraId="548E0861" w14:textId="7D5594CC" w:rsidR="009A2332" w:rsidRDefault="009A2332" w:rsidP="009A2332">
            <w:r w:rsidRPr="009A2332">
              <w:rPr>
                <w:rStyle w:val="Strong"/>
                <w:rFonts w:asciiTheme="minorHAnsi" w:hAnsiTheme="minorHAnsi"/>
                <w:b w:val="0"/>
                <w:szCs w:val="22"/>
              </w:rPr>
              <w:t>Delivery Mechanisms</w:t>
            </w:r>
          </w:p>
        </w:tc>
        <w:tc>
          <w:tcPr>
            <w:tcW w:w="5845" w:type="dxa"/>
          </w:tcPr>
          <w:p w14:paraId="144A6124" w14:textId="77777777" w:rsidR="009D727D" w:rsidRDefault="009D727D" w:rsidP="009D727D">
            <w:r>
              <w:t>Down-Stream Incentive</w:t>
            </w:r>
          </w:p>
          <w:p w14:paraId="67E45078" w14:textId="69858EAC" w:rsidR="009A2332" w:rsidRDefault="00FA41B7" w:rsidP="009D727D">
            <w:r>
              <w:t>Mid-Stream Incentive</w:t>
            </w:r>
          </w:p>
        </w:tc>
      </w:tr>
      <w:tr w:rsidR="009A2332" w14:paraId="09F7817D" w14:textId="77777777" w:rsidTr="00EE365D">
        <w:trPr>
          <w:trHeight w:val="576"/>
        </w:trPr>
        <w:tc>
          <w:tcPr>
            <w:tcW w:w="3505" w:type="dxa"/>
          </w:tcPr>
          <w:p w14:paraId="68DCF28E" w14:textId="573A4587" w:rsidR="009A2332" w:rsidRDefault="009A2332" w:rsidP="009A2332">
            <w:r>
              <w:rPr>
                <w:rStyle w:val="Strong"/>
                <w:rFonts w:asciiTheme="minorHAnsi" w:hAnsiTheme="minorHAnsi"/>
                <w:szCs w:val="22"/>
              </w:rPr>
              <w:t>1.4.1 DEER Data</w:t>
            </w:r>
          </w:p>
        </w:tc>
        <w:tc>
          <w:tcPr>
            <w:tcW w:w="5845" w:type="dxa"/>
          </w:tcPr>
          <w:p w14:paraId="7F520E32" w14:textId="77777777" w:rsidR="009A2332" w:rsidRDefault="009A2332" w:rsidP="009A2332"/>
        </w:tc>
      </w:tr>
      <w:tr w:rsidR="009A2332" w14:paraId="51073860" w14:textId="77777777" w:rsidTr="00EE365D">
        <w:trPr>
          <w:trHeight w:val="576"/>
        </w:trPr>
        <w:tc>
          <w:tcPr>
            <w:tcW w:w="3505" w:type="dxa"/>
          </w:tcPr>
          <w:p w14:paraId="07705888" w14:textId="718A29C7" w:rsidR="009A2332" w:rsidRDefault="009A2332" w:rsidP="009A2332">
            <w:r w:rsidRPr="009A2332">
              <w:rPr>
                <w:rStyle w:val="Strong"/>
                <w:rFonts w:asciiTheme="minorHAnsi" w:hAnsiTheme="minorHAnsi"/>
                <w:b w:val="0"/>
                <w:szCs w:val="22"/>
              </w:rPr>
              <w:t>Net-Gross-Ratio</w:t>
            </w:r>
          </w:p>
        </w:tc>
        <w:tc>
          <w:tcPr>
            <w:tcW w:w="5845" w:type="dxa"/>
          </w:tcPr>
          <w:p w14:paraId="7C01181E" w14:textId="3AB7D2E2" w:rsidR="009A2332" w:rsidRDefault="009D727D" w:rsidP="009D727D">
            <w:r>
              <w:t>Com-Default&gt;2yrs</w:t>
            </w:r>
          </w:p>
        </w:tc>
      </w:tr>
      <w:tr w:rsidR="009A2332" w14:paraId="7A4E17C4" w14:textId="77777777" w:rsidTr="00EE365D">
        <w:trPr>
          <w:trHeight w:val="576"/>
        </w:trPr>
        <w:tc>
          <w:tcPr>
            <w:tcW w:w="3505" w:type="dxa"/>
          </w:tcPr>
          <w:p w14:paraId="08063215" w14:textId="5C719A0C" w:rsidR="009A2332" w:rsidRDefault="009A2332" w:rsidP="009A2332">
            <w:r w:rsidRPr="009A2332">
              <w:rPr>
                <w:rStyle w:val="Strong"/>
                <w:rFonts w:asciiTheme="minorHAnsi" w:hAnsiTheme="minorHAnsi"/>
                <w:b w:val="0"/>
                <w:szCs w:val="22"/>
              </w:rPr>
              <w:t>Effective and Remaining Useful Life</w:t>
            </w:r>
          </w:p>
        </w:tc>
        <w:tc>
          <w:tcPr>
            <w:tcW w:w="5845" w:type="dxa"/>
          </w:tcPr>
          <w:p w14:paraId="6F316974" w14:textId="3CA1A496" w:rsidR="009D727D" w:rsidRDefault="009D727D" w:rsidP="009D727D">
            <w:r>
              <w:t>Cook-</w:t>
            </w:r>
            <w:proofErr w:type="spellStart"/>
            <w:r>
              <w:t>SDRef</w:t>
            </w:r>
            <w:proofErr w:type="spellEnd"/>
            <w:r w:rsidR="00FA41B7">
              <w:t xml:space="preserve">     12 years EUL for all ID’s</w:t>
            </w:r>
          </w:p>
          <w:p w14:paraId="35B9EFE0" w14:textId="77777777" w:rsidR="009A2332" w:rsidRDefault="009D727D" w:rsidP="009D727D">
            <w:r>
              <w:t>Cook-</w:t>
            </w:r>
            <w:proofErr w:type="spellStart"/>
            <w:r>
              <w:t>SDFreez</w:t>
            </w:r>
            <w:proofErr w:type="spellEnd"/>
          </w:p>
          <w:p w14:paraId="180BCA65" w14:textId="77777777" w:rsidR="003579A8" w:rsidRDefault="003579A8" w:rsidP="009D727D">
            <w:r w:rsidRPr="003579A8">
              <w:t>Cook-</w:t>
            </w:r>
            <w:proofErr w:type="spellStart"/>
            <w:r w:rsidRPr="003579A8">
              <w:t>GDRef</w:t>
            </w:r>
            <w:proofErr w:type="spellEnd"/>
          </w:p>
          <w:p w14:paraId="70BC13BC" w14:textId="4FEF6BB9" w:rsidR="002A5300" w:rsidRDefault="002A5300" w:rsidP="009D727D">
            <w:r w:rsidRPr="002A5300">
              <w:t>Cook-</w:t>
            </w:r>
            <w:proofErr w:type="spellStart"/>
            <w:r w:rsidRPr="002A5300">
              <w:t>GDFreez</w:t>
            </w:r>
            <w:proofErr w:type="spellEnd"/>
          </w:p>
        </w:tc>
      </w:tr>
      <w:tr w:rsidR="009A2332" w14:paraId="7C928286" w14:textId="77777777" w:rsidTr="00EE365D">
        <w:trPr>
          <w:trHeight w:val="576"/>
        </w:trPr>
        <w:tc>
          <w:tcPr>
            <w:tcW w:w="3505" w:type="dxa"/>
          </w:tcPr>
          <w:p w14:paraId="6ECE75DB" w14:textId="0D2FA7C9" w:rsidR="009A2332" w:rsidRDefault="009A2332" w:rsidP="009A2332">
            <w:r>
              <w:rPr>
                <w:rStyle w:val="Strong"/>
                <w:rFonts w:asciiTheme="minorHAnsi" w:hAnsiTheme="minorHAnsi"/>
                <w:szCs w:val="22"/>
              </w:rPr>
              <w:t>Section 2. Calculation Methodology</w:t>
            </w:r>
          </w:p>
        </w:tc>
        <w:tc>
          <w:tcPr>
            <w:tcW w:w="5845" w:type="dxa"/>
          </w:tcPr>
          <w:p w14:paraId="018C407C" w14:textId="77777777" w:rsidR="009A2332" w:rsidRDefault="009A2332" w:rsidP="009A2332"/>
        </w:tc>
      </w:tr>
      <w:tr w:rsidR="009A2332" w14:paraId="2060FD54" w14:textId="77777777" w:rsidTr="00EE365D">
        <w:trPr>
          <w:trHeight w:val="576"/>
        </w:trPr>
        <w:tc>
          <w:tcPr>
            <w:tcW w:w="3505" w:type="dxa"/>
          </w:tcPr>
          <w:p w14:paraId="768E3560" w14:textId="7844934C" w:rsidR="009A2332" w:rsidRDefault="009A2332" w:rsidP="009A2332">
            <w:r w:rsidRPr="009A2332">
              <w:rPr>
                <w:rStyle w:val="Strong"/>
                <w:rFonts w:asciiTheme="minorHAnsi" w:hAnsiTheme="minorHAnsi"/>
                <w:b w:val="0"/>
                <w:szCs w:val="22"/>
              </w:rPr>
              <w:t>Energy savings/Peak Demand Reduction – All Measures</w:t>
            </w:r>
          </w:p>
        </w:tc>
        <w:tc>
          <w:tcPr>
            <w:tcW w:w="5845" w:type="dxa"/>
          </w:tcPr>
          <w:p w14:paraId="3FE1B60D" w14:textId="2716A2B6" w:rsidR="009A2332" w:rsidRDefault="009D727D" w:rsidP="009A2332">
            <w:r w:rsidRPr="009D727D">
              <w:t xml:space="preserve">The nominal size and internal volume range are based on standard widths and each standard width may include multiple (French style) doors and/or multiple sections. The </w:t>
            </w:r>
            <w:r w:rsidRPr="009D727D">
              <w:lastRenderedPageBreak/>
              <w:t>calculated annual energy usage was based on 365 days per year operation, and the daily energy consumption for typical units was determined by applying the code and measure maximum daily energy consumption as shown in</w:t>
            </w:r>
            <w:r>
              <w:t xml:space="preserve"> the </w:t>
            </w:r>
            <w:r>
              <w:rPr>
                <w:rFonts w:cstheme="minorHAnsi"/>
                <w:szCs w:val="22"/>
              </w:rPr>
              <w:t>PFECOFST123</w:t>
            </w:r>
            <w:r w:rsidRPr="00C0626B">
              <w:rPr>
                <w:rFonts w:cstheme="minorHAnsi"/>
                <w:szCs w:val="22"/>
              </w:rPr>
              <w:t xml:space="preserve"> </w:t>
            </w:r>
            <w:r>
              <w:rPr>
                <w:rFonts w:cstheme="minorHAnsi"/>
                <w:szCs w:val="22"/>
              </w:rPr>
              <w:t>R3</w:t>
            </w:r>
            <w:r w:rsidRPr="00C0626B">
              <w:rPr>
                <w:rFonts w:cstheme="minorHAnsi"/>
                <w:szCs w:val="22"/>
              </w:rPr>
              <w:t>-</w:t>
            </w:r>
            <w:r>
              <w:rPr>
                <w:rFonts w:cstheme="minorHAnsi"/>
                <w:szCs w:val="22"/>
              </w:rPr>
              <w:t xml:space="preserve">Reach in </w:t>
            </w:r>
            <w:proofErr w:type="spellStart"/>
            <w:r>
              <w:rPr>
                <w:rFonts w:cstheme="minorHAnsi"/>
                <w:szCs w:val="22"/>
              </w:rPr>
              <w:t>RefFreez</w:t>
            </w:r>
            <w:proofErr w:type="spellEnd"/>
            <w:r>
              <w:rPr>
                <w:rFonts w:cstheme="minorHAnsi"/>
                <w:szCs w:val="22"/>
              </w:rPr>
              <w:t xml:space="preserve"> file</w:t>
            </w:r>
            <w:r w:rsidRPr="009D727D">
              <w:t xml:space="preserve"> section 1.4.2 tables.  </w:t>
            </w:r>
          </w:p>
          <w:p w14:paraId="5111E192" w14:textId="77777777" w:rsidR="009D727D" w:rsidRDefault="009D727D" w:rsidP="009A2332"/>
          <w:p w14:paraId="48A295FE" w14:textId="582A0C3F" w:rsidR="009D727D" w:rsidRDefault="009D727D" w:rsidP="009A2332">
            <w:r w:rsidRPr="009D727D">
              <w:t>The demand reduction estimations are obtained by dividing the daily energy usage by 24 hours, as the units are plugged in 24/7.</w:t>
            </w:r>
          </w:p>
        </w:tc>
      </w:tr>
      <w:tr w:rsidR="009A2332" w14:paraId="79416F6B" w14:textId="77777777" w:rsidTr="00EE365D">
        <w:trPr>
          <w:trHeight w:val="576"/>
        </w:trPr>
        <w:tc>
          <w:tcPr>
            <w:tcW w:w="3505" w:type="dxa"/>
          </w:tcPr>
          <w:p w14:paraId="63B2A37F" w14:textId="79D3BD2C" w:rsidR="009A2332" w:rsidRDefault="009A2332" w:rsidP="009A2332">
            <w:r>
              <w:rPr>
                <w:rStyle w:val="Strong"/>
                <w:rFonts w:asciiTheme="minorHAnsi" w:hAnsiTheme="minorHAnsi"/>
                <w:szCs w:val="22"/>
              </w:rPr>
              <w:lastRenderedPageBreak/>
              <w:t>Section 3. Load Shapes</w:t>
            </w:r>
          </w:p>
        </w:tc>
        <w:tc>
          <w:tcPr>
            <w:tcW w:w="5845" w:type="dxa"/>
          </w:tcPr>
          <w:p w14:paraId="573722DD" w14:textId="1E49D42D" w:rsidR="009A2332" w:rsidRDefault="009D727D" w:rsidP="009A2332">
            <w:r w:rsidRPr="009D727D">
              <w:t>Refrigeration</w:t>
            </w:r>
          </w:p>
        </w:tc>
      </w:tr>
      <w:tr w:rsidR="009A2332" w14:paraId="0E2DA162" w14:textId="77777777" w:rsidTr="00EE365D">
        <w:trPr>
          <w:trHeight w:val="576"/>
        </w:trPr>
        <w:tc>
          <w:tcPr>
            <w:tcW w:w="3505" w:type="dxa"/>
          </w:tcPr>
          <w:p w14:paraId="17E265C7" w14:textId="4B0D36D9" w:rsidR="009A2332" w:rsidRDefault="009A2332" w:rsidP="009A2332">
            <w:r>
              <w:rPr>
                <w:rStyle w:val="Strong"/>
                <w:rFonts w:asciiTheme="minorHAnsi" w:hAnsiTheme="minorHAnsi"/>
                <w:szCs w:val="22"/>
              </w:rPr>
              <w:t>Section 4. Costs</w:t>
            </w:r>
          </w:p>
        </w:tc>
        <w:tc>
          <w:tcPr>
            <w:tcW w:w="5845" w:type="dxa"/>
          </w:tcPr>
          <w:p w14:paraId="636754D0" w14:textId="77777777" w:rsidR="009A2332" w:rsidRDefault="009A2332" w:rsidP="009A2332"/>
        </w:tc>
      </w:tr>
      <w:tr w:rsidR="009A2332" w14:paraId="00EA9279" w14:textId="77777777" w:rsidTr="00EE365D">
        <w:trPr>
          <w:trHeight w:val="576"/>
        </w:trPr>
        <w:tc>
          <w:tcPr>
            <w:tcW w:w="3505" w:type="dxa"/>
          </w:tcPr>
          <w:p w14:paraId="448F5A7F" w14:textId="54FDF208" w:rsidR="009A2332" w:rsidRDefault="009A2332" w:rsidP="009A2332">
            <w:r>
              <w:rPr>
                <w:rStyle w:val="Strong"/>
                <w:rFonts w:asciiTheme="minorHAnsi" w:hAnsiTheme="minorHAnsi"/>
                <w:szCs w:val="22"/>
              </w:rPr>
              <w:t>Section 4.1 Base and Measure Costs</w:t>
            </w:r>
          </w:p>
        </w:tc>
        <w:tc>
          <w:tcPr>
            <w:tcW w:w="5845" w:type="dxa"/>
          </w:tcPr>
          <w:p w14:paraId="4A8F9241" w14:textId="453A9D64" w:rsidR="009A2332" w:rsidRDefault="009D727D" w:rsidP="009A2332">
            <w:r w:rsidRPr="009D727D">
              <w:t>Please refer to Attachment #1 Calculation Templates for detailed baseline and measure costs.</w:t>
            </w:r>
          </w:p>
        </w:tc>
      </w:tr>
    </w:tbl>
    <w:p w14:paraId="31DBEFB5" w14:textId="77777777" w:rsidR="009A2332" w:rsidRPr="009A2332" w:rsidRDefault="009A2332" w:rsidP="009A2332">
      <w:pPr>
        <w:spacing w:after="200" w:line="276" w:lineRule="auto"/>
        <w:rPr>
          <w:b/>
          <w:szCs w:val="20"/>
        </w:rPr>
      </w:pPr>
    </w:p>
    <w:p w14:paraId="4BEDF69B" w14:textId="6544023D" w:rsidR="009A2332" w:rsidRPr="00EE365D" w:rsidRDefault="00EE365D" w:rsidP="009A2332">
      <w:pPr>
        <w:spacing w:after="200" w:line="276" w:lineRule="auto"/>
        <w:rPr>
          <w:i/>
          <w:szCs w:val="20"/>
        </w:rPr>
      </w:pPr>
      <w:r w:rsidRPr="00EE365D">
        <w:rPr>
          <w:i/>
          <w:szCs w:val="20"/>
        </w:rPr>
        <w:t xml:space="preserve">No Changes were required for this short form. The savings were simply transferred to SCE’s 2017 Calculation Template. </w:t>
      </w:r>
    </w:p>
    <w:p w14:paraId="4F1711A6" w14:textId="008A8BE5" w:rsidR="009A2332" w:rsidRDefault="00FA41B7" w:rsidP="009A2332">
      <w:pPr>
        <w:spacing w:after="200" w:line="276" w:lineRule="auto"/>
        <w:rPr>
          <w:b/>
          <w:szCs w:val="20"/>
        </w:rPr>
      </w:pPr>
      <w:r>
        <w:rPr>
          <w:b/>
          <w:szCs w:val="20"/>
        </w:rPr>
        <w:t>Attachments:</w:t>
      </w:r>
    </w:p>
    <w:p w14:paraId="37E9FBDB" w14:textId="5EFC4D5D" w:rsidR="00E16609" w:rsidRPr="00FA41B7" w:rsidRDefault="00FA41B7" w:rsidP="00FA41B7">
      <w:pPr>
        <w:pStyle w:val="ListParagraph"/>
        <w:numPr>
          <w:ilvl w:val="0"/>
          <w:numId w:val="40"/>
        </w:numPr>
        <w:spacing w:after="200" w:line="276" w:lineRule="auto"/>
        <w:rPr>
          <w:b/>
          <w:szCs w:val="20"/>
        </w:rPr>
      </w:pPr>
      <w:r w:rsidRPr="00FA41B7">
        <w:rPr>
          <w:b/>
          <w:szCs w:val="20"/>
        </w:rPr>
        <w:t>SCE17CC001.0 A1 Calculations Final</w:t>
      </w:r>
      <w:r>
        <w:rPr>
          <w:b/>
          <w:szCs w:val="20"/>
        </w:rPr>
        <w:t>.xlsm</w:t>
      </w:r>
      <w:bookmarkStart w:id="4" w:name="_Toc214003099"/>
      <w:bookmarkEnd w:id="1"/>
    </w:p>
    <w:bookmarkEnd w:id="4"/>
    <w:sectPr w:rsidR="00E16609" w:rsidRPr="00FA41B7" w:rsidSect="00E87C8F">
      <w:footerReference w:type="default" r:id="rId1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F30167" w:rsidRDefault="00F30167" w:rsidP="00447D6E">
      <w:r>
        <w:separator/>
      </w:r>
    </w:p>
    <w:p w14:paraId="3993C521" w14:textId="77777777" w:rsidR="00F30167" w:rsidRDefault="00F30167"/>
  </w:endnote>
  <w:endnote w:type="continuationSeparator" w:id="0">
    <w:p w14:paraId="5BC65380" w14:textId="77777777" w:rsidR="00F30167" w:rsidRDefault="00F30167" w:rsidP="00447D6E">
      <w:r>
        <w:continuationSeparator/>
      </w:r>
    </w:p>
    <w:p w14:paraId="627E2D8A" w14:textId="77777777" w:rsidR="00F30167" w:rsidRDefault="00F30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381A7DB9" w:rsidR="00F30167" w:rsidRPr="009500DC" w:rsidRDefault="00FA41B7"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2328E4">
          <w:rPr>
            <w:rFonts w:cstheme="minorHAnsi"/>
            <w:b/>
            <w:sz w:val="20"/>
            <w:szCs w:val="20"/>
          </w:rPr>
          <w:t>SCE17CC001</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328E4">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Pr>
        <w:rFonts w:cstheme="minorHAnsi"/>
        <w:b/>
        <w:noProof/>
        <w:sz w:val="20"/>
        <w:szCs w:val="20"/>
      </w:rPr>
      <w:t>1</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6-01T00:00:00Z">
          <w:dateFormat w:val="MMMM d, yyyy"/>
          <w:lid w:val="en-US"/>
          <w:storeMappedDataAs w:val="dateTime"/>
          <w:calendar w:val="gregorian"/>
        </w:date>
      </w:sdtPr>
      <w:sdtEndPr/>
      <w:sdtContent>
        <w:r>
          <w:rPr>
            <w:rFonts w:cstheme="minorHAnsi"/>
            <w:b/>
            <w:sz w:val="20"/>
            <w:szCs w:val="20"/>
          </w:rPr>
          <w:t>June 1, 2018</w:t>
        </w:r>
      </w:sdtContent>
    </w:sdt>
  </w:p>
  <w:p w14:paraId="43C07EA5" w14:textId="544E4323" w:rsidR="00F30167" w:rsidRPr="009500DC" w:rsidRDefault="00FA41B7"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F30167" w:rsidRDefault="00F30167" w:rsidP="00447D6E">
      <w:r>
        <w:separator/>
      </w:r>
    </w:p>
    <w:p w14:paraId="32B34063" w14:textId="77777777" w:rsidR="00F30167" w:rsidRDefault="00F30167"/>
  </w:footnote>
  <w:footnote w:type="continuationSeparator" w:id="0">
    <w:p w14:paraId="7220C6D0" w14:textId="77777777" w:rsidR="00F30167" w:rsidRDefault="00F30167" w:rsidP="00447D6E">
      <w:r>
        <w:continuationSeparator/>
      </w:r>
    </w:p>
    <w:p w14:paraId="6E77FF76" w14:textId="77777777" w:rsidR="00F30167" w:rsidRDefault="00F301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4A4229C"/>
    <w:multiLevelType w:val="hybridMultilevel"/>
    <w:tmpl w:val="9B081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FB3AB7"/>
    <w:multiLevelType w:val="hybridMultilevel"/>
    <w:tmpl w:val="7526C0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F4713B"/>
    <w:multiLevelType w:val="hybridMultilevel"/>
    <w:tmpl w:val="46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A0280"/>
    <w:multiLevelType w:val="hybridMultilevel"/>
    <w:tmpl w:val="0CEAD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2"/>
  </w:num>
  <w:num w:numId="3">
    <w:abstractNumId w:val="20"/>
  </w:num>
  <w:num w:numId="4">
    <w:abstractNumId w:val="18"/>
  </w:num>
  <w:num w:numId="5">
    <w:abstractNumId w:val="18"/>
  </w:num>
  <w:num w:numId="6">
    <w:abstractNumId w:val="2"/>
  </w:num>
  <w:num w:numId="7">
    <w:abstractNumId w:val="23"/>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3"/>
  </w:num>
  <w:num w:numId="15">
    <w:abstractNumId w:val="8"/>
  </w:num>
  <w:num w:numId="16">
    <w:abstractNumId w:val="12"/>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4"/>
  </w:num>
  <w:num w:numId="24">
    <w:abstractNumId w:val="30"/>
  </w:num>
  <w:num w:numId="25">
    <w:abstractNumId w:val="13"/>
  </w:num>
  <w:num w:numId="26">
    <w:abstractNumId w:val="16"/>
  </w:num>
  <w:num w:numId="27">
    <w:abstractNumId w:val="28"/>
  </w:num>
  <w:num w:numId="28">
    <w:abstractNumId w:val="15"/>
  </w:num>
  <w:num w:numId="29">
    <w:abstractNumId w:val="7"/>
  </w:num>
  <w:num w:numId="30">
    <w:abstractNumId w:val="1"/>
  </w:num>
  <w:num w:numId="31">
    <w:abstractNumId w:val="36"/>
  </w:num>
  <w:num w:numId="32">
    <w:abstractNumId w:val="25"/>
  </w:num>
  <w:num w:numId="33">
    <w:abstractNumId w:val="29"/>
  </w:num>
  <w:num w:numId="34">
    <w:abstractNumId w:val="9"/>
  </w:num>
  <w:num w:numId="35">
    <w:abstractNumId w:val="14"/>
  </w:num>
  <w:num w:numId="36">
    <w:abstractNumId w:val="6"/>
  </w:num>
  <w:num w:numId="37">
    <w:abstractNumId w:val="37"/>
  </w:num>
  <w:num w:numId="38">
    <w:abstractNumId w:val="32"/>
  </w:num>
  <w:num w:numId="39">
    <w:abstractNumId w:val="35"/>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57A2"/>
    <w:rsid w:val="00027183"/>
    <w:rsid w:val="00033EA1"/>
    <w:rsid w:val="0003746D"/>
    <w:rsid w:val="0004020F"/>
    <w:rsid w:val="000436CB"/>
    <w:rsid w:val="00052E17"/>
    <w:rsid w:val="00056947"/>
    <w:rsid w:val="00061A8E"/>
    <w:rsid w:val="00064CB3"/>
    <w:rsid w:val="00070BEE"/>
    <w:rsid w:val="00072040"/>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4966"/>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1F54D2"/>
    <w:rsid w:val="00205C45"/>
    <w:rsid w:val="0021035B"/>
    <w:rsid w:val="00211153"/>
    <w:rsid w:val="0023254A"/>
    <w:rsid w:val="002328E4"/>
    <w:rsid w:val="002344FB"/>
    <w:rsid w:val="00236216"/>
    <w:rsid w:val="002405CD"/>
    <w:rsid w:val="00240B74"/>
    <w:rsid w:val="00243B62"/>
    <w:rsid w:val="0024675B"/>
    <w:rsid w:val="002469DD"/>
    <w:rsid w:val="00247180"/>
    <w:rsid w:val="00254671"/>
    <w:rsid w:val="00257D36"/>
    <w:rsid w:val="00263C1C"/>
    <w:rsid w:val="002653C2"/>
    <w:rsid w:val="00271415"/>
    <w:rsid w:val="00274FBE"/>
    <w:rsid w:val="002762E1"/>
    <w:rsid w:val="002811BC"/>
    <w:rsid w:val="00283DE8"/>
    <w:rsid w:val="00285552"/>
    <w:rsid w:val="00285966"/>
    <w:rsid w:val="00285A0D"/>
    <w:rsid w:val="00290ED8"/>
    <w:rsid w:val="00296601"/>
    <w:rsid w:val="00296B49"/>
    <w:rsid w:val="002A03FC"/>
    <w:rsid w:val="002A1843"/>
    <w:rsid w:val="002A3D26"/>
    <w:rsid w:val="002A523E"/>
    <w:rsid w:val="002A5300"/>
    <w:rsid w:val="002A6166"/>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14CA"/>
    <w:rsid w:val="00353C49"/>
    <w:rsid w:val="003540B1"/>
    <w:rsid w:val="003557E9"/>
    <w:rsid w:val="003560BA"/>
    <w:rsid w:val="003579A8"/>
    <w:rsid w:val="00364CC6"/>
    <w:rsid w:val="003650F6"/>
    <w:rsid w:val="0036726C"/>
    <w:rsid w:val="003832D2"/>
    <w:rsid w:val="003845E5"/>
    <w:rsid w:val="00393137"/>
    <w:rsid w:val="0039615F"/>
    <w:rsid w:val="00397406"/>
    <w:rsid w:val="003A3170"/>
    <w:rsid w:val="003A360E"/>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5F24"/>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0D7"/>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46B6"/>
    <w:rsid w:val="005B6344"/>
    <w:rsid w:val="005C1C74"/>
    <w:rsid w:val="005C2E48"/>
    <w:rsid w:val="005C3F23"/>
    <w:rsid w:val="005D431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4D0D"/>
    <w:rsid w:val="00777C53"/>
    <w:rsid w:val="00786E92"/>
    <w:rsid w:val="007933F1"/>
    <w:rsid w:val="007A5F52"/>
    <w:rsid w:val="007B090A"/>
    <w:rsid w:val="007E43F8"/>
    <w:rsid w:val="007E5076"/>
    <w:rsid w:val="007E656B"/>
    <w:rsid w:val="007F2997"/>
    <w:rsid w:val="007F50E8"/>
    <w:rsid w:val="007F54E2"/>
    <w:rsid w:val="007F7FBA"/>
    <w:rsid w:val="00800319"/>
    <w:rsid w:val="0080044E"/>
    <w:rsid w:val="00800706"/>
    <w:rsid w:val="0080189A"/>
    <w:rsid w:val="00801F7F"/>
    <w:rsid w:val="00803C2B"/>
    <w:rsid w:val="00807D22"/>
    <w:rsid w:val="00811945"/>
    <w:rsid w:val="00824F1C"/>
    <w:rsid w:val="00826688"/>
    <w:rsid w:val="0083369B"/>
    <w:rsid w:val="00835D38"/>
    <w:rsid w:val="00843763"/>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D727D"/>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16D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648BB"/>
    <w:rsid w:val="00E67ACA"/>
    <w:rsid w:val="00E7211B"/>
    <w:rsid w:val="00E76B31"/>
    <w:rsid w:val="00E81F3E"/>
    <w:rsid w:val="00E844BB"/>
    <w:rsid w:val="00E84C48"/>
    <w:rsid w:val="00E859BD"/>
    <w:rsid w:val="00E86B70"/>
    <w:rsid w:val="00E87C8F"/>
    <w:rsid w:val="00E924C3"/>
    <w:rsid w:val="00E954EE"/>
    <w:rsid w:val="00E96759"/>
    <w:rsid w:val="00EA4437"/>
    <w:rsid w:val="00EA4D87"/>
    <w:rsid w:val="00EB201C"/>
    <w:rsid w:val="00EB34FC"/>
    <w:rsid w:val="00EB76E1"/>
    <w:rsid w:val="00EC2499"/>
    <w:rsid w:val="00EE29DF"/>
    <w:rsid w:val="00EE365D"/>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1B7"/>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21"/>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8211B5"/>
    <w:rsid w:val="00874653"/>
    <w:rsid w:val="00A5022A"/>
    <w:rsid w:val="00AE4C28"/>
    <w:rsid w:val="00AF2C4B"/>
    <w:rsid w:val="00B73964"/>
    <w:rsid w:val="00B74704"/>
    <w:rsid w:val="00C947B8"/>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2018-06-01T00:00:00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4245105-8A82-4074-9D66-01C548520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SCE17CC001</vt:lpstr>
    </vt:vector>
  </TitlesOfParts>
  <Company>Southern California Edison</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SCE17CC001</dc:title>
  <dc:creator>Jim Wyatt (PG&amp;E);Jason Wang (SCE)</dc:creator>
  <cp:lastModifiedBy>Ajay Wadhera</cp:lastModifiedBy>
  <cp:revision>2</cp:revision>
  <dcterms:created xsi:type="dcterms:W3CDTF">2018-06-01T16:05:00Z</dcterms:created>
  <dcterms:modified xsi:type="dcterms:W3CDTF">2018-06-01T16:05:00Z</dcterms:modified>
  <cp:contentStatus>Revision 0</cp:contentStatus>
</cp:coreProperties>
</file>