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762224A0"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9404DF">
            <w:t>WP009</w:t>
          </w:r>
        </w:sdtContent>
      </w:sdt>
    </w:p>
    <w:bookmarkEnd w:id="0"/>
    <w:p w14:paraId="7601CE2F" w14:textId="634E6C43" w:rsidR="00DA690B" w:rsidRPr="00500C4E" w:rsidRDefault="001B73AF"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9404D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1B73AF"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74A7D2D" w:rsidR="00DA690B" w:rsidRPr="00500C4E" w:rsidRDefault="00103516" w:rsidP="00DA690B">
      <w:pPr>
        <w:rPr>
          <w:rFonts w:cstheme="minorHAnsi"/>
          <w:b/>
          <w:sz w:val="72"/>
          <w:szCs w:val="72"/>
        </w:rPr>
      </w:pPr>
      <w:r>
        <w:rPr>
          <w:rFonts w:cstheme="minorHAnsi"/>
          <w:b/>
          <w:sz w:val="72"/>
          <w:szCs w:val="72"/>
        </w:rPr>
        <w:t>Residential Variable Spee</w:t>
      </w:r>
      <w:r w:rsidR="009404DF">
        <w:rPr>
          <w:rFonts w:cstheme="minorHAnsi"/>
          <w:b/>
          <w:sz w:val="72"/>
          <w:szCs w:val="72"/>
        </w:rPr>
        <w:t>d Spa and Wading Pool Pump</w:t>
      </w:r>
      <w:r w:rsidR="00DA690B" w:rsidRPr="00500C4E">
        <w:rPr>
          <w:rFonts w:cstheme="minorHAnsi"/>
          <w:b/>
          <w:sz w:val="72"/>
          <w:szCs w:val="72"/>
        </w:rPr>
        <w:t xml:space="preserve"> </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CC6B7C" w:rsidRPr="00500C4E" w14:paraId="4D3A4AB5" w14:textId="77777777" w:rsidTr="00920905">
        <w:trPr>
          <w:trHeight w:val="465"/>
        </w:trPr>
        <w:tc>
          <w:tcPr>
            <w:tcW w:w="1875" w:type="pct"/>
          </w:tcPr>
          <w:p w14:paraId="4D8DADAE" w14:textId="129EB9BE" w:rsidR="00CC6B7C" w:rsidRPr="00920905" w:rsidRDefault="00CC6B7C" w:rsidP="00CC6B7C">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6E2AF17B" w:rsidR="00CC6B7C" w:rsidRPr="00500C4E" w:rsidRDefault="00CC6B7C" w:rsidP="00CC6B7C">
            <w:pPr>
              <w:rPr>
                <w:rFonts w:cs="Arial"/>
                <w:bCs/>
                <w:color w:val="FF0000"/>
                <w:szCs w:val="20"/>
              </w:rPr>
            </w:pPr>
            <w:r>
              <w:rPr>
                <w:rFonts w:cs="Arial"/>
                <w:szCs w:val="20"/>
              </w:rPr>
              <w:t>PM-99453</w:t>
            </w:r>
            <w:r w:rsidRPr="005B5D6F">
              <w:rPr>
                <w:rFonts w:cs="Arial"/>
                <w:szCs w:val="20"/>
              </w:rPr>
              <w:t xml:space="preserve"> </w:t>
            </w:r>
          </w:p>
        </w:tc>
      </w:tr>
      <w:tr w:rsidR="00CC6B7C" w:rsidRPr="00500C4E" w14:paraId="63B310F0" w14:textId="77777777" w:rsidTr="00920905">
        <w:trPr>
          <w:trHeight w:val="465"/>
        </w:trPr>
        <w:tc>
          <w:tcPr>
            <w:tcW w:w="1875" w:type="pct"/>
          </w:tcPr>
          <w:p w14:paraId="5050E2A3" w14:textId="2CBF1387" w:rsidR="00CC6B7C" w:rsidRPr="00500C4E" w:rsidRDefault="00CC6B7C" w:rsidP="00CC6B7C">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1FD1C4F9" w:rsidR="00CC6B7C" w:rsidRPr="00500C4E" w:rsidRDefault="00CC6B7C" w:rsidP="00CC6B7C">
            <w:pPr>
              <w:rPr>
                <w:rFonts w:cs="Arial"/>
                <w:color w:val="FF0000"/>
                <w:szCs w:val="20"/>
              </w:rPr>
            </w:pPr>
            <w:r>
              <w:rPr>
                <w:rFonts w:cstheme="minorHAnsi"/>
                <w:szCs w:val="20"/>
              </w:rPr>
              <w:t xml:space="preserve">A Variable Speed </w:t>
            </w:r>
            <w:r w:rsidRPr="00B61938">
              <w:rPr>
                <w:rFonts w:cstheme="minorHAnsi"/>
                <w:szCs w:val="20"/>
              </w:rPr>
              <w:t xml:space="preserve">Pool Pump </w:t>
            </w:r>
            <w:r>
              <w:rPr>
                <w:rFonts w:cstheme="minorHAnsi"/>
                <w:szCs w:val="20"/>
              </w:rPr>
              <w:t>used for</w:t>
            </w:r>
            <w:r w:rsidRPr="00B61938">
              <w:rPr>
                <w:rFonts w:cstheme="minorHAnsi"/>
                <w:szCs w:val="20"/>
              </w:rPr>
              <w:t xml:space="preserve"> a </w:t>
            </w:r>
            <w:r>
              <w:rPr>
                <w:rFonts w:cstheme="minorHAnsi"/>
                <w:szCs w:val="20"/>
              </w:rPr>
              <w:t>multifamily spa or wading pool</w:t>
            </w:r>
          </w:p>
        </w:tc>
      </w:tr>
      <w:tr w:rsidR="00CC6B7C" w:rsidRPr="00500C4E" w14:paraId="085771EF" w14:textId="77777777" w:rsidTr="00920905">
        <w:trPr>
          <w:trHeight w:val="465"/>
        </w:trPr>
        <w:tc>
          <w:tcPr>
            <w:tcW w:w="1875" w:type="pct"/>
          </w:tcPr>
          <w:p w14:paraId="679DB8A0" w14:textId="3D691398" w:rsidR="00CC6B7C" w:rsidRPr="00500C4E" w:rsidRDefault="00CC6B7C" w:rsidP="00CC6B7C">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020E9CA5" w:rsidR="00CC6B7C" w:rsidRPr="00500C4E" w:rsidRDefault="00CC6B7C" w:rsidP="00CC6B7C">
            <w:pPr>
              <w:rPr>
                <w:rFonts w:cs="Arial"/>
                <w:color w:val="FF0000"/>
                <w:szCs w:val="20"/>
              </w:rPr>
            </w:pPr>
            <w:r w:rsidRPr="00B61938">
              <w:rPr>
                <w:rFonts w:cstheme="minorHAnsi"/>
                <w:szCs w:val="20"/>
              </w:rPr>
              <w:t>A</w:t>
            </w:r>
            <w:r>
              <w:rPr>
                <w:rFonts w:cstheme="minorHAnsi"/>
                <w:szCs w:val="20"/>
              </w:rPr>
              <w:t xml:space="preserve"> Two-speed or</w:t>
            </w:r>
            <w:r w:rsidRPr="00B61938">
              <w:rPr>
                <w:rFonts w:cstheme="minorHAnsi"/>
                <w:szCs w:val="20"/>
              </w:rPr>
              <w:t xml:space="preserve"> Single-speed Pool Pump </w:t>
            </w:r>
            <w:r>
              <w:rPr>
                <w:rFonts w:cstheme="minorHAnsi"/>
                <w:szCs w:val="20"/>
              </w:rPr>
              <w:t>used for</w:t>
            </w:r>
            <w:r w:rsidRPr="00B61938">
              <w:rPr>
                <w:rFonts w:cstheme="minorHAnsi"/>
                <w:szCs w:val="20"/>
              </w:rPr>
              <w:t xml:space="preserve"> a </w:t>
            </w:r>
            <w:r>
              <w:rPr>
                <w:rFonts w:cstheme="minorHAnsi"/>
                <w:szCs w:val="20"/>
              </w:rPr>
              <w:t>multifamily spa or wading pool</w:t>
            </w:r>
          </w:p>
        </w:tc>
      </w:tr>
      <w:tr w:rsidR="00CC6B7C" w:rsidRPr="00500C4E" w14:paraId="5C218003" w14:textId="77777777" w:rsidTr="00920905">
        <w:trPr>
          <w:trHeight w:val="465"/>
        </w:trPr>
        <w:tc>
          <w:tcPr>
            <w:tcW w:w="1875" w:type="pct"/>
          </w:tcPr>
          <w:p w14:paraId="1DBA889C" w14:textId="032192ED" w:rsidR="00CC6B7C" w:rsidRPr="00500C4E" w:rsidRDefault="00CC6B7C" w:rsidP="00CC6B7C">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61426DEC" w:rsidR="00CC6B7C" w:rsidRPr="00500C4E" w:rsidRDefault="00CC6B7C" w:rsidP="00CC6B7C">
            <w:pPr>
              <w:rPr>
                <w:rFonts w:cs="Arial"/>
                <w:color w:val="FF0000"/>
                <w:szCs w:val="20"/>
              </w:rPr>
            </w:pPr>
            <w:r>
              <w:rPr>
                <w:rFonts w:cs="Arial"/>
                <w:szCs w:val="20"/>
              </w:rPr>
              <w:t>Pump</w:t>
            </w:r>
            <w:r w:rsidRPr="00C3339A">
              <w:rPr>
                <w:rFonts w:cs="Arial"/>
                <w:szCs w:val="20"/>
              </w:rPr>
              <w:t xml:space="preserve"> </w:t>
            </w:r>
          </w:p>
        </w:tc>
      </w:tr>
      <w:tr w:rsidR="00CC6B7C" w:rsidRPr="00500C4E" w14:paraId="66C8B424" w14:textId="77777777" w:rsidTr="00920905">
        <w:trPr>
          <w:trHeight w:val="465"/>
        </w:trPr>
        <w:tc>
          <w:tcPr>
            <w:tcW w:w="1875" w:type="pct"/>
          </w:tcPr>
          <w:p w14:paraId="0C38E296" w14:textId="625EE0BE" w:rsidR="00CC6B7C" w:rsidRPr="00920905" w:rsidRDefault="00CC6B7C" w:rsidP="00CC6B7C">
            <w:pPr>
              <w:rPr>
                <w:rStyle w:val="Strong1"/>
                <w:szCs w:val="20"/>
              </w:rPr>
            </w:pPr>
            <w:r w:rsidRPr="00500C4E">
              <w:rPr>
                <w:rStyle w:val="Strong"/>
                <w:rFonts w:asciiTheme="minorHAnsi" w:hAnsiTheme="minorHAnsi"/>
                <w:sz w:val="20"/>
                <w:szCs w:val="20"/>
              </w:rPr>
              <w:t>Energy Savings</w:t>
            </w:r>
          </w:p>
        </w:tc>
        <w:tc>
          <w:tcPr>
            <w:tcW w:w="3125" w:type="pct"/>
          </w:tcPr>
          <w:p w14:paraId="3F484DB4" w14:textId="77777777" w:rsidR="00CC6B7C" w:rsidRDefault="00CC6B7C" w:rsidP="00CC6B7C">
            <w:pPr>
              <w:rPr>
                <w:rFonts w:cs="Arial"/>
                <w:szCs w:val="20"/>
              </w:rPr>
            </w:pPr>
            <w:r>
              <w:rPr>
                <w:rFonts w:cs="Arial"/>
                <w:szCs w:val="20"/>
              </w:rPr>
              <w:t>RET 1</w:t>
            </w:r>
            <w:r w:rsidRPr="00FA3BF3">
              <w:rPr>
                <w:rFonts w:cs="Arial"/>
                <w:szCs w:val="20"/>
                <w:vertAlign w:val="superscript"/>
              </w:rPr>
              <w:t>st</w:t>
            </w:r>
            <w:r>
              <w:rPr>
                <w:rFonts w:cs="Arial"/>
                <w:szCs w:val="20"/>
              </w:rPr>
              <w:t xml:space="preserve"> Baseline: 7,220.27 kWh, 0.76 kW</w:t>
            </w:r>
          </w:p>
          <w:p w14:paraId="7D5952C1" w14:textId="53D9C8A2" w:rsidR="00CC6B7C" w:rsidRPr="00500C4E" w:rsidRDefault="00CC6B7C" w:rsidP="00CC6B7C">
            <w:pPr>
              <w:rPr>
                <w:rFonts w:cs="Arial"/>
                <w:szCs w:val="20"/>
              </w:rPr>
            </w:pPr>
            <w:r>
              <w:rPr>
                <w:rFonts w:cs="Arial"/>
                <w:szCs w:val="20"/>
              </w:rPr>
              <w:t>RET 2</w:t>
            </w:r>
            <w:r w:rsidRPr="00FA3BF3">
              <w:rPr>
                <w:rFonts w:cs="Arial"/>
                <w:szCs w:val="20"/>
                <w:vertAlign w:val="superscript"/>
              </w:rPr>
              <w:t>nd</w:t>
            </w:r>
            <w:r>
              <w:rPr>
                <w:rFonts w:cs="Arial"/>
                <w:szCs w:val="20"/>
              </w:rPr>
              <w:t xml:space="preserve"> Baseline, ROB: 4,300.47 kWh, 0.76 kW</w:t>
            </w:r>
          </w:p>
        </w:tc>
      </w:tr>
      <w:tr w:rsidR="00CC6B7C" w:rsidRPr="00500C4E" w14:paraId="3432D116" w14:textId="77777777" w:rsidTr="00920905">
        <w:trPr>
          <w:trHeight w:val="465"/>
        </w:trPr>
        <w:tc>
          <w:tcPr>
            <w:tcW w:w="1875" w:type="pct"/>
          </w:tcPr>
          <w:p w14:paraId="3CB3B700" w14:textId="30D3563F" w:rsidR="00CC6B7C" w:rsidRPr="00500C4E" w:rsidRDefault="00CC6B7C" w:rsidP="00CC6B7C">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516E9B72" w:rsidR="00CC6B7C" w:rsidRPr="00500C4E" w:rsidRDefault="00CC6B7C" w:rsidP="00CC6B7C">
            <w:pPr>
              <w:rPr>
                <w:rFonts w:cs="Arial"/>
                <w:szCs w:val="20"/>
              </w:rPr>
            </w:pPr>
            <w:r>
              <w:rPr>
                <w:rFonts w:cs="Arial"/>
                <w:szCs w:val="20"/>
              </w:rPr>
              <w:t>$1,650</w:t>
            </w:r>
          </w:p>
        </w:tc>
      </w:tr>
      <w:tr w:rsidR="00CC6B7C" w:rsidRPr="00500C4E" w14:paraId="2D16677E" w14:textId="77777777" w:rsidTr="00920905">
        <w:trPr>
          <w:trHeight w:val="465"/>
        </w:trPr>
        <w:tc>
          <w:tcPr>
            <w:tcW w:w="1875" w:type="pct"/>
          </w:tcPr>
          <w:p w14:paraId="1C8BF889" w14:textId="6745F31A" w:rsidR="00CC6B7C" w:rsidRPr="00500C4E" w:rsidRDefault="00CC6B7C" w:rsidP="00CC6B7C">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25076628" w:rsidR="00CC6B7C" w:rsidRPr="00500C4E" w:rsidRDefault="00CC6B7C" w:rsidP="00CC6B7C">
            <w:pPr>
              <w:rPr>
                <w:rFonts w:cs="Arial"/>
                <w:szCs w:val="20"/>
              </w:rPr>
            </w:pPr>
            <w:r>
              <w:rPr>
                <w:rFonts w:cs="Arial"/>
                <w:szCs w:val="20"/>
              </w:rPr>
              <w:t>$650</w:t>
            </w:r>
          </w:p>
        </w:tc>
      </w:tr>
      <w:tr w:rsidR="00CC6B7C" w:rsidRPr="00500C4E" w14:paraId="466E1409" w14:textId="77777777" w:rsidTr="00920905">
        <w:trPr>
          <w:trHeight w:val="465"/>
        </w:trPr>
        <w:tc>
          <w:tcPr>
            <w:tcW w:w="1875" w:type="pct"/>
          </w:tcPr>
          <w:p w14:paraId="4F8D0A97" w14:textId="25FD4E84" w:rsidR="00CC6B7C" w:rsidRPr="00500C4E" w:rsidRDefault="00CC6B7C" w:rsidP="00CC6B7C">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5CCAE298" w:rsidR="00CC6B7C" w:rsidRPr="00500C4E" w:rsidRDefault="00CC6B7C" w:rsidP="00CC6B7C">
            <w:pPr>
              <w:rPr>
                <w:rFonts w:cs="Arial"/>
                <w:color w:val="FF0000"/>
                <w:szCs w:val="20"/>
              </w:rPr>
            </w:pPr>
            <w:r>
              <w:rPr>
                <w:rFonts w:cs="Arial"/>
                <w:szCs w:val="20"/>
              </w:rPr>
              <w:t xml:space="preserve">10 years (EUL ID: </w:t>
            </w:r>
            <w:r w:rsidRPr="00A02E69">
              <w:rPr>
                <w:rFonts w:ascii="Calibri" w:hAnsi="Calibri"/>
                <w:color w:val="000000"/>
                <w:szCs w:val="20"/>
              </w:rPr>
              <w:t>OutD-PoolPump</w:t>
            </w:r>
            <w:r>
              <w:rPr>
                <w:rFonts w:ascii="Calibri" w:hAnsi="Calibri"/>
                <w:color w:val="000000"/>
                <w:szCs w:val="20"/>
              </w:rPr>
              <w:t>)</w:t>
            </w:r>
          </w:p>
        </w:tc>
      </w:tr>
      <w:tr w:rsidR="00CC6B7C" w:rsidRPr="00500C4E" w14:paraId="6FFAAB3B" w14:textId="77777777" w:rsidTr="00920905">
        <w:trPr>
          <w:trHeight w:val="465"/>
        </w:trPr>
        <w:tc>
          <w:tcPr>
            <w:tcW w:w="1875" w:type="pct"/>
          </w:tcPr>
          <w:p w14:paraId="080378E9" w14:textId="52D7A149" w:rsidR="00CC6B7C" w:rsidRPr="00500C4E" w:rsidRDefault="00CC6B7C" w:rsidP="00CC6B7C">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026DE73D" w:rsidR="00CC6B7C" w:rsidRPr="00500C4E" w:rsidRDefault="00CC6B7C" w:rsidP="00CC6B7C">
            <w:pPr>
              <w:rPr>
                <w:rFonts w:cs="Arial"/>
                <w:color w:val="FF0000"/>
                <w:szCs w:val="20"/>
              </w:rPr>
            </w:pPr>
            <w:r>
              <w:rPr>
                <w:rFonts w:cs="Arial"/>
                <w:szCs w:val="20"/>
              </w:rPr>
              <w:t>Retrofit (RET), Replace on Burnout (ROB)</w:t>
            </w:r>
          </w:p>
        </w:tc>
      </w:tr>
      <w:tr w:rsidR="00CC6B7C" w:rsidRPr="00500C4E" w14:paraId="2EA80FC2" w14:textId="77777777" w:rsidTr="00920905">
        <w:trPr>
          <w:trHeight w:val="465"/>
        </w:trPr>
        <w:tc>
          <w:tcPr>
            <w:tcW w:w="1875" w:type="pct"/>
          </w:tcPr>
          <w:p w14:paraId="7E87F403" w14:textId="5683C17E" w:rsidR="00CC6B7C" w:rsidRPr="00500C4E" w:rsidRDefault="00CC6B7C" w:rsidP="00CC6B7C">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143E3F9E" w:rsidR="00CC6B7C" w:rsidRPr="00500C4E" w:rsidRDefault="00CC6B7C" w:rsidP="00CC6B7C">
            <w:pPr>
              <w:rPr>
                <w:rFonts w:cs="Arial"/>
                <w:color w:val="FF0000"/>
                <w:szCs w:val="20"/>
              </w:rPr>
            </w:pPr>
            <w:r>
              <w:rPr>
                <w:rFonts w:cstheme="minorHAnsi"/>
                <w:szCs w:val="20"/>
              </w:rPr>
              <w:t>0.55 (</w:t>
            </w:r>
            <w:r>
              <w:rPr>
                <w:rFonts w:cs="Arial"/>
                <w:szCs w:val="20"/>
              </w:rPr>
              <w:t xml:space="preserve">NTGR ID: </w:t>
            </w:r>
            <w:r w:rsidRPr="00051CEC">
              <w:rPr>
                <w:rFonts w:cstheme="minorHAnsi"/>
                <w:szCs w:val="20"/>
              </w:rPr>
              <w:t>Res-Default&gt;2</w:t>
            </w:r>
            <w:r>
              <w:rPr>
                <w:rFonts w:cstheme="minorHAnsi"/>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979"/>
        <w:gridCol w:w="1379"/>
        <w:gridCol w:w="6468"/>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CC6B7C" w:rsidRPr="00500C4E" w14:paraId="0F8D645E" w14:textId="77777777" w:rsidTr="00847A4E">
        <w:trPr>
          <w:trHeight w:val="20"/>
        </w:trPr>
        <w:tc>
          <w:tcPr>
            <w:tcW w:w="283" w:type="pct"/>
          </w:tcPr>
          <w:p w14:paraId="4A1A2996" w14:textId="77777777" w:rsidR="00CC6B7C" w:rsidRPr="00920905" w:rsidRDefault="00CC6B7C" w:rsidP="00CC6B7C">
            <w:pPr>
              <w:rPr>
                <w:rFonts w:cstheme="minorHAnsi"/>
                <w:color w:val="FF0000"/>
                <w:szCs w:val="20"/>
              </w:rPr>
            </w:pPr>
            <w:r w:rsidRPr="00CC6B7C">
              <w:rPr>
                <w:rFonts w:cstheme="minorHAnsi"/>
                <w:szCs w:val="20"/>
              </w:rPr>
              <w:t>0</w:t>
            </w:r>
          </w:p>
        </w:tc>
        <w:tc>
          <w:tcPr>
            <w:tcW w:w="510" w:type="pct"/>
          </w:tcPr>
          <w:p w14:paraId="68BA349C" w14:textId="164049D4" w:rsidR="00CC6B7C" w:rsidRPr="00920905" w:rsidRDefault="00CC6B7C" w:rsidP="00CC6B7C">
            <w:pPr>
              <w:rPr>
                <w:rFonts w:cstheme="minorHAnsi"/>
                <w:color w:val="FF0000"/>
                <w:szCs w:val="20"/>
              </w:rPr>
            </w:pPr>
            <w:r w:rsidRPr="00397406">
              <w:rPr>
                <w:rFonts w:cstheme="minorHAnsi"/>
                <w:szCs w:val="20"/>
              </w:rPr>
              <w:t>1</w:t>
            </w:r>
            <w:r>
              <w:rPr>
                <w:rFonts w:cstheme="minorHAnsi"/>
                <w:szCs w:val="20"/>
              </w:rPr>
              <w:t>1</w:t>
            </w:r>
            <w:r w:rsidRPr="00397406">
              <w:rPr>
                <w:rFonts w:cstheme="minorHAnsi"/>
                <w:szCs w:val="20"/>
              </w:rPr>
              <w:t>/1</w:t>
            </w:r>
            <w:r>
              <w:rPr>
                <w:rFonts w:cstheme="minorHAnsi"/>
                <w:szCs w:val="20"/>
              </w:rPr>
              <w:t>0/14</w:t>
            </w:r>
          </w:p>
        </w:tc>
        <w:tc>
          <w:tcPr>
            <w:tcW w:w="744" w:type="pct"/>
          </w:tcPr>
          <w:p w14:paraId="4A812BB3" w14:textId="3660E8D9" w:rsidR="00CC6B7C" w:rsidRPr="00920905" w:rsidRDefault="00CC6B7C" w:rsidP="00CC6B7C">
            <w:pPr>
              <w:rPr>
                <w:rFonts w:cstheme="minorHAnsi"/>
                <w:color w:val="FF0000"/>
                <w:szCs w:val="20"/>
              </w:rPr>
            </w:pPr>
            <w:r w:rsidRPr="00397406">
              <w:rPr>
                <w:rFonts w:cstheme="minorHAnsi"/>
                <w:szCs w:val="20"/>
              </w:rPr>
              <w:t>Jason Wang (SCE)</w:t>
            </w:r>
          </w:p>
        </w:tc>
        <w:tc>
          <w:tcPr>
            <w:tcW w:w="3463" w:type="pct"/>
          </w:tcPr>
          <w:p w14:paraId="3ED195D0" w14:textId="77777777" w:rsidR="00CC6B7C" w:rsidRPr="00CC6B7C" w:rsidRDefault="00CC6B7C" w:rsidP="00CC6B7C">
            <w:pPr>
              <w:pStyle w:val="Reminders"/>
              <w:numPr>
                <w:ilvl w:val="0"/>
                <w:numId w:val="36"/>
              </w:numPr>
              <w:rPr>
                <w:rFonts w:asciiTheme="minorHAnsi" w:hAnsiTheme="minorHAnsi" w:cstheme="minorHAnsi"/>
                <w:i w:val="0"/>
                <w:color w:val="auto"/>
                <w:szCs w:val="20"/>
              </w:rPr>
            </w:pPr>
            <w:r w:rsidRPr="00CC6B7C">
              <w:rPr>
                <w:rFonts w:asciiTheme="minorHAnsi" w:hAnsiTheme="minorHAnsi" w:cstheme="minorHAnsi"/>
                <w:i w:val="0"/>
                <w:color w:val="auto"/>
                <w:szCs w:val="20"/>
              </w:rPr>
              <w:t>New WP for the 2013-15 cycle</w:t>
            </w:r>
          </w:p>
          <w:p w14:paraId="34F0A8ED" w14:textId="096D2342" w:rsidR="00CC6B7C" w:rsidRPr="00CC6B7C" w:rsidRDefault="00CC6B7C" w:rsidP="00CC6B7C">
            <w:pPr>
              <w:pStyle w:val="ListParagraph"/>
              <w:numPr>
                <w:ilvl w:val="0"/>
                <w:numId w:val="36"/>
              </w:numPr>
            </w:pPr>
            <w:r w:rsidRPr="00CC6B7C">
              <w:rPr>
                <w:rFonts w:cstheme="minorHAnsi"/>
                <w:szCs w:val="20"/>
              </w:rPr>
              <w:t>WP effective 1/1/2015-12/31/2015</w:t>
            </w:r>
          </w:p>
        </w:tc>
      </w:tr>
      <w:tr w:rsidR="00CC6B7C" w:rsidRPr="00500C4E" w14:paraId="62DC1728" w14:textId="77777777" w:rsidTr="00847A4E">
        <w:trPr>
          <w:trHeight w:val="20"/>
        </w:trPr>
        <w:tc>
          <w:tcPr>
            <w:tcW w:w="283" w:type="pct"/>
          </w:tcPr>
          <w:p w14:paraId="3E501C93" w14:textId="30ABBE16" w:rsidR="00CC6B7C" w:rsidRPr="00500C4E" w:rsidRDefault="00CC6B7C" w:rsidP="00CC6B7C">
            <w:pPr>
              <w:rPr>
                <w:rFonts w:cstheme="minorHAnsi"/>
                <w:szCs w:val="20"/>
              </w:rPr>
            </w:pPr>
            <w:r>
              <w:rPr>
                <w:rFonts w:cstheme="minorHAnsi"/>
                <w:szCs w:val="20"/>
              </w:rPr>
              <w:t>1</w:t>
            </w:r>
          </w:p>
        </w:tc>
        <w:tc>
          <w:tcPr>
            <w:tcW w:w="510" w:type="pct"/>
          </w:tcPr>
          <w:p w14:paraId="2265169C" w14:textId="7A0835D9" w:rsidR="00CC6B7C" w:rsidRPr="00500C4E" w:rsidRDefault="00CC6B7C" w:rsidP="00CC6B7C">
            <w:pPr>
              <w:rPr>
                <w:rFonts w:cstheme="minorHAnsi"/>
                <w:szCs w:val="20"/>
              </w:rPr>
            </w:pPr>
            <w:r w:rsidRPr="006F4A14">
              <w:rPr>
                <w:rFonts w:cstheme="minorHAnsi"/>
                <w:szCs w:val="20"/>
              </w:rPr>
              <w:t>5/</w:t>
            </w:r>
            <w:r>
              <w:rPr>
                <w:rFonts w:cstheme="minorHAnsi"/>
                <w:szCs w:val="20"/>
              </w:rPr>
              <w:t>6/</w:t>
            </w:r>
            <w:r w:rsidRPr="006F4A14">
              <w:rPr>
                <w:rFonts w:cstheme="minorHAnsi"/>
                <w:szCs w:val="20"/>
              </w:rPr>
              <w:t>15</w:t>
            </w:r>
          </w:p>
        </w:tc>
        <w:tc>
          <w:tcPr>
            <w:tcW w:w="744" w:type="pct"/>
          </w:tcPr>
          <w:p w14:paraId="1B212508" w14:textId="642D5F56" w:rsidR="00CC6B7C" w:rsidRPr="00500C4E" w:rsidRDefault="00CC6B7C" w:rsidP="00CC6B7C">
            <w:pPr>
              <w:rPr>
                <w:rFonts w:cstheme="minorHAnsi"/>
                <w:szCs w:val="20"/>
              </w:rPr>
            </w:pPr>
            <w:r w:rsidRPr="006F4A14">
              <w:rPr>
                <w:rFonts w:cstheme="minorHAnsi"/>
                <w:szCs w:val="20"/>
              </w:rPr>
              <w:t>Jason Wang (SCE)</w:t>
            </w:r>
          </w:p>
        </w:tc>
        <w:tc>
          <w:tcPr>
            <w:tcW w:w="3463" w:type="pct"/>
          </w:tcPr>
          <w:p w14:paraId="61966CE2" w14:textId="61676619" w:rsidR="00CC6B7C" w:rsidRPr="00500C4E" w:rsidRDefault="00CC6B7C" w:rsidP="00CC6B7C">
            <w:pPr>
              <w:rPr>
                <w:rFonts w:cstheme="minorHAnsi"/>
                <w:bCs/>
                <w:szCs w:val="20"/>
              </w:rPr>
            </w:pPr>
            <w:r>
              <w:rPr>
                <w:rFonts w:cstheme="minorHAnsi"/>
                <w:szCs w:val="20"/>
              </w:rPr>
              <w:t>Revised</w:t>
            </w:r>
            <w:r w:rsidRPr="00606E28">
              <w:rPr>
                <w:rFonts w:cstheme="minorHAnsi"/>
                <w:szCs w:val="20"/>
              </w:rPr>
              <w:t xml:space="preserve"> work paper in response to CPUC Pre</w:t>
            </w:r>
            <w:r>
              <w:rPr>
                <w:rFonts w:cstheme="minorHAnsi"/>
                <w:szCs w:val="20"/>
              </w:rPr>
              <w:t>liminary Review. Clarified that New Construction is not eligible.</w:t>
            </w:r>
          </w:p>
        </w:tc>
      </w:tr>
      <w:tr w:rsidR="00CC6B7C" w:rsidRPr="00500C4E" w14:paraId="69586EA0" w14:textId="77777777" w:rsidTr="00847A4E">
        <w:trPr>
          <w:trHeight w:val="20"/>
        </w:trPr>
        <w:tc>
          <w:tcPr>
            <w:tcW w:w="283" w:type="pct"/>
          </w:tcPr>
          <w:p w14:paraId="0D657BB9" w14:textId="47A81FB1" w:rsidR="00CC6B7C" w:rsidRPr="00500C4E" w:rsidRDefault="00CC6B7C" w:rsidP="00CC6B7C">
            <w:pPr>
              <w:rPr>
                <w:rFonts w:cstheme="minorHAnsi"/>
                <w:szCs w:val="20"/>
              </w:rPr>
            </w:pPr>
            <w:r>
              <w:rPr>
                <w:rFonts w:cstheme="minorHAnsi"/>
                <w:szCs w:val="20"/>
              </w:rPr>
              <w:t>2</w:t>
            </w:r>
          </w:p>
        </w:tc>
        <w:tc>
          <w:tcPr>
            <w:tcW w:w="510" w:type="pct"/>
          </w:tcPr>
          <w:p w14:paraId="09481BE9" w14:textId="24169967" w:rsidR="00CC6B7C" w:rsidRPr="00500C4E" w:rsidRDefault="00CC6B7C" w:rsidP="00CC6B7C">
            <w:pPr>
              <w:rPr>
                <w:rFonts w:cstheme="minorHAnsi"/>
                <w:szCs w:val="20"/>
              </w:rPr>
            </w:pPr>
            <w:r>
              <w:rPr>
                <w:rFonts w:cstheme="minorHAnsi"/>
                <w:szCs w:val="20"/>
              </w:rPr>
              <w:t>11</w:t>
            </w:r>
            <w:r w:rsidRPr="006F4A14">
              <w:rPr>
                <w:rFonts w:cstheme="minorHAnsi"/>
                <w:szCs w:val="20"/>
              </w:rPr>
              <w:t>/</w:t>
            </w:r>
            <w:r>
              <w:rPr>
                <w:rFonts w:cstheme="minorHAnsi"/>
                <w:szCs w:val="20"/>
              </w:rPr>
              <w:t>12/</w:t>
            </w:r>
            <w:r w:rsidRPr="006F4A14">
              <w:rPr>
                <w:rFonts w:cstheme="minorHAnsi"/>
                <w:szCs w:val="20"/>
              </w:rPr>
              <w:t>15</w:t>
            </w:r>
          </w:p>
        </w:tc>
        <w:tc>
          <w:tcPr>
            <w:tcW w:w="744" w:type="pct"/>
          </w:tcPr>
          <w:p w14:paraId="2E6379DC" w14:textId="1FD72C4B" w:rsidR="00CC6B7C" w:rsidRPr="00500C4E" w:rsidRDefault="00CC6B7C" w:rsidP="00CC6B7C">
            <w:pPr>
              <w:rPr>
                <w:rFonts w:cstheme="minorHAnsi"/>
                <w:szCs w:val="20"/>
              </w:rPr>
            </w:pPr>
            <w:r w:rsidRPr="006F4A14">
              <w:rPr>
                <w:rFonts w:cstheme="minorHAnsi"/>
                <w:szCs w:val="20"/>
              </w:rPr>
              <w:t>Jason Wang (SCE)</w:t>
            </w:r>
          </w:p>
        </w:tc>
        <w:tc>
          <w:tcPr>
            <w:tcW w:w="3463" w:type="pct"/>
          </w:tcPr>
          <w:p w14:paraId="3946B9F3" w14:textId="4ACB8F07" w:rsidR="00CC6B7C" w:rsidRPr="00500C4E" w:rsidRDefault="00CC6B7C" w:rsidP="00CC6B7C">
            <w:pPr>
              <w:rPr>
                <w:rFonts w:cstheme="minorHAnsi"/>
                <w:bCs/>
                <w:szCs w:val="20"/>
              </w:rPr>
            </w:pPr>
            <w:r>
              <w:rPr>
                <w:rFonts w:cstheme="minorHAnsi"/>
                <w:szCs w:val="20"/>
              </w:rPr>
              <w:t>Revised</w:t>
            </w:r>
            <w:r w:rsidRPr="00606E28">
              <w:rPr>
                <w:rFonts w:cstheme="minorHAnsi"/>
                <w:szCs w:val="20"/>
              </w:rPr>
              <w:t xml:space="preserve"> work paper in response to CPUC Pre</w:t>
            </w:r>
            <w:r>
              <w:rPr>
                <w:rFonts w:cstheme="minorHAnsi"/>
                <w:szCs w:val="20"/>
              </w:rPr>
              <w:t>liminary Review. Added code baseline cost</w:t>
            </w:r>
            <w:r w:rsidR="00C42129">
              <w:rPr>
                <w:rFonts w:cstheme="minorHAnsi"/>
                <w:szCs w:val="20"/>
              </w:rPr>
              <w:t xml:space="preserve"> and other cost parameters</w:t>
            </w:r>
            <w:r>
              <w:rPr>
                <w:rFonts w:cstheme="minorHAnsi"/>
                <w:szCs w:val="20"/>
              </w:rPr>
              <w:t>.</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72128CE5" w:rsidR="008877AF" w:rsidRPr="00BE78C1" w:rsidRDefault="00BE78C1" w:rsidP="00A84BF9">
            <w:pPr>
              <w:rPr>
                <w:bCs/>
              </w:rPr>
            </w:pPr>
            <w:r w:rsidRPr="00BE78C1">
              <w:rPr>
                <w:bCs/>
              </w:rPr>
              <w:t>0</w:t>
            </w:r>
          </w:p>
        </w:tc>
        <w:tc>
          <w:tcPr>
            <w:tcW w:w="351" w:type="pct"/>
          </w:tcPr>
          <w:p w14:paraId="23988046" w14:textId="4CB413EB" w:rsidR="008877AF" w:rsidRPr="00BE78C1" w:rsidRDefault="00BE78C1" w:rsidP="00A84BF9">
            <w:pPr>
              <w:rPr>
                <w:bCs/>
                <w:szCs w:val="20"/>
              </w:rPr>
            </w:pPr>
            <w:r w:rsidRPr="00BE78C1">
              <w:rPr>
                <w:bCs/>
                <w:szCs w:val="20"/>
              </w:rPr>
              <w:t>CS</w:t>
            </w:r>
          </w:p>
        </w:tc>
        <w:tc>
          <w:tcPr>
            <w:tcW w:w="548" w:type="pct"/>
          </w:tcPr>
          <w:p w14:paraId="4AB37DB0" w14:textId="336CF969" w:rsidR="008877AF" w:rsidRPr="00BE78C1" w:rsidRDefault="00BE78C1" w:rsidP="00A84BF9">
            <w:pPr>
              <w:rPr>
                <w:bCs/>
                <w:szCs w:val="20"/>
              </w:rPr>
            </w:pPr>
            <w:r w:rsidRPr="00BE78C1">
              <w:rPr>
                <w:bCs/>
                <w:szCs w:val="20"/>
              </w:rPr>
              <w:t>4/20/15</w:t>
            </w:r>
          </w:p>
        </w:tc>
        <w:tc>
          <w:tcPr>
            <w:tcW w:w="552" w:type="pct"/>
          </w:tcPr>
          <w:p w14:paraId="62E998F6" w14:textId="76A8FF38" w:rsidR="008877AF" w:rsidRPr="00BE78C1" w:rsidRDefault="00BE78C1" w:rsidP="00A84BF9">
            <w:pPr>
              <w:rPr>
                <w:bCs/>
                <w:szCs w:val="20"/>
              </w:rPr>
            </w:pPr>
            <w:r w:rsidRPr="00BE78C1">
              <w:rPr>
                <w:bCs/>
                <w:szCs w:val="20"/>
              </w:rPr>
              <w:t>5/5/15</w:t>
            </w:r>
          </w:p>
        </w:tc>
        <w:tc>
          <w:tcPr>
            <w:tcW w:w="1634" w:type="pct"/>
          </w:tcPr>
          <w:p w14:paraId="5F9CFB1A" w14:textId="77777777" w:rsidR="008877AF" w:rsidRPr="00BE78C1" w:rsidRDefault="00BE78C1" w:rsidP="00BE78C1">
            <w:pPr>
              <w:pStyle w:val="ListParagraph"/>
              <w:numPr>
                <w:ilvl w:val="0"/>
                <w:numId w:val="45"/>
              </w:numPr>
              <w:rPr>
                <w:bCs/>
                <w:szCs w:val="20"/>
              </w:rPr>
            </w:pPr>
            <w:r w:rsidRPr="00BE78C1">
              <w:rPr>
                <w:bCs/>
                <w:szCs w:val="20"/>
              </w:rPr>
              <w:t>Clarify eligibility of NC.</w:t>
            </w:r>
          </w:p>
          <w:p w14:paraId="55D09CC1" w14:textId="77777777" w:rsidR="00BE78C1" w:rsidRPr="00BE78C1" w:rsidRDefault="00BE78C1" w:rsidP="00BE78C1">
            <w:pPr>
              <w:pStyle w:val="ListParagraph"/>
              <w:numPr>
                <w:ilvl w:val="0"/>
                <w:numId w:val="45"/>
              </w:numPr>
              <w:rPr>
                <w:bCs/>
                <w:szCs w:val="20"/>
              </w:rPr>
            </w:pPr>
            <w:r w:rsidRPr="00BE78C1">
              <w:rPr>
                <w:bCs/>
                <w:szCs w:val="20"/>
              </w:rPr>
              <w:t>Clarify code costs.</w:t>
            </w:r>
          </w:p>
          <w:p w14:paraId="02A18B2C" w14:textId="77777777" w:rsidR="00BE78C1" w:rsidRPr="00BE78C1" w:rsidRDefault="00BE78C1" w:rsidP="00BE78C1">
            <w:pPr>
              <w:pStyle w:val="ListParagraph"/>
              <w:numPr>
                <w:ilvl w:val="0"/>
                <w:numId w:val="45"/>
              </w:numPr>
              <w:rPr>
                <w:bCs/>
                <w:szCs w:val="20"/>
              </w:rPr>
            </w:pPr>
            <w:r w:rsidRPr="00BE78C1">
              <w:rPr>
                <w:bCs/>
                <w:szCs w:val="20"/>
              </w:rPr>
              <w:t>Add detailed measure descriptions.</w:t>
            </w:r>
          </w:p>
          <w:p w14:paraId="369DEEE8" w14:textId="0A64C91D" w:rsidR="00BE78C1" w:rsidRPr="00BE78C1" w:rsidRDefault="00BE78C1" w:rsidP="00BE78C1">
            <w:pPr>
              <w:pStyle w:val="ListParagraph"/>
              <w:numPr>
                <w:ilvl w:val="0"/>
                <w:numId w:val="45"/>
              </w:numPr>
              <w:rPr>
                <w:bCs/>
                <w:szCs w:val="20"/>
              </w:rPr>
            </w:pPr>
            <w:r w:rsidRPr="00BE78C1">
              <w:rPr>
                <w:bCs/>
                <w:szCs w:val="20"/>
              </w:rPr>
              <w:t>Various comments on Ex Ante Data format</w:t>
            </w:r>
          </w:p>
        </w:tc>
        <w:tc>
          <w:tcPr>
            <w:tcW w:w="1634" w:type="pct"/>
          </w:tcPr>
          <w:p w14:paraId="290BB8B6" w14:textId="77777777" w:rsidR="008877AF" w:rsidRPr="00BE78C1" w:rsidRDefault="00BE78C1" w:rsidP="00BE78C1">
            <w:pPr>
              <w:pStyle w:val="ListParagraph"/>
              <w:numPr>
                <w:ilvl w:val="0"/>
                <w:numId w:val="45"/>
              </w:numPr>
              <w:rPr>
                <w:bCs/>
                <w:szCs w:val="20"/>
              </w:rPr>
            </w:pPr>
            <w:r w:rsidRPr="00BE78C1">
              <w:rPr>
                <w:bCs/>
                <w:szCs w:val="20"/>
              </w:rPr>
              <w:t>NC is not eligible.</w:t>
            </w:r>
          </w:p>
          <w:p w14:paraId="78978103" w14:textId="7FEB6069" w:rsidR="00BE78C1" w:rsidRPr="00BE78C1" w:rsidRDefault="00BE78C1" w:rsidP="00BE78C1">
            <w:pPr>
              <w:pStyle w:val="ListParagraph"/>
              <w:numPr>
                <w:ilvl w:val="0"/>
                <w:numId w:val="45"/>
              </w:numPr>
              <w:rPr>
                <w:bCs/>
                <w:szCs w:val="20"/>
              </w:rPr>
            </w:pPr>
            <w:r w:rsidRPr="00BE78C1">
              <w:rPr>
                <w:bCs/>
                <w:szCs w:val="20"/>
              </w:rPr>
              <w:t>Cost section was revised</w:t>
            </w:r>
            <w:r w:rsidR="00C42129">
              <w:rPr>
                <w:bCs/>
                <w:szCs w:val="20"/>
              </w:rPr>
              <w:t xml:space="preserve"> to include a description of code costs</w:t>
            </w:r>
            <w:r w:rsidRPr="00BE78C1">
              <w:rPr>
                <w:bCs/>
                <w:szCs w:val="20"/>
              </w:rPr>
              <w:t>.</w:t>
            </w:r>
          </w:p>
          <w:p w14:paraId="1ECCFDB6" w14:textId="71F5ED67" w:rsidR="00BE78C1" w:rsidRPr="00BE78C1" w:rsidRDefault="00BE78C1" w:rsidP="00BE78C1">
            <w:pPr>
              <w:pStyle w:val="ListParagraph"/>
              <w:numPr>
                <w:ilvl w:val="0"/>
                <w:numId w:val="45"/>
              </w:numPr>
              <w:rPr>
                <w:bCs/>
                <w:szCs w:val="20"/>
              </w:rPr>
            </w:pPr>
            <w:r w:rsidRPr="00BE78C1">
              <w:rPr>
                <w:bCs/>
                <w:szCs w:val="20"/>
              </w:rPr>
              <w:t>Detailed measure descriptions were added.</w:t>
            </w:r>
          </w:p>
        </w:tc>
      </w:tr>
      <w:tr w:rsidR="008877AF" w:rsidRPr="00500C4E" w14:paraId="69D073CD" w14:textId="392DFDA5" w:rsidTr="00BA5FE4">
        <w:trPr>
          <w:trHeight w:val="20"/>
        </w:trPr>
        <w:tc>
          <w:tcPr>
            <w:tcW w:w="280" w:type="pct"/>
          </w:tcPr>
          <w:p w14:paraId="19E0D6ED" w14:textId="578424DE" w:rsidR="008877AF" w:rsidRPr="00BE78C1" w:rsidRDefault="00BE78C1" w:rsidP="00A84BF9">
            <w:r>
              <w:t>1</w:t>
            </w:r>
          </w:p>
        </w:tc>
        <w:tc>
          <w:tcPr>
            <w:tcW w:w="351" w:type="pct"/>
          </w:tcPr>
          <w:p w14:paraId="71879172" w14:textId="7D2B09A2" w:rsidR="008877AF" w:rsidRPr="00BE78C1" w:rsidRDefault="00BE78C1" w:rsidP="00A84BF9">
            <w:pPr>
              <w:autoSpaceDE w:val="0"/>
              <w:autoSpaceDN w:val="0"/>
              <w:adjustRightInd w:val="0"/>
              <w:rPr>
                <w:szCs w:val="20"/>
              </w:rPr>
            </w:pPr>
            <w:r>
              <w:rPr>
                <w:szCs w:val="20"/>
              </w:rPr>
              <w:t>CS</w:t>
            </w:r>
          </w:p>
        </w:tc>
        <w:tc>
          <w:tcPr>
            <w:tcW w:w="548" w:type="pct"/>
          </w:tcPr>
          <w:p w14:paraId="61A20ED3" w14:textId="771D9471" w:rsidR="008877AF" w:rsidRPr="00BE78C1" w:rsidRDefault="00BE78C1" w:rsidP="00A84BF9">
            <w:pPr>
              <w:autoSpaceDE w:val="0"/>
              <w:autoSpaceDN w:val="0"/>
              <w:adjustRightInd w:val="0"/>
              <w:rPr>
                <w:szCs w:val="20"/>
              </w:rPr>
            </w:pPr>
            <w:r>
              <w:rPr>
                <w:szCs w:val="20"/>
              </w:rPr>
              <w:t>7/2/15</w:t>
            </w:r>
          </w:p>
        </w:tc>
        <w:tc>
          <w:tcPr>
            <w:tcW w:w="552" w:type="pct"/>
          </w:tcPr>
          <w:p w14:paraId="211F8E7E" w14:textId="44D4B859" w:rsidR="008877AF" w:rsidRPr="00BE78C1" w:rsidRDefault="00BE78C1" w:rsidP="00A84BF9">
            <w:pPr>
              <w:rPr>
                <w:szCs w:val="20"/>
              </w:rPr>
            </w:pPr>
            <w:r>
              <w:rPr>
                <w:szCs w:val="20"/>
              </w:rPr>
              <w:t>7/17/15</w:t>
            </w:r>
          </w:p>
        </w:tc>
        <w:tc>
          <w:tcPr>
            <w:tcW w:w="1634" w:type="pct"/>
          </w:tcPr>
          <w:p w14:paraId="4F39C357" w14:textId="77777777" w:rsidR="008877AF" w:rsidRDefault="00BE78C1" w:rsidP="00BE78C1">
            <w:pPr>
              <w:pStyle w:val="ListParagraph"/>
              <w:numPr>
                <w:ilvl w:val="0"/>
                <w:numId w:val="46"/>
              </w:numPr>
              <w:rPr>
                <w:bCs/>
                <w:szCs w:val="20"/>
              </w:rPr>
            </w:pPr>
            <w:r>
              <w:rPr>
                <w:bCs/>
                <w:szCs w:val="20"/>
              </w:rPr>
              <w:t>Correct cost calculations.</w:t>
            </w:r>
          </w:p>
          <w:p w14:paraId="52AA4972" w14:textId="7607B951" w:rsidR="00C42129" w:rsidRPr="00BE78C1" w:rsidRDefault="00C42129" w:rsidP="00BE78C1">
            <w:pPr>
              <w:pStyle w:val="ListParagraph"/>
              <w:numPr>
                <w:ilvl w:val="0"/>
                <w:numId w:val="46"/>
              </w:numPr>
              <w:rPr>
                <w:bCs/>
                <w:szCs w:val="20"/>
              </w:rPr>
            </w:pPr>
            <w:r>
              <w:rPr>
                <w:bCs/>
                <w:szCs w:val="20"/>
              </w:rPr>
              <w:t>Revise cost description.</w:t>
            </w:r>
          </w:p>
        </w:tc>
        <w:tc>
          <w:tcPr>
            <w:tcW w:w="1634" w:type="pct"/>
          </w:tcPr>
          <w:p w14:paraId="03DE9F59" w14:textId="77777777" w:rsidR="008877AF" w:rsidRDefault="00C42129" w:rsidP="00C42129">
            <w:pPr>
              <w:pStyle w:val="ListParagraph"/>
              <w:numPr>
                <w:ilvl w:val="0"/>
                <w:numId w:val="46"/>
              </w:numPr>
              <w:rPr>
                <w:bCs/>
                <w:szCs w:val="20"/>
              </w:rPr>
            </w:pPr>
            <w:r w:rsidRPr="00BE78C1">
              <w:rPr>
                <w:bCs/>
                <w:szCs w:val="20"/>
              </w:rPr>
              <w:t xml:space="preserve">Cost </w:t>
            </w:r>
            <w:r>
              <w:rPr>
                <w:bCs/>
                <w:szCs w:val="20"/>
              </w:rPr>
              <w:t>calculations were corrected.</w:t>
            </w:r>
          </w:p>
          <w:p w14:paraId="34686434" w14:textId="4391C8A7" w:rsidR="00C42129" w:rsidRPr="00C42129" w:rsidRDefault="00C42129" w:rsidP="00C42129">
            <w:pPr>
              <w:pStyle w:val="ListParagraph"/>
              <w:numPr>
                <w:ilvl w:val="0"/>
                <w:numId w:val="46"/>
              </w:numPr>
              <w:rPr>
                <w:bCs/>
                <w:szCs w:val="20"/>
              </w:rPr>
            </w:pPr>
            <w:r>
              <w:rPr>
                <w:bCs/>
                <w:szCs w:val="20"/>
              </w:rPr>
              <w:t>Cost IDs and descriptions were added.</w:t>
            </w: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2A7665D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07845339" w14:textId="473A0063" w:rsidR="001D3223" w:rsidRPr="00800706" w:rsidRDefault="00CC6B7C" w:rsidP="001D3223">
      <w:pPr>
        <w:pStyle w:val="Reminders"/>
        <w:tabs>
          <w:tab w:val="num" w:pos="360"/>
        </w:tabs>
        <w:rPr>
          <w:rFonts w:asciiTheme="minorHAnsi" w:hAnsiTheme="minorHAnsi" w:cstheme="minorHAnsi"/>
          <w:i w:val="0"/>
          <w:szCs w:val="22"/>
        </w:rPr>
      </w:pPr>
      <w:r w:rsidRPr="00C3339A">
        <w:rPr>
          <w:rFonts w:asciiTheme="minorHAnsi" w:hAnsiTheme="minorHAnsi" w:cstheme="minorHAnsi"/>
          <w:i w:val="0"/>
          <w:color w:val="auto"/>
          <w:szCs w:val="22"/>
        </w:rPr>
        <w:t>The measure is a Variable Speed</w:t>
      </w:r>
      <w:r>
        <w:rPr>
          <w:rFonts w:asciiTheme="minorHAnsi" w:hAnsiTheme="minorHAnsi" w:cstheme="minorHAnsi"/>
          <w:i w:val="0"/>
          <w:color w:val="auto"/>
          <w:szCs w:val="22"/>
        </w:rPr>
        <w:t xml:space="preserve"> (VS)</w:t>
      </w:r>
      <w:r w:rsidRPr="00C3339A">
        <w:rPr>
          <w:rFonts w:asciiTheme="minorHAnsi" w:hAnsiTheme="minorHAnsi" w:cstheme="minorHAnsi"/>
          <w:i w:val="0"/>
          <w:color w:val="auto"/>
          <w:szCs w:val="22"/>
        </w:rPr>
        <w:t xml:space="preserve"> Pool Pump</w:t>
      </w:r>
      <w:r>
        <w:rPr>
          <w:rFonts w:asciiTheme="minorHAnsi" w:hAnsiTheme="minorHAnsi" w:cstheme="minorHAnsi"/>
          <w:i w:val="0"/>
          <w:color w:val="auto"/>
          <w:szCs w:val="22"/>
        </w:rPr>
        <w:t xml:space="preserve"> used for</w:t>
      </w:r>
      <w:r w:rsidRPr="00C3339A">
        <w:rPr>
          <w:rFonts w:asciiTheme="minorHAnsi" w:hAnsiTheme="minorHAnsi" w:cstheme="minorHAnsi"/>
          <w:i w:val="0"/>
          <w:color w:val="auto"/>
          <w:szCs w:val="22"/>
        </w:rPr>
        <w:t xml:space="preserve"> a </w:t>
      </w:r>
      <w:r>
        <w:rPr>
          <w:rFonts w:asciiTheme="minorHAnsi" w:hAnsiTheme="minorHAnsi" w:cstheme="minorHAnsi"/>
          <w:i w:val="0"/>
          <w:color w:val="auto"/>
          <w:szCs w:val="22"/>
        </w:rPr>
        <w:t>multifamily spa or wading pool, and t</w:t>
      </w:r>
      <w:r w:rsidRPr="00C3339A">
        <w:rPr>
          <w:rFonts w:asciiTheme="minorHAnsi" w:hAnsiTheme="minorHAnsi" w:cstheme="minorHAnsi"/>
          <w:i w:val="0"/>
          <w:color w:val="auto"/>
          <w:szCs w:val="22"/>
        </w:rPr>
        <w:t xml:space="preserve">he base case is </w:t>
      </w:r>
      <w:r>
        <w:rPr>
          <w:rFonts w:asciiTheme="minorHAnsi" w:hAnsiTheme="minorHAnsi" w:cstheme="minorHAnsi"/>
          <w:i w:val="0"/>
          <w:color w:val="auto"/>
          <w:szCs w:val="22"/>
        </w:rPr>
        <w:t>an existing</w:t>
      </w:r>
      <w:r w:rsidRPr="00C3339A">
        <w:rPr>
          <w:rFonts w:asciiTheme="minorHAnsi" w:hAnsiTheme="minorHAnsi" w:cstheme="minorHAnsi"/>
          <w:i w:val="0"/>
          <w:color w:val="auto"/>
          <w:szCs w:val="22"/>
        </w:rPr>
        <w:t xml:space="preserve"> Single</w:t>
      </w:r>
      <w:r>
        <w:rPr>
          <w:rFonts w:asciiTheme="minorHAnsi" w:hAnsiTheme="minorHAnsi" w:cstheme="minorHAnsi"/>
          <w:i w:val="0"/>
          <w:color w:val="auto"/>
          <w:szCs w:val="22"/>
        </w:rPr>
        <w:t>-s</w:t>
      </w:r>
      <w:r w:rsidRPr="00C3339A">
        <w:rPr>
          <w:rFonts w:asciiTheme="minorHAnsi" w:hAnsiTheme="minorHAnsi" w:cstheme="minorHAnsi"/>
          <w:i w:val="0"/>
          <w:color w:val="auto"/>
          <w:szCs w:val="22"/>
        </w:rPr>
        <w:t>peed Pool Pump</w:t>
      </w:r>
      <w:r>
        <w:rPr>
          <w:rFonts w:asciiTheme="minorHAnsi" w:hAnsiTheme="minorHAnsi" w:cstheme="minorHAnsi"/>
          <w:i w:val="0"/>
          <w:color w:val="auto"/>
          <w:szCs w:val="22"/>
        </w:rPr>
        <w:t>. The VS Pool Pump enables pool operators to modulate pumping speed based on a programmed schedule, which can lead to energy savings and demand reduction.</w:t>
      </w: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CC6B7C" w:rsidRDefault="005720F2" w:rsidP="00920905">
            <w:pPr>
              <w:pStyle w:val="Reminders"/>
              <w:tabs>
                <w:tab w:val="num" w:pos="360"/>
              </w:tabs>
              <w:spacing w:before="0" w:after="0"/>
              <w:rPr>
                <w:rFonts w:asciiTheme="minorHAnsi" w:hAnsiTheme="minorHAnsi" w:cstheme="minorHAnsi"/>
                <w:b/>
                <w:i w:val="0"/>
                <w:color w:val="auto"/>
                <w:szCs w:val="20"/>
              </w:rPr>
            </w:pPr>
            <w:r w:rsidRPr="00CC6B7C">
              <w:rPr>
                <w:rFonts w:asciiTheme="minorHAnsi" w:hAnsiTheme="minorHAnsi" w:cstheme="minorHAnsi"/>
                <w:b/>
                <w:i w:val="0"/>
                <w:color w:val="auto"/>
                <w:szCs w:val="20"/>
              </w:rPr>
              <w:t>Description</w:t>
            </w:r>
            <w:r w:rsidR="00680934" w:rsidRPr="00CC6B7C">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F8CCB37" w:rsidR="00D85F09" w:rsidRPr="00CC6B7C" w:rsidRDefault="00CC6B7C" w:rsidP="00920905">
            <w:pPr>
              <w:rPr>
                <w:szCs w:val="20"/>
              </w:rPr>
            </w:pPr>
            <w:r w:rsidRPr="00CC6B7C">
              <w:rPr>
                <w:szCs w:val="20"/>
              </w:rPr>
              <w:t>Variable Speed Pool Pump</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5D373DAA" w:rsidR="00D85F09" w:rsidRPr="00CC6B7C" w:rsidRDefault="00CC6B7C" w:rsidP="00920905">
            <w:pPr>
              <w:rPr>
                <w:i/>
                <w:szCs w:val="20"/>
              </w:rPr>
            </w:pPr>
            <w:r w:rsidRPr="00CC6B7C">
              <w:rPr>
                <w:szCs w:val="20"/>
              </w:rPr>
              <w:t>Single-speed Pool Pump</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0FB0706B" w:rsidR="002344FB" w:rsidRPr="00CC6B7C" w:rsidRDefault="00CC6B7C" w:rsidP="00CC6B7C">
            <w:pPr>
              <w:rPr>
                <w:szCs w:val="20"/>
              </w:rPr>
            </w:pPr>
            <w:r w:rsidRPr="00CC6B7C">
              <w:rPr>
                <w:szCs w:val="20"/>
              </w:rPr>
              <w:t>Two-speed Pool Pump</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2898BE0" w:rsidR="00D85F09" w:rsidRPr="00CC6B7C" w:rsidRDefault="00CC6B7C" w:rsidP="00920905">
            <w:pPr>
              <w:rPr>
                <w:i/>
                <w:szCs w:val="20"/>
              </w:rPr>
            </w:pPr>
            <w:r w:rsidRPr="00CC6B7C">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385DE45A" w:rsidR="00572D2F" w:rsidRPr="00920905" w:rsidRDefault="00CC6B7C" w:rsidP="00397406">
            <w:pPr>
              <w:rPr>
                <w:rFonts w:cstheme="minorHAnsi"/>
                <w:color w:val="FF0000"/>
                <w:szCs w:val="20"/>
              </w:rPr>
            </w:pPr>
            <w:r>
              <w:rPr>
                <w:rFonts w:cstheme="minorHAnsi"/>
                <w:szCs w:val="20"/>
              </w:rPr>
              <w:t>PM</w:t>
            </w:r>
            <w:r w:rsidRPr="00397406">
              <w:rPr>
                <w:rFonts w:cstheme="minorHAnsi"/>
                <w:szCs w:val="20"/>
              </w:rPr>
              <w:t>-</w:t>
            </w:r>
            <w:r>
              <w:rPr>
                <w:rFonts w:cstheme="minorHAnsi"/>
                <w:szCs w:val="20"/>
              </w:rPr>
              <w:t>99453</w:t>
            </w:r>
          </w:p>
        </w:tc>
        <w:tc>
          <w:tcPr>
            <w:tcW w:w="673" w:type="pct"/>
          </w:tcPr>
          <w:p w14:paraId="311A1841" w14:textId="1EE8F275" w:rsidR="00572D2F" w:rsidRPr="00920905" w:rsidRDefault="00572D2F" w:rsidP="005729C8">
            <w:pPr>
              <w:rPr>
                <w:rFonts w:cstheme="minorHAnsi"/>
                <w:color w:val="FF0000"/>
                <w:szCs w:val="20"/>
              </w:rPr>
            </w:pPr>
          </w:p>
        </w:tc>
        <w:tc>
          <w:tcPr>
            <w:tcW w:w="2644" w:type="pct"/>
          </w:tcPr>
          <w:p w14:paraId="512138E6" w14:textId="1B54CA7E" w:rsidR="00572D2F" w:rsidRPr="00920905" w:rsidRDefault="00CC6B7C">
            <w:pPr>
              <w:rPr>
                <w:color w:val="FF0000"/>
              </w:rPr>
            </w:pPr>
            <w:r w:rsidRPr="000C0358">
              <w:rPr>
                <w:color w:val="000000"/>
                <w:szCs w:val="20"/>
              </w:rPr>
              <w:t>Variable Speed Drive on Pool Pump Control replacing Single Speed Pool Pump for Spa or Wading Pool</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180784DE" w14:textId="77777777" w:rsidR="00CC6B7C" w:rsidRPr="00C3339A" w:rsidRDefault="00CC6B7C" w:rsidP="00CC6B7C">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t xml:space="preserve">Eligibility </w:t>
      </w:r>
      <w:r w:rsidRPr="00C3339A">
        <w:rPr>
          <w:rFonts w:asciiTheme="minorHAnsi" w:hAnsiTheme="minorHAnsi" w:cstheme="minorHAnsi"/>
          <w:b/>
          <w:i w:val="0"/>
          <w:color w:val="auto"/>
          <w:szCs w:val="22"/>
        </w:rPr>
        <w:t>Requirements</w:t>
      </w:r>
    </w:p>
    <w:p w14:paraId="7380F87C" w14:textId="77777777" w:rsidR="00CC6B7C" w:rsidRDefault="00CC6B7C" w:rsidP="00CC6B7C">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 xml:space="preserve">The VS pool pump does not need to have the same horsepower rating as the base case single-speed pump. For example, replacing a 1 HP single-speed pump with a 3 HP VS pump is </w:t>
      </w:r>
      <w:bookmarkStart w:id="8" w:name="_GoBack"/>
      <w:bookmarkEnd w:id="8"/>
      <w:r>
        <w:rPr>
          <w:rFonts w:asciiTheme="minorHAnsi" w:hAnsiTheme="minorHAnsi" w:cstheme="minorHAnsi"/>
          <w:i w:val="0"/>
          <w:color w:val="auto"/>
          <w:szCs w:val="22"/>
        </w:rPr>
        <w:t>acceptable. Some counties offer guidance on what size or model of pump to install, based on specific site conditions.</w:t>
      </w:r>
    </w:p>
    <w:p w14:paraId="35C9A3F6" w14:textId="77777777" w:rsidR="00CC6B7C" w:rsidRDefault="00CC6B7C" w:rsidP="00CC6B7C">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For this work paper, horsepower rating refers to the nameplate horsepower before service factor is applied.</w:t>
      </w:r>
    </w:p>
    <w:p w14:paraId="13A3D209" w14:textId="77777777" w:rsidR="00CC6B7C" w:rsidRDefault="00CC6B7C" w:rsidP="00CC6B7C">
      <w:pPr>
        <w:pStyle w:val="Reminders"/>
        <w:numPr>
          <w:ilvl w:val="0"/>
          <w:numId w:val="37"/>
        </w:numPr>
        <w:rPr>
          <w:rFonts w:asciiTheme="minorHAnsi" w:hAnsiTheme="minorHAnsi" w:cstheme="minorHAnsi"/>
          <w:i w:val="0"/>
          <w:color w:val="auto"/>
          <w:szCs w:val="22"/>
        </w:rPr>
      </w:pPr>
      <w:r w:rsidRPr="00317368">
        <w:rPr>
          <w:rFonts w:asciiTheme="minorHAnsi" w:hAnsiTheme="minorHAnsi" w:cstheme="minorHAnsi"/>
          <w:i w:val="0"/>
          <w:color w:val="auto"/>
          <w:szCs w:val="22"/>
        </w:rPr>
        <w:t>Only 1-for-1 pump replacements are eligible.</w:t>
      </w:r>
      <w:r>
        <w:rPr>
          <w:rFonts w:asciiTheme="minorHAnsi" w:hAnsiTheme="minorHAnsi" w:cstheme="minorHAnsi"/>
          <w:i w:val="0"/>
          <w:color w:val="auto"/>
          <w:szCs w:val="22"/>
        </w:rPr>
        <w:t xml:space="preserve"> Motor-only replacements are not eligible.</w:t>
      </w:r>
    </w:p>
    <w:p w14:paraId="0EBD698E" w14:textId="77777777" w:rsidR="00CC6B7C" w:rsidRDefault="00CC6B7C" w:rsidP="00CC6B7C">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Only the multifamily building type is eligible.</w:t>
      </w:r>
    </w:p>
    <w:p w14:paraId="13872E9A" w14:textId="77777777" w:rsidR="00CC6B7C" w:rsidRPr="00A407E8" w:rsidRDefault="00CC6B7C" w:rsidP="00CC6B7C">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All climate zones are eligible.</w:t>
      </w:r>
    </w:p>
    <w:p w14:paraId="44137E65" w14:textId="77777777" w:rsidR="00CC6B7C" w:rsidRDefault="00CC6B7C" w:rsidP="00CC6B7C">
      <w:pPr>
        <w:pStyle w:val="Reminders"/>
        <w:rPr>
          <w:rFonts w:asciiTheme="minorHAnsi" w:hAnsiTheme="minorHAnsi" w:cstheme="minorHAnsi"/>
          <w:i w:val="0"/>
          <w:color w:val="auto"/>
          <w:szCs w:val="22"/>
        </w:rPr>
      </w:pPr>
    </w:p>
    <w:p w14:paraId="3AE4C83A" w14:textId="77777777" w:rsidR="00CC6B7C" w:rsidRDefault="00CC6B7C" w:rsidP="00CC6B7C">
      <w:pPr>
        <w:pStyle w:val="Reminders"/>
        <w:rPr>
          <w:rFonts w:asciiTheme="minorHAnsi" w:hAnsiTheme="minorHAnsi" w:cstheme="minorHAnsi"/>
          <w:b/>
          <w:i w:val="0"/>
          <w:color w:val="auto"/>
          <w:szCs w:val="22"/>
        </w:rPr>
      </w:pPr>
      <w:r w:rsidRPr="00A02E69">
        <w:rPr>
          <w:rFonts w:asciiTheme="minorHAnsi" w:hAnsiTheme="minorHAnsi" w:cstheme="minorHAnsi"/>
          <w:b/>
          <w:i w:val="0"/>
          <w:color w:val="auto"/>
          <w:szCs w:val="22"/>
        </w:rPr>
        <w:t>Implementation Requirements</w:t>
      </w:r>
    </w:p>
    <w:p w14:paraId="75E2233F" w14:textId="77777777" w:rsidR="00CC6B7C" w:rsidRPr="00FD5D2E" w:rsidRDefault="00CC6B7C" w:rsidP="00CC6B7C">
      <w:pPr>
        <w:pStyle w:val="Reminders"/>
        <w:numPr>
          <w:ilvl w:val="0"/>
          <w:numId w:val="39"/>
        </w:numPr>
        <w:rPr>
          <w:rFonts w:asciiTheme="minorHAnsi" w:hAnsiTheme="minorHAnsi" w:cstheme="minorHAnsi"/>
          <w:b/>
          <w:i w:val="0"/>
          <w:color w:val="auto"/>
          <w:szCs w:val="22"/>
        </w:rPr>
      </w:pPr>
      <w:r>
        <w:rPr>
          <w:rFonts w:asciiTheme="minorHAnsi" w:hAnsiTheme="minorHAnsi" w:cstheme="minorHAnsi"/>
          <w:i w:val="0"/>
          <w:color w:val="auto"/>
          <w:szCs w:val="22"/>
        </w:rPr>
        <w:t>Health code requirements and inspections must be passed successfully.</w:t>
      </w:r>
    </w:p>
    <w:p w14:paraId="7F6F2158" w14:textId="77777777" w:rsidR="00CC6B7C" w:rsidRDefault="00CC6B7C" w:rsidP="00CC6B7C">
      <w:pPr>
        <w:pStyle w:val="Reminders"/>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Installation must be performed by a contractor approved by the SCE Multifamily Program or one who has the appropriate licenses and training.</w:t>
      </w:r>
    </w:p>
    <w:p w14:paraId="655F17BD" w14:textId="77777777" w:rsidR="00CC6B7C" w:rsidRDefault="00CC6B7C" w:rsidP="00CC6B7C">
      <w:pPr>
        <w:pStyle w:val="Reminders"/>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Contractor must follow all manufacturer installation requirements.</w:t>
      </w:r>
    </w:p>
    <w:p w14:paraId="0C1EA7B9" w14:textId="77777777" w:rsidR="00CC6B7C" w:rsidRPr="000B2E93" w:rsidRDefault="00CC6B7C" w:rsidP="00CC6B7C">
      <w:pPr>
        <w:numPr>
          <w:ilvl w:val="0"/>
          <w:numId w:val="38"/>
        </w:numPr>
        <w:spacing w:before="40" w:after="40"/>
        <w:rPr>
          <w:rFonts w:cstheme="minorHAnsi"/>
          <w:szCs w:val="22"/>
        </w:rPr>
      </w:pPr>
      <w:r w:rsidRPr="000B2E93">
        <w:rPr>
          <w:rFonts w:cstheme="minorHAnsi"/>
          <w:szCs w:val="22"/>
        </w:rPr>
        <w:t>Equipment and materials must meet or exceed all applicable local, state and federal standards</w:t>
      </w:r>
      <w:r>
        <w:rPr>
          <w:rFonts w:cstheme="minorHAnsi"/>
          <w:szCs w:val="22"/>
        </w:rPr>
        <w:t>.</w:t>
      </w:r>
    </w:p>
    <w:p w14:paraId="0F151391" w14:textId="77777777" w:rsidR="00CC6B7C" w:rsidRPr="00CC6B7C" w:rsidRDefault="00CC6B7C" w:rsidP="00CC6B7C">
      <w:pPr>
        <w:pStyle w:val="Reminders"/>
        <w:numPr>
          <w:ilvl w:val="0"/>
          <w:numId w:val="38"/>
        </w:numPr>
        <w:rPr>
          <w:rFonts w:asciiTheme="minorHAnsi" w:hAnsiTheme="minorHAnsi" w:cstheme="minorHAnsi"/>
          <w:i w:val="0"/>
          <w:color w:val="auto"/>
          <w:szCs w:val="22"/>
        </w:rPr>
      </w:pPr>
      <w:r w:rsidRPr="00CC6B7C">
        <w:rPr>
          <w:rFonts w:asciiTheme="minorHAnsi" w:hAnsiTheme="minorHAnsi" w:cstheme="minorHAnsi"/>
          <w:i w:val="0"/>
          <w:color w:val="auto"/>
          <w:szCs w:val="22"/>
        </w:rPr>
        <w:t>VS pool pump must be a new, qualifying product installed in a pre-existing in-ground spa or wading pool.</w:t>
      </w:r>
    </w:p>
    <w:p w14:paraId="369C4D5C" w14:textId="77777777" w:rsidR="00CC6B7C" w:rsidRPr="00CC6B7C" w:rsidRDefault="00CC6B7C" w:rsidP="00CC6B7C">
      <w:pPr>
        <w:pStyle w:val="Reminders"/>
        <w:numPr>
          <w:ilvl w:val="0"/>
          <w:numId w:val="38"/>
        </w:numPr>
        <w:rPr>
          <w:rFonts w:asciiTheme="minorHAnsi" w:hAnsiTheme="minorHAnsi" w:cstheme="minorHAnsi"/>
          <w:i w:val="0"/>
          <w:color w:val="auto"/>
          <w:szCs w:val="22"/>
        </w:rPr>
      </w:pPr>
      <w:r w:rsidRPr="00CC6B7C">
        <w:rPr>
          <w:rFonts w:asciiTheme="minorHAnsi" w:hAnsiTheme="minorHAnsi" w:cstheme="minorHAnsi"/>
          <w:i w:val="0"/>
          <w:color w:val="auto"/>
          <w:szCs w:val="22"/>
        </w:rPr>
        <w:t>Only one rebate is allowed per spa or wading pool.</w:t>
      </w:r>
    </w:p>
    <w:p w14:paraId="2550984B" w14:textId="77777777" w:rsidR="00CC6B7C" w:rsidRPr="00CC6B7C" w:rsidRDefault="00CC6B7C" w:rsidP="00CC6B7C">
      <w:pPr>
        <w:pStyle w:val="Reminders"/>
        <w:rPr>
          <w:rFonts w:asciiTheme="minorHAnsi" w:hAnsiTheme="minorHAnsi" w:cstheme="minorHAnsi"/>
          <w:b/>
          <w:i w:val="0"/>
          <w:color w:val="auto"/>
          <w:szCs w:val="22"/>
        </w:rPr>
      </w:pPr>
    </w:p>
    <w:p w14:paraId="1FEF2EDE" w14:textId="77777777" w:rsidR="00CC6B7C" w:rsidRPr="00CC6B7C" w:rsidRDefault="00CC6B7C" w:rsidP="00CC6B7C">
      <w:pPr>
        <w:pStyle w:val="Reminders"/>
        <w:rPr>
          <w:rFonts w:asciiTheme="minorHAnsi" w:hAnsiTheme="minorHAnsi" w:cstheme="minorHAnsi"/>
          <w:b/>
          <w:i w:val="0"/>
          <w:color w:val="auto"/>
          <w:szCs w:val="22"/>
        </w:rPr>
      </w:pPr>
      <w:r w:rsidRPr="00CC6B7C">
        <w:rPr>
          <w:rFonts w:asciiTheme="minorHAnsi" w:hAnsiTheme="minorHAnsi" w:cstheme="minorHAnsi"/>
          <w:b/>
          <w:i w:val="0"/>
          <w:color w:val="auto"/>
          <w:szCs w:val="22"/>
        </w:rPr>
        <w:t>Documentation Requirements</w:t>
      </w:r>
    </w:p>
    <w:p w14:paraId="35E5C846" w14:textId="77777777" w:rsidR="00CC6B7C" w:rsidRPr="00CC6B7C" w:rsidRDefault="00CC6B7C" w:rsidP="00CC6B7C">
      <w:pPr>
        <w:pStyle w:val="Reminders"/>
        <w:numPr>
          <w:ilvl w:val="0"/>
          <w:numId w:val="11"/>
        </w:numPr>
        <w:rPr>
          <w:rFonts w:asciiTheme="minorHAnsi" w:hAnsiTheme="minorHAnsi" w:cstheme="minorHAnsi"/>
          <w:i w:val="0"/>
          <w:color w:val="auto"/>
          <w:szCs w:val="22"/>
        </w:rPr>
      </w:pPr>
      <w:r w:rsidRPr="00CC6B7C">
        <w:rPr>
          <w:rFonts w:asciiTheme="minorHAnsi" w:hAnsiTheme="minorHAnsi" w:cstheme="minorHAnsi"/>
          <w:i w:val="0"/>
          <w:color w:val="auto"/>
          <w:szCs w:val="22"/>
        </w:rPr>
        <w:lastRenderedPageBreak/>
        <w:t>The required documentation must indicate that the pre-existing pump was single speed and that the measure case pump has been properly programmed to meet health code requirements.</w:t>
      </w:r>
    </w:p>
    <w:p w14:paraId="4B410629" w14:textId="77777777" w:rsidR="00CC6B7C" w:rsidRPr="00CC6B7C" w:rsidRDefault="00CC6B7C" w:rsidP="00CC6B7C">
      <w:pPr>
        <w:pStyle w:val="Reminders"/>
        <w:numPr>
          <w:ilvl w:val="0"/>
          <w:numId w:val="11"/>
        </w:numPr>
        <w:rPr>
          <w:rFonts w:asciiTheme="minorHAnsi" w:hAnsiTheme="minorHAnsi" w:cstheme="minorHAnsi"/>
          <w:i w:val="0"/>
          <w:color w:val="auto"/>
          <w:szCs w:val="22"/>
        </w:rPr>
      </w:pPr>
      <w:r w:rsidRPr="00CC6B7C">
        <w:rPr>
          <w:rFonts w:asciiTheme="minorHAnsi" w:hAnsiTheme="minorHAnsi" w:cstheme="minorHAnsi"/>
          <w:i w:val="0"/>
          <w:color w:val="auto"/>
          <w:szCs w:val="22"/>
        </w:rPr>
        <w:t>For RET measures, proof of age and functionality and preponderance of evidence must be provided.</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D030447" w14:textId="77777777" w:rsidR="00CC6B7C" w:rsidRDefault="00CC6B7C" w:rsidP="00CC6B7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Pool pumps are used to circulate swimming pool water through a filtration system in order to keep it clear and remove debris and disease-causing agents. Pumps are also used for pool cleaning sweeps, heating, and water features such as fountains and waterfalls. A pool pump motor in California is typically 0.5 to 3 horsepower (HP), single phase, alternating current (AC), and either a permanent split capacitor (PSC) or capacitor-start capacitor-run (CSCR) design [467]. Most run at a fixed single-speed of 3450 revolutions per minute (rpm). There is no difference between a pool pump used for a swimming pool and one used for a spa or wading pool.</w:t>
      </w:r>
    </w:p>
    <w:p w14:paraId="37C7F4C8" w14:textId="77777777" w:rsidR="00CC6B7C" w:rsidRDefault="00CC6B7C" w:rsidP="00CC6B7C">
      <w:pPr>
        <w:pStyle w:val="Reminders"/>
        <w:tabs>
          <w:tab w:val="num" w:pos="360"/>
        </w:tabs>
        <w:rPr>
          <w:rFonts w:asciiTheme="minorHAnsi" w:hAnsiTheme="minorHAnsi" w:cstheme="minorHAnsi"/>
          <w:i w:val="0"/>
          <w:color w:val="auto"/>
          <w:szCs w:val="22"/>
        </w:rPr>
      </w:pPr>
    </w:p>
    <w:p w14:paraId="0D066018" w14:textId="77777777" w:rsidR="00CC6B7C" w:rsidRDefault="00CC6B7C" w:rsidP="00CC6B7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A VS pool pump uses a motor controller that can be programmed to modulate motor speed and flow rate. For VS pool pumps ≤ 3 HP, the controller and pump are integrated into a single unit as shown in </w:t>
      </w:r>
      <w:r w:rsidRPr="00E649FA">
        <w:rPr>
          <w:rFonts w:asciiTheme="minorHAnsi" w:hAnsiTheme="minorHAnsi" w:cstheme="minorHAnsi"/>
          <w:i w:val="0"/>
          <w:color w:val="auto"/>
          <w:szCs w:val="22"/>
        </w:rPr>
        <w:fldChar w:fldCharType="begin"/>
      </w:r>
      <w:r w:rsidRPr="00E649FA">
        <w:rPr>
          <w:rFonts w:asciiTheme="minorHAnsi" w:hAnsiTheme="minorHAnsi" w:cstheme="minorHAnsi"/>
          <w:i w:val="0"/>
          <w:color w:val="auto"/>
          <w:szCs w:val="22"/>
        </w:rPr>
        <w:instrText xml:space="preserve"> REF _Ref396397087 \h  \* MERGEFORMAT </w:instrText>
      </w:r>
      <w:r w:rsidRPr="00E649FA">
        <w:rPr>
          <w:rFonts w:asciiTheme="minorHAnsi" w:hAnsiTheme="minorHAnsi" w:cstheme="minorHAnsi"/>
          <w:i w:val="0"/>
          <w:color w:val="auto"/>
          <w:szCs w:val="22"/>
        </w:rPr>
      </w:r>
      <w:r w:rsidRPr="00E649FA">
        <w:rPr>
          <w:rFonts w:asciiTheme="minorHAnsi" w:hAnsiTheme="minorHAnsi" w:cstheme="minorHAnsi"/>
          <w:i w:val="0"/>
          <w:color w:val="auto"/>
          <w:szCs w:val="22"/>
        </w:rPr>
        <w:fldChar w:fldCharType="separate"/>
      </w:r>
      <w:r w:rsidRPr="00943ACB">
        <w:rPr>
          <w:rFonts w:asciiTheme="minorHAnsi" w:hAnsiTheme="minorHAnsi"/>
          <w:i w:val="0"/>
          <w:color w:val="auto"/>
          <w:szCs w:val="22"/>
        </w:rPr>
        <w:t xml:space="preserve">Figure </w:t>
      </w:r>
      <w:r w:rsidRPr="00943ACB">
        <w:rPr>
          <w:rFonts w:asciiTheme="minorHAnsi" w:hAnsiTheme="minorHAnsi"/>
          <w:i w:val="0"/>
          <w:noProof/>
          <w:color w:val="auto"/>
          <w:szCs w:val="22"/>
        </w:rPr>
        <w:t>1</w:t>
      </w:r>
      <w:r w:rsidRPr="00E649FA">
        <w:rPr>
          <w:rFonts w:asciiTheme="minorHAnsi" w:hAnsiTheme="minorHAnsi" w:cstheme="minorHAnsi"/>
          <w:i w:val="0"/>
          <w:color w:val="auto"/>
          <w:szCs w:val="22"/>
        </w:rPr>
        <w:fldChar w:fldCharType="end"/>
      </w:r>
      <w:r w:rsidRPr="00E649FA">
        <w:rPr>
          <w:rFonts w:asciiTheme="minorHAnsi" w:hAnsiTheme="minorHAnsi" w:cstheme="minorHAnsi"/>
          <w:i w:val="0"/>
          <w:color w:val="auto"/>
          <w:szCs w:val="22"/>
        </w:rPr>
        <w:t>.</w:t>
      </w:r>
      <w:r>
        <w:rPr>
          <w:rFonts w:asciiTheme="minorHAnsi" w:hAnsiTheme="minorHAnsi" w:cstheme="minorHAnsi"/>
          <w:i w:val="0"/>
          <w:color w:val="auto"/>
          <w:szCs w:val="22"/>
        </w:rPr>
        <w:t xml:space="preserve"> Larger pumps typically use a VS control unit housed in a separate enclosure; these are not included in the scope of this work paper. VS pool pumps typically use electronically-commutated motors (ECMs), which offer higher efficiencies than PSC motors.</w:t>
      </w:r>
    </w:p>
    <w:p w14:paraId="48A13E7A" w14:textId="77777777" w:rsidR="00CC6B7C" w:rsidRDefault="00CC6B7C" w:rsidP="00CC6B7C">
      <w:pPr>
        <w:pStyle w:val="Reminders"/>
        <w:tabs>
          <w:tab w:val="num" w:pos="360"/>
        </w:tabs>
        <w:rPr>
          <w:rFonts w:asciiTheme="minorHAnsi" w:hAnsiTheme="minorHAnsi" w:cstheme="minorHAnsi"/>
          <w:i w:val="0"/>
          <w:color w:val="auto"/>
          <w:szCs w:val="22"/>
        </w:rPr>
      </w:pPr>
    </w:p>
    <w:p w14:paraId="6CE6AC47" w14:textId="77777777" w:rsidR="00CC6B7C" w:rsidRDefault="00CC6B7C" w:rsidP="00CC6B7C">
      <w:pPr>
        <w:pStyle w:val="Reminders"/>
        <w:tabs>
          <w:tab w:val="num" w:pos="360"/>
        </w:tabs>
        <w:jc w:val="center"/>
        <w:rPr>
          <w:rFonts w:asciiTheme="minorHAnsi" w:hAnsiTheme="minorHAnsi" w:cstheme="minorHAnsi"/>
          <w:i w:val="0"/>
          <w:color w:val="auto"/>
          <w:szCs w:val="22"/>
        </w:rPr>
      </w:pPr>
    </w:p>
    <w:p w14:paraId="686C1774" w14:textId="77777777" w:rsidR="00CC6B7C" w:rsidRDefault="00CC6B7C" w:rsidP="00CC6B7C">
      <w:pPr>
        <w:pStyle w:val="Reminders"/>
        <w:tabs>
          <w:tab w:val="num" w:pos="360"/>
        </w:tabs>
        <w:jc w:val="center"/>
        <w:rPr>
          <w:rFonts w:asciiTheme="minorHAnsi" w:hAnsiTheme="minorHAnsi" w:cstheme="minorHAnsi"/>
          <w:i w:val="0"/>
          <w:color w:val="auto"/>
          <w:szCs w:val="22"/>
        </w:rPr>
      </w:pPr>
      <w:r w:rsidRPr="003263EE">
        <w:rPr>
          <w:rFonts w:asciiTheme="minorHAnsi" w:hAnsiTheme="minorHAnsi" w:cstheme="minorHAnsi"/>
          <w:i w:val="0"/>
          <w:noProof/>
          <w:color w:val="auto"/>
          <w:szCs w:val="22"/>
        </w:rPr>
        <w:drawing>
          <wp:inline distT="0" distB="0" distL="0" distR="0" wp14:anchorId="249A33CA" wp14:editId="4AC1A134">
            <wp:extent cx="2379134" cy="1698437"/>
            <wp:effectExtent l="19050" t="19050" r="21590" b="165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ntelliFlo Generic VS Pool Pump-LoRes.jpg"/>
                    <pic:cNvPicPr/>
                  </pic:nvPicPr>
                  <pic:blipFill>
                    <a:blip r:embed="rId11">
                      <a:extLst>
                        <a:ext uri="{28A0092B-C50C-407E-A947-70E740481C1C}">
                          <a14:useLocalDpi xmlns:a14="http://schemas.microsoft.com/office/drawing/2010/main" val="0"/>
                        </a:ext>
                      </a:extLst>
                    </a:blip>
                    <a:stretch>
                      <a:fillRect/>
                    </a:stretch>
                  </pic:blipFill>
                  <pic:spPr>
                    <a:xfrm>
                      <a:off x="0" y="0"/>
                      <a:ext cx="2390851" cy="1706801"/>
                    </a:xfrm>
                    <a:prstGeom prst="rect">
                      <a:avLst/>
                    </a:prstGeom>
                    <a:ln>
                      <a:solidFill>
                        <a:schemeClr val="tx1"/>
                      </a:solidFill>
                    </a:ln>
                  </pic:spPr>
                </pic:pic>
              </a:graphicData>
            </a:graphic>
          </wp:inline>
        </w:drawing>
      </w:r>
    </w:p>
    <w:p w14:paraId="15CC9A21" w14:textId="77777777" w:rsidR="00CC6B7C" w:rsidRPr="00E649FA" w:rsidRDefault="00CC6B7C" w:rsidP="00CC6B7C">
      <w:pPr>
        <w:pStyle w:val="Caption"/>
        <w:jc w:val="center"/>
        <w:rPr>
          <w:rFonts w:cstheme="minorHAnsi"/>
          <w:i/>
          <w:szCs w:val="22"/>
        </w:rPr>
      </w:pPr>
      <w:bookmarkStart w:id="9" w:name="_Ref396397087"/>
      <w:r w:rsidRPr="00E649FA">
        <w:rPr>
          <w:szCs w:val="22"/>
        </w:rPr>
        <w:t xml:space="preserve">Figure </w:t>
      </w:r>
      <w:r w:rsidRPr="00E649FA">
        <w:rPr>
          <w:szCs w:val="22"/>
        </w:rPr>
        <w:fldChar w:fldCharType="begin"/>
      </w:r>
      <w:r w:rsidRPr="00E649FA">
        <w:rPr>
          <w:szCs w:val="22"/>
        </w:rPr>
        <w:instrText xml:space="preserve"> SEQ Figure \* ARABIC </w:instrText>
      </w:r>
      <w:r w:rsidRPr="00E649FA">
        <w:rPr>
          <w:szCs w:val="22"/>
        </w:rPr>
        <w:fldChar w:fldCharType="separate"/>
      </w:r>
      <w:r>
        <w:rPr>
          <w:noProof/>
          <w:szCs w:val="22"/>
        </w:rPr>
        <w:t>1</w:t>
      </w:r>
      <w:r w:rsidRPr="00E649FA">
        <w:rPr>
          <w:szCs w:val="22"/>
        </w:rPr>
        <w:fldChar w:fldCharType="end"/>
      </w:r>
      <w:bookmarkEnd w:id="9"/>
      <w:r>
        <w:rPr>
          <w:szCs w:val="22"/>
        </w:rPr>
        <w:t>:</w:t>
      </w:r>
      <w:r w:rsidRPr="00E649FA">
        <w:rPr>
          <w:szCs w:val="22"/>
        </w:rPr>
        <w:t xml:space="preserve"> V</w:t>
      </w:r>
      <w:r>
        <w:rPr>
          <w:szCs w:val="22"/>
        </w:rPr>
        <w:t xml:space="preserve">ariable </w:t>
      </w:r>
      <w:r w:rsidRPr="00E649FA">
        <w:rPr>
          <w:szCs w:val="22"/>
        </w:rPr>
        <w:t>S</w:t>
      </w:r>
      <w:r>
        <w:rPr>
          <w:szCs w:val="22"/>
        </w:rPr>
        <w:t>peed</w:t>
      </w:r>
      <w:r w:rsidRPr="00E649FA">
        <w:rPr>
          <w:szCs w:val="22"/>
        </w:rPr>
        <w:t xml:space="preserve"> Pool Pump</w:t>
      </w:r>
    </w:p>
    <w:p w14:paraId="6541A76C" w14:textId="77777777" w:rsidR="00CC6B7C" w:rsidRDefault="00CC6B7C" w:rsidP="00CC6B7C">
      <w:pPr>
        <w:pStyle w:val="Reminders"/>
        <w:tabs>
          <w:tab w:val="num" w:pos="360"/>
        </w:tabs>
        <w:jc w:val="center"/>
        <w:rPr>
          <w:rFonts w:asciiTheme="minorHAnsi" w:hAnsiTheme="minorHAnsi" w:cstheme="minorHAnsi"/>
          <w:i w:val="0"/>
          <w:color w:val="auto"/>
          <w:szCs w:val="22"/>
        </w:rPr>
      </w:pPr>
    </w:p>
    <w:p w14:paraId="22C0C65C" w14:textId="77777777" w:rsidR="00CC6B7C" w:rsidRDefault="00CC6B7C" w:rsidP="00CC6B7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Significant energy savings can be achieved by reducing flow rate when it is not necessary to operate at full flow. This is indicated by the Pump Affinity Law, which expresses the relationship between power (P), speed (n), and flow (Q):</w:t>
      </w:r>
    </w:p>
    <w:p w14:paraId="58866F04" w14:textId="77777777" w:rsidR="00CC6B7C" w:rsidRPr="00A650B2" w:rsidRDefault="001B73AF" w:rsidP="00CC6B7C">
      <w:pPr>
        <w:pStyle w:val="Reminders"/>
        <w:tabs>
          <w:tab w:val="num" w:pos="360"/>
        </w:tabs>
        <w:rPr>
          <w:rFonts w:asciiTheme="minorHAnsi" w:hAnsiTheme="minorHAnsi" w:cstheme="minorHAnsi"/>
          <w:i w:val="0"/>
          <w:color w:val="auto"/>
          <w:szCs w:val="22"/>
        </w:rPr>
      </w:pPr>
      <m:oMathPara>
        <m:oMath>
          <m:f>
            <m:fPr>
              <m:ctrlPr>
                <w:rPr>
                  <w:rFonts w:ascii="Cambria Math" w:hAnsi="Cambria Math" w:cstheme="minorHAnsi"/>
                  <w:color w:val="auto"/>
                  <w:szCs w:val="22"/>
                </w:rPr>
              </m:ctrlPr>
            </m:fPr>
            <m:num>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2</m:t>
                  </m:r>
                </m:sub>
              </m:sSub>
            </m:num>
            <m:den>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1</m:t>
                  </m:r>
                </m:sub>
              </m:sSub>
            </m:den>
          </m:f>
          <m:r>
            <w:rPr>
              <w:rFonts w:ascii="Cambria Math" w:hAnsi="Cambria Math" w:cstheme="minorHAnsi"/>
              <w:color w:val="auto"/>
              <w:szCs w:val="22"/>
            </w:rPr>
            <m:t>=</m:t>
          </m:r>
          <m:sSup>
            <m:sSupPr>
              <m:ctrlPr>
                <w:rPr>
                  <w:rFonts w:ascii="Cambria Math" w:hAnsi="Cambria Math" w:cstheme="minorHAnsi"/>
                  <w:color w:val="auto"/>
                  <w:szCs w:val="22"/>
                </w:rPr>
              </m:ctrlPr>
            </m:sSupPr>
            <m:e>
              <m:d>
                <m:dPr>
                  <m:ctrlPr>
                    <w:rPr>
                      <w:rFonts w:ascii="Cambria Math" w:hAnsi="Cambria Math" w:cstheme="minorHAnsi"/>
                      <w:color w:val="auto"/>
                      <w:szCs w:val="22"/>
                    </w:rPr>
                  </m:ctrlPr>
                </m:dPr>
                <m:e>
                  <m:f>
                    <m:fPr>
                      <m:ctrlPr>
                        <w:rPr>
                          <w:rFonts w:ascii="Cambria Math" w:hAnsi="Cambria Math" w:cstheme="minorHAnsi"/>
                          <w:color w:val="auto"/>
                          <w:szCs w:val="22"/>
                        </w:rPr>
                      </m:ctrlPr>
                    </m:fPr>
                    <m:num>
                      <m:sSub>
                        <m:sSubPr>
                          <m:ctrlPr>
                            <w:rPr>
                              <w:rFonts w:ascii="Cambria Math" w:hAnsi="Cambria Math" w:cstheme="minorHAnsi"/>
                              <w:color w:val="auto"/>
                              <w:szCs w:val="22"/>
                            </w:rPr>
                          </m:ctrlPr>
                        </m:sSubPr>
                        <m:e>
                          <m:r>
                            <w:rPr>
                              <w:rFonts w:ascii="Cambria Math" w:hAnsi="Cambria Math" w:cstheme="minorHAnsi"/>
                              <w:color w:val="auto"/>
                              <w:szCs w:val="22"/>
                            </w:rPr>
                            <m:t>n</m:t>
                          </m:r>
                        </m:e>
                        <m:sub>
                          <m:r>
                            <w:rPr>
                              <w:rFonts w:ascii="Cambria Math" w:hAnsi="Cambria Math" w:cstheme="minorHAnsi"/>
                              <w:color w:val="auto"/>
                              <w:szCs w:val="22"/>
                            </w:rPr>
                            <m:t>2</m:t>
                          </m:r>
                        </m:sub>
                      </m:sSub>
                    </m:num>
                    <m:den>
                      <m:sSub>
                        <m:sSubPr>
                          <m:ctrlPr>
                            <w:rPr>
                              <w:rFonts w:ascii="Cambria Math" w:hAnsi="Cambria Math" w:cstheme="minorHAnsi"/>
                              <w:color w:val="auto"/>
                              <w:szCs w:val="22"/>
                            </w:rPr>
                          </m:ctrlPr>
                        </m:sSubPr>
                        <m:e>
                          <m:r>
                            <w:rPr>
                              <w:rFonts w:ascii="Cambria Math" w:hAnsi="Cambria Math" w:cstheme="minorHAnsi"/>
                              <w:color w:val="auto"/>
                              <w:szCs w:val="22"/>
                            </w:rPr>
                            <m:t>n</m:t>
                          </m:r>
                        </m:e>
                        <m:sub>
                          <m:r>
                            <w:rPr>
                              <w:rFonts w:ascii="Cambria Math" w:hAnsi="Cambria Math" w:cstheme="minorHAnsi"/>
                              <w:color w:val="auto"/>
                              <w:szCs w:val="22"/>
                            </w:rPr>
                            <m:t>1</m:t>
                          </m:r>
                        </m:sub>
                      </m:sSub>
                    </m:den>
                  </m:f>
                </m:e>
              </m:d>
            </m:e>
            <m:sup>
              <m:r>
                <w:rPr>
                  <w:rFonts w:ascii="Cambria Math" w:hAnsi="Cambria Math" w:cstheme="minorHAnsi"/>
                  <w:color w:val="auto"/>
                  <w:szCs w:val="22"/>
                </w:rPr>
                <m:t>3</m:t>
              </m:r>
            </m:sup>
          </m:sSup>
          <m:r>
            <w:rPr>
              <w:rFonts w:ascii="Cambria Math" w:hAnsi="Cambria Math" w:cstheme="minorHAnsi"/>
              <w:color w:val="auto"/>
              <w:szCs w:val="22"/>
            </w:rPr>
            <m:t>=</m:t>
          </m:r>
          <m:sSup>
            <m:sSupPr>
              <m:ctrlPr>
                <w:rPr>
                  <w:rFonts w:ascii="Cambria Math" w:hAnsi="Cambria Math" w:cstheme="minorHAnsi"/>
                  <w:color w:val="auto"/>
                  <w:szCs w:val="22"/>
                </w:rPr>
              </m:ctrlPr>
            </m:sSupPr>
            <m:e>
              <m:d>
                <m:dPr>
                  <m:ctrlPr>
                    <w:rPr>
                      <w:rFonts w:ascii="Cambria Math" w:hAnsi="Cambria Math" w:cstheme="minorHAnsi"/>
                      <w:color w:val="auto"/>
                      <w:szCs w:val="22"/>
                    </w:rPr>
                  </m:ctrlPr>
                </m:dPr>
                <m:e>
                  <m:f>
                    <m:fPr>
                      <m:ctrlPr>
                        <w:rPr>
                          <w:rFonts w:ascii="Cambria Math" w:hAnsi="Cambria Math" w:cstheme="minorHAnsi"/>
                          <w:color w:val="auto"/>
                          <w:szCs w:val="22"/>
                        </w:rPr>
                      </m:ctrlPr>
                    </m:fPr>
                    <m:num>
                      <m:sSub>
                        <m:sSubPr>
                          <m:ctrlPr>
                            <w:rPr>
                              <w:rFonts w:ascii="Cambria Math" w:hAnsi="Cambria Math" w:cstheme="minorHAnsi"/>
                              <w:color w:val="auto"/>
                              <w:szCs w:val="22"/>
                            </w:rPr>
                          </m:ctrlPr>
                        </m:sSubPr>
                        <m:e>
                          <m:r>
                            <w:rPr>
                              <w:rFonts w:ascii="Cambria Math" w:hAnsi="Cambria Math" w:cstheme="minorHAnsi"/>
                              <w:color w:val="auto"/>
                              <w:szCs w:val="22"/>
                            </w:rPr>
                            <m:t>Q</m:t>
                          </m:r>
                        </m:e>
                        <m:sub>
                          <m:r>
                            <w:rPr>
                              <w:rFonts w:ascii="Cambria Math" w:hAnsi="Cambria Math" w:cstheme="minorHAnsi"/>
                              <w:color w:val="auto"/>
                              <w:szCs w:val="22"/>
                            </w:rPr>
                            <m:t>2</m:t>
                          </m:r>
                        </m:sub>
                      </m:sSub>
                    </m:num>
                    <m:den>
                      <m:sSub>
                        <m:sSubPr>
                          <m:ctrlPr>
                            <w:rPr>
                              <w:rFonts w:ascii="Cambria Math" w:hAnsi="Cambria Math" w:cstheme="minorHAnsi"/>
                              <w:color w:val="auto"/>
                              <w:szCs w:val="22"/>
                            </w:rPr>
                          </m:ctrlPr>
                        </m:sSubPr>
                        <m:e>
                          <m:r>
                            <w:rPr>
                              <w:rFonts w:ascii="Cambria Math" w:hAnsi="Cambria Math" w:cstheme="minorHAnsi"/>
                              <w:color w:val="auto"/>
                              <w:szCs w:val="22"/>
                            </w:rPr>
                            <m:t>Q</m:t>
                          </m:r>
                        </m:e>
                        <m:sub>
                          <m:r>
                            <w:rPr>
                              <w:rFonts w:ascii="Cambria Math" w:hAnsi="Cambria Math" w:cstheme="minorHAnsi"/>
                              <w:color w:val="auto"/>
                              <w:szCs w:val="22"/>
                            </w:rPr>
                            <m:t>1</m:t>
                          </m:r>
                        </m:sub>
                      </m:sSub>
                    </m:den>
                  </m:f>
                </m:e>
              </m:d>
            </m:e>
            <m:sup>
              <m:r>
                <w:rPr>
                  <w:rFonts w:ascii="Cambria Math" w:hAnsi="Cambria Math" w:cstheme="minorHAnsi"/>
                  <w:color w:val="auto"/>
                  <w:szCs w:val="22"/>
                </w:rPr>
                <m:t>3</m:t>
              </m:r>
            </m:sup>
          </m:sSup>
        </m:oMath>
      </m:oMathPara>
    </w:p>
    <w:p w14:paraId="385DE41D" w14:textId="77777777" w:rsidR="00CC6B7C" w:rsidRDefault="00CC6B7C" w:rsidP="00CC6B7C">
      <w:pPr>
        <w:pStyle w:val="Reminders"/>
        <w:tabs>
          <w:tab w:val="num" w:pos="360"/>
        </w:tabs>
        <w:rPr>
          <w:rFonts w:asciiTheme="minorHAnsi" w:hAnsiTheme="minorHAnsi" w:cstheme="minorHAnsi"/>
          <w:i w:val="0"/>
          <w:color w:val="auto"/>
          <w:szCs w:val="22"/>
        </w:rPr>
      </w:pPr>
    </w:p>
    <w:p w14:paraId="05050973" w14:textId="77777777" w:rsidR="00CC6B7C" w:rsidRDefault="00CC6B7C" w:rsidP="00CC6B7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Running the pump at half speed will theoretically reduce power draw to 1/8 of full power, but actual power draw will likely be higher due to lower motor efficiencies at part load. For this work paper, savings are derived from measured data and not the Affinity Law.</w:t>
      </w:r>
    </w:p>
    <w:p w14:paraId="2D483D3F" w14:textId="77777777" w:rsidR="00CC6B7C" w:rsidRDefault="00CC6B7C" w:rsidP="00CC6B7C">
      <w:pPr>
        <w:pStyle w:val="Reminders"/>
        <w:tabs>
          <w:tab w:val="num" w:pos="360"/>
        </w:tabs>
        <w:rPr>
          <w:rFonts w:asciiTheme="minorHAnsi" w:hAnsiTheme="minorHAnsi" w:cstheme="minorHAnsi"/>
          <w:i w:val="0"/>
          <w:color w:val="auto"/>
          <w:szCs w:val="22"/>
        </w:rPr>
      </w:pPr>
    </w:p>
    <w:p w14:paraId="476263C4" w14:textId="77777777" w:rsidR="00CC6B7C" w:rsidRPr="00956D80" w:rsidRDefault="00CC6B7C" w:rsidP="00CC6B7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lastRenderedPageBreak/>
        <w:t>Benefits of VS pool pumps are not limited to energy savings. They are quieter and need less maintenance than single-speed pumps. Lower flow rates allow the filter to more effectively remove debris, which improves water clarity. Reduced strain on the pump, filters, and plumbing prolong the useful life of the equipment [466]. Bundling VS pumps with other pool energy efficiency measures such as LED lighting should be considered.</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194C9E40" w14:textId="77777777" w:rsidR="00CC6B7C" w:rsidRDefault="00CC6B7C" w:rsidP="00CC6B7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The Delivery Mechanisms and Installation Types are:</w:t>
      </w:r>
    </w:p>
    <w:p w14:paraId="2B5FC422" w14:textId="77777777" w:rsidR="00CC6B7C" w:rsidRPr="00E453A4" w:rsidRDefault="00CC6B7C" w:rsidP="00CC6B7C">
      <w:pPr>
        <w:pStyle w:val="Reminders"/>
        <w:numPr>
          <w:ilvl w:val="0"/>
          <w:numId w:val="40"/>
        </w:numPr>
        <w:rPr>
          <w:rFonts w:asciiTheme="minorHAnsi" w:hAnsiTheme="minorHAnsi" w:cstheme="minorHAnsi"/>
          <w:i w:val="0"/>
          <w:color w:val="auto"/>
          <w:szCs w:val="22"/>
        </w:rPr>
      </w:pPr>
      <w:r w:rsidRPr="00A378F2">
        <w:rPr>
          <w:rFonts w:asciiTheme="minorHAnsi" w:hAnsiTheme="minorHAnsi" w:cstheme="minorHAnsi"/>
          <w:b/>
          <w:i w:val="0"/>
          <w:color w:val="auto"/>
          <w:szCs w:val="22"/>
        </w:rPr>
        <w:t>Financial Support / Direct Install</w:t>
      </w:r>
    </w:p>
    <w:p w14:paraId="13F41FC0" w14:textId="77777777" w:rsidR="00CC6B7C" w:rsidRDefault="00CC6B7C" w:rsidP="00CC6B7C">
      <w:pPr>
        <w:pStyle w:val="Reminders"/>
        <w:ind w:left="720"/>
        <w:rPr>
          <w:rFonts w:asciiTheme="minorHAnsi" w:hAnsiTheme="minorHAnsi" w:cstheme="minorHAnsi"/>
          <w:i w:val="0"/>
          <w:color w:val="auto"/>
          <w:szCs w:val="22"/>
        </w:rPr>
      </w:pPr>
      <w:r>
        <w:rPr>
          <w:rFonts w:asciiTheme="minorHAnsi" w:hAnsiTheme="minorHAnsi" w:cstheme="minorHAnsi"/>
          <w:i w:val="0"/>
          <w:color w:val="auto"/>
          <w:szCs w:val="22"/>
        </w:rPr>
        <w:t xml:space="preserve">The SCE Multifamily Energy-Efficiency Program will use authorized contractors to </w:t>
      </w:r>
      <w:r w:rsidRPr="00474354">
        <w:rPr>
          <w:rFonts w:asciiTheme="minorHAnsi" w:hAnsiTheme="minorHAnsi" w:cstheme="minorHAnsi"/>
          <w:i w:val="0"/>
          <w:color w:val="auto"/>
          <w:szCs w:val="22"/>
        </w:rPr>
        <w:t>install VS pool pumps</w:t>
      </w:r>
      <w:r>
        <w:rPr>
          <w:rFonts w:asciiTheme="minorHAnsi" w:hAnsiTheme="minorHAnsi" w:cstheme="minorHAnsi"/>
          <w:i w:val="0"/>
          <w:color w:val="auto"/>
          <w:szCs w:val="22"/>
        </w:rPr>
        <w:t xml:space="preserve"> at no cost to the customer</w:t>
      </w:r>
      <w:r w:rsidRPr="00474354">
        <w:rPr>
          <w:rFonts w:asciiTheme="minorHAnsi" w:hAnsiTheme="minorHAnsi" w:cstheme="minorHAnsi"/>
          <w:i w:val="0"/>
          <w:color w:val="auto"/>
          <w:szCs w:val="22"/>
        </w:rPr>
        <w:t>.</w:t>
      </w:r>
      <w:r>
        <w:rPr>
          <w:rFonts w:asciiTheme="minorHAnsi" w:hAnsiTheme="minorHAnsi" w:cstheme="minorHAnsi"/>
          <w:i w:val="0"/>
          <w:color w:val="auto"/>
          <w:szCs w:val="22"/>
        </w:rPr>
        <w:t xml:space="preserve"> Authorized contractors are knowledgeable about the energy efficiency benefits and proper programming strategies for VS pool pumps. They must have the appropriate licenses from the California Contractors State License Board, such as C-53 Swimming Pool Contractor or C61-D35 Pool and Spa Maintenance Contractor. The Multifamily program will typically partner with pool pump manufacturers to offer contractors field training on best practices.</w:t>
      </w:r>
    </w:p>
    <w:p w14:paraId="1772C299" w14:textId="77777777" w:rsidR="00CC6B7C" w:rsidRDefault="00CC6B7C" w:rsidP="00CC6B7C">
      <w:pPr>
        <w:pStyle w:val="Reminders"/>
        <w:ind w:left="720"/>
        <w:rPr>
          <w:rFonts w:asciiTheme="minorHAnsi" w:hAnsiTheme="minorHAnsi" w:cstheme="minorHAnsi"/>
          <w:i w:val="0"/>
          <w:color w:val="auto"/>
          <w:szCs w:val="22"/>
        </w:rPr>
      </w:pPr>
    </w:p>
    <w:p w14:paraId="28A023C0" w14:textId="77777777" w:rsidR="00CC6B7C" w:rsidRDefault="00CC6B7C" w:rsidP="00CC6B7C">
      <w:pPr>
        <w:pStyle w:val="Reminders"/>
        <w:ind w:left="720"/>
        <w:rPr>
          <w:rFonts w:asciiTheme="minorHAnsi" w:hAnsiTheme="minorHAnsi" w:cstheme="minorHAnsi"/>
          <w:i w:val="0"/>
          <w:color w:val="auto"/>
          <w:szCs w:val="22"/>
        </w:rPr>
      </w:pPr>
      <w:r>
        <w:rPr>
          <w:rFonts w:asciiTheme="minorHAnsi" w:hAnsiTheme="minorHAnsi" w:cstheme="minorHAnsi"/>
          <w:i w:val="0"/>
          <w:color w:val="auto"/>
          <w:szCs w:val="22"/>
        </w:rPr>
        <w:t>Customers typically only replace pool pumps upon failure, and they often choose the quickest, most familiar, and lowest-cost solution—a single speed pump. The Direct Install program aims to avoid this scenario by promoting early retirement, using a no-cost installation as an incentive. The program also encourages contractors to educate customers on the features of VS pool pumps.</w:t>
      </w:r>
    </w:p>
    <w:p w14:paraId="2288511F" w14:textId="77777777" w:rsidR="00CC6B7C" w:rsidRDefault="00CC6B7C" w:rsidP="00CC6B7C">
      <w:pPr>
        <w:pStyle w:val="Reminders"/>
        <w:ind w:left="720"/>
        <w:rPr>
          <w:rFonts w:asciiTheme="minorHAnsi" w:hAnsiTheme="minorHAnsi" w:cstheme="minorHAnsi"/>
          <w:i w:val="0"/>
          <w:color w:val="auto"/>
          <w:szCs w:val="22"/>
        </w:rPr>
      </w:pPr>
    </w:p>
    <w:p w14:paraId="629CD9F7" w14:textId="77777777" w:rsidR="00CC6B7C" w:rsidRDefault="00CC6B7C" w:rsidP="00CC6B7C">
      <w:pPr>
        <w:pStyle w:val="Reminders"/>
        <w:ind w:left="720"/>
        <w:rPr>
          <w:rFonts w:asciiTheme="minorHAnsi" w:hAnsiTheme="minorHAnsi" w:cstheme="minorHAnsi"/>
          <w:i w:val="0"/>
          <w:color w:val="auto"/>
          <w:szCs w:val="22"/>
        </w:rPr>
      </w:pPr>
      <w:r>
        <w:rPr>
          <w:rFonts w:asciiTheme="minorHAnsi" w:hAnsiTheme="minorHAnsi" w:cstheme="minorHAnsi"/>
          <w:i w:val="0"/>
          <w:color w:val="auto"/>
          <w:szCs w:val="22"/>
        </w:rPr>
        <w:t xml:space="preserve">The default Direct Install approach will use the </w:t>
      </w:r>
      <w:r w:rsidRPr="00541CD6">
        <w:rPr>
          <w:rFonts w:asciiTheme="minorHAnsi" w:hAnsiTheme="minorHAnsi" w:cstheme="minorHAnsi"/>
          <w:b/>
          <w:i w:val="0"/>
          <w:color w:val="auto"/>
          <w:szCs w:val="22"/>
        </w:rPr>
        <w:t>Retrofit (RET)</w:t>
      </w:r>
      <w:r>
        <w:rPr>
          <w:rFonts w:asciiTheme="minorHAnsi" w:hAnsiTheme="minorHAnsi" w:cstheme="minorHAnsi"/>
          <w:i w:val="0"/>
          <w:color w:val="auto"/>
          <w:szCs w:val="22"/>
        </w:rPr>
        <w:t xml:space="preserve"> installation type because the baseline is the customer’s existing single speed pump. To qualify as an RET measure, the existing pump must have more than one year of remaining useful life (RUL), and there must be a preponderance of evidence that the customer would not have installed a VS pump otherwise. To satisfy the RUL requirement, customers can provide:</w:t>
      </w:r>
    </w:p>
    <w:p w14:paraId="3662D26A" w14:textId="77777777" w:rsidR="00CC6B7C" w:rsidRDefault="00CC6B7C" w:rsidP="00CC6B7C">
      <w:pPr>
        <w:pStyle w:val="Reminders"/>
        <w:numPr>
          <w:ilvl w:val="0"/>
          <w:numId w:val="42"/>
        </w:numPr>
        <w:rPr>
          <w:rFonts w:asciiTheme="minorHAnsi" w:hAnsiTheme="minorHAnsi" w:cstheme="minorHAnsi"/>
          <w:i w:val="0"/>
          <w:color w:val="auto"/>
          <w:szCs w:val="22"/>
        </w:rPr>
      </w:pPr>
      <w:r>
        <w:rPr>
          <w:rFonts w:asciiTheme="minorHAnsi" w:hAnsiTheme="minorHAnsi" w:cstheme="minorHAnsi"/>
          <w:i w:val="0"/>
          <w:color w:val="auto"/>
          <w:szCs w:val="22"/>
        </w:rPr>
        <w:t>Documentation of the pump’s age (install dates, invoices, or other records)</w:t>
      </w:r>
    </w:p>
    <w:p w14:paraId="082F05C0" w14:textId="77777777" w:rsidR="00CC6B7C" w:rsidRDefault="00CC6B7C" w:rsidP="00CC6B7C">
      <w:pPr>
        <w:pStyle w:val="Reminders"/>
        <w:numPr>
          <w:ilvl w:val="0"/>
          <w:numId w:val="42"/>
        </w:numPr>
        <w:rPr>
          <w:rFonts w:asciiTheme="minorHAnsi" w:hAnsiTheme="minorHAnsi" w:cstheme="minorHAnsi"/>
          <w:i w:val="0"/>
          <w:color w:val="auto"/>
          <w:szCs w:val="22"/>
        </w:rPr>
      </w:pPr>
      <w:r>
        <w:rPr>
          <w:rFonts w:asciiTheme="minorHAnsi" w:hAnsiTheme="minorHAnsi" w:cstheme="minorHAnsi"/>
          <w:i w:val="0"/>
          <w:color w:val="auto"/>
          <w:szCs w:val="22"/>
        </w:rPr>
        <w:t>Photos of the existing equipment</w:t>
      </w:r>
    </w:p>
    <w:p w14:paraId="0EFC570B" w14:textId="77777777" w:rsidR="00CC6B7C" w:rsidRDefault="00CC6B7C" w:rsidP="00CC6B7C">
      <w:pPr>
        <w:pStyle w:val="Reminders"/>
        <w:numPr>
          <w:ilvl w:val="0"/>
          <w:numId w:val="42"/>
        </w:numPr>
        <w:rPr>
          <w:rFonts w:asciiTheme="minorHAnsi" w:hAnsiTheme="minorHAnsi" w:cstheme="minorHAnsi"/>
          <w:i w:val="0"/>
          <w:color w:val="auto"/>
          <w:szCs w:val="22"/>
        </w:rPr>
      </w:pPr>
      <w:r>
        <w:rPr>
          <w:rFonts w:asciiTheme="minorHAnsi" w:hAnsiTheme="minorHAnsi" w:cstheme="minorHAnsi"/>
          <w:i w:val="0"/>
          <w:color w:val="auto"/>
          <w:szCs w:val="22"/>
        </w:rPr>
        <w:t xml:space="preserve">Documentation or measurements indicating the functionality of the existing equipment. </w:t>
      </w:r>
    </w:p>
    <w:p w14:paraId="01A3EEA2" w14:textId="77777777" w:rsidR="00CC6B7C" w:rsidRDefault="00CC6B7C" w:rsidP="00CC6B7C">
      <w:pPr>
        <w:pStyle w:val="Reminders"/>
        <w:ind w:firstLine="720"/>
        <w:rPr>
          <w:rFonts w:asciiTheme="minorHAnsi" w:hAnsiTheme="minorHAnsi" w:cstheme="minorHAnsi"/>
          <w:i w:val="0"/>
          <w:color w:val="auto"/>
          <w:szCs w:val="22"/>
        </w:rPr>
      </w:pPr>
      <w:r>
        <w:rPr>
          <w:rFonts w:asciiTheme="minorHAnsi" w:hAnsiTheme="minorHAnsi" w:cstheme="minorHAnsi"/>
          <w:i w:val="0"/>
          <w:color w:val="auto"/>
          <w:szCs w:val="22"/>
        </w:rPr>
        <w:t>For the preponderance of evidence requirement, a mixture of the following can be provided:</w:t>
      </w:r>
    </w:p>
    <w:p w14:paraId="090661B8" w14:textId="77777777" w:rsidR="00CC6B7C" w:rsidRPr="00854719" w:rsidRDefault="00CC6B7C" w:rsidP="00CC6B7C">
      <w:pPr>
        <w:pStyle w:val="ListParagraph"/>
        <w:numPr>
          <w:ilvl w:val="0"/>
          <w:numId w:val="41"/>
        </w:numPr>
        <w:autoSpaceDE w:val="0"/>
        <w:autoSpaceDN w:val="0"/>
        <w:contextualSpacing w:val="0"/>
        <w:rPr>
          <w:szCs w:val="20"/>
        </w:rPr>
      </w:pPr>
      <w:r>
        <w:rPr>
          <w:szCs w:val="20"/>
        </w:rPr>
        <w:t>D</w:t>
      </w:r>
      <w:r w:rsidRPr="00854719">
        <w:rPr>
          <w:szCs w:val="20"/>
        </w:rPr>
        <w:t xml:space="preserve">ialogue from meetings showing how </w:t>
      </w:r>
      <w:r>
        <w:rPr>
          <w:szCs w:val="20"/>
        </w:rPr>
        <w:t>SCE</w:t>
      </w:r>
      <w:r w:rsidRPr="00854719">
        <w:rPr>
          <w:szCs w:val="20"/>
        </w:rPr>
        <w:t xml:space="preserve"> accelerated the early retirement of the existing measure</w:t>
      </w:r>
      <w:r>
        <w:rPr>
          <w:szCs w:val="20"/>
        </w:rPr>
        <w:t xml:space="preserve"> and </w:t>
      </w:r>
      <w:r w:rsidRPr="00854719">
        <w:rPr>
          <w:szCs w:val="20"/>
        </w:rPr>
        <w:t xml:space="preserve">how </w:t>
      </w:r>
      <w:r>
        <w:rPr>
          <w:szCs w:val="20"/>
        </w:rPr>
        <w:t>SCE made customer</w:t>
      </w:r>
      <w:r w:rsidRPr="00854719">
        <w:rPr>
          <w:szCs w:val="20"/>
        </w:rPr>
        <w:t xml:space="preserve"> aware of program features.</w:t>
      </w:r>
    </w:p>
    <w:p w14:paraId="54DF9168" w14:textId="77777777" w:rsidR="00CC6B7C" w:rsidRPr="00854719" w:rsidRDefault="00CC6B7C" w:rsidP="00CC6B7C">
      <w:pPr>
        <w:pStyle w:val="ListParagraph"/>
        <w:numPr>
          <w:ilvl w:val="0"/>
          <w:numId w:val="41"/>
        </w:numPr>
        <w:autoSpaceDE w:val="0"/>
        <w:autoSpaceDN w:val="0"/>
        <w:contextualSpacing w:val="0"/>
        <w:rPr>
          <w:szCs w:val="20"/>
        </w:rPr>
      </w:pPr>
      <w:r>
        <w:rPr>
          <w:szCs w:val="20"/>
        </w:rPr>
        <w:t>D</w:t>
      </w:r>
      <w:r w:rsidRPr="00854719">
        <w:rPr>
          <w:szCs w:val="20"/>
        </w:rPr>
        <w:t>ocumentation of any additional drivers for the project not related to energy efficiency.</w:t>
      </w:r>
    </w:p>
    <w:p w14:paraId="1FDA25A7" w14:textId="77777777" w:rsidR="00CC6B7C" w:rsidRPr="00854719" w:rsidRDefault="00CC6B7C" w:rsidP="00CC6B7C">
      <w:pPr>
        <w:pStyle w:val="ListParagraph"/>
        <w:numPr>
          <w:ilvl w:val="0"/>
          <w:numId w:val="41"/>
        </w:numPr>
        <w:autoSpaceDE w:val="0"/>
        <w:autoSpaceDN w:val="0"/>
        <w:contextualSpacing w:val="0"/>
        <w:rPr>
          <w:szCs w:val="20"/>
        </w:rPr>
      </w:pPr>
      <w:r>
        <w:rPr>
          <w:szCs w:val="20"/>
        </w:rPr>
        <w:t>I</w:t>
      </w:r>
      <w:r w:rsidRPr="00854719">
        <w:rPr>
          <w:szCs w:val="20"/>
        </w:rPr>
        <w:t>nformation on</w:t>
      </w:r>
      <w:r>
        <w:rPr>
          <w:szCs w:val="20"/>
        </w:rPr>
        <w:t xml:space="preserve"> the</w:t>
      </w:r>
      <w:r w:rsidRPr="00854719">
        <w:rPr>
          <w:szCs w:val="20"/>
        </w:rPr>
        <w:t xml:space="preserve"> customer’s normal replacement, remodeling and equipment replacement practices</w:t>
      </w:r>
      <w:r>
        <w:rPr>
          <w:szCs w:val="20"/>
        </w:rPr>
        <w:t>.</w:t>
      </w:r>
    </w:p>
    <w:p w14:paraId="0EE331D1" w14:textId="77777777" w:rsidR="00CC6B7C" w:rsidRPr="00854719" w:rsidRDefault="00CC6B7C" w:rsidP="00CC6B7C">
      <w:pPr>
        <w:pStyle w:val="ListParagraph"/>
        <w:numPr>
          <w:ilvl w:val="0"/>
          <w:numId w:val="41"/>
        </w:numPr>
        <w:autoSpaceDE w:val="0"/>
        <w:autoSpaceDN w:val="0"/>
        <w:contextualSpacing w:val="0"/>
        <w:rPr>
          <w:szCs w:val="20"/>
        </w:rPr>
      </w:pPr>
      <w:r w:rsidRPr="00854719">
        <w:rPr>
          <w:szCs w:val="20"/>
        </w:rPr>
        <w:t>Document</w:t>
      </w:r>
      <w:r>
        <w:rPr>
          <w:szCs w:val="20"/>
        </w:rPr>
        <w:t>ation of</w:t>
      </w:r>
      <w:r w:rsidRPr="00854719">
        <w:rPr>
          <w:szCs w:val="20"/>
        </w:rPr>
        <w:t xml:space="preserve"> the known standard efficiency equipment alternatives available in the market or those considered by the customer</w:t>
      </w:r>
      <w:r>
        <w:rPr>
          <w:szCs w:val="20"/>
        </w:rPr>
        <w:t>.</w:t>
      </w:r>
    </w:p>
    <w:p w14:paraId="3CFAD09B" w14:textId="77777777" w:rsidR="00CC6B7C" w:rsidRDefault="00CC6B7C" w:rsidP="00CC6B7C">
      <w:pPr>
        <w:pStyle w:val="ListParagraph"/>
        <w:numPr>
          <w:ilvl w:val="0"/>
          <w:numId w:val="41"/>
        </w:numPr>
        <w:autoSpaceDE w:val="0"/>
        <w:autoSpaceDN w:val="0"/>
        <w:contextualSpacing w:val="0"/>
        <w:rPr>
          <w:szCs w:val="20"/>
        </w:rPr>
      </w:pPr>
      <w:r>
        <w:rPr>
          <w:szCs w:val="20"/>
        </w:rPr>
        <w:t>C</w:t>
      </w:r>
      <w:r w:rsidRPr="00854719">
        <w:rPr>
          <w:szCs w:val="20"/>
        </w:rPr>
        <w:t>ustomer statements regarding the viability of and continued intent to use the existing equipment through the proposed RUL period.</w:t>
      </w:r>
    </w:p>
    <w:p w14:paraId="7D218E31" w14:textId="77777777" w:rsidR="00CC6B7C" w:rsidRPr="00854719" w:rsidRDefault="00CC6B7C" w:rsidP="00CC6B7C">
      <w:pPr>
        <w:pStyle w:val="ListParagraph"/>
        <w:autoSpaceDE w:val="0"/>
        <w:autoSpaceDN w:val="0"/>
        <w:ind w:left="1080"/>
        <w:contextualSpacing w:val="0"/>
        <w:rPr>
          <w:szCs w:val="20"/>
        </w:rPr>
      </w:pPr>
    </w:p>
    <w:p w14:paraId="0B58DD5F" w14:textId="77777777" w:rsidR="00CC6B7C" w:rsidRPr="00F4776C" w:rsidRDefault="00CC6B7C" w:rsidP="00CC6B7C">
      <w:pPr>
        <w:pStyle w:val="Reminders"/>
        <w:ind w:left="720"/>
        <w:rPr>
          <w:rFonts w:asciiTheme="minorHAnsi" w:hAnsiTheme="minorHAnsi" w:cstheme="minorHAnsi"/>
          <w:i w:val="0"/>
          <w:color w:val="auto"/>
          <w:szCs w:val="22"/>
        </w:rPr>
      </w:pPr>
      <w:r>
        <w:rPr>
          <w:rFonts w:asciiTheme="minorHAnsi" w:hAnsiTheme="minorHAnsi" w:cstheme="minorHAnsi"/>
          <w:i w:val="0"/>
          <w:color w:val="auto"/>
          <w:szCs w:val="22"/>
        </w:rPr>
        <w:t xml:space="preserve">If the contractor discovers that the existing pump is past its useful life or no longer functional, then the install type will be </w:t>
      </w:r>
      <w:r w:rsidRPr="00541CD6">
        <w:rPr>
          <w:rFonts w:asciiTheme="minorHAnsi" w:hAnsiTheme="minorHAnsi" w:cstheme="minorHAnsi"/>
          <w:b/>
          <w:i w:val="0"/>
          <w:color w:val="auto"/>
          <w:szCs w:val="22"/>
        </w:rPr>
        <w:t>Replace-on-Burnout (ROB)</w:t>
      </w:r>
      <w:r>
        <w:rPr>
          <w:rFonts w:asciiTheme="minorHAnsi" w:hAnsiTheme="minorHAnsi" w:cstheme="minorHAnsi"/>
          <w:i w:val="0"/>
          <w:color w:val="auto"/>
          <w:szCs w:val="22"/>
        </w:rPr>
        <w:t xml:space="preserve">, which uses a two speed pump as the </w:t>
      </w:r>
      <w:r>
        <w:rPr>
          <w:rFonts w:asciiTheme="minorHAnsi" w:hAnsiTheme="minorHAnsi" w:cstheme="minorHAnsi"/>
          <w:i w:val="0"/>
          <w:color w:val="auto"/>
          <w:szCs w:val="22"/>
        </w:rPr>
        <w:lastRenderedPageBreak/>
        <w:t>baseline (as required by code). This does not mean that a two-speed pump is installed first; it only means that the allowable energy savings will be the difference between a two-speed pump and a variable speed pump.</w:t>
      </w:r>
    </w:p>
    <w:p w14:paraId="6B314AD1" w14:textId="77777777" w:rsidR="00CC6B7C" w:rsidRDefault="00CC6B7C" w:rsidP="00CC6B7C">
      <w:pPr>
        <w:pStyle w:val="Reminders"/>
        <w:ind w:left="720"/>
        <w:rPr>
          <w:rFonts w:asciiTheme="minorHAnsi" w:hAnsiTheme="minorHAnsi" w:cstheme="minorHAnsi"/>
          <w:i w:val="0"/>
          <w:color w:val="auto"/>
          <w:szCs w:val="22"/>
        </w:rPr>
      </w:pPr>
    </w:p>
    <w:p w14:paraId="5D1034CD" w14:textId="77777777" w:rsidR="00CC6B7C" w:rsidRPr="00541CD6" w:rsidRDefault="00CC6B7C" w:rsidP="00CC6B7C">
      <w:pPr>
        <w:pStyle w:val="Reminders"/>
        <w:numPr>
          <w:ilvl w:val="0"/>
          <w:numId w:val="40"/>
        </w:numPr>
        <w:rPr>
          <w:rFonts w:asciiTheme="minorHAnsi" w:hAnsiTheme="minorHAnsi" w:cstheme="minorHAnsi"/>
          <w:b/>
          <w:i w:val="0"/>
          <w:color w:val="auto"/>
          <w:szCs w:val="22"/>
        </w:rPr>
      </w:pPr>
      <w:r w:rsidRPr="008932EE">
        <w:rPr>
          <w:rFonts w:asciiTheme="minorHAnsi" w:hAnsiTheme="minorHAnsi" w:cstheme="minorHAnsi"/>
          <w:b/>
          <w:i w:val="0"/>
          <w:color w:val="auto"/>
          <w:szCs w:val="22"/>
        </w:rPr>
        <w:t>Financial Support / Down-Stream Incentive – Deemed</w:t>
      </w:r>
    </w:p>
    <w:p w14:paraId="51C6867F" w14:textId="77777777" w:rsidR="00CC6B7C" w:rsidRDefault="00CC6B7C" w:rsidP="00CC6B7C">
      <w:pPr>
        <w:pStyle w:val="Reminders"/>
        <w:ind w:left="720"/>
        <w:rPr>
          <w:rFonts w:asciiTheme="minorHAnsi" w:hAnsiTheme="minorHAnsi" w:cstheme="minorHAnsi"/>
          <w:i w:val="0"/>
          <w:color w:val="auto"/>
          <w:szCs w:val="22"/>
        </w:rPr>
      </w:pPr>
      <w:r>
        <w:rPr>
          <w:rFonts w:asciiTheme="minorHAnsi" w:hAnsiTheme="minorHAnsi" w:cstheme="minorHAnsi"/>
          <w:i w:val="0"/>
          <w:color w:val="auto"/>
          <w:szCs w:val="22"/>
        </w:rPr>
        <w:t>The Down-stream measure will be offered through the Multifamily Energy Efficiency Rebate Program (MFEER), where participating customers will receive rebates for purchasing and installing qualifying VS pool pumps. Training on VS pool pumps will be offered to contractors using channels such as pool &amp; spa shows, partnerships with equipment manufacturers, and relationships with contractors and businesses. Contractors will play a large role in marketing and communicating with customers.</w:t>
      </w:r>
    </w:p>
    <w:p w14:paraId="482290CD" w14:textId="77777777" w:rsidR="00CC6B7C" w:rsidRDefault="00CC6B7C" w:rsidP="00CC6B7C">
      <w:pPr>
        <w:pStyle w:val="Reminders"/>
        <w:ind w:left="720"/>
        <w:rPr>
          <w:rFonts w:asciiTheme="minorHAnsi" w:hAnsiTheme="minorHAnsi" w:cstheme="minorHAnsi"/>
          <w:i w:val="0"/>
          <w:color w:val="auto"/>
          <w:szCs w:val="22"/>
        </w:rPr>
      </w:pPr>
    </w:p>
    <w:p w14:paraId="7119DA11" w14:textId="77777777" w:rsidR="00CC6B7C" w:rsidRPr="00F4776C" w:rsidRDefault="00CC6B7C" w:rsidP="00CC6B7C">
      <w:pPr>
        <w:pStyle w:val="Reminders"/>
        <w:ind w:left="720"/>
        <w:rPr>
          <w:rFonts w:asciiTheme="minorHAnsi" w:hAnsiTheme="minorHAnsi" w:cstheme="minorHAnsi"/>
          <w:i w:val="0"/>
          <w:color w:val="auto"/>
          <w:szCs w:val="22"/>
        </w:rPr>
      </w:pPr>
      <w:r>
        <w:rPr>
          <w:rFonts w:asciiTheme="minorHAnsi" w:hAnsiTheme="minorHAnsi" w:cstheme="minorHAnsi"/>
          <w:i w:val="0"/>
          <w:color w:val="auto"/>
          <w:szCs w:val="22"/>
        </w:rPr>
        <w:t xml:space="preserve">The Down-stream approach will use the </w:t>
      </w:r>
      <w:r w:rsidRPr="00541CD6">
        <w:rPr>
          <w:rFonts w:asciiTheme="minorHAnsi" w:hAnsiTheme="minorHAnsi" w:cstheme="minorHAnsi"/>
          <w:b/>
          <w:i w:val="0"/>
          <w:color w:val="auto"/>
          <w:szCs w:val="22"/>
        </w:rPr>
        <w:t>Replace-on-Burnout (ROB)</w:t>
      </w:r>
      <w:r>
        <w:rPr>
          <w:rFonts w:asciiTheme="minorHAnsi" w:hAnsiTheme="minorHAnsi" w:cstheme="minorHAnsi"/>
          <w:i w:val="0"/>
          <w:color w:val="auto"/>
          <w:szCs w:val="22"/>
        </w:rPr>
        <w:t xml:space="preserve"> installation type, which uses a two speed pump as the baseline.</w:t>
      </w:r>
    </w:p>
    <w:p w14:paraId="07CFB6F7" w14:textId="77777777" w:rsidR="00CC6B7C" w:rsidRPr="00541CD6" w:rsidRDefault="00CC6B7C" w:rsidP="00CC6B7C">
      <w:pPr>
        <w:pStyle w:val="Reminders"/>
        <w:rPr>
          <w:rFonts w:asciiTheme="minorHAnsi" w:hAnsiTheme="minorHAnsi" w:cstheme="minorHAnsi"/>
          <w:i w:val="0"/>
          <w:color w:val="auto"/>
          <w:szCs w:val="22"/>
        </w:rPr>
      </w:pPr>
    </w:p>
    <w:p w14:paraId="46AACDB7" w14:textId="77777777" w:rsidR="00CC6B7C" w:rsidRDefault="00CC6B7C" w:rsidP="00CC6B7C">
      <w:pPr>
        <w:pStyle w:val="Reminders"/>
        <w:rPr>
          <w:rFonts w:asciiTheme="minorHAnsi" w:hAnsiTheme="minorHAnsi" w:cstheme="minorHAnsi"/>
          <w:i w:val="0"/>
          <w:color w:val="auto"/>
          <w:szCs w:val="22"/>
        </w:rPr>
      </w:pPr>
      <w:r w:rsidRPr="004778A7">
        <w:rPr>
          <w:rFonts w:asciiTheme="minorHAnsi" w:hAnsiTheme="minorHAnsi" w:cstheme="minorHAnsi"/>
          <w:b/>
          <w:i w:val="0"/>
          <w:color w:val="auto"/>
          <w:szCs w:val="22"/>
        </w:rPr>
        <w:t>Persistence:</w:t>
      </w:r>
      <w:r>
        <w:rPr>
          <w:rFonts w:asciiTheme="minorHAnsi" w:hAnsiTheme="minorHAnsi" w:cstheme="minorHAnsi"/>
          <w:i w:val="0"/>
          <w:color w:val="auto"/>
          <w:szCs w:val="22"/>
        </w:rPr>
        <w:t xml:space="preserve"> As mentioned in</w:t>
      </w:r>
      <w:r w:rsidRPr="009E16E8">
        <w:rPr>
          <w:rFonts w:asciiTheme="minorHAnsi" w:hAnsiTheme="minorHAnsi" w:cstheme="minorHAnsi"/>
          <w:i w:val="0"/>
          <w:color w:val="auto"/>
          <w:szCs w:val="22"/>
        </w:rPr>
        <w:t xml:space="preserve"> the Program &amp; Technology Review of the Home Energy Efficiency Rebate and Business &amp; Consumer Electronics </w:t>
      </w:r>
      <w:r w:rsidRPr="00583192">
        <w:rPr>
          <w:rFonts w:asciiTheme="minorHAnsi" w:hAnsiTheme="minorHAnsi" w:cstheme="minorHAnsi"/>
          <w:i w:val="0"/>
          <w:color w:val="auto"/>
          <w:szCs w:val="22"/>
        </w:rPr>
        <w:t>programs [479], customers</w:t>
      </w:r>
      <w:r w:rsidRPr="009E16E8">
        <w:rPr>
          <w:rFonts w:asciiTheme="minorHAnsi" w:hAnsiTheme="minorHAnsi" w:cstheme="minorHAnsi"/>
          <w:i w:val="0"/>
          <w:color w:val="auto"/>
          <w:szCs w:val="22"/>
        </w:rPr>
        <w:t xml:space="preserve"> may not understand the concept and rationale for programming VS pool pumps. </w:t>
      </w:r>
      <w:r>
        <w:rPr>
          <w:rFonts w:asciiTheme="minorHAnsi" w:hAnsiTheme="minorHAnsi" w:cstheme="minorHAnsi"/>
          <w:i w:val="0"/>
          <w:color w:val="auto"/>
          <w:szCs w:val="22"/>
        </w:rPr>
        <w:t>Therefore</w:t>
      </w:r>
      <w:r w:rsidRPr="009E16E8">
        <w:rPr>
          <w:rFonts w:asciiTheme="minorHAnsi" w:hAnsiTheme="minorHAnsi" w:cstheme="minorHAnsi"/>
          <w:i w:val="0"/>
          <w:color w:val="auto"/>
          <w:szCs w:val="22"/>
        </w:rPr>
        <w:t>,</w:t>
      </w:r>
      <w:r>
        <w:rPr>
          <w:rFonts w:asciiTheme="minorHAnsi" w:hAnsiTheme="minorHAnsi" w:cstheme="minorHAnsi"/>
          <w:i w:val="0"/>
          <w:color w:val="auto"/>
          <w:szCs w:val="22"/>
        </w:rPr>
        <w:t xml:space="preserve"> after the contractor has performed initial setup, </w:t>
      </w:r>
      <w:r w:rsidRPr="009E16E8">
        <w:rPr>
          <w:rFonts w:asciiTheme="minorHAnsi" w:hAnsiTheme="minorHAnsi" w:cstheme="minorHAnsi"/>
          <w:i w:val="0"/>
          <w:color w:val="auto"/>
          <w:szCs w:val="22"/>
        </w:rPr>
        <w:t xml:space="preserve">customers may try to adjust </w:t>
      </w:r>
      <w:r>
        <w:rPr>
          <w:rFonts w:asciiTheme="minorHAnsi" w:hAnsiTheme="minorHAnsi" w:cstheme="minorHAnsi"/>
          <w:i w:val="0"/>
          <w:color w:val="auto"/>
          <w:szCs w:val="22"/>
        </w:rPr>
        <w:t>the</w:t>
      </w:r>
      <w:r w:rsidRPr="009E16E8">
        <w:rPr>
          <w:rFonts w:asciiTheme="minorHAnsi" w:hAnsiTheme="minorHAnsi" w:cstheme="minorHAnsi"/>
          <w:i w:val="0"/>
          <w:color w:val="auto"/>
          <w:szCs w:val="22"/>
        </w:rPr>
        <w:t xml:space="preserve"> settings themselves. This </w:t>
      </w:r>
      <w:r>
        <w:rPr>
          <w:rFonts w:asciiTheme="minorHAnsi" w:hAnsiTheme="minorHAnsi" w:cstheme="minorHAnsi"/>
          <w:i w:val="0"/>
          <w:color w:val="auto"/>
          <w:szCs w:val="22"/>
        </w:rPr>
        <w:t>is a behavioral issue that may prevent a VS pool pump installation from achieving its potential savings.</w:t>
      </w:r>
    </w:p>
    <w:p w14:paraId="21A2B0DC" w14:textId="77777777" w:rsidR="00CC6B7C" w:rsidRDefault="00CC6B7C" w:rsidP="00CC6B7C">
      <w:pPr>
        <w:pStyle w:val="Reminders"/>
        <w:rPr>
          <w:rFonts w:asciiTheme="minorHAnsi" w:hAnsiTheme="minorHAnsi" w:cstheme="minorHAnsi"/>
          <w:i w:val="0"/>
          <w:color w:val="auto"/>
          <w:szCs w:val="22"/>
        </w:rPr>
      </w:pPr>
    </w:p>
    <w:p w14:paraId="7967B76B" w14:textId="77777777" w:rsidR="00CC6B7C" w:rsidRDefault="00CC6B7C" w:rsidP="00CC6B7C">
      <w:pPr>
        <w:pStyle w:val="Reminders"/>
        <w:rPr>
          <w:rFonts w:asciiTheme="minorHAnsi" w:hAnsiTheme="minorHAnsi" w:cstheme="minorHAnsi"/>
          <w:i w:val="0"/>
          <w:color w:val="auto"/>
          <w:szCs w:val="22"/>
        </w:rPr>
      </w:pPr>
      <w:r>
        <w:rPr>
          <w:rFonts w:asciiTheme="minorHAnsi" w:hAnsiTheme="minorHAnsi" w:cstheme="minorHAnsi"/>
          <w:i w:val="0"/>
          <w:color w:val="auto"/>
          <w:szCs w:val="22"/>
        </w:rPr>
        <w:t>To evaluate the persistence issue for multifamily spas and wading pools, this work paper incorporates power usage data that was taken immediately after installation, as well as during a revisit performed 10 months later. The revisit was for 29% of the sites in the data set, and it showed that the savings changed very slightly (less than 1%). Further explanation is in Section 2.</w:t>
      </w:r>
    </w:p>
    <w:p w14:paraId="1AF4795C" w14:textId="77777777" w:rsidR="00CC6B7C" w:rsidRDefault="00CC6B7C"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lastRenderedPageBreak/>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0"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0"/>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03F15C3" w14:textId="4D1C4701" w:rsidR="002469DD" w:rsidRPr="00CC6B7C" w:rsidRDefault="00CC6B7C" w:rsidP="00920905">
      <w:pPr>
        <w:pStyle w:val="Reminder"/>
        <w:rPr>
          <w:rFonts w:asciiTheme="minorHAnsi" w:hAnsiTheme="minorHAnsi" w:cstheme="minorHAnsi"/>
          <w:i w:val="0"/>
          <w:color w:val="auto"/>
          <w:szCs w:val="22"/>
        </w:rPr>
      </w:pPr>
      <w:r w:rsidRPr="00CC6B7C">
        <w:rPr>
          <w:rFonts w:asciiTheme="minorHAnsi" w:hAnsiTheme="minorHAnsi" w:cstheme="minorHAnsi"/>
          <w:i w:val="0"/>
          <w:color w:val="auto"/>
          <w:szCs w:val="22"/>
        </w:rPr>
        <w:t>DEER 2015 does not include a spa and wading pool pump measure.</w:t>
      </w:r>
    </w:p>
    <w:p w14:paraId="127C5859" w14:textId="44305229" w:rsidR="00E326BA" w:rsidRPr="00920905" w:rsidRDefault="00E326BA" w:rsidP="00920905">
      <w:pPr>
        <w:pStyle w:val="Caption"/>
        <w:keepNext/>
        <w:jc w:val="center"/>
        <w:rPr>
          <w:rFonts w:cs="Arial"/>
          <w:szCs w:val="22"/>
        </w:rPr>
      </w:pPr>
      <w:bookmarkStart w:id="11" w:name="_Toc385592671"/>
      <w:bookmarkStart w:id="12" w:name="_Toc214003087"/>
      <w:r w:rsidRPr="00920905">
        <w:rPr>
          <w:rFonts w:cs="Arial"/>
          <w:szCs w:val="22"/>
        </w:rPr>
        <w:t>DEER Difference Summary</w:t>
      </w:r>
      <w:bookmarkEnd w:id="11"/>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CC6B7C" w:rsidRPr="00500C4E" w14:paraId="13CB6596" w14:textId="77777777" w:rsidTr="00920905">
        <w:trPr>
          <w:trHeight w:val="20"/>
        </w:trPr>
        <w:tc>
          <w:tcPr>
            <w:tcW w:w="1548" w:type="pct"/>
          </w:tcPr>
          <w:p w14:paraId="6670E11A" w14:textId="77777777" w:rsidR="00CC6B7C" w:rsidRPr="00920905" w:rsidRDefault="00CC6B7C" w:rsidP="00CC6B7C">
            <w:pPr>
              <w:rPr>
                <w:rFonts w:cs="Arial"/>
                <w:szCs w:val="20"/>
              </w:rPr>
            </w:pPr>
            <w:r w:rsidRPr="00920905">
              <w:rPr>
                <w:rFonts w:cs="Arial"/>
                <w:szCs w:val="20"/>
              </w:rPr>
              <w:t>Modified DEER methodology</w:t>
            </w:r>
          </w:p>
        </w:tc>
        <w:tc>
          <w:tcPr>
            <w:tcW w:w="3452" w:type="pct"/>
          </w:tcPr>
          <w:p w14:paraId="137893D1" w14:textId="615C4EF2" w:rsidR="00CC6B7C" w:rsidRPr="00CC6B7C" w:rsidRDefault="00CC6B7C" w:rsidP="00CC6B7C">
            <w:pPr>
              <w:rPr>
                <w:rFonts w:cs="Arial"/>
                <w:b/>
                <w:szCs w:val="20"/>
              </w:rPr>
            </w:pPr>
            <w:r w:rsidRPr="00CC6B7C">
              <w:rPr>
                <w:rFonts w:cs="Arial"/>
                <w:szCs w:val="20"/>
              </w:rPr>
              <w:t>No</w:t>
            </w:r>
          </w:p>
        </w:tc>
      </w:tr>
      <w:tr w:rsidR="00CC6B7C" w:rsidRPr="00500C4E" w14:paraId="269B4F50" w14:textId="77777777" w:rsidTr="00920905">
        <w:trPr>
          <w:trHeight w:val="20"/>
        </w:trPr>
        <w:tc>
          <w:tcPr>
            <w:tcW w:w="1548" w:type="pct"/>
          </w:tcPr>
          <w:p w14:paraId="7D04E8DB" w14:textId="77777777" w:rsidR="00CC6B7C" w:rsidRPr="00920905" w:rsidRDefault="00CC6B7C" w:rsidP="00CC6B7C">
            <w:pPr>
              <w:rPr>
                <w:rFonts w:cs="Arial"/>
                <w:szCs w:val="20"/>
              </w:rPr>
            </w:pPr>
            <w:r w:rsidRPr="00920905">
              <w:rPr>
                <w:rFonts w:cs="Arial"/>
                <w:szCs w:val="20"/>
              </w:rPr>
              <w:t>Scaled DEER measure</w:t>
            </w:r>
          </w:p>
        </w:tc>
        <w:tc>
          <w:tcPr>
            <w:tcW w:w="3452" w:type="pct"/>
          </w:tcPr>
          <w:p w14:paraId="406610B2" w14:textId="14498C25" w:rsidR="00CC6B7C" w:rsidRPr="00CC6B7C" w:rsidRDefault="00CC6B7C" w:rsidP="00CC6B7C">
            <w:pPr>
              <w:rPr>
                <w:rFonts w:cs="Arial"/>
                <w:szCs w:val="20"/>
              </w:rPr>
            </w:pPr>
            <w:r w:rsidRPr="00CC6B7C">
              <w:rPr>
                <w:rFonts w:cs="Arial"/>
                <w:szCs w:val="20"/>
              </w:rPr>
              <w:t>No</w:t>
            </w:r>
          </w:p>
        </w:tc>
      </w:tr>
      <w:tr w:rsidR="00CC6B7C" w:rsidRPr="00500C4E" w14:paraId="0E7FA0A8" w14:textId="77777777" w:rsidTr="00920905">
        <w:trPr>
          <w:trHeight w:val="20"/>
        </w:trPr>
        <w:tc>
          <w:tcPr>
            <w:tcW w:w="1548" w:type="pct"/>
          </w:tcPr>
          <w:p w14:paraId="2F3E70F4" w14:textId="2ACC010D" w:rsidR="00CC6B7C" w:rsidRPr="00920905" w:rsidRDefault="00CC6B7C" w:rsidP="00CC6B7C">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53C37F2E" w:rsidR="00CC6B7C" w:rsidRPr="00CC6B7C" w:rsidRDefault="00CC6B7C" w:rsidP="00CC6B7C">
            <w:pPr>
              <w:rPr>
                <w:rFonts w:cs="Arial"/>
                <w:szCs w:val="20"/>
              </w:rPr>
            </w:pPr>
            <w:r w:rsidRPr="00CC6B7C">
              <w:rPr>
                <w:rFonts w:cs="Arial"/>
                <w:szCs w:val="20"/>
              </w:rPr>
              <w:t>No</w:t>
            </w:r>
          </w:p>
        </w:tc>
      </w:tr>
      <w:tr w:rsidR="00CC6B7C" w:rsidRPr="00500C4E" w14:paraId="3C843C04" w14:textId="77777777" w:rsidTr="00920905">
        <w:trPr>
          <w:trHeight w:val="20"/>
        </w:trPr>
        <w:tc>
          <w:tcPr>
            <w:tcW w:w="1548" w:type="pct"/>
          </w:tcPr>
          <w:p w14:paraId="51431197" w14:textId="2E50B486" w:rsidR="00CC6B7C" w:rsidRPr="00920905" w:rsidRDefault="00CC6B7C" w:rsidP="00CC6B7C">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3C3653B4" w:rsidR="00CC6B7C" w:rsidRPr="00CC6B7C" w:rsidRDefault="00CC6B7C" w:rsidP="00CC6B7C">
            <w:pPr>
              <w:rPr>
                <w:rFonts w:cs="Arial"/>
                <w:szCs w:val="20"/>
              </w:rPr>
            </w:pPr>
            <w:r w:rsidRPr="00CC6B7C">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2E55178F" w:rsidR="00E326BA" w:rsidRPr="00CC6B7C" w:rsidRDefault="00CC6B7C" w:rsidP="00920905">
            <w:pPr>
              <w:rPr>
                <w:rFonts w:cs="Arial"/>
                <w:szCs w:val="20"/>
              </w:rPr>
            </w:pPr>
            <w:r w:rsidRPr="00CC6B7C">
              <w:rPr>
                <w:rFonts w:cs="Arial"/>
                <w:szCs w:val="20"/>
              </w:rPr>
              <w:t>Yes</w:t>
            </w:r>
          </w:p>
        </w:tc>
      </w:tr>
      <w:tr w:rsidR="00CC6B7C" w:rsidRPr="00500C4E" w14:paraId="2F8A7017" w14:textId="77777777" w:rsidTr="00920905">
        <w:trPr>
          <w:trHeight w:val="20"/>
        </w:trPr>
        <w:tc>
          <w:tcPr>
            <w:tcW w:w="1548" w:type="pct"/>
          </w:tcPr>
          <w:p w14:paraId="05CCD829" w14:textId="094D5B4C" w:rsidR="00CC6B7C" w:rsidRPr="00920905" w:rsidRDefault="00CC6B7C" w:rsidP="00CC6B7C">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1684C6F0" w:rsidR="00CC6B7C" w:rsidRPr="00CC6B7C" w:rsidRDefault="00CC6B7C" w:rsidP="00CC6B7C">
            <w:pPr>
              <w:rPr>
                <w:rFonts w:cs="Arial"/>
                <w:szCs w:val="20"/>
              </w:rPr>
            </w:pPr>
            <w:r w:rsidRPr="00CC6B7C">
              <w:rPr>
                <w:rFonts w:cs="Arial"/>
                <w:szCs w:val="20"/>
              </w:rPr>
              <w:t>No</w:t>
            </w:r>
          </w:p>
        </w:tc>
      </w:tr>
      <w:tr w:rsidR="00CC6B7C" w:rsidRPr="00500C4E" w14:paraId="6B821D71" w14:textId="77777777" w:rsidTr="00920905">
        <w:trPr>
          <w:trHeight w:val="20"/>
        </w:trPr>
        <w:tc>
          <w:tcPr>
            <w:tcW w:w="1548" w:type="pct"/>
          </w:tcPr>
          <w:p w14:paraId="5B790708" w14:textId="57F1AB76" w:rsidR="00CC6B7C" w:rsidRPr="00920905" w:rsidRDefault="00CC6B7C" w:rsidP="00CC6B7C">
            <w:pPr>
              <w:rPr>
                <w:rFonts w:cs="Arial"/>
                <w:szCs w:val="20"/>
              </w:rPr>
            </w:pPr>
            <w:r w:rsidRPr="00920905">
              <w:rPr>
                <w:rFonts w:cs="Arial"/>
                <w:szCs w:val="20"/>
              </w:rPr>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4D0FA036" w14:textId="238BE2C9" w:rsidR="00CC6B7C" w:rsidRPr="00CC6B7C" w:rsidDel="00505CEC" w:rsidRDefault="00CC6B7C" w:rsidP="00CC6B7C">
            <w:pPr>
              <w:rPr>
                <w:rFonts w:cs="Arial"/>
                <w:szCs w:val="20"/>
              </w:rPr>
            </w:pPr>
            <w:r w:rsidRPr="00CC6B7C">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7FB7F638" w:rsidR="00D86A9D" w:rsidRPr="00CC6B7C" w:rsidRDefault="00CC6B7C" w:rsidP="00416E34">
            <w:pPr>
              <w:rPr>
                <w:rFonts w:cs="Arial"/>
                <w:szCs w:val="20"/>
              </w:rPr>
            </w:pPr>
            <w:r w:rsidRPr="00CC6B7C">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5BC67B0F" w:rsidR="00E326BA" w:rsidRPr="00CC6B7C" w:rsidRDefault="00E326BA" w:rsidP="00CC6B7C">
            <w:pPr>
              <w:rPr>
                <w:rFonts w:cs="Arial"/>
                <w:szCs w:val="20"/>
              </w:rPr>
            </w:pPr>
            <w:r w:rsidRPr="00CC6B7C">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4CA007AE" w:rsidR="00E326BA" w:rsidRPr="00CC6B7C" w:rsidRDefault="00CC6B7C" w:rsidP="00920905">
            <w:pPr>
              <w:rPr>
                <w:rFonts w:cs="Arial"/>
                <w:szCs w:val="20"/>
              </w:rPr>
            </w:pPr>
            <w:r w:rsidRPr="00CC6B7C">
              <w:rPr>
                <w:rFonts w:cstheme="minorHAnsi"/>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7C623979" w14:textId="3E0934D5" w:rsidR="00CC6B7C" w:rsidRDefault="000968C6" w:rsidP="00CC6B7C">
      <w:pPr>
        <w:rPr>
          <w:rFonts w:cstheme="minorHAnsi"/>
          <w:szCs w:val="22"/>
        </w:rPr>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r w:rsidR="00CC6B7C">
        <w:t xml:space="preserve"> Since</w:t>
      </w:r>
      <w:r w:rsidR="00CC6B7C">
        <w:rPr>
          <w:rFonts w:cstheme="minorHAnsi"/>
          <w:szCs w:val="22"/>
        </w:rPr>
        <w:t xml:space="preserve"> SCE has offered VSD pool pump measures in the residential sector for more than 2 years, the Res-Default&gt;2 NTG was selected.</w:t>
      </w:r>
    </w:p>
    <w:p w14:paraId="00C43CEE" w14:textId="3795797B" w:rsidR="000968C6" w:rsidRPr="00920905" w:rsidRDefault="000968C6"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lastRenderedPageBreak/>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77777777" w:rsidR="00907697" w:rsidRPr="00CC6B7C" w:rsidRDefault="00907697" w:rsidP="005729C8">
            <w:pPr>
              <w:rPr>
                <w:szCs w:val="20"/>
              </w:rPr>
            </w:pPr>
            <w:r w:rsidRPr="00CC6B7C">
              <w:rPr>
                <w:szCs w:val="20"/>
              </w:rPr>
              <w:t>Res-Default&gt;2</w:t>
            </w:r>
          </w:p>
        </w:tc>
        <w:tc>
          <w:tcPr>
            <w:tcW w:w="2019" w:type="pct"/>
          </w:tcPr>
          <w:p w14:paraId="3EB26158" w14:textId="77777777" w:rsidR="00907697" w:rsidRPr="00CC6B7C" w:rsidRDefault="00907697" w:rsidP="005729C8">
            <w:pPr>
              <w:rPr>
                <w:szCs w:val="20"/>
              </w:rPr>
            </w:pPr>
            <w:r w:rsidRPr="00CC6B7C">
              <w:rPr>
                <w:szCs w:val="20"/>
              </w:rPr>
              <w:t>All other EEM with no evaluated NTGR; existing EEM with same delivery mechanism for more than 2 years</w:t>
            </w:r>
          </w:p>
        </w:tc>
        <w:tc>
          <w:tcPr>
            <w:tcW w:w="434" w:type="pct"/>
          </w:tcPr>
          <w:p w14:paraId="5C4D3E7D" w14:textId="77777777" w:rsidR="00907697" w:rsidRPr="00CC6B7C" w:rsidRDefault="00907697" w:rsidP="005729C8">
            <w:pPr>
              <w:rPr>
                <w:szCs w:val="20"/>
              </w:rPr>
            </w:pPr>
            <w:r w:rsidRPr="00CC6B7C">
              <w:rPr>
                <w:szCs w:val="20"/>
              </w:rPr>
              <w:t>Res</w:t>
            </w:r>
          </w:p>
        </w:tc>
        <w:tc>
          <w:tcPr>
            <w:tcW w:w="529" w:type="pct"/>
          </w:tcPr>
          <w:p w14:paraId="1A63333B" w14:textId="77777777" w:rsidR="00907697" w:rsidRPr="00CC6B7C" w:rsidRDefault="00907697" w:rsidP="005729C8">
            <w:pPr>
              <w:rPr>
                <w:szCs w:val="20"/>
              </w:rPr>
            </w:pPr>
            <w:r w:rsidRPr="00CC6B7C">
              <w:rPr>
                <w:szCs w:val="20"/>
              </w:rPr>
              <w:t>Any</w:t>
            </w:r>
          </w:p>
        </w:tc>
        <w:tc>
          <w:tcPr>
            <w:tcW w:w="915" w:type="pct"/>
          </w:tcPr>
          <w:p w14:paraId="6AB10E89" w14:textId="77777777" w:rsidR="00907697" w:rsidRPr="00CC6B7C" w:rsidRDefault="00907697" w:rsidP="005729C8">
            <w:pPr>
              <w:rPr>
                <w:szCs w:val="20"/>
              </w:rPr>
            </w:pPr>
            <w:r w:rsidRPr="00CC6B7C">
              <w:rPr>
                <w:szCs w:val="20"/>
              </w:rPr>
              <w:t>Any</w:t>
            </w:r>
          </w:p>
        </w:tc>
        <w:tc>
          <w:tcPr>
            <w:tcW w:w="430" w:type="pct"/>
          </w:tcPr>
          <w:p w14:paraId="25878F23" w14:textId="77777777" w:rsidR="00907697" w:rsidRPr="00CC6B7C" w:rsidRDefault="00907697" w:rsidP="005729C8">
            <w:pPr>
              <w:rPr>
                <w:szCs w:val="20"/>
              </w:rPr>
            </w:pPr>
            <w:r w:rsidRPr="00CC6B7C">
              <w:rPr>
                <w:szCs w:val="20"/>
              </w:rPr>
              <w:t>0.55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CC6B7C" w:rsidRPr="00CC6B7C" w14:paraId="3AEFCD58" w14:textId="77777777" w:rsidTr="00920905">
        <w:tc>
          <w:tcPr>
            <w:tcW w:w="722" w:type="pct"/>
          </w:tcPr>
          <w:p w14:paraId="20565B79" w14:textId="77777777" w:rsidR="002F4E34" w:rsidRPr="00CC6B7C" w:rsidRDefault="002F4E34" w:rsidP="005729C8">
            <w:pPr>
              <w:rPr>
                <w:szCs w:val="20"/>
              </w:rPr>
            </w:pPr>
            <w:r w:rsidRPr="00CC6B7C">
              <w:rPr>
                <w:szCs w:val="20"/>
              </w:rPr>
              <w:t>Def-GSIA</w:t>
            </w:r>
          </w:p>
        </w:tc>
        <w:tc>
          <w:tcPr>
            <w:tcW w:w="1404" w:type="pct"/>
          </w:tcPr>
          <w:p w14:paraId="2BFFF598" w14:textId="77777777" w:rsidR="002F4E34" w:rsidRPr="00CC6B7C" w:rsidRDefault="002F4E34" w:rsidP="005729C8">
            <w:pPr>
              <w:rPr>
                <w:szCs w:val="20"/>
              </w:rPr>
            </w:pPr>
            <w:r w:rsidRPr="00CC6B7C">
              <w:rPr>
                <w:szCs w:val="20"/>
              </w:rPr>
              <w:t>Default GSIA values</w:t>
            </w:r>
          </w:p>
        </w:tc>
        <w:tc>
          <w:tcPr>
            <w:tcW w:w="688" w:type="pct"/>
          </w:tcPr>
          <w:p w14:paraId="157D8A62" w14:textId="77777777" w:rsidR="002F4E34" w:rsidRPr="00CC6B7C" w:rsidRDefault="002F4E34" w:rsidP="005729C8">
            <w:pPr>
              <w:rPr>
                <w:szCs w:val="20"/>
              </w:rPr>
            </w:pPr>
            <w:r w:rsidRPr="00CC6B7C">
              <w:rPr>
                <w:szCs w:val="20"/>
              </w:rPr>
              <w:t>Any</w:t>
            </w:r>
          </w:p>
        </w:tc>
        <w:tc>
          <w:tcPr>
            <w:tcW w:w="858" w:type="pct"/>
          </w:tcPr>
          <w:p w14:paraId="0C3293FE" w14:textId="77777777" w:rsidR="002F4E34" w:rsidRPr="00CC6B7C" w:rsidRDefault="002F4E34" w:rsidP="005729C8">
            <w:pPr>
              <w:rPr>
                <w:szCs w:val="20"/>
              </w:rPr>
            </w:pPr>
            <w:r w:rsidRPr="00CC6B7C">
              <w:rPr>
                <w:szCs w:val="20"/>
              </w:rPr>
              <w:t>Any</w:t>
            </w:r>
          </w:p>
        </w:tc>
        <w:tc>
          <w:tcPr>
            <w:tcW w:w="693" w:type="pct"/>
          </w:tcPr>
          <w:p w14:paraId="0B642835" w14:textId="77777777" w:rsidR="002F4E34" w:rsidRPr="00CC6B7C" w:rsidRDefault="002F4E34" w:rsidP="005729C8">
            <w:pPr>
              <w:rPr>
                <w:szCs w:val="20"/>
              </w:rPr>
            </w:pPr>
            <w:r w:rsidRPr="00CC6B7C">
              <w:rPr>
                <w:szCs w:val="20"/>
              </w:rPr>
              <w:t>Any</w:t>
            </w:r>
          </w:p>
        </w:tc>
        <w:tc>
          <w:tcPr>
            <w:tcW w:w="634" w:type="pct"/>
          </w:tcPr>
          <w:p w14:paraId="1C671DD2" w14:textId="77777777" w:rsidR="002F4E34" w:rsidRPr="00CC6B7C" w:rsidRDefault="002F4E34" w:rsidP="005729C8">
            <w:pPr>
              <w:rPr>
                <w:szCs w:val="20"/>
              </w:rPr>
            </w:pPr>
            <w:r w:rsidRPr="00CC6B7C">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CC6B7C">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CC6B7C" w:rsidRPr="00500C4E" w14:paraId="23E3B0B0" w14:textId="77777777" w:rsidTr="00CC6B7C">
        <w:trPr>
          <w:trHeight w:val="243"/>
        </w:trPr>
        <w:tc>
          <w:tcPr>
            <w:tcW w:w="824" w:type="pct"/>
            <w:vAlign w:val="center"/>
          </w:tcPr>
          <w:p w14:paraId="17A1D7F4" w14:textId="25014E73" w:rsidR="00CC6B7C" w:rsidRPr="00500C4E" w:rsidRDefault="00CC6B7C" w:rsidP="00CC6B7C">
            <w:pPr>
              <w:rPr>
                <w:color w:val="FF0000"/>
                <w:szCs w:val="20"/>
              </w:rPr>
            </w:pPr>
            <w:r w:rsidRPr="00A02E69">
              <w:rPr>
                <w:rFonts w:ascii="Calibri" w:hAnsi="Calibri"/>
                <w:color w:val="000000"/>
                <w:szCs w:val="20"/>
              </w:rPr>
              <w:t>OutD-PoolPump</w:t>
            </w:r>
          </w:p>
        </w:tc>
        <w:tc>
          <w:tcPr>
            <w:tcW w:w="1435" w:type="pct"/>
            <w:vAlign w:val="center"/>
          </w:tcPr>
          <w:p w14:paraId="36E678D1" w14:textId="22BB1ED9" w:rsidR="00CC6B7C" w:rsidRPr="00500C4E" w:rsidRDefault="00CC6B7C" w:rsidP="00CC6B7C">
            <w:pPr>
              <w:rPr>
                <w:color w:val="FF0000"/>
                <w:szCs w:val="20"/>
              </w:rPr>
            </w:pPr>
            <w:r w:rsidRPr="00A02E69">
              <w:rPr>
                <w:rFonts w:ascii="Calibri" w:hAnsi="Calibri"/>
                <w:color w:val="000000"/>
                <w:szCs w:val="20"/>
              </w:rPr>
              <w:t>High Efficiency Pool Pump</w:t>
            </w:r>
          </w:p>
        </w:tc>
        <w:tc>
          <w:tcPr>
            <w:tcW w:w="473" w:type="pct"/>
            <w:vAlign w:val="center"/>
          </w:tcPr>
          <w:p w14:paraId="42B5C736" w14:textId="0089E479" w:rsidR="00CC6B7C" w:rsidRPr="00500C4E" w:rsidRDefault="00CC6B7C" w:rsidP="00CC6B7C">
            <w:pPr>
              <w:rPr>
                <w:color w:val="FF0000"/>
                <w:szCs w:val="20"/>
              </w:rPr>
            </w:pPr>
            <w:r w:rsidRPr="00A02E69">
              <w:rPr>
                <w:rFonts w:ascii="Calibri" w:hAnsi="Calibri"/>
                <w:color w:val="000000"/>
                <w:szCs w:val="20"/>
              </w:rPr>
              <w:t>Res</w:t>
            </w:r>
          </w:p>
        </w:tc>
        <w:tc>
          <w:tcPr>
            <w:tcW w:w="679" w:type="pct"/>
            <w:vAlign w:val="center"/>
          </w:tcPr>
          <w:p w14:paraId="52A841ED" w14:textId="5F9ACC95" w:rsidR="00CC6B7C" w:rsidRPr="00500C4E" w:rsidRDefault="00CC6B7C" w:rsidP="00CC6B7C">
            <w:pPr>
              <w:rPr>
                <w:color w:val="FF0000"/>
                <w:szCs w:val="20"/>
              </w:rPr>
            </w:pPr>
            <w:r>
              <w:rPr>
                <w:rFonts w:ascii="Calibri" w:hAnsi="Calibri"/>
                <w:color w:val="000000"/>
                <w:szCs w:val="20"/>
              </w:rPr>
              <w:t>Recreation</w:t>
            </w:r>
          </w:p>
        </w:tc>
        <w:tc>
          <w:tcPr>
            <w:tcW w:w="812" w:type="pct"/>
            <w:vAlign w:val="center"/>
          </w:tcPr>
          <w:p w14:paraId="1BF5FCBD" w14:textId="3CA82273" w:rsidR="00CC6B7C" w:rsidRPr="00500C4E" w:rsidRDefault="00CC6B7C" w:rsidP="00CC6B7C">
            <w:pPr>
              <w:rPr>
                <w:color w:val="FF0000"/>
                <w:szCs w:val="20"/>
              </w:rPr>
            </w:pPr>
            <w:r w:rsidRPr="00A02E69">
              <w:rPr>
                <w:rFonts w:ascii="Calibri" w:hAnsi="Calibri"/>
                <w:color w:val="000000"/>
                <w:szCs w:val="20"/>
              </w:rPr>
              <w:t>10</w:t>
            </w:r>
          </w:p>
        </w:tc>
        <w:tc>
          <w:tcPr>
            <w:tcW w:w="776" w:type="pct"/>
            <w:vAlign w:val="center"/>
          </w:tcPr>
          <w:p w14:paraId="46ED97C1" w14:textId="07C35AD0" w:rsidR="00CC6B7C" w:rsidRPr="00500C4E" w:rsidRDefault="00CC6B7C" w:rsidP="00CC6B7C">
            <w:pPr>
              <w:rPr>
                <w:color w:val="FF0000"/>
                <w:szCs w:val="20"/>
              </w:rPr>
            </w:pPr>
            <w:r w:rsidRPr="00A02E69">
              <w:rPr>
                <w:rFonts w:ascii="Calibri" w:hAnsi="Calibri"/>
                <w:color w:val="000000"/>
                <w:szCs w:val="20"/>
              </w:rPr>
              <w:t>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2"/>
    </w:p>
    <w:p w14:paraId="3CB36E44" w14:textId="4EEED2D5" w:rsidR="00CC6B7C" w:rsidRDefault="00CC6B7C" w:rsidP="00CC6B7C">
      <w:pPr>
        <w:pStyle w:val="Reminders"/>
        <w:rPr>
          <w:rFonts w:asciiTheme="minorHAnsi" w:hAnsiTheme="minorHAnsi" w:cstheme="minorHAnsi"/>
          <w:i w:val="0"/>
          <w:color w:val="auto"/>
          <w:szCs w:val="22"/>
        </w:rPr>
      </w:pPr>
      <w:r>
        <w:rPr>
          <w:rFonts w:asciiTheme="minorHAnsi" w:hAnsiTheme="minorHAnsi" w:cstheme="minorHAnsi"/>
          <w:b/>
          <w:i w:val="0"/>
          <w:color w:val="auto"/>
          <w:szCs w:val="22"/>
        </w:rPr>
        <w:t xml:space="preserve">California Code of Regulations, </w:t>
      </w:r>
      <w:r w:rsidRPr="00085542">
        <w:rPr>
          <w:rFonts w:asciiTheme="minorHAnsi" w:hAnsiTheme="minorHAnsi" w:cstheme="minorHAnsi"/>
          <w:b/>
          <w:i w:val="0"/>
          <w:color w:val="auto"/>
          <w:szCs w:val="22"/>
        </w:rPr>
        <w:t>Title 20</w:t>
      </w:r>
      <w:r>
        <w:rPr>
          <w:rFonts w:asciiTheme="minorHAnsi" w:hAnsiTheme="minorHAnsi" w:cstheme="minorHAnsi"/>
          <w:b/>
          <w:i w:val="0"/>
          <w:color w:val="auto"/>
          <w:szCs w:val="22"/>
        </w:rPr>
        <w:t>, Public Utilities and Energy (2015) [493]:</w:t>
      </w:r>
      <w:r>
        <w:rPr>
          <w:rFonts w:asciiTheme="minorHAnsi" w:hAnsiTheme="minorHAnsi" w:cstheme="minorHAnsi"/>
          <w:i w:val="0"/>
          <w:color w:val="auto"/>
          <w:szCs w:val="22"/>
        </w:rPr>
        <w:t xml:space="preserve"> Section 1605.3(g</w:t>
      </w:r>
      <w:proofErr w:type="gramStart"/>
      <w:r>
        <w:rPr>
          <w:rFonts w:asciiTheme="minorHAnsi" w:hAnsiTheme="minorHAnsi" w:cstheme="minorHAnsi"/>
          <w:i w:val="0"/>
          <w:color w:val="auto"/>
          <w:szCs w:val="22"/>
        </w:rPr>
        <w:t>)(</w:t>
      </w:r>
      <w:proofErr w:type="gramEnd"/>
      <w:r>
        <w:rPr>
          <w:rFonts w:asciiTheme="minorHAnsi" w:hAnsiTheme="minorHAnsi" w:cstheme="minorHAnsi"/>
          <w:i w:val="0"/>
          <w:color w:val="auto"/>
          <w:szCs w:val="22"/>
        </w:rPr>
        <w:t>5) requires two-speed control for residential pool pumps ≥ 1 HP, effective January 1, 2008. This code applies to the measure in this work paper because residential pool pumps are often installed in multifamily settings. Commercial pool pumps, which are not affected by this regulation, can also be installed.</w:t>
      </w:r>
    </w:p>
    <w:p w14:paraId="31B2648A" w14:textId="77777777" w:rsidR="00CC6B7C" w:rsidRDefault="00CC6B7C" w:rsidP="00CC6B7C">
      <w:pPr>
        <w:pStyle w:val="Reminders"/>
        <w:rPr>
          <w:rFonts w:asciiTheme="minorHAnsi" w:hAnsiTheme="minorHAnsi" w:cstheme="minorHAnsi"/>
          <w:i w:val="0"/>
          <w:color w:val="auto"/>
          <w:szCs w:val="22"/>
        </w:rPr>
      </w:pPr>
    </w:p>
    <w:p w14:paraId="23C7CF03" w14:textId="77777777" w:rsidR="00CC6B7C" w:rsidRDefault="00CC6B7C" w:rsidP="00CC6B7C">
      <w:pPr>
        <w:pStyle w:val="Reminders"/>
        <w:rPr>
          <w:rFonts w:asciiTheme="minorHAnsi" w:hAnsiTheme="minorHAnsi" w:cstheme="minorHAnsi"/>
          <w:i w:val="0"/>
          <w:color w:val="auto"/>
          <w:szCs w:val="22"/>
        </w:rPr>
      </w:pPr>
      <w:r>
        <w:rPr>
          <w:rFonts w:asciiTheme="minorHAnsi" w:hAnsiTheme="minorHAnsi" w:cstheme="minorHAnsi"/>
          <w:b/>
          <w:i w:val="0"/>
          <w:color w:val="auto"/>
          <w:szCs w:val="22"/>
        </w:rPr>
        <w:t xml:space="preserve">California Code of Regulations, </w:t>
      </w:r>
      <w:r w:rsidRPr="00085542">
        <w:rPr>
          <w:rFonts w:asciiTheme="minorHAnsi" w:hAnsiTheme="minorHAnsi" w:cstheme="minorHAnsi"/>
          <w:b/>
          <w:i w:val="0"/>
          <w:color w:val="auto"/>
          <w:szCs w:val="22"/>
        </w:rPr>
        <w:t>Title 24</w:t>
      </w:r>
      <w:r>
        <w:rPr>
          <w:rFonts w:asciiTheme="minorHAnsi" w:hAnsiTheme="minorHAnsi" w:cstheme="minorHAnsi"/>
          <w:b/>
          <w:i w:val="0"/>
          <w:color w:val="auto"/>
          <w:szCs w:val="22"/>
        </w:rPr>
        <w:t>,</w:t>
      </w:r>
      <w:r w:rsidRPr="00085542">
        <w:rPr>
          <w:rFonts w:asciiTheme="minorHAnsi" w:hAnsiTheme="minorHAnsi" w:cstheme="minorHAnsi"/>
          <w:b/>
          <w:i w:val="0"/>
          <w:color w:val="auto"/>
          <w:szCs w:val="22"/>
        </w:rPr>
        <w:t xml:space="preserve"> </w:t>
      </w:r>
      <w:r>
        <w:rPr>
          <w:rFonts w:asciiTheme="minorHAnsi" w:hAnsiTheme="minorHAnsi" w:cstheme="minorHAnsi"/>
          <w:b/>
          <w:i w:val="0"/>
          <w:color w:val="auto"/>
          <w:szCs w:val="22"/>
        </w:rPr>
        <w:t>Building Standards Code</w:t>
      </w:r>
      <w:r w:rsidRPr="00085542">
        <w:rPr>
          <w:rFonts w:asciiTheme="minorHAnsi" w:hAnsiTheme="minorHAnsi" w:cstheme="minorHAnsi"/>
          <w:b/>
          <w:i w:val="0"/>
          <w:color w:val="auto"/>
          <w:szCs w:val="22"/>
        </w:rPr>
        <w:t xml:space="preserve"> (2013) [</w:t>
      </w:r>
      <w:r>
        <w:rPr>
          <w:rFonts w:asciiTheme="minorHAnsi" w:hAnsiTheme="minorHAnsi" w:cstheme="minorHAnsi"/>
          <w:b/>
          <w:i w:val="0"/>
          <w:color w:val="auto"/>
          <w:szCs w:val="22"/>
        </w:rPr>
        <w:t>462</w:t>
      </w:r>
      <w:r w:rsidRPr="00085542">
        <w:rPr>
          <w:rFonts w:asciiTheme="minorHAnsi" w:hAnsiTheme="minorHAnsi" w:cstheme="minorHAnsi"/>
          <w:b/>
          <w:i w:val="0"/>
          <w:color w:val="auto"/>
          <w:szCs w:val="22"/>
        </w:rPr>
        <w:t>]:</w:t>
      </w:r>
      <w:r>
        <w:rPr>
          <w:rFonts w:asciiTheme="minorHAnsi" w:hAnsiTheme="minorHAnsi" w:cstheme="minorHAnsi"/>
          <w:i w:val="0"/>
          <w:color w:val="auto"/>
          <w:szCs w:val="22"/>
        </w:rPr>
        <w:t xml:space="preserve"> Chapter 31B “Public Swimming Pools,” Section 3124B provides capacity requirements for several types of pools. The pools eligible for this work paper fall under items 1 and 3. The Title 24 language states that the pump system must have the capability of turning over the pool water in 0.5 hours for spas and 1 hour for wading pools.</w:t>
      </w:r>
    </w:p>
    <w:p w14:paraId="435D6781" w14:textId="77777777" w:rsidR="00CC6B7C" w:rsidRDefault="00CC6B7C" w:rsidP="00CC6B7C">
      <w:pPr>
        <w:pStyle w:val="Reminders"/>
        <w:jc w:val="center"/>
        <w:rPr>
          <w:rFonts w:asciiTheme="minorHAnsi" w:hAnsiTheme="minorHAnsi" w:cstheme="minorHAnsi"/>
          <w:i w:val="0"/>
          <w:color w:val="auto"/>
          <w:szCs w:val="22"/>
        </w:rPr>
      </w:pPr>
      <w:r>
        <w:rPr>
          <w:noProof/>
        </w:rPr>
        <w:lastRenderedPageBreak/>
        <w:drawing>
          <wp:inline distT="0" distB="0" distL="0" distR="0" wp14:anchorId="440D1092" wp14:editId="44419848">
            <wp:extent cx="3276191" cy="1752381"/>
            <wp:effectExtent l="19050" t="19050" r="19685" b="196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276191" cy="1752381"/>
                    </a:xfrm>
                    <a:prstGeom prst="rect">
                      <a:avLst/>
                    </a:prstGeom>
                    <a:ln>
                      <a:solidFill>
                        <a:schemeClr val="tx1"/>
                      </a:solidFill>
                    </a:ln>
                  </pic:spPr>
                </pic:pic>
              </a:graphicData>
            </a:graphic>
          </wp:inline>
        </w:drawing>
      </w:r>
    </w:p>
    <w:p w14:paraId="7158894A" w14:textId="77777777" w:rsidR="00CC6B7C" w:rsidRDefault="00CC6B7C" w:rsidP="00CC6B7C">
      <w:pPr>
        <w:pStyle w:val="Reminders"/>
        <w:rPr>
          <w:rFonts w:asciiTheme="minorHAnsi" w:hAnsiTheme="minorHAnsi" w:cstheme="minorHAnsi"/>
          <w:i w:val="0"/>
          <w:color w:val="auto"/>
          <w:szCs w:val="22"/>
        </w:rPr>
      </w:pPr>
    </w:p>
    <w:p w14:paraId="6C97DC62" w14:textId="77777777" w:rsidR="00CC6B7C" w:rsidRPr="00B6684A" w:rsidRDefault="00CC6B7C" w:rsidP="00CC6B7C">
      <w:pPr>
        <w:rPr>
          <w:rFonts w:cstheme="minorHAnsi"/>
          <w:szCs w:val="22"/>
        </w:rPr>
      </w:pPr>
      <w:r w:rsidRPr="00197FF7">
        <w:rPr>
          <w:rFonts w:cstheme="minorHAnsi"/>
          <w:b/>
          <w:szCs w:val="22"/>
        </w:rPr>
        <w:t xml:space="preserve">Local </w:t>
      </w:r>
      <w:r>
        <w:rPr>
          <w:rFonts w:cstheme="minorHAnsi"/>
          <w:b/>
          <w:szCs w:val="22"/>
        </w:rPr>
        <w:t>Health C</w:t>
      </w:r>
      <w:r w:rsidRPr="00197FF7">
        <w:rPr>
          <w:rFonts w:cstheme="minorHAnsi"/>
          <w:b/>
          <w:szCs w:val="22"/>
        </w:rPr>
        <w:t>odes</w:t>
      </w:r>
      <w:r>
        <w:rPr>
          <w:rFonts w:cstheme="minorHAnsi"/>
          <w:b/>
          <w:szCs w:val="22"/>
        </w:rPr>
        <w:t>:</w:t>
      </w:r>
      <w:r>
        <w:rPr>
          <w:rFonts w:cstheme="minorHAnsi"/>
          <w:szCs w:val="22"/>
        </w:rPr>
        <w:t xml:space="preserve"> Health departments at the city or county level may provide regulations and guidelines for public swimming pools. Most counties will cite the Title 24 turnover time requirements.</w:t>
      </w:r>
    </w:p>
    <w:p w14:paraId="237BD840" w14:textId="77777777" w:rsidR="00CC6B7C" w:rsidRDefault="00CC6B7C"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0A7D11" w:rsidRPr="00500C4E" w14:paraId="41E6B4DA" w14:textId="77777777" w:rsidTr="00920905">
        <w:trPr>
          <w:trHeight w:val="243"/>
        </w:trPr>
        <w:tc>
          <w:tcPr>
            <w:tcW w:w="1155" w:type="pct"/>
          </w:tcPr>
          <w:p w14:paraId="16A44F28" w14:textId="0778036A" w:rsidR="000A7D11" w:rsidRPr="00500C4E" w:rsidRDefault="000A7D11" w:rsidP="000A7D11">
            <w:pPr>
              <w:rPr>
                <w:rFonts w:cstheme="minorHAnsi"/>
                <w:szCs w:val="20"/>
              </w:rPr>
            </w:pPr>
            <w:r>
              <w:rPr>
                <w:rFonts w:cstheme="minorHAnsi"/>
                <w:szCs w:val="20"/>
              </w:rPr>
              <w:t>Title 20 (2015</w:t>
            </w:r>
            <w:r w:rsidRPr="00B224FF">
              <w:rPr>
                <w:rFonts w:cstheme="minorHAnsi"/>
                <w:szCs w:val="20"/>
              </w:rPr>
              <w:t>)</w:t>
            </w:r>
          </w:p>
        </w:tc>
        <w:tc>
          <w:tcPr>
            <w:tcW w:w="2711" w:type="pct"/>
          </w:tcPr>
          <w:p w14:paraId="387D6828" w14:textId="4D95C035" w:rsidR="000A7D11" w:rsidRPr="00500C4E" w:rsidRDefault="000A7D11" w:rsidP="000A7D11">
            <w:pPr>
              <w:rPr>
                <w:rFonts w:cstheme="minorHAnsi"/>
                <w:color w:val="FF0000"/>
                <w:szCs w:val="20"/>
              </w:rPr>
            </w:pPr>
            <w:r w:rsidRPr="00B224FF">
              <w:rPr>
                <w:rFonts w:cstheme="minorHAnsi"/>
                <w:szCs w:val="20"/>
              </w:rPr>
              <w:t>Section 1605.3(g)(5)</w:t>
            </w:r>
          </w:p>
        </w:tc>
        <w:tc>
          <w:tcPr>
            <w:tcW w:w="1134" w:type="pct"/>
          </w:tcPr>
          <w:p w14:paraId="3E1189F8" w14:textId="3D8F6C54" w:rsidR="000A7D11" w:rsidRPr="00500C4E" w:rsidRDefault="000A7D11" w:rsidP="000A7D11">
            <w:pPr>
              <w:rPr>
                <w:rFonts w:cstheme="minorHAnsi"/>
                <w:color w:val="FF0000"/>
                <w:szCs w:val="20"/>
              </w:rPr>
            </w:pPr>
            <w:r>
              <w:rPr>
                <w:rFonts w:cstheme="minorHAnsi"/>
                <w:szCs w:val="20"/>
              </w:rPr>
              <w:t>January 1, 2010</w:t>
            </w:r>
          </w:p>
        </w:tc>
      </w:tr>
      <w:tr w:rsidR="000A7D11" w:rsidRPr="00500C4E" w14:paraId="55950BED" w14:textId="77777777" w:rsidTr="00920905">
        <w:trPr>
          <w:trHeight w:val="243"/>
        </w:trPr>
        <w:tc>
          <w:tcPr>
            <w:tcW w:w="1155" w:type="pct"/>
          </w:tcPr>
          <w:p w14:paraId="4AB4ED28" w14:textId="7206AEFE" w:rsidR="000A7D11" w:rsidRPr="00500C4E" w:rsidRDefault="000A7D11" w:rsidP="000A7D11">
            <w:pPr>
              <w:rPr>
                <w:rFonts w:cstheme="minorHAnsi"/>
                <w:szCs w:val="20"/>
              </w:rPr>
            </w:pPr>
            <w:r w:rsidRPr="00427AEB">
              <w:rPr>
                <w:rFonts w:cstheme="minorHAnsi"/>
                <w:szCs w:val="20"/>
              </w:rPr>
              <w:t>Title 24 (</w:t>
            </w:r>
            <w:r>
              <w:rPr>
                <w:rFonts w:cstheme="minorHAnsi"/>
                <w:szCs w:val="20"/>
              </w:rPr>
              <w:t>2013</w:t>
            </w:r>
            <w:r w:rsidRPr="00427AEB">
              <w:rPr>
                <w:rFonts w:cstheme="minorHAnsi"/>
                <w:szCs w:val="20"/>
              </w:rPr>
              <w:t>)</w:t>
            </w:r>
          </w:p>
        </w:tc>
        <w:tc>
          <w:tcPr>
            <w:tcW w:w="2711" w:type="pct"/>
          </w:tcPr>
          <w:p w14:paraId="19FAE8D5" w14:textId="57257A7C" w:rsidR="000A7D11" w:rsidRPr="00500C4E" w:rsidRDefault="000A7D11" w:rsidP="000A7D11">
            <w:pPr>
              <w:rPr>
                <w:rFonts w:cstheme="minorHAnsi"/>
                <w:color w:val="FF0000"/>
                <w:szCs w:val="20"/>
              </w:rPr>
            </w:pPr>
            <w:r w:rsidRPr="00427AEB">
              <w:rPr>
                <w:rFonts w:cstheme="minorHAnsi"/>
                <w:szCs w:val="20"/>
              </w:rPr>
              <w:t>Chapter 31B Section 3124B</w:t>
            </w:r>
          </w:p>
        </w:tc>
        <w:tc>
          <w:tcPr>
            <w:tcW w:w="1134" w:type="pct"/>
          </w:tcPr>
          <w:p w14:paraId="49C2E9ED" w14:textId="3F6F1EFD" w:rsidR="000A7D11" w:rsidRPr="00500C4E" w:rsidRDefault="000A7D11" w:rsidP="000A7D11">
            <w:pPr>
              <w:rPr>
                <w:rFonts w:cstheme="minorHAnsi"/>
                <w:color w:val="FF0000"/>
                <w:szCs w:val="20"/>
              </w:rPr>
            </w:pPr>
            <w:r>
              <w:rPr>
                <w:rFonts w:cstheme="minorHAnsi"/>
                <w:szCs w:val="20"/>
              </w:rPr>
              <w:t>January 1, 2014</w:t>
            </w:r>
          </w:p>
        </w:tc>
      </w:tr>
    </w:tbl>
    <w:p w14:paraId="658749F7" w14:textId="6B8A7A0D" w:rsidR="00572D2F" w:rsidRPr="00920905" w:rsidRDefault="00572D2F" w:rsidP="00920905">
      <w:pPr>
        <w:pStyle w:val="Heading2"/>
        <w:rPr>
          <w:rFonts w:cstheme="minorHAnsi"/>
          <w:b w:val="0"/>
          <w:bCs w:val="0"/>
          <w:iCs w:val="0"/>
          <w:smallCaps w:val="0"/>
        </w:rPr>
      </w:pPr>
      <w:bookmarkStart w:id="13" w:name="_Toc304800207"/>
      <w:bookmarkStart w:id="14" w:name="_Toc324318343"/>
      <w:bookmarkStart w:id="15" w:name="_Toc324340487"/>
      <w:bookmarkStart w:id="16" w:name="_Toc383441992"/>
      <w:bookmarkStart w:id="17"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3"/>
      <w:bookmarkEnd w:id="14"/>
      <w:bookmarkEnd w:id="15"/>
      <w:bookmarkEnd w:id="16"/>
    </w:p>
    <w:p w14:paraId="171FE7F6" w14:textId="632C449D" w:rsidR="00572D2F" w:rsidRPr="000A7D11"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0A7D11">
        <w:rPr>
          <w:rFonts w:asciiTheme="minorHAnsi" w:hAnsiTheme="minorHAnsi"/>
        </w:rPr>
        <w:t xml:space="preserve">DOE </w:t>
      </w:r>
      <w:r w:rsidR="000A7D11" w:rsidRPr="000A7D11">
        <w:rPr>
          <w:rFonts w:asciiTheme="minorHAnsi" w:hAnsiTheme="minorHAnsi"/>
        </w:rPr>
        <w:t>Measure Guideline: Replacing Single-Speed Pool Pumps with Variable Speed Pumps for Energy Savings [466]</w:t>
      </w:r>
    </w:p>
    <w:p w14:paraId="1B962595" w14:textId="12184360" w:rsidR="000A7D11" w:rsidRDefault="000A7D11" w:rsidP="00572D2F">
      <w:pPr>
        <w:rPr>
          <w:rFonts w:cstheme="minorHAnsi"/>
          <w:szCs w:val="22"/>
        </w:rPr>
      </w:pPr>
      <w:r>
        <w:rPr>
          <w:rFonts w:cstheme="minorHAnsi"/>
          <w:szCs w:val="22"/>
        </w:rPr>
        <w:t xml:space="preserve">This report discusses the function, energy consumption, and energy savings potential for pool pumps. It was prepared for by the DOE by the </w:t>
      </w:r>
      <w:r>
        <w:t>Building Media and the Building America Retrofit Alliance</w:t>
      </w:r>
      <w:r>
        <w:rPr>
          <w:rFonts w:cstheme="minorHAnsi"/>
          <w:szCs w:val="22"/>
        </w:rPr>
        <w:t>, in 2012. This work paper uses the report as a general source of information about the benefits, potential, and costs of VS pool pumps when compared to single-speed pumps.</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775E6CA6" w:rsidR="00602F18" w:rsidRPr="000A7D11" w:rsidRDefault="000A7D11" w:rsidP="000A7D11">
      <w:pPr>
        <w:rPr>
          <w:rFonts w:cs="Arial"/>
          <w:szCs w:val="22"/>
        </w:rPr>
      </w:pPr>
      <w:r w:rsidRPr="000A7D11">
        <w:rPr>
          <w:rFonts w:cs="Arial"/>
          <w:szCs w:val="22"/>
        </w:rPr>
        <w:t xml:space="preserve">The savings in this work paper are based on SCE’s program data. </w:t>
      </w:r>
      <w:r>
        <w:rPr>
          <w:rFonts w:cs="Arial"/>
          <w:szCs w:val="22"/>
        </w:rPr>
        <w:t>The data</w:t>
      </w:r>
      <w:r w:rsidR="00920CC5">
        <w:rPr>
          <w:rFonts w:cs="Arial"/>
          <w:szCs w:val="22"/>
        </w:rPr>
        <w:t xml:space="preserve"> can be augmented in the future with </w:t>
      </w:r>
      <w:r w:rsidRPr="000A7D11">
        <w:rPr>
          <w:rFonts w:cs="Arial"/>
          <w:szCs w:val="22"/>
        </w:rPr>
        <w:t>additional collected data.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7"/>
      <w:r w:rsidR="00755A45" w:rsidRPr="00500C4E">
        <w:rPr>
          <w:rFonts w:cstheme="minorHAnsi"/>
        </w:rPr>
        <w:t xml:space="preserve"> Methodology</w:t>
      </w:r>
    </w:p>
    <w:p w14:paraId="36E9A2B1" w14:textId="77777777" w:rsidR="007E4EF2" w:rsidRDefault="007E4EF2" w:rsidP="007E4EF2">
      <w:pPr>
        <w:pStyle w:val="Reminders"/>
        <w:rPr>
          <w:rFonts w:asciiTheme="minorHAnsi" w:hAnsiTheme="minorHAnsi" w:cstheme="minorHAnsi"/>
          <w:i w:val="0"/>
          <w:color w:val="auto"/>
          <w:szCs w:val="22"/>
        </w:rPr>
      </w:pPr>
      <w:bookmarkStart w:id="18" w:name="_Toc214003093"/>
      <w:r>
        <w:rPr>
          <w:rFonts w:asciiTheme="minorHAnsi" w:hAnsiTheme="minorHAnsi" w:cstheme="minorHAnsi"/>
          <w:i w:val="0"/>
          <w:color w:val="auto"/>
          <w:szCs w:val="22"/>
        </w:rPr>
        <w:t xml:space="preserve">This savings in this work paper were developed using installation data from VSD pump retrofit projects for multifamily spas and wading pools. The data were collected by the SCE multifamily program;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_Ref413930727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7E4EF2">
        <w:rPr>
          <w:rFonts w:asciiTheme="minorHAnsi" w:hAnsiTheme="minorHAnsi" w:cstheme="minorHAnsi"/>
          <w:i w:val="0"/>
          <w:color w:val="auto"/>
          <w:szCs w:val="22"/>
        </w:rPr>
        <w:t>Table 1</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contains a summary. All sites have passed local health code inspections and requirements.</w:t>
      </w:r>
    </w:p>
    <w:p w14:paraId="3C132071" w14:textId="77777777" w:rsidR="007E4EF2" w:rsidRDefault="007E4EF2" w:rsidP="007E4EF2">
      <w:pPr>
        <w:pStyle w:val="Reminders"/>
        <w:rPr>
          <w:rFonts w:asciiTheme="minorHAnsi" w:hAnsiTheme="minorHAnsi" w:cstheme="minorHAnsi"/>
          <w:i w:val="0"/>
          <w:color w:val="auto"/>
          <w:szCs w:val="22"/>
        </w:rPr>
      </w:pPr>
    </w:p>
    <w:p w14:paraId="44D0551C" w14:textId="77777777" w:rsidR="007E4EF2" w:rsidRDefault="007E4EF2" w:rsidP="007E4EF2">
      <w:pPr>
        <w:pStyle w:val="Caption"/>
        <w:jc w:val="center"/>
        <w:rPr>
          <w:rFonts w:cstheme="minorHAnsi"/>
          <w:szCs w:val="22"/>
        </w:rPr>
      </w:pPr>
      <w:bookmarkStart w:id="19" w:name="_Ref413930727"/>
      <w:r>
        <w:t xml:space="preserve">Table </w:t>
      </w:r>
      <w:r w:rsidR="001B73AF">
        <w:fldChar w:fldCharType="begin"/>
      </w:r>
      <w:r w:rsidR="001B73AF">
        <w:instrText xml:space="preserve"> SEQ Table \* ARABIC </w:instrText>
      </w:r>
      <w:r w:rsidR="001B73AF">
        <w:fldChar w:fldCharType="separate"/>
      </w:r>
      <w:r>
        <w:rPr>
          <w:noProof/>
        </w:rPr>
        <w:t>1</w:t>
      </w:r>
      <w:r w:rsidR="001B73AF">
        <w:rPr>
          <w:noProof/>
        </w:rPr>
        <w:fldChar w:fldCharType="end"/>
      </w:r>
      <w:bookmarkEnd w:id="19"/>
      <w:r>
        <w:t>: Summary of VSD Pump Projects Data Set</w:t>
      </w:r>
    </w:p>
    <w:tbl>
      <w:tblPr>
        <w:tblStyle w:val="TableGrid1"/>
        <w:tblW w:w="9450" w:type="dxa"/>
        <w:tblLook w:val="04A0" w:firstRow="1" w:lastRow="0" w:firstColumn="1" w:lastColumn="0" w:noHBand="0" w:noVBand="1"/>
      </w:tblPr>
      <w:tblGrid>
        <w:gridCol w:w="3277"/>
        <w:gridCol w:w="2393"/>
        <w:gridCol w:w="3780"/>
      </w:tblGrid>
      <w:tr w:rsidR="007E4EF2" w:rsidRPr="00C25549" w14:paraId="414F936D" w14:textId="77777777" w:rsidTr="00C25549">
        <w:tc>
          <w:tcPr>
            <w:tcW w:w="3277" w:type="dxa"/>
            <w:shd w:val="clear" w:color="auto" w:fill="D9D9D9" w:themeFill="background1" w:themeFillShade="D9"/>
          </w:tcPr>
          <w:p w14:paraId="075DE6A5" w14:textId="77777777" w:rsidR="007E4EF2" w:rsidRPr="00C25549" w:rsidRDefault="007E4EF2" w:rsidP="008923E6">
            <w:pPr>
              <w:pStyle w:val="Reminders"/>
              <w:rPr>
                <w:rFonts w:asciiTheme="minorHAnsi" w:hAnsiTheme="minorHAnsi" w:cstheme="minorHAnsi"/>
                <w:b/>
                <w:i w:val="0"/>
                <w:color w:val="auto"/>
                <w:szCs w:val="20"/>
              </w:rPr>
            </w:pPr>
            <w:r w:rsidRPr="00C25549">
              <w:rPr>
                <w:rFonts w:asciiTheme="minorHAnsi" w:hAnsiTheme="minorHAnsi" w:cstheme="minorHAnsi"/>
                <w:b/>
                <w:i w:val="0"/>
                <w:color w:val="auto"/>
                <w:szCs w:val="20"/>
              </w:rPr>
              <w:t>Description</w:t>
            </w:r>
          </w:p>
        </w:tc>
        <w:tc>
          <w:tcPr>
            <w:tcW w:w="2393" w:type="dxa"/>
            <w:shd w:val="clear" w:color="auto" w:fill="D9D9D9" w:themeFill="background1" w:themeFillShade="D9"/>
          </w:tcPr>
          <w:p w14:paraId="386608C1" w14:textId="77777777" w:rsidR="007E4EF2" w:rsidRPr="00C25549" w:rsidRDefault="007E4EF2" w:rsidP="008923E6">
            <w:pPr>
              <w:pStyle w:val="Reminders"/>
              <w:tabs>
                <w:tab w:val="right" w:pos="2993"/>
              </w:tabs>
              <w:rPr>
                <w:rFonts w:asciiTheme="minorHAnsi" w:hAnsiTheme="minorHAnsi" w:cstheme="minorHAnsi"/>
                <w:b/>
                <w:i w:val="0"/>
                <w:color w:val="auto"/>
                <w:szCs w:val="20"/>
              </w:rPr>
            </w:pPr>
            <w:r w:rsidRPr="00C25549">
              <w:rPr>
                <w:rFonts w:asciiTheme="minorHAnsi" w:hAnsiTheme="minorHAnsi" w:cstheme="minorHAnsi"/>
                <w:b/>
                <w:i w:val="0"/>
                <w:color w:val="auto"/>
                <w:szCs w:val="20"/>
              </w:rPr>
              <w:t>Baseline</w:t>
            </w:r>
          </w:p>
        </w:tc>
        <w:tc>
          <w:tcPr>
            <w:tcW w:w="3780" w:type="dxa"/>
            <w:shd w:val="clear" w:color="auto" w:fill="D9D9D9" w:themeFill="background1" w:themeFillShade="D9"/>
          </w:tcPr>
          <w:p w14:paraId="3D6AB286" w14:textId="77777777" w:rsidR="007E4EF2" w:rsidRPr="00C25549" w:rsidRDefault="007E4EF2" w:rsidP="008923E6">
            <w:pPr>
              <w:pStyle w:val="Reminders"/>
              <w:rPr>
                <w:rFonts w:asciiTheme="minorHAnsi" w:hAnsiTheme="minorHAnsi" w:cstheme="minorHAnsi"/>
                <w:b/>
                <w:i w:val="0"/>
                <w:color w:val="auto"/>
                <w:szCs w:val="20"/>
              </w:rPr>
            </w:pPr>
            <w:r w:rsidRPr="00C25549">
              <w:rPr>
                <w:rFonts w:asciiTheme="minorHAnsi" w:hAnsiTheme="minorHAnsi" w:cstheme="minorHAnsi"/>
                <w:b/>
                <w:i w:val="0"/>
                <w:color w:val="auto"/>
                <w:szCs w:val="20"/>
              </w:rPr>
              <w:t>Measure</w:t>
            </w:r>
          </w:p>
        </w:tc>
      </w:tr>
      <w:tr w:rsidR="007E4EF2" w:rsidRPr="003047EB" w14:paraId="5D3CD069" w14:textId="77777777" w:rsidTr="00C25549">
        <w:tc>
          <w:tcPr>
            <w:tcW w:w="3277" w:type="dxa"/>
          </w:tcPr>
          <w:p w14:paraId="24D780C9" w14:textId="77777777" w:rsidR="007E4EF2" w:rsidRPr="00541CD6" w:rsidRDefault="007E4EF2" w:rsidP="008923E6">
            <w:pPr>
              <w:pStyle w:val="Reminders"/>
              <w:rPr>
                <w:rFonts w:asciiTheme="minorHAnsi" w:hAnsiTheme="minorHAnsi" w:cstheme="minorHAnsi"/>
                <w:i w:val="0"/>
                <w:color w:val="auto"/>
                <w:szCs w:val="20"/>
              </w:rPr>
            </w:pPr>
            <w:r w:rsidRPr="003047EB">
              <w:rPr>
                <w:rFonts w:asciiTheme="minorHAnsi" w:hAnsiTheme="minorHAnsi" w:cstheme="minorHAnsi"/>
                <w:i w:val="0"/>
                <w:color w:val="auto"/>
                <w:szCs w:val="20"/>
              </w:rPr>
              <w:t>Pumps in data set</w:t>
            </w:r>
          </w:p>
        </w:tc>
        <w:tc>
          <w:tcPr>
            <w:tcW w:w="6173" w:type="dxa"/>
            <w:gridSpan w:val="2"/>
          </w:tcPr>
          <w:p w14:paraId="7A745DBB"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69</w:t>
            </w:r>
          </w:p>
        </w:tc>
      </w:tr>
      <w:tr w:rsidR="007E4EF2" w:rsidRPr="003047EB" w14:paraId="64DED828" w14:textId="77777777" w:rsidTr="00C25549">
        <w:tc>
          <w:tcPr>
            <w:tcW w:w="3277" w:type="dxa"/>
          </w:tcPr>
          <w:p w14:paraId="01142131" w14:textId="77777777" w:rsidR="007E4EF2" w:rsidRPr="00A145AA"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Pool size</w:t>
            </w:r>
          </w:p>
        </w:tc>
        <w:tc>
          <w:tcPr>
            <w:tcW w:w="6173" w:type="dxa"/>
            <w:gridSpan w:val="2"/>
          </w:tcPr>
          <w:p w14:paraId="7C4A0E7E"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Average: 1,357 gal</w:t>
            </w:r>
          </w:p>
          <w:p w14:paraId="401AF2BB"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lastRenderedPageBreak/>
              <w:t>Range: 471 to 2,596 gal</w:t>
            </w:r>
          </w:p>
        </w:tc>
      </w:tr>
      <w:tr w:rsidR="007E4EF2" w:rsidRPr="003047EB" w14:paraId="41C73A32" w14:textId="77777777" w:rsidTr="00C25549">
        <w:tc>
          <w:tcPr>
            <w:tcW w:w="3277" w:type="dxa"/>
          </w:tcPr>
          <w:p w14:paraId="541769C5"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lastRenderedPageBreak/>
              <w:t>Pump control</w:t>
            </w:r>
          </w:p>
        </w:tc>
        <w:tc>
          <w:tcPr>
            <w:tcW w:w="2393" w:type="dxa"/>
          </w:tcPr>
          <w:p w14:paraId="21419258"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Single speed</w:t>
            </w:r>
          </w:p>
        </w:tc>
        <w:tc>
          <w:tcPr>
            <w:tcW w:w="3780" w:type="dxa"/>
          </w:tcPr>
          <w:p w14:paraId="6B980365"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Variable speed</w:t>
            </w:r>
          </w:p>
        </w:tc>
      </w:tr>
      <w:tr w:rsidR="007E4EF2" w:rsidRPr="003047EB" w14:paraId="41356369" w14:textId="77777777" w:rsidTr="00C25549">
        <w:tc>
          <w:tcPr>
            <w:tcW w:w="3277" w:type="dxa"/>
          </w:tcPr>
          <w:p w14:paraId="1310576D" w14:textId="77777777" w:rsidR="007E4EF2" w:rsidRPr="00A145AA"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Pump power</w:t>
            </w:r>
          </w:p>
        </w:tc>
        <w:tc>
          <w:tcPr>
            <w:tcW w:w="2393" w:type="dxa"/>
          </w:tcPr>
          <w:p w14:paraId="74F69A1B" w14:textId="77777777" w:rsidR="007E4EF2" w:rsidRPr="00A145AA"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0.5, 0.75, 1, 1.5, 2, or 3 HP</w:t>
            </w:r>
          </w:p>
        </w:tc>
        <w:tc>
          <w:tcPr>
            <w:tcW w:w="3780" w:type="dxa"/>
          </w:tcPr>
          <w:p w14:paraId="3382EFC7"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1 or 3 HP</w:t>
            </w:r>
          </w:p>
        </w:tc>
      </w:tr>
      <w:tr w:rsidR="007E4EF2" w:rsidRPr="003047EB" w14:paraId="6C8EEC19" w14:textId="77777777" w:rsidTr="00C25549">
        <w:tc>
          <w:tcPr>
            <w:tcW w:w="3277" w:type="dxa"/>
          </w:tcPr>
          <w:p w14:paraId="38337CE0"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Pump speed</w:t>
            </w:r>
          </w:p>
        </w:tc>
        <w:tc>
          <w:tcPr>
            <w:tcW w:w="2393" w:type="dxa"/>
          </w:tcPr>
          <w:p w14:paraId="2A4A6D07"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3450 rpm</w:t>
            </w:r>
          </w:p>
        </w:tc>
        <w:tc>
          <w:tcPr>
            <w:tcW w:w="3780" w:type="dxa"/>
          </w:tcPr>
          <w:p w14:paraId="04455C3F"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Setting 1 (high speed): 2,507 rpm (average)</w:t>
            </w:r>
          </w:p>
          <w:p w14:paraId="73F080ED"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Setting 2 (low speed): 1,903 rpm (average)</w:t>
            </w:r>
          </w:p>
        </w:tc>
      </w:tr>
      <w:tr w:rsidR="007E4EF2" w:rsidRPr="003047EB" w14:paraId="088761B7" w14:textId="77777777" w:rsidTr="00C25549">
        <w:tc>
          <w:tcPr>
            <w:tcW w:w="3277" w:type="dxa"/>
          </w:tcPr>
          <w:p w14:paraId="4204596B"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Pump demand (assumed to be DEER peak demand)</w:t>
            </w:r>
          </w:p>
        </w:tc>
        <w:tc>
          <w:tcPr>
            <w:tcW w:w="2393" w:type="dxa"/>
          </w:tcPr>
          <w:p w14:paraId="3BE72BB9"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1.617 kW</w:t>
            </w:r>
          </w:p>
        </w:tc>
        <w:tc>
          <w:tcPr>
            <w:tcW w:w="3780" w:type="dxa"/>
          </w:tcPr>
          <w:p w14:paraId="2E85277C"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Setting 1: 0.859 kW</w:t>
            </w:r>
          </w:p>
          <w:p w14:paraId="45487A44"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Setting 2: 0.410 kW</w:t>
            </w:r>
          </w:p>
        </w:tc>
      </w:tr>
      <w:tr w:rsidR="007E4EF2" w:rsidRPr="003047EB" w14:paraId="6F54163C" w14:textId="77777777" w:rsidTr="00C25549">
        <w:tc>
          <w:tcPr>
            <w:tcW w:w="3277" w:type="dxa"/>
          </w:tcPr>
          <w:p w14:paraId="4CBC693E"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Hours of operation</w:t>
            </w:r>
          </w:p>
        </w:tc>
        <w:tc>
          <w:tcPr>
            <w:tcW w:w="2393" w:type="dxa"/>
          </w:tcPr>
          <w:p w14:paraId="731E5F77"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17 to 24 hours/day</w:t>
            </w:r>
          </w:p>
          <w:p w14:paraId="6F41404E"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(68% are 24 hours/day)</w:t>
            </w:r>
          </w:p>
        </w:tc>
        <w:tc>
          <w:tcPr>
            <w:tcW w:w="3780" w:type="dxa"/>
          </w:tcPr>
          <w:p w14:paraId="354CD5B7"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Setting 1: 6 AM–10 PM (includes 2 hours before and after the pool is open)</w:t>
            </w:r>
          </w:p>
          <w:p w14:paraId="5FAF9E2D"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Setting 2: 10 PM–6 AM</w:t>
            </w:r>
          </w:p>
        </w:tc>
      </w:tr>
      <w:tr w:rsidR="007E4EF2" w:rsidRPr="003047EB" w14:paraId="6B209B39" w14:textId="77777777" w:rsidTr="00C25549">
        <w:tc>
          <w:tcPr>
            <w:tcW w:w="3277" w:type="dxa"/>
          </w:tcPr>
          <w:p w14:paraId="07E5FF99"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Average electricity consumption (assuming 365 days/year operation)</w:t>
            </w:r>
          </w:p>
        </w:tc>
        <w:tc>
          <w:tcPr>
            <w:tcW w:w="2393" w:type="dxa"/>
          </w:tcPr>
          <w:p w14:paraId="1D8B578B"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13,390 kWh/year</w:t>
            </w:r>
          </w:p>
        </w:tc>
        <w:tc>
          <w:tcPr>
            <w:tcW w:w="3780" w:type="dxa"/>
          </w:tcPr>
          <w:p w14:paraId="05AA2380" w14:textId="77777777" w:rsidR="007E4EF2" w:rsidRDefault="007E4EF2" w:rsidP="008923E6">
            <w:pPr>
              <w:pStyle w:val="Reminders"/>
              <w:rPr>
                <w:rFonts w:asciiTheme="minorHAnsi" w:hAnsiTheme="minorHAnsi" w:cstheme="minorHAnsi"/>
                <w:i w:val="0"/>
                <w:color w:val="auto"/>
                <w:szCs w:val="20"/>
              </w:rPr>
            </w:pPr>
            <w:r>
              <w:rPr>
                <w:rFonts w:asciiTheme="minorHAnsi" w:hAnsiTheme="minorHAnsi" w:cstheme="minorHAnsi"/>
                <w:i w:val="0"/>
                <w:color w:val="auto"/>
                <w:szCs w:val="20"/>
              </w:rPr>
              <w:t>6,231 kWh/year</w:t>
            </w:r>
          </w:p>
        </w:tc>
      </w:tr>
    </w:tbl>
    <w:p w14:paraId="5CEFBC9C" w14:textId="77777777" w:rsidR="007E4EF2" w:rsidRPr="00541CD6" w:rsidRDefault="007E4EF2" w:rsidP="007E4EF2">
      <w:pPr>
        <w:pStyle w:val="Reminders"/>
        <w:rPr>
          <w:rFonts w:asciiTheme="minorHAnsi" w:hAnsiTheme="minorHAnsi" w:cstheme="minorHAnsi"/>
          <w:b/>
          <w:i w:val="0"/>
          <w:color w:val="auto"/>
          <w:szCs w:val="22"/>
        </w:rPr>
      </w:pPr>
    </w:p>
    <w:p w14:paraId="7423A3E1" w14:textId="77777777" w:rsidR="007E4EF2" w:rsidRPr="006D2EB0" w:rsidRDefault="007E4EF2" w:rsidP="007E4EF2">
      <w:pPr>
        <w:pStyle w:val="Reminders"/>
        <w:rPr>
          <w:rFonts w:asciiTheme="minorHAnsi" w:hAnsiTheme="minorHAnsi" w:cstheme="minorHAnsi"/>
          <w:b/>
          <w:i w:val="0"/>
          <w:color w:val="auto"/>
          <w:szCs w:val="22"/>
        </w:rPr>
      </w:pPr>
      <w:r w:rsidRPr="00541CD6">
        <w:rPr>
          <w:rFonts w:asciiTheme="minorHAnsi" w:hAnsiTheme="minorHAnsi" w:cstheme="minorHAnsi"/>
          <w:b/>
          <w:i w:val="0"/>
          <w:color w:val="auto"/>
          <w:szCs w:val="22"/>
        </w:rPr>
        <w:t>RET Savings</w:t>
      </w:r>
    </w:p>
    <w:p w14:paraId="1652EE92"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RET savings calculation methodology is:</w:t>
      </w:r>
    </w:p>
    <w:p w14:paraId="06970606" w14:textId="77777777" w:rsidR="007E4EF2" w:rsidRDefault="007E4EF2" w:rsidP="007E4EF2">
      <w:pPr>
        <w:pStyle w:val="Reminders"/>
        <w:rPr>
          <w:rFonts w:asciiTheme="minorHAnsi" w:hAnsiTheme="minorHAnsi" w:cstheme="minorHAnsi"/>
          <w:i w:val="0"/>
          <w:color w:val="auto"/>
          <w:szCs w:val="22"/>
        </w:rPr>
      </w:pPr>
    </w:p>
    <w:p w14:paraId="6ACEC362" w14:textId="77777777" w:rsidR="007E4EF2" w:rsidRPr="001C2E3C" w:rsidRDefault="001B73AF" w:rsidP="007E4EF2">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base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kWh</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base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*PumpHours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*365</m:t>
          </m:r>
          <m:f>
            <m:fPr>
              <m:ctrlPr>
                <w:rPr>
                  <w:rFonts w:ascii="Cambria Math" w:hAnsi="Cambria Math" w:cstheme="minorHAnsi"/>
                  <w:color w:val="auto"/>
                  <w:szCs w:val="22"/>
                </w:rPr>
              </m:ctrlPr>
            </m:fPr>
            <m:num>
              <m:r>
                <w:rPr>
                  <w:rFonts w:ascii="Cambria Math" w:hAnsi="Cambria Math" w:cstheme="minorHAnsi"/>
                  <w:color w:val="auto"/>
                  <w:szCs w:val="22"/>
                </w:rPr>
                <m:t>days</m:t>
              </m:r>
            </m:num>
            <m:den>
              <m:r>
                <w:rPr>
                  <w:rFonts w:ascii="Cambria Math" w:hAnsi="Cambria Math" w:cstheme="minorHAnsi"/>
                  <w:color w:val="auto"/>
                  <w:szCs w:val="22"/>
                </w:rPr>
                <m:t>year</m:t>
              </m:r>
            </m:den>
          </m:f>
        </m:oMath>
      </m:oMathPara>
    </w:p>
    <w:p w14:paraId="192A7114" w14:textId="77777777" w:rsidR="007E4EF2" w:rsidRPr="001C2E3C" w:rsidRDefault="007E4EF2" w:rsidP="007E4EF2">
      <w:pPr>
        <w:pStyle w:val="Reminder"/>
        <w:ind w:left="720"/>
        <w:rPr>
          <w:rFonts w:asciiTheme="minorHAnsi" w:hAnsiTheme="minorHAnsi" w:cstheme="minorHAnsi"/>
          <w:i w:val="0"/>
          <w:color w:val="auto"/>
          <w:szCs w:val="22"/>
        </w:rPr>
      </w:pPr>
    </w:p>
    <w:p w14:paraId="0C40C417" w14:textId="77777777" w:rsidR="007E4EF2" w:rsidRPr="001C2E3C" w:rsidRDefault="001B73AF" w:rsidP="007E4EF2">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measure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kWh</m:t>
              </m:r>
            </m:e>
          </m:d>
          <m:r>
            <w:rPr>
              <w:rFonts w:ascii="Cambria Math" w:hAnsi="Cambria Math" w:cstheme="minorHAnsi"/>
              <w:color w:val="auto"/>
              <w:szCs w:val="22"/>
            </w:rPr>
            <m:t>=</m:t>
          </m:r>
          <m:d>
            <m:dPr>
              <m:ctrlPr>
                <w:rPr>
                  <w:rFonts w:ascii="Cambria Math" w:hAnsi="Cambria Math" w:cstheme="minorHAnsi"/>
                  <w:color w:val="auto"/>
                  <w:szCs w:val="22"/>
                </w:rPr>
              </m:ctrlPr>
            </m:dPr>
            <m:e>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measure,high</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*16</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measure,low</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*8</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e>
          </m:d>
          <m:r>
            <w:rPr>
              <w:rFonts w:ascii="Cambria Math" w:hAnsi="Cambria Math" w:cstheme="minorHAnsi"/>
              <w:color w:val="auto"/>
              <w:szCs w:val="22"/>
            </w:rPr>
            <m:t>*365</m:t>
          </m:r>
          <m:f>
            <m:fPr>
              <m:ctrlPr>
                <w:rPr>
                  <w:rFonts w:ascii="Cambria Math" w:hAnsi="Cambria Math" w:cstheme="minorHAnsi"/>
                  <w:color w:val="auto"/>
                  <w:szCs w:val="22"/>
                </w:rPr>
              </m:ctrlPr>
            </m:fPr>
            <m:num>
              <m:r>
                <w:rPr>
                  <w:rFonts w:ascii="Cambria Math" w:hAnsi="Cambria Math" w:cstheme="minorHAnsi"/>
                  <w:color w:val="auto"/>
                  <w:szCs w:val="22"/>
                </w:rPr>
                <m:t>days</m:t>
              </m:r>
            </m:num>
            <m:den>
              <m:r>
                <w:rPr>
                  <w:rFonts w:ascii="Cambria Math" w:hAnsi="Cambria Math" w:cstheme="minorHAnsi"/>
                  <w:color w:val="auto"/>
                  <w:szCs w:val="22"/>
                </w:rPr>
                <m:t>year</m:t>
              </m:r>
            </m:den>
          </m:f>
        </m:oMath>
      </m:oMathPara>
    </w:p>
    <w:p w14:paraId="2BAF6632" w14:textId="77777777" w:rsidR="007E4EF2" w:rsidRPr="006C2BCD" w:rsidRDefault="007E4EF2" w:rsidP="007E4EF2">
      <w:pPr>
        <w:pStyle w:val="Reminder"/>
        <w:ind w:left="720"/>
        <w:rPr>
          <w:rFonts w:asciiTheme="minorHAnsi" w:hAnsiTheme="minorHAnsi" w:cstheme="minorHAnsi"/>
          <w:i w:val="0"/>
          <w:color w:val="auto"/>
          <w:szCs w:val="22"/>
        </w:rPr>
      </w:pPr>
    </w:p>
    <w:p w14:paraId="02F05CB7" w14:textId="77777777" w:rsidR="007E4EF2" w:rsidRPr="001C2E3C" w:rsidRDefault="007E4EF2" w:rsidP="007E4EF2">
      <w:pPr>
        <w:pStyle w:val="Reminders"/>
        <w:ind w:left="720"/>
        <w:rPr>
          <w:rFonts w:asciiTheme="minorHAnsi" w:hAnsiTheme="minorHAnsi" w:cstheme="minorHAnsi"/>
          <w:i w:val="0"/>
          <w:color w:val="auto"/>
          <w:szCs w:val="22"/>
        </w:rPr>
      </w:pPr>
      <m:oMathPara>
        <m:oMathParaPr>
          <m:jc m:val="left"/>
        </m:oMathParaPr>
        <m:oMath>
          <m:r>
            <w:rPr>
              <w:rFonts w:ascii="Cambria Math" w:hAnsi="Cambria Math" w:cstheme="minorHAnsi"/>
              <w:color w:val="auto"/>
              <w:szCs w:val="22"/>
            </w:rPr>
            <m:t>Electricity Savings[kWh]=</m:t>
          </m:r>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base</m:t>
              </m:r>
            </m:sub>
          </m:sSub>
          <m:r>
            <w:rPr>
              <w:rFonts w:ascii="Cambria Math" w:hAnsi="Cambria Math" w:cstheme="minorHAnsi"/>
              <w:color w:val="auto"/>
              <w:szCs w:val="22"/>
            </w:rPr>
            <m:t>[kWh]-</m:t>
          </m:r>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measure</m:t>
              </m:r>
            </m:sub>
          </m:sSub>
          <m:r>
            <w:rPr>
              <w:rFonts w:ascii="Cambria Math" w:hAnsi="Cambria Math" w:cstheme="minorHAnsi"/>
              <w:color w:val="auto"/>
              <w:szCs w:val="22"/>
            </w:rPr>
            <m:t>[kWh]</m:t>
          </m:r>
        </m:oMath>
      </m:oMathPara>
    </w:p>
    <w:p w14:paraId="5A219612" w14:textId="77777777" w:rsidR="007E4EF2" w:rsidRDefault="007E4EF2" w:rsidP="007E4EF2">
      <w:pPr>
        <w:pStyle w:val="Reminders"/>
        <w:rPr>
          <w:rFonts w:asciiTheme="minorHAnsi" w:hAnsiTheme="minorHAnsi" w:cstheme="minorHAnsi"/>
          <w:i w:val="0"/>
          <w:color w:val="auto"/>
          <w:szCs w:val="22"/>
        </w:rPr>
      </w:pPr>
    </w:p>
    <w:p w14:paraId="55871638"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demand reduction calculations assume a coincident diversity factor (CDF) of 1.0 because all sites opened their pools from 2–5 PM:</w:t>
      </w:r>
    </w:p>
    <w:p w14:paraId="3A6C3F7B" w14:textId="77777777" w:rsidR="007E4EF2" w:rsidRDefault="007E4EF2" w:rsidP="007E4EF2">
      <w:pPr>
        <w:pStyle w:val="Reminders"/>
        <w:rPr>
          <w:rFonts w:asciiTheme="minorHAnsi" w:hAnsiTheme="minorHAnsi" w:cstheme="minorHAnsi"/>
          <w:i w:val="0"/>
          <w:color w:val="auto"/>
          <w:szCs w:val="22"/>
        </w:rPr>
      </w:pPr>
    </w:p>
    <w:p w14:paraId="65CC230E" w14:textId="77777777" w:rsidR="007E4EF2" w:rsidRPr="003123D1" w:rsidRDefault="007E4EF2" w:rsidP="007E4EF2">
      <w:pPr>
        <w:pStyle w:val="Reminders"/>
        <w:ind w:left="720"/>
        <w:rPr>
          <w:rFonts w:asciiTheme="minorHAnsi" w:hAnsiTheme="minorHAnsi" w:cstheme="minorHAnsi"/>
          <w:i w:val="0"/>
          <w:color w:val="auto"/>
          <w:szCs w:val="22"/>
        </w:rPr>
      </w:pPr>
      <m:oMathPara>
        <m:oMathParaPr>
          <m:jc m:val="left"/>
        </m:oMathParaPr>
        <m:oMath>
          <m:r>
            <w:rPr>
              <w:rFonts w:ascii="Cambria Math" w:hAnsi="Cambria Math" w:cstheme="minorHAnsi"/>
              <w:color w:val="auto"/>
              <w:szCs w:val="22"/>
            </w:rPr>
            <m:t>Demand Reduction</m:t>
          </m:r>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m:t>
          </m:r>
          <m:d>
            <m:dPr>
              <m:ctrlPr>
                <w:rPr>
                  <w:rFonts w:ascii="Cambria Math" w:hAnsi="Cambria Math" w:cstheme="minorHAnsi"/>
                  <w:color w:val="auto"/>
                  <w:szCs w:val="22"/>
                </w:rPr>
              </m:ctrlPr>
            </m:dPr>
            <m:e>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base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measure,high</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e>
          </m:d>
          <m:r>
            <w:rPr>
              <w:rFonts w:ascii="Cambria Math" w:hAnsi="Cambria Math" w:cstheme="minorHAnsi"/>
              <w:color w:val="auto"/>
              <w:szCs w:val="22"/>
            </w:rPr>
            <m:t>*1.0</m:t>
          </m:r>
        </m:oMath>
      </m:oMathPara>
    </w:p>
    <w:p w14:paraId="6369B3F7" w14:textId="77777777" w:rsidR="007E4EF2" w:rsidRPr="001C2E3C" w:rsidRDefault="007E4EF2" w:rsidP="007E4EF2">
      <w:pPr>
        <w:pStyle w:val="Reminders"/>
        <w:rPr>
          <w:rFonts w:asciiTheme="minorHAnsi" w:hAnsiTheme="minorHAnsi" w:cstheme="minorHAnsi"/>
          <w:i w:val="0"/>
          <w:color w:val="auto"/>
          <w:szCs w:val="22"/>
        </w:rPr>
      </w:pPr>
    </w:p>
    <w:p w14:paraId="6929E970"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Energy savings and demand reduction were calculated individually for each site and then straight-averaged across all 69 sites. The results are:</w:t>
      </w:r>
    </w:p>
    <w:p w14:paraId="07ED5E4F" w14:textId="77777777" w:rsidR="007E4EF2" w:rsidRDefault="007E4EF2" w:rsidP="007E4EF2">
      <w:pPr>
        <w:pStyle w:val="Reminders"/>
        <w:rPr>
          <w:rFonts w:asciiTheme="minorHAnsi" w:hAnsiTheme="minorHAnsi" w:cstheme="minorHAnsi"/>
          <w:i w:val="0"/>
          <w:color w:val="auto"/>
          <w:szCs w:val="22"/>
        </w:rPr>
      </w:pPr>
    </w:p>
    <w:p w14:paraId="3847B067" w14:textId="77777777" w:rsidR="007E4EF2" w:rsidRPr="00BB3C34" w:rsidRDefault="007E4EF2" w:rsidP="007E4EF2">
      <w:pPr>
        <w:pStyle w:val="Reminders"/>
        <w:ind w:left="720"/>
        <w:rPr>
          <w:rFonts w:asciiTheme="minorHAnsi" w:hAnsiTheme="minorHAnsi" w:cstheme="minorHAnsi"/>
          <w:b/>
          <w:i w:val="0"/>
          <w:color w:val="auto"/>
          <w:szCs w:val="22"/>
        </w:rPr>
      </w:pPr>
      <m:oMathPara>
        <m:oMathParaPr>
          <m:jc m:val="left"/>
        </m:oMathParaPr>
        <m:oMath>
          <m:r>
            <m:rPr>
              <m:sty m:val="bi"/>
            </m:rPr>
            <w:rPr>
              <w:rFonts w:ascii="Cambria Math" w:hAnsi="Cambria Math" w:cstheme="minorHAnsi"/>
              <w:color w:val="auto"/>
              <w:szCs w:val="22"/>
            </w:rPr>
            <m:t>Electricity Savings=7,220.27 kWh</m:t>
          </m:r>
        </m:oMath>
      </m:oMathPara>
    </w:p>
    <w:p w14:paraId="31471FA2" w14:textId="77777777" w:rsidR="007E4EF2" w:rsidRPr="001C2E3C" w:rsidRDefault="007E4EF2" w:rsidP="007E4EF2">
      <w:pPr>
        <w:pStyle w:val="Reminders"/>
        <w:ind w:left="720"/>
        <w:rPr>
          <w:rFonts w:asciiTheme="minorHAnsi" w:hAnsiTheme="minorHAnsi" w:cstheme="minorHAnsi"/>
          <w:i w:val="0"/>
          <w:color w:val="auto"/>
          <w:szCs w:val="22"/>
        </w:rPr>
      </w:pPr>
    </w:p>
    <w:p w14:paraId="109556E2" w14:textId="77777777" w:rsidR="007E4EF2" w:rsidRPr="00BB3C34" w:rsidRDefault="007E4EF2" w:rsidP="007E4EF2">
      <w:pPr>
        <w:pStyle w:val="Reminders"/>
        <w:ind w:left="720"/>
        <w:rPr>
          <w:rFonts w:asciiTheme="minorHAnsi" w:hAnsiTheme="minorHAnsi" w:cstheme="minorHAnsi"/>
          <w:b/>
          <w:i w:val="0"/>
          <w:color w:val="auto"/>
          <w:szCs w:val="22"/>
        </w:rPr>
      </w:pPr>
      <m:oMathPara>
        <m:oMathParaPr>
          <m:jc m:val="left"/>
        </m:oMathParaPr>
        <m:oMath>
          <m:r>
            <m:rPr>
              <m:sty m:val="bi"/>
            </m:rPr>
            <w:rPr>
              <w:rFonts w:ascii="Cambria Math" w:hAnsi="Cambria Math" w:cstheme="minorHAnsi"/>
              <w:color w:val="auto"/>
              <w:szCs w:val="22"/>
            </w:rPr>
            <m:t>Demand Reduction=0.75932 kW</m:t>
          </m:r>
        </m:oMath>
      </m:oMathPara>
    </w:p>
    <w:p w14:paraId="4C32C516" w14:textId="77777777" w:rsidR="007E4EF2" w:rsidRDefault="007E4EF2" w:rsidP="007E4EF2">
      <w:pPr>
        <w:pStyle w:val="Reminders"/>
        <w:rPr>
          <w:rFonts w:asciiTheme="minorHAnsi" w:hAnsiTheme="minorHAnsi" w:cstheme="minorHAnsi"/>
          <w:i w:val="0"/>
          <w:szCs w:val="22"/>
        </w:rPr>
      </w:pPr>
    </w:p>
    <w:p w14:paraId="52BFC48B" w14:textId="77777777" w:rsidR="007E4EF2" w:rsidRDefault="007E4EF2" w:rsidP="007E4EF2">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t>Persistency Revisit</w:t>
      </w:r>
    </w:p>
    <w:p w14:paraId="21E3E363"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Twenty of the 69 installations were revisited approximately 10 months after the initial commissioning, in order to assess the persistency of pump control settings and energy use. The high speed settings for nine of the 20 sites had been increased by an average of 117 rpm</w:t>
      </w:r>
      <w:r w:rsidRPr="004C6153">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because the pool cleaners wanted </w:t>
      </w:r>
      <w:r>
        <w:rPr>
          <w:rFonts w:asciiTheme="minorHAnsi" w:hAnsiTheme="minorHAnsi" w:cstheme="minorHAnsi"/>
          <w:i w:val="0"/>
          <w:color w:val="auto"/>
          <w:szCs w:val="22"/>
        </w:rPr>
        <w:lastRenderedPageBreak/>
        <w:t>higher flow to perform their duties. Most of the low speed settings were untouched, but at one site the low speed was set to the same as high speed; this was corrected during the visit. The results are:</w:t>
      </w:r>
    </w:p>
    <w:p w14:paraId="3E970D1B" w14:textId="77777777" w:rsidR="007E4EF2" w:rsidRDefault="007E4EF2" w:rsidP="007E4EF2">
      <w:pPr>
        <w:pStyle w:val="Reminders"/>
        <w:rPr>
          <w:rFonts w:asciiTheme="minorHAnsi" w:hAnsiTheme="minorHAnsi" w:cstheme="minorHAnsi"/>
          <w:i w:val="0"/>
          <w:color w:val="auto"/>
          <w:szCs w:val="22"/>
        </w:rPr>
      </w:pPr>
    </w:p>
    <w:p w14:paraId="43DE8ADE" w14:textId="77777777" w:rsidR="007E4EF2" w:rsidRDefault="007E4EF2" w:rsidP="007E4EF2">
      <w:pPr>
        <w:pStyle w:val="Caption"/>
        <w:jc w:val="center"/>
        <w:rPr>
          <w:rFonts w:cstheme="minorHAnsi"/>
          <w:szCs w:val="22"/>
        </w:rPr>
      </w:pPr>
      <w:r>
        <w:t xml:space="preserve">Table </w:t>
      </w:r>
      <w:r w:rsidR="001B73AF">
        <w:fldChar w:fldCharType="begin"/>
      </w:r>
      <w:r w:rsidR="001B73AF">
        <w:instrText xml:space="preserve"> SEQ Table \* ARABIC </w:instrText>
      </w:r>
      <w:r w:rsidR="001B73AF">
        <w:fldChar w:fldCharType="separate"/>
      </w:r>
      <w:r>
        <w:rPr>
          <w:noProof/>
        </w:rPr>
        <w:t>2</w:t>
      </w:r>
      <w:r w:rsidR="001B73AF">
        <w:rPr>
          <w:noProof/>
        </w:rPr>
        <w:fldChar w:fldCharType="end"/>
      </w:r>
      <w:r>
        <w:t>: Results from the Revisit</w:t>
      </w:r>
    </w:p>
    <w:tbl>
      <w:tblPr>
        <w:tblStyle w:val="TableGrid1"/>
        <w:tblW w:w="0" w:type="auto"/>
        <w:tblLook w:val="04A0" w:firstRow="1" w:lastRow="0" w:firstColumn="1" w:lastColumn="0" w:noHBand="0" w:noVBand="1"/>
      </w:tblPr>
      <w:tblGrid>
        <w:gridCol w:w="3116"/>
        <w:gridCol w:w="3117"/>
        <w:gridCol w:w="3117"/>
      </w:tblGrid>
      <w:tr w:rsidR="007E4EF2" w:rsidRPr="00C25549" w14:paraId="7CCA84CE" w14:textId="77777777" w:rsidTr="00C25549">
        <w:tc>
          <w:tcPr>
            <w:tcW w:w="3116" w:type="dxa"/>
            <w:shd w:val="clear" w:color="auto" w:fill="D9D9D9" w:themeFill="background1" w:themeFillShade="D9"/>
          </w:tcPr>
          <w:p w14:paraId="4B823A1E" w14:textId="77777777" w:rsidR="007E4EF2" w:rsidRPr="00C25549" w:rsidRDefault="007E4EF2" w:rsidP="008923E6">
            <w:pPr>
              <w:pStyle w:val="Reminders"/>
              <w:rPr>
                <w:rFonts w:asciiTheme="minorHAnsi" w:hAnsiTheme="minorHAnsi" w:cstheme="minorHAnsi"/>
                <w:b/>
                <w:i w:val="0"/>
                <w:color w:val="auto"/>
                <w:szCs w:val="22"/>
              </w:rPr>
            </w:pPr>
          </w:p>
        </w:tc>
        <w:tc>
          <w:tcPr>
            <w:tcW w:w="3117" w:type="dxa"/>
            <w:shd w:val="clear" w:color="auto" w:fill="D9D9D9" w:themeFill="background1" w:themeFillShade="D9"/>
          </w:tcPr>
          <w:p w14:paraId="5DFC7813" w14:textId="77777777" w:rsidR="007E4EF2" w:rsidRPr="00C25549" w:rsidRDefault="007E4EF2" w:rsidP="008923E6">
            <w:pPr>
              <w:pStyle w:val="Reminders"/>
              <w:rPr>
                <w:rFonts w:asciiTheme="minorHAnsi" w:hAnsiTheme="minorHAnsi" w:cstheme="minorHAnsi"/>
                <w:b/>
                <w:i w:val="0"/>
                <w:color w:val="auto"/>
                <w:szCs w:val="22"/>
              </w:rPr>
            </w:pPr>
            <w:r w:rsidRPr="00C25549">
              <w:rPr>
                <w:rFonts w:asciiTheme="minorHAnsi" w:hAnsiTheme="minorHAnsi" w:cstheme="minorHAnsi"/>
                <w:b/>
                <w:i w:val="0"/>
                <w:color w:val="auto"/>
                <w:szCs w:val="22"/>
              </w:rPr>
              <w:t>kWh savings</w:t>
            </w:r>
          </w:p>
        </w:tc>
        <w:tc>
          <w:tcPr>
            <w:tcW w:w="3117" w:type="dxa"/>
            <w:shd w:val="clear" w:color="auto" w:fill="D9D9D9" w:themeFill="background1" w:themeFillShade="D9"/>
          </w:tcPr>
          <w:p w14:paraId="39974F50" w14:textId="77777777" w:rsidR="007E4EF2" w:rsidRPr="00C25549" w:rsidRDefault="007E4EF2" w:rsidP="008923E6">
            <w:pPr>
              <w:pStyle w:val="Reminders"/>
              <w:rPr>
                <w:rFonts w:asciiTheme="minorHAnsi" w:hAnsiTheme="minorHAnsi" w:cstheme="minorHAnsi"/>
                <w:b/>
                <w:i w:val="0"/>
                <w:color w:val="auto"/>
                <w:szCs w:val="22"/>
              </w:rPr>
            </w:pPr>
            <w:r w:rsidRPr="00C25549">
              <w:rPr>
                <w:rFonts w:asciiTheme="minorHAnsi" w:hAnsiTheme="minorHAnsi" w:cstheme="minorHAnsi"/>
                <w:b/>
                <w:i w:val="0"/>
                <w:color w:val="auto"/>
                <w:szCs w:val="22"/>
              </w:rPr>
              <w:t>kW reduction</w:t>
            </w:r>
          </w:p>
        </w:tc>
      </w:tr>
      <w:tr w:rsidR="007E4EF2" w14:paraId="715E825C" w14:textId="77777777" w:rsidTr="00C25549">
        <w:tc>
          <w:tcPr>
            <w:tcW w:w="3116" w:type="dxa"/>
          </w:tcPr>
          <w:p w14:paraId="0055BD63"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Twenty selected sites</w:t>
            </w:r>
          </w:p>
        </w:tc>
        <w:tc>
          <w:tcPr>
            <w:tcW w:w="3117" w:type="dxa"/>
          </w:tcPr>
          <w:p w14:paraId="744F3DD4"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7,171.92</w:t>
            </w:r>
          </w:p>
        </w:tc>
        <w:tc>
          <w:tcPr>
            <w:tcW w:w="3117" w:type="dxa"/>
          </w:tcPr>
          <w:p w14:paraId="1F03D712"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0.80720</w:t>
            </w:r>
          </w:p>
        </w:tc>
      </w:tr>
      <w:tr w:rsidR="007E4EF2" w14:paraId="2E33639B" w14:textId="77777777" w:rsidTr="00C25549">
        <w:tc>
          <w:tcPr>
            <w:tcW w:w="3116" w:type="dxa"/>
          </w:tcPr>
          <w:p w14:paraId="51BC05CC"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twenty sites after 10 months</w:t>
            </w:r>
          </w:p>
        </w:tc>
        <w:tc>
          <w:tcPr>
            <w:tcW w:w="3117" w:type="dxa"/>
          </w:tcPr>
          <w:p w14:paraId="35373F0C"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7,180.24</w:t>
            </w:r>
          </w:p>
        </w:tc>
        <w:tc>
          <w:tcPr>
            <w:tcW w:w="3117" w:type="dxa"/>
          </w:tcPr>
          <w:p w14:paraId="237A8455"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0.81335</w:t>
            </w:r>
          </w:p>
        </w:tc>
      </w:tr>
      <w:tr w:rsidR="007E4EF2" w14:paraId="0441704E" w14:textId="77777777" w:rsidTr="00C25549">
        <w:tc>
          <w:tcPr>
            <w:tcW w:w="3116" w:type="dxa"/>
          </w:tcPr>
          <w:p w14:paraId="04810A07"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Percent change</w:t>
            </w:r>
          </w:p>
        </w:tc>
        <w:tc>
          <w:tcPr>
            <w:tcW w:w="3117" w:type="dxa"/>
          </w:tcPr>
          <w:p w14:paraId="656A646A"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Increased by 0.12%</w:t>
            </w:r>
          </w:p>
        </w:tc>
        <w:tc>
          <w:tcPr>
            <w:tcW w:w="3117" w:type="dxa"/>
          </w:tcPr>
          <w:p w14:paraId="3D9B275A" w14:textId="77777777" w:rsidR="007E4EF2" w:rsidRDefault="007E4EF2" w:rsidP="008923E6">
            <w:pPr>
              <w:pStyle w:val="Reminders"/>
              <w:rPr>
                <w:rFonts w:asciiTheme="minorHAnsi" w:hAnsiTheme="minorHAnsi" w:cstheme="minorHAnsi"/>
                <w:i w:val="0"/>
                <w:color w:val="auto"/>
                <w:szCs w:val="22"/>
              </w:rPr>
            </w:pPr>
            <w:r>
              <w:rPr>
                <w:rFonts w:asciiTheme="minorHAnsi" w:hAnsiTheme="minorHAnsi" w:cstheme="minorHAnsi"/>
                <w:i w:val="0"/>
                <w:color w:val="auto"/>
                <w:szCs w:val="22"/>
              </w:rPr>
              <w:t>Increased by 0.76%</w:t>
            </w:r>
          </w:p>
        </w:tc>
      </w:tr>
    </w:tbl>
    <w:p w14:paraId="5D7E142F" w14:textId="77777777" w:rsidR="007E4EF2" w:rsidRDefault="007E4EF2" w:rsidP="007E4EF2">
      <w:pPr>
        <w:pStyle w:val="Reminders"/>
        <w:rPr>
          <w:rFonts w:asciiTheme="minorHAnsi" w:hAnsiTheme="minorHAnsi" w:cstheme="minorHAnsi"/>
          <w:i w:val="0"/>
          <w:color w:val="auto"/>
          <w:szCs w:val="22"/>
        </w:rPr>
      </w:pPr>
    </w:p>
    <w:p w14:paraId="48D94396"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Despite the increases in pump speed, the savings increased slightly. Therefore no adjustments were made to the savings.</w:t>
      </w:r>
    </w:p>
    <w:p w14:paraId="5202BCA4" w14:textId="77777777" w:rsidR="007E4EF2" w:rsidRDefault="007E4EF2" w:rsidP="007E4EF2">
      <w:pPr>
        <w:pStyle w:val="Reminders"/>
        <w:rPr>
          <w:rFonts w:asciiTheme="minorHAnsi" w:hAnsiTheme="minorHAnsi" w:cstheme="minorHAnsi"/>
          <w:i w:val="0"/>
          <w:color w:val="auto"/>
          <w:szCs w:val="22"/>
        </w:rPr>
      </w:pPr>
    </w:p>
    <w:p w14:paraId="4E0BAFAD"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b/>
          <w:i w:val="0"/>
          <w:color w:val="auto"/>
          <w:szCs w:val="22"/>
        </w:rPr>
        <w:t>ROB Savings</w:t>
      </w:r>
    </w:p>
    <w:p w14:paraId="315F605B"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Title 20 requires that residential pool pumps be able to operate at two or more speeds. Since the pump projects data set only had single speed pumps in the baseline, a theoretical two speed baseline was created for each project. The assumptions for the two-speed pump are:</w:t>
      </w:r>
    </w:p>
    <w:p w14:paraId="33005B1A" w14:textId="77777777" w:rsidR="007E4EF2" w:rsidRDefault="007E4EF2" w:rsidP="007E4EF2">
      <w:pPr>
        <w:pStyle w:val="Reminders"/>
        <w:numPr>
          <w:ilvl w:val="0"/>
          <w:numId w:val="43"/>
        </w:numPr>
        <w:rPr>
          <w:rFonts w:asciiTheme="minorHAnsi" w:hAnsiTheme="minorHAnsi" w:cstheme="minorHAnsi"/>
          <w:i w:val="0"/>
          <w:color w:val="auto"/>
          <w:szCs w:val="22"/>
        </w:rPr>
      </w:pPr>
      <w:r>
        <w:rPr>
          <w:rFonts w:asciiTheme="minorHAnsi" w:hAnsiTheme="minorHAnsi" w:cstheme="minorHAnsi"/>
          <w:i w:val="0"/>
          <w:color w:val="auto"/>
          <w:szCs w:val="22"/>
        </w:rPr>
        <w:t>Operates at high speed (3450 rpm) from 6 AM–10 PM. The power is the same as for a single speed pump.</w:t>
      </w:r>
    </w:p>
    <w:p w14:paraId="2FB3B855" w14:textId="77777777" w:rsidR="007E4EF2" w:rsidRDefault="007E4EF2" w:rsidP="007E4EF2">
      <w:pPr>
        <w:pStyle w:val="Reminders"/>
        <w:numPr>
          <w:ilvl w:val="0"/>
          <w:numId w:val="43"/>
        </w:numPr>
        <w:rPr>
          <w:rFonts w:asciiTheme="minorHAnsi" w:hAnsiTheme="minorHAnsi" w:cstheme="minorHAnsi"/>
          <w:i w:val="0"/>
          <w:color w:val="auto"/>
          <w:szCs w:val="22"/>
        </w:rPr>
      </w:pPr>
      <w:r>
        <w:rPr>
          <w:rFonts w:asciiTheme="minorHAnsi" w:hAnsiTheme="minorHAnsi" w:cstheme="minorHAnsi"/>
          <w:i w:val="0"/>
          <w:color w:val="auto"/>
          <w:szCs w:val="22"/>
        </w:rPr>
        <w:t>Operates at half speed (1725 rpm) from 10 PM–6 AM. The power is calculated using CEC data. For all two-speed pumps in the CEC Pool Products database, the average ratio of half speed power to full speed power is 0.22488. Therefore the high speed power is multiplied by this value.</w:t>
      </w:r>
    </w:p>
    <w:p w14:paraId="1CB35E16" w14:textId="77777777" w:rsidR="007E4EF2" w:rsidRDefault="007E4EF2" w:rsidP="007E4EF2">
      <w:pPr>
        <w:pStyle w:val="Reminders"/>
        <w:rPr>
          <w:rFonts w:asciiTheme="minorHAnsi" w:hAnsiTheme="minorHAnsi" w:cstheme="minorHAnsi"/>
          <w:i w:val="0"/>
          <w:color w:val="auto"/>
          <w:szCs w:val="22"/>
        </w:rPr>
      </w:pPr>
    </w:p>
    <w:p w14:paraId="282D373A" w14:textId="77777777" w:rsidR="007E4EF2"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Energy savings and demand reduction were calculated individually for each site and then straight-averaged across all 69 sites. The demand reduction is the same as for RET because the theoretical two speed pump is assumed to operate at high speed from 2–5 PM. The results are:</w:t>
      </w:r>
    </w:p>
    <w:p w14:paraId="69AC7F9D" w14:textId="77777777" w:rsidR="007E4EF2" w:rsidRDefault="007E4EF2" w:rsidP="007E4EF2">
      <w:pPr>
        <w:pStyle w:val="Reminders"/>
        <w:rPr>
          <w:rFonts w:asciiTheme="minorHAnsi" w:hAnsiTheme="minorHAnsi" w:cstheme="minorHAnsi"/>
          <w:i w:val="0"/>
          <w:color w:val="auto"/>
          <w:szCs w:val="22"/>
        </w:rPr>
      </w:pPr>
    </w:p>
    <w:p w14:paraId="19A8982F" w14:textId="77777777" w:rsidR="007E4EF2" w:rsidRPr="00BB3C34" w:rsidRDefault="007E4EF2" w:rsidP="007E4EF2">
      <w:pPr>
        <w:pStyle w:val="Reminders"/>
        <w:ind w:left="720"/>
        <w:rPr>
          <w:rFonts w:asciiTheme="minorHAnsi" w:hAnsiTheme="minorHAnsi" w:cstheme="minorHAnsi"/>
          <w:b/>
          <w:i w:val="0"/>
          <w:color w:val="auto"/>
          <w:szCs w:val="22"/>
        </w:rPr>
      </w:pPr>
      <m:oMathPara>
        <m:oMathParaPr>
          <m:jc m:val="left"/>
        </m:oMathParaPr>
        <m:oMath>
          <m:r>
            <m:rPr>
              <m:sty m:val="bi"/>
            </m:rPr>
            <w:rPr>
              <w:rFonts w:ascii="Cambria Math" w:hAnsi="Cambria Math" w:cstheme="minorHAnsi"/>
              <w:color w:val="auto"/>
              <w:szCs w:val="22"/>
            </w:rPr>
            <m:t>Electricity Savings=4,300.47 kWh</m:t>
          </m:r>
        </m:oMath>
      </m:oMathPara>
    </w:p>
    <w:p w14:paraId="73E2F6FF" w14:textId="77777777" w:rsidR="007E4EF2" w:rsidRPr="001C2E3C" w:rsidRDefault="007E4EF2" w:rsidP="007E4EF2">
      <w:pPr>
        <w:pStyle w:val="Reminders"/>
        <w:ind w:left="720"/>
        <w:rPr>
          <w:rFonts w:asciiTheme="minorHAnsi" w:hAnsiTheme="minorHAnsi" w:cstheme="minorHAnsi"/>
          <w:i w:val="0"/>
          <w:color w:val="auto"/>
          <w:szCs w:val="22"/>
        </w:rPr>
      </w:pPr>
    </w:p>
    <w:p w14:paraId="652A901E" w14:textId="77777777" w:rsidR="007E4EF2" w:rsidRPr="00BB3C34" w:rsidRDefault="007E4EF2" w:rsidP="007E4EF2">
      <w:pPr>
        <w:pStyle w:val="Reminders"/>
        <w:ind w:left="720"/>
        <w:rPr>
          <w:rFonts w:asciiTheme="minorHAnsi" w:hAnsiTheme="minorHAnsi" w:cstheme="minorHAnsi"/>
          <w:b/>
          <w:i w:val="0"/>
          <w:color w:val="auto"/>
          <w:szCs w:val="22"/>
        </w:rPr>
      </w:pPr>
      <m:oMathPara>
        <m:oMathParaPr>
          <m:jc m:val="left"/>
        </m:oMathParaPr>
        <m:oMath>
          <m:r>
            <m:rPr>
              <m:sty m:val="bi"/>
            </m:rPr>
            <w:rPr>
              <w:rFonts w:ascii="Cambria Math" w:hAnsi="Cambria Math" w:cstheme="minorHAnsi"/>
              <w:color w:val="auto"/>
              <w:szCs w:val="22"/>
            </w:rPr>
            <m:t>Demand Reduction=0.75932 kW</m:t>
          </m:r>
        </m:oMath>
      </m:oMathPara>
    </w:p>
    <w:p w14:paraId="2CE7B5ED" w14:textId="77777777" w:rsidR="007E4EF2" w:rsidRPr="0057144A" w:rsidRDefault="007E4EF2" w:rsidP="007E4EF2">
      <w:pPr>
        <w:pStyle w:val="Reminders"/>
        <w:rPr>
          <w:rFonts w:asciiTheme="minorHAnsi" w:hAnsiTheme="minorHAnsi" w:cstheme="minorHAnsi"/>
          <w:i w:val="0"/>
          <w:color w:val="auto"/>
          <w:szCs w:val="22"/>
        </w:rPr>
      </w:pPr>
    </w:p>
    <w:p w14:paraId="503B1592" w14:textId="77777777" w:rsidR="007E4EF2" w:rsidRPr="00B63D80" w:rsidRDefault="007E4EF2" w:rsidP="007E4EF2">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ROB savings are also the second baseline savings for the RET measure. See Attachment 2 for the data set and calculations.</w:t>
      </w:r>
    </w:p>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8"/>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C25549" w:rsidRPr="00500C4E" w14:paraId="3D341893" w14:textId="77777777" w:rsidTr="00920905">
        <w:tc>
          <w:tcPr>
            <w:tcW w:w="1686" w:type="pct"/>
          </w:tcPr>
          <w:p w14:paraId="4FA2FF6D" w14:textId="2407C2FD" w:rsidR="00C25549" w:rsidRPr="00920905" w:rsidRDefault="00C25549" w:rsidP="00C25549">
            <w:pPr>
              <w:rPr>
                <w:rFonts w:cstheme="minorHAnsi"/>
                <w:color w:val="FF0000"/>
                <w:szCs w:val="20"/>
              </w:rPr>
            </w:pPr>
            <w:r w:rsidRPr="00D15BB6">
              <w:rPr>
                <w:rFonts w:cstheme="minorHAnsi"/>
                <w:szCs w:val="20"/>
              </w:rPr>
              <w:t>Residential Multi-family</w:t>
            </w:r>
          </w:p>
        </w:tc>
        <w:tc>
          <w:tcPr>
            <w:tcW w:w="1779" w:type="pct"/>
          </w:tcPr>
          <w:p w14:paraId="3B2DCD1E" w14:textId="423221BB" w:rsidR="00C25549" w:rsidRPr="00920905" w:rsidRDefault="00C25549" w:rsidP="00C25549">
            <w:pPr>
              <w:rPr>
                <w:rFonts w:cstheme="minorHAnsi"/>
                <w:color w:val="FF0000"/>
                <w:szCs w:val="20"/>
              </w:rPr>
            </w:pPr>
            <w:r w:rsidRPr="00797974">
              <w:rPr>
                <w:rFonts w:cstheme="minorHAnsi"/>
                <w:szCs w:val="20"/>
              </w:rPr>
              <w:t>Residential Pool Pumps</w:t>
            </w:r>
          </w:p>
        </w:tc>
        <w:tc>
          <w:tcPr>
            <w:tcW w:w="1535" w:type="pct"/>
          </w:tcPr>
          <w:p w14:paraId="6722CD8A" w14:textId="263239F4" w:rsidR="00C25549" w:rsidRPr="00920905" w:rsidRDefault="00C25549" w:rsidP="00C25549">
            <w:pPr>
              <w:rPr>
                <w:rFonts w:cstheme="minorHAnsi"/>
                <w:color w:val="FF0000"/>
                <w:szCs w:val="20"/>
              </w:rPr>
            </w:pPr>
            <w:r>
              <w:rPr>
                <w:rFonts w:cstheme="minorHAnsi"/>
                <w:szCs w:val="20"/>
              </w:rPr>
              <w:t>Residential</w:t>
            </w:r>
          </w:p>
        </w:tc>
      </w:tr>
    </w:tbl>
    <w:p w14:paraId="52C9214C" w14:textId="5A04C955" w:rsidR="005552C3" w:rsidRDefault="00F95E2F" w:rsidP="00920905">
      <w:pPr>
        <w:pStyle w:val="Heading1"/>
      </w:pPr>
      <w:r>
        <w:lastRenderedPageBreak/>
        <w:t>Section 4. Costs</w:t>
      </w:r>
    </w:p>
    <w:p w14:paraId="4696E137" w14:textId="77777777" w:rsidR="00E16609" w:rsidRDefault="00E16609" w:rsidP="00824F1C">
      <w:pPr>
        <w:pStyle w:val="Heading2"/>
        <w:rPr>
          <w:rFonts w:asciiTheme="minorHAnsi" w:hAnsiTheme="minorHAnsi" w:cstheme="minorHAnsi"/>
        </w:rPr>
      </w:pPr>
      <w:bookmarkStart w:id="20" w:name="_MON_1399297811"/>
      <w:bookmarkStart w:id="21" w:name="_Toc214003097"/>
      <w:bookmarkEnd w:id="20"/>
      <w:r w:rsidRPr="00500C4E">
        <w:rPr>
          <w:rFonts w:asciiTheme="minorHAnsi" w:hAnsiTheme="minorHAnsi" w:cstheme="minorHAnsi"/>
        </w:rPr>
        <w:t>4.1 Base Case Cost</w:t>
      </w:r>
      <w:bookmarkEnd w:id="21"/>
    </w:p>
    <w:p w14:paraId="7204E626" w14:textId="77777777" w:rsidR="00C25549" w:rsidRDefault="00C25549" w:rsidP="00C25549">
      <w:pPr>
        <w:pStyle w:val="Reminders"/>
        <w:rPr>
          <w:rFonts w:asciiTheme="minorHAnsi" w:hAnsiTheme="minorHAnsi" w:cstheme="minorHAnsi"/>
          <w:i w:val="0"/>
          <w:color w:val="auto"/>
          <w:szCs w:val="22"/>
        </w:rPr>
      </w:pPr>
      <w:r>
        <w:rPr>
          <w:rFonts w:asciiTheme="minorHAnsi" w:hAnsiTheme="minorHAnsi" w:cstheme="minorHAnsi"/>
          <w:i w:val="0"/>
          <w:color w:val="auto"/>
          <w:szCs w:val="22"/>
        </w:rPr>
        <w:t>T</w:t>
      </w:r>
      <w:r w:rsidRPr="006A0924">
        <w:rPr>
          <w:rFonts w:asciiTheme="minorHAnsi" w:hAnsiTheme="minorHAnsi" w:cstheme="minorHAnsi"/>
          <w:i w:val="0"/>
          <w:color w:val="auto"/>
          <w:szCs w:val="22"/>
        </w:rPr>
        <w:t xml:space="preserve">he SCE evaluation team solicited bids (material and labor) for </w:t>
      </w:r>
      <w:r>
        <w:rPr>
          <w:rFonts w:asciiTheme="minorHAnsi" w:hAnsiTheme="minorHAnsi" w:cstheme="minorHAnsi"/>
          <w:i w:val="0"/>
          <w:color w:val="auto"/>
          <w:szCs w:val="22"/>
        </w:rPr>
        <w:t>single</w:t>
      </w:r>
      <w:r w:rsidRPr="006A0924">
        <w:rPr>
          <w:rFonts w:asciiTheme="minorHAnsi" w:hAnsiTheme="minorHAnsi" w:cstheme="minorHAnsi"/>
          <w:i w:val="0"/>
          <w:color w:val="auto"/>
          <w:szCs w:val="22"/>
        </w:rPr>
        <w:t>-speed</w:t>
      </w:r>
      <w:r>
        <w:rPr>
          <w:rFonts w:asciiTheme="minorHAnsi" w:hAnsiTheme="minorHAnsi" w:cstheme="minorHAnsi"/>
          <w:i w:val="0"/>
          <w:color w:val="auto"/>
          <w:szCs w:val="22"/>
        </w:rPr>
        <w:t xml:space="preserve"> and VS</w:t>
      </w:r>
      <w:r w:rsidRPr="006A0924">
        <w:rPr>
          <w:rFonts w:asciiTheme="minorHAnsi" w:hAnsiTheme="minorHAnsi" w:cstheme="minorHAnsi"/>
          <w:i w:val="0"/>
          <w:color w:val="auto"/>
          <w:szCs w:val="22"/>
        </w:rPr>
        <w:t xml:space="preserve"> residential pool pumps</w:t>
      </w:r>
      <w:r>
        <w:rPr>
          <w:rFonts w:asciiTheme="minorHAnsi" w:hAnsiTheme="minorHAnsi" w:cstheme="minorHAnsi"/>
          <w:i w:val="0"/>
          <w:color w:val="auto"/>
          <w:szCs w:val="22"/>
        </w:rPr>
        <w:t xml:space="preserve"> to ascertain costs</w:t>
      </w:r>
      <w:r w:rsidRPr="006A0924">
        <w:rPr>
          <w:rFonts w:asciiTheme="minorHAnsi" w:hAnsiTheme="minorHAnsi" w:cstheme="minorHAnsi"/>
          <w:i w:val="0"/>
          <w:color w:val="auto"/>
          <w:szCs w:val="22"/>
        </w:rPr>
        <w:t>. The bid to replace a single</w:t>
      </w:r>
      <w:r>
        <w:rPr>
          <w:rFonts w:asciiTheme="minorHAnsi" w:hAnsiTheme="minorHAnsi" w:cstheme="minorHAnsi"/>
          <w:i w:val="0"/>
          <w:color w:val="auto"/>
          <w:szCs w:val="22"/>
        </w:rPr>
        <w:t xml:space="preserve">-speed pump with a single-speed pump </w:t>
      </w:r>
      <w:r w:rsidRPr="006A0924">
        <w:rPr>
          <w:rFonts w:asciiTheme="minorHAnsi" w:hAnsiTheme="minorHAnsi" w:cstheme="minorHAnsi"/>
          <w:i w:val="0"/>
          <w:color w:val="auto"/>
          <w:szCs w:val="22"/>
        </w:rPr>
        <w:t>is $687.24.</w:t>
      </w:r>
      <w:r>
        <w:rPr>
          <w:rFonts w:asciiTheme="minorHAnsi" w:hAnsiTheme="minorHAnsi" w:cstheme="minorHAnsi"/>
          <w:i w:val="0"/>
          <w:color w:val="auto"/>
          <w:szCs w:val="22"/>
        </w:rPr>
        <w:t xml:space="preserve"> </w:t>
      </w:r>
      <w:r w:rsidRPr="006A0924">
        <w:rPr>
          <w:rFonts w:asciiTheme="minorHAnsi" w:hAnsiTheme="minorHAnsi" w:cstheme="minorHAnsi"/>
          <w:i w:val="0"/>
          <w:color w:val="auto"/>
          <w:szCs w:val="22"/>
        </w:rPr>
        <w:t>A</w:t>
      </w:r>
      <w:r>
        <w:rPr>
          <w:rFonts w:asciiTheme="minorHAnsi" w:hAnsiTheme="minorHAnsi" w:cstheme="minorHAnsi"/>
          <w:i w:val="0"/>
          <w:color w:val="auto"/>
          <w:szCs w:val="22"/>
        </w:rPr>
        <w:t xml:space="preserve"> DOE</w:t>
      </w:r>
      <w:r w:rsidRPr="006A0924">
        <w:rPr>
          <w:rFonts w:asciiTheme="minorHAnsi" w:hAnsiTheme="minorHAnsi" w:cstheme="minorHAnsi"/>
          <w:i w:val="0"/>
          <w:color w:val="auto"/>
          <w:szCs w:val="22"/>
        </w:rPr>
        <w:t xml:space="preserve"> Measure Guideline document </w:t>
      </w:r>
      <w:r>
        <w:rPr>
          <w:rFonts w:asciiTheme="minorHAnsi" w:hAnsiTheme="minorHAnsi" w:cstheme="minorHAnsi"/>
          <w:i w:val="0"/>
          <w:color w:val="auto"/>
          <w:szCs w:val="22"/>
        </w:rPr>
        <w:t>on VS pool pumps</w:t>
      </w:r>
      <w:r w:rsidRPr="006A0924">
        <w:rPr>
          <w:rFonts w:asciiTheme="minorHAnsi" w:hAnsiTheme="minorHAnsi" w:cstheme="minorHAnsi"/>
          <w:i w:val="0"/>
          <w:color w:val="auto"/>
          <w:szCs w:val="22"/>
        </w:rPr>
        <w:t xml:space="preserve"> estimated </w:t>
      </w:r>
      <w:r>
        <w:rPr>
          <w:rFonts w:asciiTheme="minorHAnsi" w:hAnsiTheme="minorHAnsi" w:cstheme="minorHAnsi"/>
          <w:i w:val="0"/>
          <w:color w:val="auto"/>
          <w:szCs w:val="22"/>
        </w:rPr>
        <w:t>single-speed pool pump costs as $</w:t>
      </w:r>
      <w:r w:rsidRPr="006A0924">
        <w:rPr>
          <w:rFonts w:asciiTheme="minorHAnsi" w:hAnsiTheme="minorHAnsi" w:cstheme="minorHAnsi"/>
          <w:i w:val="0"/>
          <w:color w:val="auto"/>
          <w:szCs w:val="22"/>
        </w:rPr>
        <w:t>400 to $</w:t>
      </w:r>
      <w:r>
        <w:rPr>
          <w:rFonts w:asciiTheme="minorHAnsi" w:hAnsiTheme="minorHAnsi" w:cstheme="minorHAnsi"/>
          <w:i w:val="0"/>
          <w:color w:val="auto"/>
          <w:szCs w:val="22"/>
        </w:rPr>
        <w:t>7</w:t>
      </w:r>
      <w:r w:rsidRPr="006A0924">
        <w:rPr>
          <w:rFonts w:asciiTheme="minorHAnsi" w:hAnsiTheme="minorHAnsi" w:cstheme="minorHAnsi"/>
          <w:i w:val="0"/>
          <w:color w:val="auto"/>
          <w:szCs w:val="22"/>
        </w:rPr>
        <w:t>00 [466].</w:t>
      </w:r>
    </w:p>
    <w:p w14:paraId="40FE355E" w14:textId="77777777" w:rsidR="00C25549" w:rsidRDefault="00C25549" w:rsidP="00C25549">
      <w:pPr>
        <w:pStyle w:val="Reminders"/>
        <w:rPr>
          <w:rFonts w:asciiTheme="minorHAnsi" w:hAnsiTheme="minorHAnsi" w:cstheme="minorHAnsi"/>
          <w:i w:val="0"/>
          <w:color w:val="auto"/>
          <w:szCs w:val="22"/>
        </w:rPr>
      </w:pPr>
    </w:p>
    <w:p w14:paraId="735230D6" w14:textId="77777777" w:rsidR="00C25549" w:rsidRDefault="00C25549" w:rsidP="00C25549">
      <w:pPr>
        <w:pStyle w:val="Reminders"/>
        <w:rPr>
          <w:rFonts w:asciiTheme="minorHAnsi" w:hAnsiTheme="minorHAnsi" w:cstheme="minorHAnsi"/>
          <w:i w:val="0"/>
          <w:color w:val="auto"/>
          <w:szCs w:val="22"/>
        </w:rPr>
      </w:pPr>
      <w:r>
        <w:rPr>
          <w:rFonts w:asciiTheme="minorHAnsi" w:hAnsiTheme="minorHAnsi" w:cstheme="minorHAnsi"/>
          <w:i w:val="0"/>
          <w:color w:val="auto"/>
          <w:szCs w:val="22"/>
        </w:rPr>
        <w:t>Based on these sources, the single-speed base case cost used for this work paper is $700. From contractor quotes, about $200 of this is for labor, and $500 is for equipment.</w:t>
      </w:r>
    </w:p>
    <w:p w14:paraId="33286BD7" w14:textId="77777777" w:rsidR="00C25549" w:rsidRDefault="00C25549" w:rsidP="00C25549">
      <w:pPr>
        <w:pStyle w:val="Reminders"/>
        <w:rPr>
          <w:rFonts w:asciiTheme="minorHAnsi" w:hAnsiTheme="minorHAnsi" w:cstheme="minorHAnsi"/>
          <w:i w:val="0"/>
          <w:color w:val="auto"/>
          <w:szCs w:val="22"/>
        </w:rPr>
      </w:pPr>
    </w:p>
    <w:p w14:paraId="5BF63111" w14:textId="30BDF8BD" w:rsidR="00FE5FAF" w:rsidRPr="00920905" w:rsidRDefault="00C25549" w:rsidP="00C25549">
      <w:pPr>
        <w:rPr>
          <w:color w:val="FF0000"/>
        </w:rPr>
      </w:pPr>
      <w:r>
        <w:rPr>
          <w:rFonts w:cstheme="minorHAnsi"/>
          <w:szCs w:val="22"/>
        </w:rPr>
        <w:t>The DOE Measure Guideline document estimated two-speed pump costs as $700 to $1000. The two-speed case cost is approximated to be $1000. Based on contractor quotes, about $300 of this is for labor, and $700 is for equipment.</w:t>
      </w:r>
    </w:p>
    <w:p w14:paraId="44713B57" w14:textId="77777777" w:rsidR="005A0E53" w:rsidRPr="00500C4E" w:rsidRDefault="005A0E53" w:rsidP="005A0E53">
      <w:pPr>
        <w:pStyle w:val="Heading2"/>
        <w:rPr>
          <w:rFonts w:asciiTheme="minorHAnsi" w:hAnsiTheme="minorHAnsi" w:cstheme="minorHAnsi"/>
        </w:rPr>
      </w:pPr>
      <w:bookmarkStart w:id="22" w:name="_Toc214003098"/>
      <w:r w:rsidRPr="00500C4E">
        <w:rPr>
          <w:rFonts w:asciiTheme="minorHAnsi" w:hAnsiTheme="minorHAnsi" w:cstheme="minorHAnsi"/>
        </w:rPr>
        <w:t>4.2 Measure Case Cost</w:t>
      </w:r>
    </w:p>
    <w:p w14:paraId="4A25BE48" w14:textId="77777777" w:rsidR="00C25549" w:rsidRDefault="00C25549" w:rsidP="00C25549">
      <w:pPr>
        <w:rPr>
          <w:b/>
          <w:bCs/>
          <w:iCs/>
          <w:smallCaps/>
        </w:rPr>
      </w:pPr>
      <w:r>
        <w:t>The bid to replace an existing single</w:t>
      </w:r>
      <w:r w:rsidRPr="001D5CB1">
        <w:t xml:space="preserve">-speed pump, remove </w:t>
      </w:r>
      <w:r>
        <w:t xml:space="preserve">the </w:t>
      </w:r>
      <w:r w:rsidRPr="001D5CB1">
        <w:t>mechanical timer,</w:t>
      </w:r>
      <w:r>
        <w:t xml:space="preserve"> and</w:t>
      </w:r>
      <w:r w:rsidRPr="001D5CB1">
        <w:t xml:space="preserve"> install and program a </w:t>
      </w:r>
      <w:r>
        <w:t>VS</w:t>
      </w:r>
      <w:r w:rsidRPr="001D5CB1">
        <w:t xml:space="preserve"> pump is $1,705.77.</w:t>
      </w:r>
      <w:r>
        <w:t xml:space="preserve"> </w:t>
      </w:r>
      <w:r w:rsidRPr="00B95001">
        <w:t>A DOE Measure Guideline document on VS pool pumps</w:t>
      </w:r>
      <w:r>
        <w:t xml:space="preserve"> estimated measure costs as $1,400 to $1,800 [466].</w:t>
      </w:r>
    </w:p>
    <w:p w14:paraId="2501A74D" w14:textId="77777777" w:rsidR="00C25549" w:rsidRDefault="00C25549" w:rsidP="00C25549">
      <w:pPr>
        <w:rPr>
          <w:rFonts w:cstheme="minorHAnsi"/>
          <w:szCs w:val="22"/>
        </w:rPr>
      </w:pPr>
    </w:p>
    <w:p w14:paraId="4B7BFD6E" w14:textId="77777777" w:rsidR="00C25549" w:rsidRDefault="00C25549" w:rsidP="00C25549">
      <w:pPr>
        <w:rPr>
          <w:rFonts w:cstheme="minorHAnsi"/>
          <w:szCs w:val="22"/>
        </w:rPr>
      </w:pPr>
      <w:r w:rsidRPr="006A0924">
        <w:rPr>
          <w:rFonts w:cstheme="minorHAnsi"/>
          <w:szCs w:val="22"/>
        </w:rPr>
        <w:t xml:space="preserve">Based on these sources, the </w:t>
      </w:r>
      <w:r>
        <w:rPr>
          <w:rFonts w:cstheme="minorHAnsi"/>
          <w:szCs w:val="22"/>
        </w:rPr>
        <w:t>measure</w:t>
      </w:r>
      <w:r w:rsidRPr="006A0924">
        <w:rPr>
          <w:rFonts w:cstheme="minorHAnsi"/>
          <w:szCs w:val="22"/>
        </w:rPr>
        <w:t xml:space="preserve"> case cost used for this work paper is $</w:t>
      </w:r>
      <w:r>
        <w:rPr>
          <w:rFonts w:cstheme="minorHAnsi"/>
          <w:szCs w:val="22"/>
        </w:rPr>
        <w:t>1,65</w:t>
      </w:r>
      <w:r w:rsidRPr="006A0924">
        <w:rPr>
          <w:rFonts w:cstheme="minorHAnsi"/>
          <w:szCs w:val="22"/>
        </w:rPr>
        <w:t>0.</w:t>
      </w:r>
      <w:r>
        <w:rPr>
          <w:rFonts w:cstheme="minorHAnsi"/>
          <w:szCs w:val="22"/>
        </w:rPr>
        <w:t xml:space="preserve"> From contractor quotes, about $500 of this is for labor, and $1,150 is for equipment.</w:t>
      </w:r>
    </w:p>
    <w:p w14:paraId="6EB6313C" w14:textId="77777777" w:rsidR="00C25549" w:rsidRDefault="00C25549" w:rsidP="00C25549">
      <w:pPr>
        <w:rPr>
          <w:rFonts w:cstheme="minorHAnsi"/>
          <w:szCs w:val="22"/>
        </w:rPr>
      </w:pPr>
    </w:p>
    <w:p w14:paraId="46E9BEB6" w14:textId="5E8BC78D" w:rsidR="00FE5FAF" w:rsidRPr="00DE77D0" w:rsidRDefault="00C25549" w:rsidP="00C25549">
      <w:pPr>
        <w:rPr>
          <w:color w:val="FF0000"/>
        </w:rPr>
      </w:pPr>
      <w:r>
        <w:rPr>
          <w:rFonts w:cstheme="minorHAnsi"/>
          <w:szCs w:val="22"/>
        </w:rPr>
        <w:t>In some cases, auxiliary equipment such as flow meters and valves need to be replaced. These are not included in the measure cost. Permit fees are also not included in the measure cost.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2"/>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30456095" w14:textId="77777777" w:rsidR="00C25549" w:rsidRDefault="00C25549" w:rsidP="00C25549">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C25549" w:rsidRPr="00500C4E" w14:paraId="31204A9D" w14:textId="77777777" w:rsidTr="00F474EF">
        <w:tc>
          <w:tcPr>
            <w:tcW w:w="587" w:type="pct"/>
            <w:vMerge w:val="restart"/>
          </w:tcPr>
          <w:p w14:paraId="20624498" w14:textId="39B58804" w:rsidR="00C25549" w:rsidRPr="00920905" w:rsidRDefault="00C25549" w:rsidP="00175D14">
            <w:pPr>
              <w:rPr>
                <w:rFonts w:cstheme="minorHAnsi"/>
                <w:color w:val="FF0000"/>
                <w:szCs w:val="20"/>
              </w:rPr>
            </w:pPr>
            <w:r>
              <w:rPr>
                <w:rFonts w:cstheme="minorHAnsi"/>
                <w:szCs w:val="20"/>
              </w:rPr>
              <w:t>PM</w:t>
            </w:r>
            <w:r w:rsidRPr="00397406">
              <w:rPr>
                <w:rFonts w:cstheme="minorHAnsi"/>
                <w:szCs w:val="20"/>
              </w:rPr>
              <w:t>-</w:t>
            </w:r>
            <w:r>
              <w:rPr>
                <w:rFonts w:cstheme="minorHAnsi"/>
                <w:szCs w:val="20"/>
              </w:rPr>
              <w:t>99453</w:t>
            </w:r>
          </w:p>
        </w:tc>
        <w:tc>
          <w:tcPr>
            <w:tcW w:w="618" w:type="pct"/>
          </w:tcPr>
          <w:p w14:paraId="1B8D4FEE" w14:textId="15DB7D4A" w:rsidR="00C25549" w:rsidRPr="00D7029B" w:rsidRDefault="00C25549" w:rsidP="00175D14">
            <w:pPr>
              <w:rPr>
                <w:rFonts w:cstheme="minorHAnsi"/>
                <w:szCs w:val="20"/>
              </w:rPr>
            </w:pPr>
            <w:r w:rsidRPr="00D7029B">
              <w:rPr>
                <w:rFonts w:cstheme="minorHAnsi"/>
                <w:szCs w:val="20"/>
              </w:rPr>
              <w:t>ROB</w:t>
            </w:r>
          </w:p>
        </w:tc>
        <w:tc>
          <w:tcPr>
            <w:tcW w:w="1266" w:type="pct"/>
          </w:tcPr>
          <w:p w14:paraId="17400ED7" w14:textId="64C73A09" w:rsidR="00C25549" w:rsidRPr="00D7029B" w:rsidRDefault="00D7029B" w:rsidP="00175D14">
            <w:pPr>
              <w:rPr>
                <w:rFonts w:cstheme="minorHAnsi"/>
                <w:szCs w:val="20"/>
              </w:rPr>
            </w:pPr>
            <w:r>
              <w:rPr>
                <w:rFonts w:cstheme="minorHAnsi"/>
                <w:szCs w:val="20"/>
              </w:rPr>
              <w:t>$650</w:t>
            </w:r>
          </w:p>
        </w:tc>
        <w:tc>
          <w:tcPr>
            <w:tcW w:w="1225" w:type="pct"/>
          </w:tcPr>
          <w:p w14:paraId="0F861C7C" w14:textId="0BEBC79F" w:rsidR="00C25549" w:rsidRPr="00D7029B" w:rsidRDefault="00D7029B" w:rsidP="00D7029B">
            <w:pPr>
              <w:rPr>
                <w:rFonts w:cstheme="minorHAnsi"/>
                <w:szCs w:val="20"/>
              </w:rPr>
            </w:pPr>
            <w:r>
              <w:rPr>
                <w:rFonts w:cstheme="minorHAnsi"/>
                <w:szCs w:val="20"/>
              </w:rPr>
              <w:t>$650</w:t>
            </w:r>
          </w:p>
        </w:tc>
        <w:tc>
          <w:tcPr>
            <w:tcW w:w="1304" w:type="pct"/>
          </w:tcPr>
          <w:p w14:paraId="26FF7460" w14:textId="77777777" w:rsidR="00C25549" w:rsidRPr="00D7029B" w:rsidRDefault="00C25549" w:rsidP="00175D14">
            <w:pPr>
              <w:rPr>
                <w:rFonts w:cstheme="minorHAnsi"/>
                <w:szCs w:val="20"/>
              </w:rPr>
            </w:pPr>
            <w:r w:rsidRPr="00D7029B">
              <w:rPr>
                <w:rFonts w:cstheme="minorHAnsi"/>
                <w:szCs w:val="20"/>
              </w:rPr>
              <w:t>N/A</w:t>
            </w:r>
          </w:p>
        </w:tc>
      </w:tr>
      <w:tr w:rsidR="00C25549" w:rsidRPr="00500C4E" w14:paraId="64E9A8E4" w14:textId="77777777" w:rsidTr="00F474EF">
        <w:tc>
          <w:tcPr>
            <w:tcW w:w="587" w:type="pct"/>
            <w:vMerge/>
          </w:tcPr>
          <w:p w14:paraId="73C0EEF5" w14:textId="4F4B82D0" w:rsidR="00C25549" w:rsidRPr="00920905" w:rsidRDefault="00C25549" w:rsidP="00175D14">
            <w:pPr>
              <w:rPr>
                <w:rFonts w:cstheme="minorHAnsi"/>
                <w:color w:val="FF0000"/>
                <w:szCs w:val="20"/>
              </w:rPr>
            </w:pPr>
          </w:p>
        </w:tc>
        <w:tc>
          <w:tcPr>
            <w:tcW w:w="618" w:type="pct"/>
          </w:tcPr>
          <w:p w14:paraId="3EDB244E" w14:textId="74EE4459" w:rsidR="00C25549" w:rsidRPr="00D7029B" w:rsidRDefault="00C25549" w:rsidP="00175D14">
            <w:pPr>
              <w:rPr>
                <w:rFonts w:cstheme="minorHAnsi"/>
                <w:szCs w:val="20"/>
              </w:rPr>
            </w:pPr>
            <w:r w:rsidRPr="00D7029B">
              <w:rPr>
                <w:rFonts w:cstheme="minorHAnsi"/>
                <w:szCs w:val="20"/>
              </w:rPr>
              <w:t>RET</w:t>
            </w:r>
          </w:p>
        </w:tc>
        <w:tc>
          <w:tcPr>
            <w:tcW w:w="1266" w:type="pct"/>
          </w:tcPr>
          <w:p w14:paraId="780C91CF" w14:textId="0BAA5F91" w:rsidR="00C25549" w:rsidRPr="00D7029B" w:rsidRDefault="00D7029B" w:rsidP="00175D14">
            <w:pPr>
              <w:rPr>
                <w:rFonts w:cstheme="minorHAnsi"/>
                <w:szCs w:val="20"/>
              </w:rPr>
            </w:pPr>
            <w:r>
              <w:rPr>
                <w:rFonts w:cstheme="minorHAnsi"/>
                <w:szCs w:val="20"/>
              </w:rPr>
              <w:t>$650</w:t>
            </w:r>
          </w:p>
        </w:tc>
        <w:tc>
          <w:tcPr>
            <w:tcW w:w="1225" w:type="pct"/>
          </w:tcPr>
          <w:p w14:paraId="1542AB5C" w14:textId="1DB955B9" w:rsidR="00C25549" w:rsidRPr="00D7029B" w:rsidRDefault="00D7029B" w:rsidP="00175D14">
            <w:pPr>
              <w:rPr>
                <w:rFonts w:cstheme="minorHAnsi"/>
                <w:szCs w:val="20"/>
              </w:rPr>
            </w:pPr>
            <w:r>
              <w:rPr>
                <w:rFonts w:cstheme="minorHAnsi"/>
                <w:szCs w:val="20"/>
              </w:rPr>
              <w:t>$1,650</w:t>
            </w:r>
          </w:p>
        </w:tc>
        <w:tc>
          <w:tcPr>
            <w:tcW w:w="1304" w:type="pct"/>
          </w:tcPr>
          <w:p w14:paraId="39B4B752" w14:textId="490DAFBD" w:rsidR="00C25549" w:rsidRPr="00D7029B" w:rsidRDefault="00D7029B" w:rsidP="00175D14">
            <w:pPr>
              <w:rPr>
                <w:rFonts w:cstheme="minorHAnsi"/>
                <w:szCs w:val="20"/>
              </w:rPr>
            </w:pPr>
            <w:r>
              <w:rPr>
                <w:rFonts w:cstheme="minorHAnsi"/>
                <w:szCs w:val="20"/>
              </w:rPr>
              <w:t>$650</w:t>
            </w:r>
          </w:p>
        </w:tc>
      </w:tr>
    </w:tbl>
    <w:p w14:paraId="37E9FBDB" w14:textId="754E7BBE" w:rsidR="00E16609" w:rsidRPr="00920905" w:rsidRDefault="00E16609">
      <w:pPr>
        <w:rPr>
          <w:rFonts w:cstheme="minorHAnsi"/>
          <w:sz w:val="20"/>
          <w:szCs w:val="20"/>
        </w:rPr>
      </w:pPr>
      <w:bookmarkStart w:id="23" w:name="_Toc214003099"/>
      <w:r w:rsidRPr="00920905">
        <w:rPr>
          <w:rFonts w:cstheme="minorHAnsi"/>
          <w:sz w:val="20"/>
          <w:szCs w:val="20"/>
        </w:rPr>
        <w:br w:type="page"/>
      </w:r>
    </w:p>
    <w:bookmarkEnd w:id="23"/>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4" w:name="_MON_1509160720"/>
    <w:bookmarkEnd w:id="24"/>
    <w:p w14:paraId="298DE117" w14:textId="5B373577" w:rsidR="00AB36DB" w:rsidRPr="00F04F7A" w:rsidRDefault="001B73AF" w:rsidP="00F04F7A">
      <w:pPr>
        <w:pStyle w:val="Reminders"/>
        <w:numPr>
          <w:ilvl w:val="0"/>
          <w:numId w:val="44"/>
        </w:numPr>
        <w:rPr>
          <w:rFonts w:asciiTheme="minorHAnsi" w:hAnsiTheme="minorHAnsi" w:cstheme="minorHAnsi"/>
          <w:i w:val="0"/>
          <w:color w:val="auto"/>
          <w:szCs w:val="22"/>
        </w:rPr>
      </w:pPr>
      <w:r>
        <w:rPr>
          <w:rFonts w:asciiTheme="minorHAnsi" w:hAnsiTheme="minorHAnsi" w:cstheme="minorHAnsi"/>
          <w:i w:val="0"/>
          <w:color w:val="auto"/>
          <w:szCs w:val="22"/>
        </w:rPr>
        <w:object w:dxaOrig="1513" w:dyaOrig="984" w14:anchorId="700B06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5.35pt;height:49.35pt" o:ole="">
            <v:imagedata r:id="rId13" o:title=""/>
          </v:shape>
          <o:OLEObject Type="Embed" ProgID="Excel.SheetMacroEnabled.12" ShapeID="_x0000_i1030" DrawAspect="Icon" ObjectID="_1510987992" r:id="rId14"/>
        </w:object>
      </w:r>
    </w:p>
    <w:bookmarkStart w:id="25" w:name="_MON_1487671265"/>
    <w:bookmarkEnd w:id="25"/>
    <w:p w14:paraId="75EF4E47" w14:textId="766813C0" w:rsidR="00F04F7A" w:rsidRPr="00F04F7A" w:rsidRDefault="00F04F7A" w:rsidP="00F04F7A">
      <w:pPr>
        <w:pStyle w:val="Reminders"/>
        <w:numPr>
          <w:ilvl w:val="0"/>
          <w:numId w:val="44"/>
        </w:numPr>
        <w:rPr>
          <w:rFonts w:asciiTheme="minorHAnsi" w:hAnsiTheme="minorHAnsi" w:cstheme="minorHAnsi"/>
          <w:i w:val="0"/>
          <w:color w:val="auto"/>
          <w:szCs w:val="22"/>
        </w:rPr>
      </w:pPr>
      <w:r w:rsidRPr="00F04F7A">
        <w:rPr>
          <w:rFonts w:asciiTheme="minorHAnsi" w:hAnsiTheme="minorHAnsi" w:cstheme="minorHAnsi"/>
          <w:i w:val="0"/>
          <w:color w:val="auto"/>
          <w:szCs w:val="22"/>
        </w:rPr>
        <w:object w:dxaOrig="1513" w:dyaOrig="984" w14:anchorId="27F17D7E">
          <v:shape id="_x0000_i1026" type="#_x0000_t75" style="width:78pt;height:48pt" o:ole="">
            <v:imagedata r:id="rId15" o:title=""/>
          </v:shape>
          <o:OLEObject Type="Embed" ProgID="Excel.Sheet.12" ShapeID="_x0000_i1026" DrawAspect="Icon" ObjectID="_1510987993" r:id="rId16"/>
        </w:object>
      </w:r>
    </w:p>
    <w:p w14:paraId="4300E814" w14:textId="77777777" w:rsidR="00A500D6" w:rsidRPr="00F04F7A"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1315A1DD" w14:textId="77777777" w:rsidR="00293073" w:rsidRDefault="00293073" w:rsidP="00293073">
      <w:pPr>
        <w:rPr>
          <w:rFonts w:cstheme="minorHAnsi"/>
        </w:rPr>
      </w:pPr>
      <w:r>
        <w:rPr>
          <w:rFonts w:cstheme="minorHAnsi"/>
        </w:rPr>
        <w:object w:dxaOrig="1513" w:dyaOrig="984" w14:anchorId="6B966088">
          <v:shape id="_x0000_i1027" type="#_x0000_t75" style="width:74.65pt;height:49.35pt" o:ole="">
            <v:imagedata r:id="rId17" o:title=""/>
          </v:shape>
          <o:OLEObject Type="Embed" ProgID="Excel.Sheet.12" ShapeID="_x0000_i1027" DrawAspect="Icon" ObjectID="_1510987994" r:id="rId18"/>
        </w:object>
      </w:r>
    </w:p>
    <w:p w14:paraId="2D761121" w14:textId="549ECFCA" w:rsidR="00293073" w:rsidRDefault="00293073" w:rsidP="00293073">
      <w:pPr>
        <w:rPr>
          <w:rFonts w:cstheme="minorHAnsi"/>
        </w:rPr>
      </w:pPr>
      <w:r>
        <w:rPr>
          <w:rFonts w:cstheme="minorHAnsi"/>
        </w:rPr>
        <w:t>[462]</w:t>
      </w:r>
    </w:p>
    <w:p w14:paraId="257BF6A8" w14:textId="77777777" w:rsidR="00293073" w:rsidRDefault="00293073" w:rsidP="00293073">
      <w:pPr>
        <w:rPr>
          <w:rFonts w:cstheme="minorHAnsi"/>
        </w:rPr>
      </w:pPr>
      <w:r>
        <w:rPr>
          <w:rFonts w:cstheme="minorHAnsi"/>
        </w:rPr>
        <w:t>[466]</w:t>
      </w:r>
    </w:p>
    <w:p w14:paraId="1FB25271" w14:textId="77777777" w:rsidR="00293073" w:rsidRDefault="00293073" w:rsidP="00293073">
      <w:pPr>
        <w:rPr>
          <w:rFonts w:cstheme="minorHAnsi"/>
        </w:rPr>
      </w:pPr>
      <w:r>
        <w:rPr>
          <w:rFonts w:cstheme="minorHAnsi"/>
        </w:rPr>
        <w:t>[467]</w:t>
      </w:r>
    </w:p>
    <w:p w14:paraId="17117080" w14:textId="77777777" w:rsidR="00293073" w:rsidRPr="00397406" w:rsidRDefault="00293073" w:rsidP="00293073">
      <w:pPr>
        <w:rPr>
          <w:rFonts w:cstheme="minorHAnsi"/>
        </w:rPr>
      </w:pPr>
      <w:r>
        <w:rPr>
          <w:rFonts w:cstheme="minorHAnsi"/>
        </w:rPr>
        <w:t>[479]</w:t>
      </w:r>
    </w:p>
    <w:p w14:paraId="3DDEEF70" w14:textId="0B9A8A68" w:rsidR="00480E7B" w:rsidRPr="00293073" w:rsidRDefault="00293073" w:rsidP="00293073">
      <w:r w:rsidRPr="00293073">
        <w:t>[493]</w:t>
      </w:r>
    </w:p>
    <w:sectPr w:rsidR="00480E7B" w:rsidRPr="00293073"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A01AEA" w14:textId="77777777" w:rsidR="0096272E" w:rsidRDefault="0096272E" w:rsidP="00447D6E">
      <w:r>
        <w:separator/>
      </w:r>
    </w:p>
    <w:p w14:paraId="14354E2A" w14:textId="77777777" w:rsidR="0096272E" w:rsidRDefault="0096272E"/>
  </w:endnote>
  <w:endnote w:type="continuationSeparator" w:id="0">
    <w:p w14:paraId="2E4495AF" w14:textId="77777777" w:rsidR="0096272E" w:rsidRDefault="0096272E" w:rsidP="00447D6E">
      <w:r>
        <w:continuationSeparator/>
      </w:r>
    </w:p>
    <w:p w14:paraId="182F2C19" w14:textId="77777777" w:rsidR="0096272E" w:rsidRDefault="009627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52F4C10" w:rsidR="008923E6" w:rsidRDefault="001B73AF"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11-12T00:00:00Z">
          <w:dateFormat w:val="MMMM d, yyyy"/>
          <w:lid w:val="en-US"/>
          <w:storeMappedDataAs w:val="dateTime"/>
          <w:calendar w:val="gregorian"/>
        </w:date>
      </w:sdtPr>
      <w:sdtEndPr/>
      <w:sdtContent>
        <w:r w:rsidR="008923E6">
          <w:rPr>
            <w:rFonts w:cstheme="minorHAnsi"/>
            <w:b/>
            <w:sz w:val="36"/>
            <w:szCs w:val="36"/>
          </w:rPr>
          <w:t>November 12, 2015</w:t>
        </w:r>
      </w:sdtContent>
    </w:sdt>
  </w:p>
  <w:p w14:paraId="650DB54B" w14:textId="670C7D5C" w:rsidR="008923E6" w:rsidRPr="009500DC" w:rsidRDefault="008923E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7FDB0AC6" w:rsidR="008923E6" w:rsidRPr="009500DC" w:rsidRDefault="001B73AF"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8923E6">
          <w:rPr>
            <w:rFonts w:cstheme="minorHAnsi"/>
            <w:b/>
            <w:sz w:val="20"/>
            <w:szCs w:val="20"/>
          </w:rPr>
          <w:t>SCE13WP009</w:t>
        </w:r>
      </w:sdtContent>
    </w:sdt>
    <w:r w:rsidR="008923E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8923E6">
          <w:rPr>
            <w:rFonts w:cstheme="minorHAnsi"/>
            <w:b/>
            <w:sz w:val="20"/>
            <w:szCs w:val="20"/>
          </w:rPr>
          <w:t>Revision 2</w:t>
        </w:r>
      </w:sdtContent>
    </w:sdt>
    <w:r w:rsidR="008923E6" w:rsidRPr="009500DC">
      <w:rPr>
        <w:rFonts w:cstheme="minorHAnsi"/>
        <w:b/>
        <w:sz w:val="20"/>
        <w:szCs w:val="20"/>
      </w:rPr>
      <w:tab/>
    </w:r>
    <w:r w:rsidR="008923E6" w:rsidRPr="009500DC">
      <w:rPr>
        <w:rFonts w:cstheme="minorHAnsi"/>
        <w:b/>
        <w:sz w:val="20"/>
        <w:szCs w:val="20"/>
      </w:rPr>
      <w:fldChar w:fldCharType="begin"/>
    </w:r>
    <w:r w:rsidR="008923E6" w:rsidRPr="009500DC">
      <w:rPr>
        <w:rFonts w:cstheme="minorHAnsi"/>
        <w:b/>
        <w:sz w:val="20"/>
        <w:szCs w:val="20"/>
      </w:rPr>
      <w:instrText xml:space="preserve"> PAGE   \* MERGEFORMAT </w:instrText>
    </w:r>
    <w:r w:rsidR="008923E6" w:rsidRPr="009500DC">
      <w:rPr>
        <w:rFonts w:cstheme="minorHAnsi"/>
        <w:b/>
        <w:sz w:val="20"/>
        <w:szCs w:val="20"/>
      </w:rPr>
      <w:fldChar w:fldCharType="separate"/>
    </w:r>
    <w:r>
      <w:rPr>
        <w:rFonts w:cstheme="minorHAnsi"/>
        <w:b/>
        <w:noProof/>
        <w:sz w:val="20"/>
        <w:szCs w:val="20"/>
      </w:rPr>
      <w:t>4</w:t>
    </w:r>
    <w:r w:rsidR="008923E6" w:rsidRPr="009500DC">
      <w:rPr>
        <w:rFonts w:cstheme="minorHAnsi"/>
        <w:b/>
        <w:noProof/>
        <w:sz w:val="20"/>
        <w:szCs w:val="20"/>
      </w:rPr>
      <w:fldChar w:fldCharType="end"/>
    </w:r>
    <w:r w:rsidR="008923E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1-12T00:00:00Z">
          <w:dateFormat w:val="MMMM d, yyyy"/>
          <w:lid w:val="en-US"/>
          <w:storeMappedDataAs w:val="dateTime"/>
          <w:calendar w:val="gregorian"/>
        </w:date>
      </w:sdtPr>
      <w:sdtEndPr/>
      <w:sdtContent>
        <w:r w:rsidR="008923E6">
          <w:rPr>
            <w:rFonts w:cstheme="minorHAnsi"/>
            <w:b/>
            <w:sz w:val="20"/>
            <w:szCs w:val="20"/>
          </w:rPr>
          <w:t>November 12, 2015</w:t>
        </w:r>
      </w:sdtContent>
    </w:sdt>
  </w:p>
  <w:p w14:paraId="43C07EA5" w14:textId="544E4323" w:rsidR="008923E6" w:rsidRPr="009500DC" w:rsidRDefault="001B73AF"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8923E6">
          <w:rPr>
            <w:rFonts w:cstheme="minorHAnsi"/>
            <w:b/>
            <w:sz w:val="20"/>
            <w:szCs w:val="20"/>
          </w:rPr>
          <w:t>Southern California Edison</w:t>
        </w:r>
      </w:sdtContent>
    </w:sdt>
  </w:p>
  <w:p w14:paraId="4AC7586E" w14:textId="77777777" w:rsidR="008923E6" w:rsidRDefault="008923E6"/>
  <w:p w14:paraId="5C9861A8" w14:textId="77777777" w:rsidR="008923E6" w:rsidRDefault="008923E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EDB510" w14:textId="77777777" w:rsidR="0096272E" w:rsidRDefault="0096272E" w:rsidP="00447D6E">
      <w:r>
        <w:separator/>
      </w:r>
    </w:p>
    <w:p w14:paraId="4C47F93C" w14:textId="77777777" w:rsidR="0096272E" w:rsidRDefault="0096272E"/>
  </w:footnote>
  <w:footnote w:type="continuationSeparator" w:id="0">
    <w:p w14:paraId="7D3667D1" w14:textId="77777777" w:rsidR="0096272E" w:rsidRDefault="0096272E" w:rsidP="00447D6E">
      <w:r>
        <w:continuationSeparator/>
      </w:r>
    </w:p>
    <w:p w14:paraId="2B39B2CB" w14:textId="77777777" w:rsidR="0096272E" w:rsidRDefault="0096272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C4337A"/>
    <w:multiLevelType w:val="hybridMultilevel"/>
    <w:tmpl w:val="34A873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1459FA"/>
    <w:multiLevelType w:val="hybridMultilevel"/>
    <w:tmpl w:val="7D0A7F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B03661"/>
    <w:multiLevelType w:val="hybridMultilevel"/>
    <w:tmpl w:val="E6FA99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1414617"/>
    <w:multiLevelType w:val="hybridMultilevel"/>
    <w:tmpl w:val="7512B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74806ED"/>
    <w:multiLevelType w:val="hybridMultilevel"/>
    <w:tmpl w:val="D8C82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76A1984"/>
    <w:multiLevelType w:val="hybridMultilevel"/>
    <w:tmpl w:val="A54A8220"/>
    <w:lvl w:ilvl="0" w:tplc="A580AA28">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37A1641E"/>
    <w:multiLevelType w:val="hybridMultilevel"/>
    <w:tmpl w:val="3DD22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34C6D62"/>
    <w:multiLevelType w:val="hybridMultilevel"/>
    <w:tmpl w:val="4FAC02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2CE493C"/>
    <w:multiLevelType w:val="hybridMultilevel"/>
    <w:tmpl w:val="133AEB48"/>
    <w:lvl w:ilvl="0" w:tplc="E5B635BE">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3C128B8"/>
    <w:multiLevelType w:val="hybridMultilevel"/>
    <w:tmpl w:val="BA1AE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6665A6"/>
    <w:multiLevelType w:val="hybridMultilevel"/>
    <w:tmpl w:val="44CA83B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39" w15:restartNumberingAfterBreak="0">
    <w:nsid w:val="70900914"/>
    <w:multiLevelType w:val="hybridMultilevel"/>
    <w:tmpl w:val="1248A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3"/>
  </w:num>
  <w:num w:numId="3">
    <w:abstractNumId w:val="21"/>
  </w:num>
  <w:num w:numId="4">
    <w:abstractNumId w:val="18"/>
  </w:num>
  <w:num w:numId="5">
    <w:abstractNumId w:val="18"/>
  </w:num>
  <w:num w:numId="6">
    <w:abstractNumId w:val="2"/>
  </w:num>
  <w:num w:numId="7">
    <w:abstractNumId w:val="24"/>
  </w:num>
  <w:num w:numId="8">
    <w:abstractNumId w:val="20"/>
  </w:num>
  <w:num w:numId="9">
    <w:abstractNumId w:val="11"/>
  </w:num>
  <w:num w:numId="10">
    <w:abstractNumId w:val="5"/>
  </w:num>
  <w:num w:numId="11">
    <w:abstractNumId w:val="28"/>
  </w:num>
  <w:num w:numId="12">
    <w:abstractNumId w:val="17"/>
  </w:num>
  <w:num w:numId="13">
    <w:abstractNumId w:val="10"/>
  </w:num>
  <w:num w:numId="14">
    <w:abstractNumId w:val="41"/>
  </w:num>
  <w:num w:numId="15">
    <w:abstractNumId w:val="7"/>
  </w:num>
  <w:num w:numId="16">
    <w:abstractNumId w:val="12"/>
  </w:num>
  <w:num w:numId="17">
    <w:abstractNumId w:val="4"/>
  </w:num>
  <w:num w:numId="18">
    <w:abstractNumId w:val="0"/>
  </w:num>
  <w:num w:numId="19">
    <w:abstractNumId w:val="40"/>
  </w:num>
  <w:num w:numId="20">
    <w:abstractNumId w:val="3"/>
  </w:num>
  <w:num w:numId="21">
    <w:abstractNumId w:val="31"/>
  </w:num>
  <w:num w:numId="22">
    <w:abstractNumId w:val="32"/>
  </w:num>
  <w:num w:numId="23">
    <w:abstractNumId w:val="42"/>
  </w:num>
  <w:num w:numId="24">
    <w:abstractNumId w:val="37"/>
  </w:num>
  <w:num w:numId="25">
    <w:abstractNumId w:val="13"/>
  </w:num>
  <w:num w:numId="26">
    <w:abstractNumId w:val="15"/>
  </w:num>
  <w:num w:numId="27">
    <w:abstractNumId w:val="33"/>
  </w:num>
  <w:num w:numId="28">
    <w:abstractNumId w:val="14"/>
  </w:num>
  <w:num w:numId="29">
    <w:abstractNumId w:val="6"/>
  </w:num>
  <w:num w:numId="30">
    <w:abstractNumId w:val="1"/>
  </w:num>
  <w:num w:numId="31">
    <w:abstractNumId w:val="43"/>
  </w:num>
  <w:num w:numId="32">
    <w:abstractNumId w:val="30"/>
  </w:num>
  <w:num w:numId="33">
    <w:abstractNumId w:val="36"/>
  </w:num>
  <w:num w:numId="34">
    <w:abstractNumId w:val="8"/>
  </w:num>
  <w:num w:numId="35">
    <w:abstractNumId w:val="26"/>
  </w:num>
  <w:num w:numId="36">
    <w:abstractNumId w:val="29"/>
  </w:num>
  <w:num w:numId="37">
    <w:abstractNumId w:val="22"/>
  </w:num>
  <w:num w:numId="38">
    <w:abstractNumId w:val="27"/>
  </w:num>
  <w:num w:numId="39">
    <w:abstractNumId w:val="35"/>
  </w:num>
  <w:num w:numId="40">
    <w:abstractNumId w:val="34"/>
  </w:num>
  <w:num w:numId="41">
    <w:abstractNumId w:val="38"/>
  </w:num>
  <w:num w:numId="42">
    <w:abstractNumId w:val="9"/>
  </w:num>
  <w:num w:numId="43">
    <w:abstractNumId w:val="25"/>
  </w:num>
  <w:num w:numId="44">
    <w:abstractNumId w:val="39"/>
  </w:num>
  <w:num w:numId="45">
    <w:abstractNumId w:val="16"/>
  </w:num>
  <w:num w:numId="4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A7D11"/>
    <w:rsid w:val="000B3765"/>
    <w:rsid w:val="000B655B"/>
    <w:rsid w:val="000C0000"/>
    <w:rsid w:val="000C18CC"/>
    <w:rsid w:val="000C687D"/>
    <w:rsid w:val="000C7ED1"/>
    <w:rsid w:val="000D6EA9"/>
    <w:rsid w:val="000D789A"/>
    <w:rsid w:val="000E4B5F"/>
    <w:rsid w:val="000E706D"/>
    <w:rsid w:val="000F130A"/>
    <w:rsid w:val="000F4FD8"/>
    <w:rsid w:val="00103516"/>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3E45"/>
    <w:rsid w:val="00185AD4"/>
    <w:rsid w:val="001979AF"/>
    <w:rsid w:val="001A0EB4"/>
    <w:rsid w:val="001A1A86"/>
    <w:rsid w:val="001A5F62"/>
    <w:rsid w:val="001B015E"/>
    <w:rsid w:val="001B2301"/>
    <w:rsid w:val="001B618B"/>
    <w:rsid w:val="001B73AF"/>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033"/>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3073"/>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3E02"/>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4EF2"/>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23E6"/>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0CC5"/>
    <w:rsid w:val="00922B85"/>
    <w:rsid w:val="00930CDC"/>
    <w:rsid w:val="00931E45"/>
    <w:rsid w:val="00933188"/>
    <w:rsid w:val="00935AF9"/>
    <w:rsid w:val="009403A5"/>
    <w:rsid w:val="009404DF"/>
    <w:rsid w:val="009500DC"/>
    <w:rsid w:val="00951923"/>
    <w:rsid w:val="0096272E"/>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C6BEA"/>
    <w:rsid w:val="00AD4DD0"/>
    <w:rsid w:val="00AE0A8D"/>
    <w:rsid w:val="00AF6342"/>
    <w:rsid w:val="00B053FB"/>
    <w:rsid w:val="00B05647"/>
    <w:rsid w:val="00B07EE5"/>
    <w:rsid w:val="00B21CC5"/>
    <w:rsid w:val="00B26778"/>
    <w:rsid w:val="00B26B83"/>
    <w:rsid w:val="00B32479"/>
    <w:rsid w:val="00B33FE2"/>
    <w:rsid w:val="00B348AB"/>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78C1"/>
    <w:rsid w:val="00C018E0"/>
    <w:rsid w:val="00C05AAF"/>
    <w:rsid w:val="00C118C7"/>
    <w:rsid w:val="00C20877"/>
    <w:rsid w:val="00C20E7B"/>
    <w:rsid w:val="00C21456"/>
    <w:rsid w:val="00C24D03"/>
    <w:rsid w:val="00C25549"/>
    <w:rsid w:val="00C25E61"/>
    <w:rsid w:val="00C35A1B"/>
    <w:rsid w:val="00C413F3"/>
    <w:rsid w:val="00C42129"/>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C6B7C"/>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29B"/>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18C1"/>
    <w:rsid w:val="00EA4437"/>
    <w:rsid w:val="00EA4D87"/>
    <w:rsid w:val="00EB34FC"/>
    <w:rsid w:val="00EB76E1"/>
    <w:rsid w:val="00EC2499"/>
    <w:rsid w:val="00EE29DF"/>
    <w:rsid w:val="00EE4120"/>
    <w:rsid w:val="00EF2E8A"/>
    <w:rsid w:val="00EF4E6B"/>
    <w:rsid w:val="00EF5416"/>
    <w:rsid w:val="00F04F7A"/>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g"/><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27D66"/>
    <w:rsid w:val="00146151"/>
    <w:rsid w:val="00204A7F"/>
    <w:rsid w:val="002B514B"/>
    <w:rsid w:val="002C0C03"/>
    <w:rsid w:val="00311B0D"/>
    <w:rsid w:val="003A131F"/>
    <w:rsid w:val="00560392"/>
    <w:rsid w:val="005C4C1F"/>
    <w:rsid w:val="006B7FA8"/>
    <w:rsid w:val="008211B5"/>
    <w:rsid w:val="00874653"/>
    <w:rsid w:val="009B1FC1"/>
    <w:rsid w:val="00A5022A"/>
    <w:rsid w:val="00AE4C28"/>
    <w:rsid w:val="00AF2C4B"/>
    <w:rsid w:val="00B73964"/>
    <w:rsid w:val="00B74704"/>
    <w:rsid w:val="00BA092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7B3DD7E-3681-4383-90D8-1F1BD9E491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15</Pages>
  <Words>3637</Words>
  <Characters>20734</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SCE13WP009</vt:lpstr>
    </vt:vector>
  </TitlesOfParts>
  <Company>Southern California Edison</Company>
  <LinksUpToDate>false</LinksUpToDate>
  <CharactersWithSpaces>24323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SCE13WP009</dc:title>
  <dc:creator>Jim Wyatt (PG&amp;E);Jason Wang (SCE)</dc:creator>
  <cp:lastModifiedBy>Jason Wang</cp:lastModifiedBy>
  <cp:revision>3</cp:revision>
  <dcterms:created xsi:type="dcterms:W3CDTF">2015-12-05T02:20:00Z</dcterms:created>
  <dcterms:modified xsi:type="dcterms:W3CDTF">2015-12-07T18:07:00Z</dcterms:modified>
  <cp:contentStatus>Revision 2</cp:contentStatus>
</cp:coreProperties>
</file>