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AD291C">
        <w:rPr>
          <w:rFonts w:asciiTheme="minorHAnsi" w:hAnsiTheme="minorHAnsi" w:cstheme="minorHAnsi"/>
          <w:b/>
          <w:sz w:val="48"/>
          <w:szCs w:val="48"/>
        </w:rPr>
        <w:t>13</w:t>
      </w:r>
      <w:r w:rsidR="00E37807">
        <w:rPr>
          <w:rFonts w:asciiTheme="minorHAnsi" w:hAnsiTheme="minorHAnsi" w:cstheme="minorHAnsi"/>
          <w:b/>
          <w:sz w:val="48"/>
          <w:szCs w:val="48"/>
        </w:rPr>
        <w:t>LG086</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C6371E">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697868" w:rsidRDefault="00E37807" w:rsidP="00E37807">
      <w:pPr>
        <w:pStyle w:val="reminders0"/>
        <w:rPr>
          <w:rFonts w:asciiTheme="minorHAnsi" w:hAnsiTheme="minorHAnsi" w:cstheme="minorHAnsi"/>
          <w:sz w:val="22"/>
          <w:szCs w:val="22"/>
        </w:rPr>
      </w:pPr>
      <w:r w:rsidRPr="00E37807">
        <w:rPr>
          <w:rFonts w:asciiTheme="minorHAnsi" w:hAnsiTheme="minorHAnsi" w:cstheme="minorHAnsi"/>
          <w:b/>
          <w:color w:val="auto"/>
          <w:sz w:val="72"/>
          <w:szCs w:val="72"/>
        </w:rPr>
        <w:t xml:space="preserve">Interior Linear Fluorescent Fixture </w:t>
      </w: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E37807" w:rsidRPr="00C12299" w:rsidRDefault="00E37807" w:rsidP="009824E9">
            <w:pPr>
              <w:rPr>
                <w:rFonts w:asciiTheme="minorHAnsi" w:hAnsiTheme="minorHAnsi" w:cs="Arial"/>
                <w:i/>
                <w:sz w:val="20"/>
                <w:szCs w:val="20"/>
              </w:rPr>
            </w:pPr>
            <w:r>
              <w:rPr>
                <w:rFonts w:asciiTheme="minorHAnsi" w:hAnsiTheme="minorHAnsi" w:cs="Arial"/>
                <w:i/>
                <w:sz w:val="20"/>
                <w:szCs w:val="20"/>
              </w:rPr>
              <w:t>LT-41199, LT-12866, LT-84912, LT-26100</w:t>
            </w:r>
            <w:r w:rsidR="00C12299">
              <w:rPr>
                <w:rFonts w:asciiTheme="minorHAnsi" w:hAnsiTheme="minorHAnsi" w:cs="Arial"/>
                <w:i/>
                <w:sz w:val="20"/>
                <w:szCs w:val="20"/>
              </w:rPr>
              <w:t>, LT-55943, LT-92448, LT-38287, LT-10232, LT-38754, LT-39676</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C12299" w:rsidP="00C12299">
            <w:pPr>
              <w:rPr>
                <w:rFonts w:asciiTheme="minorHAnsi" w:hAnsiTheme="minorHAnsi" w:cs="Arial"/>
                <w:sz w:val="20"/>
                <w:szCs w:val="20"/>
              </w:rPr>
            </w:pPr>
            <w:r w:rsidRPr="00C12299">
              <w:rPr>
                <w:rFonts w:asciiTheme="minorHAnsi" w:hAnsiTheme="minorHAnsi" w:cs="Arial"/>
                <w:sz w:val="20"/>
                <w:szCs w:val="20"/>
              </w:rPr>
              <w:t xml:space="preserve">This work paper documents the E3 Calculator input values for replacing existing interior lighting fixtures with more efficient linear fluorescent fixtures (T8, T5, or T5HO).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C12299" w:rsidP="00C12299">
            <w:pPr>
              <w:rPr>
                <w:rFonts w:asciiTheme="minorHAnsi" w:hAnsiTheme="minorHAnsi" w:cs="Arial"/>
                <w:sz w:val="20"/>
                <w:szCs w:val="20"/>
              </w:rPr>
            </w:pPr>
            <w:r>
              <w:rPr>
                <w:rFonts w:asciiTheme="minorHAnsi" w:hAnsiTheme="minorHAnsi" w:cs="Arial"/>
                <w:sz w:val="20"/>
                <w:szCs w:val="20"/>
              </w:rPr>
              <w:t>The existing interior lights being replaced must be incandescent, mercury vapor, standard metal halide or high pressure sodium.</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B262F">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407ACE" w:rsidP="00C12299">
            <w:pPr>
              <w:rPr>
                <w:rFonts w:asciiTheme="minorHAnsi" w:hAnsiTheme="minorHAnsi" w:cs="Arial"/>
                <w:sz w:val="20"/>
                <w:szCs w:val="20"/>
              </w:rPr>
            </w:pPr>
            <w:r>
              <w:rPr>
                <w:rFonts w:asciiTheme="minorHAnsi" w:hAnsiTheme="minorHAnsi" w:cs="Arial"/>
                <w:sz w:val="20"/>
                <w:szCs w:val="20"/>
              </w:rPr>
              <w:t>Per fixture</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407ACE" w:rsidRDefault="00407ACE" w:rsidP="006F2C6D">
            <w:pPr>
              <w:rPr>
                <w:rFonts w:asciiTheme="minorHAnsi" w:hAnsiTheme="minorHAnsi" w:cstheme="minorHAnsi"/>
                <w:sz w:val="20"/>
                <w:szCs w:val="20"/>
              </w:rPr>
            </w:pPr>
            <w:r w:rsidRPr="0054570B">
              <w:rPr>
                <w:rFonts w:asciiTheme="minorHAnsi" w:hAnsiTheme="minorHAnsi" w:cstheme="minorHAnsi"/>
                <w:sz w:val="20"/>
                <w:szCs w:val="20"/>
              </w:rPr>
              <w:t>EUL varies by building type</w:t>
            </w:r>
            <w:r>
              <w:rPr>
                <w:rFonts w:asciiTheme="minorHAnsi" w:hAnsiTheme="minorHAnsi" w:cstheme="minorHAnsi"/>
                <w:sz w:val="20"/>
                <w:szCs w:val="20"/>
              </w:rPr>
              <w:t xml:space="preserve">.  </w:t>
            </w:r>
            <w:r w:rsidRPr="0054570B">
              <w:rPr>
                <w:rFonts w:asciiTheme="minorHAnsi" w:hAnsiTheme="minorHAnsi" w:cstheme="minorHAnsi"/>
                <w:sz w:val="20"/>
                <w:szCs w:val="20"/>
              </w:rPr>
              <w:t xml:space="preserve">EUL = </w:t>
            </w:r>
            <w:r w:rsidR="006F2C6D">
              <w:rPr>
                <w:rFonts w:asciiTheme="minorHAnsi" w:hAnsiTheme="minorHAnsi" w:cstheme="minorHAnsi"/>
                <w:sz w:val="20"/>
                <w:szCs w:val="20"/>
              </w:rPr>
              <w:t>14.3 for Grocery and Food Store; EUL = 13.3 for Health / Medical – Hospital;   EUL = 15 for all other building types.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932189" w:rsidP="00932189">
            <w:pPr>
              <w:rPr>
                <w:rFonts w:asciiTheme="minorHAnsi" w:hAnsiTheme="minorHAnsi" w:cs="Arial"/>
                <w:sz w:val="20"/>
                <w:szCs w:val="20"/>
              </w:rPr>
            </w:pPr>
            <w:r>
              <w:rPr>
                <w:rFonts w:asciiTheme="minorHAnsi" w:hAnsiTheme="minorHAnsi" w:cs="Arial"/>
                <w:sz w:val="20"/>
                <w:szCs w:val="20"/>
              </w:rPr>
              <w:t xml:space="preserve">Early Retirement (ER) and </w:t>
            </w:r>
            <w:r w:rsidR="00290ED8" w:rsidRPr="00697868">
              <w:rPr>
                <w:rFonts w:asciiTheme="minorHAnsi" w:hAnsiTheme="minorHAnsi" w:cs="Arial"/>
                <w:sz w:val="20"/>
                <w:szCs w:val="20"/>
              </w:rPr>
              <w:t>Replace on Burnout (ROB)</w:t>
            </w:r>
            <w:r>
              <w:rPr>
                <w:rFonts w:asciiTheme="minorHAnsi" w:hAnsiTheme="minorHAnsi" w:cs="Arial"/>
                <w:sz w:val="20"/>
                <w:szCs w:val="20"/>
              </w:rPr>
              <w: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932189" w:rsidP="00F309B9">
            <w:pPr>
              <w:rPr>
                <w:rFonts w:asciiTheme="minorHAnsi" w:hAnsiTheme="minorHAnsi" w:cs="Arial"/>
                <w:sz w:val="20"/>
                <w:szCs w:val="20"/>
              </w:rPr>
            </w:pPr>
            <w:r>
              <w:rPr>
                <w:rFonts w:asciiTheme="minorHAnsi" w:hAnsiTheme="minorHAnsi" w:cs="Arial"/>
                <w:sz w:val="20"/>
                <w:szCs w:val="20"/>
              </w:rPr>
              <w:t>NTG = 0.6, 0.7, 0.85,</w:t>
            </w:r>
            <w:r w:rsidR="00F309B9">
              <w:rPr>
                <w:rFonts w:asciiTheme="minorHAnsi" w:hAnsiTheme="minorHAnsi" w:cs="Arial"/>
                <w:sz w:val="20"/>
                <w:szCs w:val="20"/>
              </w:rPr>
              <w:t xml:space="preserve"> or </w:t>
            </w:r>
            <w:r>
              <w:rPr>
                <w:rFonts w:asciiTheme="minorHAnsi" w:hAnsiTheme="minorHAnsi" w:cs="Arial"/>
                <w:sz w:val="20"/>
                <w:szCs w:val="20"/>
              </w:rPr>
              <w:t>0.9</w:t>
            </w:r>
            <w:r w:rsidR="00F309B9">
              <w:rPr>
                <w:rFonts w:asciiTheme="minorHAnsi" w:hAnsiTheme="minorHAnsi" w:cs="Arial"/>
                <w:sz w:val="20"/>
                <w:szCs w:val="20"/>
              </w:rPr>
              <w:t xml:space="preserve"> depending on Sector and Program Delivery type.</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BD54EC" w:rsidP="009824E9">
            <w:pPr>
              <w:rPr>
                <w:rFonts w:asciiTheme="minorHAnsi" w:hAnsiTheme="minorHAnsi" w:cs="Arial"/>
                <w:sz w:val="20"/>
                <w:szCs w:val="20"/>
              </w:rPr>
            </w:pPr>
            <w:r w:rsidRPr="00BD54EC">
              <w:rPr>
                <w:rFonts w:asciiTheme="minorHAnsi" w:hAnsiTheme="minorHAnsi" w:cstheme="minorHAnsi"/>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6B4104"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6B4104" w:rsidRDefault="006B4104" w:rsidP="00D36798">
            <w:pPr>
              <w:rPr>
                <w:rFonts w:asciiTheme="minorHAnsi" w:hAnsiTheme="minorHAnsi" w:cstheme="minorHAnsi"/>
                <w:sz w:val="20"/>
                <w:szCs w:val="20"/>
              </w:rPr>
            </w:pPr>
            <w:r>
              <w:rPr>
                <w:rFonts w:asciiTheme="minorHAnsi" w:hAnsiTheme="minorHAnsi" w:cstheme="minorHAnsi"/>
                <w:sz w:val="20"/>
                <w:szCs w:val="20"/>
              </w:rPr>
              <w:t>SCE13LG086.0</w:t>
            </w:r>
          </w:p>
        </w:tc>
        <w:tc>
          <w:tcPr>
            <w:tcW w:w="517" w:type="pct"/>
            <w:vMerge w:val="restart"/>
          </w:tcPr>
          <w:p w:rsidR="006B4104" w:rsidRDefault="006B4104"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Merge w:val="restart"/>
          </w:tcPr>
          <w:p w:rsidR="006B4104" w:rsidRDefault="006B4104" w:rsidP="00E81F3E">
            <w:pPr>
              <w:jc w:val="center"/>
              <w:rPr>
                <w:rFonts w:asciiTheme="minorHAnsi" w:hAnsiTheme="minorHAnsi" w:cstheme="minorHAnsi"/>
                <w:sz w:val="20"/>
                <w:szCs w:val="20"/>
              </w:rPr>
            </w:pPr>
            <w:r>
              <w:rPr>
                <w:rFonts w:asciiTheme="minorHAnsi" w:hAnsiTheme="minorHAnsi" w:cstheme="minorHAnsi"/>
                <w:sz w:val="20"/>
                <w:szCs w:val="20"/>
              </w:rPr>
              <w:t>04/24/12</w:t>
            </w:r>
          </w:p>
        </w:tc>
        <w:tc>
          <w:tcPr>
            <w:tcW w:w="940" w:type="pct"/>
          </w:tcPr>
          <w:p w:rsidR="006B4104" w:rsidRPr="005734A4" w:rsidRDefault="006B4104" w:rsidP="00E95FCC">
            <w:pPr>
              <w:rPr>
                <w:rFonts w:asciiTheme="minorHAnsi" w:hAnsiTheme="minorHAnsi" w:cstheme="minorHAnsi"/>
                <w:sz w:val="20"/>
                <w:szCs w:val="20"/>
              </w:rPr>
            </w:pPr>
            <w:r>
              <w:rPr>
                <w:rFonts w:asciiTheme="minorHAnsi" w:hAnsiTheme="minorHAnsi" w:cstheme="minorHAnsi"/>
                <w:sz w:val="20"/>
                <w:szCs w:val="20"/>
              </w:rPr>
              <w:t xml:space="preserve">Peter </w:t>
            </w:r>
            <w:proofErr w:type="spellStart"/>
            <w:r>
              <w:rPr>
                <w:rFonts w:asciiTheme="minorHAnsi" w:hAnsiTheme="minorHAnsi" w:cstheme="minorHAnsi"/>
                <w:sz w:val="20"/>
                <w:szCs w:val="20"/>
              </w:rPr>
              <w:t>Davi</w:t>
            </w:r>
            <w:proofErr w:type="spellEnd"/>
            <w:r w:rsidRPr="005734A4">
              <w:rPr>
                <w:rFonts w:asciiTheme="minorHAnsi" w:hAnsiTheme="minorHAnsi" w:cstheme="minorHAnsi"/>
                <w:sz w:val="20"/>
                <w:szCs w:val="20"/>
              </w:rPr>
              <w:t>/SCE</w:t>
            </w:r>
          </w:p>
        </w:tc>
        <w:tc>
          <w:tcPr>
            <w:tcW w:w="2124" w:type="pct"/>
          </w:tcPr>
          <w:p w:rsidR="006B4104" w:rsidRPr="007A7A9D" w:rsidRDefault="006B4104" w:rsidP="006B4104">
            <w:pPr>
              <w:pStyle w:val="ListParagraph"/>
              <w:numPr>
                <w:ilvl w:val="0"/>
                <w:numId w:val="10"/>
              </w:numPr>
              <w:spacing w:after="0" w:line="240" w:lineRule="auto"/>
              <w:rPr>
                <w:rFonts w:cstheme="minorHAnsi"/>
                <w:sz w:val="20"/>
                <w:szCs w:val="20"/>
              </w:rPr>
            </w:pPr>
            <w:r w:rsidRPr="007A7A9D">
              <w:rPr>
                <w:rFonts w:cstheme="minorHAnsi"/>
                <w:bCs/>
                <w:sz w:val="20"/>
                <w:szCs w:val="20"/>
              </w:rPr>
              <w:t>Updated to latest WP template v0.01 from WPSCNRLG0086</w:t>
            </w:r>
          </w:p>
        </w:tc>
      </w:tr>
      <w:tr w:rsidR="006B4104"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6B4104" w:rsidRDefault="006B4104" w:rsidP="00D36798">
            <w:pPr>
              <w:rPr>
                <w:rFonts w:asciiTheme="minorHAnsi" w:hAnsiTheme="minorHAnsi" w:cstheme="minorHAnsi"/>
                <w:sz w:val="20"/>
                <w:szCs w:val="20"/>
              </w:rPr>
            </w:pPr>
          </w:p>
        </w:tc>
        <w:tc>
          <w:tcPr>
            <w:tcW w:w="517" w:type="pct"/>
            <w:vMerge/>
          </w:tcPr>
          <w:p w:rsidR="006B4104" w:rsidRDefault="006B4104" w:rsidP="00E81F3E">
            <w:pPr>
              <w:jc w:val="center"/>
              <w:rPr>
                <w:rFonts w:asciiTheme="minorHAnsi" w:hAnsiTheme="minorHAnsi" w:cstheme="minorHAnsi"/>
                <w:sz w:val="20"/>
                <w:szCs w:val="20"/>
              </w:rPr>
            </w:pPr>
          </w:p>
        </w:tc>
        <w:tc>
          <w:tcPr>
            <w:tcW w:w="658" w:type="pct"/>
            <w:vMerge/>
          </w:tcPr>
          <w:p w:rsidR="006B4104" w:rsidRDefault="006B4104" w:rsidP="00E81F3E">
            <w:pPr>
              <w:jc w:val="center"/>
              <w:rPr>
                <w:rFonts w:asciiTheme="minorHAnsi" w:hAnsiTheme="minorHAnsi" w:cstheme="minorHAnsi"/>
                <w:sz w:val="20"/>
                <w:szCs w:val="20"/>
              </w:rPr>
            </w:pPr>
          </w:p>
        </w:tc>
        <w:tc>
          <w:tcPr>
            <w:tcW w:w="940" w:type="pct"/>
          </w:tcPr>
          <w:p w:rsidR="006B4104" w:rsidRDefault="006B4104" w:rsidP="00E95FCC">
            <w:pPr>
              <w:rPr>
                <w:rFonts w:asciiTheme="minorHAnsi" w:hAnsiTheme="minorHAnsi" w:cstheme="minorHAnsi"/>
                <w:sz w:val="20"/>
                <w:szCs w:val="20"/>
              </w:rPr>
            </w:pPr>
            <w:r>
              <w:rPr>
                <w:rFonts w:asciiTheme="minorHAnsi" w:hAnsiTheme="minorHAnsi" w:cstheme="minorHAnsi"/>
                <w:sz w:val="20"/>
                <w:szCs w:val="20"/>
              </w:rPr>
              <w:t>Brian V. O’Keefe/SCE</w:t>
            </w:r>
          </w:p>
        </w:tc>
        <w:tc>
          <w:tcPr>
            <w:tcW w:w="2124" w:type="pct"/>
          </w:tcPr>
          <w:p w:rsidR="006B4104" w:rsidRDefault="006B4104" w:rsidP="00E95FCC">
            <w:pPr>
              <w:rPr>
                <w:rFonts w:asciiTheme="minorHAnsi" w:hAnsiTheme="minorHAnsi" w:cstheme="minorHAnsi"/>
                <w:bCs/>
                <w:sz w:val="20"/>
                <w:szCs w:val="20"/>
              </w:rPr>
            </w:pPr>
            <w:r>
              <w:rPr>
                <w:rFonts w:asciiTheme="minorHAnsi" w:hAnsiTheme="minorHAnsi" w:cstheme="minorHAnsi"/>
                <w:bCs/>
                <w:sz w:val="20"/>
                <w:szCs w:val="20"/>
              </w:rPr>
              <w:t>Changes from original draft:</w:t>
            </w:r>
          </w:p>
          <w:p w:rsidR="006B4104" w:rsidRDefault="006B4104" w:rsidP="00E95FCC">
            <w:pPr>
              <w:rPr>
                <w:rFonts w:asciiTheme="minorHAnsi" w:hAnsiTheme="minorHAnsi" w:cstheme="minorHAnsi"/>
                <w:bCs/>
                <w:sz w:val="20"/>
                <w:szCs w:val="20"/>
              </w:rPr>
            </w:pPr>
            <w:r>
              <w:rPr>
                <w:rFonts w:asciiTheme="minorHAnsi" w:hAnsiTheme="minorHAnsi" w:cstheme="minorHAnsi"/>
                <w:bCs/>
                <w:sz w:val="20"/>
                <w:szCs w:val="20"/>
              </w:rPr>
              <w:t>-  24 Hour measure removed from the workpaper.</w:t>
            </w:r>
          </w:p>
          <w:p w:rsidR="006B4104" w:rsidRPr="001F3F31" w:rsidRDefault="006B4104" w:rsidP="00E95FCC">
            <w:pPr>
              <w:rPr>
                <w:rFonts w:asciiTheme="minorHAnsi" w:hAnsiTheme="minorHAnsi" w:cstheme="minorHAnsi"/>
                <w:bCs/>
                <w:sz w:val="20"/>
                <w:szCs w:val="20"/>
              </w:rPr>
            </w:pPr>
            <w:r>
              <w:rPr>
                <w:rFonts w:asciiTheme="minorHAnsi" w:hAnsiTheme="minorHAnsi" w:cstheme="minorHAnsi"/>
                <w:bCs/>
                <w:sz w:val="20"/>
                <w:szCs w:val="20"/>
              </w:rPr>
              <w:t>-  Revised the RUDD costing method to a DEER approach.</w:t>
            </w:r>
          </w:p>
        </w:tc>
      </w:tr>
      <w:tr w:rsidR="006B4104"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6B4104" w:rsidRPr="00697868" w:rsidRDefault="006B4104" w:rsidP="00B508B1">
            <w:pPr>
              <w:rPr>
                <w:rFonts w:asciiTheme="minorHAnsi" w:hAnsiTheme="minorHAnsi" w:cstheme="minorHAnsi"/>
                <w:sz w:val="20"/>
                <w:szCs w:val="20"/>
              </w:rPr>
            </w:pPr>
            <w:r>
              <w:rPr>
                <w:rFonts w:asciiTheme="minorHAnsi" w:hAnsiTheme="minorHAnsi" w:cstheme="minorHAnsi"/>
                <w:sz w:val="20"/>
                <w:szCs w:val="20"/>
              </w:rPr>
              <w:t>SCE13LG086.1</w:t>
            </w:r>
          </w:p>
        </w:tc>
        <w:tc>
          <w:tcPr>
            <w:tcW w:w="517" w:type="pct"/>
            <w:vMerge w:val="restart"/>
          </w:tcPr>
          <w:p w:rsidR="006B4104" w:rsidRPr="00697868" w:rsidRDefault="006B4104"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Merge w:val="restart"/>
          </w:tcPr>
          <w:p w:rsidR="006B4104" w:rsidRPr="00697868" w:rsidRDefault="006B4104" w:rsidP="00E81F3E">
            <w:pPr>
              <w:jc w:val="center"/>
              <w:rPr>
                <w:rFonts w:asciiTheme="minorHAnsi" w:hAnsiTheme="minorHAnsi" w:cstheme="minorHAnsi"/>
                <w:sz w:val="20"/>
                <w:szCs w:val="20"/>
              </w:rPr>
            </w:pPr>
            <w:r>
              <w:rPr>
                <w:rFonts w:asciiTheme="minorHAnsi" w:hAnsiTheme="minorHAnsi" w:cstheme="minorHAnsi"/>
                <w:sz w:val="20"/>
                <w:szCs w:val="20"/>
              </w:rPr>
              <w:t>07/08/14</w:t>
            </w:r>
          </w:p>
        </w:tc>
        <w:tc>
          <w:tcPr>
            <w:tcW w:w="940" w:type="pct"/>
          </w:tcPr>
          <w:p w:rsidR="006B4104" w:rsidRPr="00697868" w:rsidRDefault="006B4104" w:rsidP="007048AC">
            <w:pPr>
              <w:rPr>
                <w:rFonts w:asciiTheme="minorHAnsi" w:hAnsiTheme="minorHAnsi" w:cstheme="minorHAnsi"/>
                <w:sz w:val="20"/>
                <w:szCs w:val="20"/>
              </w:rPr>
            </w:pPr>
            <w:r>
              <w:rPr>
                <w:rFonts w:asciiTheme="minorHAnsi" w:hAnsiTheme="minorHAnsi" w:cstheme="minorHAnsi"/>
                <w:sz w:val="20"/>
                <w:szCs w:val="20"/>
              </w:rPr>
              <w:t>David Pruitt/PL Energy</w:t>
            </w:r>
          </w:p>
        </w:tc>
        <w:tc>
          <w:tcPr>
            <w:tcW w:w="2124" w:type="pct"/>
          </w:tcPr>
          <w:p w:rsidR="006B4104" w:rsidRDefault="006B4104" w:rsidP="00D515B8">
            <w:pPr>
              <w:rPr>
                <w:rFonts w:asciiTheme="minorHAnsi" w:hAnsiTheme="minorHAnsi" w:cstheme="minorHAnsi"/>
                <w:bCs/>
                <w:sz w:val="20"/>
                <w:szCs w:val="20"/>
              </w:rPr>
            </w:pPr>
            <w:r>
              <w:rPr>
                <w:rFonts w:asciiTheme="minorHAnsi" w:hAnsiTheme="minorHAnsi" w:cstheme="minorHAnsi"/>
                <w:bCs/>
                <w:sz w:val="20"/>
                <w:szCs w:val="20"/>
              </w:rPr>
              <w:t xml:space="preserve">- Used measure Wattages from the ED lighting disposition table dated </w:t>
            </w:r>
            <w:r w:rsidR="00AB1F8A">
              <w:rPr>
                <w:rFonts w:asciiTheme="minorHAnsi" w:hAnsiTheme="minorHAnsi" w:cstheme="minorHAnsi"/>
                <w:bCs/>
                <w:sz w:val="20"/>
                <w:szCs w:val="20"/>
              </w:rPr>
              <w:t>30 May, 2014</w:t>
            </w:r>
            <w:r>
              <w:rPr>
                <w:rFonts w:asciiTheme="minorHAnsi" w:hAnsiTheme="minorHAnsi" w:cstheme="minorHAnsi"/>
                <w:bCs/>
                <w:sz w:val="20"/>
                <w:szCs w:val="20"/>
              </w:rPr>
              <w:t>.</w:t>
            </w:r>
          </w:p>
          <w:p w:rsidR="006B4104" w:rsidRPr="00697868" w:rsidRDefault="006B4104" w:rsidP="00D515B8">
            <w:pPr>
              <w:rPr>
                <w:rFonts w:asciiTheme="minorHAnsi" w:hAnsiTheme="minorHAnsi" w:cstheme="minorHAnsi"/>
                <w:bCs/>
                <w:sz w:val="20"/>
                <w:szCs w:val="20"/>
              </w:rPr>
            </w:pPr>
            <w:r>
              <w:rPr>
                <w:rFonts w:asciiTheme="minorHAnsi" w:hAnsiTheme="minorHAnsi" w:cstheme="minorHAnsi"/>
                <w:bCs/>
                <w:sz w:val="20"/>
                <w:szCs w:val="20"/>
              </w:rPr>
              <w:t>- Included the new READI fields.</w:t>
            </w:r>
          </w:p>
        </w:tc>
      </w:tr>
      <w:tr w:rsidR="006B4104"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6B4104" w:rsidRDefault="006B4104" w:rsidP="00B508B1">
            <w:pPr>
              <w:rPr>
                <w:rFonts w:asciiTheme="minorHAnsi" w:hAnsiTheme="minorHAnsi" w:cstheme="minorHAnsi"/>
                <w:sz w:val="20"/>
                <w:szCs w:val="20"/>
              </w:rPr>
            </w:pPr>
          </w:p>
        </w:tc>
        <w:tc>
          <w:tcPr>
            <w:tcW w:w="517" w:type="pct"/>
            <w:vMerge/>
          </w:tcPr>
          <w:p w:rsidR="006B4104" w:rsidRDefault="006B4104" w:rsidP="00E81F3E">
            <w:pPr>
              <w:jc w:val="center"/>
              <w:rPr>
                <w:rFonts w:asciiTheme="minorHAnsi" w:hAnsiTheme="minorHAnsi" w:cstheme="minorHAnsi"/>
                <w:sz w:val="20"/>
                <w:szCs w:val="20"/>
              </w:rPr>
            </w:pPr>
          </w:p>
        </w:tc>
        <w:tc>
          <w:tcPr>
            <w:tcW w:w="658" w:type="pct"/>
            <w:vMerge/>
          </w:tcPr>
          <w:p w:rsidR="006B4104" w:rsidRDefault="006B4104" w:rsidP="00E81F3E">
            <w:pPr>
              <w:jc w:val="center"/>
              <w:rPr>
                <w:rFonts w:asciiTheme="minorHAnsi" w:hAnsiTheme="minorHAnsi" w:cstheme="minorHAnsi"/>
                <w:sz w:val="20"/>
                <w:szCs w:val="20"/>
              </w:rPr>
            </w:pPr>
          </w:p>
        </w:tc>
        <w:tc>
          <w:tcPr>
            <w:tcW w:w="940" w:type="pct"/>
          </w:tcPr>
          <w:p w:rsidR="006B4104" w:rsidRDefault="006B4104" w:rsidP="007048AC">
            <w:pPr>
              <w:rPr>
                <w:rFonts w:asciiTheme="minorHAnsi" w:hAnsiTheme="minorHAnsi" w:cstheme="minorHAnsi"/>
                <w:sz w:val="20"/>
                <w:szCs w:val="20"/>
              </w:rPr>
            </w:pPr>
            <w:r>
              <w:rPr>
                <w:rFonts w:asciiTheme="minorHAnsi" w:hAnsiTheme="minorHAnsi" w:cstheme="minorHAnsi"/>
                <w:sz w:val="20"/>
                <w:szCs w:val="20"/>
              </w:rPr>
              <w:t xml:space="preserve">Jack </w:t>
            </w:r>
            <w:proofErr w:type="spellStart"/>
            <w:r>
              <w:rPr>
                <w:rFonts w:asciiTheme="minorHAnsi" w:hAnsiTheme="minorHAnsi" w:cstheme="minorHAnsi"/>
                <w:sz w:val="20"/>
                <w:szCs w:val="20"/>
              </w:rPr>
              <w:t>Melnyk</w:t>
            </w:r>
            <w:proofErr w:type="spellEnd"/>
            <w:r>
              <w:rPr>
                <w:rFonts w:asciiTheme="minorHAnsi" w:hAnsiTheme="minorHAnsi" w:cstheme="minorHAnsi"/>
                <w:sz w:val="20"/>
                <w:szCs w:val="20"/>
              </w:rPr>
              <w:t>/SCE</w:t>
            </w:r>
          </w:p>
        </w:tc>
        <w:tc>
          <w:tcPr>
            <w:tcW w:w="2124" w:type="pct"/>
          </w:tcPr>
          <w:p w:rsidR="006B4104" w:rsidRDefault="006B4104" w:rsidP="00B508B1">
            <w:pPr>
              <w:rPr>
                <w:rFonts w:asciiTheme="minorHAnsi" w:hAnsiTheme="minorHAnsi" w:cstheme="minorHAnsi"/>
                <w:bCs/>
                <w:sz w:val="20"/>
                <w:szCs w:val="20"/>
              </w:rPr>
            </w:pPr>
            <w:r>
              <w:rPr>
                <w:rFonts w:asciiTheme="minorHAnsi" w:hAnsiTheme="minorHAnsi" w:cstheme="minorHAnsi"/>
                <w:bCs/>
                <w:sz w:val="20"/>
                <w:szCs w:val="20"/>
              </w:rPr>
              <w:t>-Added Midstream Programs-Midstream Incentive</w:t>
            </w:r>
          </w:p>
          <w:p w:rsidR="00BD54EC" w:rsidRPr="00697868" w:rsidRDefault="00BD54EC" w:rsidP="00B508B1">
            <w:p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 – 12/31/2014</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D515B8" w:rsidRDefault="0080212A" w:rsidP="00D515B8">
      <w:pPr>
        <w:rPr>
          <w:rFonts w:asciiTheme="minorHAnsi" w:hAnsiTheme="minorHAnsi" w:cstheme="minorHAnsi"/>
          <w:i/>
          <w:sz w:val="22"/>
          <w:szCs w:val="22"/>
        </w:rPr>
      </w:pPr>
      <w:r>
        <w:rPr>
          <w:rFonts w:asciiTheme="minorHAnsi" w:hAnsiTheme="minorHAnsi" w:cstheme="minorHAnsi"/>
          <w:sz w:val="22"/>
          <w:szCs w:val="22"/>
        </w:rPr>
        <w:t>The Measure</w:t>
      </w:r>
      <w:r w:rsidR="002957E0">
        <w:rPr>
          <w:rFonts w:asciiTheme="minorHAnsi" w:hAnsiTheme="minorHAnsi" w:cstheme="minorHAnsi"/>
          <w:sz w:val="22"/>
          <w:szCs w:val="22"/>
        </w:rPr>
        <w:t xml:space="preserve"> is the replacement of</w:t>
      </w:r>
      <w:r w:rsidR="00D515B8" w:rsidRPr="00824A37">
        <w:rPr>
          <w:rFonts w:asciiTheme="minorHAnsi" w:hAnsiTheme="minorHAnsi" w:cstheme="minorHAnsi"/>
          <w:sz w:val="22"/>
          <w:szCs w:val="22"/>
        </w:rPr>
        <w:t xml:space="preserve"> existing interior</w:t>
      </w:r>
      <w:r w:rsidR="002957E0">
        <w:rPr>
          <w:rFonts w:asciiTheme="minorHAnsi" w:hAnsiTheme="minorHAnsi" w:cstheme="minorHAnsi"/>
          <w:sz w:val="22"/>
          <w:szCs w:val="22"/>
        </w:rPr>
        <w:t xml:space="preserve"> incandescent/HID</w:t>
      </w:r>
      <w:r w:rsidR="00D515B8" w:rsidRPr="00824A37">
        <w:rPr>
          <w:rFonts w:asciiTheme="minorHAnsi" w:hAnsiTheme="minorHAnsi" w:cstheme="minorHAnsi"/>
          <w:sz w:val="22"/>
          <w:szCs w:val="22"/>
        </w:rPr>
        <w:t xml:space="preserve"> lighting fixtures with more efficient linear fluorescent fixtures (T8, T5, or T5HO).</w:t>
      </w:r>
      <w:r w:rsidR="00D515B8">
        <w:rPr>
          <w:rFonts w:asciiTheme="minorHAnsi" w:hAnsiTheme="minorHAnsi" w:cstheme="minorHAnsi"/>
          <w:sz w:val="22"/>
          <w:szCs w:val="22"/>
        </w:rPr>
        <w:t xml:space="preserve"> </w:t>
      </w:r>
      <w:r w:rsidR="00D515B8">
        <w:rPr>
          <w:rFonts w:asciiTheme="minorHAnsi" w:hAnsiTheme="minorHAnsi" w:cstheme="minorHAnsi"/>
          <w:i/>
          <w:sz w:val="22"/>
          <w:szCs w:val="22"/>
        </w:rPr>
        <w:t xml:space="preserve"> </w:t>
      </w:r>
    </w:p>
    <w:p w:rsidR="00D515B8" w:rsidRDefault="00D515B8" w:rsidP="00D515B8">
      <w:pPr>
        <w:rPr>
          <w:rFonts w:asciiTheme="minorHAnsi" w:hAnsiTheme="minorHAnsi" w:cstheme="minorHAnsi"/>
          <w:sz w:val="22"/>
          <w:szCs w:val="22"/>
        </w:rPr>
      </w:pPr>
    </w:p>
    <w:p w:rsidR="00D515B8" w:rsidRDefault="00D515B8" w:rsidP="00D515B8">
      <w:pPr>
        <w:rPr>
          <w:rFonts w:asciiTheme="minorHAnsi" w:hAnsiTheme="minorHAnsi" w:cstheme="minorHAnsi"/>
          <w:sz w:val="22"/>
          <w:szCs w:val="22"/>
        </w:rPr>
      </w:pPr>
      <w:r w:rsidRPr="006D5A28">
        <w:rPr>
          <w:rFonts w:asciiTheme="minorHAnsi" w:hAnsiTheme="minorHAnsi" w:cstheme="minorHAnsi"/>
          <w:sz w:val="22"/>
          <w:szCs w:val="22"/>
        </w:rPr>
        <w:t xml:space="preserve">The </w:t>
      </w:r>
      <w:proofErr w:type="spellStart"/>
      <w:r>
        <w:rPr>
          <w:rFonts w:asciiTheme="minorHAnsi" w:hAnsiTheme="minorHAnsi" w:cstheme="minorHAnsi"/>
          <w:sz w:val="22"/>
          <w:szCs w:val="22"/>
        </w:rPr>
        <w:t>Basecase</w:t>
      </w:r>
      <w:proofErr w:type="spellEnd"/>
      <w:r>
        <w:rPr>
          <w:rFonts w:asciiTheme="minorHAnsi" w:hAnsiTheme="minorHAnsi" w:cstheme="minorHAnsi"/>
          <w:sz w:val="22"/>
          <w:szCs w:val="22"/>
        </w:rPr>
        <w:t xml:space="preserve"> </w:t>
      </w:r>
      <w:r w:rsidR="0018777D">
        <w:rPr>
          <w:rFonts w:asciiTheme="minorHAnsi" w:hAnsiTheme="minorHAnsi" w:cstheme="minorHAnsi"/>
          <w:sz w:val="22"/>
          <w:szCs w:val="22"/>
        </w:rPr>
        <w:t>is</w:t>
      </w:r>
      <w:r>
        <w:rPr>
          <w:rFonts w:asciiTheme="minorHAnsi" w:hAnsiTheme="minorHAnsi" w:cstheme="minorHAnsi"/>
          <w:sz w:val="22"/>
          <w:szCs w:val="22"/>
        </w:rPr>
        <w:t xml:space="preserve"> </w:t>
      </w:r>
      <w:r w:rsidRPr="006D5A28">
        <w:rPr>
          <w:rFonts w:asciiTheme="minorHAnsi" w:hAnsiTheme="minorHAnsi" w:cstheme="minorHAnsi"/>
          <w:sz w:val="22"/>
          <w:szCs w:val="22"/>
        </w:rPr>
        <w:t xml:space="preserve">existing interior lights </w:t>
      </w:r>
      <w:r w:rsidR="002957E0">
        <w:rPr>
          <w:rFonts w:asciiTheme="minorHAnsi" w:hAnsiTheme="minorHAnsi" w:cstheme="minorHAnsi"/>
          <w:sz w:val="22"/>
          <w:szCs w:val="22"/>
        </w:rPr>
        <w:t xml:space="preserve">which are </w:t>
      </w:r>
      <w:r>
        <w:rPr>
          <w:rFonts w:asciiTheme="minorHAnsi" w:hAnsiTheme="minorHAnsi" w:cstheme="minorHAnsi"/>
          <w:sz w:val="22"/>
          <w:szCs w:val="22"/>
        </w:rPr>
        <w:t>being replaced</w:t>
      </w:r>
      <w:r w:rsidR="002957E0">
        <w:rPr>
          <w:rFonts w:asciiTheme="minorHAnsi" w:hAnsiTheme="minorHAnsi" w:cstheme="minorHAnsi"/>
          <w:sz w:val="22"/>
          <w:szCs w:val="22"/>
        </w:rPr>
        <w:t>.  These fixtures</w:t>
      </w:r>
      <w:r w:rsidRPr="006D5A28">
        <w:rPr>
          <w:rFonts w:asciiTheme="minorHAnsi" w:hAnsiTheme="minorHAnsi" w:cstheme="minorHAnsi"/>
          <w:sz w:val="22"/>
          <w:szCs w:val="22"/>
        </w:rPr>
        <w:t xml:space="preserve"> must be incandescent, mercury vapor, standard </w:t>
      </w:r>
      <w:r w:rsidRPr="007A7A9D">
        <w:rPr>
          <w:rFonts w:asciiTheme="minorHAnsi" w:hAnsiTheme="minorHAnsi" w:cstheme="minorHAnsi"/>
          <w:sz w:val="22"/>
          <w:szCs w:val="22"/>
        </w:rPr>
        <w:t xml:space="preserve">metal halide, or high pressure sodium.  </w:t>
      </w:r>
    </w:p>
    <w:p w:rsidR="00D515B8" w:rsidRDefault="00D515B8" w:rsidP="00D515B8">
      <w:pPr>
        <w:rPr>
          <w:rFonts w:asciiTheme="minorHAnsi" w:hAnsiTheme="minorHAnsi" w:cstheme="minorHAnsi"/>
          <w:sz w:val="22"/>
          <w:szCs w:val="22"/>
        </w:rPr>
      </w:pPr>
    </w:p>
    <w:p w:rsidR="00D515B8" w:rsidRPr="002957E0" w:rsidRDefault="002957E0" w:rsidP="00D515B8">
      <w:pPr>
        <w:rPr>
          <w:rFonts w:asciiTheme="minorHAnsi" w:hAnsiTheme="minorHAnsi" w:cstheme="minorHAnsi"/>
          <w:i/>
          <w:sz w:val="22"/>
          <w:szCs w:val="22"/>
        </w:rPr>
      </w:pPr>
      <w:r>
        <w:rPr>
          <w:rFonts w:asciiTheme="minorHAnsi" w:hAnsiTheme="minorHAnsi" w:cstheme="minorHAnsi"/>
          <w:sz w:val="22"/>
          <w:szCs w:val="22"/>
        </w:rPr>
        <w:t>This</w:t>
      </w:r>
      <w:r w:rsidRPr="00824A37">
        <w:rPr>
          <w:rFonts w:asciiTheme="minorHAnsi" w:hAnsiTheme="minorHAnsi" w:cstheme="minorHAnsi"/>
          <w:sz w:val="22"/>
          <w:szCs w:val="22"/>
        </w:rPr>
        <w:t xml:space="preserve"> work paper documents the E3 Calculator input values for replacing existing interior</w:t>
      </w:r>
      <w:r>
        <w:rPr>
          <w:rFonts w:asciiTheme="minorHAnsi" w:hAnsiTheme="minorHAnsi" w:cstheme="minorHAnsi"/>
          <w:sz w:val="22"/>
          <w:szCs w:val="22"/>
        </w:rPr>
        <w:t xml:space="preserve"> incandescent/HID</w:t>
      </w:r>
      <w:r w:rsidRPr="00824A37">
        <w:rPr>
          <w:rFonts w:asciiTheme="minorHAnsi" w:hAnsiTheme="minorHAnsi" w:cstheme="minorHAnsi"/>
          <w:sz w:val="22"/>
          <w:szCs w:val="22"/>
        </w:rPr>
        <w:t xml:space="preserve"> lighting fixtures with more efficient linear fluores</w:t>
      </w:r>
      <w:r w:rsidR="00B508B1">
        <w:rPr>
          <w:rFonts w:asciiTheme="minorHAnsi" w:hAnsiTheme="minorHAnsi" w:cstheme="minorHAnsi"/>
          <w:sz w:val="22"/>
          <w:szCs w:val="22"/>
        </w:rPr>
        <w:t>cent fix</w:t>
      </w:r>
      <w:r w:rsidR="001D55C8">
        <w:rPr>
          <w:rFonts w:asciiTheme="minorHAnsi" w:hAnsiTheme="minorHAnsi" w:cstheme="minorHAnsi"/>
          <w:sz w:val="22"/>
          <w:szCs w:val="22"/>
        </w:rPr>
        <w:t xml:space="preserve">tures (T8, T5, or T5HO). </w:t>
      </w:r>
      <w:r w:rsidR="00F85E89">
        <w:rPr>
          <w:rFonts w:asciiTheme="minorHAnsi" w:hAnsiTheme="minorHAnsi" w:cstheme="minorHAnsi"/>
          <w:sz w:val="22"/>
          <w:szCs w:val="22"/>
        </w:rPr>
        <w:fldChar w:fldCharType="begin"/>
      </w:r>
      <w:r w:rsidR="00F85E89">
        <w:rPr>
          <w:rFonts w:asciiTheme="minorHAnsi" w:hAnsiTheme="minorHAnsi" w:cstheme="minorHAnsi"/>
          <w:sz w:val="22"/>
          <w:szCs w:val="22"/>
        </w:rPr>
        <w:instrText xml:space="preserve"> REF _Ref394501740 \h </w:instrText>
      </w:r>
      <w:r w:rsidR="00F85E89">
        <w:rPr>
          <w:rFonts w:asciiTheme="minorHAnsi" w:hAnsiTheme="minorHAnsi" w:cstheme="minorHAnsi"/>
          <w:sz w:val="22"/>
          <w:szCs w:val="22"/>
        </w:rPr>
      </w:r>
      <w:r w:rsidR="00F85E89">
        <w:rPr>
          <w:rFonts w:asciiTheme="minorHAnsi" w:hAnsiTheme="minorHAnsi" w:cstheme="minorHAnsi"/>
          <w:sz w:val="22"/>
          <w:szCs w:val="22"/>
        </w:rPr>
        <w:fldChar w:fldCharType="separate"/>
      </w:r>
      <w:r w:rsidR="00302C1D" w:rsidRPr="003C5FF6">
        <w:rPr>
          <w:rFonts w:ascii="Calibri" w:hAnsi="Calibri"/>
          <w:sz w:val="22"/>
          <w:szCs w:val="22"/>
        </w:rPr>
        <w:t xml:space="preserve">Table </w:t>
      </w:r>
      <w:r w:rsidR="00302C1D">
        <w:rPr>
          <w:rFonts w:ascii="Calibri" w:hAnsi="Calibri"/>
          <w:noProof/>
          <w:sz w:val="22"/>
          <w:szCs w:val="22"/>
        </w:rPr>
        <w:t>1</w:t>
      </w:r>
      <w:r w:rsidR="00F85E89">
        <w:rPr>
          <w:rFonts w:asciiTheme="minorHAnsi" w:hAnsiTheme="minorHAnsi" w:cstheme="minorHAnsi"/>
          <w:sz w:val="22"/>
          <w:szCs w:val="22"/>
        </w:rPr>
        <w:fldChar w:fldCharType="end"/>
      </w:r>
      <w:r w:rsidR="00F85E89">
        <w:rPr>
          <w:rFonts w:asciiTheme="minorHAnsi" w:hAnsiTheme="minorHAnsi" w:cstheme="minorHAnsi"/>
          <w:sz w:val="22"/>
          <w:szCs w:val="22"/>
        </w:rPr>
        <w:t xml:space="preserve"> </w:t>
      </w:r>
      <w:r w:rsidR="00D515B8" w:rsidRPr="007A7A9D">
        <w:rPr>
          <w:rFonts w:asciiTheme="minorHAnsi" w:hAnsiTheme="minorHAnsi" w:cstheme="minorHAnsi"/>
          <w:sz w:val="22"/>
          <w:szCs w:val="22"/>
        </w:rPr>
        <w:t xml:space="preserve">below shows the </w:t>
      </w:r>
      <w:r w:rsidR="00D515B8">
        <w:rPr>
          <w:rFonts w:asciiTheme="minorHAnsi" w:hAnsiTheme="minorHAnsi" w:cstheme="minorHAnsi"/>
          <w:sz w:val="22"/>
          <w:szCs w:val="22"/>
        </w:rPr>
        <w:t>10</w:t>
      </w:r>
      <w:r w:rsidR="00D515B8" w:rsidRPr="007A7A9D">
        <w:rPr>
          <w:rFonts w:asciiTheme="minorHAnsi" w:hAnsiTheme="minorHAnsi" w:cstheme="minorHAnsi"/>
          <w:sz w:val="22"/>
          <w:szCs w:val="22"/>
        </w:rPr>
        <w:t xml:space="preserve"> measure classifications that the existing base case wattage can fall into.  </w:t>
      </w:r>
    </w:p>
    <w:p w:rsidR="00697868" w:rsidRPr="001D55C8" w:rsidRDefault="00697868" w:rsidP="00697868">
      <w:pPr>
        <w:pStyle w:val="Reminder"/>
        <w:rPr>
          <w:rFonts w:asciiTheme="minorHAnsi" w:hAnsiTheme="minorHAnsi" w:cstheme="minorHAnsi"/>
          <w:i w:val="0"/>
          <w:sz w:val="22"/>
          <w:szCs w:val="22"/>
        </w:rPr>
      </w:pPr>
    </w:p>
    <w:p w:rsidR="00AC5309" w:rsidRPr="00697868" w:rsidRDefault="003C5FF6" w:rsidP="003C5FF6">
      <w:pPr>
        <w:pStyle w:val="Caption"/>
        <w:ind w:left="2880" w:firstLine="720"/>
        <w:rPr>
          <w:rFonts w:asciiTheme="minorHAnsi" w:hAnsiTheme="minorHAnsi" w:cstheme="minorHAnsi"/>
          <w:sz w:val="22"/>
          <w:szCs w:val="22"/>
        </w:rPr>
      </w:pPr>
      <w:bookmarkStart w:id="8" w:name="_Ref394501740"/>
      <w:bookmarkStart w:id="9" w:name="_Ref394462297"/>
      <w:r w:rsidRPr="003C5FF6">
        <w:rPr>
          <w:rFonts w:ascii="Calibri" w:hAnsi="Calibri"/>
          <w:sz w:val="22"/>
          <w:szCs w:val="22"/>
        </w:rPr>
        <w:t xml:space="preserve">Table </w:t>
      </w:r>
      <w:r w:rsidRPr="003C5FF6">
        <w:rPr>
          <w:rFonts w:ascii="Calibri" w:hAnsi="Calibri"/>
          <w:sz w:val="22"/>
          <w:szCs w:val="22"/>
        </w:rPr>
        <w:fldChar w:fldCharType="begin"/>
      </w:r>
      <w:r w:rsidRPr="003C5FF6">
        <w:rPr>
          <w:rFonts w:ascii="Calibri" w:hAnsi="Calibri"/>
          <w:sz w:val="22"/>
          <w:szCs w:val="22"/>
        </w:rPr>
        <w:instrText xml:space="preserve"> SEQ Table \* ARABIC </w:instrText>
      </w:r>
      <w:r w:rsidRPr="003C5FF6">
        <w:rPr>
          <w:rFonts w:ascii="Calibri" w:hAnsi="Calibri"/>
          <w:sz w:val="22"/>
          <w:szCs w:val="22"/>
        </w:rPr>
        <w:fldChar w:fldCharType="separate"/>
      </w:r>
      <w:r w:rsidR="00302C1D">
        <w:rPr>
          <w:rFonts w:ascii="Calibri" w:hAnsi="Calibri"/>
          <w:noProof/>
          <w:sz w:val="22"/>
          <w:szCs w:val="22"/>
        </w:rPr>
        <w:t>1</w:t>
      </w:r>
      <w:r w:rsidRPr="003C5FF6">
        <w:rPr>
          <w:rFonts w:ascii="Calibri" w:hAnsi="Calibri"/>
          <w:sz w:val="22"/>
          <w:szCs w:val="22"/>
        </w:rPr>
        <w:fldChar w:fldCharType="end"/>
      </w:r>
      <w:bookmarkEnd w:id="8"/>
      <w:r>
        <w:rPr>
          <w:rFonts w:asciiTheme="minorHAnsi" w:hAnsiTheme="minorHAnsi" w:cstheme="minorHAnsi"/>
          <w:sz w:val="22"/>
          <w:szCs w:val="22"/>
        </w:rPr>
        <w:t xml:space="preserve"> </w:t>
      </w:r>
      <w:r w:rsidR="00AC5309" w:rsidRPr="00697868">
        <w:rPr>
          <w:rFonts w:asciiTheme="minorHAnsi" w:hAnsiTheme="minorHAnsi" w:cstheme="minorHAnsi"/>
          <w:sz w:val="22"/>
          <w:szCs w:val="22"/>
        </w:rPr>
        <w:t>Measure Names</w:t>
      </w:r>
      <w:bookmarkEnd w:id="9"/>
    </w:p>
    <w:tbl>
      <w:tblPr>
        <w:tblStyle w:val="TableContemporary"/>
        <w:tblW w:w="0" w:type="auto"/>
        <w:jc w:val="center"/>
        <w:tblLook w:val="04A0" w:firstRow="1" w:lastRow="0" w:firstColumn="1" w:lastColumn="0" w:noHBand="0" w:noVBand="1"/>
      </w:tblPr>
      <w:tblGrid>
        <w:gridCol w:w="2394"/>
        <w:gridCol w:w="5463"/>
      </w:tblGrid>
      <w:tr w:rsidR="00AC5309" w:rsidRPr="00697868" w:rsidTr="001D55C8">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463"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9D2104" w:rsidRPr="00697868" w:rsidTr="001D55C8">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LT-41199</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64 Watt Interior Fixture T5 Linear Fluorescent  replacing less than 100 Watt lamp base case</w:t>
            </w:r>
          </w:p>
        </w:tc>
      </w:tr>
      <w:tr w:rsidR="009D2104" w:rsidRPr="00697868" w:rsidTr="001D55C8">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LT-12866</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128 Watt Interior Fixture T5 Linear Fluorescent  replacing 101 - 175 Watt lamp base case</w:t>
            </w:r>
          </w:p>
        </w:tc>
      </w:tr>
      <w:tr w:rsidR="009D2104" w:rsidRPr="00697868" w:rsidTr="001D55C8">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LT-84912</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192 Watt Interior Fixture T5 Linear Fluorescent  replacing 176 - 399 Watt lamp base case</w:t>
            </w:r>
          </w:p>
        </w:tc>
      </w:tr>
      <w:tr w:rsidR="009D2104" w:rsidRPr="00697868" w:rsidTr="001D55C8">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LT-26100</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244 Watt (Tier 1) Interior Fixture T5 Linear Fluorescent  replacing 400 Watt lamp base case</w:t>
            </w:r>
          </w:p>
        </w:tc>
      </w:tr>
      <w:tr w:rsidR="009D2104" w:rsidRPr="00697868" w:rsidTr="001D55C8">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center"/>
          </w:tcPr>
          <w:p w:rsidR="009D2104" w:rsidRDefault="009D2104" w:rsidP="009D2104">
            <w:pPr>
              <w:jc w:val="center"/>
              <w:rPr>
                <w:rFonts w:ascii="Calibri" w:hAnsi="Calibri" w:cs="Calibri"/>
                <w:color w:val="000000"/>
                <w:sz w:val="20"/>
                <w:szCs w:val="20"/>
              </w:rPr>
            </w:pPr>
            <w:r w:rsidRPr="00C50C38">
              <w:rPr>
                <w:rFonts w:ascii="Calibri" w:hAnsi="Calibri" w:cs="Calibri"/>
                <w:color w:val="000000"/>
                <w:sz w:val="20"/>
                <w:szCs w:val="20"/>
              </w:rPr>
              <w:t>LT-55943</w:t>
            </w:r>
          </w:p>
        </w:tc>
        <w:tc>
          <w:tcPr>
            <w:tcW w:w="5463" w:type="dxa"/>
            <w:vAlign w:val="center"/>
          </w:tcPr>
          <w:p w:rsidR="009D2104" w:rsidRDefault="009D2104" w:rsidP="009D2104">
            <w:pPr>
              <w:rPr>
                <w:rFonts w:ascii="Calibri" w:hAnsi="Calibri" w:cs="Calibri"/>
                <w:color w:val="000000"/>
                <w:sz w:val="20"/>
                <w:szCs w:val="20"/>
              </w:rPr>
            </w:pPr>
            <w:r w:rsidRPr="00C50C38">
              <w:rPr>
                <w:rFonts w:ascii="Calibri" w:hAnsi="Calibri" w:cs="Calibri"/>
                <w:color w:val="000000"/>
                <w:sz w:val="20"/>
                <w:szCs w:val="20"/>
              </w:rPr>
              <w:t>245 to 360 Watt (Tier 2) Interior Fixture T5 Linear Flu</w:t>
            </w:r>
            <w:r>
              <w:rPr>
                <w:rFonts w:ascii="Calibri" w:hAnsi="Calibri" w:cs="Calibri"/>
                <w:color w:val="000000"/>
                <w:sz w:val="20"/>
                <w:szCs w:val="20"/>
              </w:rPr>
              <w:t>o</w:t>
            </w:r>
            <w:r w:rsidRPr="00C50C38">
              <w:rPr>
                <w:rFonts w:ascii="Calibri" w:hAnsi="Calibri" w:cs="Calibri"/>
                <w:color w:val="000000"/>
                <w:sz w:val="20"/>
                <w:szCs w:val="20"/>
              </w:rPr>
              <w:t>rescent  replacing 400 Watt lamp base case</w:t>
            </w:r>
          </w:p>
        </w:tc>
      </w:tr>
      <w:tr w:rsidR="009D2104" w:rsidRPr="00697868" w:rsidTr="001D55C8">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LT-92448</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600 Watt Interior Fixture T5 Linear Fluorescent  replacing greater than 400 Watt lamp base case</w:t>
            </w:r>
          </w:p>
        </w:tc>
      </w:tr>
      <w:tr w:rsidR="009D2104" w:rsidRPr="00697868" w:rsidTr="001D55C8">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center"/>
          </w:tcPr>
          <w:p w:rsidR="009D2104" w:rsidRPr="006D5A28" w:rsidRDefault="009D2104" w:rsidP="009D2104">
            <w:pPr>
              <w:jc w:val="center"/>
              <w:rPr>
                <w:rFonts w:asciiTheme="minorHAnsi" w:hAnsiTheme="minorHAnsi" w:cstheme="minorHAnsi"/>
                <w:sz w:val="20"/>
                <w:szCs w:val="20"/>
              </w:rPr>
            </w:pPr>
            <w:r>
              <w:rPr>
                <w:rFonts w:ascii="Calibri" w:hAnsi="Calibri" w:cs="Calibri"/>
                <w:color w:val="000000"/>
                <w:sz w:val="20"/>
                <w:szCs w:val="20"/>
              </w:rPr>
              <w:t>LT-38287</w:t>
            </w:r>
          </w:p>
        </w:tc>
        <w:tc>
          <w:tcPr>
            <w:tcW w:w="5463" w:type="dxa"/>
            <w:vAlign w:val="center"/>
          </w:tcPr>
          <w:p w:rsidR="009D2104" w:rsidRPr="006D5A28" w:rsidRDefault="009D2104" w:rsidP="009D2104">
            <w:pPr>
              <w:rPr>
                <w:rFonts w:asciiTheme="minorHAnsi" w:hAnsiTheme="minorHAnsi" w:cstheme="minorHAnsi"/>
                <w:sz w:val="20"/>
                <w:szCs w:val="20"/>
              </w:rPr>
            </w:pPr>
            <w:r>
              <w:rPr>
                <w:rFonts w:ascii="Calibri" w:hAnsi="Calibri" w:cs="Calibri"/>
                <w:color w:val="000000"/>
                <w:sz w:val="20"/>
                <w:szCs w:val="20"/>
              </w:rPr>
              <w:t>Up to 244 Watt  Interior Fixture T5 Linear Fluorescent replacing 350 Watt lamp base case</w:t>
            </w:r>
          </w:p>
        </w:tc>
      </w:tr>
      <w:tr w:rsidR="009D2104" w:rsidRPr="00697868" w:rsidTr="001D55C8">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center"/>
          </w:tcPr>
          <w:p w:rsidR="009D2104" w:rsidRDefault="009D2104" w:rsidP="009D2104">
            <w:pPr>
              <w:jc w:val="center"/>
              <w:rPr>
                <w:rFonts w:ascii="Calibri" w:hAnsi="Calibri" w:cs="Calibri"/>
                <w:color w:val="000000"/>
                <w:sz w:val="20"/>
                <w:szCs w:val="20"/>
              </w:rPr>
            </w:pPr>
            <w:r>
              <w:rPr>
                <w:rFonts w:ascii="Calibri" w:hAnsi="Calibri" w:cs="Calibri"/>
                <w:color w:val="000000"/>
                <w:sz w:val="20"/>
                <w:szCs w:val="20"/>
              </w:rPr>
              <w:t>LT-10232</w:t>
            </w:r>
          </w:p>
        </w:tc>
        <w:tc>
          <w:tcPr>
            <w:tcW w:w="5463" w:type="dxa"/>
            <w:vAlign w:val="center"/>
          </w:tcPr>
          <w:p w:rsidR="009D2104" w:rsidRDefault="009D2104" w:rsidP="009D2104">
            <w:pPr>
              <w:rPr>
                <w:rFonts w:ascii="Calibri" w:hAnsi="Calibri" w:cs="Calibri"/>
                <w:color w:val="000000"/>
                <w:sz w:val="20"/>
                <w:szCs w:val="20"/>
              </w:rPr>
            </w:pPr>
            <w:r>
              <w:rPr>
                <w:rFonts w:ascii="Calibri" w:hAnsi="Calibri" w:cs="Calibri"/>
                <w:color w:val="000000"/>
                <w:sz w:val="20"/>
                <w:szCs w:val="20"/>
              </w:rPr>
              <w:t>(4) 46in (2) Programmed Start Ballast - Normal Light Output - HO T5 Linear Fluorescent replacing 400 Watt Mercury Vapor</w:t>
            </w:r>
          </w:p>
        </w:tc>
      </w:tr>
      <w:tr w:rsidR="009D2104" w:rsidRPr="00697868" w:rsidTr="001D55C8">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center"/>
          </w:tcPr>
          <w:p w:rsidR="009D2104" w:rsidRDefault="009D2104" w:rsidP="009D2104">
            <w:pPr>
              <w:jc w:val="center"/>
              <w:rPr>
                <w:rFonts w:ascii="Calibri" w:hAnsi="Calibri" w:cs="Calibri"/>
                <w:color w:val="000000"/>
                <w:sz w:val="20"/>
                <w:szCs w:val="20"/>
              </w:rPr>
            </w:pPr>
            <w:r>
              <w:rPr>
                <w:rFonts w:ascii="Calibri" w:hAnsi="Calibri" w:cs="Calibri"/>
                <w:color w:val="000000"/>
                <w:sz w:val="20"/>
                <w:szCs w:val="20"/>
              </w:rPr>
              <w:t>LT-28754</w:t>
            </w:r>
          </w:p>
        </w:tc>
        <w:tc>
          <w:tcPr>
            <w:tcW w:w="5463" w:type="dxa"/>
            <w:vAlign w:val="center"/>
          </w:tcPr>
          <w:p w:rsidR="009D2104" w:rsidRDefault="009D2104" w:rsidP="009D2104">
            <w:pPr>
              <w:rPr>
                <w:rFonts w:ascii="Calibri" w:hAnsi="Calibri" w:cs="Calibri"/>
                <w:color w:val="000000"/>
                <w:sz w:val="20"/>
                <w:szCs w:val="20"/>
              </w:rPr>
            </w:pPr>
            <w:r>
              <w:rPr>
                <w:rFonts w:ascii="Calibri" w:hAnsi="Calibri" w:cs="Calibri"/>
                <w:color w:val="000000"/>
                <w:sz w:val="20"/>
                <w:szCs w:val="20"/>
              </w:rPr>
              <w:t>(6) 46in (3) Programmed Start Ballast - Normal Light Output - HO T5 Linear Fluorescent replacing 400 Watt Pulse Start HID</w:t>
            </w:r>
          </w:p>
        </w:tc>
      </w:tr>
      <w:tr w:rsidR="009D2104" w:rsidRPr="00697868" w:rsidTr="001D55C8">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center"/>
          </w:tcPr>
          <w:p w:rsidR="009D2104" w:rsidRDefault="009D2104" w:rsidP="009D2104">
            <w:pPr>
              <w:jc w:val="center"/>
              <w:rPr>
                <w:rFonts w:ascii="Calibri" w:hAnsi="Calibri" w:cs="Calibri"/>
                <w:color w:val="000000"/>
                <w:sz w:val="20"/>
                <w:szCs w:val="20"/>
              </w:rPr>
            </w:pPr>
            <w:r>
              <w:rPr>
                <w:rFonts w:ascii="Calibri" w:hAnsi="Calibri" w:cs="Calibri"/>
                <w:color w:val="000000"/>
                <w:sz w:val="20"/>
                <w:szCs w:val="20"/>
              </w:rPr>
              <w:t>LT-39676</w:t>
            </w:r>
          </w:p>
        </w:tc>
        <w:tc>
          <w:tcPr>
            <w:tcW w:w="5463" w:type="dxa"/>
            <w:vAlign w:val="center"/>
          </w:tcPr>
          <w:p w:rsidR="009D2104" w:rsidRDefault="009D2104" w:rsidP="009D2104">
            <w:pPr>
              <w:rPr>
                <w:rFonts w:ascii="Calibri" w:hAnsi="Calibri" w:cs="Calibri"/>
                <w:color w:val="000000"/>
                <w:sz w:val="20"/>
                <w:szCs w:val="20"/>
              </w:rPr>
            </w:pPr>
            <w:r>
              <w:rPr>
                <w:rFonts w:ascii="Calibri" w:hAnsi="Calibri" w:cs="Calibri"/>
                <w:color w:val="000000"/>
                <w:sz w:val="20"/>
                <w:szCs w:val="20"/>
              </w:rPr>
              <w:t>(6) 46in (3) Programmed Start Ballast - Normal Light Output - HO T5 Linear Fluorescent replacing 700 Watt Mercury Vapor</w:t>
            </w:r>
          </w:p>
        </w:tc>
      </w:tr>
    </w:tbl>
    <w:p w:rsidR="00697868" w:rsidRDefault="00697868" w:rsidP="00697868">
      <w:pPr>
        <w:pStyle w:val="Reminders"/>
        <w:rPr>
          <w:rFonts w:asciiTheme="minorHAnsi" w:hAnsiTheme="minorHAnsi" w:cstheme="minorHAnsi"/>
          <w:sz w:val="22"/>
          <w:szCs w:val="22"/>
        </w:rPr>
      </w:pPr>
    </w:p>
    <w:p w:rsidR="00D8141A" w:rsidRPr="00016689" w:rsidRDefault="00D8141A" w:rsidP="00D8141A">
      <w:pPr>
        <w:pStyle w:val="Reminders"/>
        <w:rPr>
          <w:rFonts w:asciiTheme="minorHAnsi" w:hAnsiTheme="minorHAnsi" w:cstheme="minorHAnsi"/>
          <w:i w:val="0"/>
          <w:color w:val="auto"/>
          <w:sz w:val="22"/>
          <w:szCs w:val="22"/>
        </w:rPr>
      </w:pPr>
      <w:r w:rsidRPr="006D5A28">
        <w:rPr>
          <w:rFonts w:asciiTheme="minorHAnsi" w:hAnsiTheme="minorHAnsi" w:cstheme="minorHAnsi"/>
          <w:i w:val="0"/>
          <w:color w:val="auto"/>
          <w:sz w:val="22"/>
          <w:szCs w:val="22"/>
        </w:rPr>
        <w:t>In all cases, the replacement linear fluorescent</w:t>
      </w:r>
      <w:r>
        <w:rPr>
          <w:rFonts w:asciiTheme="minorHAnsi" w:hAnsiTheme="minorHAnsi" w:cstheme="minorHAnsi"/>
          <w:i w:val="0"/>
          <w:color w:val="auto"/>
          <w:sz w:val="22"/>
          <w:szCs w:val="22"/>
        </w:rPr>
        <w:t xml:space="preserve"> fixtures</w:t>
      </w:r>
      <w:r w:rsidRPr="006D5A28">
        <w:rPr>
          <w:rFonts w:asciiTheme="minorHAnsi" w:hAnsiTheme="minorHAnsi" w:cstheme="minorHAnsi"/>
          <w:i w:val="0"/>
          <w:color w:val="auto"/>
          <w:sz w:val="22"/>
          <w:szCs w:val="22"/>
        </w:rPr>
        <w:t xml:space="preserve"> must be</w:t>
      </w:r>
      <w:r>
        <w:rPr>
          <w:rFonts w:asciiTheme="minorHAnsi" w:hAnsiTheme="minorHAnsi" w:cstheme="minorHAnsi"/>
          <w:i w:val="0"/>
          <w:color w:val="auto"/>
          <w:sz w:val="22"/>
          <w:szCs w:val="22"/>
        </w:rPr>
        <w:t xml:space="preserve"> a</w:t>
      </w:r>
      <w:r w:rsidRPr="006D5A28">
        <w:rPr>
          <w:rFonts w:asciiTheme="minorHAnsi" w:hAnsiTheme="minorHAnsi" w:cstheme="minorHAnsi"/>
          <w:i w:val="0"/>
          <w:color w:val="auto"/>
          <w:sz w:val="22"/>
          <w:szCs w:val="22"/>
        </w:rPr>
        <w:t xml:space="preserve"> lower wattage </w:t>
      </w:r>
      <w:r w:rsidRPr="00016689">
        <w:rPr>
          <w:rFonts w:asciiTheme="minorHAnsi" w:hAnsiTheme="minorHAnsi" w:cstheme="minorHAnsi"/>
          <w:i w:val="0"/>
          <w:color w:val="auto"/>
          <w:sz w:val="22"/>
          <w:szCs w:val="22"/>
        </w:rPr>
        <w:t>than the existing base case and all base cases and measure cases must fall into the wattage classifications shown in</w:t>
      </w:r>
      <w:r w:rsidR="000B2E76">
        <w:rPr>
          <w:rFonts w:asciiTheme="minorHAnsi" w:hAnsiTheme="minorHAnsi" w:cstheme="minorHAnsi"/>
          <w:i w:val="0"/>
          <w:color w:val="auto"/>
          <w:sz w:val="22"/>
          <w:szCs w:val="22"/>
        </w:rPr>
        <w:t xml:space="preserve"> </w:t>
      </w:r>
      <w:r w:rsidR="000B2E76">
        <w:rPr>
          <w:rFonts w:asciiTheme="minorHAnsi" w:hAnsiTheme="minorHAnsi" w:cstheme="minorHAnsi"/>
          <w:i w:val="0"/>
          <w:color w:val="auto"/>
          <w:sz w:val="22"/>
          <w:szCs w:val="22"/>
        </w:rPr>
        <w:fldChar w:fldCharType="begin"/>
      </w:r>
      <w:r w:rsidR="000B2E76">
        <w:rPr>
          <w:rFonts w:asciiTheme="minorHAnsi" w:hAnsiTheme="minorHAnsi" w:cstheme="minorHAnsi"/>
          <w:i w:val="0"/>
          <w:color w:val="auto"/>
          <w:sz w:val="22"/>
          <w:szCs w:val="22"/>
        </w:rPr>
        <w:instrText xml:space="preserve"> REF _Ref394501740 \h  \* MERGEFORMAT </w:instrText>
      </w:r>
      <w:r w:rsidR="000B2E76">
        <w:rPr>
          <w:rFonts w:asciiTheme="minorHAnsi" w:hAnsiTheme="minorHAnsi" w:cstheme="minorHAnsi"/>
          <w:i w:val="0"/>
          <w:color w:val="auto"/>
          <w:sz w:val="22"/>
          <w:szCs w:val="22"/>
        </w:rPr>
      </w:r>
      <w:r w:rsidR="000B2E76">
        <w:rPr>
          <w:rFonts w:asciiTheme="minorHAnsi" w:hAnsiTheme="minorHAnsi" w:cstheme="minorHAnsi"/>
          <w:i w:val="0"/>
          <w:color w:val="auto"/>
          <w:sz w:val="22"/>
          <w:szCs w:val="22"/>
        </w:rPr>
        <w:fldChar w:fldCharType="separate"/>
      </w:r>
      <w:r w:rsidR="00302C1D" w:rsidRPr="00302C1D">
        <w:rPr>
          <w:rFonts w:asciiTheme="minorHAnsi" w:hAnsiTheme="minorHAnsi" w:cstheme="minorHAnsi"/>
          <w:i w:val="0"/>
          <w:color w:val="auto"/>
          <w:sz w:val="22"/>
          <w:szCs w:val="22"/>
        </w:rPr>
        <w:t>Table 1</w:t>
      </w:r>
      <w:r w:rsidR="000B2E76">
        <w:rPr>
          <w:rFonts w:asciiTheme="minorHAnsi" w:hAnsiTheme="minorHAnsi" w:cstheme="minorHAnsi"/>
          <w:i w:val="0"/>
          <w:color w:val="auto"/>
          <w:sz w:val="22"/>
          <w:szCs w:val="22"/>
        </w:rPr>
        <w:fldChar w:fldCharType="end"/>
      </w:r>
      <w:r w:rsidR="00B508B1">
        <w:rPr>
          <w:rFonts w:asciiTheme="minorHAnsi" w:hAnsiTheme="minorHAnsi" w:cstheme="minorHAnsi"/>
          <w:i w:val="0"/>
          <w:color w:val="auto"/>
          <w:sz w:val="22"/>
          <w:szCs w:val="22"/>
        </w:rPr>
        <w:t>.</w:t>
      </w:r>
    </w:p>
    <w:p w:rsidR="00D8141A" w:rsidRDefault="00D8141A" w:rsidP="00D8141A">
      <w:pPr>
        <w:pStyle w:val="Reminders"/>
        <w:rPr>
          <w:rFonts w:asciiTheme="minorHAnsi" w:hAnsiTheme="minorHAnsi" w:cstheme="minorHAnsi"/>
          <w:i w:val="0"/>
          <w:color w:val="auto"/>
          <w:sz w:val="22"/>
          <w:szCs w:val="22"/>
        </w:rPr>
      </w:pPr>
      <w:r w:rsidRPr="00016689">
        <w:rPr>
          <w:rFonts w:asciiTheme="minorHAnsi" w:hAnsiTheme="minorHAnsi" w:cstheme="minorHAnsi"/>
          <w:i w:val="0"/>
          <w:color w:val="auto"/>
          <w:sz w:val="22"/>
          <w:szCs w:val="22"/>
        </w:rPr>
        <w:t xml:space="preserve">For direct install measures, the program must track the installed and removed equipment to the </w:t>
      </w:r>
      <w:r>
        <w:rPr>
          <w:rFonts w:asciiTheme="minorHAnsi" w:hAnsiTheme="minorHAnsi" w:cstheme="minorHAnsi"/>
          <w:i w:val="0"/>
          <w:color w:val="auto"/>
          <w:sz w:val="22"/>
          <w:szCs w:val="22"/>
        </w:rPr>
        <w:t xml:space="preserve">degree specified in the contracts set up with SCE.  </w:t>
      </w:r>
    </w:p>
    <w:p w:rsidR="00D8141A" w:rsidRDefault="00D8141A" w:rsidP="00D8141A">
      <w:pPr>
        <w:pStyle w:val="Reminders"/>
        <w:rPr>
          <w:rFonts w:asciiTheme="minorHAnsi" w:hAnsiTheme="minorHAnsi" w:cstheme="minorHAnsi"/>
          <w:i w:val="0"/>
          <w:color w:val="auto"/>
          <w:sz w:val="22"/>
          <w:szCs w:val="22"/>
        </w:rPr>
      </w:pPr>
    </w:p>
    <w:p w:rsidR="00D8141A" w:rsidRPr="005F0E62" w:rsidRDefault="00D8141A" w:rsidP="00D8141A">
      <w:pPr>
        <w:pStyle w:val="Reminders"/>
        <w:rPr>
          <w:rFonts w:asciiTheme="minorHAnsi" w:hAnsiTheme="minorHAnsi" w:cstheme="minorHAnsi"/>
          <w:i w:val="0"/>
        </w:rPr>
      </w:pPr>
      <w:r w:rsidRPr="005F0E62">
        <w:rPr>
          <w:rFonts w:asciiTheme="minorHAnsi" w:hAnsiTheme="minorHAnsi" w:cstheme="minorHAnsi"/>
          <w:i w:val="0"/>
          <w:color w:val="000000"/>
          <w:sz w:val="22"/>
          <w:szCs w:val="22"/>
        </w:rPr>
        <w:t>For all fixture replacement measures, if the measure is limited to projects not covered by Title 24 Section 146, require the submission of pre and post lighting construction documents that clearly identify all enclosed spaces and which fixtures have been replaced.</w:t>
      </w:r>
    </w:p>
    <w:p w:rsidR="00D8141A" w:rsidRDefault="00D8141A" w:rsidP="00697868">
      <w:pPr>
        <w:pStyle w:val="Reminders"/>
        <w:rPr>
          <w:rFonts w:asciiTheme="minorHAnsi" w:hAnsiTheme="minorHAnsi" w:cstheme="minorHAnsi"/>
          <w:sz w:val="22"/>
          <w:szCs w:val="22"/>
        </w:rPr>
      </w:pP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957E0" w:rsidRPr="0080212A" w:rsidRDefault="002957E0" w:rsidP="0080212A">
      <w:pPr>
        <w:rPr>
          <w:rFonts w:asciiTheme="minorHAnsi" w:hAnsiTheme="minorHAnsi" w:cstheme="minorHAnsi"/>
          <w:sz w:val="22"/>
          <w:szCs w:val="22"/>
        </w:rPr>
      </w:pPr>
      <w:r w:rsidRPr="0080212A">
        <w:rPr>
          <w:rFonts w:ascii="Calibri" w:hAnsi="Calibri" w:cs="Calibri"/>
          <w:sz w:val="22"/>
          <w:szCs w:val="22"/>
        </w:rPr>
        <w:t xml:space="preserve">This work paper details the </w:t>
      </w:r>
      <w:r w:rsidRPr="0080212A">
        <w:rPr>
          <w:rFonts w:asciiTheme="minorHAnsi" w:hAnsiTheme="minorHAnsi" w:cstheme="minorHAnsi"/>
          <w:sz w:val="22"/>
          <w:szCs w:val="22"/>
        </w:rPr>
        <w:t>replacement of existing</w:t>
      </w:r>
      <w:r w:rsidR="0080212A" w:rsidRPr="0080212A">
        <w:rPr>
          <w:rFonts w:asciiTheme="minorHAnsi" w:hAnsiTheme="minorHAnsi" w:cstheme="minorHAnsi"/>
          <w:sz w:val="22"/>
          <w:szCs w:val="22"/>
        </w:rPr>
        <w:t xml:space="preserve"> incandescent, mercury vapor, standard metal halide, or high pressure sodium </w:t>
      </w:r>
      <w:r w:rsidRPr="0080212A">
        <w:rPr>
          <w:rFonts w:asciiTheme="minorHAnsi" w:hAnsiTheme="minorHAnsi" w:cstheme="minorHAnsi"/>
          <w:sz w:val="22"/>
          <w:szCs w:val="22"/>
        </w:rPr>
        <w:t xml:space="preserve">interior lighting fixtures with more efficient linear fluorescent fixtures (T8, T5, or T5HO).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F85E89" w:rsidRPr="00CE28CF" w:rsidRDefault="00F85E89" w:rsidP="00697868">
      <w:pPr>
        <w:pStyle w:val="Reminders"/>
        <w:tabs>
          <w:tab w:val="num" w:pos="360"/>
        </w:tabs>
        <w:rPr>
          <w:rFonts w:asciiTheme="minorHAnsi" w:hAnsiTheme="minorHAnsi" w:cstheme="minorHAnsi"/>
          <w:i w:val="0"/>
          <w:color w:val="auto"/>
          <w:sz w:val="18"/>
          <w:szCs w:val="22"/>
        </w:rPr>
      </w:pPr>
    </w:p>
    <w:p w:rsidR="00DB262F" w:rsidRDefault="00DB262F" w:rsidP="00DB262F">
      <w:pPr>
        <w:rPr>
          <w:rFonts w:asciiTheme="minorHAnsi" w:hAnsiTheme="minorHAnsi" w:cstheme="minorHAnsi"/>
          <w:sz w:val="22"/>
          <w:szCs w:val="22"/>
        </w:rPr>
      </w:pPr>
      <w:r w:rsidRPr="00520EB7">
        <w:rPr>
          <w:rFonts w:asciiTheme="minorHAnsi" w:hAnsiTheme="minorHAnsi" w:cstheme="minorHAnsi"/>
          <w:sz w:val="22"/>
          <w:szCs w:val="22"/>
        </w:rPr>
        <w:t>The delivery method</w:t>
      </w:r>
      <w:r w:rsidR="0056451F">
        <w:rPr>
          <w:rFonts w:asciiTheme="minorHAnsi" w:hAnsiTheme="minorHAnsi" w:cstheme="minorHAnsi"/>
          <w:sz w:val="22"/>
          <w:szCs w:val="22"/>
        </w:rPr>
        <w:t>s</w:t>
      </w:r>
      <w:r w:rsidRPr="00520EB7">
        <w:rPr>
          <w:rFonts w:asciiTheme="minorHAnsi" w:hAnsiTheme="minorHAnsi" w:cstheme="minorHAnsi"/>
          <w:sz w:val="22"/>
          <w:szCs w:val="22"/>
        </w:rPr>
        <w:t xml:space="preserve"> that </w:t>
      </w:r>
      <w:r w:rsidR="0056451F">
        <w:rPr>
          <w:rFonts w:asciiTheme="minorHAnsi" w:hAnsiTheme="minorHAnsi" w:cstheme="minorHAnsi"/>
          <w:sz w:val="22"/>
          <w:szCs w:val="22"/>
        </w:rPr>
        <w:t>are</w:t>
      </w:r>
      <w:r w:rsidRPr="00520EB7">
        <w:rPr>
          <w:rFonts w:asciiTheme="minorHAnsi" w:hAnsiTheme="minorHAnsi" w:cstheme="minorHAnsi"/>
          <w:sz w:val="22"/>
          <w:szCs w:val="22"/>
        </w:rPr>
        <w:t xml:space="preserve"> a</w:t>
      </w:r>
      <w:r>
        <w:rPr>
          <w:rFonts w:asciiTheme="minorHAnsi" w:hAnsiTheme="minorHAnsi" w:cstheme="minorHAnsi"/>
          <w:sz w:val="22"/>
          <w:szCs w:val="22"/>
        </w:rPr>
        <w:t>vailable for these measures are</w:t>
      </w:r>
      <w:r w:rsidR="0056451F">
        <w:rPr>
          <w:rFonts w:asciiTheme="minorHAnsi" w:hAnsiTheme="minorHAnsi" w:cstheme="minorHAnsi"/>
          <w:sz w:val="22"/>
          <w:szCs w:val="22"/>
        </w:rPr>
        <w:t>:</w:t>
      </w:r>
    </w:p>
    <w:p w:rsidR="00DB262F" w:rsidRDefault="00DB262F" w:rsidP="00DB262F">
      <w:pPr>
        <w:pStyle w:val="ListParagraph"/>
        <w:numPr>
          <w:ilvl w:val="0"/>
          <w:numId w:val="10"/>
        </w:numPr>
        <w:spacing w:after="0" w:line="240" w:lineRule="auto"/>
        <w:rPr>
          <w:rFonts w:cstheme="minorHAnsi"/>
        </w:rPr>
      </w:pPr>
      <w:r w:rsidRPr="002C0FA9">
        <w:rPr>
          <w:rFonts w:cstheme="minorHAnsi"/>
        </w:rPr>
        <w:t xml:space="preserve">Financial Support - Down-Stream Incentive – Deemed, in which </w:t>
      </w:r>
      <w:r w:rsidR="0056451F">
        <w:rPr>
          <w:rFonts w:cstheme="minorHAnsi"/>
        </w:rPr>
        <w:t>the incentive</w:t>
      </w:r>
      <w:r w:rsidRPr="002C0FA9">
        <w:rPr>
          <w:rFonts w:cstheme="minorHAnsi"/>
        </w:rPr>
        <w:t xml:space="preserve"> is paid</w:t>
      </w:r>
      <w:r>
        <w:rPr>
          <w:rFonts w:cstheme="minorHAnsi"/>
        </w:rPr>
        <w:t xml:space="preserve"> directly to the customer</w:t>
      </w:r>
    </w:p>
    <w:p w:rsidR="009924DF" w:rsidRDefault="00DB262F" w:rsidP="00DB262F">
      <w:pPr>
        <w:pStyle w:val="ListParagraph"/>
        <w:numPr>
          <w:ilvl w:val="0"/>
          <w:numId w:val="10"/>
        </w:numPr>
        <w:spacing w:after="0" w:line="240" w:lineRule="auto"/>
        <w:rPr>
          <w:rFonts w:cstheme="minorHAnsi"/>
        </w:rPr>
      </w:pPr>
      <w:r w:rsidRPr="002C0FA9">
        <w:rPr>
          <w:rFonts w:cstheme="minorHAnsi"/>
        </w:rPr>
        <w:t>Financial Support – Direct Install, in which the measure is installed at the customer’s facility by program contractors.</w:t>
      </w:r>
    </w:p>
    <w:p w:rsidR="00DB262F" w:rsidRPr="009924DF" w:rsidRDefault="009924DF" w:rsidP="009924DF">
      <w:pPr>
        <w:pStyle w:val="ListParagraph"/>
        <w:numPr>
          <w:ilvl w:val="0"/>
          <w:numId w:val="10"/>
        </w:numPr>
        <w:spacing w:after="0" w:line="240" w:lineRule="auto"/>
        <w:rPr>
          <w:rFonts w:cstheme="minorHAnsi"/>
        </w:rPr>
      </w:pPr>
      <w:r w:rsidRPr="009924DF">
        <w:rPr>
          <w:rFonts w:cstheme="minorHAnsi"/>
        </w:rPr>
        <w:t>Midstream Programs - Mid-Stream Incentive</w:t>
      </w:r>
      <w:r w:rsidR="0056451F">
        <w:rPr>
          <w:rFonts w:cstheme="minorHAnsi"/>
        </w:rPr>
        <w:t>, in which the incentive is paid to the distributor</w:t>
      </w:r>
    </w:p>
    <w:p w:rsidR="00DB262F" w:rsidRDefault="00DB262F" w:rsidP="009924DF">
      <w:pPr>
        <w:pStyle w:val="ListParagraph"/>
        <w:spacing w:after="0" w:line="240" w:lineRule="auto"/>
        <w:ind w:left="360"/>
        <w:rPr>
          <w:rFonts w:cstheme="minorHAnsi"/>
        </w:rPr>
      </w:pPr>
    </w:p>
    <w:p w:rsidR="00DB262F" w:rsidRDefault="00DB262F" w:rsidP="009924DF">
      <w:pPr>
        <w:pStyle w:val="ListParagraph"/>
        <w:numPr>
          <w:ilvl w:val="0"/>
          <w:numId w:val="10"/>
        </w:numPr>
        <w:autoSpaceDE w:val="0"/>
        <w:autoSpaceDN w:val="0"/>
        <w:adjustRightInd w:val="0"/>
        <w:spacing w:after="0" w:line="240" w:lineRule="auto"/>
        <w:rPr>
          <w:rFonts w:cstheme="minorHAnsi"/>
        </w:rPr>
      </w:pPr>
      <w:r>
        <w:rPr>
          <w:rFonts w:cstheme="minorHAnsi"/>
        </w:rPr>
        <w:t>The install types are:</w:t>
      </w:r>
    </w:p>
    <w:p w:rsidR="00DB262F" w:rsidRDefault="00DB262F" w:rsidP="00DB262F">
      <w:pPr>
        <w:pStyle w:val="ListParagraph"/>
        <w:numPr>
          <w:ilvl w:val="0"/>
          <w:numId w:val="11"/>
        </w:numPr>
        <w:spacing w:after="0" w:line="240" w:lineRule="auto"/>
        <w:rPr>
          <w:rFonts w:cstheme="minorHAnsi"/>
        </w:rPr>
      </w:pPr>
      <w:r w:rsidRPr="00044307">
        <w:rPr>
          <w:rFonts w:cstheme="minorHAnsi"/>
        </w:rPr>
        <w:t>Retrofit (RET</w:t>
      </w:r>
      <w:r w:rsidR="0056451F">
        <w:rPr>
          <w:rFonts w:cstheme="minorHAnsi"/>
        </w:rPr>
        <w:t xml:space="preserve">) for direct install </w:t>
      </w:r>
    </w:p>
    <w:p w:rsidR="00DB262F" w:rsidRPr="00044307" w:rsidRDefault="00DB262F" w:rsidP="00DB262F">
      <w:pPr>
        <w:pStyle w:val="ListParagraph"/>
        <w:numPr>
          <w:ilvl w:val="0"/>
          <w:numId w:val="11"/>
        </w:numPr>
        <w:spacing w:after="0" w:line="240" w:lineRule="auto"/>
        <w:rPr>
          <w:rFonts w:cstheme="minorHAnsi"/>
        </w:rPr>
      </w:pPr>
      <w:r w:rsidRPr="00044307">
        <w:rPr>
          <w:rFonts w:cstheme="minorHAnsi"/>
        </w:rPr>
        <w:t>Replace-on-Burnout (ROB)</w:t>
      </w:r>
      <w:r w:rsidR="0056451F">
        <w:rPr>
          <w:rFonts w:cstheme="minorHAnsi"/>
        </w:rPr>
        <w:t xml:space="preserve"> for all other delivery methods</w:t>
      </w:r>
    </w:p>
    <w:p w:rsidR="00E16609" w:rsidRDefault="00824F1C" w:rsidP="00824F1C">
      <w:pPr>
        <w:pStyle w:val="Heading2"/>
        <w:rPr>
          <w:rFonts w:asciiTheme="minorHAnsi" w:hAnsiTheme="minorHAnsi" w:cstheme="minorHAnsi"/>
        </w:rPr>
      </w:pPr>
      <w:bookmarkStart w:id="10"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4C5592" w:rsidRDefault="004C5592" w:rsidP="004C5592">
      <w:pPr>
        <w:rPr>
          <w:rFonts w:asciiTheme="minorHAnsi" w:hAnsiTheme="minorHAnsi" w:cstheme="minorHAnsi"/>
          <w:sz w:val="22"/>
          <w:szCs w:val="22"/>
        </w:rPr>
      </w:pPr>
      <w:r w:rsidRPr="00F81462">
        <w:rPr>
          <w:rFonts w:asciiTheme="minorHAnsi" w:hAnsiTheme="minorHAnsi" w:cstheme="minorHAnsi"/>
          <w:sz w:val="22"/>
          <w:szCs w:val="22"/>
        </w:rPr>
        <w:t>The Database for Energy Efficient Resources (DEER)</w:t>
      </w:r>
      <w:r>
        <w:rPr>
          <w:rFonts w:asciiTheme="minorHAnsi" w:hAnsiTheme="minorHAnsi" w:cstheme="minorHAnsi"/>
          <w:sz w:val="22"/>
          <w:szCs w:val="22"/>
        </w:rPr>
        <w:t xml:space="preserve"> 2011 v4.01</w:t>
      </w:r>
      <w:r w:rsidRPr="00F81462">
        <w:rPr>
          <w:rFonts w:asciiTheme="minorHAnsi" w:hAnsiTheme="minorHAnsi" w:cstheme="minorHAnsi"/>
          <w:sz w:val="22"/>
          <w:szCs w:val="22"/>
        </w:rPr>
        <w:t xml:space="preserve"> </w:t>
      </w:r>
      <w:r>
        <w:rPr>
          <w:rFonts w:asciiTheme="minorHAnsi" w:hAnsiTheme="minorHAnsi" w:cstheme="minorHAnsi"/>
          <w:sz w:val="22"/>
          <w:szCs w:val="22"/>
        </w:rPr>
        <w:t>contains</w:t>
      </w:r>
      <w:r w:rsidRPr="00F81462">
        <w:rPr>
          <w:rFonts w:asciiTheme="minorHAnsi" w:hAnsiTheme="minorHAnsi" w:cstheme="minorHAnsi"/>
          <w:sz w:val="22"/>
          <w:szCs w:val="22"/>
        </w:rPr>
        <w:t xml:space="preserve"> linear fluorescent measures</w:t>
      </w:r>
      <w:r>
        <w:rPr>
          <w:rFonts w:asciiTheme="minorHAnsi" w:hAnsiTheme="minorHAnsi" w:cstheme="minorHAnsi"/>
          <w:sz w:val="22"/>
          <w:szCs w:val="22"/>
        </w:rPr>
        <w:t>.</w:t>
      </w:r>
      <w:r w:rsidRPr="00F81462">
        <w:rPr>
          <w:rFonts w:asciiTheme="minorHAnsi" w:hAnsiTheme="minorHAnsi" w:cstheme="minorHAnsi"/>
          <w:sz w:val="22"/>
          <w:szCs w:val="22"/>
        </w:rPr>
        <w:t xml:space="preserve"> </w:t>
      </w:r>
      <w:r>
        <w:rPr>
          <w:rFonts w:asciiTheme="minorHAnsi" w:hAnsiTheme="minorHAnsi" w:cstheme="minorHAnsi"/>
          <w:sz w:val="22"/>
          <w:szCs w:val="22"/>
        </w:rPr>
        <w:t>H</w:t>
      </w:r>
      <w:r w:rsidRPr="00F81462">
        <w:rPr>
          <w:rFonts w:asciiTheme="minorHAnsi" w:hAnsiTheme="minorHAnsi" w:cstheme="minorHAnsi"/>
          <w:sz w:val="22"/>
          <w:szCs w:val="22"/>
        </w:rPr>
        <w:t>owever</w:t>
      </w:r>
      <w:r>
        <w:rPr>
          <w:rFonts w:asciiTheme="minorHAnsi" w:hAnsiTheme="minorHAnsi" w:cstheme="minorHAnsi"/>
          <w:sz w:val="22"/>
          <w:szCs w:val="22"/>
        </w:rPr>
        <w:t>,</w:t>
      </w:r>
      <w:r w:rsidRPr="00F81462">
        <w:rPr>
          <w:rFonts w:asciiTheme="minorHAnsi" w:hAnsiTheme="minorHAnsi" w:cstheme="minorHAnsi"/>
          <w:sz w:val="22"/>
          <w:szCs w:val="22"/>
        </w:rPr>
        <w:t xml:space="preserve"> due to the way these measures are con</w:t>
      </w:r>
      <w:r>
        <w:rPr>
          <w:rFonts w:asciiTheme="minorHAnsi" w:hAnsiTheme="minorHAnsi" w:cstheme="minorHAnsi"/>
          <w:sz w:val="22"/>
          <w:szCs w:val="22"/>
        </w:rPr>
        <w:t>figured</w:t>
      </w:r>
      <w:r w:rsidRPr="00F81462">
        <w:rPr>
          <w:rFonts w:asciiTheme="minorHAnsi" w:hAnsiTheme="minorHAnsi" w:cstheme="minorHAnsi"/>
          <w:sz w:val="22"/>
          <w:szCs w:val="22"/>
        </w:rPr>
        <w:t>, as being available for range of wattages, the measur</w:t>
      </w:r>
      <w:r>
        <w:rPr>
          <w:rFonts w:asciiTheme="minorHAnsi" w:hAnsiTheme="minorHAnsi" w:cstheme="minorHAnsi"/>
          <w:sz w:val="22"/>
          <w:szCs w:val="22"/>
        </w:rPr>
        <w:t xml:space="preserve">es in DEER are not applicable.  This is summarized in </w:t>
      </w:r>
      <w:r w:rsidR="00FF1B81">
        <w:rPr>
          <w:rFonts w:asciiTheme="minorHAnsi" w:hAnsiTheme="minorHAnsi" w:cstheme="minorHAnsi"/>
          <w:sz w:val="22"/>
          <w:szCs w:val="22"/>
        </w:rPr>
        <w:fldChar w:fldCharType="begin"/>
      </w:r>
      <w:r w:rsidR="00FF1B81">
        <w:rPr>
          <w:rFonts w:asciiTheme="minorHAnsi" w:hAnsiTheme="minorHAnsi" w:cstheme="minorHAnsi"/>
          <w:sz w:val="22"/>
          <w:szCs w:val="22"/>
        </w:rPr>
        <w:instrText xml:space="preserve"> REF _Ref394462249 \h </w:instrText>
      </w:r>
      <w:r w:rsidR="00FF1B81">
        <w:rPr>
          <w:rFonts w:asciiTheme="minorHAnsi" w:hAnsiTheme="minorHAnsi" w:cstheme="minorHAnsi"/>
          <w:sz w:val="22"/>
          <w:szCs w:val="22"/>
        </w:rPr>
      </w:r>
      <w:r w:rsidR="00FF1B81">
        <w:rPr>
          <w:rFonts w:asciiTheme="minorHAnsi" w:hAnsiTheme="minorHAnsi" w:cstheme="minorHAnsi"/>
          <w:sz w:val="22"/>
          <w:szCs w:val="22"/>
        </w:rPr>
        <w:fldChar w:fldCharType="separate"/>
      </w:r>
      <w:r w:rsidR="00302C1D" w:rsidRPr="00697868">
        <w:rPr>
          <w:rFonts w:asciiTheme="minorHAnsi" w:hAnsiTheme="minorHAnsi" w:cstheme="minorHAnsi"/>
          <w:sz w:val="22"/>
          <w:szCs w:val="22"/>
        </w:rPr>
        <w:t xml:space="preserve">Table </w:t>
      </w:r>
      <w:r w:rsidR="00302C1D">
        <w:rPr>
          <w:rFonts w:asciiTheme="minorHAnsi" w:hAnsiTheme="minorHAnsi" w:cstheme="minorHAnsi"/>
          <w:noProof/>
          <w:sz w:val="22"/>
          <w:szCs w:val="22"/>
        </w:rPr>
        <w:t>2</w:t>
      </w:r>
      <w:r w:rsidR="00302C1D" w:rsidRPr="00697868">
        <w:rPr>
          <w:rFonts w:asciiTheme="minorHAnsi" w:hAnsiTheme="minorHAnsi" w:cstheme="minorHAnsi"/>
          <w:sz w:val="22"/>
          <w:szCs w:val="22"/>
        </w:rPr>
        <w:t xml:space="preserve"> DEER Difference Summary</w:t>
      </w:r>
      <w:r w:rsidR="00FF1B81">
        <w:rPr>
          <w:rFonts w:asciiTheme="minorHAnsi" w:hAnsiTheme="minorHAnsi" w:cstheme="minorHAnsi"/>
          <w:sz w:val="22"/>
          <w:szCs w:val="22"/>
        </w:rPr>
        <w:fldChar w:fldCharType="end"/>
      </w:r>
      <w:r w:rsidR="003C5FF6">
        <w:rPr>
          <w:rFonts w:asciiTheme="minorHAnsi" w:hAnsiTheme="minorHAnsi" w:cstheme="minorHAnsi"/>
          <w:sz w:val="22"/>
          <w:szCs w:val="22"/>
        </w:rPr>
        <w:t xml:space="preserve"> </w:t>
      </w:r>
      <w:r>
        <w:rPr>
          <w:rFonts w:asciiTheme="minorHAnsi" w:hAnsiTheme="minorHAnsi" w:cstheme="minorHAnsi"/>
          <w:sz w:val="22"/>
          <w:szCs w:val="22"/>
        </w:rPr>
        <w:t>below.</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bookmarkStart w:id="11" w:name="_Ref394462249"/>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2C1D">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bookmarkEnd w:id="11"/>
    </w:p>
    <w:tbl>
      <w:tblPr>
        <w:tblStyle w:val="TableContemporary"/>
        <w:tblW w:w="0" w:type="auto"/>
        <w:jc w:val="center"/>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C559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4C5592" w:rsidRPr="00824A37" w:rsidRDefault="004C5592" w:rsidP="004C5592">
            <w:pPr>
              <w:jc w:val="center"/>
              <w:rPr>
                <w:rFonts w:asciiTheme="minorHAnsi" w:hAnsiTheme="minorHAnsi" w:cstheme="minorHAnsi"/>
                <w:b/>
                <w:sz w:val="20"/>
                <w:szCs w:val="20"/>
              </w:rPr>
            </w:pPr>
            <w:r w:rsidRPr="00824A37">
              <w:rPr>
                <w:rFonts w:asciiTheme="minorHAnsi" w:hAnsiTheme="minorHAnsi" w:cstheme="minorHAnsi"/>
                <w:sz w:val="20"/>
                <w:szCs w:val="20"/>
              </w:rPr>
              <w:t>No</w:t>
            </w:r>
          </w:p>
        </w:tc>
      </w:tr>
      <w:tr w:rsidR="004C559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C5592" w:rsidRPr="00824A37" w:rsidRDefault="004C5592" w:rsidP="004C5592">
            <w:pPr>
              <w:jc w:val="center"/>
              <w:rPr>
                <w:rFonts w:asciiTheme="minorHAnsi" w:hAnsiTheme="minorHAnsi" w:cstheme="minorHAnsi"/>
                <w:sz w:val="20"/>
                <w:szCs w:val="20"/>
              </w:rPr>
            </w:pPr>
            <w:r w:rsidRPr="00824A37">
              <w:rPr>
                <w:rFonts w:asciiTheme="minorHAnsi" w:hAnsiTheme="minorHAnsi" w:cstheme="minorHAnsi"/>
                <w:sz w:val="20"/>
                <w:szCs w:val="20"/>
              </w:rPr>
              <w:t>No</w:t>
            </w:r>
          </w:p>
        </w:tc>
      </w:tr>
      <w:tr w:rsidR="004C559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4C5592" w:rsidRPr="00824A37" w:rsidRDefault="004C5592" w:rsidP="004C5592">
            <w:pPr>
              <w:jc w:val="center"/>
              <w:rPr>
                <w:rFonts w:asciiTheme="minorHAnsi" w:hAnsiTheme="minorHAnsi" w:cstheme="minorHAnsi"/>
                <w:sz w:val="20"/>
                <w:szCs w:val="20"/>
              </w:rPr>
            </w:pPr>
            <w:r w:rsidRPr="00824A37">
              <w:rPr>
                <w:rFonts w:asciiTheme="minorHAnsi" w:hAnsiTheme="minorHAnsi" w:cstheme="minorHAnsi"/>
                <w:sz w:val="20"/>
                <w:szCs w:val="20"/>
              </w:rPr>
              <w:t>No</w:t>
            </w:r>
          </w:p>
        </w:tc>
      </w:tr>
      <w:tr w:rsidR="004C559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4C5592" w:rsidRPr="00824A37" w:rsidRDefault="004C5592" w:rsidP="004C5592">
            <w:pPr>
              <w:jc w:val="center"/>
              <w:rPr>
                <w:rFonts w:asciiTheme="minorHAnsi" w:hAnsiTheme="minorHAnsi" w:cstheme="minorHAnsi"/>
                <w:sz w:val="20"/>
                <w:szCs w:val="20"/>
              </w:rPr>
            </w:pPr>
            <w:r w:rsidRPr="00824A37">
              <w:rPr>
                <w:rFonts w:asciiTheme="minorHAnsi" w:hAnsiTheme="minorHAnsi" w:cstheme="minorHAnsi"/>
                <w:sz w:val="20"/>
                <w:szCs w:val="20"/>
              </w:rPr>
              <w:t>DEER does not contain this type of measure.</w:t>
            </w:r>
          </w:p>
        </w:tc>
      </w:tr>
      <w:tr w:rsidR="004C559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4C5592" w:rsidRPr="00824A37" w:rsidRDefault="004C5592" w:rsidP="004C5592">
            <w:pPr>
              <w:jc w:val="center"/>
              <w:rPr>
                <w:rFonts w:asciiTheme="minorHAnsi" w:hAnsiTheme="minorHAnsi" w:cstheme="minorHAnsi"/>
                <w:sz w:val="20"/>
                <w:szCs w:val="20"/>
              </w:rPr>
            </w:pPr>
            <w:r>
              <w:rPr>
                <w:rFonts w:asciiTheme="minorHAnsi" w:hAnsiTheme="minorHAnsi" w:cstheme="minorHAnsi"/>
                <w:sz w:val="20"/>
                <w:szCs w:val="20"/>
              </w:rPr>
              <w:t>N/A</w:t>
            </w:r>
          </w:p>
        </w:tc>
      </w:tr>
      <w:tr w:rsidR="004C559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C5592" w:rsidRPr="00697868" w:rsidRDefault="004C5592" w:rsidP="004C5592">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4C5592" w:rsidRPr="00824A37" w:rsidRDefault="004C5592" w:rsidP="004C5592">
            <w:pPr>
              <w:jc w:val="center"/>
              <w:rPr>
                <w:rFonts w:asciiTheme="minorHAnsi" w:hAnsiTheme="minorHAnsi" w:cstheme="minorHAnsi"/>
                <w:sz w:val="20"/>
                <w:szCs w:val="20"/>
              </w:rPr>
            </w:pPr>
            <w:r>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i w:val="0"/>
          <w:sz w:val="22"/>
          <w:szCs w:val="22"/>
        </w:rPr>
      </w:pPr>
      <w:bookmarkStart w:id="12" w:name="_Toc214003087"/>
    </w:p>
    <w:p w:rsidR="000968C6" w:rsidRPr="00E6255E"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E6255E">
        <w:rPr>
          <w:rFonts w:asciiTheme="minorHAnsi" w:hAnsiTheme="minorHAnsi" w:cstheme="minorHAnsi"/>
          <w:sz w:val="22"/>
          <w:szCs w:val="22"/>
        </w:rPr>
        <w:fldChar w:fldCharType="begin"/>
      </w:r>
      <w:r w:rsidR="00E6255E">
        <w:rPr>
          <w:rFonts w:asciiTheme="minorHAnsi" w:hAnsiTheme="minorHAnsi" w:cstheme="minorHAnsi"/>
          <w:sz w:val="22"/>
          <w:szCs w:val="22"/>
        </w:rPr>
        <w:instrText xml:space="preserve"> REF _Ref377904128 \h </w:instrText>
      </w:r>
      <w:r w:rsidR="00E6255E">
        <w:rPr>
          <w:rFonts w:asciiTheme="minorHAnsi" w:hAnsiTheme="minorHAnsi" w:cstheme="minorHAnsi"/>
          <w:sz w:val="22"/>
          <w:szCs w:val="22"/>
        </w:rPr>
      </w:r>
      <w:r w:rsidR="00E6255E">
        <w:rPr>
          <w:rFonts w:asciiTheme="minorHAnsi" w:hAnsiTheme="minorHAnsi" w:cstheme="minorHAnsi"/>
          <w:sz w:val="22"/>
          <w:szCs w:val="22"/>
        </w:rPr>
        <w:fldChar w:fldCharType="separate"/>
      </w:r>
      <w:r w:rsidR="00302C1D" w:rsidRPr="00697868">
        <w:rPr>
          <w:rFonts w:asciiTheme="minorHAnsi" w:hAnsiTheme="minorHAnsi" w:cstheme="minorHAnsi"/>
          <w:sz w:val="22"/>
          <w:szCs w:val="22"/>
        </w:rPr>
        <w:t xml:space="preserve">Table </w:t>
      </w:r>
      <w:r w:rsidR="00302C1D">
        <w:rPr>
          <w:rFonts w:asciiTheme="minorHAnsi" w:hAnsiTheme="minorHAnsi" w:cstheme="minorHAnsi"/>
          <w:noProof/>
          <w:sz w:val="22"/>
          <w:szCs w:val="22"/>
        </w:rPr>
        <w:t>3</w:t>
      </w:r>
      <w:r w:rsidR="00E6255E">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E97246" w:rsidRDefault="00E97246" w:rsidP="000968C6">
      <w:pPr>
        <w:pStyle w:val="Caption"/>
        <w:jc w:val="center"/>
        <w:rPr>
          <w:rFonts w:asciiTheme="minorHAnsi" w:hAnsiTheme="minorHAnsi" w:cstheme="minorHAnsi"/>
          <w:sz w:val="22"/>
          <w:szCs w:val="22"/>
        </w:rPr>
      </w:pPr>
      <w:bookmarkStart w:id="13" w:name="_Ref377904128"/>
    </w:p>
    <w:p w:rsidR="000968C6" w:rsidRPr="00697868" w:rsidRDefault="000968C6" w:rsidP="000968C6">
      <w:pPr>
        <w:pStyle w:val="Caption"/>
        <w:jc w:val="center"/>
        <w:rPr>
          <w:rFonts w:asciiTheme="minorHAnsi" w:hAnsiTheme="minorHAnsi" w:cstheme="minorHAnsi"/>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2C1D">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Net-to-Gross Ratio</w:t>
      </w:r>
    </w:p>
    <w:tbl>
      <w:tblPr>
        <w:tblStyle w:val="TableContemporary"/>
        <w:tblW w:w="4385" w:type="pct"/>
        <w:jc w:val="center"/>
        <w:tblLook w:val="01E0" w:firstRow="1" w:lastRow="1" w:firstColumn="1" w:lastColumn="1" w:noHBand="0" w:noVBand="0"/>
      </w:tblPr>
      <w:tblGrid>
        <w:gridCol w:w="1432"/>
        <w:gridCol w:w="3088"/>
        <w:gridCol w:w="843"/>
        <w:gridCol w:w="1082"/>
        <w:gridCol w:w="1279"/>
        <w:gridCol w:w="674"/>
      </w:tblGrid>
      <w:tr w:rsidR="00BF4E96" w:rsidRPr="00697868" w:rsidTr="00EC1BA8">
        <w:trPr>
          <w:cnfStyle w:val="100000000000" w:firstRow="1" w:lastRow="0" w:firstColumn="0" w:lastColumn="0" w:oddVBand="0" w:evenVBand="0" w:oddHBand="0" w:evenHBand="0" w:firstRowFirstColumn="0" w:firstRowLastColumn="0" w:lastRowFirstColumn="0" w:lastRowLastColumn="0"/>
          <w:jc w:val="center"/>
        </w:trPr>
        <w:tc>
          <w:tcPr>
            <w:tcW w:w="85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83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0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44"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1"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0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BF4E96" w:rsidRPr="00697868" w:rsidTr="00EC1BA8">
        <w:trPr>
          <w:cnfStyle w:val="000000100000" w:firstRow="0" w:lastRow="0" w:firstColumn="0" w:lastColumn="0" w:oddVBand="0" w:evenVBand="0" w:oddHBand="1" w:evenHBand="0" w:firstRowFirstColumn="0" w:firstRowLastColumn="0" w:lastRowFirstColumn="0" w:lastRowLastColumn="0"/>
          <w:jc w:val="center"/>
        </w:trPr>
        <w:tc>
          <w:tcPr>
            <w:tcW w:w="853"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NonRes-sAll-mT5T8-dn</w:t>
            </w:r>
          </w:p>
        </w:tc>
        <w:tc>
          <w:tcPr>
            <w:tcW w:w="1839"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2"/>
              </w:rPr>
              <w:t>T5 and T8 lamps</w:t>
            </w:r>
          </w:p>
        </w:tc>
        <w:tc>
          <w:tcPr>
            <w:tcW w:w="502"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Com</w:t>
            </w:r>
          </w:p>
        </w:tc>
        <w:tc>
          <w:tcPr>
            <w:tcW w:w="644" w:type="pct"/>
            <w:vAlign w:val="center"/>
          </w:tcPr>
          <w:p w:rsidR="004C5592" w:rsidRPr="001F3F31"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4C5592" w:rsidRPr="00D219AF"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PreRebDown</w:t>
            </w:r>
            <w:proofErr w:type="spellEnd"/>
          </w:p>
        </w:tc>
        <w:tc>
          <w:tcPr>
            <w:tcW w:w="401"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0.7</w:t>
            </w:r>
          </w:p>
        </w:tc>
      </w:tr>
      <w:tr w:rsidR="00EC1BA8" w:rsidRPr="00697868" w:rsidTr="00EC1BA8">
        <w:trPr>
          <w:cnfStyle w:val="000000010000" w:firstRow="0" w:lastRow="0" w:firstColumn="0" w:lastColumn="0" w:oddVBand="0" w:evenVBand="0" w:oddHBand="0" w:evenHBand="1" w:firstRowFirstColumn="0" w:firstRowLastColumn="0" w:lastRowFirstColumn="0" w:lastRowLastColumn="0"/>
          <w:jc w:val="center"/>
        </w:trPr>
        <w:tc>
          <w:tcPr>
            <w:tcW w:w="853"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Com-Default&gt;2yrs</w:t>
            </w:r>
          </w:p>
        </w:tc>
        <w:tc>
          <w:tcPr>
            <w:tcW w:w="1839"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Com</w:t>
            </w:r>
          </w:p>
        </w:tc>
        <w:tc>
          <w:tcPr>
            <w:tcW w:w="644" w:type="pct"/>
            <w:vAlign w:val="center"/>
          </w:tcPr>
          <w:p w:rsidR="00EC1BA8" w:rsidRPr="001F3F31"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EC1BA8" w:rsidRDefault="00EC1BA8" w:rsidP="00EC1BA8">
            <w:pPr>
              <w:jc w:val="center"/>
            </w:pPr>
            <w:r w:rsidRPr="00FB142C">
              <w:rPr>
                <w:rFonts w:asciiTheme="minorHAnsi" w:hAnsiTheme="minorHAnsi" w:cstheme="minorHAnsi"/>
                <w:sz w:val="20"/>
                <w:szCs w:val="20"/>
              </w:rPr>
              <w:t>Any</w:t>
            </w:r>
          </w:p>
        </w:tc>
        <w:tc>
          <w:tcPr>
            <w:tcW w:w="401"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0.6</w:t>
            </w:r>
          </w:p>
        </w:tc>
      </w:tr>
      <w:tr w:rsidR="00EC1BA8" w:rsidRPr="00697868" w:rsidTr="00EC1BA8">
        <w:trPr>
          <w:cnfStyle w:val="000000100000" w:firstRow="0" w:lastRow="0" w:firstColumn="0" w:lastColumn="0" w:oddVBand="0" w:evenVBand="0" w:oddHBand="1" w:evenHBand="0" w:firstRowFirstColumn="0" w:firstRowLastColumn="0" w:lastRowFirstColumn="0" w:lastRowLastColumn="0"/>
          <w:jc w:val="center"/>
        </w:trPr>
        <w:tc>
          <w:tcPr>
            <w:tcW w:w="853" w:type="pct"/>
            <w:vAlign w:val="center"/>
          </w:tcPr>
          <w:p w:rsidR="00EC1BA8" w:rsidRPr="00D219AF" w:rsidRDefault="00EC1BA8"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r w:rsidRPr="001F3F31">
              <w:rPr>
                <w:rFonts w:asciiTheme="minorHAnsi" w:hAnsiTheme="minorHAnsi" w:cstheme="minorHAnsi"/>
                <w:sz w:val="20"/>
                <w:szCs w:val="20"/>
              </w:rPr>
              <w:t>-Default&gt;2yrs</w:t>
            </w:r>
          </w:p>
        </w:tc>
        <w:tc>
          <w:tcPr>
            <w:tcW w:w="1839"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EC1BA8" w:rsidRPr="00D219AF" w:rsidRDefault="00EC1BA8"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p>
        </w:tc>
        <w:tc>
          <w:tcPr>
            <w:tcW w:w="644" w:type="pct"/>
            <w:vAlign w:val="center"/>
          </w:tcPr>
          <w:p w:rsidR="00EC1BA8" w:rsidRPr="001F3F31"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EC1BA8" w:rsidRDefault="00EC1BA8" w:rsidP="00EC1BA8">
            <w:pPr>
              <w:jc w:val="center"/>
            </w:pPr>
            <w:r w:rsidRPr="00FB142C">
              <w:rPr>
                <w:rFonts w:asciiTheme="minorHAnsi" w:hAnsiTheme="minorHAnsi" w:cstheme="minorHAnsi"/>
                <w:sz w:val="20"/>
                <w:szCs w:val="20"/>
              </w:rPr>
              <w:t>Any</w:t>
            </w:r>
          </w:p>
        </w:tc>
        <w:tc>
          <w:tcPr>
            <w:tcW w:w="401"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0.6</w:t>
            </w:r>
          </w:p>
        </w:tc>
      </w:tr>
      <w:tr w:rsidR="00EC1BA8" w:rsidRPr="00697868" w:rsidTr="00EC1BA8">
        <w:trPr>
          <w:cnfStyle w:val="000000010000" w:firstRow="0" w:lastRow="0" w:firstColumn="0" w:lastColumn="0" w:oddVBand="0" w:evenVBand="0" w:oddHBand="0" w:evenHBand="1" w:firstRowFirstColumn="0" w:firstRowLastColumn="0" w:lastRowFirstColumn="0" w:lastRowLastColumn="0"/>
          <w:jc w:val="center"/>
        </w:trPr>
        <w:tc>
          <w:tcPr>
            <w:tcW w:w="853" w:type="pct"/>
            <w:vAlign w:val="center"/>
          </w:tcPr>
          <w:p w:rsidR="00EC1BA8" w:rsidRPr="00D219AF" w:rsidRDefault="00EC1BA8"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Agric</w:t>
            </w:r>
            <w:proofErr w:type="spellEnd"/>
            <w:r w:rsidRPr="001F3F31">
              <w:rPr>
                <w:rFonts w:asciiTheme="minorHAnsi" w:hAnsiTheme="minorHAnsi" w:cstheme="minorHAnsi"/>
                <w:sz w:val="20"/>
                <w:szCs w:val="20"/>
              </w:rPr>
              <w:t>-Default&gt;2yrs</w:t>
            </w:r>
          </w:p>
        </w:tc>
        <w:tc>
          <w:tcPr>
            <w:tcW w:w="1839"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Ag</w:t>
            </w:r>
          </w:p>
        </w:tc>
        <w:tc>
          <w:tcPr>
            <w:tcW w:w="644" w:type="pct"/>
            <w:vAlign w:val="center"/>
          </w:tcPr>
          <w:p w:rsidR="00EC1BA8" w:rsidRPr="001F3F31"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EC1BA8" w:rsidRDefault="00EC1BA8" w:rsidP="00EC1BA8">
            <w:pPr>
              <w:jc w:val="center"/>
            </w:pPr>
            <w:r w:rsidRPr="00FB142C">
              <w:rPr>
                <w:rFonts w:asciiTheme="minorHAnsi" w:hAnsiTheme="minorHAnsi" w:cstheme="minorHAnsi"/>
                <w:sz w:val="20"/>
                <w:szCs w:val="20"/>
              </w:rPr>
              <w:t>Any</w:t>
            </w:r>
          </w:p>
        </w:tc>
        <w:tc>
          <w:tcPr>
            <w:tcW w:w="401" w:type="pct"/>
            <w:vAlign w:val="center"/>
          </w:tcPr>
          <w:p w:rsidR="00EC1BA8" w:rsidRPr="00D219AF" w:rsidRDefault="00EC1BA8" w:rsidP="004C5592">
            <w:pPr>
              <w:jc w:val="center"/>
              <w:rPr>
                <w:rFonts w:asciiTheme="minorHAnsi" w:hAnsiTheme="minorHAnsi" w:cstheme="minorHAnsi"/>
                <w:sz w:val="20"/>
                <w:szCs w:val="20"/>
              </w:rPr>
            </w:pPr>
            <w:r w:rsidRPr="001F3F31">
              <w:rPr>
                <w:rFonts w:asciiTheme="minorHAnsi" w:hAnsiTheme="minorHAnsi" w:cstheme="minorHAnsi"/>
                <w:sz w:val="20"/>
                <w:szCs w:val="20"/>
              </w:rPr>
              <w:t>0.6</w:t>
            </w:r>
          </w:p>
        </w:tc>
      </w:tr>
      <w:tr w:rsidR="00EC1BA8" w:rsidRPr="00697868" w:rsidTr="00EC1BA8">
        <w:trPr>
          <w:cnfStyle w:val="000000100000" w:firstRow="0" w:lastRow="0" w:firstColumn="0" w:lastColumn="0" w:oddVBand="0" w:evenVBand="0" w:oddHBand="1" w:evenHBand="0" w:firstRowFirstColumn="0" w:firstRowLastColumn="0" w:lastRowFirstColumn="0" w:lastRowLastColumn="0"/>
          <w:jc w:val="center"/>
        </w:trPr>
        <w:tc>
          <w:tcPr>
            <w:tcW w:w="853" w:type="pct"/>
            <w:vAlign w:val="center"/>
          </w:tcPr>
          <w:p w:rsidR="00EC1BA8" w:rsidRPr="00EC1BA8" w:rsidRDefault="00EC1BA8" w:rsidP="00EC1BA8">
            <w:pPr>
              <w:jc w:val="center"/>
              <w:rPr>
                <w:rFonts w:asciiTheme="minorHAnsi" w:hAnsiTheme="minorHAnsi" w:cstheme="minorHAnsi"/>
                <w:sz w:val="20"/>
                <w:szCs w:val="20"/>
              </w:rPr>
            </w:pPr>
            <w:r w:rsidRPr="00EC1BA8">
              <w:rPr>
                <w:rFonts w:asciiTheme="minorHAnsi" w:hAnsiTheme="minorHAnsi" w:cstheme="minorHAnsi"/>
                <w:sz w:val="20"/>
                <w:szCs w:val="20"/>
              </w:rPr>
              <w:t>Res-Default&gt;2</w:t>
            </w:r>
          </w:p>
        </w:tc>
        <w:tc>
          <w:tcPr>
            <w:tcW w:w="1839" w:type="pct"/>
            <w:vAlign w:val="center"/>
          </w:tcPr>
          <w:p w:rsidR="00EC1BA8" w:rsidRPr="00EC1BA8" w:rsidRDefault="00EC1BA8" w:rsidP="00EC1BA8">
            <w:pPr>
              <w:jc w:val="center"/>
              <w:rPr>
                <w:rFonts w:asciiTheme="minorHAnsi" w:hAnsiTheme="minorHAnsi" w:cstheme="minorHAnsi"/>
                <w:sz w:val="20"/>
                <w:szCs w:val="20"/>
              </w:rPr>
            </w:pPr>
            <w:r w:rsidRPr="00EC1BA8">
              <w:rPr>
                <w:rFonts w:asciiTheme="minorHAnsi" w:hAnsiTheme="minorHAnsi" w:cstheme="minorHAnsi"/>
                <w:sz w:val="20"/>
                <w:szCs w:val="20"/>
              </w:rPr>
              <w:t>All other EEM with no evaluated NTGR; existing EEM with same delivery mechanism for more than 2 years</w:t>
            </w:r>
          </w:p>
        </w:tc>
        <w:tc>
          <w:tcPr>
            <w:tcW w:w="502" w:type="pct"/>
            <w:vAlign w:val="center"/>
          </w:tcPr>
          <w:p w:rsidR="00EC1BA8" w:rsidRPr="001F3F31" w:rsidRDefault="00EC1BA8" w:rsidP="004C5592">
            <w:pPr>
              <w:jc w:val="center"/>
              <w:rPr>
                <w:rFonts w:asciiTheme="minorHAnsi" w:hAnsiTheme="minorHAnsi" w:cstheme="minorHAnsi"/>
                <w:sz w:val="20"/>
                <w:szCs w:val="20"/>
              </w:rPr>
            </w:pPr>
            <w:r>
              <w:rPr>
                <w:rFonts w:asciiTheme="minorHAnsi" w:hAnsiTheme="minorHAnsi" w:cstheme="minorHAnsi"/>
                <w:sz w:val="20"/>
                <w:szCs w:val="20"/>
              </w:rPr>
              <w:t>Res</w:t>
            </w:r>
          </w:p>
        </w:tc>
        <w:tc>
          <w:tcPr>
            <w:tcW w:w="644" w:type="pct"/>
            <w:vAlign w:val="center"/>
          </w:tcPr>
          <w:p w:rsidR="00EC1BA8" w:rsidRPr="001F3F31" w:rsidRDefault="00EC1BA8" w:rsidP="004C5592">
            <w:pPr>
              <w:jc w:val="center"/>
              <w:rPr>
                <w:rFonts w:asciiTheme="minorHAnsi" w:hAnsiTheme="minorHAnsi" w:cstheme="minorHAnsi"/>
                <w:sz w:val="20"/>
                <w:szCs w:val="20"/>
              </w:rPr>
            </w:pPr>
            <w:r>
              <w:rPr>
                <w:rFonts w:asciiTheme="minorHAnsi" w:hAnsiTheme="minorHAnsi" w:cstheme="minorHAnsi"/>
                <w:sz w:val="20"/>
                <w:szCs w:val="20"/>
              </w:rPr>
              <w:t>Any</w:t>
            </w:r>
          </w:p>
        </w:tc>
        <w:tc>
          <w:tcPr>
            <w:tcW w:w="761" w:type="pct"/>
            <w:vAlign w:val="center"/>
          </w:tcPr>
          <w:p w:rsidR="00EC1BA8" w:rsidRPr="001F3F31" w:rsidRDefault="00EC1BA8" w:rsidP="004C5592">
            <w:pPr>
              <w:jc w:val="center"/>
              <w:rPr>
                <w:rFonts w:asciiTheme="minorHAnsi" w:hAnsiTheme="minorHAnsi" w:cstheme="minorHAnsi"/>
                <w:sz w:val="20"/>
                <w:szCs w:val="20"/>
              </w:rPr>
            </w:pPr>
            <w:r>
              <w:rPr>
                <w:rFonts w:asciiTheme="minorHAnsi" w:hAnsiTheme="minorHAnsi" w:cstheme="minorHAnsi"/>
                <w:sz w:val="20"/>
                <w:szCs w:val="20"/>
              </w:rPr>
              <w:t>Any</w:t>
            </w:r>
          </w:p>
        </w:tc>
        <w:tc>
          <w:tcPr>
            <w:tcW w:w="401" w:type="pct"/>
            <w:vAlign w:val="center"/>
          </w:tcPr>
          <w:p w:rsidR="00EC1BA8" w:rsidRPr="001F3F31" w:rsidRDefault="00EC1BA8" w:rsidP="004C5592">
            <w:pPr>
              <w:jc w:val="center"/>
              <w:rPr>
                <w:rFonts w:asciiTheme="minorHAnsi" w:hAnsiTheme="minorHAnsi" w:cstheme="minorHAnsi"/>
                <w:sz w:val="20"/>
                <w:szCs w:val="20"/>
              </w:rPr>
            </w:pPr>
            <w:r>
              <w:rPr>
                <w:rFonts w:asciiTheme="minorHAnsi" w:hAnsiTheme="minorHAnsi" w:cstheme="minorHAnsi"/>
                <w:sz w:val="20"/>
                <w:szCs w:val="20"/>
              </w:rPr>
              <w:t>0.55</w:t>
            </w:r>
          </w:p>
        </w:tc>
      </w:tr>
      <w:tr w:rsidR="00BF4E96" w:rsidRPr="00697868" w:rsidTr="00EC1BA8">
        <w:trPr>
          <w:cnfStyle w:val="000000010000" w:firstRow="0" w:lastRow="0" w:firstColumn="0" w:lastColumn="0" w:oddVBand="0" w:evenVBand="0" w:oddHBand="0" w:evenHBand="1" w:firstRowFirstColumn="0" w:firstRowLastColumn="0" w:lastRowFirstColumn="0" w:lastRowLastColumn="0"/>
          <w:jc w:val="center"/>
        </w:trPr>
        <w:tc>
          <w:tcPr>
            <w:tcW w:w="853"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Com-Default-HTG-di</w:t>
            </w:r>
          </w:p>
        </w:tc>
        <w:tc>
          <w:tcPr>
            <w:tcW w:w="1839"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502"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Com</w:t>
            </w:r>
          </w:p>
        </w:tc>
        <w:tc>
          <w:tcPr>
            <w:tcW w:w="644" w:type="pct"/>
            <w:vAlign w:val="center"/>
          </w:tcPr>
          <w:p w:rsidR="004C5592" w:rsidRPr="001F3F31"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4C5592" w:rsidRPr="00D219AF"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01"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EC1BA8" w:rsidRPr="00697868" w:rsidTr="00EC1BA8">
        <w:trPr>
          <w:cnfStyle w:val="000000100000" w:firstRow="0" w:lastRow="0" w:firstColumn="0" w:lastColumn="0" w:oddVBand="0" w:evenVBand="0" w:oddHBand="1" w:evenHBand="0" w:firstRowFirstColumn="0" w:firstRowLastColumn="0" w:lastRowFirstColumn="0" w:lastRowLastColumn="0"/>
          <w:jc w:val="center"/>
        </w:trPr>
        <w:tc>
          <w:tcPr>
            <w:tcW w:w="853" w:type="pct"/>
            <w:vAlign w:val="center"/>
          </w:tcPr>
          <w:p w:rsidR="004C5592" w:rsidRPr="00D219AF"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r w:rsidRPr="001F3F31">
              <w:rPr>
                <w:rFonts w:asciiTheme="minorHAnsi" w:hAnsiTheme="minorHAnsi" w:cstheme="minorHAnsi"/>
                <w:sz w:val="20"/>
                <w:szCs w:val="20"/>
              </w:rPr>
              <w:t>-Default-HTG-di</w:t>
            </w:r>
          </w:p>
        </w:tc>
        <w:tc>
          <w:tcPr>
            <w:tcW w:w="1839"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502" w:type="pct"/>
            <w:vAlign w:val="center"/>
          </w:tcPr>
          <w:p w:rsidR="004C5592" w:rsidRPr="00D219AF"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p>
        </w:tc>
        <w:tc>
          <w:tcPr>
            <w:tcW w:w="644" w:type="pct"/>
            <w:vAlign w:val="center"/>
          </w:tcPr>
          <w:p w:rsidR="004C5592" w:rsidRPr="001F3F31"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4C5592" w:rsidRPr="00D219AF"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01"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EC1BA8" w:rsidRPr="00697868" w:rsidTr="00EC1BA8">
        <w:trPr>
          <w:cnfStyle w:val="000000010000" w:firstRow="0" w:lastRow="0" w:firstColumn="0" w:lastColumn="0" w:oddVBand="0" w:evenVBand="0" w:oddHBand="0" w:evenHBand="1" w:firstRowFirstColumn="0" w:firstRowLastColumn="0" w:lastRowFirstColumn="0" w:lastRowLastColumn="0"/>
          <w:jc w:val="center"/>
        </w:trPr>
        <w:tc>
          <w:tcPr>
            <w:tcW w:w="853" w:type="pct"/>
            <w:vAlign w:val="center"/>
          </w:tcPr>
          <w:p w:rsidR="004C5592" w:rsidRPr="001F3F31"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Agricult</w:t>
            </w:r>
            <w:proofErr w:type="spellEnd"/>
            <w:r w:rsidRPr="001F3F31">
              <w:rPr>
                <w:rFonts w:asciiTheme="minorHAnsi" w:hAnsiTheme="minorHAnsi" w:cstheme="minorHAnsi"/>
                <w:sz w:val="20"/>
                <w:szCs w:val="20"/>
              </w:rPr>
              <w:t>-Default-HTG-di</w:t>
            </w:r>
          </w:p>
        </w:tc>
        <w:tc>
          <w:tcPr>
            <w:tcW w:w="1839"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502" w:type="pct"/>
            <w:vAlign w:val="center"/>
          </w:tcPr>
          <w:p w:rsidR="004C5592" w:rsidRPr="00D219AF"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Ag</w:t>
            </w:r>
          </w:p>
        </w:tc>
        <w:tc>
          <w:tcPr>
            <w:tcW w:w="644" w:type="pct"/>
            <w:vAlign w:val="center"/>
          </w:tcPr>
          <w:p w:rsidR="004C5592" w:rsidRPr="001F3F31"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4C5592" w:rsidRPr="001F3F31" w:rsidRDefault="004C5592" w:rsidP="004C5592">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01" w:type="pct"/>
            <w:vAlign w:val="center"/>
          </w:tcPr>
          <w:p w:rsidR="004C5592" w:rsidRPr="001F3F31" w:rsidRDefault="004C5592" w:rsidP="004C5592">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EC1BA8" w:rsidRPr="00697868" w:rsidTr="00EC1BA8">
        <w:trPr>
          <w:cnfStyle w:val="000000100000" w:firstRow="0" w:lastRow="0" w:firstColumn="0" w:lastColumn="0" w:oddVBand="0" w:evenVBand="0" w:oddHBand="1" w:evenHBand="0" w:firstRowFirstColumn="0" w:firstRowLastColumn="0" w:lastRowFirstColumn="0" w:lastRowLastColumn="0"/>
          <w:jc w:val="center"/>
        </w:trPr>
        <w:tc>
          <w:tcPr>
            <w:tcW w:w="853" w:type="pct"/>
            <w:vAlign w:val="center"/>
          </w:tcPr>
          <w:p w:rsidR="00EC1BA8" w:rsidRPr="00EC1BA8" w:rsidRDefault="00EC1BA8" w:rsidP="00EC1BA8">
            <w:pPr>
              <w:jc w:val="center"/>
              <w:rPr>
                <w:rFonts w:asciiTheme="minorHAnsi" w:hAnsiTheme="minorHAnsi" w:cstheme="minorHAnsi"/>
                <w:sz w:val="20"/>
                <w:szCs w:val="20"/>
              </w:rPr>
            </w:pPr>
            <w:r w:rsidRPr="00EC1BA8">
              <w:rPr>
                <w:rFonts w:asciiTheme="minorHAnsi" w:hAnsiTheme="minorHAnsi" w:cstheme="minorHAnsi"/>
                <w:sz w:val="20"/>
                <w:szCs w:val="20"/>
              </w:rPr>
              <w:t>Res-Default-HTR-di</w:t>
            </w:r>
          </w:p>
        </w:tc>
        <w:tc>
          <w:tcPr>
            <w:tcW w:w="1839" w:type="pct"/>
            <w:vAlign w:val="center"/>
          </w:tcPr>
          <w:p w:rsidR="00EC1BA8" w:rsidRPr="00EC1BA8" w:rsidRDefault="00EC1BA8" w:rsidP="00EC1BA8">
            <w:pPr>
              <w:jc w:val="center"/>
              <w:rPr>
                <w:rFonts w:asciiTheme="minorHAnsi" w:hAnsiTheme="minorHAnsi" w:cstheme="minorHAnsi"/>
                <w:sz w:val="20"/>
                <w:szCs w:val="20"/>
              </w:rPr>
            </w:pPr>
            <w:r w:rsidRPr="00EC1BA8">
              <w:rPr>
                <w:rFonts w:asciiTheme="minorHAnsi" w:hAnsiTheme="minorHAnsi" w:cstheme="minorHAnsi"/>
                <w:sz w:val="20"/>
                <w:szCs w:val="20"/>
              </w:rPr>
              <w:t>All other EEM with no evaluated NTGR; direct install hard-to-reach only.</w:t>
            </w:r>
          </w:p>
        </w:tc>
        <w:tc>
          <w:tcPr>
            <w:tcW w:w="502" w:type="pct"/>
            <w:vAlign w:val="center"/>
          </w:tcPr>
          <w:p w:rsidR="00EC1BA8" w:rsidRPr="001F3F31" w:rsidRDefault="00EC1BA8" w:rsidP="004C5592">
            <w:pPr>
              <w:jc w:val="center"/>
              <w:rPr>
                <w:rFonts w:asciiTheme="minorHAnsi" w:hAnsiTheme="minorHAnsi" w:cstheme="minorHAnsi"/>
                <w:sz w:val="20"/>
                <w:szCs w:val="20"/>
              </w:rPr>
            </w:pPr>
            <w:r>
              <w:rPr>
                <w:rFonts w:asciiTheme="minorHAnsi" w:hAnsiTheme="minorHAnsi" w:cstheme="minorHAnsi"/>
                <w:sz w:val="20"/>
                <w:szCs w:val="20"/>
              </w:rPr>
              <w:t>Res</w:t>
            </w:r>
          </w:p>
        </w:tc>
        <w:tc>
          <w:tcPr>
            <w:tcW w:w="644" w:type="pct"/>
            <w:vAlign w:val="center"/>
          </w:tcPr>
          <w:p w:rsidR="00EC1BA8" w:rsidRPr="001F3F31" w:rsidRDefault="00EC1BA8" w:rsidP="00E95FCC">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61" w:type="pct"/>
            <w:vAlign w:val="center"/>
          </w:tcPr>
          <w:p w:rsidR="00EC1BA8" w:rsidRPr="001F3F31" w:rsidRDefault="00EC1BA8" w:rsidP="00E95FCC">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01" w:type="pct"/>
            <w:vAlign w:val="center"/>
          </w:tcPr>
          <w:p w:rsidR="00EC1BA8" w:rsidRPr="001F3F31" w:rsidRDefault="00EC1BA8" w:rsidP="00E95FCC">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85E89" w:rsidRDefault="00F85E89" w:rsidP="00F85E89">
      <w:pPr>
        <w:pStyle w:val="Reminders"/>
        <w:rPr>
          <w:rFonts w:asciiTheme="minorHAnsi" w:hAnsiTheme="minorHAnsi" w:cstheme="minorHAnsi"/>
          <w:i w:val="0"/>
          <w:color w:val="auto"/>
          <w:sz w:val="22"/>
          <w:szCs w:val="22"/>
        </w:rPr>
      </w:pPr>
    </w:p>
    <w:p w:rsidR="00F85E89" w:rsidRPr="00F85E89" w:rsidRDefault="00F85E89" w:rsidP="00F85E89">
      <w:pPr>
        <w:pStyle w:val="Reminders"/>
        <w:rPr>
          <w:rFonts w:asciiTheme="minorHAnsi" w:hAnsiTheme="minorHAnsi" w:cstheme="minorHAnsi"/>
          <w:i w:val="0"/>
          <w:color w:val="auto"/>
          <w:sz w:val="22"/>
          <w:szCs w:val="22"/>
        </w:rPr>
      </w:pPr>
      <w:r w:rsidRPr="00F85E89">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Pr>
          <w:rFonts w:asciiTheme="minorHAnsi" w:hAnsiTheme="minorHAnsi" w:cstheme="minorHAnsi"/>
          <w:i w:val="0"/>
          <w:color w:val="auto"/>
          <w:sz w:val="22"/>
          <w:szCs w:val="22"/>
        </w:rPr>
        <w:t>non-</w:t>
      </w:r>
      <w:r w:rsidRPr="00F85E89">
        <w:rPr>
          <w:rFonts w:asciiTheme="minorHAnsi" w:hAnsiTheme="minorHAnsi" w:cstheme="minorHAnsi"/>
          <w:i w:val="0"/>
          <w:color w:val="auto"/>
          <w:sz w:val="22"/>
          <w:szCs w:val="22"/>
        </w:rPr>
        <w:t>residential defaulted NTG value, where in fact, a measure offered through direct install and is not “hard to reach” will receive a default NTG value.</w:t>
      </w:r>
    </w:p>
    <w:p w:rsidR="00F85E89" w:rsidRPr="000968C6" w:rsidRDefault="00F85E89"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02C1D" w:rsidRPr="00302C1D">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E97246" w:rsidRDefault="00E97246" w:rsidP="00240B74">
      <w:pPr>
        <w:pStyle w:val="Caption"/>
        <w:jc w:val="center"/>
        <w:rPr>
          <w:rFonts w:asciiTheme="minorHAnsi" w:hAnsiTheme="minorHAnsi" w:cstheme="minorHAnsi"/>
          <w:sz w:val="22"/>
          <w:szCs w:val="22"/>
        </w:rPr>
      </w:pPr>
      <w:bookmarkStart w:id="14" w:name="_Ref377965904"/>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02C1D">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4"/>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9671DB"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9671DB" w:rsidRDefault="009671DB" w:rsidP="009671DB">
            <w:pPr>
              <w:jc w:val="center"/>
              <w:rPr>
                <w:rFonts w:asciiTheme="minorHAnsi" w:hAnsiTheme="minorHAnsi" w:cstheme="minorHAnsi"/>
                <w:sz w:val="20"/>
                <w:szCs w:val="20"/>
              </w:rPr>
            </w:pPr>
            <w:r>
              <w:rPr>
                <w:rFonts w:asciiTheme="minorHAnsi" w:hAnsiTheme="minorHAnsi" w:cstheme="minorHAnsi"/>
                <w:sz w:val="20"/>
                <w:szCs w:val="20"/>
              </w:rPr>
              <w:t>Com-LF-SCE</w:t>
            </w:r>
          </w:p>
        </w:tc>
        <w:tc>
          <w:tcPr>
            <w:tcW w:w="1010" w:type="pct"/>
            <w:vAlign w:val="center"/>
          </w:tcPr>
          <w:p w:rsidR="009671DB" w:rsidRPr="008D13FB" w:rsidRDefault="009671DB" w:rsidP="009671DB">
            <w:pPr>
              <w:jc w:val="center"/>
              <w:rPr>
                <w:rFonts w:asciiTheme="minorHAnsi" w:hAnsiTheme="minorHAnsi" w:cstheme="minorHAnsi"/>
                <w:sz w:val="20"/>
                <w:szCs w:val="20"/>
              </w:rPr>
            </w:pPr>
            <w:r w:rsidRPr="003A3086">
              <w:rPr>
                <w:rFonts w:asciiTheme="minorHAnsi" w:hAnsiTheme="minorHAnsi" w:cstheme="minorHAnsi"/>
                <w:sz w:val="20"/>
                <w:szCs w:val="20"/>
              </w:rPr>
              <w:t>Non-Res Linear Fluorescent fixture; Annual Installation Rate</w:t>
            </w:r>
          </w:p>
        </w:tc>
        <w:tc>
          <w:tcPr>
            <w:tcW w:w="769" w:type="pct"/>
            <w:vAlign w:val="center"/>
          </w:tcPr>
          <w:p w:rsidR="009671DB" w:rsidRDefault="009671DB" w:rsidP="009671DB">
            <w:pPr>
              <w:jc w:val="center"/>
              <w:rPr>
                <w:rFonts w:asciiTheme="minorHAnsi" w:hAnsiTheme="minorHAnsi" w:cstheme="minorHAnsi"/>
                <w:sz w:val="20"/>
                <w:szCs w:val="20"/>
              </w:rPr>
            </w:pPr>
            <w:r>
              <w:rPr>
                <w:rFonts w:asciiTheme="minorHAnsi" w:hAnsiTheme="minorHAnsi" w:cstheme="minorHAnsi"/>
                <w:sz w:val="20"/>
                <w:szCs w:val="20"/>
              </w:rPr>
              <w:t>Com</w:t>
            </w:r>
          </w:p>
        </w:tc>
        <w:tc>
          <w:tcPr>
            <w:tcW w:w="958" w:type="pct"/>
            <w:vAlign w:val="center"/>
          </w:tcPr>
          <w:p w:rsidR="009671DB" w:rsidRPr="00697868" w:rsidRDefault="009671DB" w:rsidP="009671DB">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9671DB" w:rsidRDefault="009671DB" w:rsidP="009671DB">
            <w:pPr>
              <w:jc w:val="center"/>
              <w:rPr>
                <w:rFonts w:asciiTheme="minorHAnsi" w:hAnsiTheme="minorHAnsi" w:cstheme="minorHAnsi"/>
                <w:sz w:val="20"/>
                <w:szCs w:val="20"/>
              </w:rPr>
            </w:pPr>
            <w:proofErr w:type="spellStart"/>
            <w:r>
              <w:rPr>
                <w:rFonts w:asciiTheme="minorHAnsi" w:hAnsiTheme="minorHAnsi" w:cstheme="minorHAnsi"/>
                <w:sz w:val="20"/>
                <w:szCs w:val="20"/>
              </w:rPr>
              <w:t>NonUpStrm</w:t>
            </w:r>
            <w:proofErr w:type="spellEnd"/>
          </w:p>
        </w:tc>
        <w:tc>
          <w:tcPr>
            <w:tcW w:w="707" w:type="pct"/>
            <w:vAlign w:val="center"/>
          </w:tcPr>
          <w:p w:rsidR="009671DB" w:rsidRDefault="009671DB" w:rsidP="009671DB">
            <w:pPr>
              <w:jc w:val="center"/>
              <w:rPr>
                <w:rFonts w:asciiTheme="minorHAnsi" w:hAnsiTheme="minorHAnsi" w:cstheme="minorHAnsi"/>
                <w:sz w:val="20"/>
                <w:szCs w:val="20"/>
              </w:rPr>
            </w:pPr>
            <w:r>
              <w:rPr>
                <w:rFonts w:asciiTheme="minorHAnsi" w:hAnsiTheme="minorHAnsi" w:cstheme="minorHAnsi"/>
                <w:sz w:val="20"/>
                <w:szCs w:val="20"/>
              </w:rPr>
              <w:t>0.95</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r w:rsidR="00E97246" w:rsidRPr="00240B74">
        <w:rPr>
          <w:rFonts w:asciiTheme="minorHAnsi" w:hAnsiTheme="minorHAnsi" w:cstheme="minorHAnsi"/>
          <w:i w:val="0"/>
          <w:color w:val="auto"/>
          <w:sz w:val="22"/>
          <w:szCs w:val="22"/>
        </w:rPr>
        <w:t>ex-ante</w:t>
      </w:r>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02C1D">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897308">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1E7D5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F85E8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Indoor General Lighting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F85E8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Fixtures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F85E8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Linear Fluorescent Fixture</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F85E8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Fixtures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F85E89"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HID Fixture</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2"/>
    </w:p>
    <w:p w:rsidR="00497D4E" w:rsidRPr="007A7A9D" w:rsidRDefault="00497D4E" w:rsidP="00497D4E">
      <w:pPr>
        <w:rPr>
          <w:rFonts w:asciiTheme="minorHAnsi" w:hAnsiTheme="minorHAnsi" w:cstheme="minorHAnsi"/>
          <w:sz w:val="22"/>
          <w:szCs w:val="22"/>
        </w:rPr>
      </w:pPr>
      <w:r w:rsidRPr="00F81462">
        <w:rPr>
          <w:rFonts w:asciiTheme="minorHAnsi" w:hAnsiTheme="minorHAnsi" w:cstheme="minorHAnsi"/>
          <w:sz w:val="22"/>
          <w:szCs w:val="22"/>
        </w:rPr>
        <w:t xml:space="preserve">Title 24 </w:t>
      </w:r>
      <w:r w:rsidR="00E95FCC">
        <w:rPr>
          <w:rFonts w:asciiTheme="minorHAnsi" w:hAnsiTheme="minorHAnsi" w:cstheme="minorHAnsi"/>
          <w:sz w:val="22"/>
          <w:szCs w:val="22"/>
        </w:rPr>
        <w:t>2013</w:t>
      </w:r>
      <w:r w:rsidR="00F47015">
        <w:rPr>
          <w:rFonts w:asciiTheme="minorHAnsi" w:hAnsiTheme="minorHAnsi" w:cstheme="minorHAnsi"/>
          <w:sz w:val="22"/>
          <w:szCs w:val="22"/>
        </w:rPr>
        <w:t xml:space="preserve"> [355]</w:t>
      </w:r>
      <w:r w:rsidRPr="00F81462">
        <w:rPr>
          <w:rFonts w:asciiTheme="minorHAnsi" w:hAnsiTheme="minorHAnsi" w:cstheme="minorHAnsi"/>
          <w:sz w:val="22"/>
          <w:szCs w:val="22"/>
        </w:rPr>
        <w:t xml:space="preserve"> defines an alteration as “any change to a building's water-heating system, space-</w:t>
      </w:r>
      <w:r w:rsidRPr="007A7A9D">
        <w:rPr>
          <w:rFonts w:asciiTheme="minorHAnsi" w:hAnsiTheme="minorHAnsi" w:cstheme="minorHAnsi"/>
          <w:sz w:val="22"/>
          <w:szCs w:val="22"/>
        </w:rPr>
        <w:t xml:space="preserve">conditioning system, lighting system, or envelope that is not an addition. Alteration is also any change that is regulated by Part 6 to an outdoor lighting system that is not an addition. </w:t>
      </w:r>
      <w:proofErr w:type="gramStart"/>
      <w:r w:rsidRPr="007A7A9D">
        <w:rPr>
          <w:rFonts w:asciiTheme="minorHAnsi" w:hAnsiTheme="minorHAnsi" w:cstheme="minorHAnsi"/>
          <w:sz w:val="22"/>
          <w:szCs w:val="22"/>
        </w:rPr>
        <w:t>Alteration is also any change that is regulated by Part 6 to signs located</w:t>
      </w:r>
      <w:r w:rsidR="00E95FCC">
        <w:rPr>
          <w:rFonts w:asciiTheme="minorHAnsi" w:hAnsiTheme="minorHAnsi" w:cstheme="minorHAnsi"/>
          <w:sz w:val="22"/>
          <w:szCs w:val="22"/>
        </w:rPr>
        <w:t xml:space="preserve"> either indoors or outdoors” [355</w:t>
      </w:r>
      <w:r w:rsidRPr="007A7A9D">
        <w:rPr>
          <w:rFonts w:asciiTheme="minorHAnsi" w:hAnsiTheme="minorHAnsi" w:cstheme="minorHAnsi"/>
          <w:sz w:val="22"/>
          <w:szCs w:val="22"/>
        </w:rPr>
        <w:t>].</w:t>
      </w:r>
      <w:proofErr w:type="gramEnd"/>
    </w:p>
    <w:p w:rsidR="00497D4E" w:rsidRPr="007A7A9D" w:rsidRDefault="00497D4E" w:rsidP="00497D4E">
      <w:pPr>
        <w:rPr>
          <w:rFonts w:asciiTheme="minorHAnsi" w:hAnsiTheme="minorHAnsi" w:cstheme="minorHAnsi"/>
          <w:sz w:val="22"/>
          <w:szCs w:val="22"/>
        </w:rPr>
      </w:pPr>
    </w:p>
    <w:p w:rsidR="00497D4E" w:rsidRDefault="00BD32CF" w:rsidP="00BD32CF">
      <w:pPr>
        <w:rPr>
          <w:rFonts w:asciiTheme="minorHAnsi" w:hAnsiTheme="minorHAnsi" w:cstheme="minorHAnsi"/>
          <w:sz w:val="22"/>
          <w:szCs w:val="22"/>
        </w:rPr>
      </w:pPr>
      <w:proofErr w:type="gramStart"/>
      <w:r>
        <w:rPr>
          <w:rFonts w:asciiTheme="minorHAnsi" w:hAnsiTheme="minorHAnsi" w:cstheme="minorHAnsi"/>
          <w:sz w:val="22"/>
          <w:szCs w:val="22"/>
        </w:rPr>
        <w:t>Further, Subchapter 6 (b) 2.</w:t>
      </w:r>
      <w:proofErr w:type="gramEnd"/>
      <w:r>
        <w:rPr>
          <w:rFonts w:asciiTheme="minorHAnsi" w:hAnsiTheme="minorHAnsi" w:cstheme="minorHAnsi"/>
          <w:sz w:val="22"/>
          <w:szCs w:val="22"/>
        </w:rPr>
        <w:t xml:space="preserve"> I. v</w:t>
      </w:r>
      <w:r w:rsidR="00497D4E" w:rsidRPr="007A7A9D">
        <w:rPr>
          <w:rFonts w:asciiTheme="minorHAnsi" w:hAnsiTheme="minorHAnsi" w:cstheme="minorHAnsi"/>
          <w:sz w:val="22"/>
          <w:szCs w:val="22"/>
        </w:rPr>
        <w:t>. states that “</w:t>
      </w:r>
      <w:r w:rsidRPr="00BD32CF">
        <w:rPr>
          <w:rFonts w:asciiTheme="minorHAnsi" w:hAnsiTheme="minorHAnsi" w:cstheme="minorHAnsi"/>
          <w:sz w:val="22"/>
          <w:szCs w:val="22"/>
        </w:rPr>
        <w:t>Any lighting alteration that increases the installed lighting power i</w:t>
      </w:r>
      <w:r>
        <w:rPr>
          <w:rFonts w:asciiTheme="minorHAnsi" w:hAnsiTheme="minorHAnsi" w:cstheme="minorHAnsi"/>
          <w:sz w:val="22"/>
          <w:szCs w:val="22"/>
        </w:rPr>
        <w:t xml:space="preserve">n an enclosed space shall meet </w:t>
      </w:r>
      <w:r w:rsidRPr="00BD32CF">
        <w:rPr>
          <w:rFonts w:asciiTheme="minorHAnsi" w:hAnsiTheme="minorHAnsi" w:cstheme="minorHAnsi"/>
          <w:sz w:val="22"/>
          <w:szCs w:val="22"/>
        </w:rPr>
        <w:t>the requirements of Sections 110.9, 130.0, 130.1, 130.4, 140.3(c) and 140.6</w:t>
      </w:r>
      <w:r>
        <w:rPr>
          <w:rFonts w:asciiTheme="minorHAnsi" w:hAnsiTheme="minorHAnsi" w:cstheme="minorHAnsi"/>
          <w:sz w:val="22"/>
          <w:szCs w:val="22"/>
        </w:rPr>
        <w:t xml:space="preserve"> [</w:t>
      </w:r>
      <w:r w:rsidR="00FD3270">
        <w:rPr>
          <w:rFonts w:asciiTheme="minorHAnsi" w:hAnsiTheme="minorHAnsi" w:cstheme="minorHAnsi"/>
          <w:sz w:val="22"/>
          <w:szCs w:val="22"/>
        </w:rPr>
        <w:t>355</w:t>
      </w:r>
      <w:r w:rsidR="00497D4E" w:rsidRPr="007A7A9D">
        <w:rPr>
          <w:rFonts w:asciiTheme="minorHAnsi" w:hAnsiTheme="minorHAnsi" w:cstheme="minorHAnsi"/>
          <w:sz w:val="22"/>
          <w:szCs w:val="22"/>
        </w:rPr>
        <w:t>]</w:t>
      </w:r>
      <w:r>
        <w:rPr>
          <w:rFonts w:asciiTheme="minorHAnsi" w:hAnsiTheme="minorHAnsi" w:cstheme="minorHAnsi"/>
          <w:sz w:val="22"/>
          <w:szCs w:val="22"/>
        </w:rPr>
        <w:t xml:space="preserve">. </w:t>
      </w:r>
    </w:p>
    <w:p w:rsidR="00497D4E" w:rsidRDefault="00497D4E" w:rsidP="00497D4E">
      <w:pPr>
        <w:rPr>
          <w:rFonts w:asciiTheme="minorHAnsi" w:hAnsiTheme="minorHAnsi" w:cstheme="minorHAnsi"/>
          <w:sz w:val="22"/>
          <w:szCs w:val="22"/>
        </w:rPr>
      </w:pPr>
    </w:p>
    <w:p w:rsidR="00497D4E" w:rsidRPr="008B1155" w:rsidRDefault="00497D4E" w:rsidP="00497D4E">
      <w:pPr>
        <w:rPr>
          <w:rFonts w:asciiTheme="minorHAnsi" w:hAnsiTheme="minorHAnsi" w:cstheme="minorHAnsi"/>
          <w:sz w:val="22"/>
          <w:szCs w:val="22"/>
        </w:rPr>
      </w:pPr>
      <w:r w:rsidRPr="008B1155">
        <w:rPr>
          <w:rFonts w:asciiTheme="minorHAnsi" w:hAnsiTheme="minorHAnsi" w:cstheme="minorHAnsi"/>
          <w:sz w:val="22"/>
          <w:szCs w:val="22"/>
        </w:rPr>
        <w:t xml:space="preserve">Title 20 </w:t>
      </w:r>
      <w:r w:rsidR="00F47015">
        <w:rPr>
          <w:rFonts w:asciiTheme="minorHAnsi" w:hAnsiTheme="minorHAnsi" w:cstheme="minorHAnsi"/>
          <w:sz w:val="22"/>
          <w:szCs w:val="22"/>
        </w:rPr>
        <w:t xml:space="preserve">2014 </w:t>
      </w:r>
      <w:r w:rsidRPr="008B1155">
        <w:rPr>
          <w:rFonts w:asciiTheme="minorHAnsi" w:hAnsiTheme="minorHAnsi" w:cstheme="minorHAnsi"/>
          <w:sz w:val="22"/>
          <w:szCs w:val="22"/>
        </w:rPr>
        <w:t>Ap</w:t>
      </w:r>
      <w:r>
        <w:rPr>
          <w:rFonts w:asciiTheme="minorHAnsi" w:hAnsiTheme="minorHAnsi" w:cstheme="minorHAnsi"/>
          <w:sz w:val="22"/>
          <w:szCs w:val="22"/>
        </w:rPr>
        <w:t>pliance Efficiency Regulations</w:t>
      </w:r>
      <w:r w:rsidRPr="008B1155">
        <w:rPr>
          <w:rFonts w:asciiTheme="minorHAnsi" w:hAnsiTheme="minorHAnsi" w:cstheme="minorHAnsi"/>
          <w:sz w:val="22"/>
          <w:szCs w:val="22"/>
        </w:rPr>
        <w:t xml:space="preserve"> </w:t>
      </w:r>
      <w:r w:rsidR="00F47015">
        <w:rPr>
          <w:rFonts w:asciiTheme="minorHAnsi" w:hAnsiTheme="minorHAnsi" w:cstheme="minorHAnsi"/>
          <w:sz w:val="22"/>
          <w:szCs w:val="22"/>
        </w:rPr>
        <w:t>[</w:t>
      </w:r>
      <w:r w:rsidR="00BD32CF">
        <w:rPr>
          <w:rFonts w:asciiTheme="minorHAnsi" w:hAnsiTheme="minorHAnsi" w:cstheme="minorHAnsi"/>
          <w:sz w:val="22"/>
          <w:szCs w:val="22"/>
        </w:rPr>
        <w:t>422</w:t>
      </w:r>
      <w:r w:rsidR="00F47015">
        <w:rPr>
          <w:rFonts w:asciiTheme="minorHAnsi" w:hAnsiTheme="minorHAnsi" w:cstheme="minorHAnsi"/>
          <w:sz w:val="22"/>
          <w:szCs w:val="22"/>
        </w:rPr>
        <w:t xml:space="preserve">] </w:t>
      </w:r>
      <w:r w:rsidRPr="008B1155">
        <w:rPr>
          <w:rFonts w:asciiTheme="minorHAnsi" w:hAnsiTheme="minorHAnsi" w:cstheme="minorHAnsi"/>
          <w:sz w:val="22"/>
          <w:szCs w:val="22"/>
        </w:rPr>
        <w:t>include an Energy Efficiency Standard for Metal Halide Luminaires.  Probe-start ballasts metal halide luminaires rated at least partially within the range of 150 to 500 watts are not eligible. Additionally, metal halide luminaires that are not probe-start ballasts must comply with Section 1605.3(n</w:t>
      </w:r>
      <w:proofErr w:type="gramStart"/>
      <w:r w:rsidRPr="008B1155">
        <w:rPr>
          <w:rFonts w:asciiTheme="minorHAnsi" w:hAnsiTheme="minorHAnsi" w:cstheme="minorHAnsi"/>
          <w:sz w:val="22"/>
          <w:szCs w:val="22"/>
        </w:rPr>
        <w:t>)(</w:t>
      </w:r>
      <w:proofErr w:type="gramEnd"/>
      <w:r w:rsidRPr="008B1155">
        <w:rPr>
          <w:rFonts w:asciiTheme="minorHAnsi" w:hAnsiTheme="minorHAnsi" w:cstheme="minorHAnsi"/>
          <w:sz w:val="22"/>
          <w:szCs w:val="22"/>
        </w:rPr>
        <w:t>2)(A) and 1605.3(n)(2)(B) as applicable.</w:t>
      </w:r>
    </w:p>
    <w:p w:rsidR="00497D4E" w:rsidRDefault="00497D4E" w:rsidP="00497D4E">
      <w:pPr>
        <w:rPr>
          <w:rFonts w:asciiTheme="minorHAnsi" w:hAnsiTheme="minorHAnsi" w:cstheme="minorHAnsi"/>
          <w:sz w:val="22"/>
          <w:szCs w:val="22"/>
        </w:rPr>
      </w:pPr>
    </w:p>
    <w:p w:rsidR="00497D4E" w:rsidRPr="00867D5D" w:rsidRDefault="00497D4E" w:rsidP="00497D4E">
      <w:pPr>
        <w:rPr>
          <w:rFonts w:asciiTheme="minorHAnsi" w:hAnsiTheme="minorHAnsi" w:cstheme="minorHAnsi"/>
          <w:sz w:val="22"/>
          <w:szCs w:val="22"/>
        </w:rPr>
      </w:pPr>
      <w:r w:rsidRPr="00867D5D">
        <w:rPr>
          <w:rFonts w:asciiTheme="minorHAnsi" w:hAnsiTheme="minorHAnsi" w:cstheme="minorHAnsi"/>
          <w:sz w:val="22"/>
          <w:szCs w:val="22"/>
        </w:rPr>
        <w:lastRenderedPageBreak/>
        <w:t>Effective July 14th, 2012, multiple T12 lamp types will be impacted by the new US Department of Energy standards set for general service fluorescent lamps. Accordingly, T12 fixtures are being phased out as an eligible baseline lighting technology for the purpose of calculating energy saving</w:t>
      </w:r>
      <w:r>
        <w:rPr>
          <w:rFonts w:asciiTheme="minorHAnsi" w:hAnsiTheme="minorHAnsi" w:cstheme="minorHAnsi"/>
          <w:sz w:val="22"/>
          <w:szCs w:val="22"/>
        </w:rPr>
        <w:t>s fo</w:t>
      </w:r>
      <w:r w:rsidR="00560E86">
        <w:rPr>
          <w:rFonts w:asciiTheme="minorHAnsi" w:hAnsiTheme="minorHAnsi" w:cstheme="minorHAnsi"/>
          <w:sz w:val="22"/>
          <w:szCs w:val="22"/>
        </w:rPr>
        <w:t>r lighting retrofit projects</w:t>
      </w:r>
      <w:r w:rsidRPr="00867D5D">
        <w:rPr>
          <w:rFonts w:asciiTheme="minorHAnsi" w:hAnsiTheme="minorHAnsi" w:cstheme="minorHAnsi"/>
          <w:sz w:val="22"/>
          <w:szCs w:val="22"/>
        </w:rPr>
        <w:t xml:space="preserve">. In accordance with this requirement, all T12 fixtures are not eligible as Base Case for this measure.  </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2C1D">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497D4E"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497D4E" w:rsidRPr="000368E9" w:rsidRDefault="00FD2DF8" w:rsidP="00FD2DF8">
            <w:pPr>
              <w:jc w:val="center"/>
              <w:rPr>
                <w:rFonts w:asciiTheme="minorHAnsi" w:hAnsiTheme="minorHAnsi" w:cstheme="minorHAnsi"/>
                <w:sz w:val="20"/>
                <w:szCs w:val="20"/>
              </w:rPr>
            </w:pPr>
            <w:r>
              <w:rPr>
                <w:rFonts w:asciiTheme="minorHAnsi" w:hAnsiTheme="minorHAnsi" w:cstheme="minorHAnsi"/>
                <w:sz w:val="20"/>
                <w:szCs w:val="20"/>
              </w:rPr>
              <w:t>Title 24 (2013</w:t>
            </w:r>
            <w:r w:rsidR="00497D4E" w:rsidRPr="000368E9">
              <w:rPr>
                <w:rFonts w:asciiTheme="minorHAnsi" w:hAnsiTheme="minorHAnsi" w:cstheme="minorHAnsi"/>
                <w:sz w:val="20"/>
                <w:szCs w:val="20"/>
              </w:rPr>
              <w:t>)</w:t>
            </w:r>
          </w:p>
        </w:tc>
        <w:tc>
          <w:tcPr>
            <w:tcW w:w="4352" w:type="dxa"/>
            <w:vAlign w:val="center"/>
          </w:tcPr>
          <w:p w:rsidR="00497D4E" w:rsidRPr="000368E9" w:rsidRDefault="00497D4E" w:rsidP="00FD2DF8">
            <w:pPr>
              <w:jc w:val="center"/>
              <w:rPr>
                <w:rFonts w:asciiTheme="minorHAnsi" w:hAnsiTheme="minorHAnsi" w:cstheme="minorHAnsi"/>
                <w:sz w:val="20"/>
                <w:szCs w:val="20"/>
              </w:rPr>
            </w:pPr>
            <w:r w:rsidRPr="000368E9">
              <w:rPr>
                <w:rFonts w:asciiTheme="minorHAnsi" w:hAnsiTheme="minorHAnsi" w:cstheme="minorHAnsi"/>
                <w:sz w:val="20"/>
                <w:szCs w:val="20"/>
              </w:rPr>
              <w:t>2</w:t>
            </w:r>
            <w:r>
              <w:rPr>
                <w:rFonts w:asciiTheme="minorHAnsi" w:hAnsiTheme="minorHAnsi" w:cstheme="minorHAnsi"/>
                <w:sz w:val="20"/>
                <w:szCs w:val="20"/>
              </w:rPr>
              <w:t>0</w:t>
            </w:r>
            <w:r w:rsidR="00FD2DF8">
              <w:rPr>
                <w:rFonts w:asciiTheme="minorHAnsi" w:hAnsiTheme="minorHAnsi" w:cstheme="minorHAnsi"/>
                <w:sz w:val="20"/>
                <w:szCs w:val="20"/>
              </w:rPr>
              <w:t>13</w:t>
            </w:r>
            <w:r>
              <w:rPr>
                <w:rFonts w:asciiTheme="minorHAnsi" w:hAnsiTheme="minorHAnsi" w:cstheme="minorHAnsi"/>
                <w:sz w:val="20"/>
                <w:szCs w:val="20"/>
              </w:rPr>
              <w:t xml:space="preserve"> Non-Residential Compliance M</w:t>
            </w:r>
            <w:r w:rsidRPr="000368E9">
              <w:rPr>
                <w:rFonts w:asciiTheme="minorHAnsi" w:hAnsiTheme="minorHAnsi" w:cstheme="minorHAnsi"/>
                <w:sz w:val="20"/>
                <w:szCs w:val="20"/>
              </w:rPr>
              <w:t xml:space="preserve">anual, </w:t>
            </w:r>
            <w:r w:rsidR="00FD2DF8">
              <w:rPr>
                <w:rFonts w:asciiTheme="minorHAnsi" w:hAnsiTheme="minorHAnsi" w:cstheme="minorHAnsi"/>
                <w:sz w:val="20"/>
                <w:szCs w:val="20"/>
              </w:rPr>
              <w:t>Sections 130 and 140.6</w:t>
            </w:r>
          </w:p>
        </w:tc>
        <w:tc>
          <w:tcPr>
            <w:tcW w:w="1821" w:type="dxa"/>
            <w:vAlign w:val="center"/>
          </w:tcPr>
          <w:p w:rsidR="00497D4E" w:rsidRPr="000368E9" w:rsidRDefault="00FD2DF8" w:rsidP="00497D4E">
            <w:pPr>
              <w:jc w:val="center"/>
              <w:rPr>
                <w:rFonts w:asciiTheme="minorHAnsi" w:hAnsiTheme="minorHAnsi" w:cstheme="minorHAnsi"/>
                <w:sz w:val="20"/>
                <w:szCs w:val="20"/>
              </w:rPr>
            </w:pPr>
            <w:r>
              <w:rPr>
                <w:rFonts w:asciiTheme="minorHAnsi" w:hAnsiTheme="minorHAnsi" w:cstheme="minorHAnsi"/>
                <w:sz w:val="20"/>
                <w:szCs w:val="20"/>
              </w:rPr>
              <w:t>July 1, 2014</w:t>
            </w:r>
          </w:p>
        </w:tc>
      </w:tr>
      <w:tr w:rsidR="00497D4E"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497D4E" w:rsidRPr="00867D5D" w:rsidRDefault="00497D4E" w:rsidP="00497D4E">
            <w:pPr>
              <w:jc w:val="center"/>
              <w:rPr>
                <w:rFonts w:asciiTheme="minorHAnsi" w:hAnsiTheme="minorHAnsi" w:cstheme="minorHAnsi"/>
                <w:sz w:val="20"/>
                <w:szCs w:val="20"/>
              </w:rPr>
            </w:pPr>
            <w:r>
              <w:rPr>
                <w:rFonts w:asciiTheme="minorHAnsi" w:hAnsiTheme="minorHAnsi" w:cstheme="minorHAnsi"/>
                <w:sz w:val="20"/>
                <w:szCs w:val="20"/>
              </w:rPr>
              <w:t>T</w:t>
            </w:r>
            <w:r w:rsidR="00FD2DF8">
              <w:rPr>
                <w:rFonts w:asciiTheme="minorHAnsi" w:hAnsiTheme="minorHAnsi" w:cstheme="minorHAnsi"/>
                <w:sz w:val="20"/>
                <w:szCs w:val="20"/>
              </w:rPr>
              <w:t>itle 20 (2014</w:t>
            </w:r>
            <w:r>
              <w:rPr>
                <w:rFonts w:asciiTheme="minorHAnsi" w:hAnsiTheme="minorHAnsi" w:cstheme="minorHAnsi"/>
                <w:sz w:val="20"/>
                <w:szCs w:val="20"/>
              </w:rPr>
              <w:t>)</w:t>
            </w:r>
          </w:p>
        </w:tc>
        <w:tc>
          <w:tcPr>
            <w:tcW w:w="4352" w:type="dxa"/>
            <w:vAlign w:val="center"/>
          </w:tcPr>
          <w:p w:rsidR="00497D4E" w:rsidRPr="00867D5D" w:rsidRDefault="00497D4E" w:rsidP="00497D4E">
            <w:pPr>
              <w:jc w:val="center"/>
              <w:rPr>
                <w:rFonts w:asciiTheme="minorHAnsi" w:hAnsiTheme="minorHAnsi" w:cstheme="minorHAnsi"/>
                <w:sz w:val="20"/>
                <w:szCs w:val="20"/>
              </w:rPr>
            </w:pPr>
            <w:r>
              <w:rPr>
                <w:rFonts w:asciiTheme="minorHAnsi" w:hAnsiTheme="minorHAnsi" w:cstheme="minorHAnsi"/>
                <w:sz w:val="20"/>
                <w:szCs w:val="20"/>
              </w:rPr>
              <w:t>Section 1605.3(n) Energy Efficiency Standard for Metal Halide Luminaires</w:t>
            </w:r>
          </w:p>
        </w:tc>
        <w:tc>
          <w:tcPr>
            <w:tcW w:w="1821" w:type="dxa"/>
            <w:vAlign w:val="center"/>
          </w:tcPr>
          <w:p w:rsidR="00497D4E" w:rsidRPr="00867D5D" w:rsidRDefault="00AA5939" w:rsidP="00497D4E">
            <w:pPr>
              <w:jc w:val="center"/>
              <w:rPr>
                <w:rFonts w:asciiTheme="minorHAnsi" w:hAnsiTheme="minorHAnsi" w:cstheme="minorHAnsi"/>
                <w:sz w:val="20"/>
                <w:szCs w:val="20"/>
              </w:rPr>
            </w:pPr>
            <w:r>
              <w:rPr>
                <w:rFonts w:asciiTheme="minorHAnsi" w:hAnsiTheme="minorHAnsi" w:cstheme="minorHAnsi"/>
                <w:sz w:val="20"/>
                <w:szCs w:val="20"/>
              </w:rPr>
              <w:t>July 1, 2014</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5" w:name="_Toc214003088"/>
      <w:r w:rsidRPr="00AB21F5">
        <w:rPr>
          <w:rFonts w:asciiTheme="minorHAnsi" w:hAnsiTheme="minorHAnsi"/>
        </w:rPr>
        <w:t>1.4.3 Non-DEER Study Review</w:t>
      </w:r>
    </w:p>
    <w:p w:rsidR="00497D4E" w:rsidRPr="00AB21F5" w:rsidRDefault="00497D4E" w:rsidP="00497D4E">
      <w:pPr>
        <w:pStyle w:val="Reminder"/>
        <w:rPr>
          <w:rFonts w:asciiTheme="minorHAnsi" w:hAnsiTheme="minorHAnsi" w:cstheme="minorHAnsi"/>
          <w:sz w:val="22"/>
          <w:szCs w:val="22"/>
        </w:rPr>
      </w:pPr>
      <w:r>
        <w:rPr>
          <w:rFonts w:asciiTheme="minorHAnsi" w:hAnsiTheme="minorHAnsi" w:cstheme="minorHAnsi"/>
          <w:i w:val="0"/>
          <w:color w:val="auto"/>
          <w:sz w:val="22"/>
          <w:szCs w:val="22"/>
        </w:rPr>
        <w:t>No non-DEER studies or data were reviewed for this Workpaper.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5"/>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00E6255E">
        <w:rPr>
          <w:rFonts w:asciiTheme="minorHAnsi" w:hAnsiTheme="minorHAnsi" w:cstheme="minorHAnsi"/>
          <w:sz w:val="22"/>
          <w:szCs w:val="22"/>
        </w:rPr>
        <w:fldChar w:fldCharType="begin"/>
      </w:r>
      <w:r w:rsidR="00E6255E">
        <w:rPr>
          <w:rFonts w:asciiTheme="minorHAnsi" w:hAnsiTheme="minorHAnsi" w:cstheme="minorHAnsi"/>
          <w:sz w:val="22"/>
          <w:szCs w:val="22"/>
        </w:rPr>
        <w:instrText xml:space="preserve"> REF _Ref394462837 \h </w:instrText>
      </w:r>
      <w:r w:rsidR="00E6255E">
        <w:rPr>
          <w:rFonts w:asciiTheme="minorHAnsi" w:hAnsiTheme="minorHAnsi" w:cstheme="minorHAnsi"/>
          <w:sz w:val="22"/>
          <w:szCs w:val="22"/>
        </w:rPr>
      </w:r>
      <w:r w:rsidR="00E6255E">
        <w:rPr>
          <w:rFonts w:asciiTheme="minorHAnsi" w:hAnsiTheme="minorHAnsi" w:cstheme="minorHAnsi"/>
          <w:sz w:val="22"/>
          <w:szCs w:val="22"/>
        </w:rPr>
        <w:fldChar w:fldCharType="separate"/>
      </w:r>
      <w:r w:rsidR="00302C1D" w:rsidRPr="00697868">
        <w:rPr>
          <w:rFonts w:asciiTheme="minorHAnsi" w:hAnsiTheme="minorHAnsi" w:cstheme="minorHAnsi"/>
          <w:sz w:val="22"/>
          <w:szCs w:val="22"/>
        </w:rPr>
        <w:t xml:space="preserve">Table </w:t>
      </w:r>
      <w:r w:rsidR="00302C1D">
        <w:rPr>
          <w:rFonts w:asciiTheme="minorHAnsi" w:hAnsiTheme="minorHAnsi" w:cstheme="minorHAnsi"/>
          <w:noProof/>
          <w:sz w:val="22"/>
          <w:szCs w:val="22"/>
        </w:rPr>
        <w:t>7</w:t>
      </w:r>
      <w:r w:rsidR="00302C1D" w:rsidRPr="00697868">
        <w:rPr>
          <w:rFonts w:asciiTheme="minorHAnsi" w:hAnsiTheme="minorHAnsi" w:cstheme="minorHAnsi"/>
          <w:sz w:val="22"/>
          <w:szCs w:val="22"/>
        </w:rPr>
        <w:t xml:space="preserve"> DEER</w:t>
      </w:r>
      <w:r w:rsidR="00302C1D">
        <w:rPr>
          <w:rFonts w:asciiTheme="minorHAnsi" w:hAnsiTheme="minorHAnsi" w:cstheme="minorHAnsi"/>
          <w:sz w:val="22"/>
          <w:szCs w:val="22"/>
        </w:rPr>
        <w:t>14</w:t>
      </w:r>
      <w:r w:rsidR="00302C1D" w:rsidRPr="00697868">
        <w:rPr>
          <w:rFonts w:asciiTheme="minorHAnsi" w:hAnsiTheme="minorHAnsi" w:cstheme="minorHAnsi"/>
          <w:sz w:val="22"/>
          <w:szCs w:val="22"/>
        </w:rPr>
        <w:t xml:space="preserve"> EUL Value/</w:t>
      </w:r>
      <w:proofErr w:type="spellStart"/>
      <w:r w:rsidR="00302C1D" w:rsidRPr="00697868">
        <w:rPr>
          <w:rFonts w:asciiTheme="minorHAnsi" w:hAnsiTheme="minorHAnsi" w:cstheme="minorHAnsi"/>
          <w:sz w:val="22"/>
          <w:szCs w:val="22"/>
        </w:rPr>
        <w:t>Methodology</w:t>
      </w:r>
      <w:r w:rsidR="00E6255E">
        <w:rPr>
          <w:rFonts w:asciiTheme="minorHAnsi" w:hAnsiTheme="minorHAnsi" w:cstheme="minorHAnsi"/>
          <w:sz w:val="22"/>
          <w:szCs w:val="22"/>
        </w:rPr>
        <w:fldChar w:fldCharType="end"/>
      </w:r>
      <w:r w:rsidRPr="00697868">
        <w:rPr>
          <w:rFonts w:asciiTheme="minorHAnsi" w:hAnsiTheme="minorHAnsi" w:cstheme="minorHAnsi"/>
          <w:sz w:val="22"/>
          <w:szCs w:val="22"/>
        </w:rPr>
        <w:t>below</w:t>
      </w:r>
      <w:proofErr w:type="spellEnd"/>
      <w:r w:rsidRPr="00697868">
        <w:rPr>
          <w:rFonts w:asciiTheme="minorHAnsi" w:hAnsiTheme="minorHAnsi" w:cstheme="minorHAnsi"/>
          <w:sz w:val="22"/>
          <w:szCs w:val="22"/>
        </w:rPr>
        <w:t xml:space="preserve"> identifies the value/methodology used for the measures in this work paper.</w:t>
      </w:r>
    </w:p>
    <w:p w:rsidR="00BD3931" w:rsidRDefault="00BD3931" w:rsidP="000F130A">
      <w:pPr>
        <w:rPr>
          <w:rFonts w:asciiTheme="minorHAnsi" w:hAnsiTheme="minorHAnsi" w:cstheme="minorHAnsi"/>
          <w:sz w:val="22"/>
          <w:szCs w:val="22"/>
        </w:rPr>
      </w:pPr>
    </w:p>
    <w:p w:rsidR="00B83846" w:rsidRDefault="00B83846" w:rsidP="00B83846">
      <w:pPr>
        <w:rPr>
          <w:rFonts w:asciiTheme="minorHAnsi" w:hAnsiTheme="minorHAnsi" w:cstheme="minorHAnsi"/>
          <w:sz w:val="22"/>
          <w:szCs w:val="22"/>
        </w:rPr>
      </w:pPr>
      <w:r>
        <w:rPr>
          <w:rFonts w:asciiTheme="minorHAnsi" w:hAnsiTheme="minorHAnsi" w:cstheme="minorHAnsi"/>
          <w:sz w:val="22"/>
          <w:szCs w:val="22"/>
        </w:rPr>
        <w:t>There is no unique EUL_ID for the different EUL values</w:t>
      </w:r>
      <w:r w:rsidR="00A07755">
        <w:rPr>
          <w:rFonts w:asciiTheme="minorHAnsi" w:hAnsiTheme="minorHAnsi" w:cstheme="minorHAnsi"/>
          <w:sz w:val="22"/>
          <w:szCs w:val="22"/>
        </w:rPr>
        <w:t xml:space="preserve"> as indicated below.  Therefore, </w:t>
      </w:r>
      <w:proofErr w:type="spellStart"/>
      <w:r w:rsidRPr="00DE16A2">
        <w:rPr>
          <w:rFonts w:asciiTheme="minorHAnsi" w:hAnsiTheme="minorHAnsi" w:cstheme="minorHAnsi"/>
          <w:sz w:val="22"/>
          <w:szCs w:val="22"/>
        </w:rPr>
        <w:t>ILtg-Lfluor-Elec</w:t>
      </w:r>
      <w:proofErr w:type="spellEnd"/>
      <w:r>
        <w:rPr>
          <w:rFonts w:asciiTheme="minorHAnsi" w:hAnsiTheme="minorHAnsi" w:cstheme="minorHAnsi"/>
          <w:sz w:val="22"/>
          <w:szCs w:val="22"/>
        </w:rPr>
        <w:t xml:space="preserve"> is used for all measures.</w:t>
      </w:r>
    </w:p>
    <w:p w:rsidR="00B83846" w:rsidRDefault="00B83846" w:rsidP="00B83846">
      <w:pPr>
        <w:rPr>
          <w:rFonts w:asciiTheme="minorHAnsi" w:hAnsiTheme="minorHAnsi" w:cstheme="minorHAnsi"/>
          <w:sz w:val="22"/>
          <w:szCs w:val="22"/>
        </w:rPr>
      </w:pPr>
    </w:p>
    <w:p w:rsidR="00B83846" w:rsidRDefault="00987C88" w:rsidP="00B83846">
      <w:pPr>
        <w:rPr>
          <w:rFonts w:asciiTheme="minorHAnsi" w:hAnsiTheme="minorHAnsi" w:cstheme="minorHAnsi"/>
          <w:sz w:val="22"/>
          <w:szCs w:val="22"/>
        </w:rPr>
      </w:pP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_Ref394468701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2C1D" w:rsidRPr="00987C88">
        <w:rPr>
          <w:rFonts w:asciiTheme="minorHAnsi" w:hAnsiTheme="minorHAnsi" w:cstheme="minorHAnsi"/>
          <w:sz w:val="22"/>
          <w:szCs w:val="22"/>
        </w:rPr>
        <w:t xml:space="preserve">Table </w:t>
      </w:r>
      <w:r w:rsidR="00302C1D">
        <w:rPr>
          <w:rFonts w:asciiTheme="minorHAnsi" w:hAnsiTheme="minorHAnsi" w:cstheme="minorHAnsi"/>
          <w:noProof/>
          <w:sz w:val="22"/>
          <w:szCs w:val="22"/>
        </w:rPr>
        <w:t>8</w:t>
      </w:r>
      <w:r>
        <w:rPr>
          <w:rFonts w:asciiTheme="minorHAnsi" w:hAnsiTheme="minorHAnsi" w:cstheme="minorHAnsi"/>
          <w:sz w:val="22"/>
          <w:szCs w:val="22"/>
        </w:rPr>
        <w:fldChar w:fldCharType="end"/>
      </w:r>
      <w:r w:rsidR="00E6255E">
        <w:rPr>
          <w:rFonts w:asciiTheme="minorHAnsi" w:hAnsiTheme="minorHAnsi" w:cstheme="minorHAnsi"/>
          <w:sz w:val="22"/>
          <w:szCs w:val="22"/>
        </w:rPr>
        <w:t xml:space="preserve"> </w:t>
      </w:r>
      <w:r w:rsidR="00B83846">
        <w:rPr>
          <w:rFonts w:asciiTheme="minorHAnsi" w:hAnsiTheme="minorHAnsi" w:cstheme="minorHAnsi"/>
          <w:sz w:val="22"/>
          <w:szCs w:val="22"/>
        </w:rPr>
        <w:t>identifies the actual EUL and</w:t>
      </w:r>
      <w:r w:rsidR="00B83846" w:rsidRPr="00016689">
        <w:rPr>
          <w:rFonts w:asciiTheme="minorHAnsi" w:hAnsiTheme="minorHAnsi" w:cstheme="minorHAnsi"/>
          <w:sz w:val="22"/>
          <w:szCs w:val="22"/>
        </w:rPr>
        <w:t xml:space="preserve"> RUL for all of the building types in this work paper</w:t>
      </w:r>
      <w:r w:rsidR="00B83846" w:rsidRPr="006A54D2">
        <w:rPr>
          <w:rFonts w:asciiTheme="minorHAnsi" w:hAnsiTheme="minorHAnsi" w:cstheme="minorHAnsi"/>
          <w:sz w:val="22"/>
          <w:szCs w:val="22"/>
        </w:rPr>
        <w:t>.</w:t>
      </w:r>
    </w:p>
    <w:p w:rsidR="00B83846" w:rsidRPr="00697868" w:rsidRDefault="00B83846"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6" w:name="_Ref296591307"/>
      <w:bookmarkStart w:id="17" w:name="_Ref39446283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2C1D">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bookmarkEnd w:id="17"/>
    </w:p>
    <w:tbl>
      <w:tblPr>
        <w:tblStyle w:val="TableContemporary"/>
        <w:tblW w:w="0" w:type="auto"/>
        <w:jc w:val="center"/>
        <w:tblLook w:val="04A0" w:firstRow="1" w:lastRow="0" w:firstColumn="1" w:lastColumn="0" w:noHBand="0" w:noVBand="1"/>
      </w:tblPr>
      <w:tblGrid>
        <w:gridCol w:w="1461"/>
        <w:gridCol w:w="1167"/>
        <w:gridCol w:w="900"/>
        <w:gridCol w:w="1260"/>
        <w:gridCol w:w="3345"/>
        <w:gridCol w:w="1443"/>
      </w:tblGrid>
      <w:tr w:rsidR="001C5A94" w:rsidRPr="00697868" w:rsidTr="00B83846">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167"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900"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126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3345"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B83846" w:rsidRPr="00697868" w:rsidTr="00B83846">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B83846" w:rsidRPr="00697868" w:rsidRDefault="00B83846" w:rsidP="00B83846">
            <w:pPr>
              <w:rPr>
                <w:rFonts w:asciiTheme="minorHAnsi" w:hAnsiTheme="minorHAnsi" w:cstheme="minorHAnsi"/>
                <w:sz w:val="20"/>
                <w:szCs w:val="20"/>
              </w:rPr>
            </w:pPr>
            <w:proofErr w:type="spellStart"/>
            <w:r w:rsidRPr="00B83846">
              <w:rPr>
                <w:rFonts w:asciiTheme="minorHAnsi" w:hAnsiTheme="minorHAnsi" w:cstheme="minorHAnsi"/>
                <w:sz w:val="20"/>
                <w:szCs w:val="20"/>
              </w:rPr>
              <w:t>ILtg-Lfluor-Elec</w:t>
            </w:r>
            <w:proofErr w:type="spellEnd"/>
          </w:p>
        </w:tc>
        <w:tc>
          <w:tcPr>
            <w:tcW w:w="1167" w:type="dxa"/>
          </w:tcPr>
          <w:p w:rsidR="00B83846" w:rsidRPr="00697868" w:rsidRDefault="00B83846" w:rsidP="00B83846">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900" w:type="dxa"/>
          </w:tcPr>
          <w:p w:rsidR="00B83846" w:rsidRPr="005B28C1" w:rsidRDefault="00B83846" w:rsidP="00B83846">
            <w:pPr>
              <w:rPr>
                <w:rFonts w:asciiTheme="minorHAnsi" w:hAnsiTheme="minorHAnsi" w:cstheme="minorHAnsi"/>
                <w:sz w:val="20"/>
                <w:szCs w:val="20"/>
              </w:rPr>
            </w:pPr>
            <w:r w:rsidRPr="00E53E7E">
              <w:rPr>
                <w:rFonts w:asciiTheme="minorHAnsi" w:hAnsiTheme="minorHAnsi" w:cstheme="minorHAnsi"/>
                <w:sz w:val="20"/>
                <w:szCs w:val="20"/>
              </w:rPr>
              <w:t>Indoor Lighting</w:t>
            </w:r>
          </w:p>
        </w:tc>
        <w:tc>
          <w:tcPr>
            <w:tcW w:w="1260" w:type="dxa"/>
          </w:tcPr>
          <w:p w:rsidR="00B83846" w:rsidRPr="005B28C1" w:rsidRDefault="00B83846" w:rsidP="00B83846">
            <w:pPr>
              <w:rPr>
                <w:rFonts w:asciiTheme="minorHAnsi" w:hAnsiTheme="minorHAnsi" w:cstheme="minorHAnsi"/>
                <w:sz w:val="20"/>
                <w:szCs w:val="20"/>
              </w:rPr>
            </w:pPr>
            <w:r w:rsidRPr="00E53E7E">
              <w:rPr>
                <w:rFonts w:asciiTheme="minorHAnsi" w:hAnsiTheme="minorHAnsi" w:cstheme="minorHAnsi"/>
                <w:sz w:val="20"/>
                <w:szCs w:val="20"/>
              </w:rPr>
              <w:t>Linear Fluorescents</w:t>
            </w:r>
          </w:p>
        </w:tc>
        <w:tc>
          <w:tcPr>
            <w:tcW w:w="3345" w:type="dxa"/>
          </w:tcPr>
          <w:p w:rsidR="00B83846" w:rsidRPr="0054570B" w:rsidRDefault="00B83846" w:rsidP="00B83846">
            <w:pPr>
              <w:rPr>
                <w:rFonts w:asciiTheme="minorHAnsi" w:hAnsiTheme="minorHAnsi" w:cstheme="minorHAnsi"/>
                <w:sz w:val="20"/>
                <w:szCs w:val="20"/>
              </w:rPr>
            </w:pPr>
            <w:r w:rsidRPr="0054570B">
              <w:rPr>
                <w:rFonts w:asciiTheme="minorHAnsi" w:hAnsiTheme="minorHAnsi" w:cstheme="minorHAnsi"/>
                <w:sz w:val="20"/>
                <w:szCs w:val="20"/>
              </w:rPr>
              <w:t>EUL varies by building type</w:t>
            </w:r>
          </w:p>
          <w:p w:rsidR="00B83846" w:rsidRPr="0054570B" w:rsidRDefault="00B83846" w:rsidP="00B83846">
            <w:pPr>
              <w:rPr>
                <w:rFonts w:asciiTheme="minorHAnsi" w:hAnsiTheme="minorHAnsi" w:cstheme="minorHAnsi"/>
                <w:sz w:val="20"/>
                <w:szCs w:val="20"/>
              </w:rPr>
            </w:pPr>
            <w:r w:rsidRPr="0054570B">
              <w:rPr>
                <w:rFonts w:asciiTheme="minorHAnsi" w:hAnsiTheme="minorHAnsi" w:cstheme="minorHAnsi"/>
                <w:sz w:val="20"/>
                <w:szCs w:val="20"/>
              </w:rPr>
              <w:t>EUL = Rated Life of Ballast (70,000 hours) / Annual usage for building type (usage provided by DEER)  OR</w:t>
            </w:r>
          </w:p>
          <w:p w:rsidR="00B83846" w:rsidRPr="0054570B" w:rsidRDefault="00B83846" w:rsidP="00B83846">
            <w:pPr>
              <w:rPr>
                <w:rFonts w:asciiTheme="minorHAnsi" w:hAnsiTheme="minorHAnsi" w:cstheme="minorHAnsi"/>
                <w:sz w:val="20"/>
                <w:szCs w:val="20"/>
              </w:rPr>
            </w:pPr>
            <w:r w:rsidRPr="0054570B">
              <w:rPr>
                <w:rFonts w:asciiTheme="minorHAnsi" w:hAnsiTheme="minorHAnsi" w:cstheme="minorHAnsi"/>
                <w:sz w:val="20"/>
                <w:szCs w:val="20"/>
              </w:rPr>
              <w:t>15 years (whichever is less).</w:t>
            </w:r>
          </w:p>
        </w:tc>
        <w:tc>
          <w:tcPr>
            <w:tcW w:w="1443" w:type="dxa"/>
          </w:tcPr>
          <w:p w:rsidR="00B83846" w:rsidRPr="0054570B" w:rsidRDefault="00B83846" w:rsidP="00B83846">
            <w:pPr>
              <w:rPr>
                <w:rFonts w:asciiTheme="minorHAnsi" w:hAnsiTheme="minorHAnsi" w:cstheme="minorHAnsi"/>
                <w:sz w:val="20"/>
                <w:szCs w:val="20"/>
                <w:highlight w:val="yellow"/>
              </w:rPr>
            </w:pPr>
            <w:r>
              <w:rPr>
                <w:rFonts w:asciiTheme="minorHAnsi" w:hAnsiTheme="minorHAnsi" w:cstheme="minorHAnsi"/>
                <w:sz w:val="20"/>
                <w:szCs w:val="20"/>
              </w:rPr>
              <w:t>RUL value i</w:t>
            </w:r>
            <w:r w:rsidRPr="0054570B">
              <w:rPr>
                <w:rFonts w:asciiTheme="minorHAnsi" w:hAnsiTheme="minorHAnsi" w:cstheme="minorHAnsi"/>
                <w:sz w:val="20"/>
                <w:szCs w:val="20"/>
              </w:rPr>
              <w:t>s a flat 1/3 of the EUL value</w:t>
            </w:r>
          </w:p>
        </w:tc>
      </w:tr>
    </w:tbl>
    <w:p w:rsidR="00B83846" w:rsidRDefault="00B83846" w:rsidP="00B83846">
      <w:pPr>
        <w:rPr>
          <w:rFonts w:asciiTheme="minorHAnsi" w:hAnsiTheme="minorHAnsi" w:cstheme="minorHAnsi"/>
        </w:rPr>
      </w:pPr>
      <w:bookmarkStart w:id="18" w:name="_Toc214003090"/>
    </w:p>
    <w:p w:rsidR="00E97246" w:rsidRDefault="00E97246" w:rsidP="00987C88">
      <w:pPr>
        <w:pStyle w:val="Caption"/>
        <w:jc w:val="center"/>
        <w:rPr>
          <w:rFonts w:asciiTheme="minorHAnsi" w:hAnsiTheme="minorHAnsi" w:cstheme="minorHAnsi"/>
          <w:sz w:val="22"/>
          <w:szCs w:val="22"/>
        </w:rPr>
      </w:pPr>
      <w:bookmarkStart w:id="19" w:name="_Ref394468701"/>
    </w:p>
    <w:p w:rsidR="00E97246" w:rsidRDefault="00E97246" w:rsidP="00987C88">
      <w:pPr>
        <w:pStyle w:val="Caption"/>
        <w:jc w:val="center"/>
        <w:rPr>
          <w:rFonts w:asciiTheme="minorHAnsi" w:hAnsiTheme="minorHAnsi" w:cstheme="minorHAnsi"/>
          <w:sz w:val="22"/>
          <w:szCs w:val="22"/>
        </w:rPr>
      </w:pPr>
    </w:p>
    <w:p w:rsidR="00E97246" w:rsidRDefault="00E97246" w:rsidP="00987C88">
      <w:pPr>
        <w:pStyle w:val="Caption"/>
        <w:jc w:val="center"/>
        <w:rPr>
          <w:rFonts w:asciiTheme="minorHAnsi" w:hAnsiTheme="minorHAnsi" w:cstheme="minorHAnsi"/>
          <w:sz w:val="22"/>
          <w:szCs w:val="22"/>
        </w:rPr>
      </w:pPr>
    </w:p>
    <w:p w:rsidR="00E97246" w:rsidRDefault="00E97246" w:rsidP="00987C88">
      <w:pPr>
        <w:pStyle w:val="Caption"/>
        <w:jc w:val="center"/>
        <w:rPr>
          <w:rFonts w:asciiTheme="minorHAnsi" w:hAnsiTheme="minorHAnsi" w:cstheme="minorHAnsi"/>
          <w:sz w:val="22"/>
          <w:szCs w:val="22"/>
        </w:rPr>
      </w:pPr>
    </w:p>
    <w:p w:rsidR="00E97246" w:rsidRDefault="00E97246" w:rsidP="00987C88">
      <w:pPr>
        <w:pStyle w:val="Caption"/>
        <w:jc w:val="center"/>
        <w:rPr>
          <w:rFonts w:asciiTheme="minorHAnsi" w:hAnsiTheme="minorHAnsi" w:cstheme="minorHAnsi"/>
          <w:sz w:val="22"/>
          <w:szCs w:val="22"/>
        </w:rPr>
      </w:pPr>
    </w:p>
    <w:p w:rsidR="00B83846" w:rsidRPr="0054570B" w:rsidRDefault="00987C88" w:rsidP="00987C88">
      <w:pPr>
        <w:pStyle w:val="Caption"/>
        <w:jc w:val="center"/>
        <w:rPr>
          <w:rFonts w:asciiTheme="minorHAnsi" w:hAnsiTheme="minorHAnsi" w:cstheme="minorHAnsi"/>
          <w:sz w:val="22"/>
          <w:szCs w:val="22"/>
        </w:rPr>
      </w:pPr>
      <w:r w:rsidRPr="00987C88">
        <w:rPr>
          <w:rFonts w:asciiTheme="minorHAnsi" w:hAnsiTheme="minorHAnsi" w:cstheme="minorHAnsi"/>
          <w:sz w:val="22"/>
          <w:szCs w:val="22"/>
        </w:rPr>
        <w:lastRenderedPageBreak/>
        <w:t xml:space="preserve">Table </w:t>
      </w:r>
      <w:r w:rsidRPr="00987C88">
        <w:rPr>
          <w:rFonts w:asciiTheme="minorHAnsi" w:hAnsiTheme="minorHAnsi" w:cstheme="minorHAnsi"/>
          <w:sz w:val="22"/>
          <w:szCs w:val="22"/>
        </w:rPr>
        <w:fldChar w:fldCharType="begin"/>
      </w:r>
      <w:r w:rsidRPr="00987C88">
        <w:rPr>
          <w:rFonts w:asciiTheme="minorHAnsi" w:hAnsiTheme="minorHAnsi" w:cstheme="minorHAnsi"/>
          <w:sz w:val="22"/>
          <w:szCs w:val="22"/>
        </w:rPr>
        <w:instrText xml:space="preserve"> SEQ Table \* ARABIC </w:instrText>
      </w:r>
      <w:r w:rsidRPr="00987C88">
        <w:rPr>
          <w:rFonts w:asciiTheme="minorHAnsi" w:hAnsiTheme="minorHAnsi" w:cstheme="minorHAnsi"/>
          <w:sz w:val="22"/>
          <w:szCs w:val="22"/>
        </w:rPr>
        <w:fldChar w:fldCharType="separate"/>
      </w:r>
      <w:r w:rsidR="00302C1D">
        <w:rPr>
          <w:rFonts w:asciiTheme="minorHAnsi" w:hAnsiTheme="minorHAnsi" w:cstheme="minorHAnsi"/>
          <w:noProof/>
          <w:sz w:val="22"/>
          <w:szCs w:val="22"/>
        </w:rPr>
        <w:t>8</w:t>
      </w:r>
      <w:r w:rsidRPr="00987C88">
        <w:rPr>
          <w:rFonts w:asciiTheme="minorHAnsi" w:hAnsiTheme="minorHAnsi" w:cstheme="minorHAnsi"/>
          <w:sz w:val="22"/>
          <w:szCs w:val="22"/>
        </w:rPr>
        <w:fldChar w:fldCharType="end"/>
      </w:r>
      <w:bookmarkEnd w:id="19"/>
      <w:r>
        <w:rPr>
          <w:rFonts w:asciiTheme="minorHAnsi" w:hAnsiTheme="minorHAnsi" w:cstheme="minorHAnsi"/>
          <w:sz w:val="22"/>
          <w:szCs w:val="22"/>
        </w:rPr>
        <w:t xml:space="preserve"> </w:t>
      </w:r>
      <w:r w:rsidR="00B83846" w:rsidRPr="0054570B">
        <w:rPr>
          <w:rFonts w:asciiTheme="minorHAnsi" w:hAnsiTheme="minorHAnsi" w:cstheme="minorHAnsi"/>
          <w:sz w:val="22"/>
          <w:szCs w:val="22"/>
        </w:rPr>
        <w:t>DEER08 EUL by Building Type</w:t>
      </w:r>
    </w:p>
    <w:tbl>
      <w:tblPr>
        <w:tblStyle w:val="TableContemporary"/>
        <w:tblW w:w="0" w:type="auto"/>
        <w:jc w:val="center"/>
        <w:tblLook w:val="04A0" w:firstRow="1" w:lastRow="0" w:firstColumn="1" w:lastColumn="0" w:noHBand="0" w:noVBand="1"/>
      </w:tblPr>
      <w:tblGrid>
        <w:gridCol w:w="3405"/>
        <w:gridCol w:w="1091"/>
        <w:gridCol w:w="1190"/>
        <w:gridCol w:w="1279"/>
      </w:tblGrid>
      <w:tr w:rsidR="00B83846" w:rsidRPr="005B28C1" w:rsidTr="00E762F1">
        <w:trPr>
          <w:cnfStyle w:val="100000000000" w:firstRow="1" w:lastRow="0" w:firstColumn="0" w:lastColumn="0" w:oddVBand="0" w:evenVBand="0" w:oddHBand="0" w:evenHBand="0" w:firstRowFirstColumn="0" w:firstRowLastColumn="0" w:lastRowFirstColumn="0" w:lastRowLastColumn="0"/>
          <w:jc w:val="center"/>
        </w:trPr>
        <w:tc>
          <w:tcPr>
            <w:tcW w:w="3405" w:type="dxa"/>
            <w:vAlign w:val="center"/>
          </w:tcPr>
          <w:p w:rsidR="00B83846" w:rsidRPr="005B28C1" w:rsidRDefault="00B83846" w:rsidP="00E762F1">
            <w:pPr>
              <w:rPr>
                <w:rFonts w:asciiTheme="minorHAnsi" w:hAnsiTheme="minorHAnsi" w:cstheme="minorHAnsi"/>
                <w:sz w:val="20"/>
                <w:szCs w:val="20"/>
              </w:rPr>
            </w:pPr>
            <w:r>
              <w:rPr>
                <w:rFonts w:asciiTheme="minorHAnsi" w:hAnsiTheme="minorHAnsi" w:cstheme="minorHAnsi"/>
                <w:sz w:val="20"/>
                <w:szCs w:val="20"/>
              </w:rPr>
              <w:t>Building Type</w:t>
            </w:r>
          </w:p>
        </w:tc>
        <w:tc>
          <w:tcPr>
            <w:tcW w:w="1091" w:type="dxa"/>
            <w:vAlign w:val="center"/>
          </w:tcPr>
          <w:p w:rsidR="00B83846" w:rsidRPr="005B28C1" w:rsidRDefault="00B83846" w:rsidP="00E762F1">
            <w:pPr>
              <w:jc w:val="center"/>
              <w:rPr>
                <w:rFonts w:asciiTheme="minorHAnsi" w:hAnsiTheme="minorHAnsi" w:cstheme="minorHAnsi"/>
                <w:sz w:val="20"/>
                <w:szCs w:val="20"/>
              </w:rPr>
            </w:pPr>
            <w:r>
              <w:rPr>
                <w:rFonts w:asciiTheme="minorHAnsi" w:hAnsiTheme="minorHAnsi" w:cstheme="minorHAnsi"/>
                <w:sz w:val="20"/>
                <w:szCs w:val="20"/>
              </w:rPr>
              <w:t>Operating Hours</w:t>
            </w:r>
          </w:p>
        </w:tc>
        <w:tc>
          <w:tcPr>
            <w:tcW w:w="1190" w:type="dxa"/>
            <w:vAlign w:val="center"/>
          </w:tcPr>
          <w:p w:rsidR="00B83846" w:rsidRDefault="00B83846" w:rsidP="00E762F1">
            <w:pPr>
              <w:jc w:val="center"/>
              <w:rPr>
                <w:rFonts w:asciiTheme="minorHAnsi" w:hAnsiTheme="minorHAnsi" w:cstheme="minorHAnsi"/>
                <w:sz w:val="20"/>
                <w:szCs w:val="20"/>
              </w:rPr>
            </w:pPr>
            <w:r>
              <w:rPr>
                <w:rFonts w:asciiTheme="minorHAnsi" w:hAnsiTheme="minorHAnsi" w:cstheme="minorHAnsi"/>
                <w:sz w:val="20"/>
                <w:szCs w:val="20"/>
              </w:rPr>
              <w:t>EUL</w:t>
            </w:r>
          </w:p>
          <w:p w:rsidR="00B83846" w:rsidRPr="005B28C1" w:rsidRDefault="00B83846" w:rsidP="00E762F1">
            <w:pPr>
              <w:jc w:val="center"/>
              <w:rPr>
                <w:rFonts w:asciiTheme="minorHAnsi" w:hAnsiTheme="minorHAnsi" w:cstheme="minorHAnsi"/>
                <w:sz w:val="20"/>
                <w:szCs w:val="20"/>
              </w:rPr>
            </w:pPr>
            <w:r>
              <w:rPr>
                <w:rFonts w:asciiTheme="minorHAnsi" w:hAnsiTheme="minorHAnsi" w:cstheme="minorHAnsi"/>
                <w:sz w:val="20"/>
                <w:szCs w:val="20"/>
              </w:rPr>
              <w:t>(Years)</w:t>
            </w:r>
          </w:p>
        </w:tc>
        <w:tc>
          <w:tcPr>
            <w:tcW w:w="1279" w:type="dxa"/>
            <w:vAlign w:val="center"/>
          </w:tcPr>
          <w:p w:rsidR="00B83846" w:rsidRPr="005B28C1" w:rsidRDefault="00B83846" w:rsidP="00E762F1">
            <w:pPr>
              <w:jc w:val="center"/>
              <w:rPr>
                <w:rFonts w:asciiTheme="minorHAnsi" w:hAnsiTheme="minorHAnsi" w:cstheme="minorHAnsi"/>
                <w:sz w:val="20"/>
                <w:szCs w:val="20"/>
              </w:rPr>
            </w:pPr>
            <w:r>
              <w:rPr>
                <w:rFonts w:asciiTheme="minorHAnsi" w:hAnsiTheme="minorHAnsi" w:cstheme="minorHAnsi"/>
                <w:sz w:val="20"/>
                <w:szCs w:val="20"/>
              </w:rPr>
              <w:t>R</w:t>
            </w:r>
            <w:r w:rsidRPr="005B28C1">
              <w:rPr>
                <w:rFonts w:asciiTheme="minorHAnsi" w:hAnsiTheme="minorHAnsi" w:cstheme="minorHAnsi"/>
                <w:sz w:val="20"/>
                <w:szCs w:val="20"/>
              </w:rPr>
              <w:t>UL (Years)</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Agricultural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3600.0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Assembly</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2610.0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Education - Primary School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2140.0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Education - Secondary School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2280.0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 xml:space="preserve">Education - </w:t>
            </w:r>
            <w:proofErr w:type="spellStart"/>
            <w:r w:rsidRPr="00E53E7E">
              <w:rPr>
                <w:rFonts w:asciiTheme="minorHAnsi" w:hAnsiTheme="minorHAnsi" w:cstheme="minorHAnsi"/>
                <w:sz w:val="20"/>
                <w:szCs w:val="20"/>
              </w:rPr>
              <w:t>Relocatable</w:t>
            </w:r>
            <w:proofErr w:type="spellEnd"/>
            <w:r w:rsidRPr="00E53E7E">
              <w:rPr>
                <w:rFonts w:asciiTheme="minorHAnsi" w:hAnsiTheme="minorHAnsi" w:cstheme="minorHAnsi"/>
                <w:sz w:val="20"/>
                <w:szCs w:val="20"/>
              </w:rPr>
              <w:t xml:space="preserve"> Classroom</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2480.0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Education - Community College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2420.0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Education - University</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2350.0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Grocery</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4910.0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14.3</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4.75</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Food Store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4910.0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14.3</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4.75</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Health/Medical - Hospital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5260.0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13.3</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4.44</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Health/Medical - Nursing Home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4160.0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Health/Medical - Clinic</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4160.0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Lodging - Hotel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1950.0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Lodging - Guest Rooms</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1550.0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Lodging - Motel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1550.0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Manufacturing - Bio/Tech</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3530.0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Manufacturing - Light Industrial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3220.0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Industrial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3220.0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proofErr w:type="spellStart"/>
            <w:r w:rsidRPr="00E53E7E">
              <w:rPr>
                <w:rFonts w:asciiTheme="minorHAnsi" w:hAnsiTheme="minorHAnsi" w:cstheme="minorHAnsi"/>
                <w:sz w:val="20"/>
                <w:szCs w:val="20"/>
              </w:rPr>
              <w:t>Misc</w:t>
            </w:r>
            <w:proofErr w:type="spellEnd"/>
            <w:r w:rsidRPr="00E53E7E">
              <w:rPr>
                <w:rFonts w:asciiTheme="minorHAnsi" w:hAnsiTheme="minorHAnsi" w:cstheme="minorHAnsi"/>
                <w:sz w:val="20"/>
                <w:szCs w:val="20"/>
              </w:rPr>
              <w:t xml:space="preserve"> - Commercial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3600.0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Office - Large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2640.0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Office - Small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2590.0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Restaurant - Fast-Food</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4840.0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14.5</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4.82</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Restaurant - Sit-Down</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4830.0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14.5</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4.83</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Retail - Multistory Large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3380.0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Retail - Single-Story Large</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4270.0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Retail - Small</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3380.0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Storage - Conditioned</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3420.0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010000" w:firstRow="0" w:lastRow="0" w:firstColumn="0" w:lastColumn="0" w:oddVBand="0" w:evenVBand="0" w:oddHBand="0" w:evenHBand="1"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Storage - Unconditioned</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3420.0</w:t>
            </w:r>
          </w:p>
        </w:tc>
        <w:tc>
          <w:tcPr>
            <w:tcW w:w="1190"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r w:rsidR="00B83846" w:rsidTr="00E762F1">
        <w:trPr>
          <w:cnfStyle w:val="000000100000" w:firstRow="0" w:lastRow="0" w:firstColumn="0" w:lastColumn="0" w:oddVBand="0" w:evenVBand="0" w:oddHBand="1" w:evenHBand="0" w:firstRowFirstColumn="0" w:firstRowLastColumn="0" w:lastRowFirstColumn="0" w:lastRowLastColumn="0"/>
          <w:trHeight w:val="243"/>
          <w:jc w:val="center"/>
        </w:trPr>
        <w:tc>
          <w:tcPr>
            <w:tcW w:w="3405" w:type="dxa"/>
            <w:vAlign w:val="center"/>
          </w:tcPr>
          <w:p w:rsidR="00B83846" w:rsidRPr="00E53E7E" w:rsidRDefault="00B83846" w:rsidP="00E762F1">
            <w:pPr>
              <w:rPr>
                <w:rFonts w:asciiTheme="minorHAnsi" w:hAnsiTheme="minorHAnsi" w:cstheme="minorHAnsi"/>
                <w:sz w:val="20"/>
                <w:szCs w:val="20"/>
              </w:rPr>
            </w:pPr>
            <w:r w:rsidRPr="00E53E7E">
              <w:rPr>
                <w:rFonts w:asciiTheme="minorHAnsi" w:hAnsiTheme="minorHAnsi" w:cstheme="minorHAnsi"/>
                <w:sz w:val="20"/>
                <w:szCs w:val="20"/>
              </w:rPr>
              <w:t>Transportation - Communication - Utilities</w:t>
            </w:r>
          </w:p>
        </w:tc>
        <w:tc>
          <w:tcPr>
            <w:tcW w:w="1091" w:type="dxa"/>
            <w:vAlign w:val="bottom"/>
          </w:tcPr>
          <w:p w:rsidR="00B83846" w:rsidRDefault="00B83846" w:rsidP="00E762F1">
            <w:pPr>
              <w:jc w:val="center"/>
              <w:rPr>
                <w:rFonts w:ascii="Calibri" w:hAnsi="Calibri" w:cs="Calibri"/>
                <w:color w:val="000000"/>
                <w:sz w:val="20"/>
                <w:szCs w:val="20"/>
              </w:rPr>
            </w:pPr>
            <w:r>
              <w:rPr>
                <w:rFonts w:ascii="Calibri" w:hAnsi="Calibri" w:cs="Calibri"/>
                <w:color w:val="000000"/>
                <w:sz w:val="20"/>
                <w:szCs w:val="20"/>
              </w:rPr>
              <w:t>3600.0</w:t>
            </w:r>
          </w:p>
        </w:tc>
        <w:tc>
          <w:tcPr>
            <w:tcW w:w="1190" w:type="dxa"/>
            <w:vAlign w:val="bottom"/>
          </w:tcPr>
          <w:p w:rsidR="00B83846" w:rsidRDefault="00B83846" w:rsidP="00E762F1">
            <w:pPr>
              <w:jc w:val="center"/>
              <w:rPr>
                <w:rFonts w:ascii="Calibri" w:hAnsi="Calibri" w:cs="Calibri"/>
                <w:color w:val="000000"/>
                <w:sz w:val="20"/>
                <w:szCs w:val="20"/>
              </w:rPr>
            </w:pPr>
            <w:r w:rsidRPr="00A07755">
              <w:rPr>
                <w:rFonts w:ascii="Calibri" w:hAnsi="Calibri" w:cs="Calibri"/>
                <w:sz w:val="20"/>
                <w:szCs w:val="20"/>
              </w:rPr>
              <w:t>15.0</w:t>
            </w:r>
          </w:p>
        </w:tc>
        <w:tc>
          <w:tcPr>
            <w:tcW w:w="1279" w:type="dxa"/>
            <w:vAlign w:val="center"/>
          </w:tcPr>
          <w:p w:rsidR="00B83846" w:rsidRDefault="00B83846" w:rsidP="00E762F1">
            <w:pPr>
              <w:jc w:val="center"/>
              <w:rPr>
                <w:rFonts w:ascii="Calibri" w:hAnsi="Calibri" w:cs="Calibri"/>
                <w:sz w:val="20"/>
                <w:szCs w:val="20"/>
              </w:rPr>
            </w:pPr>
            <w:r>
              <w:rPr>
                <w:rFonts w:ascii="Calibri" w:hAnsi="Calibri" w:cs="Calibri"/>
                <w:sz w:val="20"/>
                <w:szCs w:val="20"/>
              </w:rPr>
              <w:t>5.00</w:t>
            </w:r>
          </w:p>
        </w:tc>
      </w:tr>
    </w:tbl>
    <w:p w:rsidR="00BE17A5" w:rsidRPr="00B03A76" w:rsidRDefault="00E16609" w:rsidP="00B03A76">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8"/>
    </w:p>
    <w:p w:rsidR="002A28FA"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To document savings for this work paper, measure case and base cases were selected that represent an appropriate replacement and are near the upper bound of the acceptable replacement wattage to be conservative in the saving estimates as these measures will represent a large majority of similar replacements.</w:t>
      </w:r>
    </w:p>
    <w:p w:rsidR="002A28FA" w:rsidRPr="006A56A2" w:rsidRDefault="002A28FA" w:rsidP="00BE17A5">
      <w:pPr>
        <w:rPr>
          <w:rFonts w:asciiTheme="minorHAnsi" w:hAnsiTheme="minorHAnsi" w:cstheme="minorHAnsi"/>
          <w:sz w:val="22"/>
          <w:szCs w:val="22"/>
        </w:rPr>
      </w:pPr>
    </w:p>
    <w:p w:rsidR="00BE17A5" w:rsidRPr="00CB1973" w:rsidRDefault="00BE17A5" w:rsidP="00BE17A5">
      <w:pPr>
        <w:rPr>
          <w:rFonts w:asciiTheme="minorHAnsi" w:hAnsiTheme="minorHAnsi" w:cstheme="minorHAnsi"/>
          <w:b/>
          <w:sz w:val="22"/>
          <w:szCs w:val="22"/>
        </w:rPr>
      </w:pPr>
      <w:r w:rsidRPr="00CB1973">
        <w:rPr>
          <w:rFonts w:asciiTheme="minorHAnsi" w:hAnsiTheme="minorHAnsi" w:cstheme="minorHAnsi"/>
          <w:b/>
          <w:sz w:val="22"/>
          <w:szCs w:val="22"/>
        </w:rPr>
        <w:t>Base Case</w:t>
      </w:r>
    </w:p>
    <w:p w:rsidR="00BE17A5" w:rsidRDefault="00BE17A5" w:rsidP="00BE17A5">
      <w:pPr>
        <w:rPr>
          <w:rFonts w:asciiTheme="minorHAnsi" w:hAnsiTheme="minorHAnsi" w:cstheme="minorHAnsi"/>
          <w:sz w:val="22"/>
          <w:szCs w:val="22"/>
        </w:rPr>
      </w:pPr>
      <w:r>
        <w:rPr>
          <w:rFonts w:asciiTheme="minorHAnsi" w:hAnsiTheme="minorHAnsi" w:cstheme="minorHAnsi"/>
          <w:sz w:val="22"/>
          <w:szCs w:val="22"/>
        </w:rPr>
        <w:t>For each measure</w:t>
      </w:r>
      <w:r w:rsidRPr="006A56A2">
        <w:rPr>
          <w:rFonts w:asciiTheme="minorHAnsi" w:hAnsiTheme="minorHAnsi" w:cstheme="minorHAnsi"/>
          <w:sz w:val="22"/>
          <w:szCs w:val="22"/>
        </w:rPr>
        <w:t>, a Metal Halide</w:t>
      </w:r>
      <w:r>
        <w:rPr>
          <w:rFonts w:asciiTheme="minorHAnsi" w:hAnsiTheme="minorHAnsi" w:cstheme="minorHAnsi"/>
          <w:sz w:val="22"/>
          <w:szCs w:val="22"/>
        </w:rPr>
        <w:t xml:space="preserve"> or Mercury Vapor</w:t>
      </w:r>
      <w:r w:rsidRPr="006A56A2">
        <w:rPr>
          <w:rFonts w:asciiTheme="minorHAnsi" w:hAnsiTheme="minorHAnsi" w:cstheme="minorHAnsi"/>
          <w:sz w:val="22"/>
          <w:szCs w:val="22"/>
        </w:rPr>
        <w:t xml:space="preserve"> lamp and fixture were selected in the appropriate ranges</w:t>
      </w:r>
      <w:r>
        <w:rPr>
          <w:rFonts w:asciiTheme="minorHAnsi" w:hAnsiTheme="minorHAnsi" w:cstheme="minorHAnsi"/>
          <w:sz w:val="22"/>
          <w:szCs w:val="22"/>
        </w:rPr>
        <w:t xml:space="preserve"> or specified measures wattage</w:t>
      </w:r>
      <w:r w:rsidRPr="006A56A2">
        <w:rPr>
          <w:rFonts w:asciiTheme="minorHAnsi" w:hAnsiTheme="minorHAnsi" w:cstheme="minorHAnsi"/>
          <w:sz w:val="22"/>
          <w:szCs w:val="22"/>
        </w:rPr>
        <w:t xml:space="preserve"> used in the energy savings estimates.  The lamps were chosen in the middle to lower section of the range</w:t>
      </w:r>
      <w:r>
        <w:rPr>
          <w:rFonts w:asciiTheme="minorHAnsi" w:hAnsiTheme="minorHAnsi" w:cstheme="minorHAnsi"/>
          <w:sz w:val="22"/>
          <w:szCs w:val="22"/>
        </w:rPr>
        <w:t xml:space="preserve"> (if applicable)</w:t>
      </w:r>
      <w:r w:rsidRPr="006A56A2">
        <w:rPr>
          <w:rFonts w:asciiTheme="minorHAnsi" w:hAnsiTheme="minorHAnsi" w:cstheme="minorHAnsi"/>
          <w:sz w:val="22"/>
          <w:szCs w:val="22"/>
        </w:rPr>
        <w:t xml:space="preserve"> to be conservative.  The fixture wattage is taken </w:t>
      </w:r>
      <w:r w:rsidRPr="006A56A2">
        <w:rPr>
          <w:rFonts w:asciiTheme="minorHAnsi" w:hAnsiTheme="minorHAnsi" w:cstheme="minorHAnsi"/>
          <w:sz w:val="22"/>
          <w:szCs w:val="22"/>
        </w:rPr>
        <w:lastRenderedPageBreak/>
        <w:t>from Appendix B of the 20</w:t>
      </w:r>
      <w:r w:rsidR="00EC1BA8">
        <w:rPr>
          <w:rFonts w:asciiTheme="minorHAnsi" w:hAnsiTheme="minorHAnsi" w:cstheme="minorHAnsi"/>
          <w:sz w:val="22"/>
          <w:szCs w:val="22"/>
        </w:rPr>
        <w:t>13</w:t>
      </w:r>
      <w:r w:rsidRPr="006A56A2">
        <w:rPr>
          <w:rFonts w:asciiTheme="minorHAnsi" w:hAnsiTheme="minorHAnsi" w:cstheme="minorHAnsi"/>
          <w:sz w:val="22"/>
          <w:szCs w:val="22"/>
        </w:rPr>
        <w:t xml:space="preserve"> SPC Program </w:t>
      </w:r>
      <w:r w:rsidRPr="00860FAF">
        <w:rPr>
          <w:rFonts w:asciiTheme="minorHAnsi" w:hAnsiTheme="minorHAnsi" w:cstheme="minorHAnsi"/>
          <w:sz w:val="22"/>
          <w:szCs w:val="22"/>
        </w:rPr>
        <w:t>Manual</w:t>
      </w:r>
      <w:bookmarkStart w:id="20" w:name="_Ref221415690"/>
      <w:r w:rsidRPr="00860FAF">
        <w:rPr>
          <w:rFonts w:asciiTheme="minorHAnsi" w:hAnsiTheme="minorHAnsi" w:cstheme="minorHAnsi"/>
          <w:sz w:val="22"/>
          <w:szCs w:val="22"/>
        </w:rPr>
        <w:t xml:space="preserve"> [</w:t>
      </w:r>
      <w:r w:rsidR="00EC1BA8">
        <w:rPr>
          <w:rFonts w:asciiTheme="minorHAnsi" w:hAnsiTheme="minorHAnsi" w:cstheme="minorHAnsi"/>
          <w:sz w:val="22"/>
          <w:szCs w:val="22"/>
        </w:rPr>
        <w:t>431</w:t>
      </w:r>
      <w:r w:rsidRPr="00860FAF">
        <w:rPr>
          <w:rFonts w:asciiTheme="minorHAnsi" w:hAnsiTheme="minorHAnsi" w:cstheme="minorHAnsi"/>
          <w:sz w:val="22"/>
          <w:szCs w:val="22"/>
        </w:rPr>
        <w:t>]</w:t>
      </w:r>
      <w:bookmarkEnd w:id="20"/>
      <w:r w:rsidRPr="00860FAF">
        <w:rPr>
          <w:rFonts w:asciiTheme="minorHAnsi" w:hAnsiTheme="minorHAnsi" w:cstheme="minorHAnsi"/>
          <w:sz w:val="22"/>
          <w:szCs w:val="22"/>
        </w:rPr>
        <w:t xml:space="preserve">.  </w:t>
      </w:r>
      <w:r w:rsidRPr="00BD3B93">
        <w:rPr>
          <w:rFonts w:asciiTheme="minorHAnsi" w:hAnsiTheme="minorHAnsi" w:cstheme="minorHAnsi"/>
          <w:sz w:val="22"/>
          <w:szCs w:val="22"/>
        </w:rPr>
        <w:t xml:space="preserve">The base cases used in the calculations are shown in </w:t>
      </w:r>
      <w:r w:rsidRPr="00BD3B93">
        <w:rPr>
          <w:rFonts w:asciiTheme="minorHAnsi" w:hAnsiTheme="minorHAnsi" w:cstheme="minorHAnsi"/>
          <w:sz w:val="22"/>
          <w:szCs w:val="22"/>
        </w:rPr>
        <w:fldChar w:fldCharType="begin"/>
      </w:r>
      <w:r w:rsidRPr="00BD3B93">
        <w:rPr>
          <w:rFonts w:asciiTheme="minorHAnsi" w:hAnsiTheme="minorHAnsi" w:cstheme="minorHAnsi"/>
          <w:sz w:val="22"/>
          <w:szCs w:val="22"/>
        </w:rPr>
        <w:instrText xml:space="preserve"> REF _Ref322954165 \h </w:instrText>
      </w:r>
      <w:r w:rsidR="00BD3B93" w:rsidRPr="00BD3B93">
        <w:rPr>
          <w:rFonts w:asciiTheme="minorHAnsi" w:hAnsiTheme="minorHAnsi" w:cstheme="minorHAnsi"/>
          <w:sz w:val="22"/>
          <w:szCs w:val="22"/>
        </w:rPr>
        <w:instrText xml:space="preserve"> \* MERGEFORMAT </w:instrText>
      </w:r>
      <w:r w:rsidRPr="00BD3B93">
        <w:rPr>
          <w:rFonts w:asciiTheme="minorHAnsi" w:hAnsiTheme="minorHAnsi" w:cstheme="minorHAnsi"/>
          <w:sz w:val="22"/>
          <w:szCs w:val="22"/>
        </w:rPr>
      </w:r>
      <w:r w:rsidRPr="00BD3B93">
        <w:rPr>
          <w:rFonts w:asciiTheme="minorHAnsi" w:hAnsiTheme="minorHAnsi" w:cstheme="minorHAnsi"/>
          <w:sz w:val="22"/>
          <w:szCs w:val="22"/>
        </w:rPr>
        <w:fldChar w:fldCharType="separate"/>
      </w:r>
      <w:r w:rsidR="00302C1D" w:rsidRPr="00987C88">
        <w:rPr>
          <w:rFonts w:asciiTheme="minorHAnsi" w:hAnsiTheme="minorHAnsi" w:cstheme="minorHAnsi"/>
          <w:sz w:val="22"/>
          <w:szCs w:val="22"/>
        </w:rPr>
        <w:t xml:space="preserve">Table </w:t>
      </w:r>
      <w:r w:rsidR="00302C1D">
        <w:rPr>
          <w:rFonts w:asciiTheme="minorHAnsi" w:hAnsiTheme="minorHAnsi" w:cstheme="minorHAnsi"/>
          <w:sz w:val="22"/>
          <w:szCs w:val="22"/>
        </w:rPr>
        <w:t>9</w:t>
      </w:r>
      <w:r w:rsidRPr="00BD3B93">
        <w:rPr>
          <w:rFonts w:asciiTheme="minorHAnsi" w:hAnsiTheme="minorHAnsi" w:cstheme="minorHAnsi"/>
          <w:sz w:val="22"/>
          <w:szCs w:val="22"/>
        </w:rPr>
        <w:fldChar w:fldCharType="end"/>
      </w:r>
      <w:r w:rsidRPr="00BD3B93">
        <w:rPr>
          <w:rFonts w:asciiTheme="minorHAnsi" w:hAnsiTheme="minorHAnsi" w:cstheme="minorHAnsi"/>
          <w:sz w:val="22"/>
          <w:szCs w:val="22"/>
        </w:rPr>
        <w:t xml:space="preserve">. </w:t>
      </w:r>
      <w:r>
        <w:rPr>
          <w:rFonts w:asciiTheme="minorHAnsi" w:hAnsiTheme="minorHAnsi" w:cstheme="minorHAnsi"/>
          <w:sz w:val="22"/>
          <w:szCs w:val="22"/>
        </w:rPr>
        <w:t>The SPC Program Manual did not include 350W metal halide fixtures, so those wattages were extrapolated from the other fixture wattages.</w:t>
      </w:r>
    </w:p>
    <w:p w:rsidR="00351B56" w:rsidRDefault="00351B56" w:rsidP="00BE17A5">
      <w:pPr>
        <w:rPr>
          <w:rFonts w:asciiTheme="minorHAnsi" w:hAnsiTheme="minorHAnsi" w:cstheme="minorHAnsi"/>
          <w:sz w:val="22"/>
          <w:szCs w:val="22"/>
        </w:rPr>
      </w:pPr>
    </w:p>
    <w:p w:rsidR="00351B56" w:rsidRDefault="00351B56" w:rsidP="00BE17A5">
      <w:pPr>
        <w:rPr>
          <w:rFonts w:asciiTheme="minorHAnsi" w:hAnsiTheme="minorHAnsi" w:cstheme="minorHAnsi"/>
          <w:sz w:val="22"/>
          <w:szCs w:val="22"/>
        </w:rPr>
      </w:pPr>
      <w:r>
        <w:rPr>
          <w:rFonts w:asciiTheme="minorHAnsi" w:hAnsiTheme="minorHAnsi" w:cstheme="minorHAnsi"/>
          <w:sz w:val="22"/>
          <w:szCs w:val="22"/>
        </w:rPr>
        <w:t>The base case Wattage values for a number of the following measures were updated using the “2013-2014_LightingRetrofit_Disposition-</w:t>
      </w:r>
      <w:r w:rsidR="00747A9B">
        <w:rPr>
          <w:rFonts w:asciiTheme="minorHAnsi" w:hAnsiTheme="minorHAnsi" w:cstheme="minorHAnsi"/>
          <w:sz w:val="22"/>
          <w:szCs w:val="22"/>
        </w:rPr>
        <w:t>30May2014</w:t>
      </w:r>
      <w:r>
        <w:rPr>
          <w:rFonts w:asciiTheme="minorHAnsi" w:hAnsiTheme="minorHAnsi" w:cstheme="minorHAnsi"/>
          <w:sz w:val="22"/>
          <w:szCs w:val="22"/>
        </w:rPr>
        <w:t>” table [</w:t>
      </w:r>
      <w:r w:rsidR="00FB0681">
        <w:rPr>
          <w:rFonts w:asciiTheme="minorHAnsi" w:hAnsiTheme="minorHAnsi" w:cstheme="minorHAnsi"/>
          <w:sz w:val="22"/>
          <w:szCs w:val="22"/>
        </w:rPr>
        <w:t>A</w:t>
      </w:r>
      <w:r>
        <w:rPr>
          <w:rFonts w:asciiTheme="minorHAnsi" w:hAnsiTheme="minorHAnsi" w:cstheme="minorHAnsi"/>
          <w:sz w:val="22"/>
          <w:szCs w:val="22"/>
        </w:rPr>
        <w:t xml:space="preserve">] provided by the Energy Division.  The values that have been updated with the table are noted with an asterisk (*).  </w:t>
      </w:r>
    </w:p>
    <w:p w:rsidR="00BE17A5" w:rsidRDefault="00BE17A5" w:rsidP="00BE17A5">
      <w:pPr>
        <w:rPr>
          <w:rFonts w:asciiTheme="minorHAnsi" w:hAnsiTheme="minorHAnsi" w:cstheme="minorHAnsi"/>
          <w:sz w:val="22"/>
          <w:szCs w:val="22"/>
        </w:rPr>
      </w:pPr>
    </w:p>
    <w:p w:rsidR="00BE17A5" w:rsidRDefault="00BE17A5" w:rsidP="00BE17A5">
      <w:pPr>
        <w:rPr>
          <w:rFonts w:asciiTheme="minorHAnsi" w:hAnsiTheme="minorHAnsi" w:cstheme="minorHAnsi"/>
          <w:sz w:val="22"/>
          <w:szCs w:val="22"/>
        </w:rPr>
      </w:pPr>
      <w:r>
        <w:rPr>
          <w:rFonts w:asciiTheme="minorHAnsi" w:hAnsiTheme="minorHAnsi" w:cstheme="minorHAnsi"/>
          <w:b/>
          <w:sz w:val="22"/>
          <w:szCs w:val="22"/>
        </w:rPr>
        <w:t>Code Base Case</w:t>
      </w:r>
    </w:p>
    <w:p w:rsidR="00351B56" w:rsidRDefault="00BE17A5" w:rsidP="00BE17A5">
      <w:pPr>
        <w:rPr>
          <w:rFonts w:asciiTheme="minorHAnsi" w:hAnsiTheme="minorHAnsi" w:cstheme="minorHAnsi"/>
          <w:sz w:val="22"/>
          <w:szCs w:val="22"/>
        </w:rPr>
      </w:pPr>
      <w:r>
        <w:rPr>
          <w:rFonts w:asciiTheme="minorHAnsi" w:hAnsiTheme="minorHAnsi" w:cstheme="minorHAnsi"/>
          <w:sz w:val="22"/>
          <w:szCs w:val="22"/>
        </w:rPr>
        <w:t xml:space="preserve">Title 20 prohibits traditional probe-start ballast metal halide fixtures from 150 to 500W, so pulse-start metal halide fixtures were chosen as the code base case. </w:t>
      </w:r>
      <w:proofErr w:type="gramStart"/>
      <w:r>
        <w:rPr>
          <w:rFonts w:asciiTheme="minorHAnsi" w:hAnsiTheme="minorHAnsi" w:cstheme="minorHAnsi"/>
          <w:sz w:val="22"/>
          <w:szCs w:val="22"/>
        </w:rPr>
        <w:t xml:space="preserve">These </w:t>
      </w:r>
      <w:r w:rsidR="00E97246">
        <w:rPr>
          <w:rFonts w:asciiTheme="minorHAnsi" w:hAnsiTheme="minorHAnsi" w:cstheme="minorHAnsi"/>
          <w:sz w:val="22"/>
          <w:szCs w:val="22"/>
        </w:rPr>
        <w:t xml:space="preserve">values </w:t>
      </w:r>
      <w:r>
        <w:rPr>
          <w:rFonts w:asciiTheme="minorHAnsi" w:hAnsiTheme="minorHAnsi" w:cstheme="minorHAnsi"/>
          <w:sz w:val="22"/>
          <w:szCs w:val="22"/>
        </w:rPr>
        <w:t xml:space="preserve">are also taken from Appendix B of </w:t>
      </w:r>
      <w:r w:rsidR="00EC1BA8">
        <w:rPr>
          <w:rFonts w:asciiTheme="minorHAnsi" w:hAnsiTheme="minorHAnsi" w:cstheme="minorHAnsi"/>
          <w:sz w:val="22"/>
          <w:szCs w:val="22"/>
        </w:rPr>
        <w:t>the 2013</w:t>
      </w:r>
      <w:r>
        <w:rPr>
          <w:rFonts w:asciiTheme="minorHAnsi" w:hAnsiTheme="minorHAnsi" w:cstheme="minorHAnsi"/>
          <w:sz w:val="22"/>
          <w:szCs w:val="22"/>
        </w:rPr>
        <w:t xml:space="preserve"> SPC Program Manual and shown </w:t>
      </w:r>
      <w:r w:rsidRPr="006A56A2">
        <w:rPr>
          <w:rFonts w:asciiTheme="minorHAnsi" w:hAnsiTheme="minorHAnsi" w:cstheme="minorHAnsi"/>
          <w:sz w:val="22"/>
          <w:szCs w:val="22"/>
        </w:rPr>
        <w:t>in</w:t>
      </w:r>
      <w:r>
        <w:rPr>
          <w:rFonts w:asciiTheme="minorHAnsi" w:hAnsiTheme="minorHAnsi" w:cstheme="minorHAnsi"/>
          <w:sz w:val="22"/>
          <w:szCs w:val="22"/>
        </w:rPr>
        <w:t xml:space="preserv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_Ref322954165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2C1D" w:rsidRPr="00987C88">
        <w:rPr>
          <w:rFonts w:asciiTheme="minorHAnsi" w:hAnsiTheme="minorHAnsi" w:cstheme="minorHAnsi"/>
          <w:sz w:val="22"/>
          <w:szCs w:val="22"/>
        </w:rPr>
        <w:t xml:space="preserve">Table </w:t>
      </w:r>
      <w:r w:rsidR="00302C1D">
        <w:rPr>
          <w:rFonts w:asciiTheme="minorHAnsi" w:hAnsiTheme="minorHAnsi" w:cstheme="minorHAnsi"/>
          <w:noProof/>
          <w:sz w:val="22"/>
          <w:szCs w:val="22"/>
        </w:rPr>
        <w:t>9</w:t>
      </w:r>
      <w:r>
        <w:rPr>
          <w:rFonts w:asciiTheme="minorHAnsi" w:hAnsiTheme="minorHAnsi" w:cstheme="minorHAnsi"/>
          <w:sz w:val="22"/>
          <w:szCs w:val="22"/>
        </w:rPr>
        <w:fldChar w:fldCharType="end"/>
      </w:r>
      <w:r>
        <w:rPr>
          <w:rFonts w:asciiTheme="minorHAnsi" w:hAnsiTheme="minorHAnsi" w:cstheme="minorHAnsi"/>
          <w:sz w:val="22"/>
          <w:szCs w:val="22"/>
        </w:rPr>
        <w:t>9.</w:t>
      </w:r>
      <w:proofErr w:type="gramEnd"/>
      <w:r>
        <w:rPr>
          <w:rFonts w:asciiTheme="minorHAnsi" w:hAnsiTheme="minorHAnsi" w:cstheme="minorHAnsi"/>
          <w:sz w:val="22"/>
          <w:szCs w:val="22"/>
        </w:rPr>
        <w:t xml:space="preserve"> </w:t>
      </w:r>
      <w:r w:rsidR="00351B56">
        <w:rPr>
          <w:rFonts w:asciiTheme="minorHAnsi" w:hAnsiTheme="minorHAnsi" w:cstheme="minorHAnsi"/>
          <w:sz w:val="22"/>
          <w:szCs w:val="22"/>
        </w:rPr>
        <w:t>Not all base cases are affected by Title 20.</w:t>
      </w:r>
    </w:p>
    <w:p w:rsidR="00351B56" w:rsidRDefault="00351B56" w:rsidP="00BE17A5">
      <w:pPr>
        <w:rPr>
          <w:rFonts w:asciiTheme="minorHAnsi" w:hAnsiTheme="minorHAnsi" w:cstheme="minorHAnsi"/>
          <w:sz w:val="22"/>
          <w:szCs w:val="22"/>
        </w:rPr>
      </w:pPr>
    </w:p>
    <w:p w:rsidR="00BE17A5" w:rsidRPr="00CB1973" w:rsidRDefault="00BD3B93" w:rsidP="00BE17A5">
      <w:pPr>
        <w:rPr>
          <w:rFonts w:asciiTheme="minorHAnsi" w:hAnsiTheme="minorHAnsi" w:cstheme="minorHAnsi"/>
          <w:sz w:val="22"/>
          <w:szCs w:val="22"/>
        </w:rPr>
      </w:pPr>
      <w:r>
        <w:rPr>
          <w:rFonts w:asciiTheme="minorHAnsi" w:hAnsiTheme="minorHAnsi" w:cstheme="minorHAnsi"/>
          <w:sz w:val="22"/>
          <w:szCs w:val="22"/>
        </w:rPr>
        <w:t>The code case Wattage values for a number of the following measures were updated using the “2013-2014_LightingRetrofit_Disposition-</w:t>
      </w:r>
      <w:r w:rsidR="0034503A">
        <w:rPr>
          <w:rFonts w:asciiTheme="minorHAnsi" w:hAnsiTheme="minorHAnsi" w:cstheme="minorHAnsi"/>
          <w:sz w:val="22"/>
          <w:szCs w:val="22"/>
        </w:rPr>
        <w:t>30May2014</w:t>
      </w:r>
      <w:r>
        <w:rPr>
          <w:rFonts w:asciiTheme="minorHAnsi" w:hAnsiTheme="minorHAnsi" w:cstheme="minorHAnsi"/>
          <w:sz w:val="22"/>
          <w:szCs w:val="22"/>
        </w:rPr>
        <w:t>” table [</w:t>
      </w:r>
      <w:r w:rsidR="00FB0681">
        <w:rPr>
          <w:rFonts w:asciiTheme="minorHAnsi" w:hAnsiTheme="minorHAnsi" w:cstheme="minorHAnsi"/>
          <w:sz w:val="22"/>
          <w:szCs w:val="22"/>
        </w:rPr>
        <w:t>A</w:t>
      </w:r>
      <w:r>
        <w:rPr>
          <w:rFonts w:asciiTheme="minorHAnsi" w:hAnsiTheme="minorHAnsi" w:cstheme="minorHAnsi"/>
          <w:sz w:val="22"/>
          <w:szCs w:val="22"/>
        </w:rPr>
        <w:t xml:space="preserve">] provided by the Energy Division.  </w:t>
      </w:r>
    </w:p>
    <w:p w:rsidR="00BE17A5" w:rsidRPr="006A56A2" w:rsidRDefault="00BE17A5" w:rsidP="00BE17A5">
      <w:pPr>
        <w:rPr>
          <w:rFonts w:asciiTheme="minorHAnsi" w:hAnsiTheme="minorHAnsi" w:cstheme="minorHAnsi"/>
          <w:sz w:val="22"/>
          <w:szCs w:val="22"/>
        </w:rPr>
      </w:pPr>
    </w:p>
    <w:p w:rsidR="00BE17A5" w:rsidRPr="00EB14C2" w:rsidRDefault="00987C88" w:rsidP="00987C88">
      <w:pPr>
        <w:pStyle w:val="Caption"/>
        <w:jc w:val="center"/>
        <w:rPr>
          <w:rFonts w:asciiTheme="minorHAnsi" w:hAnsiTheme="minorHAnsi" w:cstheme="minorHAnsi"/>
          <w:sz w:val="22"/>
          <w:szCs w:val="22"/>
        </w:rPr>
      </w:pPr>
      <w:bookmarkStart w:id="21" w:name="_Ref322954165"/>
      <w:r w:rsidRPr="00987C88">
        <w:rPr>
          <w:rFonts w:asciiTheme="minorHAnsi" w:hAnsiTheme="minorHAnsi" w:cstheme="minorHAnsi"/>
          <w:sz w:val="22"/>
          <w:szCs w:val="22"/>
        </w:rPr>
        <w:t xml:space="preserve">Table </w:t>
      </w:r>
      <w:r w:rsidRPr="00987C88">
        <w:rPr>
          <w:rFonts w:asciiTheme="minorHAnsi" w:hAnsiTheme="minorHAnsi" w:cstheme="minorHAnsi"/>
          <w:sz w:val="22"/>
          <w:szCs w:val="22"/>
        </w:rPr>
        <w:fldChar w:fldCharType="begin"/>
      </w:r>
      <w:r w:rsidRPr="00987C88">
        <w:rPr>
          <w:rFonts w:asciiTheme="minorHAnsi" w:hAnsiTheme="minorHAnsi" w:cstheme="minorHAnsi"/>
          <w:sz w:val="22"/>
          <w:szCs w:val="22"/>
        </w:rPr>
        <w:instrText xml:space="preserve"> SEQ Table \* ARABIC </w:instrText>
      </w:r>
      <w:r w:rsidRPr="00987C88">
        <w:rPr>
          <w:rFonts w:asciiTheme="minorHAnsi" w:hAnsiTheme="minorHAnsi" w:cstheme="minorHAnsi"/>
          <w:sz w:val="22"/>
          <w:szCs w:val="22"/>
        </w:rPr>
        <w:fldChar w:fldCharType="separate"/>
      </w:r>
      <w:r w:rsidR="00302C1D">
        <w:rPr>
          <w:rFonts w:asciiTheme="minorHAnsi" w:hAnsiTheme="minorHAnsi" w:cstheme="minorHAnsi"/>
          <w:noProof/>
          <w:sz w:val="22"/>
          <w:szCs w:val="22"/>
        </w:rPr>
        <w:t>9</w:t>
      </w:r>
      <w:r w:rsidRPr="00987C88">
        <w:rPr>
          <w:rFonts w:asciiTheme="minorHAnsi" w:hAnsiTheme="minorHAnsi" w:cstheme="minorHAnsi"/>
          <w:sz w:val="22"/>
          <w:szCs w:val="22"/>
        </w:rPr>
        <w:fldChar w:fldCharType="end"/>
      </w:r>
      <w:bookmarkEnd w:id="21"/>
      <w:r>
        <w:rPr>
          <w:rFonts w:asciiTheme="minorHAnsi" w:hAnsiTheme="minorHAnsi" w:cstheme="minorHAnsi"/>
          <w:sz w:val="22"/>
          <w:szCs w:val="22"/>
        </w:rPr>
        <w:t xml:space="preserve"> </w:t>
      </w:r>
      <w:r w:rsidR="00BE17A5" w:rsidRPr="00EB14C2">
        <w:rPr>
          <w:rFonts w:asciiTheme="minorHAnsi" w:hAnsiTheme="minorHAnsi" w:cstheme="minorHAnsi"/>
          <w:sz w:val="22"/>
          <w:szCs w:val="22"/>
        </w:rPr>
        <w:t>Base Case Selection for Savings Estimates</w:t>
      </w:r>
    </w:p>
    <w:tbl>
      <w:tblPr>
        <w:tblStyle w:val="TableContemporary"/>
        <w:tblW w:w="10776" w:type="dxa"/>
        <w:jc w:val="center"/>
        <w:tblLook w:val="0000" w:firstRow="0" w:lastRow="0" w:firstColumn="0" w:lastColumn="0" w:noHBand="0" w:noVBand="0"/>
      </w:tblPr>
      <w:tblGrid>
        <w:gridCol w:w="1046"/>
        <w:gridCol w:w="2852"/>
        <w:gridCol w:w="1378"/>
        <w:gridCol w:w="1093"/>
        <w:gridCol w:w="992"/>
        <w:gridCol w:w="1358"/>
        <w:gridCol w:w="1070"/>
        <w:gridCol w:w="987"/>
      </w:tblGrid>
      <w:tr w:rsidR="00E97246" w:rsidRPr="00CB1973" w:rsidTr="00E97246">
        <w:trPr>
          <w:cnfStyle w:val="000000100000" w:firstRow="0" w:lastRow="0" w:firstColumn="0" w:lastColumn="0" w:oddVBand="0" w:evenVBand="0" w:oddHBand="1" w:evenHBand="0" w:firstRowFirstColumn="0" w:firstRowLastColumn="0" w:lastRowFirstColumn="0" w:lastRowLastColumn="0"/>
          <w:trHeight w:val="255"/>
          <w:jc w:val="center"/>
        </w:trPr>
        <w:tc>
          <w:tcPr>
            <w:tcW w:w="1057" w:type="dxa"/>
          </w:tcPr>
          <w:p w:rsidR="00AF6E98" w:rsidRPr="0037383E" w:rsidRDefault="00AF6E98" w:rsidP="00E95FCC">
            <w:pPr>
              <w:jc w:val="center"/>
              <w:rPr>
                <w:rFonts w:asciiTheme="minorHAnsi" w:hAnsiTheme="minorHAnsi" w:cstheme="minorHAnsi"/>
                <w:b/>
                <w:sz w:val="20"/>
                <w:szCs w:val="20"/>
              </w:rPr>
            </w:pPr>
            <w:r w:rsidRPr="0037383E">
              <w:rPr>
                <w:rFonts w:asciiTheme="minorHAnsi" w:hAnsiTheme="minorHAnsi" w:cstheme="minorHAnsi"/>
                <w:b/>
                <w:sz w:val="20"/>
                <w:szCs w:val="20"/>
              </w:rPr>
              <w:t>Solution Code</w:t>
            </w:r>
          </w:p>
        </w:tc>
        <w:tc>
          <w:tcPr>
            <w:tcW w:w="2852" w:type="dxa"/>
            <w:noWrap/>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Measure</w:t>
            </w:r>
          </w:p>
        </w:tc>
        <w:tc>
          <w:tcPr>
            <w:tcW w:w="1378" w:type="dxa"/>
            <w:noWrap/>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Base Case Fixture</w:t>
            </w:r>
          </w:p>
        </w:tc>
        <w:tc>
          <w:tcPr>
            <w:tcW w:w="1001" w:type="dxa"/>
            <w:noWrap/>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 xml:space="preserve">Fixture </w:t>
            </w:r>
            <w:r w:rsidR="00E97246">
              <w:rPr>
                <w:rFonts w:asciiTheme="minorHAnsi" w:hAnsiTheme="minorHAnsi" w:cstheme="minorHAnsi"/>
                <w:b/>
                <w:bCs/>
                <w:sz w:val="18"/>
                <w:szCs w:val="18"/>
              </w:rPr>
              <w:t xml:space="preserve">Base Case </w:t>
            </w:r>
            <w:r w:rsidRPr="00CB1973">
              <w:rPr>
                <w:rFonts w:asciiTheme="minorHAnsi" w:hAnsiTheme="minorHAnsi" w:cstheme="minorHAnsi"/>
                <w:b/>
                <w:bCs/>
                <w:sz w:val="18"/>
                <w:szCs w:val="18"/>
              </w:rPr>
              <w:t>Code</w:t>
            </w:r>
          </w:p>
        </w:tc>
        <w:tc>
          <w:tcPr>
            <w:tcW w:w="992" w:type="dxa"/>
            <w:noWrap/>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 xml:space="preserve">Fixture </w:t>
            </w:r>
            <w:r w:rsidR="00E97246">
              <w:rPr>
                <w:rFonts w:asciiTheme="minorHAnsi" w:hAnsiTheme="minorHAnsi" w:cstheme="minorHAnsi"/>
                <w:b/>
                <w:bCs/>
                <w:sz w:val="18"/>
                <w:szCs w:val="18"/>
              </w:rPr>
              <w:t xml:space="preserve">Base Case </w:t>
            </w:r>
            <w:r w:rsidRPr="00CB1973">
              <w:rPr>
                <w:rFonts w:asciiTheme="minorHAnsi" w:hAnsiTheme="minorHAnsi" w:cstheme="minorHAnsi"/>
                <w:b/>
                <w:bCs/>
                <w:sz w:val="18"/>
                <w:szCs w:val="18"/>
              </w:rPr>
              <w:t>Wattage</w:t>
            </w:r>
          </w:p>
        </w:tc>
        <w:tc>
          <w:tcPr>
            <w:tcW w:w="1406" w:type="dxa"/>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Code Base Case Fixture</w:t>
            </w:r>
          </w:p>
        </w:tc>
        <w:tc>
          <w:tcPr>
            <w:tcW w:w="1093" w:type="dxa"/>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 xml:space="preserve">Fixture </w:t>
            </w:r>
            <w:r w:rsidR="00E97246">
              <w:rPr>
                <w:rFonts w:asciiTheme="minorHAnsi" w:hAnsiTheme="minorHAnsi" w:cstheme="minorHAnsi"/>
                <w:b/>
                <w:bCs/>
                <w:sz w:val="18"/>
                <w:szCs w:val="18"/>
              </w:rPr>
              <w:t xml:space="preserve">Code Base </w:t>
            </w:r>
            <w:r w:rsidRPr="00CB1973">
              <w:rPr>
                <w:rFonts w:asciiTheme="minorHAnsi" w:hAnsiTheme="minorHAnsi" w:cstheme="minorHAnsi"/>
                <w:b/>
                <w:bCs/>
                <w:sz w:val="18"/>
                <w:szCs w:val="18"/>
              </w:rPr>
              <w:t>Code</w:t>
            </w:r>
          </w:p>
        </w:tc>
        <w:tc>
          <w:tcPr>
            <w:tcW w:w="997" w:type="dxa"/>
          </w:tcPr>
          <w:p w:rsidR="00AF6E98" w:rsidRPr="00CB1973" w:rsidRDefault="00AF6E98"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 xml:space="preserve">Fixture </w:t>
            </w:r>
            <w:r w:rsidR="00E97246">
              <w:rPr>
                <w:rFonts w:asciiTheme="minorHAnsi" w:hAnsiTheme="minorHAnsi" w:cstheme="minorHAnsi"/>
                <w:b/>
                <w:bCs/>
                <w:sz w:val="18"/>
                <w:szCs w:val="18"/>
              </w:rPr>
              <w:t xml:space="preserve">Code Case </w:t>
            </w:r>
            <w:r w:rsidRPr="00CB1973">
              <w:rPr>
                <w:rFonts w:asciiTheme="minorHAnsi" w:hAnsiTheme="minorHAnsi" w:cstheme="minorHAnsi"/>
                <w:b/>
                <w:bCs/>
                <w:sz w:val="18"/>
                <w:szCs w:val="18"/>
              </w:rPr>
              <w:t>Wattage</w:t>
            </w:r>
          </w:p>
        </w:tc>
      </w:tr>
      <w:tr w:rsidR="00E97246" w:rsidRPr="001F3F31" w:rsidTr="00E97246">
        <w:trPr>
          <w:cnfStyle w:val="000000010000" w:firstRow="0" w:lastRow="0" w:firstColumn="0" w:lastColumn="0" w:oddVBand="0" w:evenVBand="0" w:oddHBand="0" w:evenHBand="1" w:firstRowFirstColumn="0" w:firstRowLastColumn="0" w:lastRowFirstColumn="0" w:lastRowLastColumn="0"/>
          <w:trHeight w:val="255"/>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LT-41199</w:t>
            </w:r>
          </w:p>
        </w:tc>
        <w:tc>
          <w:tcPr>
            <w:tcW w:w="2852" w:type="dxa"/>
            <w:noWrap/>
            <w:vAlign w:val="center"/>
          </w:tcPr>
          <w:p w:rsidR="00AF6E98" w:rsidRPr="0018777D" w:rsidRDefault="00AF6E98" w:rsidP="00E762F1">
            <w:pPr>
              <w:rPr>
                <w:rFonts w:asciiTheme="minorHAnsi" w:hAnsiTheme="minorHAnsi" w:cstheme="minorHAnsi"/>
                <w:bCs/>
                <w:sz w:val="18"/>
                <w:szCs w:val="18"/>
              </w:rPr>
            </w:pPr>
            <w:r w:rsidRPr="0018777D">
              <w:rPr>
                <w:rFonts w:asciiTheme="minorHAnsi" w:hAnsiTheme="minorHAnsi" w:cstheme="minorHAnsi"/>
                <w:bCs/>
                <w:sz w:val="18"/>
                <w:szCs w:val="18"/>
              </w:rPr>
              <w:t>Up to 64 Watt Interior Fixture T5 Linear Fluorescent  replacing less than 100 Watt lamp base case</w:t>
            </w:r>
          </w:p>
        </w:tc>
        <w:tc>
          <w:tcPr>
            <w:tcW w:w="1378" w:type="dxa"/>
            <w:noWrap/>
            <w:vAlign w:val="center"/>
          </w:tcPr>
          <w:p w:rsidR="00AF6E98" w:rsidRPr="0018777D" w:rsidRDefault="00F62460" w:rsidP="00351B56">
            <w:pPr>
              <w:jc w:val="center"/>
              <w:rPr>
                <w:rFonts w:asciiTheme="minorHAnsi" w:hAnsiTheme="minorHAnsi" w:cstheme="minorHAnsi"/>
                <w:bCs/>
                <w:sz w:val="18"/>
                <w:szCs w:val="18"/>
              </w:rPr>
            </w:pPr>
            <w:r>
              <w:rPr>
                <w:rFonts w:asciiTheme="minorHAnsi" w:hAnsiTheme="minorHAnsi" w:cstheme="minorHAnsi"/>
                <w:bCs/>
                <w:sz w:val="18"/>
                <w:szCs w:val="18"/>
              </w:rPr>
              <w:t>Metal Halide, 100</w:t>
            </w:r>
            <w:r w:rsidR="000B2E76">
              <w:rPr>
                <w:rFonts w:asciiTheme="minorHAnsi" w:hAnsiTheme="minorHAnsi" w:cstheme="minorHAnsi"/>
                <w:bCs/>
                <w:sz w:val="18"/>
                <w:szCs w:val="18"/>
              </w:rPr>
              <w:t xml:space="preserve"> Watts</w:t>
            </w:r>
          </w:p>
        </w:tc>
        <w:tc>
          <w:tcPr>
            <w:tcW w:w="1001" w:type="dxa"/>
            <w:noWrap/>
            <w:vAlign w:val="center"/>
          </w:tcPr>
          <w:p w:rsidR="00AF6E98" w:rsidRPr="0018777D" w:rsidRDefault="00AF6E98" w:rsidP="00E762F1">
            <w:pPr>
              <w:jc w:val="center"/>
              <w:rPr>
                <w:rFonts w:asciiTheme="minorHAnsi" w:hAnsiTheme="minorHAnsi" w:cstheme="minorHAnsi"/>
                <w:bCs/>
                <w:sz w:val="18"/>
                <w:szCs w:val="18"/>
              </w:rPr>
            </w:pPr>
            <w:r w:rsidRPr="0018777D">
              <w:rPr>
                <w:rFonts w:asciiTheme="minorHAnsi" w:hAnsiTheme="minorHAnsi" w:cstheme="minorHAnsi"/>
                <w:bCs/>
                <w:sz w:val="18"/>
                <w:szCs w:val="18"/>
              </w:rPr>
              <w:t>HIDfixt-</w:t>
            </w:r>
            <w:r w:rsidR="00F62460">
              <w:rPr>
                <w:rFonts w:asciiTheme="minorHAnsi" w:hAnsiTheme="minorHAnsi" w:cstheme="minorHAnsi"/>
                <w:bCs/>
                <w:sz w:val="18"/>
                <w:szCs w:val="18"/>
              </w:rPr>
              <w:t>MH-100</w:t>
            </w:r>
            <w:r w:rsidR="000B2E76">
              <w:rPr>
                <w:rFonts w:asciiTheme="minorHAnsi" w:hAnsiTheme="minorHAnsi" w:cstheme="minorHAnsi"/>
                <w:bCs/>
                <w:sz w:val="18"/>
                <w:szCs w:val="18"/>
              </w:rPr>
              <w:t>W</w:t>
            </w:r>
          </w:p>
        </w:tc>
        <w:tc>
          <w:tcPr>
            <w:tcW w:w="992" w:type="dxa"/>
            <w:noWrap/>
            <w:vAlign w:val="center"/>
          </w:tcPr>
          <w:p w:rsidR="00AF6E98" w:rsidRPr="0018777D" w:rsidRDefault="000D6C98" w:rsidP="00E762F1">
            <w:pPr>
              <w:jc w:val="center"/>
              <w:rPr>
                <w:rFonts w:asciiTheme="minorHAnsi" w:hAnsiTheme="minorHAnsi" w:cstheme="minorHAnsi"/>
                <w:bCs/>
                <w:sz w:val="18"/>
                <w:szCs w:val="18"/>
              </w:rPr>
            </w:pPr>
            <w:r>
              <w:rPr>
                <w:rFonts w:asciiTheme="minorHAnsi" w:hAnsiTheme="minorHAnsi" w:cstheme="minorHAnsi"/>
                <w:bCs/>
                <w:sz w:val="18"/>
                <w:szCs w:val="18"/>
              </w:rPr>
              <w:t>128</w:t>
            </w:r>
          </w:p>
        </w:tc>
        <w:tc>
          <w:tcPr>
            <w:tcW w:w="1406" w:type="dxa"/>
            <w:vAlign w:val="center"/>
          </w:tcPr>
          <w:p w:rsidR="00AF6E98" w:rsidRPr="0018777D" w:rsidRDefault="000D6C98" w:rsidP="00E762F1">
            <w:pPr>
              <w:jc w:val="center"/>
              <w:rPr>
                <w:rFonts w:asciiTheme="minorHAnsi" w:hAnsiTheme="minorHAnsi" w:cstheme="minorHAnsi"/>
                <w:bCs/>
                <w:sz w:val="18"/>
                <w:szCs w:val="18"/>
              </w:rPr>
            </w:pPr>
            <w:r>
              <w:rPr>
                <w:rFonts w:asciiTheme="minorHAnsi" w:hAnsiTheme="minorHAnsi" w:cstheme="minorHAnsi"/>
                <w:bCs/>
                <w:sz w:val="18"/>
                <w:szCs w:val="18"/>
              </w:rPr>
              <w:t>Metal Halide, 100 Watts</w:t>
            </w:r>
          </w:p>
        </w:tc>
        <w:tc>
          <w:tcPr>
            <w:tcW w:w="1093" w:type="dxa"/>
            <w:vAlign w:val="center"/>
          </w:tcPr>
          <w:p w:rsidR="00AF6E98" w:rsidRPr="0018777D" w:rsidRDefault="00F62460" w:rsidP="00E762F1">
            <w:pPr>
              <w:jc w:val="center"/>
              <w:rPr>
                <w:rFonts w:asciiTheme="minorHAnsi" w:hAnsiTheme="minorHAnsi" w:cstheme="minorHAnsi"/>
                <w:bCs/>
                <w:sz w:val="18"/>
                <w:szCs w:val="18"/>
              </w:rPr>
            </w:pPr>
            <w:r>
              <w:rPr>
                <w:rFonts w:asciiTheme="minorHAnsi" w:hAnsiTheme="minorHAnsi" w:cstheme="minorHAnsi"/>
                <w:bCs/>
                <w:sz w:val="18"/>
                <w:szCs w:val="18"/>
              </w:rPr>
              <w:t>HIDfixt-MH-100W</w:t>
            </w:r>
          </w:p>
        </w:tc>
        <w:tc>
          <w:tcPr>
            <w:tcW w:w="997" w:type="dxa"/>
            <w:vAlign w:val="center"/>
          </w:tcPr>
          <w:p w:rsidR="00AF6E98" w:rsidRPr="0018777D" w:rsidRDefault="00F62460" w:rsidP="00E762F1">
            <w:pPr>
              <w:jc w:val="center"/>
              <w:rPr>
                <w:rFonts w:asciiTheme="minorHAnsi" w:hAnsiTheme="minorHAnsi" w:cstheme="minorHAnsi"/>
                <w:bCs/>
                <w:sz w:val="18"/>
                <w:szCs w:val="18"/>
              </w:rPr>
            </w:pPr>
            <w:r>
              <w:rPr>
                <w:rFonts w:asciiTheme="minorHAnsi" w:hAnsiTheme="minorHAnsi" w:cstheme="minorHAnsi"/>
                <w:bCs/>
                <w:sz w:val="18"/>
                <w:szCs w:val="18"/>
              </w:rPr>
              <w:t>128</w:t>
            </w:r>
          </w:p>
        </w:tc>
      </w:tr>
      <w:tr w:rsidR="00E97246" w:rsidRPr="00CB1973" w:rsidTr="00E97246">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510"/>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LT-12866</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Up to 128 Watt Interior Fixture T5 Linear Fluorescent  replacing 101 - 175 Watt lamp base case</w:t>
            </w:r>
          </w:p>
        </w:tc>
        <w:tc>
          <w:tcPr>
            <w:tcW w:w="1378" w:type="dxa"/>
            <w:vAlign w:val="center"/>
          </w:tcPr>
          <w:p w:rsidR="00AF6E98" w:rsidRPr="0018777D" w:rsidRDefault="00AF6E98" w:rsidP="00D36899">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Metal Halide, (1) 175W lamp</w:t>
            </w:r>
          </w:p>
        </w:tc>
        <w:tc>
          <w:tcPr>
            <w:tcW w:w="1001" w:type="dxa"/>
            <w:vAlign w:val="center"/>
          </w:tcPr>
          <w:p w:rsidR="00AF6E98" w:rsidRPr="0018777D" w:rsidRDefault="00E22E43"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MH-175W</w:t>
            </w:r>
          </w:p>
        </w:tc>
        <w:tc>
          <w:tcPr>
            <w:tcW w:w="992" w:type="dxa"/>
            <w:vAlign w:val="center"/>
          </w:tcPr>
          <w:p w:rsidR="00AF6E98" w:rsidRPr="0018777D" w:rsidRDefault="00F62460"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215</w:t>
            </w:r>
            <w:r w:rsidR="00AF6E98" w:rsidRPr="0018777D">
              <w:rPr>
                <w:rFonts w:asciiTheme="minorHAnsi" w:hAnsiTheme="minorHAnsi" w:cstheme="minorHAnsi"/>
                <w:color w:val="000000"/>
                <w:sz w:val="18"/>
                <w:szCs w:val="18"/>
              </w:rPr>
              <w:t>*</w:t>
            </w:r>
          </w:p>
        </w:tc>
        <w:tc>
          <w:tcPr>
            <w:tcW w:w="1406" w:type="dxa"/>
            <w:vAlign w:val="center"/>
          </w:tcPr>
          <w:p w:rsidR="00AF6E98" w:rsidRPr="0018777D" w:rsidRDefault="00E22E43" w:rsidP="00D36899">
            <w:pPr>
              <w:jc w:val="center"/>
              <w:rPr>
                <w:rFonts w:asciiTheme="minorHAnsi" w:hAnsiTheme="minorHAnsi" w:cstheme="minorHAnsi"/>
                <w:color w:val="000000"/>
                <w:sz w:val="18"/>
                <w:szCs w:val="18"/>
              </w:rPr>
            </w:pPr>
            <w:r>
              <w:rPr>
                <w:rFonts w:asciiTheme="minorHAnsi" w:hAnsiTheme="minorHAnsi" w:cstheme="minorHAnsi"/>
                <w:color w:val="000000"/>
                <w:sz w:val="18"/>
                <w:szCs w:val="18"/>
              </w:rPr>
              <w:t xml:space="preserve">Pulse Start </w:t>
            </w:r>
            <w:r w:rsidR="00AF6E98" w:rsidRPr="0018777D">
              <w:rPr>
                <w:rFonts w:asciiTheme="minorHAnsi" w:hAnsiTheme="minorHAnsi" w:cstheme="minorHAnsi"/>
                <w:color w:val="000000"/>
                <w:sz w:val="18"/>
                <w:szCs w:val="18"/>
              </w:rPr>
              <w:t>Metal Halide, (1) 175W lamp</w:t>
            </w:r>
          </w:p>
        </w:tc>
        <w:tc>
          <w:tcPr>
            <w:tcW w:w="1093"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HIDfixt-</w:t>
            </w:r>
            <w:r w:rsidR="00E22E43">
              <w:rPr>
                <w:rFonts w:asciiTheme="minorHAnsi" w:hAnsiTheme="minorHAnsi" w:cstheme="minorHAnsi"/>
                <w:color w:val="000000"/>
                <w:sz w:val="18"/>
                <w:szCs w:val="18"/>
              </w:rPr>
              <w:t>PSMH-175</w:t>
            </w:r>
          </w:p>
        </w:tc>
        <w:tc>
          <w:tcPr>
            <w:tcW w:w="997" w:type="dxa"/>
            <w:vAlign w:val="center"/>
          </w:tcPr>
          <w:p w:rsidR="00AF6E98" w:rsidRPr="0018777D" w:rsidRDefault="00F62460"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208</w:t>
            </w:r>
            <w:r w:rsidR="00AF6E98" w:rsidRPr="0018777D">
              <w:rPr>
                <w:rFonts w:asciiTheme="minorHAnsi" w:hAnsiTheme="minorHAnsi" w:cstheme="minorHAnsi"/>
                <w:color w:val="000000"/>
                <w:sz w:val="18"/>
                <w:szCs w:val="18"/>
              </w:rPr>
              <w:t>*</w:t>
            </w:r>
          </w:p>
        </w:tc>
      </w:tr>
      <w:tr w:rsidR="00E97246" w:rsidRPr="00CB1973" w:rsidTr="00E97246">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510"/>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LT-84912</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Up to 192 Watt Interior Fixture T5 Linear Fluorescent  replacing 176 - 399 Watt lamp base case</w:t>
            </w:r>
          </w:p>
        </w:tc>
        <w:tc>
          <w:tcPr>
            <w:tcW w:w="1378"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Metal Halide, (1) 250W lamp</w:t>
            </w:r>
          </w:p>
        </w:tc>
        <w:tc>
          <w:tcPr>
            <w:tcW w:w="1001" w:type="dxa"/>
            <w:vAlign w:val="center"/>
          </w:tcPr>
          <w:p w:rsidR="00AF6E98" w:rsidRPr="00CB1973" w:rsidRDefault="00AF6E98" w:rsidP="00C6371E">
            <w:pPr>
              <w:jc w:val="center"/>
              <w:rPr>
                <w:rFonts w:ascii="Calibri" w:hAnsi="Calibri" w:cs="Calibri"/>
                <w:color w:val="000000"/>
                <w:sz w:val="18"/>
                <w:szCs w:val="18"/>
              </w:rPr>
            </w:pPr>
            <w:r w:rsidRPr="00CB1973">
              <w:rPr>
                <w:rFonts w:ascii="Calibri" w:hAnsi="Calibri" w:cs="Calibri"/>
                <w:color w:val="000000"/>
                <w:sz w:val="18"/>
                <w:szCs w:val="18"/>
              </w:rPr>
              <w:t>MH250/1</w:t>
            </w:r>
          </w:p>
        </w:tc>
        <w:tc>
          <w:tcPr>
            <w:tcW w:w="992" w:type="dxa"/>
            <w:vAlign w:val="center"/>
          </w:tcPr>
          <w:p w:rsidR="00AF6E98" w:rsidRPr="00CB1973" w:rsidRDefault="00AF6E98" w:rsidP="00C6371E">
            <w:pPr>
              <w:jc w:val="center"/>
              <w:rPr>
                <w:rFonts w:ascii="Calibri" w:hAnsi="Calibri" w:cs="Calibri"/>
                <w:color w:val="000000"/>
                <w:sz w:val="18"/>
                <w:szCs w:val="18"/>
              </w:rPr>
            </w:pPr>
            <w:r w:rsidRPr="00CB1973">
              <w:rPr>
                <w:rFonts w:ascii="Calibri" w:hAnsi="Calibri" w:cs="Calibri"/>
                <w:color w:val="000000"/>
                <w:sz w:val="18"/>
                <w:szCs w:val="18"/>
              </w:rPr>
              <w:t>295</w:t>
            </w:r>
          </w:p>
        </w:tc>
        <w:tc>
          <w:tcPr>
            <w:tcW w:w="1406" w:type="dxa"/>
            <w:vAlign w:val="center"/>
          </w:tcPr>
          <w:p w:rsidR="00AF6E98" w:rsidRPr="0018777D" w:rsidRDefault="00AF6E98" w:rsidP="00E22E43">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Pulse Start Metal Halide, (1) 2</w:t>
            </w:r>
            <w:r w:rsidR="00E22E43">
              <w:rPr>
                <w:rFonts w:asciiTheme="minorHAnsi" w:hAnsiTheme="minorHAnsi" w:cstheme="minorHAnsi"/>
                <w:color w:val="000000"/>
                <w:sz w:val="18"/>
                <w:szCs w:val="18"/>
              </w:rPr>
              <w:t>00</w:t>
            </w:r>
            <w:r w:rsidR="00D024CF">
              <w:rPr>
                <w:rFonts w:asciiTheme="minorHAnsi" w:hAnsiTheme="minorHAnsi" w:cstheme="minorHAnsi"/>
                <w:color w:val="000000"/>
                <w:sz w:val="18"/>
                <w:szCs w:val="18"/>
              </w:rPr>
              <w:t>W lamp</w:t>
            </w:r>
          </w:p>
        </w:tc>
        <w:tc>
          <w:tcPr>
            <w:tcW w:w="1093" w:type="dxa"/>
            <w:vAlign w:val="center"/>
          </w:tcPr>
          <w:p w:rsidR="00AF6E98" w:rsidRPr="00CB1973" w:rsidRDefault="00E22E43" w:rsidP="00C6371E">
            <w:pPr>
              <w:jc w:val="center"/>
              <w:rPr>
                <w:rFonts w:ascii="Calibri" w:hAnsi="Calibri" w:cs="Calibri"/>
                <w:color w:val="000000"/>
                <w:sz w:val="18"/>
                <w:szCs w:val="18"/>
              </w:rPr>
            </w:pPr>
            <w:r w:rsidRPr="0018777D">
              <w:rPr>
                <w:rFonts w:asciiTheme="minorHAnsi" w:hAnsiTheme="minorHAnsi" w:cstheme="minorHAnsi"/>
                <w:color w:val="000000"/>
                <w:sz w:val="18"/>
                <w:szCs w:val="18"/>
              </w:rPr>
              <w:t>HIDfixt-</w:t>
            </w:r>
            <w:r>
              <w:rPr>
                <w:rFonts w:asciiTheme="minorHAnsi" w:hAnsiTheme="minorHAnsi" w:cstheme="minorHAnsi"/>
                <w:color w:val="000000"/>
                <w:sz w:val="18"/>
                <w:szCs w:val="18"/>
              </w:rPr>
              <w:t>PSMH-200w</w:t>
            </w:r>
          </w:p>
        </w:tc>
        <w:tc>
          <w:tcPr>
            <w:tcW w:w="997" w:type="dxa"/>
            <w:vAlign w:val="center"/>
          </w:tcPr>
          <w:p w:rsidR="00AF6E98" w:rsidRPr="00CB1973" w:rsidRDefault="00E22E43" w:rsidP="00C6371E">
            <w:pPr>
              <w:jc w:val="center"/>
              <w:rPr>
                <w:rFonts w:ascii="Calibri" w:hAnsi="Calibri" w:cs="Calibri"/>
                <w:color w:val="000000"/>
                <w:sz w:val="18"/>
                <w:szCs w:val="18"/>
              </w:rPr>
            </w:pPr>
            <w:r>
              <w:rPr>
                <w:rFonts w:ascii="Calibri" w:hAnsi="Calibri" w:cs="Calibri"/>
                <w:color w:val="000000"/>
                <w:sz w:val="18"/>
                <w:szCs w:val="18"/>
              </w:rPr>
              <w:t>232*</w:t>
            </w:r>
          </w:p>
        </w:tc>
      </w:tr>
      <w:tr w:rsidR="00E97246" w:rsidRPr="00CB1973" w:rsidTr="00E97246">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510"/>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LT-26100</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Up to 244 Watt (Tier 1) Interior Fixture T5 Linear Fluorescent  replacing 400 Watt lamp base case</w:t>
            </w:r>
          </w:p>
        </w:tc>
        <w:tc>
          <w:tcPr>
            <w:tcW w:w="1378"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Metal Halide, (1) 400W lamp</w:t>
            </w:r>
          </w:p>
        </w:tc>
        <w:tc>
          <w:tcPr>
            <w:tcW w:w="1001"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MH400/1</w:t>
            </w:r>
          </w:p>
        </w:tc>
        <w:tc>
          <w:tcPr>
            <w:tcW w:w="992"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458</w:t>
            </w:r>
          </w:p>
        </w:tc>
        <w:tc>
          <w:tcPr>
            <w:tcW w:w="1406" w:type="dxa"/>
            <w:vAlign w:val="center"/>
          </w:tcPr>
          <w:p w:rsidR="00AF6E98" w:rsidRPr="0018777D" w:rsidRDefault="00AF6E98" w:rsidP="00D024CF">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 xml:space="preserve">Pulse Start Metal Halide, </w:t>
            </w:r>
            <w:r w:rsidR="00D024CF">
              <w:rPr>
                <w:rFonts w:asciiTheme="minorHAnsi" w:hAnsiTheme="minorHAnsi" w:cstheme="minorHAnsi"/>
                <w:color w:val="000000"/>
                <w:sz w:val="18"/>
                <w:szCs w:val="18"/>
              </w:rPr>
              <w:t>350</w:t>
            </w:r>
            <w:r w:rsidR="000B2E76">
              <w:rPr>
                <w:rFonts w:asciiTheme="minorHAnsi" w:hAnsiTheme="minorHAnsi" w:cstheme="minorHAnsi"/>
                <w:color w:val="000000"/>
                <w:sz w:val="18"/>
                <w:szCs w:val="18"/>
              </w:rPr>
              <w:t xml:space="preserve"> Watts</w:t>
            </w:r>
          </w:p>
        </w:tc>
        <w:tc>
          <w:tcPr>
            <w:tcW w:w="1093" w:type="dxa"/>
            <w:vAlign w:val="center"/>
          </w:tcPr>
          <w:p w:rsidR="00AF6E98" w:rsidRPr="0018777D" w:rsidRDefault="00AF6E98" w:rsidP="00D024CF">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HIDfixt-PSMH-</w:t>
            </w:r>
            <w:r w:rsidR="00D024CF">
              <w:rPr>
                <w:rFonts w:asciiTheme="minorHAnsi" w:hAnsiTheme="minorHAnsi" w:cstheme="minorHAnsi"/>
                <w:color w:val="000000"/>
                <w:sz w:val="18"/>
                <w:szCs w:val="18"/>
              </w:rPr>
              <w:t>350</w:t>
            </w:r>
            <w:r w:rsidR="000B2E76">
              <w:rPr>
                <w:rFonts w:asciiTheme="minorHAnsi" w:hAnsiTheme="minorHAnsi" w:cstheme="minorHAnsi"/>
                <w:color w:val="000000"/>
                <w:sz w:val="18"/>
                <w:szCs w:val="18"/>
              </w:rPr>
              <w:t>w</w:t>
            </w:r>
          </w:p>
        </w:tc>
        <w:tc>
          <w:tcPr>
            <w:tcW w:w="997" w:type="dxa"/>
            <w:vAlign w:val="center"/>
          </w:tcPr>
          <w:p w:rsidR="00AF6E98" w:rsidRPr="0018777D" w:rsidRDefault="000B2E76" w:rsidP="00171C59">
            <w:pPr>
              <w:jc w:val="center"/>
              <w:rPr>
                <w:rFonts w:asciiTheme="minorHAnsi" w:hAnsiTheme="minorHAnsi" w:cstheme="minorHAnsi"/>
                <w:color w:val="000000"/>
                <w:sz w:val="18"/>
                <w:szCs w:val="18"/>
              </w:rPr>
            </w:pPr>
            <w:r>
              <w:rPr>
                <w:rFonts w:asciiTheme="minorHAnsi" w:hAnsiTheme="minorHAnsi" w:cstheme="minorHAnsi"/>
                <w:color w:val="000000"/>
                <w:sz w:val="18"/>
                <w:szCs w:val="18"/>
              </w:rPr>
              <w:t>400</w:t>
            </w:r>
          </w:p>
        </w:tc>
      </w:tr>
      <w:tr w:rsidR="00E97246" w:rsidRPr="00CB1973" w:rsidTr="00E97246">
        <w:trPr>
          <w:cnfStyle w:val="000000010000" w:firstRow="0" w:lastRow="0" w:firstColumn="0" w:lastColumn="0" w:oddVBand="0" w:evenVBand="0" w:oddHBand="0" w:evenHBand="1" w:firstRowFirstColumn="0" w:firstRowLastColumn="0" w:lastRowFirstColumn="0" w:lastRowLastColumn="0"/>
          <w:trHeight w:val="510"/>
          <w:jc w:val="center"/>
        </w:trPr>
        <w:tc>
          <w:tcPr>
            <w:tcW w:w="1057" w:type="dxa"/>
            <w:vAlign w:val="center"/>
          </w:tcPr>
          <w:p w:rsidR="00AF6E98" w:rsidRDefault="00AF6E98" w:rsidP="00E95FCC">
            <w:pPr>
              <w:jc w:val="center"/>
              <w:rPr>
                <w:rFonts w:ascii="Calibri" w:hAnsi="Calibri" w:cs="Calibri"/>
                <w:color w:val="000000"/>
                <w:sz w:val="20"/>
                <w:szCs w:val="20"/>
              </w:rPr>
            </w:pPr>
            <w:r w:rsidRPr="00C50C38">
              <w:rPr>
                <w:rFonts w:ascii="Calibri" w:hAnsi="Calibri" w:cs="Calibri"/>
                <w:color w:val="000000"/>
                <w:sz w:val="20"/>
                <w:szCs w:val="20"/>
              </w:rPr>
              <w:t>LT-55943</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245 to 360 Watt (Tier 2) Interior Fixture T5 Linear Fluorescent  replacing 400 Watt lamp base case</w:t>
            </w:r>
          </w:p>
        </w:tc>
        <w:tc>
          <w:tcPr>
            <w:tcW w:w="1378"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Metal Halide, (1) 400W lamp</w:t>
            </w:r>
          </w:p>
        </w:tc>
        <w:tc>
          <w:tcPr>
            <w:tcW w:w="1001"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MH400/1</w:t>
            </w:r>
          </w:p>
        </w:tc>
        <w:tc>
          <w:tcPr>
            <w:tcW w:w="992"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458</w:t>
            </w:r>
          </w:p>
        </w:tc>
        <w:tc>
          <w:tcPr>
            <w:tcW w:w="1406" w:type="dxa"/>
            <w:vAlign w:val="center"/>
          </w:tcPr>
          <w:p w:rsidR="00AF6E98" w:rsidRPr="0018777D" w:rsidRDefault="00D024CF"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Puls</w:t>
            </w:r>
            <w:r w:rsidR="000B2E76">
              <w:rPr>
                <w:rFonts w:asciiTheme="minorHAnsi" w:hAnsiTheme="minorHAnsi" w:cstheme="minorHAnsi"/>
                <w:color w:val="000000"/>
                <w:sz w:val="18"/>
                <w:szCs w:val="18"/>
              </w:rPr>
              <w:t>e Start Metal Halide, 400 Watts</w:t>
            </w:r>
          </w:p>
        </w:tc>
        <w:tc>
          <w:tcPr>
            <w:tcW w:w="1093" w:type="dxa"/>
            <w:vAlign w:val="center"/>
          </w:tcPr>
          <w:p w:rsidR="00AF6E98" w:rsidRPr="0018777D" w:rsidRDefault="00D024CF"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HIDfixt-PSMH-</w:t>
            </w:r>
            <w:r>
              <w:rPr>
                <w:rFonts w:asciiTheme="minorHAnsi" w:hAnsiTheme="minorHAnsi" w:cstheme="minorHAnsi"/>
                <w:color w:val="000000"/>
                <w:sz w:val="18"/>
                <w:szCs w:val="18"/>
              </w:rPr>
              <w:t>400</w:t>
            </w:r>
            <w:r w:rsidR="000B2E76">
              <w:rPr>
                <w:rFonts w:asciiTheme="minorHAnsi" w:hAnsiTheme="minorHAnsi" w:cstheme="minorHAnsi"/>
                <w:color w:val="000000"/>
                <w:sz w:val="18"/>
                <w:szCs w:val="18"/>
              </w:rPr>
              <w:t>w</w:t>
            </w:r>
          </w:p>
        </w:tc>
        <w:tc>
          <w:tcPr>
            <w:tcW w:w="997" w:type="dxa"/>
            <w:vAlign w:val="center"/>
          </w:tcPr>
          <w:p w:rsidR="00AF6E98" w:rsidRPr="0018777D" w:rsidRDefault="00AF6E98" w:rsidP="00D024CF">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45</w:t>
            </w:r>
            <w:r w:rsidR="00D024CF">
              <w:rPr>
                <w:rFonts w:asciiTheme="minorHAnsi" w:hAnsiTheme="minorHAnsi" w:cstheme="minorHAnsi"/>
                <w:color w:val="000000"/>
                <w:sz w:val="18"/>
                <w:szCs w:val="18"/>
              </w:rPr>
              <w:t>6</w:t>
            </w:r>
          </w:p>
        </w:tc>
      </w:tr>
      <w:tr w:rsidR="00E97246" w:rsidRPr="00CB1973" w:rsidTr="00E97246">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510"/>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LT-92448</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Up to 600 Watt Interior Fixture T5 Linear Fluorescent  replacing greater than 400 Watt lamp base case</w:t>
            </w:r>
          </w:p>
        </w:tc>
        <w:tc>
          <w:tcPr>
            <w:tcW w:w="1378" w:type="dxa"/>
            <w:vAlign w:val="center"/>
          </w:tcPr>
          <w:p w:rsidR="00AF6E98" w:rsidRPr="0018777D" w:rsidRDefault="00AF6E98" w:rsidP="00EB79E3">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 xml:space="preserve">Metal Halide, (1) </w:t>
            </w:r>
            <w:r w:rsidR="00EB79E3">
              <w:rPr>
                <w:rFonts w:asciiTheme="minorHAnsi" w:hAnsiTheme="minorHAnsi" w:cstheme="minorHAnsi"/>
                <w:color w:val="000000"/>
                <w:sz w:val="18"/>
                <w:szCs w:val="18"/>
              </w:rPr>
              <w:t>750W lamp</w:t>
            </w:r>
          </w:p>
        </w:tc>
        <w:tc>
          <w:tcPr>
            <w:tcW w:w="1001" w:type="dxa"/>
            <w:vAlign w:val="center"/>
          </w:tcPr>
          <w:p w:rsidR="00AF6E98" w:rsidRPr="0018777D" w:rsidRDefault="00EB79E3" w:rsidP="00927353">
            <w:pPr>
              <w:jc w:val="center"/>
              <w:rPr>
                <w:rFonts w:asciiTheme="minorHAnsi" w:hAnsiTheme="minorHAnsi" w:cstheme="minorHAnsi"/>
                <w:color w:val="000000"/>
                <w:sz w:val="18"/>
                <w:szCs w:val="18"/>
              </w:rPr>
            </w:pPr>
            <w:r>
              <w:rPr>
                <w:rFonts w:asciiTheme="minorHAnsi" w:hAnsiTheme="minorHAnsi" w:cstheme="minorHAnsi"/>
                <w:color w:val="000000"/>
                <w:sz w:val="18"/>
                <w:szCs w:val="18"/>
              </w:rPr>
              <w:t>MH750/1</w:t>
            </w:r>
          </w:p>
        </w:tc>
        <w:tc>
          <w:tcPr>
            <w:tcW w:w="992" w:type="dxa"/>
            <w:vAlign w:val="center"/>
          </w:tcPr>
          <w:p w:rsidR="00AF6E98" w:rsidRPr="0018777D" w:rsidRDefault="00EB79E3"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850</w:t>
            </w:r>
            <w:r w:rsidR="00AF6E98" w:rsidRPr="0018777D">
              <w:rPr>
                <w:rFonts w:asciiTheme="minorHAnsi" w:hAnsiTheme="minorHAnsi" w:cstheme="minorHAnsi"/>
                <w:color w:val="000000"/>
                <w:sz w:val="18"/>
                <w:szCs w:val="18"/>
              </w:rPr>
              <w:t>*</w:t>
            </w:r>
          </w:p>
        </w:tc>
        <w:tc>
          <w:tcPr>
            <w:tcW w:w="1406" w:type="dxa"/>
            <w:vAlign w:val="center"/>
          </w:tcPr>
          <w:p w:rsidR="00AF6E98" w:rsidRPr="0018777D" w:rsidRDefault="00EB534C"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Pulse Start Metal Halide, 750 Watts</w:t>
            </w:r>
          </w:p>
        </w:tc>
        <w:tc>
          <w:tcPr>
            <w:tcW w:w="1093" w:type="dxa"/>
            <w:vAlign w:val="center"/>
          </w:tcPr>
          <w:p w:rsidR="00AF6E98" w:rsidRPr="0018777D" w:rsidRDefault="00D024CF" w:rsidP="00D024CF">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HIDfixt-PSMH-</w:t>
            </w:r>
            <w:r>
              <w:rPr>
                <w:rFonts w:asciiTheme="minorHAnsi" w:hAnsiTheme="minorHAnsi" w:cstheme="minorHAnsi"/>
                <w:color w:val="000000"/>
                <w:sz w:val="18"/>
                <w:szCs w:val="18"/>
              </w:rPr>
              <w:t>750</w:t>
            </w:r>
            <w:r w:rsidR="000B2E76">
              <w:rPr>
                <w:rFonts w:asciiTheme="minorHAnsi" w:hAnsiTheme="minorHAnsi" w:cstheme="minorHAnsi"/>
                <w:color w:val="000000"/>
                <w:sz w:val="18"/>
                <w:szCs w:val="18"/>
              </w:rPr>
              <w:t>w</w:t>
            </w:r>
          </w:p>
        </w:tc>
        <w:tc>
          <w:tcPr>
            <w:tcW w:w="997" w:type="dxa"/>
            <w:vAlign w:val="center"/>
          </w:tcPr>
          <w:p w:rsidR="00AF6E98" w:rsidRPr="0018777D" w:rsidRDefault="00D024CF"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818</w:t>
            </w:r>
          </w:p>
        </w:tc>
      </w:tr>
      <w:tr w:rsidR="00E97246" w:rsidRPr="00CB1973" w:rsidTr="00E97246">
        <w:trPr>
          <w:cnfStyle w:val="000000010000" w:firstRow="0" w:lastRow="0" w:firstColumn="0" w:lastColumn="0" w:oddVBand="0" w:evenVBand="0" w:oddHBand="0" w:evenHBand="1" w:firstRowFirstColumn="0" w:firstRowLastColumn="0" w:lastRowFirstColumn="0" w:lastRowLastColumn="0"/>
          <w:trHeight w:val="510"/>
          <w:jc w:val="center"/>
        </w:trPr>
        <w:tc>
          <w:tcPr>
            <w:tcW w:w="1057" w:type="dxa"/>
            <w:vAlign w:val="center"/>
          </w:tcPr>
          <w:p w:rsidR="00AF6E98" w:rsidRPr="006D5A28" w:rsidRDefault="00AF6E98" w:rsidP="00E95FCC">
            <w:pPr>
              <w:jc w:val="center"/>
              <w:rPr>
                <w:rFonts w:asciiTheme="minorHAnsi" w:hAnsiTheme="minorHAnsi" w:cstheme="minorHAnsi"/>
                <w:sz w:val="20"/>
                <w:szCs w:val="20"/>
              </w:rPr>
            </w:pPr>
            <w:r>
              <w:rPr>
                <w:rFonts w:ascii="Calibri" w:hAnsi="Calibri" w:cs="Calibri"/>
                <w:color w:val="000000"/>
                <w:sz w:val="20"/>
                <w:szCs w:val="20"/>
              </w:rPr>
              <w:t>LT-38287</w:t>
            </w:r>
          </w:p>
        </w:tc>
        <w:tc>
          <w:tcPr>
            <w:tcW w:w="2852" w:type="dxa"/>
            <w:noWrap/>
            <w:vAlign w:val="center"/>
          </w:tcPr>
          <w:p w:rsidR="00AF6E98" w:rsidRPr="0018777D" w:rsidRDefault="00AF6E98" w:rsidP="00E762F1">
            <w:pPr>
              <w:rPr>
                <w:rFonts w:asciiTheme="minorHAnsi" w:hAnsiTheme="minorHAnsi" w:cstheme="minorHAnsi"/>
                <w:sz w:val="18"/>
                <w:szCs w:val="18"/>
              </w:rPr>
            </w:pPr>
            <w:r w:rsidRPr="0018777D">
              <w:rPr>
                <w:rFonts w:asciiTheme="minorHAnsi" w:hAnsiTheme="minorHAnsi" w:cstheme="minorHAnsi"/>
                <w:sz w:val="18"/>
                <w:szCs w:val="18"/>
              </w:rPr>
              <w:t>Up to 244 Watt Interior Fixture T5 Linear Fluorescent  replacing 350 Watt lamp base case</w:t>
            </w:r>
          </w:p>
        </w:tc>
        <w:tc>
          <w:tcPr>
            <w:tcW w:w="1378"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Metal Halide, (1) 350W lamp, extrapolated</w:t>
            </w:r>
          </w:p>
        </w:tc>
        <w:tc>
          <w:tcPr>
            <w:tcW w:w="1001"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N/A</w:t>
            </w:r>
          </w:p>
        </w:tc>
        <w:tc>
          <w:tcPr>
            <w:tcW w:w="992" w:type="dxa"/>
            <w:vAlign w:val="center"/>
          </w:tcPr>
          <w:p w:rsidR="00AF6E98" w:rsidRPr="0018777D" w:rsidRDefault="00AF6E98" w:rsidP="00927353">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40</w:t>
            </w:r>
            <w:r w:rsidR="00927353">
              <w:rPr>
                <w:rFonts w:asciiTheme="minorHAnsi" w:hAnsiTheme="minorHAnsi" w:cstheme="minorHAnsi"/>
                <w:color w:val="000000"/>
                <w:sz w:val="18"/>
                <w:szCs w:val="18"/>
              </w:rPr>
              <w:t>0</w:t>
            </w:r>
            <w:r w:rsidR="000B2E76">
              <w:rPr>
                <w:rFonts w:asciiTheme="minorHAnsi" w:hAnsiTheme="minorHAnsi" w:cstheme="minorHAnsi"/>
                <w:color w:val="000000"/>
                <w:sz w:val="18"/>
                <w:szCs w:val="18"/>
              </w:rPr>
              <w:t>*</w:t>
            </w:r>
          </w:p>
        </w:tc>
        <w:tc>
          <w:tcPr>
            <w:tcW w:w="1406" w:type="dxa"/>
            <w:vAlign w:val="center"/>
          </w:tcPr>
          <w:p w:rsidR="00AF6E98" w:rsidRPr="0018777D" w:rsidRDefault="00AF6E98" w:rsidP="00E762F1">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P</w:t>
            </w:r>
            <w:r w:rsidR="00927353">
              <w:rPr>
                <w:rFonts w:asciiTheme="minorHAnsi" w:hAnsiTheme="minorHAnsi" w:cstheme="minorHAnsi"/>
                <w:color w:val="000000"/>
                <w:sz w:val="18"/>
                <w:szCs w:val="18"/>
              </w:rPr>
              <w:t>ulse Start Metal Halide, (1) 320</w:t>
            </w:r>
            <w:r w:rsidRPr="0018777D">
              <w:rPr>
                <w:rFonts w:asciiTheme="minorHAnsi" w:hAnsiTheme="minorHAnsi" w:cstheme="minorHAnsi"/>
                <w:color w:val="000000"/>
                <w:sz w:val="18"/>
                <w:szCs w:val="18"/>
              </w:rPr>
              <w:t>W Lamp, Pulse Start CWA Ballast</w:t>
            </w:r>
          </w:p>
        </w:tc>
        <w:tc>
          <w:tcPr>
            <w:tcW w:w="1093" w:type="dxa"/>
            <w:vAlign w:val="center"/>
          </w:tcPr>
          <w:p w:rsidR="00AF6E98" w:rsidRPr="0018777D" w:rsidRDefault="000B2E76"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PSMH-320w</w:t>
            </w:r>
          </w:p>
        </w:tc>
        <w:tc>
          <w:tcPr>
            <w:tcW w:w="997" w:type="dxa"/>
            <w:vAlign w:val="center"/>
          </w:tcPr>
          <w:p w:rsidR="00AF6E98" w:rsidRPr="0018777D" w:rsidRDefault="00927353" w:rsidP="00E762F1">
            <w:pPr>
              <w:jc w:val="center"/>
              <w:rPr>
                <w:rFonts w:asciiTheme="minorHAnsi" w:hAnsiTheme="minorHAnsi" w:cstheme="minorHAnsi"/>
                <w:color w:val="000000"/>
                <w:sz w:val="18"/>
                <w:szCs w:val="18"/>
              </w:rPr>
            </w:pPr>
            <w:r>
              <w:rPr>
                <w:rFonts w:asciiTheme="minorHAnsi" w:hAnsiTheme="minorHAnsi" w:cstheme="minorHAnsi"/>
                <w:color w:val="000000"/>
                <w:sz w:val="18"/>
                <w:szCs w:val="18"/>
              </w:rPr>
              <w:t>365*</w:t>
            </w:r>
          </w:p>
        </w:tc>
      </w:tr>
      <w:tr w:rsidR="00E97246" w:rsidRPr="00CB1973" w:rsidTr="00E97246">
        <w:trPr>
          <w:cnfStyle w:val="000000100000" w:firstRow="0" w:lastRow="0" w:firstColumn="0" w:lastColumn="0" w:oddVBand="0" w:evenVBand="0" w:oddHBand="1" w:evenHBand="0" w:firstRowFirstColumn="0" w:firstRowLastColumn="0" w:lastRowFirstColumn="0" w:lastRowLastColumn="0"/>
          <w:trHeight w:val="1062"/>
          <w:jc w:val="center"/>
        </w:trPr>
        <w:tc>
          <w:tcPr>
            <w:tcW w:w="1057" w:type="dxa"/>
            <w:vAlign w:val="center"/>
          </w:tcPr>
          <w:p w:rsidR="00AF6E98" w:rsidRDefault="00AF6E98" w:rsidP="00E95FCC">
            <w:pPr>
              <w:jc w:val="center"/>
              <w:rPr>
                <w:rFonts w:ascii="Calibri" w:hAnsi="Calibri" w:cs="Calibri"/>
                <w:color w:val="000000"/>
                <w:sz w:val="20"/>
                <w:szCs w:val="20"/>
              </w:rPr>
            </w:pPr>
            <w:r>
              <w:rPr>
                <w:rFonts w:ascii="Calibri" w:hAnsi="Calibri" w:cs="Calibri"/>
                <w:color w:val="000000"/>
                <w:sz w:val="20"/>
                <w:szCs w:val="20"/>
              </w:rPr>
              <w:t>LT-10232</w:t>
            </w:r>
          </w:p>
        </w:tc>
        <w:tc>
          <w:tcPr>
            <w:tcW w:w="2852" w:type="dxa"/>
            <w:noWrap/>
            <w:vAlign w:val="center"/>
          </w:tcPr>
          <w:p w:rsidR="00AF6E98" w:rsidRPr="0018777D" w:rsidRDefault="00AF6E98" w:rsidP="00A372DB">
            <w:pPr>
              <w:rPr>
                <w:rFonts w:asciiTheme="minorHAnsi" w:hAnsiTheme="minorHAnsi" w:cstheme="minorHAnsi"/>
                <w:sz w:val="18"/>
                <w:szCs w:val="18"/>
              </w:rPr>
            </w:pPr>
            <w:r w:rsidRPr="0018777D">
              <w:rPr>
                <w:rFonts w:asciiTheme="minorHAnsi" w:hAnsiTheme="minorHAnsi" w:cstheme="minorHAnsi"/>
                <w:sz w:val="18"/>
                <w:szCs w:val="18"/>
              </w:rPr>
              <w:t>(4) 46in (2) Programmed Start Ballast - Normal Light Output - HO T5 Linear Fluorescent replacing 400 Watt Mercury Vapor</w:t>
            </w:r>
          </w:p>
        </w:tc>
        <w:tc>
          <w:tcPr>
            <w:tcW w:w="1378"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Mercury Vapor, (1) 400W lamp</w:t>
            </w:r>
          </w:p>
        </w:tc>
        <w:tc>
          <w:tcPr>
            <w:tcW w:w="1001"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MV400/1</w:t>
            </w:r>
          </w:p>
        </w:tc>
        <w:tc>
          <w:tcPr>
            <w:tcW w:w="992"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455</w:t>
            </w:r>
          </w:p>
        </w:tc>
        <w:tc>
          <w:tcPr>
            <w:tcW w:w="1406" w:type="dxa"/>
            <w:vAlign w:val="center"/>
          </w:tcPr>
          <w:p w:rsidR="00AF6E98" w:rsidRPr="0018777D" w:rsidRDefault="00AF6E98" w:rsidP="00454E76">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 xml:space="preserve">Pulse Start Metal Halide, </w:t>
            </w:r>
            <w:r w:rsidR="00454E76">
              <w:rPr>
                <w:rFonts w:asciiTheme="minorHAnsi" w:hAnsiTheme="minorHAnsi" w:cstheme="minorHAnsi"/>
                <w:color w:val="000000"/>
                <w:sz w:val="18"/>
                <w:szCs w:val="18"/>
              </w:rPr>
              <w:t>250</w:t>
            </w:r>
            <w:r w:rsidR="000B2E76">
              <w:rPr>
                <w:rFonts w:asciiTheme="minorHAnsi" w:hAnsiTheme="minorHAnsi" w:cstheme="minorHAnsi"/>
                <w:color w:val="000000"/>
                <w:sz w:val="18"/>
                <w:szCs w:val="18"/>
              </w:rPr>
              <w:t xml:space="preserve"> Watts</w:t>
            </w:r>
          </w:p>
        </w:tc>
        <w:tc>
          <w:tcPr>
            <w:tcW w:w="1093" w:type="dxa"/>
            <w:vAlign w:val="center"/>
          </w:tcPr>
          <w:p w:rsidR="00AF6E98" w:rsidRPr="0018777D" w:rsidRDefault="00AF6E98" w:rsidP="00454E76">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HIDfixt-PSMH-</w:t>
            </w:r>
            <w:r w:rsidR="00454E76">
              <w:rPr>
                <w:rFonts w:asciiTheme="minorHAnsi" w:hAnsiTheme="minorHAnsi" w:cstheme="minorHAnsi"/>
                <w:color w:val="000000"/>
                <w:sz w:val="18"/>
                <w:szCs w:val="18"/>
              </w:rPr>
              <w:t>250</w:t>
            </w:r>
            <w:r w:rsidR="000B2E76">
              <w:rPr>
                <w:rFonts w:asciiTheme="minorHAnsi" w:hAnsiTheme="minorHAnsi" w:cstheme="minorHAnsi"/>
                <w:color w:val="000000"/>
                <w:sz w:val="18"/>
                <w:szCs w:val="18"/>
              </w:rPr>
              <w:t>w</w:t>
            </w:r>
          </w:p>
        </w:tc>
        <w:tc>
          <w:tcPr>
            <w:tcW w:w="997" w:type="dxa"/>
            <w:vAlign w:val="center"/>
          </w:tcPr>
          <w:p w:rsidR="00AF6E98" w:rsidRPr="0018777D" w:rsidRDefault="00454E76" w:rsidP="00A372DB">
            <w:pPr>
              <w:jc w:val="center"/>
              <w:rPr>
                <w:rFonts w:asciiTheme="minorHAnsi" w:hAnsiTheme="minorHAnsi" w:cstheme="minorHAnsi"/>
                <w:bCs/>
                <w:sz w:val="18"/>
                <w:szCs w:val="18"/>
              </w:rPr>
            </w:pPr>
            <w:r>
              <w:rPr>
                <w:rFonts w:asciiTheme="minorHAnsi" w:hAnsiTheme="minorHAnsi" w:cstheme="minorHAnsi"/>
                <w:bCs/>
                <w:sz w:val="18"/>
                <w:szCs w:val="18"/>
              </w:rPr>
              <w:t>288</w:t>
            </w:r>
            <w:r w:rsidR="00AF6E98">
              <w:rPr>
                <w:rFonts w:asciiTheme="minorHAnsi" w:hAnsiTheme="minorHAnsi" w:cstheme="minorHAnsi"/>
                <w:bCs/>
                <w:sz w:val="18"/>
                <w:szCs w:val="18"/>
              </w:rPr>
              <w:t>*</w:t>
            </w:r>
          </w:p>
        </w:tc>
      </w:tr>
      <w:tr w:rsidR="00E97246" w:rsidRPr="00CB1973" w:rsidTr="00E97246">
        <w:trPr>
          <w:cnfStyle w:val="000000010000" w:firstRow="0" w:lastRow="0" w:firstColumn="0" w:lastColumn="0" w:oddVBand="0" w:evenVBand="0" w:oddHBand="0" w:evenHBand="1" w:firstRowFirstColumn="0" w:firstRowLastColumn="0" w:lastRowFirstColumn="0" w:lastRowLastColumn="0"/>
          <w:trHeight w:val="510"/>
          <w:jc w:val="center"/>
        </w:trPr>
        <w:tc>
          <w:tcPr>
            <w:tcW w:w="1057" w:type="dxa"/>
            <w:vAlign w:val="center"/>
          </w:tcPr>
          <w:p w:rsidR="00AF6E98" w:rsidRDefault="00AF6E98" w:rsidP="00E95FCC">
            <w:pPr>
              <w:jc w:val="center"/>
              <w:rPr>
                <w:rFonts w:ascii="Calibri" w:hAnsi="Calibri" w:cs="Calibri"/>
                <w:color w:val="000000"/>
                <w:sz w:val="20"/>
                <w:szCs w:val="20"/>
              </w:rPr>
            </w:pPr>
            <w:r>
              <w:rPr>
                <w:rFonts w:ascii="Calibri" w:hAnsi="Calibri" w:cs="Calibri"/>
                <w:color w:val="000000"/>
                <w:sz w:val="20"/>
                <w:szCs w:val="20"/>
              </w:rPr>
              <w:t>LT-28754</w:t>
            </w:r>
          </w:p>
        </w:tc>
        <w:tc>
          <w:tcPr>
            <w:tcW w:w="2852" w:type="dxa"/>
            <w:noWrap/>
            <w:vAlign w:val="center"/>
          </w:tcPr>
          <w:p w:rsidR="00AF6E98" w:rsidRPr="0018777D" w:rsidRDefault="00AF6E98" w:rsidP="00A372DB">
            <w:pPr>
              <w:rPr>
                <w:rFonts w:asciiTheme="minorHAnsi" w:hAnsiTheme="minorHAnsi" w:cstheme="minorHAnsi"/>
                <w:sz w:val="18"/>
                <w:szCs w:val="18"/>
              </w:rPr>
            </w:pPr>
            <w:r w:rsidRPr="0018777D">
              <w:rPr>
                <w:rFonts w:asciiTheme="minorHAnsi" w:hAnsiTheme="minorHAnsi" w:cstheme="minorHAnsi"/>
                <w:sz w:val="18"/>
                <w:szCs w:val="18"/>
              </w:rPr>
              <w:t xml:space="preserve">(6) 46in (3) Programmed Start Ballast - Normal Light Output - HO </w:t>
            </w:r>
            <w:r w:rsidRPr="0018777D">
              <w:rPr>
                <w:rFonts w:asciiTheme="minorHAnsi" w:hAnsiTheme="minorHAnsi" w:cstheme="minorHAnsi"/>
                <w:sz w:val="18"/>
                <w:szCs w:val="18"/>
              </w:rPr>
              <w:lastRenderedPageBreak/>
              <w:t>T5 Linear Fluorescent replacing 400 Watt Pulse Start HID</w:t>
            </w:r>
          </w:p>
        </w:tc>
        <w:tc>
          <w:tcPr>
            <w:tcW w:w="1378"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lastRenderedPageBreak/>
              <w:t xml:space="preserve">Pulse Start Metal Halide, </w:t>
            </w:r>
            <w:r w:rsidRPr="0018777D">
              <w:rPr>
                <w:rFonts w:asciiTheme="minorHAnsi" w:hAnsiTheme="minorHAnsi" w:cstheme="minorHAnsi"/>
                <w:color w:val="000000"/>
                <w:sz w:val="18"/>
                <w:szCs w:val="18"/>
              </w:rPr>
              <w:lastRenderedPageBreak/>
              <w:t>(1) 400W lamp, Pulse Start CWA Ballast</w:t>
            </w:r>
          </w:p>
        </w:tc>
        <w:tc>
          <w:tcPr>
            <w:tcW w:w="1001"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lastRenderedPageBreak/>
              <w:t>MH400PS/1</w:t>
            </w:r>
          </w:p>
        </w:tc>
        <w:tc>
          <w:tcPr>
            <w:tcW w:w="992"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456</w:t>
            </w:r>
          </w:p>
        </w:tc>
        <w:tc>
          <w:tcPr>
            <w:tcW w:w="1406" w:type="dxa"/>
            <w:vAlign w:val="center"/>
          </w:tcPr>
          <w:p w:rsidR="00AF6E98" w:rsidRPr="0018777D" w:rsidRDefault="00454E76" w:rsidP="00454E76">
            <w:pPr>
              <w:jc w:val="center"/>
              <w:rPr>
                <w:rFonts w:asciiTheme="minorHAnsi" w:hAnsiTheme="minorHAnsi" w:cstheme="minorHAnsi"/>
                <w:bCs/>
                <w:sz w:val="18"/>
                <w:szCs w:val="18"/>
              </w:rPr>
            </w:pPr>
            <w:r w:rsidRPr="0018777D">
              <w:rPr>
                <w:rFonts w:asciiTheme="minorHAnsi" w:hAnsiTheme="minorHAnsi" w:cstheme="minorHAnsi"/>
                <w:color w:val="000000"/>
                <w:sz w:val="18"/>
                <w:szCs w:val="18"/>
              </w:rPr>
              <w:t xml:space="preserve">Pulse Start Metal Halide, </w:t>
            </w:r>
            <w:r>
              <w:rPr>
                <w:rFonts w:asciiTheme="minorHAnsi" w:hAnsiTheme="minorHAnsi" w:cstheme="minorHAnsi"/>
                <w:color w:val="000000"/>
                <w:sz w:val="18"/>
                <w:szCs w:val="18"/>
              </w:rPr>
              <w:lastRenderedPageBreak/>
              <w:t>400</w:t>
            </w:r>
            <w:r w:rsidR="000B2E76">
              <w:rPr>
                <w:rFonts w:asciiTheme="minorHAnsi" w:hAnsiTheme="minorHAnsi" w:cstheme="minorHAnsi"/>
                <w:color w:val="000000"/>
                <w:sz w:val="18"/>
                <w:szCs w:val="18"/>
              </w:rPr>
              <w:t xml:space="preserve"> Watts</w:t>
            </w:r>
          </w:p>
        </w:tc>
        <w:tc>
          <w:tcPr>
            <w:tcW w:w="1093" w:type="dxa"/>
            <w:vAlign w:val="center"/>
          </w:tcPr>
          <w:p w:rsidR="00AF6E98" w:rsidRPr="0018777D" w:rsidRDefault="00454E76" w:rsidP="00A372DB">
            <w:pPr>
              <w:jc w:val="center"/>
              <w:rPr>
                <w:rFonts w:asciiTheme="minorHAnsi" w:hAnsiTheme="minorHAnsi" w:cstheme="minorHAnsi"/>
                <w:bCs/>
                <w:sz w:val="18"/>
                <w:szCs w:val="18"/>
              </w:rPr>
            </w:pPr>
            <w:r w:rsidRPr="0018777D">
              <w:rPr>
                <w:rFonts w:asciiTheme="minorHAnsi" w:hAnsiTheme="minorHAnsi" w:cstheme="minorHAnsi"/>
                <w:color w:val="000000"/>
                <w:sz w:val="18"/>
                <w:szCs w:val="18"/>
              </w:rPr>
              <w:lastRenderedPageBreak/>
              <w:t>HIDfixt-PSMH-</w:t>
            </w:r>
            <w:r>
              <w:rPr>
                <w:rFonts w:asciiTheme="minorHAnsi" w:hAnsiTheme="minorHAnsi" w:cstheme="minorHAnsi"/>
                <w:color w:val="000000"/>
                <w:sz w:val="18"/>
                <w:szCs w:val="18"/>
              </w:rPr>
              <w:lastRenderedPageBreak/>
              <w:t>400</w:t>
            </w:r>
            <w:r w:rsidR="000B2E76">
              <w:rPr>
                <w:rFonts w:asciiTheme="minorHAnsi" w:hAnsiTheme="minorHAnsi" w:cstheme="minorHAnsi"/>
                <w:color w:val="000000"/>
                <w:sz w:val="18"/>
                <w:szCs w:val="18"/>
              </w:rPr>
              <w:t>w</w:t>
            </w:r>
          </w:p>
        </w:tc>
        <w:tc>
          <w:tcPr>
            <w:tcW w:w="997" w:type="dxa"/>
            <w:vAlign w:val="center"/>
          </w:tcPr>
          <w:p w:rsidR="00AF6E98" w:rsidRPr="0018777D" w:rsidRDefault="000B2E76" w:rsidP="00A372DB">
            <w:pPr>
              <w:jc w:val="center"/>
              <w:rPr>
                <w:rFonts w:asciiTheme="minorHAnsi" w:hAnsiTheme="minorHAnsi" w:cstheme="minorHAnsi"/>
                <w:bCs/>
                <w:sz w:val="18"/>
                <w:szCs w:val="18"/>
              </w:rPr>
            </w:pPr>
            <w:r>
              <w:rPr>
                <w:rFonts w:asciiTheme="minorHAnsi" w:hAnsiTheme="minorHAnsi" w:cstheme="minorHAnsi"/>
                <w:bCs/>
                <w:sz w:val="18"/>
                <w:szCs w:val="18"/>
              </w:rPr>
              <w:lastRenderedPageBreak/>
              <w:t>456</w:t>
            </w:r>
          </w:p>
        </w:tc>
      </w:tr>
      <w:tr w:rsidR="00E97246" w:rsidRPr="00CB1973" w:rsidTr="00E97246">
        <w:trPr>
          <w:cnfStyle w:val="000000100000" w:firstRow="0" w:lastRow="0" w:firstColumn="0" w:lastColumn="0" w:oddVBand="0" w:evenVBand="0" w:oddHBand="1" w:evenHBand="0" w:firstRowFirstColumn="0" w:firstRowLastColumn="0" w:lastRowFirstColumn="0" w:lastRowLastColumn="0"/>
          <w:trHeight w:val="510"/>
          <w:jc w:val="center"/>
        </w:trPr>
        <w:tc>
          <w:tcPr>
            <w:tcW w:w="1057" w:type="dxa"/>
            <w:vAlign w:val="center"/>
          </w:tcPr>
          <w:p w:rsidR="00AF6E98" w:rsidRPr="0018777D" w:rsidRDefault="00AF6E98" w:rsidP="00AF6E98">
            <w:pPr>
              <w:jc w:val="center"/>
              <w:rPr>
                <w:rFonts w:asciiTheme="minorHAnsi" w:hAnsiTheme="minorHAnsi" w:cstheme="minorHAnsi"/>
                <w:sz w:val="18"/>
                <w:szCs w:val="18"/>
              </w:rPr>
            </w:pPr>
            <w:r>
              <w:rPr>
                <w:rFonts w:ascii="Calibri" w:hAnsi="Calibri" w:cs="Calibri"/>
                <w:color w:val="000000"/>
                <w:sz w:val="20"/>
                <w:szCs w:val="20"/>
              </w:rPr>
              <w:lastRenderedPageBreak/>
              <w:t>LT-39676</w:t>
            </w:r>
          </w:p>
        </w:tc>
        <w:tc>
          <w:tcPr>
            <w:tcW w:w="2852" w:type="dxa"/>
            <w:noWrap/>
            <w:vAlign w:val="center"/>
          </w:tcPr>
          <w:p w:rsidR="00AF6E98" w:rsidRPr="0018777D" w:rsidRDefault="00AF6E98" w:rsidP="00A372DB">
            <w:pPr>
              <w:rPr>
                <w:rFonts w:asciiTheme="minorHAnsi" w:hAnsiTheme="minorHAnsi" w:cstheme="minorHAnsi"/>
                <w:sz w:val="18"/>
                <w:szCs w:val="18"/>
              </w:rPr>
            </w:pPr>
            <w:r w:rsidRPr="0018777D">
              <w:rPr>
                <w:rFonts w:asciiTheme="minorHAnsi" w:hAnsiTheme="minorHAnsi" w:cstheme="minorHAnsi"/>
                <w:sz w:val="18"/>
                <w:szCs w:val="18"/>
              </w:rPr>
              <w:t>(6) 46in (3) Programmed Start Ballast - Normal Light Output - HO T5 Linear Fluorescent replacing 700 Watt Mercury Vapor</w:t>
            </w:r>
          </w:p>
        </w:tc>
        <w:tc>
          <w:tcPr>
            <w:tcW w:w="1378"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Mercury Vapor, (1) 700W lamp</w:t>
            </w:r>
          </w:p>
        </w:tc>
        <w:tc>
          <w:tcPr>
            <w:tcW w:w="1001"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MV700/1</w:t>
            </w:r>
          </w:p>
        </w:tc>
        <w:tc>
          <w:tcPr>
            <w:tcW w:w="992" w:type="dxa"/>
            <w:vAlign w:val="center"/>
          </w:tcPr>
          <w:p w:rsidR="00AF6E98" w:rsidRPr="0018777D" w:rsidRDefault="00AF6E98" w:rsidP="00A372DB">
            <w:pPr>
              <w:jc w:val="center"/>
              <w:rPr>
                <w:rFonts w:asciiTheme="minorHAnsi" w:hAnsiTheme="minorHAnsi" w:cstheme="minorHAnsi"/>
                <w:color w:val="000000"/>
                <w:sz w:val="18"/>
                <w:szCs w:val="18"/>
              </w:rPr>
            </w:pPr>
            <w:r w:rsidRPr="0018777D">
              <w:rPr>
                <w:rFonts w:asciiTheme="minorHAnsi" w:hAnsiTheme="minorHAnsi" w:cstheme="minorHAnsi"/>
                <w:color w:val="000000"/>
                <w:sz w:val="18"/>
                <w:szCs w:val="18"/>
              </w:rPr>
              <w:t>780</w:t>
            </w:r>
          </w:p>
        </w:tc>
        <w:tc>
          <w:tcPr>
            <w:tcW w:w="1406" w:type="dxa"/>
            <w:vAlign w:val="center"/>
          </w:tcPr>
          <w:p w:rsidR="00AF6E98" w:rsidRPr="0018777D" w:rsidRDefault="00454E76" w:rsidP="00A372DB">
            <w:pPr>
              <w:jc w:val="center"/>
              <w:rPr>
                <w:rFonts w:asciiTheme="minorHAnsi" w:hAnsiTheme="minorHAnsi" w:cstheme="minorHAnsi"/>
                <w:bCs/>
                <w:sz w:val="18"/>
                <w:szCs w:val="18"/>
              </w:rPr>
            </w:pPr>
            <w:r w:rsidRPr="0018777D">
              <w:rPr>
                <w:rFonts w:asciiTheme="minorHAnsi" w:hAnsiTheme="minorHAnsi" w:cstheme="minorHAnsi"/>
                <w:color w:val="000000"/>
                <w:sz w:val="18"/>
                <w:szCs w:val="18"/>
              </w:rPr>
              <w:t xml:space="preserve">Pulse Start Metal Halide, </w:t>
            </w:r>
            <w:r>
              <w:rPr>
                <w:rFonts w:asciiTheme="minorHAnsi" w:hAnsiTheme="minorHAnsi" w:cstheme="minorHAnsi"/>
                <w:color w:val="000000"/>
                <w:sz w:val="18"/>
                <w:szCs w:val="18"/>
              </w:rPr>
              <w:t>400</w:t>
            </w:r>
            <w:r w:rsidR="000B2E76">
              <w:rPr>
                <w:rFonts w:asciiTheme="minorHAnsi" w:hAnsiTheme="minorHAnsi" w:cstheme="minorHAnsi"/>
                <w:color w:val="000000"/>
                <w:sz w:val="18"/>
                <w:szCs w:val="18"/>
              </w:rPr>
              <w:t xml:space="preserve"> Watts</w:t>
            </w:r>
          </w:p>
        </w:tc>
        <w:tc>
          <w:tcPr>
            <w:tcW w:w="1093" w:type="dxa"/>
            <w:vAlign w:val="center"/>
          </w:tcPr>
          <w:p w:rsidR="00AF6E98" w:rsidRPr="0018777D" w:rsidRDefault="00454E76" w:rsidP="00A372DB">
            <w:pPr>
              <w:jc w:val="center"/>
              <w:rPr>
                <w:rFonts w:asciiTheme="minorHAnsi" w:hAnsiTheme="minorHAnsi" w:cstheme="minorHAnsi"/>
                <w:bCs/>
                <w:sz w:val="18"/>
                <w:szCs w:val="18"/>
              </w:rPr>
            </w:pPr>
            <w:r w:rsidRPr="0018777D">
              <w:rPr>
                <w:rFonts w:asciiTheme="minorHAnsi" w:hAnsiTheme="minorHAnsi" w:cstheme="minorHAnsi"/>
                <w:color w:val="000000"/>
                <w:sz w:val="18"/>
                <w:szCs w:val="18"/>
              </w:rPr>
              <w:t>HIDfixt-PSMH-</w:t>
            </w:r>
            <w:r>
              <w:rPr>
                <w:rFonts w:asciiTheme="minorHAnsi" w:hAnsiTheme="minorHAnsi" w:cstheme="minorHAnsi"/>
                <w:color w:val="000000"/>
                <w:sz w:val="18"/>
                <w:szCs w:val="18"/>
              </w:rPr>
              <w:t>400</w:t>
            </w:r>
            <w:r w:rsidR="000B2E76">
              <w:rPr>
                <w:rFonts w:asciiTheme="minorHAnsi" w:hAnsiTheme="minorHAnsi" w:cstheme="minorHAnsi"/>
                <w:color w:val="000000"/>
                <w:sz w:val="18"/>
                <w:szCs w:val="18"/>
              </w:rPr>
              <w:t>w</w:t>
            </w:r>
          </w:p>
        </w:tc>
        <w:tc>
          <w:tcPr>
            <w:tcW w:w="997" w:type="dxa"/>
            <w:vAlign w:val="center"/>
          </w:tcPr>
          <w:p w:rsidR="00AF6E98" w:rsidRPr="0018777D" w:rsidRDefault="000B2E76" w:rsidP="00A372DB">
            <w:pPr>
              <w:jc w:val="center"/>
              <w:rPr>
                <w:rFonts w:asciiTheme="minorHAnsi" w:hAnsiTheme="minorHAnsi" w:cstheme="minorHAnsi"/>
                <w:bCs/>
                <w:sz w:val="18"/>
                <w:szCs w:val="18"/>
              </w:rPr>
            </w:pPr>
            <w:r>
              <w:rPr>
                <w:rFonts w:asciiTheme="minorHAnsi" w:hAnsiTheme="minorHAnsi" w:cstheme="minorHAnsi"/>
                <w:bCs/>
                <w:sz w:val="18"/>
                <w:szCs w:val="18"/>
              </w:rPr>
              <w:t>456</w:t>
            </w:r>
          </w:p>
        </w:tc>
      </w:tr>
    </w:tbl>
    <w:p w:rsidR="00BE17A5" w:rsidRDefault="000B2E76" w:rsidP="00BE17A5">
      <w:pPr>
        <w:rPr>
          <w:rFonts w:asciiTheme="minorHAnsi" w:hAnsiTheme="minorHAnsi" w:cstheme="minorHAnsi"/>
          <w:sz w:val="18"/>
          <w:szCs w:val="18"/>
        </w:rPr>
      </w:pPr>
      <w:r>
        <w:rPr>
          <w:rFonts w:asciiTheme="minorHAnsi" w:hAnsiTheme="minorHAnsi" w:cstheme="minorHAnsi"/>
          <w:sz w:val="18"/>
          <w:szCs w:val="18"/>
        </w:rPr>
        <w:t>*This is the wattage for a code case fixture that is lumen equivalent to the base case fixture. This value differs from the May 30 disposition value.</w:t>
      </w:r>
    </w:p>
    <w:p w:rsidR="000B2E76" w:rsidRDefault="000B2E76" w:rsidP="00BE17A5">
      <w:pPr>
        <w:rPr>
          <w:rFonts w:asciiTheme="minorHAnsi" w:hAnsiTheme="minorHAnsi" w:cstheme="minorHAnsi"/>
          <w:b/>
          <w:sz w:val="22"/>
          <w:szCs w:val="22"/>
        </w:rPr>
      </w:pPr>
    </w:p>
    <w:p w:rsidR="00BE17A5" w:rsidRPr="00CB1973" w:rsidRDefault="00BE17A5" w:rsidP="00BE17A5">
      <w:pPr>
        <w:rPr>
          <w:rFonts w:asciiTheme="minorHAnsi" w:hAnsiTheme="minorHAnsi" w:cstheme="minorHAnsi"/>
          <w:sz w:val="22"/>
          <w:szCs w:val="22"/>
        </w:rPr>
      </w:pPr>
      <w:r>
        <w:rPr>
          <w:rFonts w:asciiTheme="minorHAnsi" w:hAnsiTheme="minorHAnsi" w:cstheme="minorHAnsi"/>
          <w:b/>
          <w:sz w:val="22"/>
          <w:szCs w:val="22"/>
        </w:rPr>
        <w:t>Measure Case</w:t>
      </w:r>
    </w:p>
    <w:p w:rsidR="00BE17A5"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 xml:space="preserve">The measure cases were taken from </w:t>
      </w:r>
      <w:r w:rsidR="00BD3B93">
        <w:rPr>
          <w:rFonts w:asciiTheme="minorHAnsi" w:hAnsiTheme="minorHAnsi" w:cstheme="minorHAnsi"/>
          <w:sz w:val="22"/>
          <w:szCs w:val="22"/>
        </w:rPr>
        <w:t xml:space="preserve">the </w:t>
      </w:r>
      <w:r w:rsidRPr="006A56A2">
        <w:rPr>
          <w:rFonts w:asciiTheme="minorHAnsi" w:hAnsiTheme="minorHAnsi" w:cstheme="minorHAnsi"/>
          <w:sz w:val="22"/>
          <w:szCs w:val="22"/>
        </w:rPr>
        <w:t>Table of Standard Fixture Wattages</w:t>
      </w:r>
      <w:r>
        <w:rPr>
          <w:rFonts w:asciiTheme="minorHAnsi" w:hAnsiTheme="minorHAnsi" w:cstheme="minorHAnsi"/>
          <w:sz w:val="22"/>
          <w:szCs w:val="22"/>
        </w:rPr>
        <w:t xml:space="preserve"> [</w:t>
      </w:r>
      <w:r w:rsidR="0037383E">
        <w:rPr>
          <w:rFonts w:asciiTheme="minorHAnsi" w:hAnsiTheme="minorHAnsi" w:cstheme="minorHAnsi"/>
          <w:sz w:val="22"/>
          <w:szCs w:val="22"/>
        </w:rPr>
        <w:t>431</w:t>
      </w:r>
      <w:r>
        <w:rPr>
          <w:rFonts w:asciiTheme="minorHAnsi" w:hAnsiTheme="minorHAnsi" w:cstheme="minorHAnsi"/>
          <w:sz w:val="22"/>
          <w:szCs w:val="22"/>
        </w:rPr>
        <w:t>] and are shown in</w:t>
      </w:r>
      <w:r w:rsidR="0037383E">
        <w:rPr>
          <w:rFonts w:asciiTheme="minorHAnsi" w:hAnsiTheme="minorHAnsi" w:cstheme="minorHAnsi"/>
          <w:sz w:val="22"/>
          <w:szCs w:val="22"/>
        </w:rPr>
        <w:t xml:space="preserve"> </w:t>
      </w:r>
      <w:r w:rsidR="00987C88">
        <w:rPr>
          <w:rFonts w:asciiTheme="minorHAnsi" w:hAnsiTheme="minorHAnsi" w:cstheme="minorHAnsi"/>
          <w:sz w:val="22"/>
          <w:szCs w:val="22"/>
        </w:rPr>
        <w:fldChar w:fldCharType="begin"/>
      </w:r>
      <w:r w:rsidR="00987C88">
        <w:rPr>
          <w:rFonts w:asciiTheme="minorHAnsi" w:hAnsiTheme="minorHAnsi" w:cstheme="minorHAnsi"/>
          <w:sz w:val="22"/>
          <w:szCs w:val="22"/>
        </w:rPr>
        <w:instrText xml:space="preserve"> REF _Ref393799487 \h </w:instrText>
      </w:r>
      <w:r w:rsidR="00987C88">
        <w:rPr>
          <w:rFonts w:asciiTheme="minorHAnsi" w:hAnsiTheme="minorHAnsi" w:cstheme="minorHAnsi"/>
          <w:sz w:val="22"/>
          <w:szCs w:val="22"/>
        </w:rPr>
      </w:r>
      <w:r w:rsidR="00987C88">
        <w:rPr>
          <w:rFonts w:asciiTheme="minorHAnsi" w:hAnsiTheme="minorHAnsi" w:cstheme="minorHAnsi"/>
          <w:sz w:val="22"/>
          <w:szCs w:val="22"/>
        </w:rPr>
        <w:fldChar w:fldCharType="separate"/>
      </w:r>
      <w:r w:rsidR="00302C1D" w:rsidRPr="00987C88">
        <w:rPr>
          <w:rFonts w:asciiTheme="minorHAnsi" w:hAnsiTheme="minorHAnsi" w:cstheme="minorHAnsi"/>
          <w:sz w:val="22"/>
          <w:szCs w:val="22"/>
        </w:rPr>
        <w:t xml:space="preserve">Table </w:t>
      </w:r>
      <w:r w:rsidR="00302C1D">
        <w:rPr>
          <w:rFonts w:asciiTheme="minorHAnsi" w:hAnsiTheme="minorHAnsi" w:cstheme="minorHAnsi"/>
          <w:noProof/>
          <w:sz w:val="22"/>
          <w:szCs w:val="22"/>
        </w:rPr>
        <w:t>10</w:t>
      </w:r>
      <w:r w:rsidR="00987C88">
        <w:rPr>
          <w:rFonts w:asciiTheme="minorHAnsi" w:hAnsiTheme="minorHAnsi" w:cstheme="minorHAnsi"/>
          <w:sz w:val="22"/>
          <w:szCs w:val="22"/>
        </w:rPr>
        <w:fldChar w:fldCharType="end"/>
      </w:r>
      <w:r w:rsidRPr="006A56A2">
        <w:rPr>
          <w:rFonts w:asciiTheme="minorHAnsi" w:hAnsiTheme="minorHAnsi" w:cstheme="minorHAnsi"/>
          <w:sz w:val="22"/>
          <w:szCs w:val="22"/>
        </w:rPr>
        <w:t>.</w:t>
      </w:r>
    </w:p>
    <w:p w:rsidR="00B03A76" w:rsidRDefault="00B03A76" w:rsidP="00BE17A5">
      <w:pPr>
        <w:rPr>
          <w:rFonts w:asciiTheme="minorHAnsi" w:hAnsiTheme="minorHAnsi" w:cstheme="minorHAnsi"/>
          <w:sz w:val="22"/>
          <w:szCs w:val="22"/>
        </w:rPr>
      </w:pPr>
    </w:p>
    <w:p w:rsidR="00B03A76" w:rsidRDefault="00B03A76" w:rsidP="00BE17A5">
      <w:pPr>
        <w:rPr>
          <w:rFonts w:asciiTheme="minorHAnsi" w:hAnsiTheme="minorHAnsi" w:cstheme="minorHAnsi"/>
          <w:sz w:val="22"/>
          <w:szCs w:val="22"/>
        </w:rPr>
      </w:pPr>
      <w:r>
        <w:rPr>
          <w:rFonts w:asciiTheme="minorHAnsi" w:hAnsiTheme="minorHAnsi" w:cstheme="minorHAnsi"/>
          <w:sz w:val="22"/>
          <w:szCs w:val="22"/>
        </w:rPr>
        <w:t xml:space="preserve">The </w:t>
      </w:r>
      <w:r w:rsidR="00FB0681">
        <w:rPr>
          <w:rFonts w:asciiTheme="minorHAnsi" w:hAnsiTheme="minorHAnsi" w:cstheme="minorHAnsi"/>
          <w:sz w:val="22"/>
          <w:szCs w:val="22"/>
        </w:rPr>
        <w:t>measure</w:t>
      </w:r>
      <w:r>
        <w:rPr>
          <w:rFonts w:asciiTheme="minorHAnsi" w:hAnsiTheme="minorHAnsi" w:cstheme="minorHAnsi"/>
          <w:sz w:val="22"/>
          <w:szCs w:val="22"/>
        </w:rPr>
        <w:t xml:space="preserve"> case Wattage values for one of the following measures were updated using the “2013-2014_LightingRetrofit_Disposition-</w:t>
      </w:r>
      <w:r w:rsidR="00F2671D">
        <w:rPr>
          <w:rFonts w:asciiTheme="minorHAnsi" w:hAnsiTheme="minorHAnsi" w:cstheme="minorHAnsi"/>
          <w:sz w:val="22"/>
          <w:szCs w:val="22"/>
        </w:rPr>
        <w:t>30May2014</w:t>
      </w:r>
      <w:r>
        <w:rPr>
          <w:rFonts w:asciiTheme="minorHAnsi" w:hAnsiTheme="minorHAnsi" w:cstheme="minorHAnsi"/>
          <w:sz w:val="22"/>
          <w:szCs w:val="22"/>
        </w:rPr>
        <w:t>” table [</w:t>
      </w:r>
      <w:r w:rsidR="00FB0681">
        <w:rPr>
          <w:rFonts w:asciiTheme="minorHAnsi" w:hAnsiTheme="minorHAnsi" w:cstheme="minorHAnsi"/>
          <w:sz w:val="22"/>
          <w:szCs w:val="22"/>
        </w:rPr>
        <w:t>A</w:t>
      </w:r>
      <w:r>
        <w:rPr>
          <w:rFonts w:asciiTheme="minorHAnsi" w:hAnsiTheme="minorHAnsi" w:cstheme="minorHAnsi"/>
          <w:sz w:val="22"/>
          <w:szCs w:val="22"/>
        </w:rPr>
        <w:t xml:space="preserve">] provided by the Energy Division.  </w:t>
      </w:r>
    </w:p>
    <w:p w:rsidR="00BE17A5" w:rsidRPr="006A56A2" w:rsidRDefault="00BE17A5" w:rsidP="00BE17A5">
      <w:pPr>
        <w:rPr>
          <w:rFonts w:asciiTheme="minorHAnsi" w:hAnsiTheme="minorHAnsi" w:cstheme="minorHAnsi"/>
          <w:sz w:val="22"/>
          <w:szCs w:val="22"/>
        </w:rPr>
      </w:pPr>
    </w:p>
    <w:p w:rsidR="00BE17A5" w:rsidRPr="00EB14C2" w:rsidRDefault="00987C88" w:rsidP="00987C88">
      <w:pPr>
        <w:pStyle w:val="Caption"/>
        <w:jc w:val="center"/>
        <w:rPr>
          <w:rFonts w:asciiTheme="minorHAnsi" w:hAnsiTheme="minorHAnsi" w:cstheme="minorHAnsi"/>
          <w:sz w:val="22"/>
          <w:szCs w:val="22"/>
        </w:rPr>
      </w:pPr>
      <w:bookmarkStart w:id="22" w:name="_Ref393799487"/>
      <w:bookmarkStart w:id="23" w:name="_Toc220125018"/>
      <w:bookmarkStart w:id="24" w:name="_Ref394462957"/>
      <w:r w:rsidRPr="00987C88">
        <w:rPr>
          <w:rFonts w:asciiTheme="minorHAnsi" w:hAnsiTheme="minorHAnsi" w:cstheme="minorHAnsi"/>
          <w:sz w:val="22"/>
          <w:szCs w:val="22"/>
        </w:rPr>
        <w:t xml:space="preserve">Table </w:t>
      </w:r>
      <w:r w:rsidRPr="00987C88">
        <w:rPr>
          <w:rFonts w:asciiTheme="minorHAnsi" w:hAnsiTheme="minorHAnsi" w:cstheme="minorHAnsi"/>
          <w:sz w:val="22"/>
          <w:szCs w:val="22"/>
        </w:rPr>
        <w:fldChar w:fldCharType="begin"/>
      </w:r>
      <w:r w:rsidRPr="00987C88">
        <w:rPr>
          <w:rFonts w:asciiTheme="minorHAnsi" w:hAnsiTheme="minorHAnsi" w:cstheme="minorHAnsi"/>
          <w:sz w:val="22"/>
          <w:szCs w:val="22"/>
        </w:rPr>
        <w:instrText xml:space="preserve"> SEQ Table \* ARABIC </w:instrText>
      </w:r>
      <w:r w:rsidRPr="00987C88">
        <w:rPr>
          <w:rFonts w:asciiTheme="minorHAnsi" w:hAnsiTheme="minorHAnsi" w:cstheme="minorHAnsi"/>
          <w:sz w:val="22"/>
          <w:szCs w:val="22"/>
        </w:rPr>
        <w:fldChar w:fldCharType="separate"/>
      </w:r>
      <w:r w:rsidR="00302C1D">
        <w:rPr>
          <w:rFonts w:asciiTheme="minorHAnsi" w:hAnsiTheme="minorHAnsi" w:cstheme="minorHAnsi"/>
          <w:noProof/>
          <w:sz w:val="22"/>
          <w:szCs w:val="22"/>
        </w:rPr>
        <w:t>10</w:t>
      </w:r>
      <w:r w:rsidRPr="00987C88">
        <w:rPr>
          <w:rFonts w:asciiTheme="minorHAnsi" w:hAnsiTheme="minorHAnsi" w:cstheme="minorHAnsi"/>
          <w:sz w:val="22"/>
          <w:szCs w:val="22"/>
        </w:rPr>
        <w:fldChar w:fldCharType="end"/>
      </w:r>
      <w:bookmarkEnd w:id="22"/>
      <w:r>
        <w:rPr>
          <w:rFonts w:asciiTheme="minorHAnsi" w:hAnsiTheme="minorHAnsi" w:cstheme="minorHAnsi"/>
          <w:sz w:val="22"/>
          <w:szCs w:val="22"/>
        </w:rPr>
        <w:t xml:space="preserve"> </w:t>
      </w:r>
      <w:r w:rsidR="00BE17A5" w:rsidRPr="00EB14C2">
        <w:rPr>
          <w:rFonts w:asciiTheme="minorHAnsi" w:hAnsiTheme="minorHAnsi" w:cstheme="minorHAnsi"/>
          <w:sz w:val="22"/>
          <w:szCs w:val="22"/>
        </w:rPr>
        <w:t>Measure Case Selection for Savings Estimates</w:t>
      </w:r>
      <w:bookmarkEnd w:id="23"/>
      <w:bookmarkEnd w:id="24"/>
    </w:p>
    <w:tbl>
      <w:tblPr>
        <w:tblStyle w:val="TableContemporary"/>
        <w:tblW w:w="8533" w:type="dxa"/>
        <w:jc w:val="center"/>
        <w:tblLook w:val="0000" w:firstRow="0" w:lastRow="0" w:firstColumn="0" w:lastColumn="0" w:noHBand="0" w:noVBand="0"/>
      </w:tblPr>
      <w:tblGrid>
        <w:gridCol w:w="3853"/>
        <w:gridCol w:w="2160"/>
        <w:gridCol w:w="1440"/>
        <w:gridCol w:w="1080"/>
      </w:tblGrid>
      <w:tr w:rsidR="00BE17A5" w:rsidRPr="006A56A2" w:rsidTr="00E762F1">
        <w:trPr>
          <w:cnfStyle w:val="000000100000" w:firstRow="0" w:lastRow="0" w:firstColumn="0" w:lastColumn="0" w:oddVBand="0" w:evenVBand="0" w:oddHBand="1" w:evenHBand="0" w:firstRowFirstColumn="0" w:firstRowLastColumn="0" w:lastRowFirstColumn="0" w:lastRowLastColumn="0"/>
          <w:trHeight w:val="255"/>
          <w:jc w:val="center"/>
        </w:trPr>
        <w:tc>
          <w:tcPr>
            <w:tcW w:w="3853" w:type="dxa"/>
            <w:noWrap/>
          </w:tcPr>
          <w:p w:rsidR="00BE17A5" w:rsidRPr="006A56A2" w:rsidRDefault="00BE17A5" w:rsidP="00E762F1">
            <w:pPr>
              <w:jc w:val="center"/>
              <w:rPr>
                <w:rFonts w:asciiTheme="minorHAnsi" w:hAnsiTheme="minorHAnsi" w:cstheme="minorHAnsi"/>
                <w:b/>
                <w:bCs/>
                <w:sz w:val="20"/>
                <w:szCs w:val="20"/>
              </w:rPr>
            </w:pPr>
            <w:r w:rsidRPr="006A56A2">
              <w:rPr>
                <w:rFonts w:asciiTheme="minorHAnsi" w:hAnsiTheme="minorHAnsi" w:cstheme="minorHAnsi"/>
                <w:b/>
                <w:bCs/>
                <w:sz w:val="20"/>
                <w:szCs w:val="20"/>
              </w:rPr>
              <w:t>Measure Description Classifications</w:t>
            </w:r>
          </w:p>
        </w:tc>
        <w:tc>
          <w:tcPr>
            <w:tcW w:w="2160" w:type="dxa"/>
            <w:noWrap/>
          </w:tcPr>
          <w:p w:rsidR="00BE17A5" w:rsidRPr="006A56A2" w:rsidRDefault="00BE17A5" w:rsidP="00E762F1">
            <w:pPr>
              <w:jc w:val="center"/>
              <w:rPr>
                <w:rFonts w:asciiTheme="minorHAnsi" w:hAnsiTheme="minorHAnsi" w:cstheme="minorHAnsi"/>
                <w:b/>
                <w:bCs/>
                <w:sz w:val="20"/>
                <w:szCs w:val="20"/>
              </w:rPr>
            </w:pPr>
            <w:r w:rsidRPr="006A56A2">
              <w:rPr>
                <w:rFonts w:asciiTheme="minorHAnsi" w:hAnsiTheme="minorHAnsi" w:cstheme="minorHAnsi"/>
                <w:b/>
                <w:bCs/>
                <w:sz w:val="20"/>
                <w:szCs w:val="20"/>
              </w:rPr>
              <w:t>Measure Case Selection</w:t>
            </w:r>
          </w:p>
        </w:tc>
        <w:tc>
          <w:tcPr>
            <w:tcW w:w="1440" w:type="dxa"/>
            <w:noWrap/>
          </w:tcPr>
          <w:p w:rsidR="00BE17A5" w:rsidRPr="006A56A2" w:rsidRDefault="00BE17A5" w:rsidP="00E762F1">
            <w:pPr>
              <w:jc w:val="center"/>
              <w:rPr>
                <w:rFonts w:asciiTheme="minorHAnsi" w:hAnsiTheme="minorHAnsi" w:cstheme="minorHAnsi"/>
                <w:b/>
                <w:bCs/>
                <w:sz w:val="20"/>
                <w:szCs w:val="20"/>
              </w:rPr>
            </w:pPr>
            <w:r w:rsidRPr="006A56A2">
              <w:rPr>
                <w:rFonts w:asciiTheme="minorHAnsi" w:hAnsiTheme="minorHAnsi" w:cstheme="minorHAnsi"/>
                <w:b/>
                <w:bCs/>
                <w:sz w:val="20"/>
                <w:szCs w:val="20"/>
              </w:rPr>
              <w:t>Fixture Code</w:t>
            </w:r>
          </w:p>
        </w:tc>
        <w:tc>
          <w:tcPr>
            <w:tcW w:w="1080" w:type="dxa"/>
            <w:noWrap/>
          </w:tcPr>
          <w:p w:rsidR="00BE17A5" w:rsidRPr="006A56A2" w:rsidRDefault="00BE17A5" w:rsidP="00E762F1">
            <w:pPr>
              <w:jc w:val="center"/>
              <w:rPr>
                <w:rFonts w:asciiTheme="minorHAnsi" w:hAnsiTheme="minorHAnsi" w:cstheme="minorHAnsi"/>
                <w:b/>
                <w:bCs/>
                <w:sz w:val="20"/>
                <w:szCs w:val="20"/>
              </w:rPr>
            </w:pPr>
            <w:r w:rsidRPr="006A56A2">
              <w:rPr>
                <w:rFonts w:asciiTheme="minorHAnsi" w:hAnsiTheme="minorHAnsi" w:cstheme="minorHAnsi"/>
                <w:b/>
                <w:bCs/>
                <w:sz w:val="20"/>
                <w:szCs w:val="20"/>
              </w:rPr>
              <w:t>Fixture Wattage</w:t>
            </w:r>
          </w:p>
        </w:tc>
      </w:tr>
      <w:tr w:rsidR="00BE17A5" w:rsidRPr="001F3F31" w:rsidTr="00E762F1">
        <w:trPr>
          <w:cnfStyle w:val="000000010000" w:firstRow="0" w:lastRow="0" w:firstColumn="0" w:lastColumn="0" w:oddVBand="0" w:evenVBand="0" w:oddHBand="0" w:evenHBand="1" w:firstRowFirstColumn="0" w:firstRowLastColumn="0" w:lastRowFirstColumn="0" w:lastRowLastColumn="0"/>
          <w:trHeight w:val="255"/>
          <w:jc w:val="center"/>
        </w:trPr>
        <w:tc>
          <w:tcPr>
            <w:tcW w:w="3853" w:type="dxa"/>
            <w:noWrap/>
            <w:vAlign w:val="center"/>
          </w:tcPr>
          <w:p w:rsidR="00BE17A5" w:rsidRPr="0018777D" w:rsidRDefault="00BE17A5" w:rsidP="00E762F1">
            <w:pPr>
              <w:rPr>
                <w:rFonts w:asciiTheme="minorHAnsi" w:hAnsiTheme="minorHAnsi" w:cstheme="minorHAnsi"/>
                <w:bCs/>
                <w:sz w:val="18"/>
                <w:szCs w:val="18"/>
              </w:rPr>
            </w:pPr>
            <w:r w:rsidRPr="0018777D">
              <w:rPr>
                <w:rFonts w:asciiTheme="minorHAnsi" w:hAnsiTheme="minorHAnsi" w:cstheme="minorHAnsi"/>
                <w:bCs/>
                <w:sz w:val="18"/>
                <w:szCs w:val="18"/>
              </w:rPr>
              <w:t>Up to 64 Watt Interior Fixture T5 Linear Fluorescent  replacing less than 100 Watt lamp base case</w:t>
            </w:r>
          </w:p>
        </w:tc>
        <w:tc>
          <w:tcPr>
            <w:tcW w:w="2160" w:type="dxa"/>
            <w:noWrap/>
            <w:vAlign w:val="center"/>
          </w:tcPr>
          <w:p w:rsidR="00BE17A5" w:rsidRPr="0018777D" w:rsidRDefault="00BE17A5" w:rsidP="00E762F1">
            <w:pPr>
              <w:rPr>
                <w:rFonts w:asciiTheme="minorHAnsi" w:hAnsiTheme="minorHAnsi" w:cstheme="minorHAnsi"/>
                <w:bCs/>
                <w:sz w:val="18"/>
                <w:szCs w:val="18"/>
              </w:rPr>
            </w:pPr>
            <w:r w:rsidRPr="0018777D">
              <w:rPr>
                <w:rFonts w:asciiTheme="minorHAnsi" w:hAnsiTheme="minorHAnsi" w:cstheme="minorHAnsi"/>
                <w:bCs/>
                <w:sz w:val="18"/>
                <w:szCs w:val="18"/>
              </w:rPr>
              <w:t>(1) 46" T5HO with IS Ballast</w:t>
            </w:r>
          </w:p>
        </w:tc>
        <w:tc>
          <w:tcPr>
            <w:tcW w:w="1440" w:type="dxa"/>
            <w:noWrap/>
            <w:vAlign w:val="center"/>
          </w:tcPr>
          <w:p w:rsidR="00BE17A5" w:rsidRPr="0018777D" w:rsidRDefault="00BE17A5" w:rsidP="00E762F1">
            <w:pPr>
              <w:jc w:val="center"/>
              <w:rPr>
                <w:rFonts w:asciiTheme="minorHAnsi" w:hAnsiTheme="minorHAnsi" w:cstheme="minorHAnsi"/>
                <w:bCs/>
                <w:sz w:val="18"/>
                <w:szCs w:val="18"/>
              </w:rPr>
            </w:pPr>
            <w:r w:rsidRPr="0018777D">
              <w:rPr>
                <w:rFonts w:asciiTheme="minorHAnsi" w:hAnsiTheme="minorHAnsi" w:cstheme="minorHAnsi"/>
                <w:bCs/>
                <w:sz w:val="18"/>
                <w:szCs w:val="18"/>
              </w:rPr>
              <w:t>F41PHL</w:t>
            </w:r>
          </w:p>
        </w:tc>
        <w:tc>
          <w:tcPr>
            <w:tcW w:w="1080" w:type="dxa"/>
            <w:noWrap/>
            <w:vAlign w:val="center"/>
          </w:tcPr>
          <w:p w:rsidR="00BE17A5" w:rsidRPr="0018777D" w:rsidRDefault="00BE17A5" w:rsidP="00E762F1">
            <w:pPr>
              <w:jc w:val="center"/>
              <w:rPr>
                <w:rFonts w:asciiTheme="minorHAnsi" w:hAnsiTheme="minorHAnsi" w:cstheme="minorHAnsi"/>
                <w:bCs/>
                <w:sz w:val="18"/>
                <w:szCs w:val="18"/>
              </w:rPr>
            </w:pPr>
            <w:r w:rsidRPr="0018777D">
              <w:rPr>
                <w:rFonts w:asciiTheme="minorHAnsi" w:hAnsiTheme="minorHAnsi" w:cstheme="minorHAnsi"/>
                <w:bCs/>
                <w:sz w:val="18"/>
                <w:szCs w:val="18"/>
              </w:rPr>
              <w:t>62</w:t>
            </w:r>
          </w:p>
        </w:tc>
      </w:tr>
      <w:tr w:rsidR="00BE17A5" w:rsidRPr="006A56A2" w:rsidTr="00454E76">
        <w:trPr>
          <w:cnfStyle w:val="000000100000" w:firstRow="0" w:lastRow="0" w:firstColumn="0" w:lastColumn="0" w:oddVBand="0" w:evenVBand="0" w:oddHBand="1" w:evenHBand="0" w:firstRowFirstColumn="0" w:firstRowLastColumn="0" w:lastRowFirstColumn="0" w:lastRowLastColumn="0"/>
          <w:trHeight w:val="510"/>
          <w:jc w:val="center"/>
        </w:trPr>
        <w:tc>
          <w:tcPr>
            <w:tcW w:w="3853" w:type="dxa"/>
            <w:shd w:val="clear" w:color="auto" w:fill="F2F2F2" w:themeFill="background1" w:themeFillShade="F2"/>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Up to 128 Watt Interior Fixture T5 Linear Fluorescent  replacing 101 - 175 Watt lamp base case</w:t>
            </w:r>
          </w:p>
        </w:tc>
        <w:tc>
          <w:tcPr>
            <w:tcW w:w="2160" w:type="dxa"/>
            <w:shd w:val="clear" w:color="auto" w:fill="F2F2F2" w:themeFill="background1" w:themeFillShade="F2"/>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(2) 46" T5HO with IS Ballast</w:t>
            </w:r>
          </w:p>
        </w:tc>
        <w:tc>
          <w:tcPr>
            <w:tcW w:w="1440" w:type="dxa"/>
            <w:shd w:val="clear" w:color="auto" w:fill="F2F2F2" w:themeFill="background1" w:themeFillShade="F2"/>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F42PHL</w:t>
            </w:r>
          </w:p>
        </w:tc>
        <w:tc>
          <w:tcPr>
            <w:tcW w:w="1080" w:type="dxa"/>
            <w:shd w:val="clear" w:color="auto" w:fill="F2F2F2" w:themeFill="background1" w:themeFillShade="F2"/>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117</w:t>
            </w:r>
          </w:p>
        </w:tc>
      </w:tr>
      <w:tr w:rsidR="00BE17A5" w:rsidRPr="006A56A2" w:rsidTr="00454E76">
        <w:trPr>
          <w:cnfStyle w:val="000000010000" w:firstRow="0" w:lastRow="0" w:firstColumn="0" w:lastColumn="0" w:oddVBand="0" w:evenVBand="0" w:oddHBand="0" w:evenHBand="1" w:firstRowFirstColumn="0" w:firstRowLastColumn="0" w:lastRowFirstColumn="0" w:lastRowLastColumn="0"/>
          <w:trHeight w:val="510"/>
          <w:jc w:val="center"/>
        </w:trPr>
        <w:tc>
          <w:tcPr>
            <w:tcW w:w="3853" w:type="dxa"/>
            <w:shd w:val="clear" w:color="auto" w:fill="BFBFBF" w:themeFill="background1" w:themeFillShade="BF"/>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Up to 192 Watt Interior Fixture T5 Linear Fluorescent  replacing 176 - 399 Watt lamp base case</w:t>
            </w:r>
          </w:p>
        </w:tc>
        <w:tc>
          <w:tcPr>
            <w:tcW w:w="2160" w:type="dxa"/>
            <w:shd w:val="clear" w:color="auto" w:fill="BFBFBF" w:themeFill="background1" w:themeFillShade="BF"/>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(3) 46" T5HO with (2) IS Ballast</w:t>
            </w:r>
          </w:p>
        </w:tc>
        <w:tc>
          <w:tcPr>
            <w:tcW w:w="1440" w:type="dxa"/>
            <w:shd w:val="clear" w:color="auto" w:fill="BFBFBF" w:themeFill="background1" w:themeFillShade="BF"/>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F43PHL/2</w:t>
            </w:r>
          </w:p>
        </w:tc>
        <w:tc>
          <w:tcPr>
            <w:tcW w:w="1080" w:type="dxa"/>
            <w:shd w:val="clear" w:color="auto" w:fill="BFBFBF" w:themeFill="background1" w:themeFillShade="BF"/>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179</w:t>
            </w:r>
          </w:p>
        </w:tc>
      </w:tr>
      <w:tr w:rsidR="00BE17A5" w:rsidRPr="006A56A2" w:rsidTr="00454E76">
        <w:trPr>
          <w:cnfStyle w:val="000000100000" w:firstRow="0" w:lastRow="0" w:firstColumn="0" w:lastColumn="0" w:oddVBand="0" w:evenVBand="0" w:oddHBand="1" w:evenHBand="0" w:firstRowFirstColumn="0" w:firstRowLastColumn="0" w:lastRowFirstColumn="0" w:lastRowLastColumn="0"/>
          <w:trHeight w:val="510"/>
          <w:jc w:val="center"/>
        </w:trPr>
        <w:tc>
          <w:tcPr>
            <w:tcW w:w="3853" w:type="dxa"/>
            <w:shd w:val="clear" w:color="auto" w:fill="F2F2F2" w:themeFill="background1" w:themeFillShade="F2"/>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Up to 244 Watt (Tier 1) Interior Fixture T5 Linear Fluorescent  replacing 400 Watt lamp base case</w:t>
            </w:r>
          </w:p>
        </w:tc>
        <w:tc>
          <w:tcPr>
            <w:tcW w:w="2160" w:type="dxa"/>
            <w:shd w:val="clear" w:color="auto" w:fill="F2F2F2" w:themeFill="background1" w:themeFillShade="F2"/>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(4) 46" T5HO with (2) IS Ballast</w:t>
            </w:r>
          </w:p>
        </w:tc>
        <w:tc>
          <w:tcPr>
            <w:tcW w:w="1440" w:type="dxa"/>
            <w:shd w:val="clear" w:color="auto" w:fill="F2F2F2" w:themeFill="background1" w:themeFillShade="F2"/>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F44PHL/2</w:t>
            </w:r>
          </w:p>
        </w:tc>
        <w:tc>
          <w:tcPr>
            <w:tcW w:w="1080" w:type="dxa"/>
            <w:shd w:val="clear" w:color="auto" w:fill="F2F2F2" w:themeFill="background1" w:themeFillShade="F2"/>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234</w:t>
            </w:r>
          </w:p>
        </w:tc>
      </w:tr>
      <w:tr w:rsidR="00BE17A5" w:rsidRPr="006A56A2" w:rsidTr="00454E76">
        <w:trPr>
          <w:cnfStyle w:val="000000010000" w:firstRow="0" w:lastRow="0" w:firstColumn="0" w:lastColumn="0" w:oddVBand="0" w:evenVBand="0" w:oddHBand="0" w:evenHBand="1" w:firstRowFirstColumn="0" w:firstRowLastColumn="0" w:lastRowFirstColumn="0" w:lastRowLastColumn="0"/>
          <w:trHeight w:val="510"/>
          <w:jc w:val="center"/>
        </w:trPr>
        <w:tc>
          <w:tcPr>
            <w:tcW w:w="3853" w:type="dxa"/>
            <w:shd w:val="clear" w:color="auto" w:fill="BFBFBF" w:themeFill="background1" w:themeFillShade="BF"/>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245 to 360 Watt (Tier 2) Interior Fixture T5 Linear Fluorescent  replacing 400 Watt lamp base case</w:t>
            </w:r>
          </w:p>
        </w:tc>
        <w:tc>
          <w:tcPr>
            <w:tcW w:w="2160" w:type="dxa"/>
            <w:shd w:val="clear" w:color="auto" w:fill="BFBFBF" w:themeFill="background1" w:themeFillShade="BF"/>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(6) 46" T5HO with (3) IS Ballast</w:t>
            </w:r>
          </w:p>
        </w:tc>
        <w:tc>
          <w:tcPr>
            <w:tcW w:w="1440" w:type="dxa"/>
            <w:shd w:val="clear" w:color="auto" w:fill="BFBFBF" w:themeFill="background1" w:themeFillShade="BF"/>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F46PHL/3</w:t>
            </w:r>
          </w:p>
        </w:tc>
        <w:tc>
          <w:tcPr>
            <w:tcW w:w="1080" w:type="dxa"/>
            <w:shd w:val="clear" w:color="auto" w:fill="BFBFBF" w:themeFill="background1" w:themeFillShade="BF"/>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351</w:t>
            </w:r>
          </w:p>
        </w:tc>
      </w:tr>
      <w:tr w:rsidR="00BE17A5" w:rsidRPr="006A56A2" w:rsidTr="00E762F1">
        <w:trPr>
          <w:cnfStyle w:val="000000100000" w:firstRow="0" w:lastRow="0" w:firstColumn="0" w:lastColumn="0" w:oddVBand="0" w:evenVBand="0" w:oddHBand="1" w:evenHBand="0" w:firstRowFirstColumn="0" w:firstRowLastColumn="0" w:lastRowFirstColumn="0" w:lastRowLastColumn="0"/>
          <w:trHeight w:val="510"/>
          <w:jc w:val="center"/>
        </w:trPr>
        <w:tc>
          <w:tcPr>
            <w:tcW w:w="3853" w:type="dxa"/>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Up to 600 Watt Interior Fixture T5 Linear Fluorescent  replacing greater than 400 Watt lamp base case</w:t>
            </w:r>
          </w:p>
        </w:tc>
        <w:tc>
          <w:tcPr>
            <w:tcW w:w="2160" w:type="dxa"/>
            <w:vAlign w:val="center"/>
          </w:tcPr>
          <w:p w:rsidR="00BE17A5" w:rsidRPr="0018777D" w:rsidRDefault="00454E76" w:rsidP="00E762F1">
            <w:pPr>
              <w:rPr>
                <w:rFonts w:asciiTheme="minorHAnsi" w:hAnsiTheme="minorHAnsi" w:cstheme="minorHAnsi"/>
                <w:sz w:val="18"/>
                <w:szCs w:val="18"/>
              </w:rPr>
            </w:pPr>
            <w:r w:rsidRPr="00454E76">
              <w:rPr>
                <w:rFonts w:asciiTheme="minorHAnsi" w:hAnsiTheme="minorHAnsi" w:cstheme="minorHAnsi"/>
                <w:sz w:val="18"/>
                <w:szCs w:val="18"/>
              </w:rPr>
              <w:t>Fluorescent, (8) 46", T5/HO lamp, (4) Instant Start Ballast</w:t>
            </w:r>
          </w:p>
        </w:tc>
        <w:tc>
          <w:tcPr>
            <w:tcW w:w="144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F48PHL/4</w:t>
            </w:r>
          </w:p>
        </w:tc>
        <w:tc>
          <w:tcPr>
            <w:tcW w:w="1080" w:type="dxa"/>
            <w:vAlign w:val="center"/>
          </w:tcPr>
          <w:p w:rsidR="00BE17A5" w:rsidRPr="0018777D" w:rsidRDefault="00454E76" w:rsidP="00E762F1">
            <w:pPr>
              <w:jc w:val="center"/>
              <w:rPr>
                <w:rFonts w:asciiTheme="minorHAnsi" w:hAnsiTheme="minorHAnsi" w:cstheme="minorHAnsi"/>
                <w:sz w:val="18"/>
                <w:szCs w:val="18"/>
              </w:rPr>
            </w:pPr>
            <w:r>
              <w:rPr>
                <w:rFonts w:asciiTheme="minorHAnsi" w:hAnsiTheme="minorHAnsi" w:cstheme="minorHAnsi"/>
                <w:sz w:val="18"/>
                <w:szCs w:val="18"/>
              </w:rPr>
              <w:t>468</w:t>
            </w:r>
            <w:r w:rsidR="001D4CD2" w:rsidRPr="0018777D">
              <w:rPr>
                <w:rFonts w:asciiTheme="minorHAnsi" w:hAnsiTheme="minorHAnsi" w:cstheme="minorHAnsi"/>
                <w:sz w:val="18"/>
                <w:szCs w:val="18"/>
              </w:rPr>
              <w:t>*</w:t>
            </w:r>
          </w:p>
        </w:tc>
      </w:tr>
      <w:tr w:rsidR="00BE17A5" w:rsidRPr="006A56A2" w:rsidTr="00E762F1">
        <w:trPr>
          <w:cnfStyle w:val="000000010000" w:firstRow="0" w:lastRow="0" w:firstColumn="0" w:lastColumn="0" w:oddVBand="0" w:evenVBand="0" w:oddHBand="0" w:evenHBand="1" w:firstRowFirstColumn="0" w:firstRowLastColumn="0" w:lastRowFirstColumn="0" w:lastRowLastColumn="0"/>
          <w:trHeight w:val="510"/>
          <w:jc w:val="center"/>
        </w:trPr>
        <w:tc>
          <w:tcPr>
            <w:tcW w:w="3853" w:type="dxa"/>
            <w:noWrap/>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Up to 244 Watt Interior Fixture T5 Linear Fluorescent  replacing 350 Watt lamp base case</w:t>
            </w:r>
          </w:p>
        </w:tc>
        <w:tc>
          <w:tcPr>
            <w:tcW w:w="2160" w:type="dxa"/>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(4) 46" T5HO with (2) IS Ballast</w:t>
            </w:r>
          </w:p>
        </w:tc>
        <w:tc>
          <w:tcPr>
            <w:tcW w:w="144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F44PHL/2</w:t>
            </w:r>
          </w:p>
        </w:tc>
        <w:tc>
          <w:tcPr>
            <w:tcW w:w="108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234</w:t>
            </w:r>
          </w:p>
        </w:tc>
      </w:tr>
      <w:tr w:rsidR="00BE17A5" w:rsidRPr="006A56A2" w:rsidTr="00E762F1">
        <w:trPr>
          <w:cnfStyle w:val="000000100000" w:firstRow="0" w:lastRow="0" w:firstColumn="0" w:lastColumn="0" w:oddVBand="0" w:evenVBand="0" w:oddHBand="1" w:evenHBand="0" w:firstRowFirstColumn="0" w:firstRowLastColumn="0" w:lastRowFirstColumn="0" w:lastRowLastColumn="0"/>
          <w:trHeight w:val="510"/>
          <w:jc w:val="center"/>
        </w:trPr>
        <w:tc>
          <w:tcPr>
            <w:tcW w:w="3853" w:type="dxa"/>
            <w:noWrap/>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(4) 46in (2) Programmed Start Ballast - Normal Light Output - HO T5 Linear Fluorescent replacing 400 Watt Mercury Vapor</w:t>
            </w:r>
          </w:p>
        </w:tc>
        <w:tc>
          <w:tcPr>
            <w:tcW w:w="2160" w:type="dxa"/>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(4) 46" T5HO with (2) IS Ballast</w:t>
            </w:r>
          </w:p>
        </w:tc>
        <w:tc>
          <w:tcPr>
            <w:tcW w:w="144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F44PHL/2</w:t>
            </w:r>
          </w:p>
        </w:tc>
        <w:tc>
          <w:tcPr>
            <w:tcW w:w="108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234</w:t>
            </w:r>
          </w:p>
        </w:tc>
      </w:tr>
      <w:tr w:rsidR="00BE17A5" w:rsidRPr="006A56A2" w:rsidTr="00E762F1">
        <w:trPr>
          <w:cnfStyle w:val="000000010000" w:firstRow="0" w:lastRow="0" w:firstColumn="0" w:lastColumn="0" w:oddVBand="0" w:evenVBand="0" w:oddHBand="0" w:evenHBand="1" w:firstRowFirstColumn="0" w:firstRowLastColumn="0" w:lastRowFirstColumn="0" w:lastRowLastColumn="0"/>
          <w:trHeight w:val="510"/>
          <w:jc w:val="center"/>
        </w:trPr>
        <w:tc>
          <w:tcPr>
            <w:tcW w:w="3853" w:type="dxa"/>
            <w:noWrap/>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(6) 46in (3) Programmed Start Ballast - Normal Light Output - HO T5 Linear Fluorescent replacing 400 Watt Pulse Start HID</w:t>
            </w:r>
          </w:p>
        </w:tc>
        <w:tc>
          <w:tcPr>
            <w:tcW w:w="2160" w:type="dxa"/>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(6) 46" T5HO with (3) IS Ballast</w:t>
            </w:r>
          </w:p>
        </w:tc>
        <w:tc>
          <w:tcPr>
            <w:tcW w:w="144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F46PHL/3</w:t>
            </w:r>
          </w:p>
        </w:tc>
        <w:tc>
          <w:tcPr>
            <w:tcW w:w="108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351</w:t>
            </w:r>
          </w:p>
        </w:tc>
      </w:tr>
      <w:tr w:rsidR="00BE17A5" w:rsidRPr="006A56A2" w:rsidTr="00E762F1">
        <w:trPr>
          <w:cnfStyle w:val="000000100000" w:firstRow="0" w:lastRow="0" w:firstColumn="0" w:lastColumn="0" w:oddVBand="0" w:evenVBand="0" w:oddHBand="1" w:evenHBand="0" w:firstRowFirstColumn="0" w:firstRowLastColumn="0" w:lastRowFirstColumn="0" w:lastRowLastColumn="0"/>
          <w:trHeight w:val="510"/>
          <w:jc w:val="center"/>
        </w:trPr>
        <w:tc>
          <w:tcPr>
            <w:tcW w:w="3853" w:type="dxa"/>
            <w:noWrap/>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(6) 46in (3) Programmed Start Ballast - Normal Light Output - HO T5 Linear Fluorescent replacing 700 Watt Mercury Vapor</w:t>
            </w:r>
          </w:p>
        </w:tc>
        <w:tc>
          <w:tcPr>
            <w:tcW w:w="2160" w:type="dxa"/>
            <w:vAlign w:val="center"/>
          </w:tcPr>
          <w:p w:rsidR="00BE17A5" w:rsidRPr="0018777D" w:rsidRDefault="00BE17A5" w:rsidP="00E762F1">
            <w:pPr>
              <w:rPr>
                <w:rFonts w:asciiTheme="minorHAnsi" w:hAnsiTheme="minorHAnsi" w:cstheme="minorHAnsi"/>
                <w:sz w:val="18"/>
                <w:szCs w:val="18"/>
              </w:rPr>
            </w:pPr>
            <w:r w:rsidRPr="0018777D">
              <w:rPr>
                <w:rFonts w:asciiTheme="minorHAnsi" w:hAnsiTheme="minorHAnsi" w:cstheme="minorHAnsi"/>
                <w:sz w:val="18"/>
                <w:szCs w:val="18"/>
              </w:rPr>
              <w:t>(6) 46" T5HO with (3) IS Ballast</w:t>
            </w:r>
          </w:p>
        </w:tc>
        <w:tc>
          <w:tcPr>
            <w:tcW w:w="144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F46PHL/3</w:t>
            </w:r>
          </w:p>
          <w:p w:rsidR="00BE17A5" w:rsidRPr="0018777D" w:rsidRDefault="00BE17A5" w:rsidP="00E762F1">
            <w:pPr>
              <w:jc w:val="center"/>
              <w:rPr>
                <w:rFonts w:asciiTheme="minorHAnsi" w:hAnsiTheme="minorHAnsi" w:cstheme="minorHAnsi"/>
                <w:sz w:val="18"/>
                <w:szCs w:val="18"/>
              </w:rPr>
            </w:pPr>
          </w:p>
        </w:tc>
        <w:tc>
          <w:tcPr>
            <w:tcW w:w="1080" w:type="dxa"/>
            <w:vAlign w:val="center"/>
          </w:tcPr>
          <w:p w:rsidR="00BE17A5" w:rsidRPr="0018777D" w:rsidRDefault="00BE17A5" w:rsidP="00E762F1">
            <w:pPr>
              <w:jc w:val="center"/>
              <w:rPr>
                <w:rFonts w:asciiTheme="minorHAnsi" w:hAnsiTheme="minorHAnsi" w:cstheme="minorHAnsi"/>
                <w:sz w:val="18"/>
                <w:szCs w:val="18"/>
              </w:rPr>
            </w:pPr>
            <w:r w:rsidRPr="0018777D">
              <w:rPr>
                <w:rFonts w:asciiTheme="minorHAnsi" w:hAnsiTheme="minorHAnsi" w:cstheme="minorHAnsi"/>
                <w:sz w:val="18"/>
                <w:szCs w:val="18"/>
              </w:rPr>
              <w:t>351</w:t>
            </w:r>
          </w:p>
        </w:tc>
      </w:tr>
    </w:tbl>
    <w:p w:rsidR="000B2E76" w:rsidRDefault="000B2E76" w:rsidP="000B2E76">
      <w:pPr>
        <w:rPr>
          <w:rFonts w:asciiTheme="minorHAnsi" w:hAnsiTheme="minorHAnsi" w:cstheme="minorHAnsi"/>
          <w:sz w:val="18"/>
          <w:szCs w:val="18"/>
        </w:rPr>
      </w:pPr>
      <w:r w:rsidRPr="002316C6">
        <w:rPr>
          <w:rFonts w:asciiTheme="minorHAnsi" w:hAnsiTheme="minorHAnsi" w:cstheme="minorHAnsi"/>
          <w:sz w:val="18"/>
          <w:szCs w:val="18"/>
        </w:rPr>
        <w:t xml:space="preserve">*This value </w:t>
      </w:r>
      <w:r>
        <w:rPr>
          <w:rFonts w:asciiTheme="minorHAnsi" w:hAnsiTheme="minorHAnsi" w:cstheme="minorHAnsi"/>
          <w:sz w:val="18"/>
          <w:szCs w:val="18"/>
        </w:rPr>
        <w:t>comes from the previous revisio</w:t>
      </w:r>
      <w:r w:rsidR="00E97246">
        <w:rPr>
          <w:rFonts w:asciiTheme="minorHAnsi" w:hAnsiTheme="minorHAnsi" w:cstheme="minorHAnsi"/>
          <w:sz w:val="18"/>
          <w:szCs w:val="18"/>
        </w:rPr>
        <w:t>n of this work paper (Revision 0</w:t>
      </w:r>
      <w:r>
        <w:rPr>
          <w:rFonts w:asciiTheme="minorHAnsi" w:hAnsiTheme="minorHAnsi" w:cstheme="minorHAnsi"/>
          <w:sz w:val="18"/>
          <w:szCs w:val="18"/>
        </w:rPr>
        <w:t>) and differs</w:t>
      </w:r>
      <w:r w:rsidRPr="002316C6">
        <w:rPr>
          <w:rFonts w:asciiTheme="minorHAnsi" w:hAnsiTheme="minorHAnsi" w:cstheme="minorHAnsi"/>
          <w:sz w:val="18"/>
          <w:szCs w:val="18"/>
        </w:rPr>
        <w:t xml:space="preserve"> from the </w:t>
      </w:r>
      <w:r>
        <w:rPr>
          <w:rFonts w:asciiTheme="minorHAnsi" w:hAnsiTheme="minorHAnsi" w:cstheme="minorHAnsi"/>
          <w:sz w:val="18"/>
          <w:szCs w:val="18"/>
        </w:rPr>
        <w:t>May 30 disposition value. Since the disposition document only addresses code baseline and not the measure case, it is unclear why the disposition’s recommended measure case wattages</w:t>
      </w:r>
      <w:r w:rsidR="00E97246">
        <w:rPr>
          <w:rFonts w:asciiTheme="minorHAnsi" w:hAnsiTheme="minorHAnsi" w:cstheme="minorHAnsi"/>
          <w:sz w:val="18"/>
          <w:szCs w:val="18"/>
        </w:rPr>
        <w:t xml:space="preserve"> differ from those in Revision 0</w:t>
      </w:r>
      <w:r>
        <w:rPr>
          <w:rFonts w:asciiTheme="minorHAnsi" w:hAnsiTheme="minorHAnsi" w:cstheme="minorHAnsi"/>
          <w:sz w:val="18"/>
          <w:szCs w:val="18"/>
        </w:rPr>
        <w:t xml:space="preserve"> of this work paper. Therefore, the disposition value is not used.</w:t>
      </w:r>
    </w:p>
    <w:p w:rsidR="000B2E76" w:rsidRPr="006A56A2" w:rsidRDefault="000B2E76" w:rsidP="00BE17A5">
      <w:pPr>
        <w:rPr>
          <w:rFonts w:asciiTheme="minorHAnsi" w:hAnsiTheme="minorHAnsi" w:cstheme="minorHAnsi"/>
          <w:sz w:val="22"/>
          <w:szCs w:val="22"/>
        </w:rPr>
      </w:pPr>
    </w:p>
    <w:p w:rsidR="00BE17A5" w:rsidRPr="00D219AF" w:rsidRDefault="00BE17A5" w:rsidP="00BE17A5">
      <w:pPr>
        <w:rPr>
          <w:rFonts w:asciiTheme="minorHAnsi" w:hAnsiTheme="minorHAnsi" w:cstheme="minorHAnsi"/>
          <w:sz w:val="22"/>
          <w:szCs w:val="22"/>
          <w:vertAlign w:val="superscript"/>
        </w:rPr>
      </w:pPr>
      <w:r w:rsidRPr="00D219AF">
        <w:rPr>
          <w:rFonts w:asciiTheme="minorHAnsi" w:hAnsiTheme="minorHAnsi" w:cstheme="minorHAnsi"/>
          <w:sz w:val="22"/>
          <w:szCs w:val="22"/>
        </w:rPr>
        <w:lastRenderedPageBreak/>
        <w:t>“The methodology of calculating energy savings for Non-CFL lamps follows a simple formula that captures wattage level changes, annual hours of use, and interactive effects on other end-uses.  For the most part, the methodology for calculating the energy savings for the Non-CFL interior lights is th</w:t>
      </w:r>
      <w:r w:rsidRPr="001F3F31">
        <w:rPr>
          <w:rFonts w:asciiTheme="minorHAnsi" w:hAnsiTheme="minorHAnsi" w:cstheme="minorHAnsi"/>
          <w:sz w:val="22"/>
          <w:szCs w:val="22"/>
        </w:rPr>
        <w:t>e same as for interior CFL lamps.</w:t>
      </w:r>
      <w:r w:rsidRPr="00D219AF">
        <w:rPr>
          <w:rFonts w:asciiTheme="minorHAnsi" w:hAnsiTheme="minorHAnsi" w:cstheme="minorHAnsi"/>
          <w:sz w:val="22"/>
          <w:szCs w:val="22"/>
        </w:rPr>
        <w:t>” [26, page 3-8]</w:t>
      </w:r>
    </w:p>
    <w:p w:rsidR="00BE17A5" w:rsidRPr="006A56A2" w:rsidRDefault="00BE17A5" w:rsidP="00BE17A5">
      <w:pPr>
        <w:rPr>
          <w:rFonts w:asciiTheme="minorHAnsi" w:hAnsiTheme="minorHAnsi" w:cstheme="minorHAnsi"/>
          <w:sz w:val="22"/>
          <w:szCs w:val="22"/>
          <w:vertAlign w:val="superscript"/>
        </w:rPr>
      </w:pPr>
    </w:p>
    <w:p w:rsidR="00BE17A5" w:rsidRPr="006A56A2"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Equation 1</w:t>
      </w:r>
      <w:r w:rsidRPr="006A56A2">
        <w:rPr>
          <w:rFonts w:asciiTheme="minorHAnsi" w:hAnsiTheme="minorHAnsi" w:cstheme="minorHAnsi"/>
          <w:b/>
          <w:sz w:val="22"/>
          <w:szCs w:val="22"/>
        </w:rPr>
        <w:t xml:space="preserve"> </w:t>
      </w:r>
      <w:r w:rsidRPr="006A56A2">
        <w:rPr>
          <w:rFonts w:asciiTheme="minorHAnsi" w:hAnsiTheme="minorHAnsi" w:cstheme="minorHAnsi"/>
          <w:sz w:val="22"/>
          <w:szCs w:val="22"/>
        </w:rPr>
        <w:t>illustrates the energy savings estimation methodologies used to calculate Non-CFL interior lighting measures.</w:t>
      </w:r>
    </w:p>
    <w:p w:rsidR="00BE17A5" w:rsidRPr="006A56A2" w:rsidRDefault="00BE17A5" w:rsidP="00BE17A5">
      <w:pPr>
        <w:pStyle w:val="Normal2"/>
        <w:jc w:val="right"/>
        <w:rPr>
          <w:rFonts w:asciiTheme="minorHAnsi" w:hAnsiTheme="minorHAnsi" w:cstheme="minorHAnsi"/>
          <w:sz w:val="22"/>
          <w:szCs w:val="22"/>
        </w:rPr>
      </w:pPr>
    </w:p>
    <w:p w:rsidR="00BE17A5" w:rsidRPr="0099488B" w:rsidRDefault="00BE17A5" w:rsidP="00BE17A5">
      <w:pPr>
        <w:pStyle w:val="Caption"/>
        <w:rPr>
          <w:rFonts w:asciiTheme="minorHAnsi" w:hAnsiTheme="minorHAnsi" w:cstheme="minorHAnsi"/>
          <w:sz w:val="22"/>
          <w:szCs w:val="22"/>
        </w:rPr>
      </w:pPr>
      <w:r w:rsidRPr="006A56A2">
        <w:rPr>
          <w:rFonts w:asciiTheme="minorHAnsi" w:hAnsiTheme="minorHAnsi" w:cstheme="minorHAnsi"/>
          <w:position w:val="-30"/>
          <w:sz w:val="22"/>
          <w:szCs w:val="22"/>
        </w:rPr>
        <w:object w:dxaOrig="7640" w:dyaOrig="720" w14:anchorId="024645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5pt;height:36pt" o:ole="">
            <v:imagedata r:id="rId12" o:title=""/>
          </v:shape>
          <o:OLEObject Type="Embed" ProgID="Equation.3" ShapeID="_x0000_i1025" DrawAspect="Content" ObjectID="_1468297514" r:id="rId13"/>
        </w:object>
      </w:r>
      <w:r w:rsidRPr="006A56A2">
        <w:rPr>
          <w:rFonts w:asciiTheme="minorHAnsi" w:hAnsiTheme="minorHAnsi" w:cstheme="minorHAnsi"/>
          <w:sz w:val="22"/>
          <w:szCs w:val="22"/>
        </w:rPr>
        <w:t xml:space="preserve">  </w:t>
      </w:r>
      <w:bookmarkStart w:id="25" w:name="_Ref178767441"/>
      <w:r w:rsidRPr="006A56A2">
        <w:rPr>
          <w:rFonts w:asciiTheme="minorHAnsi" w:hAnsiTheme="minorHAnsi" w:cstheme="minorHAnsi"/>
          <w:sz w:val="22"/>
          <w:szCs w:val="22"/>
        </w:rPr>
        <w:t xml:space="preserve">    </w:t>
      </w:r>
      <w:r>
        <w:rPr>
          <w:rFonts w:asciiTheme="minorHAnsi" w:hAnsiTheme="minorHAnsi" w:cstheme="minorHAnsi"/>
          <w:sz w:val="22"/>
          <w:szCs w:val="22"/>
        </w:rPr>
        <w:t xml:space="preserve"> </w:t>
      </w:r>
      <w:r w:rsidRPr="006A56A2">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9488B">
        <w:rPr>
          <w:rFonts w:asciiTheme="minorHAnsi" w:hAnsiTheme="minorHAnsi" w:cstheme="minorHAnsi"/>
          <w:sz w:val="22"/>
          <w:szCs w:val="22"/>
        </w:rPr>
        <w:t xml:space="preserve">Equation </w:t>
      </w:r>
      <w:r w:rsidRPr="0099488B">
        <w:rPr>
          <w:rFonts w:asciiTheme="minorHAnsi" w:hAnsiTheme="minorHAnsi" w:cstheme="minorHAnsi"/>
          <w:sz w:val="22"/>
          <w:szCs w:val="22"/>
        </w:rPr>
        <w:fldChar w:fldCharType="begin"/>
      </w:r>
      <w:r w:rsidRPr="0099488B">
        <w:rPr>
          <w:rFonts w:asciiTheme="minorHAnsi" w:hAnsiTheme="minorHAnsi" w:cstheme="minorHAnsi"/>
          <w:sz w:val="22"/>
          <w:szCs w:val="22"/>
        </w:rPr>
        <w:instrText xml:space="preserve"> SEQ Equation \* ARABIC </w:instrText>
      </w:r>
      <w:r w:rsidRPr="0099488B">
        <w:rPr>
          <w:rFonts w:asciiTheme="minorHAnsi" w:hAnsiTheme="minorHAnsi" w:cstheme="minorHAnsi"/>
          <w:sz w:val="22"/>
          <w:szCs w:val="22"/>
        </w:rPr>
        <w:fldChar w:fldCharType="separate"/>
      </w:r>
      <w:r w:rsidR="00302C1D">
        <w:rPr>
          <w:rFonts w:asciiTheme="minorHAnsi" w:hAnsiTheme="minorHAnsi" w:cstheme="minorHAnsi"/>
          <w:noProof/>
          <w:sz w:val="22"/>
          <w:szCs w:val="22"/>
        </w:rPr>
        <w:t>1</w:t>
      </w:r>
      <w:r w:rsidRPr="0099488B">
        <w:rPr>
          <w:rFonts w:asciiTheme="minorHAnsi" w:hAnsiTheme="minorHAnsi" w:cstheme="minorHAnsi"/>
          <w:sz w:val="22"/>
          <w:szCs w:val="22"/>
        </w:rPr>
        <w:fldChar w:fldCharType="end"/>
      </w:r>
    </w:p>
    <w:bookmarkEnd w:id="25"/>
    <w:p w:rsidR="00BE17A5" w:rsidRPr="006A56A2" w:rsidRDefault="00BE17A5" w:rsidP="00BE17A5">
      <w:pPr>
        <w:pStyle w:val="Normal2"/>
        <w:jc w:val="center"/>
        <w:rPr>
          <w:rFonts w:asciiTheme="minorHAnsi" w:hAnsiTheme="minorHAnsi" w:cstheme="minorHAnsi"/>
          <w:b/>
          <w:sz w:val="22"/>
          <w:szCs w:val="22"/>
        </w:rPr>
      </w:pPr>
      <w:r w:rsidRPr="006A56A2">
        <w:rPr>
          <w:rFonts w:asciiTheme="minorHAnsi" w:hAnsiTheme="minorHAnsi" w:cstheme="minorHAnsi"/>
          <w:sz w:val="22"/>
          <w:szCs w:val="22"/>
        </w:rPr>
        <w:t xml:space="preserve">  </w:t>
      </w:r>
    </w:p>
    <w:p w:rsidR="00BE17A5" w:rsidRPr="006A56A2"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Equation 2</w:t>
      </w:r>
      <w:r w:rsidRPr="006A56A2">
        <w:rPr>
          <w:rFonts w:asciiTheme="minorHAnsi" w:hAnsiTheme="minorHAnsi" w:cstheme="minorHAnsi"/>
          <w:b/>
          <w:sz w:val="22"/>
          <w:szCs w:val="22"/>
        </w:rPr>
        <w:t xml:space="preserve"> </w:t>
      </w:r>
      <w:r w:rsidRPr="006A56A2">
        <w:rPr>
          <w:rFonts w:asciiTheme="minorHAnsi" w:hAnsiTheme="minorHAnsi" w:cstheme="minorHAnsi"/>
          <w:sz w:val="22"/>
          <w:szCs w:val="22"/>
        </w:rPr>
        <w:t xml:space="preserve">illustrates a step-by-step sample calculation shown for the Education – Primary School </w:t>
      </w:r>
      <w:r>
        <w:rPr>
          <w:rFonts w:asciiTheme="minorHAnsi" w:hAnsiTheme="minorHAnsi" w:cstheme="minorHAnsi"/>
          <w:sz w:val="22"/>
          <w:szCs w:val="22"/>
        </w:rPr>
        <w:t>building type in climate zone 6</w:t>
      </w:r>
      <w:r w:rsidRPr="006A56A2">
        <w:rPr>
          <w:rFonts w:asciiTheme="minorHAnsi" w:hAnsiTheme="minorHAnsi" w:cstheme="minorHAnsi"/>
          <w:sz w:val="22"/>
          <w:szCs w:val="22"/>
        </w:rPr>
        <w:t xml:space="preserve"> using the methodology shown in Equation 1</w:t>
      </w:r>
      <w:r>
        <w:rPr>
          <w:rFonts w:asciiTheme="minorHAnsi" w:hAnsiTheme="minorHAnsi" w:cstheme="minorHAnsi"/>
          <w:sz w:val="22"/>
          <w:szCs w:val="22"/>
        </w:rPr>
        <w:t xml:space="preserve"> for </w:t>
      </w:r>
      <w:r w:rsidRPr="00696FEF">
        <w:rPr>
          <w:rFonts w:asciiTheme="minorHAnsi" w:hAnsiTheme="minorHAnsi" w:cstheme="minorHAnsi"/>
          <w:sz w:val="22"/>
          <w:szCs w:val="22"/>
        </w:rPr>
        <w:t xml:space="preserve">Up to </w:t>
      </w:r>
      <w:r w:rsidR="00F85E89">
        <w:rPr>
          <w:rFonts w:asciiTheme="minorHAnsi" w:hAnsiTheme="minorHAnsi" w:cstheme="minorHAnsi"/>
          <w:sz w:val="22"/>
          <w:szCs w:val="22"/>
        </w:rPr>
        <w:t>128</w:t>
      </w:r>
      <w:r w:rsidRPr="00696FEF">
        <w:rPr>
          <w:rFonts w:asciiTheme="minorHAnsi" w:hAnsiTheme="minorHAnsi" w:cstheme="minorHAnsi"/>
          <w:sz w:val="22"/>
          <w:szCs w:val="22"/>
        </w:rPr>
        <w:t xml:space="preserve"> Watt Interior Fixture T5 Linear Fluorescent  replacing </w:t>
      </w:r>
      <w:r w:rsidR="003F5050">
        <w:rPr>
          <w:rFonts w:asciiTheme="minorHAnsi" w:hAnsiTheme="minorHAnsi" w:cstheme="minorHAnsi"/>
          <w:sz w:val="22"/>
          <w:szCs w:val="22"/>
        </w:rPr>
        <w:t>101-175</w:t>
      </w:r>
      <w:r w:rsidRPr="00696FEF">
        <w:rPr>
          <w:rFonts w:asciiTheme="minorHAnsi" w:hAnsiTheme="minorHAnsi" w:cstheme="minorHAnsi"/>
          <w:sz w:val="22"/>
          <w:szCs w:val="22"/>
        </w:rPr>
        <w:t xml:space="preserve"> Watt lamp base case</w:t>
      </w:r>
      <w:r w:rsidRPr="00696FEF">
        <w:rPr>
          <w:rFonts w:asciiTheme="minorHAnsi" w:hAnsiTheme="minorHAnsi" w:cstheme="minorHAnsi"/>
          <w:b/>
          <w:sz w:val="22"/>
          <w:szCs w:val="22"/>
        </w:rPr>
        <w:t>.</w:t>
      </w:r>
      <w:r w:rsidRPr="00696FEF">
        <w:rPr>
          <w:rFonts w:asciiTheme="minorHAnsi" w:hAnsiTheme="minorHAnsi" w:cstheme="minorHAnsi"/>
          <w:sz w:val="22"/>
          <w:szCs w:val="22"/>
        </w:rPr>
        <w:t xml:space="preserve"> The Energy</w:t>
      </w:r>
      <w:r w:rsidRPr="006A56A2">
        <w:rPr>
          <w:rFonts w:asciiTheme="minorHAnsi" w:hAnsiTheme="minorHAnsi" w:cstheme="minorHAnsi"/>
          <w:sz w:val="22"/>
          <w:szCs w:val="22"/>
        </w:rPr>
        <w:t xml:space="preserve"> Savings values use the same methodologies for all market sectors as derived here for the Education – Primary School market sector and can also be found in the </w:t>
      </w:r>
      <w:r>
        <w:rPr>
          <w:rFonts w:asciiTheme="minorHAnsi" w:hAnsiTheme="minorHAnsi" w:cstheme="minorHAnsi"/>
          <w:sz w:val="22"/>
          <w:szCs w:val="22"/>
        </w:rPr>
        <w:t>Calculation Template [E]</w:t>
      </w:r>
      <w:r w:rsidRPr="006A56A2">
        <w:rPr>
          <w:rFonts w:asciiTheme="minorHAnsi" w:hAnsiTheme="minorHAnsi" w:cstheme="minorHAnsi"/>
          <w:sz w:val="22"/>
          <w:szCs w:val="22"/>
        </w:rPr>
        <w:t xml:space="preserve">. </w:t>
      </w:r>
    </w:p>
    <w:p w:rsidR="00F85E89"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 xml:space="preserve">  </w:t>
      </w:r>
    </w:p>
    <w:p w:rsidR="00BE17A5" w:rsidRDefault="00F85E89" w:rsidP="00BE17A5">
      <w:pPr>
        <w:rPr>
          <w:rFonts w:asciiTheme="minorHAnsi" w:hAnsiTheme="minorHAnsi" w:cstheme="minorHAnsi"/>
          <w:sz w:val="22"/>
          <w:szCs w:val="22"/>
        </w:rPr>
      </w:pPr>
      <w:r>
        <w:rPr>
          <w:rFonts w:asciiTheme="minorHAnsi" w:hAnsiTheme="minorHAnsi" w:cstheme="minorHAnsi"/>
          <w:sz w:val="22"/>
          <w:szCs w:val="22"/>
        </w:rPr>
        <w:t>1</w:t>
      </w:r>
      <w:r w:rsidRPr="00F85E89">
        <w:rPr>
          <w:rFonts w:asciiTheme="minorHAnsi" w:hAnsiTheme="minorHAnsi" w:cstheme="minorHAnsi"/>
          <w:sz w:val="22"/>
          <w:szCs w:val="22"/>
          <w:vertAlign w:val="superscript"/>
        </w:rPr>
        <w:t>st</w:t>
      </w:r>
      <w:r>
        <w:rPr>
          <w:rFonts w:asciiTheme="minorHAnsi" w:hAnsiTheme="minorHAnsi" w:cstheme="minorHAnsi"/>
          <w:sz w:val="22"/>
          <w:szCs w:val="22"/>
        </w:rPr>
        <w:t xml:space="preserve"> baseline</w:t>
      </w:r>
    </w:p>
    <w:p w:rsidR="00BE17A5" w:rsidRDefault="00F85E89" w:rsidP="00F85E89">
      <w:pPr>
        <w:rPr>
          <w:rFonts w:asciiTheme="minorHAnsi" w:hAnsiTheme="minorHAnsi" w:cstheme="minorHAnsi"/>
          <w:b/>
          <w:sz w:val="22"/>
          <w:szCs w:val="22"/>
        </w:rPr>
      </w:pPr>
      <m:oMath>
        <m:r>
          <w:rPr>
            <w:rFonts w:ascii="Cambria Math" w:hAnsi="Cambria Math" w:cstheme="minorHAnsi"/>
            <w:sz w:val="20"/>
            <w:szCs w:val="20"/>
          </w:rPr>
          <m:t>Energy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268.81 kWh savings</m:t>
                </m:r>
              </m:num>
              <m:den>
                <m:r>
                  <w:rPr>
                    <w:rFonts w:ascii="Cambria Math" w:hAnsi="Cambria Math" w:cstheme="minorHAnsi"/>
                    <w:sz w:val="20"/>
                    <w:szCs w:val="20"/>
                  </w:rPr>
                  <m:t>unit∙year</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m:t>
            </m:r>
            <m:d>
              <m:dPr>
                <m:ctrlPr>
                  <w:rPr>
                    <w:rFonts w:ascii="Cambria Math" w:hAnsi="Cambria Math" w:cstheme="minorHAnsi"/>
                    <w:i/>
                    <w:sz w:val="20"/>
                    <w:szCs w:val="20"/>
                  </w:rPr>
                </m:ctrlPr>
              </m:dPr>
              <m:e>
                <m:r>
                  <w:rPr>
                    <w:rFonts w:ascii="Cambria Math" w:hAnsi="Cambria Math" w:cstheme="minorHAnsi"/>
                    <w:sz w:val="20"/>
                    <w:szCs w:val="20"/>
                  </w:rPr>
                  <m:t>215x2135.2</m:t>
                </m:r>
              </m:e>
            </m:d>
            <m:r>
              <w:rPr>
                <w:rFonts w:ascii="Cambria Math" w:hAnsi="Cambria Math" w:cstheme="minorHAnsi"/>
                <w:sz w:val="20"/>
                <w:szCs w:val="20"/>
              </w:rPr>
              <m:t>-(117x1950  )]x(1.1641)</m:t>
            </m:r>
          </m:num>
          <m:den>
            <m:r>
              <w:rPr>
                <w:rFonts w:ascii="Cambria Math" w:hAnsi="Cambria Math" w:cstheme="minorHAnsi"/>
                <w:sz w:val="20"/>
                <w:szCs w:val="20"/>
              </w:rPr>
              <m:t>1,000 Watt hours /kWh</m:t>
            </m:r>
          </m:den>
        </m:f>
      </m:oMath>
      <w:r w:rsidR="00302C1D">
        <w:rPr>
          <w:rFonts w:asciiTheme="minorHAnsi" w:hAnsiTheme="minorHAnsi" w:cstheme="minorHAnsi"/>
          <w:sz w:val="22"/>
          <w:szCs w:val="22"/>
        </w:rPr>
        <w:tab/>
      </w:r>
      <w:r w:rsidR="00302C1D">
        <w:rPr>
          <w:rFonts w:asciiTheme="minorHAnsi" w:hAnsiTheme="minorHAnsi" w:cstheme="minorHAnsi"/>
          <w:sz w:val="22"/>
          <w:szCs w:val="22"/>
        </w:rPr>
        <w:tab/>
      </w:r>
      <w:r w:rsidR="00BE17A5" w:rsidRPr="00542B6C">
        <w:rPr>
          <w:rFonts w:asciiTheme="minorHAnsi" w:hAnsiTheme="minorHAnsi" w:cstheme="minorHAnsi"/>
          <w:b/>
          <w:sz w:val="22"/>
          <w:szCs w:val="22"/>
        </w:rPr>
        <w:t xml:space="preserve">Equation </w:t>
      </w:r>
      <w:r w:rsidR="00BE17A5" w:rsidRPr="00542B6C">
        <w:rPr>
          <w:rFonts w:asciiTheme="minorHAnsi" w:hAnsiTheme="minorHAnsi" w:cstheme="minorHAnsi"/>
          <w:b/>
          <w:sz w:val="22"/>
          <w:szCs w:val="22"/>
        </w:rPr>
        <w:fldChar w:fldCharType="begin"/>
      </w:r>
      <w:r w:rsidR="00BE17A5" w:rsidRPr="00542B6C">
        <w:rPr>
          <w:rFonts w:asciiTheme="minorHAnsi" w:hAnsiTheme="minorHAnsi" w:cstheme="minorHAnsi"/>
          <w:b/>
          <w:sz w:val="22"/>
          <w:szCs w:val="22"/>
        </w:rPr>
        <w:instrText xml:space="preserve"> SEQ Equation \* ARABIC </w:instrText>
      </w:r>
      <w:r w:rsidR="00BE17A5" w:rsidRPr="00542B6C">
        <w:rPr>
          <w:rFonts w:asciiTheme="minorHAnsi" w:hAnsiTheme="minorHAnsi" w:cstheme="minorHAnsi"/>
          <w:b/>
          <w:sz w:val="22"/>
          <w:szCs w:val="22"/>
        </w:rPr>
        <w:fldChar w:fldCharType="separate"/>
      </w:r>
      <w:r w:rsidR="00302C1D">
        <w:rPr>
          <w:rFonts w:asciiTheme="minorHAnsi" w:hAnsiTheme="minorHAnsi" w:cstheme="minorHAnsi"/>
          <w:b/>
          <w:noProof/>
          <w:sz w:val="22"/>
          <w:szCs w:val="22"/>
        </w:rPr>
        <w:t>2</w:t>
      </w:r>
      <w:r w:rsidR="00BE17A5" w:rsidRPr="00542B6C">
        <w:rPr>
          <w:rFonts w:asciiTheme="minorHAnsi" w:hAnsiTheme="minorHAnsi" w:cstheme="minorHAnsi"/>
          <w:b/>
          <w:sz w:val="22"/>
          <w:szCs w:val="22"/>
        </w:rPr>
        <w:fldChar w:fldCharType="end"/>
      </w:r>
    </w:p>
    <w:p w:rsidR="00BE17A5" w:rsidRDefault="00BE17A5" w:rsidP="00BE17A5"/>
    <w:p w:rsidR="00302C1D" w:rsidRPr="006A56A2" w:rsidRDefault="00302C1D" w:rsidP="00302C1D">
      <w:pPr>
        <w:rPr>
          <w:rFonts w:asciiTheme="minorHAnsi" w:hAnsiTheme="minorHAnsi" w:cstheme="minorHAnsi"/>
          <w:sz w:val="22"/>
          <w:szCs w:val="22"/>
        </w:rPr>
      </w:pPr>
      <w:r>
        <w:rPr>
          <w:rFonts w:asciiTheme="minorHAnsi" w:hAnsiTheme="minorHAnsi" w:cstheme="minorHAnsi"/>
          <w:sz w:val="22"/>
          <w:szCs w:val="22"/>
        </w:rPr>
        <w:t>2</w:t>
      </w:r>
      <w:r w:rsidRPr="00302C1D">
        <w:rPr>
          <w:rFonts w:asciiTheme="minorHAnsi" w:hAnsiTheme="minorHAnsi" w:cstheme="minorHAnsi"/>
          <w:sz w:val="22"/>
          <w:szCs w:val="22"/>
          <w:vertAlign w:val="superscript"/>
        </w:rPr>
        <w:t>nd</w:t>
      </w:r>
      <w:r>
        <w:rPr>
          <w:rFonts w:asciiTheme="minorHAnsi" w:hAnsiTheme="minorHAnsi" w:cstheme="minorHAnsi"/>
          <w:sz w:val="22"/>
          <w:szCs w:val="22"/>
        </w:rPr>
        <w:t xml:space="preserve"> baseline</w:t>
      </w:r>
    </w:p>
    <w:p w:rsidR="00F85E89" w:rsidRPr="00F85E89" w:rsidRDefault="00F85E89" w:rsidP="00BE17A5">
      <w:pPr>
        <w:rPr>
          <w:rFonts w:asciiTheme="minorHAnsi" w:hAnsiTheme="minorHAnsi" w:cstheme="minorHAnsi"/>
          <w:sz w:val="20"/>
          <w:szCs w:val="20"/>
        </w:rPr>
      </w:pPr>
      <m:oMath>
        <m:r>
          <w:rPr>
            <w:rFonts w:ascii="Cambria Math" w:hAnsi="Cambria Math" w:cstheme="minorHAnsi"/>
            <w:sz w:val="20"/>
            <w:szCs w:val="20"/>
          </w:rPr>
          <m:t>Energy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206.57 kWh savings</m:t>
                </m:r>
              </m:num>
              <m:den>
                <m:r>
                  <w:rPr>
                    <w:rFonts w:ascii="Cambria Math" w:hAnsi="Cambria Math" w:cstheme="minorHAnsi"/>
                    <w:sz w:val="20"/>
                    <w:szCs w:val="20"/>
                  </w:rPr>
                  <m:t>unit∙year</m:t>
                </m:r>
              </m:den>
            </m:f>
          </m:e>
        </m:d>
        <m:r>
          <w:rPr>
            <w:rFonts w:ascii="Cambria Math" w:hAnsi="Cambria Math" w:cstheme="minorHAnsi"/>
            <w:sz w:val="20"/>
            <w:szCs w:val="20"/>
          </w:rPr>
          <m:t>=</m:t>
        </m:r>
        <m:f>
          <m:fPr>
            <m:ctrlPr>
              <w:rPr>
                <w:rFonts w:ascii="Cambria Math" w:hAnsi="Cambria Math" w:cstheme="minorHAnsi"/>
                <w:i/>
                <w:sz w:val="20"/>
                <w:szCs w:val="20"/>
              </w:rPr>
            </m:ctrlPr>
          </m:fPr>
          <m:num>
            <m:d>
              <m:dPr>
                <m:ctrlPr>
                  <w:rPr>
                    <w:rFonts w:ascii="Cambria Math" w:hAnsi="Cambria Math" w:cstheme="minorHAnsi"/>
                    <w:i/>
                    <w:sz w:val="20"/>
                    <w:szCs w:val="20"/>
                  </w:rPr>
                </m:ctrlPr>
              </m:dPr>
              <m:e>
                <m:r>
                  <w:rPr>
                    <w:rFonts w:ascii="Cambria Math" w:hAnsi="Cambria Math" w:cstheme="minorHAnsi"/>
                    <w:sz w:val="20"/>
                    <w:szCs w:val="20"/>
                  </w:rPr>
                  <m:t>91</m:t>
                </m:r>
              </m:e>
            </m:d>
            <m:r>
              <w:rPr>
                <w:rFonts w:ascii="Cambria Math" w:hAnsi="Cambria Math" w:cstheme="minorHAnsi"/>
                <w:sz w:val="20"/>
                <w:szCs w:val="20"/>
              </w:rPr>
              <m:t>X(1950)x(1.1641)</m:t>
            </m:r>
          </m:num>
          <m:den>
            <m:r>
              <w:rPr>
                <w:rFonts w:ascii="Cambria Math" w:hAnsi="Cambria Math" w:cstheme="minorHAnsi"/>
                <w:sz w:val="20"/>
                <w:szCs w:val="20"/>
              </w:rPr>
              <m:t>1,000 Watt hours /kWh</m:t>
            </m:r>
          </m:den>
        </m:f>
      </m:oMath>
      <w:r w:rsidR="00302C1D">
        <w:rPr>
          <w:rFonts w:asciiTheme="minorHAnsi" w:hAnsiTheme="minorHAnsi" w:cstheme="minorHAnsi"/>
          <w:sz w:val="22"/>
          <w:szCs w:val="22"/>
        </w:rPr>
        <w:t xml:space="preserve"> </w:t>
      </w:r>
      <w:r w:rsidR="00302C1D">
        <w:rPr>
          <w:rFonts w:asciiTheme="minorHAnsi" w:hAnsiTheme="minorHAnsi" w:cstheme="minorHAnsi"/>
          <w:sz w:val="22"/>
          <w:szCs w:val="22"/>
        </w:rPr>
        <w:tab/>
      </w:r>
      <w:r w:rsidR="00302C1D">
        <w:rPr>
          <w:rFonts w:asciiTheme="minorHAnsi" w:hAnsiTheme="minorHAnsi" w:cstheme="minorHAnsi"/>
          <w:sz w:val="22"/>
          <w:szCs w:val="22"/>
        </w:rPr>
        <w:tab/>
      </w:r>
      <w:r w:rsidR="00302C1D">
        <w:rPr>
          <w:rFonts w:asciiTheme="minorHAnsi" w:hAnsiTheme="minorHAnsi" w:cstheme="minorHAnsi"/>
          <w:sz w:val="22"/>
          <w:szCs w:val="22"/>
        </w:rPr>
        <w:tab/>
      </w:r>
      <w:r w:rsidR="00302C1D" w:rsidRPr="00542B6C">
        <w:rPr>
          <w:rFonts w:asciiTheme="minorHAnsi" w:hAnsiTheme="minorHAnsi" w:cstheme="minorHAnsi"/>
          <w:b/>
          <w:sz w:val="22"/>
          <w:szCs w:val="22"/>
        </w:rPr>
        <w:t xml:space="preserve">Equation </w:t>
      </w:r>
      <w:r w:rsidR="00302C1D" w:rsidRPr="00542B6C">
        <w:rPr>
          <w:rFonts w:asciiTheme="minorHAnsi" w:hAnsiTheme="minorHAnsi" w:cstheme="minorHAnsi"/>
          <w:b/>
          <w:sz w:val="22"/>
          <w:szCs w:val="22"/>
        </w:rPr>
        <w:fldChar w:fldCharType="begin"/>
      </w:r>
      <w:r w:rsidR="00302C1D" w:rsidRPr="00542B6C">
        <w:rPr>
          <w:rFonts w:asciiTheme="minorHAnsi" w:hAnsiTheme="minorHAnsi" w:cstheme="minorHAnsi"/>
          <w:b/>
          <w:sz w:val="22"/>
          <w:szCs w:val="22"/>
        </w:rPr>
        <w:instrText xml:space="preserve"> SEQ Equation \* ARABIC </w:instrText>
      </w:r>
      <w:r w:rsidR="00302C1D" w:rsidRPr="00542B6C">
        <w:rPr>
          <w:rFonts w:asciiTheme="minorHAnsi" w:hAnsiTheme="minorHAnsi" w:cstheme="minorHAnsi"/>
          <w:b/>
          <w:sz w:val="22"/>
          <w:szCs w:val="22"/>
        </w:rPr>
        <w:fldChar w:fldCharType="separate"/>
      </w:r>
      <w:r w:rsidR="00302C1D">
        <w:rPr>
          <w:rFonts w:asciiTheme="minorHAnsi" w:hAnsiTheme="minorHAnsi" w:cstheme="minorHAnsi"/>
          <w:b/>
          <w:noProof/>
          <w:sz w:val="22"/>
          <w:szCs w:val="22"/>
        </w:rPr>
        <w:t>3</w:t>
      </w:r>
      <w:r w:rsidR="00302C1D" w:rsidRPr="00542B6C">
        <w:rPr>
          <w:rFonts w:asciiTheme="minorHAnsi" w:hAnsiTheme="minorHAnsi" w:cstheme="minorHAnsi"/>
          <w:b/>
          <w:sz w:val="22"/>
          <w:szCs w:val="22"/>
        </w:rPr>
        <w:fldChar w:fldCharType="end"/>
      </w:r>
    </w:p>
    <w:p w:rsidR="00F85E89" w:rsidRPr="00F85E89" w:rsidRDefault="00F85E89" w:rsidP="00BE17A5">
      <w:pPr>
        <w:rPr>
          <w:rFonts w:asciiTheme="minorHAnsi" w:hAnsiTheme="minorHAnsi" w:cstheme="minorHAnsi"/>
          <w:sz w:val="22"/>
          <w:szCs w:val="22"/>
        </w:rPr>
      </w:pPr>
    </w:p>
    <w:p w:rsidR="00BE17A5" w:rsidRPr="006A56A2" w:rsidRDefault="00BE17A5" w:rsidP="00BE17A5">
      <w:pPr>
        <w:rPr>
          <w:rFonts w:asciiTheme="minorHAnsi" w:hAnsiTheme="minorHAnsi" w:cstheme="minorHAnsi"/>
          <w:sz w:val="22"/>
          <w:szCs w:val="22"/>
          <w:vertAlign w:val="superscript"/>
        </w:rPr>
      </w:pPr>
      <w:r w:rsidRPr="006A56A2">
        <w:rPr>
          <w:rFonts w:asciiTheme="minorHAnsi" w:hAnsiTheme="minorHAnsi" w:cstheme="minorHAnsi"/>
          <w:sz w:val="22"/>
          <w:szCs w:val="22"/>
        </w:rPr>
        <w:t>“The methodology of calculating demand reduction for Non-CFL lamps follows a simple formula that captures Wattage level changes, interactive effects on other end-uses, and coincidence factor for peak demand. For the most part, the methodology for calculating the demand reduction for the Non-CFL interior lights is the same as for interior CFL lamps.” [26, page 3-6]</w:t>
      </w:r>
    </w:p>
    <w:p w:rsidR="00BE17A5" w:rsidRPr="006A56A2" w:rsidRDefault="00BE17A5" w:rsidP="00BE17A5">
      <w:pPr>
        <w:pStyle w:val="pF"/>
        <w:rPr>
          <w:rFonts w:asciiTheme="minorHAnsi" w:hAnsiTheme="minorHAnsi" w:cstheme="minorHAnsi"/>
          <w:sz w:val="22"/>
          <w:szCs w:val="22"/>
          <w:vertAlign w:val="superscript"/>
        </w:rPr>
      </w:pPr>
    </w:p>
    <w:p w:rsidR="00BE17A5" w:rsidRPr="006A56A2"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 xml:space="preserve">Equation 3 illustrates the peak demand reduction estimation method used.  </w:t>
      </w:r>
    </w:p>
    <w:p w:rsidR="00BE17A5" w:rsidRPr="006A56A2" w:rsidRDefault="00BE17A5" w:rsidP="00BE17A5">
      <w:pPr>
        <w:pStyle w:val="Normal2"/>
        <w:rPr>
          <w:rFonts w:asciiTheme="minorHAnsi" w:hAnsiTheme="minorHAnsi" w:cstheme="minorHAnsi"/>
          <w:sz w:val="22"/>
          <w:szCs w:val="22"/>
        </w:rPr>
      </w:pPr>
    </w:p>
    <w:p w:rsidR="00BE17A5" w:rsidRPr="0099488B" w:rsidRDefault="00BE17A5" w:rsidP="00BE17A5">
      <w:pPr>
        <w:pStyle w:val="Caption"/>
        <w:rPr>
          <w:rFonts w:asciiTheme="minorHAnsi" w:hAnsiTheme="minorHAnsi" w:cstheme="minorHAnsi"/>
          <w:sz w:val="22"/>
          <w:szCs w:val="22"/>
        </w:rPr>
      </w:pPr>
      <w:r w:rsidRPr="006A56A2">
        <w:rPr>
          <w:rFonts w:asciiTheme="minorHAnsi" w:hAnsiTheme="minorHAnsi" w:cstheme="minorHAnsi"/>
          <w:position w:val="-28"/>
          <w:sz w:val="22"/>
          <w:szCs w:val="22"/>
        </w:rPr>
        <w:object w:dxaOrig="7460" w:dyaOrig="680" w14:anchorId="5CE3F56B">
          <v:shape id="_x0000_i1026" type="#_x0000_t75" style="width:374.25pt;height:33.75pt" o:ole="">
            <v:imagedata r:id="rId14" o:title=""/>
          </v:shape>
          <o:OLEObject Type="Embed" ProgID="Equation.3" ShapeID="_x0000_i1026" DrawAspect="Content" ObjectID="_1468297515" r:id="rId15"/>
        </w:object>
      </w:r>
      <w:r w:rsidRPr="006A56A2">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9488B">
        <w:rPr>
          <w:rFonts w:asciiTheme="minorHAnsi" w:hAnsiTheme="minorHAnsi" w:cstheme="minorHAnsi"/>
          <w:sz w:val="22"/>
          <w:szCs w:val="22"/>
        </w:rPr>
        <w:t xml:space="preserve">Equation </w:t>
      </w:r>
      <w:r w:rsidRPr="0099488B">
        <w:rPr>
          <w:rFonts w:asciiTheme="minorHAnsi" w:hAnsiTheme="minorHAnsi" w:cstheme="minorHAnsi"/>
          <w:sz w:val="22"/>
          <w:szCs w:val="22"/>
        </w:rPr>
        <w:fldChar w:fldCharType="begin"/>
      </w:r>
      <w:r w:rsidRPr="0099488B">
        <w:rPr>
          <w:rFonts w:asciiTheme="minorHAnsi" w:hAnsiTheme="minorHAnsi" w:cstheme="minorHAnsi"/>
          <w:sz w:val="22"/>
          <w:szCs w:val="22"/>
        </w:rPr>
        <w:instrText xml:space="preserve"> SEQ Equation \* ARABIC </w:instrText>
      </w:r>
      <w:r w:rsidRPr="0099488B">
        <w:rPr>
          <w:rFonts w:asciiTheme="minorHAnsi" w:hAnsiTheme="minorHAnsi" w:cstheme="minorHAnsi"/>
          <w:sz w:val="22"/>
          <w:szCs w:val="22"/>
        </w:rPr>
        <w:fldChar w:fldCharType="separate"/>
      </w:r>
      <w:r w:rsidR="00302C1D">
        <w:rPr>
          <w:rFonts w:asciiTheme="minorHAnsi" w:hAnsiTheme="minorHAnsi" w:cstheme="minorHAnsi"/>
          <w:noProof/>
          <w:sz w:val="22"/>
          <w:szCs w:val="22"/>
        </w:rPr>
        <w:t>4</w:t>
      </w:r>
      <w:r w:rsidRPr="0099488B">
        <w:rPr>
          <w:rFonts w:asciiTheme="minorHAnsi" w:hAnsiTheme="minorHAnsi" w:cstheme="minorHAnsi"/>
          <w:sz w:val="22"/>
          <w:szCs w:val="22"/>
        </w:rPr>
        <w:fldChar w:fldCharType="end"/>
      </w:r>
    </w:p>
    <w:p w:rsidR="00BE17A5" w:rsidRPr="006A56A2" w:rsidRDefault="00BE17A5" w:rsidP="00BE17A5">
      <w:pPr>
        <w:rPr>
          <w:rFonts w:asciiTheme="minorHAnsi" w:hAnsiTheme="minorHAnsi" w:cstheme="minorHAnsi"/>
          <w:sz w:val="22"/>
          <w:szCs w:val="22"/>
        </w:rPr>
      </w:pPr>
    </w:p>
    <w:p w:rsidR="00BE17A5" w:rsidRDefault="00BE17A5" w:rsidP="00BE17A5">
      <w:pPr>
        <w:rPr>
          <w:rFonts w:asciiTheme="minorHAnsi" w:hAnsiTheme="minorHAnsi" w:cstheme="minorHAnsi"/>
          <w:sz w:val="22"/>
          <w:szCs w:val="22"/>
        </w:rPr>
      </w:pPr>
      <w:r w:rsidRPr="006A56A2">
        <w:rPr>
          <w:rFonts w:asciiTheme="minorHAnsi" w:hAnsiTheme="minorHAnsi" w:cstheme="minorHAnsi"/>
          <w:sz w:val="22"/>
          <w:szCs w:val="22"/>
        </w:rPr>
        <w:t xml:space="preserve">Equation 4 illustrates a step-by-step sample calculation is shown for the Education – Primary School market sector </w:t>
      </w:r>
      <w:r>
        <w:rPr>
          <w:rFonts w:asciiTheme="minorHAnsi" w:hAnsiTheme="minorHAnsi" w:cstheme="minorHAnsi"/>
          <w:sz w:val="22"/>
          <w:szCs w:val="22"/>
        </w:rPr>
        <w:t xml:space="preserve">in climate zone 6 </w:t>
      </w:r>
      <w:r w:rsidRPr="006A56A2">
        <w:rPr>
          <w:rFonts w:asciiTheme="minorHAnsi" w:hAnsiTheme="minorHAnsi" w:cstheme="minorHAnsi"/>
          <w:sz w:val="22"/>
          <w:szCs w:val="22"/>
        </w:rPr>
        <w:t xml:space="preserve">using the methodology illustrated in Equation 3. The Demand Reduction values use the same methodologies for all market sectors as derived here for the Education – Primary School market sector and can also be found in the </w:t>
      </w:r>
      <w:r>
        <w:rPr>
          <w:rFonts w:asciiTheme="minorHAnsi" w:hAnsiTheme="minorHAnsi" w:cstheme="minorHAnsi"/>
          <w:sz w:val="22"/>
          <w:szCs w:val="22"/>
        </w:rPr>
        <w:t>Calculation Template [E].</w:t>
      </w:r>
    </w:p>
    <w:p w:rsidR="00BE17A5" w:rsidRDefault="00BE17A5" w:rsidP="00BE17A5">
      <w:pPr>
        <w:rPr>
          <w:rFonts w:asciiTheme="minorHAnsi" w:hAnsiTheme="minorHAnsi" w:cstheme="minorHAnsi"/>
          <w:sz w:val="22"/>
          <w:szCs w:val="22"/>
        </w:rPr>
      </w:pPr>
    </w:p>
    <w:p w:rsidR="00302C1D" w:rsidRDefault="00302C1D" w:rsidP="00BE17A5">
      <w:pPr>
        <w:rPr>
          <w:rFonts w:asciiTheme="minorHAnsi" w:hAnsiTheme="minorHAnsi" w:cstheme="minorHAnsi"/>
          <w:sz w:val="22"/>
          <w:szCs w:val="22"/>
        </w:rPr>
      </w:pPr>
      <w:r>
        <w:rPr>
          <w:rFonts w:asciiTheme="minorHAnsi" w:hAnsiTheme="minorHAnsi" w:cstheme="minorHAnsi"/>
          <w:sz w:val="22"/>
          <w:szCs w:val="22"/>
        </w:rPr>
        <w:t>1</w:t>
      </w:r>
      <w:r w:rsidRPr="00302C1D">
        <w:rPr>
          <w:rFonts w:asciiTheme="minorHAnsi" w:hAnsiTheme="minorHAnsi" w:cstheme="minorHAnsi"/>
          <w:sz w:val="22"/>
          <w:szCs w:val="22"/>
          <w:vertAlign w:val="superscript"/>
        </w:rPr>
        <w:t>ST</w:t>
      </w:r>
      <w:r>
        <w:rPr>
          <w:rFonts w:asciiTheme="minorHAnsi" w:hAnsiTheme="minorHAnsi" w:cstheme="minorHAnsi"/>
          <w:sz w:val="22"/>
          <w:szCs w:val="22"/>
        </w:rPr>
        <w:t xml:space="preserve"> baseline</w:t>
      </w:r>
    </w:p>
    <w:p w:rsidR="00302C1D" w:rsidRDefault="00302C1D" w:rsidP="00BE17A5">
      <w:pPr>
        <w:rPr>
          <w:rFonts w:asciiTheme="minorHAnsi" w:hAnsiTheme="minorHAnsi" w:cstheme="minorHAnsi"/>
          <w:sz w:val="22"/>
          <w:szCs w:val="22"/>
        </w:rPr>
      </w:pPr>
      <m:oMath>
        <m:r>
          <w:rPr>
            <w:rFonts w:ascii="Cambria Math" w:hAnsi="Cambria Math" w:cstheme="minorHAnsi"/>
            <w:sz w:val="20"/>
            <w:szCs w:val="20"/>
          </w:rPr>
          <m:t>Peak Demand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0.08776 kW savings</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m:t>
            </m:r>
            <m:d>
              <m:dPr>
                <m:ctrlPr>
                  <w:rPr>
                    <w:rFonts w:ascii="Cambria Math" w:hAnsi="Cambria Math" w:cstheme="minorHAnsi"/>
                    <w:i/>
                    <w:sz w:val="20"/>
                    <w:szCs w:val="20"/>
                  </w:rPr>
                </m:ctrlPr>
              </m:dPr>
              <m:e>
                <m:r>
                  <w:rPr>
                    <w:rFonts w:ascii="Cambria Math" w:hAnsi="Cambria Math" w:cstheme="minorHAnsi"/>
                    <w:sz w:val="20"/>
                    <w:szCs w:val="20"/>
                  </w:rPr>
                  <m:t>215x0.61448</m:t>
                </m:r>
              </m:e>
            </m:d>
            <m:r>
              <w:rPr>
                <w:rFonts w:ascii="Cambria Math" w:hAnsi="Cambria Math" w:cstheme="minorHAnsi"/>
                <w:sz w:val="20"/>
                <w:szCs w:val="20"/>
              </w:rPr>
              <m:t>-</m:t>
            </m:r>
            <m:d>
              <m:dPr>
                <m:ctrlPr>
                  <w:rPr>
                    <w:rFonts w:ascii="Cambria Math" w:hAnsi="Cambria Math" w:cstheme="minorHAnsi"/>
                    <w:i/>
                    <w:sz w:val="20"/>
                    <w:szCs w:val="20"/>
                  </w:rPr>
                </m:ctrlPr>
              </m:dPr>
              <m:e>
                <m:r>
                  <w:rPr>
                    <w:rFonts w:ascii="Cambria Math" w:hAnsi="Cambria Math" w:cstheme="minorHAnsi"/>
                    <w:sz w:val="20"/>
                    <w:szCs w:val="20"/>
                  </w:rPr>
                  <m:t>117x0.55113</m:t>
                </m:r>
              </m:e>
            </m:d>
            <m:r>
              <w:rPr>
                <w:rFonts w:ascii="Cambria Math" w:hAnsi="Cambria Math" w:cstheme="minorHAnsi"/>
                <w:sz w:val="20"/>
                <w:szCs w:val="20"/>
              </w:rPr>
              <m:t>]x(1.2977)</m:t>
            </m:r>
          </m:num>
          <m:den>
            <m:r>
              <w:rPr>
                <w:rFonts w:ascii="Cambria Math" w:hAnsi="Cambria Math" w:cstheme="minorHAnsi"/>
                <w:sz w:val="20"/>
                <w:szCs w:val="20"/>
              </w:rPr>
              <m:t>unit</m:t>
            </m:r>
          </m:den>
        </m:f>
      </m:oMath>
      <w:r>
        <w:rPr>
          <w:rFonts w:asciiTheme="minorHAnsi" w:hAnsiTheme="minorHAnsi" w:cstheme="minorHAnsi"/>
          <w:sz w:val="22"/>
          <w:szCs w:val="22"/>
        </w:rPr>
        <w:tab/>
      </w:r>
      <w:r w:rsidRPr="004705BE">
        <w:rPr>
          <w:rFonts w:asciiTheme="minorHAnsi" w:hAnsiTheme="minorHAnsi" w:cstheme="minorHAnsi"/>
          <w:b/>
          <w:sz w:val="22"/>
          <w:szCs w:val="22"/>
        </w:rPr>
        <w:t>Equation</w:t>
      </w:r>
      <w:r w:rsidRPr="004705BE">
        <w:rPr>
          <w:b/>
        </w:rPr>
        <w:t xml:space="preserve"> </w:t>
      </w:r>
      <w:r w:rsidRPr="004705BE">
        <w:rPr>
          <w:rFonts w:asciiTheme="minorHAnsi" w:hAnsiTheme="minorHAnsi" w:cstheme="minorHAnsi"/>
          <w:b/>
          <w:sz w:val="22"/>
          <w:szCs w:val="22"/>
        </w:rPr>
        <w:fldChar w:fldCharType="begin"/>
      </w:r>
      <w:r w:rsidRPr="004705BE">
        <w:rPr>
          <w:rFonts w:asciiTheme="minorHAnsi" w:hAnsiTheme="minorHAnsi" w:cstheme="minorHAnsi"/>
          <w:b/>
          <w:sz w:val="22"/>
          <w:szCs w:val="22"/>
        </w:rPr>
        <w:instrText xml:space="preserve"> SEQ Equation \* ARABIC </w:instrText>
      </w:r>
      <w:r w:rsidRPr="004705BE">
        <w:rPr>
          <w:rFonts w:asciiTheme="minorHAnsi" w:hAnsiTheme="minorHAnsi" w:cstheme="minorHAnsi"/>
          <w:b/>
          <w:sz w:val="22"/>
          <w:szCs w:val="22"/>
        </w:rPr>
        <w:fldChar w:fldCharType="separate"/>
      </w:r>
      <w:r>
        <w:rPr>
          <w:rFonts w:asciiTheme="minorHAnsi" w:hAnsiTheme="minorHAnsi" w:cstheme="minorHAnsi"/>
          <w:b/>
          <w:noProof/>
          <w:sz w:val="22"/>
          <w:szCs w:val="22"/>
        </w:rPr>
        <w:t>5</w:t>
      </w:r>
      <w:r w:rsidRPr="004705BE">
        <w:rPr>
          <w:rFonts w:asciiTheme="minorHAnsi" w:hAnsiTheme="minorHAnsi" w:cstheme="minorHAnsi"/>
          <w:b/>
          <w:sz w:val="22"/>
          <w:szCs w:val="22"/>
        </w:rPr>
        <w:fldChar w:fldCharType="end"/>
      </w:r>
      <w:r>
        <w:rPr>
          <w:rFonts w:asciiTheme="minorHAnsi" w:hAnsiTheme="minorHAnsi" w:cstheme="minorHAnsi"/>
          <w:sz w:val="22"/>
          <w:szCs w:val="22"/>
        </w:rPr>
        <w:tab/>
      </w:r>
    </w:p>
    <w:p w:rsidR="00302C1D" w:rsidRDefault="00302C1D" w:rsidP="00BE17A5">
      <w:pPr>
        <w:rPr>
          <w:rFonts w:asciiTheme="minorHAnsi" w:hAnsiTheme="minorHAnsi" w:cstheme="minorHAnsi"/>
          <w:sz w:val="22"/>
          <w:szCs w:val="22"/>
        </w:rPr>
      </w:pPr>
    </w:p>
    <w:p w:rsidR="00302C1D" w:rsidRPr="006A56A2" w:rsidRDefault="00302C1D" w:rsidP="00BE17A5">
      <w:pPr>
        <w:rPr>
          <w:rFonts w:asciiTheme="minorHAnsi" w:hAnsiTheme="minorHAnsi" w:cstheme="minorHAnsi"/>
          <w:sz w:val="22"/>
          <w:szCs w:val="22"/>
        </w:rPr>
      </w:pPr>
      <w:r>
        <w:rPr>
          <w:rFonts w:asciiTheme="minorHAnsi" w:hAnsiTheme="minorHAnsi" w:cstheme="minorHAnsi"/>
          <w:sz w:val="22"/>
          <w:szCs w:val="22"/>
        </w:rPr>
        <w:t>2</w:t>
      </w:r>
      <w:r w:rsidRPr="00302C1D">
        <w:rPr>
          <w:rFonts w:asciiTheme="minorHAnsi" w:hAnsiTheme="minorHAnsi" w:cstheme="minorHAnsi"/>
          <w:sz w:val="22"/>
          <w:szCs w:val="22"/>
          <w:vertAlign w:val="superscript"/>
        </w:rPr>
        <w:t>nd</w:t>
      </w:r>
      <w:r>
        <w:rPr>
          <w:rFonts w:asciiTheme="minorHAnsi" w:hAnsiTheme="minorHAnsi" w:cstheme="minorHAnsi"/>
          <w:sz w:val="22"/>
          <w:szCs w:val="22"/>
        </w:rPr>
        <w:t xml:space="preserve"> baseline</w:t>
      </w:r>
    </w:p>
    <w:p w:rsidR="00BE17A5" w:rsidRPr="006A56A2" w:rsidRDefault="00BE17A5" w:rsidP="00BE17A5">
      <w:pPr>
        <w:rPr>
          <w:rFonts w:asciiTheme="minorHAnsi" w:hAnsiTheme="minorHAnsi" w:cstheme="minorHAnsi"/>
          <w:b/>
          <w:bCs/>
          <w:i/>
          <w:sz w:val="22"/>
          <w:szCs w:val="22"/>
        </w:rPr>
      </w:pPr>
      <m:oMath>
        <m:r>
          <w:rPr>
            <w:rFonts w:ascii="Cambria Math" w:hAnsi="Cambria Math" w:cstheme="minorHAnsi"/>
            <w:sz w:val="20"/>
            <w:szCs w:val="20"/>
          </w:rPr>
          <m:t>Peak Demand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0.06508 kW savings</m:t>
                </m:r>
              </m:num>
              <m:den>
                <m:r>
                  <w:rPr>
                    <w:rFonts w:ascii="Cambria Math" w:hAnsi="Cambria Math" w:cstheme="minorHAnsi"/>
                    <w:sz w:val="20"/>
                    <w:szCs w:val="20"/>
                  </w:rPr>
                  <m:t>uni</m:t>
                </m:r>
                <m:r>
                  <w:rPr>
                    <w:rFonts w:ascii="Cambria Math" w:hAnsi="Cambria Math" w:cstheme="minorHAnsi"/>
                    <w:sz w:val="20"/>
                    <w:szCs w:val="20"/>
                  </w:rPr>
                  <m:t>t</m:t>
                </m:r>
              </m:den>
            </m:f>
          </m:e>
        </m:d>
        <m:r>
          <w:rPr>
            <w:rFonts w:ascii="Cambria Math" w:hAnsi="Cambria Math" w:cstheme="minorHAnsi"/>
            <w:sz w:val="20"/>
            <w:szCs w:val="20"/>
          </w:rPr>
          <m:t>=</m:t>
        </m:r>
        <m:f>
          <m:fPr>
            <m:ctrlPr>
              <w:rPr>
                <w:rFonts w:ascii="Cambria Math" w:hAnsi="Cambria Math" w:cstheme="minorHAnsi"/>
                <w:i/>
                <w:sz w:val="20"/>
                <w:szCs w:val="20"/>
              </w:rPr>
            </m:ctrlPr>
          </m:fPr>
          <m:num>
            <m:d>
              <m:dPr>
                <m:ctrlPr>
                  <w:rPr>
                    <w:rFonts w:ascii="Cambria Math" w:hAnsi="Cambria Math" w:cstheme="minorHAnsi"/>
                    <w:i/>
                    <w:sz w:val="20"/>
                    <w:szCs w:val="20"/>
                  </w:rPr>
                </m:ctrlPr>
              </m:dPr>
              <m:e>
                <m:r>
                  <w:rPr>
                    <w:rFonts w:ascii="Cambria Math" w:hAnsi="Cambria Math" w:cstheme="minorHAnsi"/>
                    <w:sz w:val="20"/>
                    <w:szCs w:val="20"/>
                  </w:rPr>
                  <m:t>0.091</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unit</m:t>
                    </m:r>
                  </m:den>
                </m:f>
              </m:e>
            </m:d>
            <m:r>
              <w:rPr>
                <w:rFonts w:ascii="Cambria Math" w:hAnsi="Cambria Math" w:cstheme="minorHAnsi"/>
                <w:sz w:val="20"/>
                <w:szCs w:val="20"/>
              </w:rPr>
              <m:t>x</m:t>
            </m:r>
            <m:d>
              <m:dPr>
                <m:ctrlPr>
                  <w:rPr>
                    <w:rFonts w:ascii="Cambria Math" w:hAnsi="Cambria Math" w:cstheme="minorHAnsi"/>
                    <w:i/>
                    <w:sz w:val="20"/>
                    <w:szCs w:val="20"/>
                  </w:rPr>
                </m:ctrlPr>
              </m:dPr>
              <m:e>
                <m:r>
                  <w:rPr>
                    <w:rFonts w:ascii="Cambria Math" w:hAnsi="Cambria Math" w:cstheme="minorHAnsi"/>
                    <w:sz w:val="20"/>
                    <w:szCs w:val="20"/>
                  </w:rPr>
                  <m:t>0.55113</m:t>
                </m:r>
              </m:e>
            </m:d>
            <m:r>
              <w:rPr>
                <w:rFonts w:ascii="Cambria Math" w:hAnsi="Cambria Math" w:cstheme="minorHAnsi"/>
                <w:sz w:val="20"/>
                <w:szCs w:val="20"/>
              </w:rPr>
              <m:t>x(1.2977)</m:t>
            </m:r>
          </m:num>
          <m:den>
            <m:r>
              <w:rPr>
                <w:rFonts w:ascii="Cambria Math" w:hAnsi="Cambria Math" w:cstheme="minorHAnsi"/>
                <w:sz w:val="20"/>
                <w:szCs w:val="20"/>
              </w:rPr>
              <m:t>unit</m:t>
            </m:r>
          </m:den>
        </m:f>
      </m:oMath>
      <w:r>
        <w:rPr>
          <w:rFonts w:asciiTheme="minorHAnsi" w:hAnsiTheme="minorHAnsi" w:cstheme="minorHAnsi"/>
          <w:sz w:val="22"/>
          <w:szCs w:val="22"/>
        </w:rPr>
        <w:tab/>
      </w:r>
      <w:r w:rsidR="00B86B21" w:rsidRPr="004705BE">
        <w:rPr>
          <w:rFonts w:asciiTheme="minorHAnsi" w:hAnsiTheme="minorHAnsi" w:cstheme="minorHAnsi"/>
          <w:b/>
          <w:sz w:val="22"/>
          <w:szCs w:val="22"/>
        </w:rPr>
        <w:t>Equation</w:t>
      </w:r>
      <w:r w:rsidR="00B86B21" w:rsidRPr="004705BE">
        <w:rPr>
          <w:b/>
        </w:rPr>
        <w:t xml:space="preserve"> </w:t>
      </w:r>
      <w:r w:rsidR="00B86B21" w:rsidRPr="004705BE">
        <w:rPr>
          <w:rFonts w:asciiTheme="minorHAnsi" w:hAnsiTheme="minorHAnsi" w:cstheme="minorHAnsi"/>
          <w:b/>
          <w:sz w:val="22"/>
          <w:szCs w:val="22"/>
        </w:rPr>
        <w:fldChar w:fldCharType="begin"/>
      </w:r>
      <w:r w:rsidR="00B86B21" w:rsidRPr="004705BE">
        <w:rPr>
          <w:rFonts w:asciiTheme="minorHAnsi" w:hAnsiTheme="minorHAnsi" w:cstheme="minorHAnsi"/>
          <w:b/>
          <w:sz w:val="22"/>
          <w:szCs w:val="22"/>
        </w:rPr>
        <w:instrText xml:space="preserve"> SEQ Equation \* ARABIC </w:instrText>
      </w:r>
      <w:r w:rsidR="00B86B21" w:rsidRPr="004705BE">
        <w:rPr>
          <w:rFonts w:asciiTheme="minorHAnsi" w:hAnsiTheme="minorHAnsi" w:cstheme="minorHAnsi"/>
          <w:b/>
          <w:sz w:val="22"/>
          <w:szCs w:val="22"/>
        </w:rPr>
        <w:fldChar w:fldCharType="separate"/>
      </w:r>
      <w:r w:rsidR="00302C1D">
        <w:rPr>
          <w:rFonts w:asciiTheme="minorHAnsi" w:hAnsiTheme="minorHAnsi" w:cstheme="minorHAnsi"/>
          <w:b/>
          <w:noProof/>
          <w:sz w:val="22"/>
          <w:szCs w:val="22"/>
        </w:rPr>
        <w:t>6</w:t>
      </w:r>
      <w:r w:rsidR="00B86B21" w:rsidRPr="004705BE">
        <w:rPr>
          <w:rFonts w:asciiTheme="minorHAnsi" w:hAnsiTheme="minorHAnsi" w:cstheme="minorHAnsi"/>
          <w:b/>
          <w:sz w:val="22"/>
          <w:szCs w:val="22"/>
        </w:rPr>
        <w:fldChar w:fldCharType="end"/>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 xml:space="preserve">       </w:t>
      </w:r>
    </w:p>
    <w:p w:rsidR="00BE17A5" w:rsidRPr="00697868" w:rsidRDefault="00BE17A5" w:rsidP="00E16609">
      <w:pPr>
        <w:pStyle w:val="Reminders"/>
        <w:rPr>
          <w:rFonts w:asciiTheme="minorHAnsi" w:hAnsiTheme="minorHAnsi" w:cstheme="minorHAnsi"/>
          <w:sz w:val="22"/>
          <w:szCs w:val="22"/>
        </w:rPr>
      </w:pPr>
    </w:p>
    <w:p w:rsidR="00E16609" w:rsidRPr="00697868" w:rsidRDefault="00E16609" w:rsidP="00E16609">
      <w:pPr>
        <w:pStyle w:val="Heading1"/>
        <w:keepNext w:val="0"/>
        <w:rPr>
          <w:rFonts w:asciiTheme="minorHAnsi" w:hAnsiTheme="minorHAnsi" w:cstheme="minorHAnsi"/>
        </w:rPr>
      </w:pPr>
      <w:bookmarkStart w:id="26" w:name="_Toc214003093"/>
      <w:r w:rsidRPr="00697868">
        <w:rPr>
          <w:rFonts w:asciiTheme="minorHAnsi" w:hAnsiTheme="minorHAnsi" w:cstheme="minorHAnsi"/>
        </w:rPr>
        <w:lastRenderedPageBreak/>
        <w:t>Section 3. Load Shape</w:t>
      </w:r>
      <w:bookmarkEnd w:id="26"/>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3F0623" w:rsidRPr="00697868">
        <w:rPr>
          <w:rFonts w:asciiTheme="minorHAnsi" w:hAnsiTheme="minorHAnsi" w:cstheme="minorHAnsi"/>
          <w:sz w:val="22"/>
          <w:szCs w:val="22"/>
        </w:rPr>
        <w:t xml:space="preserve">DEER:Indoor_Non-CFL_Ltg </w:t>
      </w:r>
      <w:r w:rsidRPr="00697868">
        <w:rPr>
          <w:rFonts w:asciiTheme="minorHAnsi" w:hAnsiTheme="minorHAnsi" w:cstheme="minorHAnsi"/>
          <w:sz w:val="22"/>
          <w:szCs w:val="22"/>
        </w:rPr>
        <w:t>load shape.  See</w:t>
      </w:r>
      <w:r w:rsidR="003F0623" w:rsidRPr="00697868">
        <w:rPr>
          <w:rFonts w:asciiTheme="minorHAnsi" w:hAnsiTheme="minorHAnsi" w:cstheme="minorHAnsi"/>
          <w:sz w:val="22"/>
          <w:szCs w:val="22"/>
        </w:rPr>
        <w:t xml:space="preserve"> </w:t>
      </w:r>
      <w:r w:rsidR="00987C88">
        <w:rPr>
          <w:rFonts w:asciiTheme="minorHAnsi" w:hAnsiTheme="minorHAnsi" w:cstheme="minorHAnsi"/>
          <w:sz w:val="22"/>
          <w:szCs w:val="22"/>
        </w:rPr>
        <w:fldChar w:fldCharType="begin"/>
      </w:r>
      <w:r w:rsidR="00987C88">
        <w:rPr>
          <w:rFonts w:asciiTheme="minorHAnsi" w:hAnsiTheme="minorHAnsi" w:cstheme="minorHAnsi"/>
          <w:sz w:val="22"/>
          <w:szCs w:val="22"/>
        </w:rPr>
        <w:instrText xml:space="preserve"> REF _Ref393803725 \h </w:instrText>
      </w:r>
      <w:r w:rsidR="00987C88">
        <w:rPr>
          <w:rFonts w:asciiTheme="minorHAnsi" w:hAnsiTheme="minorHAnsi" w:cstheme="minorHAnsi"/>
          <w:sz w:val="22"/>
          <w:szCs w:val="22"/>
        </w:rPr>
      </w:r>
      <w:r w:rsidR="00987C88">
        <w:rPr>
          <w:rFonts w:asciiTheme="minorHAnsi" w:hAnsiTheme="minorHAnsi" w:cstheme="minorHAnsi"/>
          <w:sz w:val="22"/>
          <w:szCs w:val="22"/>
        </w:rPr>
        <w:fldChar w:fldCharType="separate"/>
      </w:r>
      <w:r w:rsidR="00302C1D" w:rsidRPr="00987C88">
        <w:rPr>
          <w:rFonts w:asciiTheme="minorHAnsi" w:hAnsiTheme="minorHAnsi" w:cstheme="minorHAnsi"/>
          <w:sz w:val="22"/>
          <w:szCs w:val="22"/>
        </w:rPr>
        <w:t xml:space="preserve">Table </w:t>
      </w:r>
      <w:r w:rsidR="00302C1D">
        <w:rPr>
          <w:rFonts w:asciiTheme="minorHAnsi" w:hAnsiTheme="minorHAnsi" w:cstheme="minorHAnsi"/>
          <w:noProof/>
          <w:sz w:val="22"/>
          <w:szCs w:val="22"/>
        </w:rPr>
        <w:t>11</w:t>
      </w:r>
      <w:r w:rsidR="00987C88">
        <w:rPr>
          <w:rFonts w:asciiTheme="minorHAnsi" w:hAnsiTheme="minorHAnsi" w:cstheme="minorHAnsi"/>
          <w:sz w:val="22"/>
          <w:szCs w:val="22"/>
        </w:rPr>
        <w:fldChar w:fldCharType="end"/>
      </w:r>
      <w:r w:rsidR="00645F8E">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641993" w:rsidRPr="00697868" w:rsidRDefault="00641993" w:rsidP="00E16609">
      <w:pPr>
        <w:rPr>
          <w:rFonts w:asciiTheme="minorHAnsi" w:hAnsiTheme="minorHAnsi" w:cstheme="minorHAnsi"/>
          <w:sz w:val="22"/>
          <w:szCs w:val="22"/>
        </w:rPr>
      </w:pPr>
    </w:p>
    <w:p w:rsidR="00E16609" w:rsidRPr="00987C88" w:rsidRDefault="00987C88" w:rsidP="00987C88">
      <w:pPr>
        <w:pStyle w:val="Caption"/>
        <w:jc w:val="center"/>
        <w:rPr>
          <w:rFonts w:asciiTheme="minorHAnsi" w:hAnsiTheme="minorHAnsi" w:cstheme="minorHAnsi"/>
          <w:sz w:val="22"/>
          <w:szCs w:val="22"/>
        </w:rPr>
      </w:pPr>
      <w:bookmarkStart w:id="27" w:name="_Ref393803725"/>
      <w:r w:rsidRPr="00987C88">
        <w:rPr>
          <w:rFonts w:asciiTheme="minorHAnsi" w:hAnsiTheme="minorHAnsi" w:cstheme="minorHAnsi"/>
          <w:sz w:val="22"/>
          <w:szCs w:val="22"/>
        </w:rPr>
        <w:t xml:space="preserve">Table </w:t>
      </w:r>
      <w:r w:rsidRPr="00987C88">
        <w:rPr>
          <w:rFonts w:asciiTheme="minorHAnsi" w:hAnsiTheme="minorHAnsi" w:cstheme="minorHAnsi"/>
          <w:sz w:val="22"/>
          <w:szCs w:val="22"/>
        </w:rPr>
        <w:fldChar w:fldCharType="begin"/>
      </w:r>
      <w:r w:rsidRPr="00987C88">
        <w:rPr>
          <w:rFonts w:asciiTheme="minorHAnsi" w:hAnsiTheme="minorHAnsi" w:cstheme="minorHAnsi"/>
          <w:sz w:val="22"/>
          <w:szCs w:val="22"/>
        </w:rPr>
        <w:instrText xml:space="preserve"> SEQ Table \* ARABIC </w:instrText>
      </w:r>
      <w:r w:rsidRPr="00987C88">
        <w:rPr>
          <w:rFonts w:asciiTheme="minorHAnsi" w:hAnsiTheme="minorHAnsi" w:cstheme="minorHAnsi"/>
          <w:sz w:val="22"/>
          <w:szCs w:val="22"/>
        </w:rPr>
        <w:fldChar w:fldCharType="separate"/>
      </w:r>
      <w:r w:rsidR="00302C1D">
        <w:rPr>
          <w:rFonts w:asciiTheme="minorHAnsi" w:hAnsiTheme="minorHAnsi" w:cstheme="minorHAnsi"/>
          <w:noProof/>
          <w:sz w:val="22"/>
          <w:szCs w:val="22"/>
        </w:rPr>
        <w:t>11</w:t>
      </w:r>
      <w:r w:rsidRPr="00987C88">
        <w:rPr>
          <w:rFonts w:asciiTheme="minorHAnsi" w:hAnsiTheme="minorHAnsi" w:cstheme="minorHAnsi"/>
          <w:sz w:val="22"/>
          <w:szCs w:val="22"/>
        </w:rPr>
        <w:fldChar w:fldCharType="end"/>
      </w:r>
      <w:bookmarkEnd w:id="27"/>
      <w:r>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Agricultural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Assembly</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Education - Primary School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Education - Secondary School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Pr>
                <w:rFonts w:asciiTheme="minorHAnsi" w:hAnsiTheme="minorHAnsi" w:cstheme="minorHAnsi"/>
                <w:sz w:val="20"/>
                <w:szCs w:val="20"/>
              </w:rPr>
              <w:t>Education - Relocata</w:t>
            </w:r>
            <w:r w:rsidRPr="004327B2">
              <w:rPr>
                <w:rFonts w:asciiTheme="minorHAnsi" w:hAnsiTheme="minorHAnsi" w:cstheme="minorHAnsi"/>
                <w:sz w:val="20"/>
                <w:szCs w:val="20"/>
              </w:rPr>
              <w:t>ble Classroom</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Education - Community College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Education - University</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Grocery</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Food Store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Health/Medical - Hospital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Health/Medical - Nursing Home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Health/Medical - Clinic</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Lodging - Hotel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Lodging - Guest Rooms</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Lodging - Motel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Manufacturing - Bio/Tech</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Manufacturing - Light Industrial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Industrial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Misc - Commercial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Office - Large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Office - Small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Restaurant - Fast-Food</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Restaurant - Sit-Down</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Retail - Multistory Large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Retail - Single-Story Large</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Retail - Small</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Storage - Conditioned</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Storage - Unconditioned</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r w:rsidR="00641993" w:rsidRPr="00697868" w:rsidTr="00D3689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641993" w:rsidRPr="004327B2" w:rsidRDefault="00641993" w:rsidP="00D36899">
            <w:pPr>
              <w:rPr>
                <w:rFonts w:asciiTheme="minorHAnsi" w:hAnsiTheme="minorHAnsi" w:cstheme="minorHAnsi"/>
                <w:sz w:val="20"/>
                <w:szCs w:val="20"/>
              </w:rPr>
            </w:pPr>
            <w:r w:rsidRPr="004327B2">
              <w:rPr>
                <w:rFonts w:asciiTheme="minorHAnsi" w:hAnsiTheme="minorHAnsi" w:cstheme="minorHAnsi"/>
                <w:sz w:val="20"/>
                <w:szCs w:val="20"/>
              </w:rPr>
              <w:t>Transportation - Communication - Utilities</w:t>
            </w:r>
          </w:p>
        </w:tc>
        <w:tc>
          <w:tcPr>
            <w:tcW w:w="1729"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NON_RES</w:t>
            </w:r>
          </w:p>
        </w:tc>
        <w:tc>
          <w:tcPr>
            <w:tcW w:w="1511" w:type="pct"/>
            <w:vAlign w:val="center"/>
          </w:tcPr>
          <w:p w:rsidR="00641993" w:rsidRPr="004327B2" w:rsidRDefault="00641993" w:rsidP="00D36899">
            <w:pPr>
              <w:jc w:val="center"/>
              <w:rPr>
                <w:rFonts w:asciiTheme="minorHAnsi" w:hAnsiTheme="minorHAnsi" w:cstheme="minorHAnsi"/>
                <w:sz w:val="20"/>
                <w:szCs w:val="20"/>
              </w:rPr>
            </w:pPr>
            <w:r w:rsidRPr="004327B2">
              <w:rPr>
                <w:rFonts w:asciiTheme="minorHAnsi" w:hAnsiTheme="minorHAnsi" w:cstheme="minorHAnsi"/>
                <w:sz w:val="20"/>
                <w:szCs w:val="20"/>
              </w:rPr>
              <w:t>DEER:Indoor_Non-CFL_Ltg</w:t>
            </w:r>
          </w:p>
        </w:tc>
      </w:tr>
    </w:tbl>
    <w:p w:rsidR="00E16609" w:rsidRPr="00697868" w:rsidRDefault="00E16609" w:rsidP="00E16609">
      <w:pPr>
        <w:pStyle w:val="Heading1"/>
        <w:keepNext w:val="0"/>
        <w:rPr>
          <w:rFonts w:asciiTheme="minorHAnsi" w:hAnsiTheme="minorHAnsi" w:cstheme="minorHAnsi"/>
        </w:rPr>
      </w:pPr>
      <w:bookmarkStart w:id="28"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8"/>
    </w:p>
    <w:p w:rsidR="001A5F62" w:rsidRPr="002A28FA" w:rsidRDefault="00E762F1" w:rsidP="00C24D03">
      <w:pPr>
        <w:rPr>
          <w:rFonts w:asciiTheme="minorHAnsi" w:hAnsiTheme="minorHAnsi" w:cstheme="minorHAnsi"/>
          <w:sz w:val="22"/>
          <w:szCs w:val="22"/>
        </w:rPr>
      </w:pPr>
      <w:r w:rsidRPr="00311369">
        <w:rPr>
          <w:rFonts w:asciiTheme="minorHAnsi" w:hAnsiTheme="minorHAnsi" w:cstheme="minorHAnsi"/>
          <w:sz w:val="22"/>
          <w:szCs w:val="22"/>
        </w:rPr>
        <w:t>Direct Install measures use program trac</w:t>
      </w:r>
      <w:r w:rsidR="002A28FA">
        <w:rPr>
          <w:rFonts w:asciiTheme="minorHAnsi" w:hAnsiTheme="minorHAnsi" w:cstheme="minorHAnsi"/>
          <w:sz w:val="22"/>
          <w:szCs w:val="22"/>
        </w:rPr>
        <w:t>king systems for measure costs.</w:t>
      </w:r>
    </w:p>
    <w:p w:rsidR="00E16609" w:rsidRPr="00697868" w:rsidRDefault="00E16609" w:rsidP="00824F1C">
      <w:pPr>
        <w:pStyle w:val="Heading2"/>
        <w:rPr>
          <w:rFonts w:asciiTheme="minorHAnsi" w:hAnsiTheme="minorHAnsi" w:cstheme="minorHAnsi"/>
        </w:rPr>
      </w:pPr>
      <w:bookmarkStart w:id="29" w:name="_MON_1399297811"/>
      <w:bookmarkStart w:id="30" w:name="_Toc214003097"/>
      <w:bookmarkEnd w:id="29"/>
      <w:r w:rsidRPr="00697868">
        <w:rPr>
          <w:rFonts w:asciiTheme="minorHAnsi" w:hAnsiTheme="minorHAnsi" w:cstheme="minorHAnsi"/>
        </w:rPr>
        <w:lastRenderedPageBreak/>
        <w:t>4.1 Base Case Cost</w:t>
      </w:r>
      <w:bookmarkEnd w:id="30"/>
    </w:p>
    <w:p w:rsidR="00882DB4" w:rsidRDefault="00E762F1" w:rsidP="00E762F1">
      <w:pPr>
        <w:rPr>
          <w:rFonts w:asciiTheme="minorHAnsi" w:hAnsiTheme="minorHAnsi" w:cstheme="minorHAnsi"/>
          <w:sz w:val="22"/>
          <w:szCs w:val="22"/>
        </w:rPr>
      </w:pPr>
      <w:r w:rsidRPr="00A45E01">
        <w:rPr>
          <w:rFonts w:asciiTheme="minorHAnsi" w:hAnsiTheme="minorHAnsi" w:cstheme="minorHAnsi"/>
          <w:sz w:val="22"/>
          <w:szCs w:val="22"/>
        </w:rPr>
        <w:t xml:space="preserve">The base case and code base case costs are taken from the DEER 2008 Cost Summary </w:t>
      </w:r>
      <w:r>
        <w:rPr>
          <w:rFonts w:asciiTheme="minorHAnsi" w:hAnsiTheme="minorHAnsi" w:cstheme="minorHAnsi"/>
          <w:sz w:val="22"/>
          <w:szCs w:val="22"/>
        </w:rPr>
        <w:t>Spreadsheet [</w:t>
      </w:r>
      <w:r w:rsidR="00FB0681">
        <w:rPr>
          <w:rFonts w:asciiTheme="minorHAnsi" w:hAnsiTheme="minorHAnsi" w:cstheme="minorHAnsi"/>
          <w:sz w:val="22"/>
          <w:szCs w:val="22"/>
        </w:rPr>
        <w:t>B</w:t>
      </w:r>
      <w:r>
        <w:rPr>
          <w:rFonts w:asciiTheme="minorHAnsi" w:hAnsiTheme="minorHAnsi" w:cstheme="minorHAnsi"/>
          <w:sz w:val="22"/>
          <w:szCs w:val="22"/>
        </w:rPr>
        <w:t>]</w:t>
      </w:r>
      <w:r w:rsidRPr="00A45E01">
        <w:rPr>
          <w:rFonts w:asciiTheme="minorHAnsi" w:hAnsiTheme="minorHAnsi" w:cstheme="minorHAnsi"/>
          <w:sz w:val="22"/>
          <w:szCs w:val="22"/>
        </w:rPr>
        <w:t xml:space="preserve">. Costs for the 350W and 750W metal halide fixtures and the </w:t>
      </w:r>
      <w:r>
        <w:rPr>
          <w:rFonts w:asciiTheme="minorHAnsi" w:hAnsiTheme="minorHAnsi" w:cstheme="minorHAnsi"/>
          <w:sz w:val="22"/>
          <w:szCs w:val="22"/>
        </w:rPr>
        <w:t>7</w:t>
      </w:r>
      <w:r w:rsidRPr="00A45E01">
        <w:rPr>
          <w:rFonts w:asciiTheme="minorHAnsi" w:hAnsiTheme="minorHAnsi" w:cstheme="minorHAnsi"/>
          <w:sz w:val="22"/>
          <w:szCs w:val="22"/>
        </w:rPr>
        <w:t>50W pulse-start metal halide fixture were extrapolated from other costs in their respective categories.</w:t>
      </w:r>
      <w:r>
        <w:rPr>
          <w:rFonts w:asciiTheme="minorHAnsi" w:hAnsiTheme="minorHAnsi" w:cstheme="minorHAnsi"/>
          <w:sz w:val="22"/>
          <w:szCs w:val="22"/>
        </w:rPr>
        <w:t xml:space="preserve"> It is assumed that the labor cost is the same in the base and code base cases. The mercury vapor costs are taken from online retailers and are the sum of fixture and lamp costs [</w:t>
      </w:r>
      <w:r w:rsidR="002649B8">
        <w:rPr>
          <w:rFonts w:asciiTheme="minorHAnsi" w:hAnsiTheme="minorHAnsi" w:cstheme="minorHAnsi"/>
          <w:sz w:val="22"/>
          <w:szCs w:val="22"/>
        </w:rPr>
        <w:t>C</w:t>
      </w:r>
      <w:r>
        <w:rPr>
          <w:rFonts w:asciiTheme="minorHAnsi" w:hAnsiTheme="minorHAnsi" w:cstheme="minorHAnsi"/>
          <w:sz w:val="22"/>
          <w:szCs w:val="22"/>
        </w:rPr>
        <w:t>]. The 700 Watt mercury vapor cost was interpolated between the 400 Watt and 1000 Watt costs; those were the closest wattages available from online retailers.</w:t>
      </w:r>
    </w:p>
    <w:p w:rsidR="00882DB4" w:rsidRPr="00A45E01" w:rsidRDefault="00882DB4" w:rsidP="00E762F1">
      <w:pPr>
        <w:rPr>
          <w:rFonts w:asciiTheme="minorHAnsi" w:hAnsiTheme="minorHAnsi" w:cstheme="minorHAnsi"/>
          <w:sz w:val="22"/>
          <w:szCs w:val="22"/>
        </w:rPr>
      </w:pPr>
    </w:p>
    <w:p w:rsidR="00E762F1" w:rsidRPr="00A45E01" w:rsidRDefault="00987C88" w:rsidP="00987C88">
      <w:pPr>
        <w:pStyle w:val="Caption"/>
        <w:jc w:val="center"/>
        <w:rPr>
          <w:rFonts w:asciiTheme="minorHAnsi" w:hAnsiTheme="minorHAnsi" w:cstheme="minorHAnsi"/>
          <w:sz w:val="22"/>
          <w:szCs w:val="22"/>
        </w:rPr>
      </w:pPr>
      <w:bookmarkStart w:id="31" w:name="_Ref394467078"/>
      <w:r w:rsidRPr="00987C88">
        <w:rPr>
          <w:rFonts w:asciiTheme="minorHAnsi" w:hAnsiTheme="minorHAnsi" w:cstheme="minorHAnsi"/>
          <w:sz w:val="22"/>
          <w:szCs w:val="22"/>
        </w:rPr>
        <w:t xml:space="preserve">Table </w:t>
      </w:r>
      <w:r w:rsidRPr="00987C88">
        <w:rPr>
          <w:rFonts w:asciiTheme="minorHAnsi" w:hAnsiTheme="minorHAnsi" w:cstheme="minorHAnsi"/>
          <w:sz w:val="22"/>
          <w:szCs w:val="22"/>
        </w:rPr>
        <w:fldChar w:fldCharType="begin"/>
      </w:r>
      <w:r w:rsidRPr="00987C88">
        <w:rPr>
          <w:rFonts w:asciiTheme="minorHAnsi" w:hAnsiTheme="minorHAnsi" w:cstheme="minorHAnsi"/>
          <w:sz w:val="22"/>
          <w:szCs w:val="22"/>
        </w:rPr>
        <w:instrText xml:space="preserve"> SEQ Table \* ARABIC </w:instrText>
      </w:r>
      <w:r w:rsidRPr="00987C88">
        <w:rPr>
          <w:rFonts w:asciiTheme="minorHAnsi" w:hAnsiTheme="minorHAnsi" w:cstheme="minorHAnsi"/>
          <w:sz w:val="22"/>
          <w:szCs w:val="22"/>
        </w:rPr>
        <w:fldChar w:fldCharType="separate"/>
      </w:r>
      <w:r w:rsidR="00302C1D">
        <w:rPr>
          <w:rFonts w:asciiTheme="minorHAnsi" w:hAnsiTheme="minorHAnsi" w:cstheme="minorHAnsi"/>
          <w:noProof/>
          <w:sz w:val="22"/>
          <w:szCs w:val="22"/>
        </w:rPr>
        <w:t>12</w:t>
      </w:r>
      <w:r w:rsidRPr="00987C88">
        <w:rPr>
          <w:rFonts w:asciiTheme="minorHAnsi" w:hAnsiTheme="minorHAnsi" w:cstheme="minorHAnsi"/>
          <w:sz w:val="22"/>
          <w:szCs w:val="22"/>
        </w:rPr>
        <w:fldChar w:fldCharType="end"/>
      </w:r>
      <w:bookmarkEnd w:id="31"/>
      <w:r>
        <w:rPr>
          <w:rFonts w:asciiTheme="minorHAnsi" w:hAnsiTheme="minorHAnsi" w:cstheme="minorHAnsi"/>
          <w:sz w:val="22"/>
          <w:szCs w:val="22"/>
        </w:rPr>
        <w:t xml:space="preserve"> </w:t>
      </w:r>
      <w:r w:rsidR="00E762F1">
        <w:rPr>
          <w:rFonts w:asciiTheme="minorHAnsi" w:hAnsiTheme="minorHAnsi" w:cstheme="minorHAnsi"/>
          <w:sz w:val="22"/>
          <w:szCs w:val="22"/>
        </w:rPr>
        <w:t xml:space="preserve">Base and Code Case </w:t>
      </w:r>
      <w:r w:rsidR="00E762F1" w:rsidRPr="00A45E01">
        <w:rPr>
          <w:rFonts w:asciiTheme="minorHAnsi" w:hAnsiTheme="minorHAnsi" w:cstheme="minorHAnsi"/>
          <w:sz w:val="22"/>
          <w:szCs w:val="22"/>
        </w:rPr>
        <w:t>Costs</w:t>
      </w:r>
    </w:p>
    <w:tbl>
      <w:tblPr>
        <w:tblStyle w:val="TableContemporary"/>
        <w:tblW w:w="9437" w:type="dxa"/>
        <w:tblLook w:val="0000" w:firstRow="0" w:lastRow="0" w:firstColumn="0" w:lastColumn="0" w:noHBand="0" w:noVBand="0"/>
      </w:tblPr>
      <w:tblGrid>
        <w:gridCol w:w="2852"/>
        <w:gridCol w:w="1378"/>
        <w:gridCol w:w="1034"/>
        <w:gridCol w:w="1774"/>
        <w:gridCol w:w="1068"/>
        <w:gridCol w:w="1331"/>
      </w:tblGrid>
      <w:tr w:rsidR="00E97246" w:rsidRPr="00CB1973" w:rsidTr="00E762F1">
        <w:trPr>
          <w:cnfStyle w:val="000000100000" w:firstRow="0" w:lastRow="0" w:firstColumn="0" w:lastColumn="0" w:oddVBand="0" w:evenVBand="0" w:oddHBand="1" w:evenHBand="0" w:firstRowFirstColumn="0" w:firstRowLastColumn="0" w:lastRowFirstColumn="0" w:lastRowLastColumn="0"/>
          <w:trHeight w:val="255"/>
        </w:trPr>
        <w:tc>
          <w:tcPr>
            <w:tcW w:w="2852" w:type="dxa"/>
            <w:noWrap/>
          </w:tcPr>
          <w:p w:rsidR="00E762F1" w:rsidRPr="00CB1973" w:rsidRDefault="00E762F1"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Measure</w:t>
            </w:r>
          </w:p>
        </w:tc>
        <w:tc>
          <w:tcPr>
            <w:tcW w:w="1378" w:type="dxa"/>
            <w:noWrap/>
          </w:tcPr>
          <w:p w:rsidR="00E762F1" w:rsidRPr="00CB1973" w:rsidRDefault="00E762F1"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Base Case Fixture</w:t>
            </w:r>
          </w:p>
        </w:tc>
        <w:tc>
          <w:tcPr>
            <w:tcW w:w="1034" w:type="dxa"/>
            <w:noWrap/>
          </w:tcPr>
          <w:p w:rsidR="00E762F1" w:rsidRPr="00CB1973" w:rsidRDefault="00E97246" w:rsidP="00E762F1">
            <w:pPr>
              <w:jc w:val="center"/>
              <w:rPr>
                <w:rFonts w:asciiTheme="minorHAnsi" w:hAnsiTheme="minorHAnsi" w:cstheme="minorHAnsi"/>
                <w:b/>
                <w:bCs/>
                <w:sz w:val="18"/>
                <w:szCs w:val="18"/>
              </w:rPr>
            </w:pPr>
            <w:r>
              <w:rPr>
                <w:rFonts w:asciiTheme="minorHAnsi" w:hAnsiTheme="minorHAnsi" w:cstheme="minorHAnsi"/>
                <w:b/>
                <w:bCs/>
                <w:sz w:val="18"/>
                <w:szCs w:val="18"/>
              </w:rPr>
              <w:t xml:space="preserve">Base Case </w:t>
            </w:r>
            <w:r w:rsidR="00E762F1">
              <w:rPr>
                <w:rFonts w:asciiTheme="minorHAnsi" w:hAnsiTheme="minorHAnsi" w:cstheme="minorHAnsi"/>
                <w:b/>
                <w:bCs/>
                <w:sz w:val="18"/>
                <w:szCs w:val="18"/>
              </w:rPr>
              <w:t>Equipment Cost</w:t>
            </w:r>
          </w:p>
        </w:tc>
        <w:tc>
          <w:tcPr>
            <w:tcW w:w="1774" w:type="dxa"/>
          </w:tcPr>
          <w:p w:rsidR="00E762F1" w:rsidRPr="00CB1973" w:rsidRDefault="00E762F1" w:rsidP="00E762F1">
            <w:pPr>
              <w:jc w:val="center"/>
              <w:rPr>
                <w:rFonts w:asciiTheme="minorHAnsi" w:hAnsiTheme="minorHAnsi" w:cstheme="minorHAnsi"/>
                <w:b/>
                <w:bCs/>
                <w:sz w:val="18"/>
                <w:szCs w:val="18"/>
              </w:rPr>
            </w:pPr>
            <w:r w:rsidRPr="00CB1973">
              <w:rPr>
                <w:rFonts w:asciiTheme="minorHAnsi" w:hAnsiTheme="minorHAnsi" w:cstheme="minorHAnsi"/>
                <w:b/>
                <w:bCs/>
                <w:sz w:val="18"/>
                <w:szCs w:val="18"/>
              </w:rPr>
              <w:t>Code Base Case Fixture</w:t>
            </w:r>
          </w:p>
        </w:tc>
        <w:tc>
          <w:tcPr>
            <w:tcW w:w="1068" w:type="dxa"/>
          </w:tcPr>
          <w:p w:rsidR="00E762F1" w:rsidRPr="00CB1973" w:rsidRDefault="00E97246" w:rsidP="00E762F1">
            <w:pPr>
              <w:jc w:val="center"/>
              <w:rPr>
                <w:rFonts w:asciiTheme="minorHAnsi" w:hAnsiTheme="minorHAnsi" w:cstheme="minorHAnsi"/>
                <w:b/>
                <w:bCs/>
                <w:sz w:val="18"/>
                <w:szCs w:val="18"/>
              </w:rPr>
            </w:pPr>
            <w:r>
              <w:rPr>
                <w:rFonts w:asciiTheme="minorHAnsi" w:hAnsiTheme="minorHAnsi" w:cstheme="minorHAnsi"/>
                <w:b/>
                <w:bCs/>
                <w:sz w:val="18"/>
                <w:szCs w:val="18"/>
              </w:rPr>
              <w:t xml:space="preserve">Code Base Case </w:t>
            </w:r>
            <w:r w:rsidR="00E762F1">
              <w:rPr>
                <w:rFonts w:asciiTheme="minorHAnsi" w:hAnsiTheme="minorHAnsi" w:cstheme="minorHAnsi"/>
                <w:b/>
                <w:bCs/>
                <w:sz w:val="18"/>
                <w:szCs w:val="18"/>
              </w:rPr>
              <w:t>Equipment Cost</w:t>
            </w:r>
          </w:p>
        </w:tc>
        <w:tc>
          <w:tcPr>
            <w:tcW w:w="1331" w:type="dxa"/>
          </w:tcPr>
          <w:p w:rsidR="00E762F1" w:rsidRPr="00CB1973" w:rsidRDefault="00E762F1" w:rsidP="00E762F1">
            <w:pPr>
              <w:jc w:val="center"/>
              <w:rPr>
                <w:rFonts w:asciiTheme="minorHAnsi" w:hAnsiTheme="minorHAnsi" w:cstheme="minorHAnsi"/>
                <w:b/>
                <w:bCs/>
                <w:sz w:val="18"/>
                <w:szCs w:val="18"/>
              </w:rPr>
            </w:pPr>
            <w:r>
              <w:rPr>
                <w:rFonts w:asciiTheme="minorHAnsi" w:hAnsiTheme="minorHAnsi" w:cstheme="minorHAnsi"/>
                <w:b/>
                <w:bCs/>
                <w:sz w:val="18"/>
                <w:szCs w:val="18"/>
              </w:rPr>
              <w:t>Labor Cost</w:t>
            </w:r>
          </w:p>
        </w:tc>
      </w:tr>
      <w:tr w:rsidR="00E97246" w:rsidRPr="001F3F31" w:rsidTr="00E762F1">
        <w:trPr>
          <w:cnfStyle w:val="000000010000" w:firstRow="0" w:lastRow="0" w:firstColumn="0" w:lastColumn="0" w:oddVBand="0" w:evenVBand="0" w:oddHBand="0" w:evenHBand="1" w:firstRowFirstColumn="0" w:firstRowLastColumn="0" w:lastRowFirstColumn="0" w:lastRowLastColumn="0"/>
          <w:trHeight w:val="255"/>
        </w:trPr>
        <w:tc>
          <w:tcPr>
            <w:tcW w:w="2852" w:type="dxa"/>
            <w:noWrap/>
          </w:tcPr>
          <w:p w:rsidR="00E762F1" w:rsidRPr="001F3F31" w:rsidRDefault="00E762F1" w:rsidP="00E762F1">
            <w:pPr>
              <w:rPr>
                <w:rFonts w:asciiTheme="minorHAnsi" w:hAnsiTheme="minorHAnsi" w:cstheme="minorHAnsi"/>
                <w:bCs/>
                <w:sz w:val="18"/>
                <w:szCs w:val="18"/>
              </w:rPr>
            </w:pPr>
            <w:r w:rsidRPr="001F3F31">
              <w:rPr>
                <w:rFonts w:asciiTheme="minorHAnsi" w:hAnsiTheme="minorHAnsi" w:cstheme="minorHAnsi"/>
                <w:bCs/>
                <w:sz w:val="18"/>
                <w:szCs w:val="18"/>
              </w:rPr>
              <w:t>Up to 64 Watt Interior Fixture T5 Linear Fluorescent  replacing less than 100 Watt lamp base case</w:t>
            </w:r>
          </w:p>
        </w:tc>
        <w:tc>
          <w:tcPr>
            <w:tcW w:w="1378" w:type="dxa"/>
            <w:noWrap/>
          </w:tcPr>
          <w:p w:rsidR="00E762F1" w:rsidRPr="001F3F31" w:rsidRDefault="00E762F1" w:rsidP="00E762F1">
            <w:pPr>
              <w:rPr>
                <w:rFonts w:asciiTheme="minorHAnsi" w:hAnsiTheme="minorHAnsi" w:cstheme="minorHAnsi"/>
                <w:bCs/>
                <w:sz w:val="18"/>
                <w:szCs w:val="18"/>
              </w:rPr>
            </w:pPr>
            <w:r w:rsidRPr="001F3F31">
              <w:rPr>
                <w:rFonts w:asciiTheme="minorHAnsi" w:hAnsiTheme="minorHAnsi" w:cstheme="minorHAnsi"/>
                <w:bCs/>
                <w:sz w:val="18"/>
                <w:szCs w:val="18"/>
              </w:rPr>
              <w:t>Metal Halide, (1) 100W lamp</w:t>
            </w:r>
          </w:p>
        </w:tc>
        <w:tc>
          <w:tcPr>
            <w:tcW w:w="1034" w:type="dxa"/>
            <w:noWrap/>
          </w:tcPr>
          <w:p w:rsidR="00E762F1" w:rsidRPr="00114FE3" w:rsidRDefault="00E762F1" w:rsidP="00E762F1">
            <w:pPr>
              <w:jc w:val="center"/>
              <w:rPr>
                <w:rFonts w:asciiTheme="minorHAnsi" w:hAnsiTheme="minorHAnsi" w:cstheme="minorHAnsi"/>
                <w:bCs/>
                <w:sz w:val="18"/>
                <w:szCs w:val="18"/>
              </w:rPr>
            </w:pPr>
            <w:r w:rsidRPr="00114FE3">
              <w:rPr>
                <w:rFonts w:asciiTheme="minorHAnsi" w:hAnsiTheme="minorHAnsi" w:cstheme="minorHAnsi"/>
                <w:bCs/>
                <w:sz w:val="18"/>
                <w:szCs w:val="18"/>
              </w:rPr>
              <w:t>$132.51</w:t>
            </w:r>
          </w:p>
        </w:tc>
        <w:tc>
          <w:tcPr>
            <w:tcW w:w="1774" w:type="dxa"/>
          </w:tcPr>
          <w:p w:rsidR="00E762F1" w:rsidRPr="001F3F31" w:rsidRDefault="00B366C7" w:rsidP="00E762F1">
            <w:pPr>
              <w:rPr>
                <w:rFonts w:asciiTheme="minorHAnsi" w:hAnsiTheme="minorHAnsi" w:cstheme="minorHAnsi"/>
                <w:bCs/>
                <w:sz w:val="18"/>
                <w:szCs w:val="18"/>
              </w:rPr>
            </w:pPr>
            <w:r w:rsidRPr="001F3F31">
              <w:rPr>
                <w:rFonts w:asciiTheme="minorHAnsi" w:hAnsiTheme="minorHAnsi" w:cstheme="minorHAnsi"/>
                <w:bCs/>
                <w:sz w:val="18"/>
                <w:szCs w:val="18"/>
              </w:rPr>
              <w:t>Metal Halide, (1) 100W lamp</w:t>
            </w:r>
          </w:p>
        </w:tc>
        <w:tc>
          <w:tcPr>
            <w:tcW w:w="1068" w:type="dxa"/>
          </w:tcPr>
          <w:p w:rsidR="00E762F1" w:rsidRPr="00114FE3" w:rsidRDefault="00B366C7" w:rsidP="00E762F1">
            <w:pPr>
              <w:jc w:val="center"/>
              <w:rPr>
                <w:rFonts w:asciiTheme="minorHAnsi" w:hAnsiTheme="minorHAnsi" w:cstheme="minorHAnsi"/>
                <w:bCs/>
                <w:sz w:val="18"/>
                <w:szCs w:val="18"/>
              </w:rPr>
            </w:pPr>
            <w:r w:rsidRPr="00114FE3">
              <w:rPr>
                <w:rFonts w:asciiTheme="minorHAnsi" w:hAnsiTheme="minorHAnsi" w:cstheme="minorHAnsi"/>
                <w:bCs/>
                <w:sz w:val="18"/>
                <w:szCs w:val="18"/>
              </w:rPr>
              <w:t>$132.51</w:t>
            </w:r>
          </w:p>
        </w:tc>
        <w:tc>
          <w:tcPr>
            <w:tcW w:w="1331" w:type="dxa"/>
          </w:tcPr>
          <w:p w:rsidR="00E762F1" w:rsidRPr="00114FE3" w:rsidRDefault="00E762F1" w:rsidP="00EB03AB">
            <w:pPr>
              <w:jc w:val="center"/>
              <w:rPr>
                <w:rFonts w:asciiTheme="minorHAnsi" w:hAnsiTheme="minorHAnsi" w:cstheme="minorHAnsi"/>
                <w:bCs/>
                <w:sz w:val="18"/>
                <w:szCs w:val="18"/>
              </w:rPr>
            </w:pPr>
            <w:r w:rsidRPr="00114FE3">
              <w:rPr>
                <w:rFonts w:asciiTheme="minorHAnsi" w:hAnsiTheme="minorHAnsi" w:cstheme="minorHAnsi"/>
                <w:bCs/>
                <w:sz w:val="18"/>
                <w:szCs w:val="18"/>
              </w:rPr>
              <w:t>$</w:t>
            </w:r>
            <w:r w:rsidR="002D3125">
              <w:rPr>
                <w:rFonts w:asciiTheme="minorHAnsi" w:hAnsiTheme="minorHAnsi" w:cstheme="minorHAnsi"/>
                <w:bCs/>
                <w:sz w:val="18"/>
                <w:szCs w:val="18"/>
              </w:rPr>
              <w:t>18.04</w:t>
            </w:r>
          </w:p>
        </w:tc>
      </w:tr>
      <w:tr w:rsidR="00E97246" w:rsidRPr="00CB1973" w:rsidTr="00E762F1">
        <w:trPr>
          <w:cnfStyle w:val="000000100000" w:firstRow="0" w:lastRow="0" w:firstColumn="0" w:lastColumn="0" w:oddVBand="0" w:evenVBand="0" w:oddHBand="1" w:evenHBand="0" w:firstRowFirstColumn="0" w:firstRowLastColumn="0" w:lastRowFirstColumn="0" w:lastRowLastColumn="0"/>
          <w:trHeight w:val="510"/>
        </w:trPr>
        <w:tc>
          <w:tcPr>
            <w:tcW w:w="2852" w:type="dxa"/>
            <w:noWrap/>
          </w:tcPr>
          <w:p w:rsidR="00E762F1" w:rsidRPr="00CB1973" w:rsidRDefault="00E762F1" w:rsidP="00E762F1">
            <w:pPr>
              <w:rPr>
                <w:rFonts w:asciiTheme="minorHAnsi" w:hAnsiTheme="minorHAnsi" w:cstheme="minorHAnsi"/>
                <w:sz w:val="18"/>
                <w:szCs w:val="18"/>
              </w:rPr>
            </w:pPr>
            <w:r w:rsidRPr="00CB1973">
              <w:rPr>
                <w:rFonts w:asciiTheme="minorHAnsi" w:hAnsiTheme="minorHAnsi" w:cstheme="minorHAnsi"/>
                <w:sz w:val="18"/>
                <w:szCs w:val="18"/>
              </w:rPr>
              <w:t>Up to 128 Watt Interior Fixture T5 Linear Fluorescent  replacing 101 - 175 Watt lamp base case</w:t>
            </w:r>
          </w:p>
        </w:tc>
        <w:tc>
          <w:tcPr>
            <w:tcW w:w="1378" w:type="dxa"/>
          </w:tcPr>
          <w:p w:rsidR="00E762F1" w:rsidRPr="00CB1973" w:rsidRDefault="00E762F1" w:rsidP="00E762F1">
            <w:pPr>
              <w:rPr>
                <w:rFonts w:ascii="Calibri" w:hAnsi="Calibri" w:cs="Calibri"/>
                <w:color w:val="000000"/>
                <w:sz w:val="18"/>
                <w:szCs w:val="18"/>
              </w:rPr>
            </w:pPr>
            <w:r w:rsidRPr="00CB1973">
              <w:rPr>
                <w:rFonts w:ascii="Calibri" w:hAnsi="Calibri" w:cs="Calibri"/>
                <w:color w:val="000000"/>
                <w:sz w:val="18"/>
                <w:szCs w:val="18"/>
              </w:rPr>
              <w:t>Metal Halide, (1) 175W lamp</w:t>
            </w:r>
          </w:p>
        </w:tc>
        <w:tc>
          <w:tcPr>
            <w:tcW w:w="1034" w:type="dxa"/>
          </w:tcPr>
          <w:p w:rsidR="00E762F1" w:rsidRPr="00114FE3" w:rsidRDefault="00E762F1" w:rsidP="00E762F1">
            <w:pPr>
              <w:jc w:val="center"/>
              <w:rPr>
                <w:rFonts w:ascii="Calibri" w:hAnsi="Calibri" w:cs="Calibri"/>
                <w:color w:val="000000"/>
                <w:sz w:val="18"/>
                <w:szCs w:val="18"/>
              </w:rPr>
            </w:pPr>
            <w:r w:rsidRPr="00114FE3">
              <w:rPr>
                <w:rFonts w:ascii="Calibri" w:hAnsi="Calibri" w:cs="Calibri"/>
                <w:color w:val="000000"/>
                <w:sz w:val="18"/>
                <w:szCs w:val="18"/>
              </w:rPr>
              <w:t>$137.67</w:t>
            </w:r>
          </w:p>
        </w:tc>
        <w:tc>
          <w:tcPr>
            <w:tcW w:w="1774" w:type="dxa"/>
          </w:tcPr>
          <w:p w:rsidR="00E762F1" w:rsidRPr="00CB1973" w:rsidRDefault="00E762F1" w:rsidP="00E762F1">
            <w:pPr>
              <w:rPr>
                <w:rFonts w:ascii="Calibri" w:hAnsi="Calibri" w:cs="Calibri"/>
                <w:color w:val="000000"/>
                <w:sz w:val="18"/>
                <w:szCs w:val="18"/>
              </w:rPr>
            </w:pPr>
            <w:r w:rsidRPr="00CB1973">
              <w:rPr>
                <w:rFonts w:ascii="Calibri" w:hAnsi="Calibri" w:cs="Calibri"/>
                <w:color w:val="000000"/>
                <w:sz w:val="18"/>
                <w:szCs w:val="18"/>
              </w:rPr>
              <w:t>Pulse Start Metal Halide, (1) 175W lamp, Pulse Start CWA Ballast</w:t>
            </w:r>
          </w:p>
        </w:tc>
        <w:tc>
          <w:tcPr>
            <w:tcW w:w="1068" w:type="dxa"/>
          </w:tcPr>
          <w:p w:rsidR="00E762F1" w:rsidRPr="00114FE3" w:rsidRDefault="00E762F1" w:rsidP="00E762F1">
            <w:pPr>
              <w:jc w:val="center"/>
              <w:rPr>
                <w:rFonts w:ascii="Calibri" w:hAnsi="Calibri" w:cs="Calibri"/>
                <w:color w:val="000000"/>
                <w:sz w:val="18"/>
                <w:szCs w:val="18"/>
              </w:rPr>
            </w:pPr>
            <w:r w:rsidRPr="00114FE3">
              <w:rPr>
                <w:rFonts w:ascii="Calibri" w:hAnsi="Calibri" w:cs="Calibri"/>
                <w:color w:val="000000"/>
                <w:sz w:val="18"/>
                <w:szCs w:val="18"/>
              </w:rPr>
              <w:t>$135.34</w:t>
            </w:r>
          </w:p>
        </w:tc>
        <w:tc>
          <w:tcPr>
            <w:tcW w:w="1331" w:type="dxa"/>
          </w:tcPr>
          <w:p w:rsidR="00E762F1" w:rsidRPr="00114FE3" w:rsidRDefault="00E762F1" w:rsidP="002D3125">
            <w:pPr>
              <w:jc w:val="center"/>
              <w:rPr>
                <w:rFonts w:ascii="Calibri" w:hAnsi="Calibri" w:cs="Calibri"/>
                <w:color w:val="000000"/>
                <w:sz w:val="18"/>
                <w:szCs w:val="18"/>
              </w:rPr>
            </w:pPr>
            <w:r w:rsidRPr="00114FE3">
              <w:rPr>
                <w:rFonts w:ascii="Calibri" w:hAnsi="Calibri" w:cs="Calibri"/>
                <w:color w:val="000000"/>
                <w:sz w:val="18"/>
                <w:szCs w:val="18"/>
              </w:rPr>
              <w:t>$</w:t>
            </w:r>
            <w:r w:rsidR="002D3125">
              <w:rPr>
                <w:rFonts w:ascii="Calibri" w:hAnsi="Calibri" w:cs="Calibri"/>
                <w:color w:val="000000"/>
                <w:sz w:val="18"/>
                <w:szCs w:val="18"/>
              </w:rPr>
              <w:t>72.17</w:t>
            </w:r>
          </w:p>
        </w:tc>
      </w:tr>
      <w:tr w:rsidR="00E97246" w:rsidRPr="00CB1973" w:rsidTr="00E762F1">
        <w:trPr>
          <w:cnfStyle w:val="000000010000" w:firstRow="0" w:lastRow="0" w:firstColumn="0" w:lastColumn="0" w:oddVBand="0" w:evenVBand="0" w:oddHBand="0" w:evenHBand="1" w:firstRowFirstColumn="0" w:firstRowLastColumn="0" w:lastRowFirstColumn="0" w:lastRowLastColumn="0"/>
          <w:trHeight w:val="510"/>
        </w:trPr>
        <w:tc>
          <w:tcPr>
            <w:tcW w:w="2852" w:type="dxa"/>
            <w:noWrap/>
          </w:tcPr>
          <w:p w:rsidR="002D3125" w:rsidRPr="00CB1973" w:rsidRDefault="002D3125" w:rsidP="002D3125">
            <w:pPr>
              <w:rPr>
                <w:rFonts w:asciiTheme="minorHAnsi" w:hAnsiTheme="minorHAnsi" w:cstheme="minorHAnsi"/>
                <w:sz w:val="18"/>
                <w:szCs w:val="18"/>
              </w:rPr>
            </w:pPr>
            <w:r w:rsidRPr="00CB1973">
              <w:rPr>
                <w:rFonts w:asciiTheme="minorHAnsi" w:hAnsiTheme="minorHAnsi" w:cstheme="minorHAnsi"/>
                <w:sz w:val="18"/>
                <w:szCs w:val="18"/>
              </w:rPr>
              <w:t>Up to 192 Watt Interior Fixture T5 Linear Fluorescent  replacing 176 - 399 Watt lamp base case</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Metal Halide, (1) 250W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$152.84</w:t>
            </w:r>
          </w:p>
        </w:tc>
        <w:tc>
          <w:tcPr>
            <w:tcW w:w="1774" w:type="dxa"/>
          </w:tcPr>
          <w:p w:rsidR="002D3125" w:rsidRPr="00CB1973" w:rsidRDefault="002D3125" w:rsidP="002D3125">
            <w:pPr>
              <w:rPr>
                <w:rFonts w:ascii="Calibri" w:hAnsi="Calibri" w:cs="Calibri"/>
                <w:color w:val="000000"/>
                <w:sz w:val="18"/>
                <w:szCs w:val="18"/>
              </w:rPr>
            </w:pPr>
            <w:r w:rsidRPr="0018777D">
              <w:rPr>
                <w:rFonts w:asciiTheme="minorHAnsi" w:hAnsiTheme="minorHAnsi" w:cstheme="minorHAnsi"/>
                <w:color w:val="000000"/>
                <w:sz w:val="18"/>
                <w:szCs w:val="18"/>
              </w:rPr>
              <w:t>Pulse Start Metal Halide, (1) 2</w:t>
            </w:r>
            <w:r>
              <w:rPr>
                <w:rFonts w:asciiTheme="minorHAnsi" w:hAnsiTheme="minorHAnsi" w:cstheme="minorHAnsi"/>
                <w:color w:val="000000"/>
                <w:sz w:val="18"/>
                <w:szCs w:val="18"/>
              </w:rPr>
              <w:t>00W lamp</w:t>
            </w:r>
          </w:p>
        </w:tc>
        <w:tc>
          <w:tcPr>
            <w:tcW w:w="1068"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w:t>
            </w:r>
            <w:r>
              <w:rPr>
                <w:rFonts w:ascii="Calibri" w:hAnsi="Calibri" w:cs="Calibri"/>
                <w:color w:val="000000"/>
                <w:sz w:val="18"/>
                <w:szCs w:val="18"/>
              </w:rPr>
              <w:t>139.67</w:t>
            </w:r>
          </w:p>
        </w:tc>
        <w:tc>
          <w:tcPr>
            <w:tcW w:w="1331" w:type="dxa"/>
          </w:tcPr>
          <w:p w:rsidR="002D3125" w:rsidRPr="00114FE3" w:rsidRDefault="002D3125" w:rsidP="002D3125">
            <w:pPr>
              <w:jc w:val="center"/>
              <w:rPr>
                <w:rFonts w:ascii="Calibri" w:hAnsi="Calibri" w:cs="Calibri"/>
                <w:color w:val="000000"/>
                <w:sz w:val="18"/>
                <w:szCs w:val="18"/>
              </w:rPr>
            </w:pPr>
            <w:r w:rsidRPr="00C81AC9">
              <w:rPr>
                <w:rFonts w:ascii="Calibri" w:hAnsi="Calibri" w:cs="Calibri"/>
                <w:color w:val="000000"/>
                <w:sz w:val="18"/>
                <w:szCs w:val="18"/>
              </w:rPr>
              <w:t>$72.17</w:t>
            </w:r>
          </w:p>
        </w:tc>
      </w:tr>
      <w:tr w:rsidR="00E97246" w:rsidRPr="00CB1973" w:rsidTr="00E762F1">
        <w:trPr>
          <w:cnfStyle w:val="000000100000" w:firstRow="0" w:lastRow="0" w:firstColumn="0" w:lastColumn="0" w:oddVBand="0" w:evenVBand="0" w:oddHBand="1" w:evenHBand="0" w:firstRowFirstColumn="0" w:firstRowLastColumn="0" w:lastRowFirstColumn="0" w:lastRowLastColumn="0"/>
          <w:trHeight w:val="510"/>
        </w:trPr>
        <w:tc>
          <w:tcPr>
            <w:tcW w:w="2852" w:type="dxa"/>
            <w:noWrap/>
          </w:tcPr>
          <w:p w:rsidR="002D3125" w:rsidRPr="00CB1973" w:rsidRDefault="002D3125" w:rsidP="002D3125">
            <w:pPr>
              <w:rPr>
                <w:rFonts w:asciiTheme="minorHAnsi" w:hAnsiTheme="minorHAnsi" w:cstheme="minorHAnsi"/>
                <w:sz w:val="18"/>
                <w:szCs w:val="18"/>
              </w:rPr>
            </w:pPr>
            <w:r w:rsidRPr="00CB1973">
              <w:rPr>
                <w:rFonts w:asciiTheme="minorHAnsi" w:hAnsiTheme="minorHAnsi" w:cstheme="minorHAnsi"/>
                <w:sz w:val="18"/>
                <w:szCs w:val="18"/>
              </w:rPr>
              <w:t>Up to 244 Watt (Tier 1) Interior Fixture T5 Linear Fluorescent  replacing 400 Watt lamp base case</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Metal Halide, (1) 400W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$164.40</w:t>
            </w:r>
          </w:p>
        </w:tc>
        <w:tc>
          <w:tcPr>
            <w:tcW w:w="1774"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P</w:t>
            </w:r>
            <w:r>
              <w:rPr>
                <w:rFonts w:ascii="Calibri" w:hAnsi="Calibri" w:cs="Calibri"/>
                <w:color w:val="000000"/>
                <w:sz w:val="18"/>
                <w:szCs w:val="18"/>
              </w:rPr>
              <w:t>ulse Start Metal Halide, (1) 350</w:t>
            </w:r>
            <w:r w:rsidRPr="00CB1973">
              <w:rPr>
                <w:rFonts w:ascii="Calibri" w:hAnsi="Calibri" w:cs="Calibri"/>
                <w:color w:val="000000"/>
                <w:sz w:val="18"/>
                <w:szCs w:val="18"/>
              </w:rPr>
              <w:t xml:space="preserve">W lamp, Pulse Start CWA Ballast </w:t>
            </w:r>
          </w:p>
        </w:tc>
        <w:tc>
          <w:tcPr>
            <w:tcW w:w="1068" w:type="dxa"/>
          </w:tcPr>
          <w:p w:rsidR="002D3125" w:rsidRPr="00114FE3" w:rsidRDefault="002D3125" w:rsidP="002D3125">
            <w:pPr>
              <w:jc w:val="center"/>
              <w:rPr>
                <w:rFonts w:ascii="Calibri" w:hAnsi="Calibri" w:cs="Calibri"/>
                <w:color w:val="000000"/>
                <w:sz w:val="18"/>
                <w:szCs w:val="18"/>
              </w:rPr>
            </w:pPr>
            <w:r>
              <w:rPr>
                <w:rFonts w:ascii="Calibri" w:hAnsi="Calibri" w:cs="Calibri"/>
                <w:color w:val="000000"/>
                <w:sz w:val="18"/>
                <w:szCs w:val="18"/>
              </w:rPr>
              <w:t>$165.64</w:t>
            </w:r>
          </w:p>
        </w:tc>
        <w:tc>
          <w:tcPr>
            <w:tcW w:w="1331" w:type="dxa"/>
          </w:tcPr>
          <w:p w:rsidR="002D3125" w:rsidRPr="00114FE3" w:rsidRDefault="002D3125" w:rsidP="002D3125">
            <w:pPr>
              <w:jc w:val="center"/>
              <w:rPr>
                <w:rFonts w:ascii="Calibri" w:hAnsi="Calibri" w:cs="Calibri"/>
                <w:color w:val="000000"/>
                <w:sz w:val="18"/>
                <w:szCs w:val="18"/>
              </w:rPr>
            </w:pPr>
            <w:r w:rsidRPr="00C81AC9">
              <w:rPr>
                <w:rFonts w:ascii="Calibri" w:hAnsi="Calibri" w:cs="Calibri"/>
                <w:color w:val="000000"/>
                <w:sz w:val="18"/>
                <w:szCs w:val="18"/>
              </w:rPr>
              <w:t>$72.17</w:t>
            </w:r>
          </w:p>
        </w:tc>
      </w:tr>
      <w:tr w:rsidR="00E97246" w:rsidRPr="00CB1973" w:rsidTr="00E762F1">
        <w:trPr>
          <w:cnfStyle w:val="000000010000" w:firstRow="0" w:lastRow="0" w:firstColumn="0" w:lastColumn="0" w:oddVBand="0" w:evenVBand="0" w:oddHBand="0" w:evenHBand="1" w:firstRowFirstColumn="0" w:firstRowLastColumn="0" w:lastRowFirstColumn="0" w:lastRowLastColumn="0"/>
          <w:trHeight w:val="510"/>
        </w:trPr>
        <w:tc>
          <w:tcPr>
            <w:tcW w:w="2852" w:type="dxa"/>
            <w:noWrap/>
          </w:tcPr>
          <w:p w:rsidR="002D3125" w:rsidRPr="00CB1973" w:rsidRDefault="002D3125" w:rsidP="002D3125">
            <w:pPr>
              <w:rPr>
                <w:rFonts w:asciiTheme="minorHAnsi" w:hAnsiTheme="minorHAnsi" w:cstheme="minorHAnsi"/>
                <w:sz w:val="18"/>
                <w:szCs w:val="18"/>
              </w:rPr>
            </w:pPr>
            <w:r w:rsidRPr="00CB1973">
              <w:rPr>
                <w:rFonts w:asciiTheme="minorHAnsi" w:hAnsiTheme="minorHAnsi" w:cstheme="minorHAnsi"/>
                <w:sz w:val="18"/>
                <w:szCs w:val="18"/>
              </w:rPr>
              <w:t>245 to 360 Watt (Tier 2) Interior Fixture T5 Linear Fluorescent  replacing 400 Watt lamp base case</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Metal Halide, (1) 400W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$164.40</w:t>
            </w:r>
          </w:p>
        </w:tc>
        <w:tc>
          <w:tcPr>
            <w:tcW w:w="1774"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 xml:space="preserve">Pulse Start Metal Halide, (1) 400W lamp, Pulse Start CWA Ballast </w:t>
            </w:r>
          </w:p>
        </w:tc>
        <w:tc>
          <w:tcPr>
            <w:tcW w:w="1068"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$203.54</w:t>
            </w:r>
          </w:p>
        </w:tc>
        <w:tc>
          <w:tcPr>
            <w:tcW w:w="1331" w:type="dxa"/>
          </w:tcPr>
          <w:p w:rsidR="002D3125" w:rsidRPr="00114FE3" w:rsidRDefault="002D3125" w:rsidP="002D3125">
            <w:pPr>
              <w:jc w:val="center"/>
              <w:rPr>
                <w:rFonts w:ascii="Calibri" w:hAnsi="Calibri" w:cs="Calibri"/>
                <w:color w:val="000000"/>
                <w:sz w:val="18"/>
                <w:szCs w:val="18"/>
              </w:rPr>
            </w:pPr>
            <w:r w:rsidRPr="00C81AC9">
              <w:rPr>
                <w:rFonts w:ascii="Calibri" w:hAnsi="Calibri" w:cs="Calibri"/>
                <w:color w:val="000000"/>
                <w:sz w:val="18"/>
                <w:szCs w:val="18"/>
              </w:rPr>
              <w:t>$72.17</w:t>
            </w:r>
          </w:p>
        </w:tc>
      </w:tr>
      <w:tr w:rsidR="00E97246" w:rsidRPr="00CB1973" w:rsidTr="00E762F1">
        <w:trPr>
          <w:cnfStyle w:val="000000100000" w:firstRow="0" w:lastRow="0" w:firstColumn="0" w:lastColumn="0" w:oddVBand="0" w:evenVBand="0" w:oddHBand="1" w:evenHBand="0" w:firstRowFirstColumn="0" w:firstRowLastColumn="0" w:lastRowFirstColumn="0" w:lastRowLastColumn="0"/>
          <w:trHeight w:val="510"/>
        </w:trPr>
        <w:tc>
          <w:tcPr>
            <w:tcW w:w="2852" w:type="dxa"/>
            <w:noWrap/>
          </w:tcPr>
          <w:p w:rsidR="002D3125" w:rsidRPr="00CB1973" w:rsidRDefault="002D3125" w:rsidP="002D3125">
            <w:pPr>
              <w:rPr>
                <w:rFonts w:asciiTheme="minorHAnsi" w:hAnsiTheme="minorHAnsi" w:cstheme="minorHAnsi"/>
                <w:sz w:val="18"/>
                <w:szCs w:val="18"/>
              </w:rPr>
            </w:pPr>
            <w:r w:rsidRPr="00CB1973">
              <w:rPr>
                <w:rFonts w:asciiTheme="minorHAnsi" w:hAnsiTheme="minorHAnsi" w:cstheme="minorHAnsi"/>
                <w:sz w:val="18"/>
                <w:szCs w:val="18"/>
              </w:rPr>
              <w:t>Up to 600 Watt Interior Fixture T5 Linear Fluorescent  replacing greater than 400 Watt lamp base case</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Metal Halide, (1) 750W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$214.33</w:t>
            </w:r>
          </w:p>
        </w:tc>
        <w:tc>
          <w:tcPr>
            <w:tcW w:w="1774"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Pulse Start Metal Halide, (1) 750W lamp, Pulse Start CWA Ballast</w:t>
            </w:r>
          </w:p>
        </w:tc>
        <w:tc>
          <w:tcPr>
            <w:tcW w:w="1068"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$292.98</w:t>
            </w:r>
          </w:p>
        </w:tc>
        <w:tc>
          <w:tcPr>
            <w:tcW w:w="1331" w:type="dxa"/>
          </w:tcPr>
          <w:p w:rsidR="002D3125" w:rsidRPr="00114FE3" w:rsidRDefault="002D3125" w:rsidP="002D3125">
            <w:pPr>
              <w:jc w:val="center"/>
              <w:rPr>
                <w:rFonts w:ascii="Calibri" w:hAnsi="Calibri" w:cs="Calibri"/>
                <w:color w:val="000000"/>
                <w:sz w:val="18"/>
                <w:szCs w:val="18"/>
              </w:rPr>
            </w:pPr>
            <w:r w:rsidRPr="00C81AC9">
              <w:rPr>
                <w:rFonts w:ascii="Calibri" w:hAnsi="Calibri" w:cs="Calibri"/>
                <w:color w:val="000000"/>
                <w:sz w:val="18"/>
                <w:szCs w:val="18"/>
              </w:rPr>
              <w:t>$72.17</w:t>
            </w:r>
          </w:p>
        </w:tc>
      </w:tr>
      <w:tr w:rsidR="00E97246" w:rsidRPr="00CB1973" w:rsidTr="00E762F1">
        <w:trPr>
          <w:cnfStyle w:val="000000010000" w:firstRow="0" w:lastRow="0" w:firstColumn="0" w:lastColumn="0" w:oddVBand="0" w:evenVBand="0" w:oddHBand="0" w:evenHBand="1" w:firstRowFirstColumn="0" w:firstRowLastColumn="0" w:lastRowFirstColumn="0" w:lastRowLastColumn="0"/>
          <w:trHeight w:val="510"/>
        </w:trPr>
        <w:tc>
          <w:tcPr>
            <w:tcW w:w="2852" w:type="dxa"/>
            <w:noWrap/>
          </w:tcPr>
          <w:p w:rsidR="002D3125" w:rsidRPr="00CB1973" w:rsidRDefault="002D3125" w:rsidP="002D3125">
            <w:pPr>
              <w:rPr>
                <w:rFonts w:asciiTheme="minorHAnsi" w:hAnsiTheme="minorHAnsi" w:cstheme="minorHAnsi"/>
                <w:sz w:val="18"/>
                <w:szCs w:val="18"/>
              </w:rPr>
            </w:pPr>
            <w:r w:rsidRPr="00CB1973">
              <w:rPr>
                <w:rFonts w:asciiTheme="minorHAnsi" w:hAnsiTheme="minorHAnsi" w:cstheme="minorHAnsi"/>
                <w:sz w:val="18"/>
                <w:szCs w:val="18"/>
              </w:rPr>
              <w:t>Up to 244 Watt Interior Fixture T5 Linear Fluorescent  replacing 350 Watt lamp base case</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Metal Halide, (1) 350W lamp, extrapolated</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$161.41</w:t>
            </w:r>
          </w:p>
        </w:tc>
        <w:tc>
          <w:tcPr>
            <w:tcW w:w="1774" w:type="dxa"/>
          </w:tcPr>
          <w:p w:rsidR="002D3125" w:rsidRPr="00CB1973" w:rsidRDefault="002D3125" w:rsidP="002D3125">
            <w:pPr>
              <w:rPr>
                <w:rFonts w:ascii="Calibri" w:hAnsi="Calibri" w:cs="Calibri"/>
                <w:color w:val="000000"/>
                <w:sz w:val="18"/>
                <w:szCs w:val="18"/>
              </w:rPr>
            </w:pPr>
            <w:r>
              <w:rPr>
                <w:rFonts w:ascii="Calibri" w:hAnsi="Calibri" w:cs="Calibri"/>
                <w:color w:val="000000"/>
                <w:sz w:val="18"/>
                <w:szCs w:val="18"/>
              </w:rPr>
              <w:t>Pulse Start Metal Halide, (1) 32</w:t>
            </w:r>
            <w:r w:rsidRPr="00CB1973">
              <w:rPr>
                <w:rFonts w:ascii="Calibri" w:hAnsi="Calibri" w:cs="Calibri"/>
                <w:color w:val="000000"/>
                <w:sz w:val="18"/>
                <w:szCs w:val="18"/>
              </w:rPr>
              <w:t>0W Lamp, Pulse Start CWA Ballast</w:t>
            </w:r>
          </w:p>
        </w:tc>
        <w:tc>
          <w:tcPr>
            <w:tcW w:w="1068" w:type="dxa"/>
          </w:tcPr>
          <w:p w:rsidR="002D3125" w:rsidRPr="00114FE3" w:rsidRDefault="002D3125" w:rsidP="002D3125">
            <w:pPr>
              <w:jc w:val="center"/>
              <w:rPr>
                <w:rFonts w:ascii="Calibri" w:hAnsi="Calibri" w:cs="Calibri"/>
                <w:color w:val="000000"/>
                <w:sz w:val="18"/>
                <w:szCs w:val="18"/>
              </w:rPr>
            </w:pPr>
            <w:r>
              <w:rPr>
                <w:rFonts w:ascii="Calibri" w:hAnsi="Calibri" w:cs="Calibri"/>
                <w:color w:val="000000"/>
                <w:sz w:val="18"/>
                <w:szCs w:val="18"/>
              </w:rPr>
              <w:t>$178.87</w:t>
            </w:r>
          </w:p>
        </w:tc>
        <w:tc>
          <w:tcPr>
            <w:tcW w:w="1331" w:type="dxa"/>
          </w:tcPr>
          <w:p w:rsidR="002D3125" w:rsidRPr="00114FE3" w:rsidRDefault="002D3125" w:rsidP="002D3125">
            <w:pPr>
              <w:jc w:val="center"/>
              <w:rPr>
                <w:rFonts w:ascii="Calibri" w:hAnsi="Calibri" w:cs="Calibri"/>
                <w:color w:val="000000"/>
                <w:sz w:val="18"/>
                <w:szCs w:val="18"/>
              </w:rPr>
            </w:pPr>
            <w:r w:rsidRPr="00C81AC9">
              <w:rPr>
                <w:rFonts w:ascii="Calibri" w:hAnsi="Calibri" w:cs="Calibri"/>
                <w:color w:val="000000"/>
                <w:sz w:val="18"/>
                <w:szCs w:val="18"/>
              </w:rPr>
              <w:t>$72.17</w:t>
            </w:r>
          </w:p>
        </w:tc>
      </w:tr>
      <w:tr w:rsidR="00E97246" w:rsidRPr="00CB1973" w:rsidTr="00E762F1">
        <w:trPr>
          <w:cnfStyle w:val="000000100000" w:firstRow="0" w:lastRow="0" w:firstColumn="0" w:lastColumn="0" w:oddVBand="0" w:evenVBand="0" w:oddHBand="1" w:evenHBand="0" w:firstRowFirstColumn="0" w:firstRowLastColumn="0" w:lastRowFirstColumn="0" w:lastRowLastColumn="0"/>
          <w:trHeight w:val="510"/>
        </w:trPr>
        <w:tc>
          <w:tcPr>
            <w:tcW w:w="2852" w:type="dxa"/>
            <w:noWrap/>
          </w:tcPr>
          <w:p w:rsidR="002D3125" w:rsidRPr="001E62E1" w:rsidRDefault="002D3125" w:rsidP="002D3125">
            <w:pPr>
              <w:rPr>
                <w:rFonts w:asciiTheme="minorHAnsi" w:hAnsiTheme="minorHAnsi" w:cstheme="minorHAnsi"/>
                <w:sz w:val="18"/>
                <w:szCs w:val="18"/>
              </w:rPr>
            </w:pPr>
            <w:r w:rsidRPr="001E62E1">
              <w:rPr>
                <w:rFonts w:asciiTheme="minorHAnsi" w:hAnsiTheme="minorHAnsi" w:cstheme="minorHAnsi"/>
                <w:sz w:val="18"/>
                <w:szCs w:val="18"/>
              </w:rPr>
              <w:t>(4) 46in (2) Programmed Start Ballast - Normal Light Output - HO T5 Linear Fluorescent replacing 400 Watt Mercury Vapor</w:t>
            </w:r>
          </w:p>
        </w:tc>
        <w:tc>
          <w:tcPr>
            <w:tcW w:w="1378" w:type="dxa"/>
          </w:tcPr>
          <w:p w:rsidR="002D3125" w:rsidRPr="00CB1973" w:rsidRDefault="002D3125" w:rsidP="002D3125">
            <w:pPr>
              <w:rPr>
                <w:rFonts w:ascii="Calibri" w:hAnsi="Calibri" w:cs="Calibri"/>
                <w:color w:val="000000"/>
                <w:sz w:val="18"/>
                <w:szCs w:val="18"/>
              </w:rPr>
            </w:pPr>
            <w:r w:rsidRPr="007771E3">
              <w:rPr>
                <w:rFonts w:ascii="Calibri" w:hAnsi="Calibri" w:cs="Calibri"/>
                <w:color w:val="000000"/>
                <w:sz w:val="18"/>
                <w:szCs w:val="18"/>
              </w:rPr>
              <w:t>Mercury Vapor, (1) 400W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$266.34</w:t>
            </w:r>
          </w:p>
        </w:tc>
        <w:tc>
          <w:tcPr>
            <w:tcW w:w="1774" w:type="dxa"/>
          </w:tcPr>
          <w:p w:rsidR="002D3125" w:rsidRPr="001F3F31" w:rsidRDefault="002D3125" w:rsidP="002D3125">
            <w:pPr>
              <w:rPr>
                <w:rFonts w:asciiTheme="minorHAnsi" w:hAnsiTheme="minorHAnsi" w:cstheme="minorHAnsi"/>
                <w:bCs/>
                <w:sz w:val="18"/>
                <w:szCs w:val="18"/>
              </w:rPr>
            </w:pPr>
            <w:r>
              <w:rPr>
                <w:rFonts w:ascii="Calibri" w:hAnsi="Calibri" w:cs="Calibri"/>
                <w:color w:val="000000"/>
                <w:sz w:val="18"/>
                <w:szCs w:val="18"/>
              </w:rPr>
              <w:t>Pulse Start Metal Halide, (1) 25</w:t>
            </w:r>
            <w:r w:rsidRPr="00CB1973">
              <w:rPr>
                <w:rFonts w:ascii="Calibri" w:hAnsi="Calibri" w:cs="Calibri"/>
                <w:color w:val="000000"/>
                <w:sz w:val="18"/>
                <w:szCs w:val="18"/>
              </w:rPr>
              <w:t>0W Lamp, Pulse Start CWA Ballast</w:t>
            </w:r>
          </w:p>
        </w:tc>
        <w:tc>
          <w:tcPr>
            <w:tcW w:w="1068" w:type="dxa"/>
          </w:tcPr>
          <w:p w:rsidR="002D3125" w:rsidRPr="00114FE3" w:rsidRDefault="002D3125" w:rsidP="002D3125">
            <w:pPr>
              <w:jc w:val="center"/>
              <w:rPr>
                <w:rFonts w:asciiTheme="minorHAnsi" w:hAnsiTheme="minorHAnsi" w:cstheme="minorHAnsi"/>
                <w:bCs/>
                <w:sz w:val="18"/>
                <w:szCs w:val="18"/>
              </w:rPr>
            </w:pPr>
            <w:r>
              <w:rPr>
                <w:rFonts w:asciiTheme="minorHAnsi" w:hAnsiTheme="minorHAnsi" w:cstheme="minorHAnsi"/>
                <w:bCs/>
                <w:sz w:val="18"/>
                <w:szCs w:val="18"/>
              </w:rPr>
              <w:t>$148.33</w:t>
            </w:r>
          </w:p>
        </w:tc>
        <w:tc>
          <w:tcPr>
            <w:tcW w:w="1331" w:type="dxa"/>
          </w:tcPr>
          <w:p w:rsidR="002D3125" w:rsidRPr="00114FE3" w:rsidRDefault="002D3125" w:rsidP="002D3125">
            <w:pPr>
              <w:jc w:val="center"/>
              <w:rPr>
                <w:sz w:val="18"/>
                <w:szCs w:val="18"/>
              </w:rPr>
            </w:pPr>
            <w:r w:rsidRPr="00C81AC9">
              <w:rPr>
                <w:rFonts w:ascii="Calibri" w:hAnsi="Calibri" w:cs="Calibri"/>
                <w:color w:val="000000"/>
                <w:sz w:val="18"/>
                <w:szCs w:val="18"/>
              </w:rPr>
              <w:t>$72.17</w:t>
            </w:r>
          </w:p>
        </w:tc>
      </w:tr>
      <w:tr w:rsidR="00E97246" w:rsidRPr="00CB1973" w:rsidTr="00E762F1">
        <w:trPr>
          <w:cnfStyle w:val="000000010000" w:firstRow="0" w:lastRow="0" w:firstColumn="0" w:lastColumn="0" w:oddVBand="0" w:evenVBand="0" w:oddHBand="0" w:evenHBand="1" w:firstRowFirstColumn="0" w:firstRowLastColumn="0" w:lastRowFirstColumn="0" w:lastRowLastColumn="0"/>
          <w:trHeight w:val="510"/>
        </w:trPr>
        <w:tc>
          <w:tcPr>
            <w:tcW w:w="2852" w:type="dxa"/>
            <w:noWrap/>
          </w:tcPr>
          <w:p w:rsidR="002D3125" w:rsidRPr="001E62E1" w:rsidRDefault="002D3125" w:rsidP="002D3125">
            <w:pPr>
              <w:rPr>
                <w:rFonts w:asciiTheme="minorHAnsi" w:hAnsiTheme="minorHAnsi" w:cstheme="minorHAnsi"/>
                <w:sz w:val="18"/>
                <w:szCs w:val="18"/>
              </w:rPr>
            </w:pPr>
            <w:r w:rsidRPr="001E62E1">
              <w:rPr>
                <w:rFonts w:asciiTheme="minorHAnsi" w:hAnsiTheme="minorHAnsi" w:cstheme="minorHAnsi"/>
                <w:sz w:val="18"/>
                <w:szCs w:val="18"/>
              </w:rPr>
              <w:t>(6) 46in (3) Programmed Start Ballast - Normal Light Output - HO T5 Linear Fluorescent replacing 400 Watt Pulse Start HID</w:t>
            </w:r>
          </w:p>
        </w:tc>
        <w:tc>
          <w:tcPr>
            <w:tcW w:w="1378" w:type="dxa"/>
          </w:tcPr>
          <w:p w:rsidR="002D3125" w:rsidRPr="00CB1973" w:rsidRDefault="002D3125" w:rsidP="002D3125">
            <w:pPr>
              <w:rPr>
                <w:rFonts w:ascii="Calibri" w:hAnsi="Calibri" w:cs="Calibri"/>
                <w:color w:val="000000"/>
                <w:sz w:val="18"/>
                <w:szCs w:val="18"/>
              </w:rPr>
            </w:pPr>
            <w:r w:rsidRPr="00CB1973">
              <w:rPr>
                <w:rFonts w:ascii="Calibri" w:hAnsi="Calibri" w:cs="Calibri"/>
                <w:color w:val="000000"/>
                <w:sz w:val="18"/>
                <w:szCs w:val="18"/>
              </w:rPr>
              <w:t>Pulse Start Metal Halide, (1) 400W lamp, Pulse Start CWA Ballast</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$203.54</w:t>
            </w:r>
          </w:p>
        </w:tc>
        <w:tc>
          <w:tcPr>
            <w:tcW w:w="1774" w:type="dxa"/>
          </w:tcPr>
          <w:p w:rsidR="002D3125" w:rsidRPr="001F3F31" w:rsidRDefault="002D3125" w:rsidP="002D3125">
            <w:pPr>
              <w:rPr>
                <w:rFonts w:asciiTheme="minorHAnsi" w:hAnsiTheme="minorHAnsi" w:cstheme="minorHAnsi"/>
                <w:bCs/>
                <w:sz w:val="18"/>
                <w:szCs w:val="18"/>
              </w:rPr>
            </w:pPr>
            <w:r w:rsidRPr="00CB1973">
              <w:rPr>
                <w:rFonts w:ascii="Calibri" w:hAnsi="Calibri" w:cs="Calibri"/>
                <w:color w:val="000000"/>
                <w:sz w:val="18"/>
                <w:szCs w:val="18"/>
              </w:rPr>
              <w:t>Pulse Start Metal Halide, (1) 400W lamp, Pulse Start CWA Ballast</w:t>
            </w:r>
          </w:p>
        </w:tc>
        <w:tc>
          <w:tcPr>
            <w:tcW w:w="1068" w:type="dxa"/>
          </w:tcPr>
          <w:p w:rsidR="002D3125" w:rsidRPr="00114FE3" w:rsidRDefault="002D3125" w:rsidP="002D3125">
            <w:pPr>
              <w:jc w:val="center"/>
              <w:rPr>
                <w:rFonts w:asciiTheme="minorHAnsi" w:hAnsiTheme="minorHAnsi" w:cstheme="minorHAnsi"/>
                <w:bCs/>
                <w:sz w:val="18"/>
                <w:szCs w:val="18"/>
              </w:rPr>
            </w:pPr>
            <w:r w:rsidRPr="00114FE3">
              <w:rPr>
                <w:rFonts w:ascii="Calibri" w:hAnsi="Calibri" w:cs="Calibri"/>
                <w:color w:val="000000"/>
                <w:sz w:val="18"/>
                <w:szCs w:val="18"/>
              </w:rPr>
              <w:t>$203.54</w:t>
            </w:r>
          </w:p>
        </w:tc>
        <w:tc>
          <w:tcPr>
            <w:tcW w:w="1331" w:type="dxa"/>
          </w:tcPr>
          <w:p w:rsidR="002D3125" w:rsidRPr="00114FE3" w:rsidRDefault="002D3125" w:rsidP="002D3125">
            <w:pPr>
              <w:jc w:val="center"/>
              <w:rPr>
                <w:sz w:val="18"/>
                <w:szCs w:val="18"/>
              </w:rPr>
            </w:pPr>
            <w:r w:rsidRPr="00C81AC9">
              <w:rPr>
                <w:rFonts w:ascii="Calibri" w:hAnsi="Calibri" w:cs="Calibri"/>
                <w:color w:val="000000"/>
                <w:sz w:val="18"/>
                <w:szCs w:val="18"/>
              </w:rPr>
              <w:t>$72.17</w:t>
            </w:r>
          </w:p>
        </w:tc>
      </w:tr>
      <w:tr w:rsidR="00E97246" w:rsidRPr="00CB1973" w:rsidTr="00E762F1">
        <w:trPr>
          <w:cnfStyle w:val="000000100000" w:firstRow="0" w:lastRow="0" w:firstColumn="0" w:lastColumn="0" w:oddVBand="0" w:evenVBand="0" w:oddHBand="1" w:evenHBand="0" w:firstRowFirstColumn="0" w:firstRowLastColumn="0" w:lastRowFirstColumn="0" w:lastRowLastColumn="0"/>
          <w:trHeight w:val="510"/>
        </w:trPr>
        <w:tc>
          <w:tcPr>
            <w:tcW w:w="2852" w:type="dxa"/>
            <w:noWrap/>
          </w:tcPr>
          <w:p w:rsidR="002D3125" w:rsidRPr="001E62E1" w:rsidRDefault="002D3125" w:rsidP="002D3125">
            <w:pPr>
              <w:rPr>
                <w:rFonts w:asciiTheme="minorHAnsi" w:hAnsiTheme="minorHAnsi" w:cstheme="minorHAnsi"/>
                <w:sz w:val="18"/>
                <w:szCs w:val="18"/>
              </w:rPr>
            </w:pPr>
            <w:r w:rsidRPr="001E62E1">
              <w:rPr>
                <w:rFonts w:asciiTheme="minorHAnsi" w:hAnsiTheme="minorHAnsi" w:cstheme="minorHAnsi"/>
                <w:sz w:val="18"/>
                <w:szCs w:val="18"/>
              </w:rPr>
              <w:t>(6) 46in (3) Programmed Start Ballast - Normal Light Output - HO T5 Linear Fluorescent replacing 700 Watt Mercury Vapor</w:t>
            </w:r>
          </w:p>
        </w:tc>
        <w:tc>
          <w:tcPr>
            <w:tcW w:w="1378" w:type="dxa"/>
          </w:tcPr>
          <w:p w:rsidR="002D3125" w:rsidRPr="00CB1973" w:rsidRDefault="002D3125" w:rsidP="002D3125">
            <w:pPr>
              <w:rPr>
                <w:rFonts w:ascii="Calibri" w:hAnsi="Calibri" w:cs="Calibri"/>
                <w:color w:val="000000"/>
                <w:sz w:val="18"/>
                <w:szCs w:val="18"/>
              </w:rPr>
            </w:pPr>
            <w:r w:rsidRPr="007771E3">
              <w:rPr>
                <w:rFonts w:ascii="Calibri" w:hAnsi="Calibri" w:cs="Calibri"/>
                <w:color w:val="000000"/>
                <w:sz w:val="18"/>
                <w:szCs w:val="18"/>
              </w:rPr>
              <w:t>Mercury Vapor, (1) 700W lamp</w:t>
            </w:r>
          </w:p>
        </w:tc>
        <w:tc>
          <w:tcPr>
            <w:tcW w:w="1034" w:type="dxa"/>
          </w:tcPr>
          <w:p w:rsidR="002D3125" w:rsidRPr="00114FE3" w:rsidRDefault="002D3125" w:rsidP="002D3125">
            <w:pPr>
              <w:jc w:val="center"/>
              <w:rPr>
                <w:rFonts w:ascii="Calibri" w:hAnsi="Calibri" w:cs="Calibri"/>
                <w:color w:val="000000"/>
                <w:sz w:val="18"/>
                <w:szCs w:val="18"/>
              </w:rPr>
            </w:pPr>
            <w:r w:rsidRPr="00114FE3">
              <w:rPr>
                <w:rFonts w:ascii="Calibri" w:hAnsi="Calibri" w:cs="Calibri"/>
                <w:color w:val="000000"/>
                <w:sz w:val="18"/>
                <w:szCs w:val="18"/>
              </w:rPr>
              <w:t>$421.74</w:t>
            </w:r>
          </w:p>
        </w:tc>
        <w:tc>
          <w:tcPr>
            <w:tcW w:w="1774" w:type="dxa"/>
          </w:tcPr>
          <w:p w:rsidR="002D3125" w:rsidRPr="001F3F31" w:rsidRDefault="002D3125" w:rsidP="002D3125">
            <w:pPr>
              <w:rPr>
                <w:rFonts w:asciiTheme="minorHAnsi" w:hAnsiTheme="minorHAnsi" w:cstheme="minorHAnsi"/>
                <w:bCs/>
                <w:sz w:val="18"/>
                <w:szCs w:val="18"/>
              </w:rPr>
            </w:pPr>
            <w:r w:rsidRPr="00CB1973">
              <w:rPr>
                <w:rFonts w:ascii="Calibri" w:hAnsi="Calibri" w:cs="Calibri"/>
                <w:color w:val="000000"/>
                <w:sz w:val="18"/>
                <w:szCs w:val="18"/>
              </w:rPr>
              <w:t>Pulse Start Metal Halide, (1) 400W lamp, Pulse Start CWA Ballast</w:t>
            </w:r>
          </w:p>
        </w:tc>
        <w:tc>
          <w:tcPr>
            <w:tcW w:w="1068" w:type="dxa"/>
          </w:tcPr>
          <w:p w:rsidR="002D3125" w:rsidRPr="00114FE3" w:rsidRDefault="002D3125" w:rsidP="002D3125">
            <w:pPr>
              <w:jc w:val="center"/>
              <w:rPr>
                <w:rFonts w:asciiTheme="minorHAnsi" w:hAnsiTheme="minorHAnsi" w:cstheme="minorHAnsi"/>
                <w:bCs/>
                <w:sz w:val="18"/>
                <w:szCs w:val="18"/>
              </w:rPr>
            </w:pPr>
            <w:r>
              <w:rPr>
                <w:rFonts w:asciiTheme="minorHAnsi" w:hAnsiTheme="minorHAnsi" w:cstheme="minorHAnsi"/>
                <w:bCs/>
                <w:sz w:val="18"/>
                <w:szCs w:val="18"/>
              </w:rPr>
              <w:t>$203.54</w:t>
            </w:r>
          </w:p>
        </w:tc>
        <w:tc>
          <w:tcPr>
            <w:tcW w:w="1331" w:type="dxa"/>
          </w:tcPr>
          <w:p w:rsidR="002D3125" w:rsidRPr="00114FE3" w:rsidRDefault="002D3125" w:rsidP="002D3125">
            <w:pPr>
              <w:jc w:val="center"/>
              <w:rPr>
                <w:sz w:val="18"/>
                <w:szCs w:val="18"/>
              </w:rPr>
            </w:pPr>
            <w:r w:rsidRPr="00C81AC9">
              <w:rPr>
                <w:rFonts w:ascii="Calibri" w:hAnsi="Calibri" w:cs="Calibri"/>
                <w:color w:val="000000"/>
                <w:sz w:val="18"/>
                <w:szCs w:val="18"/>
              </w:rPr>
              <w:t>$72.17</w:t>
            </w:r>
          </w:p>
        </w:tc>
      </w:tr>
    </w:tbl>
    <w:p w:rsidR="005A0E53" w:rsidRPr="00697868" w:rsidRDefault="005A0E53" w:rsidP="005A0E53">
      <w:pPr>
        <w:pStyle w:val="Heading2"/>
        <w:rPr>
          <w:rFonts w:asciiTheme="minorHAnsi" w:hAnsiTheme="minorHAnsi" w:cstheme="minorHAnsi"/>
        </w:rPr>
      </w:pPr>
      <w:bookmarkStart w:id="32" w:name="_Toc214003098"/>
      <w:r w:rsidRPr="00697868">
        <w:rPr>
          <w:rFonts w:asciiTheme="minorHAnsi" w:hAnsiTheme="minorHAnsi" w:cstheme="minorHAnsi"/>
        </w:rPr>
        <w:lastRenderedPageBreak/>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E762F1" w:rsidRDefault="00E762F1" w:rsidP="00E762F1">
      <w:pPr>
        <w:rPr>
          <w:rFonts w:asciiTheme="minorHAnsi" w:hAnsiTheme="minorHAnsi" w:cstheme="minorHAnsi"/>
          <w:bCs/>
          <w:sz w:val="22"/>
          <w:szCs w:val="22"/>
        </w:rPr>
      </w:pPr>
      <w:r w:rsidRPr="00A45E01">
        <w:rPr>
          <w:rFonts w:asciiTheme="minorHAnsi" w:hAnsiTheme="minorHAnsi" w:cstheme="minorHAnsi"/>
          <w:sz w:val="22"/>
          <w:szCs w:val="22"/>
        </w:rPr>
        <w:t xml:space="preserve">The </w:t>
      </w:r>
      <w:r>
        <w:rPr>
          <w:rFonts w:asciiTheme="minorHAnsi" w:hAnsiTheme="minorHAnsi" w:cstheme="minorHAnsi"/>
          <w:sz w:val="22"/>
          <w:szCs w:val="22"/>
        </w:rPr>
        <w:t>measure</w:t>
      </w:r>
      <w:r w:rsidRPr="00A45E01">
        <w:rPr>
          <w:rFonts w:asciiTheme="minorHAnsi" w:hAnsiTheme="minorHAnsi" w:cstheme="minorHAnsi"/>
          <w:sz w:val="22"/>
          <w:szCs w:val="22"/>
        </w:rPr>
        <w:t xml:space="preserve"> case costs are taken from the DEER 2008 Cost Summary </w:t>
      </w:r>
      <w:r>
        <w:rPr>
          <w:rFonts w:asciiTheme="minorHAnsi" w:hAnsiTheme="minorHAnsi" w:cstheme="minorHAnsi"/>
          <w:sz w:val="22"/>
          <w:szCs w:val="22"/>
        </w:rPr>
        <w:t>Spreadsheet [</w:t>
      </w:r>
      <w:r w:rsidR="00FB0681">
        <w:rPr>
          <w:rFonts w:asciiTheme="minorHAnsi" w:hAnsiTheme="minorHAnsi" w:cstheme="minorHAnsi"/>
          <w:sz w:val="22"/>
          <w:szCs w:val="22"/>
        </w:rPr>
        <w:t>B</w:t>
      </w:r>
      <w:r>
        <w:rPr>
          <w:rFonts w:asciiTheme="minorHAnsi" w:hAnsiTheme="minorHAnsi" w:cstheme="minorHAnsi"/>
          <w:sz w:val="22"/>
          <w:szCs w:val="22"/>
        </w:rPr>
        <w:t>]</w:t>
      </w:r>
      <w:r w:rsidRPr="00A45E01">
        <w:rPr>
          <w:rFonts w:asciiTheme="minorHAnsi" w:hAnsiTheme="minorHAnsi" w:cstheme="minorHAnsi"/>
          <w:sz w:val="22"/>
          <w:szCs w:val="22"/>
        </w:rPr>
        <w:t xml:space="preserve">. </w:t>
      </w:r>
      <w:r>
        <w:rPr>
          <w:rFonts w:asciiTheme="minorHAnsi" w:hAnsiTheme="minorHAnsi" w:cstheme="minorHAnsi"/>
          <w:sz w:val="22"/>
          <w:szCs w:val="22"/>
        </w:rPr>
        <w:t>DEER only contained cost</w:t>
      </w:r>
      <w:r w:rsidR="00114FE3">
        <w:rPr>
          <w:rFonts w:asciiTheme="minorHAnsi" w:hAnsiTheme="minorHAnsi" w:cstheme="minorHAnsi"/>
          <w:sz w:val="22"/>
          <w:szCs w:val="22"/>
        </w:rPr>
        <w:t>s</w:t>
      </w:r>
      <w:r>
        <w:rPr>
          <w:rFonts w:asciiTheme="minorHAnsi" w:hAnsiTheme="minorHAnsi" w:cstheme="minorHAnsi"/>
          <w:sz w:val="22"/>
          <w:szCs w:val="22"/>
        </w:rPr>
        <w:t xml:space="preserve"> for a 4 and 6 lamp T5 measure so the other lamp quantities were extrapolated from those cost case IDs, </w:t>
      </w:r>
      <w:r w:rsidRPr="00434650">
        <w:rPr>
          <w:rFonts w:asciiTheme="minorHAnsi" w:hAnsiTheme="minorHAnsi" w:cstheme="minorHAnsi"/>
          <w:sz w:val="22"/>
          <w:szCs w:val="22"/>
        </w:rPr>
        <w:t>46in54wT5HO2PSEl234w-Rpl</w:t>
      </w:r>
      <w:r>
        <w:rPr>
          <w:rFonts w:asciiTheme="minorHAnsi" w:hAnsiTheme="minorHAnsi" w:cstheme="minorHAnsi"/>
          <w:sz w:val="22"/>
          <w:szCs w:val="22"/>
        </w:rPr>
        <w:t xml:space="preserve"> and </w:t>
      </w:r>
      <w:r w:rsidRPr="00434650">
        <w:rPr>
          <w:rFonts w:asciiTheme="minorHAnsi" w:hAnsiTheme="minorHAnsi" w:cstheme="minorHAnsi"/>
          <w:sz w:val="22"/>
          <w:szCs w:val="22"/>
        </w:rPr>
        <w:t>46in54wT5HO3PSEl351w-Rpl</w:t>
      </w:r>
      <w:r>
        <w:rPr>
          <w:rFonts w:asciiTheme="minorHAnsi" w:hAnsiTheme="minorHAnsi" w:cstheme="minorHAnsi"/>
          <w:sz w:val="22"/>
          <w:szCs w:val="22"/>
        </w:rPr>
        <w:t>.</w:t>
      </w:r>
      <w:r w:rsidR="00114FE3">
        <w:rPr>
          <w:rFonts w:asciiTheme="minorHAnsi" w:hAnsiTheme="minorHAnsi" w:cstheme="minorHAnsi"/>
          <w:sz w:val="22"/>
          <w:szCs w:val="22"/>
        </w:rPr>
        <w:t xml:space="preserve">  </w:t>
      </w:r>
      <w:r w:rsidRPr="00A45E01">
        <w:rPr>
          <w:rFonts w:asciiTheme="minorHAnsi" w:hAnsiTheme="minorHAnsi" w:cstheme="minorHAnsi"/>
          <w:bCs/>
          <w:sz w:val="22"/>
          <w:szCs w:val="22"/>
        </w:rPr>
        <w:t>Labor cost was derived from the DEER Cost Summary Spreadsheet</w:t>
      </w:r>
      <w:r>
        <w:rPr>
          <w:rFonts w:asciiTheme="minorHAnsi" w:hAnsiTheme="minorHAnsi" w:cstheme="minorHAnsi"/>
          <w:bCs/>
          <w:sz w:val="22"/>
          <w:szCs w:val="22"/>
        </w:rPr>
        <w:t xml:space="preserve"> as well</w:t>
      </w:r>
      <w:r w:rsidRPr="00A45E01">
        <w:rPr>
          <w:rFonts w:asciiTheme="minorHAnsi" w:hAnsiTheme="minorHAnsi" w:cstheme="minorHAnsi"/>
          <w:bCs/>
          <w:sz w:val="22"/>
          <w:szCs w:val="22"/>
        </w:rPr>
        <w:t>.</w:t>
      </w:r>
      <w:r>
        <w:rPr>
          <w:rFonts w:asciiTheme="minorHAnsi" w:hAnsiTheme="minorHAnsi" w:cstheme="minorHAnsi"/>
          <w:bCs/>
          <w:sz w:val="22"/>
          <w:szCs w:val="22"/>
        </w:rPr>
        <w:t xml:space="preserve"> See Attachment 2 [</w:t>
      </w:r>
      <w:r w:rsidR="002649B8">
        <w:rPr>
          <w:rFonts w:asciiTheme="minorHAnsi" w:hAnsiTheme="minorHAnsi" w:cstheme="minorHAnsi"/>
          <w:bCs/>
          <w:sz w:val="22"/>
          <w:szCs w:val="22"/>
        </w:rPr>
        <w:t>D</w:t>
      </w:r>
      <w:r>
        <w:rPr>
          <w:rFonts w:asciiTheme="minorHAnsi" w:hAnsiTheme="minorHAnsi" w:cstheme="minorHAnsi"/>
          <w:bCs/>
          <w:sz w:val="22"/>
          <w:szCs w:val="22"/>
        </w:rPr>
        <w:t>] for the cost derivation.</w:t>
      </w:r>
    </w:p>
    <w:p w:rsidR="00084C9D" w:rsidRDefault="00084C9D" w:rsidP="0008491B">
      <w:pPr>
        <w:pStyle w:val="Caption"/>
        <w:jc w:val="center"/>
        <w:rPr>
          <w:rFonts w:asciiTheme="minorHAnsi" w:hAnsiTheme="minorHAnsi" w:cstheme="minorHAnsi"/>
          <w:sz w:val="22"/>
          <w:szCs w:val="22"/>
        </w:rPr>
      </w:pPr>
      <w:bookmarkStart w:id="33" w:name="_Ref322954352"/>
    </w:p>
    <w:p w:rsidR="0008491B" w:rsidRPr="00311369" w:rsidRDefault="00645F8E" w:rsidP="00645F8E">
      <w:pPr>
        <w:pStyle w:val="Caption"/>
        <w:jc w:val="center"/>
        <w:rPr>
          <w:rFonts w:asciiTheme="minorHAnsi" w:hAnsiTheme="minorHAnsi" w:cstheme="minorHAnsi"/>
          <w:sz w:val="22"/>
          <w:szCs w:val="22"/>
        </w:rPr>
      </w:pPr>
      <w:bookmarkStart w:id="34" w:name="_Ref394467911"/>
      <w:r w:rsidRPr="00645F8E">
        <w:rPr>
          <w:rFonts w:asciiTheme="minorHAnsi" w:hAnsiTheme="minorHAnsi" w:cstheme="minorHAnsi"/>
          <w:sz w:val="22"/>
          <w:szCs w:val="22"/>
        </w:rPr>
        <w:t xml:space="preserve">Table </w:t>
      </w:r>
      <w:r w:rsidRPr="00645F8E">
        <w:rPr>
          <w:rFonts w:asciiTheme="minorHAnsi" w:hAnsiTheme="minorHAnsi" w:cstheme="minorHAnsi"/>
          <w:sz w:val="22"/>
          <w:szCs w:val="22"/>
        </w:rPr>
        <w:fldChar w:fldCharType="begin"/>
      </w:r>
      <w:r w:rsidRPr="00645F8E">
        <w:rPr>
          <w:rFonts w:asciiTheme="minorHAnsi" w:hAnsiTheme="minorHAnsi" w:cstheme="minorHAnsi"/>
          <w:sz w:val="22"/>
          <w:szCs w:val="22"/>
        </w:rPr>
        <w:instrText xml:space="preserve"> SEQ Table \* ARABIC </w:instrText>
      </w:r>
      <w:r w:rsidRPr="00645F8E">
        <w:rPr>
          <w:rFonts w:asciiTheme="minorHAnsi" w:hAnsiTheme="minorHAnsi" w:cstheme="minorHAnsi"/>
          <w:sz w:val="22"/>
          <w:szCs w:val="22"/>
        </w:rPr>
        <w:fldChar w:fldCharType="separate"/>
      </w:r>
      <w:r w:rsidR="00302C1D">
        <w:rPr>
          <w:rFonts w:asciiTheme="minorHAnsi" w:hAnsiTheme="minorHAnsi" w:cstheme="minorHAnsi"/>
          <w:noProof/>
          <w:sz w:val="22"/>
          <w:szCs w:val="22"/>
        </w:rPr>
        <w:t>13</w:t>
      </w:r>
      <w:r w:rsidRPr="00645F8E">
        <w:rPr>
          <w:rFonts w:asciiTheme="minorHAnsi" w:hAnsiTheme="minorHAnsi" w:cstheme="minorHAnsi"/>
          <w:sz w:val="22"/>
          <w:szCs w:val="22"/>
        </w:rPr>
        <w:fldChar w:fldCharType="end"/>
      </w:r>
      <w:bookmarkEnd w:id="33"/>
      <w:bookmarkEnd w:id="34"/>
      <w:r>
        <w:rPr>
          <w:rFonts w:asciiTheme="minorHAnsi" w:hAnsiTheme="minorHAnsi" w:cstheme="minorHAnsi"/>
          <w:sz w:val="22"/>
          <w:szCs w:val="22"/>
        </w:rPr>
        <w:t xml:space="preserve"> </w:t>
      </w:r>
      <w:r w:rsidR="0008491B" w:rsidRPr="00311369">
        <w:rPr>
          <w:rFonts w:asciiTheme="minorHAnsi" w:hAnsiTheme="minorHAnsi" w:cstheme="minorHAnsi"/>
          <w:sz w:val="22"/>
          <w:szCs w:val="22"/>
        </w:rPr>
        <w:t>Measure Cost</w:t>
      </w:r>
      <w:r w:rsidR="0008491B">
        <w:rPr>
          <w:rFonts w:asciiTheme="minorHAnsi" w:hAnsiTheme="minorHAnsi" w:cstheme="minorHAnsi"/>
          <w:sz w:val="22"/>
          <w:szCs w:val="22"/>
        </w:rPr>
        <w:t>s</w:t>
      </w:r>
    </w:p>
    <w:tbl>
      <w:tblPr>
        <w:tblStyle w:val="TableContemporary"/>
        <w:tblW w:w="9018" w:type="dxa"/>
        <w:tblLayout w:type="fixed"/>
        <w:tblLook w:val="0000" w:firstRow="0" w:lastRow="0" w:firstColumn="0" w:lastColumn="0" w:noHBand="0" w:noVBand="0"/>
      </w:tblPr>
      <w:tblGrid>
        <w:gridCol w:w="3708"/>
        <w:gridCol w:w="1530"/>
        <w:gridCol w:w="1548"/>
        <w:gridCol w:w="1062"/>
        <w:gridCol w:w="1170"/>
      </w:tblGrid>
      <w:tr w:rsidR="0008491B" w:rsidRPr="00311369" w:rsidTr="00D36899">
        <w:trPr>
          <w:cnfStyle w:val="000000100000" w:firstRow="0" w:lastRow="0" w:firstColumn="0" w:lastColumn="0" w:oddVBand="0" w:evenVBand="0" w:oddHBand="1" w:evenHBand="0" w:firstRowFirstColumn="0" w:firstRowLastColumn="0" w:lastRowFirstColumn="0" w:lastRowLastColumn="0"/>
          <w:trHeight w:val="540"/>
        </w:trPr>
        <w:tc>
          <w:tcPr>
            <w:tcW w:w="3708" w:type="dxa"/>
          </w:tcPr>
          <w:p w:rsidR="0008491B" w:rsidRPr="00114FE3" w:rsidRDefault="0008491B" w:rsidP="00D36899">
            <w:pPr>
              <w:jc w:val="center"/>
              <w:rPr>
                <w:rFonts w:asciiTheme="minorHAnsi" w:hAnsiTheme="minorHAnsi" w:cstheme="minorHAnsi"/>
                <w:b/>
                <w:bCs/>
                <w:sz w:val="18"/>
                <w:szCs w:val="18"/>
              </w:rPr>
            </w:pPr>
            <w:r w:rsidRPr="00114FE3">
              <w:rPr>
                <w:rFonts w:asciiTheme="minorHAnsi" w:hAnsiTheme="minorHAnsi" w:cstheme="minorHAnsi"/>
                <w:b/>
                <w:bCs/>
                <w:sz w:val="18"/>
                <w:szCs w:val="18"/>
              </w:rPr>
              <w:t>Measure Name</w:t>
            </w:r>
          </w:p>
        </w:tc>
        <w:tc>
          <w:tcPr>
            <w:tcW w:w="1530" w:type="dxa"/>
          </w:tcPr>
          <w:p w:rsidR="0008491B" w:rsidRPr="00114FE3" w:rsidRDefault="0008491B" w:rsidP="00D36899">
            <w:pPr>
              <w:jc w:val="center"/>
              <w:rPr>
                <w:rFonts w:asciiTheme="minorHAnsi" w:hAnsiTheme="minorHAnsi" w:cstheme="minorHAnsi"/>
                <w:b/>
                <w:bCs/>
                <w:sz w:val="18"/>
                <w:szCs w:val="18"/>
              </w:rPr>
            </w:pPr>
            <w:r w:rsidRPr="00114FE3">
              <w:rPr>
                <w:rFonts w:asciiTheme="minorHAnsi" w:hAnsiTheme="minorHAnsi" w:cstheme="minorHAnsi"/>
                <w:b/>
                <w:bCs/>
                <w:sz w:val="18"/>
                <w:szCs w:val="18"/>
              </w:rPr>
              <w:t>Measure case Description</w:t>
            </w:r>
          </w:p>
        </w:tc>
        <w:tc>
          <w:tcPr>
            <w:tcW w:w="1548" w:type="dxa"/>
          </w:tcPr>
          <w:p w:rsidR="0008491B" w:rsidRPr="00114FE3" w:rsidRDefault="0008491B" w:rsidP="00D36899">
            <w:pPr>
              <w:jc w:val="center"/>
              <w:rPr>
                <w:rFonts w:asciiTheme="minorHAnsi" w:hAnsiTheme="minorHAnsi" w:cstheme="minorHAnsi"/>
                <w:b/>
                <w:bCs/>
                <w:sz w:val="18"/>
                <w:szCs w:val="18"/>
              </w:rPr>
            </w:pPr>
            <w:r w:rsidRPr="00114FE3">
              <w:rPr>
                <w:rFonts w:asciiTheme="minorHAnsi" w:hAnsiTheme="minorHAnsi" w:cstheme="minorHAnsi"/>
                <w:b/>
                <w:bCs/>
                <w:sz w:val="18"/>
                <w:szCs w:val="18"/>
              </w:rPr>
              <w:t>DEER Cost ID</w:t>
            </w:r>
          </w:p>
        </w:tc>
        <w:tc>
          <w:tcPr>
            <w:tcW w:w="1062" w:type="dxa"/>
          </w:tcPr>
          <w:p w:rsidR="0008491B" w:rsidRPr="00114FE3" w:rsidRDefault="0008491B" w:rsidP="00D36899">
            <w:pPr>
              <w:jc w:val="center"/>
              <w:rPr>
                <w:rFonts w:asciiTheme="minorHAnsi" w:hAnsiTheme="minorHAnsi" w:cstheme="minorHAnsi"/>
                <w:b/>
                <w:bCs/>
                <w:sz w:val="18"/>
                <w:szCs w:val="18"/>
              </w:rPr>
            </w:pPr>
            <w:r w:rsidRPr="00114FE3">
              <w:rPr>
                <w:rFonts w:asciiTheme="minorHAnsi" w:hAnsiTheme="minorHAnsi" w:cstheme="minorHAnsi"/>
                <w:b/>
                <w:bCs/>
                <w:sz w:val="18"/>
                <w:szCs w:val="18"/>
              </w:rPr>
              <w:t>Measure Cost</w:t>
            </w:r>
          </w:p>
        </w:tc>
        <w:tc>
          <w:tcPr>
            <w:tcW w:w="1170" w:type="dxa"/>
          </w:tcPr>
          <w:p w:rsidR="0008491B" w:rsidRPr="00114FE3" w:rsidRDefault="0008491B" w:rsidP="00D36899">
            <w:pPr>
              <w:jc w:val="center"/>
              <w:rPr>
                <w:rFonts w:asciiTheme="minorHAnsi" w:hAnsiTheme="minorHAnsi" w:cstheme="minorHAnsi"/>
                <w:b/>
                <w:bCs/>
                <w:sz w:val="18"/>
                <w:szCs w:val="18"/>
              </w:rPr>
            </w:pPr>
            <w:r w:rsidRPr="00114FE3">
              <w:rPr>
                <w:rFonts w:asciiTheme="minorHAnsi" w:hAnsiTheme="minorHAnsi" w:cstheme="minorHAnsi"/>
                <w:b/>
                <w:bCs/>
                <w:sz w:val="18"/>
                <w:szCs w:val="18"/>
              </w:rPr>
              <w:t>Labor Cost</w:t>
            </w:r>
          </w:p>
        </w:tc>
      </w:tr>
      <w:tr w:rsidR="0008491B" w:rsidRPr="001F3F31" w:rsidTr="00D36899">
        <w:trPr>
          <w:cnfStyle w:val="000000010000" w:firstRow="0" w:lastRow="0" w:firstColumn="0" w:lastColumn="0" w:oddVBand="0" w:evenVBand="0" w:oddHBand="0" w:evenHBand="1"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bCs/>
                <w:sz w:val="18"/>
                <w:szCs w:val="18"/>
              </w:rPr>
            </w:pPr>
            <w:r w:rsidRPr="00114FE3">
              <w:rPr>
                <w:rFonts w:asciiTheme="minorHAnsi" w:hAnsiTheme="minorHAnsi" w:cstheme="minorHAnsi"/>
                <w:bCs/>
                <w:sz w:val="18"/>
                <w:szCs w:val="18"/>
              </w:rPr>
              <w:t>Up to 64 Watt Interior Fixture T5 Linear Fluorescent  replacing less than 100 Watt lamp base case</w:t>
            </w:r>
          </w:p>
        </w:tc>
        <w:tc>
          <w:tcPr>
            <w:tcW w:w="1530" w:type="dxa"/>
          </w:tcPr>
          <w:p w:rsidR="0008491B" w:rsidRPr="00114FE3" w:rsidRDefault="0008491B" w:rsidP="00D36899">
            <w:pPr>
              <w:rPr>
                <w:rFonts w:asciiTheme="minorHAnsi" w:hAnsiTheme="minorHAnsi" w:cstheme="minorHAnsi"/>
                <w:bCs/>
                <w:sz w:val="18"/>
                <w:szCs w:val="18"/>
              </w:rPr>
            </w:pPr>
            <w:r w:rsidRPr="00114FE3">
              <w:rPr>
                <w:rFonts w:asciiTheme="minorHAnsi" w:hAnsiTheme="minorHAnsi" w:cstheme="minorHAnsi"/>
                <w:bCs/>
                <w:sz w:val="18"/>
                <w:szCs w:val="18"/>
              </w:rPr>
              <w:t>(1) 46" T5HO with IS Ballast</w:t>
            </w:r>
          </w:p>
        </w:tc>
        <w:tc>
          <w:tcPr>
            <w:tcW w:w="1548" w:type="dxa"/>
          </w:tcPr>
          <w:p w:rsidR="0008491B" w:rsidRPr="00114FE3" w:rsidRDefault="0008491B" w:rsidP="00D36899">
            <w:pPr>
              <w:rPr>
                <w:rFonts w:asciiTheme="minorHAnsi" w:hAnsiTheme="minorHAnsi" w:cstheme="minorHAnsi"/>
                <w:bCs/>
                <w:sz w:val="18"/>
                <w:szCs w:val="18"/>
              </w:rPr>
            </w:pPr>
            <w:r w:rsidRPr="00114FE3">
              <w:rPr>
                <w:rFonts w:asciiTheme="minorHAnsi" w:hAnsiTheme="minorHAnsi" w:cstheme="minorHAnsi"/>
                <w:bCs/>
                <w:sz w:val="18"/>
                <w:szCs w:val="18"/>
              </w:rPr>
              <w:t>extrapolated</w:t>
            </w:r>
          </w:p>
        </w:tc>
        <w:tc>
          <w:tcPr>
            <w:tcW w:w="1062" w:type="dxa"/>
          </w:tcPr>
          <w:p w:rsidR="0008491B" w:rsidRPr="00114FE3" w:rsidRDefault="0008491B" w:rsidP="00D36899">
            <w:pPr>
              <w:jc w:val="center"/>
              <w:rPr>
                <w:rFonts w:asciiTheme="minorHAnsi" w:hAnsiTheme="minorHAnsi" w:cstheme="minorHAnsi"/>
                <w:bCs/>
                <w:sz w:val="18"/>
                <w:szCs w:val="18"/>
              </w:rPr>
            </w:pPr>
            <w:r w:rsidRPr="00114FE3">
              <w:rPr>
                <w:rFonts w:asciiTheme="minorHAnsi" w:hAnsiTheme="minorHAnsi" w:cstheme="minorHAnsi"/>
                <w:bCs/>
                <w:sz w:val="18"/>
                <w:szCs w:val="18"/>
              </w:rPr>
              <w:t>$90.48</w:t>
            </w:r>
          </w:p>
        </w:tc>
        <w:tc>
          <w:tcPr>
            <w:tcW w:w="1170" w:type="dxa"/>
          </w:tcPr>
          <w:p w:rsidR="0008491B" w:rsidRPr="00114FE3" w:rsidRDefault="0008491B" w:rsidP="00D36899">
            <w:pPr>
              <w:jc w:val="center"/>
              <w:rPr>
                <w:rFonts w:asciiTheme="minorHAnsi" w:hAnsiTheme="minorHAnsi" w:cstheme="minorHAnsi"/>
                <w:bCs/>
                <w:sz w:val="18"/>
                <w:szCs w:val="18"/>
              </w:rPr>
            </w:pPr>
            <w:r w:rsidRPr="00114FE3">
              <w:rPr>
                <w:rFonts w:asciiTheme="minorHAnsi" w:hAnsiTheme="minorHAnsi" w:cstheme="minorHAnsi"/>
                <w:bCs/>
                <w:sz w:val="18"/>
                <w:szCs w:val="18"/>
              </w:rPr>
              <w:t>$18.04</w:t>
            </w:r>
          </w:p>
        </w:tc>
      </w:tr>
      <w:tr w:rsidR="0008491B" w:rsidRPr="00311369" w:rsidTr="00D36899">
        <w:trPr>
          <w:cnfStyle w:val="000000100000" w:firstRow="0" w:lastRow="0" w:firstColumn="0" w:lastColumn="0" w:oddVBand="0" w:evenVBand="0" w:oddHBand="1" w:evenHBand="0"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Up to 128 Watt Interior Fixture T5 Linear Fluorescent  replacing 101 - 175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(2) 46" T5HO with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extrapolated</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Theme="minorHAnsi" w:hAnsiTheme="minorHAnsi" w:cstheme="minorHAnsi"/>
                <w:sz w:val="18"/>
                <w:szCs w:val="18"/>
              </w:rPr>
              <w:t>$129.00</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Theme="minorHAnsi" w:hAnsiTheme="minorHAnsi" w:cstheme="minorHAnsi"/>
                <w:sz w:val="18"/>
                <w:szCs w:val="18"/>
              </w:rPr>
              <w:t>$72.17</w:t>
            </w:r>
          </w:p>
        </w:tc>
      </w:tr>
      <w:tr w:rsidR="0008491B" w:rsidRPr="00311369" w:rsidTr="00D36899">
        <w:trPr>
          <w:cnfStyle w:val="000000010000" w:firstRow="0" w:lastRow="0" w:firstColumn="0" w:lastColumn="0" w:oddVBand="0" w:evenVBand="0" w:oddHBand="0" w:evenHBand="1"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Up to 192 Watt Interior Fixture T5 Linear Fluorescent  replacing 176 - 399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(3) 46" T5HO with (2)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extrapolated</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$167.51</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311369" w:rsidTr="00D36899">
        <w:trPr>
          <w:cnfStyle w:val="000000100000" w:firstRow="0" w:lastRow="0" w:firstColumn="0" w:lastColumn="0" w:oddVBand="0" w:evenVBand="0" w:oddHBand="1" w:evenHBand="0"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Up to 244 Watt (Tier 1) Interior Fixture T5 Linear Fluorescent  replacing 400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(4) 46" T5HO with (2)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46in54wT5HO2PSEl234w-Rpl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$206.03</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311369" w:rsidTr="00D36899">
        <w:trPr>
          <w:cnfStyle w:val="000000010000" w:firstRow="0" w:lastRow="0" w:firstColumn="0" w:lastColumn="0" w:oddVBand="0" w:evenVBand="0" w:oddHBand="0" w:evenHBand="1"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245 to 360 Watt (Tier 2) Interior Fixture T5 Linear Fluorescent  replacing 400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(6) 46" T5HO with (3)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46in54wT5HO3PSEl351w-Rpl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$283.06</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311369" w:rsidTr="00D36899">
        <w:trPr>
          <w:cnfStyle w:val="000000100000" w:firstRow="0" w:lastRow="0" w:firstColumn="0" w:lastColumn="0" w:oddVBand="0" w:evenVBand="0" w:oddHBand="1" w:evenHBand="0"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Up to 600 Watt Interior Fixture T5 Linear Fluorescent  replacing greater than 400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(8) 46" T5HO with (4)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extrapolated</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$360.09</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1F3F31" w:rsidTr="00D36899">
        <w:trPr>
          <w:cnfStyle w:val="000000010000" w:firstRow="0" w:lastRow="0" w:firstColumn="0" w:lastColumn="0" w:oddVBand="0" w:evenVBand="0" w:oddHBand="0" w:evenHBand="1"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Up to 244 Watt Interior Fixture T5 Linear Fluorescent  replacing 350 Watt lamp base case</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(4) 46" T5HO with (2)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46in54wT5HO2PSEl234w-Rpl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$206.03</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1F3F31" w:rsidTr="00D36899">
        <w:trPr>
          <w:cnfStyle w:val="000000100000" w:firstRow="0" w:lastRow="0" w:firstColumn="0" w:lastColumn="0" w:oddVBand="0" w:evenVBand="0" w:oddHBand="1" w:evenHBand="0"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(4) 46in (2) Programmed Start Ballast - Normal Light Output - HO T5 Linear Fluorescent replacing 400 Watt Mercury Vapor</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(4) 46" T5HO with (2)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46in54wT5HO2PSEl234w-Rpl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$206.03</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1F3F31" w:rsidTr="00D36899">
        <w:trPr>
          <w:cnfStyle w:val="000000010000" w:firstRow="0" w:lastRow="0" w:firstColumn="0" w:lastColumn="0" w:oddVBand="0" w:evenVBand="0" w:oddHBand="0" w:evenHBand="1"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(6) 46in (3) Programmed Start Ballast - Normal Light Output - HO T5 Linear Fluorescent replacing 400 Watt Pulse Start HID</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(6) 46" T5HO with (3)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46in54wT5HO3PSEl351w-Rpl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$283.06</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r w:rsidR="0008491B" w:rsidRPr="001F3F31" w:rsidTr="00D36899">
        <w:trPr>
          <w:cnfStyle w:val="000000100000" w:firstRow="0" w:lastRow="0" w:firstColumn="0" w:lastColumn="0" w:oddVBand="0" w:evenVBand="0" w:oddHBand="1" w:evenHBand="0" w:firstRowFirstColumn="0" w:firstRowLastColumn="0" w:lastRowFirstColumn="0" w:lastRowLastColumn="0"/>
          <w:trHeight w:val="765"/>
        </w:trPr>
        <w:tc>
          <w:tcPr>
            <w:tcW w:w="3708"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(6) 46in (3) Programmed Start Ballast - Normal Light Output - HO T5 Linear Fluorescent replacing 700 Watt Mercury Vapor</w:t>
            </w:r>
          </w:p>
        </w:tc>
        <w:tc>
          <w:tcPr>
            <w:tcW w:w="1530" w:type="dxa"/>
          </w:tcPr>
          <w:p w:rsidR="0008491B" w:rsidRPr="00114FE3" w:rsidRDefault="0008491B" w:rsidP="00D36899">
            <w:pPr>
              <w:rPr>
                <w:rFonts w:asciiTheme="minorHAnsi" w:hAnsiTheme="minorHAnsi" w:cstheme="minorHAnsi"/>
                <w:sz w:val="18"/>
                <w:szCs w:val="18"/>
              </w:rPr>
            </w:pPr>
            <w:r w:rsidRPr="00114FE3">
              <w:rPr>
                <w:rFonts w:asciiTheme="minorHAnsi" w:hAnsiTheme="minorHAnsi" w:cstheme="minorHAnsi"/>
                <w:sz w:val="18"/>
                <w:szCs w:val="18"/>
              </w:rPr>
              <w:t>(6) 46" T5HO with (3) IS Ballast</w:t>
            </w:r>
          </w:p>
        </w:tc>
        <w:tc>
          <w:tcPr>
            <w:tcW w:w="1548" w:type="dxa"/>
          </w:tcPr>
          <w:p w:rsidR="0008491B" w:rsidRPr="00114FE3" w:rsidRDefault="0008491B" w:rsidP="00D36899">
            <w:pPr>
              <w:rPr>
                <w:rFonts w:asciiTheme="minorHAnsi" w:hAnsiTheme="minorHAnsi" w:cstheme="minorHAnsi"/>
                <w:sz w:val="18"/>
                <w:szCs w:val="18"/>
              </w:rPr>
            </w:pPr>
            <w:r w:rsidRPr="00114FE3">
              <w:rPr>
                <w:rFonts w:ascii="Calibri" w:hAnsi="Calibri" w:cs="Calibri"/>
                <w:color w:val="000000"/>
                <w:sz w:val="18"/>
                <w:szCs w:val="18"/>
              </w:rPr>
              <w:t>46in54wT5HO3PSEl351w-Rpl</w:t>
            </w:r>
          </w:p>
        </w:tc>
        <w:tc>
          <w:tcPr>
            <w:tcW w:w="1062"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$283.06</w:t>
            </w:r>
          </w:p>
        </w:tc>
        <w:tc>
          <w:tcPr>
            <w:tcW w:w="1170" w:type="dxa"/>
          </w:tcPr>
          <w:p w:rsidR="0008491B" w:rsidRPr="00114FE3" w:rsidRDefault="0008491B" w:rsidP="00D36899">
            <w:pPr>
              <w:jc w:val="center"/>
              <w:rPr>
                <w:rFonts w:asciiTheme="minorHAnsi" w:hAnsiTheme="minorHAnsi" w:cstheme="minorHAnsi"/>
                <w:sz w:val="18"/>
                <w:szCs w:val="18"/>
              </w:rPr>
            </w:pPr>
            <w:r w:rsidRPr="00114FE3">
              <w:rPr>
                <w:rFonts w:ascii="Calibri" w:hAnsi="Calibri" w:cs="Calibri"/>
                <w:color w:val="000000"/>
                <w:sz w:val="18"/>
                <w:szCs w:val="18"/>
              </w:rPr>
              <w:t>$72.17</w:t>
            </w:r>
          </w:p>
        </w:tc>
      </w:tr>
    </w:tbl>
    <w:p w:rsidR="00E762F1" w:rsidRPr="00697868" w:rsidRDefault="00E762F1" w:rsidP="005A0E53">
      <w:pPr>
        <w:pStyle w:val="Reminders"/>
        <w:rPr>
          <w:rFonts w:asciiTheme="minorHAnsi" w:hAnsiTheme="minorHAnsi" w:cstheme="minorHAnsi"/>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2"/>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724593" w:rsidRPr="00311369" w:rsidRDefault="00724593" w:rsidP="00724593">
      <w:pPr>
        <w:pStyle w:val="Caption"/>
        <w:rPr>
          <w:rFonts w:asciiTheme="minorHAnsi" w:hAnsiTheme="minorHAnsi" w:cstheme="minorHAnsi"/>
          <w:b w:val="0"/>
          <w:bCs w:val="0"/>
          <w:sz w:val="22"/>
          <w:szCs w:val="22"/>
        </w:rPr>
      </w:pPr>
    </w:p>
    <w:p w:rsidR="00724593" w:rsidRDefault="00724593" w:rsidP="00724593">
      <w:pPr>
        <w:rPr>
          <w:rFonts w:asciiTheme="minorHAnsi" w:hAnsiTheme="minorHAnsi" w:cstheme="minorHAnsi"/>
          <w:sz w:val="22"/>
          <w:szCs w:val="22"/>
        </w:rPr>
      </w:pPr>
      <w:r w:rsidRPr="001231F4">
        <w:rPr>
          <w:rFonts w:asciiTheme="minorHAnsi" w:hAnsiTheme="minorHAnsi" w:cstheme="minorHAnsi"/>
          <w:sz w:val="22"/>
          <w:szCs w:val="22"/>
        </w:rPr>
        <w:t xml:space="preserve">For </w:t>
      </w:r>
      <w:r>
        <w:rPr>
          <w:rFonts w:asciiTheme="minorHAnsi" w:hAnsiTheme="minorHAnsi" w:cstheme="minorHAnsi"/>
          <w:sz w:val="22"/>
          <w:szCs w:val="22"/>
        </w:rPr>
        <w:t>RET (1</w:t>
      </w:r>
      <w:r w:rsidRPr="001F3F31">
        <w:rPr>
          <w:rFonts w:asciiTheme="minorHAnsi" w:hAnsiTheme="minorHAnsi" w:cstheme="minorHAnsi"/>
          <w:sz w:val="22"/>
          <w:szCs w:val="22"/>
          <w:vertAlign w:val="superscript"/>
        </w:rPr>
        <w:t>st</w:t>
      </w:r>
      <w:r>
        <w:rPr>
          <w:rFonts w:asciiTheme="minorHAnsi" w:hAnsiTheme="minorHAnsi" w:cstheme="minorHAnsi"/>
          <w:sz w:val="22"/>
          <w:szCs w:val="22"/>
        </w:rPr>
        <w:t xml:space="preserve"> Baseline)</w:t>
      </w:r>
      <w:r w:rsidRPr="001231F4">
        <w:rPr>
          <w:rFonts w:asciiTheme="minorHAnsi" w:hAnsiTheme="minorHAnsi" w:cstheme="minorHAnsi"/>
          <w:sz w:val="22"/>
          <w:szCs w:val="22"/>
        </w:rPr>
        <w:t>, the gross measure cost</w:t>
      </w:r>
      <w:r>
        <w:rPr>
          <w:rFonts w:asciiTheme="minorHAnsi" w:hAnsiTheme="minorHAnsi" w:cstheme="minorHAnsi"/>
          <w:sz w:val="22"/>
          <w:szCs w:val="22"/>
        </w:rPr>
        <w:t xml:space="preserve"> is the full measure cost:</w:t>
      </w:r>
    </w:p>
    <w:p w:rsidR="00724593" w:rsidRDefault="00724593" w:rsidP="00724593">
      <w:pPr>
        <w:ind w:firstLine="720"/>
        <w:rPr>
          <w:rFonts w:asciiTheme="minorHAnsi" w:hAnsiTheme="minorHAnsi" w:cstheme="minorHAnsi"/>
          <w:sz w:val="22"/>
          <w:szCs w:val="22"/>
        </w:rPr>
      </w:pPr>
    </w:p>
    <w:p w:rsidR="00724593" w:rsidRDefault="00724593" w:rsidP="00724593">
      <w:pPr>
        <w:ind w:firstLine="720"/>
        <w:rPr>
          <w:rFonts w:asciiTheme="minorHAnsi" w:hAnsiTheme="minorHAnsi" w:cstheme="minorHAnsi"/>
          <w:sz w:val="22"/>
          <w:szCs w:val="22"/>
        </w:rPr>
      </w:pPr>
      <w:r w:rsidRPr="006323F0">
        <w:rPr>
          <w:rFonts w:asciiTheme="minorHAnsi" w:hAnsiTheme="minorHAnsi" w:cstheme="minorHAnsi"/>
          <w:sz w:val="22"/>
          <w:szCs w:val="22"/>
        </w:rPr>
        <w:t xml:space="preserve">GMC </w:t>
      </w:r>
      <w:r w:rsidRPr="006323F0">
        <w:rPr>
          <w:rFonts w:asciiTheme="minorHAnsi" w:hAnsiTheme="minorHAnsi" w:cstheme="minorHAnsi"/>
          <w:sz w:val="22"/>
          <w:szCs w:val="22"/>
        </w:rPr>
        <w:tab/>
        <w:t>= (</w:t>
      </w:r>
      <w:bookmarkStart w:id="35" w:name="OLE_LINK2"/>
      <w:bookmarkStart w:id="36" w:name="OLE_LINK3"/>
      <w:r w:rsidRPr="006323F0">
        <w:rPr>
          <w:rFonts w:asciiTheme="minorHAnsi" w:hAnsiTheme="minorHAnsi" w:cstheme="minorHAnsi"/>
          <w:sz w:val="22"/>
          <w:szCs w:val="22"/>
        </w:rPr>
        <w:t>Measure Equipment Cost + Measure Labor Cost</w:t>
      </w:r>
      <w:bookmarkEnd w:id="35"/>
      <w:bookmarkEnd w:id="36"/>
      <w:r w:rsidRPr="006323F0">
        <w:rPr>
          <w:rFonts w:asciiTheme="minorHAnsi" w:hAnsiTheme="minorHAnsi" w:cstheme="minorHAnsi"/>
          <w:sz w:val="22"/>
          <w:szCs w:val="22"/>
        </w:rPr>
        <w:t>)</w:t>
      </w:r>
    </w:p>
    <w:p w:rsidR="00724593" w:rsidRDefault="00724593" w:rsidP="00724593">
      <w:pPr>
        <w:ind w:firstLine="720"/>
        <w:rPr>
          <w:rFonts w:asciiTheme="minorHAnsi" w:hAnsiTheme="minorHAnsi" w:cstheme="minorHAnsi"/>
          <w:sz w:val="22"/>
          <w:szCs w:val="22"/>
        </w:rPr>
      </w:pPr>
    </w:p>
    <w:p w:rsidR="00724593" w:rsidRDefault="00724593" w:rsidP="00724593">
      <w:pPr>
        <w:rPr>
          <w:rFonts w:asciiTheme="minorHAnsi" w:hAnsiTheme="minorHAnsi" w:cstheme="minorHAnsi"/>
          <w:sz w:val="22"/>
          <w:szCs w:val="22"/>
        </w:rPr>
      </w:pPr>
      <w:r w:rsidRPr="001231F4">
        <w:rPr>
          <w:rFonts w:asciiTheme="minorHAnsi" w:hAnsiTheme="minorHAnsi" w:cstheme="minorHAnsi"/>
          <w:sz w:val="22"/>
          <w:szCs w:val="22"/>
        </w:rPr>
        <w:t xml:space="preserve">For </w:t>
      </w:r>
      <w:r>
        <w:rPr>
          <w:rFonts w:asciiTheme="minorHAnsi" w:hAnsiTheme="minorHAnsi" w:cstheme="minorHAnsi"/>
          <w:sz w:val="22"/>
          <w:szCs w:val="22"/>
        </w:rPr>
        <w:t>RET (2</w:t>
      </w:r>
      <w:r w:rsidRPr="001F3F31">
        <w:rPr>
          <w:rFonts w:asciiTheme="minorHAnsi" w:hAnsiTheme="minorHAnsi" w:cstheme="minorHAnsi"/>
          <w:sz w:val="22"/>
          <w:szCs w:val="22"/>
          <w:vertAlign w:val="superscript"/>
        </w:rPr>
        <w:t>nd</w:t>
      </w:r>
      <w:r>
        <w:rPr>
          <w:rFonts w:asciiTheme="minorHAnsi" w:hAnsiTheme="minorHAnsi" w:cstheme="minorHAnsi"/>
          <w:sz w:val="22"/>
          <w:szCs w:val="22"/>
        </w:rPr>
        <w:t xml:space="preserve"> Baseline)</w:t>
      </w:r>
      <w:r w:rsidRPr="001231F4">
        <w:rPr>
          <w:rFonts w:asciiTheme="minorHAnsi" w:hAnsiTheme="minorHAnsi" w:cstheme="minorHAnsi"/>
          <w:sz w:val="22"/>
          <w:szCs w:val="22"/>
        </w:rPr>
        <w:t>, the gross measure cost</w:t>
      </w:r>
      <w:r>
        <w:rPr>
          <w:rFonts w:asciiTheme="minorHAnsi" w:hAnsiTheme="minorHAnsi" w:cstheme="minorHAnsi"/>
          <w:sz w:val="22"/>
          <w:szCs w:val="22"/>
        </w:rPr>
        <w:t xml:space="preserve"> is:</w:t>
      </w:r>
    </w:p>
    <w:p w:rsidR="00724593" w:rsidRDefault="00724593" w:rsidP="00724593">
      <w:pPr>
        <w:ind w:firstLine="720"/>
        <w:rPr>
          <w:rFonts w:asciiTheme="minorHAnsi" w:hAnsiTheme="minorHAnsi" w:cstheme="minorHAnsi"/>
          <w:sz w:val="22"/>
          <w:szCs w:val="22"/>
        </w:rPr>
      </w:pPr>
    </w:p>
    <w:p w:rsidR="00724593" w:rsidRDefault="00724593" w:rsidP="00724593">
      <w:pPr>
        <w:ind w:firstLine="720"/>
        <w:rPr>
          <w:rFonts w:asciiTheme="minorHAnsi" w:hAnsiTheme="minorHAnsi" w:cstheme="minorHAnsi"/>
          <w:sz w:val="22"/>
          <w:szCs w:val="22"/>
        </w:rPr>
      </w:pPr>
      <w:r w:rsidRPr="006323F0">
        <w:rPr>
          <w:rFonts w:asciiTheme="minorHAnsi" w:hAnsiTheme="minorHAnsi" w:cstheme="minorHAnsi"/>
          <w:sz w:val="22"/>
          <w:szCs w:val="22"/>
        </w:rPr>
        <w:t xml:space="preserve">GMC </w:t>
      </w:r>
      <w:r w:rsidRPr="006323F0">
        <w:rPr>
          <w:rFonts w:asciiTheme="minorHAnsi" w:hAnsiTheme="minorHAnsi" w:cstheme="minorHAnsi"/>
          <w:sz w:val="22"/>
          <w:szCs w:val="22"/>
        </w:rPr>
        <w:tab/>
        <w:t>= (</w:t>
      </w:r>
      <w:r>
        <w:rPr>
          <w:rFonts w:asciiTheme="minorHAnsi" w:hAnsiTheme="minorHAnsi" w:cstheme="minorHAnsi"/>
          <w:sz w:val="22"/>
          <w:szCs w:val="22"/>
        </w:rPr>
        <w:t>Measure Equipment Cost – Code Equipment Cost</w:t>
      </w:r>
      <w:r w:rsidRPr="006323F0">
        <w:rPr>
          <w:rFonts w:asciiTheme="minorHAnsi" w:hAnsiTheme="minorHAnsi" w:cstheme="minorHAnsi"/>
          <w:sz w:val="22"/>
          <w:szCs w:val="22"/>
        </w:rPr>
        <w:t>)</w:t>
      </w:r>
    </w:p>
    <w:p w:rsidR="00724593" w:rsidRDefault="00724593" w:rsidP="00724593">
      <w:pPr>
        <w:rPr>
          <w:rFonts w:asciiTheme="minorHAnsi" w:hAnsiTheme="minorHAnsi" w:cstheme="minorHAnsi"/>
          <w:sz w:val="22"/>
          <w:szCs w:val="22"/>
        </w:rPr>
      </w:pPr>
    </w:p>
    <w:p w:rsidR="00724593" w:rsidRPr="006323F0" w:rsidRDefault="00724593" w:rsidP="00724593">
      <w:pPr>
        <w:rPr>
          <w:rFonts w:asciiTheme="minorHAnsi" w:hAnsiTheme="minorHAnsi" w:cstheme="minorHAnsi"/>
          <w:sz w:val="22"/>
          <w:szCs w:val="22"/>
        </w:rPr>
      </w:pPr>
      <w:r>
        <w:rPr>
          <w:rFonts w:asciiTheme="minorHAnsi" w:hAnsiTheme="minorHAnsi" w:cstheme="minorHAnsi"/>
          <w:sz w:val="22"/>
          <w:szCs w:val="22"/>
        </w:rPr>
        <w:t>For</w:t>
      </w:r>
      <w:r w:rsidRPr="006323F0">
        <w:rPr>
          <w:rFonts w:asciiTheme="minorHAnsi" w:hAnsiTheme="minorHAnsi" w:cstheme="minorHAnsi"/>
          <w:sz w:val="22"/>
          <w:szCs w:val="22"/>
        </w:rPr>
        <w:t xml:space="preserve"> ROB, the equipment being replaced is assumed to have failed in place or is past its useful life. The customer is faced with either purchasing standard efficiency or code baseline equipment versus energy efficient equipment.  Therefore, gross measure cost (GMC) means the cost premium required to install the energy efficient measure over a less efficient piece of equipment. GMC is represented by the equation below:</w:t>
      </w:r>
    </w:p>
    <w:p w:rsidR="00724593" w:rsidRPr="006323F0" w:rsidRDefault="00724593" w:rsidP="00724593">
      <w:pPr>
        <w:rPr>
          <w:rFonts w:asciiTheme="minorHAnsi" w:hAnsiTheme="minorHAnsi" w:cstheme="minorHAnsi"/>
          <w:sz w:val="22"/>
          <w:szCs w:val="22"/>
        </w:rPr>
      </w:pPr>
    </w:p>
    <w:p w:rsidR="00724593" w:rsidRPr="006323F0" w:rsidRDefault="00724593" w:rsidP="00724593">
      <w:pPr>
        <w:ind w:firstLine="720"/>
        <w:rPr>
          <w:rFonts w:asciiTheme="minorHAnsi" w:hAnsiTheme="minorHAnsi" w:cstheme="minorHAnsi"/>
          <w:sz w:val="22"/>
          <w:szCs w:val="22"/>
        </w:rPr>
      </w:pPr>
      <w:r w:rsidRPr="006323F0">
        <w:rPr>
          <w:rFonts w:asciiTheme="minorHAnsi" w:hAnsiTheme="minorHAnsi" w:cstheme="minorHAnsi"/>
          <w:sz w:val="22"/>
          <w:szCs w:val="22"/>
        </w:rPr>
        <w:t xml:space="preserve">GMC </w:t>
      </w:r>
      <w:r w:rsidRPr="006323F0">
        <w:rPr>
          <w:rFonts w:asciiTheme="minorHAnsi" w:hAnsiTheme="minorHAnsi" w:cstheme="minorHAnsi"/>
          <w:sz w:val="22"/>
          <w:szCs w:val="22"/>
        </w:rPr>
        <w:tab/>
        <w:t>= (Measure Equipment Cost + Measure Labor Cost) –</w:t>
      </w:r>
    </w:p>
    <w:p w:rsidR="00724593" w:rsidRDefault="00724593" w:rsidP="00724593">
      <w:pPr>
        <w:ind w:left="720" w:firstLine="720"/>
        <w:rPr>
          <w:rFonts w:asciiTheme="minorHAnsi" w:hAnsiTheme="minorHAnsi" w:cstheme="minorHAnsi"/>
          <w:sz w:val="22"/>
          <w:szCs w:val="22"/>
        </w:rPr>
      </w:pPr>
      <w:r w:rsidRPr="006323F0">
        <w:rPr>
          <w:rFonts w:asciiTheme="minorHAnsi" w:hAnsiTheme="minorHAnsi" w:cstheme="minorHAnsi"/>
          <w:sz w:val="22"/>
          <w:szCs w:val="22"/>
        </w:rPr>
        <w:t xml:space="preserve">    (Base Case Equipment Cost + Base Case Labor Cost)</w:t>
      </w:r>
    </w:p>
    <w:p w:rsidR="00724593" w:rsidRDefault="00724593" w:rsidP="00724593">
      <w:pPr>
        <w:ind w:left="720" w:firstLine="720"/>
        <w:rPr>
          <w:rFonts w:asciiTheme="minorHAnsi" w:hAnsiTheme="minorHAnsi" w:cstheme="minorHAnsi"/>
          <w:sz w:val="22"/>
          <w:szCs w:val="22"/>
        </w:rPr>
      </w:pPr>
    </w:p>
    <w:p w:rsidR="00724593" w:rsidRPr="006323F0" w:rsidRDefault="00724593" w:rsidP="00724593">
      <w:pPr>
        <w:ind w:left="720" w:firstLine="720"/>
        <w:rPr>
          <w:rFonts w:asciiTheme="minorHAnsi" w:hAnsiTheme="minorHAnsi" w:cstheme="minorHAnsi"/>
          <w:sz w:val="22"/>
          <w:szCs w:val="22"/>
        </w:rPr>
      </w:pPr>
      <w:r w:rsidRPr="006323F0">
        <w:rPr>
          <w:rFonts w:asciiTheme="minorHAnsi" w:hAnsiTheme="minorHAnsi" w:cstheme="minorHAnsi"/>
          <w:sz w:val="22"/>
          <w:szCs w:val="22"/>
        </w:rPr>
        <w:t>= (Measure Equ</w:t>
      </w:r>
      <w:r>
        <w:rPr>
          <w:rFonts w:asciiTheme="minorHAnsi" w:hAnsiTheme="minorHAnsi" w:cstheme="minorHAnsi"/>
          <w:sz w:val="22"/>
          <w:szCs w:val="22"/>
        </w:rPr>
        <w:t>ipment Cost – Code Equipment Cost</w:t>
      </w:r>
      <w:r w:rsidRPr="006323F0">
        <w:rPr>
          <w:rFonts w:asciiTheme="minorHAnsi" w:hAnsiTheme="minorHAnsi" w:cstheme="minorHAnsi"/>
          <w:sz w:val="22"/>
          <w:szCs w:val="22"/>
        </w:rPr>
        <w:t>)</w:t>
      </w:r>
    </w:p>
    <w:p w:rsidR="00724593" w:rsidRPr="006323F0" w:rsidRDefault="00724593" w:rsidP="00724593">
      <w:pPr>
        <w:ind w:left="720" w:right="720"/>
        <w:rPr>
          <w:rFonts w:asciiTheme="minorHAnsi" w:hAnsiTheme="minorHAnsi" w:cstheme="minorHAnsi"/>
          <w:sz w:val="22"/>
          <w:szCs w:val="22"/>
        </w:rPr>
      </w:pPr>
    </w:p>
    <w:p w:rsidR="00724593" w:rsidRDefault="00724593" w:rsidP="00724593">
      <w:pPr>
        <w:ind w:left="720" w:right="720"/>
        <w:rPr>
          <w:rFonts w:asciiTheme="minorHAnsi" w:hAnsiTheme="minorHAnsi" w:cstheme="minorHAnsi"/>
          <w:sz w:val="22"/>
          <w:szCs w:val="22"/>
        </w:rPr>
      </w:pPr>
      <w:r w:rsidRPr="006323F0">
        <w:rPr>
          <w:rFonts w:asciiTheme="minorHAnsi" w:hAnsiTheme="minorHAnsi" w:cstheme="minorHAnsi"/>
          <w:sz w:val="22"/>
          <w:szCs w:val="22"/>
        </w:rPr>
        <w:t>*Note: Unless stated otherwise the measure case labor and base case labor are assumed to be the same value.</w:t>
      </w:r>
      <w:r>
        <w:rPr>
          <w:rFonts w:asciiTheme="minorHAnsi" w:hAnsiTheme="minorHAnsi" w:cstheme="minorHAnsi"/>
          <w:sz w:val="22"/>
          <w:szCs w:val="22"/>
        </w:rPr>
        <w:t xml:space="preserve"> For this work paper, the measure and base case (code base case) costs are different.</w:t>
      </w:r>
    </w:p>
    <w:p w:rsidR="00724593" w:rsidRDefault="00724593" w:rsidP="00724593">
      <w:pPr>
        <w:pStyle w:val="Caption"/>
        <w:rPr>
          <w:rFonts w:asciiTheme="minorHAnsi" w:hAnsiTheme="minorHAnsi" w:cstheme="minorHAnsi"/>
          <w:b w:val="0"/>
          <w:bCs w:val="0"/>
          <w:sz w:val="22"/>
          <w:szCs w:val="22"/>
        </w:rPr>
      </w:pPr>
    </w:p>
    <w:p w:rsidR="00724593" w:rsidRPr="00524AC3" w:rsidRDefault="00645F8E" w:rsidP="00724593">
      <w:pPr>
        <w:pStyle w:val="Caption"/>
        <w:rPr>
          <w:rFonts w:asciiTheme="minorHAnsi" w:hAnsiTheme="minorHAnsi" w:cstheme="minorHAnsi"/>
          <w:b w:val="0"/>
          <w:sz w:val="22"/>
          <w:szCs w:val="22"/>
        </w:rPr>
      </w:pPr>
      <w:r w:rsidRPr="00645F8E">
        <w:rPr>
          <w:rFonts w:asciiTheme="minorHAnsi" w:hAnsiTheme="minorHAnsi" w:cstheme="minorHAnsi"/>
          <w:b w:val="0"/>
          <w:bCs w:val="0"/>
          <w:sz w:val="22"/>
          <w:szCs w:val="22"/>
        </w:rPr>
        <w:fldChar w:fldCharType="begin"/>
      </w:r>
      <w:r w:rsidRPr="00645F8E">
        <w:rPr>
          <w:rFonts w:asciiTheme="minorHAnsi" w:hAnsiTheme="minorHAnsi" w:cstheme="minorHAnsi"/>
          <w:b w:val="0"/>
          <w:bCs w:val="0"/>
          <w:sz w:val="22"/>
          <w:szCs w:val="22"/>
        </w:rPr>
        <w:instrText xml:space="preserve"> REF _Ref394469240 \h  \* MERGEFORMAT </w:instrText>
      </w:r>
      <w:r w:rsidRPr="00645F8E">
        <w:rPr>
          <w:rFonts w:asciiTheme="minorHAnsi" w:hAnsiTheme="minorHAnsi" w:cstheme="minorHAnsi"/>
          <w:b w:val="0"/>
          <w:bCs w:val="0"/>
          <w:sz w:val="22"/>
          <w:szCs w:val="22"/>
        </w:rPr>
      </w:r>
      <w:r w:rsidRPr="00645F8E">
        <w:rPr>
          <w:rFonts w:asciiTheme="minorHAnsi" w:hAnsiTheme="minorHAnsi" w:cstheme="minorHAnsi"/>
          <w:b w:val="0"/>
          <w:bCs w:val="0"/>
          <w:sz w:val="22"/>
          <w:szCs w:val="22"/>
        </w:rPr>
        <w:fldChar w:fldCharType="separate"/>
      </w:r>
      <w:r w:rsidR="00302C1D" w:rsidRPr="00302C1D">
        <w:rPr>
          <w:rFonts w:asciiTheme="minorHAnsi" w:hAnsiTheme="minorHAnsi" w:cstheme="minorHAnsi"/>
          <w:b w:val="0"/>
          <w:sz w:val="22"/>
          <w:szCs w:val="22"/>
        </w:rPr>
        <w:t>Table 14</w:t>
      </w:r>
      <w:r w:rsidRPr="00645F8E">
        <w:rPr>
          <w:rFonts w:asciiTheme="minorHAnsi" w:hAnsiTheme="minorHAnsi" w:cstheme="minorHAnsi"/>
          <w:b w:val="0"/>
          <w:bCs w:val="0"/>
          <w:sz w:val="22"/>
          <w:szCs w:val="22"/>
        </w:rPr>
        <w:fldChar w:fldCharType="end"/>
      </w:r>
      <w:r w:rsidR="00724593">
        <w:rPr>
          <w:rFonts w:asciiTheme="minorHAnsi" w:hAnsiTheme="minorHAnsi" w:cstheme="minorHAnsi"/>
          <w:b w:val="0"/>
          <w:bCs w:val="0"/>
          <w:sz w:val="22"/>
          <w:szCs w:val="22"/>
        </w:rPr>
        <w:t xml:space="preserve"> includes a sample calculation of GMC. </w:t>
      </w:r>
      <w:r w:rsidR="00724593" w:rsidRPr="00524AC3">
        <w:rPr>
          <w:rFonts w:asciiTheme="minorHAnsi" w:hAnsiTheme="minorHAnsi" w:cstheme="minorHAnsi"/>
          <w:b w:val="0"/>
          <w:sz w:val="22"/>
          <w:szCs w:val="22"/>
        </w:rPr>
        <w:t>See the cost spreadsheet [</w:t>
      </w:r>
      <w:r w:rsidR="002649B8">
        <w:rPr>
          <w:rFonts w:asciiTheme="minorHAnsi" w:hAnsiTheme="minorHAnsi" w:cstheme="minorHAnsi"/>
          <w:b w:val="0"/>
          <w:sz w:val="22"/>
          <w:szCs w:val="22"/>
        </w:rPr>
        <w:t>D</w:t>
      </w:r>
      <w:r w:rsidR="00724593" w:rsidRPr="00524AC3">
        <w:rPr>
          <w:rFonts w:asciiTheme="minorHAnsi" w:hAnsiTheme="minorHAnsi" w:cstheme="minorHAnsi"/>
          <w:b w:val="0"/>
          <w:sz w:val="22"/>
          <w:szCs w:val="22"/>
        </w:rPr>
        <w:t>] for</w:t>
      </w:r>
      <w:r w:rsidR="00724593">
        <w:rPr>
          <w:rFonts w:asciiTheme="minorHAnsi" w:hAnsiTheme="minorHAnsi" w:cstheme="minorHAnsi"/>
          <w:b w:val="0"/>
          <w:sz w:val="22"/>
          <w:szCs w:val="22"/>
        </w:rPr>
        <w:t xml:space="preserve"> the rest of the calculations</w:t>
      </w:r>
      <w:r w:rsidR="00724593" w:rsidRPr="00524AC3">
        <w:rPr>
          <w:rFonts w:asciiTheme="minorHAnsi" w:hAnsiTheme="minorHAnsi" w:cstheme="minorHAnsi"/>
          <w:b w:val="0"/>
          <w:sz w:val="22"/>
          <w:szCs w:val="22"/>
        </w:rPr>
        <w:t>. They are also in the calculations template [</w:t>
      </w:r>
      <w:r w:rsidR="002649B8">
        <w:rPr>
          <w:rFonts w:asciiTheme="minorHAnsi" w:hAnsiTheme="minorHAnsi" w:cstheme="minorHAnsi"/>
          <w:b w:val="0"/>
          <w:sz w:val="22"/>
          <w:szCs w:val="22"/>
        </w:rPr>
        <w:t>E</w:t>
      </w:r>
      <w:r w:rsidR="00724593" w:rsidRPr="00524AC3">
        <w:rPr>
          <w:rFonts w:asciiTheme="minorHAnsi" w:hAnsiTheme="minorHAnsi" w:cstheme="minorHAnsi"/>
          <w:b w:val="0"/>
          <w:sz w:val="22"/>
          <w:szCs w:val="22"/>
        </w:rPr>
        <w:t>].</w:t>
      </w:r>
    </w:p>
    <w:p w:rsidR="00724593" w:rsidRDefault="00724593" w:rsidP="00724593">
      <w:pPr>
        <w:pStyle w:val="Caption"/>
        <w:jc w:val="center"/>
        <w:rPr>
          <w:rFonts w:asciiTheme="minorHAnsi" w:hAnsiTheme="minorHAnsi" w:cstheme="minorHAnsi"/>
          <w:sz w:val="22"/>
          <w:szCs w:val="22"/>
        </w:rPr>
      </w:pPr>
      <w:bookmarkStart w:id="37" w:name="_Ref322954417"/>
      <w:bookmarkStart w:id="38" w:name="_Toc220125020"/>
    </w:p>
    <w:p w:rsidR="00724593" w:rsidRPr="00311369" w:rsidRDefault="00645F8E" w:rsidP="00645F8E">
      <w:pPr>
        <w:pStyle w:val="Caption"/>
        <w:jc w:val="center"/>
        <w:rPr>
          <w:rFonts w:asciiTheme="minorHAnsi" w:hAnsiTheme="minorHAnsi" w:cstheme="minorHAnsi"/>
          <w:sz w:val="22"/>
          <w:szCs w:val="22"/>
        </w:rPr>
      </w:pPr>
      <w:bookmarkStart w:id="39" w:name="_Ref394469240"/>
      <w:r w:rsidRPr="00645F8E">
        <w:rPr>
          <w:rFonts w:asciiTheme="minorHAnsi" w:hAnsiTheme="minorHAnsi" w:cstheme="minorHAnsi"/>
          <w:sz w:val="22"/>
          <w:szCs w:val="22"/>
        </w:rPr>
        <w:t xml:space="preserve">Table </w:t>
      </w:r>
      <w:r w:rsidRPr="00645F8E">
        <w:rPr>
          <w:rFonts w:asciiTheme="minorHAnsi" w:hAnsiTheme="minorHAnsi" w:cstheme="minorHAnsi"/>
          <w:sz w:val="22"/>
          <w:szCs w:val="22"/>
        </w:rPr>
        <w:fldChar w:fldCharType="begin"/>
      </w:r>
      <w:r w:rsidRPr="00645F8E">
        <w:rPr>
          <w:rFonts w:asciiTheme="minorHAnsi" w:hAnsiTheme="minorHAnsi" w:cstheme="minorHAnsi"/>
          <w:sz w:val="22"/>
          <w:szCs w:val="22"/>
        </w:rPr>
        <w:instrText xml:space="preserve"> SEQ Table \* ARABIC </w:instrText>
      </w:r>
      <w:r w:rsidRPr="00645F8E">
        <w:rPr>
          <w:rFonts w:asciiTheme="minorHAnsi" w:hAnsiTheme="minorHAnsi" w:cstheme="minorHAnsi"/>
          <w:sz w:val="22"/>
          <w:szCs w:val="22"/>
        </w:rPr>
        <w:fldChar w:fldCharType="separate"/>
      </w:r>
      <w:r w:rsidR="00302C1D">
        <w:rPr>
          <w:rFonts w:asciiTheme="minorHAnsi" w:hAnsiTheme="minorHAnsi" w:cstheme="minorHAnsi"/>
          <w:noProof/>
          <w:sz w:val="22"/>
          <w:szCs w:val="22"/>
        </w:rPr>
        <w:t>14</w:t>
      </w:r>
      <w:r w:rsidRPr="00645F8E">
        <w:rPr>
          <w:rFonts w:asciiTheme="minorHAnsi" w:hAnsiTheme="minorHAnsi" w:cstheme="minorHAnsi"/>
          <w:sz w:val="22"/>
          <w:szCs w:val="22"/>
        </w:rPr>
        <w:fldChar w:fldCharType="end"/>
      </w:r>
      <w:bookmarkEnd w:id="37"/>
      <w:bookmarkEnd w:id="39"/>
      <w:r>
        <w:rPr>
          <w:rFonts w:asciiTheme="minorHAnsi" w:hAnsiTheme="minorHAnsi" w:cstheme="minorHAnsi"/>
          <w:sz w:val="22"/>
          <w:szCs w:val="22"/>
        </w:rPr>
        <w:t xml:space="preserve"> </w:t>
      </w:r>
      <w:r w:rsidR="00724593" w:rsidRPr="00311369">
        <w:rPr>
          <w:rFonts w:asciiTheme="minorHAnsi" w:hAnsiTheme="minorHAnsi" w:cstheme="minorHAnsi"/>
          <w:sz w:val="22"/>
          <w:szCs w:val="22"/>
        </w:rPr>
        <w:t>Incremental and Gross Measure Cost</w:t>
      </w:r>
      <w:bookmarkEnd w:id="38"/>
    </w:p>
    <w:tbl>
      <w:tblPr>
        <w:tblW w:w="9849" w:type="dxa"/>
        <w:tblInd w:w="91"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Look w:val="0000" w:firstRow="0" w:lastRow="0" w:firstColumn="0" w:lastColumn="0" w:noHBand="0" w:noVBand="0"/>
      </w:tblPr>
      <w:tblGrid>
        <w:gridCol w:w="2520"/>
        <w:gridCol w:w="1187"/>
        <w:gridCol w:w="1080"/>
        <w:gridCol w:w="1170"/>
        <w:gridCol w:w="990"/>
        <w:gridCol w:w="990"/>
        <w:gridCol w:w="990"/>
        <w:gridCol w:w="922"/>
      </w:tblGrid>
      <w:tr w:rsidR="00724593" w:rsidRPr="00311369" w:rsidTr="00E97246">
        <w:trPr>
          <w:trHeight w:val="1020"/>
          <w:tblHeader/>
        </w:trPr>
        <w:tc>
          <w:tcPr>
            <w:tcW w:w="2520" w:type="dxa"/>
            <w:tcBorders>
              <w:bottom w:val="single" w:sz="18" w:space="0" w:color="FFFFFF"/>
            </w:tcBorders>
            <w:shd w:val="clear" w:color="auto" w:fill="D9D9D9"/>
          </w:tcPr>
          <w:p w:rsidR="00724593" w:rsidRPr="00311369" w:rsidRDefault="00724593" w:rsidP="00D36899">
            <w:pPr>
              <w:rPr>
                <w:rFonts w:asciiTheme="minorHAnsi" w:hAnsiTheme="minorHAnsi" w:cstheme="minorHAnsi"/>
                <w:b/>
                <w:sz w:val="20"/>
                <w:szCs w:val="20"/>
              </w:rPr>
            </w:pPr>
            <w:r w:rsidRPr="00311369">
              <w:rPr>
                <w:rFonts w:asciiTheme="minorHAnsi" w:hAnsiTheme="minorHAnsi" w:cstheme="minorHAnsi"/>
                <w:b/>
                <w:sz w:val="20"/>
                <w:szCs w:val="20"/>
              </w:rPr>
              <w:t>Measure Name</w:t>
            </w:r>
          </w:p>
        </w:tc>
        <w:tc>
          <w:tcPr>
            <w:tcW w:w="1187" w:type="dxa"/>
            <w:tcBorders>
              <w:bottom w:val="single" w:sz="18" w:space="0" w:color="FFFFFF"/>
            </w:tcBorders>
            <w:shd w:val="clear" w:color="auto" w:fill="D9D9D9"/>
          </w:tcPr>
          <w:p w:rsidR="00724593" w:rsidRPr="00311369"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Code Base Equipment Cost</w:t>
            </w:r>
          </w:p>
        </w:tc>
        <w:tc>
          <w:tcPr>
            <w:tcW w:w="1080" w:type="dxa"/>
            <w:tcBorders>
              <w:bottom w:val="single" w:sz="18" w:space="0" w:color="FFFFFF"/>
            </w:tcBorders>
            <w:shd w:val="clear" w:color="auto" w:fill="D9D9D9"/>
          </w:tcPr>
          <w:p w:rsidR="00724593" w:rsidRPr="00311369"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Code Base Labor Cost</w:t>
            </w:r>
          </w:p>
        </w:tc>
        <w:tc>
          <w:tcPr>
            <w:tcW w:w="1170" w:type="dxa"/>
            <w:tcBorders>
              <w:bottom w:val="single" w:sz="18" w:space="0" w:color="FFFFFF"/>
            </w:tcBorders>
            <w:shd w:val="clear" w:color="auto" w:fill="D9D9D9"/>
          </w:tcPr>
          <w:p w:rsidR="00724593" w:rsidRPr="00311369" w:rsidRDefault="00724593" w:rsidP="00D36899">
            <w:pPr>
              <w:jc w:val="center"/>
              <w:rPr>
                <w:rFonts w:asciiTheme="minorHAnsi" w:hAnsiTheme="minorHAnsi" w:cstheme="minorHAnsi"/>
                <w:b/>
                <w:sz w:val="20"/>
                <w:szCs w:val="20"/>
              </w:rPr>
            </w:pPr>
            <w:r w:rsidRPr="00311369">
              <w:rPr>
                <w:rFonts w:asciiTheme="minorHAnsi" w:hAnsiTheme="minorHAnsi" w:cstheme="minorHAnsi"/>
                <w:b/>
                <w:sz w:val="20"/>
                <w:szCs w:val="20"/>
              </w:rPr>
              <w:t>Measure</w:t>
            </w:r>
            <w:r>
              <w:rPr>
                <w:rFonts w:asciiTheme="minorHAnsi" w:hAnsiTheme="minorHAnsi" w:cstheme="minorHAnsi"/>
                <w:b/>
                <w:sz w:val="20"/>
                <w:szCs w:val="20"/>
              </w:rPr>
              <w:t xml:space="preserve"> Equipment</w:t>
            </w:r>
            <w:r w:rsidRPr="00311369">
              <w:rPr>
                <w:rFonts w:asciiTheme="minorHAnsi" w:hAnsiTheme="minorHAnsi" w:cstheme="minorHAnsi"/>
                <w:b/>
                <w:sz w:val="20"/>
                <w:szCs w:val="20"/>
              </w:rPr>
              <w:t xml:space="preserve"> Cost</w:t>
            </w:r>
          </w:p>
        </w:tc>
        <w:tc>
          <w:tcPr>
            <w:tcW w:w="990" w:type="dxa"/>
            <w:tcBorders>
              <w:bottom w:val="single" w:sz="18" w:space="0" w:color="FFFFFF"/>
            </w:tcBorders>
            <w:shd w:val="clear" w:color="auto" w:fill="D9D9D9"/>
          </w:tcPr>
          <w:p w:rsidR="00724593" w:rsidRPr="00311369"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Measure Labor Cost</w:t>
            </w:r>
          </w:p>
        </w:tc>
        <w:tc>
          <w:tcPr>
            <w:tcW w:w="990" w:type="dxa"/>
            <w:tcBorders>
              <w:bottom w:val="single" w:sz="18" w:space="0" w:color="FFFFFF"/>
            </w:tcBorders>
            <w:shd w:val="clear" w:color="auto" w:fill="D9D9D9"/>
          </w:tcPr>
          <w:p w:rsidR="00724593" w:rsidRPr="00311369"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GMC (1</w:t>
            </w:r>
            <w:r w:rsidRPr="001F3F31">
              <w:rPr>
                <w:rFonts w:asciiTheme="minorHAnsi" w:hAnsiTheme="minorHAnsi" w:cstheme="minorHAnsi"/>
                <w:b/>
                <w:sz w:val="20"/>
                <w:szCs w:val="20"/>
                <w:vertAlign w:val="superscript"/>
              </w:rPr>
              <w:t>st</w:t>
            </w:r>
            <w:r>
              <w:rPr>
                <w:rFonts w:asciiTheme="minorHAnsi" w:hAnsiTheme="minorHAnsi" w:cstheme="minorHAnsi"/>
                <w:b/>
                <w:sz w:val="20"/>
                <w:szCs w:val="20"/>
              </w:rPr>
              <w:t xml:space="preserve"> Baseline)</w:t>
            </w:r>
          </w:p>
        </w:tc>
        <w:tc>
          <w:tcPr>
            <w:tcW w:w="990" w:type="dxa"/>
            <w:tcBorders>
              <w:bottom w:val="single" w:sz="18" w:space="0" w:color="FFFFFF"/>
            </w:tcBorders>
            <w:shd w:val="clear" w:color="auto" w:fill="D9D9D9"/>
          </w:tcPr>
          <w:p w:rsidR="00724593"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GMC</w:t>
            </w:r>
          </w:p>
          <w:p w:rsidR="00724593" w:rsidRPr="00311369"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(2</w:t>
            </w:r>
            <w:r w:rsidRPr="001F3F31">
              <w:rPr>
                <w:rFonts w:asciiTheme="minorHAnsi" w:hAnsiTheme="minorHAnsi" w:cstheme="minorHAnsi"/>
                <w:b/>
                <w:sz w:val="20"/>
                <w:szCs w:val="20"/>
                <w:vertAlign w:val="superscript"/>
              </w:rPr>
              <w:t>nd</w:t>
            </w:r>
            <w:r>
              <w:rPr>
                <w:rFonts w:asciiTheme="minorHAnsi" w:hAnsiTheme="minorHAnsi" w:cstheme="minorHAnsi"/>
                <w:b/>
                <w:sz w:val="20"/>
                <w:szCs w:val="20"/>
              </w:rPr>
              <w:t xml:space="preserve"> Baseline)</w:t>
            </w:r>
          </w:p>
        </w:tc>
        <w:tc>
          <w:tcPr>
            <w:tcW w:w="922" w:type="dxa"/>
            <w:tcBorders>
              <w:bottom w:val="single" w:sz="18" w:space="0" w:color="FFFFFF"/>
            </w:tcBorders>
            <w:shd w:val="clear" w:color="auto" w:fill="D9D9D9"/>
          </w:tcPr>
          <w:p w:rsidR="00724593" w:rsidRDefault="00724593" w:rsidP="00D36899">
            <w:pPr>
              <w:jc w:val="center"/>
              <w:rPr>
                <w:rFonts w:asciiTheme="minorHAnsi" w:hAnsiTheme="minorHAnsi" w:cstheme="minorHAnsi"/>
                <w:b/>
                <w:sz w:val="20"/>
                <w:szCs w:val="20"/>
              </w:rPr>
            </w:pPr>
            <w:r>
              <w:rPr>
                <w:rFonts w:asciiTheme="minorHAnsi" w:hAnsiTheme="minorHAnsi" w:cstheme="minorHAnsi"/>
                <w:b/>
                <w:sz w:val="20"/>
                <w:szCs w:val="20"/>
              </w:rPr>
              <w:t>GMC (ROB)</w:t>
            </w:r>
          </w:p>
        </w:tc>
      </w:tr>
      <w:tr w:rsidR="00724593" w:rsidRPr="00311369" w:rsidTr="00E97246">
        <w:trPr>
          <w:trHeight w:val="765"/>
        </w:trPr>
        <w:tc>
          <w:tcPr>
            <w:tcW w:w="2520" w:type="dxa"/>
            <w:shd w:val="clear" w:color="auto" w:fill="F3F3F3"/>
            <w:vAlign w:val="bottom"/>
          </w:tcPr>
          <w:p w:rsidR="00724593" w:rsidRPr="00311369" w:rsidRDefault="00724593" w:rsidP="00D36899">
            <w:pPr>
              <w:rPr>
                <w:rFonts w:asciiTheme="minorHAnsi" w:hAnsiTheme="minorHAnsi" w:cstheme="minorHAnsi"/>
                <w:sz w:val="20"/>
                <w:szCs w:val="20"/>
              </w:rPr>
            </w:pPr>
            <w:r w:rsidRPr="00311369">
              <w:rPr>
                <w:rFonts w:asciiTheme="minorHAnsi" w:hAnsiTheme="minorHAnsi" w:cstheme="minorHAnsi"/>
                <w:sz w:val="20"/>
                <w:szCs w:val="20"/>
              </w:rPr>
              <w:t>245 to 360 Watt (Tier 2) Interior Fixture T5 Linear Fluorescent  replacing 400 Watt lamp base case</w:t>
            </w:r>
          </w:p>
        </w:tc>
        <w:tc>
          <w:tcPr>
            <w:tcW w:w="1187" w:type="dxa"/>
            <w:shd w:val="clear" w:color="auto" w:fill="F3F3F3"/>
            <w:vAlign w:val="center"/>
          </w:tcPr>
          <w:p w:rsidR="00724593" w:rsidRDefault="00724593" w:rsidP="00D36899">
            <w:pPr>
              <w:jc w:val="center"/>
              <w:rPr>
                <w:rFonts w:ascii="Calibri" w:hAnsi="Calibri" w:cs="Calibri"/>
                <w:color w:val="000000"/>
                <w:sz w:val="20"/>
                <w:szCs w:val="20"/>
              </w:rPr>
            </w:pPr>
            <w:r>
              <w:rPr>
                <w:rFonts w:ascii="Calibri" w:hAnsi="Calibri" w:cs="Calibri"/>
                <w:color w:val="000000"/>
                <w:sz w:val="20"/>
                <w:szCs w:val="20"/>
              </w:rPr>
              <w:t>$203.54</w:t>
            </w:r>
          </w:p>
        </w:tc>
        <w:tc>
          <w:tcPr>
            <w:tcW w:w="1080" w:type="dxa"/>
            <w:shd w:val="clear" w:color="auto" w:fill="F3F3F3"/>
            <w:vAlign w:val="center"/>
          </w:tcPr>
          <w:p w:rsidR="00724593" w:rsidRDefault="002D3125" w:rsidP="002D3125">
            <w:pPr>
              <w:jc w:val="center"/>
              <w:rPr>
                <w:rFonts w:ascii="Calibri" w:hAnsi="Calibri" w:cs="Calibri"/>
                <w:color w:val="000000"/>
                <w:sz w:val="20"/>
                <w:szCs w:val="20"/>
              </w:rPr>
            </w:pPr>
            <w:r>
              <w:rPr>
                <w:rFonts w:ascii="Calibri" w:hAnsi="Calibri" w:cs="Calibri"/>
                <w:color w:val="000000"/>
                <w:sz w:val="20"/>
                <w:szCs w:val="20"/>
              </w:rPr>
              <w:t>$72.17</w:t>
            </w:r>
          </w:p>
        </w:tc>
        <w:tc>
          <w:tcPr>
            <w:tcW w:w="1170" w:type="dxa"/>
            <w:shd w:val="clear" w:color="auto" w:fill="F3F3F3"/>
            <w:vAlign w:val="center"/>
          </w:tcPr>
          <w:p w:rsidR="00724593" w:rsidRPr="00311369" w:rsidRDefault="00724593" w:rsidP="00D36899">
            <w:pPr>
              <w:jc w:val="center"/>
              <w:rPr>
                <w:rFonts w:asciiTheme="minorHAnsi" w:hAnsiTheme="minorHAnsi" w:cstheme="minorHAnsi"/>
                <w:sz w:val="20"/>
                <w:szCs w:val="20"/>
              </w:rPr>
            </w:pPr>
            <w:r w:rsidRPr="00311369">
              <w:rPr>
                <w:rFonts w:asciiTheme="minorHAnsi" w:hAnsiTheme="minorHAnsi" w:cstheme="minorHAnsi"/>
                <w:sz w:val="20"/>
                <w:szCs w:val="20"/>
              </w:rPr>
              <w:t>$2</w:t>
            </w:r>
            <w:r>
              <w:rPr>
                <w:rFonts w:asciiTheme="minorHAnsi" w:hAnsiTheme="minorHAnsi" w:cstheme="minorHAnsi"/>
                <w:sz w:val="20"/>
                <w:szCs w:val="20"/>
              </w:rPr>
              <w:t>83</w:t>
            </w:r>
            <w:r w:rsidRPr="00311369">
              <w:rPr>
                <w:rFonts w:asciiTheme="minorHAnsi" w:hAnsiTheme="minorHAnsi" w:cstheme="minorHAnsi"/>
                <w:sz w:val="20"/>
                <w:szCs w:val="20"/>
              </w:rPr>
              <w:t>.</w:t>
            </w:r>
            <w:r>
              <w:rPr>
                <w:rFonts w:asciiTheme="minorHAnsi" w:hAnsiTheme="minorHAnsi" w:cstheme="minorHAnsi"/>
                <w:sz w:val="20"/>
                <w:szCs w:val="20"/>
              </w:rPr>
              <w:t>06</w:t>
            </w:r>
          </w:p>
        </w:tc>
        <w:tc>
          <w:tcPr>
            <w:tcW w:w="990" w:type="dxa"/>
            <w:shd w:val="clear" w:color="auto" w:fill="F3F3F3"/>
            <w:vAlign w:val="center"/>
          </w:tcPr>
          <w:p w:rsidR="00724593" w:rsidRPr="00311369" w:rsidRDefault="00724593" w:rsidP="00D36899">
            <w:pPr>
              <w:jc w:val="center"/>
              <w:rPr>
                <w:rFonts w:asciiTheme="minorHAnsi" w:hAnsiTheme="minorHAnsi" w:cstheme="minorHAnsi"/>
                <w:sz w:val="20"/>
                <w:szCs w:val="20"/>
              </w:rPr>
            </w:pPr>
            <w:r w:rsidRPr="00311369">
              <w:rPr>
                <w:rFonts w:asciiTheme="minorHAnsi" w:hAnsiTheme="minorHAnsi" w:cstheme="minorHAnsi"/>
                <w:sz w:val="20"/>
                <w:szCs w:val="20"/>
              </w:rPr>
              <w:t>$72.17</w:t>
            </w:r>
          </w:p>
        </w:tc>
        <w:tc>
          <w:tcPr>
            <w:tcW w:w="990" w:type="dxa"/>
            <w:shd w:val="clear" w:color="auto" w:fill="F3F3F3"/>
            <w:vAlign w:val="center"/>
          </w:tcPr>
          <w:p w:rsidR="00724593" w:rsidRDefault="00724593" w:rsidP="00D36899">
            <w:pPr>
              <w:jc w:val="center"/>
              <w:rPr>
                <w:rFonts w:ascii="Calibri" w:hAnsi="Calibri" w:cs="Calibri"/>
                <w:color w:val="000000"/>
                <w:sz w:val="20"/>
                <w:szCs w:val="20"/>
              </w:rPr>
            </w:pPr>
            <w:r>
              <w:rPr>
                <w:rFonts w:ascii="Calibri" w:hAnsi="Calibri" w:cs="Calibri"/>
                <w:color w:val="000000"/>
                <w:sz w:val="20"/>
                <w:szCs w:val="20"/>
              </w:rPr>
              <w:t xml:space="preserve">$355.23 </w:t>
            </w:r>
          </w:p>
        </w:tc>
        <w:tc>
          <w:tcPr>
            <w:tcW w:w="990" w:type="dxa"/>
            <w:shd w:val="clear" w:color="auto" w:fill="F3F3F3"/>
            <w:vAlign w:val="center"/>
          </w:tcPr>
          <w:p w:rsidR="00724593" w:rsidRDefault="00724593" w:rsidP="00D36899">
            <w:pPr>
              <w:jc w:val="center"/>
              <w:rPr>
                <w:rFonts w:ascii="Calibri" w:hAnsi="Calibri" w:cs="Calibri"/>
                <w:color w:val="000000"/>
                <w:sz w:val="20"/>
                <w:szCs w:val="20"/>
              </w:rPr>
            </w:pPr>
            <w:r>
              <w:rPr>
                <w:rFonts w:ascii="Calibri" w:hAnsi="Calibri" w:cs="Calibri"/>
                <w:color w:val="000000"/>
                <w:sz w:val="20"/>
                <w:szCs w:val="20"/>
              </w:rPr>
              <w:t>$79.52</w:t>
            </w:r>
          </w:p>
        </w:tc>
        <w:tc>
          <w:tcPr>
            <w:tcW w:w="922" w:type="dxa"/>
            <w:shd w:val="clear" w:color="auto" w:fill="F3F3F3"/>
            <w:vAlign w:val="center"/>
          </w:tcPr>
          <w:p w:rsidR="00724593" w:rsidRDefault="00724593" w:rsidP="00D36899">
            <w:pPr>
              <w:jc w:val="center"/>
              <w:rPr>
                <w:rFonts w:ascii="Calibri" w:hAnsi="Calibri" w:cs="Calibri"/>
                <w:color w:val="000000"/>
                <w:sz w:val="20"/>
                <w:szCs w:val="20"/>
              </w:rPr>
            </w:pPr>
            <w:r>
              <w:rPr>
                <w:rFonts w:ascii="Calibri" w:hAnsi="Calibri" w:cs="Calibri"/>
                <w:color w:val="000000"/>
                <w:sz w:val="20"/>
                <w:szCs w:val="20"/>
              </w:rPr>
              <w:t>$79.52</w:t>
            </w:r>
          </w:p>
        </w:tc>
      </w:tr>
    </w:tbl>
    <w:p w:rsidR="00724593" w:rsidRDefault="00724593" w:rsidP="00E16609">
      <w:pPr>
        <w:pStyle w:val="Reminders"/>
        <w:rPr>
          <w:rFonts w:asciiTheme="minorHAnsi" w:hAnsiTheme="minorHAnsi" w:cstheme="minorHAnsi"/>
          <w:sz w:val="22"/>
          <w:szCs w:val="22"/>
        </w:rPr>
      </w:pPr>
    </w:p>
    <w:p w:rsidR="005A0E53" w:rsidRPr="005A0E53" w:rsidRDefault="005A0E53" w:rsidP="005A0E53">
      <w:pPr>
        <w:pStyle w:val="Heading3"/>
        <w:rPr>
          <w:rFonts w:asciiTheme="minorHAnsi" w:hAnsiTheme="minorHAnsi"/>
        </w:rPr>
      </w:pPr>
      <w:bookmarkStart w:id="40"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762F1" w:rsidRDefault="00E762F1" w:rsidP="00E762F1">
      <w:pPr>
        <w:rPr>
          <w:rFonts w:asciiTheme="minorHAnsi" w:hAnsiTheme="minorHAnsi" w:cstheme="minorHAnsi"/>
          <w:sz w:val="22"/>
          <w:szCs w:val="22"/>
        </w:rPr>
      </w:pPr>
      <w:r w:rsidRPr="006323F0">
        <w:rPr>
          <w:rFonts w:asciiTheme="minorHAnsi" w:hAnsiTheme="minorHAnsi" w:cstheme="minorHAnsi"/>
          <w:sz w:val="22"/>
          <w:szCs w:val="22"/>
        </w:rPr>
        <w:t>Incremental Measure Cost is the premium cost to install an energy efficient measure over a standard efficiency mea</w:t>
      </w:r>
      <w:r>
        <w:rPr>
          <w:rFonts w:asciiTheme="minorHAnsi" w:hAnsiTheme="minorHAnsi" w:cstheme="minorHAnsi"/>
          <w:sz w:val="22"/>
          <w:szCs w:val="22"/>
        </w:rPr>
        <w:t xml:space="preserve">sure or code baseline measure. </w:t>
      </w:r>
      <w:r w:rsidRPr="006323F0">
        <w:rPr>
          <w:rFonts w:asciiTheme="minorHAnsi" w:hAnsiTheme="minorHAnsi" w:cstheme="minorHAnsi"/>
          <w:sz w:val="22"/>
          <w:szCs w:val="22"/>
        </w:rPr>
        <w:t>The incremental cost is only used to help dete</w:t>
      </w:r>
      <w:r>
        <w:rPr>
          <w:rFonts w:asciiTheme="minorHAnsi" w:hAnsiTheme="minorHAnsi" w:cstheme="minorHAnsi"/>
          <w:sz w:val="22"/>
          <w:szCs w:val="22"/>
        </w:rPr>
        <w:t>rmine program incentives.</w:t>
      </w:r>
    </w:p>
    <w:p w:rsidR="00E762F1" w:rsidRDefault="00E762F1" w:rsidP="00E762F1">
      <w:pPr>
        <w:rPr>
          <w:rFonts w:asciiTheme="minorHAnsi" w:hAnsiTheme="minorHAnsi" w:cstheme="minorHAnsi"/>
          <w:sz w:val="22"/>
          <w:szCs w:val="22"/>
        </w:rPr>
      </w:pPr>
    </w:p>
    <w:p w:rsidR="00E762F1" w:rsidRPr="001231F4" w:rsidRDefault="00E762F1" w:rsidP="00E762F1">
      <w:pPr>
        <w:rPr>
          <w:rFonts w:asciiTheme="minorHAnsi" w:hAnsiTheme="minorHAnsi" w:cstheme="minorHAnsi"/>
          <w:sz w:val="22"/>
          <w:szCs w:val="22"/>
        </w:rPr>
      </w:pPr>
      <w:r w:rsidRPr="006323F0">
        <w:rPr>
          <w:rFonts w:asciiTheme="minorHAnsi" w:hAnsiTheme="minorHAnsi" w:cstheme="minorHAnsi"/>
          <w:sz w:val="22"/>
          <w:szCs w:val="22"/>
        </w:rPr>
        <w:t xml:space="preserve">For ROB, the IMC is the same value as GMC. </w:t>
      </w:r>
    </w:p>
    <w:p w:rsidR="00E762F1" w:rsidRDefault="00E762F1" w:rsidP="00E762F1">
      <w:pPr>
        <w:rPr>
          <w:rFonts w:asciiTheme="minorHAnsi" w:hAnsiTheme="minorHAnsi" w:cstheme="minorHAnsi"/>
        </w:rPr>
      </w:pPr>
    </w:p>
    <w:p w:rsidR="00E762F1" w:rsidRPr="00DD65F6" w:rsidRDefault="00E762F1" w:rsidP="00E762F1">
      <w:pPr>
        <w:rPr>
          <w:rFonts w:asciiTheme="minorHAnsi" w:hAnsiTheme="minorHAnsi" w:cstheme="minorHAnsi"/>
          <w:sz w:val="22"/>
          <w:szCs w:val="22"/>
        </w:rPr>
      </w:pPr>
      <w:r w:rsidRPr="00DD65F6">
        <w:rPr>
          <w:rFonts w:asciiTheme="minorHAnsi" w:hAnsiTheme="minorHAnsi" w:cstheme="minorHAnsi"/>
          <w:sz w:val="22"/>
          <w:szCs w:val="22"/>
        </w:rPr>
        <w:t>For RET, the IMC is represented by the equation below:</w:t>
      </w:r>
    </w:p>
    <w:p w:rsidR="00E762F1" w:rsidRDefault="00E762F1" w:rsidP="00E762F1">
      <w:pPr>
        <w:rPr>
          <w:rFonts w:asciiTheme="minorHAnsi" w:hAnsiTheme="minorHAnsi" w:cstheme="minorHAnsi"/>
        </w:rPr>
      </w:pPr>
    </w:p>
    <w:p w:rsidR="00E762F1" w:rsidRPr="006323F0" w:rsidRDefault="00E762F1" w:rsidP="00E762F1">
      <w:pPr>
        <w:ind w:firstLine="720"/>
        <w:rPr>
          <w:rFonts w:asciiTheme="minorHAnsi" w:hAnsiTheme="minorHAnsi" w:cstheme="minorHAnsi"/>
          <w:sz w:val="22"/>
          <w:szCs w:val="22"/>
        </w:rPr>
      </w:pPr>
      <w:r>
        <w:rPr>
          <w:rFonts w:asciiTheme="minorHAnsi" w:hAnsiTheme="minorHAnsi" w:cstheme="minorHAnsi"/>
          <w:sz w:val="22"/>
          <w:szCs w:val="22"/>
        </w:rPr>
        <w:t>I</w:t>
      </w:r>
      <w:r w:rsidRPr="006323F0">
        <w:rPr>
          <w:rFonts w:asciiTheme="minorHAnsi" w:hAnsiTheme="minorHAnsi" w:cstheme="minorHAnsi"/>
          <w:sz w:val="22"/>
          <w:szCs w:val="22"/>
        </w:rPr>
        <w:t xml:space="preserve">MC </w:t>
      </w:r>
      <w:r w:rsidRPr="006323F0">
        <w:rPr>
          <w:rFonts w:asciiTheme="minorHAnsi" w:hAnsiTheme="minorHAnsi" w:cstheme="minorHAnsi"/>
          <w:sz w:val="22"/>
          <w:szCs w:val="22"/>
        </w:rPr>
        <w:tab/>
        <w:t>= (Measure Equipment Cost + Measure Labor Cost) –</w:t>
      </w:r>
    </w:p>
    <w:p w:rsidR="00E762F1" w:rsidRDefault="00E762F1" w:rsidP="00E762F1">
      <w:pPr>
        <w:ind w:left="720" w:firstLine="720"/>
        <w:rPr>
          <w:rFonts w:asciiTheme="minorHAnsi" w:hAnsiTheme="minorHAnsi" w:cstheme="minorHAnsi"/>
          <w:sz w:val="22"/>
          <w:szCs w:val="22"/>
        </w:rPr>
      </w:pPr>
      <w:r w:rsidRPr="006323F0">
        <w:rPr>
          <w:rFonts w:asciiTheme="minorHAnsi" w:hAnsiTheme="minorHAnsi" w:cstheme="minorHAnsi"/>
          <w:sz w:val="22"/>
          <w:szCs w:val="22"/>
        </w:rPr>
        <w:t xml:space="preserve">    (</w:t>
      </w:r>
      <w:r>
        <w:rPr>
          <w:rFonts w:asciiTheme="minorHAnsi" w:hAnsiTheme="minorHAnsi" w:cstheme="minorHAnsi"/>
          <w:sz w:val="22"/>
          <w:szCs w:val="22"/>
        </w:rPr>
        <w:t xml:space="preserve">Code </w:t>
      </w:r>
      <w:r w:rsidRPr="006323F0">
        <w:rPr>
          <w:rFonts w:asciiTheme="minorHAnsi" w:hAnsiTheme="minorHAnsi" w:cstheme="minorHAnsi"/>
          <w:sz w:val="22"/>
          <w:szCs w:val="22"/>
        </w:rPr>
        <w:t xml:space="preserve">Base Case Equipment Cost + </w:t>
      </w:r>
      <w:r>
        <w:rPr>
          <w:rFonts w:asciiTheme="minorHAnsi" w:hAnsiTheme="minorHAnsi" w:cstheme="minorHAnsi"/>
          <w:sz w:val="22"/>
          <w:szCs w:val="22"/>
        </w:rPr>
        <w:t xml:space="preserve">Code </w:t>
      </w:r>
      <w:r w:rsidRPr="006323F0">
        <w:rPr>
          <w:rFonts w:asciiTheme="minorHAnsi" w:hAnsiTheme="minorHAnsi" w:cstheme="minorHAnsi"/>
          <w:sz w:val="22"/>
          <w:szCs w:val="22"/>
        </w:rPr>
        <w:t>Base Case Labor Cost)</w:t>
      </w:r>
    </w:p>
    <w:p w:rsidR="00E762F1" w:rsidRDefault="00E762F1" w:rsidP="00E762F1">
      <w:pPr>
        <w:ind w:left="720" w:firstLine="720"/>
        <w:rPr>
          <w:rFonts w:asciiTheme="minorHAnsi" w:hAnsiTheme="minorHAnsi" w:cstheme="minorHAnsi"/>
          <w:sz w:val="22"/>
          <w:szCs w:val="22"/>
        </w:rPr>
      </w:pPr>
    </w:p>
    <w:p w:rsidR="00E762F1" w:rsidRPr="006323F0" w:rsidRDefault="00E762F1" w:rsidP="00E762F1">
      <w:pPr>
        <w:ind w:left="720" w:firstLine="720"/>
        <w:rPr>
          <w:rFonts w:asciiTheme="minorHAnsi" w:hAnsiTheme="minorHAnsi" w:cstheme="minorHAnsi"/>
          <w:sz w:val="22"/>
          <w:szCs w:val="22"/>
        </w:rPr>
      </w:pPr>
      <w:r>
        <w:rPr>
          <w:rFonts w:asciiTheme="minorHAnsi" w:hAnsiTheme="minorHAnsi" w:cstheme="minorHAnsi"/>
          <w:sz w:val="22"/>
          <w:szCs w:val="22"/>
        </w:rPr>
        <w:t>= (Measure Equipment Cost –</w:t>
      </w:r>
      <w:r w:rsidRPr="006323F0">
        <w:rPr>
          <w:rFonts w:asciiTheme="minorHAnsi" w:hAnsiTheme="minorHAnsi" w:cstheme="minorHAnsi"/>
          <w:sz w:val="22"/>
          <w:szCs w:val="22"/>
        </w:rPr>
        <w:t xml:space="preserve"> </w:t>
      </w:r>
      <w:r>
        <w:rPr>
          <w:rFonts w:asciiTheme="minorHAnsi" w:hAnsiTheme="minorHAnsi" w:cstheme="minorHAnsi"/>
          <w:sz w:val="22"/>
          <w:szCs w:val="22"/>
        </w:rPr>
        <w:t>Code Base Case Equipment Cost</w:t>
      </w:r>
      <w:r w:rsidRPr="006323F0">
        <w:rPr>
          <w:rFonts w:asciiTheme="minorHAnsi" w:hAnsiTheme="minorHAnsi" w:cstheme="minorHAnsi"/>
          <w:sz w:val="22"/>
          <w:szCs w:val="22"/>
        </w:rPr>
        <w:t>)</w:t>
      </w:r>
    </w:p>
    <w:p w:rsidR="00E762F1" w:rsidRDefault="00E762F1" w:rsidP="00E762F1">
      <w:pPr>
        <w:ind w:left="720" w:right="720"/>
        <w:rPr>
          <w:rFonts w:asciiTheme="minorHAnsi" w:hAnsiTheme="minorHAnsi" w:cstheme="minorHAnsi"/>
          <w:sz w:val="22"/>
          <w:szCs w:val="22"/>
        </w:rPr>
      </w:pPr>
    </w:p>
    <w:p w:rsidR="00E762F1" w:rsidRDefault="00E762F1" w:rsidP="00E762F1">
      <w:pPr>
        <w:ind w:left="720" w:right="720"/>
        <w:rPr>
          <w:rFonts w:asciiTheme="minorHAnsi" w:hAnsiTheme="minorHAnsi" w:cstheme="minorHAnsi"/>
          <w:sz w:val="22"/>
          <w:szCs w:val="22"/>
        </w:rPr>
      </w:pPr>
      <w:r w:rsidRPr="006323F0">
        <w:rPr>
          <w:rFonts w:asciiTheme="minorHAnsi" w:hAnsiTheme="minorHAnsi" w:cstheme="minorHAnsi"/>
          <w:sz w:val="22"/>
          <w:szCs w:val="22"/>
        </w:rPr>
        <w:t>*Note: Unless stated otherwise the measure case labor and base case labor are assumed to be the same value.</w:t>
      </w:r>
      <w:r>
        <w:rPr>
          <w:rFonts w:asciiTheme="minorHAnsi" w:hAnsiTheme="minorHAnsi" w:cstheme="minorHAnsi"/>
          <w:sz w:val="22"/>
          <w:szCs w:val="22"/>
        </w:rPr>
        <w:t xml:space="preserve"> For this work paper, the measure and base case (code base case) costs are different.</w:t>
      </w:r>
    </w:p>
    <w:p w:rsidR="00E762F1" w:rsidRDefault="00E762F1" w:rsidP="00E762F1">
      <w:pPr>
        <w:rPr>
          <w:rFonts w:asciiTheme="minorHAnsi" w:hAnsiTheme="minorHAnsi" w:cstheme="minorHAnsi"/>
          <w:sz w:val="22"/>
          <w:szCs w:val="22"/>
        </w:rPr>
      </w:pPr>
    </w:p>
    <w:p w:rsidR="00E762F1" w:rsidRPr="0007090F" w:rsidRDefault="00E762F1" w:rsidP="00E762F1">
      <w:pPr>
        <w:rPr>
          <w:rFonts w:asciiTheme="minorHAnsi" w:hAnsiTheme="minorHAnsi" w:cstheme="minorHAnsi"/>
          <w:sz w:val="22"/>
          <w:szCs w:val="22"/>
        </w:rPr>
      </w:pPr>
      <w:r w:rsidRPr="00524AC3">
        <w:rPr>
          <w:rFonts w:asciiTheme="minorHAnsi" w:hAnsiTheme="minorHAnsi" w:cstheme="minorHAnsi"/>
          <w:sz w:val="22"/>
          <w:szCs w:val="22"/>
        </w:rPr>
        <w:t>See the cost spreadsheet [</w:t>
      </w:r>
      <w:r w:rsidR="002649B8">
        <w:rPr>
          <w:rFonts w:asciiTheme="minorHAnsi" w:hAnsiTheme="minorHAnsi" w:cstheme="minorHAnsi"/>
          <w:sz w:val="22"/>
          <w:szCs w:val="22"/>
        </w:rPr>
        <w:t>D</w:t>
      </w:r>
      <w:r w:rsidRPr="00524AC3">
        <w:rPr>
          <w:rFonts w:asciiTheme="minorHAnsi" w:hAnsiTheme="minorHAnsi" w:cstheme="minorHAnsi"/>
          <w:sz w:val="22"/>
          <w:szCs w:val="22"/>
        </w:rPr>
        <w:t>] for the rest of the calculations. They are also in</w:t>
      </w:r>
      <w:r>
        <w:rPr>
          <w:rFonts w:asciiTheme="minorHAnsi" w:hAnsiTheme="minorHAnsi" w:cstheme="minorHAnsi"/>
          <w:sz w:val="22"/>
          <w:szCs w:val="22"/>
        </w:rPr>
        <w:t xml:space="preserve"> the calculations template [</w:t>
      </w:r>
      <w:r w:rsidR="002649B8">
        <w:rPr>
          <w:rFonts w:asciiTheme="minorHAnsi" w:hAnsiTheme="minorHAnsi" w:cstheme="minorHAnsi"/>
          <w:sz w:val="22"/>
          <w:szCs w:val="22"/>
        </w:rPr>
        <w:t>E</w:t>
      </w:r>
      <w:r>
        <w:rPr>
          <w:rFonts w:asciiTheme="minorHAnsi" w:hAnsiTheme="minorHAnsi" w:cstheme="minorHAnsi"/>
          <w:sz w:val="22"/>
          <w:szCs w:val="22"/>
        </w:rPr>
        <w:t>].</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40"/>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697868" w:rsidRDefault="00E16609" w:rsidP="00E16609">
      <w:pPr>
        <w:pStyle w:val="Reminders"/>
        <w:ind w:left="360"/>
        <w:rPr>
          <w:rFonts w:asciiTheme="minorHAnsi" w:hAnsiTheme="minorHAnsi" w:cstheme="minorHAnsi"/>
        </w:rPr>
      </w:pPr>
    </w:p>
    <w:p w:rsidR="00612041" w:rsidRDefault="00612041" w:rsidP="00E16609">
      <w:pPr>
        <w:rPr>
          <w:rFonts w:asciiTheme="minorHAnsi" w:hAnsiTheme="minorHAnsi" w:cstheme="minorHAnsi"/>
        </w:rPr>
      </w:pPr>
    </w:p>
    <w:p w:rsidR="00BC149B" w:rsidRDefault="00BC149B" w:rsidP="00E16609">
      <w:pPr>
        <w:rPr>
          <w:rFonts w:asciiTheme="minorHAnsi" w:hAnsiTheme="minorHAnsi" w:cstheme="minorHAnsi"/>
        </w:rPr>
      </w:pPr>
    </w:p>
    <w:p w:rsidR="00BC149B" w:rsidRDefault="00BC149B" w:rsidP="00E16609">
      <w:pPr>
        <w:rPr>
          <w:rFonts w:asciiTheme="minorHAnsi" w:hAnsiTheme="minorHAnsi" w:cstheme="minorHAnsi"/>
        </w:rPr>
      </w:pPr>
      <w:r>
        <w:rPr>
          <w:rFonts w:asciiTheme="minorHAnsi" w:hAnsiTheme="minorHAnsi" w:cstheme="minorHAnsi"/>
        </w:rPr>
        <w:t>1.</w:t>
      </w:r>
      <w:r w:rsidR="00CB7F02">
        <w:rPr>
          <w:rStyle w:val="CommentReference"/>
        </w:rPr>
        <w:t xml:space="preserve"> </w:t>
      </w:r>
      <w:bookmarkStart w:id="41" w:name="_MON_1468244039"/>
      <w:bookmarkEnd w:id="41"/>
      <w:r w:rsidR="00D8180B">
        <w:rPr>
          <w:rStyle w:val="CommentReference"/>
        </w:rPr>
        <w:object w:dxaOrig="3000" w:dyaOrig="1880" w14:anchorId="72CEA401">
          <v:shape id="_x0000_i1035" type="#_x0000_t75" style="width:150pt;height:94.5pt" o:ole="">
            <v:imagedata r:id="rId16" o:title=""/>
          </v:shape>
          <o:OLEObject Type="Embed" ProgID="Excel.SheetMacroEnabled.12" ShapeID="_x0000_i1035" DrawAspect="Icon" ObjectID="_1468297516" r:id="rId17"/>
        </w:object>
      </w:r>
    </w:p>
    <w:p w:rsidR="00BC149B" w:rsidRDefault="00BC149B" w:rsidP="00E16609">
      <w:pPr>
        <w:rPr>
          <w:rFonts w:asciiTheme="minorHAnsi" w:hAnsiTheme="minorHAnsi" w:cstheme="minorHAnsi"/>
        </w:rPr>
      </w:pPr>
      <w:bookmarkStart w:id="42" w:name="_GoBack"/>
      <w:bookmarkEnd w:id="42"/>
    </w:p>
    <w:p w:rsidR="00BC149B" w:rsidRPr="00697868" w:rsidRDefault="00BC149B" w:rsidP="00E16609">
      <w:pPr>
        <w:rPr>
          <w:rFonts w:asciiTheme="minorHAnsi" w:hAnsiTheme="minorHAnsi" w:cstheme="minorHAnsi"/>
        </w:rPr>
      </w:pPr>
    </w:p>
    <w:bookmarkStart w:id="43" w:name="_MON_1468225973"/>
    <w:bookmarkEnd w:id="43"/>
    <w:p w:rsidR="00C54EFF" w:rsidRDefault="00D8180B" w:rsidP="00E16609">
      <w:r>
        <w:object w:dxaOrig="2069" w:dyaOrig="1339" w14:anchorId="71F78CC6">
          <v:shape id="_x0000_i1033" type="#_x0000_t75" style="width:102.75pt;height:66.75pt" o:ole="">
            <v:imagedata r:id="rId18" o:title=""/>
          </v:shape>
          <o:OLEObject Type="Embed" ProgID="Excel.Sheet.12" ShapeID="_x0000_i1033" DrawAspect="Icon" ObjectID="_1468297517" r:id="rId19"/>
        </w:object>
      </w:r>
    </w:p>
    <w:p w:rsidR="00286A0D" w:rsidRDefault="00286A0D" w:rsidP="00E16609">
      <w:r>
        <w:t>2.</w:t>
      </w:r>
    </w:p>
    <w:p w:rsidR="00286A0D" w:rsidRDefault="00286A0D" w:rsidP="00E16609"/>
    <w:p w:rsidR="00BC149B" w:rsidRDefault="00BC149B" w:rsidP="00E16609"/>
    <w:p w:rsidR="00286A0D" w:rsidRDefault="00286A0D" w:rsidP="00E16609"/>
    <w:bookmarkStart w:id="44" w:name="_MON_1401713680"/>
    <w:bookmarkEnd w:id="44"/>
    <w:p w:rsidR="00286A0D" w:rsidRPr="00697868" w:rsidRDefault="00286A0D" w:rsidP="00E16609">
      <w:pPr>
        <w:rPr>
          <w:rFonts w:asciiTheme="minorHAnsi" w:hAnsiTheme="minorHAnsi" w:cstheme="minorHAnsi"/>
        </w:rPr>
      </w:pPr>
      <w:r>
        <w:rPr>
          <w:rFonts w:asciiTheme="minorHAnsi" w:hAnsiTheme="minorHAnsi" w:cstheme="minorHAnsi"/>
        </w:rPr>
        <w:object w:dxaOrig="1544" w:dyaOrig="990" w14:anchorId="6B35949E">
          <v:shape id="_x0000_i1029" type="#_x0000_t75" style="width:77.25pt;height:49.5pt" o:ole="">
            <v:imagedata r:id="rId20" o:title=""/>
          </v:shape>
          <o:OLEObject Type="Embed" ProgID="Word.Document.12" ShapeID="_x0000_i1029" DrawAspect="Icon" ObjectID="_1468297518" r:id="rId21">
            <o:FieldCodes>\s</o:FieldCodes>
          </o:OLEObject>
        </w:object>
      </w:r>
    </w:p>
    <w:p w:rsidR="00D36899" w:rsidRDefault="00286A0D">
      <w:pPr>
        <w:spacing w:after="200" w:line="276" w:lineRule="auto"/>
        <w:rPr>
          <w:rFonts w:asciiTheme="minorHAnsi" w:hAnsiTheme="minorHAnsi" w:cstheme="minorHAnsi"/>
        </w:rPr>
      </w:pPr>
      <w:r>
        <w:rPr>
          <w:rFonts w:asciiTheme="minorHAnsi" w:hAnsiTheme="minorHAnsi" w:cstheme="minorHAnsi"/>
        </w:rPr>
        <w:t>3.</w:t>
      </w:r>
    </w:p>
    <w:p w:rsidR="00D36899" w:rsidRDefault="00D36899">
      <w:pPr>
        <w:spacing w:after="200" w:line="276" w:lineRule="auto"/>
        <w:rPr>
          <w:rFonts w:asciiTheme="minorHAnsi" w:hAnsiTheme="minorHAnsi" w:cstheme="minorHAnsi"/>
        </w:rPr>
      </w:pPr>
    </w:p>
    <w:p w:rsidR="00BC149B" w:rsidRDefault="00BC149B">
      <w:pPr>
        <w:spacing w:after="200" w:line="276" w:lineRule="auto"/>
        <w:rPr>
          <w:rFonts w:asciiTheme="minorHAnsi" w:hAnsiTheme="minorHAnsi" w:cstheme="minorHAnsi"/>
        </w:rPr>
      </w:pPr>
    </w:p>
    <w:p w:rsidR="00BC149B" w:rsidRDefault="0034503A">
      <w:pPr>
        <w:spacing w:after="200" w:line="276" w:lineRule="auto"/>
        <w:rPr>
          <w:rFonts w:asciiTheme="minorHAnsi" w:hAnsiTheme="minorHAnsi" w:cstheme="minorHAnsi"/>
        </w:rPr>
      </w:pPr>
      <w:r>
        <w:rPr>
          <w:rFonts w:asciiTheme="minorHAnsi" w:hAnsiTheme="minorHAnsi" w:cstheme="minorHAnsi"/>
        </w:rPr>
        <w:object w:dxaOrig="1551" w:dyaOrig="1004" w14:anchorId="4B98E5FC">
          <v:shape id="_x0000_i1030" type="#_x0000_t75" style="width:77.25pt;height:50.25pt" o:ole="">
            <v:imagedata r:id="rId22" o:title=""/>
          </v:shape>
          <o:OLEObject Type="Embed" ProgID="Excel.Sheet.12" ShapeID="_x0000_i1030" DrawAspect="Icon" ObjectID="_1468297519" r:id="rId23"/>
        </w:object>
      </w:r>
    </w:p>
    <w:p w:rsidR="00C54EFF" w:rsidRPr="00697868" w:rsidRDefault="00D36899">
      <w:pPr>
        <w:spacing w:after="200" w:line="276" w:lineRule="auto"/>
        <w:rPr>
          <w:rFonts w:asciiTheme="minorHAnsi" w:hAnsiTheme="minorHAnsi" w:cstheme="minorHAnsi"/>
        </w:rPr>
      </w:pPr>
      <w:r>
        <w:rPr>
          <w:rFonts w:asciiTheme="minorHAnsi" w:hAnsiTheme="minorHAnsi" w:cstheme="minorHAnsi"/>
        </w:rPr>
        <w:t>4.</w:t>
      </w:r>
      <w:r w:rsidR="00C54EFF"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bookmarkStart w:id="45" w:name="_MON_1452317246"/>
    <w:bookmarkEnd w:id="45"/>
    <w:p w:rsidR="009824E9" w:rsidRDefault="00BC23DD" w:rsidP="009824E9">
      <w:r>
        <w:object w:dxaOrig="2040" w:dyaOrig="1320" w14:anchorId="0C6C4175">
          <v:shape id="_x0000_i1031" type="#_x0000_t75" style="width:102pt;height:66pt" o:ole="">
            <v:imagedata r:id="rId24" o:title=""/>
          </v:shape>
          <o:OLEObject Type="Embed" ProgID="Excel.Sheet.12" ShapeID="_x0000_i1031" DrawAspect="Icon" ObjectID="_1468297520" r:id="rId25"/>
        </w:object>
      </w:r>
    </w:p>
    <w:p w:rsidR="00CC200C" w:rsidRDefault="00CC200C" w:rsidP="009824E9"/>
    <w:p w:rsidR="00CC200C" w:rsidRDefault="00CC200C" w:rsidP="009824E9"/>
    <w:p w:rsidR="00CC200C" w:rsidRPr="002471F7" w:rsidRDefault="00CC200C" w:rsidP="00CC200C">
      <w:pPr>
        <w:rPr>
          <w:rFonts w:asciiTheme="minorHAnsi" w:hAnsiTheme="minorHAnsi" w:cstheme="minorHAnsi"/>
          <w:sz w:val="22"/>
          <w:szCs w:val="22"/>
        </w:rPr>
      </w:pPr>
      <w:r w:rsidRPr="002471F7">
        <w:rPr>
          <w:rFonts w:asciiTheme="minorHAnsi" w:hAnsiTheme="minorHAnsi" w:cstheme="minorHAnsi"/>
          <w:sz w:val="22"/>
          <w:szCs w:val="22"/>
        </w:rPr>
        <w:t>[26]</w:t>
      </w:r>
    </w:p>
    <w:p w:rsidR="00CC200C" w:rsidRPr="002471F7" w:rsidRDefault="004A124B" w:rsidP="00CC200C">
      <w:pPr>
        <w:rPr>
          <w:rFonts w:asciiTheme="minorHAnsi" w:hAnsiTheme="minorHAnsi" w:cstheme="minorHAnsi"/>
          <w:sz w:val="22"/>
          <w:szCs w:val="22"/>
        </w:rPr>
      </w:pPr>
      <w:r>
        <w:rPr>
          <w:rFonts w:asciiTheme="minorHAnsi" w:hAnsiTheme="minorHAnsi" w:cstheme="minorHAnsi"/>
          <w:sz w:val="22"/>
          <w:szCs w:val="22"/>
        </w:rPr>
        <w:t>[31]</w:t>
      </w:r>
    </w:p>
    <w:p w:rsidR="00CC200C" w:rsidRDefault="00CC200C" w:rsidP="00CC200C">
      <w:pPr>
        <w:rPr>
          <w:rFonts w:asciiTheme="minorHAnsi" w:hAnsiTheme="minorHAnsi" w:cstheme="minorHAnsi"/>
          <w:sz w:val="22"/>
          <w:szCs w:val="22"/>
        </w:rPr>
      </w:pPr>
      <w:r>
        <w:rPr>
          <w:rFonts w:asciiTheme="minorHAnsi" w:hAnsiTheme="minorHAnsi" w:cstheme="minorHAnsi"/>
          <w:sz w:val="22"/>
          <w:szCs w:val="22"/>
        </w:rPr>
        <w:t>[213]</w:t>
      </w:r>
    </w:p>
    <w:p w:rsidR="00CC200C" w:rsidRPr="002471F7" w:rsidRDefault="00CC200C" w:rsidP="00CC200C">
      <w:pPr>
        <w:rPr>
          <w:rFonts w:asciiTheme="minorHAnsi" w:hAnsiTheme="minorHAnsi" w:cstheme="minorHAnsi"/>
          <w:sz w:val="22"/>
          <w:szCs w:val="22"/>
        </w:rPr>
      </w:pPr>
      <w:r>
        <w:rPr>
          <w:rFonts w:asciiTheme="minorHAnsi" w:hAnsiTheme="minorHAnsi" w:cstheme="minorHAnsi"/>
          <w:sz w:val="22"/>
          <w:szCs w:val="22"/>
        </w:rPr>
        <w:t>[220]</w:t>
      </w:r>
    </w:p>
    <w:p w:rsidR="00CC200C" w:rsidRDefault="00C245BA" w:rsidP="00CC200C">
      <w:pPr>
        <w:rPr>
          <w:rFonts w:asciiTheme="minorHAnsi" w:hAnsiTheme="minorHAnsi" w:cstheme="minorHAnsi"/>
          <w:sz w:val="22"/>
          <w:szCs w:val="22"/>
        </w:rPr>
      </w:pPr>
      <w:r>
        <w:rPr>
          <w:rFonts w:asciiTheme="minorHAnsi" w:hAnsiTheme="minorHAnsi" w:cstheme="minorHAnsi"/>
          <w:sz w:val="22"/>
          <w:szCs w:val="22"/>
        </w:rPr>
        <w:t>[351]</w:t>
      </w:r>
    </w:p>
    <w:p w:rsidR="00F47015" w:rsidRDefault="00F47015" w:rsidP="00CC200C">
      <w:pPr>
        <w:rPr>
          <w:rFonts w:asciiTheme="minorHAnsi" w:hAnsiTheme="minorHAnsi" w:cstheme="minorHAnsi"/>
          <w:sz w:val="22"/>
          <w:szCs w:val="22"/>
        </w:rPr>
      </w:pPr>
      <w:r>
        <w:rPr>
          <w:rFonts w:asciiTheme="minorHAnsi" w:hAnsiTheme="minorHAnsi" w:cstheme="minorHAnsi"/>
          <w:sz w:val="22"/>
          <w:szCs w:val="22"/>
        </w:rPr>
        <w:t>[355]</w:t>
      </w:r>
    </w:p>
    <w:p w:rsidR="00F47015" w:rsidRPr="002471F7" w:rsidRDefault="00F47015" w:rsidP="00CC200C">
      <w:pPr>
        <w:rPr>
          <w:rFonts w:asciiTheme="minorHAnsi" w:hAnsiTheme="minorHAnsi" w:cstheme="minorHAnsi"/>
          <w:sz w:val="22"/>
          <w:szCs w:val="22"/>
        </w:rPr>
      </w:pPr>
      <w:r>
        <w:rPr>
          <w:rFonts w:asciiTheme="minorHAnsi" w:hAnsiTheme="minorHAnsi" w:cstheme="minorHAnsi"/>
          <w:sz w:val="22"/>
          <w:szCs w:val="22"/>
        </w:rPr>
        <w:t>[422]</w:t>
      </w:r>
    </w:p>
    <w:p w:rsidR="00CC200C" w:rsidRDefault="00CC200C" w:rsidP="00CC200C">
      <w:pPr>
        <w:rPr>
          <w:rFonts w:asciiTheme="minorHAnsi" w:hAnsiTheme="minorHAnsi" w:cstheme="minorHAnsi"/>
          <w:sz w:val="22"/>
          <w:szCs w:val="22"/>
        </w:rPr>
      </w:pPr>
    </w:p>
    <w:p w:rsidR="00CC200C" w:rsidRDefault="00CC200C" w:rsidP="00CC200C">
      <w:pPr>
        <w:rPr>
          <w:rFonts w:asciiTheme="minorHAnsi" w:hAnsiTheme="minorHAnsi" w:cstheme="minorHAnsi"/>
          <w:sz w:val="22"/>
          <w:szCs w:val="22"/>
        </w:rPr>
      </w:pPr>
      <w:r>
        <w:rPr>
          <w:rFonts w:asciiTheme="minorHAnsi" w:hAnsiTheme="minorHAnsi" w:cstheme="minorHAnsi"/>
          <w:sz w:val="22"/>
          <w:szCs w:val="22"/>
        </w:rPr>
        <w:t>[</w:t>
      </w:r>
      <w:r w:rsidR="00FB0681">
        <w:rPr>
          <w:rFonts w:asciiTheme="minorHAnsi" w:hAnsiTheme="minorHAnsi" w:cstheme="minorHAnsi"/>
          <w:sz w:val="22"/>
          <w:szCs w:val="22"/>
        </w:rPr>
        <w:t>A</w:t>
      </w:r>
      <w:r>
        <w:rPr>
          <w:rFonts w:asciiTheme="minorHAnsi" w:hAnsiTheme="minorHAnsi" w:cstheme="minorHAnsi"/>
          <w:sz w:val="22"/>
          <w:szCs w:val="22"/>
        </w:rPr>
        <w:t>]</w:t>
      </w:r>
      <w:r w:rsidRPr="00CC200C">
        <w:rPr>
          <w:rFonts w:asciiTheme="minorHAnsi" w:hAnsiTheme="minorHAnsi" w:cstheme="minorHAnsi"/>
          <w:sz w:val="22"/>
          <w:szCs w:val="22"/>
        </w:rPr>
        <w:t xml:space="preserve"> </w:t>
      </w:r>
      <w:r w:rsidR="00D36899">
        <w:rPr>
          <w:rFonts w:asciiTheme="minorHAnsi" w:hAnsiTheme="minorHAnsi" w:cstheme="minorHAnsi"/>
          <w:sz w:val="22"/>
          <w:szCs w:val="22"/>
        </w:rPr>
        <w:t xml:space="preserve">Attachment 4 - </w:t>
      </w:r>
      <w:r>
        <w:rPr>
          <w:rFonts w:asciiTheme="minorHAnsi" w:hAnsiTheme="minorHAnsi" w:cstheme="minorHAnsi"/>
          <w:sz w:val="22"/>
          <w:szCs w:val="22"/>
        </w:rPr>
        <w:t>2013-2014_LightingRetrofit_Disposition-</w:t>
      </w:r>
      <w:r w:rsidR="0034503A">
        <w:rPr>
          <w:rFonts w:asciiTheme="minorHAnsi" w:hAnsiTheme="minorHAnsi" w:cstheme="minorHAnsi"/>
          <w:sz w:val="22"/>
          <w:szCs w:val="22"/>
        </w:rPr>
        <w:t>30May2014</w:t>
      </w:r>
    </w:p>
    <w:p w:rsidR="00CC200C" w:rsidRPr="002471F7" w:rsidRDefault="00CC200C" w:rsidP="00CC200C">
      <w:pPr>
        <w:rPr>
          <w:rFonts w:asciiTheme="minorHAnsi" w:hAnsiTheme="minorHAnsi" w:cstheme="minorHAnsi"/>
          <w:sz w:val="22"/>
          <w:szCs w:val="22"/>
        </w:rPr>
      </w:pPr>
    </w:p>
    <w:p w:rsidR="00CC200C" w:rsidRDefault="00CC200C" w:rsidP="00CC200C">
      <w:pPr>
        <w:rPr>
          <w:rFonts w:asciiTheme="minorHAnsi" w:hAnsiTheme="minorHAnsi" w:cstheme="minorHAnsi"/>
          <w:sz w:val="22"/>
          <w:szCs w:val="22"/>
        </w:rPr>
      </w:pPr>
      <w:r w:rsidRPr="002471F7">
        <w:rPr>
          <w:rFonts w:asciiTheme="minorHAnsi" w:hAnsiTheme="minorHAnsi" w:cstheme="minorHAnsi"/>
          <w:sz w:val="22"/>
          <w:szCs w:val="22"/>
        </w:rPr>
        <w:t>[</w:t>
      </w:r>
      <w:r w:rsidR="00FB0681">
        <w:rPr>
          <w:rFonts w:asciiTheme="minorHAnsi" w:hAnsiTheme="minorHAnsi" w:cstheme="minorHAnsi"/>
          <w:sz w:val="22"/>
          <w:szCs w:val="22"/>
        </w:rPr>
        <w:t>B</w:t>
      </w:r>
      <w:r w:rsidRPr="002471F7">
        <w:rPr>
          <w:rFonts w:asciiTheme="minorHAnsi" w:hAnsiTheme="minorHAnsi" w:cstheme="minorHAnsi"/>
          <w:sz w:val="22"/>
          <w:szCs w:val="22"/>
        </w:rPr>
        <w:t>]  Revised DEER Measure Cost Summary (05_30_2008) Revised (06_02_2008) spreadsheet, www.deeresources.com for 09-11 Planning Reporting</w:t>
      </w:r>
    </w:p>
    <w:p w:rsidR="00CC200C" w:rsidRDefault="00CC200C" w:rsidP="00CC200C">
      <w:pPr>
        <w:rPr>
          <w:rFonts w:asciiTheme="minorHAnsi" w:hAnsiTheme="minorHAnsi" w:cstheme="minorHAnsi"/>
          <w:sz w:val="22"/>
          <w:szCs w:val="22"/>
        </w:rPr>
      </w:pPr>
    </w:p>
    <w:p w:rsidR="002649B8" w:rsidRPr="000F130A" w:rsidRDefault="002649B8" w:rsidP="002649B8">
      <w:pPr>
        <w:rPr>
          <w:rFonts w:asciiTheme="minorHAnsi" w:hAnsiTheme="minorHAnsi" w:cstheme="minorHAnsi"/>
        </w:rPr>
      </w:pPr>
      <w:r>
        <w:rPr>
          <w:rFonts w:asciiTheme="minorHAnsi" w:hAnsiTheme="minorHAnsi" w:cstheme="minorHAnsi"/>
          <w:sz w:val="22"/>
          <w:szCs w:val="22"/>
        </w:rPr>
        <w:t>[C] Attachment 3 – Mercury Vapor Cost Screenshots.docx</w:t>
      </w:r>
    </w:p>
    <w:p w:rsidR="002649B8" w:rsidRDefault="002649B8" w:rsidP="002649B8">
      <w:pPr>
        <w:rPr>
          <w:rFonts w:asciiTheme="minorHAnsi" w:hAnsiTheme="minorHAnsi" w:cstheme="minorHAnsi"/>
          <w:sz w:val="22"/>
          <w:szCs w:val="22"/>
        </w:rPr>
      </w:pPr>
    </w:p>
    <w:p w:rsidR="00CC200C" w:rsidRDefault="00CC200C" w:rsidP="002649B8">
      <w:pPr>
        <w:rPr>
          <w:rFonts w:asciiTheme="minorHAnsi" w:hAnsiTheme="minorHAnsi" w:cstheme="minorHAnsi"/>
          <w:sz w:val="22"/>
          <w:szCs w:val="22"/>
        </w:rPr>
      </w:pPr>
      <w:r>
        <w:rPr>
          <w:rFonts w:asciiTheme="minorHAnsi" w:hAnsiTheme="minorHAnsi" w:cstheme="minorHAnsi"/>
          <w:sz w:val="22"/>
          <w:szCs w:val="22"/>
        </w:rPr>
        <w:t>[</w:t>
      </w:r>
      <w:r w:rsidR="002649B8">
        <w:rPr>
          <w:rFonts w:asciiTheme="minorHAnsi" w:hAnsiTheme="minorHAnsi" w:cstheme="minorHAnsi"/>
          <w:sz w:val="22"/>
          <w:szCs w:val="22"/>
        </w:rPr>
        <w:t>D</w:t>
      </w:r>
      <w:r>
        <w:rPr>
          <w:rFonts w:asciiTheme="minorHAnsi" w:hAnsiTheme="minorHAnsi" w:cstheme="minorHAnsi"/>
          <w:sz w:val="22"/>
          <w:szCs w:val="22"/>
        </w:rPr>
        <w:t>] Attachment 2 – LG086 Wattages and Costs.xlsx</w:t>
      </w:r>
    </w:p>
    <w:p w:rsidR="00FB0681" w:rsidRDefault="00FB0681" w:rsidP="009824E9"/>
    <w:p w:rsidR="00FB0681" w:rsidRDefault="00FB0681" w:rsidP="00FB0681">
      <w:pPr>
        <w:rPr>
          <w:rFonts w:asciiTheme="minorHAnsi" w:hAnsiTheme="minorHAnsi" w:cstheme="minorHAnsi"/>
          <w:sz w:val="22"/>
          <w:szCs w:val="22"/>
        </w:rPr>
      </w:pPr>
      <w:r>
        <w:rPr>
          <w:rFonts w:asciiTheme="minorHAnsi" w:hAnsiTheme="minorHAnsi" w:cstheme="minorHAnsi"/>
          <w:sz w:val="22"/>
          <w:szCs w:val="22"/>
        </w:rPr>
        <w:t>[E] Attachment 1 – Calculation Template v2.2</w:t>
      </w:r>
      <w:r w:rsidR="001F0163">
        <w:rPr>
          <w:rFonts w:asciiTheme="minorHAnsi" w:hAnsiTheme="minorHAnsi" w:cstheme="minorHAnsi"/>
          <w:sz w:val="22"/>
          <w:szCs w:val="22"/>
        </w:rPr>
        <w:t>-SCELG086</w:t>
      </w:r>
      <w:r>
        <w:rPr>
          <w:rFonts w:asciiTheme="minorHAnsi" w:hAnsiTheme="minorHAnsi" w:cstheme="minorHAnsi"/>
          <w:sz w:val="22"/>
          <w:szCs w:val="22"/>
        </w:rPr>
        <w:t>.xlsm</w:t>
      </w:r>
    </w:p>
    <w:p w:rsidR="00FB0681" w:rsidRDefault="00FB0681" w:rsidP="009824E9">
      <w:pPr>
        <w:sectPr w:rsidR="00FB0681"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DB262F">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DB262F">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DB262F">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B262F">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B262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B262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B262F">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6"/>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7246" w:rsidRDefault="00E97246" w:rsidP="00447D6E">
      <w:r>
        <w:separator/>
      </w:r>
    </w:p>
  </w:endnote>
  <w:endnote w:type="continuationSeparator" w:id="0">
    <w:p w:rsidR="00E97246" w:rsidRDefault="00E97246"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246" w:rsidRPr="009500DC" w:rsidRDefault="00E97246" w:rsidP="00447D6E">
    <w:pPr>
      <w:pStyle w:val="Footer"/>
      <w:jc w:val="right"/>
      <w:rPr>
        <w:rFonts w:asciiTheme="minorHAnsi" w:hAnsiTheme="minorHAnsi" w:cstheme="minorHAnsi"/>
      </w:rPr>
    </w:pPr>
    <w:r>
      <w:rPr>
        <w:rFonts w:asciiTheme="minorHAnsi" w:hAnsiTheme="minorHAnsi" w:cstheme="minorHAnsi"/>
        <w:b/>
        <w:sz w:val="36"/>
        <w:szCs w:val="36"/>
      </w:rPr>
      <w:t>July 8,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246" w:rsidRPr="009500DC" w:rsidRDefault="00E97246"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xml:space="preserve">SCE15LG086 </w:t>
    </w:r>
    <w:r w:rsidRPr="009500DC">
      <w:rPr>
        <w:rFonts w:asciiTheme="minorHAnsi" w:hAnsiTheme="minorHAnsi" w:cstheme="minorHAnsi"/>
        <w:b/>
        <w:sz w:val="20"/>
        <w:szCs w:val="20"/>
      </w:rPr>
      <w:t xml:space="preserve">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8180B">
      <w:rPr>
        <w:rFonts w:asciiTheme="minorHAnsi" w:hAnsiTheme="minorHAnsi" w:cstheme="minorHAnsi"/>
        <w:b/>
        <w:noProof/>
        <w:sz w:val="20"/>
        <w:szCs w:val="20"/>
      </w:rPr>
      <w:t>15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8, 2014</w:t>
    </w:r>
  </w:p>
  <w:p w:rsidR="00E97246" w:rsidRPr="009500DC" w:rsidRDefault="00E97246"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246" w:rsidRPr="009500DC" w:rsidRDefault="00E97246"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SCE13LG086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8180B">
      <w:rPr>
        <w:rFonts w:asciiTheme="minorHAnsi" w:hAnsiTheme="minorHAnsi" w:cstheme="minorHAnsi"/>
        <w:b/>
        <w:noProof/>
        <w:sz w:val="20"/>
        <w:szCs w:val="20"/>
      </w:rPr>
      <w:t>17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8, 2014</w:t>
    </w:r>
  </w:p>
  <w:p w:rsidR="00E97246" w:rsidRPr="009500DC" w:rsidRDefault="00E97246"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7246" w:rsidRDefault="00E97246" w:rsidP="00447D6E">
      <w:r>
        <w:separator/>
      </w:r>
    </w:p>
  </w:footnote>
  <w:footnote w:type="continuationSeparator" w:id="0">
    <w:p w:rsidR="00E97246" w:rsidRDefault="00E97246"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3">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AD714D4"/>
    <w:multiLevelType w:val="hybridMultilevel"/>
    <w:tmpl w:val="3488B3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5690184E"/>
    <w:multiLevelType w:val="hybridMultilevel"/>
    <w:tmpl w:val="2CBEE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0C71056"/>
    <w:multiLevelType w:val="hybridMultilevel"/>
    <w:tmpl w:val="C4B86D80"/>
    <w:lvl w:ilvl="0" w:tplc="43187D7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1"/>
  </w:num>
  <w:num w:numId="5">
    <w:abstractNumId w:val="1"/>
  </w:num>
  <w:num w:numId="6">
    <w:abstractNumId w:val="0"/>
  </w:num>
  <w:num w:numId="7">
    <w:abstractNumId w:val="5"/>
  </w:num>
  <w:num w:numId="8">
    <w:abstractNumId w:val="2"/>
  </w:num>
  <w:num w:numId="9">
    <w:abstractNumId w:val="8"/>
  </w:num>
  <w:num w:numId="10">
    <w:abstractNumId w:val="6"/>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DFD"/>
    <w:rsid w:val="00005902"/>
    <w:rsid w:val="00027183"/>
    <w:rsid w:val="00033EA1"/>
    <w:rsid w:val="00056947"/>
    <w:rsid w:val="00070F59"/>
    <w:rsid w:val="00072683"/>
    <w:rsid w:val="00076DF4"/>
    <w:rsid w:val="0008491B"/>
    <w:rsid w:val="00084C9D"/>
    <w:rsid w:val="0009074D"/>
    <w:rsid w:val="0009592B"/>
    <w:rsid w:val="000968C6"/>
    <w:rsid w:val="000A63C9"/>
    <w:rsid w:val="000B2E76"/>
    <w:rsid w:val="000C0000"/>
    <w:rsid w:val="000C18CC"/>
    <w:rsid w:val="000D6C98"/>
    <w:rsid w:val="000F130A"/>
    <w:rsid w:val="000F5B57"/>
    <w:rsid w:val="00101DD0"/>
    <w:rsid w:val="00107242"/>
    <w:rsid w:val="00114FE3"/>
    <w:rsid w:val="001206F7"/>
    <w:rsid w:val="00147155"/>
    <w:rsid w:val="00153CB3"/>
    <w:rsid w:val="00165357"/>
    <w:rsid w:val="00171C59"/>
    <w:rsid w:val="001811EE"/>
    <w:rsid w:val="0018777D"/>
    <w:rsid w:val="001A0EB4"/>
    <w:rsid w:val="001A5F62"/>
    <w:rsid w:val="001B618B"/>
    <w:rsid w:val="001C3C72"/>
    <w:rsid w:val="001C4140"/>
    <w:rsid w:val="001C5A94"/>
    <w:rsid w:val="001D086C"/>
    <w:rsid w:val="001D4CD2"/>
    <w:rsid w:val="001D55C8"/>
    <w:rsid w:val="001E0829"/>
    <w:rsid w:val="001E7D59"/>
    <w:rsid w:val="001F0163"/>
    <w:rsid w:val="001F05CE"/>
    <w:rsid w:val="001F4A65"/>
    <w:rsid w:val="002128EE"/>
    <w:rsid w:val="0023254A"/>
    <w:rsid w:val="00240B74"/>
    <w:rsid w:val="00254FDF"/>
    <w:rsid w:val="002646F1"/>
    <w:rsid w:val="002649B8"/>
    <w:rsid w:val="00274FBE"/>
    <w:rsid w:val="002762E1"/>
    <w:rsid w:val="002811BC"/>
    <w:rsid w:val="00283DE8"/>
    <w:rsid w:val="00285966"/>
    <w:rsid w:val="00286A0D"/>
    <w:rsid w:val="00290ED8"/>
    <w:rsid w:val="002957E0"/>
    <w:rsid w:val="002A28FA"/>
    <w:rsid w:val="002A3D26"/>
    <w:rsid w:val="002B1ADF"/>
    <w:rsid w:val="002C444C"/>
    <w:rsid w:val="002C6C7A"/>
    <w:rsid w:val="002D3125"/>
    <w:rsid w:val="002F1437"/>
    <w:rsid w:val="002F3943"/>
    <w:rsid w:val="00302C1D"/>
    <w:rsid w:val="0030363A"/>
    <w:rsid w:val="00306276"/>
    <w:rsid w:val="00332700"/>
    <w:rsid w:val="0034503A"/>
    <w:rsid w:val="00345D80"/>
    <w:rsid w:val="003471D4"/>
    <w:rsid w:val="00351B56"/>
    <w:rsid w:val="00351F36"/>
    <w:rsid w:val="003560BA"/>
    <w:rsid w:val="00364E60"/>
    <w:rsid w:val="0037383E"/>
    <w:rsid w:val="003832D2"/>
    <w:rsid w:val="003A3086"/>
    <w:rsid w:val="003A75C8"/>
    <w:rsid w:val="003C5A20"/>
    <w:rsid w:val="003C5FF6"/>
    <w:rsid w:val="003D2871"/>
    <w:rsid w:val="003D5B83"/>
    <w:rsid w:val="003E6E47"/>
    <w:rsid w:val="003F0623"/>
    <w:rsid w:val="003F1FD9"/>
    <w:rsid w:val="003F5050"/>
    <w:rsid w:val="00407ACE"/>
    <w:rsid w:val="00413CDB"/>
    <w:rsid w:val="004200FE"/>
    <w:rsid w:val="00421183"/>
    <w:rsid w:val="00441957"/>
    <w:rsid w:val="00443D32"/>
    <w:rsid w:val="00447CE5"/>
    <w:rsid w:val="00447D6E"/>
    <w:rsid w:val="00454E76"/>
    <w:rsid w:val="0046286E"/>
    <w:rsid w:val="00471234"/>
    <w:rsid w:val="00477522"/>
    <w:rsid w:val="00493457"/>
    <w:rsid w:val="00494628"/>
    <w:rsid w:val="00497D4E"/>
    <w:rsid w:val="004A124B"/>
    <w:rsid w:val="004B4A3A"/>
    <w:rsid w:val="004C23F1"/>
    <w:rsid w:val="004C5592"/>
    <w:rsid w:val="004E01F5"/>
    <w:rsid w:val="004E76CA"/>
    <w:rsid w:val="0051020F"/>
    <w:rsid w:val="00525CDF"/>
    <w:rsid w:val="00526065"/>
    <w:rsid w:val="00560934"/>
    <w:rsid w:val="00560E86"/>
    <w:rsid w:val="00560FD4"/>
    <w:rsid w:val="0056451F"/>
    <w:rsid w:val="00564960"/>
    <w:rsid w:val="005734A4"/>
    <w:rsid w:val="005919EE"/>
    <w:rsid w:val="005A0E53"/>
    <w:rsid w:val="005A1078"/>
    <w:rsid w:val="005A2C19"/>
    <w:rsid w:val="005B28C1"/>
    <w:rsid w:val="005C2E48"/>
    <w:rsid w:val="005D4DD7"/>
    <w:rsid w:val="005E12A9"/>
    <w:rsid w:val="005F7B10"/>
    <w:rsid w:val="00602799"/>
    <w:rsid w:val="00612041"/>
    <w:rsid w:val="006404E6"/>
    <w:rsid w:val="00641993"/>
    <w:rsid w:val="00645F8E"/>
    <w:rsid w:val="00647ABE"/>
    <w:rsid w:val="0065114B"/>
    <w:rsid w:val="00653AA1"/>
    <w:rsid w:val="00664B05"/>
    <w:rsid w:val="006657EB"/>
    <w:rsid w:val="00697868"/>
    <w:rsid w:val="006A055F"/>
    <w:rsid w:val="006A5293"/>
    <w:rsid w:val="006B0DF3"/>
    <w:rsid w:val="006B4104"/>
    <w:rsid w:val="006B4A48"/>
    <w:rsid w:val="006C430A"/>
    <w:rsid w:val="006D2809"/>
    <w:rsid w:val="006E14F6"/>
    <w:rsid w:val="006E3342"/>
    <w:rsid w:val="006E4B12"/>
    <w:rsid w:val="006F2C6D"/>
    <w:rsid w:val="007048AC"/>
    <w:rsid w:val="00724593"/>
    <w:rsid w:val="00733C7D"/>
    <w:rsid w:val="00740761"/>
    <w:rsid w:val="00745F77"/>
    <w:rsid w:val="00747A9B"/>
    <w:rsid w:val="00756E38"/>
    <w:rsid w:val="00764D0D"/>
    <w:rsid w:val="00774220"/>
    <w:rsid w:val="007933F1"/>
    <w:rsid w:val="007E43F8"/>
    <w:rsid w:val="007E656B"/>
    <w:rsid w:val="007E728D"/>
    <w:rsid w:val="007F50E8"/>
    <w:rsid w:val="007F7FBA"/>
    <w:rsid w:val="00800319"/>
    <w:rsid w:val="00801F7F"/>
    <w:rsid w:val="0080212A"/>
    <w:rsid w:val="00817E03"/>
    <w:rsid w:val="00824F1C"/>
    <w:rsid w:val="00881A42"/>
    <w:rsid w:val="00882DB4"/>
    <w:rsid w:val="00885E0A"/>
    <w:rsid w:val="0088603B"/>
    <w:rsid w:val="00893FC3"/>
    <w:rsid w:val="0089577B"/>
    <w:rsid w:val="00897308"/>
    <w:rsid w:val="008B3FBD"/>
    <w:rsid w:val="008B7FA1"/>
    <w:rsid w:val="008C2E0E"/>
    <w:rsid w:val="008E17CC"/>
    <w:rsid w:val="008E2F54"/>
    <w:rsid w:val="008F33B4"/>
    <w:rsid w:val="008F7221"/>
    <w:rsid w:val="0090077A"/>
    <w:rsid w:val="009138A0"/>
    <w:rsid w:val="00922B85"/>
    <w:rsid w:val="00927353"/>
    <w:rsid w:val="00932189"/>
    <w:rsid w:val="00946741"/>
    <w:rsid w:val="009500DC"/>
    <w:rsid w:val="00951923"/>
    <w:rsid w:val="009671DB"/>
    <w:rsid w:val="00970D94"/>
    <w:rsid w:val="00972C81"/>
    <w:rsid w:val="009824E9"/>
    <w:rsid w:val="00987C88"/>
    <w:rsid w:val="009924DF"/>
    <w:rsid w:val="00995CB0"/>
    <w:rsid w:val="00997E77"/>
    <w:rsid w:val="009A2734"/>
    <w:rsid w:val="009A3C56"/>
    <w:rsid w:val="009B5B7B"/>
    <w:rsid w:val="009C13B7"/>
    <w:rsid w:val="009C1777"/>
    <w:rsid w:val="009C2C86"/>
    <w:rsid w:val="009D0753"/>
    <w:rsid w:val="009D1FD4"/>
    <w:rsid w:val="009D2104"/>
    <w:rsid w:val="009D41D4"/>
    <w:rsid w:val="009E1802"/>
    <w:rsid w:val="009E1CDE"/>
    <w:rsid w:val="009E51E2"/>
    <w:rsid w:val="009F0665"/>
    <w:rsid w:val="009F7A61"/>
    <w:rsid w:val="00A07755"/>
    <w:rsid w:val="00A11C16"/>
    <w:rsid w:val="00A13D5C"/>
    <w:rsid w:val="00A1423E"/>
    <w:rsid w:val="00A14473"/>
    <w:rsid w:val="00A372DB"/>
    <w:rsid w:val="00A500D6"/>
    <w:rsid w:val="00A57950"/>
    <w:rsid w:val="00A86DA2"/>
    <w:rsid w:val="00AA5939"/>
    <w:rsid w:val="00AB1F8A"/>
    <w:rsid w:val="00AB21F5"/>
    <w:rsid w:val="00AB2F24"/>
    <w:rsid w:val="00AB3386"/>
    <w:rsid w:val="00AC5309"/>
    <w:rsid w:val="00AD291C"/>
    <w:rsid w:val="00AD4DD0"/>
    <w:rsid w:val="00AF6342"/>
    <w:rsid w:val="00AF6E98"/>
    <w:rsid w:val="00B03A76"/>
    <w:rsid w:val="00B053FB"/>
    <w:rsid w:val="00B07EE5"/>
    <w:rsid w:val="00B26778"/>
    <w:rsid w:val="00B26B83"/>
    <w:rsid w:val="00B32479"/>
    <w:rsid w:val="00B366C7"/>
    <w:rsid w:val="00B403ED"/>
    <w:rsid w:val="00B44F1A"/>
    <w:rsid w:val="00B45CC5"/>
    <w:rsid w:val="00B508B1"/>
    <w:rsid w:val="00B5711D"/>
    <w:rsid w:val="00B83846"/>
    <w:rsid w:val="00B866B4"/>
    <w:rsid w:val="00B86B21"/>
    <w:rsid w:val="00BA590A"/>
    <w:rsid w:val="00BB0B39"/>
    <w:rsid w:val="00BB5F75"/>
    <w:rsid w:val="00BC149B"/>
    <w:rsid w:val="00BC23DD"/>
    <w:rsid w:val="00BD32CF"/>
    <w:rsid w:val="00BD3931"/>
    <w:rsid w:val="00BD3B93"/>
    <w:rsid w:val="00BD54EC"/>
    <w:rsid w:val="00BD5B88"/>
    <w:rsid w:val="00BE17A5"/>
    <w:rsid w:val="00BF4E96"/>
    <w:rsid w:val="00C079E7"/>
    <w:rsid w:val="00C12299"/>
    <w:rsid w:val="00C245BA"/>
    <w:rsid w:val="00C24D03"/>
    <w:rsid w:val="00C25E61"/>
    <w:rsid w:val="00C41289"/>
    <w:rsid w:val="00C4766A"/>
    <w:rsid w:val="00C54EFF"/>
    <w:rsid w:val="00C6371E"/>
    <w:rsid w:val="00C72B8B"/>
    <w:rsid w:val="00CA2AB4"/>
    <w:rsid w:val="00CB0100"/>
    <w:rsid w:val="00CB4DAC"/>
    <w:rsid w:val="00CB7F02"/>
    <w:rsid w:val="00CC200C"/>
    <w:rsid w:val="00CC3E50"/>
    <w:rsid w:val="00CE28CF"/>
    <w:rsid w:val="00CE5BEB"/>
    <w:rsid w:val="00CE69E9"/>
    <w:rsid w:val="00D024CF"/>
    <w:rsid w:val="00D1555C"/>
    <w:rsid w:val="00D21924"/>
    <w:rsid w:val="00D25074"/>
    <w:rsid w:val="00D36798"/>
    <w:rsid w:val="00D36899"/>
    <w:rsid w:val="00D515B8"/>
    <w:rsid w:val="00D7380B"/>
    <w:rsid w:val="00D75D77"/>
    <w:rsid w:val="00D8141A"/>
    <w:rsid w:val="00D81608"/>
    <w:rsid w:val="00D8180B"/>
    <w:rsid w:val="00DA11A0"/>
    <w:rsid w:val="00DA690B"/>
    <w:rsid w:val="00DB262F"/>
    <w:rsid w:val="00DE14B1"/>
    <w:rsid w:val="00DF2EE9"/>
    <w:rsid w:val="00E07752"/>
    <w:rsid w:val="00E16609"/>
    <w:rsid w:val="00E16F08"/>
    <w:rsid w:val="00E22E43"/>
    <w:rsid w:val="00E233F3"/>
    <w:rsid w:val="00E270EB"/>
    <w:rsid w:val="00E32955"/>
    <w:rsid w:val="00E37807"/>
    <w:rsid w:val="00E37F72"/>
    <w:rsid w:val="00E42A30"/>
    <w:rsid w:val="00E6255E"/>
    <w:rsid w:val="00E62F56"/>
    <w:rsid w:val="00E762F1"/>
    <w:rsid w:val="00E81F3E"/>
    <w:rsid w:val="00E859BD"/>
    <w:rsid w:val="00E95FCC"/>
    <w:rsid w:val="00E96759"/>
    <w:rsid w:val="00E97246"/>
    <w:rsid w:val="00EA1C3E"/>
    <w:rsid w:val="00EB03AB"/>
    <w:rsid w:val="00EB34FC"/>
    <w:rsid w:val="00EB534C"/>
    <w:rsid w:val="00EB76E1"/>
    <w:rsid w:val="00EB79E3"/>
    <w:rsid w:val="00EC1BA8"/>
    <w:rsid w:val="00EC1DD5"/>
    <w:rsid w:val="00EF469D"/>
    <w:rsid w:val="00EF5416"/>
    <w:rsid w:val="00F06CCF"/>
    <w:rsid w:val="00F20DCF"/>
    <w:rsid w:val="00F2671D"/>
    <w:rsid w:val="00F309B9"/>
    <w:rsid w:val="00F47015"/>
    <w:rsid w:val="00F4752B"/>
    <w:rsid w:val="00F56792"/>
    <w:rsid w:val="00F60E32"/>
    <w:rsid w:val="00F62460"/>
    <w:rsid w:val="00F64AF7"/>
    <w:rsid w:val="00F7242E"/>
    <w:rsid w:val="00F85E89"/>
    <w:rsid w:val="00FA513D"/>
    <w:rsid w:val="00FB0681"/>
    <w:rsid w:val="00FD2DF8"/>
    <w:rsid w:val="00FD3270"/>
    <w:rsid w:val="00FD5A8C"/>
    <w:rsid w:val="00FE3233"/>
    <w:rsid w:val="00FF1B81"/>
    <w:rsid w:val="00FF3F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E37807"/>
    <w:pPr>
      <w:spacing w:after="200" w:line="276" w:lineRule="auto"/>
      <w:ind w:left="720"/>
      <w:contextualSpacing/>
    </w:pPr>
    <w:rPr>
      <w:rFonts w:asciiTheme="minorHAnsi" w:eastAsiaTheme="minorHAnsi" w:hAnsiTheme="minorHAnsi" w:cstheme="minorBidi"/>
      <w:sz w:val="22"/>
      <w:szCs w:val="22"/>
    </w:rPr>
  </w:style>
  <w:style w:type="paragraph" w:customStyle="1" w:styleId="Normal2">
    <w:name w:val="Normal2"/>
    <w:basedOn w:val="Normal"/>
    <w:next w:val="Normal"/>
    <w:link w:val="Normal2Char"/>
    <w:rsid w:val="00BE17A5"/>
    <w:pPr>
      <w:spacing w:line="280" w:lineRule="atLeast"/>
    </w:pPr>
  </w:style>
  <w:style w:type="character" w:customStyle="1" w:styleId="Normal2Char">
    <w:name w:val="Normal2 Char"/>
    <w:basedOn w:val="DefaultParagraphFont"/>
    <w:link w:val="Normal2"/>
    <w:rsid w:val="00BE17A5"/>
    <w:rPr>
      <w:rFonts w:ascii="Times New Roman" w:eastAsia="Times New Roman" w:hAnsi="Times New Roman" w:cs="Times New Roman"/>
      <w:sz w:val="24"/>
      <w:szCs w:val="24"/>
    </w:rPr>
  </w:style>
  <w:style w:type="paragraph" w:customStyle="1" w:styleId="pF">
    <w:name w:val="pF"/>
    <w:next w:val="Normal2"/>
    <w:rsid w:val="00BE17A5"/>
    <w:pPr>
      <w:spacing w:after="0" w:line="320" w:lineRule="atLeast"/>
    </w:pPr>
    <w:rPr>
      <w:rFonts w:ascii="Times New Roman" w:eastAsia="Times New Roman" w:hAnsi="Times New Roman" w:cs="Times New Roman"/>
      <w:sz w:val="24"/>
      <w:szCs w:val="20"/>
    </w:rPr>
  </w:style>
  <w:style w:type="paragraph" w:styleId="Revision">
    <w:name w:val="Revision"/>
    <w:hidden/>
    <w:uiPriority w:val="99"/>
    <w:semiHidden/>
    <w:rsid w:val="002A28FA"/>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E37807"/>
    <w:pPr>
      <w:spacing w:after="200" w:line="276" w:lineRule="auto"/>
      <w:ind w:left="720"/>
      <w:contextualSpacing/>
    </w:pPr>
    <w:rPr>
      <w:rFonts w:asciiTheme="minorHAnsi" w:eastAsiaTheme="minorHAnsi" w:hAnsiTheme="minorHAnsi" w:cstheme="minorBidi"/>
      <w:sz w:val="22"/>
      <w:szCs w:val="22"/>
    </w:rPr>
  </w:style>
  <w:style w:type="paragraph" w:customStyle="1" w:styleId="Normal2">
    <w:name w:val="Normal2"/>
    <w:basedOn w:val="Normal"/>
    <w:next w:val="Normal"/>
    <w:link w:val="Normal2Char"/>
    <w:rsid w:val="00BE17A5"/>
    <w:pPr>
      <w:spacing w:line="280" w:lineRule="atLeast"/>
    </w:pPr>
  </w:style>
  <w:style w:type="character" w:customStyle="1" w:styleId="Normal2Char">
    <w:name w:val="Normal2 Char"/>
    <w:basedOn w:val="DefaultParagraphFont"/>
    <w:link w:val="Normal2"/>
    <w:rsid w:val="00BE17A5"/>
    <w:rPr>
      <w:rFonts w:ascii="Times New Roman" w:eastAsia="Times New Roman" w:hAnsi="Times New Roman" w:cs="Times New Roman"/>
      <w:sz w:val="24"/>
      <w:szCs w:val="24"/>
    </w:rPr>
  </w:style>
  <w:style w:type="paragraph" w:customStyle="1" w:styleId="pF">
    <w:name w:val="pF"/>
    <w:next w:val="Normal2"/>
    <w:rsid w:val="00BE17A5"/>
    <w:pPr>
      <w:spacing w:after="0" w:line="320" w:lineRule="atLeast"/>
    </w:pPr>
    <w:rPr>
      <w:rFonts w:ascii="Times New Roman" w:eastAsia="Times New Roman" w:hAnsi="Times New Roman" w:cs="Times New Roman"/>
      <w:sz w:val="24"/>
      <w:szCs w:val="20"/>
    </w:rPr>
  </w:style>
  <w:style w:type="paragraph" w:styleId="Revision">
    <w:name w:val="Revision"/>
    <w:hidden/>
    <w:uiPriority w:val="99"/>
    <w:semiHidden/>
    <w:rsid w:val="002A28FA"/>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136174">
      <w:bodyDiv w:val="1"/>
      <w:marLeft w:val="0"/>
      <w:marRight w:val="0"/>
      <w:marTop w:val="0"/>
      <w:marBottom w:val="0"/>
      <w:divBdr>
        <w:top w:val="none" w:sz="0" w:space="0" w:color="auto"/>
        <w:left w:val="none" w:sz="0" w:space="0" w:color="auto"/>
        <w:bottom w:val="none" w:sz="0" w:space="0" w:color="auto"/>
        <w:right w:val="none" w:sz="0" w:space="0" w:color="auto"/>
      </w:divBdr>
    </w:div>
    <w:div w:id="656959670">
      <w:bodyDiv w:val="1"/>
      <w:marLeft w:val="0"/>
      <w:marRight w:val="0"/>
      <w:marTop w:val="0"/>
      <w:marBottom w:val="0"/>
      <w:divBdr>
        <w:top w:val="none" w:sz="0" w:space="0" w:color="auto"/>
        <w:left w:val="none" w:sz="0" w:space="0" w:color="auto"/>
        <w:bottom w:val="none" w:sz="0" w:space="0" w:color="auto"/>
        <w:right w:val="none" w:sz="0" w:space="0" w:color="auto"/>
      </w:divBdr>
    </w:div>
    <w:div w:id="74241488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2065918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963917378">
      <w:bodyDiv w:val="1"/>
      <w:marLeft w:val="0"/>
      <w:marRight w:val="0"/>
      <w:marTop w:val="0"/>
      <w:marBottom w:val="0"/>
      <w:divBdr>
        <w:top w:val="none" w:sz="0" w:space="0" w:color="auto"/>
        <w:left w:val="none" w:sz="0" w:space="0" w:color="auto"/>
        <w:bottom w:val="none" w:sz="0" w:space="0" w:color="auto"/>
        <w:right w:val="none" w:sz="0" w:space="0" w:color="auto"/>
      </w:divBdr>
    </w:div>
    <w:div w:id="197953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package" Target="embeddings/Microsoft_Word_Document3.docx"/><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package" Target="embeddings/Microsoft_Excel_Macro-Enabled_Worksheet1.xlsm"/><Relationship Id="rId25" Type="http://schemas.openxmlformats.org/officeDocument/2006/relationships/package" Target="embeddings/Microsoft_Excel_Worksheet5.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Excel_Worksheet4.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Worksheet2.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FADF57-084C-414A-965D-3487A3323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20</Pages>
  <Words>5328</Words>
  <Characters>30372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35629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2014-07-08T19:25:00Z</cp:lastPrinted>
  <dcterms:created xsi:type="dcterms:W3CDTF">2014-07-31T14:18:00Z</dcterms:created>
  <dcterms:modified xsi:type="dcterms:W3CDTF">2014-07-31T14:38:00Z</dcterms:modified>
</cp:coreProperties>
</file>